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76070">
      <w:pPr>
        <w:pStyle w:val="2"/>
        <w:spacing w:line="246" w:lineRule="auto"/>
        <w:rPr>
          <w:highlight w:val="none"/>
        </w:rPr>
      </w:pPr>
    </w:p>
    <w:p w14:paraId="144BAB24">
      <w:pPr>
        <w:pStyle w:val="2"/>
        <w:spacing w:line="246" w:lineRule="auto"/>
        <w:rPr>
          <w:highlight w:val="none"/>
        </w:rPr>
      </w:pPr>
    </w:p>
    <w:p w14:paraId="35F140B2">
      <w:pPr>
        <w:pStyle w:val="2"/>
        <w:spacing w:line="246" w:lineRule="auto"/>
        <w:rPr>
          <w:highlight w:val="none"/>
        </w:rPr>
      </w:pPr>
    </w:p>
    <w:p w14:paraId="034BC47C">
      <w:pPr>
        <w:pStyle w:val="2"/>
        <w:spacing w:line="247" w:lineRule="auto"/>
        <w:rPr>
          <w:highlight w:val="none"/>
        </w:rPr>
      </w:pPr>
    </w:p>
    <w:p w14:paraId="0CBD7808">
      <w:pPr>
        <w:pStyle w:val="2"/>
        <w:spacing w:line="247" w:lineRule="auto"/>
        <w:rPr>
          <w:highlight w:val="none"/>
        </w:rPr>
      </w:pPr>
    </w:p>
    <w:p w14:paraId="5BB27A1D">
      <w:pPr>
        <w:pStyle w:val="2"/>
        <w:spacing w:line="247" w:lineRule="auto"/>
        <w:rPr>
          <w:highlight w:val="none"/>
        </w:rPr>
      </w:pPr>
    </w:p>
    <w:p w14:paraId="690385A3">
      <w:pPr>
        <w:pStyle w:val="2"/>
        <w:spacing w:line="247" w:lineRule="auto"/>
        <w:rPr>
          <w:highlight w:val="none"/>
        </w:rPr>
      </w:pPr>
    </w:p>
    <w:p w14:paraId="472AAA56">
      <w:pPr>
        <w:pStyle w:val="2"/>
        <w:spacing w:line="247" w:lineRule="auto"/>
        <w:rPr>
          <w:highlight w:val="none"/>
        </w:rPr>
      </w:pPr>
    </w:p>
    <w:p w14:paraId="4AD58334">
      <w:pPr>
        <w:pStyle w:val="2"/>
        <w:spacing w:line="247" w:lineRule="auto"/>
        <w:rPr>
          <w:highlight w:val="none"/>
        </w:rPr>
      </w:pPr>
    </w:p>
    <w:p w14:paraId="7C17332F">
      <w:pPr>
        <w:pStyle w:val="2"/>
        <w:spacing w:line="247" w:lineRule="auto"/>
        <w:rPr>
          <w:highlight w:val="none"/>
        </w:rPr>
      </w:pPr>
    </w:p>
    <w:p w14:paraId="2113955A">
      <w:pPr>
        <w:spacing w:before="156" w:line="220" w:lineRule="auto"/>
        <w:ind w:left="2862"/>
        <w:outlineLvl w:val="0"/>
        <w:rPr>
          <w:rFonts w:hint="eastAsia" w:ascii="宋体" w:hAnsi="宋体" w:eastAsia="宋体" w:cs="宋体"/>
          <w:sz w:val="48"/>
          <w:szCs w:val="48"/>
          <w:highlight w:val="none"/>
          <w:lang w:eastAsia="zh-CN"/>
        </w:rPr>
      </w:pPr>
      <w:r>
        <w:rPr>
          <w:rFonts w:ascii="宋体" w:hAnsi="宋体" w:eastAsia="宋体" w:cs="宋体"/>
          <w:b/>
          <w:bCs/>
          <w:spacing w:val="-21"/>
          <w:sz w:val="48"/>
          <w:szCs w:val="48"/>
          <w:highlight w:val="none"/>
          <w:lang w:eastAsia="zh-CN"/>
        </w:rPr>
        <w:t>招</w:t>
      </w:r>
      <w:r>
        <w:rPr>
          <w:rFonts w:ascii="宋体" w:hAnsi="宋体" w:eastAsia="宋体" w:cs="宋体"/>
          <w:spacing w:val="25"/>
          <w:sz w:val="48"/>
          <w:szCs w:val="48"/>
          <w:highlight w:val="none"/>
          <w:lang w:eastAsia="zh-CN"/>
        </w:rPr>
        <w:t xml:space="preserve"> </w:t>
      </w:r>
      <w:r>
        <w:rPr>
          <w:rFonts w:ascii="宋体" w:hAnsi="宋体" w:eastAsia="宋体" w:cs="宋体"/>
          <w:b/>
          <w:bCs/>
          <w:spacing w:val="-21"/>
          <w:sz w:val="48"/>
          <w:szCs w:val="48"/>
          <w:highlight w:val="none"/>
          <w:lang w:eastAsia="zh-CN"/>
        </w:rPr>
        <w:t>标</w:t>
      </w:r>
      <w:r>
        <w:rPr>
          <w:rFonts w:ascii="宋体" w:hAnsi="宋体" w:eastAsia="宋体" w:cs="宋体"/>
          <w:spacing w:val="24"/>
          <w:sz w:val="48"/>
          <w:szCs w:val="48"/>
          <w:highlight w:val="none"/>
          <w:lang w:eastAsia="zh-CN"/>
        </w:rPr>
        <w:t xml:space="preserve"> </w:t>
      </w:r>
      <w:r>
        <w:rPr>
          <w:rFonts w:ascii="宋体" w:hAnsi="宋体" w:eastAsia="宋体" w:cs="宋体"/>
          <w:b/>
          <w:bCs/>
          <w:spacing w:val="-21"/>
          <w:sz w:val="48"/>
          <w:szCs w:val="48"/>
          <w:highlight w:val="none"/>
          <w:lang w:eastAsia="zh-CN"/>
        </w:rPr>
        <w:t>文</w:t>
      </w:r>
      <w:r>
        <w:rPr>
          <w:rFonts w:ascii="宋体" w:hAnsi="宋体" w:eastAsia="宋体" w:cs="宋体"/>
          <w:spacing w:val="20"/>
          <w:sz w:val="48"/>
          <w:szCs w:val="48"/>
          <w:highlight w:val="none"/>
          <w:lang w:eastAsia="zh-CN"/>
        </w:rPr>
        <w:t xml:space="preserve"> </w:t>
      </w:r>
      <w:r>
        <w:rPr>
          <w:rFonts w:ascii="宋体" w:hAnsi="宋体" w:eastAsia="宋体" w:cs="宋体"/>
          <w:b/>
          <w:bCs/>
          <w:spacing w:val="-21"/>
          <w:sz w:val="48"/>
          <w:szCs w:val="48"/>
          <w:highlight w:val="none"/>
          <w:lang w:eastAsia="zh-CN"/>
        </w:rPr>
        <w:t>件</w:t>
      </w:r>
    </w:p>
    <w:p w14:paraId="07555A2B">
      <w:pPr>
        <w:pStyle w:val="2"/>
        <w:spacing w:line="463" w:lineRule="auto"/>
        <w:rPr>
          <w:highlight w:val="none"/>
          <w:lang w:eastAsia="zh-CN"/>
        </w:rPr>
      </w:pPr>
    </w:p>
    <w:p w14:paraId="7070C722">
      <w:pPr>
        <w:spacing w:before="117" w:line="220" w:lineRule="auto"/>
        <w:ind w:left="3288"/>
        <w:outlineLvl w:val="1"/>
        <w:rPr>
          <w:rFonts w:hint="eastAsia" w:ascii="宋体" w:hAnsi="宋体" w:eastAsia="宋体" w:cs="宋体"/>
          <w:sz w:val="36"/>
          <w:szCs w:val="36"/>
          <w:highlight w:val="none"/>
          <w:lang w:eastAsia="zh-CN"/>
        </w:rPr>
      </w:pPr>
      <w:r>
        <w:rPr>
          <w:rFonts w:ascii="宋体" w:hAnsi="宋体" w:eastAsia="宋体" w:cs="宋体"/>
          <w:b/>
          <w:bCs/>
          <w:spacing w:val="-8"/>
          <w:sz w:val="36"/>
          <w:szCs w:val="36"/>
          <w:highlight w:val="none"/>
          <w:lang w:eastAsia="zh-CN"/>
        </w:rPr>
        <w:t>（工程类）</w:t>
      </w:r>
    </w:p>
    <w:p w14:paraId="3194674D">
      <w:pPr>
        <w:pStyle w:val="2"/>
        <w:rPr>
          <w:highlight w:val="none"/>
          <w:lang w:eastAsia="zh-CN"/>
        </w:rPr>
      </w:pPr>
    </w:p>
    <w:p w14:paraId="254BC9DE">
      <w:pPr>
        <w:pStyle w:val="2"/>
        <w:rPr>
          <w:highlight w:val="none"/>
          <w:lang w:eastAsia="zh-CN"/>
        </w:rPr>
      </w:pPr>
    </w:p>
    <w:p w14:paraId="678C1BC5">
      <w:pPr>
        <w:pStyle w:val="2"/>
        <w:rPr>
          <w:highlight w:val="none"/>
          <w:lang w:eastAsia="zh-CN"/>
        </w:rPr>
      </w:pPr>
    </w:p>
    <w:p w14:paraId="05123168">
      <w:pPr>
        <w:pStyle w:val="2"/>
        <w:spacing w:line="241" w:lineRule="auto"/>
        <w:rPr>
          <w:highlight w:val="none"/>
          <w:lang w:eastAsia="zh-CN"/>
        </w:rPr>
      </w:pPr>
    </w:p>
    <w:p w14:paraId="25FE1848">
      <w:pPr>
        <w:pStyle w:val="2"/>
        <w:spacing w:line="241" w:lineRule="auto"/>
        <w:rPr>
          <w:highlight w:val="none"/>
          <w:lang w:eastAsia="zh-CN"/>
        </w:rPr>
      </w:pPr>
    </w:p>
    <w:p w14:paraId="1FF65029">
      <w:pPr>
        <w:pStyle w:val="2"/>
        <w:spacing w:line="241" w:lineRule="auto"/>
        <w:rPr>
          <w:highlight w:val="none"/>
          <w:lang w:eastAsia="zh-CN"/>
        </w:rPr>
      </w:pPr>
    </w:p>
    <w:p w14:paraId="476DEBBE">
      <w:pPr>
        <w:pStyle w:val="2"/>
        <w:spacing w:line="241" w:lineRule="auto"/>
        <w:rPr>
          <w:highlight w:val="none"/>
          <w:lang w:eastAsia="zh-CN"/>
        </w:rPr>
      </w:pPr>
    </w:p>
    <w:p w14:paraId="5EF9B05D">
      <w:pPr>
        <w:pStyle w:val="2"/>
        <w:spacing w:line="241" w:lineRule="auto"/>
        <w:rPr>
          <w:highlight w:val="none"/>
          <w:lang w:eastAsia="zh-CN"/>
        </w:rPr>
      </w:pPr>
    </w:p>
    <w:p w14:paraId="2BEFBF8C">
      <w:pPr>
        <w:pStyle w:val="2"/>
        <w:spacing w:line="241" w:lineRule="auto"/>
        <w:rPr>
          <w:highlight w:val="none"/>
          <w:lang w:eastAsia="zh-CN"/>
        </w:rPr>
      </w:pPr>
    </w:p>
    <w:p w14:paraId="27941695">
      <w:pPr>
        <w:pStyle w:val="2"/>
        <w:spacing w:line="241" w:lineRule="auto"/>
        <w:rPr>
          <w:highlight w:val="none"/>
          <w:lang w:eastAsia="zh-CN"/>
        </w:rPr>
      </w:pPr>
    </w:p>
    <w:p w14:paraId="773318DC">
      <w:pPr>
        <w:pStyle w:val="2"/>
        <w:spacing w:line="241" w:lineRule="auto"/>
        <w:rPr>
          <w:highlight w:val="none"/>
          <w:lang w:eastAsia="zh-CN"/>
        </w:rPr>
      </w:pPr>
    </w:p>
    <w:p w14:paraId="7E4D9BBD">
      <w:pPr>
        <w:spacing w:before="78" w:line="220" w:lineRule="auto"/>
        <w:ind w:left="3114"/>
        <w:jc w:val="center"/>
        <w:rPr>
          <w:rFonts w:hint="eastAsia" w:ascii="宋体" w:hAnsi="宋体" w:eastAsia="宋体" w:cs="宋体"/>
          <w:sz w:val="24"/>
          <w:szCs w:val="24"/>
          <w:highlight w:val="none"/>
          <w:lang w:eastAsia="zh-CN"/>
        </w:rPr>
      </w:pPr>
    </w:p>
    <w:p w14:paraId="6BE7D07D">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720" w:firstLineChars="3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采购项目名称：</w:t>
      </w:r>
      <w:r>
        <w:rPr>
          <w:rFonts w:hint="eastAsia" w:ascii="宋体" w:hAnsi="宋体" w:eastAsia="宋体" w:cs="宋体"/>
          <w:sz w:val="24"/>
          <w:szCs w:val="24"/>
          <w:highlight w:val="none"/>
          <w:lang w:val="en-US" w:eastAsia="zh-CN"/>
        </w:rPr>
        <w:t>陕西省人民医院实验楼加固改造装修项目一标段</w:t>
      </w:r>
    </w:p>
    <w:p w14:paraId="025CB08D">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720" w:firstLineChars="3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项目编号：</w:t>
      </w:r>
      <w:r>
        <w:rPr>
          <w:rFonts w:ascii="微软雅黑" w:hAnsi="微软雅黑" w:eastAsia="微软雅黑" w:cs="微软雅黑"/>
          <w:i w:val="0"/>
          <w:iCs w:val="0"/>
          <w:caps w:val="0"/>
          <w:color w:val="333333"/>
          <w:spacing w:val="0"/>
          <w:sz w:val="21"/>
          <w:szCs w:val="21"/>
          <w:highlight w:val="none"/>
          <w:shd w:val="clear" w:fill="FAFAFA"/>
        </w:rPr>
        <w:t>SCZD2025-ZB-2600</w:t>
      </w:r>
      <w:r>
        <w:rPr>
          <w:rFonts w:hint="eastAsia" w:ascii="微软雅黑" w:hAnsi="微软雅黑" w:eastAsia="微软雅黑" w:cs="微软雅黑"/>
          <w:i w:val="0"/>
          <w:iCs w:val="0"/>
          <w:caps w:val="0"/>
          <w:color w:val="333333"/>
          <w:spacing w:val="0"/>
          <w:sz w:val="21"/>
          <w:szCs w:val="21"/>
          <w:highlight w:val="none"/>
          <w:shd w:val="clear" w:fill="FAFAFA"/>
          <w:lang w:val="en-US" w:eastAsia="zh-CN"/>
        </w:rPr>
        <w:t>-</w:t>
      </w:r>
      <w:r>
        <w:rPr>
          <w:rFonts w:ascii="微软雅黑" w:hAnsi="微软雅黑" w:eastAsia="微软雅黑" w:cs="微软雅黑"/>
          <w:i w:val="0"/>
          <w:iCs w:val="0"/>
          <w:caps w:val="0"/>
          <w:color w:val="333333"/>
          <w:spacing w:val="0"/>
          <w:sz w:val="21"/>
          <w:szCs w:val="21"/>
          <w:highlight w:val="none"/>
          <w:shd w:val="clear" w:fill="FAFAFA"/>
        </w:rPr>
        <w:t>001</w:t>
      </w:r>
    </w:p>
    <w:p w14:paraId="38EDD3AF">
      <w:pPr>
        <w:keepNext w:val="0"/>
        <w:keepLines w:val="0"/>
        <w:pageBreakBefore w:val="0"/>
        <w:widowControl/>
        <w:kinsoku w:val="0"/>
        <w:wordWrap/>
        <w:overflowPunct/>
        <w:topLinePunct w:val="0"/>
        <w:autoSpaceDE w:val="0"/>
        <w:autoSpaceDN w:val="0"/>
        <w:bidi w:val="0"/>
        <w:adjustRightInd w:val="0"/>
        <w:snapToGrid w:val="0"/>
        <w:spacing w:before="78" w:line="360" w:lineRule="auto"/>
        <w:ind w:left="3114"/>
        <w:textAlignment w:val="baseline"/>
        <w:rPr>
          <w:rFonts w:hint="eastAsia" w:ascii="宋体" w:hAnsi="宋体" w:eastAsia="宋体" w:cs="宋体"/>
          <w:sz w:val="24"/>
          <w:szCs w:val="24"/>
          <w:highlight w:val="none"/>
          <w:lang w:eastAsia="zh-CN"/>
        </w:rPr>
      </w:pPr>
    </w:p>
    <w:p w14:paraId="16DEBED7">
      <w:pPr>
        <w:spacing w:before="78" w:line="220" w:lineRule="auto"/>
        <w:ind w:left="3114"/>
        <w:rPr>
          <w:rFonts w:hint="eastAsia" w:ascii="宋体" w:hAnsi="宋体" w:eastAsia="宋体" w:cs="宋体"/>
          <w:sz w:val="24"/>
          <w:szCs w:val="24"/>
          <w:highlight w:val="none"/>
          <w:lang w:eastAsia="zh-CN"/>
        </w:rPr>
      </w:pPr>
    </w:p>
    <w:p w14:paraId="7A4BF58D">
      <w:pPr>
        <w:pStyle w:val="2"/>
        <w:spacing w:line="247" w:lineRule="auto"/>
        <w:rPr>
          <w:highlight w:val="none"/>
          <w:lang w:eastAsia="zh-CN"/>
        </w:rPr>
      </w:pPr>
    </w:p>
    <w:p w14:paraId="4F180BF2">
      <w:pPr>
        <w:pStyle w:val="2"/>
        <w:spacing w:line="247" w:lineRule="auto"/>
        <w:rPr>
          <w:highlight w:val="none"/>
          <w:lang w:eastAsia="zh-CN"/>
        </w:rPr>
      </w:pPr>
    </w:p>
    <w:p w14:paraId="688F2824">
      <w:pPr>
        <w:pStyle w:val="2"/>
        <w:spacing w:line="247" w:lineRule="auto"/>
        <w:rPr>
          <w:highlight w:val="none"/>
          <w:lang w:eastAsia="zh-CN"/>
        </w:rPr>
      </w:pPr>
    </w:p>
    <w:p w14:paraId="5703D620">
      <w:pPr>
        <w:pStyle w:val="2"/>
        <w:spacing w:line="247" w:lineRule="auto"/>
        <w:rPr>
          <w:highlight w:val="none"/>
          <w:lang w:eastAsia="zh-CN"/>
        </w:rPr>
      </w:pPr>
    </w:p>
    <w:p w14:paraId="493A7CCA">
      <w:pPr>
        <w:pStyle w:val="2"/>
        <w:spacing w:line="247" w:lineRule="auto"/>
        <w:rPr>
          <w:highlight w:val="none"/>
          <w:lang w:eastAsia="zh-CN"/>
        </w:rPr>
      </w:pPr>
    </w:p>
    <w:p w14:paraId="63D23230">
      <w:pPr>
        <w:pStyle w:val="2"/>
        <w:spacing w:line="247" w:lineRule="auto"/>
        <w:rPr>
          <w:highlight w:val="none"/>
          <w:lang w:eastAsia="zh-CN"/>
        </w:rPr>
      </w:pPr>
    </w:p>
    <w:p w14:paraId="11DC4F5B">
      <w:pPr>
        <w:pStyle w:val="2"/>
        <w:spacing w:line="247" w:lineRule="auto"/>
        <w:rPr>
          <w:highlight w:val="none"/>
          <w:lang w:eastAsia="zh-CN"/>
        </w:rPr>
      </w:pPr>
    </w:p>
    <w:p w14:paraId="4BDD0976">
      <w:pPr>
        <w:pStyle w:val="2"/>
        <w:spacing w:line="247" w:lineRule="auto"/>
        <w:rPr>
          <w:highlight w:val="none"/>
          <w:lang w:eastAsia="zh-CN"/>
        </w:rPr>
      </w:pPr>
    </w:p>
    <w:p w14:paraId="79C0BE91">
      <w:pPr>
        <w:pStyle w:val="2"/>
        <w:spacing w:line="248" w:lineRule="auto"/>
        <w:rPr>
          <w:highlight w:val="none"/>
          <w:lang w:eastAsia="zh-CN"/>
        </w:rPr>
      </w:pPr>
    </w:p>
    <w:p w14:paraId="725BC48C">
      <w:pPr>
        <w:pStyle w:val="2"/>
        <w:spacing w:line="248" w:lineRule="auto"/>
        <w:rPr>
          <w:highlight w:val="none"/>
          <w:lang w:eastAsia="zh-CN"/>
        </w:rPr>
      </w:pPr>
    </w:p>
    <w:p w14:paraId="45902313">
      <w:pPr>
        <w:pStyle w:val="2"/>
        <w:spacing w:line="248" w:lineRule="auto"/>
        <w:rPr>
          <w:highlight w:val="none"/>
          <w:lang w:eastAsia="zh-CN"/>
        </w:rPr>
      </w:pPr>
    </w:p>
    <w:p w14:paraId="459E5F40">
      <w:pPr>
        <w:spacing w:before="78" w:line="220" w:lineRule="auto"/>
        <w:ind w:left="3114"/>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陕西省人民医院</w:t>
      </w:r>
    </w:p>
    <w:p w14:paraId="67B901CC">
      <w:pPr>
        <w:spacing w:before="182" w:line="220" w:lineRule="auto"/>
        <w:ind w:firstLine="1888" w:firstLineChars="800"/>
        <w:jc w:val="both"/>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val="en-US" w:eastAsia="zh-CN"/>
        </w:rPr>
        <w:t>陕西省采购招标有限责任公司</w:t>
      </w:r>
      <w:r>
        <w:rPr>
          <w:rFonts w:ascii="宋体" w:hAnsi="宋体" w:eastAsia="宋体" w:cs="宋体"/>
          <w:spacing w:val="-2"/>
          <w:sz w:val="24"/>
          <w:szCs w:val="24"/>
          <w:highlight w:val="none"/>
          <w:lang w:eastAsia="zh-CN"/>
        </w:rPr>
        <w:t>共同编制</w:t>
      </w:r>
    </w:p>
    <w:p w14:paraId="3F86F05C">
      <w:pPr>
        <w:spacing w:before="181" w:line="220" w:lineRule="auto"/>
        <w:ind w:left="3310"/>
        <w:jc w:val="both"/>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lang w:eastAsia="zh-CN"/>
        </w:rPr>
        <w:t>202</w:t>
      </w:r>
      <w:r>
        <w:rPr>
          <w:rFonts w:hint="eastAsia" w:ascii="宋体" w:hAnsi="宋体" w:eastAsia="宋体" w:cs="宋体"/>
          <w:spacing w:val="-8"/>
          <w:sz w:val="24"/>
          <w:szCs w:val="24"/>
          <w:highlight w:val="none"/>
          <w:lang w:val="en-US" w:eastAsia="zh-CN"/>
        </w:rPr>
        <w:t>5</w:t>
      </w:r>
      <w:r>
        <w:rPr>
          <w:rFonts w:ascii="宋体" w:hAnsi="宋体" w:eastAsia="宋体" w:cs="宋体"/>
          <w:spacing w:val="-8"/>
          <w:sz w:val="24"/>
          <w:szCs w:val="24"/>
          <w:highlight w:val="none"/>
          <w:lang w:eastAsia="zh-CN"/>
        </w:rPr>
        <w:t>年</w:t>
      </w:r>
      <w:r>
        <w:rPr>
          <w:rFonts w:ascii="宋体" w:hAnsi="宋体" w:eastAsia="宋体" w:cs="宋体"/>
          <w:spacing w:val="-45"/>
          <w:sz w:val="24"/>
          <w:szCs w:val="24"/>
          <w:highlight w:val="none"/>
          <w:lang w:eastAsia="zh-CN"/>
        </w:rPr>
        <w:t xml:space="preserve"> </w:t>
      </w:r>
      <w:r>
        <w:rPr>
          <w:rFonts w:hint="eastAsia" w:ascii="宋体" w:hAnsi="宋体" w:eastAsia="宋体" w:cs="宋体"/>
          <w:spacing w:val="-8"/>
          <w:sz w:val="24"/>
          <w:szCs w:val="24"/>
          <w:highlight w:val="none"/>
          <w:lang w:val="en-US" w:eastAsia="zh-CN"/>
        </w:rPr>
        <w:t>9</w:t>
      </w:r>
      <w:r>
        <w:rPr>
          <w:rFonts w:ascii="宋体" w:hAnsi="宋体" w:eastAsia="宋体" w:cs="宋体"/>
          <w:spacing w:val="-8"/>
          <w:sz w:val="24"/>
          <w:szCs w:val="24"/>
          <w:highlight w:val="none"/>
          <w:lang w:eastAsia="zh-CN"/>
        </w:rPr>
        <w:t>月</w:t>
      </w:r>
      <w:r>
        <w:rPr>
          <w:rFonts w:hint="eastAsia" w:ascii="宋体" w:hAnsi="宋体" w:eastAsia="宋体" w:cs="宋体"/>
          <w:spacing w:val="-8"/>
          <w:sz w:val="24"/>
          <w:szCs w:val="24"/>
          <w:highlight w:val="none"/>
          <w:lang w:val="en-US" w:eastAsia="zh-CN"/>
        </w:rPr>
        <w:t>29</w:t>
      </w:r>
      <w:r>
        <w:rPr>
          <w:rFonts w:ascii="宋体" w:hAnsi="宋体" w:eastAsia="宋体" w:cs="宋体"/>
          <w:spacing w:val="-8"/>
          <w:sz w:val="24"/>
          <w:szCs w:val="24"/>
          <w:highlight w:val="none"/>
          <w:lang w:eastAsia="zh-CN"/>
        </w:rPr>
        <w:t>日</w:t>
      </w:r>
    </w:p>
    <w:p w14:paraId="5321732E">
      <w:pPr>
        <w:spacing w:line="220" w:lineRule="auto"/>
        <w:rPr>
          <w:rFonts w:hint="eastAsia" w:ascii="宋体" w:hAnsi="宋体" w:eastAsia="宋体" w:cs="宋体"/>
          <w:sz w:val="24"/>
          <w:szCs w:val="24"/>
          <w:highlight w:val="none"/>
          <w:lang w:eastAsia="zh-CN"/>
        </w:rPr>
        <w:sectPr>
          <w:pgSz w:w="11907" w:h="16839"/>
          <w:pgMar w:top="1431" w:right="1785" w:bottom="1417" w:left="1785" w:header="0" w:footer="0" w:gutter="0"/>
          <w:cols w:space="720" w:num="1"/>
        </w:sectPr>
      </w:pPr>
    </w:p>
    <w:p w14:paraId="79FE4D27">
      <w:pPr>
        <w:spacing w:before="137" w:line="224" w:lineRule="auto"/>
        <w:ind w:left="3375"/>
        <w:outlineLvl w:val="2"/>
        <w:rPr>
          <w:rFonts w:hint="eastAsia" w:ascii="宋体" w:hAnsi="宋体" w:eastAsia="宋体" w:cs="宋体"/>
          <w:sz w:val="31"/>
          <w:szCs w:val="31"/>
          <w:highlight w:val="none"/>
          <w:lang w:eastAsia="zh-CN"/>
        </w:rPr>
      </w:pPr>
      <w:r>
        <w:rPr>
          <w:rFonts w:ascii="宋体" w:hAnsi="宋体" w:eastAsia="宋体" w:cs="宋体"/>
          <w:b/>
          <w:bCs/>
          <w:spacing w:val="5"/>
          <w:sz w:val="31"/>
          <w:szCs w:val="31"/>
          <w:highlight w:val="none"/>
          <w:lang w:eastAsia="zh-CN"/>
        </w:rPr>
        <w:t>第一章</w:t>
      </w:r>
      <w:r>
        <w:rPr>
          <w:rFonts w:ascii="宋体" w:hAnsi="宋体" w:eastAsia="宋体" w:cs="宋体"/>
          <w:spacing w:val="5"/>
          <w:sz w:val="31"/>
          <w:szCs w:val="31"/>
          <w:highlight w:val="none"/>
          <w:lang w:eastAsia="zh-CN"/>
        </w:rPr>
        <w:t xml:space="preserve">  </w:t>
      </w:r>
      <w:r>
        <w:rPr>
          <w:rFonts w:ascii="宋体" w:hAnsi="宋体" w:eastAsia="宋体" w:cs="宋体"/>
          <w:b/>
          <w:bCs/>
          <w:spacing w:val="5"/>
          <w:sz w:val="31"/>
          <w:szCs w:val="31"/>
          <w:highlight w:val="none"/>
          <w:lang w:eastAsia="zh-CN"/>
        </w:rPr>
        <w:t>招标公告</w:t>
      </w:r>
    </w:p>
    <w:p w14:paraId="2BE2CB01">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项目概况</w:t>
      </w:r>
    </w:p>
    <w:p w14:paraId="3692A65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实验楼加固改造装修项目一标段的潜在投标人应在陕西省政府采购综合管理平台 项目电子化交易系统（以下简称“项目电子化交易系统”）获取招标文件，并于投标文件递交截止时间（北京时间） 前递交电子投标文件。</w:t>
      </w:r>
    </w:p>
    <w:p w14:paraId="3303AA80">
      <w:pPr>
        <w:keepNext w:val="0"/>
        <w:keepLines w:val="0"/>
        <w:pageBreakBefore w:val="0"/>
        <w:widowControl/>
        <w:kinsoku w:val="0"/>
        <w:wordWrap/>
        <w:overflowPunct/>
        <w:topLinePunct w:val="0"/>
        <w:autoSpaceDE w:val="0"/>
        <w:autoSpaceDN w:val="0"/>
        <w:bidi w:val="0"/>
        <w:adjustRightInd w:val="0"/>
        <w:snapToGrid w:val="0"/>
        <w:spacing w:before="93" w:line="360" w:lineRule="auto"/>
        <w:ind w:left="128"/>
        <w:textAlignment w:val="baseline"/>
        <w:outlineLvl w:val="3"/>
        <w:rPr>
          <w:rFonts w:hint="eastAsia" w:ascii="仿宋" w:hAnsi="仿宋" w:eastAsia="仿宋" w:cs="仿宋"/>
          <w:sz w:val="21"/>
          <w:szCs w:val="21"/>
          <w:highlight w:val="none"/>
          <w:lang w:eastAsia="zh-CN"/>
        </w:rPr>
      </w:pPr>
      <w:r>
        <w:rPr>
          <w:rFonts w:hint="eastAsia" w:ascii="仿宋" w:hAnsi="仿宋" w:eastAsia="仿宋" w:cs="仿宋"/>
          <w:b/>
          <w:bCs/>
          <w:spacing w:val="-6"/>
          <w:sz w:val="21"/>
          <w:szCs w:val="21"/>
          <w:highlight w:val="none"/>
          <w:lang w:eastAsia="zh-CN"/>
        </w:rPr>
        <w:t>一、项目基本情况</w:t>
      </w:r>
    </w:p>
    <w:p w14:paraId="2EB0BD0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项目编号：SCZD2025-ZB-2600-001</w:t>
      </w:r>
    </w:p>
    <w:p w14:paraId="4D4F944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项目名称：实验楼加固改造装修项目一标段</w:t>
      </w:r>
    </w:p>
    <w:p w14:paraId="00F905A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采购方式：公开招标</w:t>
      </w:r>
    </w:p>
    <w:p w14:paraId="6C5A633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预算金额：7498000.00元</w:t>
      </w:r>
    </w:p>
    <w:p w14:paraId="629CC10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采购需求：</w:t>
      </w:r>
    </w:p>
    <w:p w14:paraId="32A6B1D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合同包 1（实验楼加固改造装修项目一标段）：</w:t>
      </w:r>
    </w:p>
    <w:p w14:paraId="40006B3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合同包预算金额：7498000.00元</w:t>
      </w:r>
    </w:p>
    <w:p w14:paraId="1780DC3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合同包最高限价：7495571.13元</w:t>
      </w:r>
    </w:p>
    <w:tbl>
      <w:tblPr>
        <w:tblStyle w:val="19"/>
        <w:tblW w:w="9693"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1416"/>
        <w:gridCol w:w="1796"/>
        <w:gridCol w:w="1082"/>
        <w:gridCol w:w="1701"/>
        <w:gridCol w:w="1416"/>
        <w:gridCol w:w="1392"/>
      </w:tblGrid>
      <w:tr w14:paraId="288EB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90" w:type="dxa"/>
            <w:vAlign w:val="center"/>
          </w:tcPr>
          <w:p w14:paraId="592002BA">
            <w:pPr>
              <w:pStyle w:val="18"/>
              <w:keepNext w:val="0"/>
              <w:keepLines w:val="0"/>
              <w:pageBreakBefore w:val="0"/>
              <w:widowControl/>
              <w:kinsoku w:val="0"/>
              <w:wordWrap/>
              <w:overflowPunct/>
              <w:topLinePunct w:val="0"/>
              <w:autoSpaceDE w:val="0"/>
              <w:autoSpaceDN w:val="0"/>
              <w:bidi w:val="0"/>
              <w:adjustRightInd w:val="0"/>
              <w:snapToGrid w:val="0"/>
              <w:spacing w:before="39" w:line="360" w:lineRule="auto"/>
              <w:ind w:left="266" w:right="131" w:hanging="106"/>
              <w:textAlignment w:val="baseline"/>
              <w:rPr>
                <w:rFonts w:hint="eastAsia" w:ascii="仿宋" w:hAnsi="仿宋" w:eastAsia="仿宋" w:cs="仿宋"/>
                <w:sz w:val="21"/>
                <w:szCs w:val="21"/>
                <w:highlight w:val="none"/>
              </w:rPr>
            </w:pPr>
            <w:r>
              <w:rPr>
                <w:rFonts w:hint="eastAsia" w:ascii="仿宋" w:hAnsi="仿宋" w:eastAsia="仿宋" w:cs="仿宋"/>
                <w:spacing w:val="-15"/>
                <w:sz w:val="21"/>
                <w:szCs w:val="21"/>
                <w:highlight w:val="none"/>
              </w:rPr>
              <w:t>品目</w:t>
            </w:r>
            <w:r>
              <w:rPr>
                <w:rFonts w:hint="eastAsia" w:ascii="仿宋" w:hAnsi="仿宋" w:eastAsia="仿宋" w:cs="仿宋"/>
                <w:sz w:val="21"/>
                <w:szCs w:val="21"/>
                <w:highlight w:val="none"/>
              </w:rPr>
              <w:t>号</w:t>
            </w:r>
          </w:p>
        </w:tc>
        <w:tc>
          <w:tcPr>
            <w:tcW w:w="1416" w:type="dxa"/>
            <w:vAlign w:val="center"/>
          </w:tcPr>
          <w:p w14:paraId="3C157CED">
            <w:pPr>
              <w:pStyle w:val="18"/>
              <w:keepNext w:val="0"/>
              <w:keepLines w:val="0"/>
              <w:pageBreakBefore w:val="0"/>
              <w:widowControl/>
              <w:kinsoku w:val="0"/>
              <w:wordWrap/>
              <w:overflowPunct/>
              <w:topLinePunct w:val="0"/>
              <w:autoSpaceDE w:val="0"/>
              <w:autoSpaceDN w:val="0"/>
              <w:bidi w:val="0"/>
              <w:adjustRightInd w:val="0"/>
              <w:snapToGrid w:val="0"/>
              <w:spacing w:before="194" w:line="360" w:lineRule="auto"/>
              <w:ind w:left="307"/>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品目名称</w:t>
            </w:r>
          </w:p>
        </w:tc>
        <w:tc>
          <w:tcPr>
            <w:tcW w:w="1796" w:type="dxa"/>
            <w:vAlign w:val="center"/>
          </w:tcPr>
          <w:p w14:paraId="1F666465">
            <w:pPr>
              <w:pStyle w:val="18"/>
              <w:keepNext w:val="0"/>
              <w:keepLines w:val="0"/>
              <w:pageBreakBefore w:val="0"/>
              <w:widowControl/>
              <w:kinsoku w:val="0"/>
              <w:wordWrap/>
              <w:overflowPunct/>
              <w:topLinePunct w:val="0"/>
              <w:autoSpaceDE w:val="0"/>
              <w:autoSpaceDN w:val="0"/>
              <w:bidi w:val="0"/>
              <w:adjustRightInd w:val="0"/>
              <w:snapToGrid w:val="0"/>
              <w:spacing w:before="194" w:line="360" w:lineRule="auto"/>
              <w:ind w:left="236"/>
              <w:textAlignment w:val="baseline"/>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采购标的</w:t>
            </w:r>
          </w:p>
        </w:tc>
        <w:tc>
          <w:tcPr>
            <w:tcW w:w="1082" w:type="dxa"/>
            <w:vAlign w:val="center"/>
          </w:tcPr>
          <w:p w14:paraId="3626376E">
            <w:pPr>
              <w:pStyle w:val="18"/>
              <w:keepNext w:val="0"/>
              <w:keepLines w:val="0"/>
              <w:pageBreakBefore w:val="0"/>
              <w:widowControl/>
              <w:kinsoku w:val="0"/>
              <w:wordWrap/>
              <w:overflowPunct/>
              <w:topLinePunct w:val="0"/>
              <w:autoSpaceDE w:val="0"/>
              <w:autoSpaceDN w:val="0"/>
              <w:bidi w:val="0"/>
              <w:adjustRightInd w:val="0"/>
              <w:snapToGrid w:val="0"/>
              <w:spacing w:before="39" w:line="360" w:lineRule="auto"/>
              <w:ind w:left="118" w:right="29" w:firstLine="189"/>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数量</w:t>
            </w:r>
            <w:r>
              <w:rPr>
                <w:rFonts w:hint="eastAsia" w:ascii="仿宋" w:hAnsi="仿宋" w:eastAsia="仿宋" w:cs="仿宋"/>
                <w:sz w:val="21"/>
                <w:szCs w:val="21"/>
                <w:highlight w:val="none"/>
              </w:rPr>
              <w:t xml:space="preserve">   </w:t>
            </w:r>
            <w:r>
              <w:rPr>
                <w:rFonts w:hint="eastAsia" w:ascii="仿宋" w:hAnsi="仿宋" w:eastAsia="仿宋" w:cs="仿宋"/>
                <w:spacing w:val="-8"/>
                <w:sz w:val="21"/>
                <w:szCs w:val="21"/>
                <w:highlight w:val="none"/>
              </w:rPr>
              <w:t>（单位）</w:t>
            </w:r>
          </w:p>
        </w:tc>
        <w:tc>
          <w:tcPr>
            <w:tcW w:w="1701" w:type="dxa"/>
            <w:vAlign w:val="center"/>
          </w:tcPr>
          <w:p w14:paraId="73294E66">
            <w:pPr>
              <w:pStyle w:val="18"/>
              <w:keepNext w:val="0"/>
              <w:keepLines w:val="0"/>
              <w:pageBreakBefore w:val="0"/>
              <w:widowControl/>
              <w:kinsoku w:val="0"/>
              <w:wordWrap/>
              <w:overflowPunct/>
              <w:topLinePunct w:val="0"/>
              <w:autoSpaceDE w:val="0"/>
              <w:autoSpaceDN w:val="0"/>
              <w:bidi w:val="0"/>
              <w:adjustRightInd w:val="0"/>
              <w:snapToGrid w:val="0"/>
              <w:spacing w:before="39" w:line="360" w:lineRule="auto"/>
              <w:ind w:left="378" w:right="128" w:hanging="24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技术规格、参</w:t>
            </w:r>
            <w:r>
              <w:rPr>
                <w:rFonts w:hint="eastAsia" w:ascii="仿宋" w:hAnsi="仿宋" w:eastAsia="仿宋" w:cs="仿宋"/>
                <w:sz w:val="21"/>
                <w:szCs w:val="21"/>
                <w:highlight w:val="none"/>
                <w:lang w:eastAsia="zh-CN"/>
              </w:rPr>
              <w:t xml:space="preserve"> </w:t>
            </w:r>
            <w:r>
              <w:rPr>
                <w:rFonts w:hint="eastAsia" w:ascii="仿宋" w:hAnsi="仿宋" w:eastAsia="仿宋" w:cs="仿宋"/>
                <w:spacing w:val="-3"/>
                <w:sz w:val="21"/>
                <w:szCs w:val="21"/>
                <w:highlight w:val="none"/>
                <w:lang w:eastAsia="zh-CN"/>
              </w:rPr>
              <w:t>数及要求</w:t>
            </w:r>
          </w:p>
        </w:tc>
        <w:tc>
          <w:tcPr>
            <w:tcW w:w="1416" w:type="dxa"/>
            <w:vAlign w:val="center"/>
          </w:tcPr>
          <w:p w14:paraId="12B19E49">
            <w:pPr>
              <w:pStyle w:val="18"/>
              <w:keepNext w:val="0"/>
              <w:keepLines w:val="0"/>
              <w:pageBreakBefore w:val="0"/>
              <w:widowControl/>
              <w:kinsoku w:val="0"/>
              <w:wordWrap/>
              <w:overflowPunct/>
              <w:topLinePunct w:val="0"/>
              <w:autoSpaceDE w:val="0"/>
              <w:autoSpaceDN w:val="0"/>
              <w:bidi w:val="0"/>
              <w:adjustRightInd w:val="0"/>
              <w:snapToGrid w:val="0"/>
              <w:spacing w:before="39" w:line="360" w:lineRule="auto"/>
              <w:ind w:left="361" w:right="224" w:hanging="106"/>
              <w:textAlignment w:val="baseline"/>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品目预算</w:t>
            </w:r>
            <w:r>
              <w:rPr>
                <w:rFonts w:hint="eastAsia" w:ascii="仿宋" w:hAnsi="仿宋" w:eastAsia="仿宋" w:cs="仿宋"/>
                <w:spacing w:val="1"/>
                <w:sz w:val="21"/>
                <w:szCs w:val="21"/>
                <w:highlight w:val="none"/>
              </w:rPr>
              <w:t xml:space="preserve"> </w:t>
            </w:r>
            <w:r>
              <w:rPr>
                <w:rFonts w:hint="eastAsia" w:ascii="仿宋" w:hAnsi="仿宋" w:eastAsia="仿宋" w:cs="仿宋"/>
                <w:spacing w:val="-8"/>
                <w:sz w:val="21"/>
                <w:szCs w:val="21"/>
                <w:highlight w:val="none"/>
              </w:rPr>
              <w:t>（元）</w:t>
            </w:r>
          </w:p>
        </w:tc>
        <w:tc>
          <w:tcPr>
            <w:tcW w:w="1392" w:type="dxa"/>
            <w:vAlign w:val="center"/>
          </w:tcPr>
          <w:p w14:paraId="43121A7B">
            <w:pPr>
              <w:pStyle w:val="18"/>
              <w:keepNext w:val="0"/>
              <w:keepLines w:val="0"/>
              <w:pageBreakBefore w:val="0"/>
              <w:widowControl/>
              <w:kinsoku w:val="0"/>
              <w:wordWrap/>
              <w:overflowPunct/>
              <w:topLinePunct w:val="0"/>
              <w:autoSpaceDE w:val="0"/>
              <w:autoSpaceDN w:val="0"/>
              <w:bidi w:val="0"/>
              <w:adjustRightInd w:val="0"/>
              <w:snapToGrid w:val="0"/>
              <w:spacing w:before="39" w:line="360" w:lineRule="auto"/>
              <w:ind w:left="362" w:right="227" w:hanging="123"/>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最高限价</w:t>
            </w:r>
            <w:r>
              <w:rPr>
                <w:rFonts w:hint="eastAsia" w:ascii="仿宋" w:hAnsi="仿宋" w:eastAsia="仿宋" w:cs="仿宋"/>
                <w:spacing w:val="2"/>
                <w:sz w:val="21"/>
                <w:szCs w:val="21"/>
                <w:highlight w:val="none"/>
              </w:rPr>
              <w:t xml:space="preserve"> </w:t>
            </w:r>
            <w:r>
              <w:rPr>
                <w:rFonts w:hint="eastAsia" w:ascii="仿宋" w:hAnsi="仿宋" w:eastAsia="仿宋" w:cs="仿宋"/>
                <w:spacing w:val="-8"/>
                <w:sz w:val="21"/>
                <w:szCs w:val="21"/>
                <w:highlight w:val="none"/>
              </w:rPr>
              <w:t>（元）</w:t>
            </w:r>
          </w:p>
        </w:tc>
      </w:tr>
      <w:tr w14:paraId="66539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90" w:type="dxa"/>
            <w:vAlign w:val="center"/>
          </w:tcPr>
          <w:p w14:paraId="0523A9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p>
          <w:p w14:paraId="44189230">
            <w:pPr>
              <w:pStyle w:val="18"/>
              <w:keepNext w:val="0"/>
              <w:keepLines w:val="0"/>
              <w:pageBreakBefore w:val="0"/>
              <w:widowControl/>
              <w:kinsoku w:val="0"/>
              <w:wordWrap/>
              <w:overflowPunct/>
              <w:topLinePunct w:val="0"/>
              <w:autoSpaceDE w:val="0"/>
              <w:autoSpaceDN w:val="0"/>
              <w:bidi w:val="0"/>
              <w:adjustRightInd w:val="0"/>
              <w:snapToGrid w:val="0"/>
              <w:spacing w:before="78" w:line="360" w:lineRule="auto"/>
              <w:ind w:left="218"/>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1-1</w:t>
            </w:r>
          </w:p>
        </w:tc>
        <w:tc>
          <w:tcPr>
            <w:tcW w:w="1416" w:type="dxa"/>
            <w:vAlign w:val="center"/>
          </w:tcPr>
          <w:p w14:paraId="7DAD260F">
            <w:pPr>
              <w:pStyle w:val="18"/>
              <w:keepNext w:val="0"/>
              <w:keepLines w:val="0"/>
              <w:pageBreakBefore w:val="0"/>
              <w:widowControl/>
              <w:kinsoku w:val="0"/>
              <w:wordWrap/>
              <w:overflowPunct/>
              <w:topLinePunct w:val="0"/>
              <w:autoSpaceDE w:val="0"/>
              <w:autoSpaceDN w:val="0"/>
              <w:bidi w:val="0"/>
              <w:adjustRightInd w:val="0"/>
              <w:snapToGrid w:val="0"/>
              <w:spacing w:before="25" w:line="360" w:lineRule="auto"/>
              <w:textAlignment w:val="baseline"/>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其他建筑工程</w:t>
            </w:r>
          </w:p>
        </w:tc>
        <w:tc>
          <w:tcPr>
            <w:tcW w:w="1796" w:type="dxa"/>
            <w:vAlign w:val="center"/>
          </w:tcPr>
          <w:p w14:paraId="7699F97E">
            <w:pPr>
              <w:pStyle w:val="18"/>
              <w:keepNext w:val="0"/>
              <w:keepLines w:val="0"/>
              <w:pageBreakBefore w:val="0"/>
              <w:widowControl/>
              <w:kinsoku w:val="0"/>
              <w:wordWrap/>
              <w:overflowPunct/>
              <w:topLinePunct w:val="0"/>
              <w:autoSpaceDE w:val="0"/>
              <w:autoSpaceDN w:val="0"/>
              <w:bidi w:val="0"/>
              <w:adjustRightInd w:val="0"/>
              <w:snapToGrid w:val="0"/>
              <w:spacing w:before="35" w:line="360" w:lineRule="auto"/>
              <w:ind w:left="123" w:right="115" w:hanging="3"/>
              <w:jc w:val="both"/>
              <w:textAlignment w:val="baseline"/>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实验楼加固改造装修项目一标段</w:t>
            </w:r>
          </w:p>
        </w:tc>
        <w:tc>
          <w:tcPr>
            <w:tcW w:w="1082" w:type="dxa"/>
            <w:vAlign w:val="center"/>
          </w:tcPr>
          <w:p w14:paraId="0C0554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lang w:eastAsia="zh-CN"/>
              </w:rPr>
            </w:pPr>
          </w:p>
          <w:p w14:paraId="437F0B39">
            <w:pPr>
              <w:pStyle w:val="18"/>
              <w:keepNext w:val="0"/>
              <w:keepLines w:val="0"/>
              <w:pageBreakBefore w:val="0"/>
              <w:widowControl/>
              <w:kinsoku w:val="0"/>
              <w:wordWrap/>
              <w:overflowPunct/>
              <w:topLinePunct w:val="0"/>
              <w:autoSpaceDE w:val="0"/>
              <w:autoSpaceDN w:val="0"/>
              <w:bidi w:val="0"/>
              <w:adjustRightInd w:val="0"/>
              <w:snapToGrid w:val="0"/>
              <w:spacing w:before="78" w:line="360" w:lineRule="auto"/>
              <w:ind w:left="144"/>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1（</w:t>
            </w:r>
            <w:r>
              <w:rPr>
                <w:rFonts w:hint="eastAsia" w:ascii="仿宋" w:hAnsi="仿宋" w:eastAsia="仿宋" w:cs="仿宋"/>
                <w:spacing w:val="-10"/>
                <w:sz w:val="21"/>
                <w:szCs w:val="21"/>
                <w:highlight w:val="none"/>
                <w:lang w:val="en-US" w:eastAsia="zh-CN"/>
              </w:rPr>
              <w:t>项</w:t>
            </w:r>
            <w:r>
              <w:rPr>
                <w:rFonts w:hint="eastAsia" w:ascii="仿宋" w:hAnsi="仿宋" w:eastAsia="仿宋" w:cs="仿宋"/>
                <w:spacing w:val="-10"/>
                <w:sz w:val="21"/>
                <w:szCs w:val="21"/>
                <w:highlight w:val="none"/>
              </w:rPr>
              <w:t>）</w:t>
            </w:r>
          </w:p>
        </w:tc>
        <w:tc>
          <w:tcPr>
            <w:tcW w:w="1701" w:type="dxa"/>
            <w:vAlign w:val="center"/>
          </w:tcPr>
          <w:p w14:paraId="7BDE64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szCs w:val="21"/>
                <w:highlight w:val="none"/>
              </w:rPr>
            </w:pPr>
          </w:p>
          <w:p w14:paraId="1DD46114">
            <w:pPr>
              <w:pStyle w:val="18"/>
              <w:keepNext w:val="0"/>
              <w:keepLines w:val="0"/>
              <w:pageBreakBefore w:val="0"/>
              <w:widowControl/>
              <w:kinsoku w:val="0"/>
              <w:wordWrap/>
              <w:overflowPunct/>
              <w:topLinePunct w:val="0"/>
              <w:autoSpaceDE w:val="0"/>
              <w:autoSpaceDN w:val="0"/>
              <w:bidi w:val="0"/>
              <w:adjustRightInd w:val="0"/>
              <w:snapToGrid w:val="0"/>
              <w:spacing w:before="78" w:line="360" w:lineRule="auto"/>
              <w:ind w:left="140"/>
              <w:textAlignment w:val="baseline"/>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详见采购文件</w:t>
            </w:r>
          </w:p>
        </w:tc>
        <w:tc>
          <w:tcPr>
            <w:tcW w:w="1416" w:type="dxa"/>
            <w:vAlign w:val="center"/>
          </w:tcPr>
          <w:p w14:paraId="5A5B610E">
            <w:pPr>
              <w:keepNext w:val="0"/>
              <w:keepLines w:val="0"/>
              <w:pageBreakBefore w:val="0"/>
              <w:widowControl/>
              <w:kinsoku w:val="0"/>
              <w:wordWrap/>
              <w:overflowPunct/>
              <w:topLinePunct w:val="0"/>
              <w:autoSpaceDE w:val="0"/>
              <w:autoSpaceDN w:val="0"/>
              <w:bidi w:val="0"/>
              <w:adjustRightInd w:val="0"/>
              <w:snapToGrid w:val="0"/>
              <w:spacing w:before="78" w:line="360" w:lineRule="auto"/>
              <w:ind w:left="115"/>
              <w:textAlignment w:val="baseline"/>
              <w:rPr>
                <w:rFonts w:hint="eastAsia" w:ascii="仿宋" w:hAnsi="仿宋" w:eastAsia="仿宋" w:cs="仿宋"/>
                <w:sz w:val="21"/>
                <w:szCs w:val="21"/>
                <w:highlight w:val="none"/>
              </w:rPr>
            </w:pPr>
            <w:r>
              <w:rPr>
                <w:rFonts w:hint="eastAsia" w:ascii="仿宋" w:hAnsi="仿宋" w:eastAsia="仿宋" w:cs="仿宋"/>
                <w:spacing w:val="-1"/>
                <w:sz w:val="21"/>
                <w:szCs w:val="21"/>
                <w:highlight w:val="none"/>
                <w:lang w:val="en-US" w:eastAsia="zh-CN"/>
              </w:rPr>
              <w:t>7498</w:t>
            </w:r>
            <w:r>
              <w:rPr>
                <w:rFonts w:hint="eastAsia" w:ascii="仿宋" w:hAnsi="仿宋" w:eastAsia="仿宋" w:cs="仿宋"/>
                <w:spacing w:val="-1"/>
                <w:sz w:val="21"/>
                <w:szCs w:val="21"/>
                <w:highlight w:val="none"/>
                <w:lang w:eastAsia="zh-CN"/>
              </w:rPr>
              <w:t>000.00</w:t>
            </w:r>
          </w:p>
        </w:tc>
        <w:tc>
          <w:tcPr>
            <w:tcW w:w="1392" w:type="dxa"/>
            <w:vAlign w:val="center"/>
          </w:tcPr>
          <w:p w14:paraId="73643509">
            <w:pPr>
              <w:keepNext w:val="0"/>
              <w:keepLines w:val="0"/>
              <w:pageBreakBefore w:val="0"/>
              <w:widowControl/>
              <w:kinsoku w:val="0"/>
              <w:wordWrap/>
              <w:overflowPunct/>
              <w:topLinePunct w:val="0"/>
              <w:autoSpaceDE w:val="0"/>
              <w:autoSpaceDN w:val="0"/>
              <w:bidi w:val="0"/>
              <w:adjustRightInd w:val="0"/>
              <w:snapToGrid w:val="0"/>
              <w:spacing w:before="78" w:line="360" w:lineRule="auto"/>
              <w:ind w:left="115"/>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7495571.13</w:t>
            </w:r>
          </w:p>
        </w:tc>
      </w:tr>
    </w:tbl>
    <w:p w14:paraId="307C642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本合同包不接受联合体投标</w:t>
      </w:r>
    </w:p>
    <w:p w14:paraId="0BFEA18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合同履行期限：自签订合同之日起120天</w:t>
      </w:r>
    </w:p>
    <w:p w14:paraId="3A12F44A">
      <w:pPr>
        <w:keepNext w:val="0"/>
        <w:keepLines w:val="0"/>
        <w:pageBreakBefore w:val="0"/>
        <w:widowControl/>
        <w:kinsoku w:val="0"/>
        <w:wordWrap/>
        <w:overflowPunct/>
        <w:topLinePunct w:val="0"/>
        <w:autoSpaceDE w:val="0"/>
        <w:autoSpaceDN w:val="0"/>
        <w:bidi w:val="0"/>
        <w:adjustRightInd w:val="0"/>
        <w:snapToGrid w:val="0"/>
        <w:spacing w:before="93" w:line="360" w:lineRule="auto"/>
        <w:ind w:left="128"/>
        <w:textAlignment w:val="baseline"/>
        <w:outlineLvl w:val="3"/>
        <w:rPr>
          <w:rFonts w:hint="eastAsia" w:ascii="仿宋" w:hAnsi="仿宋" w:eastAsia="仿宋" w:cs="仿宋"/>
          <w:b/>
          <w:bCs/>
          <w:spacing w:val="-6"/>
          <w:sz w:val="21"/>
          <w:szCs w:val="21"/>
          <w:highlight w:val="none"/>
          <w:lang w:eastAsia="zh-CN"/>
        </w:rPr>
      </w:pPr>
      <w:r>
        <w:rPr>
          <w:rFonts w:hint="eastAsia" w:ascii="仿宋" w:hAnsi="仿宋" w:eastAsia="仿宋" w:cs="仿宋"/>
          <w:b/>
          <w:bCs/>
          <w:spacing w:val="-6"/>
          <w:sz w:val="21"/>
          <w:szCs w:val="21"/>
          <w:highlight w:val="none"/>
          <w:lang w:eastAsia="zh-CN"/>
        </w:rPr>
        <w:t>二、申请人的资格要求:</w:t>
      </w:r>
    </w:p>
    <w:p w14:paraId="0432831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1.满足《中华人民共和国政府采购法》第二十二条规定；</w:t>
      </w:r>
    </w:p>
    <w:p w14:paraId="20DCCD4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8"/>
          <w:sz w:val="21"/>
          <w:szCs w:val="21"/>
          <w:highlight w:val="none"/>
          <w:lang w:eastAsia="zh-CN"/>
        </w:rPr>
      </w:pPr>
      <w:r>
        <w:rPr>
          <w:rFonts w:hint="eastAsia" w:ascii="仿宋" w:hAnsi="仿宋" w:eastAsia="仿宋" w:cs="仿宋"/>
          <w:spacing w:val="-2"/>
          <w:sz w:val="21"/>
          <w:szCs w:val="21"/>
          <w:highlight w:val="none"/>
          <w:lang w:eastAsia="zh-CN"/>
        </w:rPr>
        <w:t>2.合同包1(</w:t>
      </w:r>
      <w:r>
        <w:rPr>
          <w:rFonts w:hint="eastAsia" w:ascii="仿宋" w:hAnsi="仿宋" w:eastAsia="仿宋" w:cs="仿宋"/>
          <w:sz w:val="21"/>
          <w:szCs w:val="21"/>
          <w:highlight w:val="none"/>
          <w:lang w:val="en-US" w:eastAsia="zh-CN"/>
        </w:rPr>
        <w:t>实验楼加固改造装修项目一标段</w:t>
      </w:r>
      <w:r>
        <w:rPr>
          <w:rFonts w:hint="eastAsia" w:ascii="仿宋" w:hAnsi="仿宋" w:eastAsia="仿宋" w:cs="仿宋"/>
          <w:spacing w:val="-2"/>
          <w:sz w:val="21"/>
          <w:szCs w:val="21"/>
          <w:highlight w:val="none"/>
          <w:lang w:eastAsia="zh-CN"/>
        </w:rPr>
        <w:t>)落实政府采购政策需满足的资格要求</w:t>
      </w:r>
      <w:r>
        <w:rPr>
          <w:rFonts w:hint="eastAsia" w:ascii="仿宋" w:hAnsi="仿宋" w:eastAsia="仿宋" w:cs="仿宋"/>
          <w:spacing w:val="-2"/>
          <w:sz w:val="21"/>
          <w:szCs w:val="21"/>
          <w:highlight w:val="none"/>
          <w:lang w:val="en-US" w:eastAsia="zh-CN"/>
        </w:rPr>
        <w:t>如下</w:t>
      </w:r>
      <w:r>
        <w:rPr>
          <w:rFonts w:hint="eastAsia" w:ascii="仿宋" w:hAnsi="仿宋" w:eastAsia="仿宋" w:cs="仿宋"/>
          <w:spacing w:val="-2"/>
          <w:sz w:val="21"/>
          <w:szCs w:val="21"/>
          <w:highlight w:val="none"/>
          <w:lang w:eastAsia="zh-CN"/>
        </w:rPr>
        <w:t>：无，本合同包不专门面向中小企业采购</w:t>
      </w:r>
      <w:r>
        <w:rPr>
          <w:rFonts w:hint="eastAsia" w:ascii="仿宋" w:hAnsi="仿宋" w:eastAsia="仿宋" w:cs="仿宋"/>
          <w:spacing w:val="8"/>
          <w:sz w:val="21"/>
          <w:szCs w:val="21"/>
          <w:highlight w:val="none"/>
          <w:lang w:eastAsia="zh-CN"/>
        </w:rPr>
        <w:t>。</w:t>
      </w:r>
    </w:p>
    <w:p w14:paraId="1F0AA62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3.本项目的特定资格要求：</w:t>
      </w:r>
    </w:p>
    <w:p w14:paraId="7694826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合同包1(</w:t>
      </w:r>
      <w:r>
        <w:rPr>
          <w:rFonts w:hint="eastAsia" w:ascii="仿宋" w:hAnsi="仿宋" w:eastAsia="仿宋" w:cs="仿宋"/>
          <w:sz w:val="21"/>
          <w:szCs w:val="21"/>
          <w:highlight w:val="none"/>
          <w:lang w:val="en-US" w:eastAsia="zh-CN"/>
        </w:rPr>
        <w:t>实验楼加固改造装修项目一标段</w:t>
      </w:r>
      <w:r>
        <w:rPr>
          <w:rFonts w:hint="eastAsia" w:ascii="仿宋" w:hAnsi="仿宋" w:eastAsia="仿宋" w:cs="仿宋"/>
          <w:sz w:val="21"/>
          <w:szCs w:val="21"/>
          <w:highlight w:val="none"/>
          <w:lang w:eastAsia="zh-CN"/>
        </w:rPr>
        <w:t>)特定资格要求如下:</w:t>
      </w:r>
    </w:p>
    <w:p w14:paraId="3DD6E92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1</w:t>
      </w:r>
      <w:r>
        <w:rPr>
          <w:rFonts w:hint="eastAsia" w:ascii="仿宋" w:hAnsi="仿宋" w:eastAsia="仿宋" w:cs="仿宋"/>
          <w:bCs/>
          <w:sz w:val="21"/>
          <w:szCs w:val="21"/>
          <w:highlight w:val="none"/>
          <w:lang w:eastAsia="zh-CN"/>
        </w:rPr>
        <w:t>）供应商在递交响应文件截止时间前被“信用中国”网站（www.creditchina.gov.cn）和中国政府采购网（www.ccgp.gov.cn）上被列入失信被执行人、重大税收违法失信主体、政府采购严重违法失信行为信息记录名单的，不得参加投标。</w:t>
      </w:r>
    </w:p>
    <w:p w14:paraId="6E9F746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2</w:t>
      </w:r>
      <w:r>
        <w:rPr>
          <w:rFonts w:hint="eastAsia" w:ascii="仿宋" w:hAnsi="仿宋" w:eastAsia="仿宋" w:cs="仿宋"/>
          <w:bCs/>
          <w:sz w:val="21"/>
          <w:szCs w:val="21"/>
          <w:highlight w:val="none"/>
          <w:lang w:eastAsia="zh-CN"/>
        </w:rPr>
        <w:t>）法定代表人/单位负责人身份证明书、授权委托书及授权代表在本单位缴纳养老保险证明：法定代表人或单位负责人参加</w:t>
      </w:r>
      <w:r>
        <w:rPr>
          <w:rFonts w:hint="eastAsia" w:ascii="仿宋" w:hAnsi="仿宋" w:eastAsia="仿宋" w:cs="仿宋"/>
          <w:bCs/>
          <w:sz w:val="21"/>
          <w:szCs w:val="21"/>
          <w:highlight w:val="none"/>
          <w:lang w:val="en-US" w:eastAsia="zh-CN"/>
        </w:rPr>
        <w:t>投标</w:t>
      </w:r>
      <w:r>
        <w:rPr>
          <w:rFonts w:hint="eastAsia" w:ascii="仿宋" w:hAnsi="仿宋" w:eastAsia="仿宋" w:cs="仿宋"/>
          <w:bCs/>
          <w:sz w:val="21"/>
          <w:szCs w:val="21"/>
          <w:highlight w:val="none"/>
          <w:lang w:eastAsia="zh-CN"/>
        </w:rPr>
        <w:t>的，应提供法定代表人或单位负责人身份证明； 授权代表参加</w:t>
      </w:r>
      <w:r>
        <w:rPr>
          <w:rFonts w:hint="eastAsia" w:ascii="仿宋" w:hAnsi="仿宋" w:eastAsia="仿宋" w:cs="仿宋"/>
          <w:bCs/>
          <w:sz w:val="21"/>
          <w:szCs w:val="21"/>
          <w:highlight w:val="none"/>
          <w:lang w:val="en-US" w:eastAsia="zh-CN"/>
        </w:rPr>
        <w:t>投标</w:t>
      </w:r>
      <w:r>
        <w:rPr>
          <w:rFonts w:hint="eastAsia" w:ascii="仿宋" w:hAnsi="仿宋" w:eastAsia="仿宋" w:cs="仿宋"/>
          <w:bCs/>
          <w:sz w:val="21"/>
          <w:szCs w:val="21"/>
          <w:highlight w:val="none"/>
          <w:lang w:eastAsia="zh-CN"/>
        </w:rPr>
        <w:t>的，应提供法定代表人或单位负责人身份证明、授权委托书及授权代表在本单位缴纳养老保险证明。</w:t>
      </w:r>
    </w:p>
    <w:p w14:paraId="03A0F08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3</w:t>
      </w:r>
      <w:r>
        <w:rPr>
          <w:rFonts w:hint="eastAsia" w:ascii="仿宋" w:hAnsi="仿宋" w:eastAsia="仿宋" w:cs="仿宋"/>
          <w:bCs/>
          <w:sz w:val="21"/>
          <w:szCs w:val="21"/>
          <w:highlight w:val="none"/>
          <w:lang w:eastAsia="zh-CN"/>
        </w:rPr>
        <w:t>）供应商须具备建筑工程施工总承包资质三级及以上（含三级），具备有效的安全生产许可证。</w:t>
      </w:r>
    </w:p>
    <w:p w14:paraId="2ED8952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4</w:t>
      </w:r>
      <w:r>
        <w:rPr>
          <w:rFonts w:hint="eastAsia" w:ascii="仿宋" w:hAnsi="仿宋" w:eastAsia="仿宋" w:cs="仿宋"/>
          <w:bCs/>
          <w:sz w:val="21"/>
          <w:szCs w:val="21"/>
          <w:highlight w:val="none"/>
          <w:lang w:eastAsia="zh-CN"/>
        </w:rPr>
        <w:t>）拟派项目经理须具备建筑工程二级及以上注册建造师资格且在本单位注册，具有有效的安全生产考核合格证（建安B证），且无在建工程承诺书。</w:t>
      </w:r>
    </w:p>
    <w:p w14:paraId="574C3AE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5</w:t>
      </w:r>
      <w:r>
        <w:rPr>
          <w:rFonts w:hint="eastAsia" w:ascii="仿宋" w:hAnsi="仿宋" w:eastAsia="仿宋" w:cs="仿宋"/>
          <w:bCs/>
          <w:sz w:val="21"/>
          <w:szCs w:val="21"/>
          <w:highlight w:val="none"/>
          <w:lang w:eastAsia="zh-CN"/>
        </w:rPr>
        <w:t>）投标人基本信息及项目经理执业基本信息在“陕西省住房和城乡建设厅（http://js.shaanxi.gov.cn/）”网站可查询。</w:t>
      </w:r>
    </w:p>
    <w:p w14:paraId="2C4DAFA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6</w:t>
      </w:r>
      <w:r>
        <w:rPr>
          <w:rFonts w:hint="eastAsia" w:ascii="仿宋" w:hAnsi="仿宋" w:eastAsia="仿宋" w:cs="仿宋"/>
          <w:bCs/>
          <w:sz w:val="21"/>
          <w:szCs w:val="21"/>
          <w:highlight w:val="none"/>
          <w:lang w:eastAsia="zh-CN"/>
        </w:rPr>
        <w:t>）单位负责人为同一人或者存在直接控股、管理关系的不同供应商，不得参加同一合同项下的政府采购活动。</w:t>
      </w:r>
    </w:p>
    <w:p w14:paraId="7EC2AA1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7</w:t>
      </w:r>
      <w:r>
        <w:rPr>
          <w:rFonts w:hint="eastAsia" w:ascii="仿宋" w:hAnsi="仿宋" w:eastAsia="仿宋" w:cs="仿宋"/>
          <w:bCs/>
          <w:sz w:val="21"/>
          <w:szCs w:val="21"/>
          <w:highlight w:val="none"/>
          <w:lang w:eastAsia="zh-CN"/>
        </w:rPr>
        <w:t>）为本项目提供整体设计、规范编制或者项目管理、监理、检测等服务的供应商，不得再参加该采购项目的其他采购活动。</w:t>
      </w:r>
    </w:p>
    <w:p w14:paraId="5495C6C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8</w:t>
      </w:r>
      <w:r>
        <w:rPr>
          <w:rFonts w:hint="eastAsia" w:ascii="仿宋" w:hAnsi="仿宋" w:eastAsia="仿宋" w:cs="仿宋"/>
          <w:bCs/>
          <w:sz w:val="21"/>
          <w:szCs w:val="21"/>
          <w:highlight w:val="none"/>
          <w:lang w:eastAsia="zh-CN"/>
        </w:rPr>
        <w:t>）需向采购代理机构获取采购文件，未向采购代理机构获取采购文件的供应商均无资格参加</w:t>
      </w:r>
      <w:r>
        <w:rPr>
          <w:rFonts w:hint="eastAsia" w:ascii="仿宋" w:hAnsi="仿宋" w:eastAsia="仿宋" w:cs="仿宋"/>
          <w:bCs/>
          <w:sz w:val="21"/>
          <w:szCs w:val="21"/>
          <w:highlight w:val="none"/>
          <w:lang w:val="en-US" w:eastAsia="zh-CN"/>
        </w:rPr>
        <w:t>投标</w:t>
      </w:r>
      <w:r>
        <w:rPr>
          <w:rFonts w:hint="eastAsia" w:ascii="仿宋" w:hAnsi="仿宋" w:eastAsia="仿宋" w:cs="仿宋"/>
          <w:bCs/>
          <w:sz w:val="21"/>
          <w:szCs w:val="21"/>
          <w:highlight w:val="none"/>
          <w:lang w:eastAsia="zh-CN"/>
        </w:rPr>
        <w:t>。</w:t>
      </w:r>
    </w:p>
    <w:p w14:paraId="20B694C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9</w:t>
      </w:r>
      <w:r>
        <w:rPr>
          <w:rFonts w:hint="eastAsia" w:ascii="仿宋" w:hAnsi="仿宋" w:eastAsia="仿宋" w:cs="仿宋"/>
          <w:bCs/>
          <w:sz w:val="21"/>
          <w:szCs w:val="21"/>
          <w:highlight w:val="none"/>
          <w:lang w:eastAsia="zh-CN"/>
        </w:rPr>
        <w:t>）不存在违反法律法规的情况。</w:t>
      </w:r>
    </w:p>
    <w:p w14:paraId="7C8C12D8">
      <w:pPr>
        <w:keepNext w:val="0"/>
        <w:keepLines w:val="0"/>
        <w:pageBreakBefore w:val="0"/>
        <w:widowControl/>
        <w:kinsoku w:val="0"/>
        <w:wordWrap/>
        <w:overflowPunct/>
        <w:topLinePunct w:val="0"/>
        <w:autoSpaceDE w:val="0"/>
        <w:autoSpaceDN w:val="0"/>
        <w:bidi w:val="0"/>
        <w:adjustRightInd w:val="0"/>
        <w:snapToGrid w:val="0"/>
        <w:spacing w:before="93" w:line="360" w:lineRule="auto"/>
        <w:ind w:left="128"/>
        <w:textAlignment w:val="baseline"/>
        <w:outlineLvl w:val="3"/>
        <w:rPr>
          <w:rFonts w:hint="eastAsia" w:ascii="仿宋" w:hAnsi="仿宋" w:eastAsia="仿宋" w:cs="仿宋"/>
          <w:b/>
          <w:bCs/>
          <w:spacing w:val="-6"/>
          <w:sz w:val="21"/>
          <w:szCs w:val="21"/>
          <w:highlight w:val="none"/>
          <w:lang w:eastAsia="zh-CN"/>
        </w:rPr>
      </w:pPr>
      <w:r>
        <w:rPr>
          <w:rFonts w:hint="eastAsia" w:ascii="仿宋" w:hAnsi="仿宋" w:eastAsia="仿宋" w:cs="仿宋"/>
          <w:b/>
          <w:bCs/>
          <w:spacing w:val="-4"/>
          <w:sz w:val="21"/>
          <w:szCs w:val="21"/>
          <w:highlight w:val="none"/>
          <w:lang w:eastAsia="zh-CN"/>
        </w:rPr>
        <w:t>三、获取招标文件</w:t>
      </w:r>
    </w:p>
    <w:p w14:paraId="24BBF39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时间：202</w:t>
      </w:r>
      <w:r>
        <w:rPr>
          <w:rFonts w:hint="eastAsia" w:ascii="仿宋" w:hAnsi="仿宋" w:eastAsia="仿宋" w:cs="仿宋"/>
          <w:bCs/>
          <w:sz w:val="21"/>
          <w:szCs w:val="21"/>
          <w:highlight w:val="none"/>
          <w:lang w:val="en-US" w:eastAsia="zh-CN"/>
        </w:rPr>
        <w:t>5</w:t>
      </w:r>
      <w:r>
        <w:rPr>
          <w:rFonts w:hint="eastAsia" w:ascii="仿宋" w:hAnsi="仿宋" w:eastAsia="仿宋" w:cs="仿宋"/>
          <w:bCs/>
          <w:sz w:val="21"/>
          <w:szCs w:val="21"/>
          <w:highlight w:val="none"/>
          <w:lang w:eastAsia="zh-CN"/>
        </w:rPr>
        <w:t>年</w:t>
      </w:r>
      <w:r>
        <w:rPr>
          <w:rFonts w:hint="eastAsia" w:ascii="仿宋" w:hAnsi="仿宋" w:eastAsia="仿宋" w:cs="仿宋"/>
          <w:bCs/>
          <w:sz w:val="21"/>
          <w:szCs w:val="21"/>
          <w:highlight w:val="none"/>
          <w:lang w:val="en-US" w:eastAsia="zh-CN"/>
        </w:rPr>
        <w:t>09</w:t>
      </w:r>
      <w:r>
        <w:rPr>
          <w:rFonts w:hint="eastAsia" w:ascii="仿宋" w:hAnsi="仿宋" w:eastAsia="仿宋" w:cs="仿宋"/>
          <w:bCs/>
          <w:sz w:val="21"/>
          <w:szCs w:val="21"/>
          <w:highlight w:val="none"/>
          <w:lang w:eastAsia="zh-CN"/>
        </w:rPr>
        <w:t>月</w:t>
      </w:r>
      <w:r>
        <w:rPr>
          <w:rFonts w:hint="eastAsia" w:ascii="仿宋" w:hAnsi="仿宋" w:eastAsia="仿宋" w:cs="仿宋"/>
          <w:bCs/>
          <w:sz w:val="21"/>
          <w:szCs w:val="21"/>
          <w:highlight w:val="none"/>
          <w:lang w:val="en-US" w:eastAsia="zh-CN"/>
        </w:rPr>
        <w:t>30</w:t>
      </w:r>
      <w:r>
        <w:rPr>
          <w:rFonts w:hint="eastAsia" w:ascii="仿宋" w:hAnsi="仿宋" w:eastAsia="仿宋" w:cs="仿宋"/>
          <w:bCs/>
          <w:sz w:val="21"/>
          <w:szCs w:val="21"/>
          <w:highlight w:val="none"/>
          <w:lang w:eastAsia="zh-CN"/>
        </w:rPr>
        <w:t>日至 202</w:t>
      </w:r>
      <w:r>
        <w:rPr>
          <w:rFonts w:hint="eastAsia" w:ascii="仿宋" w:hAnsi="仿宋" w:eastAsia="仿宋" w:cs="仿宋"/>
          <w:bCs/>
          <w:sz w:val="21"/>
          <w:szCs w:val="21"/>
          <w:highlight w:val="none"/>
          <w:lang w:val="en-US" w:eastAsia="zh-CN"/>
        </w:rPr>
        <w:t>5</w:t>
      </w:r>
      <w:r>
        <w:rPr>
          <w:rFonts w:hint="eastAsia" w:ascii="仿宋" w:hAnsi="仿宋" w:eastAsia="仿宋" w:cs="仿宋"/>
          <w:bCs/>
          <w:sz w:val="21"/>
          <w:szCs w:val="21"/>
          <w:highlight w:val="none"/>
          <w:lang w:eastAsia="zh-CN"/>
        </w:rPr>
        <w:t>年</w:t>
      </w:r>
      <w:r>
        <w:rPr>
          <w:rFonts w:hint="eastAsia" w:ascii="仿宋" w:hAnsi="仿宋" w:eastAsia="仿宋" w:cs="仿宋"/>
          <w:bCs/>
          <w:sz w:val="21"/>
          <w:szCs w:val="21"/>
          <w:highlight w:val="none"/>
          <w:lang w:val="en-US" w:eastAsia="zh-CN"/>
        </w:rPr>
        <w:t>10</w:t>
      </w:r>
      <w:r>
        <w:rPr>
          <w:rFonts w:hint="eastAsia" w:ascii="仿宋" w:hAnsi="仿宋" w:eastAsia="仿宋" w:cs="仿宋"/>
          <w:bCs/>
          <w:sz w:val="21"/>
          <w:szCs w:val="21"/>
          <w:highlight w:val="none"/>
          <w:lang w:eastAsia="zh-CN"/>
        </w:rPr>
        <w:t>月</w:t>
      </w:r>
      <w:r>
        <w:rPr>
          <w:rFonts w:hint="eastAsia" w:ascii="仿宋" w:hAnsi="仿宋" w:eastAsia="仿宋" w:cs="仿宋"/>
          <w:bCs/>
          <w:sz w:val="21"/>
          <w:szCs w:val="21"/>
          <w:highlight w:val="none"/>
          <w:lang w:val="en-US" w:eastAsia="zh-CN"/>
        </w:rPr>
        <w:t>13</w:t>
      </w:r>
      <w:r>
        <w:rPr>
          <w:rFonts w:hint="eastAsia" w:ascii="仿宋" w:hAnsi="仿宋" w:eastAsia="仿宋" w:cs="仿宋"/>
          <w:bCs/>
          <w:sz w:val="21"/>
          <w:szCs w:val="21"/>
          <w:highlight w:val="none"/>
          <w:lang w:eastAsia="zh-CN"/>
        </w:rPr>
        <w:t>日，每天上午 00:00:00 至 12:00:00，下午 12:00:00 至 23:59:59（北京时间）</w:t>
      </w:r>
    </w:p>
    <w:p w14:paraId="4298A87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bCs/>
          <w:sz w:val="21"/>
          <w:szCs w:val="21"/>
          <w:highlight w:val="none"/>
          <w:lang w:eastAsia="zh-CN"/>
        </w:rPr>
        <w:t>途径：项目电子化交易系统-应标-项目投标中选择本项目参与并获取采购文件方 式：投标人有意参加本项目的</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lang w:eastAsia="zh-CN"/>
        </w:rPr>
        <w:t>应在陕西省政府采购网</w:t>
      </w:r>
      <w:r>
        <w:rPr>
          <w:rFonts w:hint="eastAsia" w:ascii="仿宋" w:hAnsi="仿宋" w:eastAsia="仿宋" w:cs="仿宋"/>
          <w:spacing w:val="-10"/>
          <w:sz w:val="21"/>
          <w:szCs w:val="21"/>
          <w:highlight w:val="none"/>
          <w:lang w:eastAsia="zh-CN"/>
        </w:rPr>
        <w:t>（www.ccgp-shaanxi.gov.cn）登录项目电子化交易系统申请获取采购文件</w:t>
      </w:r>
      <w:r>
        <w:rPr>
          <w:rFonts w:hint="eastAsia" w:ascii="仿宋" w:hAnsi="仿宋" w:eastAsia="仿宋" w:cs="仿宋"/>
          <w:spacing w:val="-10"/>
          <w:sz w:val="21"/>
          <w:szCs w:val="21"/>
          <w:highlight w:val="none"/>
          <w:lang w:val="en-US" w:eastAsia="zh-CN"/>
        </w:rPr>
        <w:t>,</w:t>
      </w:r>
      <w:r>
        <w:rPr>
          <w:rFonts w:hint="eastAsia" w:ascii="仿宋" w:hAnsi="仿宋" w:eastAsia="仿宋" w:cs="仿宋"/>
          <w:spacing w:val="-10"/>
          <w:sz w:val="21"/>
          <w:szCs w:val="21"/>
          <w:highlight w:val="none"/>
          <w:lang w:eastAsia="zh-CN"/>
        </w:rPr>
        <w:t>售价：0 元</w:t>
      </w:r>
    </w:p>
    <w:p w14:paraId="0EE19B33">
      <w:pPr>
        <w:keepNext w:val="0"/>
        <w:keepLines w:val="0"/>
        <w:pageBreakBefore w:val="0"/>
        <w:widowControl/>
        <w:kinsoku w:val="0"/>
        <w:wordWrap/>
        <w:overflowPunct/>
        <w:topLinePunct w:val="0"/>
        <w:autoSpaceDE w:val="0"/>
        <w:autoSpaceDN w:val="0"/>
        <w:bidi w:val="0"/>
        <w:adjustRightInd w:val="0"/>
        <w:snapToGrid w:val="0"/>
        <w:spacing w:before="94" w:line="360" w:lineRule="auto"/>
        <w:ind w:left="28"/>
        <w:textAlignment w:val="baseline"/>
        <w:outlineLvl w:val="3"/>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四、提交投标文件截止时间、开标时间和地点</w:t>
      </w:r>
    </w:p>
    <w:p w14:paraId="000BAB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时间：202</w:t>
      </w:r>
      <w:r>
        <w:rPr>
          <w:rFonts w:hint="eastAsia" w:ascii="仿宋" w:hAnsi="仿宋" w:eastAsia="仿宋" w:cs="仿宋"/>
          <w:spacing w:val="-10"/>
          <w:sz w:val="21"/>
          <w:szCs w:val="21"/>
          <w:highlight w:val="none"/>
          <w:lang w:val="en-US" w:eastAsia="zh-CN"/>
        </w:rPr>
        <w:t>5</w:t>
      </w:r>
      <w:r>
        <w:rPr>
          <w:rFonts w:hint="eastAsia" w:ascii="仿宋" w:hAnsi="仿宋" w:eastAsia="仿宋" w:cs="仿宋"/>
          <w:spacing w:val="-10"/>
          <w:sz w:val="21"/>
          <w:szCs w:val="21"/>
          <w:highlight w:val="none"/>
          <w:lang w:eastAsia="zh-CN"/>
        </w:rPr>
        <w:t xml:space="preserve"> 年</w:t>
      </w:r>
      <w:r>
        <w:rPr>
          <w:rFonts w:hint="eastAsia" w:ascii="仿宋" w:hAnsi="仿宋" w:eastAsia="仿宋" w:cs="仿宋"/>
          <w:spacing w:val="-10"/>
          <w:sz w:val="21"/>
          <w:szCs w:val="21"/>
          <w:highlight w:val="none"/>
          <w:lang w:val="en-US" w:eastAsia="zh-CN"/>
        </w:rPr>
        <w:t>10</w:t>
      </w:r>
      <w:r>
        <w:rPr>
          <w:rFonts w:hint="eastAsia" w:ascii="仿宋" w:hAnsi="仿宋" w:eastAsia="仿宋" w:cs="仿宋"/>
          <w:spacing w:val="-10"/>
          <w:sz w:val="21"/>
          <w:szCs w:val="21"/>
          <w:highlight w:val="none"/>
          <w:lang w:eastAsia="zh-CN"/>
        </w:rPr>
        <w:t xml:space="preserve"> 月</w:t>
      </w:r>
      <w:r>
        <w:rPr>
          <w:rFonts w:hint="eastAsia" w:ascii="仿宋" w:hAnsi="仿宋" w:eastAsia="仿宋" w:cs="仿宋"/>
          <w:spacing w:val="-10"/>
          <w:sz w:val="21"/>
          <w:szCs w:val="21"/>
          <w:highlight w:val="none"/>
          <w:lang w:val="en-US" w:eastAsia="zh-CN"/>
        </w:rPr>
        <w:t>22</w:t>
      </w:r>
      <w:r>
        <w:rPr>
          <w:rFonts w:hint="eastAsia" w:ascii="仿宋" w:hAnsi="仿宋" w:eastAsia="仿宋" w:cs="仿宋"/>
          <w:spacing w:val="-10"/>
          <w:sz w:val="21"/>
          <w:szCs w:val="21"/>
          <w:highlight w:val="none"/>
          <w:lang w:eastAsia="zh-CN"/>
        </w:rPr>
        <w:t>日 09时30分00秒 （北京时间）</w:t>
      </w:r>
    </w:p>
    <w:p w14:paraId="5AD066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提交投标文件地点：项目电子化交易系统</w:t>
      </w:r>
    </w:p>
    <w:p w14:paraId="07E5F2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开标地点：项目电子化交易系统</w:t>
      </w:r>
    </w:p>
    <w:p w14:paraId="1B987FE5">
      <w:pPr>
        <w:keepNext w:val="0"/>
        <w:keepLines w:val="0"/>
        <w:pageBreakBefore w:val="0"/>
        <w:widowControl/>
        <w:kinsoku w:val="0"/>
        <w:wordWrap/>
        <w:overflowPunct/>
        <w:topLinePunct w:val="0"/>
        <w:autoSpaceDE w:val="0"/>
        <w:autoSpaceDN w:val="0"/>
        <w:bidi w:val="0"/>
        <w:adjustRightInd w:val="0"/>
        <w:snapToGrid w:val="0"/>
        <w:spacing w:before="93" w:line="360" w:lineRule="auto"/>
        <w:textAlignment w:val="baseline"/>
        <w:outlineLvl w:val="3"/>
        <w:rPr>
          <w:rFonts w:hint="eastAsia" w:ascii="仿宋" w:hAnsi="仿宋" w:eastAsia="仿宋" w:cs="仿宋"/>
          <w:b/>
          <w:bCs/>
          <w:spacing w:val="-4"/>
          <w:sz w:val="21"/>
          <w:szCs w:val="21"/>
          <w:highlight w:val="none"/>
          <w:lang w:eastAsia="zh-CN"/>
        </w:rPr>
      </w:pPr>
      <w:r>
        <w:rPr>
          <w:rFonts w:hint="eastAsia" w:ascii="仿宋" w:hAnsi="仿宋" w:eastAsia="仿宋" w:cs="仿宋"/>
          <w:b/>
          <w:bCs/>
          <w:spacing w:val="-4"/>
          <w:sz w:val="21"/>
          <w:szCs w:val="21"/>
          <w:highlight w:val="none"/>
          <w:lang w:eastAsia="zh-CN"/>
        </w:rPr>
        <w:t>五、公告期限</w:t>
      </w:r>
    </w:p>
    <w:p w14:paraId="01683D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textAlignment w:val="baseline"/>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lang w:eastAsia="zh-CN"/>
        </w:rPr>
        <w:t>自本公告发布之日起</w:t>
      </w:r>
      <w:r>
        <w:rPr>
          <w:rFonts w:hint="eastAsia" w:ascii="仿宋" w:hAnsi="仿宋" w:eastAsia="仿宋" w:cs="仿宋"/>
          <w:spacing w:val="-40"/>
          <w:sz w:val="21"/>
          <w:szCs w:val="21"/>
          <w:highlight w:val="none"/>
          <w:lang w:eastAsia="zh-CN"/>
        </w:rPr>
        <w:t xml:space="preserve"> </w:t>
      </w:r>
      <w:r>
        <w:rPr>
          <w:rFonts w:hint="eastAsia" w:ascii="仿宋" w:hAnsi="仿宋" w:eastAsia="仿宋" w:cs="仿宋"/>
          <w:spacing w:val="-7"/>
          <w:sz w:val="21"/>
          <w:szCs w:val="21"/>
          <w:highlight w:val="none"/>
          <w:lang w:eastAsia="zh-CN"/>
        </w:rPr>
        <w:t>5</w:t>
      </w:r>
      <w:r>
        <w:rPr>
          <w:rFonts w:hint="eastAsia" w:ascii="仿宋" w:hAnsi="仿宋" w:eastAsia="仿宋" w:cs="仿宋"/>
          <w:spacing w:val="-51"/>
          <w:sz w:val="21"/>
          <w:szCs w:val="21"/>
          <w:highlight w:val="none"/>
          <w:lang w:eastAsia="zh-CN"/>
        </w:rPr>
        <w:t xml:space="preserve"> </w:t>
      </w:r>
      <w:r>
        <w:rPr>
          <w:rFonts w:hint="eastAsia" w:ascii="仿宋" w:hAnsi="仿宋" w:eastAsia="仿宋" w:cs="仿宋"/>
          <w:spacing w:val="-7"/>
          <w:sz w:val="21"/>
          <w:szCs w:val="21"/>
          <w:highlight w:val="none"/>
          <w:lang w:eastAsia="zh-CN"/>
        </w:rPr>
        <w:t>个工作日。</w:t>
      </w:r>
    </w:p>
    <w:p w14:paraId="1CBBA4A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93" w:line="360" w:lineRule="auto"/>
        <w:textAlignment w:val="baseline"/>
        <w:outlineLvl w:val="3"/>
        <w:rPr>
          <w:rFonts w:hint="eastAsia" w:ascii="仿宋" w:hAnsi="仿宋" w:eastAsia="仿宋" w:cs="仿宋"/>
          <w:b/>
          <w:bCs/>
          <w:spacing w:val="-4"/>
          <w:sz w:val="21"/>
          <w:szCs w:val="21"/>
          <w:highlight w:val="none"/>
          <w:lang w:val="en-US" w:eastAsia="zh-CN"/>
        </w:rPr>
      </w:pPr>
      <w:r>
        <w:rPr>
          <w:rFonts w:hint="eastAsia" w:ascii="仿宋" w:hAnsi="仿宋" w:eastAsia="仿宋" w:cs="仿宋"/>
          <w:b/>
          <w:bCs/>
          <w:spacing w:val="-4"/>
          <w:sz w:val="21"/>
          <w:szCs w:val="21"/>
          <w:highlight w:val="none"/>
          <w:lang w:val="en-US" w:eastAsia="zh-CN"/>
        </w:rPr>
        <w:t>其他补充事宜</w:t>
      </w:r>
    </w:p>
    <w:p w14:paraId="2DF49D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55EB2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A908C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5D4A1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BC94A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供应商应当加强互认的证书及签章日常校验和妥善保管，确保在参加采购活动期间互认的证书及签章能够正常使用；供应商应当严格互认的证书及签章的内部授权管理，防止非授权操作。</w:t>
      </w:r>
    </w:p>
    <w:p w14:paraId="204F3D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（三）供应商应当自行准备电子化采购所需的计算机终端、软硬件及网络环境，承担因准备不足产生的不利后果。</w:t>
      </w:r>
    </w:p>
    <w:p w14:paraId="53749F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（四）开标/开启前30分钟内，供应商需登录项目电子化交易系统-“供应商开标大厅”-进入开标选择对应项目包组操作签到。</w:t>
      </w:r>
    </w:p>
    <w:p w14:paraId="03F02A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（五）政府采购平台技术支持：</w:t>
      </w:r>
    </w:p>
    <w:p w14:paraId="7857CE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在线客服：通过陕西省政府采购网-在线客服进行咨询</w:t>
      </w:r>
    </w:p>
    <w:p w14:paraId="116592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技术服务电话：029-96702</w:t>
      </w:r>
    </w:p>
    <w:p w14:paraId="22B495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CA及签章服务：通过陕西省政府采购网-办事指南进行查询</w:t>
      </w:r>
    </w:p>
    <w:p w14:paraId="385210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（六）落实政府采购政策：</w:t>
      </w:r>
    </w:p>
    <w:p w14:paraId="72A390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28889D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0CA1D1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1.3《关于运用政府采购政策支持乡村产业振兴的通知》（财库〔2021〕19 号）、《关于印发&lt;关于深入开展政府采购脱贫地区农副产品工作推进乡村产业振兴的实施意见&gt;的通知》（财库〔2021〕20 号）。</w:t>
      </w:r>
    </w:p>
    <w:p w14:paraId="65EA92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1.4《国家互联网信息办公室 工业和信息化部 公安部 财政部 国家认证认可监督管理委员会关于调整网络安全专用产品安全管理有关事项的公告》（2023年第1号）。</w:t>
      </w:r>
    </w:p>
    <w:p w14:paraId="5DC46C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1.5《陕西省财政厅关于加快推进我省中小企业政府采购信用融资工作的通知》（陕财办采〔2020〕15 号）、《陕西省财政厅关于印发&lt;陕西省中小企业政府采购信用融资办法&gt;的通知》（陕财办采〔2018〕23 号）。</w:t>
      </w:r>
    </w:p>
    <w:p w14:paraId="17AC41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7DF1DD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若享受以上政策优惠的企业，提供相应声明函或品目清单范围内产品的有效认证证书或相关证明。</w:t>
      </w:r>
    </w:p>
    <w:p w14:paraId="2343F4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（七）本项目非专门面向中小企业、监狱企业、残疾人福利性单位。</w:t>
      </w:r>
    </w:p>
    <w:p w14:paraId="7503A8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pacing w:val="-10"/>
          <w:sz w:val="21"/>
          <w:szCs w:val="21"/>
          <w:highlight w:val="none"/>
          <w:lang w:eastAsia="zh-CN"/>
        </w:rPr>
      </w:pPr>
      <w:r>
        <w:rPr>
          <w:rFonts w:hint="eastAsia" w:ascii="仿宋" w:hAnsi="仿宋" w:eastAsia="仿宋" w:cs="仿宋"/>
          <w:spacing w:val="-10"/>
          <w:sz w:val="21"/>
          <w:szCs w:val="21"/>
          <w:highlight w:val="none"/>
          <w:lang w:eastAsia="zh-CN"/>
        </w:rPr>
        <w:t>（八）注意事项</w:t>
      </w:r>
    </w:p>
    <w:p w14:paraId="5EF0BB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lang w:eastAsia="zh-CN"/>
        </w:rPr>
        <w:t>各供应商应根据“陕西省财政厅 陕财办采函[2023]14号文”陕西省财政厅关于省级预算单位全面推行政府采购项目电子化交易的通知”、《政府采购项目电子化交易规则》等文件的要求，做好人员配备、设施设备、系统操作的相应准备，熟悉并正确实施相关操作流程，承担由于操作或其他因素造成的不利后果。</w:t>
      </w:r>
    </w:p>
    <w:p w14:paraId="3309803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93" w:line="360" w:lineRule="auto"/>
        <w:textAlignment w:val="baseline"/>
        <w:outlineLvl w:val="3"/>
        <w:rPr>
          <w:rFonts w:hint="eastAsia" w:ascii="仿宋" w:hAnsi="仿宋" w:eastAsia="仿宋" w:cs="仿宋"/>
          <w:b/>
          <w:bCs/>
          <w:spacing w:val="-4"/>
          <w:sz w:val="21"/>
          <w:szCs w:val="21"/>
          <w:highlight w:val="none"/>
          <w:lang w:val="en-US" w:eastAsia="zh-CN"/>
        </w:rPr>
      </w:pPr>
      <w:r>
        <w:rPr>
          <w:rFonts w:hint="eastAsia" w:ascii="仿宋" w:hAnsi="仿宋" w:eastAsia="仿宋" w:cs="仿宋"/>
          <w:b/>
          <w:bCs/>
          <w:spacing w:val="-4"/>
          <w:sz w:val="21"/>
          <w:szCs w:val="21"/>
          <w:highlight w:val="none"/>
          <w:lang w:val="en-US" w:eastAsia="zh-CN"/>
        </w:rPr>
        <w:t>对本次招标提出询问，请按以下方式联系。</w:t>
      </w:r>
    </w:p>
    <w:p w14:paraId="1C0EE4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仿宋" w:hAnsi="仿宋" w:eastAsia="仿宋" w:cs="仿宋"/>
          <w:b w:val="0"/>
          <w:bCs w:val="0"/>
          <w:snapToGrid w:val="0"/>
          <w:color w:val="000000"/>
          <w:spacing w:val="-10"/>
          <w:kern w:val="0"/>
          <w:sz w:val="21"/>
          <w:szCs w:val="21"/>
          <w:highlight w:val="none"/>
          <w:lang w:val="en-US" w:eastAsia="zh-CN" w:bidi="ar-SA"/>
        </w:rPr>
      </w:pPr>
      <w:r>
        <w:rPr>
          <w:rFonts w:hint="eastAsia" w:ascii="仿宋" w:hAnsi="仿宋" w:eastAsia="仿宋" w:cs="仿宋"/>
          <w:b w:val="0"/>
          <w:bCs w:val="0"/>
          <w:snapToGrid w:val="0"/>
          <w:color w:val="000000"/>
          <w:spacing w:val="-10"/>
          <w:kern w:val="0"/>
          <w:sz w:val="21"/>
          <w:szCs w:val="21"/>
          <w:highlight w:val="none"/>
          <w:lang w:val="en-US" w:eastAsia="zh-CN" w:bidi="ar-SA"/>
        </w:rPr>
        <w:t>1.采购人信息</w:t>
      </w:r>
    </w:p>
    <w:p w14:paraId="0AF7C3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b w:val="0"/>
          <w:bCs w:val="0"/>
          <w:snapToGrid w:val="0"/>
          <w:color w:val="auto"/>
          <w:spacing w:val="-10"/>
          <w:kern w:val="0"/>
          <w:sz w:val="21"/>
          <w:szCs w:val="21"/>
          <w:highlight w:val="none"/>
          <w:lang w:val="en-US" w:eastAsia="zh-CN" w:bidi="ar-SA"/>
        </w:rPr>
      </w:pPr>
      <w:r>
        <w:rPr>
          <w:rFonts w:hint="eastAsia" w:ascii="仿宋" w:hAnsi="仿宋" w:eastAsia="仿宋" w:cs="仿宋"/>
          <w:b w:val="0"/>
          <w:bCs w:val="0"/>
          <w:snapToGrid w:val="0"/>
          <w:color w:val="auto"/>
          <w:spacing w:val="-10"/>
          <w:kern w:val="0"/>
          <w:sz w:val="21"/>
          <w:szCs w:val="21"/>
          <w:highlight w:val="none"/>
          <w:lang w:val="en-US" w:eastAsia="zh-CN" w:bidi="ar-SA"/>
        </w:rPr>
        <w:t>名称：陕西省人民医院</w:t>
      </w:r>
    </w:p>
    <w:p w14:paraId="3B7A7E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b w:val="0"/>
          <w:bCs w:val="0"/>
          <w:snapToGrid w:val="0"/>
          <w:color w:val="auto"/>
          <w:spacing w:val="-10"/>
          <w:kern w:val="0"/>
          <w:sz w:val="21"/>
          <w:szCs w:val="21"/>
          <w:highlight w:val="none"/>
          <w:lang w:val="en-US" w:eastAsia="zh-CN" w:bidi="ar-SA"/>
        </w:rPr>
      </w:pPr>
      <w:r>
        <w:rPr>
          <w:rFonts w:hint="eastAsia" w:ascii="仿宋" w:hAnsi="仿宋" w:eastAsia="仿宋" w:cs="仿宋"/>
          <w:b w:val="0"/>
          <w:bCs w:val="0"/>
          <w:snapToGrid w:val="0"/>
          <w:color w:val="auto"/>
          <w:spacing w:val="-10"/>
          <w:kern w:val="0"/>
          <w:sz w:val="21"/>
          <w:szCs w:val="21"/>
          <w:highlight w:val="none"/>
          <w:lang w:val="en-US" w:eastAsia="zh-CN" w:bidi="ar-SA"/>
        </w:rPr>
        <w:t>地址：西安市友谊西路256号</w:t>
      </w:r>
    </w:p>
    <w:p w14:paraId="5861C2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b w:val="0"/>
          <w:bCs w:val="0"/>
          <w:snapToGrid w:val="0"/>
          <w:color w:val="auto"/>
          <w:spacing w:val="-10"/>
          <w:kern w:val="0"/>
          <w:sz w:val="21"/>
          <w:szCs w:val="21"/>
          <w:highlight w:val="none"/>
          <w:lang w:val="en-US" w:eastAsia="zh-CN" w:bidi="ar-SA"/>
        </w:rPr>
      </w:pPr>
      <w:r>
        <w:rPr>
          <w:rFonts w:hint="eastAsia" w:ascii="仿宋" w:hAnsi="仿宋" w:eastAsia="仿宋" w:cs="仿宋"/>
          <w:b w:val="0"/>
          <w:bCs w:val="0"/>
          <w:snapToGrid w:val="0"/>
          <w:color w:val="auto"/>
          <w:spacing w:val="-10"/>
          <w:kern w:val="0"/>
          <w:sz w:val="21"/>
          <w:szCs w:val="21"/>
          <w:highlight w:val="none"/>
          <w:lang w:val="en-US" w:eastAsia="zh-CN" w:bidi="ar-SA"/>
        </w:rPr>
        <w:t>联系方式：029-85253261-3458</w:t>
      </w:r>
    </w:p>
    <w:p w14:paraId="532FB8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仿宋" w:hAnsi="仿宋" w:eastAsia="仿宋" w:cs="仿宋"/>
          <w:b w:val="0"/>
          <w:bCs w:val="0"/>
          <w:snapToGrid w:val="0"/>
          <w:color w:val="000000"/>
          <w:spacing w:val="-10"/>
          <w:kern w:val="0"/>
          <w:sz w:val="21"/>
          <w:szCs w:val="21"/>
          <w:highlight w:val="none"/>
          <w:lang w:val="en-US" w:eastAsia="zh-CN" w:bidi="ar-SA"/>
        </w:rPr>
      </w:pPr>
      <w:r>
        <w:rPr>
          <w:rFonts w:hint="eastAsia" w:ascii="仿宋" w:hAnsi="仿宋" w:eastAsia="仿宋" w:cs="仿宋"/>
          <w:b w:val="0"/>
          <w:bCs w:val="0"/>
          <w:snapToGrid w:val="0"/>
          <w:color w:val="000000"/>
          <w:spacing w:val="-10"/>
          <w:kern w:val="0"/>
          <w:sz w:val="21"/>
          <w:szCs w:val="21"/>
          <w:highlight w:val="none"/>
          <w:lang w:val="en-US" w:eastAsia="zh-CN" w:bidi="ar-SA"/>
        </w:rPr>
        <w:t>2.采购代理机构信息</w:t>
      </w:r>
    </w:p>
    <w:p w14:paraId="2131FA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b w:val="0"/>
          <w:bCs w:val="0"/>
          <w:snapToGrid w:val="0"/>
          <w:color w:val="000000"/>
          <w:spacing w:val="-10"/>
          <w:kern w:val="0"/>
          <w:sz w:val="21"/>
          <w:szCs w:val="21"/>
          <w:highlight w:val="none"/>
          <w:lang w:val="en-US" w:eastAsia="zh-CN" w:bidi="ar-SA"/>
        </w:rPr>
      </w:pPr>
      <w:r>
        <w:rPr>
          <w:rFonts w:hint="eastAsia" w:ascii="仿宋" w:hAnsi="仿宋" w:eastAsia="仿宋" w:cs="仿宋"/>
          <w:b w:val="0"/>
          <w:bCs w:val="0"/>
          <w:snapToGrid w:val="0"/>
          <w:color w:val="000000"/>
          <w:spacing w:val="-10"/>
          <w:kern w:val="0"/>
          <w:sz w:val="21"/>
          <w:szCs w:val="21"/>
          <w:highlight w:val="none"/>
          <w:lang w:val="en-US" w:eastAsia="zh-CN" w:bidi="ar-SA"/>
        </w:rPr>
        <w:t>名称：陕西省采购招标有限责任公司</w:t>
      </w:r>
    </w:p>
    <w:p w14:paraId="77BD7C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b w:val="0"/>
          <w:bCs w:val="0"/>
          <w:snapToGrid w:val="0"/>
          <w:color w:val="000000"/>
          <w:spacing w:val="-10"/>
          <w:kern w:val="0"/>
          <w:sz w:val="21"/>
          <w:szCs w:val="21"/>
          <w:highlight w:val="none"/>
          <w:lang w:val="en-US" w:eastAsia="zh-CN" w:bidi="ar-SA"/>
        </w:rPr>
      </w:pPr>
      <w:r>
        <w:rPr>
          <w:rFonts w:hint="eastAsia" w:ascii="仿宋" w:hAnsi="仿宋" w:eastAsia="仿宋" w:cs="仿宋"/>
          <w:b w:val="0"/>
          <w:bCs w:val="0"/>
          <w:snapToGrid w:val="0"/>
          <w:color w:val="000000"/>
          <w:spacing w:val="-10"/>
          <w:kern w:val="0"/>
          <w:sz w:val="21"/>
          <w:szCs w:val="21"/>
          <w:highlight w:val="none"/>
          <w:lang w:val="en-US" w:eastAsia="zh-CN" w:bidi="ar-SA"/>
        </w:rPr>
        <w:t>地址：西安市高新区锦业路绿地都市之门C座9层</w:t>
      </w:r>
    </w:p>
    <w:p w14:paraId="64F433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b w:val="0"/>
          <w:bCs w:val="0"/>
          <w:snapToGrid w:val="0"/>
          <w:color w:val="000000"/>
          <w:spacing w:val="-10"/>
          <w:kern w:val="0"/>
          <w:sz w:val="21"/>
          <w:szCs w:val="21"/>
          <w:highlight w:val="none"/>
          <w:lang w:val="en-US" w:eastAsia="zh-CN" w:bidi="ar-SA"/>
        </w:rPr>
      </w:pPr>
      <w:r>
        <w:rPr>
          <w:rFonts w:hint="eastAsia" w:ascii="仿宋" w:hAnsi="仿宋" w:eastAsia="仿宋" w:cs="仿宋"/>
          <w:b w:val="0"/>
          <w:bCs w:val="0"/>
          <w:snapToGrid w:val="0"/>
          <w:color w:val="000000"/>
          <w:spacing w:val="-10"/>
          <w:kern w:val="0"/>
          <w:sz w:val="21"/>
          <w:szCs w:val="21"/>
          <w:highlight w:val="none"/>
          <w:lang w:val="en-US" w:eastAsia="zh-CN" w:bidi="ar-SA"/>
        </w:rPr>
        <w:t>联系方式：15009283469</w:t>
      </w:r>
    </w:p>
    <w:p w14:paraId="53CB92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仿宋" w:hAnsi="仿宋" w:eastAsia="仿宋" w:cs="仿宋"/>
          <w:b w:val="0"/>
          <w:bCs w:val="0"/>
          <w:snapToGrid w:val="0"/>
          <w:color w:val="000000"/>
          <w:spacing w:val="-10"/>
          <w:kern w:val="0"/>
          <w:sz w:val="21"/>
          <w:szCs w:val="21"/>
          <w:highlight w:val="none"/>
          <w:lang w:val="en-US" w:eastAsia="zh-CN" w:bidi="ar-SA"/>
        </w:rPr>
      </w:pPr>
      <w:r>
        <w:rPr>
          <w:rFonts w:hint="eastAsia" w:ascii="仿宋" w:hAnsi="仿宋" w:eastAsia="仿宋" w:cs="仿宋"/>
          <w:b w:val="0"/>
          <w:bCs w:val="0"/>
          <w:snapToGrid w:val="0"/>
          <w:color w:val="000000"/>
          <w:spacing w:val="-10"/>
          <w:kern w:val="0"/>
          <w:sz w:val="21"/>
          <w:szCs w:val="21"/>
          <w:highlight w:val="none"/>
          <w:lang w:val="en-US" w:eastAsia="zh-CN" w:bidi="ar-SA"/>
        </w:rPr>
        <w:t>3.项目联系方式</w:t>
      </w:r>
    </w:p>
    <w:p w14:paraId="67C509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b w:val="0"/>
          <w:bCs w:val="0"/>
          <w:snapToGrid w:val="0"/>
          <w:color w:val="000000"/>
          <w:spacing w:val="-10"/>
          <w:kern w:val="0"/>
          <w:sz w:val="21"/>
          <w:szCs w:val="21"/>
          <w:highlight w:val="none"/>
          <w:lang w:val="en-US" w:eastAsia="zh-CN" w:bidi="ar-SA"/>
        </w:rPr>
      </w:pPr>
      <w:r>
        <w:rPr>
          <w:rFonts w:hint="eastAsia" w:ascii="仿宋" w:hAnsi="仿宋" w:eastAsia="仿宋" w:cs="仿宋"/>
          <w:b w:val="0"/>
          <w:bCs w:val="0"/>
          <w:snapToGrid w:val="0"/>
          <w:color w:val="000000"/>
          <w:spacing w:val="-10"/>
          <w:kern w:val="0"/>
          <w:sz w:val="21"/>
          <w:szCs w:val="21"/>
          <w:highlight w:val="none"/>
          <w:lang w:val="en-US" w:eastAsia="zh-CN" w:bidi="ar-SA"/>
        </w:rPr>
        <w:t>项目联系人：周乐、雷鹏</w:t>
      </w:r>
    </w:p>
    <w:p w14:paraId="268154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b w:val="0"/>
          <w:bCs w:val="0"/>
          <w:snapToGrid w:val="0"/>
          <w:color w:val="000000"/>
          <w:spacing w:val="-10"/>
          <w:kern w:val="0"/>
          <w:sz w:val="21"/>
          <w:szCs w:val="21"/>
          <w:highlight w:val="none"/>
          <w:lang w:val="en-US" w:eastAsia="zh-CN" w:bidi="ar-SA"/>
        </w:rPr>
      </w:pPr>
      <w:r>
        <w:rPr>
          <w:rFonts w:hint="eastAsia" w:ascii="仿宋" w:hAnsi="仿宋" w:eastAsia="仿宋" w:cs="仿宋"/>
          <w:b w:val="0"/>
          <w:bCs w:val="0"/>
          <w:snapToGrid w:val="0"/>
          <w:color w:val="000000"/>
          <w:spacing w:val="-10"/>
          <w:kern w:val="0"/>
          <w:sz w:val="21"/>
          <w:szCs w:val="21"/>
          <w:highlight w:val="none"/>
          <w:lang w:val="en-US" w:eastAsia="zh-CN" w:bidi="ar-SA"/>
        </w:rPr>
        <w:t>电话：15009283469</w:t>
      </w:r>
    </w:p>
    <w:p w14:paraId="33EF52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textAlignment w:val="baseline"/>
        <w:rPr>
          <w:rFonts w:hint="eastAsia" w:ascii="仿宋" w:hAnsi="仿宋" w:eastAsia="仿宋" w:cs="仿宋"/>
          <w:b w:val="0"/>
          <w:bCs w:val="0"/>
          <w:snapToGrid w:val="0"/>
          <w:color w:val="000000"/>
          <w:spacing w:val="-10"/>
          <w:kern w:val="0"/>
          <w:sz w:val="21"/>
          <w:szCs w:val="21"/>
          <w:highlight w:val="none"/>
          <w:lang w:val="en-US" w:eastAsia="zh-CN" w:bidi="ar-SA"/>
        </w:rPr>
      </w:pPr>
      <w:r>
        <w:rPr>
          <w:rFonts w:hint="eastAsia" w:ascii="仿宋" w:hAnsi="仿宋" w:eastAsia="仿宋" w:cs="仿宋"/>
          <w:b w:val="0"/>
          <w:bCs w:val="0"/>
          <w:snapToGrid w:val="0"/>
          <w:color w:val="000000"/>
          <w:spacing w:val="-10"/>
          <w:kern w:val="0"/>
          <w:sz w:val="21"/>
          <w:szCs w:val="21"/>
          <w:highlight w:val="none"/>
          <w:lang w:val="en-US" w:eastAsia="zh-CN" w:bidi="ar-SA"/>
        </w:rPr>
        <w:t>陕西省采购招标有限责任公司</w:t>
      </w:r>
    </w:p>
    <w:p w14:paraId="0263AD90">
      <w:pPr>
        <w:jc w:val="right"/>
        <w:rPr>
          <w:rFonts w:hint="eastAsia" w:ascii="宋体" w:hAnsi="宋体" w:eastAsia="宋体" w:cs="宋体"/>
          <w:spacing w:val="-6"/>
          <w:sz w:val="24"/>
          <w:szCs w:val="24"/>
          <w:highlight w:val="none"/>
          <w:lang w:eastAsia="zh-CN"/>
        </w:rPr>
      </w:pPr>
      <w:r>
        <w:rPr>
          <w:rFonts w:hint="eastAsia" w:ascii="仿宋" w:hAnsi="仿宋" w:eastAsia="仿宋" w:cs="仿宋"/>
          <w:b w:val="0"/>
          <w:bCs w:val="0"/>
          <w:snapToGrid w:val="0"/>
          <w:color w:val="000000"/>
          <w:spacing w:val="-10"/>
          <w:kern w:val="0"/>
          <w:sz w:val="21"/>
          <w:szCs w:val="21"/>
          <w:highlight w:val="none"/>
          <w:lang w:val="en-US" w:eastAsia="zh-CN" w:bidi="ar-SA"/>
        </w:rPr>
        <w:t>2025年09月29日</w:t>
      </w:r>
      <w:r>
        <w:rPr>
          <w:rFonts w:hint="eastAsia" w:ascii="宋体" w:hAnsi="宋体" w:eastAsia="宋体" w:cs="宋体"/>
          <w:spacing w:val="-6"/>
          <w:sz w:val="24"/>
          <w:szCs w:val="24"/>
          <w:highlight w:val="none"/>
          <w:lang w:eastAsia="zh-CN"/>
        </w:rPr>
        <w:br w:type="page"/>
      </w:r>
    </w:p>
    <w:p w14:paraId="5CD688A9">
      <w:pPr>
        <w:spacing w:before="138" w:line="224" w:lineRule="auto"/>
        <w:ind w:firstLine="2586" w:firstLineChars="800"/>
        <w:outlineLvl w:val="2"/>
        <w:rPr>
          <w:rFonts w:hint="eastAsia" w:ascii="宋体" w:hAnsi="宋体" w:eastAsia="宋体" w:cs="宋体"/>
          <w:sz w:val="31"/>
          <w:szCs w:val="31"/>
          <w:highlight w:val="none"/>
          <w:lang w:eastAsia="zh-CN"/>
        </w:rPr>
      </w:pPr>
      <w:r>
        <w:rPr>
          <w:rFonts w:ascii="宋体" w:hAnsi="宋体" w:eastAsia="宋体" w:cs="宋体"/>
          <w:b/>
          <w:bCs/>
          <w:spacing w:val="6"/>
          <w:sz w:val="31"/>
          <w:szCs w:val="31"/>
          <w:highlight w:val="none"/>
          <w:lang w:eastAsia="zh-CN"/>
        </w:rPr>
        <w:t>第二章</w:t>
      </w:r>
      <w:r>
        <w:rPr>
          <w:rFonts w:ascii="宋体" w:hAnsi="宋体" w:eastAsia="宋体" w:cs="宋体"/>
          <w:spacing w:val="6"/>
          <w:sz w:val="31"/>
          <w:szCs w:val="31"/>
          <w:highlight w:val="none"/>
          <w:lang w:eastAsia="zh-CN"/>
        </w:rPr>
        <w:t xml:space="preserve">  </w:t>
      </w:r>
      <w:r>
        <w:rPr>
          <w:rFonts w:ascii="宋体" w:hAnsi="宋体" w:eastAsia="宋体" w:cs="宋体"/>
          <w:b/>
          <w:bCs/>
          <w:spacing w:val="6"/>
          <w:sz w:val="31"/>
          <w:szCs w:val="31"/>
          <w:highlight w:val="none"/>
          <w:lang w:eastAsia="zh-CN"/>
        </w:rPr>
        <w:t>投标人须知</w:t>
      </w:r>
    </w:p>
    <w:p w14:paraId="2D459DED">
      <w:pPr>
        <w:spacing w:before="268" w:line="219" w:lineRule="auto"/>
        <w:jc w:val="center"/>
        <w:outlineLvl w:val="4"/>
        <w:rPr>
          <w:rFonts w:hint="eastAsia" w:ascii="宋体" w:hAnsi="宋体" w:eastAsia="宋体" w:cs="宋体"/>
          <w:sz w:val="28"/>
          <w:szCs w:val="28"/>
          <w:highlight w:val="none"/>
        </w:rPr>
      </w:pPr>
      <w:r>
        <w:rPr>
          <w:rFonts w:ascii="宋体" w:hAnsi="宋体" w:eastAsia="宋体" w:cs="宋体"/>
          <w:b/>
          <w:bCs/>
          <w:spacing w:val="-5"/>
          <w:sz w:val="28"/>
          <w:szCs w:val="28"/>
          <w:highlight w:val="none"/>
        </w:rPr>
        <w:t>2.1</w:t>
      </w:r>
      <w:r>
        <w:rPr>
          <w:rFonts w:ascii="宋体" w:hAnsi="宋体" w:eastAsia="宋体" w:cs="宋体"/>
          <w:spacing w:val="-51"/>
          <w:sz w:val="28"/>
          <w:szCs w:val="28"/>
          <w:highlight w:val="none"/>
        </w:rPr>
        <w:t xml:space="preserve"> </w:t>
      </w:r>
      <w:r>
        <w:rPr>
          <w:rFonts w:ascii="宋体" w:hAnsi="宋体" w:eastAsia="宋体" w:cs="宋体"/>
          <w:b/>
          <w:bCs/>
          <w:spacing w:val="-5"/>
          <w:sz w:val="28"/>
          <w:szCs w:val="28"/>
          <w:highlight w:val="none"/>
        </w:rPr>
        <w:t>投标人须知前附表</w:t>
      </w:r>
    </w:p>
    <w:p w14:paraId="62C86177">
      <w:pPr>
        <w:spacing w:line="119" w:lineRule="exact"/>
        <w:rPr>
          <w:highlight w:val="none"/>
        </w:rPr>
      </w:pPr>
    </w:p>
    <w:tbl>
      <w:tblPr>
        <w:tblStyle w:val="19"/>
        <w:tblW w:w="104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734"/>
        <w:gridCol w:w="7945"/>
      </w:tblGrid>
      <w:tr w14:paraId="597D7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736" w:type="dxa"/>
            <w:vAlign w:val="center"/>
          </w:tcPr>
          <w:p w14:paraId="3C50004D">
            <w:pPr>
              <w:pStyle w:val="18"/>
              <w:spacing w:before="211" w:line="222" w:lineRule="auto"/>
              <w:ind w:left="151"/>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序号</w:t>
            </w:r>
          </w:p>
        </w:tc>
        <w:tc>
          <w:tcPr>
            <w:tcW w:w="1734" w:type="dxa"/>
            <w:vAlign w:val="center"/>
          </w:tcPr>
          <w:p w14:paraId="64285D4B">
            <w:pPr>
              <w:pStyle w:val="18"/>
              <w:spacing w:before="212" w:line="221" w:lineRule="auto"/>
              <w:ind w:left="111"/>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应知事项</w:t>
            </w:r>
          </w:p>
        </w:tc>
        <w:tc>
          <w:tcPr>
            <w:tcW w:w="7945" w:type="dxa"/>
            <w:vAlign w:val="center"/>
          </w:tcPr>
          <w:p w14:paraId="7B8FDF7B">
            <w:pPr>
              <w:pStyle w:val="18"/>
              <w:spacing w:before="211" w:line="221" w:lineRule="auto"/>
              <w:ind w:left="114"/>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说明和要求</w:t>
            </w:r>
          </w:p>
        </w:tc>
      </w:tr>
      <w:tr w14:paraId="7F1EC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jc w:val="center"/>
        </w:trPr>
        <w:tc>
          <w:tcPr>
            <w:tcW w:w="736" w:type="dxa"/>
            <w:vAlign w:val="center"/>
          </w:tcPr>
          <w:p w14:paraId="2939337D">
            <w:pPr>
              <w:pStyle w:val="18"/>
              <w:spacing w:before="68" w:line="183" w:lineRule="auto"/>
              <w:ind w:left="326"/>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734" w:type="dxa"/>
            <w:vAlign w:val="center"/>
          </w:tcPr>
          <w:p w14:paraId="4AFB77E5">
            <w:pPr>
              <w:pStyle w:val="18"/>
              <w:spacing w:before="68" w:line="262" w:lineRule="auto"/>
              <w:ind w:left="113" w:right="104" w:hanging="2"/>
              <w:jc w:val="both"/>
              <w:rPr>
                <w:rFonts w:hint="eastAsia" w:ascii="仿宋" w:hAnsi="仿宋" w:eastAsia="仿宋" w:cs="仿宋"/>
                <w:sz w:val="21"/>
                <w:szCs w:val="21"/>
                <w:highlight w:val="none"/>
                <w:lang w:eastAsia="zh-CN"/>
              </w:rPr>
            </w:pPr>
            <w:r>
              <w:rPr>
                <w:rFonts w:hint="eastAsia" w:ascii="仿宋" w:hAnsi="仿宋" w:eastAsia="仿宋" w:cs="仿宋"/>
                <w:spacing w:val="17"/>
                <w:sz w:val="21"/>
                <w:szCs w:val="21"/>
                <w:highlight w:val="none"/>
                <w:lang w:eastAsia="zh-CN"/>
              </w:rPr>
              <w:t>采购预算（实质性要</w:t>
            </w:r>
            <w:r>
              <w:rPr>
                <w:rFonts w:hint="eastAsia" w:ascii="仿宋" w:hAnsi="仿宋" w:eastAsia="仿宋" w:cs="仿宋"/>
                <w:spacing w:val="3"/>
                <w:sz w:val="21"/>
                <w:szCs w:val="21"/>
                <w:highlight w:val="none"/>
                <w:lang w:eastAsia="zh-CN"/>
              </w:rPr>
              <w:t xml:space="preserve"> </w:t>
            </w:r>
            <w:r>
              <w:rPr>
                <w:rFonts w:hint="eastAsia" w:ascii="仿宋" w:hAnsi="仿宋" w:eastAsia="仿宋" w:cs="仿宋"/>
                <w:spacing w:val="-6"/>
                <w:sz w:val="21"/>
                <w:szCs w:val="21"/>
                <w:highlight w:val="none"/>
                <w:lang w:eastAsia="zh-CN"/>
              </w:rPr>
              <w:t>求）</w:t>
            </w:r>
          </w:p>
        </w:tc>
        <w:tc>
          <w:tcPr>
            <w:tcW w:w="7945" w:type="dxa"/>
            <w:vAlign w:val="center"/>
          </w:tcPr>
          <w:p w14:paraId="2C3377A4">
            <w:pPr>
              <w:pStyle w:val="18"/>
              <w:spacing w:before="114" w:line="315" w:lineRule="auto"/>
              <w:ind w:left="111" w:right="3944" w:firstLine="1"/>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本项目各包采购预算金额如下：</w:t>
            </w:r>
            <w:r>
              <w:rPr>
                <w:rFonts w:hint="eastAsia" w:ascii="仿宋" w:hAnsi="仿宋" w:eastAsia="仿宋" w:cs="仿宋"/>
                <w:spacing w:val="1"/>
                <w:sz w:val="21"/>
                <w:szCs w:val="21"/>
                <w:highlight w:val="none"/>
                <w:lang w:eastAsia="zh-CN"/>
              </w:rPr>
              <w:t xml:space="preserve"> </w:t>
            </w:r>
            <w:r>
              <w:rPr>
                <w:rFonts w:hint="eastAsia" w:ascii="仿宋" w:hAnsi="仿宋" w:eastAsia="仿宋" w:cs="仿宋"/>
                <w:spacing w:val="-2"/>
                <w:sz w:val="21"/>
                <w:szCs w:val="21"/>
                <w:highlight w:val="none"/>
                <w:lang w:eastAsia="zh-CN"/>
              </w:rPr>
              <w:t>采购包</w:t>
            </w:r>
            <w:r>
              <w:rPr>
                <w:rFonts w:hint="eastAsia" w:ascii="仿宋" w:hAnsi="仿宋" w:eastAsia="仿宋" w:cs="仿宋"/>
                <w:spacing w:val="-27"/>
                <w:sz w:val="21"/>
                <w:szCs w:val="21"/>
                <w:highlight w:val="none"/>
                <w:lang w:eastAsia="zh-CN"/>
              </w:rPr>
              <w:t xml:space="preserve"> </w:t>
            </w:r>
            <w:r>
              <w:rPr>
                <w:rFonts w:hint="eastAsia" w:ascii="仿宋" w:hAnsi="仿宋" w:eastAsia="仿宋" w:cs="仿宋"/>
                <w:spacing w:val="-2"/>
                <w:sz w:val="21"/>
                <w:szCs w:val="21"/>
                <w:highlight w:val="none"/>
                <w:lang w:eastAsia="zh-CN"/>
              </w:rPr>
              <w:t>1：</w:t>
            </w:r>
            <w:r>
              <w:rPr>
                <w:rFonts w:hint="eastAsia" w:ascii="仿宋" w:hAnsi="仿宋" w:eastAsia="仿宋" w:cs="仿宋"/>
                <w:spacing w:val="-2"/>
                <w:sz w:val="21"/>
                <w:szCs w:val="21"/>
                <w:highlight w:val="none"/>
                <w:lang w:val="en-US" w:eastAsia="zh-CN"/>
              </w:rPr>
              <w:t>7498</w:t>
            </w:r>
            <w:r>
              <w:rPr>
                <w:rFonts w:hint="eastAsia" w:ascii="仿宋" w:hAnsi="仿宋" w:eastAsia="仿宋" w:cs="仿宋"/>
                <w:spacing w:val="-2"/>
                <w:sz w:val="21"/>
                <w:szCs w:val="21"/>
                <w:highlight w:val="none"/>
                <w:lang w:eastAsia="zh-CN"/>
              </w:rPr>
              <w:t>000.00元</w:t>
            </w:r>
          </w:p>
          <w:p w14:paraId="4D819430">
            <w:pPr>
              <w:pStyle w:val="18"/>
              <w:spacing w:before="31" w:line="266" w:lineRule="auto"/>
              <w:ind w:left="114" w:right="107"/>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投标人的采购包投标报价高于采购包采购预算的，其投标文件将按无效处</w:t>
            </w:r>
            <w:r>
              <w:rPr>
                <w:rFonts w:hint="eastAsia" w:ascii="仿宋" w:hAnsi="仿宋" w:eastAsia="仿宋" w:cs="仿宋"/>
                <w:spacing w:val="-10"/>
                <w:sz w:val="21"/>
                <w:szCs w:val="21"/>
                <w:highlight w:val="none"/>
                <w:lang w:eastAsia="zh-CN"/>
              </w:rPr>
              <w:t>理。</w:t>
            </w:r>
          </w:p>
        </w:tc>
      </w:tr>
      <w:tr w14:paraId="49B14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736" w:type="dxa"/>
            <w:vAlign w:val="center"/>
          </w:tcPr>
          <w:p w14:paraId="5A8A1968">
            <w:pPr>
              <w:spacing w:line="270" w:lineRule="auto"/>
              <w:jc w:val="both"/>
              <w:rPr>
                <w:rFonts w:hint="eastAsia" w:ascii="仿宋" w:hAnsi="仿宋" w:eastAsia="仿宋" w:cs="仿宋"/>
                <w:sz w:val="21"/>
                <w:szCs w:val="21"/>
                <w:highlight w:val="none"/>
                <w:lang w:eastAsia="zh-CN"/>
              </w:rPr>
            </w:pPr>
          </w:p>
          <w:p w14:paraId="7EFD8704">
            <w:pPr>
              <w:pStyle w:val="18"/>
              <w:spacing w:before="68" w:line="182" w:lineRule="auto"/>
              <w:ind w:left="313"/>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734" w:type="dxa"/>
            <w:vAlign w:val="center"/>
          </w:tcPr>
          <w:p w14:paraId="5F31954B">
            <w:pPr>
              <w:pStyle w:val="18"/>
              <w:spacing w:before="148" w:line="260" w:lineRule="auto"/>
              <w:ind w:left="113" w:right="104"/>
              <w:jc w:val="both"/>
              <w:rPr>
                <w:rFonts w:hint="eastAsia" w:ascii="仿宋" w:hAnsi="仿宋" w:eastAsia="仿宋" w:cs="仿宋"/>
                <w:sz w:val="21"/>
                <w:szCs w:val="21"/>
                <w:highlight w:val="none"/>
                <w:lang w:eastAsia="zh-CN"/>
              </w:rPr>
            </w:pPr>
            <w:r>
              <w:rPr>
                <w:rFonts w:hint="eastAsia" w:ascii="仿宋" w:hAnsi="仿宋" w:eastAsia="仿宋" w:cs="仿宋"/>
                <w:spacing w:val="17"/>
                <w:sz w:val="21"/>
                <w:szCs w:val="21"/>
                <w:highlight w:val="none"/>
                <w:lang w:eastAsia="zh-CN"/>
              </w:rPr>
              <w:t>最高限价（实质性要</w:t>
            </w:r>
            <w:r>
              <w:rPr>
                <w:rFonts w:hint="eastAsia" w:ascii="仿宋" w:hAnsi="仿宋" w:eastAsia="仿宋" w:cs="仿宋"/>
                <w:sz w:val="21"/>
                <w:szCs w:val="21"/>
                <w:highlight w:val="none"/>
                <w:lang w:eastAsia="zh-CN"/>
              </w:rPr>
              <w:t xml:space="preserve"> </w:t>
            </w:r>
            <w:r>
              <w:rPr>
                <w:rFonts w:hint="eastAsia" w:ascii="仿宋" w:hAnsi="仿宋" w:eastAsia="仿宋" w:cs="仿宋"/>
                <w:spacing w:val="-6"/>
                <w:sz w:val="21"/>
                <w:szCs w:val="21"/>
                <w:highlight w:val="none"/>
                <w:lang w:eastAsia="zh-CN"/>
              </w:rPr>
              <w:t>求）</w:t>
            </w:r>
          </w:p>
        </w:tc>
        <w:tc>
          <w:tcPr>
            <w:tcW w:w="7945" w:type="dxa"/>
            <w:vAlign w:val="center"/>
          </w:tcPr>
          <w:p w14:paraId="0C394D5E">
            <w:pPr>
              <w:pStyle w:val="18"/>
              <w:spacing w:before="117" w:line="220" w:lineRule="auto"/>
              <w:ind w:left="114"/>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详见第三章。</w:t>
            </w:r>
          </w:p>
          <w:p w14:paraId="0D59D0F0">
            <w:pPr>
              <w:pStyle w:val="18"/>
              <w:spacing w:before="122" w:line="219" w:lineRule="auto"/>
              <w:ind w:left="114"/>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投标人的采购包投标报价高于最高限价的，其投标文件将按无效处理。</w:t>
            </w:r>
          </w:p>
        </w:tc>
      </w:tr>
      <w:tr w14:paraId="116E8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jc w:val="center"/>
        </w:trPr>
        <w:tc>
          <w:tcPr>
            <w:tcW w:w="736" w:type="dxa"/>
            <w:vAlign w:val="center"/>
          </w:tcPr>
          <w:p w14:paraId="31E77D9E">
            <w:pPr>
              <w:pStyle w:val="18"/>
              <w:spacing w:before="244" w:line="182" w:lineRule="auto"/>
              <w:ind w:left="31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734" w:type="dxa"/>
            <w:vAlign w:val="center"/>
          </w:tcPr>
          <w:p w14:paraId="18CADF75">
            <w:pPr>
              <w:pStyle w:val="18"/>
              <w:spacing w:before="209" w:line="221" w:lineRule="auto"/>
              <w:ind w:left="111"/>
              <w:jc w:val="both"/>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评审方法</w:t>
            </w:r>
          </w:p>
        </w:tc>
        <w:tc>
          <w:tcPr>
            <w:tcW w:w="7945" w:type="dxa"/>
            <w:vAlign w:val="center"/>
          </w:tcPr>
          <w:p w14:paraId="39EB42CD">
            <w:pPr>
              <w:pStyle w:val="18"/>
              <w:spacing w:before="208" w:line="220" w:lineRule="auto"/>
              <w:ind w:left="111"/>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采购包</w:t>
            </w:r>
            <w:r>
              <w:rPr>
                <w:rFonts w:hint="eastAsia" w:ascii="仿宋" w:hAnsi="仿宋" w:eastAsia="仿宋" w:cs="仿宋"/>
                <w:spacing w:val="-22"/>
                <w:sz w:val="21"/>
                <w:szCs w:val="21"/>
                <w:highlight w:val="none"/>
                <w:lang w:eastAsia="zh-CN"/>
              </w:rPr>
              <w:t xml:space="preserve"> </w:t>
            </w:r>
            <w:r>
              <w:rPr>
                <w:rFonts w:hint="eastAsia" w:ascii="仿宋" w:hAnsi="仿宋" w:eastAsia="仿宋" w:cs="仿宋"/>
                <w:spacing w:val="-2"/>
                <w:sz w:val="21"/>
                <w:szCs w:val="21"/>
                <w:highlight w:val="none"/>
                <w:lang w:eastAsia="zh-CN"/>
              </w:rPr>
              <w:t>1：综合评分法 （详见第五章）</w:t>
            </w:r>
          </w:p>
        </w:tc>
      </w:tr>
      <w:tr w14:paraId="1163B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jc w:val="center"/>
        </w:trPr>
        <w:tc>
          <w:tcPr>
            <w:tcW w:w="736" w:type="dxa"/>
          </w:tcPr>
          <w:p w14:paraId="5954675F">
            <w:pPr>
              <w:spacing w:line="250" w:lineRule="auto"/>
              <w:rPr>
                <w:rFonts w:hint="eastAsia" w:ascii="仿宋" w:hAnsi="仿宋" w:eastAsia="仿宋" w:cs="仿宋"/>
                <w:sz w:val="21"/>
                <w:szCs w:val="21"/>
                <w:highlight w:val="none"/>
                <w:lang w:eastAsia="zh-CN"/>
              </w:rPr>
            </w:pPr>
          </w:p>
          <w:p w14:paraId="160E88D9">
            <w:pPr>
              <w:spacing w:line="251" w:lineRule="auto"/>
              <w:rPr>
                <w:rFonts w:hint="eastAsia" w:ascii="仿宋" w:hAnsi="仿宋" w:eastAsia="仿宋" w:cs="仿宋"/>
                <w:sz w:val="21"/>
                <w:szCs w:val="21"/>
                <w:highlight w:val="none"/>
                <w:lang w:eastAsia="zh-CN"/>
              </w:rPr>
            </w:pPr>
          </w:p>
          <w:p w14:paraId="46A49E6F">
            <w:pPr>
              <w:spacing w:line="251" w:lineRule="auto"/>
              <w:rPr>
                <w:rFonts w:hint="eastAsia" w:ascii="仿宋" w:hAnsi="仿宋" w:eastAsia="仿宋" w:cs="仿宋"/>
                <w:sz w:val="21"/>
                <w:szCs w:val="21"/>
                <w:highlight w:val="none"/>
                <w:lang w:eastAsia="zh-CN"/>
              </w:rPr>
            </w:pPr>
          </w:p>
          <w:p w14:paraId="345EEB9B">
            <w:pPr>
              <w:spacing w:line="251" w:lineRule="auto"/>
              <w:rPr>
                <w:rFonts w:hint="eastAsia" w:ascii="仿宋" w:hAnsi="仿宋" w:eastAsia="仿宋" w:cs="仿宋"/>
                <w:sz w:val="21"/>
                <w:szCs w:val="21"/>
                <w:highlight w:val="none"/>
                <w:lang w:eastAsia="zh-CN"/>
              </w:rPr>
            </w:pPr>
          </w:p>
          <w:p w14:paraId="388166A3">
            <w:pPr>
              <w:spacing w:line="251" w:lineRule="auto"/>
              <w:rPr>
                <w:rFonts w:hint="eastAsia" w:ascii="仿宋" w:hAnsi="仿宋" w:eastAsia="仿宋" w:cs="仿宋"/>
                <w:sz w:val="21"/>
                <w:szCs w:val="21"/>
                <w:highlight w:val="none"/>
                <w:lang w:eastAsia="zh-CN"/>
              </w:rPr>
            </w:pPr>
          </w:p>
          <w:p w14:paraId="574B4013">
            <w:pPr>
              <w:spacing w:line="251" w:lineRule="auto"/>
              <w:rPr>
                <w:rFonts w:hint="eastAsia" w:ascii="仿宋" w:hAnsi="仿宋" w:eastAsia="仿宋" w:cs="仿宋"/>
                <w:sz w:val="21"/>
                <w:szCs w:val="21"/>
                <w:highlight w:val="none"/>
                <w:lang w:eastAsia="zh-CN"/>
              </w:rPr>
            </w:pPr>
          </w:p>
          <w:p w14:paraId="7CE5EFF7">
            <w:pPr>
              <w:spacing w:line="251" w:lineRule="auto"/>
              <w:rPr>
                <w:rFonts w:hint="eastAsia" w:ascii="仿宋" w:hAnsi="仿宋" w:eastAsia="仿宋" w:cs="仿宋"/>
                <w:sz w:val="21"/>
                <w:szCs w:val="21"/>
                <w:highlight w:val="none"/>
                <w:lang w:eastAsia="zh-CN"/>
              </w:rPr>
            </w:pPr>
          </w:p>
          <w:p w14:paraId="1C33D97C">
            <w:pPr>
              <w:pStyle w:val="18"/>
              <w:spacing w:before="69" w:line="182" w:lineRule="auto"/>
              <w:ind w:left="310"/>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734" w:type="dxa"/>
          </w:tcPr>
          <w:p w14:paraId="0C2B1C2D">
            <w:pPr>
              <w:spacing w:line="246" w:lineRule="auto"/>
              <w:rPr>
                <w:rFonts w:hint="eastAsia" w:ascii="仿宋" w:hAnsi="仿宋" w:eastAsia="仿宋" w:cs="仿宋"/>
                <w:sz w:val="21"/>
                <w:szCs w:val="21"/>
                <w:highlight w:val="none"/>
              </w:rPr>
            </w:pPr>
          </w:p>
          <w:p w14:paraId="6CE4B1AD">
            <w:pPr>
              <w:spacing w:line="246" w:lineRule="auto"/>
              <w:rPr>
                <w:rFonts w:hint="eastAsia" w:ascii="仿宋" w:hAnsi="仿宋" w:eastAsia="仿宋" w:cs="仿宋"/>
                <w:sz w:val="21"/>
                <w:szCs w:val="21"/>
                <w:highlight w:val="none"/>
              </w:rPr>
            </w:pPr>
          </w:p>
          <w:p w14:paraId="1C81370E">
            <w:pPr>
              <w:spacing w:line="246" w:lineRule="auto"/>
              <w:rPr>
                <w:rFonts w:hint="eastAsia" w:ascii="仿宋" w:hAnsi="仿宋" w:eastAsia="仿宋" w:cs="仿宋"/>
                <w:sz w:val="21"/>
                <w:szCs w:val="21"/>
                <w:highlight w:val="none"/>
              </w:rPr>
            </w:pPr>
          </w:p>
          <w:p w14:paraId="2429DBA5">
            <w:pPr>
              <w:spacing w:line="246" w:lineRule="auto"/>
              <w:rPr>
                <w:rFonts w:hint="eastAsia" w:ascii="仿宋" w:hAnsi="仿宋" w:eastAsia="仿宋" w:cs="仿宋"/>
                <w:sz w:val="21"/>
                <w:szCs w:val="21"/>
                <w:highlight w:val="none"/>
              </w:rPr>
            </w:pPr>
          </w:p>
          <w:p w14:paraId="74DC0E52">
            <w:pPr>
              <w:spacing w:line="246" w:lineRule="auto"/>
              <w:rPr>
                <w:rFonts w:hint="eastAsia" w:ascii="仿宋" w:hAnsi="仿宋" w:eastAsia="仿宋" w:cs="仿宋"/>
                <w:sz w:val="21"/>
                <w:szCs w:val="21"/>
                <w:highlight w:val="none"/>
              </w:rPr>
            </w:pPr>
          </w:p>
          <w:p w14:paraId="391E67A3">
            <w:pPr>
              <w:spacing w:line="246" w:lineRule="auto"/>
              <w:rPr>
                <w:rFonts w:hint="eastAsia" w:ascii="仿宋" w:hAnsi="仿宋" w:eastAsia="仿宋" w:cs="仿宋"/>
                <w:sz w:val="21"/>
                <w:szCs w:val="21"/>
                <w:highlight w:val="none"/>
              </w:rPr>
            </w:pPr>
          </w:p>
          <w:p w14:paraId="5E7A97D4">
            <w:pPr>
              <w:spacing w:line="246" w:lineRule="auto"/>
              <w:rPr>
                <w:rFonts w:hint="eastAsia" w:ascii="仿宋" w:hAnsi="仿宋" w:eastAsia="仿宋" w:cs="仿宋"/>
                <w:sz w:val="21"/>
                <w:szCs w:val="21"/>
                <w:highlight w:val="none"/>
              </w:rPr>
            </w:pPr>
          </w:p>
          <w:p w14:paraId="201F8206">
            <w:pPr>
              <w:pStyle w:val="18"/>
              <w:spacing w:before="68" w:line="221" w:lineRule="auto"/>
              <w:ind w:left="115"/>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是否接受联合体</w:t>
            </w:r>
          </w:p>
        </w:tc>
        <w:tc>
          <w:tcPr>
            <w:tcW w:w="7945" w:type="dxa"/>
          </w:tcPr>
          <w:p w14:paraId="73CBEA22">
            <w:pPr>
              <w:pStyle w:val="18"/>
              <w:spacing w:before="120" w:line="268" w:lineRule="auto"/>
              <w:ind w:left="112" w:right="105" w:firstLine="15"/>
              <w:jc w:val="both"/>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采购包 1：不接受</w:t>
            </w:r>
          </w:p>
          <w:p w14:paraId="70E1FEE7">
            <w:pPr>
              <w:pStyle w:val="18"/>
              <w:spacing w:before="120" w:line="268" w:lineRule="auto"/>
              <w:ind w:left="112" w:right="105" w:firstLine="15"/>
              <w:jc w:val="both"/>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如以联合体投标的，联合体各方均应当具备本招标文件要求的资格条件和 能力。</w:t>
            </w:r>
          </w:p>
          <w:p w14:paraId="28FCDB21">
            <w:pPr>
              <w:pStyle w:val="18"/>
              <w:spacing w:before="120" w:line="268" w:lineRule="auto"/>
              <w:ind w:left="112" w:right="105" w:firstLine="15"/>
              <w:jc w:val="both"/>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（1）联合体各方均应具有承担本项目必备的条件，如相应的人力、物力、 资金等。</w:t>
            </w:r>
          </w:p>
          <w:p w14:paraId="076F5A88">
            <w:pPr>
              <w:pStyle w:val="18"/>
              <w:spacing w:before="120" w:line="268" w:lineRule="auto"/>
              <w:ind w:left="112" w:right="105" w:firstLine="15"/>
              <w:jc w:val="both"/>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（2）招标文件对投标人资格条件有特殊要求的，联合体各个成员都应当具 备规定的相应资格条件。</w:t>
            </w:r>
          </w:p>
          <w:p w14:paraId="55F0C934">
            <w:pPr>
              <w:pStyle w:val="18"/>
              <w:spacing w:before="120" w:line="268" w:lineRule="auto"/>
              <w:ind w:left="112" w:right="105" w:firstLine="15"/>
              <w:jc w:val="both"/>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（3）同一专业的单位组成的联合体，应当按照资质等级较低的单位确定联 合体的资质等级。如：某联合体由三个单位组成，其中两个单位资质等级 为甲级，另一单位资质等级为较甲级更低的乙级，则该联合体资质等级为乙级。</w:t>
            </w:r>
          </w:p>
        </w:tc>
      </w:tr>
      <w:tr w14:paraId="284F4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6" w:hRule="atLeast"/>
          <w:jc w:val="center"/>
        </w:trPr>
        <w:tc>
          <w:tcPr>
            <w:tcW w:w="736" w:type="dxa"/>
          </w:tcPr>
          <w:p w14:paraId="39DA60EE">
            <w:pPr>
              <w:spacing w:line="250" w:lineRule="auto"/>
              <w:rPr>
                <w:rFonts w:hint="eastAsia" w:ascii="仿宋" w:hAnsi="仿宋" w:eastAsia="仿宋" w:cs="仿宋"/>
                <w:sz w:val="21"/>
                <w:szCs w:val="21"/>
                <w:highlight w:val="none"/>
                <w:lang w:eastAsia="zh-CN"/>
              </w:rPr>
            </w:pPr>
          </w:p>
          <w:p w14:paraId="09C5644E">
            <w:pPr>
              <w:spacing w:line="250" w:lineRule="auto"/>
              <w:rPr>
                <w:rFonts w:hint="eastAsia" w:ascii="仿宋" w:hAnsi="仿宋" w:eastAsia="仿宋" w:cs="仿宋"/>
                <w:sz w:val="21"/>
                <w:szCs w:val="21"/>
                <w:highlight w:val="none"/>
                <w:lang w:eastAsia="zh-CN"/>
              </w:rPr>
            </w:pPr>
          </w:p>
          <w:p w14:paraId="74A5AFA4">
            <w:pPr>
              <w:spacing w:line="250" w:lineRule="auto"/>
              <w:rPr>
                <w:rFonts w:hint="eastAsia" w:ascii="仿宋" w:hAnsi="仿宋" w:eastAsia="仿宋" w:cs="仿宋"/>
                <w:sz w:val="21"/>
                <w:szCs w:val="21"/>
                <w:highlight w:val="none"/>
                <w:lang w:eastAsia="zh-CN"/>
              </w:rPr>
            </w:pPr>
          </w:p>
          <w:p w14:paraId="13502655">
            <w:pPr>
              <w:spacing w:line="250" w:lineRule="auto"/>
              <w:rPr>
                <w:rFonts w:hint="eastAsia" w:ascii="仿宋" w:hAnsi="仿宋" w:eastAsia="仿宋" w:cs="仿宋"/>
                <w:sz w:val="21"/>
                <w:szCs w:val="21"/>
                <w:highlight w:val="none"/>
                <w:lang w:eastAsia="zh-CN"/>
              </w:rPr>
            </w:pPr>
          </w:p>
          <w:p w14:paraId="04DB592F">
            <w:pPr>
              <w:spacing w:line="250" w:lineRule="auto"/>
              <w:rPr>
                <w:rFonts w:hint="eastAsia" w:ascii="仿宋" w:hAnsi="仿宋" w:eastAsia="仿宋" w:cs="仿宋"/>
                <w:sz w:val="21"/>
                <w:szCs w:val="21"/>
                <w:highlight w:val="none"/>
                <w:lang w:eastAsia="zh-CN"/>
              </w:rPr>
            </w:pPr>
          </w:p>
          <w:p w14:paraId="6DF90C6E">
            <w:pPr>
              <w:spacing w:line="250" w:lineRule="auto"/>
              <w:rPr>
                <w:rFonts w:hint="eastAsia" w:ascii="仿宋" w:hAnsi="仿宋" w:eastAsia="仿宋" w:cs="仿宋"/>
                <w:sz w:val="21"/>
                <w:szCs w:val="21"/>
                <w:highlight w:val="none"/>
                <w:lang w:eastAsia="zh-CN"/>
              </w:rPr>
            </w:pPr>
          </w:p>
          <w:p w14:paraId="065EC62F">
            <w:pPr>
              <w:spacing w:line="250" w:lineRule="auto"/>
              <w:rPr>
                <w:rFonts w:hint="eastAsia" w:ascii="仿宋" w:hAnsi="仿宋" w:eastAsia="仿宋" w:cs="仿宋"/>
                <w:sz w:val="21"/>
                <w:szCs w:val="21"/>
                <w:highlight w:val="none"/>
                <w:lang w:eastAsia="zh-CN"/>
              </w:rPr>
            </w:pPr>
          </w:p>
          <w:p w14:paraId="7CE5B40A">
            <w:pPr>
              <w:spacing w:line="251" w:lineRule="auto"/>
              <w:rPr>
                <w:rFonts w:hint="eastAsia" w:ascii="仿宋" w:hAnsi="仿宋" w:eastAsia="仿宋" w:cs="仿宋"/>
                <w:sz w:val="21"/>
                <w:szCs w:val="21"/>
                <w:highlight w:val="none"/>
                <w:lang w:eastAsia="zh-CN"/>
              </w:rPr>
            </w:pPr>
          </w:p>
          <w:p w14:paraId="1338E1F7">
            <w:pPr>
              <w:spacing w:line="251" w:lineRule="auto"/>
              <w:rPr>
                <w:rFonts w:hint="eastAsia" w:ascii="仿宋" w:hAnsi="仿宋" w:eastAsia="仿宋" w:cs="仿宋"/>
                <w:sz w:val="21"/>
                <w:szCs w:val="21"/>
                <w:highlight w:val="none"/>
                <w:lang w:eastAsia="zh-CN"/>
              </w:rPr>
            </w:pPr>
          </w:p>
          <w:p w14:paraId="08417DCD">
            <w:pPr>
              <w:spacing w:line="251" w:lineRule="auto"/>
              <w:rPr>
                <w:rFonts w:hint="eastAsia" w:ascii="仿宋" w:hAnsi="仿宋" w:eastAsia="仿宋" w:cs="仿宋"/>
                <w:sz w:val="21"/>
                <w:szCs w:val="21"/>
                <w:highlight w:val="none"/>
                <w:lang w:eastAsia="zh-CN"/>
              </w:rPr>
            </w:pPr>
          </w:p>
          <w:p w14:paraId="5383D65F">
            <w:pPr>
              <w:pStyle w:val="18"/>
              <w:spacing w:before="69" w:line="181" w:lineRule="auto"/>
              <w:ind w:left="315"/>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734" w:type="dxa"/>
          </w:tcPr>
          <w:p w14:paraId="03C3DD7F">
            <w:pPr>
              <w:spacing w:line="256" w:lineRule="auto"/>
              <w:rPr>
                <w:rFonts w:hint="eastAsia" w:ascii="仿宋" w:hAnsi="仿宋" w:eastAsia="仿宋" w:cs="仿宋"/>
                <w:sz w:val="21"/>
                <w:szCs w:val="21"/>
                <w:highlight w:val="none"/>
                <w:lang w:eastAsia="zh-CN"/>
              </w:rPr>
            </w:pPr>
          </w:p>
          <w:p w14:paraId="0C150298">
            <w:pPr>
              <w:spacing w:line="257" w:lineRule="auto"/>
              <w:rPr>
                <w:rFonts w:hint="eastAsia" w:ascii="仿宋" w:hAnsi="仿宋" w:eastAsia="仿宋" w:cs="仿宋"/>
                <w:sz w:val="21"/>
                <w:szCs w:val="21"/>
                <w:highlight w:val="none"/>
                <w:lang w:eastAsia="zh-CN"/>
              </w:rPr>
            </w:pPr>
          </w:p>
          <w:p w14:paraId="1D113034">
            <w:pPr>
              <w:spacing w:line="257" w:lineRule="auto"/>
              <w:rPr>
                <w:rFonts w:hint="eastAsia" w:ascii="仿宋" w:hAnsi="仿宋" w:eastAsia="仿宋" w:cs="仿宋"/>
                <w:sz w:val="21"/>
                <w:szCs w:val="21"/>
                <w:highlight w:val="none"/>
                <w:lang w:eastAsia="zh-CN"/>
              </w:rPr>
            </w:pPr>
          </w:p>
          <w:p w14:paraId="3772EA19">
            <w:pPr>
              <w:spacing w:line="257" w:lineRule="auto"/>
              <w:rPr>
                <w:rFonts w:hint="eastAsia" w:ascii="仿宋" w:hAnsi="仿宋" w:eastAsia="仿宋" w:cs="仿宋"/>
                <w:sz w:val="21"/>
                <w:szCs w:val="21"/>
                <w:highlight w:val="none"/>
                <w:lang w:eastAsia="zh-CN"/>
              </w:rPr>
            </w:pPr>
          </w:p>
          <w:p w14:paraId="4E8B8531">
            <w:pPr>
              <w:spacing w:line="257" w:lineRule="auto"/>
              <w:rPr>
                <w:rFonts w:hint="eastAsia" w:ascii="仿宋" w:hAnsi="仿宋" w:eastAsia="仿宋" w:cs="仿宋"/>
                <w:sz w:val="21"/>
                <w:szCs w:val="21"/>
                <w:highlight w:val="none"/>
                <w:lang w:eastAsia="zh-CN"/>
              </w:rPr>
            </w:pPr>
          </w:p>
          <w:p w14:paraId="598186E9">
            <w:pPr>
              <w:spacing w:line="257" w:lineRule="auto"/>
              <w:rPr>
                <w:rFonts w:hint="eastAsia" w:ascii="仿宋" w:hAnsi="仿宋" w:eastAsia="仿宋" w:cs="仿宋"/>
                <w:sz w:val="21"/>
                <w:szCs w:val="21"/>
                <w:highlight w:val="none"/>
                <w:lang w:eastAsia="zh-CN"/>
              </w:rPr>
            </w:pPr>
          </w:p>
          <w:p w14:paraId="592177E1">
            <w:pPr>
              <w:spacing w:line="257" w:lineRule="auto"/>
              <w:rPr>
                <w:rFonts w:hint="eastAsia" w:ascii="仿宋" w:hAnsi="仿宋" w:eastAsia="仿宋" w:cs="仿宋"/>
                <w:sz w:val="21"/>
                <w:szCs w:val="21"/>
                <w:highlight w:val="none"/>
                <w:lang w:eastAsia="zh-CN"/>
              </w:rPr>
            </w:pPr>
          </w:p>
          <w:p w14:paraId="7400C768">
            <w:pPr>
              <w:spacing w:line="257" w:lineRule="auto"/>
              <w:rPr>
                <w:rFonts w:hint="eastAsia" w:ascii="仿宋" w:hAnsi="仿宋" w:eastAsia="仿宋" w:cs="仿宋"/>
                <w:sz w:val="21"/>
                <w:szCs w:val="21"/>
                <w:highlight w:val="none"/>
                <w:lang w:eastAsia="zh-CN"/>
              </w:rPr>
            </w:pPr>
          </w:p>
          <w:p w14:paraId="5CEEC45C">
            <w:pPr>
              <w:spacing w:line="257" w:lineRule="auto"/>
              <w:rPr>
                <w:rFonts w:hint="eastAsia" w:ascii="仿宋" w:hAnsi="仿宋" w:eastAsia="仿宋" w:cs="仿宋"/>
                <w:sz w:val="21"/>
                <w:szCs w:val="21"/>
                <w:highlight w:val="none"/>
                <w:lang w:eastAsia="zh-CN"/>
              </w:rPr>
            </w:pPr>
          </w:p>
          <w:p w14:paraId="4EEFE6B2">
            <w:pPr>
              <w:pStyle w:val="18"/>
              <w:spacing w:before="68" w:line="261" w:lineRule="auto"/>
              <w:ind w:left="113" w:right="104"/>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落实节能、环保、无线</w:t>
            </w:r>
            <w:r>
              <w:rPr>
                <w:rFonts w:hint="eastAsia" w:ascii="仿宋" w:hAnsi="仿宋" w:eastAsia="仿宋" w:cs="仿宋"/>
                <w:spacing w:val="3"/>
                <w:sz w:val="21"/>
                <w:szCs w:val="21"/>
                <w:highlight w:val="none"/>
                <w:lang w:eastAsia="zh-CN"/>
              </w:rPr>
              <w:t xml:space="preserve"> </w:t>
            </w:r>
            <w:r>
              <w:rPr>
                <w:rFonts w:hint="eastAsia" w:ascii="仿宋" w:hAnsi="仿宋" w:eastAsia="仿宋" w:cs="仿宋"/>
                <w:spacing w:val="-1"/>
                <w:sz w:val="21"/>
                <w:szCs w:val="21"/>
                <w:highlight w:val="none"/>
                <w:lang w:eastAsia="zh-CN"/>
              </w:rPr>
              <w:t>局域网认证产品政策</w:t>
            </w:r>
          </w:p>
        </w:tc>
        <w:tc>
          <w:tcPr>
            <w:tcW w:w="7945" w:type="dxa"/>
          </w:tcPr>
          <w:p w14:paraId="64721C5E">
            <w:pPr>
              <w:pStyle w:val="18"/>
              <w:spacing w:before="120" w:line="268" w:lineRule="auto"/>
              <w:ind w:left="112" w:right="105" w:firstLine="15"/>
              <w:jc w:val="both"/>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1.根据《财政部 发展改革委 生态环境部 市场监管</w:t>
            </w:r>
            <w:r>
              <w:rPr>
                <w:rFonts w:hint="eastAsia" w:ascii="仿宋" w:hAnsi="仿宋" w:eastAsia="仿宋" w:cs="仿宋"/>
                <w:spacing w:val="-4"/>
                <w:sz w:val="21"/>
                <w:szCs w:val="21"/>
                <w:highlight w:val="none"/>
                <w:lang w:eastAsia="zh-CN"/>
              </w:rPr>
              <w:t>总局关于调整优化节能</w:t>
            </w:r>
            <w:r>
              <w:rPr>
                <w:rFonts w:hint="eastAsia" w:ascii="仿宋" w:hAnsi="仿宋" w:eastAsia="仿宋" w:cs="仿宋"/>
                <w:sz w:val="21"/>
                <w:szCs w:val="21"/>
                <w:highlight w:val="none"/>
                <w:lang w:eastAsia="zh-CN"/>
              </w:rPr>
              <w:t xml:space="preserve"> </w:t>
            </w:r>
            <w:r>
              <w:rPr>
                <w:rFonts w:hint="eastAsia" w:ascii="仿宋" w:hAnsi="仿宋" w:eastAsia="仿宋" w:cs="仿宋"/>
                <w:spacing w:val="-5"/>
                <w:sz w:val="21"/>
                <w:szCs w:val="21"/>
                <w:highlight w:val="none"/>
                <w:lang w:eastAsia="zh-CN"/>
              </w:rPr>
              <w:t>产品、环境标志产品政府采购执行机制的通知》（财库〔2019〕9</w:t>
            </w:r>
            <w:r>
              <w:rPr>
                <w:rFonts w:hint="eastAsia" w:ascii="仿宋" w:hAnsi="仿宋" w:eastAsia="仿宋" w:cs="仿宋"/>
                <w:spacing w:val="-29"/>
                <w:sz w:val="21"/>
                <w:szCs w:val="21"/>
                <w:highlight w:val="none"/>
                <w:lang w:eastAsia="zh-CN"/>
              </w:rPr>
              <w:t xml:space="preserve"> </w:t>
            </w:r>
            <w:r>
              <w:rPr>
                <w:rFonts w:hint="eastAsia" w:ascii="仿宋" w:hAnsi="仿宋" w:eastAsia="仿宋" w:cs="仿宋"/>
                <w:spacing w:val="-5"/>
                <w:sz w:val="21"/>
                <w:szCs w:val="21"/>
                <w:highlight w:val="none"/>
                <w:lang w:eastAsia="zh-CN"/>
              </w:rPr>
              <w:t>号）相关</w:t>
            </w:r>
            <w:r>
              <w:rPr>
                <w:rFonts w:hint="eastAsia" w:ascii="仿宋" w:hAnsi="仿宋" w:eastAsia="仿宋" w:cs="仿宋"/>
                <w:sz w:val="21"/>
                <w:szCs w:val="21"/>
                <w:highlight w:val="none"/>
                <w:lang w:eastAsia="zh-CN"/>
              </w:rPr>
              <w:t xml:space="preserve"> 要求，政府采购节能产品、环境标志产品实施品目清单管理。财政部、发</w:t>
            </w:r>
            <w:r>
              <w:rPr>
                <w:rFonts w:hint="eastAsia" w:ascii="仿宋" w:hAnsi="仿宋" w:eastAsia="仿宋" w:cs="仿宋"/>
                <w:spacing w:val="3"/>
                <w:sz w:val="21"/>
                <w:szCs w:val="21"/>
                <w:highlight w:val="none"/>
                <w:lang w:eastAsia="zh-CN"/>
              </w:rPr>
              <w:t xml:space="preserve"> </w:t>
            </w:r>
            <w:r>
              <w:rPr>
                <w:rFonts w:hint="eastAsia" w:ascii="仿宋" w:hAnsi="仿宋" w:eastAsia="仿宋" w:cs="仿宋"/>
                <w:sz w:val="21"/>
                <w:szCs w:val="21"/>
                <w:highlight w:val="none"/>
                <w:lang w:eastAsia="zh-CN"/>
              </w:rPr>
              <w:t>展改革委、生态环境部等部门确定实施政府优先采购和强制采购的产品类</w:t>
            </w:r>
            <w:r>
              <w:rPr>
                <w:rFonts w:hint="eastAsia" w:ascii="仿宋" w:hAnsi="仿宋" w:eastAsia="仿宋" w:cs="仿宋"/>
                <w:spacing w:val="3"/>
                <w:sz w:val="21"/>
                <w:szCs w:val="21"/>
                <w:highlight w:val="none"/>
                <w:lang w:eastAsia="zh-CN"/>
              </w:rPr>
              <w:t xml:space="preserve"> </w:t>
            </w:r>
            <w:r>
              <w:rPr>
                <w:rFonts w:hint="eastAsia" w:ascii="仿宋" w:hAnsi="仿宋" w:eastAsia="仿宋" w:cs="仿宋"/>
                <w:spacing w:val="-2"/>
                <w:sz w:val="21"/>
                <w:szCs w:val="21"/>
                <w:highlight w:val="none"/>
                <w:lang w:eastAsia="zh-CN"/>
              </w:rPr>
              <w:t>别，以品目清单的形式发布并适时调整。</w:t>
            </w:r>
          </w:p>
          <w:p w14:paraId="08B73CF6">
            <w:pPr>
              <w:pStyle w:val="18"/>
              <w:spacing w:before="93" w:line="266" w:lineRule="auto"/>
              <w:ind w:left="116" w:right="106" w:hanging="2"/>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2.本项目采购/产品属于节能产品政府采购品目清单中应强制采购的产品</w:t>
            </w:r>
            <w:r>
              <w:rPr>
                <w:rFonts w:hint="eastAsia" w:ascii="仿宋" w:hAnsi="仿宋" w:eastAsia="仿宋" w:cs="仿宋"/>
                <w:spacing w:val="8"/>
                <w:sz w:val="21"/>
                <w:szCs w:val="21"/>
                <w:highlight w:val="none"/>
                <w:lang w:eastAsia="zh-CN"/>
              </w:rPr>
              <w:t xml:space="preserve"> </w:t>
            </w:r>
            <w:r>
              <w:rPr>
                <w:rFonts w:hint="eastAsia" w:ascii="仿宋" w:hAnsi="仿宋" w:eastAsia="仿宋" w:cs="仿宋"/>
                <w:sz w:val="21"/>
                <w:szCs w:val="21"/>
                <w:highlight w:val="none"/>
                <w:lang w:eastAsia="zh-CN"/>
              </w:rPr>
              <w:t xml:space="preserve">范围，投标人应当按照第六章强制、优先采购产品承诺函格式进行承诺， </w:t>
            </w:r>
            <w:r>
              <w:rPr>
                <w:rFonts w:hint="eastAsia" w:ascii="仿宋" w:hAnsi="仿宋" w:eastAsia="仿宋" w:cs="仿宋"/>
                <w:spacing w:val="-1"/>
                <w:sz w:val="21"/>
                <w:szCs w:val="21"/>
                <w:highlight w:val="none"/>
                <w:lang w:eastAsia="zh-CN"/>
              </w:rPr>
              <w:t>否则作无效响应处理。</w:t>
            </w:r>
          </w:p>
          <w:p w14:paraId="78AA51AD">
            <w:pPr>
              <w:pStyle w:val="18"/>
              <w:spacing w:before="89" w:line="268" w:lineRule="auto"/>
              <w:ind w:left="112" w:right="105" w:firstLine="4"/>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3.本项目采购/产品属于节能产品政府采购品目清单中应优先采购的产品</w:t>
            </w:r>
            <w:r>
              <w:rPr>
                <w:rFonts w:hint="eastAsia" w:ascii="仿宋" w:hAnsi="仿宋" w:eastAsia="仿宋" w:cs="仿宋"/>
                <w:spacing w:val="6"/>
                <w:sz w:val="21"/>
                <w:szCs w:val="21"/>
                <w:highlight w:val="none"/>
                <w:lang w:eastAsia="zh-CN"/>
              </w:rPr>
              <w:t xml:space="preserve"> </w:t>
            </w:r>
            <w:r>
              <w:rPr>
                <w:rFonts w:hint="eastAsia" w:ascii="仿宋" w:hAnsi="仿宋" w:eastAsia="仿宋" w:cs="仿宋"/>
                <w:spacing w:val="-3"/>
                <w:sz w:val="21"/>
                <w:szCs w:val="21"/>
                <w:highlight w:val="none"/>
                <w:lang w:eastAsia="zh-CN"/>
              </w:rPr>
              <w:t>范围，本项目采购/产品属于环境标志产品政府采购品目清单中应优先采购</w:t>
            </w:r>
            <w:r>
              <w:rPr>
                <w:rFonts w:hint="eastAsia" w:ascii="仿宋" w:hAnsi="仿宋" w:eastAsia="仿宋" w:cs="仿宋"/>
                <w:sz w:val="21"/>
                <w:szCs w:val="21"/>
                <w:highlight w:val="none"/>
                <w:lang w:eastAsia="zh-CN"/>
              </w:rPr>
              <w:t xml:space="preserve"> 的产品范围，投标人可根据第六章技术方案格式要求提供经认证的节能、</w:t>
            </w:r>
            <w:r>
              <w:rPr>
                <w:rFonts w:hint="eastAsia" w:ascii="仿宋" w:hAnsi="仿宋" w:eastAsia="仿宋" w:cs="仿宋"/>
                <w:spacing w:val="4"/>
                <w:sz w:val="21"/>
                <w:szCs w:val="21"/>
                <w:highlight w:val="none"/>
                <w:lang w:eastAsia="zh-CN"/>
              </w:rPr>
              <w:t xml:space="preserve"> </w:t>
            </w:r>
            <w:r>
              <w:rPr>
                <w:rFonts w:hint="eastAsia" w:ascii="仿宋" w:hAnsi="仿宋" w:eastAsia="仿宋" w:cs="仿宋"/>
                <w:spacing w:val="-3"/>
                <w:sz w:val="21"/>
                <w:szCs w:val="21"/>
                <w:highlight w:val="none"/>
                <w:lang w:eastAsia="zh-CN"/>
              </w:rPr>
              <w:t>环境标志产品。</w:t>
            </w:r>
          </w:p>
          <w:p w14:paraId="390C4F69">
            <w:pPr>
              <w:pStyle w:val="18"/>
              <w:spacing w:before="94" w:line="267" w:lineRule="auto"/>
              <w:ind w:left="113" w:right="107" w:hanging="2"/>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4.响应产品属于中国政府采购网公布的《无线局域网认证产品政府采购清</w:t>
            </w:r>
            <w:r>
              <w:rPr>
                <w:rFonts w:hint="eastAsia" w:ascii="仿宋" w:hAnsi="仿宋" w:eastAsia="仿宋" w:cs="仿宋"/>
                <w:spacing w:val="4"/>
                <w:sz w:val="21"/>
                <w:szCs w:val="21"/>
                <w:highlight w:val="none"/>
                <w:lang w:eastAsia="zh-CN"/>
              </w:rPr>
              <w:t xml:space="preserve"> </w:t>
            </w:r>
            <w:r>
              <w:rPr>
                <w:rFonts w:hint="eastAsia" w:ascii="仿宋" w:hAnsi="仿宋" w:eastAsia="仿宋" w:cs="仿宋"/>
                <w:spacing w:val="-1"/>
                <w:sz w:val="21"/>
                <w:szCs w:val="21"/>
                <w:highlight w:val="none"/>
                <w:lang w:eastAsia="zh-CN"/>
              </w:rPr>
              <w:t>单》且在有效期内的，按《财政部</w:t>
            </w:r>
            <w:r>
              <w:rPr>
                <w:rFonts w:hint="eastAsia" w:ascii="仿宋" w:hAnsi="仿宋" w:eastAsia="仿宋" w:cs="仿宋"/>
                <w:spacing w:val="39"/>
                <w:sz w:val="21"/>
                <w:szCs w:val="21"/>
                <w:highlight w:val="none"/>
                <w:lang w:eastAsia="zh-CN"/>
              </w:rPr>
              <w:t xml:space="preserve"> </w:t>
            </w:r>
            <w:r>
              <w:rPr>
                <w:rFonts w:hint="eastAsia" w:ascii="仿宋" w:hAnsi="仿宋" w:eastAsia="仿宋" w:cs="仿宋"/>
                <w:spacing w:val="-1"/>
                <w:sz w:val="21"/>
                <w:szCs w:val="21"/>
                <w:highlight w:val="none"/>
                <w:lang w:eastAsia="zh-CN"/>
              </w:rPr>
              <w:t>国家发展改革委 信息产业</w:t>
            </w:r>
            <w:r>
              <w:rPr>
                <w:rFonts w:hint="eastAsia" w:ascii="仿宋" w:hAnsi="仿宋" w:eastAsia="仿宋" w:cs="仿宋"/>
                <w:spacing w:val="-2"/>
                <w:sz w:val="21"/>
                <w:szCs w:val="21"/>
                <w:highlight w:val="none"/>
                <w:lang w:eastAsia="zh-CN"/>
              </w:rPr>
              <w:t>部关于印发</w:t>
            </w:r>
            <w:r>
              <w:rPr>
                <w:rFonts w:hint="eastAsia" w:ascii="仿宋" w:hAnsi="仿宋" w:eastAsia="仿宋" w:cs="仿宋"/>
                <w:sz w:val="21"/>
                <w:szCs w:val="21"/>
                <w:highlight w:val="none"/>
                <w:lang w:eastAsia="zh-CN"/>
              </w:rPr>
              <w:t xml:space="preserve"> </w:t>
            </w:r>
            <w:r>
              <w:rPr>
                <w:rFonts w:hint="eastAsia" w:ascii="仿宋" w:hAnsi="仿宋" w:eastAsia="仿宋" w:cs="仿宋"/>
                <w:spacing w:val="-5"/>
                <w:sz w:val="21"/>
                <w:szCs w:val="21"/>
                <w:highlight w:val="none"/>
                <w:lang w:eastAsia="zh-CN"/>
              </w:rPr>
              <w:t>无线局域网产品政府采购实施意见的通知》（财库〔2005〕366</w:t>
            </w:r>
            <w:r>
              <w:rPr>
                <w:rFonts w:hint="eastAsia" w:ascii="仿宋" w:hAnsi="仿宋" w:eastAsia="仿宋" w:cs="仿宋"/>
                <w:spacing w:val="-28"/>
                <w:sz w:val="21"/>
                <w:szCs w:val="21"/>
                <w:highlight w:val="none"/>
                <w:lang w:eastAsia="zh-CN"/>
              </w:rPr>
              <w:t xml:space="preserve"> </w:t>
            </w:r>
            <w:r>
              <w:rPr>
                <w:rFonts w:hint="eastAsia" w:ascii="仿宋" w:hAnsi="仿宋" w:eastAsia="仿宋" w:cs="仿宋"/>
                <w:spacing w:val="-5"/>
                <w:sz w:val="21"/>
                <w:szCs w:val="21"/>
                <w:highlight w:val="none"/>
                <w:lang w:eastAsia="zh-CN"/>
              </w:rPr>
              <w:t>号）要求优</w:t>
            </w:r>
            <w:r>
              <w:rPr>
                <w:rFonts w:hint="eastAsia" w:ascii="仿宋" w:hAnsi="仿宋" w:eastAsia="仿宋" w:cs="仿宋"/>
                <w:sz w:val="21"/>
                <w:szCs w:val="21"/>
                <w:highlight w:val="none"/>
                <w:lang w:eastAsia="zh-CN"/>
              </w:rPr>
              <w:t xml:space="preserve"> </w:t>
            </w:r>
            <w:r>
              <w:rPr>
                <w:rFonts w:hint="eastAsia" w:ascii="仿宋" w:hAnsi="仿宋" w:eastAsia="仿宋" w:cs="仿宋"/>
                <w:spacing w:val="-2"/>
                <w:sz w:val="21"/>
                <w:szCs w:val="21"/>
                <w:highlight w:val="none"/>
                <w:lang w:eastAsia="zh-CN"/>
              </w:rPr>
              <w:t>先采购。</w:t>
            </w:r>
          </w:p>
        </w:tc>
      </w:tr>
      <w:tr w14:paraId="4DFED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736" w:type="dxa"/>
          </w:tcPr>
          <w:p w14:paraId="01D9E81F">
            <w:pPr>
              <w:spacing w:line="269" w:lineRule="auto"/>
              <w:rPr>
                <w:rFonts w:hint="eastAsia" w:ascii="仿宋" w:hAnsi="仿宋" w:eastAsia="仿宋" w:cs="仿宋"/>
                <w:sz w:val="21"/>
                <w:szCs w:val="21"/>
                <w:highlight w:val="none"/>
                <w:lang w:eastAsia="zh-CN"/>
              </w:rPr>
            </w:pPr>
          </w:p>
          <w:p w14:paraId="1FAA99B2">
            <w:pPr>
              <w:spacing w:line="269" w:lineRule="auto"/>
              <w:rPr>
                <w:rFonts w:hint="eastAsia" w:ascii="仿宋" w:hAnsi="仿宋" w:eastAsia="仿宋" w:cs="仿宋"/>
                <w:sz w:val="21"/>
                <w:szCs w:val="21"/>
                <w:highlight w:val="none"/>
                <w:lang w:eastAsia="zh-CN"/>
              </w:rPr>
            </w:pPr>
          </w:p>
          <w:p w14:paraId="6ED7107D">
            <w:pPr>
              <w:spacing w:line="269" w:lineRule="auto"/>
              <w:rPr>
                <w:rFonts w:hint="eastAsia" w:ascii="仿宋" w:hAnsi="仿宋" w:eastAsia="仿宋" w:cs="仿宋"/>
                <w:sz w:val="21"/>
                <w:szCs w:val="21"/>
                <w:highlight w:val="none"/>
                <w:lang w:eastAsia="zh-CN"/>
              </w:rPr>
            </w:pPr>
          </w:p>
          <w:p w14:paraId="4BA07F8C">
            <w:pPr>
              <w:spacing w:line="270" w:lineRule="auto"/>
              <w:rPr>
                <w:rFonts w:hint="eastAsia" w:ascii="仿宋" w:hAnsi="仿宋" w:eastAsia="仿宋" w:cs="仿宋"/>
                <w:sz w:val="21"/>
                <w:szCs w:val="21"/>
                <w:highlight w:val="none"/>
                <w:lang w:eastAsia="zh-CN"/>
              </w:rPr>
            </w:pPr>
          </w:p>
          <w:p w14:paraId="674A0CAD">
            <w:pPr>
              <w:pStyle w:val="18"/>
              <w:spacing w:before="68" w:line="182" w:lineRule="auto"/>
              <w:ind w:left="312"/>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734" w:type="dxa"/>
          </w:tcPr>
          <w:p w14:paraId="1ED53B7E">
            <w:pPr>
              <w:pStyle w:val="18"/>
              <w:spacing w:before="183" w:line="270" w:lineRule="auto"/>
              <w:ind w:left="111" w:right="87" w:firstLine="6"/>
              <w:jc w:val="both"/>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小微企业（监狱企业、</w:t>
            </w:r>
            <w:r>
              <w:rPr>
                <w:rFonts w:hint="eastAsia" w:ascii="仿宋" w:hAnsi="仿宋" w:eastAsia="仿宋" w:cs="仿宋"/>
                <w:spacing w:val="6"/>
                <w:sz w:val="21"/>
                <w:szCs w:val="21"/>
                <w:highlight w:val="none"/>
                <w:lang w:eastAsia="zh-CN"/>
              </w:rPr>
              <w:t xml:space="preserve"> </w:t>
            </w:r>
            <w:r>
              <w:rPr>
                <w:rFonts w:hint="eastAsia" w:ascii="仿宋" w:hAnsi="仿宋" w:eastAsia="仿宋" w:cs="仿宋"/>
                <w:spacing w:val="17"/>
                <w:sz w:val="21"/>
                <w:szCs w:val="21"/>
                <w:highlight w:val="none"/>
                <w:lang w:eastAsia="zh-CN"/>
              </w:rPr>
              <w:t>残疾人福利性单位视</w:t>
            </w:r>
            <w:r>
              <w:rPr>
                <w:rFonts w:hint="eastAsia" w:ascii="仿宋" w:hAnsi="仿宋" w:eastAsia="仿宋" w:cs="仿宋"/>
                <w:spacing w:val="3"/>
                <w:sz w:val="21"/>
                <w:szCs w:val="21"/>
                <w:highlight w:val="none"/>
                <w:lang w:eastAsia="zh-CN"/>
              </w:rPr>
              <w:t xml:space="preserve"> </w:t>
            </w:r>
            <w:r>
              <w:rPr>
                <w:rFonts w:hint="eastAsia" w:ascii="仿宋" w:hAnsi="仿宋" w:eastAsia="仿宋" w:cs="仿宋"/>
                <w:spacing w:val="-6"/>
                <w:sz w:val="21"/>
                <w:szCs w:val="21"/>
                <w:highlight w:val="none"/>
                <w:lang w:eastAsia="zh-CN"/>
              </w:rPr>
              <w:t>同小微企业）价格扣除</w:t>
            </w:r>
            <w:r>
              <w:rPr>
                <w:rFonts w:hint="eastAsia" w:ascii="仿宋" w:hAnsi="仿宋" w:eastAsia="仿宋" w:cs="仿宋"/>
                <w:spacing w:val="6"/>
                <w:sz w:val="21"/>
                <w:szCs w:val="21"/>
                <w:highlight w:val="none"/>
                <w:lang w:eastAsia="zh-CN"/>
              </w:rPr>
              <w:t xml:space="preserve"> </w:t>
            </w:r>
            <w:r>
              <w:rPr>
                <w:rFonts w:hint="eastAsia" w:ascii="仿宋" w:hAnsi="仿宋" w:eastAsia="仿宋" w:cs="仿宋"/>
                <w:spacing w:val="16"/>
                <w:sz w:val="21"/>
                <w:szCs w:val="21"/>
                <w:highlight w:val="none"/>
                <w:lang w:eastAsia="zh-CN"/>
              </w:rPr>
              <w:t>（仅非预留份额采购</w:t>
            </w:r>
            <w:r>
              <w:rPr>
                <w:rFonts w:hint="eastAsia" w:ascii="仿宋" w:hAnsi="仿宋" w:eastAsia="仿宋" w:cs="仿宋"/>
                <w:spacing w:val="1"/>
                <w:sz w:val="21"/>
                <w:szCs w:val="21"/>
                <w:highlight w:val="none"/>
                <w:lang w:eastAsia="zh-CN"/>
              </w:rPr>
              <w:t xml:space="preserve"> </w:t>
            </w:r>
            <w:r>
              <w:rPr>
                <w:rFonts w:hint="eastAsia" w:ascii="仿宋" w:hAnsi="仿宋" w:eastAsia="仿宋" w:cs="仿宋"/>
                <w:spacing w:val="17"/>
                <w:sz w:val="21"/>
                <w:szCs w:val="21"/>
                <w:highlight w:val="none"/>
                <w:lang w:eastAsia="zh-CN"/>
              </w:rPr>
              <w:t>项目或预留份额采购</w:t>
            </w:r>
            <w:r>
              <w:rPr>
                <w:rFonts w:hint="eastAsia" w:ascii="仿宋" w:hAnsi="仿宋" w:eastAsia="仿宋" w:cs="仿宋"/>
                <w:spacing w:val="3"/>
                <w:sz w:val="21"/>
                <w:szCs w:val="21"/>
                <w:highlight w:val="none"/>
                <w:lang w:eastAsia="zh-CN"/>
              </w:rPr>
              <w:t xml:space="preserve"> </w:t>
            </w:r>
            <w:r>
              <w:rPr>
                <w:rFonts w:hint="eastAsia" w:ascii="仿宋" w:hAnsi="仿宋" w:eastAsia="仿宋" w:cs="仿宋"/>
                <w:spacing w:val="17"/>
                <w:sz w:val="21"/>
                <w:szCs w:val="21"/>
                <w:highlight w:val="none"/>
                <w:lang w:eastAsia="zh-CN"/>
              </w:rPr>
              <w:t>项目中的非预留部分</w:t>
            </w:r>
            <w:r>
              <w:rPr>
                <w:rFonts w:hint="eastAsia" w:ascii="仿宋" w:hAnsi="仿宋" w:eastAsia="仿宋" w:cs="仿宋"/>
                <w:spacing w:val="3"/>
                <w:sz w:val="21"/>
                <w:szCs w:val="21"/>
                <w:highlight w:val="none"/>
                <w:lang w:eastAsia="zh-CN"/>
              </w:rPr>
              <w:t xml:space="preserve"> </w:t>
            </w:r>
            <w:r>
              <w:rPr>
                <w:rFonts w:hint="eastAsia" w:ascii="仿宋" w:hAnsi="仿宋" w:eastAsia="仿宋" w:cs="仿宋"/>
                <w:spacing w:val="-1"/>
                <w:sz w:val="21"/>
                <w:szCs w:val="21"/>
                <w:highlight w:val="none"/>
                <w:lang w:eastAsia="zh-CN"/>
              </w:rPr>
              <w:t>采购包适用）</w:t>
            </w:r>
          </w:p>
        </w:tc>
        <w:tc>
          <w:tcPr>
            <w:tcW w:w="7945" w:type="dxa"/>
          </w:tcPr>
          <w:p w14:paraId="755800CD">
            <w:pPr>
              <w:pStyle w:val="18"/>
              <w:spacing w:before="119" w:line="260" w:lineRule="auto"/>
              <w:ind w:left="114" w:right="122" w:firstLine="4"/>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 xml:space="preserve">（仅非预留份额采购项目或预留份额采购项目中的非预留部分采购包适 </w:t>
            </w:r>
            <w:r>
              <w:rPr>
                <w:rFonts w:hint="eastAsia" w:ascii="仿宋" w:hAnsi="仿宋" w:eastAsia="仿宋" w:cs="仿宋"/>
                <w:spacing w:val="-3"/>
                <w:sz w:val="21"/>
                <w:szCs w:val="21"/>
                <w:highlight w:val="none"/>
                <w:lang w:eastAsia="zh-CN"/>
              </w:rPr>
              <w:t>用）根据《政府采购促进中小企业发展管理办法》（财库〔</w:t>
            </w:r>
            <w:r>
              <w:rPr>
                <w:rFonts w:hint="eastAsia" w:ascii="仿宋" w:hAnsi="仿宋" w:eastAsia="仿宋" w:cs="仿宋"/>
                <w:spacing w:val="-4"/>
                <w:sz w:val="21"/>
                <w:szCs w:val="21"/>
                <w:highlight w:val="none"/>
                <w:lang w:eastAsia="zh-CN"/>
              </w:rPr>
              <w:t>2020〕46 号）</w:t>
            </w:r>
          </w:p>
          <w:p w14:paraId="4C23A2DF">
            <w:pPr>
              <w:pStyle w:val="18"/>
              <w:spacing w:before="31" w:line="261" w:lineRule="auto"/>
              <w:ind w:left="136" w:right="109" w:hanging="24"/>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第九条和《关于进一步加大政府采购支持中小企业力度的通</w:t>
            </w:r>
            <w:r>
              <w:rPr>
                <w:rFonts w:hint="eastAsia" w:ascii="仿宋" w:hAnsi="仿宋" w:eastAsia="仿宋" w:cs="仿宋"/>
                <w:spacing w:val="6"/>
                <w:sz w:val="21"/>
                <w:szCs w:val="21"/>
                <w:highlight w:val="none"/>
                <w:lang w:eastAsia="zh-CN"/>
              </w:rPr>
              <w:t>知》（财库</w:t>
            </w:r>
            <w:r>
              <w:rPr>
                <w:rFonts w:hint="eastAsia" w:ascii="仿宋" w:hAnsi="仿宋" w:eastAsia="仿宋" w:cs="仿宋"/>
                <w:sz w:val="21"/>
                <w:szCs w:val="21"/>
                <w:highlight w:val="none"/>
                <w:lang w:eastAsia="zh-CN"/>
              </w:rPr>
              <w:t xml:space="preserve"> </w:t>
            </w:r>
            <w:r>
              <w:rPr>
                <w:rFonts w:hint="eastAsia" w:ascii="仿宋" w:hAnsi="仿宋" w:eastAsia="仿宋" w:cs="仿宋"/>
                <w:spacing w:val="-4"/>
                <w:sz w:val="21"/>
                <w:szCs w:val="21"/>
                <w:highlight w:val="none"/>
                <w:lang w:eastAsia="zh-CN"/>
              </w:rPr>
              <w:t>〔2022〕19</w:t>
            </w:r>
            <w:r>
              <w:rPr>
                <w:rFonts w:hint="eastAsia" w:ascii="仿宋" w:hAnsi="仿宋" w:eastAsia="仿宋" w:cs="仿宋"/>
                <w:spacing w:val="-28"/>
                <w:sz w:val="21"/>
                <w:szCs w:val="21"/>
                <w:highlight w:val="none"/>
                <w:lang w:eastAsia="zh-CN"/>
              </w:rPr>
              <w:t xml:space="preserve"> </w:t>
            </w:r>
            <w:r>
              <w:rPr>
                <w:rFonts w:hint="eastAsia" w:ascii="仿宋" w:hAnsi="仿宋" w:eastAsia="仿宋" w:cs="仿宋"/>
                <w:spacing w:val="-4"/>
                <w:sz w:val="21"/>
                <w:szCs w:val="21"/>
                <w:highlight w:val="none"/>
                <w:lang w:eastAsia="zh-CN"/>
              </w:rPr>
              <w:t>号）的规定。</w:t>
            </w:r>
          </w:p>
          <w:p w14:paraId="0E2C1C28">
            <w:pPr>
              <w:pStyle w:val="18"/>
              <w:spacing w:before="92" w:line="260" w:lineRule="auto"/>
              <w:ind w:left="112" w:right="107" w:firstLine="3"/>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 xml:space="preserve">关于本项目采购包中执行小微企业（监狱企业、残疾人福利性单位视同小 </w:t>
            </w:r>
            <w:r>
              <w:rPr>
                <w:rFonts w:hint="eastAsia" w:ascii="仿宋" w:hAnsi="仿宋" w:eastAsia="仿宋" w:cs="仿宋"/>
                <w:spacing w:val="-1"/>
                <w:sz w:val="21"/>
                <w:szCs w:val="21"/>
                <w:highlight w:val="none"/>
                <w:lang w:eastAsia="zh-CN"/>
              </w:rPr>
              <w:t>微企业）价格扣除情况、具体扣除比例和规则详见第五章。</w:t>
            </w:r>
          </w:p>
          <w:p w14:paraId="4D40E786">
            <w:pPr>
              <w:pStyle w:val="18"/>
              <w:spacing w:before="92" w:line="221" w:lineRule="auto"/>
              <w:ind w:left="118"/>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（其他情形）不适用。</w:t>
            </w:r>
          </w:p>
        </w:tc>
      </w:tr>
      <w:tr w14:paraId="1F447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jc w:val="center"/>
        </w:trPr>
        <w:tc>
          <w:tcPr>
            <w:tcW w:w="736" w:type="dxa"/>
          </w:tcPr>
          <w:p w14:paraId="4416DE8F">
            <w:pPr>
              <w:spacing w:line="292" w:lineRule="auto"/>
              <w:rPr>
                <w:rFonts w:hint="eastAsia" w:ascii="仿宋" w:hAnsi="仿宋" w:eastAsia="仿宋" w:cs="仿宋"/>
                <w:sz w:val="21"/>
                <w:szCs w:val="21"/>
                <w:highlight w:val="none"/>
              </w:rPr>
            </w:pPr>
          </w:p>
          <w:p w14:paraId="3C64EB64">
            <w:pPr>
              <w:spacing w:line="292" w:lineRule="auto"/>
              <w:rPr>
                <w:rFonts w:hint="eastAsia" w:ascii="仿宋" w:hAnsi="仿宋" w:eastAsia="仿宋" w:cs="仿宋"/>
                <w:sz w:val="21"/>
                <w:szCs w:val="21"/>
                <w:highlight w:val="none"/>
              </w:rPr>
            </w:pPr>
          </w:p>
          <w:p w14:paraId="06A73432">
            <w:pPr>
              <w:spacing w:line="292" w:lineRule="auto"/>
              <w:rPr>
                <w:rFonts w:hint="eastAsia" w:ascii="仿宋" w:hAnsi="仿宋" w:eastAsia="仿宋" w:cs="仿宋"/>
                <w:sz w:val="21"/>
                <w:szCs w:val="21"/>
                <w:highlight w:val="none"/>
              </w:rPr>
            </w:pPr>
          </w:p>
          <w:p w14:paraId="578A25F9">
            <w:pPr>
              <w:spacing w:line="292" w:lineRule="auto"/>
              <w:rPr>
                <w:rFonts w:hint="eastAsia" w:ascii="仿宋" w:hAnsi="仿宋" w:eastAsia="仿宋" w:cs="仿宋"/>
                <w:sz w:val="21"/>
                <w:szCs w:val="21"/>
                <w:highlight w:val="none"/>
              </w:rPr>
            </w:pPr>
          </w:p>
          <w:p w14:paraId="69DFAA0E">
            <w:pPr>
              <w:pStyle w:val="18"/>
              <w:spacing w:before="68" w:line="181" w:lineRule="auto"/>
              <w:ind w:left="315"/>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734" w:type="dxa"/>
          </w:tcPr>
          <w:p w14:paraId="448BCACE">
            <w:pPr>
              <w:spacing w:line="243" w:lineRule="auto"/>
              <w:rPr>
                <w:rFonts w:hint="eastAsia" w:ascii="仿宋" w:hAnsi="仿宋" w:eastAsia="仿宋" w:cs="仿宋"/>
                <w:sz w:val="21"/>
                <w:szCs w:val="21"/>
                <w:highlight w:val="none"/>
                <w:lang w:eastAsia="zh-CN"/>
              </w:rPr>
            </w:pPr>
          </w:p>
          <w:p w14:paraId="41F01402">
            <w:pPr>
              <w:spacing w:line="244" w:lineRule="auto"/>
              <w:rPr>
                <w:rFonts w:hint="eastAsia" w:ascii="仿宋" w:hAnsi="仿宋" w:eastAsia="仿宋" w:cs="仿宋"/>
                <w:sz w:val="21"/>
                <w:szCs w:val="21"/>
                <w:highlight w:val="none"/>
                <w:lang w:eastAsia="zh-CN"/>
              </w:rPr>
            </w:pPr>
          </w:p>
          <w:p w14:paraId="323C5C08">
            <w:pPr>
              <w:spacing w:line="244" w:lineRule="auto"/>
              <w:rPr>
                <w:rFonts w:hint="eastAsia" w:ascii="仿宋" w:hAnsi="仿宋" w:eastAsia="仿宋" w:cs="仿宋"/>
                <w:sz w:val="21"/>
                <w:szCs w:val="21"/>
                <w:highlight w:val="none"/>
                <w:lang w:eastAsia="zh-CN"/>
              </w:rPr>
            </w:pPr>
          </w:p>
          <w:p w14:paraId="50A36770">
            <w:pPr>
              <w:spacing w:line="244" w:lineRule="auto"/>
              <w:rPr>
                <w:rFonts w:hint="eastAsia" w:ascii="仿宋" w:hAnsi="仿宋" w:eastAsia="仿宋" w:cs="仿宋"/>
                <w:sz w:val="21"/>
                <w:szCs w:val="21"/>
                <w:highlight w:val="none"/>
                <w:lang w:eastAsia="zh-CN"/>
              </w:rPr>
            </w:pPr>
          </w:p>
          <w:p w14:paraId="27C406EF">
            <w:pPr>
              <w:pStyle w:val="18"/>
              <w:spacing w:before="68" w:line="262" w:lineRule="auto"/>
              <w:ind w:left="111" w:right="104" w:firstLine="3"/>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充分、公平竞争保障措</w:t>
            </w:r>
            <w:r>
              <w:rPr>
                <w:rFonts w:hint="eastAsia" w:ascii="仿宋" w:hAnsi="仿宋" w:eastAsia="仿宋" w:cs="仿宋"/>
                <w:spacing w:val="2"/>
                <w:sz w:val="21"/>
                <w:szCs w:val="21"/>
                <w:highlight w:val="none"/>
                <w:lang w:eastAsia="zh-CN"/>
              </w:rPr>
              <w:t xml:space="preserve"> </w:t>
            </w:r>
            <w:r>
              <w:rPr>
                <w:rFonts w:hint="eastAsia" w:ascii="仿宋" w:hAnsi="仿宋" w:eastAsia="仿宋" w:cs="仿宋"/>
                <w:spacing w:val="-1"/>
                <w:sz w:val="21"/>
                <w:szCs w:val="21"/>
                <w:highlight w:val="none"/>
                <w:lang w:eastAsia="zh-CN"/>
              </w:rPr>
              <w:t>施（实质性要求）</w:t>
            </w:r>
          </w:p>
        </w:tc>
        <w:tc>
          <w:tcPr>
            <w:tcW w:w="7945" w:type="dxa"/>
          </w:tcPr>
          <w:p w14:paraId="264AD119">
            <w:pPr>
              <w:pStyle w:val="18"/>
              <w:spacing w:before="114" w:line="271" w:lineRule="auto"/>
              <w:ind w:left="111" w:right="105" w:firstLine="3"/>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核心产品允许有多个，不同投标人提供了任意一个相同品牌的核心产品，</w:t>
            </w:r>
            <w:r>
              <w:rPr>
                <w:rFonts w:hint="eastAsia" w:ascii="仿宋" w:hAnsi="仿宋" w:eastAsia="仿宋" w:cs="仿宋"/>
                <w:spacing w:val="2"/>
                <w:sz w:val="21"/>
                <w:szCs w:val="21"/>
                <w:highlight w:val="none"/>
                <w:lang w:eastAsia="zh-CN"/>
              </w:rPr>
              <w:t xml:space="preserve"> </w:t>
            </w:r>
            <w:r>
              <w:rPr>
                <w:rFonts w:hint="eastAsia" w:ascii="仿宋" w:hAnsi="仿宋" w:eastAsia="仿宋" w:cs="仿宋"/>
                <w:spacing w:val="-2"/>
                <w:sz w:val="21"/>
                <w:szCs w:val="21"/>
                <w:highlight w:val="none"/>
                <w:lang w:eastAsia="zh-CN"/>
              </w:rPr>
              <w:t>即视为提供相同品牌的投标人。</w:t>
            </w:r>
            <w:r>
              <w:rPr>
                <w:rFonts w:hint="eastAsia" w:ascii="仿宋" w:hAnsi="仿宋" w:eastAsia="仿宋" w:cs="仿宋"/>
                <w:spacing w:val="-34"/>
                <w:sz w:val="21"/>
                <w:szCs w:val="21"/>
                <w:highlight w:val="none"/>
                <w:lang w:eastAsia="zh-CN"/>
              </w:rPr>
              <w:t xml:space="preserve"> </w:t>
            </w:r>
            <w:r>
              <w:rPr>
                <w:rFonts w:hint="eastAsia" w:ascii="仿宋" w:hAnsi="仿宋" w:eastAsia="仿宋" w:cs="仿宋"/>
                <w:spacing w:val="-2"/>
                <w:sz w:val="21"/>
                <w:szCs w:val="21"/>
                <w:highlight w:val="none"/>
                <w:lang w:eastAsia="zh-CN"/>
              </w:rPr>
              <w:t>提供相同品牌产品且通过资格审查、符合</w:t>
            </w:r>
            <w:r>
              <w:rPr>
                <w:rFonts w:hint="eastAsia" w:ascii="仿宋" w:hAnsi="仿宋" w:eastAsia="仿宋" w:cs="仿宋"/>
                <w:sz w:val="21"/>
                <w:szCs w:val="21"/>
                <w:highlight w:val="none"/>
                <w:lang w:eastAsia="zh-CN"/>
              </w:rPr>
              <w:t xml:space="preserve"> 性审查的不同投标人参加同一合同项下采购活动的，按一家投标人计算，</w:t>
            </w:r>
            <w:r>
              <w:rPr>
                <w:rFonts w:hint="eastAsia" w:ascii="仿宋" w:hAnsi="仿宋" w:eastAsia="仿宋" w:cs="仿宋"/>
                <w:spacing w:val="5"/>
                <w:sz w:val="21"/>
                <w:szCs w:val="21"/>
                <w:highlight w:val="none"/>
                <w:lang w:eastAsia="zh-CN"/>
              </w:rPr>
              <w:t xml:space="preserve"> </w:t>
            </w:r>
            <w:r>
              <w:rPr>
                <w:rFonts w:hint="eastAsia" w:ascii="仿宋" w:hAnsi="仿宋" w:eastAsia="仿宋" w:cs="仿宋"/>
                <w:sz w:val="21"/>
                <w:szCs w:val="21"/>
                <w:highlight w:val="none"/>
                <w:lang w:eastAsia="zh-CN"/>
              </w:rPr>
              <w:t>评审后得分最高的同品牌投标人获得中标候选人推荐资格；最后评审得分</w:t>
            </w:r>
            <w:r>
              <w:rPr>
                <w:rFonts w:hint="eastAsia" w:ascii="仿宋" w:hAnsi="仿宋" w:eastAsia="仿宋" w:cs="仿宋"/>
                <w:spacing w:val="4"/>
                <w:sz w:val="21"/>
                <w:szCs w:val="21"/>
                <w:highlight w:val="none"/>
                <w:lang w:eastAsia="zh-CN"/>
              </w:rPr>
              <w:t xml:space="preserve"> </w:t>
            </w:r>
            <w:r>
              <w:rPr>
                <w:rFonts w:hint="eastAsia" w:ascii="仿宋" w:hAnsi="仿宋" w:eastAsia="仿宋" w:cs="仿宋"/>
                <w:sz w:val="21"/>
                <w:szCs w:val="21"/>
                <w:highlight w:val="none"/>
                <w:lang w:eastAsia="zh-CN"/>
              </w:rPr>
              <w:t>相同的，由采购人或者采购人委托评标委员会采取随机抽取方式确定一个</w:t>
            </w:r>
            <w:r>
              <w:rPr>
                <w:rFonts w:hint="eastAsia" w:ascii="仿宋" w:hAnsi="仿宋" w:eastAsia="仿宋" w:cs="仿宋"/>
                <w:spacing w:val="4"/>
                <w:sz w:val="21"/>
                <w:szCs w:val="21"/>
                <w:highlight w:val="none"/>
                <w:lang w:eastAsia="zh-CN"/>
              </w:rPr>
              <w:t xml:space="preserve"> </w:t>
            </w:r>
            <w:r>
              <w:rPr>
                <w:rFonts w:hint="eastAsia" w:ascii="仿宋" w:hAnsi="仿宋" w:eastAsia="仿宋" w:cs="仿宋"/>
                <w:sz w:val="21"/>
                <w:szCs w:val="21"/>
                <w:highlight w:val="none"/>
                <w:lang w:eastAsia="zh-CN"/>
              </w:rPr>
              <w:t>投标人获得中标候选人推荐资格，其他同品牌投标人不作为中标候选人。</w:t>
            </w:r>
            <w:r>
              <w:rPr>
                <w:rFonts w:hint="eastAsia" w:ascii="仿宋" w:hAnsi="仿宋" w:eastAsia="仿宋" w:cs="仿宋"/>
                <w:spacing w:val="5"/>
                <w:sz w:val="21"/>
                <w:szCs w:val="21"/>
                <w:highlight w:val="none"/>
                <w:lang w:eastAsia="zh-CN"/>
              </w:rPr>
              <w:t xml:space="preserve"> </w:t>
            </w:r>
            <w:r>
              <w:rPr>
                <w:rFonts w:hint="eastAsia" w:ascii="仿宋" w:hAnsi="仿宋" w:eastAsia="仿宋" w:cs="仿宋"/>
                <w:spacing w:val="-2"/>
                <w:sz w:val="21"/>
                <w:szCs w:val="21"/>
                <w:highlight w:val="none"/>
                <w:lang w:eastAsia="zh-CN"/>
              </w:rPr>
              <w:t>核心产品清单详见第三章。</w:t>
            </w:r>
            <w:r>
              <w:rPr>
                <w:rFonts w:hint="eastAsia" w:ascii="仿宋" w:hAnsi="仿宋" w:eastAsia="仿宋" w:cs="仿宋"/>
                <w:spacing w:val="-34"/>
                <w:sz w:val="21"/>
                <w:szCs w:val="21"/>
                <w:highlight w:val="none"/>
                <w:lang w:eastAsia="zh-CN"/>
              </w:rPr>
              <w:t xml:space="preserve"> </w:t>
            </w:r>
            <w:r>
              <w:rPr>
                <w:rFonts w:hint="eastAsia" w:ascii="仿宋" w:hAnsi="仿宋" w:eastAsia="仿宋" w:cs="仿宋"/>
                <w:spacing w:val="-2"/>
                <w:sz w:val="21"/>
                <w:szCs w:val="21"/>
                <w:highlight w:val="none"/>
                <w:lang w:eastAsia="zh-CN"/>
              </w:rPr>
              <w:t>在符合性审查、有效报价环节提供核心产品品</w:t>
            </w:r>
            <w:r>
              <w:rPr>
                <w:rFonts w:hint="eastAsia" w:ascii="仿宋" w:hAnsi="仿宋" w:eastAsia="仿宋" w:cs="仿宋"/>
                <w:sz w:val="21"/>
                <w:szCs w:val="21"/>
                <w:highlight w:val="none"/>
                <w:lang w:eastAsia="zh-CN"/>
              </w:rPr>
              <w:t xml:space="preserve"> </w:t>
            </w:r>
            <w:r>
              <w:rPr>
                <w:rFonts w:hint="eastAsia" w:ascii="仿宋" w:hAnsi="仿宋" w:eastAsia="仿宋" w:cs="仿宋"/>
                <w:spacing w:val="-4"/>
                <w:sz w:val="21"/>
                <w:szCs w:val="21"/>
                <w:highlight w:val="none"/>
                <w:lang w:eastAsia="zh-CN"/>
              </w:rPr>
              <w:t>牌不足</w:t>
            </w:r>
            <w:r>
              <w:rPr>
                <w:rFonts w:hint="eastAsia" w:ascii="仿宋" w:hAnsi="仿宋" w:eastAsia="仿宋" w:cs="仿宋"/>
                <w:spacing w:val="-24"/>
                <w:sz w:val="21"/>
                <w:szCs w:val="21"/>
                <w:highlight w:val="none"/>
                <w:lang w:eastAsia="zh-CN"/>
              </w:rPr>
              <w:t xml:space="preserve"> </w:t>
            </w:r>
            <w:r>
              <w:rPr>
                <w:rFonts w:hint="eastAsia" w:ascii="仿宋" w:hAnsi="仿宋" w:eastAsia="仿宋" w:cs="仿宋"/>
                <w:spacing w:val="-4"/>
                <w:sz w:val="21"/>
                <w:szCs w:val="21"/>
                <w:highlight w:val="none"/>
                <w:lang w:eastAsia="zh-CN"/>
              </w:rPr>
              <w:t>3</w:t>
            </w:r>
            <w:r>
              <w:rPr>
                <w:rFonts w:hint="eastAsia" w:ascii="仿宋" w:hAnsi="仿宋" w:eastAsia="仿宋" w:cs="仿宋"/>
                <w:spacing w:val="-43"/>
                <w:sz w:val="21"/>
                <w:szCs w:val="21"/>
                <w:highlight w:val="none"/>
                <w:lang w:eastAsia="zh-CN"/>
              </w:rPr>
              <w:t xml:space="preserve"> </w:t>
            </w:r>
            <w:r>
              <w:rPr>
                <w:rFonts w:hint="eastAsia" w:ascii="仿宋" w:hAnsi="仿宋" w:eastAsia="仿宋" w:cs="仿宋"/>
                <w:spacing w:val="-4"/>
                <w:sz w:val="21"/>
                <w:szCs w:val="21"/>
                <w:highlight w:val="none"/>
                <w:lang w:eastAsia="zh-CN"/>
              </w:rPr>
              <w:t>个的，视为有效投标人不足</w:t>
            </w:r>
            <w:r>
              <w:rPr>
                <w:rFonts w:hint="eastAsia" w:ascii="仿宋" w:hAnsi="仿宋" w:eastAsia="仿宋" w:cs="仿宋"/>
                <w:spacing w:val="-40"/>
                <w:sz w:val="21"/>
                <w:szCs w:val="21"/>
                <w:highlight w:val="none"/>
                <w:lang w:eastAsia="zh-CN"/>
              </w:rPr>
              <w:t xml:space="preserve"> </w:t>
            </w:r>
            <w:r>
              <w:rPr>
                <w:rFonts w:hint="eastAsia" w:ascii="仿宋" w:hAnsi="仿宋" w:eastAsia="仿宋" w:cs="仿宋"/>
                <w:spacing w:val="-4"/>
                <w:sz w:val="21"/>
                <w:szCs w:val="21"/>
                <w:highlight w:val="none"/>
                <w:lang w:eastAsia="zh-CN"/>
              </w:rPr>
              <w:t>3</w:t>
            </w:r>
            <w:r>
              <w:rPr>
                <w:rFonts w:hint="eastAsia" w:ascii="仿宋" w:hAnsi="仿宋" w:eastAsia="仿宋" w:cs="仿宋"/>
                <w:spacing w:val="-43"/>
                <w:sz w:val="21"/>
                <w:szCs w:val="21"/>
                <w:highlight w:val="none"/>
                <w:lang w:eastAsia="zh-CN"/>
              </w:rPr>
              <w:t xml:space="preserve"> </w:t>
            </w:r>
            <w:r>
              <w:rPr>
                <w:rFonts w:hint="eastAsia" w:ascii="仿宋" w:hAnsi="仿宋" w:eastAsia="仿宋" w:cs="仿宋"/>
                <w:spacing w:val="-4"/>
                <w:sz w:val="21"/>
                <w:szCs w:val="21"/>
                <w:highlight w:val="none"/>
                <w:lang w:eastAsia="zh-CN"/>
              </w:rPr>
              <w:t>家。</w:t>
            </w:r>
          </w:p>
        </w:tc>
      </w:tr>
      <w:tr w14:paraId="26CA0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jc w:val="center"/>
        </w:trPr>
        <w:tc>
          <w:tcPr>
            <w:tcW w:w="736" w:type="dxa"/>
          </w:tcPr>
          <w:p w14:paraId="1F9C6565">
            <w:pPr>
              <w:spacing w:line="253" w:lineRule="auto"/>
              <w:rPr>
                <w:rFonts w:hint="eastAsia" w:ascii="仿宋" w:hAnsi="仿宋" w:eastAsia="仿宋" w:cs="仿宋"/>
                <w:sz w:val="21"/>
                <w:szCs w:val="21"/>
                <w:highlight w:val="none"/>
                <w:lang w:eastAsia="zh-CN"/>
              </w:rPr>
            </w:pPr>
          </w:p>
          <w:p w14:paraId="4DEAA271">
            <w:pPr>
              <w:spacing w:line="253" w:lineRule="auto"/>
              <w:rPr>
                <w:rFonts w:hint="eastAsia" w:ascii="仿宋" w:hAnsi="仿宋" w:eastAsia="仿宋" w:cs="仿宋"/>
                <w:sz w:val="21"/>
                <w:szCs w:val="21"/>
                <w:highlight w:val="none"/>
                <w:lang w:eastAsia="zh-CN"/>
              </w:rPr>
            </w:pPr>
          </w:p>
          <w:p w14:paraId="3D669F38">
            <w:pPr>
              <w:spacing w:line="253" w:lineRule="auto"/>
              <w:rPr>
                <w:rFonts w:hint="eastAsia" w:ascii="仿宋" w:hAnsi="仿宋" w:eastAsia="仿宋" w:cs="仿宋"/>
                <w:sz w:val="21"/>
                <w:szCs w:val="21"/>
                <w:highlight w:val="none"/>
                <w:lang w:eastAsia="zh-CN"/>
              </w:rPr>
            </w:pPr>
          </w:p>
          <w:p w14:paraId="24F6FCD7">
            <w:pPr>
              <w:spacing w:line="253" w:lineRule="auto"/>
              <w:rPr>
                <w:rFonts w:hint="eastAsia" w:ascii="仿宋" w:hAnsi="仿宋" w:eastAsia="仿宋" w:cs="仿宋"/>
                <w:sz w:val="21"/>
                <w:szCs w:val="21"/>
                <w:highlight w:val="none"/>
                <w:lang w:eastAsia="zh-CN"/>
              </w:rPr>
            </w:pPr>
          </w:p>
          <w:p w14:paraId="324E8140">
            <w:pPr>
              <w:pStyle w:val="18"/>
              <w:spacing w:before="68" w:line="182" w:lineRule="auto"/>
              <w:ind w:left="311"/>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1734" w:type="dxa"/>
          </w:tcPr>
          <w:p w14:paraId="08C1301F">
            <w:pPr>
              <w:spacing w:line="274" w:lineRule="auto"/>
              <w:rPr>
                <w:rFonts w:hint="eastAsia" w:ascii="仿宋" w:hAnsi="仿宋" w:eastAsia="仿宋" w:cs="仿宋"/>
                <w:sz w:val="21"/>
                <w:szCs w:val="21"/>
                <w:highlight w:val="none"/>
                <w:lang w:eastAsia="zh-CN"/>
              </w:rPr>
            </w:pPr>
          </w:p>
          <w:p w14:paraId="765FCDC1">
            <w:pPr>
              <w:spacing w:line="274" w:lineRule="auto"/>
              <w:rPr>
                <w:rFonts w:hint="eastAsia" w:ascii="仿宋" w:hAnsi="仿宋" w:eastAsia="仿宋" w:cs="仿宋"/>
                <w:sz w:val="21"/>
                <w:szCs w:val="21"/>
                <w:highlight w:val="none"/>
                <w:lang w:eastAsia="zh-CN"/>
              </w:rPr>
            </w:pPr>
          </w:p>
          <w:p w14:paraId="546563AB">
            <w:pPr>
              <w:spacing w:line="274" w:lineRule="auto"/>
              <w:rPr>
                <w:rFonts w:hint="eastAsia" w:ascii="仿宋" w:hAnsi="仿宋" w:eastAsia="仿宋" w:cs="仿宋"/>
                <w:sz w:val="21"/>
                <w:szCs w:val="21"/>
                <w:highlight w:val="none"/>
                <w:lang w:eastAsia="zh-CN"/>
              </w:rPr>
            </w:pPr>
          </w:p>
          <w:p w14:paraId="50AD6904">
            <w:pPr>
              <w:pStyle w:val="18"/>
              <w:spacing w:before="68" w:line="261" w:lineRule="auto"/>
              <w:ind w:left="117" w:right="104" w:hanging="2"/>
              <w:rPr>
                <w:rFonts w:hint="eastAsia" w:ascii="仿宋" w:hAnsi="仿宋" w:eastAsia="仿宋" w:cs="仿宋"/>
                <w:sz w:val="21"/>
                <w:szCs w:val="21"/>
                <w:highlight w:val="none"/>
                <w:lang w:eastAsia="zh-CN"/>
              </w:rPr>
            </w:pPr>
            <w:r>
              <w:rPr>
                <w:rFonts w:hint="eastAsia" w:ascii="仿宋" w:hAnsi="仿宋" w:eastAsia="仿宋" w:cs="仿宋"/>
                <w:spacing w:val="16"/>
                <w:sz w:val="21"/>
                <w:szCs w:val="21"/>
                <w:highlight w:val="none"/>
                <w:lang w:eastAsia="zh-CN"/>
              </w:rPr>
              <w:t>不正当竞争预防措施</w:t>
            </w:r>
            <w:r>
              <w:rPr>
                <w:rFonts w:hint="eastAsia" w:ascii="仿宋" w:hAnsi="仿宋" w:eastAsia="仿宋" w:cs="仿宋"/>
                <w:spacing w:val="7"/>
                <w:sz w:val="21"/>
                <w:szCs w:val="21"/>
                <w:highlight w:val="none"/>
                <w:lang w:eastAsia="zh-CN"/>
              </w:rPr>
              <w:t xml:space="preserve"> </w:t>
            </w:r>
            <w:r>
              <w:rPr>
                <w:rFonts w:hint="eastAsia" w:ascii="仿宋" w:hAnsi="仿宋" w:eastAsia="仿宋" w:cs="仿宋"/>
                <w:spacing w:val="-3"/>
                <w:sz w:val="21"/>
                <w:szCs w:val="21"/>
                <w:highlight w:val="none"/>
                <w:lang w:eastAsia="zh-CN"/>
              </w:rPr>
              <w:t>（实质性要求）</w:t>
            </w:r>
          </w:p>
        </w:tc>
        <w:tc>
          <w:tcPr>
            <w:tcW w:w="7945" w:type="dxa"/>
          </w:tcPr>
          <w:p w14:paraId="27A2ACC0">
            <w:pPr>
              <w:pStyle w:val="18"/>
              <w:spacing w:before="117" w:line="270" w:lineRule="auto"/>
              <w:ind w:left="111" w:right="49"/>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在评标过程中，评标委员会认为投标人报价明显低于其他通过符合性审查</w:t>
            </w:r>
            <w:r>
              <w:rPr>
                <w:rFonts w:hint="eastAsia" w:ascii="仿宋" w:hAnsi="仿宋" w:eastAsia="仿宋" w:cs="仿宋"/>
                <w:spacing w:val="4"/>
                <w:sz w:val="21"/>
                <w:szCs w:val="21"/>
                <w:highlight w:val="none"/>
                <w:lang w:eastAsia="zh-CN"/>
              </w:rPr>
              <w:t xml:space="preserve"> </w:t>
            </w:r>
            <w:r>
              <w:rPr>
                <w:rFonts w:hint="eastAsia" w:ascii="仿宋" w:hAnsi="仿宋" w:eastAsia="仿宋" w:cs="仿宋"/>
                <w:sz w:val="21"/>
                <w:szCs w:val="21"/>
                <w:highlight w:val="none"/>
                <w:lang w:eastAsia="zh-CN"/>
              </w:rPr>
              <w:t>投标人的报价，有可能影响产品质量或者不能诚信履约的，评标委员会应</w:t>
            </w:r>
            <w:r>
              <w:rPr>
                <w:rFonts w:hint="eastAsia" w:ascii="仿宋" w:hAnsi="仿宋" w:eastAsia="仿宋" w:cs="仿宋"/>
                <w:spacing w:val="3"/>
                <w:sz w:val="21"/>
                <w:szCs w:val="21"/>
                <w:highlight w:val="none"/>
                <w:lang w:eastAsia="zh-CN"/>
              </w:rPr>
              <w:t xml:space="preserve"> </w:t>
            </w:r>
            <w:r>
              <w:rPr>
                <w:rFonts w:hint="eastAsia" w:ascii="仿宋" w:hAnsi="仿宋" w:eastAsia="仿宋" w:cs="仿宋"/>
                <w:sz w:val="21"/>
                <w:szCs w:val="21"/>
                <w:highlight w:val="none"/>
                <w:lang w:eastAsia="zh-CN"/>
              </w:rPr>
              <w:t>当要求其在合理的时间内通过项目电子化交易系统进行书面说明，必要时</w:t>
            </w:r>
            <w:r>
              <w:rPr>
                <w:rFonts w:hint="eastAsia" w:ascii="仿宋" w:hAnsi="仿宋" w:eastAsia="仿宋" w:cs="仿宋"/>
                <w:spacing w:val="3"/>
                <w:sz w:val="21"/>
                <w:szCs w:val="21"/>
                <w:highlight w:val="none"/>
                <w:lang w:eastAsia="zh-CN"/>
              </w:rPr>
              <w:t xml:space="preserve"> </w:t>
            </w:r>
            <w:r>
              <w:rPr>
                <w:rFonts w:hint="eastAsia" w:ascii="仿宋" w:hAnsi="仿宋" w:eastAsia="仿宋" w:cs="仿宋"/>
                <w:sz w:val="21"/>
                <w:szCs w:val="21"/>
                <w:highlight w:val="none"/>
                <w:lang w:eastAsia="zh-CN"/>
              </w:rPr>
              <w:t>提交相关证明材料。投标人提交的书面说明和相关证明材料，应当加盖投</w:t>
            </w:r>
            <w:r>
              <w:rPr>
                <w:rFonts w:hint="eastAsia" w:ascii="仿宋" w:hAnsi="仿宋" w:eastAsia="仿宋" w:cs="仿宋"/>
                <w:spacing w:val="3"/>
                <w:sz w:val="21"/>
                <w:szCs w:val="21"/>
                <w:highlight w:val="none"/>
                <w:lang w:eastAsia="zh-CN"/>
              </w:rPr>
              <w:t xml:space="preserve"> </w:t>
            </w:r>
            <w:r>
              <w:rPr>
                <w:rFonts w:hint="eastAsia" w:ascii="仿宋" w:hAnsi="仿宋" w:eastAsia="仿宋" w:cs="仿宋"/>
                <w:spacing w:val="-5"/>
                <w:sz w:val="21"/>
                <w:szCs w:val="21"/>
                <w:highlight w:val="none"/>
                <w:lang w:eastAsia="zh-CN"/>
              </w:rPr>
              <w:t>标人公章，在评标委员会要求的时间内通过项目电子化交易系统进行提交，</w:t>
            </w:r>
            <w:r>
              <w:rPr>
                <w:rFonts w:hint="eastAsia" w:ascii="仿宋" w:hAnsi="仿宋" w:eastAsia="仿宋" w:cs="仿宋"/>
                <w:spacing w:val="16"/>
                <w:sz w:val="21"/>
                <w:szCs w:val="21"/>
                <w:highlight w:val="none"/>
                <w:lang w:eastAsia="zh-CN"/>
              </w:rPr>
              <w:t xml:space="preserve"> </w:t>
            </w:r>
            <w:r>
              <w:rPr>
                <w:rFonts w:hint="eastAsia" w:ascii="仿宋" w:hAnsi="仿宋" w:eastAsia="仿宋" w:cs="仿宋"/>
                <w:sz w:val="21"/>
                <w:szCs w:val="21"/>
                <w:highlight w:val="none"/>
                <w:lang w:eastAsia="zh-CN"/>
              </w:rPr>
              <w:t>否则提交的相关材料无效，视为不能证明其投标报价合理性。投标人不能证明其投标报价合理性的，评标委员会应当将其投标文件作为无效</w:t>
            </w:r>
            <w:r>
              <w:rPr>
                <w:rFonts w:hint="eastAsia" w:ascii="仿宋" w:hAnsi="仿宋" w:eastAsia="仿宋" w:cs="仿宋"/>
                <w:spacing w:val="-1"/>
                <w:sz w:val="21"/>
                <w:szCs w:val="21"/>
                <w:highlight w:val="none"/>
                <w:lang w:eastAsia="zh-CN"/>
              </w:rPr>
              <w:t>处理。</w:t>
            </w:r>
          </w:p>
        </w:tc>
      </w:tr>
      <w:tr w14:paraId="78765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jc w:val="center"/>
        </w:trPr>
        <w:tc>
          <w:tcPr>
            <w:tcW w:w="736" w:type="dxa"/>
          </w:tcPr>
          <w:p w14:paraId="2EF96AEA">
            <w:pPr>
              <w:spacing w:line="245" w:lineRule="auto"/>
              <w:rPr>
                <w:rFonts w:hint="eastAsia" w:ascii="仿宋" w:hAnsi="仿宋" w:eastAsia="仿宋" w:cs="仿宋"/>
                <w:snapToGrid w:val="0"/>
                <w:color w:val="auto"/>
                <w:sz w:val="21"/>
                <w:szCs w:val="21"/>
                <w:highlight w:val="none"/>
                <w:lang w:val="en-US" w:eastAsia="zh-CN" w:bidi="ar-SA"/>
              </w:rPr>
            </w:pPr>
          </w:p>
          <w:p w14:paraId="39C15FE6">
            <w:pPr>
              <w:spacing w:line="246" w:lineRule="auto"/>
              <w:rPr>
                <w:rFonts w:hint="eastAsia" w:ascii="仿宋" w:hAnsi="仿宋" w:eastAsia="仿宋" w:cs="仿宋"/>
                <w:snapToGrid w:val="0"/>
                <w:color w:val="auto"/>
                <w:sz w:val="21"/>
                <w:szCs w:val="21"/>
                <w:highlight w:val="none"/>
                <w:lang w:val="en-US" w:eastAsia="zh-CN" w:bidi="ar-SA"/>
              </w:rPr>
            </w:pPr>
          </w:p>
          <w:p w14:paraId="4A88C1BC">
            <w:pPr>
              <w:pStyle w:val="18"/>
              <w:spacing w:before="68" w:line="182" w:lineRule="auto"/>
              <w:ind w:left="311"/>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9</w:t>
            </w:r>
          </w:p>
        </w:tc>
        <w:tc>
          <w:tcPr>
            <w:tcW w:w="1734" w:type="dxa"/>
          </w:tcPr>
          <w:p w14:paraId="7B7D3890">
            <w:pPr>
              <w:bidi w:val="0"/>
              <w:rPr>
                <w:rFonts w:hint="eastAsia" w:ascii="仿宋" w:hAnsi="仿宋" w:eastAsia="仿宋" w:cs="仿宋"/>
                <w:snapToGrid w:val="0"/>
                <w:color w:val="auto"/>
                <w:sz w:val="21"/>
                <w:szCs w:val="21"/>
                <w:highlight w:val="none"/>
                <w:lang w:val="en-US" w:eastAsia="zh-CN" w:bidi="ar-SA"/>
              </w:rPr>
            </w:pPr>
          </w:p>
          <w:p w14:paraId="0DEFE267">
            <w:pPr>
              <w:bidi w:val="0"/>
              <w:rPr>
                <w:rFonts w:hint="eastAsia" w:ascii="仿宋" w:hAnsi="仿宋" w:eastAsia="仿宋" w:cs="仿宋"/>
                <w:snapToGrid w:val="0"/>
                <w:color w:val="auto"/>
                <w:sz w:val="21"/>
                <w:szCs w:val="21"/>
                <w:highlight w:val="none"/>
                <w:lang w:val="en-US" w:eastAsia="zh-CN" w:bidi="ar-SA"/>
              </w:rPr>
            </w:pPr>
          </w:p>
          <w:p w14:paraId="4C2CDD46">
            <w:pPr>
              <w:bidi w:val="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投标保证金</w:t>
            </w:r>
          </w:p>
        </w:tc>
        <w:tc>
          <w:tcPr>
            <w:tcW w:w="7945" w:type="dxa"/>
          </w:tcPr>
          <w:p w14:paraId="307134D2">
            <w:pPr>
              <w:bidi w:val="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采购包 1 保证金金额：</w:t>
            </w:r>
          </w:p>
          <w:p w14:paraId="3D0BEFA6">
            <w:pPr>
              <w:bidi w:val="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缴交渠道：转账、支票、汇票等（需通过实体账户、户名及开户行信息）， 电子保函</w:t>
            </w:r>
          </w:p>
          <w:p w14:paraId="0DF592D7">
            <w:pPr>
              <w:bidi w:val="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户名：陕西省采购招标有限责任公司</w:t>
            </w:r>
          </w:p>
          <w:p w14:paraId="210F0C49">
            <w:pPr>
              <w:bidi w:val="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开户行名称：中国银行西安南郊支行营业部</w:t>
            </w:r>
          </w:p>
          <w:p w14:paraId="7E64B4BB">
            <w:pPr>
              <w:bidi w:val="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账号：102062457451</w:t>
            </w:r>
          </w:p>
          <w:p w14:paraId="691681F8">
            <w:pPr>
              <w:pStyle w:val="2"/>
              <w:rPr>
                <w:rFonts w:hint="default"/>
                <w:color w:val="auto"/>
                <w:highlight w:val="none"/>
                <w:lang w:val="en-US" w:eastAsia="zh-CN"/>
              </w:rPr>
            </w:pPr>
            <w:r>
              <w:rPr>
                <w:rFonts w:hint="eastAsia" w:ascii="仿宋" w:hAnsi="仿宋" w:eastAsia="仿宋" w:cs="仿宋"/>
                <w:snapToGrid w:val="0"/>
                <w:color w:val="auto"/>
                <w:sz w:val="21"/>
                <w:szCs w:val="21"/>
                <w:highlight w:val="none"/>
                <w:lang w:val="en-US" w:eastAsia="zh-CN" w:bidi="ar-SA"/>
              </w:rPr>
              <w:t>保证金金额：30000元</w:t>
            </w:r>
          </w:p>
        </w:tc>
      </w:tr>
      <w:tr w14:paraId="1E969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736" w:type="dxa"/>
          </w:tcPr>
          <w:p w14:paraId="6FD8A938">
            <w:pPr>
              <w:pStyle w:val="18"/>
              <w:spacing w:before="182" w:line="183" w:lineRule="auto"/>
              <w:ind w:left="273"/>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10</w:t>
            </w:r>
          </w:p>
        </w:tc>
        <w:tc>
          <w:tcPr>
            <w:tcW w:w="1734" w:type="dxa"/>
          </w:tcPr>
          <w:p w14:paraId="65E0CC8B">
            <w:pPr>
              <w:pStyle w:val="18"/>
              <w:spacing w:before="148" w:line="220" w:lineRule="auto"/>
              <w:ind w:left="112"/>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标书费信息</w:t>
            </w:r>
          </w:p>
        </w:tc>
        <w:tc>
          <w:tcPr>
            <w:tcW w:w="7945" w:type="dxa"/>
          </w:tcPr>
          <w:p w14:paraId="7C13CC6E">
            <w:pPr>
              <w:pStyle w:val="18"/>
              <w:spacing w:before="114" w:line="271" w:lineRule="auto"/>
              <w:ind w:right="105"/>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免费获取</w:t>
            </w:r>
          </w:p>
        </w:tc>
      </w:tr>
      <w:tr w14:paraId="0D759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jc w:val="center"/>
        </w:trPr>
        <w:tc>
          <w:tcPr>
            <w:tcW w:w="736" w:type="dxa"/>
          </w:tcPr>
          <w:p w14:paraId="119D7D7D">
            <w:pPr>
              <w:spacing w:line="320" w:lineRule="auto"/>
              <w:rPr>
                <w:rFonts w:hint="eastAsia" w:ascii="仿宋" w:hAnsi="仿宋" w:eastAsia="仿宋" w:cs="仿宋"/>
                <w:color w:val="auto"/>
                <w:sz w:val="21"/>
                <w:szCs w:val="21"/>
                <w:highlight w:val="none"/>
              </w:rPr>
            </w:pPr>
          </w:p>
          <w:p w14:paraId="61E3E4B2">
            <w:pPr>
              <w:spacing w:line="321" w:lineRule="auto"/>
              <w:rPr>
                <w:rFonts w:hint="eastAsia" w:ascii="仿宋" w:hAnsi="仿宋" w:eastAsia="仿宋" w:cs="仿宋"/>
                <w:color w:val="auto"/>
                <w:sz w:val="21"/>
                <w:szCs w:val="21"/>
                <w:highlight w:val="none"/>
              </w:rPr>
            </w:pPr>
          </w:p>
          <w:p w14:paraId="7EC97B05">
            <w:pPr>
              <w:pStyle w:val="18"/>
              <w:spacing w:before="69" w:line="183" w:lineRule="auto"/>
              <w:ind w:left="273"/>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11</w:t>
            </w:r>
          </w:p>
        </w:tc>
        <w:tc>
          <w:tcPr>
            <w:tcW w:w="1734" w:type="dxa"/>
          </w:tcPr>
          <w:p w14:paraId="12816069">
            <w:pPr>
              <w:spacing w:line="452" w:lineRule="auto"/>
              <w:rPr>
                <w:rFonts w:hint="eastAsia" w:ascii="仿宋" w:hAnsi="仿宋" w:eastAsia="仿宋" w:cs="仿宋"/>
                <w:color w:val="auto"/>
                <w:sz w:val="21"/>
                <w:szCs w:val="21"/>
                <w:highlight w:val="none"/>
                <w:lang w:eastAsia="zh-CN"/>
              </w:rPr>
            </w:pPr>
          </w:p>
          <w:p w14:paraId="085C5DB6">
            <w:pPr>
              <w:pStyle w:val="18"/>
              <w:spacing w:before="68" w:line="262" w:lineRule="auto"/>
              <w:ind w:left="113" w:right="104" w:firstLine="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履约保证金（实质性要</w:t>
            </w:r>
            <w:r>
              <w:rPr>
                <w:rFonts w:hint="eastAsia" w:ascii="仿宋" w:hAnsi="仿宋" w:eastAsia="仿宋" w:cs="仿宋"/>
                <w:color w:val="auto"/>
                <w:spacing w:val="1"/>
                <w:sz w:val="21"/>
                <w:szCs w:val="21"/>
                <w:highlight w:val="none"/>
                <w:lang w:eastAsia="zh-CN"/>
              </w:rPr>
              <w:t xml:space="preserve"> </w:t>
            </w:r>
            <w:r>
              <w:rPr>
                <w:rFonts w:hint="eastAsia" w:ascii="仿宋" w:hAnsi="仿宋" w:eastAsia="仿宋" w:cs="仿宋"/>
                <w:color w:val="auto"/>
                <w:spacing w:val="-6"/>
                <w:sz w:val="21"/>
                <w:szCs w:val="21"/>
                <w:highlight w:val="none"/>
                <w:lang w:eastAsia="zh-CN"/>
              </w:rPr>
              <w:t>求）</w:t>
            </w:r>
          </w:p>
        </w:tc>
        <w:tc>
          <w:tcPr>
            <w:tcW w:w="7945" w:type="dxa"/>
          </w:tcPr>
          <w:p w14:paraId="5A83C01E">
            <w:pPr>
              <w:bidi w:val="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采购包 1：缴纳</w:t>
            </w:r>
          </w:p>
          <w:p w14:paraId="0B6E3729">
            <w:pPr>
              <w:bidi w:val="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履约担保的形式：保函。</w:t>
            </w:r>
          </w:p>
          <w:p w14:paraId="1E46E7D4">
            <w:pPr>
              <w:bidi w:val="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本采购包履约保证金为合同金额的5%。</w:t>
            </w:r>
          </w:p>
          <w:p w14:paraId="213871E1">
            <w:pPr>
              <w:bidi w:val="0"/>
              <w:rPr>
                <w:rFonts w:hint="eastAsia" w:ascii="仿宋" w:hAnsi="仿宋" w:eastAsia="仿宋" w:cs="仿宋"/>
                <w:color w:val="auto"/>
                <w:szCs w:val="21"/>
                <w:highlight w:val="none"/>
                <w:lang w:eastAsia="zh-CN"/>
              </w:rPr>
            </w:pPr>
            <w:r>
              <w:rPr>
                <w:rFonts w:hint="eastAsia" w:ascii="仿宋" w:hAnsi="仿宋" w:eastAsia="仿宋" w:cs="仿宋"/>
                <w:snapToGrid w:val="0"/>
                <w:color w:val="auto"/>
                <w:sz w:val="21"/>
                <w:szCs w:val="21"/>
                <w:highlight w:val="none"/>
                <w:lang w:val="en-US" w:eastAsia="zh-CN" w:bidi="ar-SA"/>
              </w:rPr>
              <w:t>说明：供应商应在合同签订后10天内向采购人提交在中国注册的银行或保险公司开具的担保金额为合同价款的5%的《项目实施履约保函》原件。包含期限以施工及验收期限（8个月）为期限。</w:t>
            </w:r>
          </w:p>
        </w:tc>
      </w:tr>
      <w:tr w14:paraId="214C5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736" w:type="dxa"/>
          </w:tcPr>
          <w:p w14:paraId="72601BCF">
            <w:pPr>
              <w:spacing w:line="394" w:lineRule="auto"/>
              <w:rPr>
                <w:rFonts w:hint="eastAsia" w:ascii="仿宋" w:hAnsi="仿宋" w:eastAsia="仿宋" w:cs="仿宋"/>
                <w:sz w:val="21"/>
                <w:szCs w:val="21"/>
                <w:highlight w:val="none"/>
                <w:lang w:eastAsia="zh-CN"/>
              </w:rPr>
            </w:pPr>
          </w:p>
          <w:p w14:paraId="6C17C3FD">
            <w:pPr>
              <w:pStyle w:val="18"/>
              <w:spacing w:before="68" w:line="183" w:lineRule="auto"/>
              <w:ind w:left="273"/>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12</w:t>
            </w:r>
          </w:p>
        </w:tc>
        <w:tc>
          <w:tcPr>
            <w:tcW w:w="1734" w:type="dxa"/>
          </w:tcPr>
          <w:p w14:paraId="66C6C169">
            <w:pPr>
              <w:pStyle w:val="18"/>
              <w:spacing w:before="273" w:line="262" w:lineRule="auto"/>
              <w:ind w:left="114" w:right="104"/>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工程质量保证金（实质</w:t>
            </w:r>
            <w:r>
              <w:rPr>
                <w:rFonts w:hint="eastAsia" w:ascii="仿宋" w:hAnsi="仿宋" w:eastAsia="仿宋" w:cs="仿宋"/>
                <w:spacing w:val="-2"/>
                <w:sz w:val="21"/>
                <w:szCs w:val="21"/>
                <w:highlight w:val="none"/>
                <w:lang w:eastAsia="zh-CN"/>
              </w:rPr>
              <w:t>性要求）</w:t>
            </w:r>
          </w:p>
        </w:tc>
        <w:tc>
          <w:tcPr>
            <w:tcW w:w="7945" w:type="dxa"/>
          </w:tcPr>
          <w:p w14:paraId="71F6C6C3">
            <w:pPr>
              <w:pStyle w:val="18"/>
              <w:spacing w:before="118" w:line="220" w:lineRule="auto"/>
              <w:ind w:left="111"/>
              <w:rPr>
                <w:rFonts w:hint="eastAsia" w:ascii="仿宋" w:hAnsi="仿宋" w:eastAsia="仿宋" w:cs="仿宋"/>
                <w:spacing w:val="-5"/>
                <w:sz w:val="21"/>
                <w:szCs w:val="21"/>
                <w:highlight w:val="none"/>
                <w:lang w:eastAsia="zh-CN"/>
              </w:rPr>
            </w:pPr>
          </w:p>
          <w:p w14:paraId="23341D14">
            <w:pPr>
              <w:pStyle w:val="18"/>
              <w:spacing w:before="118" w:line="220" w:lineRule="auto"/>
              <w:ind w:left="111"/>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采购包</w:t>
            </w:r>
            <w:r>
              <w:rPr>
                <w:rFonts w:hint="eastAsia" w:ascii="仿宋" w:hAnsi="仿宋" w:eastAsia="仿宋" w:cs="仿宋"/>
                <w:spacing w:val="-28"/>
                <w:sz w:val="21"/>
                <w:szCs w:val="21"/>
                <w:highlight w:val="none"/>
              </w:rPr>
              <w:t xml:space="preserve"> </w:t>
            </w:r>
            <w:r>
              <w:rPr>
                <w:rFonts w:hint="eastAsia" w:ascii="仿宋" w:hAnsi="仿宋" w:eastAsia="仿宋" w:cs="仿宋"/>
                <w:spacing w:val="-5"/>
                <w:sz w:val="21"/>
                <w:szCs w:val="21"/>
                <w:highlight w:val="none"/>
              </w:rPr>
              <w:t>1：</w:t>
            </w:r>
            <w:r>
              <w:rPr>
                <w:rFonts w:hint="eastAsia" w:ascii="仿宋" w:hAnsi="仿宋" w:eastAsia="仿宋" w:cs="仿宋"/>
                <w:spacing w:val="-5"/>
                <w:sz w:val="21"/>
                <w:szCs w:val="21"/>
                <w:highlight w:val="none"/>
                <w:lang w:eastAsia="zh-CN"/>
              </w:rPr>
              <w:t>不</w:t>
            </w:r>
            <w:r>
              <w:rPr>
                <w:rFonts w:hint="eastAsia" w:ascii="仿宋" w:hAnsi="仿宋" w:eastAsia="仿宋" w:cs="仿宋"/>
                <w:spacing w:val="-5"/>
                <w:sz w:val="21"/>
                <w:szCs w:val="21"/>
                <w:highlight w:val="none"/>
              </w:rPr>
              <w:t>缴纳</w:t>
            </w:r>
          </w:p>
        </w:tc>
      </w:tr>
      <w:tr w14:paraId="05EB1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736" w:type="dxa"/>
          </w:tcPr>
          <w:p w14:paraId="08400FCC">
            <w:pPr>
              <w:pStyle w:val="18"/>
              <w:spacing w:before="309" w:line="183" w:lineRule="auto"/>
              <w:ind w:left="273"/>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13</w:t>
            </w:r>
          </w:p>
        </w:tc>
        <w:tc>
          <w:tcPr>
            <w:tcW w:w="1734" w:type="dxa"/>
          </w:tcPr>
          <w:p w14:paraId="1CAABFA1">
            <w:pPr>
              <w:pStyle w:val="18"/>
              <w:spacing w:before="117" w:line="262" w:lineRule="auto"/>
              <w:ind w:left="113" w:right="104"/>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投标有效期（实质性要求）</w:t>
            </w:r>
          </w:p>
        </w:tc>
        <w:tc>
          <w:tcPr>
            <w:tcW w:w="7945" w:type="dxa"/>
          </w:tcPr>
          <w:p w14:paraId="5D865802">
            <w:pPr>
              <w:pStyle w:val="18"/>
              <w:spacing w:before="274" w:line="221" w:lineRule="auto"/>
              <w:ind w:left="114"/>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从提交投标文件截止之日起，不少于90</w:t>
            </w:r>
            <w:r>
              <w:rPr>
                <w:rFonts w:hint="eastAsia" w:ascii="仿宋" w:hAnsi="仿宋" w:eastAsia="仿宋" w:cs="仿宋"/>
                <w:spacing w:val="-38"/>
                <w:sz w:val="21"/>
                <w:szCs w:val="21"/>
                <w:highlight w:val="none"/>
                <w:lang w:eastAsia="zh-CN"/>
              </w:rPr>
              <w:t xml:space="preserve"> </w:t>
            </w:r>
            <w:r>
              <w:rPr>
                <w:rFonts w:hint="eastAsia" w:ascii="仿宋" w:hAnsi="仿宋" w:eastAsia="仿宋" w:cs="仿宋"/>
                <w:spacing w:val="1"/>
                <w:sz w:val="21"/>
                <w:szCs w:val="21"/>
                <w:highlight w:val="none"/>
                <w:lang w:eastAsia="zh-CN"/>
              </w:rPr>
              <w:t>天。</w:t>
            </w:r>
          </w:p>
        </w:tc>
      </w:tr>
      <w:tr w14:paraId="0D5CD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9" w:hRule="atLeast"/>
          <w:jc w:val="center"/>
        </w:trPr>
        <w:tc>
          <w:tcPr>
            <w:tcW w:w="736" w:type="dxa"/>
          </w:tcPr>
          <w:p w14:paraId="68779113">
            <w:pPr>
              <w:spacing w:line="307" w:lineRule="auto"/>
              <w:rPr>
                <w:rFonts w:hint="eastAsia" w:ascii="仿宋" w:hAnsi="仿宋" w:eastAsia="仿宋" w:cs="仿宋"/>
                <w:color w:val="auto"/>
                <w:sz w:val="21"/>
                <w:szCs w:val="21"/>
                <w:highlight w:val="none"/>
                <w:lang w:eastAsia="zh-CN"/>
              </w:rPr>
            </w:pPr>
          </w:p>
          <w:p w14:paraId="4E057D6A">
            <w:pPr>
              <w:spacing w:line="307" w:lineRule="auto"/>
              <w:rPr>
                <w:rFonts w:hint="eastAsia" w:ascii="仿宋" w:hAnsi="仿宋" w:eastAsia="仿宋" w:cs="仿宋"/>
                <w:color w:val="auto"/>
                <w:sz w:val="21"/>
                <w:szCs w:val="21"/>
                <w:highlight w:val="none"/>
                <w:lang w:eastAsia="zh-CN"/>
              </w:rPr>
            </w:pPr>
          </w:p>
          <w:p w14:paraId="43A91A7B">
            <w:pPr>
              <w:spacing w:line="307" w:lineRule="auto"/>
              <w:rPr>
                <w:rFonts w:hint="eastAsia" w:ascii="仿宋" w:hAnsi="仿宋" w:eastAsia="仿宋" w:cs="仿宋"/>
                <w:color w:val="auto"/>
                <w:sz w:val="21"/>
                <w:szCs w:val="21"/>
                <w:highlight w:val="none"/>
                <w:lang w:eastAsia="zh-CN"/>
              </w:rPr>
            </w:pPr>
          </w:p>
          <w:p w14:paraId="4969CBC2">
            <w:pPr>
              <w:pStyle w:val="18"/>
              <w:spacing w:before="68" w:line="183" w:lineRule="auto"/>
              <w:ind w:left="273"/>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14</w:t>
            </w:r>
          </w:p>
        </w:tc>
        <w:tc>
          <w:tcPr>
            <w:tcW w:w="1734" w:type="dxa"/>
          </w:tcPr>
          <w:p w14:paraId="7ABA9A9A">
            <w:pPr>
              <w:spacing w:line="243" w:lineRule="auto"/>
              <w:rPr>
                <w:rFonts w:hint="eastAsia" w:ascii="仿宋" w:hAnsi="仿宋" w:eastAsia="仿宋" w:cs="仿宋"/>
                <w:color w:val="auto"/>
                <w:sz w:val="21"/>
                <w:szCs w:val="21"/>
                <w:highlight w:val="none"/>
                <w:lang w:eastAsia="zh-CN"/>
              </w:rPr>
            </w:pPr>
          </w:p>
          <w:p w14:paraId="63CA10EF">
            <w:pPr>
              <w:spacing w:line="244" w:lineRule="auto"/>
              <w:rPr>
                <w:rFonts w:hint="eastAsia" w:ascii="仿宋" w:hAnsi="仿宋" w:eastAsia="仿宋" w:cs="仿宋"/>
                <w:color w:val="auto"/>
                <w:sz w:val="21"/>
                <w:szCs w:val="21"/>
                <w:highlight w:val="none"/>
                <w:lang w:eastAsia="zh-CN"/>
              </w:rPr>
            </w:pPr>
          </w:p>
          <w:p w14:paraId="59F89EED">
            <w:pPr>
              <w:spacing w:line="244" w:lineRule="auto"/>
              <w:rPr>
                <w:rFonts w:hint="eastAsia" w:ascii="仿宋" w:hAnsi="仿宋" w:eastAsia="仿宋" w:cs="仿宋"/>
                <w:color w:val="auto"/>
                <w:sz w:val="21"/>
                <w:szCs w:val="21"/>
                <w:highlight w:val="none"/>
                <w:lang w:eastAsia="zh-CN"/>
              </w:rPr>
            </w:pPr>
          </w:p>
          <w:p w14:paraId="31F5DED6">
            <w:pPr>
              <w:pStyle w:val="18"/>
              <w:spacing w:before="68" w:line="262" w:lineRule="auto"/>
              <w:ind w:left="113" w:right="104" w:hanging="2"/>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代理服务费（实质性要求）</w:t>
            </w:r>
          </w:p>
        </w:tc>
        <w:tc>
          <w:tcPr>
            <w:tcW w:w="7945" w:type="dxa"/>
          </w:tcPr>
          <w:p w14:paraId="4072916F">
            <w:pPr>
              <w:pStyle w:val="18"/>
              <w:spacing w:before="118" w:line="220" w:lineRule="auto"/>
              <w:ind w:left="113"/>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本项目收取代理服务费</w:t>
            </w:r>
          </w:p>
          <w:p w14:paraId="06421310">
            <w:pPr>
              <w:pStyle w:val="18"/>
              <w:spacing w:before="124" w:line="220" w:lineRule="auto"/>
              <w:ind w:left="11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代理服务费用收取对象：中标/成交供应商</w:t>
            </w:r>
          </w:p>
          <w:p w14:paraId="2FE20815">
            <w:pPr>
              <w:pStyle w:val="18"/>
              <w:spacing w:before="123" w:line="267" w:lineRule="auto"/>
              <w:ind w:left="112" w:right="107" w:hanging="1"/>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代理服务费收费标准：按照国家计委颁布的《招标代理服务收费管理暂行办法》（计价格[2002]1980号）规定的招标代理服务收费标准</w:t>
            </w:r>
            <w:r>
              <w:rPr>
                <w:rFonts w:hint="eastAsia" w:ascii="仿宋" w:hAnsi="仿宋" w:eastAsia="仿宋" w:cs="仿宋"/>
                <w:color w:val="auto"/>
                <w:sz w:val="21"/>
                <w:szCs w:val="21"/>
                <w:highlight w:val="none"/>
                <w:lang w:val="en-US" w:eastAsia="zh-CN"/>
              </w:rPr>
              <w:t>下浮43%进行收取</w:t>
            </w:r>
            <w:r>
              <w:rPr>
                <w:rFonts w:hint="eastAsia" w:ascii="仿宋" w:hAnsi="仿宋" w:eastAsia="仿宋" w:cs="仿宋"/>
                <w:color w:val="auto"/>
                <w:spacing w:val="-1"/>
                <w:sz w:val="21"/>
                <w:szCs w:val="21"/>
                <w:highlight w:val="none"/>
                <w:lang w:eastAsia="zh-CN"/>
              </w:rPr>
              <w:t>，在领取成交通知书前向代理机构一次付清。</w:t>
            </w:r>
          </w:p>
        </w:tc>
      </w:tr>
      <w:tr w14:paraId="0FA3B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36" w:type="dxa"/>
          </w:tcPr>
          <w:p w14:paraId="3E4E6D9B">
            <w:pPr>
              <w:pStyle w:val="18"/>
              <w:spacing w:before="244" w:line="183" w:lineRule="auto"/>
              <w:ind w:left="273"/>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15</w:t>
            </w:r>
          </w:p>
        </w:tc>
        <w:tc>
          <w:tcPr>
            <w:tcW w:w="1734" w:type="dxa"/>
          </w:tcPr>
          <w:p w14:paraId="61CFA222">
            <w:pPr>
              <w:pStyle w:val="18"/>
              <w:spacing w:before="210" w:line="219" w:lineRule="auto"/>
              <w:ind w:left="111"/>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采购结果公告</w:t>
            </w:r>
          </w:p>
        </w:tc>
        <w:tc>
          <w:tcPr>
            <w:tcW w:w="7945" w:type="dxa"/>
          </w:tcPr>
          <w:p w14:paraId="758BCF7C">
            <w:pPr>
              <w:pStyle w:val="18"/>
              <w:spacing w:before="210" w:line="219" w:lineRule="auto"/>
              <w:ind w:left="111"/>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采购结果将在陕西省政府采购网予以公告。</w:t>
            </w:r>
          </w:p>
        </w:tc>
      </w:tr>
      <w:tr w14:paraId="0C36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736" w:type="dxa"/>
          </w:tcPr>
          <w:p w14:paraId="18013FB0">
            <w:pPr>
              <w:pStyle w:val="18"/>
              <w:spacing w:before="307" w:line="183" w:lineRule="auto"/>
              <w:ind w:left="273"/>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16</w:t>
            </w:r>
          </w:p>
        </w:tc>
        <w:tc>
          <w:tcPr>
            <w:tcW w:w="1734" w:type="dxa"/>
          </w:tcPr>
          <w:p w14:paraId="02F50939">
            <w:pPr>
              <w:pStyle w:val="18"/>
              <w:spacing w:before="273" w:line="220" w:lineRule="auto"/>
              <w:ind w:left="131"/>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中标通知书</w:t>
            </w:r>
          </w:p>
        </w:tc>
        <w:tc>
          <w:tcPr>
            <w:tcW w:w="7945" w:type="dxa"/>
          </w:tcPr>
          <w:p w14:paraId="0D6F91B9">
            <w:pPr>
              <w:pStyle w:val="18"/>
              <w:spacing w:before="118" w:line="258" w:lineRule="auto"/>
              <w:ind w:left="112" w:right="107" w:hanging="1"/>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采购结果公告发布的同时，采购人或代理机构通过项目电子化交易系统中</w:t>
            </w:r>
            <w:r>
              <w:rPr>
                <w:rFonts w:hint="eastAsia" w:ascii="仿宋" w:hAnsi="仿宋" w:eastAsia="仿宋" w:cs="仿宋"/>
                <w:spacing w:val="4"/>
                <w:sz w:val="21"/>
                <w:szCs w:val="21"/>
                <w:highlight w:val="none"/>
                <w:lang w:eastAsia="zh-CN"/>
              </w:rPr>
              <w:t xml:space="preserve"> </w:t>
            </w:r>
            <w:r>
              <w:rPr>
                <w:rFonts w:hint="eastAsia" w:ascii="仿宋" w:hAnsi="仿宋" w:eastAsia="仿宋" w:cs="仿宋"/>
                <w:sz w:val="21"/>
                <w:szCs w:val="21"/>
                <w:highlight w:val="none"/>
                <w:lang w:eastAsia="zh-CN"/>
              </w:rPr>
              <w:t>标人发出中标通知书；中标人通过项目电子化交易系统获取中标</w:t>
            </w:r>
            <w:r>
              <w:rPr>
                <w:rFonts w:hint="eastAsia" w:ascii="仿宋" w:hAnsi="仿宋" w:eastAsia="仿宋" w:cs="仿宋"/>
                <w:spacing w:val="-1"/>
                <w:sz w:val="21"/>
                <w:szCs w:val="21"/>
                <w:highlight w:val="none"/>
                <w:lang w:eastAsia="zh-CN"/>
              </w:rPr>
              <w:t>通知书。</w:t>
            </w:r>
          </w:p>
        </w:tc>
      </w:tr>
      <w:tr w14:paraId="21179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jc w:val="center"/>
        </w:trPr>
        <w:tc>
          <w:tcPr>
            <w:tcW w:w="736" w:type="dxa"/>
          </w:tcPr>
          <w:p w14:paraId="12A99592">
            <w:pPr>
              <w:spacing w:line="288" w:lineRule="auto"/>
              <w:rPr>
                <w:rFonts w:hint="eastAsia" w:ascii="仿宋" w:hAnsi="仿宋" w:eastAsia="仿宋" w:cs="仿宋"/>
                <w:sz w:val="21"/>
                <w:szCs w:val="21"/>
                <w:highlight w:val="none"/>
                <w:lang w:eastAsia="zh-CN"/>
              </w:rPr>
            </w:pPr>
          </w:p>
          <w:p w14:paraId="0EDBC328">
            <w:pPr>
              <w:spacing w:line="289" w:lineRule="auto"/>
              <w:rPr>
                <w:rFonts w:hint="eastAsia" w:ascii="仿宋" w:hAnsi="仿宋" w:eastAsia="仿宋" w:cs="仿宋"/>
                <w:sz w:val="21"/>
                <w:szCs w:val="21"/>
                <w:highlight w:val="none"/>
                <w:lang w:eastAsia="zh-CN"/>
              </w:rPr>
            </w:pPr>
          </w:p>
          <w:p w14:paraId="1FDA8317">
            <w:pPr>
              <w:pStyle w:val="18"/>
              <w:spacing w:before="69" w:line="183" w:lineRule="auto"/>
              <w:ind w:left="273"/>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17</w:t>
            </w:r>
          </w:p>
        </w:tc>
        <w:tc>
          <w:tcPr>
            <w:tcW w:w="1734" w:type="dxa"/>
          </w:tcPr>
          <w:p w14:paraId="1CE3CD9E">
            <w:pPr>
              <w:spacing w:line="389" w:lineRule="auto"/>
              <w:rPr>
                <w:rFonts w:hint="eastAsia" w:ascii="仿宋" w:hAnsi="仿宋" w:eastAsia="仿宋" w:cs="仿宋"/>
                <w:sz w:val="21"/>
                <w:szCs w:val="21"/>
                <w:highlight w:val="none"/>
                <w:lang w:eastAsia="zh-CN"/>
              </w:rPr>
            </w:pPr>
          </w:p>
          <w:p w14:paraId="6A53EC14">
            <w:pPr>
              <w:pStyle w:val="18"/>
              <w:spacing w:before="68" w:line="261" w:lineRule="auto"/>
              <w:ind w:left="113" w:right="104" w:hanging="2"/>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政府采购合同公告、备</w:t>
            </w:r>
            <w:r>
              <w:rPr>
                <w:rFonts w:hint="eastAsia" w:ascii="仿宋" w:hAnsi="仿宋" w:eastAsia="仿宋" w:cs="仿宋"/>
                <w:sz w:val="21"/>
                <w:szCs w:val="21"/>
                <w:highlight w:val="none"/>
                <w:lang w:eastAsia="zh-CN"/>
              </w:rPr>
              <w:t>案</w:t>
            </w:r>
          </w:p>
        </w:tc>
        <w:tc>
          <w:tcPr>
            <w:tcW w:w="7945" w:type="dxa"/>
          </w:tcPr>
          <w:p w14:paraId="3094B89F">
            <w:pPr>
              <w:pStyle w:val="18"/>
              <w:spacing w:before="116" w:line="260" w:lineRule="auto"/>
              <w:ind w:left="111" w:right="105"/>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政府采购合同签订之日起</w:t>
            </w:r>
            <w:r>
              <w:rPr>
                <w:rFonts w:hint="eastAsia" w:ascii="仿宋" w:hAnsi="仿宋" w:eastAsia="仿宋" w:cs="仿宋"/>
                <w:spacing w:val="-27"/>
                <w:sz w:val="21"/>
                <w:szCs w:val="21"/>
                <w:highlight w:val="none"/>
                <w:lang w:eastAsia="zh-CN"/>
              </w:rPr>
              <w:t xml:space="preserve"> </w:t>
            </w:r>
            <w:r>
              <w:rPr>
                <w:rFonts w:hint="eastAsia" w:ascii="仿宋" w:hAnsi="仿宋" w:eastAsia="仿宋" w:cs="仿宋"/>
                <w:spacing w:val="-1"/>
                <w:sz w:val="21"/>
                <w:szCs w:val="21"/>
                <w:highlight w:val="none"/>
                <w:lang w:eastAsia="zh-CN"/>
              </w:rPr>
              <w:t>2</w:t>
            </w:r>
            <w:r>
              <w:rPr>
                <w:rFonts w:hint="eastAsia" w:ascii="仿宋" w:hAnsi="仿宋" w:eastAsia="仿宋" w:cs="仿宋"/>
                <w:spacing w:val="-39"/>
                <w:sz w:val="21"/>
                <w:szCs w:val="21"/>
                <w:highlight w:val="none"/>
                <w:lang w:eastAsia="zh-CN"/>
              </w:rPr>
              <w:t xml:space="preserve"> </w:t>
            </w:r>
            <w:r>
              <w:rPr>
                <w:rFonts w:hint="eastAsia" w:ascii="仿宋" w:hAnsi="仿宋" w:eastAsia="仿宋" w:cs="仿宋"/>
                <w:spacing w:val="-1"/>
                <w:sz w:val="21"/>
                <w:szCs w:val="21"/>
                <w:highlight w:val="none"/>
                <w:lang w:eastAsia="zh-CN"/>
              </w:rPr>
              <w:t>个工作日内，采购人将政府采购合同在陕西省政府采购网予以公告；</w:t>
            </w:r>
          </w:p>
          <w:p w14:paraId="547B812E">
            <w:pPr>
              <w:pStyle w:val="18"/>
              <w:spacing w:before="95" w:line="260" w:lineRule="auto"/>
              <w:ind w:left="111" w:right="105"/>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政府采购合同签订之日起</w:t>
            </w:r>
            <w:r>
              <w:rPr>
                <w:rFonts w:hint="eastAsia" w:ascii="仿宋" w:hAnsi="仿宋" w:eastAsia="仿宋" w:cs="仿宋"/>
                <w:spacing w:val="-27"/>
                <w:sz w:val="21"/>
                <w:szCs w:val="21"/>
                <w:highlight w:val="none"/>
                <w:lang w:eastAsia="zh-CN"/>
              </w:rPr>
              <w:t xml:space="preserve"> </w:t>
            </w:r>
            <w:r>
              <w:rPr>
                <w:rFonts w:hint="eastAsia" w:ascii="仿宋" w:hAnsi="仿宋" w:eastAsia="仿宋" w:cs="仿宋"/>
                <w:spacing w:val="-1"/>
                <w:sz w:val="21"/>
                <w:szCs w:val="21"/>
                <w:highlight w:val="none"/>
                <w:lang w:eastAsia="zh-CN"/>
              </w:rPr>
              <w:t>7</w:t>
            </w:r>
            <w:r>
              <w:rPr>
                <w:rFonts w:hint="eastAsia" w:ascii="仿宋" w:hAnsi="仿宋" w:eastAsia="仿宋" w:cs="仿宋"/>
                <w:spacing w:val="-39"/>
                <w:sz w:val="21"/>
                <w:szCs w:val="21"/>
                <w:highlight w:val="none"/>
                <w:lang w:eastAsia="zh-CN"/>
              </w:rPr>
              <w:t xml:space="preserve"> </w:t>
            </w:r>
            <w:r>
              <w:rPr>
                <w:rFonts w:hint="eastAsia" w:ascii="仿宋" w:hAnsi="仿宋" w:eastAsia="仿宋" w:cs="仿宋"/>
                <w:spacing w:val="-1"/>
                <w:sz w:val="21"/>
                <w:szCs w:val="21"/>
                <w:highlight w:val="none"/>
                <w:lang w:eastAsia="zh-CN"/>
              </w:rPr>
              <w:t>个工作日内，采购人将本项目采购合同通过政府采购平台进行备案。</w:t>
            </w:r>
          </w:p>
        </w:tc>
      </w:tr>
      <w:tr w14:paraId="02EE5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36" w:type="dxa"/>
          </w:tcPr>
          <w:p w14:paraId="221EBD3E">
            <w:pPr>
              <w:pStyle w:val="18"/>
              <w:spacing w:before="243" w:line="183" w:lineRule="auto"/>
              <w:ind w:left="273"/>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18</w:t>
            </w:r>
          </w:p>
        </w:tc>
        <w:tc>
          <w:tcPr>
            <w:tcW w:w="1734" w:type="dxa"/>
          </w:tcPr>
          <w:p w14:paraId="104EABA6">
            <w:pPr>
              <w:pStyle w:val="18"/>
              <w:spacing w:before="209" w:line="221" w:lineRule="auto"/>
              <w:ind w:left="110"/>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进口产品</w:t>
            </w:r>
          </w:p>
        </w:tc>
        <w:tc>
          <w:tcPr>
            <w:tcW w:w="7945" w:type="dxa"/>
          </w:tcPr>
          <w:p w14:paraId="351BB4A8">
            <w:pPr>
              <w:pStyle w:val="18"/>
              <w:spacing w:before="209" w:line="221" w:lineRule="auto"/>
              <w:ind w:left="115"/>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不允许</w:t>
            </w:r>
          </w:p>
        </w:tc>
      </w:tr>
      <w:tr w14:paraId="61CBE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jc w:val="center"/>
        </w:trPr>
        <w:tc>
          <w:tcPr>
            <w:tcW w:w="736" w:type="dxa"/>
          </w:tcPr>
          <w:p w14:paraId="0BA9EB2D">
            <w:pPr>
              <w:spacing w:line="275" w:lineRule="auto"/>
              <w:rPr>
                <w:rFonts w:hint="eastAsia" w:ascii="仿宋" w:hAnsi="仿宋" w:eastAsia="仿宋" w:cs="仿宋"/>
                <w:color w:val="auto"/>
                <w:sz w:val="21"/>
                <w:szCs w:val="21"/>
                <w:highlight w:val="none"/>
              </w:rPr>
            </w:pPr>
          </w:p>
          <w:p w14:paraId="4394DB33">
            <w:pPr>
              <w:spacing w:line="276" w:lineRule="auto"/>
              <w:rPr>
                <w:rFonts w:hint="eastAsia" w:ascii="仿宋" w:hAnsi="仿宋" w:eastAsia="仿宋" w:cs="仿宋"/>
                <w:color w:val="auto"/>
                <w:sz w:val="21"/>
                <w:szCs w:val="21"/>
                <w:highlight w:val="none"/>
              </w:rPr>
            </w:pPr>
          </w:p>
          <w:p w14:paraId="40A9FD25">
            <w:pPr>
              <w:pStyle w:val="18"/>
              <w:spacing w:before="68" w:line="183" w:lineRule="auto"/>
              <w:ind w:left="273"/>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19</w:t>
            </w:r>
          </w:p>
        </w:tc>
        <w:tc>
          <w:tcPr>
            <w:tcW w:w="1734" w:type="dxa"/>
          </w:tcPr>
          <w:p w14:paraId="0B8428C7">
            <w:pPr>
              <w:pStyle w:val="18"/>
              <w:spacing w:before="68" w:line="261" w:lineRule="auto"/>
              <w:ind w:right="105"/>
              <w:rPr>
                <w:rFonts w:hint="eastAsia" w:ascii="仿宋" w:hAnsi="仿宋" w:eastAsia="仿宋" w:cs="仿宋"/>
                <w:color w:val="auto"/>
                <w:spacing w:val="16"/>
                <w:sz w:val="21"/>
                <w:szCs w:val="21"/>
                <w:highlight w:val="none"/>
                <w:lang w:eastAsia="zh-CN"/>
              </w:rPr>
            </w:pPr>
          </w:p>
          <w:p w14:paraId="54614CDB">
            <w:pPr>
              <w:pStyle w:val="18"/>
              <w:spacing w:before="68" w:line="261" w:lineRule="auto"/>
              <w:ind w:right="105"/>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6"/>
                <w:sz w:val="21"/>
                <w:szCs w:val="21"/>
                <w:highlight w:val="none"/>
                <w:lang w:eastAsia="zh-CN"/>
              </w:rPr>
              <w:t>是否组织潜在投标人</w:t>
            </w:r>
            <w:r>
              <w:rPr>
                <w:rFonts w:hint="eastAsia" w:ascii="仿宋" w:hAnsi="仿宋" w:eastAsia="仿宋" w:cs="仿宋"/>
                <w:color w:val="auto"/>
                <w:spacing w:val="-2"/>
                <w:sz w:val="21"/>
                <w:szCs w:val="21"/>
                <w:highlight w:val="none"/>
                <w:lang w:eastAsia="zh-CN"/>
              </w:rPr>
              <w:t>现场考察</w:t>
            </w:r>
          </w:p>
        </w:tc>
        <w:tc>
          <w:tcPr>
            <w:tcW w:w="7945" w:type="dxa"/>
          </w:tcPr>
          <w:p w14:paraId="33CE5449">
            <w:pPr>
              <w:pStyle w:val="18"/>
              <w:spacing w:before="116" w:line="220" w:lineRule="auto"/>
              <w:ind w:left="11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2"/>
                <w:sz w:val="21"/>
                <w:szCs w:val="21"/>
                <w:highlight w:val="none"/>
                <w:lang w:eastAsia="zh-CN"/>
              </w:rPr>
              <w:t>采购包</w:t>
            </w:r>
            <w:r>
              <w:rPr>
                <w:rFonts w:hint="eastAsia" w:ascii="仿宋" w:hAnsi="仿宋" w:eastAsia="仿宋" w:cs="仿宋"/>
                <w:color w:val="auto"/>
                <w:spacing w:val="-21"/>
                <w:sz w:val="21"/>
                <w:szCs w:val="21"/>
                <w:highlight w:val="none"/>
                <w:lang w:eastAsia="zh-CN"/>
              </w:rPr>
              <w:t xml:space="preserve"> </w:t>
            </w:r>
            <w:r>
              <w:rPr>
                <w:rFonts w:hint="eastAsia" w:ascii="仿宋" w:hAnsi="仿宋" w:eastAsia="仿宋" w:cs="仿宋"/>
                <w:color w:val="auto"/>
                <w:spacing w:val="-2"/>
                <w:sz w:val="21"/>
                <w:szCs w:val="21"/>
                <w:highlight w:val="none"/>
                <w:lang w:eastAsia="zh-CN"/>
              </w:rPr>
              <w:t>1：组织现场踏勘：是</w:t>
            </w:r>
          </w:p>
          <w:p w14:paraId="0D844F7C">
            <w:pPr>
              <w:pStyle w:val="18"/>
              <w:spacing w:before="28" w:line="222" w:lineRule="auto"/>
              <w:ind w:left="1164"/>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联系人：</w:t>
            </w:r>
            <w:r>
              <w:rPr>
                <w:rFonts w:hint="eastAsia" w:ascii="仿宋" w:hAnsi="仿宋" w:eastAsia="仿宋" w:cs="仿宋"/>
                <w:color w:val="auto"/>
                <w:sz w:val="21"/>
                <w:szCs w:val="21"/>
                <w:highlight w:val="none"/>
                <w:lang w:val="en-US" w:eastAsia="zh-CN"/>
              </w:rPr>
              <w:t>徐延文</w:t>
            </w:r>
          </w:p>
          <w:p w14:paraId="27EA0F28">
            <w:pPr>
              <w:pStyle w:val="18"/>
              <w:spacing w:before="28" w:line="222" w:lineRule="auto"/>
              <w:ind w:left="1164"/>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联系方式：18149041235</w:t>
            </w:r>
          </w:p>
          <w:p w14:paraId="59543378">
            <w:pPr>
              <w:pStyle w:val="18"/>
              <w:spacing w:before="28" w:line="222" w:lineRule="auto"/>
              <w:ind w:left="1164"/>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时间：</w:t>
            </w:r>
            <w:r>
              <w:rPr>
                <w:rFonts w:hint="eastAsia" w:ascii="仿宋" w:hAnsi="仿宋" w:eastAsia="仿宋" w:cs="仿宋"/>
                <w:color w:val="auto"/>
                <w:sz w:val="21"/>
                <w:szCs w:val="21"/>
                <w:highlight w:val="none"/>
                <w:lang w:val="en-US" w:eastAsia="zh-CN"/>
              </w:rPr>
              <w:t xml:space="preserve">2025年10月14日 </w:t>
            </w:r>
            <w:r>
              <w:rPr>
                <w:rFonts w:hint="eastAsia" w:ascii="仿宋" w:hAnsi="仿宋" w:eastAsia="仿宋" w:cs="仿宋"/>
                <w:color w:val="auto"/>
                <w:sz w:val="21"/>
                <w:szCs w:val="21"/>
                <w:highlight w:val="none"/>
                <w:lang w:eastAsia="zh-CN"/>
              </w:rPr>
              <w:t>上午09:30</w:t>
            </w:r>
          </w:p>
          <w:p w14:paraId="0E475671">
            <w:pPr>
              <w:pStyle w:val="18"/>
              <w:spacing w:before="28" w:line="222" w:lineRule="auto"/>
              <w:ind w:left="1164"/>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集合地点：</w:t>
            </w:r>
            <w:r>
              <w:rPr>
                <w:rFonts w:hint="eastAsia" w:ascii="仿宋" w:hAnsi="仿宋" w:eastAsia="仿宋" w:cs="仿宋"/>
                <w:color w:val="auto"/>
                <w:sz w:val="21"/>
                <w:szCs w:val="21"/>
                <w:highlight w:val="none"/>
                <w:lang w:val="en-US" w:eastAsia="zh-CN"/>
              </w:rPr>
              <w:t>陕西省人民医院</w:t>
            </w:r>
            <w:r>
              <w:rPr>
                <w:rFonts w:hint="eastAsia" w:ascii="仿宋" w:hAnsi="仿宋" w:eastAsia="仿宋" w:cs="仿宋"/>
                <w:color w:val="auto"/>
                <w:sz w:val="21"/>
                <w:szCs w:val="21"/>
                <w:highlight w:val="none"/>
                <w:lang w:eastAsia="zh-CN"/>
              </w:rPr>
              <w:t>主院区实验楼</w:t>
            </w:r>
          </w:p>
        </w:tc>
      </w:tr>
      <w:tr w14:paraId="3DB7B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4" w:hRule="atLeast"/>
          <w:jc w:val="center"/>
        </w:trPr>
        <w:tc>
          <w:tcPr>
            <w:tcW w:w="736" w:type="dxa"/>
          </w:tcPr>
          <w:p w14:paraId="66E9FBC5">
            <w:pPr>
              <w:spacing w:line="267" w:lineRule="auto"/>
              <w:rPr>
                <w:rFonts w:hint="eastAsia" w:ascii="仿宋" w:hAnsi="仿宋" w:eastAsia="仿宋" w:cs="仿宋"/>
                <w:sz w:val="21"/>
                <w:szCs w:val="21"/>
                <w:highlight w:val="none"/>
                <w:lang w:eastAsia="zh-CN"/>
              </w:rPr>
            </w:pPr>
          </w:p>
          <w:p w14:paraId="396CB18C">
            <w:pPr>
              <w:spacing w:line="267" w:lineRule="auto"/>
              <w:rPr>
                <w:rFonts w:hint="eastAsia" w:ascii="仿宋" w:hAnsi="仿宋" w:eastAsia="仿宋" w:cs="仿宋"/>
                <w:sz w:val="21"/>
                <w:szCs w:val="21"/>
                <w:highlight w:val="none"/>
                <w:lang w:eastAsia="zh-CN"/>
              </w:rPr>
            </w:pPr>
          </w:p>
          <w:p w14:paraId="19E420CD">
            <w:pPr>
              <w:spacing w:line="267" w:lineRule="auto"/>
              <w:rPr>
                <w:rFonts w:hint="eastAsia" w:ascii="仿宋" w:hAnsi="仿宋" w:eastAsia="仿宋" w:cs="仿宋"/>
                <w:sz w:val="21"/>
                <w:szCs w:val="21"/>
                <w:highlight w:val="none"/>
                <w:lang w:eastAsia="zh-CN"/>
              </w:rPr>
            </w:pPr>
          </w:p>
          <w:p w14:paraId="5FCB2340">
            <w:pPr>
              <w:spacing w:line="267" w:lineRule="auto"/>
              <w:rPr>
                <w:rFonts w:hint="eastAsia" w:ascii="仿宋" w:hAnsi="仿宋" w:eastAsia="仿宋" w:cs="仿宋"/>
                <w:sz w:val="21"/>
                <w:szCs w:val="21"/>
                <w:highlight w:val="none"/>
                <w:lang w:eastAsia="zh-CN"/>
              </w:rPr>
            </w:pPr>
          </w:p>
          <w:p w14:paraId="1578BE69">
            <w:pPr>
              <w:pStyle w:val="18"/>
              <w:spacing w:before="68" w:line="182" w:lineRule="auto"/>
              <w:ind w:left="260"/>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20</w:t>
            </w:r>
          </w:p>
        </w:tc>
        <w:tc>
          <w:tcPr>
            <w:tcW w:w="1734" w:type="dxa"/>
          </w:tcPr>
          <w:p w14:paraId="542D78D7">
            <w:pPr>
              <w:spacing w:line="261" w:lineRule="auto"/>
              <w:rPr>
                <w:rFonts w:hint="eastAsia" w:ascii="仿宋" w:hAnsi="仿宋" w:eastAsia="仿宋" w:cs="仿宋"/>
                <w:sz w:val="21"/>
                <w:szCs w:val="21"/>
                <w:highlight w:val="none"/>
              </w:rPr>
            </w:pPr>
          </w:p>
          <w:p w14:paraId="6F81C0DF">
            <w:pPr>
              <w:spacing w:line="261" w:lineRule="auto"/>
              <w:rPr>
                <w:rFonts w:hint="eastAsia" w:ascii="仿宋" w:hAnsi="仿宋" w:eastAsia="仿宋" w:cs="仿宋"/>
                <w:sz w:val="21"/>
                <w:szCs w:val="21"/>
                <w:highlight w:val="none"/>
              </w:rPr>
            </w:pPr>
          </w:p>
          <w:p w14:paraId="5FD11303">
            <w:pPr>
              <w:spacing w:line="261" w:lineRule="auto"/>
              <w:rPr>
                <w:rFonts w:hint="eastAsia" w:ascii="仿宋" w:hAnsi="仿宋" w:eastAsia="仿宋" w:cs="仿宋"/>
                <w:sz w:val="21"/>
                <w:szCs w:val="21"/>
                <w:highlight w:val="none"/>
              </w:rPr>
            </w:pPr>
          </w:p>
          <w:p w14:paraId="2811DA55">
            <w:pPr>
              <w:spacing w:line="262" w:lineRule="auto"/>
              <w:rPr>
                <w:rFonts w:hint="eastAsia" w:ascii="仿宋" w:hAnsi="仿宋" w:eastAsia="仿宋" w:cs="仿宋"/>
                <w:sz w:val="21"/>
                <w:szCs w:val="21"/>
                <w:highlight w:val="none"/>
              </w:rPr>
            </w:pPr>
          </w:p>
          <w:p w14:paraId="4FF1BB28">
            <w:pPr>
              <w:pStyle w:val="18"/>
              <w:spacing w:before="69" w:line="221" w:lineRule="auto"/>
              <w:ind w:left="111"/>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特殊情况</w:t>
            </w:r>
          </w:p>
        </w:tc>
        <w:tc>
          <w:tcPr>
            <w:tcW w:w="7945" w:type="dxa"/>
          </w:tcPr>
          <w:p w14:paraId="07A5C3ED">
            <w:pPr>
              <w:pStyle w:val="18"/>
              <w:spacing w:before="118" w:line="260" w:lineRule="auto"/>
              <w:ind w:left="113" w:right="107" w:firstLine="17"/>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出现下列情形之一的，采购人或者代理机构应当中止电子化采购活动，并</w:t>
            </w:r>
            <w:r>
              <w:rPr>
                <w:rFonts w:hint="eastAsia" w:ascii="仿宋" w:hAnsi="仿宋" w:eastAsia="仿宋" w:cs="仿宋"/>
                <w:spacing w:val="17"/>
                <w:sz w:val="21"/>
                <w:szCs w:val="21"/>
                <w:highlight w:val="none"/>
                <w:lang w:eastAsia="zh-CN"/>
              </w:rPr>
              <w:t xml:space="preserve"> </w:t>
            </w:r>
            <w:r>
              <w:rPr>
                <w:rFonts w:hint="eastAsia" w:ascii="仿宋" w:hAnsi="仿宋" w:eastAsia="仿宋" w:cs="仿宋"/>
                <w:spacing w:val="-3"/>
                <w:sz w:val="21"/>
                <w:szCs w:val="21"/>
                <w:highlight w:val="none"/>
                <w:lang w:eastAsia="zh-CN"/>
              </w:rPr>
              <w:t>保留相关证明材料备查：</w:t>
            </w:r>
          </w:p>
          <w:p w14:paraId="7D5A1F21">
            <w:pPr>
              <w:pStyle w:val="18"/>
              <w:spacing w:before="94" w:line="247" w:lineRule="auto"/>
              <w:ind w:left="117" w:right="120" w:firstLine="1"/>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（一）交易系统发生故障（包括感染病毒、应用或数据库出错）而无法正</w:t>
            </w:r>
            <w:r>
              <w:rPr>
                <w:rFonts w:hint="eastAsia" w:ascii="仿宋" w:hAnsi="仿宋" w:eastAsia="仿宋" w:cs="仿宋"/>
                <w:spacing w:val="16"/>
                <w:sz w:val="21"/>
                <w:szCs w:val="21"/>
                <w:highlight w:val="none"/>
                <w:lang w:eastAsia="zh-CN"/>
              </w:rPr>
              <w:t xml:space="preserve"> </w:t>
            </w:r>
            <w:r>
              <w:rPr>
                <w:rFonts w:hint="eastAsia" w:ascii="仿宋" w:hAnsi="仿宋" w:eastAsia="仿宋" w:cs="仿宋"/>
                <w:spacing w:val="-7"/>
                <w:sz w:val="21"/>
                <w:szCs w:val="21"/>
                <w:highlight w:val="none"/>
                <w:lang w:eastAsia="zh-CN"/>
              </w:rPr>
              <w:t>常使用的；</w:t>
            </w:r>
          </w:p>
          <w:p w14:paraId="0569327F">
            <w:pPr>
              <w:pStyle w:val="18"/>
              <w:spacing w:before="123" w:line="248" w:lineRule="auto"/>
              <w:ind w:left="117" w:right="127" w:firstLine="1"/>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（二）因组织场所停电、断网等原因，导致采购活动无法继续通过交易系</w:t>
            </w:r>
            <w:r>
              <w:rPr>
                <w:rFonts w:hint="eastAsia" w:ascii="仿宋" w:hAnsi="仿宋" w:eastAsia="仿宋" w:cs="仿宋"/>
                <w:spacing w:val="9"/>
                <w:sz w:val="21"/>
                <w:szCs w:val="21"/>
                <w:highlight w:val="none"/>
                <w:lang w:eastAsia="zh-CN"/>
              </w:rPr>
              <w:t xml:space="preserve"> </w:t>
            </w:r>
            <w:r>
              <w:rPr>
                <w:rFonts w:hint="eastAsia" w:ascii="仿宋" w:hAnsi="仿宋" w:eastAsia="仿宋" w:cs="仿宋"/>
                <w:spacing w:val="-7"/>
                <w:sz w:val="21"/>
                <w:szCs w:val="21"/>
                <w:highlight w:val="none"/>
                <w:lang w:eastAsia="zh-CN"/>
              </w:rPr>
              <w:t>统实施的；</w:t>
            </w:r>
          </w:p>
          <w:p w14:paraId="2FC2EF34">
            <w:pPr>
              <w:pStyle w:val="18"/>
              <w:spacing w:before="123" w:line="221" w:lineRule="auto"/>
              <w:ind w:left="118"/>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（三）其他无法保证电子化交易的公平、公正和安全的情况。</w:t>
            </w:r>
          </w:p>
          <w:p w14:paraId="645F7927">
            <w:pPr>
              <w:pStyle w:val="18"/>
              <w:spacing w:before="122" w:line="265" w:lineRule="auto"/>
              <w:ind w:left="111" w:right="47" w:firstLine="19"/>
              <w:jc w:val="both"/>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出现上述的情形，不影响采购公平、公正的，采购人或者代理机构可以待</w:t>
            </w:r>
            <w:r>
              <w:rPr>
                <w:rFonts w:hint="eastAsia" w:ascii="仿宋" w:hAnsi="仿宋" w:eastAsia="仿宋" w:cs="仿宋"/>
                <w:spacing w:val="17"/>
                <w:sz w:val="21"/>
                <w:szCs w:val="21"/>
                <w:highlight w:val="none"/>
                <w:lang w:eastAsia="zh-CN"/>
              </w:rPr>
              <w:t xml:space="preserve"> </w:t>
            </w:r>
            <w:r>
              <w:rPr>
                <w:rFonts w:hint="eastAsia" w:ascii="仿宋" w:hAnsi="仿宋" w:eastAsia="仿宋" w:cs="仿宋"/>
                <w:spacing w:val="-4"/>
                <w:sz w:val="21"/>
                <w:szCs w:val="21"/>
                <w:highlight w:val="none"/>
                <w:lang w:eastAsia="zh-CN"/>
              </w:rPr>
              <w:t>上述情形消除后继续组织采购活动；影响或</w:t>
            </w:r>
            <w:r>
              <w:rPr>
                <w:rFonts w:hint="eastAsia" w:ascii="仿宋" w:hAnsi="仿宋" w:eastAsia="仿宋" w:cs="仿宋"/>
                <w:spacing w:val="-5"/>
                <w:sz w:val="21"/>
                <w:szCs w:val="21"/>
                <w:highlight w:val="none"/>
                <w:lang w:eastAsia="zh-CN"/>
              </w:rPr>
              <w:t>者可能影响采购公平、公正的，</w:t>
            </w:r>
            <w:r>
              <w:rPr>
                <w:rFonts w:hint="eastAsia" w:ascii="仿宋" w:hAnsi="仿宋" w:eastAsia="仿宋" w:cs="仿宋"/>
                <w:sz w:val="21"/>
                <w:szCs w:val="21"/>
                <w:highlight w:val="none"/>
                <w:lang w:eastAsia="zh-CN"/>
              </w:rPr>
              <w:t xml:space="preserve"> </w:t>
            </w:r>
            <w:r>
              <w:rPr>
                <w:rFonts w:hint="eastAsia" w:ascii="仿宋" w:hAnsi="仿宋" w:eastAsia="仿宋" w:cs="仿宋"/>
                <w:spacing w:val="-1"/>
                <w:sz w:val="21"/>
                <w:szCs w:val="21"/>
                <w:highlight w:val="none"/>
                <w:lang w:eastAsia="zh-CN"/>
              </w:rPr>
              <w:t>采购人或者代理机构应当依法终止采购活动。</w:t>
            </w:r>
          </w:p>
        </w:tc>
      </w:tr>
    </w:tbl>
    <w:p w14:paraId="4AED799F">
      <w:pPr>
        <w:spacing w:before="171" w:line="221" w:lineRule="auto"/>
        <w:outlineLvl w:val="4"/>
        <w:rPr>
          <w:rFonts w:hint="eastAsia" w:ascii="仿宋" w:hAnsi="仿宋" w:eastAsia="仿宋" w:cs="仿宋"/>
          <w:sz w:val="21"/>
          <w:szCs w:val="21"/>
          <w:highlight w:val="none"/>
          <w:lang w:eastAsia="zh-CN"/>
        </w:rPr>
      </w:pPr>
      <w:r>
        <w:rPr>
          <w:rFonts w:hint="eastAsia" w:ascii="仿宋" w:hAnsi="仿宋" w:eastAsia="仿宋" w:cs="仿宋"/>
          <w:b/>
          <w:bCs/>
          <w:spacing w:val="-7"/>
          <w:sz w:val="21"/>
          <w:szCs w:val="21"/>
          <w:highlight w:val="none"/>
          <w:lang w:eastAsia="zh-CN"/>
        </w:rPr>
        <w:t>2.2</w:t>
      </w:r>
      <w:r>
        <w:rPr>
          <w:rFonts w:hint="eastAsia" w:ascii="仿宋" w:hAnsi="仿宋" w:eastAsia="仿宋" w:cs="仿宋"/>
          <w:spacing w:val="-51"/>
          <w:sz w:val="21"/>
          <w:szCs w:val="21"/>
          <w:highlight w:val="none"/>
          <w:lang w:eastAsia="zh-CN"/>
        </w:rPr>
        <w:t xml:space="preserve"> </w:t>
      </w:r>
      <w:r>
        <w:rPr>
          <w:rFonts w:hint="eastAsia" w:ascii="仿宋" w:hAnsi="仿宋" w:eastAsia="仿宋" w:cs="仿宋"/>
          <w:b/>
          <w:bCs/>
          <w:spacing w:val="-7"/>
          <w:sz w:val="21"/>
          <w:szCs w:val="21"/>
          <w:highlight w:val="none"/>
          <w:lang w:eastAsia="zh-CN"/>
        </w:rPr>
        <w:t>总则</w:t>
      </w:r>
    </w:p>
    <w:p w14:paraId="135F9E1C">
      <w:pPr>
        <w:spacing w:before="230" w:line="220" w:lineRule="auto"/>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2.2.1</w:t>
      </w:r>
      <w:r>
        <w:rPr>
          <w:rFonts w:hint="eastAsia" w:ascii="仿宋" w:hAnsi="仿宋" w:eastAsia="仿宋" w:cs="仿宋"/>
          <w:spacing w:val="-51"/>
          <w:sz w:val="21"/>
          <w:szCs w:val="21"/>
          <w:highlight w:val="none"/>
          <w:lang w:eastAsia="zh-CN"/>
        </w:rPr>
        <w:t xml:space="preserve"> </w:t>
      </w:r>
      <w:r>
        <w:rPr>
          <w:rFonts w:hint="eastAsia" w:ascii="仿宋" w:hAnsi="仿宋" w:eastAsia="仿宋" w:cs="仿宋"/>
          <w:b/>
          <w:bCs/>
          <w:spacing w:val="-4"/>
          <w:sz w:val="21"/>
          <w:szCs w:val="21"/>
          <w:highlight w:val="none"/>
          <w:lang w:eastAsia="zh-CN"/>
        </w:rPr>
        <w:t>适用范围</w:t>
      </w:r>
    </w:p>
    <w:p w14:paraId="5641476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一、本招标文件仅适用于本次公开招标采购项目。</w:t>
      </w:r>
    </w:p>
    <w:p w14:paraId="6E618A4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二、本招标文件的最终解释权由</w:t>
      </w:r>
      <w:r>
        <w:rPr>
          <w:rFonts w:hint="eastAsia" w:ascii="仿宋" w:hAnsi="仿宋" w:eastAsia="仿宋" w:cs="仿宋"/>
          <w:spacing w:val="-3"/>
          <w:sz w:val="21"/>
          <w:szCs w:val="21"/>
          <w:highlight w:val="none"/>
          <w:lang w:val="en-US" w:eastAsia="zh-CN"/>
        </w:rPr>
        <w:t>陕西省人民医院</w:t>
      </w:r>
      <w:r>
        <w:rPr>
          <w:rFonts w:hint="eastAsia" w:ascii="仿宋" w:hAnsi="仿宋" w:eastAsia="仿宋" w:cs="仿宋"/>
          <w:spacing w:val="-3"/>
          <w:sz w:val="21"/>
          <w:szCs w:val="21"/>
          <w:highlight w:val="none"/>
          <w:lang w:eastAsia="zh-CN"/>
        </w:rPr>
        <w:t>和</w:t>
      </w:r>
      <w:r>
        <w:rPr>
          <w:rFonts w:hint="eastAsia" w:ascii="仿宋" w:hAnsi="仿宋" w:eastAsia="仿宋" w:cs="仿宋"/>
          <w:spacing w:val="-3"/>
          <w:sz w:val="21"/>
          <w:szCs w:val="21"/>
          <w:highlight w:val="none"/>
          <w:lang w:val="en-US" w:eastAsia="zh-CN"/>
        </w:rPr>
        <w:t>陕西省采购招标有限责任公司</w:t>
      </w:r>
      <w:r>
        <w:rPr>
          <w:rFonts w:hint="eastAsia" w:ascii="仿宋" w:hAnsi="仿宋" w:eastAsia="仿宋" w:cs="仿宋"/>
          <w:spacing w:val="-3"/>
          <w:sz w:val="21"/>
          <w:szCs w:val="21"/>
          <w:highlight w:val="none"/>
          <w:lang w:eastAsia="zh-CN"/>
        </w:rPr>
        <w:t>享有。对招标文件中投标人参加本次政府采购活动应当具备的条件，招标项目技术、服务、商务及其他要求，评标细则及标准由</w:t>
      </w:r>
      <w:r>
        <w:rPr>
          <w:rFonts w:hint="eastAsia" w:ascii="仿宋" w:hAnsi="仿宋" w:eastAsia="仿宋" w:cs="仿宋"/>
          <w:spacing w:val="-3"/>
          <w:sz w:val="21"/>
          <w:szCs w:val="21"/>
          <w:highlight w:val="none"/>
          <w:lang w:val="en-US" w:eastAsia="zh-CN"/>
        </w:rPr>
        <w:t>陕西省人民医院</w:t>
      </w:r>
      <w:r>
        <w:rPr>
          <w:rFonts w:hint="eastAsia" w:ascii="仿宋" w:hAnsi="仿宋" w:eastAsia="仿宋" w:cs="仿宋"/>
          <w:spacing w:val="-3"/>
          <w:sz w:val="21"/>
          <w:szCs w:val="21"/>
          <w:highlight w:val="none"/>
          <w:lang w:eastAsia="zh-CN"/>
        </w:rPr>
        <w:t>负责解释。除上述招标文件内容，其他内容由</w:t>
      </w:r>
      <w:r>
        <w:rPr>
          <w:rFonts w:hint="eastAsia" w:ascii="仿宋" w:hAnsi="仿宋" w:eastAsia="仿宋" w:cs="仿宋"/>
          <w:spacing w:val="-3"/>
          <w:sz w:val="21"/>
          <w:szCs w:val="21"/>
          <w:highlight w:val="none"/>
          <w:lang w:val="en-US" w:eastAsia="zh-CN"/>
        </w:rPr>
        <w:t>陕西省采购招标有限责任公司</w:t>
      </w:r>
      <w:r>
        <w:rPr>
          <w:rFonts w:hint="eastAsia" w:ascii="仿宋" w:hAnsi="仿宋" w:eastAsia="仿宋" w:cs="仿宋"/>
          <w:spacing w:val="-3"/>
          <w:sz w:val="21"/>
          <w:szCs w:val="21"/>
          <w:highlight w:val="none"/>
          <w:lang w:eastAsia="zh-CN"/>
        </w:rPr>
        <w:t>负责解释。</w:t>
      </w:r>
    </w:p>
    <w:p w14:paraId="2F02E731">
      <w:pPr>
        <w:spacing w:before="182" w:line="220" w:lineRule="auto"/>
        <w:ind w:left="3"/>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2.2.2</w:t>
      </w:r>
      <w:r>
        <w:rPr>
          <w:rFonts w:hint="eastAsia" w:ascii="仿宋" w:hAnsi="仿宋" w:eastAsia="仿宋" w:cs="仿宋"/>
          <w:spacing w:val="-42"/>
          <w:sz w:val="21"/>
          <w:szCs w:val="21"/>
          <w:highlight w:val="none"/>
          <w:lang w:eastAsia="zh-CN"/>
        </w:rPr>
        <w:t xml:space="preserve"> </w:t>
      </w:r>
      <w:r>
        <w:rPr>
          <w:rFonts w:hint="eastAsia" w:ascii="仿宋" w:hAnsi="仿宋" w:eastAsia="仿宋" w:cs="仿宋"/>
          <w:b/>
          <w:bCs/>
          <w:spacing w:val="-5"/>
          <w:sz w:val="21"/>
          <w:szCs w:val="21"/>
          <w:highlight w:val="none"/>
          <w:lang w:eastAsia="zh-CN"/>
        </w:rPr>
        <w:t>有关定义</w:t>
      </w:r>
    </w:p>
    <w:p w14:paraId="1D6C002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一、“采购人</w:t>
      </w:r>
      <w:r>
        <w:rPr>
          <w:rFonts w:hint="eastAsia" w:ascii="仿宋" w:hAnsi="仿宋" w:eastAsia="仿宋" w:cs="仿宋"/>
          <w:spacing w:val="-75"/>
          <w:sz w:val="21"/>
          <w:szCs w:val="21"/>
          <w:highlight w:val="none"/>
          <w:lang w:eastAsia="zh-CN"/>
        </w:rPr>
        <w:t xml:space="preserve"> </w:t>
      </w:r>
      <w:r>
        <w:rPr>
          <w:rFonts w:hint="eastAsia" w:ascii="仿宋" w:hAnsi="仿宋" w:eastAsia="仿宋" w:cs="仿宋"/>
          <w:spacing w:val="-3"/>
          <w:sz w:val="21"/>
          <w:szCs w:val="21"/>
          <w:highlight w:val="none"/>
          <w:lang w:eastAsia="zh-CN"/>
        </w:rPr>
        <w:t>”是指依法进行政府采购的各级国家机关、事业单位、团体组织。本</w:t>
      </w:r>
      <w:r>
        <w:rPr>
          <w:rFonts w:hint="eastAsia" w:ascii="仿宋" w:hAnsi="仿宋" w:eastAsia="仿宋" w:cs="仿宋"/>
          <w:sz w:val="21"/>
          <w:szCs w:val="21"/>
          <w:highlight w:val="none"/>
          <w:lang w:eastAsia="zh-CN"/>
        </w:rPr>
        <w:t xml:space="preserve"> </w:t>
      </w:r>
      <w:r>
        <w:rPr>
          <w:rFonts w:hint="eastAsia" w:ascii="仿宋" w:hAnsi="仿宋" w:eastAsia="仿宋" w:cs="仿宋"/>
          <w:spacing w:val="-1"/>
          <w:sz w:val="21"/>
          <w:szCs w:val="21"/>
          <w:highlight w:val="none"/>
          <w:lang w:eastAsia="zh-CN"/>
        </w:rPr>
        <w:t>次招标的采购人是</w:t>
      </w:r>
      <w:r>
        <w:rPr>
          <w:rFonts w:hint="eastAsia" w:ascii="仿宋" w:hAnsi="仿宋" w:eastAsia="仿宋" w:cs="仿宋"/>
          <w:spacing w:val="-2"/>
          <w:sz w:val="21"/>
          <w:szCs w:val="21"/>
          <w:highlight w:val="none"/>
          <w:lang w:eastAsia="zh-CN"/>
        </w:rPr>
        <w:t>陕西省保密技术服务中心</w:t>
      </w:r>
      <w:r>
        <w:rPr>
          <w:rFonts w:hint="eastAsia" w:ascii="仿宋" w:hAnsi="仿宋" w:eastAsia="仿宋" w:cs="仿宋"/>
          <w:spacing w:val="-1"/>
          <w:sz w:val="21"/>
          <w:szCs w:val="21"/>
          <w:highlight w:val="none"/>
          <w:lang w:eastAsia="zh-CN"/>
        </w:rPr>
        <w:t>。</w:t>
      </w:r>
    </w:p>
    <w:p w14:paraId="534F426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二、“投标人（供应商）”是指按照采购公告规定获取了招标文件，拟参加投标和</w:t>
      </w:r>
      <w:r>
        <w:rPr>
          <w:rFonts w:hint="eastAsia" w:ascii="仿宋" w:hAnsi="仿宋" w:eastAsia="仿宋" w:cs="仿宋"/>
          <w:spacing w:val="10"/>
          <w:sz w:val="21"/>
          <w:szCs w:val="21"/>
          <w:highlight w:val="none"/>
          <w:lang w:eastAsia="zh-CN"/>
        </w:rPr>
        <w:t xml:space="preserve"> </w:t>
      </w:r>
      <w:r>
        <w:rPr>
          <w:rFonts w:hint="eastAsia" w:ascii="仿宋" w:hAnsi="仿宋" w:eastAsia="仿宋" w:cs="仿宋"/>
          <w:spacing w:val="-3"/>
          <w:sz w:val="21"/>
          <w:szCs w:val="21"/>
          <w:highlight w:val="none"/>
          <w:lang w:eastAsia="zh-CN"/>
        </w:rPr>
        <w:t>向采购人提供货物、工程或服务的法人、其他组织或者自然人。</w:t>
      </w:r>
    </w:p>
    <w:p w14:paraId="22B2EF3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三、“代理机构</w:t>
      </w:r>
      <w:r>
        <w:rPr>
          <w:rFonts w:hint="eastAsia" w:ascii="仿宋" w:hAnsi="仿宋" w:eastAsia="仿宋" w:cs="仿宋"/>
          <w:spacing w:val="-73"/>
          <w:sz w:val="21"/>
          <w:szCs w:val="21"/>
          <w:highlight w:val="none"/>
          <w:lang w:eastAsia="zh-CN"/>
        </w:rPr>
        <w:t xml:space="preserve"> </w:t>
      </w:r>
      <w:r>
        <w:rPr>
          <w:rFonts w:hint="eastAsia" w:ascii="仿宋" w:hAnsi="仿宋" w:eastAsia="仿宋" w:cs="仿宋"/>
          <w:spacing w:val="-3"/>
          <w:sz w:val="21"/>
          <w:szCs w:val="21"/>
          <w:highlight w:val="none"/>
          <w:lang w:eastAsia="zh-CN"/>
        </w:rPr>
        <w:t>”是指政府采购集中采购机构和从事政府采购代理业务的社会中介</w:t>
      </w:r>
      <w:r>
        <w:rPr>
          <w:rFonts w:hint="eastAsia" w:ascii="仿宋" w:hAnsi="仿宋" w:eastAsia="仿宋" w:cs="仿宋"/>
          <w:sz w:val="21"/>
          <w:szCs w:val="21"/>
          <w:highlight w:val="none"/>
          <w:lang w:eastAsia="zh-CN"/>
        </w:rPr>
        <w:t xml:space="preserve"> </w:t>
      </w:r>
      <w:r>
        <w:rPr>
          <w:rFonts w:hint="eastAsia" w:ascii="仿宋" w:hAnsi="仿宋" w:eastAsia="仿宋" w:cs="仿宋"/>
          <w:spacing w:val="-1"/>
          <w:sz w:val="21"/>
          <w:szCs w:val="21"/>
          <w:highlight w:val="none"/>
          <w:lang w:eastAsia="zh-CN"/>
        </w:rPr>
        <w:t>机构。本项目的代理机构是</w:t>
      </w:r>
      <w:r>
        <w:rPr>
          <w:rFonts w:hint="eastAsia" w:ascii="仿宋" w:hAnsi="仿宋" w:eastAsia="仿宋" w:cs="仿宋"/>
          <w:spacing w:val="-2"/>
          <w:sz w:val="21"/>
          <w:szCs w:val="21"/>
          <w:highlight w:val="none"/>
          <w:lang w:eastAsia="zh-CN"/>
        </w:rPr>
        <w:t>陕西万泽招标有限公司</w:t>
      </w:r>
      <w:r>
        <w:rPr>
          <w:rFonts w:hint="eastAsia" w:ascii="仿宋" w:hAnsi="仿宋" w:eastAsia="仿宋" w:cs="仿宋"/>
          <w:spacing w:val="-1"/>
          <w:sz w:val="21"/>
          <w:szCs w:val="21"/>
          <w:highlight w:val="none"/>
          <w:lang w:eastAsia="zh-CN"/>
        </w:rPr>
        <w:t>。</w:t>
      </w:r>
    </w:p>
    <w:p w14:paraId="458EDDC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4"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四、“</w:t>
      </w:r>
      <w:r>
        <w:rPr>
          <w:rFonts w:hint="eastAsia" w:ascii="仿宋" w:hAnsi="仿宋" w:eastAsia="仿宋" w:cs="仿宋"/>
          <w:spacing w:val="-91"/>
          <w:sz w:val="21"/>
          <w:szCs w:val="21"/>
          <w:highlight w:val="none"/>
          <w:lang w:eastAsia="zh-CN"/>
        </w:rPr>
        <w:t xml:space="preserve"> </w:t>
      </w:r>
      <w:r>
        <w:rPr>
          <w:rFonts w:hint="eastAsia" w:ascii="仿宋" w:hAnsi="仿宋" w:eastAsia="仿宋" w:cs="仿宋"/>
          <w:spacing w:val="-4"/>
          <w:sz w:val="21"/>
          <w:szCs w:val="21"/>
          <w:highlight w:val="none"/>
          <w:lang w:eastAsia="zh-CN"/>
        </w:rPr>
        <w:t>网上开标</w:t>
      </w:r>
      <w:r>
        <w:rPr>
          <w:rFonts w:hint="eastAsia" w:ascii="仿宋" w:hAnsi="仿宋" w:eastAsia="仿宋" w:cs="仿宋"/>
          <w:spacing w:val="-88"/>
          <w:sz w:val="21"/>
          <w:szCs w:val="21"/>
          <w:highlight w:val="none"/>
          <w:lang w:eastAsia="zh-CN"/>
        </w:rPr>
        <w:t xml:space="preserve"> </w:t>
      </w:r>
      <w:r>
        <w:rPr>
          <w:rFonts w:hint="eastAsia" w:ascii="仿宋" w:hAnsi="仿宋" w:eastAsia="仿宋" w:cs="仿宋"/>
          <w:spacing w:val="-4"/>
          <w:sz w:val="21"/>
          <w:szCs w:val="21"/>
          <w:highlight w:val="none"/>
          <w:lang w:eastAsia="zh-CN"/>
        </w:rPr>
        <w:t>”是指代理机构通过项目电子化交易系统在线完成签到、开标、唱</w:t>
      </w:r>
      <w:r>
        <w:rPr>
          <w:rFonts w:hint="eastAsia" w:ascii="仿宋" w:hAnsi="仿宋" w:eastAsia="仿宋" w:cs="仿宋"/>
          <w:sz w:val="21"/>
          <w:szCs w:val="21"/>
          <w:highlight w:val="none"/>
          <w:lang w:eastAsia="zh-CN"/>
        </w:rPr>
        <w:t xml:space="preserve"> </w:t>
      </w:r>
      <w:r>
        <w:rPr>
          <w:rFonts w:hint="eastAsia" w:ascii="仿宋" w:hAnsi="仿宋" w:eastAsia="仿宋" w:cs="仿宋"/>
          <w:spacing w:val="-2"/>
          <w:sz w:val="21"/>
          <w:szCs w:val="21"/>
          <w:highlight w:val="none"/>
          <w:lang w:eastAsia="zh-CN"/>
        </w:rPr>
        <w:t>标和记录等活动，投标人通过项目电子化交易系统在线完成投标文件解密、参与开标活</w:t>
      </w:r>
      <w:r>
        <w:rPr>
          <w:rFonts w:hint="eastAsia" w:ascii="仿宋" w:hAnsi="仿宋" w:eastAsia="仿宋" w:cs="仿宋"/>
          <w:spacing w:val="18"/>
          <w:sz w:val="21"/>
          <w:szCs w:val="21"/>
          <w:highlight w:val="none"/>
          <w:lang w:eastAsia="zh-CN"/>
        </w:rPr>
        <w:t xml:space="preserve"> </w:t>
      </w:r>
      <w:r>
        <w:rPr>
          <w:rFonts w:hint="eastAsia" w:ascii="仿宋" w:hAnsi="仿宋" w:eastAsia="仿宋" w:cs="仿宋"/>
          <w:spacing w:val="-12"/>
          <w:sz w:val="21"/>
          <w:szCs w:val="21"/>
          <w:highlight w:val="none"/>
          <w:lang w:eastAsia="zh-CN"/>
        </w:rPr>
        <w:t>动。</w:t>
      </w:r>
    </w:p>
    <w:p w14:paraId="21FB30F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仿宋" w:hAnsi="仿宋" w:eastAsia="仿宋" w:cs="仿宋"/>
          <w:spacing w:val="-9"/>
          <w:sz w:val="21"/>
          <w:szCs w:val="21"/>
          <w:highlight w:val="none"/>
          <w:lang w:eastAsia="zh-CN"/>
        </w:rPr>
      </w:pPr>
      <w:r>
        <w:rPr>
          <w:rFonts w:hint="eastAsia" w:ascii="仿宋" w:hAnsi="仿宋" w:eastAsia="仿宋" w:cs="仿宋"/>
          <w:spacing w:val="-3"/>
          <w:sz w:val="21"/>
          <w:szCs w:val="21"/>
          <w:highlight w:val="none"/>
          <w:lang w:eastAsia="zh-CN"/>
        </w:rPr>
        <w:t>五、“电子评标</w:t>
      </w:r>
      <w:r>
        <w:rPr>
          <w:rFonts w:hint="eastAsia" w:ascii="仿宋" w:hAnsi="仿宋" w:eastAsia="仿宋" w:cs="仿宋"/>
          <w:spacing w:val="-76"/>
          <w:sz w:val="21"/>
          <w:szCs w:val="21"/>
          <w:highlight w:val="none"/>
          <w:lang w:eastAsia="zh-CN"/>
        </w:rPr>
        <w:t xml:space="preserve"> </w:t>
      </w:r>
      <w:r>
        <w:rPr>
          <w:rFonts w:hint="eastAsia" w:ascii="仿宋" w:hAnsi="仿宋" w:eastAsia="仿宋" w:cs="仿宋"/>
          <w:spacing w:val="-3"/>
          <w:sz w:val="21"/>
          <w:szCs w:val="21"/>
          <w:highlight w:val="none"/>
          <w:lang w:eastAsia="zh-CN"/>
        </w:rPr>
        <w:t>”是指通过项目电子化交易系统在线完成资格审查小组和评标委员</w:t>
      </w:r>
      <w:r>
        <w:rPr>
          <w:rFonts w:hint="eastAsia" w:ascii="仿宋" w:hAnsi="仿宋" w:eastAsia="仿宋" w:cs="仿宋"/>
          <w:sz w:val="21"/>
          <w:szCs w:val="21"/>
          <w:highlight w:val="none"/>
          <w:lang w:eastAsia="zh-CN"/>
        </w:rPr>
        <w:t xml:space="preserve"> </w:t>
      </w:r>
      <w:r>
        <w:rPr>
          <w:rFonts w:hint="eastAsia" w:ascii="仿宋" w:hAnsi="仿宋" w:eastAsia="仿宋" w:cs="仿宋"/>
          <w:spacing w:val="-8"/>
          <w:sz w:val="21"/>
          <w:szCs w:val="21"/>
          <w:highlight w:val="none"/>
          <w:lang w:eastAsia="zh-CN"/>
        </w:rPr>
        <w:t>会组建，开展资格和符合性审查、比较与评价、出具评标报告、推</w:t>
      </w:r>
      <w:r>
        <w:rPr>
          <w:rFonts w:hint="eastAsia" w:ascii="仿宋" w:hAnsi="仿宋" w:eastAsia="仿宋" w:cs="仿宋"/>
          <w:spacing w:val="-9"/>
          <w:sz w:val="21"/>
          <w:szCs w:val="21"/>
          <w:highlight w:val="none"/>
          <w:lang w:eastAsia="zh-CN"/>
        </w:rPr>
        <w:t>荐中标候选人等活动。</w:t>
      </w:r>
    </w:p>
    <w:p w14:paraId="23279863">
      <w:pPr>
        <w:spacing w:before="243" w:line="220" w:lineRule="auto"/>
        <w:ind w:left="5"/>
        <w:outlineLvl w:val="4"/>
        <w:rPr>
          <w:rFonts w:hint="eastAsia" w:ascii="仿宋" w:hAnsi="仿宋" w:eastAsia="仿宋" w:cs="仿宋"/>
          <w:sz w:val="21"/>
          <w:szCs w:val="21"/>
          <w:highlight w:val="none"/>
          <w:lang w:eastAsia="zh-CN"/>
        </w:rPr>
      </w:pPr>
      <w:r>
        <w:rPr>
          <w:rFonts w:hint="eastAsia" w:ascii="仿宋" w:hAnsi="仿宋" w:eastAsia="仿宋" w:cs="仿宋"/>
          <w:b/>
          <w:bCs/>
          <w:spacing w:val="-6"/>
          <w:sz w:val="21"/>
          <w:szCs w:val="21"/>
          <w:highlight w:val="none"/>
          <w:lang w:eastAsia="zh-CN"/>
        </w:rPr>
        <w:t>2.3</w:t>
      </w:r>
      <w:r>
        <w:rPr>
          <w:rFonts w:hint="eastAsia" w:ascii="仿宋" w:hAnsi="仿宋" w:eastAsia="仿宋" w:cs="仿宋"/>
          <w:spacing w:val="-55"/>
          <w:sz w:val="21"/>
          <w:szCs w:val="21"/>
          <w:highlight w:val="none"/>
          <w:lang w:eastAsia="zh-CN"/>
        </w:rPr>
        <w:t xml:space="preserve"> </w:t>
      </w:r>
      <w:r>
        <w:rPr>
          <w:rFonts w:hint="eastAsia" w:ascii="仿宋" w:hAnsi="仿宋" w:eastAsia="仿宋" w:cs="仿宋"/>
          <w:b/>
          <w:bCs/>
          <w:spacing w:val="-6"/>
          <w:sz w:val="21"/>
          <w:szCs w:val="21"/>
          <w:highlight w:val="none"/>
          <w:lang w:eastAsia="zh-CN"/>
        </w:rPr>
        <w:t>招标文件</w:t>
      </w:r>
    </w:p>
    <w:p w14:paraId="410DD991">
      <w:pPr>
        <w:spacing w:before="231" w:line="220" w:lineRule="auto"/>
        <w:ind w:left="3"/>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2.3.1</w:t>
      </w:r>
      <w:r>
        <w:rPr>
          <w:rFonts w:hint="eastAsia" w:ascii="仿宋" w:hAnsi="仿宋" w:eastAsia="仿宋" w:cs="仿宋"/>
          <w:spacing w:val="-45"/>
          <w:sz w:val="21"/>
          <w:szCs w:val="21"/>
          <w:highlight w:val="none"/>
          <w:lang w:eastAsia="zh-CN"/>
        </w:rPr>
        <w:t xml:space="preserve"> </w:t>
      </w:r>
      <w:r>
        <w:rPr>
          <w:rFonts w:hint="eastAsia" w:ascii="仿宋" w:hAnsi="仿宋" w:eastAsia="仿宋" w:cs="仿宋"/>
          <w:b/>
          <w:bCs/>
          <w:spacing w:val="-4"/>
          <w:sz w:val="21"/>
          <w:szCs w:val="21"/>
          <w:highlight w:val="none"/>
          <w:lang w:eastAsia="zh-CN"/>
        </w:rPr>
        <w:t>招标文件的构成</w:t>
      </w:r>
    </w:p>
    <w:p w14:paraId="4B607414">
      <w:pPr>
        <w:spacing w:before="183" w:line="313" w:lineRule="auto"/>
        <w:ind w:left="3" w:right="82" w:firstLine="480"/>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一、招标文件是投标人准备投标文件和参加投标的依据，同时也是资格审查</w:t>
      </w:r>
      <w:r>
        <w:rPr>
          <w:rFonts w:hint="eastAsia" w:ascii="仿宋" w:hAnsi="仿宋" w:eastAsia="仿宋" w:cs="仿宋"/>
          <w:spacing w:val="-8"/>
          <w:sz w:val="21"/>
          <w:szCs w:val="21"/>
          <w:highlight w:val="none"/>
          <w:lang w:eastAsia="zh-CN"/>
        </w:rPr>
        <w:t>、评标</w:t>
      </w:r>
      <w:r>
        <w:rPr>
          <w:rFonts w:hint="eastAsia" w:ascii="仿宋" w:hAnsi="仿宋" w:eastAsia="仿宋" w:cs="仿宋"/>
          <w:sz w:val="21"/>
          <w:szCs w:val="21"/>
          <w:highlight w:val="none"/>
          <w:lang w:eastAsia="zh-CN"/>
        </w:rPr>
        <w:t xml:space="preserve"> </w:t>
      </w:r>
      <w:r>
        <w:rPr>
          <w:rFonts w:hint="eastAsia" w:ascii="仿宋" w:hAnsi="仿宋" w:eastAsia="仿宋" w:cs="仿宋"/>
          <w:spacing w:val="-2"/>
          <w:sz w:val="21"/>
          <w:szCs w:val="21"/>
          <w:highlight w:val="none"/>
          <w:lang w:eastAsia="zh-CN"/>
        </w:rPr>
        <w:t>的重要依据。招标文件用以阐明招标项目所需的资质、技术、服务及报价等要求、招标</w:t>
      </w:r>
      <w:r>
        <w:rPr>
          <w:rFonts w:hint="eastAsia" w:ascii="仿宋" w:hAnsi="仿宋" w:eastAsia="仿宋" w:cs="仿宋"/>
          <w:spacing w:val="14"/>
          <w:sz w:val="21"/>
          <w:szCs w:val="21"/>
          <w:highlight w:val="none"/>
          <w:lang w:eastAsia="zh-CN"/>
        </w:rPr>
        <w:t xml:space="preserve"> </w:t>
      </w:r>
      <w:r>
        <w:rPr>
          <w:rFonts w:hint="eastAsia" w:ascii="仿宋" w:hAnsi="仿宋" w:eastAsia="仿宋" w:cs="仿宋"/>
          <w:spacing w:val="-2"/>
          <w:sz w:val="21"/>
          <w:szCs w:val="21"/>
          <w:highlight w:val="none"/>
          <w:lang w:eastAsia="zh-CN"/>
        </w:rPr>
        <w:t>投标程序、有关规定和注意事项以及合同主要条款等。本招标文件包括以下内容：</w:t>
      </w:r>
    </w:p>
    <w:p w14:paraId="4E520C64">
      <w:pPr>
        <w:spacing w:before="184" w:line="220" w:lineRule="auto"/>
        <w:ind w:left="487"/>
        <w:rPr>
          <w:rFonts w:hint="eastAsia" w:ascii="仿宋" w:hAnsi="仿宋" w:eastAsia="仿宋" w:cs="仿宋"/>
          <w:sz w:val="21"/>
          <w:szCs w:val="21"/>
          <w:highlight w:val="none"/>
          <w:lang w:eastAsia="zh-CN"/>
        </w:rPr>
      </w:pPr>
      <w:r>
        <w:rPr>
          <w:rFonts w:hint="eastAsia" w:ascii="仿宋" w:hAnsi="仿宋" w:eastAsia="仿宋" w:cs="仿宋"/>
          <w:spacing w:val="-8"/>
          <w:sz w:val="21"/>
          <w:szCs w:val="21"/>
          <w:highlight w:val="none"/>
          <w:lang w:eastAsia="zh-CN"/>
        </w:rPr>
        <w:t>（一）投标邀请；</w:t>
      </w:r>
    </w:p>
    <w:p w14:paraId="3CB22C19">
      <w:pPr>
        <w:spacing w:before="182" w:line="220" w:lineRule="auto"/>
        <w:ind w:left="487"/>
        <w:rPr>
          <w:rFonts w:hint="eastAsia" w:ascii="仿宋" w:hAnsi="仿宋" w:eastAsia="仿宋" w:cs="仿宋"/>
          <w:sz w:val="21"/>
          <w:szCs w:val="21"/>
          <w:highlight w:val="none"/>
          <w:lang w:eastAsia="zh-CN"/>
        </w:rPr>
      </w:pPr>
      <w:r>
        <w:rPr>
          <w:rFonts w:hint="eastAsia" w:ascii="仿宋" w:hAnsi="仿宋" w:eastAsia="仿宋" w:cs="仿宋"/>
          <w:spacing w:val="-8"/>
          <w:sz w:val="21"/>
          <w:szCs w:val="21"/>
          <w:highlight w:val="none"/>
          <w:lang w:eastAsia="zh-CN"/>
        </w:rPr>
        <w:t>（二）投标人须知；</w:t>
      </w:r>
    </w:p>
    <w:p w14:paraId="1A5297C5">
      <w:pPr>
        <w:spacing w:before="181" w:line="220" w:lineRule="auto"/>
        <w:ind w:left="487"/>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（三）招标项目技术、服务、商务及其他要求；</w:t>
      </w:r>
    </w:p>
    <w:p w14:paraId="6D952E7D">
      <w:pPr>
        <w:spacing w:before="182" w:line="220" w:lineRule="auto"/>
        <w:ind w:left="487"/>
        <w:rPr>
          <w:rFonts w:hint="eastAsia" w:ascii="仿宋" w:hAnsi="仿宋" w:eastAsia="仿宋" w:cs="仿宋"/>
          <w:sz w:val="21"/>
          <w:szCs w:val="21"/>
          <w:highlight w:val="none"/>
          <w:lang w:eastAsia="zh-CN"/>
        </w:rPr>
      </w:pPr>
      <w:r>
        <w:rPr>
          <w:rFonts w:hint="eastAsia" w:ascii="仿宋" w:hAnsi="仿宋" w:eastAsia="仿宋" w:cs="仿宋"/>
          <w:spacing w:val="-8"/>
          <w:sz w:val="21"/>
          <w:szCs w:val="21"/>
          <w:highlight w:val="none"/>
          <w:lang w:eastAsia="zh-CN"/>
        </w:rPr>
        <w:t>（四）资格审查；</w:t>
      </w:r>
    </w:p>
    <w:p w14:paraId="0F256E05">
      <w:pPr>
        <w:spacing w:before="182" w:line="220" w:lineRule="auto"/>
        <w:ind w:left="487"/>
        <w:rPr>
          <w:rFonts w:hint="eastAsia" w:ascii="仿宋" w:hAnsi="仿宋" w:eastAsia="仿宋" w:cs="仿宋"/>
          <w:sz w:val="21"/>
          <w:szCs w:val="21"/>
          <w:highlight w:val="none"/>
          <w:lang w:eastAsia="zh-CN"/>
        </w:rPr>
      </w:pPr>
      <w:r>
        <w:rPr>
          <w:rFonts w:hint="eastAsia" w:ascii="仿宋" w:hAnsi="仿宋" w:eastAsia="仿宋" w:cs="仿宋"/>
          <w:spacing w:val="-8"/>
          <w:sz w:val="21"/>
          <w:szCs w:val="21"/>
          <w:highlight w:val="none"/>
          <w:lang w:eastAsia="zh-CN"/>
        </w:rPr>
        <w:t>（五）评标办法；</w:t>
      </w:r>
    </w:p>
    <w:p w14:paraId="29FA6BFE">
      <w:pPr>
        <w:spacing w:before="182" w:line="220" w:lineRule="auto"/>
        <w:ind w:left="487"/>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（六）投标文件格式；</w:t>
      </w:r>
    </w:p>
    <w:p w14:paraId="070DAF44">
      <w:pPr>
        <w:spacing w:before="183" w:line="219" w:lineRule="auto"/>
        <w:ind w:left="487"/>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（七）拟签订采购合同文本。</w:t>
      </w:r>
    </w:p>
    <w:p w14:paraId="457B37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1"/>
          <w:sz w:val="21"/>
          <w:szCs w:val="21"/>
          <w:highlight w:val="none"/>
          <w:lang w:eastAsia="zh-CN"/>
        </w:rPr>
        <w:t>二、投标人应认真阅读和充分理解招标文件中</w:t>
      </w:r>
      <w:r>
        <w:rPr>
          <w:rFonts w:hint="eastAsia" w:ascii="仿宋" w:hAnsi="仿宋" w:eastAsia="仿宋" w:cs="仿宋"/>
          <w:sz w:val="21"/>
          <w:szCs w:val="21"/>
          <w:highlight w:val="none"/>
          <w:lang w:eastAsia="zh-CN"/>
        </w:rPr>
        <w:t xml:space="preserve">所有的事项、格式条款和规范要求。 </w:t>
      </w:r>
      <w:r>
        <w:rPr>
          <w:rFonts w:hint="eastAsia" w:ascii="仿宋" w:hAnsi="仿宋" w:eastAsia="仿宋" w:cs="仿宋"/>
          <w:spacing w:val="-2"/>
          <w:sz w:val="21"/>
          <w:szCs w:val="21"/>
          <w:highlight w:val="none"/>
          <w:lang w:eastAsia="zh-CN"/>
        </w:rPr>
        <w:t>投标人没有对招标文件全面做出实质性响应所产生的风险由投标人承担。</w:t>
      </w:r>
    </w:p>
    <w:p w14:paraId="0DE0295E">
      <w:pPr>
        <w:spacing w:before="34" w:line="220" w:lineRule="auto"/>
        <w:ind w:left="3"/>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2.3.2</w:t>
      </w:r>
      <w:r>
        <w:rPr>
          <w:rFonts w:hint="eastAsia" w:ascii="仿宋" w:hAnsi="仿宋" w:eastAsia="仿宋" w:cs="仿宋"/>
          <w:spacing w:val="-38"/>
          <w:sz w:val="21"/>
          <w:szCs w:val="21"/>
          <w:highlight w:val="none"/>
          <w:lang w:eastAsia="zh-CN"/>
        </w:rPr>
        <w:t xml:space="preserve"> </w:t>
      </w:r>
      <w:r>
        <w:rPr>
          <w:rFonts w:hint="eastAsia" w:ascii="仿宋" w:hAnsi="仿宋" w:eastAsia="仿宋" w:cs="仿宋"/>
          <w:b/>
          <w:bCs/>
          <w:spacing w:val="-4"/>
          <w:sz w:val="21"/>
          <w:szCs w:val="21"/>
          <w:highlight w:val="none"/>
          <w:lang w:eastAsia="zh-CN"/>
        </w:rPr>
        <w:t>招标文件的澄清和修改</w:t>
      </w:r>
    </w:p>
    <w:p w14:paraId="01B6464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00" w:firstLineChars="200"/>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lang w:eastAsia="zh-CN"/>
        </w:rPr>
        <w:t>一、在投标文件提交截止时间前，采购人或者代理机构可以对已发出</w:t>
      </w:r>
      <w:r>
        <w:rPr>
          <w:rFonts w:hint="eastAsia" w:ascii="仿宋" w:hAnsi="仿宋" w:eastAsia="仿宋" w:cs="仿宋"/>
          <w:spacing w:val="-6"/>
          <w:sz w:val="21"/>
          <w:szCs w:val="21"/>
          <w:highlight w:val="none"/>
          <w:lang w:eastAsia="zh-CN"/>
        </w:rPr>
        <w:t>的招标文件进</w:t>
      </w:r>
      <w:r>
        <w:rPr>
          <w:rFonts w:hint="eastAsia" w:ascii="仿宋" w:hAnsi="仿宋" w:eastAsia="仿宋" w:cs="仿宋"/>
          <w:spacing w:val="-4"/>
          <w:sz w:val="21"/>
          <w:szCs w:val="21"/>
          <w:highlight w:val="none"/>
        </w:rPr>
        <w:t>行必要的澄清或者修改。</w:t>
      </w:r>
    </w:p>
    <w:p w14:paraId="737F48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both"/>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5"/>
          <w:sz w:val="21"/>
          <w:szCs w:val="21"/>
          <w:highlight w:val="none"/>
          <w:lang w:eastAsia="zh-CN"/>
        </w:rPr>
        <w:t>二、澄清或者修改的内容为招标文件的组成部分，采购人或者代理机构将在陕西省</w:t>
      </w:r>
      <w:r>
        <w:rPr>
          <w:rFonts w:hint="eastAsia" w:ascii="仿宋" w:hAnsi="仿宋" w:eastAsia="仿宋" w:cs="仿宋"/>
          <w:spacing w:val="2"/>
          <w:sz w:val="21"/>
          <w:szCs w:val="21"/>
          <w:highlight w:val="none"/>
          <w:lang w:eastAsia="zh-CN"/>
        </w:rPr>
        <w:t xml:space="preserve"> </w:t>
      </w:r>
      <w:r>
        <w:rPr>
          <w:rFonts w:hint="eastAsia" w:ascii="仿宋" w:hAnsi="仿宋" w:eastAsia="仿宋" w:cs="仿宋"/>
          <w:spacing w:val="-1"/>
          <w:sz w:val="21"/>
          <w:szCs w:val="21"/>
          <w:highlight w:val="none"/>
          <w:lang w:eastAsia="zh-CN"/>
        </w:rPr>
        <w:t>政府采购网发布更正公告，投标人应及时关</w:t>
      </w:r>
      <w:r>
        <w:rPr>
          <w:rFonts w:hint="eastAsia" w:ascii="仿宋" w:hAnsi="仿宋" w:eastAsia="仿宋" w:cs="仿宋"/>
          <w:spacing w:val="-2"/>
          <w:sz w:val="21"/>
          <w:szCs w:val="21"/>
          <w:highlight w:val="none"/>
          <w:lang w:eastAsia="zh-CN"/>
        </w:rPr>
        <w:t>注本项目更正公告信息，按更正后公告要求</w:t>
      </w:r>
      <w:r>
        <w:rPr>
          <w:rFonts w:hint="eastAsia" w:ascii="仿宋" w:hAnsi="仿宋" w:eastAsia="仿宋" w:cs="仿宋"/>
          <w:sz w:val="21"/>
          <w:szCs w:val="21"/>
          <w:highlight w:val="none"/>
          <w:lang w:eastAsia="zh-CN"/>
        </w:rPr>
        <w:t xml:space="preserve"> </w:t>
      </w:r>
      <w:r>
        <w:rPr>
          <w:rFonts w:hint="eastAsia" w:ascii="仿宋" w:hAnsi="仿宋" w:eastAsia="仿宋" w:cs="仿宋"/>
          <w:spacing w:val="-1"/>
          <w:sz w:val="21"/>
          <w:szCs w:val="21"/>
          <w:highlight w:val="none"/>
          <w:lang w:eastAsia="zh-CN"/>
        </w:rPr>
        <w:t>进行响应。更正内容可能影响投标文件编制</w:t>
      </w:r>
      <w:r>
        <w:rPr>
          <w:rFonts w:hint="eastAsia" w:ascii="仿宋" w:hAnsi="仿宋" w:eastAsia="仿宋" w:cs="仿宋"/>
          <w:spacing w:val="-2"/>
          <w:sz w:val="21"/>
          <w:szCs w:val="21"/>
          <w:highlight w:val="none"/>
          <w:lang w:eastAsia="zh-CN"/>
        </w:rPr>
        <w:t>的，采购人或者代理机构将通过项目电子化</w:t>
      </w:r>
      <w:r>
        <w:rPr>
          <w:rFonts w:hint="eastAsia" w:ascii="仿宋" w:hAnsi="仿宋" w:eastAsia="仿宋" w:cs="仿宋"/>
          <w:sz w:val="21"/>
          <w:szCs w:val="21"/>
          <w:highlight w:val="none"/>
          <w:lang w:eastAsia="zh-CN"/>
        </w:rPr>
        <w:t xml:space="preserve"> </w:t>
      </w:r>
      <w:r>
        <w:rPr>
          <w:rFonts w:hint="eastAsia" w:ascii="仿宋" w:hAnsi="仿宋" w:eastAsia="仿宋" w:cs="仿宋"/>
          <w:spacing w:val="-1"/>
          <w:sz w:val="21"/>
          <w:szCs w:val="21"/>
          <w:highlight w:val="none"/>
          <w:lang w:eastAsia="zh-CN"/>
        </w:rPr>
        <w:t>交易系统发布更正后的招标文件，投标人应</w:t>
      </w:r>
      <w:r>
        <w:rPr>
          <w:rFonts w:hint="eastAsia" w:ascii="仿宋" w:hAnsi="仿宋" w:eastAsia="仿宋" w:cs="仿宋"/>
          <w:spacing w:val="-2"/>
          <w:sz w:val="21"/>
          <w:szCs w:val="21"/>
          <w:highlight w:val="none"/>
          <w:lang w:eastAsia="zh-CN"/>
        </w:rPr>
        <w:t>依据更正后的招标文件编制投标文件。若投</w:t>
      </w:r>
      <w:r>
        <w:rPr>
          <w:rFonts w:hint="eastAsia" w:ascii="仿宋" w:hAnsi="仿宋" w:eastAsia="仿宋" w:cs="仿宋"/>
          <w:sz w:val="21"/>
          <w:szCs w:val="21"/>
          <w:highlight w:val="none"/>
          <w:lang w:eastAsia="zh-CN"/>
        </w:rPr>
        <w:t xml:space="preserve"> </w:t>
      </w:r>
      <w:r>
        <w:rPr>
          <w:rFonts w:hint="eastAsia" w:ascii="仿宋" w:hAnsi="仿宋" w:eastAsia="仿宋" w:cs="仿宋"/>
          <w:spacing w:val="-2"/>
          <w:sz w:val="21"/>
          <w:szCs w:val="21"/>
          <w:highlight w:val="none"/>
          <w:lang w:eastAsia="zh-CN"/>
        </w:rPr>
        <w:t>标人未按前述要求进行投标响应的，自行承担不利后果。</w:t>
      </w:r>
    </w:p>
    <w:p w14:paraId="170E691A">
      <w:pPr>
        <w:spacing w:before="93" w:line="220" w:lineRule="auto"/>
        <w:ind w:left="6"/>
        <w:outlineLvl w:val="4"/>
        <w:rPr>
          <w:rFonts w:hint="eastAsia" w:ascii="仿宋" w:hAnsi="仿宋" w:eastAsia="仿宋" w:cs="仿宋"/>
          <w:sz w:val="21"/>
          <w:szCs w:val="21"/>
          <w:highlight w:val="none"/>
          <w:lang w:eastAsia="zh-CN"/>
        </w:rPr>
      </w:pPr>
      <w:r>
        <w:rPr>
          <w:rFonts w:hint="eastAsia" w:ascii="仿宋" w:hAnsi="仿宋" w:eastAsia="仿宋" w:cs="仿宋"/>
          <w:b/>
          <w:bCs/>
          <w:spacing w:val="-6"/>
          <w:sz w:val="21"/>
          <w:szCs w:val="21"/>
          <w:highlight w:val="none"/>
          <w:lang w:eastAsia="zh-CN"/>
        </w:rPr>
        <w:t>2.4</w:t>
      </w:r>
      <w:r>
        <w:rPr>
          <w:rFonts w:hint="eastAsia" w:ascii="仿宋" w:hAnsi="仿宋" w:eastAsia="仿宋" w:cs="仿宋"/>
          <w:spacing w:val="-54"/>
          <w:sz w:val="21"/>
          <w:szCs w:val="21"/>
          <w:highlight w:val="none"/>
          <w:lang w:eastAsia="zh-CN"/>
        </w:rPr>
        <w:t xml:space="preserve"> </w:t>
      </w:r>
      <w:r>
        <w:rPr>
          <w:rFonts w:hint="eastAsia" w:ascii="仿宋" w:hAnsi="仿宋" w:eastAsia="仿宋" w:cs="仿宋"/>
          <w:b/>
          <w:bCs/>
          <w:spacing w:val="-6"/>
          <w:sz w:val="21"/>
          <w:szCs w:val="21"/>
          <w:highlight w:val="none"/>
          <w:lang w:eastAsia="zh-CN"/>
        </w:rPr>
        <w:t>投标文件</w:t>
      </w:r>
    </w:p>
    <w:p w14:paraId="1EE2BED3">
      <w:pPr>
        <w:spacing w:before="231" w:line="220" w:lineRule="auto"/>
        <w:ind w:left="4"/>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2.4.1</w:t>
      </w:r>
      <w:r>
        <w:rPr>
          <w:rFonts w:hint="eastAsia" w:ascii="仿宋" w:hAnsi="仿宋" w:eastAsia="仿宋" w:cs="仿宋"/>
          <w:spacing w:val="-45"/>
          <w:sz w:val="21"/>
          <w:szCs w:val="21"/>
          <w:highlight w:val="none"/>
          <w:lang w:eastAsia="zh-CN"/>
        </w:rPr>
        <w:t xml:space="preserve"> </w:t>
      </w:r>
      <w:r>
        <w:rPr>
          <w:rFonts w:hint="eastAsia" w:ascii="仿宋" w:hAnsi="仿宋" w:eastAsia="仿宋" w:cs="仿宋"/>
          <w:b/>
          <w:bCs/>
          <w:spacing w:val="-4"/>
          <w:sz w:val="21"/>
          <w:szCs w:val="21"/>
          <w:highlight w:val="none"/>
          <w:lang w:eastAsia="zh-CN"/>
        </w:rPr>
        <w:t>投标文件的语言</w:t>
      </w:r>
    </w:p>
    <w:p w14:paraId="7BBF56DA">
      <w:pPr>
        <w:spacing w:before="182" w:line="313" w:lineRule="auto"/>
        <w:ind w:right="61" w:firstLine="484"/>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一、投标人提交的投标文件以及投标人与采购人或代理机构就有关投标的所有来往</w:t>
      </w:r>
      <w:r>
        <w:rPr>
          <w:rFonts w:hint="eastAsia" w:ascii="仿宋" w:hAnsi="仿宋" w:eastAsia="仿宋" w:cs="仿宋"/>
          <w:spacing w:val="7"/>
          <w:sz w:val="21"/>
          <w:szCs w:val="21"/>
          <w:highlight w:val="none"/>
          <w:lang w:eastAsia="zh-CN"/>
        </w:rPr>
        <w:t xml:space="preserve"> </w:t>
      </w:r>
      <w:r>
        <w:rPr>
          <w:rFonts w:hint="eastAsia" w:ascii="仿宋" w:hAnsi="仿宋" w:eastAsia="仿宋" w:cs="仿宋"/>
          <w:spacing w:val="-5"/>
          <w:sz w:val="21"/>
          <w:szCs w:val="21"/>
          <w:highlight w:val="none"/>
          <w:lang w:eastAsia="zh-CN"/>
        </w:rPr>
        <w:t>书面文件均须使用中文。投标文件中如附有外文资料，主要部分要对应翻译成中文并附</w:t>
      </w:r>
      <w:r>
        <w:rPr>
          <w:rFonts w:hint="eastAsia" w:ascii="仿宋" w:hAnsi="仿宋" w:eastAsia="仿宋" w:cs="仿宋"/>
          <w:spacing w:val="17"/>
          <w:sz w:val="21"/>
          <w:szCs w:val="21"/>
          <w:highlight w:val="none"/>
          <w:lang w:eastAsia="zh-CN"/>
        </w:rPr>
        <w:t xml:space="preserve"> </w:t>
      </w:r>
      <w:r>
        <w:rPr>
          <w:rFonts w:hint="eastAsia" w:ascii="仿宋" w:hAnsi="仿宋" w:eastAsia="仿宋" w:cs="仿宋"/>
          <w:spacing w:val="-1"/>
          <w:sz w:val="21"/>
          <w:szCs w:val="21"/>
          <w:highlight w:val="none"/>
          <w:lang w:eastAsia="zh-CN"/>
        </w:rPr>
        <w:t>在相关外文资料后面。未翻译的外文资料，评标委员</w:t>
      </w:r>
      <w:r>
        <w:rPr>
          <w:rFonts w:hint="eastAsia" w:ascii="仿宋" w:hAnsi="仿宋" w:eastAsia="仿宋" w:cs="仿宋"/>
          <w:spacing w:val="-2"/>
          <w:sz w:val="21"/>
          <w:szCs w:val="21"/>
          <w:highlight w:val="none"/>
          <w:lang w:eastAsia="zh-CN"/>
        </w:rPr>
        <w:t>会将其视为无效材料。</w:t>
      </w:r>
    </w:p>
    <w:p w14:paraId="7673DDDB">
      <w:pPr>
        <w:spacing w:before="185" w:line="289" w:lineRule="auto"/>
        <w:ind w:left="1" w:right="63" w:firstLine="483"/>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二、翻译的中文资料与外文资料如果出现差异和矛盾时，以中文为准</w:t>
      </w:r>
      <w:r>
        <w:rPr>
          <w:rFonts w:hint="eastAsia" w:ascii="仿宋" w:hAnsi="仿宋" w:eastAsia="仿宋" w:cs="仿宋"/>
          <w:spacing w:val="-8"/>
          <w:sz w:val="21"/>
          <w:szCs w:val="21"/>
          <w:highlight w:val="none"/>
          <w:lang w:eastAsia="zh-CN"/>
        </w:rPr>
        <w:t>。涉嫌提供虚</w:t>
      </w:r>
      <w:r>
        <w:rPr>
          <w:rFonts w:hint="eastAsia" w:ascii="仿宋" w:hAnsi="仿宋" w:eastAsia="仿宋" w:cs="仿宋"/>
          <w:sz w:val="21"/>
          <w:szCs w:val="21"/>
          <w:highlight w:val="none"/>
          <w:lang w:eastAsia="zh-CN"/>
        </w:rPr>
        <w:t xml:space="preserve"> </w:t>
      </w:r>
      <w:r>
        <w:rPr>
          <w:rFonts w:hint="eastAsia" w:ascii="仿宋" w:hAnsi="仿宋" w:eastAsia="仿宋" w:cs="仿宋"/>
          <w:spacing w:val="-3"/>
          <w:sz w:val="21"/>
          <w:szCs w:val="21"/>
          <w:highlight w:val="none"/>
          <w:lang w:eastAsia="zh-CN"/>
        </w:rPr>
        <w:t>假材料的按照相关法律法规处理。</w:t>
      </w:r>
    </w:p>
    <w:p w14:paraId="561313B7">
      <w:pPr>
        <w:spacing w:before="183" w:line="220" w:lineRule="auto"/>
        <w:ind w:left="481"/>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三、如因未翻译而造成对投标人的不利后果，由投标人承担。</w:t>
      </w:r>
    </w:p>
    <w:p w14:paraId="34E848BF">
      <w:pPr>
        <w:spacing w:before="183" w:line="220" w:lineRule="auto"/>
        <w:ind w:left="4"/>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2.4.2</w:t>
      </w:r>
      <w:r>
        <w:rPr>
          <w:rFonts w:hint="eastAsia" w:ascii="仿宋" w:hAnsi="仿宋" w:eastAsia="仿宋" w:cs="仿宋"/>
          <w:spacing w:val="-51"/>
          <w:sz w:val="21"/>
          <w:szCs w:val="21"/>
          <w:highlight w:val="none"/>
          <w:lang w:eastAsia="zh-CN"/>
        </w:rPr>
        <w:t xml:space="preserve"> </w:t>
      </w:r>
      <w:r>
        <w:rPr>
          <w:rFonts w:hint="eastAsia" w:ascii="仿宋" w:hAnsi="仿宋" w:eastAsia="仿宋" w:cs="仿宋"/>
          <w:b/>
          <w:bCs/>
          <w:spacing w:val="-4"/>
          <w:sz w:val="21"/>
          <w:szCs w:val="21"/>
          <w:highlight w:val="none"/>
          <w:lang w:eastAsia="zh-CN"/>
        </w:rPr>
        <w:t>计量单位</w:t>
      </w:r>
    </w:p>
    <w:p w14:paraId="4E3B8521">
      <w:pPr>
        <w:spacing w:before="182" w:line="219" w:lineRule="auto"/>
        <w:ind w:left="496"/>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除招标文件中另有规定外，本项目均采用国家法定的计量单</w:t>
      </w:r>
      <w:r>
        <w:rPr>
          <w:rFonts w:hint="eastAsia" w:ascii="仿宋" w:hAnsi="仿宋" w:eastAsia="仿宋" w:cs="仿宋"/>
          <w:spacing w:val="-3"/>
          <w:sz w:val="21"/>
          <w:szCs w:val="21"/>
          <w:highlight w:val="none"/>
          <w:lang w:eastAsia="zh-CN"/>
        </w:rPr>
        <w:t>位。</w:t>
      </w:r>
    </w:p>
    <w:p w14:paraId="5C6F103D">
      <w:pPr>
        <w:spacing w:before="183" w:line="219" w:lineRule="auto"/>
        <w:ind w:left="4"/>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2.4.3</w:t>
      </w:r>
      <w:r>
        <w:rPr>
          <w:rFonts w:hint="eastAsia" w:ascii="仿宋" w:hAnsi="仿宋" w:eastAsia="仿宋" w:cs="仿宋"/>
          <w:spacing w:val="-42"/>
          <w:sz w:val="21"/>
          <w:szCs w:val="21"/>
          <w:highlight w:val="none"/>
          <w:lang w:eastAsia="zh-CN"/>
        </w:rPr>
        <w:t xml:space="preserve"> </w:t>
      </w:r>
      <w:r>
        <w:rPr>
          <w:rFonts w:hint="eastAsia" w:ascii="仿宋" w:hAnsi="仿宋" w:eastAsia="仿宋" w:cs="仿宋"/>
          <w:b/>
          <w:bCs/>
          <w:spacing w:val="-5"/>
          <w:sz w:val="21"/>
          <w:szCs w:val="21"/>
          <w:highlight w:val="none"/>
          <w:lang w:eastAsia="zh-CN"/>
        </w:rPr>
        <w:t>投标货币</w:t>
      </w:r>
    </w:p>
    <w:p w14:paraId="2BCED86A">
      <w:pPr>
        <w:spacing w:before="184" w:line="218" w:lineRule="auto"/>
        <w:ind w:left="482"/>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本次项目均以人民币报价。</w:t>
      </w:r>
    </w:p>
    <w:p w14:paraId="395135B2">
      <w:pPr>
        <w:spacing w:before="183" w:line="220" w:lineRule="auto"/>
        <w:ind w:left="4"/>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2.4.4</w:t>
      </w:r>
      <w:r>
        <w:rPr>
          <w:rFonts w:hint="eastAsia" w:ascii="仿宋" w:hAnsi="仿宋" w:eastAsia="仿宋" w:cs="仿宋"/>
          <w:spacing w:val="-42"/>
          <w:sz w:val="21"/>
          <w:szCs w:val="21"/>
          <w:highlight w:val="none"/>
          <w:lang w:eastAsia="zh-CN"/>
        </w:rPr>
        <w:t xml:space="preserve"> </w:t>
      </w:r>
      <w:r>
        <w:rPr>
          <w:rFonts w:hint="eastAsia" w:ascii="仿宋" w:hAnsi="仿宋" w:eastAsia="仿宋" w:cs="仿宋"/>
          <w:b/>
          <w:bCs/>
          <w:spacing w:val="-5"/>
          <w:sz w:val="21"/>
          <w:szCs w:val="21"/>
          <w:highlight w:val="none"/>
          <w:lang w:eastAsia="zh-CN"/>
        </w:rPr>
        <w:t>知识产权</w:t>
      </w:r>
    </w:p>
    <w:p w14:paraId="7B85C9AC">
      <w:pPr>
        <w:spacing w:before="181" w:line="325" w:lineRule="auto"/>
        <w:ind w:firstLine="484"/>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一、投标人应保证在本项目中使用的任何技术、产品和服务（包括部分使用</w:t>
      </w:r>
      <w:r>
        <w:rPr>
          <w:rFonts w:hint="eastAsia" w:ascii="仿宋" w:hAnsi="仿宋" w:eastAsia="仿宋" w:cs="仿宋"/>
          <w:spacing w:val="-5"/>
          <w:sz w:val="21"/>
          <w:szCs w:val="21"/>
          <w:highlight w:val="none"/>
          <w:lang w:eastAsia="zh-CN"/>
        </w:rPr>
        <w:t>），</w:t>
      </w:r>
      <w:r>
        <w:rPr>
          <w:rFonts w:hint="eastAsia" w:ascii="仿宋" w:hAnsi="仿宋" w:eastAsia="仿宋" w:cs="仿宋"/>
          <w:spacing w:val="-2"/>
          <w:sz w:val="21"/>
          <w:szCs w:val="21"/>
          <w:highlight w:val="none"/>
          <w:lang w:eastAsia="zh-CN"/>
        </w:rPr>
        <w:t>不</w:t>
      </w:r>
      <w:r>
        <w:rPr>
          <w:rFonts w:hint="eastAsia" w:ascii="仿宋" w:hAnsi="仿宋" w:eastAsia="仿宋" w:cs="仿宋"/>
          <w:sz w:val="21"/>
          <w:szCs w:val="21"/>
          <w:highlight w:val="none"/>
          <w:lang w:eastAsia="zh-CN"/>
        </w:rPr>
        <w:t xml:space="preserve"> 会产生因第三方提出侵犯其专利权、商标权或其它知识产权而引起的法律和经济纠纷，</w:t>
      </w:r>
      <w:r>
        <w:rPr>
          <w:rFonts w:hint="eastAsia" w:ascii="仿宋" w:hAnsi="仿宋" w:eastAsia="仿宋" w:cs="仿宋"/>
          <w:spacing w:val="4"/>
          <w:sz w:val="21"/>
          <w:szCs w:val="21"/>
          <w:highlight w:val="none"/>
          <w:lang w:eastAsia="zh-CN"/>
        </w:rPr>
        <w:t xml:space="preserve"> </w:t>
      </w:r>
      <w:r>
        <w:rPr>
          <w:rFonts w:hint="eastAsia" w:ascii="仿宋" w:hAnsi="仿宋" w:eastAsia="仿宋" w:cs="仿宋"/>
          <w:spacing w:val="-5"/>
          <w:sz w:val="21"/>
          <w:szCs w:val="21"/>
          <w:highlight w:val="none"/>
          <w:lang w:eastAsia="zh-CN"/>
        </w:rPr>
        <w:t>如因专利权、商标权或其它知识产权而引起法律和经济纠纷，由投标人承担所有相关责</w:t>
      </w:r>
      <w:r>
        <w:rPr>
          <w:rFonts w:hint="eastAsia" w:ascii="仿宋" w:hAnsi="仿宋" w:eastAsia="仿宋" w:cs="仿宋"/>
          <w:spacing w:val="18"/>
          <w:sz w:val="21"/>
          <w:szCs w:val="21"/>
          <w:highlight w:val="none"/>
          <w:lang w:eastAsia="zh-CN"/>
        </w:rPr>
        <w:t xml:space="preserve"> </w:t>
      </w:r>
      <w:r>
        <w:rPr>
          <w:rFonts w:hint="eastAsia" w:ascii="仿宋" w:hAnsi="仿宋" w:eastAsia="仿宋" w:cs="仿宋"/>
          <w:spacing w:val="-2"/>
          <w:sz w:val="21"/>
          <w:szCs w:val="21"/>
          <w:highlight w:val="none"/>
          <w:lang w:eastAsia="zh-CN"/>
        </w:rPr>
        <w:t>任。采购人享有本项目实施过程中产生的知识成果及知识产权。</w:t>
      </w:r>
    </w:p>
    <w:p w14:paraId="5696CDC9">
      <w:pPr>
        <w:spacing w:before="184" w:line="313" w:lineRule="auto"/>
        <w:ind w:left="3" w:right="61" w:firstLine="481"/>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二、投标人将在采购项目实施过程中采用自有或者第三方知识成果的，使用该知识</w:t>
      </w:r>
      <w:r>
        <w:rPr>
          <w:rFonts w:hint="eastAsia" w:ascii="仿宋" w:hAnsi="仿宋" w:eastAsia="仿宋" w:cs="仿宋"/>
          <w:spacing w:val="2"/>
          <w:sz w:val="21"/>
          <w:szCs w:val="21"/>
          <w:highlight w:val="none"/>
          <w:lang w:eastAsia="zh-CN"/>
        </w:rPr>
        <w:t xml:space="preserve"> </w:t>
      </w:r>
      <w:r>
        <w:rPr>
          <w:rFonts w:hint="eastAsia" w:ascii="仿宋" w:hAnsi="仿宋" w:eastAsia="仿宋" w:cs="仿宋"/>
          <w:spacing w:val="-2"/>
          <w:sz w:val="21"/>
          <w:szCs w:val="21"/>
          <w:highlight w:val="none"/>
          <w:lang w:eastAsia="zh-CN"/>
        </w:rPr>
        <w:t>成果后，投标人需提供开发接口和开发手册等技术资料，并承诺提供无限期支持，采购</w:t>
      </w:r>
      <w:r>
        <w:rPr>
          <w:rFonts w:hint="eastAsia" w:ascii="仿宋" w:hAnsi="仿宋" w:eastAsia="仿宋" w:cs="仿宋"/>
          <w:spacing w:val="13"/>
          <w:sz w:val="21"/>
          <w:szCs w:val="21"/>
          <w:highlight w:val="none"/>
          <w:lang w:eastAsia="zh-CN"/>
        </w:rPr>
        <w:t xml:space="preserve"> </w:t>
      </w:r>
      <w:r>
        <w:rPr>
          <w:rFonts w:hint="eastAsia" w:ascii="仿宋" w:hAnsi="仿宋" w:eastAsia="仿宋" w:cs="仿宋"/>
          <w:spacing w:val="-5"/>
          <w:sz w:val="21"/>
          <w:szCs w:val="21"/>
          <w:highlight w:val="none"/>
          <w:lang w:eastAsia="zh-CN"/>
        </w:rPr>
        <w:t>人享有使用权（含采购人委托第三方在该项目后续开发的使用权）。</w:t>
      </w:r>
    </w:p>
    <w:p w14:paraId="61B83C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both"/>
        <w:textAlignment w:val="baseline"/>
        <w:rPr>
          <w:rFonts w:hint="eastAsia" w:ascii="仿宋" w:hAnsi="仿宋" w:eastAsia="仿宋" w:cs="仿宋"/>
          <w:spacing w:val="-5"/>
          <w:sz w:val="21"/>
          <w:szCs w:val="21"/>
          <w:highlight w:val="none"/>
          <w:lang w:eastAsia="zh-CN"/>
        </w:rPr>
      </w:pPr>
      <w:r>
        <w:rPr>
          <w:rFonts w:hint="eastAsia" w:ascii="仿宋" w:hAnsi="仿宋" w:eastAsia="仿宋" w:cs="仿宋"/>
          <w:spacing w:val="-5"/>
          <w:sz w:val="21"/>
          <w:szCs w:val="21"/>
          <w:highlight w:val="none"/>
          <w:lang w:eastAsia="zh-CN"/>
        </w:rPr>
        <w:t>三、如采用投标人所不拥有的知识产权，则在投标报价中必须包括合法使用该知识</w:t>
      </w:r>
      <w:r>
        <w:rPr>
          <w:rFonts w:hint="eastAsia" w:ascii="仿宋" w:hAnsi="仿宋" w:eastAsia="仿宋" w:cs="仿宋"/>
          <w:spacing w:val="6"/>
          <w:sz w:val="21"/>
          <w:szCs w:val="21"/>
          <w:highlight w:val="none"/>
          <w:lang w:eastAsia="zh-CN"/>
        </w:rPr>
        <w:t xml:space="preserve"> </w:t>
      </w:r>
      <w:r>
        <w:rPr>
          <w:rFonts w:hint="eastAsia" w:ascii="仿宋" w:hAnsi="仿宋" w:eastAsia="仿宋" w:cs="仿宋"/>
          <w:spacing w:val="-5"/>
          <w:sz w:val="21"/>
          <w:szCs w:val="21"/>
          <w:highlight w:val="none"/>
          <w:lang w:eastAsia="zh-CN"/>
        </w:rPr>
        <w:t>产权的相关费用。</w:t>
      </w:r>
    </w:p>
    <w:p w14:paraId="4CA899D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5"/>
        <w:rPr>
          <w:rFonts w:hint="eastAsia" w:ascii="仿宋" w:hAnsi="仿宋" w:eastAsia="仿宋" w:cs="仿宋"/>
          <w:b/>
          <w:bCs/>
          <w:spacing w:val="-4"/>
          <w:sz w:val="21"/>
          <w:szCs w:val="21"/>
          <w:highlight w:val="none"/>
          <w:lang w:eastAsia="zh-CN"/>
        </w:rPr>
      </w:pPr>
      <w:r>
        <w:rPr>
          <w:rFonts w:hint="eastAsia" w:ascii="仿宋" w:hAnsi="仿宋" w:eastAsia="仿宋" w:cs="仿宋"/>
          <w:b/>
          <w:bCs/>
          <w:spacing w:val="-4"/>
          <w:sz w:val="21"/>
          <w:szCs w:val="21"/>
          <w:highlight w:val="none"/>
          <w:lang w:eastAsia="zh-CN"/>
        </w:rPr>
        <w:t>2.4.5</w:t>
      </w:r>
      <w:r>
        <w:rPr>
          <w:rFonts w:hint="eastAsia" w:ascii="仿宋" w:hAnsi="仿宋" w:eastAsia="仿宋" w:cs="仿宋"/>
          <w:spacing w:val="-45"/>
          <w:sz w:val="21"/>
          <w:szCs w:val="21"/>
          <w:highlight w:val="none"/>
          <w:lang w:eastAsia="zh-CN"/>
        </w:rPr>
        <w:t xml:space="preserve"> </w:t>
      </w:r>
      <w:r>
        <w:rPr>
          <w:rFonts w:hint="eastAsia" w:ascii="仿宋" w:hAnsi="仿宋" w:eastAsia="仿宋" w:cs="仿宋"/>
          <w:b/>
          <w:bCs/>
          <w:spacing w:val="-4"/>
          <w:sz w:val="21"/>
          <w:szCs w:val="21"/>
          <w:highlight w:val="none"/>
          <w:lang w:eastAsia="zh-CN"/>
        </w:rPr>
        <w:t>投标文件的组成</w:t>
      </w:r>
    </w:p>
    <w:p w14:paraId="084E07AA">
      <w:pPr>
        <w:spacing w:before="99" w:line="347" w:lineRule="auto"/>
        <w:ind w:left="1" w:right="101" w:firstLine="480"/>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投标人应当按照招标文件的要求编制投标文件。投标文件应当对招标文件提出的要</w:t>
      </w:r>
      <w:r>
        <w:rPr>
          <w:rFonts w:hint="eastAsia" w:ascii="仿宋" w:hAnsi="仿宋" w:eastAsia="仿宋" w:cs="仿宋"/>
          <w:spacing w:val="-4"/>
          <w:sz w:val="21"/>
          <w:szCs w:val="21"/>
          <w:highlight w:val="none"/>
          <w:lang w:eastAsia="zh-CN"/>
        </w:rPr>
        <w:t>求和条件作出明确响应。</w:t>
      </w:r>
    </w:p>
    <w:p w14:paraId="190F967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投标文件具体内容详见第六章。</w:t>
      </w:r>
    </w:p>
    <w:p w14:paraId="7DBFD411">
      <w:pPr>
        <w:spacing w:before="182" w:line="220"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2.4.6</w:t>
      </w:r>
      <w:r>
        <w:rPr>
          <w:rFonts w:hint="eastAsia" w:ascii="仿宋" w:hAnsi="仿宋" w:eastAsia="仿宋" w:cs="仿宋"/>
          <w:spacing w:val="-48"/>
          <w:sz w:val="21"/>
          <w:szCs w:val="21"/>
          <w:highlight w:val="none"/>
          <w:lang w:eastAsia="zh-CN"/>
        </w:rPr>
        <w:t xml:space="preserve"> </w:t>
      </w:r>
      <w:r>
        <w:rPr>
          <w:rFonts w:hint="eastAsia" w:ascii="仿宋" w:hAnsi="仿宋" w:eastAsia="仿宋" w:cs="仿宋"/>
          <w:b/>
          <w:bCs/>
          <w:spacing w:val="-4"/>
          <w:sz w:val="21"/>
          <w:szCs w:val="21"/>
          <w:highlight w:val="none"/>
          <w:lang w:eastAsia="zh-CN"/>
        </w:rPr>
        <w:t>投标文件格式</w:t>
      </w:r>
    </w:p>
    <w:p w14:paraId="43378B95">
      <w:pPr>
        <w:spacing w:before="182" w:line="219" w:lineRule="auto"/>
        <w:ind w:left="483"/>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一、投标人应按照招标文件第六章中提供的“</w:t>
      </w:r>
      <w:r>
        <w:rPr>
          <w:rFonts w:hint="eastAsia" w:ascii="仿宋" w:hAnsi="仿宋" w:eastAsia="仿宋" w:cs="仿宋"/>
          <w:spacing w:val="-2"/>
          <w:sz w:val="21"/>
          <w:szCs w:val="21"/>
          <w:highlight w:val="none"/>
          <w:lang w:eastAsia="zh-CN"/>
        </w:rPr>
        <w:t>投标文件格式”填写相关内容。</w:t>
      </w:r>
    </w:p>
    <w:p w14:paraId="44F2B343">
      <w:pPr>
        <w:spacing w:before="183" w:line="220" w:lineRule="auto"/>
        <w:ind w:left="483"/>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二、对于没有格式要求的投标文件由投标人自行编写。</w:t>
      </w:r>
    </w:p>
    <w:p w14:paraId="2DD3ECE7">
      <w:pPr>
        <w:spacing w:before="183" w:line="218"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3"/>
          <w:sz w:val="21"/>
          <w:szCs w:val="21"/>
          <w:highlight w:val="none"/>
          <w:lang w:eastAsia="zh-CN"/>
        </w:rPr>
        <w:t>2.4.7</w:t>
      </w:r>
      <w:r>
        <w:rPr>
          <w:rFonts w:hint="eastAsia" w:ascii="仿宋" w:hAnsi="仿宋" w:eastAsia="仿宋" w:cs="仿宋"/>
          <w:spacing w:val="-3"/>
          <w:sz w:val="21"/>
          <w:szCs w:val="21"/>
          <w:highlight w:val="none"/>
          <w:lang w:eastAsia="zh-CN"/>
        </w:rPr>
        <w:t xml:space="preserve"> </w:t>
      </w:r>
      <w:r>
        <w:rPr>
          <w:rFonts w:hint="eastAsia" w:ascii="仿宋" w:hAnsi="仿宋" w:eastAsia="仿宋" w:cs="仿宋"/>
          <w:b/>
          <w:bCs/>
          <w:spacing w:val="-3"/>
          <w:sz w:val="21"/>
          <w:szCs w:val="21"/>
          <w:highlight w:val="none"/>
          <w:lang w:eastAsia="zh-CN"/>
        </w:rPr>
        <w:t>投标报价（实质性要求）</w:t>
      </w:r>
    </w:p>
    <w:p w14:paraId="3634326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6"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一、本项目报价包括为实施本工程所发生</w:t>
      </w:r>
      <w:r>
        <w:rPr>
          <w:rFonts w:hint="eastAsia" w:ascii="仿宋" w:hAnsi="仿宋" w:eastAsia="仿宋" w:cs="仿宋"/>
          <w:spacing w:val="-2"/>
          <w:sz w:val="21"/>
          <w:szCs w:val="21"/>
          <w:highlight w:val="none"/>
          <w:lang w:eastAsia="zh-CN"/>
        </w:rPr>
        <w:t>的人工费、材料费、机械费、</w:t>
      </w:r>
      <w:r>
        <w:rPr>
          <w:rFonts w:hint="eastAsia" w:ascii="仿宋" w:hAnsi="仿宋" w:eastAsia="仿宋" w:cs="仿宋"/>
          <w:spacing w:val="-8"/>
          <w:sz w:val="21"/>
          <w:szCs w:val="21"/>
          <w:highlight w:val="none"/>
          <w:lang w:eastAsia="zh-CN"/>
        </w:rPr>
        <w:t>设备费、运输费、企业管理费、临时工程费、临时占地租金、税金、利润、暂列金、专业工程暂估价、</w:t>
      </w:r>
      <w:r>
        <w:rPr>
          <w:rFonts w:hint="eastAsia" w:ascii="仿宋" w:hAnsi="仿宋" w:eastAsia="仿宋" w:cs="仿宋"/>
          <w:sz w:val="21"/>
          <w:szCs w:val="21"/>
          <w:highlight w:val="none"/>
          <w:lang w:eastAsia="zh-CN"/>
        </w:rPr>
        <w:t>以及合同明示或暗示的所有风险、责任和义务等本合同工程范围内所产生的全部费用。</w:t>
      </w:r>
    </w:p>
    <w:p w14:paraId="0B7EAD7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二、投标人的报价是投标人响应招标项目要求的全部工作内容的价格体现， 包括投</w:t>
      </w:r>
      <w:r>
        <w:rPr>
          <w:rFonts w:hint="eastAsia" w:ascii="仿宋" w:hAnsi="仿宋" w:eastAsia="仿宋" w:cs="仿宋"/>
          <w:spacing w:val="2"/>
          <w:sz w:val="21"/>
          <w:szCs w:val="21"/>
          <w:highlight w:val="none"/>
          <w:lang w:eastAsia="zh-CN"/>
        </w:rPr>
        <w:t xml:space="preserve"> </w:t>
      </w:r>
      <w:r>
        <w:rPr>
          <w:rFonts w:hint="eastAsia" w:ascii="仿宋" w:hAnsi="仿宋" w:eastAsia="仿宋" w:cs="仿宋"/>
          <w:spacing w:val="-2"/>
          <w:sz w:val="21"/>
          <w:szCs w:val="21"/>
          <w:highlight w:val="none"/>
          <w:lang w:eastAsia="zh-CN"/>
        </w:rPr>
        <w:t>标人完成本项目工程量清单所包含的一切费用。</w:t>
      </w:r>
    </w:p>
    <w:p w14:paraId="15D1F82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三、投标人已标价工程量清单只允许有一个报价，并且在合同单价在履行过程中是</w:t>
      </w:r>
      <w:r>
        <w:rPr>
          <w:rFonts w:hint="eastAsia" w:ascii="仿宋" w:hAnsi="仿宋" w:eastAsia="仿宋" w:cs="仿宋"/>
          <w:spacing w:val="13"/>
          <w:sz w:val="21"/>
          <w:szCs w:val="21"/>
          <w:highlight w:val="none"/>
          <w:lang w:eastAsia="zh-CN"/>
        </w:rPr>
        <w:t xml:space="preserve"> </w:t>
      </w:r>
      <w:r>
        <w:rPr>
          <w:rFonts w:hint="eastAsia" w:ascii="仿宋" w:hAnsi="仿宋" w:eastAsia="仿宋" w:cs="仿宋"/>
          <w:spacing w:val="-2"/>
          <w:sz w:val="21"/>
          <w:szCs w:val="21"/>
          <w:highlight w:val="none"/>
          <w:lang w:eastAsia="zh-CN"/>
        </w:rPr>
        <w:t>固定不变的，任何有选择或可调整的报价将不予接受，并按无效投标处理。</w:t>
      </w:r>
    </w:p>
    <w:p w14:paraId="332A2AB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6"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四、投标文件报价出现前后不一致的，按照招标文件第五章评标办法规定予以修正，</w:t>
      </w:r>
      <w:r>
        <w:rPr>
          <w:rFonts w:hint="eastAsia" w:ascii="仿宋" w:hAnsi="仿宋" w:eastAsia="仿宋" w:cs="仿宋"/>
          <w:spacing w:val="1"/>
          <w:sz w:val="21"/>
          <w:szCs w:val="21"/>
          <w:highlight w:val="none"/>
          <w:lang w:eastAsia="zh-CN"/>
        </w:rPr>
        <w:t>修正后的报价经投标人通过项目电子化交易系统进行确认，并加盖投标人（法定名称）</w:t>
      </w:r>
      <w:r>
        <w:rPr>
          <w:rFonts w:hint="eastAsia" w:ascii="仿宋" w:hAnsi="仿宋" w:eastAsia="仿宋" w:cs="仿宋"/>
          <w:spacing w:val="-2"/>
          <w:sz w:val="21"/>
          <w:szCs w:val="21"/>
          <w:highlight w:val="none"/>
          <w:lang w:eastAsia="zh-CN"/>
        </w:rPr>
        <w:t>电子签章，投标人未在规定时间内确认的，其投标无效。</w:t>
      </w:r>
    </w:p>
    <w:p w14:paraId="73B67970">
      <w:pPr>
        <w:spacing w:before="184" w:line="220"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2.4.8</w:t>
      </w:r>
      <w:r>
        <w:rPr>
          <w:rFonts w:hint="eastAsia" w:ascii="仿宋" w:hAnsi="仿宋" w:eastAsia="仿宋" w:cs="仿宋"/>
          <w:spacing w:val="-42"/>
          <w:sz w:val="21"/>
          <w:szCs w:val="21"/>
          <w:highlight w:val="none"/>
          <w:lang w:eastAsia="zh-CN"/>
        </w:rPr>
        <w:t xml:space="preserve"> </w:t>
      </w:r>
      <w:r>
        <w:rPr>
          <w:rFonts w:hint="eastAsia" w:ascii="仿宋" w:hAnsi="仿宋" w:eastAsia="仿宋" w:cs="仿宋"/>
          <w:b/>
          <w:bCs/>
          <w:spacing w:val="-4"/>
          <w:sz w:val="21"/>
          <w:szCs w:val="21"/>
          <w:highlight w:val="none"/>
          <w:lang w:eastAsia="zh-CN"/>
        </w:rPr>
        <w:t>投标有效期（实质性要求）</w:t>
      </w:r>
    </w:p>
    <w:p w14:paraId="3A5DA34A">
      <w:pPr>
        <w:spacing w:before="183" w:line="346" w:lineRule="auto"/>
        <w:ind w:right="110" w:firstLine="481"/>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投标有效期详见第二章“投标人须知前附表</w:t>
      </w:r>
      <w:r>
        <w:rPr>
          <w:rFonts w:hint="eastAsia" w:ascii="仿宋" w:hAnsi="仿宋" w:eastAsia="仿宋" w:cs="仿宋"/>
          <w:spacing w:val="-86"/>
          <w:sz w:val="21"/>
          <w:szCs w:val="21"/>
          <w:highlight w:val="none"/>
          <w:lang w:eastAsia="zh-CN"/>
        </w:rPr>
        <w:t xml:space="preserve"> </w:t>
      </w:r>
      <w:r>
        <w:rPr>
          <w:rFonts w:hint="eastAsia" w:ascii="仿宋" w:hAnsi="仿宋" w:eastAsia="仿宋" w:cs="仿宋"/>
          <w:spacing w:val="-3"/>
          <w:sz w:val="21"/>
          <w:szCs w:val="21"/>
          <w:highlight w:val="none"/>
          <w:lang w:eastAsia="zh-CN"/>
        </w:rPr>
        <w:t>”，投标文件未明确投标有效期或者投</w:t>
      </w:r>
      <w:r>
        <w:rPr>
          <w:rFonts w:hint="eastAsia" w:ascii="仿宋" w:hAnsi="仿宋" w:eastAsia="仿宋" w:cs="仿宋"/>
          <w:sz w:val="21"/>
          <w:szCs w:val="21"/>
          <w:highlight w:val="none"/>
          <w:lang w:eastAsia="zh-CN"/>
        </w:rPr>
        <w:t xml:space="preserve"> </w:t>
      </w:r>
      <w:r>
        <w:rPr>
          <w:rFonts w:hint="eastAsia" w:ascii="仿宋" w:hAnsi="仿宋" w:eastAsia="仿宋" w:cs="仿宋"/>
          <w:spacing w:val="-2"/>
          <w:sz w:val="21"/>
          <w:szCs w:val="21"/>
          <w:highlight w:val="none"/>
          <w:lang w:eastAsia="zh-CN"/>
        </w:rPr>
        <w:t>标有效期小于“投标人须知前附表</w:t>
      </w:r>
      <w:r>
        <w:rPr>
          <w:rFonts w:hint="eastAsia" w:ascii="仿宋" w:hAnsi="仿宋" w:eastAsia="仿宋" w:cs="仿宋"/>
          <w:spacing w:val="-88"/>
          <w:sz w:val="21"/>
          <w:szCs w:val="21"/>
          <w:highlight w:val="none"/>
          <w:lang w:eastAsia="zh-CN"/>
        </w:rPr>
        <w:t xml:space="preserve"> </w:t>
      </w:r>
      <w:r>
        <w:rPr>
          <w:rFonts w:hint="eastAsia" w:ascii="仿宋" w:hAnsi="仿宋" w:eastAsia="仿宋" w:cs="仿宋"/>
          <w:spacing w:val="-2"/>
          <w:sz w:val="21"/>
          <w:szCs w:val="21"/>
          <w:highlight w:val="none"/>
          <w:lang w:eastAsia="zh-CN"/>
        </w:rPr>
        <w:t>”中投标有效期要求的，其投标文件按无效处理。</w:t>
      </w:r>
    </w:p>
    <w:p w14:paraId="354E3369">
      <w:pPr>
        <w:spacing w:before="35" w:line="219"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3"/>
          <w:sz w:val="21"/>
          <w:szCs w:val="21"/>
          <w:highlight w:val="none"/>
          <w:lang w:eastAsia="zh-CN"/>
        </w:rPr>
        <w:t>2.4.9</w:t>
      </w:r>
      <w:r>
        <w:rPr>
          <w:rFonts w:hint="eastAsia" w:ascii="仿宋" w:hAnsi="仿宋" w:eastAsia="仿宋" w:cs="仿宋"/>
          <w:spacing w:val="-48"/>
          <w:sz w:val="21"/>
          <w:szCs w:val="21"/>
          <w:highlight w:val="none"/>
          <w:lang w:eastAsia="zh-CN"/>
        </w:rPr>
        <w:t xml:space="preserve"> </w:t>
      </w:r>
      <w:r>
        <w:rPr>
          <w:rFonts w:hint="eastAsia" w:ascii="仿宋" w:hAnsi="仿宋" w:eastAsia="仿宋" w:cs="仿宋"/>
          <w:b/>
          <w:bCs/>
          <w:spacing w:val="-3"/>
          <w:sz w:val="21"/>
          <w:szCs w:val="21"/>
          <w:highlight w:val="none"/>
          <w:lang w:eastAsia="zh-CN"/>
        </w:rPr>
        <w:t>投标文件的制作、签章和加密（实质性要求）</w:t>
      </w:r>
    </w:p>
    <w:p w14:paraId="141721B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8"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一、投标文件应当根据招标文件进行编制，投</w:t>
      </w:r>
      <w:r>
        <w:rPr>
          <w:rFonts w:hint="eastAsia" w:ascii="仿宋" w:hAnsi="仿宋" w:eastAsia="仿宋" w:cs="仿宋"/>
          <w:spacing w:val="1"/>
          <w:sz w:val="21"/>
          <w:szCs w:val="21"/>
          <w:highlight w:val="none"/>
          <w:lang w:eastAsia="zh-CN"/>
        </w:rPr>
        <w:t>标人应通过陕西省政府采购网-服务</w:t>
      </w:r>
      <w:r>
        <w:rPr>
          <w:rFonts w:hint="eastAsia" w:ascii="仿宋" w:hAnsi="仿宋" w:eastAsia="仿宋" w:cs="仿宋"/>
          <w:sz w:val="21"/>
          <w:szCs w:val="21"/>
          <w:highlight w:val="none"/>
          <w:lang w:eastAsia="zh-CN"/>
        </w:rPr>
        <w:t xml:space="preserve"> </w:t>
      </w:r>
      <w:r>
        <w:rPr>
          <w:rFonts w:hint="eastAsia" w:ascii="仿宋" w:hAnsi="仿宋" w:eastAsia="仿宋" w:cs="仿宋"/>
          <w:spacing w:val="-2"/>
          <w:sz w:val="21"/>
          <w:szCs w:val="21"/>
          <w:highlight w:val="none"/>
          <w:lang w:eastAsia="zh-CN"/>
        </w:rPr>
        <w:t>专区-CA</w:t>
      </w:r>
      <w:r>
        <w:rPr>
          <w:rFonts w:hint="eastAsia" w:ascii="仿宋" w:hAnsi="仿宋" w:eastAsia="仿宋" w:cs="仿宋"/>
          <w:spacing w:val="-37"/>
          <w:sz w:val="21"/>
          <w:szCs w:val="21"/>
          <w:highlight w:val="none"/>
          <w:lang w:eastAsia="zh-CN"/>
        </w:rPr>
        <w:t xml:space="preserve"> </w:t>
      </w:r>
      <w:r>
        <w:rPr>
          <w:rFonts w:hint="eastAsia" w:ascii="仿宋" w:hAnsi="仿宋" w:eastAsia="仿宋" w:cs="仿宋"/>
          <w:spacing w:val="-2"/>
          <w:sz w:val="21"/>
          <w:szCs w:val="21"/>
          <w:highlight w:val="none"/>
          <w:lang w:eastAsia="zh-CN"/>
        </w:rPr>
        <w:t>及签章服务下载投标（响应）客户端，使用客户端编制投标文件。</w:t>
      </w:r>
    </w:p>
    <w:p w14:paraId="5674D91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6"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二、投标人应按照客户端操作要求，对应招标文件</w:t>
      </w:r>
      <w:r>
        <w:rPr>
          <w:rFonts w:hint="eastAsia" w:ascii="仿宋" w:hAnsi="仿宋" w:eastAsia="仿宋" w:cs="仿宋"/>
          <w:spacing w:val="-7"/>
          <w:sz w:val="21"/>
          <w:szCs w:val="21"/>
          <w:highlight w:val="none"/>
          <w:lang w:eastAsia="zh-CN"/>
        </w:rPr>
        <w:t>的每项实质性要求，逐一如实响</w:t>
      </w:r>
      <w:r>
        <w:rPr>
          <w:rFonts w:hint="eastAsia" w:ascii="仿宋" w:hAnsi="仿宋" w:eastAsia="仿宋" w:cs="仿宋"/>
          <w:sz w:val="21"/>
          <w:szCs w:val="21"/>
          <w:highlight w:val="none"/>
          <w:lang w:eastAsia="zh-CN"/>
        </w:rPr>
        <w:t xml:space="preserve"> </w:t>
      </w:r>
      <w:r>
        <w:rPr>
          <w:rFonts w:hint="eastAsia" w:ascii="仿宋" w:hAnsi="仿宋" w:eastAsia="仿宋" w:cs="仿宋"/>
          <w:spacing w:val="-5"/>
          <w:sz w:val="21"/>
          <w:szCs w:val="21"/>
          <w:highlight w:val="none"/>
          <w:lang w:eastAsia="zh-CN"/>
        </w:rPr>
        <w:t>应；未如实响应或者响应内容不符合招标文件</w:t>
      </w:r>
      <w:r>
        <w:rPr>
          <w:rFonts w:hint="eastAsia" w:ascii="仿宋" w:hAnsi="仿宋" w:eastAsia="仿宋" w:cs="仿宋"/>
          <w:spacing w:val="-6"/>
          <w:sz w:val="21"/>
          <w:szCs w:val="21"/>
          <w:highlight w:val="none"/>
          <w:lang w:eastAsia="zh-CN"/>
        </w:rPr>
        <w:t>对应项的要求的，其投标文件作无效处理。</w:t>
      </w:r>
    </w:p>
    <w:p w14:paraId="5BB869D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三、投标人完成投标文件编制后，应按照招标文件第一章明确的签章要求，使用互认的证书及签章对投标文件进行电子签章和加密。</w:t>
      </w:r>
    </w:p>
    <w:p w14:paraId="0DAC4CD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jc w:val="both"/>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5"/>
          <w:sz w:val="21"/>
          <w:szCs w:val="21"/>
          <w:highlight w:val="none"/>
          <w:lang w:eastAsia="zh-CN"/>
        </w:rPr>
        <w:t>四、招标文件澄清或者修改的内容可能影响投标</w:t>
      </w:r>
      <w:r>
        <w:rPr>
          <w:rFonts w:hint="eastAsia" w:ascii="仿宋" w:hAnsi="仿宋" w:eastAsia="仿宋" w:cs="仿宋"/>
          <w:spacing w:val="-6"/>
          <w:sz w:val="21"/>
          <w:szCs w:val="21"/>
          <w:highlight w:val="none"/>
          <w:lang w:eastAsia="zh-CN"/>
        </w:rPr>
        <w:t>文件编制的，代理机构将重新发布</w:t>
      </w:r>
      <w:r>
        <w:rPr>
          <w:rFonts w:hint="eastAsia" w:ascii="仿宋" w:hAnsi="仿宋" w:eastAsia="仿宋" w:cs="仿宋"/>
          <w:sz w:val="21"/>
          <w:szCs w:val="21"/>
          <w:highlight w:val="none"/>
          <w:lang w:eastAsia="zh-CN"/>
        </w:rPr>
        <w:t xml:space="preserve"> </w:t>
      </w:r>
      <w:r>
        <w:rPr>
          <w:rFonts w:hint="eastAsia" w:ascii="仿宋" w:hAnsi="仿宋" w:eastAsia="仿宋" w:cs="仿宋"/>
          <w:spacing w:val="-2"/>
          <w:sz w:val="21"/>
          <w:szCs w:val="21"/>
          <w:highlight w:val="none"/>
          <w:lang w:eastAsia="zh-CN"/>
        </w:rPr>
        <w:t>澄清或者修改后的招标文件，投标人应重新获取澄清或者修改后的招标文件，按照澄清</w:t>
      </w:r>
      <w:r>
        <w:rPr>
          <w:rFonts w:hint="eastAsia" w:ascii="仿宋" w:hAnsi="仿宋" w:eastAsia="仿宋" w:cs="仿宋"/>
          <w:spacing w:val="17"/>
          <w:sz w:val="21"/>
          <w:szCs w:val="21"/>
          <w:highlight w:val="none"/>
          <w:lang w:eastAsia="zh-CN"/>
        </w:rPr>
        <w:t xml:space="preserve"> </w:t>
      </w:r>
      <w:r>
        <w:rPr>
          <w:rFonts w:hint="eastAsia" w:ascii="仿宋" w:hAnsi="仿宋" w:eastAsia="仿宋" w:cs="仿宋"/>
          <w:spacing w:val="-2"/>
          <w:sz w:val="21"/>
          <w:szCs w:val="21"/>
          <w:highlight w:val="none"/>
          <w:lang w:eastAsia="zh-CN"/>
        </w:rPr>
        <w:t>或者修改后的招标文件进行投标文件编制、签章和加密。</w:t>
      </w:r>
    </w:p>
    <w:p w14:paraId="707D5168">
      <w:pPr>
        <w:spacing w:before="99" w:line="220" w:lineRule="auto"/>
        <w:ind w:left="4"/>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2.4.10</w:t>
      </w:r>
      <w:r>
        <w:rPr>
          <w:rFonts w:hint="eastAsia" w:ascii="仿宋" w:hAnsi="仿宋" w:eastAsia="仿宋" w:cs="仿宋"/>
          <w:spacing w:val="-34"/>
          <w:sz w:val="21"/>
          <w:szCs w:val="21"/>
          <w:highlight w:val="none"/>
          <w:lang w:eastAsia="zh-CN"/>
        </w:rPr>
        <w:t xml:space="preserve"> </w:t>
      </w:r>
      <w:r>
        <w:rPr>
          <w:rFonts w:hint="eastAsia" w:ascii="仿宋" w:hAnsi="仿宋" w:eastAsia="仿宋" w:cs="仿宋"/>
          <w:b/>
          <w:bCs/>
          <w:spacing w:val="-4"/>
          <w:sz w:val="21"/>
          <w:szCs w:val="21"/>
          <w:highlight w:val="none"/>
          <w:lang w:eastAsia="zh-CN"/>
        </w:rPr>
        <w:t>投标文件的提交（实质性要求）</w:t>
      </w:r>
    </w:p>
    <w:p w14:paraId="12A8E697">
      <w:pPr>
        <w:spacing w:before="181" w:line="290" w:lineRule="auto"/>
        <w:ind w:right="98" w:firstLine="484"/>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一、投标人应当在投标文件提交截止时间前，通过项目电</w:t>
      </w:r>
      <w:r>
        <w:rPr>
          <w:rFonts w:hint="eastAsia" w:ascii="仿宋" w:hAnsi="仿宋" w:eastAsia="仿宋" w:cs="仿宋"/>
          <w:spacing w:val="-6"/>
          <w:sz w:val="21"/>
          <w:szCs w:val="21"/>
          <w:highlight w:val="none"/>
          <w:lang w:eastAsia="zh-CN"/>
        </w:rPr>
        <w:t>子化交易系统完成投标文</w:t>
      </w:r>
      <w:r>
        <w:rPr>
          <w:rFonts w:hint="eastAsia" w:ascii="仿宋" w:hAnsi="仿宋" w:eastAsia="仿宋" w:cs="仿宋"/>
          <w:sz w:val="21"/>
          <w:szCs w:val="21"/>
          <w:highlight w:val="none"/>
          <w:lang w:eastAsia="zh-CN"/>
        </w:rPr>
        <w:t xml:space="preserve"> </w:t>
      </w:r>
      <w:r>
        <w:rPr>
          <w:rFonts w:hint="eastAsia" w:ascii="仿宋" w:hAnsi="仿宋" w:eastAsia="仿宋" w:cs="仿宋"/>
          <w:spacing w:val="-9"/>
          <w:sz w:val="21"/>
          <w:szCs w:val="21"/>
          <w:highlight w:val="none"/>
          <w:lang w:eastAsia="zh-CN"/>
        </w:rPr>
        <w:t>件提交。</w:t>
      </w:r>
    </w:p>
    <w:p w14:paraId="74A2E03B">
      <w:pPr>
        <w:spacing w:before="183" w:line="313" w:lineRule="auto"/>
        <w:ind w:right="85" w:firstLine="484"/>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二、在投标文件提交截止时间后，采购人或者代理机构不再接受投标人提交投标文</w:t>
      </w:r>
      <w:r>
        <w:rPr>
          <w:rFonts w:hint="eastAsia" w:ascii="仿宋" w:hAnsi="仿宋" w:eastAsia="仿宋" w:cs="仿宋"/>
          <w:spacing w:val="2"/>
          <w:sz w:val="21"/>
          <w:szCs w:val="21"/>
          <w:highlight w:val="none"/>
          <w:lang w:eastAsia="zh-CN"/>
        </w:rPr>
        <w:t xml:space="preserve"> </w:t>
      </w:r>
      <w:r>
        <w:rPr>
          <w:rFonts w:hint="eastAsia" w:ascii="仿宋" w:hAnsi="仿宋" w:eastAsia="仿宋" w:cs="仿宋"/>
          <w:spacing w:val="-2"/>
          <w:sz w:val="21"/>
          <w:szCs w:val="21"/>
          <w:highlight w:val="none"/>
          <w:lang w:eastAsia="zh-CN"/>
        </w:rPr>
        <w:t>件。投标人应充分考虑影响投标文件提交的各种因素，确保在投标文件提交截止时间前</w:t>
      </w:r>
      <w:r>
        <w:rPr>
          <w:rFonts w:hint="eastAsia" w:ascii="仿宋" w:hAnsi="仿宋" w:eastAsia="仿宋" w:cs="仿宋"/>
          <w:spacing w:val="18"/>
          <w:sz w:val="21"/>
          <w:szCs w:val="21"/>
          <w:highlight w:val="none"/>
          <w:lang w:eastAsia="zh-CN"/>
        </w:rPr>
        <w:t xml:space="preserve"> </w:t>
      </w:r>
      <w:r>
        <w:rPr>
          <w:rFonts w:hint="eastAsia" w:ascii="仿宋" w:hAnsi="仿宋" w:eastAsia="仿宋" w:cs="仿宋"/>
          <w:spacing w:val="-7"/>
          <w:sz w:val="21"/>
          <w:szCs w:val="21"/>
          <w:highlight w:val="none"/>
          <w:lang w:eastAsia="zh-CN"/>
        </w:rPr>
        <w:t>完成提交。</w:t>
      </w:r>
    </w:p>
    <w:p w14:paraId="27812C2C">
      <w:pPr>
        <w:spacing w:before="182" w:line="220" w:lineRule="auto"/>
        <w:ind w:left="4"/>
        <w:outlineLvl w:val="5"/>
        <w:rPr>
          <w:rFonts w:hint="eastAsia" w:ascii="仿宋" w:hAnsi="仿宋" w:eastAsia="仿宋" w:cs="仿宋"/>
          <w:sz w:val="21"/>
          <w:szCs w:val="21"/>
          <w:highlight w:val="none"/>
          <w:lang w:eastAsia="zh-CN"/>
        </w:rPr>
      </w:pPr>
      <w:r>
        <w:rPr>
          <w:rFonts w:hint="eastAsia" w:ascii="仿宋" w:hAnsi="仿宋" w:eastAsia="仿宋" w:cs="仿宋"/>
          <w:b/>
          <w:bCs/>
          <w:spacing w:val="-3"/>
          <w:sz w:val="21"/>
          <w:szCs w:val="21"/>
          <w:highlight w:val="none"/>
          <w:lang w:eastAsia="zh-CN"/>
        </w:rPr>
        <w:t>2.4.11</w:t>
      </w:r>
      <w:r>
        <w:rPr>
          <w:rFonts w:hint="eastAsia" w:ascii="仿宋" w:hAnsi="仿宋" w:eastAsia="仿宋" w:cs="仿宋"/>
          <w:spacing w:val="-39"/>
          <w:sz w:val="21"/>
          <w:szCs w:val="21"/>
          <w:highlight w:val="none"/>
          <w:lang w:eastAsia="zh-CN"/>
        </w:rPr>
        <w:t xml:space="preserve"> </w:t>
      </w:r>
      <w:r>
        <w:rPr>
          <w:rFonts w:hint="eastAsia" w:ascii="仿宋" w:hAnsi="仿宋" w:eastAsia="仿宋" w:cs="仿宋"/>
          <w:b/>
          <w:bCs/>
          <w:spacing w:val="-3"/>
          <w:sz w:val="21"/>
          <w:szCs w:val="21"/>
          <w:highlight w:val="none"/>
          <w:lang w:eastAsia="zh-CN"/>
        </w:rPr>
        <w:t>投标文件的补充、修改、撤回（实质性要求）</w:t>
      </w:r>
    </w:p>
    <w:p w14:paraId="21886DD3">
      <w:pPr>
        <w:spacing w:before="182" w:line="352" w:lineRule="auto"/>
        <w:ind w:right="23" w:firstLine="483"/>
        <w:jc w:val="both"/>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投标文件提交截止时间前，投标人可以补充</w:t>
      </w:r>
      <w:r>
        <w:rPr>
          <w:rFonts w:hint="eastAsia" w:ascii="仿宋" w:hAnsi="仿宋" w:eastAsia="仿宋" w:cs="仿宋"/>
          <w:spacing w:val="-7"/>
          <w:sz w:val="21"/>
          <w:szCs w:val="21"/>
          <w:highlight w:val="none"/>
          <w:lang w:eastAsia="zh-CN"/>
        </w:rPr>
        <w:t>、修改或者撤回已成功提交的投标文件；</w:t>
      </w:r>
      <w:r>
        <w:rPr>
          <w:rFonts w:hint="eastAsia" w:ascii="仿宋" w:hAnsi="仿宋" w:eastAsia="仿宋" w:cs="仿宋"/>
          <w:spacing w:val="-6"/>
          <w:sz w:val="21"/>
          <w:szCs w:val="21"/>
          <w:highlight w:val="none"/>
          <w:lang w:eastAsia="zh-CN"/>
        </w:rPr>
        <w:t>对投标文件进行补充、修改的，应当先行撤回已提交的投标文件，补充、修改后重新提</w:t>
      </w:r>
      <w:r>
        <w:rPr>
          <w:rFonts w:hint="eastAsia" w:ascii="仿宋" w:hAnsi="仿宋" w:eastAsia="仿宋" w:cs="仿宋"/>
          <w:spacing w:val="-11"/>
          <w:sz w:val="21"/>
          <w:szCs w:val="21"/>
          <w:highlight w:val="none"/>
          <w:lang w:eastAsia="zh-CN"/>
        </w:rPr>
        <w:t>交。</w:t>
      </w:r>
    </w:p>
    <w:p w14:paraId="2AC6BDD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jc w:val="both"/>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2"/>
          <w:sz w:val="21"/>
          <w:szCs w:val="21"/>
          <w:highlight w:val="none"/>
          <w:lang w:eastAsia="zh-CN"/>
        </w:rPr>
        <w:t>投标人投标文件撤回后，视为未提交过投标文</w:t>
      </w:r>
      <w:r>
        <w:rPr>
          <w:rFonts w:hint="eastAsia" w:ascii="仿宋" w:hAnsi="仿宋" w:eastAsia="仿宋" w:cs="仿宋"/>
          <w:spacing w:val="-3"/>
          <w:sz w:val="21"/>
          <w:szCs w:val="21"/>
          <w:highlight w:val="none"/>
          <w:lang w:eastAsia="zh-CN"/>
        </w:rPr>
        <w:t>件。</w:t>
      </w:r>
    </w:p>
    <w:p w14:paraId="72748E8A">
      <w:pPr>
        <w:spacing w:before="241" w:line="220" w:lineRule="auto"/>
        <w:ind w:left="6"/>
        <w:outlineLvl w:val="4"/>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2.5</w:t>
      </w:r>
      <w:r>
        <w:rPr>
          <w:rFonts w:hint="eastAsia" w:ascii="仿宋" w:hAnsi="仿宋" w:eastAsia="仿宋" w:cs="仿宋"/>
          <w:spacing w:val="-52"/>
          <w:sz w:val="21"/>
          <w:szCs w:val="21"/>
          <w:highlight w:val="none"/>
          <w:lang w:eastAsia="zh-CN"/>
        </w:rPr>
        <w:t xml:space="preserve"> </w:t>
      </w:r>
      <w:r>
        <w:rPr>
          <w:rFonts w:hint="eastAsia" w:ascii="仿宋" w:hAnsi="仿宋" w:eastAsia="仿宋" w:cs="仿宋"/>
          <w:b/>
          <w:bCs/>
          <w:spacing w:val="-4"/>
          <w:sz w:val="21"/>
          <w:szCs w:val="21"/>
          <w:highlight w:val="none"/>
          <w:lang w:eastAsia="zh-CN"/>
        </w:rPr>
        <w:t>开标、资格审查、评标和中标</w:t>
      </w:r>
    </w:p>
    <w:p w14:paraId="7C8D38B8">
      <w:pPr>
        <w:spacing w:before="232" w:line="220" w:lineRule="auto"/>
        <w:ind w:left="4"/>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2.5.1</w:t>
      </w:r>
      <w:r>
        <w:rPr>
          <w:rFonts w:hint="eastAsia" w:ascii="仿宋" w:hAnsi="仿宋" w:eastAsia="仿宋" w:cs="仿宋"/>
          <w:spacing w:val="-45"/>
          <w:sz w:val="21"/>
          <w:szCs w:val="21"/>
          <w:highlight w:val="none"/>
          <w:lang w:eastAsia="zh-CN"/>
        </w:rPr>
        <w:t xml:space="preserve"> </w:t>
      </w:r>
      <w:r>
        <w:rPr>
          <w:rFonts w:hint="eastAsia" w:ascii="仿宋" w:hAnsi="仿宋" w:eastAsia="仿宋" w:cs="仿宋"/>
          <w:b/>
          <w:bCs/>
          <w:spacing w:val="-4"/>
          <w:sz w:val="21"/>
          <w:szCs w:val="21"/>
          <w:highlight w:val="none"/>
          <w:lang w:eastAsia="zh-CN"/>
        </w:rPr>
        <w:t>开标及开标程序</w:t>
      </w:r>
    </w:p>
    <w:p w14:paraId="50C5DCF5">
      <w:pPr>
        <w:spacing w:before="180" w:line="315" w:lineRule="auto"/>
        <w:ind w:left="2" w:right="86" w:firstLine="482"/>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一、本项目为网上开标项目。网上开标的开始时间为投标文件提交截止时间。成功</w:t>
      </w:r>
      <w:r>
        <w:rPr>
          <w:rFonts w:hint="eastAsia" w:ascii="仿宋" w:hAnsi="仿宋" w:eastAsia="仿宋" w:cs="仿宋"/>
          <w:spacing w:val="7"/>
          <w:sz w:val="21"/>
          <w:szCs w:val="21"/>
          <w:highlight w:val="none"/>
          <w:lang w:eastAsia="zh-CN"/>
        </w:rPr>
        <w:t xml:space="preserve"> </w:t>
      </w:r>
      <w:r>
        <w:rPr>
          <w:rFonts w:hint="eastAsia" w:ascii="仿宋" w:hAnsi="仿宋" w:eastAsia="仿宋" w:cs="仿宋"/>
          <w:spacing w:val="-2"/>
          <w:sz w:val="21"/>
          <w:szCs w:val="21"/>
          <w:highlight w:val="none"/>
          <w:lang w:eastAsia="zh-CN"/>
        </w:rPr>
        <w:t>提交或解密电子投标文件的投标人不足</w:t>
      </w:r>
      <w:r>
        <w:rPr>
          <w:rFonts w:hint="eastAsia" w:ascii="仿宋" w:hAnsi="仿宋" w:eastAsia="仿宋" w:cs="仿宋"/>
          <w:spacing w:val="-46"/>
          <w:sz w:val="21"/>
          <w:szCs w:val="21"/>
          <w:highlight w:val="none"/>
          <w:lang w:eastAsia="zh-CN"/>
        </w:rPr>
        <w:t xml:space="preserve"> </w:t>
      </w:r>
      <w:r>
        <w:rPr>
          <w:rFonts w:hint="eastAsia" w:ascii="仿宋" w:hAnsi="仿宋" w:eastAsia="仿宋" w:cs="仿宋"/>
          <w:spacing w:val="-2"/>
          <w:sz w:val="21"/>
          <w:szCs w:val="21"/>
          <w:highlight w:val="none"/>
          <w:lang w:eastAsia="zh-CN"/>
        </w:rPr>
        <w:t>3</w:t>
      </w:r>
      <w:r>
        <w:rPr>
          <w:rFonts w:hint="eastAsia" w:ascii="仿宋" w:hAnsi="仿宋" w:eastAsia="仿宋" w:cs="仿宋"/>
          <w:spacing w:val="-48"/>
          <w:sz w:val="21"/>
          <w:szCs w:val="21"/>
          <w:highlight w:val="none"/>
          <w:lang w:eastAsia="zh-CN"/>
        </w:rPr>
        <w:t xml:space="preserve"> </w:t>
      </w:r>
      <w:r>
        <w:rPr>
          <w:rFonts w:hint="eastAsia" w:ascii="仿宋" w:hAnsi="仿宋" w:eastAsia="仿宋" w:cs="仿宋"/>
          <w:spacing w:val="-2"/>
          <w:sz w:val="21"/>
          <w:szCs w:val="21"/>
          <w:highlight w:val="none"/>
          <w:lang w:eastAsia="zh-CN"/>
        </w:rPr>
        <w:t>家的，不予开标，采</w:t>
      </w:r>
      <w:r>
        <w:rPr>
          <w:rFonts w:hint="eastAsia" w:ascii="仿宋" w:hAnsi="仿宋" w:eastAsia="仿宋" w:cs="仿宋"/>
          <w:spacing w:val="-3"/>
          <w:sz w:val="21"/>
          <w:szCs w:val="21"/>
          <w:highlight w:val="none"/>
          <w:lang w:eastAsia="zh-CN"/>
        </w:rPr>
        <w:t>购人或代理机构将作废标</w:t>
      </w:r>
      <w:r>
        <w:rPr>
          <w:rFonts w:hint="eastAsia" w:ascii="仿宋" w:hAnsi="仿宋" w:eastAsia="仿宋" w:cs="仿宋"/>
          <w:sz w:val="21"/>
          <w:szCs w:val="21"/>
          <w:highlight w:val="none"/>
          <w:lang w:eastAsia="zh-CN"/>
        </w:rPr>
        <w:t xml:space="preserve"> </w:t>
      </w:r>
      <w:r>
        <w:rPr>
          <w:rFonts w:hint="eastAsia" w:ascii="仿宋" w:hAnsi="仿宋" w:eastAsia="仿宋" w:cs="仿宋"/>
          <w:spacing w:val="-11"/>
          <w:sz w:val="21"/>
          <w:szCs w:val="21"/>
          <w:highlight w:val="none"/>
          <w:lang w:eastAsia="zh-CN"/>
        </w:rPr>
        <w:t>处理。</w:t>
      </w:r>
    </w:p>
    <w:p w14:paraId="51BA956B">
      <w:pPr>
        <w:spacing w:before="178" w:line="220" w:lineRule="auto"/>
        <w:ind w:left="485"/>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二、开标准备工作</w:t>
      </w:r>
    </w:p>
    <w:p w14:paraId="7E0311B8">
      <w:pPr>
        <w:spacing w:before="182" w:line="346" w:lineRule="auto"/>
        <w:ind w:right="86" w:firstLine="482"/>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开标/开启前</w:t>
      </w:r>
      <w:r>
        <w:rPr>
          <w:rFonts w:hint="eastAsia" w:ascii="仿宋" w:hAnsi="仿宋" w:eastAsia="仿宋" w:cs="仿宋"/>
          <w:spacing w:val="-45"/>
          <w:sz w:val="21"/>
          <w:szCs w:val="21"/>
          <w:highlight w:val="none"/>
          <w:lang w:eastAsia="zh-CN"/>
        </w:rPr>
        <w:t xml:space="preserve"> </w:t>
      </w:r>
      <w:r>
        <w:rPr>
          <w:rFonts w:hint="eastAsia" w:ascii="仿宋" w:hAnsi="仿宋" w:eastAsia="仿宋" w:cs="仿宋"/>
          <w:spacing w:val="-3"/>
          <w:sz w:val="21"/>
          <w:szCs w:val="21"/>
          <w:highlight w:val="none"/>
          <w:lang w:eastAsia="zh-CN"/>
        </w:rPr>
        <w:t>30</w:t>
      </w:r>
      <w:r>
        <w:rPr>
          <w:rFonts w:hint="eastAsia" w:ascii="仿宋" w:hAnsi="仿宋" w:eastAsia="仿宋" w:cs="仿宋"/>
          <w:spacing w:val="-48"/>
          <w:sz w:val="21"/>
          <w:szCs w:val="21"/>
          <w:highlight w:val="none"/>
          <w:lang w:eastAsia="zh-CN"/>
        </w:rPr>
        <w:t xml:space="preserve"> </w:t>
      </w:r>
      <w:r>
        <w:rPr>
          <w:rFonts w:hint="eastAsia" w:ascii="仿宋" w:hAnsi="仿宋" w:eastAsia="仿宋" w:cs="仿宋"/>
          <w:spacing w:val="-3"/>
          <w:sz w:val="21"/>
          <w:szCs w:val="21"/>
          <w:highlight w:val="none"/>
          <w:lang w:eastAsia="zh-CN"/>
        </w:rPr>
        <w:t>分钟内，投标人需登录项目电子化交易系统-“供应商</w:t>
      </w:r>
      <w:r>
        <w:rPr>
          <w:rFonts w:hint="eastAsia" w:ascii="仿宋" w:hAnsi="仿宋" w:eastAsia="仿宋" w:cs="仿宋"/>
          <w:spacing w:val="-4"/>
          <w:sz w:val="21"/>
          <w:szCs w:val="21"/>
          <w:highlight w:val="none"/>
          <w:lang w:eastAsia="zh-CN"/>
        </w:rPr>
        <w:t>开标大厅</w:t>
      </w:r>
      <w:r>
        <w:rPr>
          <w:rFonts w:hint="eastAsia" w:ascii="仿宋" w:hAnsi="仿宋" w:eastAsia="仿宋" w:cs="仿宋"/>
          <w:spacing w:val="-88"/>
          <w:sz w:val="21"/>
          <w:szCs w:val="21"/>
          <w:highlight w:val="none"/>
          <w:lang w:eastAsia="zh-CN"/>
        </w:rPr>
        <w:t xml:space="preserve"> </w:t>
      </w:r>
      <w:r>
        <w:rPr>
          <w:rFonts w:hint="eastAsia" w:ascii="仿宋" w:hAnsi="仿宋" w:eastAsia="仿宋" w:cs="仿宋"/>
          <w:spacing w:val="-4"/>
          <w:sz w:val="21"/>
          <w:szCs w:val="21"/>
          <w:highlight w:val="none"/>
          <w:lang w:eastAsia="zh-CN"/>
        </w:rPr>
        <w:t>”-</w:t>
      </w:r>
      <w:r>
        <w:rPr>
          <w:rFonts w:hint="eastAsia" w:ascii="仿宋" w:hAnsi="仿宋" w:eastAsia="仿宋" w:cs="仿宋"/>
          <w:sz w:val="21"/>
          <w:szCs w:val="21"/>
          <w:highlight w:val="none"/>
          <w:lang w:eastAsia="zh-CN"/>
        </w:rPr>
        <w:t xml:space="preserve"> </w:t>
      </w:r>
      <w:r>
        <w:rPr>
          <w:rFonts w:hint="eastAsia" w:ascii="仿宋" w:hAnsi="仿宋" w:eastAsia="仿宋" w:cs="仿宋"/>
          <w:spacing w:val="-1"/>
          <w:sz w:val="21"/>
          <w:szCs w:val="21"/>
          <w:highlight w:val="none"/>
          <w:lang w:eastAsia="zh-CN"/>
        </w:rPr>
        <w:t>进入开标选择对应项目包组操作签到，签到完成后等待代理机构开标/开启。</w:t>
      </w:r>
    </w:p>
    <w:p w14:paraId="56CBB69B">
      <w:pPr>
        <w:spacing w:before="35" w:line="220" w:lineRule="auto"/>
        <w:ind w:left="481"/>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三、解密投标文件（实质性要求）</w:t>
      </w:r>
    </w:p>
    <w:p w14:paraId="60292E66">
      <w:pPr>
        <w:spacing w:before="182" w:line="351" w:lineRule="auto"/>
        <w:ind w:right="21" w:firstLine="483"/>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投标文件提交截止时间后，成功提交投标文件的投标人符合招标文件规定数量的，</w:t>
      </w:r>
      <w:r>
        <w:rPr>
          <w:rFonts w:hint="eastAsia" w:ascii="仿宋" w:hAnsi="仿宋" w:eastAsia="仿宋" w:cs="仿宋"/>
          <w:spacing w:val="2"/>
          <w:sz w:val="21"/>
          <w:szCs w:val="21"/>
          <w:highlight w:val="none"/>
          <w:lang w:eastAsia="zh-CN"/>
        </w:rPr>
        <w:t xml:space="preserve"> </w:t>
      </w:r>
      <w:r>
        <w:rPr>
          <w:rFonts w:hint="eastAsia" w:ascii="仿宋" w:hAnsi="仿宋" w:eastAsia="仿宋" w:cs="仿宋"/>
          <w:spacing w:val="-1"/>
          <w:sz w:val="21"/>
          <w:szCs w:val="21"/>
          <w:highlight w:val="none"/>
          <w:lang w:eastAsia="zh-CN"/>
        </w:rPr>
        <w:t>代理机构将启动投标文件解密程序，解密时间为</w:t>
      </w:r>
      <w:r>
        <w:rPr>
          <w:rFonts w:hint="eastAsia" w:ascii="仿宋" w:hAnsi="仿宋" w:eastAsia="仿宋" w:cs="仿宋"/>
          <w:spacing w:val="-2"/>
          <w:sz w:val="21"/>
          <w:szCs w:val="21"/>
          <w:highlight w:val="none"/>
          <w:lang w:eastAsia="zh-CN"/>
        </w:rPr>
        <w:t xml:space="preserve"> 30 分钟；投标人应在规定的解密时间</w:t>
      </w:r>
      <w:r>
        <w:rPr>
          <w:rFonts w:hint="eastAsia" w:ascii="仿宋" w:hAnsi="仿宋" w:eastAsia="仿宋" w:cs="仿宋"/>
          <w:sz w:val="21"/>
          <w:szCs w:val="21"/>
          <w:highlight w:val="none"/>
          <w:lang w:eastAsia="zh-CN"/>
        </w:rPr>
        <w:t xml:space="preserve"> </w:t>
      </w:r>
      <w:r>
        <w:rPr>
          <w:rFonts w:hint="eastAsia" w:ascii="仿宋" w:hAnsi="仿宋" w:eastAsia="仿宋" w:cs="仿宋"/>
          <w:spacing w:val="-1"/>
          <w:sz w:val="21"/>
          <w:szCs w:val="21"/>
          <w:highlight w:val="none"/>
          <w:lang w:eastAsia="zh-CN"/>
        </w:rPr>
        <w:t>内，使用互认的证书及签章通过项目电子化采购</w:t>
      </w:r>
      <w:r>
        <w:rPr>
          <w:rFonts w:hint="eastAsia" w:ascii="仿宋" w:hAnsi="仿宋" w:eastAsia="仿宋" w:cs="仿宋"/>
          <w:spacing w:val="-2"/>
          <w:sz w:val="21"/>
          <w:szCs w:val="21"/>
          <w:highlight w:val="none"/>
          <w:lang w:eastAsia="zh-CN"/>
        </w:rPr>
        <w:t>系统进行投标文件解密。</w:t>
      </w:r>
    </w:p>
    <w:p w14:paraId="26E5F3F2">
      <w:pPr>
        <w:spacing w:before="180" w:line="315" w:lineRule="auto"/>
        <w:ind w:left="2" w:right="86" w:firstLine="482"/>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四、开标</w:t>
      </w:r>
    </w:p>
    <w:p w14:paraId="5ECC4C2D">
      <w:pPr>
        <w:spacing w:before="180" w:line="315" w:lineRule="auto"/>
        <w:ind w:left="2" w:right="86" w:firstLine="482"/>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解密时间截止或者所有投标人投标文件均完成解密后（以发生在先的时间为准），由代理机构通过项目电子化交易系统对投标人名称、投标文件解密情况、投标报价进行展示。</w:t>
      </w:r>
    </w:p>
    <w:p w14:paraId="3C2E38DD">
      <w:pPr>
        <w:spacing w:before="180" w:line="315" w:lineRule="auto"/>
        <w:ind w:left="2" w:right="86" w:firstLine="482"/>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开标过程中，各方主体均应遵守互联网有关规定，不得发表与采购活动无关的言论。 投标人对开标过程和开标记录有疑义，以及认为采购人或代理机构相关工作人员有需要回避的情形的，及时向工作人员提出询问或者回避申请。采购人或代理机构对投标人提 出的询问或者回避申请应当及时处理。</w:t>
      </w:r>
    </w:p>
    <w:p w14:paraId="0F48B0A0">
      <w:pPr>
        <w:spacing w:before="180" w:line="315" w:lineRule="auto"/>
        <w:ind w:left="2" w:right="86" w:firstLine="482"/>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投标人完成投标文件解密后，自主决定是否参加网上在线开标，未参加的，视同认可开标结果。</w:t>
      </w:r>
    </w:p>
    <w:p w14:paraId="73BB3E5D">
      <w:pPr>
        <w:spacing w:before="33" w:line="220"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2.5.2</w:t>
      </w:r>
      <w:r>
        <w:rPr>
          <w:rFonts w:hint="eastAsia" w:ascii="仿宋" w:hAnsi="仿宋" w:eastAsia="仿宋" w:cs="仿宋"/>
          <w:spacing w:val="-40"/>
          <w:sz w:val="21"/>
          <w:szCs w:val="21"/>
          <w:highlight w:val="none"/>
          <w:lang w:eastAsia="zh-CN"/>
        </w:rPr>
        <w:t xml:space="preserve"> </w:t>
      </w:r>
      <w:r>
        <w:rPr>
          <w:rFonts w:hint="eastAsia" w:ascii="仿宋" w:hAnsi="仿宋" w:eastAsia="仿宋" w:cs="仿宋"/>
          <w:b/>
          <w:bCs/>
          <w:spacing w:val="-4"/>
          <w:sz w:val="21"/>
          <w:szCs w:val="21"/>
          <w:highlight w:val="none"/>
          <w:lang w:eastAsia="zh-CN"/>
        </w:rPr>
        <w:t>查询及使用信用记录</w:t>
      </w:r>
    </w:p>
    <w:p w14:paraId="71547C6E">
      <w:pPr>
        <w:spacing w:before="178" w:line="356" w:lineRule="auto"/>
        <w:ind w:firstLine="480"/>
        <w:jc w:val="both"/>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开标结束后，采购人或代理机构根据《关于在政府采购活动中查询及使用信用记录</w:t>
      </w:r>
      <w:r>
        <w:rPr>
          <w:rFonts w:hint="eastAsia" w:ascii="仿宋" w:hAnsi="仿宋" w:eastAsia="仿宋" w:cs="仿宋"/>
          <w:spacing w:val="1"/>
          <w:sz w:val="21"/>
          <w:szCs w:val="21"/>
          <w:highlight w:val="none"/>
          <w:lang w:eastAsia="zh-CN"/>
        </w:rPr>
        <w:t xml:space="preserve"> </w:t>
      </w:r>
      <w:r>
        <w:rPr>
          <w:rFonts w:hint="eastAsia" w:ascii="仿宋" w:hAnsi="仿宋" w:eastAsia="仿宋" w:cs="仿宋"/>
          <w:spacing w:val="-8"/>
          <w:sz w:val="21"/>
          <w:szCs w:val="21"/>
          <w:highlight w:val="none"/>
          <w:lang w:eastAsia="zh-CN"/>
        </w:rPr>
        <w:t>有</w:t>
      </w:r>
      <w:r>
        <w:rPr>
          <w:rFonts w:hint="eastAsia" w:ascii="仿宋" w:hAnsi="仿宋" w:eastAsia="仿宋" w:cs="仿宋"/>
          <w:spacing w:val="-64"/>
          <w:sz w:val="21"/>
          <w:szCs w:val="21"/>
          <w:highlight w:val="none"/>
          <w:lang w:eastAsia="zh-CN"/>
        </w:rPr>
        <w:t xml:space="preserve"> </w:t>
      </w:r>
      <w:r>
        <w:rPr>
          <w:rFonts w:hint="eastAsia" w:ascii="仿宋" w:hAnsi="仿宋" w:eastAsia="仿宋" w:cs="仿宋"/>
          <w:spacing w:val="-8"/>
          <w:sz w:val="21"/>
          <w:szCs w:val="21"/>
          <w:highlight w:val="none"/>
          <w:lang w:eastAsia="zh-CN"/>
        </w:rPr>
        <w:t>关</w:t>
      </w:r>
      <w:r>
        <w:rPr>
          <w:rFonts w:hint="eastAsia" w:ascii="仿宋" w:hAnsi="仿宋" w:eastAsia="仿宋" w:cs="仿宋"/>
          <w:spacing w:val="-40"/>
          <w:sz w:val="21"/>
          <w:szCs w:val="21"/>
          <w:highlight w:val="none"/>
          <w:lang w:eastAsia="zh-CN"/>
        </w:rPr>
        <w:t xml:space="preserve"> </w:t>
      </w:r>
      <w:r>
        <w:rPr>
          <w:rFonts w:hint="eastAsia" w:ascii="仿宋" w:hAnsi="仿宋" w:eastAsia="仿宋" w:cs="仿宋"/>
          <w:spacing w:val="-8"/>
          <w:sz w:val="21"/>
          <w:szCs w:val="21"/>
          <w:highlight w:val="none"/>
          <w:lang w:eastAsia="zh-CN"/>
        </w:rPr>
        <w:t>问</w:t>
      </w:r>
      <w:r>
        <w:rPr>
          <w:rFonts w:hint="eastAsia" w:ascii="仿宋" w:hAnsi="仿宋" w:eastAsia="仿宋" w:cs="仿宋"/>
          <w:spacing w:val="-68"/>
          <w:sz w:val="21"/>
          <w:szCs w:val="21"/>
          <w:highlight w:val="none"/>
          <w:lang w:eastAsia="zh-CN"/>
        </w:rPr>
        <w:t xml:space="preserve"> </w:t>
      </w:r>
      <w:r>
        <w:rPr>
          <w:rFonts w:hint="eastAsia" w:ascii="仿宋" w:hAnsi="仿宋" w:eastAsia="仿宋" w:cs="仿宋"/>
          <w:spacing w:val="-8"/>
          <w:sz w:val="21"/>
          <w:szCs w:val="21"/>
          <w:highlight w:val="none"/>
          <w:lang w:eastAsia="zh-CN"/>
        </w:rPr>
        <w:t>题</w:t>
      </w:r>
      <w:r>
        <w:rPr>
          <w:rFonts w:hint="eastAsia" w:ascii="仿宋" w:hAnsi="仿宋" w:eastAsia="仿宋" w:cs="仿宋"/>
          <w:spacing w:val="-50"/>
          <w:sz w:val="21"/>
          <w:szCs w:val="21"/>
          <w:highlight w:val="none"/>
          <w:lang w:eastAsia="zh-CN"/>
        </w:rPr>
        <w:t xml:space="preserve"> </w:t>
      </w:r>
      <w:r>
        <w:rPr>
          <w:rFonts w:hint="eastAsia" w:ascii="仿宋" w:hAnsi="仿宋" w:eastAsia="仿宋" w:cs="仿宋"/>
          <w:spacing w:val="-8"/>
          <w:sz w:val="21"/>
          <w:szCs w:val="21"/>
          <w:highlight w:val="none"/>
          <w:lang w:eastAsia="zh-CN"/>
        </w:rPr>
        <w:t>的</w:t>
      </w:r>
      <w:r>
        <w:rPr>
          <w:rFonts w:hint="eastAsia" w:ascii="仿宋" w:hAnsi="仿宋" w:eastAsia="仿宋" w:cs="仿宋"/>
          <w:spacing w:val="-68"/>
          <w:sz w:val="21"/>
          <w:szCs w:val="21"/>
          <w:highlight w:val="none"/>
          <w:lang w:eastAsia="zh-CN"/>
        </w:rPr>
        <w:t xml:space="preserve"> </w:t>
      </w:r>
      <w:r>
        <w:rPr>
          <w:rFonts w:hint="eastAsia" w:ascii="仿宋" w:hAnsi="仿宋" w:eastAsia="仿宋" w:cs="仿宋"/>
          <w:spacing w:val="-8"/>
          <w:sz w:val="21"/>
          <w:szCs w:val="21"/>
          <w:highlight w:val="none"/>
          <w:lang w:eastAsia="zh-CN"/>
        </w:rPr>
        <w:t>通</w:t>
      </w:r>
      <w:r>
        <w:rPr>
          <w:rFonts w:hint="eastAsia" w:ascii="仿宋" w:hAnsi="仿宋" w:eastAsia="仿宋" w:cs="仿宋"/>
          <w:spacing w:val="-63"/>
          <w:sz w:val="21"/>
          <w:szCs w:val="21"/>
          <w:highlight w:val="none"/>
          <w:lang w:eastAsia="zh-CN"/>
        </w:rPr>
        <w:t xml:space="preserve"> </w:t>
      </w:r>
      <w:r>
        <w:rPr>
          <w:rFonts w:hint="eastAsia" w:ascii="仿宋" w:hAnsi="仿宋" w:eastAsia="仿宋" w:cs="仿宋"/>
          <w:spacing w:val="-8"/>
          <w:sz w:val="21"/>
          <w:szCs w:val="21"/>
          <w:highlight w:val="none"/>
          <w:lang w:eastAsia="zh-CN"/>
        </w:rPr>
        <w:t>知》（财</w:t>
      </w:r>
      <w:r>
        <w:rPr>
          <w:rFonts w:hint="eastAsia" w:ascii="仿宋" w:hAnsi="仿宋" w:eastAsia="仿宋" w:cs="仿宋"/>
          <w:spacing w:val="-66"/>
          <w:sz w:val="21"/>
          <w:szCs w:val="21"/>
          <w:highlight w:val="none"/>
          <w:lang w:eastAsia="zh-CN"/>
        </w:rPr>
        <w:t xml:space="preserve"> </w:t>
      </w:r>
      <w:r>
        <w:rPr>
          <w:rFonts w:hint="eastAsia" w:ascii="仿宋" w:hAnsi="仿宋" w:eastAsia="仿宋" w:cs="仿宋"/>
          <w:spacing w:val="-8"/>
          <w:sz w:val="21"/>
          <w:szCs w:val="21"/>
          <w:highlight w:val="none"/>
          <w:lang w:eastAsia="zh-CN"/>
        </w:rPr>
        <w:t>库〔</w:t>
      </w:r>
      <w:r>
        <w:rPr>
          <w:rFonts w:hint="eastAsia" w:ascii="仿宋" w:hAnsi="仿宋" w:eastAsia="仿宋" w:cs="仿宋"/>
          <w:spacing w:val="-62"/>
          <w:sz w:val="21"/>
          <w:szCs w:val="21"/>
          <w:highlight w:val="none"/>
          <w:lang w:eastAsia="zh-CN"/>
        </w:rPr>
        <w:t xml:space="preserve"> </w:t>
      </w:r>
      <w:r>
        <w:rPr>
          <w:rFonts w:hint="eastAsia" w:ascii="仿宋" w:hAnsi="仿宋" w:eastAsia="仿宋" w:cs="仿宋"/>
          <w:spacing w:val="-8"/>
          <w:sz w:val="21"/>
          <w:szCs w:val="21"/>
          <w:highlight w:val="none"/>
          <w:lang w:eastAsia="zh-CN"/>
        </w:rPr>
        <w:t>2016〕</w:t>
      </w:r>
      <w:r>
        <w:rPr>
          <w:rFonts w:hint="eastAsia" w:ascii="仿宋" w:hAnsi="仿宋" w:eastAsia="仿宋" w:cs="仿宋"/>
          <w:spacing w:val="-50"/>
          <w:sz w:val="21"/>
          <w:szCs w:val="21"/>
          <w:highlight w:val="none"/>
          <w:lang w:eastAsia="zh-CN"/>
        </w:rPr>
        <w:t xml:space="preserve"> </w:t>
      </w:r>
      <w:r>
        <w:rPr>
          <w:rFonts w:hint="eastAsia" w:ascii="仿宋" w:hAnsi="仿宋" w:eastAsia="仿宋" w:cs="仿宋"/>
          <w:spacing w:val="-8"/>
          <w:sz w:val="21"/>
          <w:szCs w:val="21"/>
          <w:highlight w:val="none"/>
          <w:lang w:eastAsia="zh-CN"/>
        </w:rPr>
        <w:t>12</w:t>
      </w:r>
      <w:r>
        <w:rPr>
          <w:rFonts w:hint="eastAsia" w:ascii="仿宋" w:hAnsi="仿宋" w:eastAsia="仿宋" w:cs="仿宋"/>
          <w:spacing w:val="-9"/>
          <w:sz w:val="21"/>
          <w:szCs w:val="21"/>
          <w:highlight w:val="none"/>
          <w:lang w:eastAsia="zh-CN"/>
        </w:rPr>
        <w:t>5</w:t>
      </w:r>
      <w:r>
        <w:rPr>
          <w:rFonts w:hint="eastAsia" w:ascii="仿宋" w:hAnsi="仿宋" w:eastAsia="仿宋" w:cs="仿宋"/>
          <w:spacing w:val="56"/>
          <w:sz w:val="21"/>
          <w:szCs w:val="21"/>
          <w:highlight w:val="none"/>
          <w:lang w:eastAsia="zh-CN"/>
        </w:rPr>
        <w:t xml:space="preserve"> </w:t>
      </w:r>
      <w:r>
        <w:rPr>
          <w:rFonts w:hint="eastAsia" w:ascii="仿宋" w:hAnsi="仿宋" w:eastAsia="仿宋" w:cs="仿宋"/>
          <w:spacing w:val="-9"/>
          <w:sz w:val="21"/>
          <w:szCs w:val="21"/>
          <w:highlight w:val="none"/>
          <w:lang w:eastAsia="zh-CN"/>
        </w:rPr>
        <w:t>号</w:t>
      </w:r>
      <w:r>
        <w:rPr>
          <w:rFonts w:hint="eastAsia" w:ascii="仿宋" w:hAnsi="仿宋" w:eastAsia="仿宋" w:cs="仿宋"/>
          <w:spacing w:val="-42"/>
          <w:sz w:val="21"/>
          <w:szCs w:val="21"/>
          <w:highlight w:val="none"/>
          <w:lang w:eastAsia="zh-CN"/>
        </w:rPr>
        <w:t xml:space="preserve"> </w:t>
      </w:r>
      <w:r>
        <w:rPr>
          <w:rFonts w:hint="eastAsia" w:ascii="仿宋" w:hAnsi="仿宋" w:eastAsia="仿宋" w:cs="仿宋"/>
          <w:spacing w:val="-9"/>
          <w:sz w:val="21"/>
          <w:szCs w:val="21"/>
          <w:highlight w:val="none"/>
          <w:lang w:eastAsia="zh-CN"/>
        </w:rPr>
        <w:t>）</w:t>
      </w:r>
      <w:r>
        <w:rPr>
          <w:rFonts w:hint="eastAsia" w:ascii="仿宋" w:hAnsi="仿宋" w:eastAsia="仿宋" w:cs="仿宋"/>
          <w:spacing w:val="-48"/>
          <w:sz w:val="21"/>
          <w:szCs w:val="21"/>
          <w:highlight w:val="none"/>
          <w:lang w:eastAsia="zh-CN"/>
        </w:rPr>
        <w:t xml:space="preserve"> </w:t>
      </w:r>
      <w:r>
        <w:rPr>
          <w:rFonts w:hint="eastAsia" w:ascii="仿宋" w:hAnsi="仿宋" w:eastAsia="仿宋" w:cs="仿宋"/>
          <w:spacing w:val="-9"/>
          <w:sz w:val="21"/>
          <w:szCs w:val="21"/>
          <w:highlight w:val="none"/>
          <w:lang w:eastAsia="zh-CN"/>
        </w:rPr>
        <w:t>的</w:t>
      </w:r>
      <w:r>
        <w:rPr>
          <w:rFonts w:hint="eastAsia" w:ascii="仿宋" w:hAnsi="仿宋" w:eastAsia="仿宋" w:cs="仿宋"/>
          <w:spacing w:val="-67"/>
          <w:sz w:val="21"/>
          <w:szCs w:val="21"/>
          <w:highlight w:val="none"/>
          <w:lang w:eastAsia="zh-CN"/>
        </w:rPr>
        <w:t xml:space="preserve"> </w:t>
      </w:r>
      <w:r>
        <w:rPr>
          <w:rFonts w:hint="eastAsia" w:ascii="仿宋" w:hAnsi="仿宋" w:eastAsia="仿宋" w:cs="仿宋"/>
          <w:spacing w:val="-9"/>
          <w:sz w:val="21"/>
          <w:szCs w:val="21"/>
          <w:highlight w:val="none"/>
          <w:lang w:eastAsia="zh-CN"/>
        </w:rPr>
        <w:t>要</w:t>
      </w:r>
      <w:r>
        <w:rPr>
          <w:rFonts w:hint="eastAsia" w:ascii="仿宋" w:hAnsi="仿宋" w:eastAsia="仿宋" w:cs="仿宋"/>
          <w:spacing w:val="-68"/>
          <w:sz w:val="21"/>
          <w:szCs w:val="21"/>
          <w:highlight w:val="none"/>
          <w:lang w:eastAsia="zh-CN"/>
        </w:rPr>
        <w:t xml:space="preserve"> </w:t>
      </w:r>
      <w:r>
        <w:rPr>
          <w:rFonts w:hint="eastAsia" w:ascii="仿宋" w:hAnsi="仿宋" w:eastAsia="仿宋" w:cs="仿宋"/>
          <w:spacing w:val="-9"/>
          <w:sz w:val="21"/>
          <w:szCs w:val="21"/>
          <w:highlight w:val="none"/>
          <w:lang w:eastAsia="zh-CN"/>
        </w:rPr>
        <w:t>求</w:t>
      </w:r>
      <w:r>
        <w:rPr>
          <w:rFonts w:hint="eastAsia" w:ascii="仿宋" w:hAnsi="仿宋" w:eastAsia="仿宋" w:cs="仿宋"/>
          <w:spacing w:val="-48"/>
          <w:sz w:val="21"/>
          <w:szCs w:val="21"/>
          <w:highlight w:val="none"/>
          <w:lang w:eastAsia="zh-CN"/>
        </w:rPr>
        <w:t xml:space="preserve"> </w:t>
      </w:r>
      <w:r>
        <w:rPr>
          <w:rFonts w:hint="eastAsia" w:ascii="仿宋" w:hAnsi="仿宋" w:eastAsia="仿宋" w:cs="仿宋"/>
          <w:spacing w:val="-9"/>
          <w:sz w:val="21"/>
          <w:szCs w:val="21"/>
          <w:highlight w:val="none"/>
          <w:lang w:eastAsia="zh-CN"/>
        </w:rPr>
        <w:t>，</w:t>
      </w:r>
      <w:r>
        <w:rPr>
          <w:rFonts w:hint="eastAsia" w:ascii="仿宋" w:hAnsi="仿宋" w:eastAsia="仿宋" w:cs="仿宋"/>
          <w:spacing w:val="-68"/>
          <w:sz w:val="21"/>
          <w:szCs w:val="21"/>
          <w:highlight w:val="none"/>
          <w:lang w:eastAsia="zh-CN"/>
        </w:rPr>
        <w:t xml:space="preserve"> </w:t>
      </w:r>
      <w:r>
        <w:rPr>
          <w:rFonts w:hint="eastAsia" w:ascii="仿宋" w:hAnsi="仿宋" w:eastAsia="仿宋" w:cs="仿宋"/>
          <w:spacing w:val="-9"/>
          <w:sz w:val="21"/>
          <w:szCs w:val="21"/>
          <w:highlight w:val="none"/>
          <w:lang w:eastAsia="zh-CN"/>
        </w:rPr>
        <w:t>通</w:t>
      </w:r>
      <w:r>
        <w:rPr>
          <w:rFonts w:hint="eastAsia" w:ascii="仿宋" w:hAnsi="仿宋" w:eastAsia="仿宋" w:cs="仿宋"/>
          <w:spacing w:val="-69"/>
          <w:sz w:val="21"/>
          <w:szCs w:val="21"/>
          <w:highlight w:val="none"/>
          <w:lang w:eastAsia="zh-CN"/>
        </w:rPr>
        <w:t xml:space="preserve"> </w:t>
      </w:r>
      <w:r>
        <w:rPr>
          <w:rFonts w:hint="eastAsia" w:ascii="仿宋" w:hAnsi="仿宋" w:eastAsia="仿宋" w:cs="仿宋"/>
          <w:spacing w:val="-9"/>
          <w:sz w:val="21"/>
          <w:szCs w:val="21"/>
          <w:highlight w:val="none"/>
          <w:lang w:eastAsia="zh-CN"/>
        </w:rPr>
        <w:t>过</w:t>
      </w:r>
      <w:r>
        <w:rPr>
          <w:rFonts w:hint="eastAsia" w:ascii="仿宋" w:hAnsi="仿宋" w:eastAsia="仿宋" w:cs="仿宋"/>
          <w:spacing w:val="-77"/>
          <w:sz w:val="21"/>
          <w:szCs w:val="21"/>
          <w:highlight w:val="none"/>
          <w:lang w:eastAsia="zh-CN"/>
        </w:rPr>
        <w:t xml:space="preserve"> </w:t>
      </w:r>
      <w:r>
        <w:rPr>
          <w:rFonts w:hint="eastAsia" w:ascii="仿宋" w:hAnsi="仿宋" w:eastAsia="仿宋" w:cs="仿宋"/>
          <w:spacing w:val="-9"/>
          <w:sz w:val="21"/>
          <w:szCs w:val="21"/>
          <w:highlight w:val="none"/>
          <w:lang w:eastAsia="zh-CN"/>
        </w:rPr>
        <w:t>“</w:t>
      </w:r>
      <w:r>
        <w:rPr>
          <w:rFonts w:hint="eastAsia" w:ascii="仿宋" w:hAnsi="仿宋" w:eastAsia="仿宋" w:cs="仿宋"/>
          <w:spacing w:val="-67"/>
          <w:sz w:val="21"/>
          <w:szCs w:val="21"/>
          <w:highlight w:val="none"/>
          <w:lang w:eastAsia="zh-CN"/>
        </w:rPr>
        <w:t xml:space="preserve"> </w:t>
      </w:r>
      <w:r>
        <w:rPr>
          <w:rFonts w:hint="eastAsia" w:ascii="仿宋" w:hAnsi="仿宋" w:eastAsia="仿宋" w:cs="仿宋"/>
          <w:spacing w:val="-9"/>
          <w:sz w:val="21"/>
          <w:szCs w:val="21"/>
          <w:highlight w:val="none"/>
          <w:lang w:eastAsia="zh-CN"/>
        </w:rPr>
        <w:t>信</w:t>
      </w:r>
      <w:r>
        <w:rPr>
          <w:rFonts w:hint="eastAsia" w:ascii="仿宋" w:hAnsi="仿宋" w:eastAsia="仿宋" w:cs="仿宋"/>
          <w:spacing w:val="-66"/>
          <w:sz w:val="21"/>
          <w:szCs w:val="21"/>
          <w:highlight w:val="none"/>
          <w:lang w:eastAsia="zh-CN"/>
        </w:rPr>
        <w:t xml:space="preserve"> </w:t>
      </w:r>
      <w:r>
        <w:rPr>
          <w:rFonts w:hint="eastAsia" w:ascii="仿宋" w:hAnsi="仿宋" w:eastAsia="仿宋" w:cs="仿宋"/>
          <w:spacing w:val="-9"/>
          <w:sz w:val="21"/>
          <w:szCs w:val="21"/>
          <w:highlight w:val="none"/>
          <w:lang w:eastAsia="zh-CN"/>
        </w:rPr>
        <w:t>用</w:t>
      </w:r>
      <w:r>
        <w:rPr>
          <w:rFonts w:hint="eastAsia" w:ascii="仿宋" w:hAnsi="仿宋" w:eastAsia="仿宋" w:cs="仿宋"/>
          <w:spacing w:val="-45"/>
          <w:sz w:val="21"/>
          <w:szCs w:val="21"/>
          <w:highlight w:val="none"/>
          <w:lang w:eastAsia="zh-CN"/>
        </w:rPr>
        <w:t xml:space="preserve"> </w:t>
      </w:r>
      <w:r>
        <w:rPr>
          <w:rFonts w:hint="eastAsia" w:ascii="仿宋" w:hAnsi="仿宋" w:eastAsia="仿宋" w:cs="仿宋"/>
          <w:spacing w:val="-9"/>
          <w:sz w:val="21"/>
          <w:szCs w:val="21"/>
          <w:highlight w:val="none"/>
          <w:lang w:eastAsia="zh-CN"/>
        </w:rPr>
        <w:t>中</w:t>
      </w:r>
      <w:r>
        <w:rPr>
          <w:rFonts w:hint="eastAsia" w:ascii="仿宋" w:hAnsi="仿宋" w:eastAsia="仿宋" w:cs="仿宋"/>
          <w:spacing w:val="-47"/>
          <w:sz w:val="21"/>
          <w:szCs w:val="21"/>
          <w:highlight w:val="none"/>
          <w:lang w:eastAsia="zh-CN"/>
        </w:rPr>
        <w:t xml:space="preserve"> </w:t>
      </w:r>
      <w:r>
        <w:rPr>
          <w:rFonts w:hint="eastAsia" w:ascii="仿宋" w:hAnsi="仿宋" w:eastAsia="仿宋" w:cs="仿宋"/>
          <w:spacing w:val="-9"/>
          <w:sz w:val="21"/>
          <w:szCs w:val="21"/>
          <w:highlight w:val="none"/>
          <w:lang w:eastAsia="zh-CN"/>
        </w:rPr>
        <w:t>国</w:t>
      </w:r>
      <w:r>
        <w:rPr>
          <w:rFonts w:hint="eastAsia" w:ascii="仿宋" w:hAnsi="仿宋" w:eastAsia="仿宋" w:cs="仿宋"/>
          <w:spacing w:val="-43"/>
          <w:sz w:val="21"/>
          <w:szCs w:val="21"/>
          <w:highlight w:val="none"/>
          <w:lang w:eastAsia="zh-CN"/>
        </w:rPr>
        <w:t xml:space="preserve"> </w:t>
      </w:r>
      <w:r>
        <w:rPr>
          <w:rFonts w:hint="eastAsia" w:ascii="仿宋" w:hAnsi="仿宋" w:eastAsia="仿宋" w:cs="仿宋"/>
          <w:spacing w:val="-9"/>
          <w:sz w:val="21"/>
          <w:szCs w:val="21"/>
          <w:highlight w:val="none"/>
          <w:lang w:eastAsia="zh-CN"/>
        </w:rPr>
        <w:t>”</w:t>
      </w:r>
      <w:r>
        <w:rPr>
          <w:rFonts w:hint="eastAsia" w:ascii="仿宋" w:hAnsi="仿宋" w:eastAsia="仿宋" w:cs="仿宋"/>
          <w:spacing w:val="-81"/>
          <w:sz w:val="21"/>
          <w:szCs w:val="21"/>
          <w:highlight w:val="none"/>
          <w:lang w:eastAsia="zh-CN"/>
        </w:rPr>
        <w:t xml:space="preserve"> </w:t>
      </w:r>
      <w:r>
        <w:rPr>
          <w:rFonts w:hint="eastAsia" w:ascii="仿宋" w:hAnsi="仿宋" w:eastAsia="仿宋" w:cs="仿宋"/>
          <w:spacing w:val="-9"/>
          <w:sz w:val="21"/>
          <w:szCs w:val="21"/>
          <w:highlight w:val="none"/>
          <w:lang w:eastAsia="zh-CN"/>
        </w:rPr>
        <w:t>网站</w:t>
      </w:r>
      <w:r>
        <w:rPr>
          <w:rFonts w:hint="eastAsia" w:ascii="仿宋" w:hAnsi="仿宋" w:eastAsia="仿宋" w:cs="仿宋"/>
          <w:sz w:val="21"/>
          <w:szCs w:val="21"/>
          <w:highlight w:val="none"/>
          <w:lang w:eastAsia="zh-CN"/>
        </w:rPr>
        <w:t xml:space="preserve"> </w:t>
      </w:r>
      <w:r>
        <w:rPr>
          <w:rFonts w:hint="eastAsia" w:ascii="仿宋" w:hAnsi="仿宋" w:eastAsia="仿宋" w:cs="仿宋"/>
          <w:spacing w:val="-3"/>
          <w:sz w:val="21"/>
          <w:szCs w:val="21"/>
          <w:highlight w:val="none"/>
          <w:lang w:eastAsia="zh-CN"/>
        </w:rPr>
        <w:t>（www.creditchina.gov.cn）、“</w:t>
      </w:r>
      <w:r>
        <w:rPr>
          <w:rFonts w:hint="eastAsia" w:ascii="仿宋" w:hAnsi="仿宋" w:eastAsia="仿宋" w:cs="仿宋"/>
          <w:spacing w:val="-86"/>
          <w:sz w:val="21"/>
          <w:szCs w:val="21"/>
          <w:highlight w:val="none"/>
          <w:lang w:eastAsia="zh-CN"/>
        </w:rPr>
        <w:t xml:space="preserve"> </w:t>
      </w:r>
      <w:r>
        <w:rPr>
          <w:rFonts w:hint="eastAsia" w:ascii="仿宋" w:hAnsi="仿宋" w:eastAsia="仿宋" w:cs="仿宋"/>
          <w:spacing w:val="-3"/>
          <w:sz w:val="21"/>
          <w:szCs w:val="21"/>
          <w:highlight w:val="none"/>
          <w:lang w:eastAsia="zh-CN"/>
        </w:rPr>
        <w:t>中国政府采购网</w:t>
      </w:r>
      <w:r>
        <w:rPr>
          <w:rFonts w:hint="eastAsia" w:ascii="仿宋" w:hAnsi="仿宋" w:eastAsia="仿宋" w:cs="仿宋"/>
          <w:spacing w:val="-84"/>
          <w:sz w:val="21"/>
          <w:szCs w:val="21"/>
          <w:highlight w:val="none"/>
          <w:lang w:eastAsia="zh-CN"/>
        </w:rPr>
        <w:t xml:space="preserve"> </w:t>
      </w:r>
      <w:r>
        <w:rPr>
          <w:rFonts w:hint="eastAsia" w:ascii="仿宋" w:hAnsi="仿宋" w:eastAsia="仿宋" w:cs="仿宋"/>
          <w:spacing w:val="-3"/>
          <w:sz w:val="21"/>
          <w:szCs w:val="21"/>
          <w:highlight w:val="none"/>
          <w:lang w:eastAsia="zh-CN"/>
        </w:rPr>
        <w:t>”网站（www</w:t>
      </w:r>
      <w:r>
        <w:rPr>
          <w:rFonts w:hint="eastAsia" w:ascii="仿宋" w:hAnsi="仿宋" w:eastAsia="仿宋" w:cs="仿宋"/>
          <w:spacing w:val="-4"/>
          <w:sz w:val="21"/>
          <w:szCs w:val="21"/>
          <w:highlight w:val="none"/>
          <w:lang w:eastAsia="zh-CN"/>
        </w:rPr>
        <w:t>.ccgp.gov.cn）等渠道，</w:t>
      </w:r>
      <w:r>
        <w:rPr>
          <w:rFonts w:hint="eastAsia" w:ascii="仿宋" w:hAnsi="仿宋" w:eastAsia="仿宋" w:cs="仿宋"/>
          <w:sz w:val="21"/>
          <w:szCs w:val="21"/>
          <w:highlight w:val="none"/>
          <w:lang w:eastAsia="zh-CN"/>
        </w:rPr>
        <w:t xml:space="preserve"> </w:t>
      </w:r>
      <w:r>
        <w:rPr>
          <w:rFonts w:hint="eastAsia" w:ascii="仿宋" w:hAnsi="仿宋" w:eastAsia="仿宋" w:cs="仿宋"/>
          <w:spacing w:val="-2"/>
          <w:sz w:val="21"/>
          <w:szCs w:val="21"/>
          <w:highlight w:val="none"/>
          <w:lang w:eastAsia="zh-CN"/>
        </w:rPr>
        <w:t>查询投标人在投标文件提交截止时间前的信用记录并保存信用记录结果网页截图，拒绝</w:t>
      </w:r>
      <w:r>
        <w:rPr>
          <w:rFonts w:hint="eastAsia" w:ascii="仿宋" w:hAnsi="仿宋" w:eastAsia="仿宋" w:cs="仿宋"/>
          <w:spacing w:val="14"/>
          <w:sz w:val="21"/>
          <w:szCs w:val="21"/>
          <w:highlight w:val="none"/>
          <w:lang w:eastAsia="zh-CN"/>
        </w:rPr>
        <w:t xml:space="preserve"> </w:t>
      </w:r>
      <w:r>
        <w:rPr>
          <w:rFonts w:hint="eastAsia" w:ascii="仿宋" w:hAnsi="仿宋" w:eastAsia="仿宋" w:cs="仿宋"/>
          <w:spacing w:val="-2"/>
          <w:sz w:val="21"/>
          <w:szCs w:val="21"/>
          <w:highlight w:val="none"/>
          <w:lang w:eastAsia="zh-CN"/>
        </w:rPr>
        <w:t>列入失信被执行人名单、重大税收违法案件当事人名单、政府采购严重违法失信行为记</w:t>
      </w:r>
      <w:r>
        <w:rPr>
          <w:rFonts w:hint="eastAsia" w:ascii="仿宋" w:hAnsi="仿宋" w:eastAsia="仿宋" w:cs="仿宋"/>
          <w:spacing w:val="16"/>
          <w:sz w:val="21"/>
          <w:szCs w:val="21"/>
          <w:highlight w:val="none"/>
          <w:lang w:eastAsia="zh-CN"/>
        </w:rPr>
        <w:t xml:space="preserve"> </w:t>
      </w:r>
      <w:r>
        <w:rPr>
          <w:rFonts w:hint="eastAsia" w:ascii="仿宋" w:hAnsi="仿宋" w:eastAsia="仿宋" w:cs="仿宋"/>
          <w:spacing w:val="-3"/>
          <w:sz w:val="21"/>
          <w:szCs w:val="21"/>
          <w:highlight w:val="none"/>
          <w:lang w:eastAsia="zh-CN"/>
        </w:rPr>
        <w:t>录名单中的投标人参加本项目的采购活动。</w:t>
      </w:r>
    </w:p>
    <w:p w14:paraId="314038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2"/>
          <w:sz w:val="21"/>
          <w:szCs w:val="21"/>
          <w:highlight w:val="none"/>
          <w:lang w:eastAsia="zh-CN"/>
        </w:rPr>
        <w:t>两个以上的自然人、法人或者其他组织组成一个联合体，以一个投标人的身份共同</w:t>
      </w:r>
      <w:r>
        <w:rPr>
          <w:rFonts w:hint="eastAsia" w:ascii="仿宋" w:hAnsi="仿宋" w:eastAsia="仿宋" w:cs="仿宋"/>
          <w:spacing w:val="13"/>
          <w:sz w:val="21"/>
          <w:szCs w:val="21"/>
          <w:highlight w:val="none"/>
          <w:lang w:eastAsia="zh-CN"/>
        </w:rPr>
        <w:t xml:space="preserve"> </w:t>
      </w:r>
      <w:r>
        <w:rPr>
          <w:rFonts w:hint="eastAsia" w:ascii="仿宋" w:hAnsi="仿宋" w:eastAsia="仿宋" w:cs="仿宋"/>
          <w:spacing w:val="-2"/>
          <w:sz w:val="21"/>
          <w:szCs w:val="21"/>
          <w:highlight w:val="none"/>
          <w:lang w:eastAsia="zh-CN"/>
        </w:rPr>
        <w:t>参加政府采购活动的，将对所有联合体成员进行信用记录查询，联合体成员存在不良信</w:t>
      </w:r>
      <w:r>
        <w:rPr>
          <w:rFonts w:hint="eastAsia" w:ascii="仿宋" w:hAnsi="仿宋" w:eastAsia="仿宋" w:cs="仿宋"/>
          <w:spacing w:val="15"/>
          <w:sz w:val="21"/>
          <w:szCs w:val="21"/>
          <w:highlight w:val="none"/>
          <w:lang w:eastAsia="zh-CN"/>
        </w:rPr>
        <w:t xml:space="preserve"> </w:t>
      </w:r>
      <w:r>
        <w:rPr>
          <w:rFonts w:hint="eastAsia" w:ascii="仿宋" w:hAnsi="仿宋" w:eastAsia="仿宋" w:cs="仿宋"/>
          <w:spacing w:val="-3"/>
          <w:sz w:val="21"/>
          <w:szCs w:val="21"/>
          <w:highlight w:val="none"/>
          <w:lang w:eastAsia="zh-CN"/>
        </w:rPr>
        <w:t>用记录的，视同联合体存在不良信用记录。</w:t>
      </w:r>
    </w:p>
    <w:p w14:paraId="30AE6C10">
      <w:pPr>
        <w:spacing w:before="34" w:line="220"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6"/>
          <w:sz w:val="21"/>
          <w:szCs w:val="21"/>
          <w:highlight w:val="none"/>
          <w:lang w:eastAsia="zh-CN"/>
        </w:rPr>
        <w:t>2.5.3</w:t>
      </w:r>
      <w:r>
        <w:rPr>
          <w:rFonts w:hint="eastAsia" w:ascii="仿宋" w:hAnsi="仿宋" w:eastAsia="仿宋" w:cs="仿宋"/>
          <w:spacing w:val="-33"/>
          <w:sz w:val="21"/>
          <w:szCs w:val="21"/>
          <w:highlight w:val="none"/>
          <w:lang w:eastAsia="zh-CN"/>
        </w:rPr>
        <w:t xml:space="preserve"> </w:t>
      </w:r>
      <w:r>
        <w:rPr>
          <w:rFonts w:hint="eastAsia" w:ascii="仿宋" w:hAnsi="仿宋" w:eastAsia="仿宋" w:cs="仿宋"/>
          <w:b/>
          <w:bCs/>
          <w:spacing w:val="-6"/>
          <w:sz w:val="21"/>
          <w:szCs w:val="21"/>
          <w:highlight w:val="none"/>
          <w:lang w:eastAsia="zh-CN"/>
        </w:rPr>
        <w:t>资格审查</w:t>
      </w:r>
    </w:p>
    <w:p w14:paraId="2E746CBE">
      <w:pPr>
        <w:spacing w:before="182" w:line="219" w:lineRule="auto"/>
        <w:ind w:left="482"/>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详见招标文件第四章。</w:t>
      </w:r>
    </w:p>
    <w:p w14:paraId="437C8113">
      <w:pPr>
        <w:spacing w:before="185" w:line="220"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2.5.4</w:t>
      </w:r>
      <w:r>
        <w:rPr>
          <w:rFonts w:hint="eastAsia" w:ascii="仿宋" w:hAnsi="仿宋" w:eastAsia="仿宋" w:cs="仿宋"/>
          <w:spacing w:val="-46"/>
          <w:sz w:val="21"/>
          <w:szCs w:val="21"/>
          <w:highlight w:val="none"/>
          <w:lang w:eastAsia="zh-CN"/>
        </w:rPr>
        <w:t xml:space="preserve"> </w:t>
      </w:r>
      <w:r>
        <w:rPr>
          <w:rFonts w:hint="eastAsia" w:ascii="仿宋" w:hAnsi="仿宋" w:eastAsia="仿宋" w:cs="仿宋"/>
          <w:b/>
          <w:bCs/>
          <w:spacing w:val="-5"/>
          <w:sz w:val="21"/>
          <w:szCs w:val="21"/>
          <w:highlight w:val="none"/>
          <w:lang w:eastAsia="zh-CN"/>
        </w:rPr>
        <w:t>评标</w:t>
      </w:r>
    </w:p>
    <w:p w14:paraId="1A709DC1">
      <w:pPr>
        <w:spacing w:before="181" w:line="219" w:lineRule="auto"/>
        <w:ind w:left="482"/>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详见招标文件第五章。</w:t>
      </w:r>
    </w:p>
    <w:p w14:paraId="1342FF04">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仿宋" w:hAnsi="仿宋" w:eastAsia="仿宋" w:cs="仿宋"/>
          <w:b/>
          <w:bCs/>
          <w:spacing w:val="-7"/>
          <w:sz w:val="21"/>
          <w:szCs w:val="21"/>
          <w:highlight w:val="none"/>
          <w:lang w:eastAsia="zh-CN"/>
        </w:rPr>
      </w:pPr>
      <w:r>
        <w:rPr>
          <w:rFonts w:hint="eastAsia" w:ascii="仿宋" w:hAnsi="仿宋" w:eastAsia="仿宋" w:cs="仿宋"/>
          <w:b/>
          <w:bCs/>
          <w:spacing w:val="-7"/>
          <w:sz w:val="21"/>
          <w:szCs w:val="21"/>
          <w:highlight w:val="none"/>
          <w:lang w:eastAsia="zh-CN"/>
        </w:rPr>
        <w:t>2.5.5</w:t>
      </w:r>
      <w:r>
        <w:rPr>
          <w:rFonts w:hint="eastAsia" w:ascii="仿宋" w:hAnsi="仿宋" w:eastAsia="仿宋" w:cs="仿宋"/>
          <w:spacing w:val="-20"/>
          <w:sz w:val="21"/>
          <w:szCs w:val="21"/>
          <w:highlight w:val="none"/>
          <w:lang w:eastAsia="zh-CN"/>
        </w:rPr>
        <w:t xml:space="preserve"> </w:t>
      </w:r>
      <w:r>
        <w:rPr>
          <w:rFonts w:hint="eastAsia" w:ascii="仿宋" w:hAnsi="仿宋" w:eastAsia="仿宋" w:cs="仿宋"/>
          <w:b/>
          <w:bCs/>
          <w:spacing w:val="-7"/>
          <w:sz w:val="21"/>
          <w:szCs w:val="21"/>
          <w:highlight w:val="none"/>
          <w:lang w:eastAsia="zh-CN"/>
        </w:rPr>
        <w:t>中标通知书</w:t>
      </w:r>
    </w:p>
    <w:p w14:paraId="3486089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一、采购人或者评标委员会确认中标人后，代理机构在陕西省政府采购网发布中标</w:t>
      </w:r>
      <w:r>
        <w:rPr>
          <w:rFonts w:hint="eastAsia" w:ascii="仿宋" w:hAnsi="仿宋" w:eastAsia="仿宋" w:cs="仿宋"/>
          <w:spacing w:val="10"/>
          <w:sz w:val="21"/>
          <w:szCs w:val="21"/>
          <w:highlight w:val="none"/>
          <w:lang w:eastAsia="zh-CN"/>
        </w:rPr>
        <w:t xml:space="preserve"> </w:t>
      </w:r>
      <w:r>
        <w:rPr>
          <w:rFonts w:hint="eastAsia" w:ascii="仿宋" w:hAnsi="仿宋" w:eastAsia="仿宋" w:cs="仿宋"/>
          <w:spacing w:val="-5"/>
          <w:sz w:val="21"/>
          <w:szCs w:val="21"/>
          <w:highlight w:val="none"/>
          <w:lang w:eastAsia="zh-CN"/>
        </w:rPr>
        <w:t>结果公告、通过项目电子化交易系统发出中标通知书，中标人通过项目电子化交易系统</w:t>
      </w:r>
      <w:r>
        <w:rPr>
          <w:rFonts w:hint="eastAsia" w:ascii="仿宋" w:hAnsi="仿宋" w:eastAsia="仿宋" w:cs="仿宋"/>
          <w:spacing w:val="13"/>
          <w:sz w:val="21"/>
          <w:szCs w:val="21"/>
          <w:highlight w:val="none"/>
          <w:lang w:eastAsia="zh-CN"/>
        </w:rPr>
        <w:t xml:space="preserve"> </w:t>
      </w:r>
      <w:r>
        <w:rPr>
          <w:rFonts w:hint="eastAsia" w:ascii="仿宋" w:hAnsi="仿宋" w:eastAsia="仿宋" w:cs="仿宋"/>
          <w:spacing w:val="-6"/>
          <w:sz w:val="21"/>
          <w:szCs w:val="21"/>
          <w:highlight w:val="none"/>
          <w:lang w:eastAsia="zh-CN"/>
        </w:rPr>
        <w:t>获取中标通知书。</w:t>
      </w:r>
    </w:p>
    <w:p w14:paraId="1505103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二、中标通知书是采购人和中标人商签订政府采购合同的依据，是合同的有效组成</w:t>
      </w:r>
      <w:r>
        <w:rPr>
          <w:rFonts w:hint="eastAsia" w:ascii="仿宋" w:hAnsi="仿宋" w:eastAsia="仿宋" w:cs="仿宋"/>
          <w:spacing w:val="10"/>
          <w:sz w:val="21"/>
          <w:szCs w:val="21"/>
          <w:highlight w:val="none"/>
          <w:lang w:eastAsia="zh-CN"/>
        </w:rPr>
        <w:t xml:space="preserve"> </w:t>
      </w:r>
      <w:r>
        <w:rPr>
          <w:rFonts w:hint="eastAsia" w:ascii="仿宋" w:hAnsi="仿宋" w:eastAsia="仿宋" w:cs="仿宋"/>
          <w:spacing w:val="-6"/>
          <w:sz w:val="21"/>
          <w:szCs w:val="21"/>
          <w:highlight w:val="none"/>
          <w:lang w:eastAsia="zh-CN"/>
        </w:rPr>
        <w:t>部分。如果出现政府采购法律法规、规章制度规定的中标无效情形的，将以公告形式宣</w:t>
      </w:r>
      <w:r>
        <w:rPr>
          <w:rFonts w:hint="eastAsia" w:ascii="仿宋" w:hAnsi="仿宋" w:eastAsia="仿宋" w:cs="仿宋"/>
          <w:sz w:val="21"/>
          <w:szCs w:val="21"/>
          <w:highlight w:val="none"/>
          <w:lang w:eastAsia="zh-CN"/>
        </w:rPr>
        <w:t xml:space="preserve"> </w:t>
      </w:r>
      <w:r>
        <w:rPr>
          <w:rFonts w:hint="eastAsia" w:ascii="仿宋" w:hAnsi="仿宋" w:eastAsia="仿宋" w:cs="仿宋"/>
          <w:spacing w:val="-1"/>
          <w:sz w:val="21"/>
          <w:szCs w:val="21"/>
          <w:highlight w:val="none"/>
          <w:lang w:eastAsia="zh-CN"/>
        </w:rPr>
        <w:t>布发出的中标通知书无效，中标通知书将自</w:t>
      </w:r>
      <w:r>
        <w:rPr>
          <w:rFonts w:hint="eastAsia" w:ascii="仿宋" w:hAnsi="仿宋" w:eastAsia="仿宋" w:cs="仿宋"/>
          <w:spacing w:val="-2"/>
          <w:sz w:val="21"/>
          <w:szCs w:val="21"/>
          <w:highlight w:val="none"/>
          <w:lang w:eastAsia="zh-CN"/>
        </w:rPr>
        <w:t>动失效，并依法重新确定中标人或者重新开</w:t>
      </w:r>
      <w:r>
        <w:rPr>
          <w:rFonts w:hint="eastAsia" w:ascii="仿宋" w:hAnsi="仿宋" w:eastAsia="仿宋" w:cs="仿宋"/>
          <w:spacing w:val="-7"/>
          <w:sz w:val="21"/>
          <w:szCs w:val="21"/>
          <w:highlight w:val="none"/>
          <w:lang w:eastAsia="zh-CN"/>
        </w:rPr>
        <w:t>展采购活动。</w:t>
      </w:r>
    </w:p>
    <w:p w14:paraId="7E4C6CD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三、中标通知书对采购人和中标人均具有法律效力。</w:t>
      </w:r>
    </w:p>
    <w:p w14:paraId="54F76F68">
      <w:pPr>
        <w:spacing w:before="242" w:line="220" w:lineRule="auto"/>
        <w:ind w:left="4"/>
        <w:outlineLvl w:val="4"/>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2.6</w:t>
      </w:r>
      <w:r>
        <w:rPr>
          <w:rFonts w:hint="eastAsia" w:ascii="仿宋" w:hAnsi="仿宋" w:eastAsia="仿宋" w:cs="仿宋"/>
          <w:spacing w:val="-57"/>
          <w:sz w:val="21"/>
          <w:szCs w:val="21"/>
          <w:highlight w:val="none"/>
          <w:lang w:eastAsia="zh-CN"/>
        </w:rPr>
        <w:t xml:space="preserve"> </w:t>
      </w:r>
      <w:r>
        <w:rPr>
          <w:rFonts w:hint="eastAsia" w:ascii="仿宋" w:hAnsi="仿宋" w:eastAsia="仿宋" w:cs="仿宋"/>
          <w:b/>
          <w:bCs/>
          <w:spacing w:val="-4"/>
          <w:sz w:val="21"/>
          <w:szCs w:val="21"/>
          <w:highlight w:val="none"/>
          <w:lang w:eastAsia="zh-CN"/>
        </w:rPr>
        <w:t>签订及履行合同和验收</w:t>
      </w:r>
    </w:p>
    <w:p w14:paraId="2D8A1FFA">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5"/>
        <w:rPr>
          <w:rFonts w:hint="eastAsia" w:ascii="仿宋" w:hAnsi="仿宋" w:eastAsia="仿宋" w:cs="仿宋"/>
          <w:b/>
          <w:bCs/>
          <w:spacing w:val="-4"/>
          <w:sz w:val="21"/>
          <w:szCs w:val="21"/>
          <w:highlight w:val="none"/>
          <w:lang w:eastAsia="zh-CN"/>
        </w:rPr>
      </w:pPr>
      <w:r>
        <w:rPr>
          <w:rFonts w:hint="eastAsia" w:ascii="仿宋" w:hAnsi="仿宋" w:eastAsia="仿宋" w:cs="仿宋"/>
          <w:b/>
          <w:bCs/>
          <w:spacing w:val="-4"/>
          <w:sz w:val="21"/>
          <w:szCs w:val="21"/>
          <w:highlight w:val="none"/>
          <w:lang w:eastAsia="zh-CN"/>
        </w:rPr>
        <w:t>2.6.1</w:t>
      </w:r>
      <w:r>
        <w:rPr>
          <w:rFonts w:hint="eastAsia" w:ascii="仿宋" w:hAnsi="仿宋" w:eastAsia="仿宋" w:cs="仿宋"/>
          <w:spacing w:val="-51"/>
          <w:sz w:val="21"/>
          <w:szCs w:val="21"/>
          <w:highlight w:val="none"/>
          <w:lang w:eastAsia="zh-CN"/>
        </w:rPr>
        <w:t xml:space="preserve"> </w:t>
      </w:r>
      <w:r>
        <w:rPr>
          <w:rFonts w:hint="eastAsia" w:ascii="仿宋" w:hAnsi="仿宋" w:eastAsia="仿宋" w:cs="仿宋"/>
          <w:b/>
          <w:bCs/>
          <w:spacing w:val="-4"/>
          <w:sz w:val="21"/>
          <w:szCs w:val="21"/>
          <w:highlight w:val="none"/>
          <w:lang w:eastAsia="zh-CN"/>
        </w:rPr>
        <w:t>签订合同</w:t>
      </w:r>
    </w:p>
    <w:p w14:paraId="3D4DC100">
      <w:pPr>
        <w:spacing w:before="100" w:line="219" w:lineRule="auto"/>
        <w:ind w:left="484"/>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一、采购人应在中标通知书发出之日起</w:t>
      </w:r>
      <w:r>
        <w:rPr>
          <w:rFonts w:hint="eastAsia" w:ascii="仿宋" w:hAnsi="仿宋" w:eastAsia="仿宋" w:cs="仿宋"/>
          <w:spacing w:val="-2"/>
          <w:sz w:val="21"/>
          <w:szCs w:val="21"/>
          <w:highlight w:val="none"/>
          <w:lang w:val="en-US" w:eastAsia="zh-CN"/>
        </w:rPr>
        <w:t>二十五日</w:t>
      </w:r>
      <w:r>
        <w:rPr>
          <w:rFonts w:hint="eastAsia" w:ascii="仿宋" w:hAnsi="仿宋" w:eastAsia="仿宋" w:cs="仿宋"/>
          <w:spacing w:val="-2"/>
          <w:sz w:val="21"/>
          <w:szCs w:val="21"/>
          <w:highlight w:val="none"/>
          <w:lang w:eastAsia="zh-CN"/>
        </w:rPr>
        <w:t>内与中标人签订采购合同。</w:t>
      </w:r>
    </w:p>
    <w:p w14:paraId="6AF2018D">
      <w:pPr>
        <w:spacing w:before="182" w:line="290" w:lineRule="auto"/>
        <w:ind w:left="2" w:right="3" w:firstLine="481"/>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二、采购人和中标人签订的采购合同不得对招标文件确定的事项以及中标人的投标</w:t>
      </w:r>
      <w:r>
        <w:rPr>
          <w:rFonts w:hint="eastAsia" w:ascii="仿宋" w:hAnsi="仿宋" w:eastAsia="仿宋" w:cs="仿宋"/>
          <w:spacing w:val="7"/>
          <w:sz w:val="21"/>
          <w:szCs w:val="21"/>
          <w:highlight w:val="none"/>
          <w:lang w:eastAsia="zh-CN"/>
        </w:rPr>
        <w:t xml:space="preserve"> </w:t>
      </w:r>
      <w:r>
        <w:rPr>
          <w:rFonts w:hint="eastAsia" w:ascii="仿宋" w:hAnsi="仿宋" w:eastAsia="仿宋" w:cs="仿宋"/>
          <w:spacing w:val="-5"/>
          <w:sz w:val="21"/>
          <w:szCs w:val="21"/>
          <w:highlight w:val="none"/>
          <w:lang w:eastAsia="zh-CN"/>
        </w:rPr>
        <w:t>文件作实质性修改。</w:t>
      </w:r>
    </w:p>
    <w:p w14:paraId="61327548">
      <w:pPr>
        <w:spacing w:before="182" w:line="220" w:lineRule="auto"/>
        <w:ind w:left="3"/>
        <w:outlineLvl w:val="5"/>
        <w:rPr>
          <w:rFonts w:hint="eastAsia" w:ascii="仿宋" w:hAnsi="仿宋" w:eastAsia="仿宋" w:cs="仿宋"/>
          <w:sz w:val="21"/>
          <w:szCs w:val="21"/>
          <w:highlight w:val="none"/>
          <w:lang w:eastAsia="zh-CN"/>
        </w:rPr>
      </w:pPr>
      <w:r>
        <w:rPr>
          <w:rFonts w:hint="eastAsia" w:ascii="仿宋" w:hAnsi="仿宋" w:eastAsia="仿宋" w:cs="仿宋"/>
          <w:b/>
          <w:bCs/>
          <w:spacing w:val="-3"/>
          <w:sz w:val="21"/>
          <w:szCs w:val="21"/>
          <w:highlight w:val="none"/>
          <w:lang w:eastAsia="zh-CN"/>
        </w:rPr>
        <w:t>2.6.2</w:t>
      </w:r>
      <w:r>
        <w:rPr>
          <w:rFonts w:hint="eastAsia" w:ascii="仿宋" w:hAnsi="仿宋" w:eastAsia="仿宋" w:cs="仿宋"/>
          <w:spacing w:val="-49"/>
          <w:sz w:val="21"/>
          <w:szCs w:val="21"/>
          <w:highlight w:val="none"/>
          <w:lang w:eastAsia="zh-CN"/>
        </w:rPr>
        <w:t xml:space="preserve"> </w:t>
      </w:r>
      <w:r>
        <w:rPr>
          <w:rFonts w:hint="eastAsia" w:ascii="仿宋" w:hAnsi="仿宋" w:eastAsia="仿宋" w:cs="仿宋"/>
          <w:b/>
          <w:bCs/>
          <w:spacing w:val="-3"/>
          <w:sz w:val="21"/>
          <w:szCs w:val="21"/>
          <w:highlight w:val="none"/>
          <w:lang w:eastAsia="zh-CN"/>
        </w:rPr>
        <w:t>合同分包和转包（实质性要求）</w:t>
      </w:r>
    </w:p>
    <w:p w14:paraId="67CA3D1F">
      <w:pPr>
        <w:spacing w:before="182" w:line="220" w:lineRule="auto"/>
        <w:ind w:left="3"/>
        <w:outlineLvl w:val="5"/>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"2.6.2.1" </w:instrText>
      </w:r>
      <w:r>
        <w:rPr>
          <w:rFonts w:hint="eastAsia" w:ascii="仿宋" w:hAnsi="仿宋" w:eastAsia="仿宋" w:cs="仿宋"/>
          <w:sz w:val="21"/>
          <w:szCs w:val="21"/>
          <w:highlight w:val="none"/>
        </w:rPr>
        <w:fldChar w:fldCharType="separate"/>
      </w:r>
      <w:r>
        <w:rPr>
          <w:rFonts w:hint="eastAsia" w:ascii="仿宋" w:hAnsi="仿宋" w:eastAsia="仿宋" w:cs="仿宋"/>
          <w:b/>
          <w:bCs/>
          <w:spacing w:val="-4"/>
          <w:sz w:val="21"/>
          <w:szCs w:val="21"/>
          <w:highlight w:val="none"/>
          <w:lang w:eastAsia="zh-CN"/>
        </w:rPr>
        <w:t>2.6.2.1</w:t>
      </w:r>
      <w:r>
        <w:rPr>
          <w:rFonts w:hint="eastAsia" w:ascii="仿宋" w:hAnsi="仿宋" w:eastAsia="仿宋" w:cs="仿宋"/>
          <w:b/>
          <w:bCs/>
          <w:spacing w:val="-4"/>
          <w:sz w:val="21"/>
          <w:szCs w:val="21"/>
          <w:highlight w:val="none"/>
          <w:lang w:eastAsia="zh-CN"/>
        </w:rPr>
        <w:fldChar w:fldCharType="end"/>
      </w:r>
      <w:r>
        <w:rPr>
          <w:rFonts w:hint="eastAsia" w:ascii="仿宋" w:hAnsi="仿宋" w:eastAsia="仿宋" w:cs="仿宋"/>
          <w:spacing w:val="-48"/>
          <w:sz w:val="21"/>
          <w:szCs w:val="21"/>
          <w:highlight w:val="none"/>
          <w:lang w:eastAsia="zh-CN"/>
        </w:rPr>
        <w:t xml:space="preserve"> </w:t>
      </w:r>
      <w:r>
        <w:rPr>
          <w:rFonts w:hint="eastAsia" w:ascii="仿宋" w:hAnsi="仿宋" w:eastAsia="仿宋" w:cs="仿宋"/>
          <w:b/>
          <w:bCs/>
          <w:spacing w:val="-4"/>
          <w:sz w:val="21"/>
          <w:szCs w:val="21"/>
          <w:highlight w:val="none"/>
          <w:lang w:eastAsia="zh-CN"/>
        </w:rPr>
        <w:t>合同分包</w:t>
      </w:r>
    </w:p>
    <w:p w14:paraId="5497B2A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一、投标人根据招标文件的规定和采购项目的实际情况，拟在中标后将中标项目的</w:t>
      </w:r>
      <w:r>
        <w:rPr>
          <w:rFonts w:hint="eastAsia" w:ascii="仿宋" w:hAnsi="仿宋" w:eastAsia="仿宋" w:cs="仿宋"/>
          <w:spacing w:val="10"/>
          <w:sz w:val="21"/>
          <w:szCs w:val="21"/>
          <w:highlight w:val="none"/>
          <w:lang w:eastAsia="zh-CN"/>
        </w:rPr>
        <w:t xml:space="preserve"> </w:t>
      </w:r>
      <w:r>
        <w:rPr>
          <w:rFonts w:hint="eastAsia" w:ascii="仿宋" w:hAnsi="仿宋" w:eastAsia="仿宋" w:cs="仿宋"/>
          <w:spacing w:val="-6"/>
          <w:sz w:val="21"/>
          <w:szCs w:val="21"/>
          <w:highlight w:val="none"/>
          <w:lang w:eastAsia="zh-CN"/>
        </w:rPr>
        <w:t>非主体、非关键性工作分包的，应当在投标文件中载明分包承担主体，分包承担主体应</w:t>
      </w:r>
      <w:r>
        <w:rPr>
          <w:rFonts w:hint="eastAsia" w:ascii="仿宋" w:hAnsi="仿宋" w:eastAsia="仿宋" w:cs="仿宋"/>
          <w:sz w:val="21"/>
          <w:szCs w:val="21"/>
          <w:highlight w:val="none"/>
          <w:lang w:eastAsia="zh-CN"/>
        </w:rPr>
        <w:t xml:space="preserve"> </w:t>
      </w:r>
      <w:r>
        <w:rPr>
          <w:rFonts w:hint="eastAsia" w:ascii="仿宋" w:hAnsi="仿宋" w:eastAsia="仿宋" w:cs="仿宋"/>
          <w:spacing w:val="-2"/>
          <w:sz w:val="21"/>
          <w:szCs w:val="21"/>
          <w:highlight w:val="none"/>
          <w:lang w:eastAsia="zh-CN"/>
        </w:rPr>
        <w:t>当具备相应资质条件且不得再次分包。分包单位履行的分包项目的品牌、规格型号及技</w:t>
      </w:r>
      <w:r>
        <w:rPr>
          <w:rFonts w:hint="eastAsia" w:ascii="仿宋" w:hAnsi="仿宋" w:eastAsia="仿宋" w:cs="仿宋"/>
          <w:spacing w:val="16"/>
          <w:sz w:val="21"/>
          <w:szCs w:val="21"/>
          <w:highlight w:val="none"/>
          <w:lang w:eastAsia="zh-CN"/>
        </w:rPr>
        <w:t xml:space="preserve"> </w:t>
      </w:r>
      <w:r>
        <w:rPr>
          <w:rFonts w:hint="eastAsia" w:ascii="仿宋" w:hAnsi="仿宋" w:eastAsia="仿宋" w:cs="仿宋"/>
          <w:spacing w:val="-1"/>
          <w:sz w:val="21"/>
          <w:szCs w:val="21"/>
          <w:highlight w:val="none"/>
          <w:lang w:eastAsia="zh-CN"/>
        </w:rPr>
        <w:t>术要求等，必须与中标的品牌、规格型号及技术要</w:t>
      </w:r>
      <w:r>
        <w:rPr>
          <w:rFonts w:hint="eastAsia" w:ascii="仿宋" w:hAnsi="仿宋" w:eastAsia="仿宋" w:cs="仿宋"/>
          <w:spacing w:val="-2"/>
          <w:sz w:val="21"/>
          <w:szCs w:val="21"/>
          <w:highlight w:val="none"/>
          <w:lang w:eastAsia="zh-CN"/>
        </w:rPr>
        <w:t>求一致。</w:t>
      </w:r>
    </w:p>
    <w:p w14:paraId="5AAE0CE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二、分包履行合同的部分应当为采购项目的非主体、非关键性工作，不属于中标人</w:t>
      </w:r>
      <w:r>
        <w:rPr>
          <w:rFonts w:hint="eastAsia" w:ascii="仿宋" w:hAnsi="仿宋" w:eastAsia="仿宋" w:cs="仿宋"/>
          <w:sz w:val="21"/>
          <w:szCs w:val="21"/>
          <w:highlight w:val="none"/>
          <w:lang w:eastAsia="zh-CN"/>
        </w:rPr>
        <w:t xml:space="preserve"> </w:t>
      </w:r>
      <w:r>
        <w:rPr>
          <w:rFonts w:hint="eastAsia" w:ascii="仿宋" w:hAnsi="仿宋" w:eastAsia="仿宋" w:cs="仿宋"/>
          <w:spacing w:val="-7"/>
          <w:sz w:val="21"/>
          <w:szCs w:val="21"/>
          <w:highlight w:val="none"/>
          <w:lang w:eastAsia="zh-CN"/>
        </w:rPr>
        <w:t>的主要合同义务。</w:t>
      </w:r>
    </w:p>
    <w:p w14:paraId="62310DD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三、采购合同实行分包履行的，中标人就采购项目和分包项目向采购人负责，分包</w:t>
      </w:r>
      <w:r>
        <w:rPr>
          <w:rFonts w:hint="eastAsia" w:ascii="仿宋" w:hAnsi="仿宋" w:eastAsia="仿宋" w:cs="仿宋"/>
          <w:sz w:val="21"/>
          <w:szCs w:val="21"/>
          <w:highlight w:val="none"/>
          <w:lang w:eastAsia="zh-CN"/>
        </w:rPr>
        <w:t xml:space="preserve"> </w:t>
      </w:r>
      <w:r>
        <w:rPr>
          <w:rFonts w:hint="eastAsia" w:ascii="仿宋" w:hAnsi="仿宋" w:eastAsia="仿宋" w:cs="仿宋"/>
          <w:spacing w:val="-4"/>
          <w:sz w:val="21"/>
          <w:szCs w:val="21"/>
          <w:highlight w:val="none"/>
          <w:lang w:eastAsia="zh-CN"/>
        </w:rPr>
        <w:t>单位就分包项目承担责任。</w:t>
      </w:r>
    </w:p>
    <w:p w14:paraId="0EEE00B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四、中小企业依据《政府采购促进中小企业发展管理办法》（财库〔2020〕46</w:t>
      </w:r>
      <w:r>
        <w:rPr>
          <w:rFonts w:hint="eastAsia" w:ascii="仿宋" w:hAnsi="仿宋" w:eastAsia="仿宋" w:cs="仿宋"/>
          <w:spacing w:val="-23"/>
          <w:sz w:val="21"/>
          <w:szCs w:val="21"/>
          <w:highlight w:val="none"/>
          <w:lang w:eastAsia="zh-CN"/>
        </w:rPr>
        <w:t xml:space="preserve"> </w:t>
      </w:r>
      <w:r>
        <w:rPr>
          <w:rFonts w:hint="eastAsia" w:ascii="仿宋" w:hAnsi="仿宋" w:eastAsia="仿宋" w:cs="仿宋"/>
          <w:spacing w:val="-5"/>
          <w:sz w:val="21"/>
          <w:szCs w:val="21"/>
          <w:highlight w:val="none"/>
          <w:lang w:eastAsia="zh-CN"/>
        </w:rPr>
        <w:t>号）</w:t>
      </w:r>
      <w:r>
        <w:rPr>
          <w:rFonts w:hint="eastAsia" w:ascii="仿宋" w:hAnsi="仿宋" w:eastAsia="仿宋" w:cs="仿宋"/>
          <w:sz w:val="21"/>
          <w:szCs w:val="21"/>
          <w:highlight w:val="none"/>
          <w:lang w:eastAsia="zh-CN"/>
        </w:rPr>
        <w:t xml:space="preserve"> </w:t>
      </w:r>
      <w:r>
        <w:rPr>
          <w:rFonts w:hint="eastAsia" w:ascii="仿宋" w:hAnsi="仿宋" w:eastAsia="仿宋" w:cs="仿宋"/>
          <w:spacing w:val="-2"/>
          <w:sz w:val="21"/>
          <w:szCs w:val="21"/>
          <w:highlight w:val="none"/>
          <w:lang w:eastAsia="zh-CN"/>
        </w:rPr>
        <w:t>规定的政策获取政府采购合同后，小型、微型企业不得将合同分包或转包给大型、中型</w:t>
      </w:r>
      <w:r>
        <w:rPr>
          <w:rFonts w:hint="eastAsia" w:ascii="仿宋" w:hAnsi="仿宋" w:eastAsia="仿宋" w:cs="仿宋"/>
          <w:spacing w:val="14"/>
          <w:sz w:val="21"/>
          <w:szCs w:val="21"/>
          <w:highlight w:val="none"/>
          <w:lang w:eastAsia="zh-CN"/>
        </w:rPr>
        <w:t xml:space="preserve"> </w:t>
      </w:r>
      <w:r>
        <w:rPr>
          <w:rFonts w:hint="eastAsia" w:ascii="仿宋" w:hAnsi="仿宋" w:eastAsia="仿宋" w:cs="仿宋"/>
          <w:spacing w:val="-2"/>
          <w:sz w:val="21"/>
          <w:szCs w:val="21"/>
          <w:highlight w:val="none"/>
          <w:lang w:eastAsia="zh-CN"/>
        </w:rPr>
        <w:t>企业，中型企业不得将合同分包或转包给大型企业。</w:t>
      </w:r>
    </w:p>
    <w:p w14:paraId="7E0ADFA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4" w:firstLineChars="200"/>
        <w:jc w:val="both"/>
        <w:textAlignment w:val="baseline"/>
        <w:rPr>
          <w:rFonts w:hint="eastAsia" w:ascii="仿宋" w:hAnsi="仿宋" w:eastAsia="仿宋" w:cs="仿宋"/>
          <w:spacing w:val="-4"/>
          <w:sz w:val="21"/>
          <w:szCs w:val="21"/>
          <w:highlight w:val="none"/>
          <w:lang w:eastAsia="zh-CN"/>
        </w:rPr>
      </w:pPr>
      <w:r>
        <w:rPr>
          <w:rFonts w:hint="eastAsia" w:ascii="仿宋" w:hAnsi="仿宋" w:eastAsia="仿宋" w:cs="仿宋"/>
          <w:spacing w:val="-4"/>
          <w:sz w:val="21"/>
          <w:szCs w:val="21"/>
          <w:highlight w:val="none"/>
          <w:lang w:eastAsia="zh-CN"/>
        </w:rPr>
        <w:t>五、本项目不允许合同分包。</w:t>
      </w:r>
    </w:p>
    <w:p w14:paraId="493486E2">
      <w:pPr>
        <w:spacing w:before="184" w:line="220" w:lineRule="auto"/>
        <w:ind w:left="3"/>
        <w:outlineLvl w:val="5"/>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"2.6.2.2" </w:instrText>
      </w:r>
      <w:r>
        <w:rPr>
          <w:rFonts w:hint="eastAsia" w:ascii="仿宋" w:hAnsi="仿宋" w:eastAsia="仿宋" w:cs="仿宋"/>
          <w:sz w:val="21"/>
          <w:szCs w:val="21"/>
          <w:highlight w:val="none"/>
        </w:rPr>
        <w:fldChar w:fldCharType="separate"/>
      </w:r>
      <w:r>
        <w:rPr>
          <w:rFonts w:hint="eastAsia" w:ascii="仿宋" w:hAnsi="仿宋" w:eastAsia="仿宋" w:cs="仿宋"/>
          <w:b/>
          <w:bCs/>
          <w:spacing w:val="-3"/>
          <w:sz w:val="21"/>
          <w:szCs w:val="21"/>
          <w:highlight w:val="none"/>
          <w:lang w:eastAsia="zh-CN"/>
        </w:rPr>
        <w:t>2.6.2.2</w:t>
      </w:r>
      <w:r>
        <w:rPr>
          <w:rFonts w:hint="eastAsia" w:ascii="仿宋" w:hAnsi="仿宋" w:eastAsia="仿宋" w:cs="仿宋"/>
          <w:b/>
          <w:bCs/>
          <w:spacing w:val="-3"/>
          <w:sz w:val="21"/>
          <w:szCs w:val="21"/>
          <w:highlight w:val="none"/>
          <w:lang w:eastAsia="zh-CN"/>
        </w:rPr>
        <w:fldChar w:fldCharType="end"/>
      </w:r>
      <w:r>
        <w:rPr>
          <w:rFonts w:hint="eastAsia" w:ascii="仿宋" w:hAnsi="仿宋" w:eastAsia="仿宋" w:cs="仿宋"/>
          <w:spacing w:val="-3"/>
          <w:sz w:val="21"/>
          <w:szCs w:val="21"/>
          <w:highlight w:val="none"/>
          <w:lang w:eastAsia="zh-CN"/>
        </w:rPr>
        <w:t xml:space="preserve"> </w:t>
      </w:r>
      <w:r>
        <w:rPr>
          <w:rFonts w:hint="eastAsia" w:ascii="仿宋" w:hAnsi="仿宋" w:eastAsia="仿宋" w:cs="仿宋"/>
          <w:b/>
          <w:bCs/>
          <w:spacing w:val="-3"/>
          <w:sz w:val="21"/>
          <w:szCs w:val="21"/>
          <w:highlight w:val="none"/>
          <w:lang w:eastAsia="zh-CN"/>
        </w:rPr>
        <w:t>合同转包</w:t>
      </w:r>
    </w:p>
    <w:p w14:paraId="7F27688F">
      <w:pPr>
        <w:spacing w:before="181" w:line="290" w:lineRule="auto"/>
        <w:ind w:left="4" w:right="14" w:firstLine="480"/>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一、严禁中标人将本项目转包。本项目所称转包，是指将本项目转给他人或者将本</w:t>
      </w:r>
      <w:r>
        <w:rPr>
          <w:rFonts w:hint="eastAsia" w:ascii="仿宋" w:hAnsi="仿宋" w:eastAsia="仿宋" w:cs="仿宋"/>
          <w:sz w:val="21"/>
          <w:szCs w:val="21"/>
          <w:highlight w:val="none"/>
          <w:lang w:eastAsia="zh-CN"/>
        </w:rPr>
        <w:t xml:space="preserve"> </w:t>
      </w:r>
      <w:r>
        <w:rPr>
          <w:rFonts w:hint="eastAsia" w:ascii="仿宋" w:hAnsi="仿宋" w:eastAsia="仿宋" w:cs="仿宋"/>
          <w:spacing w:val="-2"/>
          <w:sz w:val="21"/>
          <w:szCs w:val="21"/>
          <w:highlight w:val="none"/>
          <w:lang w:eastAsia="zh-CN"/>
        </w:rPr>
        <w:t>项目全部肢解以后以分包的名义分别转给他人的行为。</w:t>
      </w:r>
    </w:p>
    <w:p w14:paraId="25E33BB3">
      <w:pPr>
        <w:spacing w:before="183" w:line="219" w:lineRule="auto"/>
        <w:ind w:left="484"/>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二、中标人转包的，视同拒绝履行政府采购合同，将依法追究法律责任。</w:t>
      </w:r>
    </w:p>
    <w:p w14:paraId="1975FE59">
      <w:pPr>
        <w:spacing w:before="183" w:line="218" w:lineRule="auto"/>
        <w:ind w:left="3"/>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2.6.3</w:t>
      </w:r>
      <w:r>
        <w:rPr>
          <w:rFonts w:hint="eastAsia" w:ascii="仿宋" w:hAnsi="仿宋" w:eastAsia="仿宋" w:cs="仿宋"/>
          <w:spacing w:val="-42"/>
          <w:sz w:val="21"/>
          <w:szCs w:val="21"/>
          <w:highlight w:val="none"/>
          <w:lang w:eastAsia="zh-CN"/>
        </w:rPr>
        <w:t xml:space="preserve"> </w:t>
      </w:r>
      <w:r>
        <w:rPr>
          <w:rFonts w:hint="eastAsia" w:ascii="仿宋" w:hAnsi="仿宋" w:eastAsia="仿宋" w:cs="仿宋"/>
          <w:b/>
          <w:bCs/>
          <w:spacing w:val="-5"/>
          <w:sz w:val="21"/>
          <w:szCs w:val="21"/>
          <w:highlight w:val="none"/>
          <w:lang w:eastAsia="zh-CN"/>
        </w:rPr>
        <w:t>合同公告</w:t>
      </w:r>
    </w:p>
    <w:p w14:paraId="5EAB5846">
      <w:pPr>
        <w:spacing w:before="183" w:line="352" w:lineRule="auto"/>
        <w:ind w:firstLine="480"/>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采购人应当自政府采购合同签订（双方当事人均已完成盖章）之日起</w:t>
      </w:r>
      <w:r>
        <w:rPr>
          <w:rFonts w:hint="eastAsia" w:ascii="仿宋" w:hAnsi="仿宋" w:eastAsia="仿宋" w:cs="仿宋"/>
          <w:spacing w:val="-70"/>
          <w:sz w:val="21"/>
          <w:szCs w:val="21"/>
          <w:highlight w:val="none"/>
          <w:lang w:eastAsia="zh-CN"/>
        </w:rPr>
        <w:t xml:space="preserve"> </w:t>
      </w:r>
      <w:r>
        <w:rPr>
          <w:rFonts w:hint="eastAsia" w:ascii="仿宋" w:hAnsi="仿宋" w:eastAsia="仿宋" w:cs="仿宋"/>
          <w:spacing w:val="-6"/>
          <w:sz w:val="21"/>
          <w:szCs w:val="21"/>
          <w:highlight w:val="none"/>
          <w:lang w:eastAsia="zh-CN"/>
        </w:rPr>
        <w:t>2</w:t>
      </w:r>
      <w:r>
        <w:rPr>
          <w:rFonts w:hint="eastAsia" w:ascii="仿宋" w:hAnsi="仿宋" w:eastAsia="仿宋" w:cs="仿宋"/>
          <w:spacing w:val="-7"/>
          <w:sz w:val="21"/>
          <w:szCs w:val="21"/>
          <w:highlight w:val="none"/>
          <w:lang w:eastAsia="zh-CN"/>
        </w:rPr>
        <w:t>个工作日内，</w:t>
      </w:r>
      <w:r>
        <w:rPr>
          <w:rFonts w:hint="eastAsia" w:ascii="仿宋" w:hAnsi="仿宋" w:eastAsia="仿宋" w:cs="仿宋"/>
          <w:spacing w:val="-2"/>
          <w:sz w:val="21"/>
          <w:szCs w:val="21"/>
          <w:highlight w:val="none"/>
          <w:lang w:eastAsia="zh-CN"/>
        </w:rPr>
        <w:t>在陕西省政府采购网公告本项目采购合同，但合同中涉及国家秘密、商业秘密的内容除</w:t>
      </w:r>
      <w:r>
        <w:rPr>
          <w:rFonts w:hint="eastAsia" w:ascii="仿宋" w:hAnsi="仿宋" w:eastAsia="仿宋" w:cs="仿宋"/>
          <w:spacing w:val="-11"/>
          <w:sz w:val="21"/>
          <w:szCs w:val="21"/>
          <w:highlight w:val="none"/>
          <w:lang w:eastAsia="zh-CN"/>
        </w:rPr>
        <w:t>外。</w:t>
      </w:r>
    </w:p>
    <w:p w14:paraId="6E665B41">
      <w:pPr>
        <w:spacing w:before="34" w:line="220" w:lineRule="auto"/>
        <w:ind w:left="3"/>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2.6.4</w:t>
      </w:r>
      <w:r>
        <w:rPr>
          <w:rFonts w:hint="eastAsia" w:ascii="仿宋" w:hAnsi="仿宋" w:eastAsia="仿宋" w:cs="仿宋"/>
          <w:spacing w:val="-42"/>
          <w:sz w:val="21"/>
          <w:szCs w:val="21"/>
          <w:highlight w:val="none"/>
          <w:lang w:eastAsia="zh-CN"/>
        </w:rPr>
        <w:t xml:space="preserve"> </w:t>
      </w:r>
      <w:r>
        <w:rPr>
          <w:rFonts w:hint="eastAsia" w:ascii="仿宋" w:hAnsi="仿宋" w:eastAsia="仿宋" w:cs="仿宋"/>
          <w:b/>
          <w:bCs/>
          <w:spacing w:val="-5"/>
          <w:sz w:val="21"/>
          <w:szCs w:val="21"/>
          <w:highlight w:val="none"/>
          <w:lang w:eastAsia="zh-CN"/>
        </w:rPr>
        <w:t>合同备案</w:t>
      </w:r>
    </w:p>
    <w:p w14:paraId="67C7C70B">
      <w:pPr>
        <w:spacing w:before="183" w:line="346" w:lineRule="auto"/>
        <w:ind w:left="1" w:right="1" w:firstLine="478"/>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采购人自政府采购合同签订（双方当事人均已完成盖</w:t>
      </w:r>
      <w:r>
        <w:rPr>
          <w:rFonts w:hint="eastAsia" w:ascii="仿宋" w:hAnsi="仿宋" w:eastAsia="仿宋" w:cs="仿宋"/>
          <w:spacing w:val="-3"/>
          <w:sz w:val="21"/>
          <w:szCs w:val="21"/>
          <w:highlight w:val="none"/>
          <w:lang w:eastAsia="zh-CN"/>
        </w:rPr>
        <w:t>章）之日起</w:t>
      </w:r>
      <w:r>
        <w:rPr>
          <w:rFonts w:hint="eastAsia" w:ascii="仿宋" w:hAnsi="仿宋" w:eastAsia="仿宋" w:cs="仿宋"/>
          <w:spacing w:val="-44"/>
          <w:sz w:val="21"/>
          <w:szCs w:val="21"/>
          <w:highlight w:val="none"/>
          <w:lang w:eastAsia="zh-CN"/>
        </w:rPr>
        <w:t xml:space="preserve"> </w:t>
      </w:r>
      <w:r>
        <w:rPr>
          <w:rFonts w:hint="eastAsia" w:ascii="仿宋" w:hAnsi="仿宋" w:eastAsia="仿宋" w:cs="仿宋"/>
          <w:spacing w:val="-3"/>
          <w:sz w:val="21"/>
          <w:szCs w:val="21"/>
          <w:highlight w:val="none"/>
          <w:lang w:eastAsia="zh-CN"/>
        </w:rPr>
        <w:t>7</w:t>
      </w:r>
      <w:r>
        <w:rPr>
          <w:rFonts w:hint="eastAsia" w:ascii="仿宋" w:hAnsi="仿宋" w:eastAsia="仿宋" w:cs="仿宋"/>
          <w:spacing w:val="-50"/>
          <w:sz w:val="21"/>
          <w:szCs w:val="21"/>
          <w:highlight w:val="none"/>
          <w:lang w:eastAsia="zh-CN"/>
        </w:rPr>
        <w:t xml:space="preserve"> </w:t>
      </w:r>
      <w:r>
        <w:rPr>
          <w:rFonts w:hint="eastAsia" w:ascii="仿宋" w:hAnsi="仿宋" w:eastAsia="仿宋" w:cs="仿宋"/>
          <w:spacing w:val="-3"/>
          <w:sz w:val="21"/>
          <w:szCs w:val="21"/>
          <w:highlight w:val="none"/>
          <w:lang w:eastAsia="zh-CN"/>
        </w:rPr>
        <w:t>个工作日内，将</w:t>
      </w:r>
      <w:r>
        <w:rPr>
          <w:rFonts w:hint="eastAsia" w:ascii="仿宋" w:hAnsi="仿宋" w:eastAsia="仿宋" w:cs="仿宋"/>
          <w:sz w:val="21"/>
          <w:szCs w:val="21"/>
          <w:highlight w:val="none"/>
          <w:lang w:eastAsia="zh-CN"/>
        </w:rPr>
        <w:t xml:space="preserve"> </w:t>
      </w:r>
      <w:r>
        <w:rPr>
          <w:rFonts w:hint="eastAsia" w:ascii="仿宋" w:hAnsi="仿宋" w:eastAsia="仿宋" w:cs="仿宋"/>
          <w:spacing w:val="-3"/>
          <w:sz w:val="21"/>
          <w:szCs w:val="21"/>
          <w:highlight w:val="none"/>
          <w:lang w:eastAsia="zh-CN"/>
        </w:rPr>
        <w:t>本项目采购合同通过报同级财政部门备案。</w:t>
      </w:r>
    </w:p>
    <w:p w14:paraId="762BE9B4">
      <w:pPr>
        <w:spacing w:before="35" w:line="219" w:lineRule="auto"/>
        <w:ind w:left="3"/>
        <w:outlineLvl w:val="5"/>
        <w:rPr>
          <w:rFonts w:hint="eastAsia" w:ascii="仿宋" w:hAnsi="仿宋" w:eastAsia="仿宋" w:cs="仿宋"/>
          <w:sz w:val="21"/>
          <w:szCs w:val="21"/>
          <w:highlight w:val="none"/>
          <w:lang w:eastAsia="zh-CN"/>
        </w:rPr>
      </w:pPr>
      <w:r>
        <w:rPr>
          <w:rFonts w:hint="eastAsia" w:ascii="仿宋" w:hAnsi="仿宋" w:eastAsia="仿宋" w:cs="仿宋"/>
          <w:b/>
          <w:bCs/>
          <w:spacing w:val="-3"/>
          <w:sz w:val="21"/>
          <w:szCs w:val="21"/>
          <w:highlight w:val="none"/>
          <w:lang w:eastAsia="zh-CN"/>
        </w:rPr>
        <w:t>2.6.5</w:t>
      </w:r>
      <w:r>
        <w:rPr>
          <w:rFonts w:hint="eastAsia" w:ascii="仿宋" w:hAnsi="仿宋" w:eastAsia="仿宋" w:cs="仿宋"/>
          <w:spacing w:val="-50"/>
          <w:sz w:val="21"/>
          <w:szCs w:val="21"/>
          <w:highlight w:val="none"/>
          <w:lang w:eastAsia="zh-CN"/>
        </w:rPr>
        <w:t xml:space="preserve"> </w:t>
      </w:r>
      <w:r>
        <w:rPr>
          <w:rFonts w:hint="eastAsia" w:ascii="仿宋" w:hAnsi="仿宋" w:eastAsia="仿宋" w:cs="仿宋"/>
          <w:b/>
          <w:bCs/>
          <w:spacing w:val="-3"/>
          <w:sz w:val="21"/>
          <w:szCs w:val="21"/>
          <w:highlight w:val="none"/>
          <w:lang w:eastAsia="zh-CN"/>
        </w:rPr>
        <w:t>采购人增加合同标的的权利</w:t>
      </w:r>
    </w:p>
    <w:p w14:paraId="3A4FF25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jc w:val="both"/>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2"/>
          <w:sz w:val="21"/>
          <w:szCs w:val="21"/>
          <w:highlight w:val="none"/>
          <w:lang w:eastAsia="zh-CN"/>
        </w:rPr>
        <w:t>采购合同履行过程中，采购人需要追加与合同标的相同的货物或者服务的，在不改变合同其他条款的前提下，可以与中标人协商签订补充合同，但所有补充合同的采购金</w:t>
      </w:r>
      <w:r>
        <w:rPr>
          <w:rFonts w:hint="eastAsia" w:ascii="仿宋" w:hAnsi="仿宋" w:eastAsia="仿宋" w:cs="仿宋"/>
          <w:spacing w:val="17"/>
          <w:sz w:val="21"/>
          <w:szCs w:val="21"/>
          <w:highlight w:val="none"/>
          <w:lang w:eastAsia="zh-CN"/>
        </w:rPr>
        <w:t xml:space="preserve"> </w:t>
      </w:r>
      <w:r>
        <w:rPr>
          <w:rFonts w:hint="eastAsia" w:ascii="仿宋" w:hAnsi="仿宋" w:eastAsia="仿宋" w:cs="仿宋"/>
          <w:spacing w:val="-3"/>
          <w:sz w:val="21"/>
          <w:szCs w:val="21"/>
          <w:highlight w:val="none"/>
          <w:lang w:eastAsia="zh-CN"/>
        </w:rPr>
        <w:t>额不得超过原合同采购金额的百分之十。</w:t>
      </w:r>
    </w:p>
    <w:p w14:paraId="15D8715E">
      <w:pPr>
        <w:spacing w:before="35" w:line="220"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2.6.6</w:t>
      </w:r>
      <w:r>
        <w:rPr>
          <w:rFonts w:hint="eastAsia" w:ascii="仿宋" w:hAnsi="仿宋" w:eastAsia="仿宋" w:cs="仿宋"/>
          <w:spacing w:val="-42"/>
          <w:sz w:val="21"/>
          <w:szCs w:val="21"/>
          <w:highlight w:val="none"/>
          <w:lang w:eastAsia="zh-CN"/>
        </w:rPr>
        <w:t xml:space="preserve"> </w:t>
      </w:r>
      <w:r>
        <w:rPr>
          <w:rFonts w:hint="eastAsia" w:ascii="仿宋" w:hAnsi="仿宋" w:eastAsia="仿宋" w:cs="仿宋"/>
          <w:b/>
          <w:bCs/>
          <w:spacing w:val="-5"/>
          <w:sz w:val="21"/>
          <w:szCs w:val="21"/>
          <w:highlight w:val="none"/>
          <w:lang w:eastAsia="zh-CN"/>
        </w:rPr>
        <w:t>履行合同</w:t>
      </w:r>
    </w:p>
    <w:p w14:paraId="2B81F2B9">
      <w:pPr>
        <w:spacing w:before="181" w:line="220" w:lineRule="auto"/>
        <w:ind w:left="483"/>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一、合同一经签订，双方应严格履行合同规定的义务。</w:t>
      </w:r>
    </w:p>
    <w:p w14:paraId="3349794D">
      <w:pPr>
        <w:spacing w:before="181" w:line="290" w:lineRule="auto"/>
        <w:ind w:left="4" w:right="91" w:firstLine="479"/>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二、在合同履行过程中，如发生合同纠纷，合同双方应按照《中华人民共和国民法</w:t>
      </w:r>
      <w:r>
        <w:rPr>
          <w:rFonts w:hint="eastAsia" w:ascii="仿宋" w:hAnsi="仿宋" w:eastAsia="仿宋" w:cs="仿宋"/>
          <w:sz w:val="21"/>
          <w:szCs w:val="21"/>
          <w:highlight w:val="none"/>
          <w:lang w:eastAsia="zh-CN"/>
        </w:rPr>
        <w:t xml:space="preserve"> </w:t>
      </w:r>
      <w:r>
        <w:rPr>
          <w:rFonts w:hint="eastAsia" w:ascii="仿宋" w:hAnsi="仿宋" w:eastAsia="仿宋" w:cs="仿宋"/>
          <w:spacing w:val="-3"/>
          <w:sz w:val="21"/>
          <w:szCs w:val="21"/>
          <w:highlight w:val="none"/>
          <w:lang w:eastAsia="zh-CN"/>
        </w:rPr>
        <w:t>典》规定及合同条款约定进行处理。</w:t>
      </w:r>
    </w:p>
    <w:p w14:paraId="24BF4D80">
      <w:pPr>
        <w:spacing w:before="182" w:line="220"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2.6.7</w:t>
      </w:r>
      <w:r>
        <w:rPr>
          <w:rFonts w:hint="eastAsia" w:ascii="仿宋" w:hAnsi="仿宋" w:eastAsia="仿宋" w:cs="仿宋"/>
          <w:spacing w:val="-37"/>
          <w:sz w:val="21"/>
          <w:szCs w:val="21"/>
          <w:highlight w:val="none"/>
          <w:lang w:eastAsia="zh-CN"/>
        </w:rPr>
        <w:t xml:space="preserve"> </w:t>
      </w:r>
      <w:r>
        <w:rPr>
          <w:rFonts w:hint="eastAsia" w:ascii="仿宋" w:hAnsi="仿宋" w:eastAsia="仿宋" w:cs="仿宋"/>
          <w:b/>
          <w:bCs/>
          <w:spacing w:val="-5"/>
          <w:sz w:val="21"/>
          <w:szCs w:val="21"/>
          <w:highlight w:val="none"/>
          <w:lang w:eastAsia="zh-CN"/>
        </w:rPr>
        <w:t>履约验收方案</w:t>
      </w:r>
    </w:p>
    <w:p w14:paraId="5A0CE8C3">
      <w:pPr>
        <w:spacing w:before="182" w:line="220" w:lineRule="auto"/>
        <w:ind w:left="480"/>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满足设计文件及国家现行验收规范要求。</w:t>
      </w:r>
    </w:p>
    <w:p w14:paraId="3C4A62B2">
      <w:pPr>
        <w:spacing w:before="182" w:line="220"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6"/>
          <w:sz w:val="21"/>
          <w:szCs w:val="21"/>
          <w:highlight w:val="none"/>
          <w:lang w:eastAsia="zh-CN"/>
        </w:rPr>
        <w:t>2.6.8</w:t>
      </w:r>
      <w:r>
        <w:rPr>
          <w:rFonts w:hint="eastAsia" w:ascii="仿宋" w:hAnsi="仿宋" w:eastAsia="仿宋" w:cs="仿宋"/>
          <w:spacing w:val="-33"/>
          <w:sz w:val="21"/>
          <w:szCs w:val="21"/>
          <w:highlight w:val="none"/>
          <w:lang w:eastAsia="zh-CN"/>
        </w:rPr>
        <w:t xml:space="preserve"> </w:t>
      </w:r>
      <w:r>
        <w:rPr>
          <w:rFonts w:hint="eastAsia" w:ascii="仿宋" w:hAnsi="仿宋" w:eastAsia="仿宋" w:cs="仿宋"/>
          <w:b/>
          <w:bCs/>
          <w:spacing w:val="-6"/>
          <w:sz w:val="21"/>
          <w:szCs w:val="21"/>
          <w:highlight w:val="none"/>
          <w:lang w:eastAsia="zh-CN"/>
        </w:rPr>
        <w:t>资金支付</w:t>
      </w:r>
    </w:p>
    <w:p w14:paraId="09E16B94">
      <w:pPr>
        <w:spacing w:before="182" w:line="220" w:lineRule="auto"/>
        <w:ind w:left="480"/>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采购人按财政部门的相关规定及采购合同的约定进行支付。</w:t>
      </w:r>
    </w:p>
    <w:p w14:paraId="366877CB">
      <w:pPr>
        <w:spacing w:before="242" w:line="220" w:lineRule="auto"/>
        <w:ind w:left="4"/>
        <w:outlineLvl w:val="4"/>
        <w:rPr>
          <w:rFonts w:hint="eastAsia" w:ascii="仿宋" w:hAnsi="仿宋" w:eastAsia="仿宋" w:cs="仿宋"/>
          <w:sz w:val="21"/>
          <w:szCs w:val="21"/>
          <w:highlight w:val="none"/>
          <w:lang w:eastAsia="zh-CN"/>
        </w:rPr>
      </w:pPr>
      <w:r>
        <w:rPr>
          <w:rFonts w:hint="eastAsia" w:ascii="仿宋" w:hAnsi="仿宋" w:eastAsia="仿宋" w:cs="仿宋"/>
          <w:b/>
          <w:bCs/>
          <w:spacing w:val="-7"/>
          <w:sz w:val="21"/>
          <w:szCs w:val="21"/>
          <w:highlight w:val="none"/>
          <w:lang w:eastAsia="zh-CN"/>
        </w:rPr>
        <w:t>2.7</w:t>
      </w:r>
      <w:r>
        <w:rPr>
          <w:rFonts w:hint="eastAsia" w:ascii="仿宋" w:hAnsi="仿宋" w:eastAsia="仿宋" w:cs="仿宋"/>
          <w:spacing w:val="-46"/>
          <w:sz w:val="21"/>
          <w:szCs w:val="21"/>
          <w:highlight w:val="none"/>
          <w:lang w:eastAsia="zh-CN"/>
        </w:rPr>
        <w:t xml:space="preserve"> </w:t>
      </w:r>
      <w:r>
        <w:rPr>
          <w:rFonts w:hint="eastAsia" w:ascii="仿宋" w:hAnsi="仿宋" w:eastAsia="仿宋" w:cs="仿宋"/>
          <w:b/>
          <w:bCs/>
          <w:spacing w:val="-7"/>
          <w:sz w:val="21"/>
          <w:szCs w:val="21"/>
          <w:highlight w:val="none"/>
          <w:lang w:eastAsia="zh-CN"/>
        </w:rPr>
        <w:t>纪律要求</w:t>
      </w:r>
    </w:p>
    <w:p w14:paraId="60C876B1">
      <w:pPr>
        <w:spacing w:before="231" w:line="220"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2.7.1</w:t>
      </w:r>
      <w:r>
        <w:rPr>
          <w:rFonts w:hint="eastAsia" w:ascii="仿宋" w:hAnsi="仿宋" w:eastAsia="仿宋" w:cs="仿宋"/>
          <w:spacing w:val="-43"/>
          <w:sz w:val="21"/>
          <w:szCs w:val="21"/>
          <w:highlight w:val="none"/>
          <w:lang w:eastAsia="zh-CN"/>
        </w:rPr>
        <w:t xml:space="preserve"> </w:t>
      </w:r>
      <w:r>
        <w:rPr>
          <w:rFonts w:hint="eastAsia" w:ascii="仿宋" w:hAnsi="仿宋" w:eastAsia="仿宋" w:cs="仿宋"/>
          <w:b/>
          <w:bCs/>
          <w:spacing w:val="-4"/>
          <w:sz w:val="21"/>
          <w:szCs w:val="21"/>
          <w:highlight w:val="none"/>
          <w:lang w:eastAsia="zh-CN"/>
        </w:rPr>
        <w:t>评标活动纪律要求</w:t>
      </w:r>
    </w:p>
    <w:p w14:paraId="057E5D3D">
      <w:pPr>
        <w:spacing w:before="181" w:line="355" w:lineRule="auto"/>
        <w:ind w:left="2" w:firstLine="476"/>
        <w:jc w:val="both"/>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采购人、代理机构应保证评标活动在严格保密的情况下进</w:t>
      </w:r>
      <w:r>
        <w:rPr>
          <w:rFonts w:hint="eastAsia" w:ascii="仿宋" w:hAnsi="仿宋" w:eastAsia="仿宋" w:cs="仿宋"/>
          <w:sz w:val="21"/>
          <w:szCs w:val="21"/>
          <w:highlight w:val="none"/>
          <w:lang w:eastAsia="zh-CN"/>
        </w:rPr>
        <w:t xml:space="preserve">行，采购人、代理机构、 </w:t>
      </w:r>
      <w:r>
        <w:rPr>
          <w:rFonts w:hint="eastAsia" w:ascii="仿宋" w:hAnsi="仿宋" w:eastAsia="仿宋" w:cs="仿宋"/>
          <w:spacing w:val="4"/>
          <w:sz w:val="21"/>
          <w:szCs w:val="21"/>
          <w:highlight w:val="none"/>
          <w:lang w:eastAsia="zh-CN"/>
        </w:rPr>
        <w:t>投标人和评标委员会成员应当严格遵守政府采购法律法规规章制度和本项目招标文件</w:t>
      </w:r>
      <w:r>
        <w:rPr>
          <w:rFonts w:hint="eastAsia" w:ascii="仿宋" w:hAnsi="仿宋" w:eastAsia="仿宋" w:cs="仿宋"/>
          <w:spacing w:val="17"/>
          <w:sz w:val="21"/>
          <w:szCs w:val="21"/>
          <w:highlight w:val="none"/>
          <w:lang w:eastAsia="zh-CN"/>
        </w:rPr>
        <w:t xml:space="preserve"> </w:t>
      </w:r>
      <w:r>
        <w:rPr>
          <w:rFonts w:hint="eastAsia" w:ascii="仿宋" w:hAnsi="仿宋" w:eastAsia="仿宋" w:cs="仿宋"/>
          <w:spacing w:val="-2"/>
          <w:sz w:val="21"/>
          <w:szCs w:val="21"/>
          <w:highlight w:val="none"/>
          <w:lang w:eastAsia="zh-CN"/>
        </w:rPr>
        <w:t>以及代理机构现场管理规定，接受采购人委派的监督人员的监督，任何单位和个人不得</w:t>
      </w:r>
      <w:r>
        <w:rPr>
          <w:rFonts w:hint="eastAsia" w:ascii="仿宋" w:hAnsi="仿宋" w:eastAsia="仿宋" w:cs="仿宋"/>
          <w:spacing w:val="14"/>
          <w:sz w:val="21"/>
          <w:szCs w:val="21"/>
          <w:highlight w:val="none"/>
          <w:lang w:eastAsia="zh-CN"/>
        </w:rPr>
        <w:t xml:space="preserve"> </w:t>
      </w:r>
      <w:r>
        <w:rPr>
          <w:rFonts w:hint="eastAsia" w:ascii="仿宋" w:hAnsi="仿宋" w:eastAsia="仿宋" w:cs="仿宋"/>
          <w:spacing w:val="-6"/>
          <w:sz w:val="21"/>
          <w:szCs w:val="21"/>
          <w:highlight w:val="none"/>
          <w:lang w:eastAsia="zh-CN"/>
        </w:rPr>
        <w:t>非法干预和影响评标过程和结果。对各投标人的商业秘密，评标委员会成员应予以保密，</w:t>
      </w:r>
      <w:r>
        <w:rPr>
          <w:rFonts w:hint="eastAsia" w:ascii="仿宋" w:hAnsi="仿宋" w:eastAsia="仿宋" w:cs="仿宋"/>
          <w:spacing w:val="-4"/>
          <w:sz w:val="21"/>
          <w:szCs w:val="21"/>
          <w:highlight w:val="none"/>
          <w:lang w:eastAsia="zh-CN"/>
        </w:rPr>
        <w:t>不得泄露给其他投标人。</w:t>
      </w:r>
    </w:p>
    <w:p w14:paraId="2ED593C4">
      <w:pPr>
        <w:spacing w:before="183" w:line="220" w:lineRule="auto"/>
        <w:ind w:left="2"/>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2.7.2</w:t>
      </w:r>
      <w:r>
        <w:rPr>
          <w:rFonts w:hint="eastAsia" w:ascii="仿宋" w:hAnsi="仿宋" w:eastAsia="仿宋" w:cs="仿宋"/>
          <w:spacing w:val="-30"/>
          <w:sz w:val="21"/>
          <w:szCs w:val="21"/>
          <w:highlight w:val="none"/>
          <w:lang w:eastAsia="zh-CN"/>
        </w:rPr>
        <w:t xml:space="preserve"> </w:t>
      </w:r>
      <w:r>
        <w:rPr>
          <w:rFonts w:hint="eastAsia" w:ascii="仿宋" w:hAnsi="仿宋" w:eastAsia="仿宋" w:cs="仿宋"/>
          <w:b/>
          <w:bCs/>
          <w:spacing w:val="-4"/>
          <w:sz w:val="21"/>
          <w:szCs w:val="21"/>
          <w:highlight w:val="none"/>
          <w:lang w:eastAsia="zh-CN"/>
        </w:rPr>
        <w:t>投标人不得具有的情形（实质性要求）</w:t>
      </w:r>
    </w:p>
    <w:p w14:paraId="52929673">
      <w:pPr>
        <w:spacing w:before="183" w:line="220" w:lineRule="auto"/>
        <w:ind w:left="483"/>
        <w:outlineLvl w:val="9"/>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一、有下列情形之一的，视为投标人串通投</w:t>
      </w:r>
      <w:r>
        <w:rPr>
          <w:rFonts w:hint="eastAsia" w:ascii="仿宋" w:hAnsi="仿宋" w:eastAsia="仿宋" w:cs="仿宋"/>
          <w:spacing w:val="-4"/>
          <w:sz w:val="21"/>
          <w:szCs w:val="21"/>
          <w:highlight w:val="none"/>
          <w:lang w:eastAsia="zh-CN"/>
        </w:rPr>
        <w:t>标：</w:t>
      </w:r>
    </w:p>
    <w:p w14:paraId="5CA2A8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（一）不同投标人的投标文件由同一单位或者个人编制；</w:t>
      </w:r>
    </w:p>
    <w:p w14:paraId="671C62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（二）不同投标人委托同一单位或者个人办理投标事宜；</w:t>
      </w:r>
    </w:p>
    <w:p w14:paraId="46FBD9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（三）不同投标人的投标文件载明的项目管理成</w:t>
      </w:r>
      <w:r>
        <w:rPr>
          <w:rFonts w:hint="eastAsia" w:ascii="仿宋" w:hAnsi="仿宋" w:eastAsia="仿宋" w:cs="仿宋"/>
          <w:spacing w:val="-2"/>
          <w:sz w:val="21"/>
          <w:szCs w:val="21"/>
          <w:highlight w:val="none"/>
          <w:lang w:eastAsia="zh-CN"/>
        </w:rPr>
        <w:t>员或者联系人员为同一人；</w:t>
      </w:r>
    </w:p>
    <w:p w14:paraId="46E1B5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（四）不同投标人的投标文件异常一致或者投标</w:t>
      </w:r>
      <w:r>
        <w:rPr>
          <w:rFonts w:hint="eastAsia" w:ascii="仿宋" w:hAnsi="仿宋" w:eastAsia="仿宋" w:cs="仿宋"/>
          <w:spacing w:val="-3"/>
          <w:sz w:val="21"/>
          <w:szCs w:val="21"/>
          <w:highlight w:val="none"/>
          <w:lang w:eastAsia="zh-CN"/>
        </w:rPr>
        <w:t>报价呈规律性差异；</w:t>
      </w:r>
    </w:p>
    <w:p w14:paraId="627D1D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3"/>
          <w:sz w:val="21"/>
          <w:szCs w:val="21"/>
          <w:highlight w:val="none"/>
          <w:lang w:eastAsia="zh-CN"/>
        </w:rPr>
        <w:t>（五）不同投标人的投标文件相互混装。</w:t>
      </w:r>
      <w:r>
        <w:rPr>
          <w:rFonts w:hint="eastAsia" w:ascii="仿宋" w:hAnsi="仿宋" w:eastAsia="仿宋" w:cs="仿宋"/>
          <w:spacing w:val="2"/>
          <w:sz w:val="21"/>
          <w:szCs w:val="21"/>
          <w:highlight w:val="none"/>
          <w:lang w:eastAsia="zh-CN"/>
        </w:rPr>
        <w:t xml:space="preserve"> </w:t>
      </w:r>
    </w:p>
    <w:p w14:paraId="5BFABF2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二、提供虚假材料谋取中标；</w:t>
      </w:r>
    </w:p>
    <w:p w14:paraId="3D84858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4"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三、采取不正当手段诋毁、排挤其他投标人；</w:t>
      </w:r>
    </w:p>
    <w:p w14:paraId="20043D2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4"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四、与采购人或代理机构、其他投标人恶意串通；</w:t>
      </w:r>
    </w:p>
    <w:p w14:paraId="328CDF90">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0" w:firstLine="0" w:firstLineChars="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五、向采购人或代理机构、评标委员会成员行贿或者提供其他不正当</w:t>
      </w:r>
      <w:r>
        <w:rPr>
          <w:rFonts w:hint="eastAsia" w:ascii="仿宋" w:hAnsi="仿宋" w:eastAsia="仿宋" w:cs="仿宋"/>
          <w:spacing w:val="-3"/>
          <w:sz w:val="21"/>
          <w:szCs w:val="21"/>
          <w:highlight w:val="none"/>
          <w:lang w:eastAsia="zh-CN"/>
        </w:rPr>
        <w:t>利益；</w:t>
      </w:r>
      <w:r>
        <w:rPr>
          <w:rFonts w:hint="eastAsia" w:ascii="仿宋" w:hAnsi="仿宋" w:eastAsia="仿宋" w:cs="仿宋"/>
          <w:spacing w:val="-2"/>
          <w:sz w:val="21"/>
          <w:szCs w:val="21"/>
          <w:highlight w:val="none"/>
          <w:lang w:eastAsia="zh-CN"/>
        </w:rPr>
        <w:t>六、在招标过程中与采购人或代理机构进行协商谈判；</w:t>
      </w:r>
    </w:p>
    <w:p w14:paraId="61696D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七、中标后无正当理由拒不与采购人签订政府采购合同；</w:t>
      </w:r>
    </w:p>
    <w:p w14:paraId="2496FD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八、未按照采购文件确定的事项签订政府采购合同；</w:t>
      </w:r>
    </w:p>
    <w:p w14:paraId="4F8080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九、将政府采购合同转包或者违规分包；</w:t>
      </w:r>
    </w:p>
    <w:p w14:paraId="0FE03F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十、提供假冒伪劣产品；</w:t>
      </w:r>
    </w:p>
    <w:p w14:paraId="28E650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十一、擅自变更、中止或者终止政府采购合同；</w:t>
      </w:r>
    </w:p>
    <w:p w14:paraId="269B48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十二、拒绝有关部门的监督检查或者向监督检查部门提供虚假情况；</w:t>
      </w:r>
    </w:p>
    <w:p w14:paraId="2E443D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十三、法律法规规定的其他禁止情形。</w:t>
      </w:r>
    </w:p>
    <w:p w14:paraId="32C27D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投标人有上述情形的，按照规定追究法律责任，具备一至十一条情形之一的，其投 标文件无效，或取消被确认为中标人的资格或认定中标无效。</w:t>
      </w:r>
    </w:p>
    <w:p w14:paraId="763DF40F">
      <w:pPr>
        <w:spacing w:before="34" w:line="219" w:lineRule="auto"/>
        <w:ind w:left="4"/>
        <w:outlineLvl w:val="5"/>
        <w:rPr>
          <w:rFonts w:hint="eastAsia" w:ascii="仿宋" w:hAnsi="仿宋" w:eastAsia="仿宋" w:cs="仿宋"/>
          <w:sz w:val="21"/>
          <w:szCs w:val="21"/>
          <w:highlight w:val="none"/>
          <w:lang w:eastAsia="zh-CN"/>
        </w:rPr>
      </w:pPr>
      <w:r>
        <w:rPr>
          <w:rFonts w:hint="eastAsia" w:ascii="仿宋" w:hAnsi="仿宋" w:eastAsia="仿宋" w:cs="仿宋"/>
          <w:b/>
          <w:bCs/>
          <w:spacing w:val="-3"/>
          <w:sz w:val="21"/>
          <w:szCs w:val="21"/>
          <w:highlight w:val="none"/>
          <w:lang w:eastAsia="zh-CN"/>
        </w:rPr>
        <w:t>2.7.3</w:t>
      </w:r>
      <w:r>
        <w:rPr>
          <w:rFonts w:hint="eastAsia" w:ascii="仿宋" w:hAnsi="仿宋" w:eastAsia="仿宋" w:cs="仿宋"/>
          <w:spacing w:val="-50"/>
          <w:sz w:val="21"/>
          <w:szCs w:val="21"/>
          <w:highlight w:val="none"/>
          <w:lang w:eastAsia="zh-CN"/>
        </w:rPr>
        <w:t xml:space="preserve"> </w:t>
      </w:r>
      <w:r>
        <w:rPr>
          <w:rFonts w:hint="eastAsia" w:ascii="仿宋" w:hAnsi="仿宋" w:eastAsia="仿宋" w:cs="仿宋"/>
          <w:b/>
          <w:bCs/>
          <w:spacing w:val="-3"/>
          <w:sz w:val="21"/>
          <w:szCs w:val="21"/>
          <w:highlight w:val="none"/>
          <w:lang w:eastAsia="zh-CN"/>
        </w:rPr>
        <w:t>采购人员及相关人员回避要求</w:t>
      </w:r>
    </w:p>
    <w:p w14:paraId="41C8CCF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jc w:val="left"/>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政府采购活动中，采购人员及相关人员与投标人有下列利害关系之一的，应当回避：</w:t>
      </w:r>
    </w:p>
    <w:p w14:paraId="4F6B568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（一）参加采购活动前</w:t>
      </w:r>
      <w:r>
        <w:rPr>
          <w:rFonts w:hint="eastAsia" w:ascii="仿宋" w:hAnsi="仿宋" w:eastAsia="仿宋" w:cs="仿宋"/>
          <w:spacing w:val="-18"/>
          <w:sz w:val="21"/>
          <w:szCs w:val="21"/>
          <w:highlight w:val="none"/>
          <w:lang w:eastAsia="zh-CN"/>
        </w:rPr>
        <w:t xml:space="preserve"> </w:t>
      </w:r>
      <w:r>
        <w:rPr>
          <w:rFonts w:hint="eastAsia" w:ascii="仿宋" w:hAnsi="仿宋" w:eastAsia="仿宋" w:cs="仿宋"/>
          <w:spacing w:val="-5"/>
          <w:sz w:val="21"/>
          <w:szCs w:val="21"/>
          <w:highlight w:val="none"/>
          <w:lang w:eastAsia="zh-CN"/>
        </w:rPr>
        <w:t>3</w:t>
      </w:r>
      <w:r>
        <w:rPr>
          <w:rFonts w:hint="eastAsia" w:ascii="仿宋" w:hAnsi="仿宋" w:eastAsia="仿宋" w:cs="仿宋"/>
          <w:spacing w:val="-50"/>
          <w:sz w:val="21"/>
          <w:szCs w:val="21"/>
          <w:highlight w:val="none"/>
          <w:lang w:eastAsia="zh-CN"/>
        </w:rPr>
        <w:t xml:space="preserve"> </w:t>
      </w:r>
      <w:r>
        <w:rPr>
          <w:rFonts w:hint="eastAsia" w:ascii="仿宋" w:hAnsi="仿宋" w:eastAsia="仿宋" w:cs="仿宋"/>
          <w:spacing w:val="-5"/>
          <w:sz w:val="21"/>
          <w:szCs w:val="21"/>
          <w:highlight w:val="none"/>
          <w:lang w:eastAsia="zh-CN"/>
        </w:rPr>
        <w:t>年内与投标人存在劳动关系；</w:t>
      </w:r>
    </w:p>
    <w:p w14:paraId="63E3411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4"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（二）参加采购活动前</w:t>
      </w:r>
      <w:r>
        <w:rPr>
          <w:rFonts w:hint="eastAsia" w:ascii="仿宋" w:hAnsi="仿宋" w:eastAsia="仿宋" w:cs="仿宋"/>
          <w:spacing w:val="-34"/>
          <w:sz w:val="21"/>
          <w:szCs w:val="21"/>
          <w:highlight w:val="none"/>
          <w:lang w:eastAsia="zh-CN"/>
        </w:rPr>
        <w:t xml:space="preserve"> </w:t>
      </w:r>
      <w:r>
        <w:rPr>
          <w:rFonts w:hint="eastAsia" w:ascii="仿宋" w:hAnsi="仿宋" w:eastAsia="仿宋" w:cs="仿宋"/>
          <w:spacing w:val="-4"/>
          <w:sz w:val="21"/>
          <w:szCs w:val="21"/>
          <w:highlight w:val="none"/>
          <w:lang w:eastAsia="zh-CN"/>
        </w:rPr>
        <w:t>3</w:t>
      </w:r>
      <w:r>
        <w:rPr>
          <w:rFonts w:hint="eastAsia" w:ascii="仿宋" w:hAnsi="仿宋" w:eastAsia="仿宋" w:cs="仿宋"/>
          <w:spacing w:val="-49"/>
          <w:sz w:val="21"/>
          <w:szCs w:val="21"/>
          <w:highlight w:val="none"/>
          <w:lang w:eastAsia="zh-CN"/>
        </w:rPr>
        <w:t xml:space="preserve"> </w:t>
      </w:r>
      <w:r>
        <w:rPr>
          <w:rFonts w:hint="eastAsia" w:ascii="仿宋" w:hAnsi="仿宋" w:eastAsia="仿宋" w:cs="仿宋"/>
          <w:spacing w:val="-4"/>
          <w:sz w:val="21"/>
          <w:szCs w:val="21"/>
          <w:highlight w:val="none"/>
          <w:lang w:eastAsia="zh-CN"/>
        </w:rPr>
        <w:t>年内担任投标人的董</w:t>
      </w:r>
      <w:r>
        <w:rPr>
          <w:rFonts w:hint="eastAsia" w:ascii="仿宋" w:hAnsi="仿宋" w:eastAsia="仿宋" w:cs="仿宋"/>
          <w:spacing w:val="-5"/>
          <w:sz w:val="21"/>
          <w:szCs w:val="21"/>
          <w:highlight w:val="none"/>
          <w:lang w:eastAsia="zh-CN"/>
        </w:rPr>
        <w:t>事、监事；</w:t>
      </w:r>
    </w:p>
    <w:p w14:paraId="2046386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4"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（三）参加采购活动前</w:t>
      </w:r>
      <w:r>
        <w:rPr>
          <w:rFonts w:hint="eastAsia" w:ascii="仿宋" w:hAnsi="仿宋" w:eastAsia="仿宋" w:cs="仿宋"/>
          <w:spacing w:val="-20"/>
          <w:sz w:val="21"/>
          <w:szCs w:val="21"/>
          <w:highlight w:val="none"/>
          <w:lang w:eastAsia="zh-CN"/>
        </w:rPr>
        <w:t xml:space="preserve"> </w:t>
      </w:r>
      <w:r>
        <w:rPr>
          <w:rFonts w:hint="eastAsia" w:ascii="仿宋" w:hAnsi="仿宋" w:eastAsia="仿宋" w:cs="仿宋"/>
          <w:spacing w:val="-4"/>
          <w:sz w:val="21"/>
          <w:szCs w:val="21"/>
          <w:highlight w:val="none"/>
          <w:lang w:eastAsia="zh-CN"/>
        </w:rPr>
        <w:t>3</w:t>
      </w:r>
      <w:r>
        <w:rPr>
          <w:rFonts w:hint="eastAsia" w:ascii="仿宋" w:hAnsi="仿宋" w:eastAsia="仿宋" w:cs="仿宋"/>
          <w:spacing w:val="-49"/>
          <w:sz w:val="21"/>
          <w:szCs w:val="21"/>
          <w:highlight w:val="none"/>
          <w:lang w:eastAsia="zh-CN"/>
        </w:rPr>
        <w:t xml:space="preserve"> </w:t>
      </w:r>
      <w:r>
        <w:rPr>
          <w:rFonts w:hint="eastAsia" w:ascii="仿宋" w:hAnsi="仿宋" w:eastAsia="仿宋" w:cs="仿宋"/>
          <w:spacing w:val="-4"/>
          <w:sz w:val="21"/>
          <w:szCs w:val="21"/>
          <w:highlight w:val="none"/>
          <w:lang w:eastAsia="zh-CN"/>
        </w:rPr>
        <w:t>年内是投标人的控股股东或者实际控制人；</w:t>
      </w:r>
    </w:p>
    <w:p w14:paraId="40EF723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（四）与投标人的法定代表人或者负责人有夫妻、直系血亲、三代</w:t>
      </w:r>
      <w:r>
        <w:rPr>
          <w:rFonts w:hint="eastAsia" w:ascii="仿宋" w:hAnsi="仿宋" w:eastAsia="仿宋" w:cs="仿宋"/>
          <w:spacing w:val="-3"/>
          <w:sz w:val="21"/>
          <w:szCs w:val="21"/>
          <w:highlight w:val="none"/>
          <w:lang w:eastAsia="zh-CN"/>
        </w:rPr>
        <w:t>以内旁系血亲或</w:t>
      </w:r>
      <w:r>
        <w:rPr>
          <w:rFonts w:hint="eastAsia" w:ascii="仿宋" w:hAnsi="仿宋" w:eastAsia="仿宋" w:cs="仿宋"/>
          <w:sz w:val="21"/>
          <w:szCs w:val="21"/>
          <w:highlight w:val="none"/>
          <w:lang w:eastAsia="zh-CN"/>
        </w:rPr>
        <w:t xml:space="preserve"> </w:t>
      </w:r>
      <w:r>
        <w:rPr>
          <w:rFonts w:hint="eastAsia" w:ascii="仿宋" w:hAnsi="仿宋" w:eastAsia="仿宋" w:cs="仿宋"/>
          <w:spacing w:val="-9"/>
          <w:sz w:val="21"/>
          <w:szCs w:val="21"/>
          <w:highlight w:val="none"/>
          <w:lang w:eastAsia="zh-CN"/>
        </w:rPr>
        <w:t>者近姻亲关系；</w:t>
      </w:r>
    </w:p>
    <w:p w14:paraId="3CFE29F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（五）与投标人有其他可能影响政府采购活动公平、公正进行的关系。</w:t>
      </w:r>
    </w:p>
    <w:p w14:paraId="4C25CB5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4"/>
          <w:sz w:val="21"/>
          <w:szCs w:val="21"/>
          <w:highlight w:val="none"/>
          <w:lang w:eastAsia="zh-CN"/>
        </w:rPr>
      </w:pPr>
      <w:r>
        <w:rPr>
          <w:rFonts w:hint="eastAsia" w:ascii="仿宋" w:hAnsi="仿宋" w:eastAsia="仿宋" w:cs="仿宋"/>
          <w:spacing w:val="-2"/>
          <w:sz w:val="21"/>
          <w:szCs w:val="21"/>
          <w:highlight w:val="none"/>
          <w:lang w:eastAsia="zh-CN"/>
        </w:rPr>
        <w:t>投标人认为采购人员及相关人员与其他投标人有利害关系的，可以向代理机构书面</w:t>
      </w:r>
      <w:r>
        <w:rPr>
          <w:rFonts w:hint="eastAsia" w:ascii="仿宋" w:hAnsi="仿宋" w:eastAsia="仿宋" w:cs="仿宋"/>
          <w:spacing w:val="8"/>
          <w:sz w:val="21"/>
          <w:szCs w:val="21"/>
          <w:highlight w:val="none"/>
          <w:lang w:eastAsia="zh-CN"/>
        </w:rPr>
        <w:t xml:space="preserve"> </w:t>
      </w:r>
      <w:r>
        <w:rPr>
          <w:rFonts w:hint="eastAsia" w:ascii="仿宋" w:hAnsi="仿宋" w:eastAsia="仿宋" w:cs="仿宋"/>
          <w:spacing w:val="-2"/>
          <w:sz w:val="21"/>
          <w:szCs w:val="21"/>
          <w:highlight w:val="none"/>
          <w:lang w:eastAsia="zh-CN"/>
        </w:rPr>
        <w:t>提出回避申请，并说明理由。代理机构将及时询问被申请回避人员，有利害关系的被申</w:t>
      </w:r>
      <w:r>
        <w:rPr>
          <w:rFonts w:hint="eastAsia" w:ascii="仿宋" w:hAnsi="仿宋" w:eastAsia="仿宋" w:cs="仿宋"/>
          <w:spacing w:val="18"/>
          <w:sz w:val="21"/>
          <w:szCs w:val="21"/>
          <w:highlight w:val="none"/>
          <w:lang w:eastAsia="zh-CN"/>
        </w:rPr>
        <w:t xml:space="preserve"> </w:t>
      </w:r>
      <w:r>
        <w:rPr>
          <w:rFonts w:hint="eastAsia" w:ascii="仿宋" w:hAnsi="仿宋" w:eastAsia="仿宋" w:cs="仿宋"/>
          <w:spacing w:val="-4"/>
          <w:sz w:val="21"/>
          <w:szCs w:val="21"/>
          <w:highlight w:val="none"/>
          <w:lang w:eastAsia="zh-CN"/>
        </w:rPr>
        <w:t>请回避人员应当回避。</w:t>
      </w:r>
    </w:p>
    <w:p w14:paraId="789DB767">
      <w:pPr>
        <w:spacing w:before="92" w:line="221" w:lineRule="auto"/>
        <w:ind w:left="6"/>
        <w:outlineLvl w:val="4"/>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2.8</w:t>
      </w:r>
      <w:r>
        <w:rPr>
          <w:rFonts w:hint="eastAsia" w:ascii="仿宋" w:hAnsi="仿宋" w:eastAsia="仿宋" w:cs="仿宋"/>
          <w:spacing w:val="-52"/>
          <w:sz w:val="21"/>
          <w:szCs w:val="21"/>
          <w:highlight w:val="none"/>
          <w:lang w:eastAsia="zh-CN"/>
        </w:rPr>
        <w:t xml:space="preserve"> </w:t>
      </w:r>
      <w:r>
        <w:rPr>
          <w:rFonts w:hint="eastAsia" w:ascii="仿宋" w:hAnsi="仿宋" w:eastAsia="仿宋" w:cs="仿宋"/>
          <w:b/>
          <w:bCs/>
          <w:spacing w:val="-5"/>
          <w:sz w:val="21"/>
          <w:szCs w:val="21"/>
          <w:highlight w:val="none"/>
          <w:lang w:eastAsia="zh-CN"/>
        </w:rPr>
        <w:t>询问、质疑和投诉</w:t>
      </w:r>
    </w:p>
    <w:p w14:paraId="5591DBC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一、询问、质疑、投诉的接收和处理严格按照《中华人民共和国政府采购法》《中</w:t>
      </w:r>
      <w:r>
        <w:rPr>
          <w:rFonts w:hint="eastAsia" w:ascii="仿宋" w:hAnsi="仿宋" w:eastAsia="仿宋" w:cs="仿宋"/>
          <w:spacing w:val="-5"/>
          <w:sz w:val="21"/>
          <w:szCs w:val="21"/>
          <w:highlight w:val="none"/>
          <w:lang w:eastAsia="zh-CN"/>
        </w:rPr>
        <w:t>华人民共和国政府采购法实施条例》《政府采购质疑和投诉办法》等规定办理。</w:t>
      </w:r>
    </w:p>
    <w:p w14:paraId="57A9811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二、投标人询问、质疑的答复主体：</w:t>
      </w:r>
    </w:p>
    <w:p w14:paraId="7DEEDC9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根据委托代理协议约定，投标人对招标文件中采购需求的询问、质疑由陕西万泽招标有限公司</w:t>
      </w:r>
      <w:r>
        <w:rPr>
          <w:rFonts w:hint="eastAsia" w:ascii="仿宋" w:hAnsi="仿宋" w:eastAsia="仿宋" w:cs="仿宋"/>
          <w:spacing w:val="-1"/>
          <w:sz w:val="21"/>
          <w:szCs w:val="21"/>
          <w:highlight w:val="none"/>
          <w:lang w:eastAsia="zh-CN"/>
        </w:rPr>
        <w:t>负责答复；投标人对除采</w:t>
      </w:r>
      <w:r>
        <w:rPr>
          <w:rFonts w:hint="eastAsia" w:ascii="仿宋" w:hAnsi="仿宋" w:eastAsia="仿宋" w:cs="仿宋"/>
          <w:spacing w:val="-2"/>
          <w:sz w:val="21"/>
          <w:szCs w:val="21"/>
          <w:highlight w:val="none"/>
          <w:lang w:eastAsia="zh-CN"/>
        </w:rPr>
        <w:t>购需求外的采购文件的询问、质疑由</w:t>
      </w:r>
      <w:r>
        <w:rPr>
          <w:rFonts w:hint="eastAsia" w:ascii="仿宋" w:hAnsi="仿宋" w:eastAsia="仿宋" w:cs="仿宋"/>
          <w:sz w:val="21"/>
          <w:szCs w:val="21"/>
          <w:highlight w:val="none"/>
          <w:lang w:eastAsia="zh-CN"/>
        </w:rPr>
        <w:t>陕西万泽招标有限公司</w:t>
      </w:r>
      <w:r>
        <w:rPr>
          <w:rFonts w:hint="eastAsia" w:ascii="仿宋" w:hAnsi="仿宋" w:eastAsia="仿宋" w:cs="仿宋"/>
          <w:spacing w:val="-2"/>
          <w:sz w:val="21"/>
          <w:szCs w:val="21"/>
          <w:highlight w:val="none"/>
          <w:lang w:eastAsia="zh-CN"/>
        </w:rPr>
        <w:t>负责答复；投标人对采购过程、采购结果的询问、质疑由</w:t>
      </w:r>
      <w:r>
        <w:rPr>
          <w:rFonts w:hint="eastAsia" w:ascii="仿宋" w:hAnsi="仿宋" w:eastAsia="仿宋" w:cs="仿宋"/>
          <w:sz w:val="21"/>
          <w:szCs w:val="21"/>
          <w:highlight w:val="none"/>
          <w:lang w:eastAsia="zh-CN"/>
        </w:rPr>
        <w:t>陕西万泽招标有限公司</w:t>
      </w:r>
      <w:r>
        <w:rPr>
          <w:rFonts w:hint="eastAsia" w:ascii="仿宋" w:hAnsi="仿宋" w:eastAsia="仿宋" w:cs="仿宋"/>
          <w:spacing w:val="-2"/>
          <w:sz w:val="21"/>
          <w:szCs w:val="21"/>
          <w:highlight w:val="none"/>
          <w:lang w:eastAsia="zh-CN"/>
        </w:rPr>
        <w:t>负责答复。</w:t>
      </w:r>
    </w:p>
    <w:p w14:paraId="202090A6">
      <w:pPr>
        <w:spacing w:before="101" w:line="346" w:lineRule="auto"/>
        <w:ind w:left="1" w:right="82" w:firstLine="479"/>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三、投标人提出的询问，应当明确询问事项，如以</w:t>
      </w:r>
      <w:r>
        <w:rPr>
          <w:rFonts w:hint="eastAsia" w:ascii="仿宋" w:hAnsi="仿宋" w:eastAsia="仿宋" w:cs="仿宋"/>
          <w:spacing w:val="-7"/>
          <w:sz w:val="21"/>
          <w:szCs w:val="21"/>
          <w:highlight w:val="none"/>
          <w:lang w:eastAsia="zh-CN"/>
        </w:rPr>
        <w:t>书面形式提出的，应由投标人签</w:t>
      </w:r>
      <w:r>
        <w:rPr>
          <w:rFonts w:hint="eastAsia" w:ascii="仿宋" w:hAnsi="仿宋" w:eastAsia="仿宋" w:cs="仿宋"/>
          <w:sz w:val="21"/>
          <w:szCs w:val="21"/>
          <w:highlight w:val="none"/>
          <w:lang w:eastAsia="zh-CN"/>
        </w:rPr>
        <w:t xml:space="preserve"> </w:t>
      </w:r>
      <w:r>
        <w:rPr>
          <w:rFonts w:hint="eastAsia" w:ascii="仿宋" w:hAnsi="仿宋" w:eastAsia="仿宋" w:cs="仿宋"/>
          <w:spacing w:val="-6"/>
          <w:sz w:val="21"/>
          <w:szCs w:val="21"/>
          <w:highlight w:val="none"/>
          <w:lang w:eastAsia="zh-CN"/>
        </w:rPr>
        <w:t>字并加盖公章。</w:t>
      </w:r>
    </w:p>
    <w:p w14:paraId="1C5A061A">
      <w:pPr>
        <w:spacing w:before="36" w:line="351" w:lineRule="auto"/>
        <w:ind w:right="82" w:firstLine="482"/>
        <w:jc w:val="both"/>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为提高采购效率，降低社会成本，鼓励询问主体对于不损害国家及社会利益或自身</w:t>
      </w:r>
      <w:r>
        <w:rPr>
          <w:rFonts w:hint="eastAsia" w:ascii="仿宋" w:hAnsi="仿宋" w:eastAsia="仿宋" w:cs="仿宋"/>
          <w:spacing w:val="10"/>
          <w:sz w:val="21"/>
          <w:szCs w:val="21"/>
          <w:highlight w:val="none"/>
          <w:lang w:eastAsia="zh-CN"/>
        </w:rPr>
        <w:t xml:space="preserve"> </w:t>
      </w:r>
      <w:r>
        <w:rPr>
          <w:rFonts w:hint="eastAsia" w:ascii="仿宋" w:hAnsi="仿宋" w:eastAsia="仿宋" w:cs="仿宋"/>
          <w:spacing w:val="-2"/>
          <w:sz w:val="21"/>
          <w:szCs w:val="21"/>
          <w:highlight w:val="none"/>
          <w:lang w:eastAsia="zh-CN"/>
        </w:rPr>
        <w:t>合法权益的问题或情形采用询问方式处理解决（包含但不限于文字错误、标点符号、不</w:t>
      </w:r>
      <w:r>
        <w:rPr>
          <w:rFonts w:hint="eastAsia" w:ascii="仿宋" w:hAnsi="仿宋" w:eastAsia="仿宋" w:cs="仿宋"/>
          <w:spacing w:val="-11"/>
          <w:sz w:val="21"/>
          <w:szCs w:val="21"/>
          <w:highlight w:val="none"/>
          <w:lang w:eastAsia="zh-CN"/>
        </w:rPr>
        <w:t>影响投标文件的编制的情形）。</w:t>
      </w:r>
    </w:p>
    <w:p w14:paraId="44A8C619">
      <w:pPr>
        <w:spacing w:before="34" w:line="325" w:lineRule="auto"/>
        <w:ind w:right="81" w:firstLine="503"/>
        <w:rPr>
          <w:rFonts w:hint="eastAsia" w:ascii="仿宋" w:hAnsi="仿宋" w:eastAsia="仿宋" w:cs="仿宋"/>
          <w:sz w:val="21"/>
          <w:szCs w:val="21"/>
          <w:highlight w:val="none"/>
          <w:lang w:eastAsia="zh-CN"/>
        </w:rPr>
      </w:pPr>
      <w:r>
        <w:rPr>
          <w:rFonts w:hint="eastAsia" w:ascii="仿宋" w:hAnsi="仿宋" w:eastAsia="仿宋" w:cs="仿宋"/>
          <w:spacing w:val="-10"/>
          <w:sz w:val="21"/>
          <w:szCs w:val="21"/>
          <w:highlight w:val="none"/>
          <w:lang w:eastAsia="zh-CN"/>
        </w:rPr>
        <w:t>四、投标人认为采购文件、采购过程、中标或者成交结果使自己的权益受</w:t>
      </w:r>
      <w:r>
        <w:rPr>
          <w:rFonts w:hint="eastAsia" w:ascii="仿宋" w:hAnsi="仿宋" w:eastAsia="仿宋" w:cs="仿宋"/>
          <w:spacing w:val="-11"/>
          <w:sz w:val="21"/>
          <w:szCs w:val="21"/>
          <w:highlight w:val="none"/>
          <w:lang w:eastAsia="zh-CN"/>
        </w:rPr>
        <w:t>到损害的，</w:t>
      </w:r>
      <w:r>
        <w:rPr>
          <w:rFonts w:hint="eastAsia" w:ascii="仿宋" w:hAnsi="仿宋" w:eastAsia="仿宋" w:cs="仿宋"/>
          <w:spacing w:val="-2"/>
          <w:sz w:val="21"/>
          <w:szCs w:val="21"/>
          <w:highlight w:val="none"/>
          <w:lang w:eastAsia="zh-CN"/>
        </w:rPr>
        <w:t>可以在知道或者应知其权益受到损害之日起</w:t>
      </w:r>
      <w:r>
        <w:rPr>
          <w:rFonts w:hint="eastAsia" w:ascii="仿宋" w:hAnsi="仿宋" w:eastAsia="仿宋" w:cs="仿宋"/>
          <w:spacing w:val="-45"/>
          <w:sz w:val="21"/>
          <w:szCs w:val="21"/>
          <w:highlight w:val="none"/>
          <w:lang w:eastAsia="zh-CN"/>
        </w:rPr>
        <w:t xml:space="preserve"> </w:t>
      </w:r>
      <w:r>
        <w:rPr>
          <w:rFonts w:hint="eastAsia" w:ascii="仿宋" w:hAnsi="仿宋" w:eastAsia="仿宋" w:cs="仿宋"/>
          <w:spacing w:val="-2"/>
          <w:sz w:val="21"/>
          <w:szCs w:val="21"/>
          <w:highlight w:val="none"/>
          <w:lang w:eastAsia="zh-CN"/>
        </w:rPr>
        <w:t>7</w:t>
      </w:r>
      <w:r>
        <w:rPr>
          <w:rFonts w:hint="eastAsia" w:ascii="仿宋" w:hAnsi="仿宋" w:eastAsia="仿宋" w:cs="仿宋"/>
          <w:spacing w:val="-50"/>
          <w:sz w:val="21"/>
          <w:szCs w:val="21"/>
          <w:highlight w:val="none"/>
          <w:lang w:eastAsia="zh-CN"/>
        </w:rPr>
        <w:t xml:space="preserve"> </w:t>
      </w:r>
      <w:r>
        <w:rPr>
          <w:rFonts w:hint="eastAsia" w:ascii="仿宋" w:hAnsi="仿宋" w:eastAsia="仿宋" w:cs="仿宋"/>
          <w:spacing w:val="-2"/>
          <w:sz w:val="21"/>
          <w:szCs w:val="21"/>
          <w:highlight w:val="none"/>
          <w:lang w:eastAsia="zh-CN"/>
        </w:rPr>
        <w:t>个工作日内，以书面形式向</w:t>
      </w:r>
      <w:r>
        <w:rPr>
          <w:rFonts w:hint="eastAsia" w:ascii="仿宋" w:hAnsi="仿宋" w:eastAsia="仿宋" w:cs="仿宋"/>
          <w:spacing w:val="-3"/>
          <w:sz w:val="21"/>
          <w:szCs w:val="21"/>
          <w:highlight w:val="none"/>
          <w:lang w:eastAsia="zh-CN"/>
        </w:rPr>
        <w:t>采购人、代理</w:t>
      </w:r>
      <w:r>
        <w:rPr>
          <w:rFonts w:hint="eastAsia" w:ascii="仿宋" w:hAnsi="仿宋" w:eastAsia="仿宋" w:cs="仿宋"/>
          <w:spacing w:val="-2"/>
          <w:sz w:val="21"/>
          <w:szCs w:val="21"/>
          <w:highlight w:val="none"/>
          <w:lang w:eastAsia="zh-CN"/>
        </w:rPr>
        <w:t>机构提出质疑。投标人应在法定质疑期内一次性提出针对同一采购程序环节的质疑。投</w:t>
      </w:r>
      <w:r>
        <w:rPr>
          <w:rFonts w:hint="eastAsia" w:ascii="仿宋" w:hAnsi="仿宋" w:eastAsia="仿宋" w:cs="仿宋"/>
          <w:spacing w:val="-4"/>
          <w:sz w:val="21"/>
          <w:szCs w:val="21"/>
          <w:highlight w:val="none"/>
          <w:lang w:eastAsia="zh-CN"/>
        </w:rPr>
        <w:t>标人应知其权益受到损害之日，是指：</w:t>
      </w:r>
    </w:p>
    <w:p w14:paraId="19C47ED5">
      <w:pPr>
        <w:spacing w:before="181" w:line="290" w:lineRule="auto"/>
        <w:ind w:left="3" w:right="99" w:firstLine="483"/>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（一）对可以质疑的采购文件提出质疑的，为收到采购文件</w:t>
      </w:r>
      <w:r>
        <w:rPr>
          <w:rFonts w:hint="eastAsia" w:ascii="仿宋" w:hAnsi="仿宋" w:eastAsia="仿宋" w:cs="仿宋"/>
          <w:spacing w:val="-3"/>
          <w:sz w:val="21"/>
          <w:szCs w:val="21"/>
          <w:highlight w:val="none"/>
          <w:lang w:eastAsia="zh-CN"/>
        </w:rPr>
        <w:t>之日或者采购文件公告</w:t>
      </w:r>
      <w:r>
        <w:rPr>
          <w:rFonts w:hint="eastAsia" w:ascii="仿宋" w:hAnsi="仿宋" w:eastAsia="仿宋" w:cs="仿宋"/>
          <w:sz w:val="21"/>
          <w:szCs w:val="21"/>
          <w:highlight w:val="none"/>
          <w:lang w:eastAsia="zh-CN"/>
        </w:rPr>
        <w:t xml:space="preserve"> </w:t>
      </w:r>
      <w:r>
        <w:rPr>
          <w:rFonts w:hint="eastAsia" w:ascii="仿宋" w:hAnsi="仿宋" w:eastAsia="仿宋" w:cs="仿宋"/>
          <w:spacing w:val="-9"/>
          <w:sz w:val="21"/>
          <w:szCs w:val="21"/>
          <w:highlight w:val="none"/>
          <w:lang w:eastAsia="zh-CN"/>
        </w:rPr>
        <w:t>期限届满之日；</w:t>
      </w:r>
    </w:p>
    <w:p w14:paraId="22426B60">
      <w:pPr>
        <w:spacing w:before="182" w:line="219" w:lineRule="auto"/>
        <w:ind w:left="487"/>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（二）对采购过程提出质疑的，为各采购程序环节结束之日；</w:t>
      </w:r>
    </w:p>
    <w:p w14:paraId="06A28C02">
      <w:pPr>
        <w:spacing w:before="185" w:line="289" w:lineRule="auto"/>
        <w:ind w:left="484" w:right="9" w:firstLine="2"/>
        <w:rPr>
          <w:rFonts w:hint="eastAsia" w:ascii="仿宋" w:hAnsi="仿宋" w:eastAsia="仿宋" w:cs="仿宋"/>
          <w:spacing w:val="8"/>
          <w:sz w:val="21"/>
          <w:szCs w:val="21"/>
          <w:highlight w:val="none"/>
          <w:lang w:eastAsia="zh-CN"/>
        </w:rPr>
      </w:pPr>
      <w:r>
        <w:rPr>
          <w:rFonts w:hint="eastAsia" w:ascii="仿宋" w:hAnsi="仿宋" w:eastAsia="仿宋" w:cs="仿宋"/>
          <w:sz w:val="21"/>
          <w:szCs w:val="21"/>
          <w:highlight w:val="none"/>
          <w:lang w:eastAsia="zh-CN"/>
        </w:rPr>
        <w:t>（三）对中标或者成交结果提出质疑的，为中标或者成交结果公告期限届满之日。</w:t>
      </w:r>
      <w:r>
        <w:rPr>
          <w:rFonts w:hint="eastAsia" w:ascii="仿宋" w:hAnsi="仿宋" w:eastAsia="仿宋" w:cs="仿宋"/>
          <w:spacing w:val="8"/>
          <w:sz w:val="21"/>
          <w:szCs w:val="21"/>
          <w:highlight w:val="none"/>
          <w:lang w:eastAsia="zh-CN"/>
        </w:rPr>
        <w:t xml:space="preserve"> </w:t>
      </w:r>
    </w:p>
    <w:p w14:paraId="40BE685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五、本项目不接受在线提交质疑，投标人通过书面形式线下向采购人或代理机构提</w:t>
      </w:r>
      <w:r>
        <w:rPr>
          <w:rFonts w:hint="eastAsia" w:ascii="仿宋" w:hAnsi="仿宋" w:eastAsia="仿宋" w:cs="仿宋"/>
          <w:spacing w:val="-7"/>
          <w:sz w:val="21"/>
          <w:szCs w:val="21"/>
          <w:highlight w:val="none"/>
          <w:lang w:eastAsia="zh-CN"/>
        </w:rPr>
        <w:t>交质疑资料。</w:t>
      </w:r>
    </w:p>
    <w:p w14:paraId="63B48D84">
      <w:pPr>
        <w:spacing w:before="182" w:line="220" w:lineRule="auto"/>
        <w:ind w:left="482"/>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六、投标人提出质疑时应当准备的资料</w:t>
      </w:r>
    </w:p>
    <w:p w14:paraId="20A5F398">
      <w:pPr>
        <w:spacing w:before="182" w:line="219" w:lineRule="auto"/>
        <w:ind w:left="487"/>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（一）质疑书正本 1</w:t>
      </w:r>
      <w:r>
        <w:rPr>
          <w:rFonts w:hint="eastAsia" w:ascii="仿宋" w:hAnsi="仿宋" w:eastAsia="仿宋" w:cs="仿宋"/>
          <w:spacing w:val="-51"/>
          <w:sz w:val="21"/>
          <w:szCs w:val="21"/>
          <w:highlight w:val="none"/>
          <w:lang w:eastAsia="zh-CN"/>
        </w:rPr>
        <w:t xml:space="preserve"> </w:t>
      </w:r>
      <w:r>
        <w:rPr>
          <w:rFonts w:hint="eastAsia" w:ascii="仿宋" w:hAnsi="仿宋" w:eastAsia="仿宋" w:cs="仿宋"/>
          <w:spacing w:val="-4"/>
          <w:sz w:val="21"/>
          <w:szCs w:val="21"/>
          <w:highlight w:val="none"/>
          <w:lang w:eastAsia="zh-CN"/>
        </w:rPr>
        <w:t>份</w:t>
      </w:r>
      <w:r>
        <w:rPr>
          <w:rFonts w:hint="eastAsia" w:ascii="仿宋" w:hAnsi="仿宋" w:eastAsia="仿宋" w:cs="仿宋"/>
          <w:spacing w:val="-45"/>
          <w:sz w:val="21"/>
          <w:szCs w:val="21"/>
          <w:highlight w:val="none"/>
          <w:lang w:eastAsia="zh-CN"/>
        </w:rPr>
        <w:t>；（</w:t>
      </w:r>
      <w:r>
        <w:rPr>
          <w:rFonts w:hint="eastAsia" w:ascii="仿宋" w:hAnsi="仿宋" w:eastAsia="仿宋" w:cs="仿宋"/>
          <w:spacing w:val="-4"/>
          <w:sz w:val="21"/>
          <w:szCs w:val="21"/>
          <w:highlight w:val="none"/>
          <w:lang w:eastAsia="zh-CN"/>
        </w:rPr>
        <w:t>政府采购供应商质疑函范本详见附件一）</w:t>
      </w:r>
    </w:p>
    <w:p w14:paraId="197EE49D">
      <w:pPr>
        <w:spacing w:before="185" w:line="289" w:lineRule="auto"/>
        <w:ind w:right="92" w:firstLine="486"/>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（二）法定代表人或主要负责人授权委托书</w:t>
      </w:r>
      <w:r>
        <w:rPr>
          <w:rFonts w:hint="eastAsia" w:ascii="仿宋" w:hAnsi="仿宋" w:eastAsia="仿宋" w:cs="仿宋"/>
          <w:spacing w:val="-32"/>
          <w:sz w:val="21"/>
          <w:szCs w:val="21"/>
          <w:highlight w:val="none"/>
          <w:lang w:eastAsia="zh-CN"/>
        </w:rPr>
        <w:t xml:space="preserve"> </w:t>
      </w:r>
      <w:r>
        <w:rPr>
          <w:rFonts w:hint="eastAsia" w:ascii="仿宋" w:hAnsi="仿宋" w:eastAsia="仿宋" w:cs="仿宋"/>
          <w:spacing w:val="-3"/>
          <w:sz w:val="21"/>
          <w:szCs w:val="21"/>
          <w:highlight w:val="none"/>
          <w:lang w:eastAsia="zh-CN"/>
        </w:rPr>
        <w:t>1</w:t>
      </w:r>
      <w:r>
        <w:rPr>
          <w:rFonts w:hint="eastAsia" w:ascii="仿宋" w:hAnsi="仿宋" w:eastAsia="仿宋" w:cs="仿宋"/>
          <w:spacing w:val="-51"/>
          <w:sz w:val="21"/>
          <w:szCs w:val="21"/>
          <w:highlight w:val="none"/>
          <w:lang w:eastAsia="zh-CN"/>
        </w:rPr>
        <w:t xml:space="preserve"> </w:t>
      </w:r>
      <w:r>
        <w:rPr>
          <w:rFonts w:hint="eastAsia" w:ascii="仿宋" w:hAnsi="仿宋" w:eastAsia="仿宋" w:cs="仿宋"/>
          <w:spacing w:val="-3"/>
          <w:sz w:val="21"/>
          <w:szCs w:val="21"/>
          <w:highlight w:val="none"/>
          <w:lang w:eastAsia="zh-CN"/>
        </w:rPr>
        <w:t>份（委托代理人办理质疑事</w:t>
      </w:r>
      <w:r>
        <w:rPr>
          <w:rFonts w:hint="eastAsia" w:ascii="仿宋" w:hAnsi="仿宋" w:eastAsia="仿宋" w:cs="仿宋"/>
          <w:spacing w:val="-4"/>
          <w:sz w:val="21"/>
          <w:szCs w:val="21"/>
          <w:highlight w:val="none"/>
          <w:lang w:eastAsia="zh-CN"/>
        </w:rPr>
        <w:t>宜的需提</w:t>
      </w:r>
      <w:r>
        <w:rPr>
          <w:rFonts w:hint="eastAsia" w:ascii="仿宋" w:hAnsi="仿宋" w:eastAsia="仿宋" w:cs="仿宋"/>
          <w:sz w:val="21"/>
          <w:szCs w:val="21"/>
          <w:highlight w:val="none"/>
          <w:lang w:eastAsia="zh-CN"/>
        </w:rPr>
        <w:t xml:space="preserve"> </w:t>
      </w:r>
      <w:r>
        <w:rPr>
          <w:rFonts w:hint="eastAsia" w:ascii="仿宋" w:hAnsi="仿宋" w:eastAsia="仿宋" w:cs="仿宋"/>
          <w:spacing w:val="-12"/>
          <w:w w:val="74"/>
          <w:sz w:val="21"/>
          <w:szCs w:val="21"/>
          <w:highlight w:val="none"/>
          <w:lang w:eastAsia="zh-CN"/>
        </w:rPr>
        <w:t>供</w:t>
      </w:r>
      <w:r>
        <w:rPr>
          <w:rFonts w:hint="eastAsia" w:ascii="仿宋" w:hAnsi="仿宋" w:eastAsia="仿宋" w:cs="仿宋"/>
          <w:spacing w:val="-36"/>
          <w:sz w:val="21"/>
          <w:szCs w:val="21"/>
          <w:highlight w:val="none"/>
          <w:lang w:eastAsia="zh-CN"/>
        </w:rPr>
        <w:t>）；</w:t>
      </w:r>
    </w:p>
    <w:p w14:paraId="34151F12">
      <w:pPr>
        <w:spacing w:before="183" w:line="220" w:lineRule="auto"/>
        <w:ind w:left="487"/>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（三）法定代表人或主要负责人身份证复印件 1</w:t>
      </w:r>
      <w:r>
        <w:rPr>
          <w:rFonts w:hint="eastAsia" w:ascii="仿宋" w:hAnsi="仿宋" w:eastAsia="仿宋" w:cs="仿宋"/>
          <w:spacing w:val="-40"/>
          <w:sz w:val="21"/>
          <w:szCs w:val="21"/>
          <w:highlight w:val="none"/>
          <w:lang w:eastAsia="zh-CN"/>
        </w:rPr>
        <w:t xml:space="preserve"> </w:t>
      </w:r>
      <w:r>
        <w:rPr>
          <w:rFonts w:hint="eastAsia" w:ascii="仿宋" w:hAnsi="仿宋" w:eastAsia="仿宋" w:cs="仿宋"/>
          <w:spacing w:val="-5"/>
          <w:sz w:val="21"/>
          <w:szCs w:val="21"/>
          <w:highlight w:val="none"/>
          <w:lang w:eastAsia="zh-CN"/>
        </w:rPr>
        <w:t>份；</w:t>
      </w:r>
    </w:p>
    <w:p w14:paraId="2955CCAF">
      <w:pPr>
        <w:spacing w:before="182" w:line="219" w:lineRule="auto"/>
        <w:ind w:left="487"/>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（四）委托代理人身份证复印件 1</w:t>
      </w:r>
      <w:r>
        <w:rPr>
          <w:rFonts w:hint="eastAsia" w:ascii="仿宋" w:hAnsi="仿宋" w:eastAsia="仿宋" w:cs="仿宋"/>
          <w:spacing w:val="-50"/>
          <w:sz w:val="21"/>
          <w:szCs w:val="21"/>
          <w:highlight w:val="none"/>
          <w:lang w:eastAsia="zh-CN"/>
        </w:rPr>
        <w:t xml:space="preserve"> </w:t>
      </w:r>
      <w:r>
        <w:rPr>
          <w:rFonts w:hint="eastAsia" w:ascii="仿宋" w:hAnsi="仿宋" w:eastAsia="仿宋" w:cs="仿宋"/>
          <w:spacing w:val="-7"/>
          <w:sz w:val="21"/>
          <w:szCs w:val="21"/>
          <w:highlight w:val="none"/>
          <w:lang w:eastAsia="zh-CN"/>
        </w:rPr>
        <w:t>份（委托代理人办理质疑事宜的需提供</w:t>
      </w:r>
      <w:r>
        <w:rPr>
          <w:rFonts w:hint="eastAsia" w:ascii="仿宋" w:hAnsi="仿宋" w:eastAsia="仿宋" w:cs="仿宋"/>
          <w:spacing w:val="4"/>
          <w:sz w:val="21"/>
          <w:szCs w:val="21"/>
          <w:highlight w:val="none"/>
          <w:lang w:eastAsia="zh-CN"/>
        </w:rPr>
        <w:t>）；</w:t>
      </w:r>
    </w:p>
    <w:p w14:paraId="5B9A1291">
      <w:pPr>
        <w:spacing w:before="183" w:line="290" w:lineRule="auto"/>
        <w:ind w:left="1" w:right="99" w:firstLine="485"/>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（五）针对质疑事项必要的证明材料（针对招标文件提出的</w:t>
      </w:r>
      <w:r>
        <w:rPr>
          <w:rFonts w:hint="eastAsia" w:ascii="仿宋" w:hAnsi="仿宋" w:eastAsia="仿宋" w:cs="仿宋"/>
          <w:spacing w:val="-3"/>
          <w:sz w:val="21"/>
          <w:szCs w:val="21"/>
          <w:highlight w:val="none"/>
          <w:lang w:eastAsia="zh-CN"/>
        </w:rPr>
        <w:t>质疑，需提交从项目电</w:t>
      </w:r>
      <w:r>
        <w:rPr>
          <w:rFonts w:hint="eastAsia" w:ascii="仿宋" w:hAnsi="仿宋" w:eastAsia="仿宋" w:cs="仿宋"/>
          <w:sz w:val="21"/>
          <w:szCs w:val="21"/>
          <w:highlight w:val="none"/>
          <w:lang w:eastAsia="zh-CN"/>
        </w:rPr>
        <w:t xml:space="preserve"> </w:t>
      </w:r>
      <w:r>
        <w:rPr>
          <w:rFonts w:hint="eastAsia" w:ascii="仿宋" w:hAnsi="仿宋" w:eastAsia="仿宋" w:cs="仿宋"/>
          <w:spacing w:val="-9"/>
          <w:sz w:val="21"/>
          <w:szCs w:val="21"/>
          <w:highlight w:val="none"/>
          <w:lang w:eastAsia="zh-CN"/>
        </w:rPr>
        <w:t>子化交易系统获取的招标文件回执单）。</w:t>
      </w:r>
    </w:p>
    <w:p w14:paraId="313BB88A">
      <w:pPr>
        <w:pStyle w:val="21"/>
        <w:ind w:firstLine="800" w:firstLineChars="400"/>
        <w:rPr>
          <w:rFonts w:hint="eastAsia" w:ascii="仿宋" w:hAnsi="仿宋" w:eastAsia="仿宋" w:cs="仿宋"/>
          <w:snapToGrid w:val="0"/>
          <w:color w:val="000000"/>
          <w:spacing w:val="-5"/>
          <w:sz w:val="21"/>
          <w:szCs w:val="21"/>
          <w:highlight w:val="none"/>
          <w:lang w:val="en-US" w:eastAsia="zh-CN" w:bidi="ar-SA"/>
        </w:rPr>
      </w:pPr>
      <w:r>
        <w:rPr>
          <w:rFonts w:hint="eastAsia" w:ascii="仿宋" w:hAnsi="仿宋" w:eastAsia="仿宋" w:cs="仿宋"/>
          <w:snapToGrid w:val="0"/>
          <w:color w:val="000000"/>
          <w:spacing w:val="-5"/>
          <w:sz w:val="21"/>
          <w:szCs w:val="21"/>
          <w:highlight w:val="none"/>
          <w:lang w:val="en-US" w:eastAsia="zh-CN" w:bidi="ar-SA"/>
        </w:rPr>
        <w:t>联系人：马超</w:t>
      </w:r>
    </w:p>
    <w:p w14:paraId="40D2B674">
      <w:pPr>
        <w:pStyle w:val="21"/>
        <w:ind w:firstLine="800" w:firstLineChars="400"/>
        <w:rPr>
          <w:rFonts w:hint="eastAsia" w:ascii="仿宋" w:hAnsi="仿宋" w:eastAsia="仿宋" w:cs="仿宋"/>
          <w:snapToGrid w:val="0"/>
          <w:color w:val="000000"/>
          <w:spacing w:val="-5"/>
          <w:sz w:val="21"/>
          <w:szCs w:val="21"/>
          <w:highlight w:val="none"/>
          <w:lang w:val="en-US" w:eastAsia="zh-CN" w:bidi="ar-SA"/>
        </w:rPr>
      </w:pPr>
      <w:r>
        <w:rPr>
          <w:rFonts w:hint="eastAsia" w:ascii="仿宋" w:hAnsi="仿宋" w:eastAsia="仿宋" w:cs="仿宋"/>
          <w:snapToGrid w:val="0"/>
          <w:color w:val="000000"/>
          <w:spacing w:val="-5"/>
          <w:sz w:val="21"/>
          <w:szCs w:val="21"/>
          <w:highlight w:val="none"/>
          <w:lang w:val="en-US" w:eastAsia="zh-CN" w:bidi="ar-SA"/>
        </w:rPr>
        <w:t>联系电话：029-85235014</w:t>
      </w:r>
    </w:p>
    <w:p w14:paraId="37A29767">
      <w:pPr>
        <w:pStyle w:val="21"/>
        <w:ind w:firstLine="800" w:firstLineChars="400"/>
        <w:rPr>
          <w:rFonts w:hint="eastAsia" w:ascii="仿宋" w:hAnsi="仿宋" w:eastAsia="仿宋" w:cs="仿宋"/>
          <w:snapToGrid w:val="0"/>
          <w:color w:val="000000"/>
          <w:spacing w:val="-5"/>
          <w:sz w:val="21"/>
          <w:szCs w:val="21"/>
          <w:highlight w:val="none"/>
          <w:lang w:val="en-US" w:eastAsia="zh-CN" w:bidi="ar-SA"/>
        </w:rPr>
      </w:pPr>
      <w:r>
        <w:rPr>
          <w:rFonts w:hint="eastAsia" w:ascii="仿宋" w:hAnsi="仿宋" w:eastAsia="仿宋" w:cs="仿宋"/>
          <w:snapToGrid w:val="0"/>
          <w:color w:val="000000"/>
          <w:spacing w:val="-5"/>
          <w:sz w:val="21"/>
          <w:szCs w:val="21"/>
          <w:highlight w:val="none"/>
          <w:lang w:val="en-US" w:eastAsia="zh-CN" w:bidi="ar-SA"/>
        </w:rPr>
        <w:t>地址：西安市高新区锦业路1号都市之门C座9层</w:t>
      </w:r>
    </w:p>
    <w:p w14:paraId="17B958DA">
      <w:pPr>
        <w:pStyle w:val="21"/>
        <w:ind w:firstLine="800" w:firstLineChars="400"/>
        <w:rPr>
          <w:rFonts w:hint="eastAsia" w:ascii="仿宋" w:hAnsi="仿宋" w:eastAsia="仿宋" w:cs="仿宋"/>
          <w:snapToGrid w:val="0"/>
          <w:color w:val="000000"/>
          <w:spacing w:val="-5"/>
          <w:sz w:val="21"/>
          <w:szCs w:val="21"/>
          <w:highlight w:val="none"/>
          <w:lang w:val="en-US" w:eastAsia="zh-CN" w:bidi="ar-SA"/>
        </w:rPr>
      </w:pPr>
      <w:r>
        <w:rPr>
          <w:rFonts w:hint="eastAsia" w:ascii="仿宋" w:hAnsi="仿宋" w:eastAsia="仿宋" w:cs="仿宋"/>
          <w:snapToGrid w:val="0"/>
          <w:color w:val="000000"/>
          <w:spacing w:val="-5"/>
          <w:sz w:val="21"/>
          <w:szCs w:val="21"/>
          <w:highlight w:val="none"/>
          <w:lang w:val="en-US" w:eastAsia="zh-CN" w:bidi="ar-SA"/>
        </w:rPr>
        <w:t>邮编：710000</w:t>
      </w:r>
    </w:p>
    <w:p w14:paraId="34081EF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4" w:firstLineChars="200"/>
        <w:textAlignment w:val="baseline"/>
        <w:rPr>
          <w:rFonts w:hint="eastAsia" w:ascii="仿宋" w:hAnsi="仿宋" w:eastAsia="仿宋" w:cs="仿宋"/>
          <w:spacing w:val="-4"/>
          <w:sz w:val="21"/>
          <w:szCs w:val="21"/>
          <w:highlight w:val="none"/>
          <w:lang w:eastAsia="zh-CN"/>
        </w:rPr>
      </w:pPr>
      <w:r>
        <w:rPr>
          <w:rFonts w:hint="eastAsia" w:ascii="仿宋" w:hAnsi="仿宋" w:eastAsia="仿宋" w:cs="仿宋"/>
          <w:spacing w:val="1"/>
          <w:sz w:val="21"/>
          <w:szCs w:val="21"/>
          <w:highlight w:val="none"/>
          <w:lang w:eastAsia="zh-CN"/>
        </w:rPr>
        <w:t>注：根据《中华人民共和国政府采购法》的规定，投标</w:t>
      </w:r>
      <w:r>
        <w:rPr>
          <w:rFonts w:hint="eastAsia" w:ascii="仿宋" w:hAnsi="仿宋" w:eastAsia="仿宋" w:cs="仿宋"/>
          <w:sz w:val="21"/>
          <w:szCs w:val="21"/>
          <w:highlight w:val="none"/>
          <w:lang w:eastAsia="zh-CN"/>
        </w:rPr>
        <w:t>人质疑不得超出采购文件、</w:t>
      </w:r>
      <w:r>
        <w:rPr>
          <w:rFonts w:hint="eastAsia" w:ascii="仿宋" w:hAnsi="仿宋" w:eastAsia="仿宋" w:cs="仿宋"/>
          <w:spacing w:val="-4"/>
          <w:sz w:val="21"/>
          <w:szCs w:val="21"/>
          <w:highlight w:val="none"/>
          <w:lang w:eastAsia="zh-CN"/>
        </w:rPr>
        <w:t>采购过程、采购结果的范围。</w:t>
      </w:r>
    </w:p>
    <w:p w14:paraId="3EA4B7B5">
      <w:pPr>
        <w:spacing w:before="101" w:line="351" w:lineRule="auto"/>
        <w:ind w:firstLine="480"/>
        <w:jc w:val="both"/>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七、投标人对采购人或代理机构的质疑答复不满意， 或者采购人或代理机构未在规</w:t>
      </w:r>
      <w:r>
        <w:rPr>
          <w:rFonts w:hint="eastAsia" w:ascii="仿宋" w:hAnsi="仿宋" w:eastAsia="仿宋" w:cs="仿宋"/>
          <w:spacing w:val="-1"/>
          <w:sz w:val="21"/>
          <w:szCs w:val="21"/>
          <w:highlight w:val="none"/>
          <w:lang w:eastAsia="zh-CN"/>
        </w:rPr>
        <w:t>定期限内作出答复的，投标人可以在答复期满后</w:t>
      </w:r>
      <w:r>
        <w:rPr>
          <w:rFonts w:hint="eastAsia" w:ascii="仿宋" w:hAnsi="仿宋" w:eastAsia="仿宋" w:cs="仿宋"/>
          <w:spacing w:val="-2"/>
          <w:sz w:val="21"/>
          <w:szCs w:val="21"/>
          <w:highlight w:val="none"/>
          <w:lang w:eastAsia="zh-CN"/>
        </w:rPr>
        <w:t xml:space="preserve"> 15 个工作日内向同级财政部门提起投</w:t>
      </w:r>
      <w:r>
        <w:rPr>
          <w:rFonts w:hint="eastAsia" w:ascii="仿宋" w:hAnsi="仿宋" w:eastAsia="仿宋" w:cs="仿宋"/>
          <w:spacing w:val="-11"/>
          <w:sz w:val="21"/>
          <w:szCs w:val="21"/>
          <w:highlight w:val="none"/>
          <w:lang w:eastAsia="zh-CN"/>
        </w:rPr>
        <w:t>诉。</w:t>
      </w:r>
    </w:p>
    <w:p w14:paraId="7CEF138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8"/>
          <w:sz w:val="21"/>
          <w:szCs w:val="21"/>
          <w:highlight w:val="none"/>
          <w:lang w:eastAsia="zh-CN"/>
        </w:rPr>
      </w:pPr>
      <w:r>
        <w:rPr>
          <w:rFonts w:hint="eastAsia" w:ascii="仿宋" w:hAnsi="仿宋" w:eastAsia="仿宋" w:cs="仿宋"/>
          <w:spacing w:val="-2"/>
          <w:sz w:val="21"/>
          <w:szCs w:val="21"/>
          <w:highlight w:val="none"/>
          <w:lang w:eastAsia="zh-CN"/>
        </w:rPr>
        <w:t>投诉受理单位：本采购项目同级财政部门。（政府采购供应商投诉书范本详见附件</w:t>
      </w:r>
      <w:r>
        <w:rPr>
          <w:rFonts w:hint="eastAsia" w:ascii="仿宋" w:hAnsi="仿宋" w:eastAsia="仿宋" w:cs="仿宋"/>
          <w:spacing w:val="-8"/>
          <w:sz w:val="21"/>
          <w:szCs w:val="21"/>
          <w:highlight w:val="none"/>
          <w:lang w:eastAsia="zh-CN"/>
        </w:rPr>
        <w:t>二）</w:t>
      </w:r>
    </w:p>
    <w:p w14:paraId="04FF4C60">
      <w:pPr>
        <w:rPr>
          <w:rFonts w:ascii="宋体" w:hAnsi="宋体" w:eastAsia="宋体" w:cs="宋体"/>
          <w:spacing w:val="-8"/>
          <w:sz w:val="24"/>
          <w:szCs w:val="24"/>
          <w:highlight w:val="none"/>
          <w:lang w:eastAsia="zh-CN"/>
        </w:rPr>
      </w:pPr>
      <w:r>
        <w:rPr>
          <w:rFonts w:ascii="宋体" w:hAnsi="宋体" w:eastAsia="宋体" w:cs="宋体"/>
          <w:spacing w:val="-8"/>
          <w:sz w:val="24"/>
          <w:szCs w:val="24"/>
          <w:highlight w:val="none"/>
          <w:lang w:eastAsia="zh-CN"/>
        </w:rPr>
        <w:br w:type="page"/>
      </w:r>
    </w:p>
    <w:p w14:paraId="42997FF3">
      <w:pPr>
        <w:spacing w:before="138" w:line="224" w:lineRule="auto"/>
        <w:jc w:val="center"/>
        <w:outlineLvl w:val="2"/>
        <w:rPr>
          <w:rFonts w:hint="eastAsia" w:ascii="宋体" w:hAnsi="宋体" w:eastAsia="宋体" w:cs="宋体"/>
          <w:sz w:val="31"/>
          <w:szCs w:val="31"/>
          <w:highlight w:val="none"/>
          <w:lang w:eastAsia="zh-CN"/>
        </w:rPr>
      </w:pPr>
      <w:r>
        <w:rPr>
          <w:rFonts w:ascii="宋体" w:hAnsi="宋体" w:eastAsia="宋体" w:cs="宋体"/>
          <w:b/>
          <w:bCs/>
          <w:spacing w:val="7"/>
          <w:sz w:val="31"/>
          <w:szCs w:val="31"/>
          <w:highlight w:val="none"/>
          <w:lang w:eastAsia="zh-CN"/>
        </w:rPr>
        <w:t>第三章</w:t>
      </w:r>
      <w:r>
        <w:rPr>
          <w:rFonts w:ascii="宋体" w:hAnsi="宋体" w:eastAsia="宋体" w:cs="宋体"/>
          <w:spacing w:val="7"/>
          <w:sz w:val="31"/>
          <w:szCs w:val="31"/>
          <w:highlight w:val="none"/>
          <w:lang w:eastAsia="zh-CN"/>
        </w:rPr>
        <w:t xml:space="preserve">  </w:t>
      </w:r>
      <w:r>
        <w:rPr>
          <w:rFonts w:ascii="宋体" w:hAnsi="宋体" w:eastAsia="宋体" w:cs="宋体"/>
          <w:b/>
          <w:bCs/>
          <w:spacing w:val="7"/>
          <w:sz w:val="31"/>
          <w:szCs w:val="31"/>
          <w:highlight w:val="none"/>
          <w:lang w:eastAsia="zh-CN"/>
        </w:rPr>
        <w:t>招标项目技术、服务、商务及其他要求</w:t>
      </w:r>
    </w:p>
    <w:p w14:paraId="15CE6087">
      <w:pPr>
        <w:spacing w:before="210" w:line="351" w:lineRule="auto"/>
        <w:ind w:left="123" w:right="111" w:firstLine="485"/>
        <w:jc w:val="both"/>
        <w:rPr>
          <w:rFonts w:hint="eastAsia" w:ascii="仿宋" w:hAnsi="仿宋" w:eastAsia="仿宋" w:cs="仿宋"/>
          <w:sz w:val="21"/>
          <w:szCs w:val="21"/>
          <w:highlight w:val="none"/>
        </w:rPr>
      </w:pPr>
      <w:r>
        <w:rPr>
          <w:rFonts w:hint="eastAsia" w:ascii="仿宋" w:hAnsi="仿宋" w:eastAsia="仿宋" w:cs="仿宋"/>
          <w:spacing w:val="-2"/>
          <w:sz w:val="21"/>
          <w:szCs w:val="21"/>
          <w:highlight w:val="none"/>
          <w:lang w:eastAsia="zh-CN"/>
        </w:rPr>
        <w:t>（注：带“★”的参数需求为实质性要求，投标人必须响应并满足的参数需求，招</w:t>
      </w:r>
      <w:r>
        <w:rPr>
          <w:rFonts w:hint="eastAsia" w:ascii="仿宋" w:hAnsi="仿宋" w:eastAsia="仿宋" w:cs="仿宋"/>
          <w:spacing w:val="7"/>
          <w:sz w:val="21"/>
          <w:szCs w:val="21"/>
          <w:highlight w:val="none"/>
          <w:lang w:eastAsia="zh-CN"/>
        </w:rPr>
        <w:t xml:space="preserve"> </w:t>
      </w:r>
      <w:r>
        <w:rPr>
          <w:rFonts w:hint="eastAsia" w:ascii="仿宋" w:hAnsi="仿宋" w:eastAsia="仿宋" w:cs="仿宋"/>
          <w:spacing w:val="-6"/>
          <w:sz w:val="21"/>
          <w:szCs w:val="21"/>
          <w:highlight w:val="none"/>
          <w:lang w:eastAsia="zh-CN"/>
        </w:rPr>
        <w:t>标人、招标代理机构应当根据项目实际需求合理设定，并明确</w:t>
      </w:r>
      <w:r>
        <w:rPr>
          <w:rFonts w:hint="eastAsia" w:ascii="仿宋" w:hAnsi="仿宋" w:eastAsia="仿宋" w:cs="仿宋"/>
          <w:spacing w:val="-7"/>
          <w:sz w:val="21"/>
          <w:szCs w:val="21"/>
          <w:highlight w:val="none"/>
          <w:lang w:eastAsia="zh-CN"/>
        </w:rPr>
        <w:t>具体要求。带“▲”号条</w:t>
      </w:r>
      <w:r>
        <w:rPr>
          <w:rFonts w:hint="eastAsia" w:ascii="仿宋" w:hAnsi="仿宋" w:eastAsia="仿宋" w:cs="仿宋"/>
          <w:sz w:val="21"/>
          <w:szCs w:val="21"/>
          <w:highlight w:val="none"/>
          <w:lang w:eastAsia="zh-CN"/>
        </w:rPr>
        <w:t xml:space="preserve"> </w:t>
      </w:r>
      <w:r>
        <w:rPr>
          <w:rFonts w:hint="eastAsia" w:ascii="仿宋" w:hAnsi="仿宋" w:eastAsia="仿宋" w:cs="仿宋"/>
          <w:spacing w:val="-4"/>
          <w:sz w:val="21"/>
          <w:szCs w:val="21"/>
          <w:highlight w:val="none"/>
          <w:lang w:eastAsia="zh-CN"/>
        </w:rPr>
        <w:t>款为允许负偏离的参数需求，若未响应或者不满足，将在综合评审中予以扣分处理。</w:t>
      </w:r>
      <w:r>
        <w:rPr>
          <w:rFonts w:hint="eastAsia" w:ascii="仿宋" w:hAnsi="仿宋" w:eastAsia="仿宋" w:cs="仿宋"/>
          <w:spacing w:val="-4"/>
          <w:sz w:val="21"/>
          <w:szCs w:val="21"/>
          <w:highlight w:val="none"/>
        </w:rPr>
        <w:t>）</w:t>
      </w:r>
    </w:p>
    <w:p w14:paraId="2959C6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94" w:firstLineChars="200"/>
        <w:textAlignment w:val="baseline"/>
        <w:outlineLvl w:val="4"/>
        <w:rPr>
          <w:rFonts w:hint="eastAsia" w:ascii="仿宋" w:hAnsi="仿宋" w:eastAsia="仿宋" w:cs="仿宋"/>
          <w:sz w:val="21"/>
          <w:szCs w:val="21"/>
          <w:highlight w:val="none"/>
          <w:lang w:eastAsia="zh-CN"/>
        </w:rPr>
      </w:pPr>
      <w:r>
        <w:rPr>
          <w:rFonts w:hint="eastAsia" w:ascii="仿宋" w:hAnsi="仿宋" w:eastAsia="仿宋" w:cs="仿宋"/>
          <w:b/>
          <w:bCs/>
          <w:spacing w:val="-7"/>
          <w:sz w:val="21"/>
          <w:szCs w:val="21"/>
          <w:highlight w:val="none"/>
          <w:lang w:eastAsia="zh-CN"/>
        </w:rPr>
        <w:t>3.1</w:t>
      </w:r>
      <w:r>
        <w:rPr>
          <w:rFonts w:hint="eastAsia" w:ascii="仿宋" w:hAnsi="仿宋" w:eastAsia="仿宋" w:cs="仿宋"/>
          <w:spacing w:val="-49"/>
          <w:sz w:val="21"/>
          <w:szCs w:val="21"/>
          <w:highlight w:val="none"/>
          <w:lang w:eastAsia="zh-CN"/>
        </w:rPr>
        <w:t xml:space="preserve"> </w:t>
      </w:r>
      <w:r>
        <w:rPr>
          <w:rFonts w:hint="eastAsia" w:ascii="仿宋" w:hAnsi="仿宋" w:eastAsia="仿宋" w:cs="仿宋"/>
          <w:b/>
          <w:bCs/>
          <w:spacing w:val="-7"/>
          <w:sz w:val="21"/>
          <w:szCs w:val="21"/>
          <w:highlight w:val="none"/>
          <w:lang w:eastAsia="zh-CN"/>
        </w:rPr>
        <w:t>项目概况</w:t>
      </w:r>
    </w:p>
    <w:p w14:paraId="7432430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9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val="en-US" w:eastAsia="zh-CN"/>
        </w:rPr>
        <w:t>在功能重新布局的基础上，拟对实验楼一至五层实施室内外全专业装修，包含建筑,结构,给排水,暖通,电气、弱电智能化、净化、消防等专业，屋面防水、整体外立面改造及加固改造。（包含专项实验室基础装修，不包含PCR实验室和动物房），具体要求详见图纸、清单</w:t>
      </w:r>
      <w:r>
        <w:rPr>
          <w:rFonts w:hint="eastAsia" w:ascii="仿宋" w:hAnsi="仿宋" w:eastAsia="仿宋" w:cs="仿宋"/>
          <w:spacing w:val="-7"/>
          <w:sz w:val="21"/>
          <w:szCs w:val="21"/>
          <w:highlight w:val="none"/>
          <w:lang w:eastAsia="zh-CN"/>
        </w:rPr>
        <w:t>。</w:t>
      </w:r>
    </w:p>
    <w:p w14:paraId="47431D58">
      <w:pPr>
        <w:spacing w:line="348" w:lineRule="auto"/>
        <w:ind w:firstLine="392" w:firstLineChars="200"/>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lang w:eastAsia="zh-CN"/>
        </w:rPr>
        <w:t>采购包预算金额（元）：</w:t>
      </w:r>
      <w:r>
        <w:rPr>
          <w:rFonts w:hint="eastAsia" w:ascii="仿宋" w:hAnsi="仿宋" w:eastAsia="仿宋" w:cs="仿宋"/>
          <w:sz w:val="21"/>
          <w:szCs w:val="21"/>
          <w:highlight w:val="none"/>
          <w:lang w:val="en-US" w:eastAsia="zh-CN"/>
        </w:rPr>
        <w:t>7498</w:t>
      </w:r>
      <w:r>
        <w:rPr>
          <w:rFonts w:hint="eastAsia" w:ascii="仿宋" w:hAnsi="仿宋" w:eastAsia="仿宋" w:cs="仿宋"/>
          <w:sz w:val="21"/>
          <w:szCs w:val="21"/>
          <w:highlight w:val="none"/>
          <w:lang w:eastAsia="zh-CN"/>
        </w:rPr>
        <w:t>000.00</w:t>
      </w:r>
      <w:r>
        <w:rPr>
          <w:rFonts w:hint="eastAsia" w:ascii="仿宋" w:hAnsi="仿宋" w:eastAsia="仿宋" w:cs="仿宋"/>
          <w:spacing w:val="-7"/>
          <w:sz w:val="21"/>
          <w:szCs w:val="21"/>
          <w:highlight w:val="none"/>
          <w:lang w:eastAsia="zh-CN"/>
        </w:rPr>
        <w:t xml:space="preserve">元 </w:t>
      </w:r>
    </w:p>
    <w:p w14:paraId="74C987B7">
      <w:pPr>
        <w:spacing w:line="348" w:lineRule="auto"/>
        <w:ind w:firstLine="392" w:firstLineChars="200"/>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lang w:eastAsia="zh-CN"/>
        </w:rPr>
        <w:t>采购包最高限价（元）：</w:t>
      </w:r>
      <w:r>
        <w:rPr>
          <w:rFonts w:hint="eastAsia" w:ascii="仿宋" w:hAnsi="仿宋" w:eastAsia="仿宋" w:cs="仿宋"/>
          <w:spacing w:val="-7"/>
          <w:sz w:val="21"/>
          <w:szCs w:val="21"/>
          <w:highlight w:val="none"/>
          <w:lang w:val="en-US" w:eastAsia="zh-CN"/>
        </w:rPr>
        <w:t>7495571.13</w:t>
      </w:r>
      <w:r>
        <w:rPr>
          <w:rFonts w:hint="eastAsia" w:ascii="仿宋" w:hAnsi="仿宋" w:eastAsia="仿宋" w:cs="仿宋"/>
          <w:spacing w:val="-7"/>
          <w:sz w:val="21"/>
          <w:szCs w:val="21"/>
          <w:highlight w:val="none"/>
          <w:lang w:eastAsia="zh-CN"/>
        </w:rPr>
        <w:t xml:space="preserve">元 </w:t>
      </w:r>
    </w:p>
    <w:p w14:paraId="72687402">
      <w:pPr>
        <w:spacing w:line="348" w:lineRule="auto"/>
        <w:ind w:firstLine="392" w:firstLineChars="200"/>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lang w:eastAsia="zh-CN"/>
        </w:rPr>
        <w:t>投标人报价不允许超过标的金额</w:t>
      </w:r>
    </w:p>
    <w:tbl>
      <w:tblPr>
        <w:tblStyle w:val="19"/>
        <w:tblW w:w="92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3419"/>
        <w:gridCol w:w="1144"/>
        <w:gridCol w:w="1566"/>
        <w:gridCol w:w="1209"/>
        <w:gridCol w:w="1275"/>
      </w:tblGrid>
      <w:tr w14:paraId="3880A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678" w:type="dxa"/>
            <w:vAlign w:val="center"/>
          </w:tcPr>
          <w:p w14:paraId="2C376CBC">
            <w:pPr>
              <w:pStyle w:val="18"/>
              <w:spacing w:before="154" w:line="222" w:lineRule="auto"/>
              <w:ind w:left="131"/>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序号</w:t>
            </w:r>
          </w:p>
        </w:tc>
        <w:tc>
          <w:tcPr>
            <w:tcW w:w="3419" w:type="dxa"/>
            <w:vAlign w:val="center"/>
          </w:tcPr>
          <w:p w14:paraId="65533373">
            <w:pPr>
              <w:pStyle w:val="18"/>
              <w:spacing w:before="154" w:line="221" w:lineRule="auto"/>
              <w:ind w:left="1142"/>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标的名称</w:t>
            </w:r>
          </w:p>
        </w:tc>
        <w:tc>
          <w:tcPr>
            <w:tcW w:w="1144" w:type="dxa"/>
            <w:vAlign w:val="center"/>
          </w:tcPr>
          <w:p w14:paraId="43E9A3BC">
            <w:pPr>
              <w:pStyle w:val="18"/>
              <w:spacing w:before="153" w:line="221" w:lineRule="auto"/>
              <w:ind w:left="221"/>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数量</w:t>
            </w:r>
          </w:p>
        </w:tc>
        <w:tc>
          <w:tcPr>
            <w:tcW w:w="1566" w:type="dxa"/>
            <w:vAlign w:val="center"/>
          </w:tcPr>
          <w:p w14:paraId="753B3EC8">
            <w:pPr>
              <w:pStyle w:val="18"/>
              <w:spacing w:before="153" w:line="221" w:lineRule="auto"/>
              <w:ind w:left="120"/>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标底金额（元）</w:t>
            </w:r>
          </w:p>
        </w:tc>
        <w:tc>
          <w:tcPr>
            <w:tcW w:w="1209" w:type="dxa"/>
            <w:vAlign w:val="center"/>
          </w:tcPr>
          <w:p w14:paraId="7CE4768A">
            <w:pPr>
              <w:pStyle w:val="18"/>
              <w:spacing w:before="154" w:line="221" w:lineRule="auto"/>
              <w:ind w:left="281"/>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计量单位</w:t>
            </w:r>
          </w:p>
        </w:tc>
        <w:tc>
          <w:tcPr>
            <w:tcW w:w="1275" w:type="dxa"/>
            <w:vAlign w:val="center"/>
          </w:tcPr>
          <w:p w14:paraId="63A47DF2">
            <w:pPr>
              <w:pStyle w:val="18"/>
              <w:spacing w:before="154" w:line="221" w:lineRule="auto"/>
              <w:ind w:left="360"/>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所属行业</w:t>
            </w:r>
          </w:p>
        </w:tc>
      </w:tr>
      <w:tr w14:paraId="167F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jc w:val="center"/>
        </w:trPr>
        <w:tc>
          <w:tcPr>
            <w:tcW w:w="678" w:type="dxa"/>
            <w:vAlign w:val="center"/>
          </w:tcPr>
          <w:p w14:paraId="3AFFAF43">
            <w:pPr>
              <w:pStyle w:val="18"/>
              <w:spacing w:before="308" w:line="183" w:lineRule="auto"/>
              <w:ind w:left="306"/>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3419" w:type="dxa"/>
            <w:vAlign w:val="center"/>
          </w:tcPr>
          <w:p w14:paraId="7DF36C3C">
            <w:pPr>
              <w:pStyle w:val="18"/>
              <w:spacing w:before="117" w:line="259" w:lineRule="auto"/>
              <w:ind w:left="112" w:right="103" w:firstLine="3"/>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实验楼加固改造装修项目一标段</w:t>
            </w:r>
          </w:p>
        </w:tc>
        <w:tc>
          <w:tcPr>
            <w:tcW w:w="1144" w:type="dxa"/>
            <w:vAlign w:val="center"/>
          </w:tcPr>
          <w:p w14:paraId="7E8C4443">
            <w:pPr>
              <w:pStyle w:val="18"/>
              <w:spacing w:before="117" w:line="259" w:lineRule="auto"/>
              <w:ind w:left="112" w:right="103" w:firstLine="3"/>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w:t>
            </w:r>
          </w:p>
        </w:tc>
        <w:tc>
          <w:tcPr>
            <w:tcW w:w="1566" w:type="dxa"/>
            <w:vAlign w:val="center"/>
          </w:tcPr>
          <w:p w14:paraId="6623B1F4">
            <w:pPr>
              <w:pStyle w:val="18"/>
              <w:spacing w:before="117" w:line="259" w:lineRule="auto"/>
              <w:ind w:left="112" w:right="103" w:firstLine="3"/>
              <w:jc w:val="center"/>
              <w:rPr>
                <w:rFonts w:hint="eastAsia" w:ascii="仿宋" w:hAnsi="仿宋" w:eastAsia="仿宋" w:cs="仿宋"/>
                <w:sz w:val="21"/>
                <w:szCs w:val="21"/>
                <w:highlight w:val="none"/>
              </w:rPr>
            </w:pPr>
            <w:r>
              <w:rPr>
                <w:rFonts w:hint="eastAsia" w:ascii="仿宋" w:hAnsi="仿宋" w:eastAsia="仿宋" w:cs="仿宋"/>
                <w:spacing w:val="-7"/>
                <w:sz w:val="21"/>
                <w:szCs w:val="21"/>
                <w:highlight w:val="none"/>
                <w:lang w:val="en-US" w:eastAsia="zh-CN"/>
              </w:rPr>
              <w:t>7495571.13</w:t>
            </w:r>
          </w:p>
        </w:tc>
        <w:tc>
          <w:tcPr>
            <w:tcW w:w="1209" w:type="dxa"/>
            <w:vAlign w:val="center"/>
          </w:tcPr>
          <w:p w14:paraId="026EC1F9">
            <w:pPr>
              <w:pStyle w:val="18"/>
              <w:spacing w:before="274" w:line="221" w:lineRule="auto"/>
              <w:ind w:left="601"/>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w:t>
            </w:r>
          </w:p>
        </w:tc>
        <w:tc>
          <w:tcPr>
            <w:tcW w:w="1275" w:type="dxa"/>
            <w:vAlign w:val="center"/>
          </w:tcPr>
          <w:p w14:paraId="6E14293F">
            <w:pPr>
              <w:pStyle w:val="18"/>
              <w:spacing w:before="274" w:line="221" w:lineRule="auto"/>
              <w:ind w:left="469"/>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建筑业</w:t>
            </w:r>
          </w:p>
        </w:tc>
      </w:tr>
    </w:tbl>
    <w:p w14:paraId="2DCBDC65">
      <w:pPr>
        <w:bidi w:val="0"/>
        <w:rPr>
          <w:rFonts w:hint="eastAsia" w:ascii="仿宋" w:hAnsi="仿宋" w:eastAsia="仿宋" w:cs="仿宋"/>
          <w:highlight w:val="none"/>
          <w:lang w:eastAsia="zh-CN"/>
        </w:rPr>
      </w:pPr>
      <w:r>
        <w:rPr>
          <w:rFonts w:hint="eastAsia" w:ascii="仿宋" w:hAnsi="仿宋" w:eastAsia="仿宋" w:cs="仿宋"/>
          <w:highlight w:val="none"/>
          <w:lang w:eastAsia="zh-CN"/>
        </w:rPr>
        <w:t>一、技术、服务标准和要求： 采购包 1：</w:t>
      </w:r>
    </w:p>
    <w:p w14:paraId="00D2D714">
      <w:pPr>
        <w:bidi w:val="0"/>
        <w:rPr>
          <w:rFonts w:hint="eastAsia" w:ascii="仿宋" w:hAnsi="仿宋" w:eastAsia="仿宋" w:cs="仿宋"/>
          <w:highlight w:val="none"/>
          <w:lang w:eastAsia="zh-CN"/>
        </w:rPr>
      </w:pPr>
      <w:r>
        <w:rPr>
          <w:rFonts w:hint="eastAsia" w:ascii="仿宋" w:hAnsi="仿宋" w:eastAsia="仿宋" w:cs="仿宋"/>
          <w:highlight w:val="none"/>
          <w:lang w:eastAsia="zh-CN"/>
        </w:rPr>
        <w:t>标的名称：</w:t>
      </w:r>
      <w:r>
        <w:rPr>
          <w:rFonts w:hint="eastAsia" w:ascii="仿宋" w:hAnsi="仿宋" w:eastAsia="仿宋" w:cs="仿宋"/>
          <w:sz w:val="21"/>
          <w:szCs w:val="21"/>
          <w:highlight w:val="none"/>
          <w:lang w:val="en-US" w:eastAsia="zh-CN"/>
        </w:rPr>
        <w:t>实验楼加固改造装修项目一标段</w:t>
      </w:r>
    </w:p>
    <w:p w14:paraId="3391B936">
      <w:pPr>
        <w:spacing w:line="70" w:lineRule="exact"/>
        <w:rPr>
          <w:rFonts w:hint="eastAsia" w:ascii="仿宋" w:hAnsi="仿宋" w:eastAsia="仿宋" w:cs="仿宋"/>
          <w:sz w:val="21"/>
          <w:szCs w:val="21"/>
          <w:highlight w:val="none"/>
          <w:lang w:eastAsia="zh-CN"/>
        </w:rPr>
      </w:pPr>
    </w:p>
    <w:tbl>
      <w:tblPr>
        <w:tblStyle w:val="19"/>
        <w:tblW w:w="92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990"/>
        <w:gridCol w:w="7195"/>
      </w:tblGrid>
      <w:tr w14:paraId="51FB0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1106" w:type="dxa"/>
          </w:tcPr>
          <w:p w14:paraId="787B2721">
            <w:pPr>
              <w:pStyle w:val="18"/>
              <w:spacing w:before="159" w:line="221" w:lineRule="auto"/>
              <w:ind w:left="348"/>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性质</w:t>
            </w:r>
          </w:p>
        </w:tc>
        <w:tc>
          <w:tcPr>
            <w:tcW w:w="990" w:type="dxa"/>
          </w:tcPr>
          <w:p w14:paraId="27991284">
            <w:pPr>
              <w:pStyle w:val="18"/>
              <w:spacing w:before="159" w:line="222" w:lineRule="auto"/>
              <w:ind w:left="285"/>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序号</w:t>
            </w:r>
          </w:p>
        </w:tc>
        <w:tc>
          <w:tcPr>
            <w:tcW w:w="7195" w:type="dxa"/>
          </w:tcPr>
          <w:p w14:paraId="36681504">
            <w:pPr>
              <w:pStyle w:val="18"/>
              <w:spacing w:before="158" w:line="221" w:lineRule="auto"/>
              <w:ind w:left="2547"/>
              <w:rPr>
                <w:rFonts w:hint="eastAsia" w:ascii="仿宋" w:hAnsi="仿宋" w:eastAsia="仿宋" w:cs="仿宋"/>
                <w:sz w:val="21"/>
                <w:szCs w:val="21"/>
                <w:highlight w:val="none"/>
                <w:lang w:eastAsia="zh-CN"/>
              </w:rPr>
            </w:pPr>
            <w:r>
              <w:rPr>
                <w:rFonts w:hint="eastAsia" w:ascii="仿宋" w:hAnsi="仿宋" w:eastAsia="仿宋" w:cs="仿宋"/>
                <w:b/>
                <w:bCs/>
                <w:spacing w:val="-2"/>
                <w:sz w:val="21"/>
                <w:szCs w:val="21"/>
                <w:highlight w:val="none"/>
                <w:lang w:eastAsia="zh-CN"/>
              </w:rPr>
              <w:t>技术、服务标准和要求</w:t>
            </w:r>
          </w:p>
        </w:tc>
      </w:tr>
      <w:tr w14:paraId="7AA4E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06" w:type="dxa"/>
          </w:tcPr>
          <w:p w14:paraId="25CB0F80">
            <w:pPr>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w:t>
            </w:r>
          </w:p>
        </w:tc>
        <w:tc>
          <w:tcPr>
            <w:tcW w:w="990" w:type="dxa"/>
          </w:tcPr>
          <w:p w14:paraId="7A1E70EC">
            <w:pPr>
              <w:bidi w:val="0"/>
              <w:jc w:val="center"/>
              <w:rPr>
                <w:rFonts w:hint="eastAsia" w:ascii="仿宋" w:hAnsi="仿宋" w:eastAsia="仿宋" w:cs="仿宋"/>
                <w:highlight w:val="none"/>
                <w:lang w:val="en-US" w:eastAsia="zh-CN"/>
              </w:rPr>
            </w:pPr>
          </w:p>
          <w:p w14:paraId="7CDEFC40">
            <w:pPr>
              <w:bidi w:val="0"/>
              <w:jc w:val="center"/>
              <w:rPr>
                <w:rFonts w:hint="eastAsia" w:ascii="仿宋" w:hAnsi="仿宋" w:eastAsia="仿宋" w:cs="仿宋"/>
                <w:highlight w:val="none"/>
                <w:lang w:val="en-US" w:eastAsia="zh-CN"/>
              </w:rPr>
            </w:pPr>
          </w:p>
          <w:p w14:paraId="11802075">
            <w:pPr>
              <w:bidi w:val="0"/>
              <w:jc w:val="center"/>
              <w:rPr>
                <w:rFonts w:hint="eastAsia" w:ascii="仿宋" w:hAnsi="仿宋" w:eastAsia="仿宋" w:cs="仿宋"/>
                <w:highlight w:val="none"/>
                <w:lang w:val="en-US" w:eastAsia="zh-CN"/>
              </w:rPr>
            </w:pPr>
          </w:p>
          <w:p w14:paraId="7B69F00F">
            <w:pPr>
              <w:bidi w:val="0"/>
              <w:jc w:val="center"/>
              <w:rPr>
                <w:rFonts w:hint="eastAsia" w:ascii="仿宋" w:hAnsi="仿宋" w:eastAsia="仿宋" w:cs="仿宋"/>
                <w:highlight w:val="none"/>
                <w:lang w:val="en-US" w:eastAsia="zh-CN"/>
              </w:rPr>
            </w:pPr>
          </w:p>
          <w:p w14:paraId="2A2B5B33">
            <w:pPr>
              <w:bidi w:val="0"/>
              <w:jc w:val="center"/>
              <w:rPr>
                <w:rFonts w:hint="eastAsia" w:ascii="仿宋" w:hAnsi="仿宋" w:eastAsia="仿宋" w:cs="仿宋"/>
                <w:highlight w:val="none"/>
                <w:lang w:val="en-US" w:eastAsia="zh-CN"/>
              </w:rPr>
            </w:pPr>
          </w:p>
          <w:p w14:paraId="5C566ECB">
            <w:pPr>
              <w:bidi w:val="0"/>
              <w:jc w:val="center"/>
              <w:rPr>
                <w:rFonts w:hint="eastAsia" w:ascii="仿宋" w:hAnsi="仿宋" w:eastAsia="仿宋" w:cs="仿宋"/>
                <w:highlight w:val="none"/>
                <w:lang w:val="en-US" w:eastAsia="zh-CN"/>
              </w:rPr>
            </w:pPr>
          </w:p>
          <w:p w14:paraId="7AE55595">
            <w:pPr>
              <w:bidi w:val="0"/>
              <w:jc w:val="center"/>
              <w:rPr>
                <w:rFonts w:hint="eastAsia" w:ascii="仿宋" w:hAnsi="仿宋" w:eastAsia="仿宋" w:cs="仿宋"/>
                <w:highlight w:val="none"/>
                <w:lang w:val="en-US" w:eastAsia="zh-CN"/>
              </w:rPr>
            </w:pPr>
          </w:p>
          <w:p w14:paraId="4B112E4A">
            <w:pPr>
              <w:bidi w:val="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7195" w:type="dxa"/>
          </w:tcPr>
          <w:p w14:paraId="7A0F3203">
            <w:pPr>
              <w:numPr>
                <w:ilvl w:val="0"/>
                <w:numId w:val="0"/>
              </w:numPr>
              <w:bidi w:val="0"/>
              <w:jc w:val="lef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一、项目概况</w:t>
            </w:r>
          </w:p>
          <w:p w14:paraId="08677DB1">
            <w:pPr>
              <w:numPr>
                <w:ilvl w:val="0"/>
                <w:numId w:val="0"/>
              </w:numPr>
              <w:bidi w:val="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建筑规模：建筑面积2123.69㎡，结构类型：框架结构</w:t>
            </w:r>
          </w:p>
          <w:p w14:paraId="5D50ED01">
            <w:pPr>
              <w:numPr>
                <w:ilvl w:val="0"/>
                <w:numId w:val="0"/>
              </w:numPr>
              <w:bidi w:val="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内容：在功能重新布局的基础上，拟对实验楼一至五层实施室内外全专业装修，包含建筑,结构,给排水,暖通,电气、弱电智能化、净化、消防等专业，屋面防水、整体外立面改造及加固改造。（包含专项实验室基础装修，不包含PCR实验室和动物房），具体要求详见图纸、工程量清单。</w:t>
            </w:r>
          </w:p>
          <w:p w14:paraId="6197BDDB">
            <w:pPr>
              <w:numPr>
                <w:ilvl w:val="0"/>
                <w:numId w:val="0"/>
              </w:numPr>
              <w:bidi w:val="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采购限价：7495571.13元</w:t>
            </w:r>
          </w:p>
          <w:p w14:paraId="44B8C9BA">
            <w:pPr>
              <w:numPr>
                <w:ilvl w:val="0"/>
                <w:numId w:val="0"/>
              </w:numPr>
              <w:bidi w:val="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施工地点：陕西省人民医院主院区实验楼</w:t>
            </w:r>
          </w:p>
          <w:p w14:paraId="7B2DD66A">
            <w:pPr>
              <w:numPr>
                <w:ilvl w:val="0"/>
                <w:numId w:val="0"/>
              </w:numPr>
              <w:bidi w:val="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现场条件：现场为医院内部路，已基本完成楼宇内部家具拆除，以现场踏勘情况为准。</w:t>
            </w:r>
          </w:p>
          <w:p w14:paraId="2A1CAE5D">
            <w:pPr>
              <w:numPr>
                <w:ilvl w:val="0"/>
                <w:numId w:val="0"/>
              </w:numPr>
              <w:bidi w:val="0"/>
              <w:jc w:val="left"/>
              <w:rPr>
                <w:rFonts w:hint="default" w:ascii="仿宋" w:hAnsi="仿宋" w:eastAsia="仿宋" w:cs="仿宋"/>
                <w:highlight w:val="none"/>
                <w:lang w:val="en-US" w:eastAsia="zh-CN"/>
              </w:rPr>
            </w:pPr>
            <w:r>
              <w:rPr>
                <w:rFonts w:hint="eastAsia" w:ascii="仿宋" w:hAnsi="仿宋" w:eastAsia="仿宋" w:cs="仿宋"/>
                <w:b/>
                <w:bCs/>
                <w:highlight w:val="none"/>
                <w:lang w:val="en-US" w:eastAsia="zh-CN"/>
              </w:rPr>
              <w:t>二、工期要求：</w:t>
            </w:r>
            <w:r>
              <w:rPr>
                <w:rFonts w:hint="eastAsia" w:ascii="仿宋" w:hAnsi="仿宋" w:eastAsia="仿宋" w:cs="仿宋"/>
                <w:highlight w:val="none"/>
                <w:lang w:val="en-US" w:eastAsia="zh-CN"/>
              </w:rPr>
              <w:t>合同签订后120天内</w:t>
            </w:r>
          </w:p>
          <w:p w14:paraId="751B5193">
            <w:pPr>
              <w:numPr>
                <w:ilvl w:val="0"/>
                <w:numId w:val="0"/>
              </w:numPr>
              <w:bidi w:val="0"/>
              <w:jc w:val="lef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三、质保期及质保保修要求</w:t>
            </w:r>
          </w:p>
          <w:p w14:paraId="71563555">
            <w:pPr>
              <w:numPr>
                <w:ilvl w:val="0"/>
                <w:numId w:val="0"/>
              </w:numPr>
              <w:bidi w:val="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（1）质保期2年；</w:t>
            </w:r>
          </w:p>
          <w:p w14:paraId="48ED31E3">
            <w:pPr>
              <w:numPr>
                <w:ilvl w:val="0"/>
                <w:numId w:val="0"/>
              </w:numPr>
              <w:bidi w:val="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（2）质保期保修要求</w:t>
            </w:r>
          </w:p>
          <w:p w14:paraId="4E952BF7">
            <w:pPr>
              <w:numPr>
                <w:ilvl w:val="0"/>
                <w:numId w:val="0"/>
              </w:numPr>
              <w:bidi w:val="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整体工程质保期2年，屋面防水工程5年，承包人必须严格按照审定的施工图和相关法律法规规定执行 。对于涉及结构安全的质量问题，应当按照《建设工程质量管理条例》的规定，立即向当地建设行政主管部门和有关部门报告，采取安全防范措施，并由承包人提出保修方案，如需设计的，需由原设计单位或具有相应资质等级的设计人提出保修方案，承包人实施保修。</w:t>
            </w:r>
          </w:p>
          <w:p w14:paraId="6BC1EFD2">
            <w:pPr>
              <w:pStyle w:val="2"/>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四、报价要求</w:t>
            </w:r>
          </w:p>
          <w:p w14:paraId="5416231C">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1.本工程合同形式为固定综合单价合同；</w:t>
            </w:r>
          </w:p>
          <w:p w14:paraId="00B15B5E">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2.本工程计价采用固定综合单价，各投标人依据企业自身情况自主报价、风险自负。所有投标报价中的单价和合价均以人民币表示。</w:t>
            </w:r>
          </w:p>
          <w:p w14:paraId="1F08696D">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3.投标人在投标报价时应仔细对招标文件进行透彻的分析研究，对图纸进行仔细的阅读和理解。</w:t>
            </w:r>
          </w:p>
          <w:p w14:paraId="6897AE53">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4.各投标人对分部分项工程费、措施项目费、其他项目费等进行自主报价、风险自负。</w:t>
            </w:r>
          </w:p>
          <w:p w14:paraId="603533F8">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5.招标工程量清单的工程项目仅表达了主要工程做法，报价时各投标单位应依据图纸用料说明、相关图集，结合图纸、招标文件、合同条款、技术规范及现场情况进行科学合理组价。投标报价应包括该工程项目的人工费、材料费、机械费、措施费、管理费、利润、风险费及规费、税金等政策性文件规定的所有费用，所投标的综合单价采购人视为是相应清单项在招标范围内的全部内容价格。</w:t>
            </w:r>
          </w:p>
          <w:p w14:paraId="69030AB1">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6.投标人在投标截止前修改投标函中的投标总报价，应同时修改“已标价工程量清单”中的相应报价。</w:t>
            </w:r>
          </w:p>
          <w:p w14:paraId="3428C2E4">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7.本工程发包方式为包工包料。采用工程量清单计价模式下的固定综合单价合同；按《建设工程工程量清单计价标准（2024）》及《陕西省建设工程费用规则(2025)》计价；执行2025年新版专业配套基价表、《陕西省房屋建筑与装饰工程消耗量定额》等6个专业消耗量定额、施工机械台班费用定额、仪器仪表台班费用定额。</w:t>
            </w:r>
          </w:p>
          <w:p w14:paraId="6A4E1010">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8.承包人需严格按照《陕西省工程建设领域农民工工资专用账户管理暂行办法实施细则》(陕人社发(2022)5号)及《陕西省工程建设领域农民工工资保证金规定实施办法》(陕人社发(2022)6号)文件之规定执行，承包人应开立农民工工资专用账户并与发包人、开户银行签订资金管理三方协议，否则按承包人违约执行。</w:t>
            </w:r>
          </w:p>
          <w:p w14:paraId="2E69AB7E">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9.本项目的所增减的费用(包括设计变更、现场签证、政策性调整费用及材料差价),在竣工时结算。变更签证三方现场实测实量，上报发包人认定后方可进入结算。</w:t>
            </w:r>
          </w:p>
          <w:p w14:paraId="325976C9">
            <w:pPr>
              <w:pStyle w:val="2"/>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五、技术标准和要求</w:t>
            </w:r>
          </w:p>
          <w:p w14:paraId="0FCD0537">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1.本工程的施工过程和成果必须符合国家有关工程建设标准强制性条文和国家或有关部门关于工程施工方面现行的标准、规范、规程、定额、办法、示例，以及陕西省关于工程施工方面的文件、规定。</w:t>
            </w:r>
          </w:p>
          <w:p w14:paraId="710F5E18">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2.承包人在施工过程中使用或参考上述标准、规范以外的技术标准、规范时，应征得采购人的同意。</w:t>
            </w:r>
          </w:p>
          <w:p w14:paraId="6D00577A">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3.在施工过程中，如果国家或有关部门颁布了新的技术标准或规范，则承包人应采用新的标准或规范进行施工。</w:t>
            </w:r>
          </w:p>
          <w:p w14:paraId="03F20A61">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4.采购人提供工程的施工图纸和相关技术文件，是采购人现有的能被投标人利用的资料，采购人对投标人做出的任何推论、理解均不负责任。</w:t>
            </w:r>
          </w:p>
          <w:p w14:paraId="3AD1E82F">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5.投标人应先到工地踏勘以充分了解工地位置、地质情况、进出场道路、拆迁干扰、储存空间、运输能力、装卸限制、行车干扰及任何其它足以影响承包价格的情况，了解设计图纸、施工规范、标准以及施工现场实际等情况，并应考虑现有人、材、机市场水平和供应、投标风险、不利的施工因素等，任何因忽视或误解工地情况而导致的索赔或工期延长申请将不获批准。</w:t>
            </w:r>
          </w:p>
          <w:p w14:paraId="22EF8226">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6.投标人所提供的组件或附件如需向第三方外购时， 投标人应对质量负责，并提供相应的出厂和验收证明及相关技术文件。同时，还应满足本招标文件、工程量清单、施工图纸中的相关技术要求。</w:t>
            </w:r>
          </w:p>
          <w:p w14:paraId="7D774856">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7.质量必须达到现行合格标准，符合国家、行业、地方规定以及招标文件规定的强制性质量和安全标准要求。</w:t>
            </w:r>
          </w:p>
          <w:p w14:paraId="04937CA4">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8.投标人中标后，本投标书中拟派项目经理必须与施工时实际委派项目经理一致，采购人将在签署施工合同前查验项目经理相关资质、身份材料以及中标人为项目经理最近半年缴纳社保的缴费凭据。项目经理必须履职尽责，全程参与施工、例会、解决施工中的问题，严禁挂名挂证。</w:t>
            </w:r>
          </w:p>
          <w:p w14:paraId="2F7CE179">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9. 投标人在招标过程中需要标明所有成品设备和产品的名称、规格型号、生产厂家、单价等有效信息。</w:t>
            </w:r>
          </w:p>
          <w:p w14:paraId="754BD469">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10.施工过程中，投标人应制定详细可行的防污降噪处理措施，减少对周围环境的影响，每天施工结束后对施工现场进行清扫，保证不影响医院正常办公和病人正常就诊。</w:t>
            </w:r>
          </w:p>
          <w:p w14:paraId="02B4173D">
            <w:pPr>
              <w:pStyle w:val="2"/>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11.承包人需要将专业工程或劳务进行分包的，应分包给具有相应资质的专业或劳务企业，并与分包企业签订分包合同。</w:t>
            </w:r>
          </w:p>
          <w:p w14:paraId="0ACD19AB">
            <w:pPr>
              <w:pStyle w:val="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12.承包人不得将其承包的工程转包给他人，也不得将其承包的工程以分包的名义转包给他人。</w:t>
            </w:r>
          </w:p>
          <w:p w14:paraId="11E5B970">
            <w:pPr>
              <w:pStyle w:val="2"/>
              <w:rPr>
                <w:rFonts w:hint="eastAsia"/>
                <w:highlight w:val="none"/>
                <w:lang w:val="en-US" w:eastAsia="zh-CN"/>
              </w:rPr>
            </w:pPr>
            <w:r>
              <w:rPr>
                <w:rFonts w:hint="eastAsia" w:ascii="仿宋" w:hAnsi="仿宋" w:eastAsia="仿宋" w:cs="仿宋"/>
                <w:highlight w:val="none"/>
                <w:lang w:val="en-US" w:eastAsia="zh-CN"/>
              </w:rPr>
              <w:t>13.工程分包不能解除承包人任何责任与义务。承包人应在分包场地派驻相应管理人员，保证本合同的履行。分包单位的任何违约行为或疏忽导致工程损害或给发包人造成其他损失，承包人承担连带责任。</w:t>
            </w:r>
          </w:p>
        </w:tc>
      </w:tr>
    </w:tbl>
    <w:p w14:paraId="0818FC7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二、投标人针对本项目的施工，必须达到国家及行业现行技术规范标准，符合国家</w:t>
      </w:r>
      <w:r>
        <w:rPr>
          <w:rFonts w:hint="eastAsia" w:ascii="仿宋" w:hAnsi="仿宋" w:eastAsia="仿宋" w:cs="仿宋"/>
          <w:spacing w:val="-6"/>
          <w:sz w:val="21"/>
          <w:szCs w:val="21"/>
          <w:highlight w:val="none"/>
          <w:lang w:eastAsia="zh-CN"/>
        </w:rPr>
        <w:t>及行业验收合格标准：</w:t>
      </w:r>
    </w:p>
    <w:p w14:paraId="4199228A">
      <w:pPr>
        <w:spacing w:before="34" w:line="219" w:lineRule="auto"/>
        <w:ind w:left="601"/>
        <w:rPr>
          <w:rFonts w:hint="eastAsia" w:ascii="仿宋" w:hAnsi="仿宋" w:eastAsia="仿宋" w:cs="仿宋"/>
          <w:sz w:val="21"/>
          <w:szCs w:val="21"/>
          <w:highlight w:val="none"/>
          <w:lang w:eastAsia="zh-CN"/>
        </w:rPr>
      </w:pPr>
      <w:r>
        <w:rPr>
          <w:rFonts w:hint="eastAsia" w:ascii="仿宋" w:hAnsi="仿宋" w:eastAsia="仿宋" w:cs="仿宋"/>
          <w:spacing w:val="-8"/>
          <w:sz w:val="21"/>
          <w:szCs w:val="21"/>
          <w:highlight w:val="none"/>
          <w:lang w:eastAsia="zh-CN"/>
        </w:rPr>
        <w:t>采购包</w:t>
      </w:r>
      <w:r>
        <w:rPr>
          <w:rFonts w:hint="eastAsia" w:ascii="仿宋" w:hAnsi="仿宋" w:eastAsia="仿宋" w:cs="仿宋"/>
          <w:spacing w:val="-30"/>
          <w:sz w:val="21"/>
          <w:szCs w:val="21"/>
          <w:highlight w:val="none"/>
          <w:lang w:eastAsia="zh-CN"/>
        </w:rPr>
        <w:t xml:space="preserve"> </w:t>
      </w:r>
      <w:r>
        <w:rPr>
          <w:rFonts w:hint="eastAsia" w:ascii="仿宋" w:hAnsi="仿宋" w:eastAsia="仿宋" w:cs="仿宋"/>
          <w:spacing w:val="-8"/>
          <w:sz w:val="21"/>
          <w:szCs w:val="21"/>
          <w:highlight w:val="none"/>
          <w:lang w:eastAsia="zh-CN"/>
        </w:rPr>
        <w:t>1：</w:t>
      </w:r>
    </w:p>
    <w:p w14:paraId="2ACED769">
      <w:pPr>
        <w:spacing w:before="182" w:line="220" w:lineRule="auto"/>
        <w:ind w:left="604"/>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按国家及省市相关建设工程质量标准的规定，达到“合格”要求。</w:t>
      </w:r>
    </w:p>
    <w:p w14:paraId="5C2A915D">
      <w:pPr>
        <w:spacing w:before="182" w:line="219" w:lineRule="auto"/>
        <w:ind w:firstLine="404" w:firstLineChars="200"/>
        <w:rPr>
          <w:rFonts w:hint="default" w:ascii="仿宋" w:hAnsi="仿宋" w:eastAsia="仿宋" w:cs="仿宋"/>
          <w:sz w:val="21"/>
          <w:szCs w:val="21"/>
          <w:highlight w:val="none"/>
          <w:lang w:val="en-US" w:eastAsia="zh-CN"/>
        </w:rPr>
      </w:pPr>
      <w:r>
        <w:rPr>
          <w:rFonts w:hint="eastAsia" w:ascii="仿宋" w:hAnsi="仿宋" w:eastAsia="仿宋" w:cs="仿宋"/>
          <w:spacing w:val="-4"/>
          <w:sz w:val="21"/>
          <w:szCs w:val="21"/>
          <w:highlight w:val="none"/>
          <w:lang w:eastAsia="zh-CN"/>
        </w:rPr>
        <w:t>三、针对本项目的其他技术服务要求：</w:t>
      </w:r>
      <w:r>
        <w:rPr>
          <w:rFonts w:hint="eastAsia" w:ascii="仿宋" w:hAnsi="仿宋" w:eastAsia="仿宋" w:cs="仿宋"/>
          <w:spacing w:val="-4"/>
          <w:sz w:val="21"/>
          <w:szCs w:val="21"/>
          <w:highlight w:val="none"/>
          <w:lang w:val="en-US" w:eastAsia="zh-CN"/>
        </w:rPr>
        <w:t>无</w:t>
      </w:r>
    </w:p>
    <w:p w14:paraId="67F500DF">
      <w:pPr>
        <w:spacing w:before="181" w:line="219" w:lineRule="auto"/>
        <w:ind w:firstLine="404" w:firstLineChars="200"/>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四、工程量清单（详见附件）</w:t>
      </w:r>
    </w:p>
    <w:p w14:paraId="3D2F5AF5">
      <w:pPr>
        <w:spacing w:before="183" w:line="347" w:lineRule="auto"/>
        <w:ind w:left="124" w:right="112" w:firstLine="484"/>
        <w:rPr>
          <w:rFonts w:hint="eastAsia" w:ascii="仿宋" w:hAnsi="仿宋" w:eastAsia="仿宋" w:cs="仿宋"/>
          <w:sz w:val="21"/>
          <w:szCs w:val="21"/>
          <w:highlight w:val="none"/>
        </w:rPr>
      </w:pPr>
      <w:r>
        <w:rPr>
          <w:rFonts w:hint="eastAsia" w:ascii="仿宋" w:hAnsi="仿宋" w:eastAsia="仿宋" w:cs="仿宋"/>
          <w:spacing w:val="-4"/>
          <w:sz w:val="21"/>
          <w:szCs w:val="21"/>
          <w:highlight w:val="none"/>
          <w:lang w:eastAsia="zh-CN"/>
        </w:rPr>
        <w:t>（说明：工程量清单应当结合《政府采购需求管理办法》（财库〔2021〕22</w:t>
      </w:r>
      <w:r>
        <w:rPr>
          <w:rFonts w:hint="eastAsia" w:ascii="仿宋" w:hAnsi="仿宋" w:eastAsia="仿宋" w:cs="仿宋"/>
          <w:spacing w:val="-30"/>
          <w:sz w:val="21"/>
          <w:szCs w:val="21"/>
          <w:highlight w:val="none"/>
          <w:lang w:eastAsia="zh-CN"/>
        </w:rPr>
        <w:t xml:space="preserve"> </w:t>
      </w:r>
      <w:r>
        <w:rPr>
          <w:rFonts w:hint="eastAsia" w:ascii="仿宋" w:hAnsi="仿宋" w:eastAsia="仿宋" w:cs="仿宋"/>
          <w:spacing w:val="-4"/>
          <w:sz w:val="21"/>
          <w:szCs w:val="21"/>
          <w:highlight w:val="none"/>
          <w:lang w:eastAsia="zh-CN"/>
        </w:rPr>
        <w:t>号）第</w:t>
      </w:r>
      <w:r>
        <w:rPr>
          <w:rFonts w:hint="eastAsia" w:ascii="仿宋" w:hAnsi="仿宋" w:eastAsia="仿宋" w:cs="仿宋"/>
          <w:sz w:val="21"/>
          <w:szCs w:val="21"/>
          <w:highlight w:val="none"/>
          <w:lang w:eastAsia="zh-CN"/>
        </w:rPr>
        <w:t xml:space="preserve"> </w:t>
      </w:r>
      <w:r>
        <w:rPr>
          <w:rFonts w:hint="eastAsia" w:ascii="仿宋" w:hAnsi="仿宋" w:eastAsia="仿宋" w:cs="仿宋"/>
          <w:spacing w:val="-5"/>
          <w:sz w:val="21"/>
          <w:szCs w:val="21"/>
          <w:highlight w:val="none"/>
          <w:lang w:eastAsia="zh-CN"/>
        </w:rPr>
        <w:t>六条第二款规定，明确相关性能、材料、结构、外观、安全、标准等。</w:t>
      </w:r>
      <w:r>
        <w:rPr>
          <w:rFonts w:hint="eastAsia" w:ascii="仿宋" w:hAnsi="仿宋" w:eastAsia="仿宋" w:cs="仿宋"/>
          <w:spacing w:val="-5"/>
          <w:sz w:val="21"/>
          <w:szCs w:val="21"/>
          <w:highlight w:val="none"/>
        </w:rPr>
        <w:t>）</w:t>
      </w:r>
    </w:p>
    <w:p w14:paraId="5CC12AB7">
      <w:pPr>
        <w:spacing w:before="94" w:line="219" w:lineRule="auto"/>
        <w:ind w:left="690"/>
        <w:outlineLvl w:val="4"/>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3.2</w:t>
      </w:r>
      <w:r>
        <w:rPr>
          <w:rFonts w:hint="eastAsia" w:ascii="仿宋" w:hAnsi="仿宋" w:eastAsia="仿宋" w:cs="仿宋"/>
          <w:spacing w:val="-50"/>
          <w:sz w:val="21"/>
          <w:szCs w:val="21"/>
          <w:highlight w:val="none"/>
          <w:lang w:eastAsia="zh-CN"/>
        </w:rPr>
        <w:t xml:space="preserve"> </w:t>
      </w:r>
      <w:r>
        <w:rPr>
          <w:rFonts w:hint="eastAsia" w:ascii="仿宋" w:hAnsi="仿宋" w:eastAsia="仿宋" w:cs="仿宋"/>
          <w:b/>
          <w:bCs/>
          <w:spacing w:val="-4"/>
          <w:sz w:val="21"/>
          <w:szCs w:val="21"/>
          <w:highlight w:val="none"/>
          <w:lang w:eastAsia="zh-CN"/>
        </w:rPr>
        <w:t>商务要求（说明：由采购人依据项目具体需求制定）</w:t>
      </w:r>
    </w:p>
    <w:p w14:paraId="799093C8">
      <w:pPr>
        <w:spacing w:line="120" w:lineRule="exact"/>
        <w:rPr>
          <w:rFonts w:hint="eastAsia" w:ascii="仿宋" w:hAnsi="仿宋" w:eastAsia="仿宋" w:cs="仿宋"/>
          <w:sz w:val="21"/>
          <w:szCs w:val="21"/>
          <w:highlight w:val="none"/>
          <w:lang w:eastAsia="zh-CN"/>
        </w:rPr>
      </w:pPr>
    </w:p>
    <w:tbl>
      <w:tblPr>
        <w:tblStyle w:val="19"/>
        <w:tblW w:w="81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2035"/>
        <w:gridCol w:w="5264"/>
      </w:tblGrid>
      <w:tr w14:paraId="4DD3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843" w:type="dxa"/>
          </w:tcPr>
          <w:p w14:paraId="3A824FAD">
            <w:pPr>
              <w:pStyle w:val="18"/>
              <w:spacing w:before="154" w:line="222" w:lineRule="auto"/>
              <w:ind w:left="131"/>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序号</w:t>
            </w:r>
          </w:p>
        </w:tc>
        <w:tc>
          <w:tcPr>
            <w:tcW w:w="2035" w:type="dxa"/>
          </w:tcPr>
          <w:p w14:paraId="3437689B">
            <w:pPr>
              <w:pStyle w:val="18"/>
              <w:spacing w:before="154" w:line="221" w:lineRule="auto"/>
              <w:ind w:left="717"/>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项目</w:t>
            </w:r>
          </w:p>
        </w:tc>
        <w:tc>
          <w:tcPr>
            <w:tcW w:w="5264" w:type="dxa"/>
          </w:tcPr>
          <w:p w14:paraId="4CB4C418">
            <w:pPr>
              <w:pStyle w:val="18"/>
              <w:spacing w:before="154" w:line="222" w:lineRule="auto"/>
              <w:ind w:left="3179"/>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要求</w:t>
            </w:r>
          </w:p>
        </w:tc>
      </w:tr>
      <w:tr w14:paraId="3211C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843" w:type="dxa"/>
          </w:tcPr>
          <w:p w14:paraId="4E6CADCE">
            <w:pPr>
              <w:pStyle w:val="18"/>
              <w:spacing w:before="189" w:line="183" w:lineRule="auto"/>
              <w:ind w:left="306"/>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035" w:type="dxa"/>
          </w:tcPr>
          <w:p w14:paraId="3A54A741">
            <w:pPr>
              <w:pStyle w:val="18"/>
              <w:spacing w:before="155" w:line="221" w:lineRule="auto"/>
              <w:ind w:left="716"/>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工期</w:t>
            </w:r>
          </w:p>
        </w:tc>
        <w:tc>
          <w:tcPr>
            <w:tcW w:w="5264" w:type="dxa"/>
          </w:tcPr>
          <w:p w14:paraId="5CA14646">
            <w:pPr>
              <w:pStyle w:val="18"/>
              <w:spacing w:before="155" w:line="221" w:lineRule="auto"/>
              <w:ind w:left="114"/>
              <w:rPr>
                <w:rFonts w:hint="eastAsia" w:ascii="仿宋" w:hAnsi="仿宋" w:eastAsia="仿宋" w:cs="仿宋"/>
                <w:sz w:val="21"/>
                <w:szCs w:val="21"/>
                <w:highlight w:val="none"/>
              </w:rPr>
            </w:pPr>
            <w:r>
              <w:rPr>
                <w:rFonts w:hint="eastAsia" w:ascii="仿宋" w:hAnsi="仿宋" w:eastAsia="仿宋" w:cs="仿宋"/>
                <w:spacing w:val="-9"/>
                <w:sz w:val="21"/>
                <w:szCs w:val="21"/>
                <w:highlight w:val="none"/>
                <w:lang w:val="en-US" w:eastAsia="zh-CN"/>
              </w:rPr>
              <w:t>120</w:t>
            </w:r>
            <w:r>
              <w:rPr>
                <w:rFonts w:hint="eastAsia" w:ascii="仿宋" w:hAnsi="仿宋" w:eastAsia="仿宋" w:cs="仿宋"/>
                <w:spacing w:val="-9"/>
                <w:sz w:val="21"/>
                <w:szCs w:val="21"/>
                <w:highlight w:val="none"/>
              </w:rPr>
              <w:t>日历天。</w:t>
            </w:r>
          </w:p>
        </w:tc>
      </w:tr>
    </w:tbl>
    <w:p w14:paraId="6F147660">
      <w:pPr>
        <w:spacing w:before="171" w:line="221" w:lineRule="auto"/>
        <w:ind w:left="129"/>
        <w:outlineLvl w:val="4"/>
        <w:rPr>
          <w:rFonts w:hint="eastAsia" w:ascii="仿宋" w:hAnsi="仿宋" w:eastAsia="仿宋" w:cs="仿宋"/>
          <w:sz w:val="21"/>
          <w:szCs w:val="21"/>
          <w:highlight w:val="none"/>
        </w:rPr>
      </w:pPr>
      <w:r>
        <w:rPr>
          <w:rFonts w:hint="eastAsia" w:ascii="仿宋" w:hAnsi="仿宋" w:eastAsia="仿宋" w:cs="仿宋"/>
          <w:b/>
          <w:bCs/>
          <w:spacing w:val="-6"/>
          <w:sz w:val="21"/>
          <w:szCs w:val="21"/>
          <w:highlight w:val="none"/>
        </w:rPr>
        <w:t>3.3</w:t>
      </w:r>
      <w:r>
        <w:rPr>
          <w:rFonts w:hint="eastAsia" w:ascii="仿宋" w:hAnsi="仿宋" w:eastAsia="仿宋" w:cs="仿宋"/>
          <w:spacing w:val="-57"/>
          <w:sz w:val="21"/>
          <w:szCs w:val="21"/>
          <w:highlight w:val="none"/>
        </w:rPr>
        <w:t xml:space="preserve"> </w:t>
      </w:r>
      <w:r>
        <w:rPr>
          <w:rFonts w:hint="eastAsia" w:ascii="仿宋" w:hAnsi="仿宋" w:eastAsia="仿宋" w:cs="仿宋"/>
          <w:b/>
          <w:bCs/>
          <w:spacing w:val="-6"/>
          <w:sz w:val="21"/>
          <w:szCs w:val="21"/>
          <w:highlight w:val="none"/>
        </w:rPr>
        <w:t>其他要求</w:t>
      </w:r>
    </w:p>
    <w:p w14:paraId="7A4423F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textAlignment w:val="baseline"/>
        <w:rPr>
          <w:rFonts w:hint="default" w:ascii="宋体" w:hAnsi="宋体" w:eastAsia="宋体" w:cs="宋体"/>
          <w:spacing w:val="-2"/>
          <w:sz w:val="24"/>
          <w:szCs w:val="24"/>
          <w:highlight w:val="none"/>
          <w:lang w:val="en-US" w:eastAsia="zh-CN"/>
        </w:rPr>
      </w:pPr>
      <w:r>
        <w:rPr>
          <w:rFonts w:hint="eastAsia" w:ascii="仿宋" w:hAnsi="仿宋" w:eastAsia="仿宋" w:cs="仿宋"/>
          <w:spacing w:val="4"/>
          <w:sz w:val="21"/>
          <w:szCs w:val="21"/>
          <w:highlight w:val="none"/>
          <w:lang w:val="en-US" w:eastAsia="zh-CN"/>
        </w:rPr>
        <w:t>无</w:t>
      </w:r>
    </w:p>
    <w:p w14:paraId="4E4D863E">
      <w:pPr>
        <w:spacing w:before="138" w:line="224" w:lineRule="auto"/>
        <w:ind w:firstLine="2819" w:firstLineChars="900"/>
        <w:outlineLvl w:val="2"/>
        <w:rPr>
          <w:rFonts w:hint="eastAsia" w:ascii="宋体" w:hAnsi="宋体" w:eastAsia="宋体" w:cs="宋体"/>
          <w:sz w:val="31"/>
          <w:szCs w:val="31"/>
          <w:highlight w:val="none"/>
          <w:lang w:eastAsia="zh-CN"/>
        </w:rPr>
      </w:pPr>
      <w:r>
        <w:rPr>
          <w:rFonts w:ascii="宋体" w:hAnsi="宋体" w:eastAsia="宋体" w:cs="宋体"/>
          <w:b/>
          <w:bCs/>
          <w:spacing w:val="1"/>
          <w:sz w:val="31"/>
          <w:szCs w:val="31"/>
          <w:highlight w:val="none"/>
          <w:lang w:eastAsia="zh-CN"/>
        </w:rPr>
        <w:t>第四章</w:t>
      </w:r>
      <w:r>
        <w:rPr>
          <w:rFonts w:ascii="宋体" w:hAnsi="宋体" w:eastAsia="宋体" w:cs="宋体"/>
          <w:spacing w:val="22"/>
          <w:sz w:val="31"/>
          <w:szCs w:val="31"/>
          <w:highlight w:val="none"/>
          <w:lang w:eastAsia="zh-CN"/>
        </w:rPr>
        <w:t xml:space="preserve">  </w:t>
      </w:r>
      <w:r>
        <w:rPr>
          <w:rFonts w:ascii="宋体" w:hAnsi="宋体" w:eastAsia="宋体" w:cs="宋体"/>
          <w:b/>
          <w:bCs/>
          <w:spacing w:val="1"/>
          <w:sz w:val="31"/>
          <w:szCs w:val="31"/>
          <w:highlight w:val="none"/>
          <w:lang w:eastAsia="zh-CN"/>
        </w:rPr>
        <w:t>资格审查</w:t>
      </w:r>
    </w:p>
    <w:p w14:paraId="4C18C8F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jc w:val="both"/>
        <w:textAlignment w:val="baseline"/>
        <w:rPr>
          <w:rFonts w:hint="eastAsia" w:ascii="仿宋" w:hAnsi="仿宋" w:eastAsia="仿宋" w:cs="仿宋"/>
          <w:spacing w:val="4"/>
          <w:sz w:val="21"/>
          <w:szCs w:val="21"/>
          <w:highlight w:val="none"/>
          <w:lang w:eastAsia="zh-CN"/>
        </w:rPr>
      </w:pPr>
    </w:p>
    <w:p w14:paraId="0F23DDC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jc w:val="both"/>
        <w:textAlignment w:val="baseline"/>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资格审查由采购人或代理机构组建的资格审查小组依据法律法规和招标文件的规</w:t>
      </w:r>
      <w:r>
        <w:rPr>
          <w:rFonts w:hint="eastAsia" w:ascii="仿宋" w:hAnsi="仿宋" w:eastAsia="仿宋" w:cs="仿宋"/>
          <w:spacing w:val="-2"/>
          <w:sz w:val="21"/>
          <w:szCs w:val="21"/>
          <w:highlight w:val="none"/>
          <w:lang w:eastAsia="zh-CN"/>
        </w:rPr>
        <w:t>定，对投标文件中的资格证明等进行审查，以确定投标人是否具备投标资格，并出具资</w:t>
      </w:r>
      <w:r>
        <w:rPr>
          <w:rFonts w:hint="eastAsia" w:ascii="仿宋" w:hAnsi="仿宋" w:eastAsia="仿宋" w:cs="仿宋"/>
          <w:spacing w:val="-7"/>
          <w:sz w:val="21"/>
          <w:szCs w:val="21"/>
          <w:highlight w:val="none"/>
          <w:lang w:eastAsia="zh-CN"/>
        </w:rPr>
        <w:t>格审查报告。</w:t>
      </w:r>
    </w:p>
    <w:p w14:paraId="6DFEF7CC">
      <w:pPr>
        <w:spacing w:before="35" w:line="220" w:lineRule="auto"/>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资格审查标准及要求如下：</w:t>
      </w:r>
    </w:p>
    <w:p w14:paraId="69754046">
      <w:pPr>
        <w:spacing w:before="241" w:line="220" w:lineRule="auto"/>
        <w:ind w:left="122"/>
        <w:outlineLvl w:val="4"/>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4.1</w:t>
      </w:r>
      <w:r>
        <w:rPr>
          <w:rFonts w:hint="eastAsia" w:ascii="仿宋" w:hAnsi="仿宋" w:eastAsia="仿宋" w:cs="仿宋"/>
          <w:spacing w:val="-54"/>
          <w:sz w:val="21"/>
          <w:szCs w:val="21"/>
          <w:highlight w:val="none"/>
        </w:rPr>
        <w:t xml:space="preserve"> </w:t>
      </w:r>
      <w:r>
        <w:rPr>
          <w:rFonts w:hint="eastAsia" w:ascii="仿宋" w:hAnsi="仿宋" w:eastAsia="仿宋" w:cs="仿宋"/>
          <w:b/>
          <w:bCs/>
          <w:spacing w:val="-5"/>
          <w:sz w:val="21"/>
          <w:szCs w:val="21"/>
          <w:highlight w:val="none"/>
        </w:rPr>
        <w:t>一般资格审查</w:t>
      </w:r>
    </w:p>
    <w:p w14:paraId="522F9E50">
      <w:pPr>
        <w:spacing w:before="231" w:line="219" w:lineRule="auto"/>
        <w:ind w:left="601"/>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采购包</w:t>
      </w:r>
      <w:r>
        <w:rPr>
          <w:rFonts w:hint="eastAsia" w:ascii="仿宋" w:hAnsi="仿宋" w:eastAsia="仿宋" w:cs="仿宋"/>
          <w:spacing w:val="-30"/>
          <w:sz w:val="21"/>
          <w:szCs w:val="21"/>
          <w:highlight w:val="none"/>
        </w:rPr>
        <w:t xml:space="preserve"> </w:t>
      </w:r>
      <w:r>
        <w:rPr>
          <w:rFonts w:hint="eastAsia" w:ascii="仿宋" w:hAnsi="仿宋" w:eastAsia="仿宋" w:cs="仿宋"/>
          <w:spacing w:val="-8"/>
          <w:sz w:val="21"/>
          <w:szCs w:val="21"/>
          <w:highlight w:val="none"/>
        </w:rPr>
        <w:t>1：</w:t>
      </w:r>
    </w:p>
    <w:p w14:paraId="07D93796">
      <w:pPr>
        <w:spacing w:line="71" w:lineRule="exact"/>
        <w:rPr>
          <w:highlight w:val="none"/>
        </w:rPr>
      </w:pPr>
    </w:p>
    <w:tbl>
      <w:tblPr>
        <w:tblStyle w:val="14"/>
        <w:tblW w:w="9235" w:type="dxa"/>
        <w:tblInd w:w="-59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709"/>
        <w:gridCol w:w="4519"/>
        <w:gridCol w:w="1294"/>
      </w:tblGrid>
      <w:tr w14:paraId="4DCC8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27351D3A">
            <w:pPr>
              <w:pStyle w:val="21"/>
              <w:rPr>
                <w:highlight w:val="none"/>
              </w:rPr>
            </w:pPr>
            <w:r>
              <w:rPr>
                <w:rFonts w:ascii="仿宋_GB2312" w:hAnsi="仿宋_GB2312" w:eastAsia="仿宋_GB2312" w:cs="仿宋_GB2312"/>
                <w:highlight w:val="none"/>
              </w:rPr>
              <w:t>序号</w:t>
            </w:r>
          </w:p>
        </w:tc>
        <w:tc>
          <w:tcPr>
            <w:tcW w:w="2709" w:type="dxa"/>
          </w:tcPr>
          <w:p w14:paraId="0A403605">
            <w:pPr>
              <w:pStyle w:val="21"/>
              <w:rPr>
                <w:highlight w:val="none"/>
              </w:rPr>
            </w:pPr>
            <w:r>
              <w:rPr>
                <w:rFonts w:ascii="仿宋_GB2312" w:hAnsi="仿宋_GB2312" w:eastAsia="仿宋_GB2312" w:cs="仿宋_GB2312"/>
                <w:highlight w:val="none"/>
              </w:rPr>
              <w:t xml:space="preserve"> 资格审查要求概况</w:t>
            </w:r>
          </w:p>
        </w:tc>
        <w:tc>
          <w:tcPr>
            <w:tcW w:w="4519" w:type="dxa"/>
          </w:tcPr>
          <w:p w14:paraId="5BC0ECFC">
            <w:pPr>
              <w:pStyle w:val="21"/>
              <w:rPr>
                <w:highlight w:val="none"/>
              </w:rPr>
            </w:pPr>
            <w:r>
              <w:rPr>
                <w:rFonts w:ascii="仿宋_GB2312" w:hAnsi="仿宋_GB2312" w:eastAsia="仿宋_GB2312" w:cs="仿宋_GB2312"/>
                <w:highlight w:val="none"/>
              </w:rPr>
              <w:t xml:space="preserve"> 评审点具体描述</w:t>
            </w:r>
          </w:p>
        </w:tc>
        <w:tc>
          <w:tcPr>
            <w:tcW w:w="1294" w:type="dxa"/>
          </w:tcPr>
          <w:p w14:paraId="327C7A19">
            <w:pPr>
              <w:pStyle w:val="21"/>
              <w:rPr>
                <w:highlight w:val="none"/>
              </w:rPr>
            </w:pPr>
            <w:r>
              <w:rPr>
                <w:rFonts w:ascii="仿宋_GB2312" w:hAnsi="仿宋_GB2312" w:eastAsia="仿宋_GB2312" w:cs="仿宋_GB2312"/>
                <w:highlight w:val="none"/>
              </w:rPr>
              <w:t xml:space="preserve"> 关联格式</w:t>
            </w:r>
          </w:p>
        </w:tc>
      </w:tr>
      <w:tr w14:paraId="2EB1D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6B5344F4">
            <w:pPr>
              <w:pStyle w:val="21"/>
              <w:rPr>
                <w:highlight w:val="none"/>
              </w:rPr>
            </w:pPr>
            <w:r>
              <w:rPr>
                <w:rFonts w:ascii="仿宋_GB2312" w:hAnsi="仿宋_GB2312" w:eastAsia="仿宋_GB2312" w:cs="仿宋_GB2312"/>
                <w:highlight w:val="none"/>
              </w:rPr>
              <w:t>1</w:t>
            </w:r>
          </w:p>
        </w:tc>
        <w:tc>
          <w:tcPr>
            <w:tcW w:w="2709" w:type="dxa"/>
          </w:tcPr>
          <w:p w14:paraId="44DF1B31">
            <w:pPr>
              <w:pStyle w:val="21"/>
              <w:rPr>
                <w:highlight w:val="none"/>
              </w:rPr>
            </w:pPr>
            <w:r>
              <w:rPr>
                <w:rFonts w:ascii="仿宋_GB2312" w:hAnsi="仿宋_GB2312" w:eastAsia="仿宋_GB2312" w:cs="仿宋_GB2312"/>
                <w:highlight w:val="none"/>
              </w:rPr>
              <w:t>供应商应具备《中华人民共和国政府采购法》第二十二条规定的条件。</w:t>
            </w:r>
          </w:p>
        </w:tc>
        <w:tc>
          <w:tcPr>
            <w:tcW w:w="4519" w:type="dxa"/>
          </w:tcPr>
          <w:p w14:paraId="1AEC35E2">
            <w:pPr>
              <w:pStyle w:val="21"/>
              <w:rPr>
                <w:highlight w:val="none"/>
              </w:rPr>
            </w:pPr>
            <w:r>
              <w:rPr>
                <w:rFonts w:ascii="仿宋_GB2312" w:hAnsi="仿宋_GB2312" w:eastAsia="仿宋_GB2312" w:cs="仿宋_GB2312"/>
                <w:highlight w:val="none"/>
              </w:rPr>
              <w:t>1.法人或者其他组织、自然人的营业执照等证明文件 （1）供应商是企业（包括合伙企业）的，应提供其在市场监督管理部门注册的有效“营业执照”的复印件； （2）供应商是事业单位的，应提供其有效的“事业单位法人证书”复印件； （3）供应商是非企业专业服务机构的，应提供其有效的“执业许可证”复印件； （4）供应商是民办非企业单位的，应提供其有效的登记证书复印件； （5）供应商是个体工商户的，应提供其有效的“营 业执照”复印件； （6）供应商是自然人的，应提供其有效的自然人身份证明复印件。 2.依法缴纳税收的相关材料 （1）供应商应提供递交响应文件截止时间前近六个月中任何一个月缴税凭证，时间以税款所属时期为准（银行出具的缴税凭证或税务机关出具的证明的复印件，并加盖本单位公章）。 （2）缴纳凭证复印件须清晰可辨，并能显示出供应商名称和所缴纳税种种类，单位代扣代缴的个人所得税不能作为单位纳税的凭证。 （3）依法免税或无须缴纳税收的供应商，应提供相应文件证明。 3.依法缴纳社会保障资金的相关材料 （1）供应商应提供递交响应文件截止时间前近六个月中至少一个月的缴纳社会保险的凭据（专用收据或社会保险缴纳清单），并加盖本单位公章。 （2）凭证复印件须清晰可辨，并能显示出供应商名称和所缴纳的社保的种类。 （3）依法不需要缴纳社会保障资金的，应提供相应证明文件，并加盖本单位公章。 4.具备履行合同所必需的设备和专业技术能力的证明材料； 5.参加政府采购活动前3年内在经营活动中没有重大违法记录的书面声明</w:t>
            </w:r>
          </w:p>
        </w:tc>
        <w:tc>
          <w:tcPr>
            <w:tcW w:w="1294" w:type="dxa"/>
          </w:tcPr>
          <w:p w14:paraId="771BC3E9">
            <w:pPr>
              <w:pStyle w:val="21"/>
              <w:rPr>
                <w:highlight w:val="none"/>
              </w:rPr>
            </w:pPr>
            <w:r>
              <w:rPr>
                <w:rFonts w:ascii="仿宋_GB2312" w:hAnsi="仿宋_GB2312" w:eastAsia="仿宋_GB2312" w:cs="仿宋_GB2312"/>
                <w:highlight w:val="none"/>
              </w:rPr>
              <w:t>响应函 资格证明文件.docx</w:t>
            </w:r>
          </w:p>
        </w:tc>
      </w:tr>
      <w:tr w14:paraId="4B1EF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3ACE1E85">
            <w:pPr>
              <w:pStyle w:val="21"/>
              <w:rPr>
                <w:highlight w:val="none"/>
              </w:rPr>
            </w:pPr>
            <w:r>
              <w:rPr>
                <w:rFonts w:ascii="仿宋_GB2312" w:hAnsi="仿宋_GB2312" w:eastAsia="仿宋_GB2312" w:cs="仿宋_GB2312"/>
                <w:highlight w:val="none"/>
              </w:rPr>
              <w:t>2</w:t>
            </w:r>
          </w:p>
        </w:tc>
        <w:tc>
          <w:tcPr>
            <w:tcW w:w="2709" w:type="dxa"/>
          </w:tcPr>
          <w:p w14:paraId="7B3B169A">
            <w:pPr>
              <w:pStyle w:val="21"/>
              <w:rPr>
                <w:highlight w:val="none"/>
              </w:rPr>
            </w:pPr>
            <w:r>
              <w:rPr>
                <w:rFonts w:ascii="仿宋_GB2312" w:hAnsi="仿宋_GB2312" w:eastAsia="仿宋_GB2312" w:cs="仿宋_GB2312"/>
                <w:highlight w:val="none"/>
              </w:rPr>
              <w:t>供应商应提供健全的财务会计制度的证明材料。</w:t>
            </w:r>
          </w:p>
        </w:tc>
        <w:tc>
          <w:tcPr>
            <w:tcW w:w="4519" w:type="dxa"/>
          </w:tcPr>
          <w:p w14:paraId="764EED47">
            <w:pPr>
              <w:pStyle w:val="21"/>
              <w:rPr>
                <w:highlight w:val="none"/>
              </w:rPr>
            </w:pPr>
            <w:r>
              <w:rPr>
                <w:rFonts w:ascii="仿宋_GB2312" w:hAnsi="仿宋_GB2312" w:eastAsia="仿宋_GB2312" w:cs="仿宋_GB2312"/>
                <w:highlight w:val="none"/>
              </w:rPr>
              <w:t>财务状况报告：提供（1）或提供（2） （1）提供2024年度经审计的财务报告，应满足以下要求： ①供应商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审计报告应当经过注册会计师行业统一监管平台备案赋码。 ② 供应商适用《事业单位会计准则》的，财务报告是指上述指定年度整个会计年度财务报表（不要求必须是经审计的），复印件至少须包括资产负债表、收入支出表（或收入费用表）、财政补助收入支出表。 ③ 供应商适用《政府会计准则》的，财务报告是指上述指定年度整个会计年度财务报表（不要求必须是经审计的），复印件至少须包括资产负债表、收入费用表。 ④ 供应商适用《民间非营利组织会计制度》的，财务报告是指上述指定年度整个会计年度财务报表（不要求必须是经审计的），复印件至少须包括资产负债表、业务活动表、现金流量表。 ⑤ 供应商是上述四种情况以外情况的，按照其依法适用的会计制度、财务规则或会计准则提供 财务报表复印件（不要求必须是经审计的）。 （2）提供资信证明原件或复印件，应满足以下要求： ① 资信证明须为递交响应文件截止时间前三个月内由供应商基本账户开户银行出具。 ② 无论开具银行是否标明“复印无效”，供应商提供的复印件在本次投标中予以认可（即不因“复印无效”字样而认定资信证明复印件无效）。 ③ 银行出具的存款证明不能替代银行资信证明。</w:t>
            </w:r>
          </w:p>
        </w:tc>
        <w:tc>
          <w:tcPr>
            <w:tcW w:w="1294" w:type="dxa"/>
          </w:tcPr>
          <w:p w14:paraId="735788F4">
            <w:pPr>
              <w:pStyle w:val="21"/>
              <w:rPr>
                <w:highlight w:val="none"/>
              </w:rPr>
            </w:pPr>
            <w:r>
              <w:rPr>
                <w:rFonts w:ascii="仿宋_GB2312" w:hAnsi="仿宋_GB2312" w:eastAsia="仿宋_GB2312" w:cs="仿宋_GB2312"/>
                <w:highlight w:val="none"/>
              </w:rPr>
              <w:t>资格证明文件.docx</w:t>
            </w:r>
          </w:p>
        </w:tc>
      </w:tr>
    </w:tbl>
    <w:p w14:paraId="4562DBBA">
      <w:pPr>
        <w:rPr>
          <w:rFonts w:ascii="宋体" w:hAnsi="宋体" w:eastAsia="宋体" w:cs="宋体"/>
          <w:b/>
          <w:bCs/>
          <w:spacing w:val="-4"/>
          <w:sz w:val="28"/>
          <w:szCs w:val="28"/>
          <w:highlight w:val="none"/>
          <w:lang w:eastAsia="zh-CN"/>
        </w:rPr>
      </w:pPr>
      <w:r>
        <w:rPr>
          <w:rFonts w:ascii="宋体" w:hAnsi="宋体" w:eastAsia="宋体" w:cs="宋体"/>
          <w:b/>
          <w:bCs/>
          <w:spacing w:val="-4"/>
          <w:sz w:val="28"/>
          <w:szCs w:val="28"/>
          <w:highlight w:val="none"/>
          <w:lang w:eastAsia="zh-CN"/>
        </w:rPr>
        <w:br w:type="page"/>
      </w:r>
    </w:p>
    <w:p w14:paraId="2CBB9C80">
      <w:pPr>
        <w:spacing w:before="172" w:line="219" w:lineRule="auto"/>
        <w:outlineLvl w:val="4"/>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4.2</w:t>
      </w:r>
      <w:r>
        <w:rPr>
          <w:rFonts w:hint="eastAsia" w:ascii="仿宋" w:hAnsi="仿宋" w:eastAsia="仿宋" w:cs="仿宋"/>
          <w:spacing w:val="-49"/>
          <w:sz w:val="21"/>
          <w:szCs w:val="21"/>
          <w:highlight w:val="none"/>
          <w:lang w:eastAsia="zh-CN"/>
        </w:rPr>
        <w:t xml:space="preserve"> </w:t>
      </w:r>
      <w:r>
        <w:rPr>
          <w:rFonts w:hint="eastAsia" w:ascii="仿宋" w:hAnsi="仿宋" w:eastAsia="仿宋" w:cs="仿宋"/>
          <w:b/>
          <w:bCs/>
          <w:spacing w:val="-4"/>
          <w:sz w:val="21"/>
          <w:szCs w:val="21"/>
          <w:highlight w:val="none"/>
          <w:lang w:eastAsia="zh-CN"/>
        </w:rPr>
        <w:t>落实政府采购政策资格审查</w:t>
      </w:r>
    </w:p>
    <w:p w14:paraId="346F9FBC">
      <w:pPr>
        <w:spacing w:before="232" w:line="219" w:lineRule="auto"/>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采购包</w:t>
      </w:r>
      <w:r>
        <w:rPr>
          <w:rFonts w:hint="eastAsia" w:ascii="仿宋" w:hAnsi="仿宋" w:eastAsia="仿宋" w:cs="仿宋"/>
          <w:spacing w:val="-30"/>
          <w:sz w:val="21"/>
          <w:szCs w:val="21"/>
          <w:highlight w:val="none"/>
        </w:rPr>
        <w:t xml:space="preserve"> </w:t>
      </w:r>
      <w:r>
        <w:rPr>
          <w:rFonts w:hint="eastAsia" w:ascii="仿宋" w:hAnsi="仿宋" w:eastAsia="仿宋" w:cs="仿宋"/>
          <w:spacing w:val="-8"/>
          <w:sz w:val="21"/>
          <w:szCs w:val="21"/>
          <w:highlight w:val="none"/>
        </w:rPr>
        <w:t>1：</w:t>
      </w:r>
    </w:p>
    <w:p w14:paraId="394FC2D8">
      <w:pPr>
        <w:spacing w:line="70" w:lineRule="exact"/>
        <w:rPr>
          <w:rFonts w:hint="eastAsia" w:ascii="仿宋" w:hAnsi="仿宋" w:eastAsia="仿宋" w:cs="仿宋"/>
          <w:sz w:val="21"/>
          <w:szCs w:val="21"/>
          <w:highlight w:val="none"/>
        </w:rPr>
      </w:pPr>
    </w:p>
    <w:tbl>
      <w:tblPr>
        <w:tblStyle w:val="14"/>
        <w:tblW w:w="8606" w:type="dxa"/>
        <w:tblInd w:w="-5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
        <w:gridCol w:w="2492"/>
        <w:gridCol w:w="3322"/>
        <w:gridCol w:w="1905"/>
      </w:tblGrid>
      <w:tr w14:paraId="26FAC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222B135F">
            <w:pPr>
              <w:pStyle w:val="21"/>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序号</w:t>
            </w:r>
          </w:p>
        </w:tc>
        <w:tc>
          <w:tcPr>
            <w:tcW w:w="2492" w:type="dxa"/>
          </w:tcPr>
          <w:p w14:paraId="2880822A">
            <w:pPr>
              <w:pStyle w:val="21"/>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资格审查要求概况</w:t>
            </w:r>
          </w:p>
        </w:tc>
        <w:tc>
          <w:tcPr>
            <w:tcW w:w="3322" w:type="dxa"/>
          </w:tcPr>
          <w:p w14:paraId="696B711C">
            <w:pPr>
              <w:pStyle w:val="21"/>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评审点具体描述</w:t>
            </w:r>
          </w:p>
        </w:tc>
        <w:tc>
          <w:tcPr>
            <w:tcW w:w="1905" w:type="dxa"/>
          </w:tcPr>
          <w:p w14:paraId="6C7714E5">
            <w:pPr>
              <w:pStyle w:val="21"/>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关联格式</w:t>
            </w:r>
          </w:p>
        </w:tc>
      </w:tr>
      <w:tr w14:paraId="056BC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6" w:type="dxa"/>
            <w:gridSpan w:val="4"/>
          </w:tcPr>
          <w:p w14:paraId="2E9A97F1">
            <w:pPr>
              <w:pStyle w:val="21"/>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无</w:t>
            </w:r>
          </w:p>
        </w:tc>
      </w:tr>
    </w:tbl>
    <w:p w14:paraId="0685DE0B">
      <w:pPr>
        <w:spacing w:before="171" w:line="220" w:lineRule="auto"/>
        <w:outlineLvl w:val="4"/>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4.3</w:t>
      </w:r>
      <w:r>
        <w:rPr>
          <w:rFonts w:hint="eastAsia" w:ascii="仿宋" w:hAnsi="仿宋" w:eastAsia="仿宋" w:cs="仿宋"/>
          <w:spacing w:val="-53"/>
          <w:sz w:val="21"/>
          <w:szCs w:val="21"/>
          <w:highlight w:val="none"/>
        </w:rPr>
        <w:t xml:space="preserve"> </w:t>
      </w:r>
      <w:r>
        <w:rPr>
          <w:rFonts w:hint="eastAsia" w:ascii="仿宋" w:hAnsi="仿宋" w:eastAsia="仿宋" w:cs="仿宋"/>
          <w:b/>
          <w:bCs/>
          <w:spacing w:val="-5"/>
          <w:sz w:val="21"/>
          <w:szCs w:val="21"/>
          <w:highlight w:val="none"/>
        </w:rPr>
        <w:t>特殊资格审查</w:t>
      </w:r>
    </w:p>
    <w:p w14:paraId="58A3F98D">
      <w:pPr>
        <w:spacing w:before="231" w:line="219" w:lineRule="auto"/>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采购包</w:t>
      </w:r>
      <w:r>
        <w:rPr>
          <w:rFonts w:hint="eastAsia" w:ascii="仿宋" w:hAnsi="仿宋" w:eastAsia="仿宋" w:cs="仿宋"/>
          <w:spacing w:val="-30"/>
          <w:sz w:val="21"/>
          <w:szCs w:val="21"/>
          <w:highlight w:val="none"/>
        </w:rPr>
        <w:t xml:space="preserve"> </w:t>
      </w:r>
      <w:r>
        <w:rPr>
          <w:rFonts w:hint="eastAsia" w:ascii="仿宋" w:hAnsi="仿宋" w:eastAsia="仿宋" w:cs="仿宋"/>
          <w:spacing w:val="-8"/>
          <w:sz w:val="21"/>
          <w:szCs w:val="21"/>
          <w:highlight w:val="none"/>
        </w:rPr>
        <w:t>1：</w:t>
      </w:r>
    </w:p>
    <w:p w14:paraId="25A980D9">
      <w:pPr>
        <w:spacing w:line="70" w:lineRule="exact"/>
        <w:rPr>
          <w:highlight w:val="none"/>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16"/>
        <w:gridCol w:w="3322"/>
        <w:gridCol w:w="1661"/>
      </w:tblGrid>
      <w:tr w14:paraId="65628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0A3479">
            <w:pPr>
              <w:pStyle w:val="21"/>
              <w:rPr>
                <w:highlight w:val="none"/>
              </w:rPr>
            </w:pPr>
            <w:r>
              <w:rPr>
                <w:rFonts w:ascii="仿宋_GB2312" w:hAnsi="仿宋_GB2312" w:eastAsia="仿宋_GB2312" w:cs="仿宋_GB2312"/>
                <w:highlight w:val="none"/>
              </w:rPr>
              <w:t xml:space="preserve"> 序号</w:t>
            </w:r>
          </w:p>
        </w:tc>
        <w:tc>
          <w:tcPr>
            <w:tcW w:w="2492" w:type="dxa"/>
          </w:tcPr>
          <w:p w14:paraId="09F181ED">
            <w:pPr>
              <w:pStyle w:val="21"/>
              <w:rPr>
                <w:highlight w:val="none"/>
              </w:rPr>
            </w:pPr>
            <w:r>
              <w:rPr>
                <w:rFonts w:ascii="仿宋_GB2312" w:hAnsi="仿宋_GB2312" w:eastAsia="仿宋_GB2312" w:cs="仿宋_GB2312"/>
                <w:highlight w:val="none"/>
              </w:rPr>
              <w:t xml:space="preserve"> 资格审查要求概况</w:t>
            </w:r>
          </w:p>
        </w:tc>
        <w:tc>
          <w:tcPr>
            <w:tcW w:w="3322" w:type="dxa"/>
          </w:tcPr>
          <w:p w14:paraId="52912DF2">
            <w:pPr>
              <w:pStyle w:val="21"/>
              <w:rPr>
                <w:highlight w:val="none"/>
              </w:rPr>
            </w:pPr>
            <w:r>
              <w:rPr>
                <w:rFonts w:ascii="仿宋_GB2312" w:hAnsi="仿宋_GB2312" w:eastAsia="仿宋_GB2312" w:cs="仿宋_GB2312"/>
                <w:highlight w:val="none"/>
              </w:rPr>
              <w:t xml:space="preserve"> 评审点具体描述</w:t>
            </w:r>
          </w:p>
        </w:tc>
        <w:tc>
          <w:tcPr>
            <w:tcW w:w="1661" w:type="dxa"/>
          </w:tcPr>
          <w:p w14:paraId="10A18ED2">
            <w:pPr>
              <w:pStyle w:val="21"/>
              <w:rPr>
                <w:highlight w:val="none"/>
              </w:rPr>
            </w:pPr>
            <w:r>
              <w:rPr>
                <w:rFonts w:ascii="仿宋_GB2312" w:hAnsi="仿宋_GB2312" w:eastAsia="仿宋_GB2312" w:cs="仿宋_GB2312"/>
                <w:highlight w:val="none"/>
              </w:rPr>
              <w:t xml:space="preserve"> 关联格式</w:t>
            </w:r>
          </w:p>
        </w:tc>
      </w:tr>
      <w:tr w14:paraId="20D28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67C605">
            <w:pPr>
              <w:pStyle w:val="21"/>
              <w:rPr>
                <w:highlight w:val="none"/>
              </w:rPr>
            </w:pPr>
            <w:r>
              <w:rPr>
                <w:rFonts w:ascii="仿宋_GB2312" w:hAnsi="仿宋_GB2312" w:eastAsia="仿宋_GB2312" w:cs="仿宋_GB2312"/>
                <w:highlight w:val="none"/>
              </w:rPr>
              <w:t>1</w:t>
            </w:r>
          </w:p>
        </w:tc>
        <w:tc>
          <w:tcPr>
            <w:tcW w:w="2492" w:type="dxa"/>
          </w:tcPr>
          <w:p w14:paraId="4C3D0D13">
            <w:pPr>
              <w:pStyle w:val="21"/>
              <w:rPr>
                <w:highlight w:val="none"/>
              </w:rPr>
            </w:pPr>
            <w:r>
              <w:rPr>
                <w:rFonts w:ascii="仿宋_GB2312" w:hAnsi="仿宋_GB2312" w:eastAsia="仿宋_GB2312" w:cs="仿宋_GB2312"/>
                <w:highlight w:val="none"/>
              </w:rPr>
              <w:t>信用信息</w:t>
            </w:r>
          </w:p>
        </w:tc>
        <w:tc>
          <w:tcPr>
            <w:tcW w:w="3322" w:type="dxa"/>
          </w:tcPr>
          <w:p w14:paraId="5DCB6B61">
            <w:pPr>
              <w:pStyle w:val="21"/>
              <w:rPr>
                <w:highlight w:val="none"/>
              </w:rPr>
            </w:pPr>
            <w:r>
              <w:rPr>
                <w:rFonts w:ascii="仿宋_GB2312" w:hAnsi="仿宋_GB2312" w:eastAsia="仿宋_GB2312" w:cs="仿宋_GB2312"/>
                <w:highlight w:val="none"/>
              </w:rPr>
              <w:t>供应商在递交响应文件截止时间前被“信用中国”网站（www.creditchina.gov.cn）和中国政府采购网（www.ccgp.gov.cn）上被列入失信被执行人、重大税收违法失信主体、政府采购严重违法失信行为信息记录名单的，不得参加投标。</w:t>
            </w:r>
          </w:p>
        </w:tc>
        <w:tc>
          <w:tcPr>
            <w:tcW w:w="1661" w:type="dxa"/>
          </w:tcPr>
          <w:p w14:paraId="61FDD0D2">
            <w:pPr>
              <w:pStyle w:val="21"/>
              <w:rPr>
                <w:highlight w:val="none"/>
              </w:rPr>
            </w:pPr>
            <w:r>
              <w:rPr>
                <w:rFonts w:ascii="仿宋_GB2312" w:hAnsi="仿宋_GB2312" w:eastAsia="仿宋_GB2312" w:cs="仿宋_GB2312"/>
                <w:highlight w:val="none"/>
              </w:rPr>
              <w:t>资格证明文件.docx</w:t>
            </w:r>
          </w:p>
        </w:tc>
      </w:tr>
      <w:tr w14:paraId="24076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F39E83">
            <w:pPr>
              <w:pStyle w:val="21"/>
              <w:rPr>
                <w:highlight w:val="none"/>
              </w:rPr>
            </w:pPr>
            <w:r>
              <w:rPr>
                <w:rFonts w:ascii="仿宋_GB2312" w:hAnsi="仿宋_GB2312" w:eastAsia="仿宋_GB2312" w:cs="仿宋_GB2312"/>
                <w:highlight w:val="none"/>
              </w:rPr>
              <w:t>2</w:t>
            </w:r>
          </w:p>
        </w:tc>
        <w:tc>
          <w:tcPr>
            <w:tcW w:w="2492" w:type="dxa"/>
          </w:tcPr>
          <w:p w14:paraId="4D39E264">
            <w:pPr>
              <w:pStyle w:val="21"/>
              <w:rPr>
                <w:highlight w:val="none"/>
              </w:rPr>
            </w:pPr>
            <w:r>
              <w:rPr>
                <w:rFonts w:ascii="仿宋_GB2312" w:hAnsi="仿宋_GB2312" w:eastAsia="仿宋_GB2312" w:cs="仿宋_GB2312"/>
                <w:highlight w:val="none"/>
              </w:rPr>
              <w:t>法定代表人/单位负责人身份证明书、授权委托书及授权代表在本单位缴纳养老保险证明</w:t>
            </w:r>
          </w:p>
        </w:tc>
        <w:tc>
          <w:tcPr>
            <w:tcW w:w="3322" w:type="dxa"/>
          </w:tcPr>
          <w:p w14:paraId="272A6A07">
            <w:pPr>
              <w:pStyle w:val="21"/>
              <w:rPr>
                <w:highlight w:val="none"/>
              </w:rPr>
            </w:pPr>
            <w:r>
              <w:rPr>
                <w:rFonts w:ascii="仿宋_GB2312" w:hAnsi="仿宋_GB2312" w:eastAsia="仿宋_GB2312" w:cs="仿宋_GB2312"/>
                <w:highlight w:val="none"/>
              </w:rPr>
              <w:t>法定代表人/单位负责人身份证明书、授权委托书及授权代表在本单位缴纳养老保险证明：（1）法定代表人或单位负责人参加</w:t>
            </w:r>
            <w:r>
              <w:rPr>
                <w:rFonts w:hint="eastAsia" w:ascii="仿宋_GB2312" w:hAnsi="仿宋_GB2312" w:eastAsia="仿宋_GB2312" w:cs="仿宋_GB2312"/>
                <w:highlight w:val="none"/>
                <w:lang w:val="en-US" w:eastAsia="zh-CN"/>
              </w:rPr>
              <w:t>投标</w:t>
            </w:r>
            <w:r>
              <w:rPr>
                <w:rFonts w:ascii="仿宋_GB2312" w:hAnsi="仿宋_GB2312" w:eastAsia="仿宋_GB2312" w:cs="仿宋_GB2312"/>
                <w:highlight w:val="none"/>
              </w:rPr>
              <w:t>的，应提供法定代表人或单位负责人身份证明； （2）授权代表参加</w:t>
            </w:r>
            <w:r>
              <w:rPr>
                <w:rFonts w:hint="eastAsia" w:ascii="仿宋_GB2312" w:hAnsi="仿宋_GB2312" w:eastAsia="仿宋_GB2312" w:cs="仿宋_GB2312"/>
                <w:highlight w:val="none"/>
                <w:lang w:val="en-US" w:eastAsia="zh-CN"/>
              </w:rPr>
              <w:t>投标</w:t>
            </w:r>
            <w:r>
              <w:rPr>
                <w:rFonts w:ascii="仿宋_GB2312" w:hAnsi="仿宋_GB2312" w:eastAsia="仿宋_GB2312" w:cs="仿宋_GB2312"/>
                <w:highlight w:val="none"/>
              </w:rPr>
              <w:t>的，应提供法定代表人或单位负责人身份证明、授权委托书及授权代表在本单位缴纳养老保险证明。</w:t>
            </w:r>
          </w:p>
        </w:tc>
        <w:tc>
          <w:tcPr>
            <w:tcW w:w="1661" w:type="dxa"/>
          </w:tcPr>
          <w:p w14:paraId="2411D880">
            <w:pPr>
              <w:pStyle w:val="21"/>
              <w:rPr>
                <w:highlight w:val="none"/>
              </w:rPr>
            </w:pPr>
            <w:r>
              <w:rPr>
                <w:rFonts w:ascii="仿宋_GB2312" w:hAnsi="仿宋_GB2312" w:eastAsia="仿宋_GB2312" w:cs="仿宋_GB2312"/>
                <w:highlight w:val="none"/>
              </w:rPr>
              <w:t>资格证明文件.docx</w:t>
            </w:r>
          </w:p>
        </w:tc>
      </w:tr>
      <w:tr w14:paraId="3152D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709C4F">
            <w:pPr>
              <w:pStyle w:val="21"/>
              <w:rPr>
                <w:highlight w:val="none"/>
              </w:rPr>
            </w:pPr>
            <w:r>
              <w:rPr>
                <w:rFonts w:ascii="仿宋_GB2312" w:hAnsi="仿宋_GB2312" w:eastAsia="仿宋_GB2312" w:cs="仿宋_GB2312"/>
                <w:highlight w:val="none"/>
              </w:rPr>
              <w:t>3</w:t>
            </w:r>
          </w:p>
        </w:tc>
        <w:tc>
          <w:tcPr>
            <w:tcW w:w="2492" w:type="dxa"/>
          </w:tcPr>
          <w:p w14:paraId="088537A0">
            <w:pPr>
              <w:pStyle w:val="21"/>
              <w:rPr>
                <w:highlight w:val="none"/>
              </w:rPr>
            </w:pPr>
            <w:r>
              <w:rPr>
                <w:rFonts w:ascii="仿宋_GB2312" w:hAnsi="仿宋_GB2312" w:eastAsia="仿宋_GB2312" w:cs="仿宋_GB2312"/>
                <w:highlight w:val="none"/>
              </w:rPr>
              <w:t>供应商须具备建筑工程施工总承包资质三级及以上（含三级），具备有效的安全生产许可证</w:t>
            </w:r>
          </w:p>
        </w:tc>
        <w:tc>
          <w:tcPr>
            <w:tcW w:w="3322" w:type="dxa"/>
          </w:tcPr>
          <w:p w14:paraId="4B3E9565">
            <w:pPr>
              <w:pStyle w:val="21"/>
              <w:rPr>
                <w:highlight w:val="none"/>
              </w:rPr>
            </w:pPr>
            <w:r>
              <w:rPr>
                <w:rFonts w:ascii="仿宋_GB2312" w:hAnsi="仿宋_GB2312" w:eastAsia="仿宋_GB2312" w:cs="仿宋_GB2312"/>
                <w:highlight w:val="none"/>
              </w:rPr>
              <w:t>供应商须具备建筑工程施工总承包资质三级及以上（含三级），具备有效的安全生产许可证。</w:t>
            </w:r>
          </w:p>
        </w:tc>
        <w:tc>
          <w:tcPr>
            <w:tcW w:w="1661" w:type="dxa"/>
          </w:tcPr>
          <w:p w14:paraId="6F822010">
            <w:pPr>
              <w:pStyle w:val="21"/>
              <w:rPr>
                <w:highlight w:val="none"/>
              </w:rPr>
            </w:pPr>
            <w:r>
              <w:rPr>
                <w:rFonts w:ascii="仿宋_GB2312" w:hAnsi="仿宋_GB2312" w:eastAsia="仿宋_GB2312" w:cs="仿宋_GB2312"/>
                <w:highlight w:val="none"/>
              </w:rPr>
              <w:t>资格证明文件.docx</w:t>
            </w:r>
          </w:p>
        </w:tc>
      </w:tr>
      <w:tr w14:paraId="1563D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D2D749">
            <w:pPr>
              <w:pStyle w:val="21"/>
              <w:rPr>
                <w:highlight w:val="none"/>
              </w:rPr>
            </w:pPr>
            <w:r>
              <w:rPr>
                <w:rFonts w:ascii="仿宋_GB2312" w:hAnsi="仿宋_GB2312" w:eastAsia="仿宋_GB2312" w:cs="仿宋_GB2312"/>
                <w:highlight w:val="none"/>
              </w:rPr>
              <w:t>4</w:t>
            </w:r>
          </w:p>
        </w:tc>
        <w:tc>
          <w:tcPr>
            <w:tcW w:w="2492" w:type="dxa"/>
          </w:tcPr>
          <w:p w14:paraId="0B304FAB">
            <w:pPr>
              <w:pStyle w:val="21"/>
              <w:rPr>
                <w:highlight w:val="none"/>
              </w:rPr>
            </w:pPr>
            <w:r>
              <w:rPr>
                <w:rFonts w:ascii="仿宋_GB2312" w:hAnsi="仿宋_GB2312" w:eastAsia="仿宋_GB2312" w:cs="仿宋_GB2312"/>
                <w:highlight w:val="none"/>
              </w:rPr>
              <w:t>拟派项目经理须具备建筑工程二级及以上注册建造师资格且在本单位注册，具有有效的安全生产考核合格证（建安B证），且无在建工程承诺书</w:t>
            </w:r>
          </w:p>
        </w:tc>
        <w:tc>
          <w:tcPr>
            <w:tcW w:w="3322" w:type="dxa"/>
          </w:tcPr>
          <w:p w14:paraId="56ED845F">
            <w:pPr>
              <w:pStyle w:val="21"/>
              <w:rPr>
                <w:highlight w:val="none"/>
              </w:rPr>
            </w:pPr>
            <w:r>
              <w:rPr>
                <w:rFonts w:ascii="仿宋_GB2312" w:hAnsi="仿宋_GB2312" w:eastAsia="仿宋_GB2312" w:cs="仿宋_GB2312"/>
                <w:highlight w:val="none"/>
              </w:rPr>
              <w:t>拟派项目经理须具备建筑工程二级及以上注册建造师资格且在本单位注册，具有有效的安全生产考核合格证（建安B证），且无在建工程承诺书。</w:t>
            </w:r>
          </w:p>
        </w:tc>
        <w:tc>
          <w:tcPr>
            <w:tcW w:w="1661" w:type="dxa"/>
          </w:tcPr>
          <w:p w14:paraId="3B0DD68C">
            <w:pPr>
              <w:pStyle w:val="21"/>
              <w:rPr>
                <w:highlight w:val="none"/>
              </w:rPr>
            </w:pPr>
            <w:r>
              <w:rPr>
                <w:rFonts w:ascii="仿宋_GB2312" w:hAnsi="仿宋_GB2312" w:eastAsia="仿宋_GB2312" w:cs="仿宋_GB2312"/>
                <w:highlight w:val="none"/>
              </w:rPr>
              <w:t>资格证明文件.docx</w:t>
            </w:r>
          </w:p>
        </w:tc>
      </w:tr>
      <w:tr w14:paraId="7D378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AAE583">
            <w:pPr>
              <w:pStyle w:val="21"/>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w:t>
            </w:r>
          </w:p>
        </w:tc>
        <w:tc>
          <w:tcPr>
            <w:tcW w:w="2492" w:type="dxa"/>
          </w:tcPr>
          <w:p w14:paraId="10460883">
            <w:pPr>
              <w:pStyle w:val="21"/>
              <w:rPr>
                <w:rFonts w:ascii="仿宋_GB2312" w:hAnsi="仿宋_GB2312" w:eastAsia="仿宋_GB2312" w:cs="仿宋_GB2312"/>
                <w:highlight w:val="none"/>
              </w:rPr>
            </w:pPr>
            <w:r>
              <w:rPr>
                <w:rFonts w:hint="eastAsia" w:ascii="仿宋_GB2312" w:hAnsi="仿宋_GB2312" w:eastAsia="仿宋_GB2312" w:cs="仿宋_GB2312"/>
                <w:highlight w:val="none"/>
              </w:rPr>
              <w:t>投标人基本信息及项目经理执业基本信息在“陕西省住房和城乡建设厅（http://js.shaanxi.gov.cn/）”网站可查询</w:t>
            </w:r>
          </w:p>
        </w:tc>
        <w:tc>
          <w:tcPr>
            <w:tcW w:w="3322" w:type="dxa"/>
          </w:tcPr>
          <w:p w14:paraId="1DA5C4ED">
            <w:pPr>
              <w:pStyle w:val="21"/>
              <w:rPr>
                <w:rFonts w:ascii="仿宋_GB2312" w:hAnsi="仿宋_GB2312" w:eastAsia="仿宋_GB2312" w:cs="仿宋_GB2312"/>
                <w:highlight w:val="none"/>
              </w:rPr>
            </w:pPr>
            <w:r>
              <w:rPr>
                <w:rFonts w:hint="eastAsia" w:ascii="仿宋_GB2312" w:hAnsi="仿宋_GB2312" w:eastAsia="仿宋_GB2312" w:cs="仿宋_GB2312"/>
                <w:highlight w:val="none"/>
              </w:rPr>
              <w:t>投标人基本信息及项目经理执业基本信息在“陕西省住房和城乡建设厅（http://js.shaanxi.gov.cn/）”网站可查询</w:t>
            </w:r>
          </w:p>
        </w:tc>
        <w:tc>
          <w:tcPr>
            <w:tcW w:w="1661" w:type="dxa"/>
          </w:tcPr>
          <w:p w14:paraId="3D2EF2EF">
            <w:pPr>
              <w:pStyle w:val="21"/>
              <w:rPr>
                <w:rFonts w:ascii="仿宋_GB2312" w:hAnsi="仿宋_GB2312" w:eastAsia="仿宋_GB2312" w:cs="仿宋_GB2312"/>
                <w:highlight w:val="none"/>
              </w:rPr>
            </w:pPr>
            <w:r>
              <w:rPr>
                <w:rFonts w:ascii="仿宋_GB2312" w:hAnsi="仿宋_GB2312" w:eastAsia="仿宋_GB2312" w:cs="仿宋_GB2312"/>
                <w:highlight w:val="none"/>
              </w:rPr>
              <w:t>资格证明文件.docx</w:t>
            </w:r>
          </w:p>
        </w:tc>
      </w:tr>
      <w:tr w14:paraId="6851A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9ED19F">
            <w:pPr>
              <w:pStyle w:val="21"/>
              <w:rPr>
                <w:highlight w:val="none"/>
              </w:rPr>
            </w:pPr>
            <w:r>
              <w:rPr>
                <w:rFonts w:ascii="仿宋_GB2312" w:hAnsi="仿宋_GB2312" w:eastAsia="仿宋_GB2312" w:cs="仿宋_GB2312"/>
                <w:highlight w:val="none"/>
              </w:rPr>
              <w:t>5</w:t>
            </w:r>
          </w:p>
        </w:tc>
        <w:tc>
          <w:tcPr>
            <w:tcW w:w="2492" w:type="dxa"/>
          </w:tcPr>
          <w:p w14:paraId="490EE910">
            <w:pPr>
              <w:pStyle w:val="21"/>
              <w:rPr>
                <w:rFonts w:ascii="仿宋_GB2312" w:hAnsi="仿宋_GB2312" w:eastAsia="仿宋_GB2312" w:cs="仿宋_GB2312"/>
                <w:highlight w:val="none"/>
              </w:rPr>
            </w:pPr>
            <w:r>
              <w:rPr>
                <w:rFonts w:ascii="仿宋_GB2312" w:hAnsi="仿宋_GB2312" w:eastAsia="仿宋_GB2312" w:cs="仿宋_GB2312"/>
                <w:highlight w:val="none"/>
              </w:rPr>
              <w:t>单位负责人为同一人或者存在直接控股、管理关系的不同供应商，不得参加同一合同项下的政府采购活动；</w:t>
            </w:r>
          </w:p>
        </w:tc>
        <w:tc>
          <w:tcPr>
            <w:tcW w:w="3322" w:type="dxa"/>
          </w:tcPr>
          <w:p w14:paraId="5FE6CCD4">
            <w:pPr>
              <w:pStyle w:val="21"/>
              <w:rPr>
                <w:rFonts w:ascii="仿宋_GB2312" w:hAnsi="仿宋_GB2312" w:eastAsia="仿宋_GB2312" w:cs="仿宋_GB2312"/>
                <w:highlight w:val="none"/>
              </w:rPr>
            </w:pPr>
            <w:r>
              <w:rPr>
                <w:rFonts w:ascii="仿宋_GB2312" w:hAnsi="仿宋_GB2312" w:eastAsia="仿宋_GB2312" w:cs="仿宋_GB2312"/>
                <w:highlight w:val="none"/>
              </w:rPr>
              <w:t>单位负责人为同一人或者存在直接控股、管理关系的不同供应商，不得参加同一合同项下的政府采购活动。</w:t>
            </w:r>
          </w:p>
        </w:tc>
        <w:tc>
          <w:tcPr>
            <w:tcW w:w="1661" w:type="dxa"/>
          </w:tcPr>
          <w:p w14:paraId="4C9879D3">
            <w:pPr>
              <w:pStyle w:val="21"/>
              <w:rPr>
                <w:highlight w:val="none"/>
              </w:rPr>
            </w:pPr>
            <w:r>
              <w:rPr>
                <w:rFonts w:ascii="仿宋_GB2312" w:hAnsi="仿宋_GB2312" w:eastAsia="仿宋_GB2312" w:cs="仿宋_GB2312"/>
                <w:highlight w:val="none"/>
              </w:rPr>
              <w:t>资格证明文件.docx</w:t>
            </w:r>
          </w:p>
        </w:tc>
      </w:tr>
      <w:tr w14:paraId="6AD44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ADA74D">
            <w:pPr>
              <w:pStyle w:val="21"/>
              <w:rPr>
                <w:highlight w:val="none"/>
              </w:rPr>
            </w:pPr>
            <w:r>
              <w:rPr>
                <w:rFonts w:ascii="仿宋_GB2312" w:hAnsi="仿宋_GB2312" w:eastAsia="仿宋_GB2312" w:cs="仿宋_GB2312"/>
                <w:highlight w:val="none"/>
              </w:rPr>
              <w:t>6</w:t>
            </w:r>
          </w:p>
        </w:tc>
        <w:tc>
          <w:tcPr>
            <w:tcW w:w="2492" w:type="dxa"/>
          </w:tcPr>
          <w:p w14:paraId="1FC742E2">
            <w:pPr>
              <w:pStyle w:val="21"/>
              <w:rPr>
                <w:highlight w:val="none"/>
              </w:rPr>
            </w:pPr>
            <w:r>
              <w:rPr>
                <w:rFonts w:ascii="仿宋_GB2312" w:hAnsi="仿宋_GB2312" w:eastAsia="仿宋_GB2312" w:cs="仿宋_GB2312"/>
                <w:highlight w:val="none"/>
              </w:rPr>
              <w:t>为本项目提供整体设计、规范编制或者项目管理、监理、检测等服务的供应商，不得再参加该采购项目的其他采购活动</w:t>
            </w:r>
          </w:p>
        </w:tc>
        <w:tc>
          <w:tcPr>
            <w:tcW w:w="3322" w:type="dxa"/>
          </w:tcPr>
          <w:p w14:paraId="3AEA567A">
            <w:pPr>
              <w:pStyle w:val="21"/>
              <w:rPr>
                <w:highlight w:val="none"/>
              </w:rPr>
            </w:pPr>
            <w:r>
              <w:rPr>
                <w:rFonts w:ascii="仿宋_GB2312" w:hAnsi="仿宋_GB2312" w:eastAsia="仿宋_GB2312" w:cs="仿宋_GB2312"/>
                <w:highlight w:val="none"/>
              </w:rPr>
              <w:t>为本项目提供整体设计、规范编制或者项目管理、监理、检测等服务的供应商，不得再参加该采购项目的其他采购活动。</w:t>
            </w:r>
          </w:p>
        </w:tc>
        <w:tc>
          <w:tcPr>
            <w:tcW w:w="1661" w:type="dxa"/>
          </w:tcPr>
          <w:p w14:paraId="30A4A8D6">
            <w:pPr>
              <w:pStyle w:val="21"/>
              <w:rPr>
                <w:highlight w:val="none"/>
              </w:rPr>
            </w:pPr>
            <w:r>
              <w:rPr>
                <w:rFonts w:ascii="仿宋_GB2312" w:hAnsi="仿宋_GB2312" w:eastAsia="仿宋_GB2312" w:cs="仿宋_GB2312"/>
                <w:highlight w:val="none"/>
              </w:rPr>
              <w:t>资格证明文件.docx</w:t>
            </w:r>
          </w:p>
        </w:tc>
      </w:tr>
      <w:tr w14:paraId="10A98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64E872">
            <w:pPr>
              <w:pStyle w:val="21"/>
              <w:rPr>
                <w:highlight w:val="none"/>
              </w:rPr>
            </w:pPr>
            <w:r>
              <w:rPr>
                <w:rFonts w:ascii="仿宋_GB2312" w:hAnsi="仿宋_GB2312" w:eastAsia="仿宋_GB2312" w:cs="仿宋_GB2312"/>
                <w:highlight w:val="none"/>
              </w:rPr>
              <w:t>7</w:t>
            </w:r>
          </w:p>
        </w:tc>
        <w:tc>
          <w:tcPr>
            <w:tcW w:w="2492" w:type="dxa"/>
          </w:tcPr>
          <w:p w14:paraId="54EF54CB">
            <w:pPr>
              <w:pStyle w:val="21"/>
              <w:rPr>
                <w:highlight w:val="none"/>
              </w:rPr>
            </w:pPr>
            <w:r>
              <w:rPr>
                <w:rFonts w:ascii="仿宋_GB2312" w:hAnsi="仿宋_GB2312" w:eastAsia="仿宋_GB2312" w:cs="仿宋_GB2312"/>
                <w:highlight w:val="none"/>
              </w:rPr>
              <w:t>已向采购代理机构获取采购文件</w:t>
            </w:r>
          </w:p>
        </w:tc>
        <w:tc>
          <w:tcPr>
            <w:tcW w:w="3322" w:type="dxa"/>
          </w:tcPr>
          <w:p w14:paraId="0A681A8A">
            <w:pPr>
              <w:pStyle w:val="21"/>
              <w:rPr>
                <w:highlight w:val="none"/>
              </w:rPr>
            </w:pPr>
            <w:r>
              <w:rPr>
                <w:rFonts w:ascii="仿宋_GB2312" w:hAnsi="仿宋_GB2312" w:eastAsia="仿宋_GB2312" w:cs="仿宋_GB2312"/>
                <w:highlight w:val="none"/>
              </w:rPr>
              <w:t>需向采购代理机构获取采购文件，未向采购代理机构获取采购文件的供应商均无资格参加</w:t>
            </w:r>
            <w:r>
              <w:rPr>
                <w:rFonts w:hint="eastAsia" w:ascii="仿宋_GB2312" w:hAnsi="仿宋_GB2312" w:eastAsia="仿宋_GB2312" w:cs="仿宋_GB2312"/>
                <w:highlight w:val="none"/>
                <w:lang w:val="en-US" w:eastAsia="zh-CN"/>
              </w:rPr>
              <w:t>投标</w:t>
            </w:r>
            <w:r>
              <w:rPr>
                <w:rFonts w:ascii="仿宋_GB2312" w:hAnsi="仿宋_GB2312" w:eastAsia="仿宋_GB2312" w:cs="仿宋_GB2312"/>
                <w:highlight w:val="none"/>
              </w:rPr>
              <w:t>。</w:t>
            </w:r>
          </w:p>
        </w:tc>
        <w:tc>
          <w:tcPr>
            <w:tcW w:w="1661" w:type="dxa"/>
          </w:tcPr>
          <w:p w14:paraId="1861AF4A">
            <w:pPr>
              <w:pStyle w:val="21"/>
              <w:rPr>
                <w:highlight w:val="none"/>
              </w:rPr>
            </w:pPr>
            <w:r>
              <w:rPr>
                <w:rFonts w:ascii="仿宋_GB2312" w:hAnsi="仿宋_GB2312" w:eastAsia="仿宋_GB2312" w:cs="仿宋_GB2312"/>
                <w:highlight w:val="none"/>
              </w:rPr>
              <w:t>资格证明文件.docx</w:t>
            </w:r>
          </w:p>
        </w:tc>
      </w:tr>
      <w:tr w14:paraId="43CD0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7A097C">
            <w:pPr>
              <w:pStyle w:val="21"/>
              <w:rPr>
                <w:highlight w:val="none"/>
              </w:rPr>
            </w:pPr>
            <w:r>
              <w:rPr>
                <w:rFonts w:ascii="仿宋_GB2312" w:hAnsi="仿宋_GB2312" w:eastAsia="仿宋_GB2312" w:cs="仿宋_GB2312"/>
                <w:highlight w:val="none"/>
              </w:rPr>
              <w:t>8</w:t>
            </w:r>
          </w:p>
        </w:tc>
        <w:tc>
          <w:tcPr>
            <w:tcW w:w="2492" w:type="dxa"/>
          </w:tcPr>
          <w:p w14:paraId="465F426F">
            <w:pPr>
              <w:pStyle w:val="21"/>
              <w:rPr>
                <w:highlight w:val="none"/>
              </w:rPr>
            </w:pPr>
            <w:r>
              <w:rPr>
                <w:rFonts w:ascii="仿宋_GB2312" w:hAnsi="仿宋_GB2312" w:eastAsia="仿宋_GB2312" w:cs="仿宋_GB2312"/>
                <w:highlight w:val="none"/>
              </w:rPr>
              <w:t>法律、行政法规规定的其他条件</w:t>
            </w:r>
          </w:p>
        </w:tc>
        <w:tc>
          <w:tcPr>
            <w:tcW w:w="3322" w:type="dxa"/>
          </w:tcPr>
          <w:p w14:paraId="14991636">
            <w:pPr>
              <w:pStyle w:val="21"/>
              <w:rPr>
                <w:highlight w:val="none"/>
              </w:rPr>
            </w:pPr>
            <w:r>
              <w:rPr>
                <w:rFonts w:ascii="仿宋_GB2312" w:hAnsi="仿宋_GB2312" w:eastAsia="仿宋_GB2312" w:cs="仿宋_GB2312"/>
                <w:highlight w:val="none"/>
              </w:rPr>
              <w:t>不存在违反法律法规的情况。</w:t>
            </w:r>
          </w:p>
        </w:tc>
        <w:tc>
          <w:tcPr>
            <w:tcW w:w="1661" w:type="dxa"/>
          </w:tcPr>
          <w:p w14:paraId="6D844617">
            <w:pPr>
              <w:pStyle w:val="21"/>
              <w:rPr>
                <w:highlight w:val="none"/>
              </w:rPr>
            </w:pPr>
            <w:r>
              <w:rPr>
                <w:rFonts w:ascii="仿宋_GB2312" w:hAnsi="仿宋_GB2312" w:eastAsia="仿宋_GB2312" w:cs="仿宋_GB2312"/>
                <w:highlight w:val="none"/>
              </w:rPr>
              <w:t>资格证明文件.docx</w:t>
            </w:r>
          </w:p>
        </w:tc>
      </w:tr>
    </w:tbl>
    <w:p w14:paraId="2728A259">
      <w:pPr>
        <w:spacing w:before="138" w:line="224" w:lineRule="auto"/>
        <w:ind w:firstLine="2570" w:firstLineChars="800"/>
        <w:outlineLvl w:val="2"/>
        <w:rPr>
          <w:rFonts w:hint="eastAsia" w:ascii="宋体" w:hAnsi="宋体" w:eastAsia="宋体" w:cs="宋体"/>
          <w:sz w:val="31"/>
          <w:szCs w:val="31"/>
          <w:highlight w:val="none"/>
        </w:rPr>
      </w:pPr>
      <w:r>
        <w:rPr>
          <w:rFonts w:ascii="宋体" w:hAnsi="宋体" w:eastAsia="宋体" w:cs="宋体"/>
          <w:b/>
          <w:bCs/>
          <w:spacing w:val="5"/>
          <w:sz w:val="31"/>
          <w:szCs w:val="31"/>
          <w:highlight w:val="none"/>
        </w:rPr>
        <w:t>第五章</w:t>
      </w:r>
      <w:r>
        <w:rPr>
          <w:rFonts w:ascii="宋体" w:hAnsi="宋体" w:eastAsia="宋体" w:cs="宋体"/>
          <w:spacing w:val="5"/>
          <w:sz w:val="31"/>
          <w:szCs w:val="31"/>
          <w:highlight w:val="none"/>
        </w:rPr>
        <w:t xml:space="preserve">  </w:t>
      </w:r>
      <w:r>
        <w:rPr>
          <w:rFonts w:ascii="宋体" w:hAnsi="宋体" w:eastAsia="宋体" w:cs="宋体"/>
          <w:b/>
          <w:bCs/>
          <w:spacing w:val="5"/>
          <w:sz w:val="31"/>
          <w:szCs w:val="31"/>
          <w:highlight w:val="none"/>
        </w:rPr>
        <w:t>评标办法</w:t>
      </w:r>
    </w:p>
    <w:p w14:paraId="5CE9030D">
      <w:pPr>
        <w:spacing w:before="268" w:line="221" w:lineRule="auto"/>
        <w:ind w:left="8"/>
        <w:outlineLvl w:val="4"/>
        <w:rPr>
          <w:rFonts w:hint="eastAsia" w:ascii="仿宋" w:hAnsi="仿宋" w:eastAsia="仿宋" w:cs="仿宋"/>
          <w:sz w:val="21"/>
          <w:szCs w:val="21"/>
          <w:highlight w:val="none"/>
        </w:rPr>
      </w:pPr>
      <w:r>
        <w:rPr>
          <w:rFonts w:hint="eastAsia" w:ascii="仿宋" w:hAnsi="仿宋" w:eastAsia="仿宋" w:cs="仿宋"/>
          <w:b/>
          <w:bCs/>
          <w:spacing w:val="-8"/>
          <w:sz w:val="21"/>
          <w:szCs w:val="21"/>
          <w:highlight w:val="none"/>
        </w:rPr>
        <w:t>5.1</w:t>
      </w:r>
      <w:r>
        <w:rPr>
          <w:rFonts w:hint="eastAsia" w:ascii="仿宋" w:hAnsi="仿宋" w:eastAsia="仿宋" w:cs="仿宋"/>
          <w:spacing w:val="-48"/>
          <w:sz w:val="21"/>
          <w:szCs w:val="21"/>
          <w:highlight w:val="none"/>
        </w:rPr>
        <w:t xml:space="preserve"> </w:t>
      </w:r>
      <w:r>
        <w:rPr>
          <w:rFonts w:hint="eastAsia" w:ascii="仿宋" w:hAnsi="仿宋" w:eastAsia="仿宋" w:cs="仿宋"/>
          <w:b/>
          <w:bCs/>
          <w:spacing w:val="-8"/>
          <w:sz w:val="21"/>
          <w:szCs w:val="21"/>
          <w:highlight w:val="none"/>
        </w:rPr>
        <w:t>总则</w:t>
      </w:r>
    </w:p>
    <w:p w14:paraId="7226F7F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6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15"/>
          <w:sz w:val="21"/>
          <w:szCs w:val="21"/>
          <w:highlight w:val="none"/>
          <w:lang w:eastAsia="zh-CN"/>
        </w:rPr>
        <w:t>一、根据《中华人民共和国政府采购法》《中华人民共和国政府采购法实施条例》《陕</w:t>
      </w:r>
      <w:r>
        <w:rPr>
          <w:rFonts w:hint="eastAsia" w:ascii="仿宋" w:hAnsi="仿宋" w:eastAsia="仿宋" w:cs="仿宋"/>
          <w:spacing w:val="17"/>
          <w:sz w:val="21"/>
          <w:szCs w:val="21"/>
          <w:highlight w:val="none"/>
          <w:lang w:eastAsia="zh-CN"/>
        </w:rPr>
        <w:t xml:space="preserve"> </w:t>
      </w:r>
      <w:r>
        <w:rPr>
          <w:rFonts w:hint="eastAsia" w:ascii="仿宋" w:hAnsi="仿宋" w:eastAsia="仿宋" w:cs="仿宋"/>
          <w:spacing w:val="-6"/>
          <w:sz w:val="21"/>
          <w:szCs w:val="21"/>
          <w:highlight w:val="none"/>
          <w:lang w:eastAsia="zh-CN"/>
        </w:rPr>
        <w:t>西省政府采购评审专家管理实施办法》等法律规章，结合采购项目特点制定本评标办法。</w:t>
      </w:r>
    </w:p>
    <w:p w14:paraId="5C02B9C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二、评标工作由代理机构负责组织，具体评标事务由采购人或代理机构依法组建的</w:t>
      </w:r>
      <w:r>
        <w:rPr>
          <w:rFonts w:hint="eastAsia" w:ascii="仿宋" w:hAnsi="仿宋" w:eastAsia="仿宋" w:cs="仿宋"/>
          <w:spacing w:val="2"/>
          <w:sz w:val="21"/>
          <w:szCs w:val="21"/>
          <w:highlight w:val="none"/>
          <w:lang w:eastAsia="zh-CN"/>
        </w:rPr>
        <w:t xml:space="preserve"> </w:t>
      </w:r>
      <w:r>
        <w:rPr>
          <w:rFonts w:hint="eastAsia" w:ascii="仿宋" w:hAnsi="仿宋" w:eastAsia="仿宋" w:cs="仿宋"/>
          <w:spacing w:val="-2"/>
          <w:sz w:val="21"/>
          <w:szCs w:val="21"/>
          <w:highlight w:val="none"/>
          <w:lang w:eastAsia="zh-CN"/>
        </w:rPr>
        <w:t>评标委员会负责。评标委员会由采购人代表和评审专家组成。</w:t>
      </w:r>
    </w:p>
    <w:p w14:paraId="6F9F0B5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三、评标工作应遵循公平、公正、科学及择优的原则，并以相同的评标程序和标准</w:t>
      </w:r>
      <w:r>
        <w:rPr>
          <w:rFonts w:hint="eastAsia" w:ascii="仿宋" w:hAnsi="仿宋" w:eastAsia="仿宋" w:cs="仿宋"/>
          <w:spacing w:val="-5"/>
          <w:sz w:val="21"/>
          <w:szCs w:val="21"/>
          <w:highlight w:val="none"/>
          <w:lang w:eastAsia="zh-CN"/>
        </w:rPr>
        <w:t>对待所有的投标人。</w:t>
      </w:r>
    </w:p>
    <w:p w14:paraId="4383244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四、本项目采取电子评标，通过项目电子化交易系统完成评标工作。评标委员会成</w:t>
      </w:r>
      <w:r>
        <w:rPr>
          <w:rFonts w:hint="eastAsia" w:ascii="仿宋" w:hAnsi="仿宋" w:eastAsia="仿宋" w:cs="仿宋"/>
          <w:spacing w:val="-2"/>
          <w:sz w:val="21"/>
          <w:szCs w:val="21"/>
          <w:highlight w:val="none"/>
          <w:lang w:eastAsia="zh-CN"/>
        </w:rPr>
        <w:t>员、采购人、代理机构和投标人应当按照本招标文件规定和项目电子化交易系统操作要</w:t>
      </w:r>
      <w:r>
        <w:rPr>
          <w:rFonts w:hint="eastAsia" w:ascii="仿宋" w:hAnsi="仿宋" w:eastAsia="仿宋" w:cs="仿宋"/>
          <w:spacing w:val="-4"/>
          <w:sz w:val="21"/>
          <w:szCs w:val="21"/>
          <w:highlight w:val="none"/>
          <w:lang w:eastAsia="zh-CN"/>
        </w:rPr>
        <w:t>求开展或者参加评标活动。</w:t>
      </w:r>
    </w:p>
    <w:p w14:paraId="1914AF9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五、评标过程中的书面材料往来均通过项目电子化交易系统传递，投标人通过互认</w:t>
      </w:r>
      <w:r>
        <w:rPr>
          <w:rFonts w:hint="eastAsia" w:ascii="仿宋" w:hAnsi="仿宋" w:eastAsia="仿宋" w:cs="仿宋"/>
          <w:spacing w:val="2"/>
          <w:sz w:val="21"/>
          <w:szCs w:val="21"/>
          <w:highlight w:val="none"/>
          <w:lang w:eastAsia="zh-CN"/>
        </w:rPr>
        <w:t xml:space="preserve"> </w:t>
      </w:r>
      <w:r>
        <w:rPr>
          <w:rFonts w:hint="eastAsia" w:ascii="仿宋" w:hAnsi="仿宋" w:eastAsia="仿宋" w:cs="仿宋"/>
          <w:spacing w:val="-5"/>
          <w:sz w:val="21"/>
          <w:szCs w:val="21"/>
          <w:highlight w:val="none"/>
          <w:lang w:eastAsia="zh-CN"/>
        </w:rPr>
        <w:t>的证书及签章加盖其电子印章后生效。出现无法在线签章的特殊情况，评标委员会成员</w:t>
      </w:r>
      <w:r>
        <w:rPr>
          <w:rFonts w:hint="eastAsia" w:ascii="仿宋" w:hAnsi="仿宋" w:eastAsia="仿宋" w:cs="仿宋"/>
          <w:spacing w:val="-2"/>
          <w:sz w:val="21"/>
          <w:szCs w:val="21"/>
          <w:highlight w:val="none"/>
          <w:lang w:eastAsia="zh-CN"/>
        </w:rPr>
        <w:t>可以线下签署评标报告，由代理机构对原件扫描后以附件形式上传。</w:t>
      </w:r>
    </w:p>
    <w:p w14:paraId="499FD80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6"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六、评标过程应当独立、保密，任何单位和个人</w:t>
      </w:r>
      <w:r>
        <w:rPr>
          <w:rFonts w:hint="eastAsia" w:ascii="仿宋" w:hAnsi="仿宋" w:eastAsia="仿宋" w:cs="仿宋"/>
          <w:spacing w:val="-7"/>
          <w:sz w:val="21"/>
          <w:szCs w:val="21"/>
          <w:highlight w:val="none"/>
          <w:lang w:eastAsia="zh-CN"/>
        </w:rPr>
        <w:t>不得非法干预评标活动。投标人非</w:t>
      </w:r>
      <w:r>
        <w:rPr>
          <w:rFonts w:hint="eastAsia" w:ascii="仿宋" w:hAnsi="仿宋" w:eastAsia="仿宋" w:cs="仿宋"/>
          <w:spacing w:val="-2"/>
          <w:sz w:val="21"/>
          <w:szCs w:val="21"/>
          <w:highlight w:val="none"/>
          <w:lang w:eastAsia="zh-CN"/>
        </w:rPr>
        <w:t>法干预评标活动的，其投标文件将作无效处理；代理机构、采购人及其工作人员、采购人监督人员非法干预评标活动的，将依法追究其责任。</w:t>
      </w:r>
    </w:p>
    <w:p w14:paraId="142EEDD8">
      <w:pPr>
        <w:spacing w:before="243" w:line="219" w:lineRule="auto"/>
        <w:ind w:left="8"/>
        <w:outlineLvl w:val="4"/>
        <w:rPr>
          <w:rFonts w:hint="eastAsia" w:ascii="仿宋" w:hAnsi="仿宋" w:eastAsia="仿宋" w:cs="仿宋"/>
          <w:sz w:val="21"/>
          <w:szCs w:val="21"/>
          <w:highlight w:val="none"/>
          <w:lang w:eastAsia="zh-CN"/>
        </w:rPr>
      </w:pPr>
      <w:r>
        <w:rPr>
          <w:rFonts w:hint="eastAsia" w:ascii="仿宋" w:hAnsi="仿宋" w:eastAsia="仿宋" w:cs="仿宋"/>
          <w:b/>
          <w:bCs/>
          <w:spacing w:val="-6"/>
          <w:sz w:val="21"/>
          <w:szCs w:val="21"/>
          <w:highlight w:val="none"/>
          <w:lang w:eastAsia="zh-CN"/>
        </w:rPr>
        <w:t>5.2</w:t>
      </w:r>
      <w:r>
        <w:rPr>
          <w:rFonts w:hint="eastAsia" w:ascii="仿宋" w:hAnsi="仿宋" w:eastAsia="仿宋" w:cs="仿宋"/>
          <w:spacing w:val="-54"/>
          <w:sz w:val="21"/>
          <w:szCs w:val="21"/>
          <w:highlight w:val="none"/>
          <w:lang w:eastAsia="zh-CN"/>
        </w:rPr>
        <w:t xml:space="preserve"> </w:t>
      </w:r>
      <w:r>
        <w:rPr>
          <w:rFonts w:hint="eastAsia" w:ascii="仿宋" w:hAnsi="仿宋" w:eastAsia="仿宋" w:cs="仿宋"/>
          <w:b/>
          <w:bCs/>
          <w:spacing w:val="-6"/>
          <w:sz w:val="21"/>
          <w:szCs w:val="21"/>
          <w:highlight w:val="none"/>
          <w:lang w:eastAsia="zh-CN"/>
        </w:rPr>
        <w:t>评标委员会</w:t>
      </w:r>
    </w:p>
    <w:p w14:paraId="6767298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一、评审专家是采取随机方式在政府采购平台的专家</w:t>
      </w:r>
      <w:r>
        <w:rPr>
          <w:rFonts w:hint="eastAsia" w:ascii="仿宋" w:hAnsi="仿宋" w:eastAsia="仿宋" w:cs="仿宋"/>
          <w:spacing w:val="-6"/>
          <w:sz w:val="21"/>
          <w:szCs w:val="21"/>
          <w:highlight w:val="none"/>
          <w:lang w:eastAsia="zh-CN"/>
        </w:rPr>
        <w:t>库系统（以下简称专家库系统）</w:t>
      </w:r>
      <w:r>
        <w:rPr>
          <w:rFonts w:hint="eastAsia" w:ascii="仿宋" w:hAnsi="仿宋" w:eastAsia="仿宋" w:cs="仿宋"/>
          <w:sz w:val="21"/>
          <w:szCs w:val="21"/>
          <w:highlight w:val="none"/>
          <w:lang w:eastAsia="zh-CN"/>
        </w:rPr>
        <w:t xml:space="preserve"> </w:t>
      </w:r>
      <w:r>
        <w:rPr>
          <w:rFonts w:hint="eastAsia" w:ascii="仿宋" w:hAnsi="仿宋" w:eastAsia="仿宋" w:cs="仿宋"/>
          <w:spacing w:val="-13"/>
          <w:sz w:val="21"/>
          <w:szCs w:val="21"/>
          <w:highlight w:val="none"/>
          <w:lang w:eastAsia="zh-CN"/>
        </w:rPr>
        <w:t>抽取/由采购人根据《陕西省政府采购评审专家管理实施办法》（陕财办采〔2018〕20 号）</w:t>
      </w:r>
      <w:r>
        <w:rPr>
          <w:rFonts w:hint="eastAsia" w:ascii="仿宋" w:hAnsi="仿宋" w:eastAsia="仿宋" w:cs="仿宋"/>
          <w:spacing w:val="7"/>
          <w:sz w:val="21"/>
          <w:szCs w:val="21"/>
          <w:highlight w:val="none"/>
          <w:lang w:eastAsia="zh-CN"/>
        </w:rPr>
        <w:t xml:space="preserve">  </w:t>
      </w:r>
      <w:r>
        <w:rPr>
          <w:rFonts w:hint="eastAsia" w:ascii="仿宋" w:hAnsi="仿宋" w:eastAsia="仿宋" w:cs="仿宋"/>
          <w:spacing w:val="-3"/>
          <w:sz w:val="21"/>
          <w:szCs w:val="21"/>
          <w:highlight w:val="none"/>
          <w:lang w:eastAsia="zh-CN"/>
        </w:rPr>
        <w:t>的规定，报主管部门同意后自行选定。</w:t>
      </w:r>
    </w:p>
    <w:p w14:paraId="7BB0BA0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二、评标委员会成员应当满足并适应电子化采购评审的工作需要，使用已身份认证</w:t>
      </w:r>
      <w:r>
        <w:rPr>
          <w:rFonts w:hint="eastAsia" w:ascii="仿宋" w:hAnsi="仿宋" w:eastAsia="仿宋" w:cs="仿宋"/>
          <w:spacing w:val="2"/>
          <w:sz w:val="21"/>
          <w:szCs w:val="21"/>
          <w:highlight w:val="none"/>
          <w:lang w:eastAsia="zh-CN"/>
        </w:rPr>
        <w:t xml:space="preserve"> </w:t>
      </w:r>
      <w:r>
        <w:rPr>
          <w:rFonts w:hint="eastAsia" w:ascii="仿宋" w:hAnsi="仿宋" w:eastAsia="仿宋" w:cs="仿宋"/>
          <w:spacing w:val="-2"/>
          <w:sz w:val="21"/>
          <w:szCs w:val="21"/>
          <w:highlight w:val="none"/>
          <w:lang w:eastAsia="zh-CN"/>
        </w:rPr>
        <w:t>并具备签章功能的证书，登录项目电子化交易系统进入项目评审功能模块确认身份、签</w:t>
      </w:r>
      <w:r>
        <w:rPr>
          <w:rFonts w:hint="eastAsia" w:ascii="仿宋" w:hAnsi="仿宋" w:eastAsia="仿宋" w:cs="仿宋"/>
          <w:spacing w:val="-1"/>
          <w:sz w:val="21"/>
          <w:szCs w:val="21"/>
          <w:highlight w:val="none"/>
          <w:lang w:eastAsia="zh-CN"/>
        </w:rPr>
        <w:t>到、推荐评标委员会组长。采购人代表可以使用采购人</w:t>
      </w:r>
      <w:r>
        <w:rPr>
          <w:rFonts w:hint="eastAsia" w:ascii="仿宋" w:hAnsi="仿宋" w:eastAsia="仿宋" w:cs="仿宋"/>
          <w:spacing w:val="-2"/>
          <w:sz w:val="21"/>
          <w:szCs w:val="21"/>
          <w:highlight w:val="none"/>
          <w:lang w:eastAsia="zh-CN"/>
        </w:rPr>
        <w:t>代表专用签章确认评审意见。</w:t>
      </w:r>
    </w:p>
    <w:p w14:paraId="45DE12F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6" w:firstLineChars="200"/>
        <w:textAlignment w:val="baseline"/>
        <w:rPr>
          <w:rFonts w:hint="eastAsia" w:ascii="仿宋" w:hAnsi="仿宋" w:eastAsia="仿宋" w:cs="仿宋"/>
          <w:spacing w:val="-5"/>
          <w:sz w:val="21"/>
          <w:szCs w:val="21"/>
          <w:highlight w:val="none"/>
          <w:lang w:eastAsia="zh-CN"/>
        </w:rPr>
      </w:pPr>
      <w:r>
        <w:rPr>
          <w:rFonts w:hint="eastAsia" w:ascii="仿宋" w:hAnsi="仿宋" w:eastAsia="仿宋" w:cs="仿宋"/>
          <w:spacing w:val="-6"/>
          <w:sz w:val="21"/>
          <w:szCs w:val="21"/>
          <w:highlight w:val="none"/>
          <w:lang w:eastAsia="zh-CN"/>
        </w:rPr>
        <w:t>三、评标委员会成员获取解密后的投标文件，开展评标</w:t>
      </w:r>
      <w:r>
        <w:rPr>
          <w:rFonts w:hint="eastAsia" w:ascii="仿宋" w:hAnsi="仿宋" w:eastAsia="仿宋" w:cs="仿宋"/>
          <w:spacing w:val="-7"/>
          <w:sz w:val="21"/>
          <w:szCs w:val="21"/>
          <w:highlight w:val="none"/>
          <w:lang w:eastAsia="zh-CN"/>
        </w:rPr>
        <w:t>活动。出现应当回避的情形</w:t>
      </w:r>
      <w:r>
        <w:rPr>
          <w:rFonts w:hint="eastAsia" w:ascii="仿宋" w:hAnsi="仿宋" w:eastAsia="仿宋" w:cs="仿宋"/>
          <w:spacing w:val="-2"/>
          <w:sz w:val="21"/>
          <w:szCs w:val="21"/>
          <w:highlight w:val="none"/>
          <w:lang w:eastAsia="zh-CN"/>
        </w:rPr>
        <w:t>时，评标委员会成员应当主动回避；代理机构按规定申请补充抽取评审专家；</w:t>
      </w:r>
      <w:r>
        <w:rPr>
          <w:rFonts w:hint="eastAsia" w:ascii="仿宋" w:hAnsi="仿宋" w:eastAsia="仿宋" w:cs="仿宋"/>
          <w:spacing w:val="-5"/>
          <w:sz w:val="21"/>
          <w:szCs w:val="21"/>
          <w:highlight w:val="none"/>
          <w:lang w:eastAsia="zh-CN"/>
        </w:rPr>
        <w:t>无法及时补充抽取的，采购人或者代理机构应当封存投标人投标文件，按规定重新组建评标委员会，解封投标文件后，开展评标活动。</w:t>
      </w:r>
    </w:p>
    <w:p w14:paraId="7ADA4BC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pacing w:val="-5"/>
          <w:sz w:val="21"/>
          <w:szCs w:val="21"/>
          <w:highlight w:val="none"/>
          <w:lang w:eastAsia="zh-CN"/>
        </w:rPr>
      </w:pPr>
      <w:r>
        <w:rPr>
          <w:rFonts w:hint="eastAsia" w:ascii="仿宋" w:hAnsi="仿宋" w:eastAsia="仿宋" w:cs="仿宋"/>
          <w:spacing w:val="-5"/>
          <w:sz w:val="21"/>
          <w:szCs w:val="21"/>
          <w:highlight w:val="none"/>
          <w:lang w:eastAsia="zh-CN"/>
        </w:rPr>
        <w:t>四、评标委员会按照招标文件规定的评标程序、评标方法和标准进行评标，并独立履行下列职责：</w:t>
      </w:r>
    </w:p>
    <w:p w14:paraId="2398F71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pacing w:val="-5"/>
          <w:sz w:val="21"/>
          <w:szCs w:val="21"/>
          <w:highlight w:val="none"/>
          <w:lang w:eastAsia="zh-CN"/>
        </w:rPr>
      </w:pPr>
      <w:r>
        <w:rPr>
          <w:rFonts w:hint="eastAsia" w:ascii="仿宋" w:hAnsi="仿宋" w:eastAsia="仿宋" w:cs="仿宋"/>
          <w:spacing w:val="-5"/>
          <w:sz w:val="21"/>
          <w:szCs w:val="21"/>
          <w:highlight w:val="none"/>
          <w:lang w:eastAsia="zh-CN"/>
        </w:rPr>
        <w:t>（一）熟悉和理解招标文件；</w:t>
      </w:r>
    </w:p>
    <w:p w14:paraId="3E4C0E6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pacing w:val="-5"/>
          <w:sz w:val="21"/>
          <w:szCs w:val="21"/>
          <w:highlight w:val="none"/>
          <w:lang w:eastAsia="zh-CN"/>
        </w:rPr>
      </w:pPr>
      <w:r>
        <w:rPr>
          <w:rFonts w:hint="eastAsia" w:ascii="仿宋" w:hAnsi="仿宋" w:eastAsia="仿宋" w:cs="仿宋"/>
          <w:spacing w:val="-5"/>
          <w:sz w:val="21"/>
          <w:szCs w:val="21"/>
          <w:highlight w:val="none"/>
          <w:lang w:eastAsia="zh-CN"/>
        </w:rPr>
        <w:t>（二）审查投标人投标文件等是否满足招标文件要求，并作出评价；</w:t>
      </w:r>
    </w:p>
    <w:p w14:paraId="06D0CE6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pacing w:val="-5"/>
          <w:sz w:val="21"/>
          <w:szCs w:val="21"/>
          <w:highlight w:val="none"/>
          <w:lang w:eastAsia="zh-CN"/>
        </w:rPr>
      </w:pPr>
      <w:r>
        <w:rPr>
          <w:rFonts w:hint="eastAsia" w:ascii="仿宋" w:hAnsi="仿宋" w:eastAsia="仿宋" w:cs="仿宋"/>
          <w:spacing w:val="-5"/>
          <w:sz w:val="21"/>
          <w:szCs w:val="21"/>
          <w:highlight w:val="none"/>
          <w:lang w:eastAsia="zh-CN"/>
        </w:rPr>
        <w:t>（三）根据需要要求采购组织单位对招标文件作出解释；根据需要要求投标人对投 标文件有关事项作出澄清、说明或者更正；</w:t>
      </w:r>
    </w:p>
    <w:p w14:paraId="138BD2A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pacing w:val="-5"/>
          <w:sz w:val="21"/>
          <w:szCs w:val="21"/>
          <w:highlight w:val="none"/>
          <w:lang w:eastAsia="zh-CN"/>
        </w:rPr>
      </w:pPr>
      <w:r>
        <w:rPr>
          <w:rFonts w:hint="eastAsia" w:ascii="仿宋" w:hAnsi="仿宋" w:eastAsia="仿宋" w:cs="仿宋"/>
          <w:spacing w:val="-5"/>
          <w:sz w:val="21"/>
          <w:szCs w:val="21"/>
          <w:highlight w:val="none"/>
          <w:lang w:eastAsia="zh-CN"/>
        </w:rPr>
        <w:t>（四）推荐中标候选人，或者受采购人委托确定中标人；</w:t>
      </w:r>
    </w:p>
    <w:p w14:paraId="761C830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pacing w:val="-5"/>
          <w:sz w:val="21"/>
          <w:szCs w:val="21"/>
          <w:highlight w:val="none"/>
          <w:lang w:eastAsia="zh-CN"/>
        </w:rPr>
      </w:pPr>
      <w:r>
        <w:rPr>
          <w:rFonts w:hint="eastAsia" w:ascii="仿宋" w:hAnsi="仿宋" w:eastAsia="仿宋" w:cs="仿宋"/>
          <w:spacing w:val="-5"/>
          <w:sz w:val="21"/>
          <w:szCs w:val="21"/>
          <w:highlight w:val="none"/>
          <w:lang w:eastAsia="zh-CN"/>
        </w:rPr>
        <w:t>（五）起草评标报告并进行签署；</w:t>
      </w:r>
    </w:p>
    <w:p w14:paraId="3EDC0FF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pacing w:val="-5"/>
          <w:sz w:val="21"/>
          <w:szCs w:val="21"/>
          <w:highlight w:val="none"/>
          <w:lang w:eastAsia="zh-CN"/>
        </w:rPr>
      </w:pPr>
      <w:r>
        <w:rPr>
          <w:rFonts w:hint="eastAsia" w:ascii="仿宋" w:hAnsi="仿宋" w:eastAsia="仿宋" w:cs="仿宋"/>
          <w:spacing w:val="-5"/>
          <w:sz w:val="21"/>
          <w:szCs w:val="21"/>
          <w:highlight w:val="none"/>
          <w:lang w:eastAsia="zh-CN"/>
        </w:rPr>
        <w:t>（六）向采购组织单位、财政部门或者其他监督部门报告非法干预评审工作的行为；</w:t>
      </w:r>
    </w:p>
    <w:p w14:paraId="24F183D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0" w:firstLineChars="200"/>
        <w:textAlignment w:val="baseline"/>
        <w:rPr>
          <w:rFonts w:hint="eastAsia" w:ascii="仿宋" w:hAnsi="仿宋" w:eastAsia="仿宋" w:cs="仿宋"/>
          <w:spacing w:val="-5"/>
          <w:sz w:val="21"/>
          <w:szCs w:val="21"/>
          <w:highlight w:val="none"/>
          <w:lang w:eastAsia="zh-CN"/>
        </w:rPr>
      </w:pPr>
      <w:r>
        <w:rPr>
          <w:rFonts w:hint="eastAsia" w:ascii="仿宋" w:hAnsi="仿宋" w:eastAsia="仿宋" w:cs="仿宋"/>
          <w:spacing w:val="-5"/>
          <w:sz w:val="21"/>
          <w:szCs w:val="21"/>
          <w:highlight w:val="none"/>
          <w:lang w:eastAsia="zh-CN"/>
        </w:rPr>
        <w:t>（七）法律、法规和规章规定的其他职责。</w:t>
      </w:r>
    </w:p>
    <w:p w14:paraId="43DD4AD4">
      <w:pPr>
        <w:spacing w:before="241" w:line="221" w:lineRule="auto"/>
        <w:ind w:left="6"/>
        <w:outlineLvl w:val="4"/>
        <w:rPr>
          <w:rFonts w:hint="eastAsia" w:ascii="仿宋" w:hAnsi="仿宋" w:eastAsia="仿宋" w:cs="仿宋"/>
          <w:sz w:val="21"/>
          <w:szCs w:val="21"/>
          <w:highlight w:val="none"/>
          <w:lang w:eastAsia="zh-CN"/>
        </w:rPr>
      </w:pPr>
      <w:r>
        <w:rPr>
          <w:rFonts w:hint="eastAsia" w:ascii="仿宋" w:hAnsi="仿宋" w:eastAsia="仿宋" w:cs="仿宋"/>
          <w:b/>
          <w:bCs/>
          <w:spacing w:val="-6"/>
          <w:sz w:val="21"/>
          <w:szCs w:val="21"/>
          <w:highlight w:val="none"/>
          <w:lang w:eastAsia="zh-CN"/>
        </w:rPr>
        <w:t>5.3</w:t>
      </w:r>
      <w:r>
        <w:rPr>
          <w:rFonts w:hint="eastAsia" w:ascii="仿宋" w:hAnsi="仿宋" w:eastAsia="仿宋" w:cs="仿宋"/>
          <w:spacing w:val="-57"/>
          <w:sz w:val="21"/>
          <w:szCs w:val="21"/>
          <w:highlight w:val="none"/>
          <w:lang w:eastAsia="zh-CN"/>
        </w:rPr>
        <w:t xml:space="preserve"> </w:t>
      </w:r>
      <w:r>
        <w:rPr>
          <w:rFonts w:hint="eastAsia" w:ascii="仿宋" w:hAnsi="仿宋" w:eastAsia="仿宋" w:cs="仿宋"/>
          <w:b/>
          <w:bCs/>
          <w:spacing w:val="-6"/>
          <w:sz w:val="21"/>
          <w:szCs w:val="21"/>
          <w:highlight w:val="none"/>
          <w:lang w:eastAsia="zh-CN"/>
        </w:rPr>
        <w:t>评标方法</w:t>
      </w:r>
    </w:p>
    <w:p w14:paraId="1B8C7505">
      <w:pPr>
        <w:spacing w:before="231" w:line="219" w:lineRule="auto"/>
        <w:ind w:left="478"/>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采购包</w:t>
      </w:r>
      <w:r>
        <w:rPr>
          <w:rFonts w:hint="eastAsia" w:ascii="仿宋" w:hAnsi="仿宋" w:eastAsia="仿宋" w:cs="仿宋"/>
          <w:spacing w:val="-24"/>
          <w:sz w:val="21"/>
          <w:szCs w:val="21"/>
          <w:highlight w:val="none"/>
          <w:lang w:eastAsia="zh-CN"/>
        </w:rPr>
        <w:t xml:space="preserve"> </w:t>
      </w:r>
      <w:r>
        <w:rPr>
          <w:rFonts w:hint="eastAsia" w:ascii="仿宋" w:hAnsi="仿宋" w:eastAsia="仿宋" w:cs="仿宋"/>
          <w:spacing w:val="-4"/>
          <w:sz w:val="21"/>
          <w:szCs w:val="21"/>
          <w:highlight w:val="none"/>
          <w:lang w:eastAsia="zh-CN"/>
        </w:rPr>
        <w:t>1： 综合评分法</w:t>
      </w:r>
    </w:p>
    <w:p w14:paraId="7671F7A9">
      <w:pPr>
        <w:spacing w:before="241" w:line="221" w:lineRule="auto"/>
        <w:ind w:left="6"/>
        <w:outlineLvl w:val="4"/>
        <w:rPr>
          <w:rFonts w:hint="eastAsia" w:ascii="仿宋" w:hAnsi="仿宋" w:eastAsia="仿宋" w:cs="仿宋"/>
          <w:sz w:val="21"/>
          <w:szCs w:val="21"/>
          <w:highlight w:val="none"/>
          <w:lang w:eastAsia="zh-CN"/>
        </w:rPr>
      </w:pPr>
      <w:r>
        <w:rPr>
          <w:rFonts w:hint="eastAsia" w:ascii="仿宋" w:hAnsi="仿宋" w:eastAsia="仿宋" w:cs="仿宋"/>
          <w:b/>
          <w:bCs/>
          <w:spacing w:val="-6"/>
          <w:sz w:val="21"/>
          <w:szCs w:val="21"/>
          <w:highlight w:val="none"/>
          <w:lang w:eastAsia="zh-CN"/>
        </w:rPr>
        <w:t>5.4</w:t>
      </w:r>
      <w:r>
        <w:rPr>
          <w:rFonts w:hint="eastAsia" w:ascii="仿宋" w:hAnsi="仿宋" w:eastAsia="仿宋" w:cs="仿宋"/>
          <w:spacing w:val="-57"/>
          <w:sz w:val="21"/>
          <w:szCs w:val="21"/>
          <w:highlight w:val="none"/>
          <w:lang w:eastAsia="zh-CN"/>
        </w:rPr>
        <w:t xml:space="preserve"> </w:t>
      </w:r>
      <w:r>
        <w:rPr>
          <w:rFonts w:hint="eastAsia" w:ascii="仿宋" w:hAnsi="仿宋" w:eastAsia="仿宋" w:cs="仿宋"/>
          <w:b/>
          <w:bCs/>
          <w:spacing w:val="-6"/>
          <w:sz w:val="21"/>
          <w:szCs w:val="21"/>
          <w:highlight w:val="none"/>
          <w:lang w:eastAsia="zh-CN"/>
        </w:rPr>
        <w:t>评标程序</w:t>
      </w:r>
    </w:p>
    <w:p w14:paraId="0D370D1A">
      <w:pPr>
        <w:spacing w:before="230" w:line="220" w:lineRule="auto"/>
        <w:ind w:left="3"/>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5.4.1</w:t>
      </w:r>
      <w:r>
        <w:rPr>
          <w:rFonts w:hint="eastAsia" w:ascii="仿宋" w:hAnsi="仿宋" w:eastAsia="仿宋" w:cs="仿宋"/>
          <w:spacing w:val="-30"/>
          <w:sz w:val="21"/>
          <w:szCs w:val="21"/>
          <w:highlight w:val="none"/>
          <w:lang w:eastAsia="zh-CN"/>
        </w:rPr>
        <w:t xml:space="preserve"> </w:t>
      </w:r>
      <w:r>
        <w:rPr>
          <w:rFonts w:hint="eastAsia" w:ascii="仿宋" w:hAnsi="仿宋" w:eastAsia="仿宋" w:cs="仿宋"/>
          <w:b/>
          <w:bCs/>
          <w:spacing w:val="-4"/>
          <w:sz w:val="21"/>
          <w:szCs w:val="21"/>
          <w:highlight w:val="none"/>
          <w:lang w:eastAsia="zh-CN"/>
        </w:rPr>
        <w:t>熟悉和理解招标文件和停止评标</w:t>
      </w:r>
    </w:p>
    <w:p w14:paraId="13FE57E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一、评标委员会正式评审前，应当对招标文件进行熟悉和理解，内容主要包括招标 文件中投标人资格资质性要求、采购项目技术、服务和商务要求、评审方法和标准以及 可能涉及签订政府采购合同的内容等。</w:t>
      </w:r>
    </w:p>
    <w:p w14:paraId="1F7F921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二、本招标文件有下列情形之一的，评标委员会应当停止评标：</w:t>
      </w:r>
    </w:p>
    <w:p w14:paraId="7C13326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（一）招标文件的规定存在歧义、重大缺陷的；</w:t>
      </w:r>
    </w:p>
    <w:p w14:paraId="0782456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（二）招标文件明显以不合理条件对投标人实行差别待遇或者歧视待遇的；</w:t>
      </w:r>
    </w:p>
    <w:p w14:paraId="2BAE71E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（三）采购项目属于国家规定的优先、强制采购范围，但是招标文件未依法体现优 先、强制采购相关规定的；</w:t>
      </w:r>
    </w:p>
    <w:p w14:paraId="5E54050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（四）采购项目属于政府采购促进中小企业发展的范围，但是招标文件未依法体现促进中小企业发展相关规定的；</w:t>
      </w:r>
    </w:p>
    <w:p w14:paraId="5850D4A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（五）招标文件规定的评标方法是综合评分法、最低评标价法之外的评标方法， 或 者虽然名称为综合评分法、最低评标价法，但实际上不符合国家规定；</w:t>
      </w:r>
    </w:p>
    <w:p w14:paraId="2FFAC39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（六）招标文件将投标人的资格条件列为评分因素的；</w:t>
      </w:r>
    </w:p>
    <w:p w14:paraId="422F39A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（七）招标文件有违反国家其他有关强制性规定的情形。</w:t>
      </w:r>
    </w:p>
    <w:p w14:paraId="492BAAB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7"/>
          <w:sz w:val="21"/>
          <w:szCs w:val="21"/>
          <w:highlight w:val="none"/>
          <w:lang w:eastAsia="zh-CN"/>
        </w:rPr>
      </w:pPr>
      <w:r>
        <w:rPr>
          <w:rFonts w:hint="eastAsia" w:ascii="仿宋" w:hAnsi="仿宋" w:eastAsia="仿宋" w:cs="仿宋"/>
          <w:spacing w:val="-2"/>
          <w:sz w:val="21"/>
          <w:szCs w:val="21"/>
          <w:highlight w:val="none"/>
          <w:lang w:eastAsia="zh-CN"/>
        </w:rPr>
        <w:t>出现上述应当停止评标情形的，评标委员会应当通过项目电</w:t>
      </w:r>
      <w:r>
        <w:rPr>
          <w:rFonts w:hint="eastAsia" w:ascii="仿宋" w:hAnsi="仿宋" w:eastAsia="仿宋" w:cs="仿宋"/>
          <w:spacing w:val="-3"/>
          <w:sz w:val="21"/>
          <w:szCs w:val="21"/>
          <w:highlight w:val="none"/>
          <w:lang w:eastAsia="zh-CN"/>
        </w:rPr>
        <w:t>子化交易系统向采购组</w:t>
      </w:r>
      <w:r>
        <w:rPr>
          <w:rFonts w:hint="eastAsia" w:ascii="仿宋" w:hAnsi="仿宋" w:eastAsia="仿宋" w:cs="仿宋"/>
          <w:spacing w:val="-6"/>
          <w:sz w:val="21"/>
          <w:szCs w:val="21"/>
          <w:highlight w:val="none"/>
          <w:lang w:eastAsia="zh-CN"/>
        </w:rPr>
        <w:t>织单位提交相关说明材料，说明停止评审的情形和具体理由。除上述情形外，评标</w:t>
      </w:r>
      <w:r>
        <w:rPr>
          <w:rFonts w:hint="eastAsia" w:ascii="仿宋" w:hAnsi="仿宋" w:eastAsia="仿宋" w:cs="仿宋"/>
          <w:spacing w:val="-7"/>
          <w:sz w:val="21"/>
          <w:szCs w:val="21"/>
          <w:highlight w:val="none"/>
          <w:lang w:eastAsia="zh-CN"/>
        </w:rPr>
        <w:t>委员会不得以任何方式和理由停止评标。</w:t>
      </w:r>
    </w:p>
    <w:p w14:paraId="6A09312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2" w:firstLineChars="200"/>
        <w:textAlignment w:val="baseline"/>
        <w:rPr>
          <w:rFonts w:hint="eastAsia" w:ascii="仿宋" w:hAnsi="仿宋" w:eastAsia="仿宋" w:cs="仿宋"/>
          <w:spacing w:val="-7"/>
          <w:sz w:val="21"/>
          <w:szCs w:val="21"/>
          <w:highlight w:val="none"/>
          <w:lang w:eastAsia="zh-CN"/>
        </w:rPr>
      </w:pPr>
      <w:r>
        <w:rPr>
          <w:rFonts w:hint="eastAsia" w:ascii="仿宋" w:hAnsi="仿宋" w:eastAsia="仿宋" w:cs="仿宋"/>
          <w:spacing w:val="-7"/>
          <w:sz w:val="21"/>
          <w:szCs w:val="21"/>
          <w:highlight w:val="none"/>
          <w:lang w:eastAsia="zh-CN"/>
        </w:rPr>
        <w:t>出现上述应当停止评标情形的，采购组织单位应当通过项目电子化交易系统书面告知参加采购活动的投标人，并说明具体原因，同时在陕西省政府采购网公告。采购组织单位认为评标委员会不应当停止评标的，可以书面报告采购项目同级财政部门依法处理，并提供相关证明材料。</w:t>
      </w:r>
    </w:p>
    <w:p w14:paraId="73F17522">
      <w:pPr>
        <w:spacing w:before="34" w:line="220" w:lineRule="auto"/>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5.4.2</w:t>
      </w:r>
      <w:r>
        <w:rPr>
          <w:rFonts w:hint="eastAsia" w:ascii="仿宋" w:hAnsi="仿宋" w:eastAsia="仿宋" w:cs="仿宋"/>
          <w:spacing w:val="-42"/>
          <w:sz w:val="21"/>
          <w:szCs w:val="21"/>
          <w:highlight w:val="none"/>
          <w:lang w:eastAsia="zh-CN"/>
        </w:rPr>
        <w:t xml:space="preserve"> </w:t>
      </w:r>
      <w:r>
        <w:rPr>
          <w:rFonts w:hint="eastAsia" w:ascii="仿宋" w:hAnsi="仿宋" w:eastAsia="仿宋" w:cs="仿宋"/>
          <w:b/>
          <w:bCs/>
          <w:spacing w:val="-5"/>
          <w:sz w:val="21"/>
          <w:szCs w:val="21"/>
          <w:highlight w:val="none"/>
          <w:lang w:eastAsia="zh-CN"/>
        </w:rPr>
        <w:t>符合性审查</w:t>
      </w:r>
    </w:p>
    <w:p w14:paraId="112780D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6" w:firstLineChars="200"/>
        <w:textAlignment w:val="baseline"/>
        <w:rPr>
          <w:rFonts w:hint="eastAsia" w:ascii="仿宋" w:hAnsi="仿宋" w:eastAsia="仿宋" w:cs="仿宋"/>
          <w:spacing w:val="-6"/>
          <w:sz w:val="21"/>
          <w:szCs w:val="21"/>
          <w:highlight w:val="none"/>
          <w:lang w:eastAsia="zh-CN"/>
        </w:rPr>
      </w:pPr>
      <w:r>
        <w:rPr>
          <w:rFonts w:hint="eastAsia" w:ascii="仿宋" w:hAnsi="仿宋" w:eastAsia="仿宋" w:cs="仿宋"/>
          <w:spacing w:val="-6"/>
          <w:sz w:val="21"/>
          <w:szCs w:val="21"/>
          <w:highlight w:val="none"/>
          <w:lang w:eastAsia="zh-CN"/>
        </w:rPr>
        <w:t>一、评标委员会依据本招标文件的实质性要求，对符合资格的投标文件进行审查，以确定其是否满足本招标文件的实质性要求。本项目符合性审查事项，必须以本招标文件的明确规定的实质性要求作为依据。</w:t>
      </w:r>
    </w:p>
    <w:p w14:paraId="3386190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6" w:firstLineChars="200"/>
        <w:textAlignment w:val="baseline"/>
        <w:rPr>
          <w:rFonts w:hint="eastAsia" w:ascii="仿宋" w:hAnsi="仿宋" w:eastAsia="仿宋" w:cs="仿宋"/>
          <w:spacing w:val="-6"/>
          <w:sz w:val="21"/>
          <w:szCs w:val="21"/>
          <w:highlight w:val="none"/>
          <w:lang w:eastAsia="zh-CN"/>
        </w:rPr>
      </w:pPr>
      <w:r>
        <w:rPr>
          <w:rFonts w:hint="eastAsia" w:ascii="仿宋" w:hAnsi="仿宋" w:eastAsia="仿宋" w:cs="仿宋"/>
          <w:spacing w:val="-6"/>
          <w:sz w:val="21"/>
          <w:szCs w:val="21"/>
          <w:highlight w:val="none"/>
          <w:lang w:eastAsia="zh-CN"/>
        </w:rPr>
        <w:t>二、在符合性审查过程中，如果出现评标委员会成员意见不一致的情况，按照少数服从多数的原则确定，但不得违背政府采购基本原则和招标文件规定。</w:t>
      </w:r>
    </w:p>
    <w:p w14:paraId="2CAD37B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96" w:firstLineChars="200"/>
        <w:textAlignment w:val="baseline"/>
        <w:rPr>
          <w:rFonts w:hint="default" w:ascii="宋体" w:hAnsi="宋体" w:eastAsia="宋体" w:cs="宋体"/>
          <w:spacing w:val="-6"/>
          <w:sz w:val="24"/>
          <w:szCs w:val="24"/>
          <w:highlight w:val="none"/>
          <w:lang w:val="en-US" w:eastAsia="zh-CN"/>
        </w:rPr>
      </w:pPr>
      <w:r>
        <w:rPr>
          <w:rFonts w:hint="eastAsia" w:ascii="仿宋" w:hAnsi="仿宋" w:eastAsia="仿宋" w:cs="仿宋"/>
          <w:spacing w:val="-6"/>
          <w:sz w:val="21"/>
          <w:szCs w:val="21"/>
          <w:highlight w:val="none"/>
          <w:lang w:eastAsia="zh-CN"/>
        </w:rPr>
        <w:t>三、符合性审查标准见下表：</w:t>
      </w:r>
    </w:p>
    <w:tbl>
      <w:tblPr>
        <w:tblStyle w:val="19"/>
        <w:tblW w:w="98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1951"/>
        <w:gridCol w:w="5072"/>
        <w:gridCol w:w="2119"/>
      </w:tblGrid>
      <w:tr w14:paraId="57A37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682" w:type="dxa"/>
          </w:tcPr>
          <w:p w14:paraId="51277E10">
            <w:pPr>
              <w:pStyle w:val="18"/>
              <w:spacing w:before="183" w:line="222" w:lineRule="auto"/>
              <w:ind w:left="131"/>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序号</w:t>
            </w:r>
          </w:p>
        </w:tc>
        <w:tc>
          <w:tcPr>
            <w:tcW w:w="1951" w:type="dxa"/>
          </w:tcPr>
          <w:p w14:paraId="731BFDB5">
            <w:pPr>
              <w:pStyle w:val="18"/>
              <w:spacing w:before="182" w:line="221" w:lineRule="auto"/>
              <w:ind w:left="295"/>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符合审查要求概况</w:t>
            </w:r>
          </w:p>
        </w:tc>
        <w:tc>
          <w:tcPr>
            <w:tcW w:w="5072" w:type="dxa"/>
          </w:tcPr>
          <w:p w14:paraId="13E10E0E">
            <w:pPr>
              <w:pStyle w:val="18"/>
              <w:spacing w:before="183" w:line="221" w:lineRule="auto"/>
              <w:ind w:left="1407"/>
              <w:rPr>
                <w:rFonts w:hint="eastAsia" w:ascii="仿宋" w:hAnsi="仿宋" w:eastAsia="仿宋" w:cs="仿宋"/>
                <w:sz w:val="21"/>
                <w:szCs w:val="21"/>
                <w:highlight w:val="none"/>
              </w:rPr>
            </w:pPr>
            <w:r>
              <w:rPr>
                <w:rFonts w:hint="eastAsia" w:ascii="仿宋" w:hAnsi="仿宋" w:eastAsia="仿宋" w:cs="仿宋"/>
                <w:b/>
                <w:bCs/>
                <w:spacing w:val="-3"/>
                <w:sz w:val="21"/>
                <w:szCs w:val="21"/>
                <w:highlight w:val="none"/>
              </w:rPr>
              <w:t>评审点具体描述</w:t>
            </w:r>
          </w:p>
        </w:tc>
        <w:tc>
          <w:tcPr>
            <w:tcW w:w="2119" w:type="dxa"/>
          </w:tcPr>
          <w:p w14:paraId="3BE4E7F5">
            <w:pPr>
              <w:pStyle w:val="18"/>
              <w:spacing w:before="182" w:line="221" w:lineRule="auto"/>
              <w:ind w:left="882"/>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关联格式</w:t>
            </w:r>
          </w:p>
        </w:tc>
      </w:tr>
      <w:tr w14:paraId="1C08E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jc w:val="center"/>
        </w:trPr>
        <w:tc>
          <w:tcPr>
            <w:tcW w:w="682" w:type="dxa"/>
            <w:vAlign w:val="center"/>
          </w:tcPr>
          <w:p w14:paraId="350C8811">
            <w:pPr>
              <w:spacing w:line="263" w:lineRule="auto"/>
              <w:jc w:val="center"/>
              <w:rPr>
                <w:rFonts w:hint="eastAsia" w:ascii="仿宋" w:hAnsi="仿宋" w:eastAsia="仿宋" w:cs="仿宋"/>
                <w:highlight w:val="none"/>
                <w:lang w:eastAsia="zh-CN"/>
              </w:rPr>
            </w:pPr>
          </w:p>
          <w:p w14:paraId="3CCCB703">
            <w:pPr>
              <w:spacing w:line="263" w:lineRule="auto"/>
              <w:jc w:val="center"/>
              <w:rPr>
                <w:rFonts w:hint="eastAsia" w:ascii="仿宋" w:hAnsi="仿宋" w:eastAsia="仿宋" w:cs="仿宋"/>
                <w:highlight w:val="none"/>
                <w:lang w:eastAsia="zh-CN"/>
              </w:rPr>
            </w:pPr>
          </w:p>
          <w:p w14:paraId="1495C8D5">
            <w:pPr>
              <w:spacing w:line="263" w:lineRule="auto"/>
              <w:jc w:val="center"/>
              <w:rPr>
                <w:rFonts w:hint="eastAsia" w:ascii="仿宋" w:hAnsi="仿宋" w:eastAsia="仿宋" w:cs="仿宋"/>
                <w:highlight w:val="none"/>
                <w:lang w:eastAsia="zh-CN"/>
              </w:rPr>
            </w:pPr>
          </w:p>
          <w:p w14:paraId="51464595">
            <w:pPr>
              <w:spacing w:line="263" w:lineRule="auto"/>
              <w:jc w:val="center"/>
              <w:rPr>
                <w:rFonts w:hint="eastAsia" w:ascii="仿宋" w:hAnsi="仿宋" w:eastAsia="仿宋" w:cs="仿宋"/>
                <w:highlight w:val="none"/>
                <w:lang w:eastAsia="zh-CN"/>
              </w:rPr>
            </w:pPr>
          </w:p>
          <w:p w14:paraId="4657626E">
            <w:pPr>
              <w:spacing w:line="263" w:lineRule="auto"/>
              <w:jc w:val="center"/>
              <w:rPr>
                <w:rFonts w:hint="eastAsia" w:ascii="仿宋" w:hAnsi="仿宋" w:eastAsia="仿宋" w:cs="仿宋"/>
                <w:highlight w:val="none"/>
                <w:lang w:eastAsia="zh-CN"/>
              </w:rPr>
            </w:pPr>
          </w:p>
          <w:p w14:paraId="2167F738">
            <w:pPr>
              <w:spacing w:line="263" w:lineRule="auto"/>
              <w:jc w:val="center"/>
              <w:rPr>
                <w:rFonts w:hint="eastAsia" w:ascii="仿宋" w:hAnsi="仿宋" w:eastAsia="仿宋" w:cs="仿宋"/>
                <w:highlight w:val="none"/>
                <w:lang w:eastAsia="zh-CN"/>
              </w:rPr>
            </w:pPr>
            <w:r>
              <w:rPr>
                <w:rFonts w:hint="eastAsia" w:ascii="仿宋" w:hAnsi="仿宋" w:eastAsia="仿宋" w:cs="仿宋"/>
                <w:highlight w:val="none"/>
                <w:lang w:eastAsia="zh-CN"/>
              </w:rPr>
              <w:t>1</w:t>
            </w:r>
          </w:p>
        </w:tc>
        <w:tc>
          <w:tcPr>
            <w:tcW w:w="1951" w:type="dxa"/>
            <w:vAlign w:val="center"/>
          </w:tcPr>
          <w:p w14:paraId="2C83F058">
            <w:pPr>
              <w:spacing w:line="263" w:lineRule="auto"/>
              <w:jc w:val="center"/>
              <w:rPr>
                <w:rFonts w:hint="eastAsia" w:ascii="仿宋" w:hAnsi="仿宋" w:eastAsia="仿宋" w:cs="仿宋"/>
                <w:highlight w:val="none"/>
                <w:lang w:eastAsia="zh-CN"/>
              </w:rPr>
            </w:pPr>
          </w:p>
          <w:p w14:paraId="5CA82101">
            <w:pPr>
              <w:spacing w:line="263" w:lineRule="auto"/>
              <w:jc w:val="center"/>
              <w:rPr>
                <w:rFonts w:hint="eastAsia" w:ascii="仿宋" w:hAnsi="仿宋" w:eastAsia="仿宋" w:cs="仿宋"/>
                <w:highlight w:val="none"/>
                <w:lang w:eastAsia="zh-CN"/>
              </w:rPr>
            </w:pPr>
          </w:p>
          <w:p w14:paraId="390716AE">
            <w:pPr>
              <w:spacing w:line="263" w:lineRule="auto"/>
              <w:jc w:val="center"/>
              <w:rPr>
                <w:rFonts w:hint="eastAsia" w:ascii="仿宋" w:hAnsi="仿宋" w:eastAsia="仿宋" w:cs="仿宋"/>
                <w:highlight w:val="none"/>
                <w:lang w:eastAsia="zh-CN"/>
              </w:rPr>
            </w:pPr>
          </w:p>
          <w:p w14:paraId="5FFDD997">
            <w:pPr>
              <w:spacing w:line="263" w:lineRule="auto"/>
              <w:jc w:val="center"/>
              <w:rPr>
                <w:rFonts w:hint="eastAsia" w:ascii="仿宋" w:hAnsi="仿宋" w:eastAsia="仿宋" w:cs="仿宋"/>
                <w:highlight w:val="none"/>
                <w:lang w:eastAsia="zh-CN"/>
              </w:rPr>
            </w:pPr>
          </w:p>
          <w:p w14:paraId="28916187">
            <w:pPr>
              <w:spacing w:line="263" w:lineRule="auto"/>
              <w:jc w:val="center"/>
              <w:rPr>
                <w:rFonts w:hint="eastAsia" w:ascii="仿宋" w:hAnsi="仿宋" w:eastAsia="仿宋" w:cs="仿宋"/>
                <w:highlight w:val="none"/>
                <w:lang w:eastAsia="zh-CN"/>
              </w:rPr>
            </w:pPr>
          </w:p>
          <w:p w14:paraId="6C57528E">
            <w:pPr>
              <w:spacing w:line="263" w:lineRule="auto"/>
              <w:jc w:val="center"/>
              <w:rPr>
                <w:rFonts w:hint="eastAsia" w:ascii="仿宋" w:hAnsi="仿宋" w:eastAsia="仿宋" w:cs="仿宋"/>
                <w:highlight w:val="none"/>
                <w:lang w:eastAsia="zh-CN"/>
              </w:rPr>
            </w:pPr>
          </w:p>
          <w:p w14:paraId="6D06FB9B">
            <w:pPr>
              <w:spacing w:line="263" w:lineRule="auto"/>
              <w:jc w:val="center"/>
              <w:rPr>
                <w:rFonts w:hint="eastAsia" w:ascii="仿宋" w:hAnsi="仿宋" w:eastAsia="仿宋" w:cs="仿宋"/>
                <w:highlight w:val="none"/>
                <w:lang w:eastAsia="zh-CN"/>
              </w:rPr>
            </w:pPr>
            <w:r>
              <w:rPr>
                <w:rFonts w:hint="eastAsia" w:ascii="仿宋" w:hAnsi="仿宋" w:eastAsia="仿宋" w:cs="仿宋"/>
                <w:highlight w:val="none"/>
                <w:lang w:eastAsia="zh-CN"/>
              </w:rPr>
              <w:t>不正当竞争预防措施 （实质性要求）</w:t>
            </w:r>
          </w:p>
        </w:tc>
        <w:tc>
          <w:tcPr>
            <w:tcW w:w="5072" w:type="dxa"/>
            <w:vAlign w:val="center"/>
          </w:tcPr>
          <w:p w14:paraId="3FEF6A69">
            <w:pPr>
              <w:pStyle w:val="18"/>
              <w:spacing w:before="88" w:line="271" w:lineRule="auto"/>
              <w:ind w:left="111" w:right="69" w:firstLine="16"/>
              <w:jc w:val="both"/>
              <w:rPr>
                <w:rFonts w:hint="eastAsia" w:ascii="仿宋" w:hAnsi="仿宋" w:eastAsia="仿宋" w:cs="仿宋"/>
                <w:sz w:val="21"/>
                <w:szCs w:val="21"/>
                <w:highlight w:val="none"/>
              </w:rPr>
            </w:pPr>
            <w:r>
              <w:rPr>
                <w:rFonts w:hint="eastAsia" w:ascii="仿宋" w:hAnsi="仿宋" w:eastAsia="仿宋" w:cs="仿宋"/>
                <w:spacing w:val="8"/>
                <w:sz w:val="21"/>
                <w:szCs w:val="21"/>
                <w:highlight w:val="none"/>
                <w:lang w:eastAsia="zh-CN"/>
              </w:rPr>
              <w:t>1. 评标委员会认为投标人的报价明显低于</w:t>
            </w:r>
            <w:r>
              <w:rPr>
                <w:rFonts w:hint="eastAsia" w:ascii="仿宋" w:hAnsi="仿宋" w:eastAsia="仿宋" w:cs="仿宋"/>
                <w:spacing w:val="3"/>
                <w:sz w:val="21"/>
                <w:szCs w:val="21"/>
                <w:highlight w:val="none"/>
                <w:lang w:eastAsia="zh-CN"/>
              </w:rPr>
              <w:t>其他实质性响应的投标人报价，有可能影响</w:t>
            </w:r>
            <w:r>
              <w:rPr>
                <w:rFonts w:hint="eastAsia" w:ascii="仿宋" w:hAnsi="仿宋" w:eastAsia="仿宋" w:cs="仿宋"/>
                <w:spacing w:val="13"/>
                <w:sz w:val="21"/>
                <w:szCs w:val="21"/>
                <w:highlight w:val="none"/>
                <w:lang w:eastAsia="zh-CN"/>
              </w:rPr>
              <w:t xml:space="preserve"> </w:t>
            </w:r>
            <w:r>
              <w:rPr>
                <w:rFonts w:hint="eastAsia" w:ascii="仿宋" w:hAnsi="仿宋" w:eastAsia="仿宋" w:cs="仿宋"/>
                <w:spacing w:val="3"/>
                <w:sz w:val="21"/>
                <w:szCs w:val="21"/>
                <w:highlight w:val="none"/>
                <w:lang w:eastAsia="zh-CN"/>
              </w:rPr>
              <w:t>工程质量或者不能诚信履约的，应当要求其在合理的时间内提供书面说明，必要时提交相关证明材料；投标人不能证明其报价合理性的，评标委员会应当将其作为无效响应处</w:t>
            </w:r>
            <w:r>
              <w:rPr>
                <w:rFonts w:hint="eastAsia" w:ascii="仿宋" w:hAnsi="仿宋" w:eastAsia="仿宋" w:cs="仿宋"/>
                <w:spacing w:val="-7"/>
                <w:sz w:val="21"/>
                <w:szCs w:val="21"/>
                <w:highlight w:val="none"/>
                <w:lang w:eastAsia="zh-CN"/>
              </w:rPr>
              <w:t>理。（注：投标人报价低于采购预算 75%或者</w:t>
            </w:r>
            <w:r>
              <w:rPr>
                <w:rFonts w:hint="eastAsia" w:ascii="仿宋" w:hAnsi="仿宋" w:eastAsia="仿宋" w:cs="仿宋"/>
                <w:spacing w:val="-3"/>
                <w:sz w:val="21"/>
                <w:szCs w:val="21"/>
                <w:highlight w:val="none"/>
                <w:lang w:eastAsia="zh-CN"/>
              </w:rPr>
              <w:t>低于其他有效投标人报价算术平均价</w:t>
            </w:r>
            <w:r>
              <w:rPr>
                <w:rFonts w:hint="eastAsia" w:ascii="仿宋" w:hAnsi="仿宋" w:eastAsia="仿宋" w:cs="仿宋"/>
                <w:spacing w:val="-41"/>
                <w:sz w:val="21"/>
                <w:szCs w:val="21"/>
                <w:highlight w:val="none"/>
                <w:lang w:eastAsia="zh-CN"/>
              </w:rPr>
              <w:t xml:space="preserve"> </w:t>
            </w:r>
            <w:r>
              <w:rPr>
                <w:rFonts w:hint="eastAsia" w:ascii="仿宋" w:hAnsi="仿宋" w:eastAsia="仿宋" w:cs="仿宋"/>
                <w:spacing w:val="-3"/>
                <w:sz w:val="21"/>
                <w:szCs w:val="21"/>
                <w:highlight w:val="none"/>
                <w:lang w:eastAsia="zh-CN"/>
              </w:rPr>
              <w:t>85%的，</w:t>
            </w:r>
            <w:r>
              <w:rPr>
                <w:rFonts w:hint="eastAsia" w:ascii="仿宋" w:hAnsi="仿宋" w:eastAsia="仿宋" w:cs="仿宋"/>
                <w:spacing w:val="3"/>
                <w:sz w:val="21"/>
                <w:szCs w:val="21"/>
                <w:highlight w:val="none"/>
                <w:lang w:eastAsia="zh-CN"/>
              </w:rPr>
              <w:t>评标委员会可以认为该投标人“报价明显低</w:t>
            </w:r>
            <w:r>
              <w:rPr>
                <w:rFonts w:hint="eastAsia" w:ascii="仿宋" w:hAnsi="仿宋" w:eastAsia="仿宋" w:cs="仿宋"/>
                <w:spacing w:val="13"/>
                <w:sz w:val="21"/>
                <w:szCs w:val="21"/>
                <w:highlight w:val="none"/>
                <w:lang w:eastAsia="zh-CN"/>
              </w:rPr>
              <w:t xml:space="preserve"> </w:t>
            </w:r>
            <w:r>
              <w:rPr>
                <w:rFonts w:hint="eastAsia" w:ascii="仿宋" w:hAnsi="仿宋" w:eastAsia="仿宋" w:cs="仿宋"/>
                <w:spacing w:val="-13"/>
                <w:sz w:val="21"/>
                <w:szCs w:val="21"/>
                <w:highlight w:val="none"/>
                <w:lang w:eastAsia="zh-CN"/>
              </w:rPr>
              <w:t>于其他实质性响应的投标人报价”。</w:t>
            </w:r>
            <w:r>
              <w:rPr>
                <w:rFonts w:hint="eastAsia" w:ascii="仿宋" w:hAnsi="仿宋" w:eastAsia="仿宋" w:cs="仿宋"/>
                <w:spacing w:val="-13"/>
                <w:sz w:val="21"/>
                <w:szCs w:val="21"/>
                <w:highlight w:val="none"/>
              </w:rPr>
              <w:t>）</w:t>
            </w:r>
          </w:p>
          <w:p w14:paraId="5ED216C8">
            <w:pPr>
              <w:pStyle w:val="18"/>
              <w:spacing w:before="64" w:line="260" w:lineRule="auto"/>
              <w:ind w:left="120" w:right="26" w:hanging="5"/>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2.投标人通过项目电子化交易系统在评标委</w:t>
            </w:r>
            <w:r>
              <w:rPr>
                <w:rFonts w:hint="eastAsia" w:ascii="仿宋" w:hAnsi="仿宋" w:eastAsia="仿宋" w:cs="仿宋"/>
                <w:spacing w:val="-4"/>
                <w:sz w:val="21"/>
                <w:szCs w:val="21"/>
                <w:highlight w:val="none"/>
                <w:lang w:eastAsia="zh-CN"/>
              </w:rPr>
              <w:t>员会要求的合理时间内提交说明，否则无效。</w:t>
            </w:r>
          </w:p>
        </w:tc>
        <w:tc>
          <w:tcPr>
            <w:tcW w:w="2119" w:type="dxa"/>
            <w:vAlign w:val="center"/>
          </w:tcPr>
          <w:p w14:paraId="3CC0F24A">
            <w:pPr>
              <w:spacing w:line="279" w:lineRule="auto"/>
              <w:rPr>
                <w:rFonts w:hint="eastAsia" w:ascii="仿宋" w:hAnsi="仿宋" w:eastAsia="仿宋" w:cs="仿宋"/>
                <w:highlight w:val="none"/>
                <w:lang w:eastAsia="zh-CN"/>
              </w:rPr>
            </w:pPr>
          </w:p>
          <w:p w14:paraId="511BCF7B">
            <w:pPr>
              <w:spacing w:line="279" w:lineRule="auto"/>
              <w:rPr>
                <w:rFonts w:hint="eastAsia" w:ascii="仿宋" w:hAnsi="仿宋" w:eastAsia="仿宋" w:cs="仿宋"/>
                <w:highlight w:val="none"/>
                <w:lang w:eastAsia="zh-CN"/>
              </w:rPr>
            </w:pPr>
          </w:p>
          <w:p w14:paraId="32F39047">
            <w:pPr>
              <w:spacing w:line="279" w:lineRule="auto"/>
              <w:rPr>
                <w:rFonts w:hint="eastAsia" w:ascii="仿宋" w:hAnsi="仿宋" w:eastAsia="仿宋" w:cs="仿宋"/>
                <w:highlight w:val="none"/>
                <w:lang w:eastAsia="zh-CN"/>
              </w:rPr>
            </w:pPr>
          </w:p>
          <w:p w14:paraId="44F2D187">
            <w:pPr>
              <w:spacing w:line="279" w:lineRule="auto"/>
              <w:rPr>
                <w:rFonts w:hint="eastAsia" w:ascii="仿宋" w:hAnsi="仿宋" w:eastAsia="仿宋" w:cs="仿宋"/>
                <w:highlight w:val="none"/>
                <w:lang w:eastAsia="zh-CN"/>
              </w:rPr>
            </w:pPr>
          </w:p>
          <w:p w14:paraId="325D0ACD">
            <w:pPr>
              <w:spacing w:line="280" w:lineRule="auto"/>
              <w:rPr>
                <w:rFonts w:hint="eastAsia" w:ascii="仿宋" w:hAnsi="仿宋" w:eastAsia="仿宋" w:cs="仿宋"/>
                <w:highlight w:val="none"/>
                <w:lang w:eastAsia="zh-CN"/>
              </w:rPr>
            </w:pPr>
          </w:p>
          <w:p w14:paraId="36741D62">
            <w:pPr>
              <w:pStyle w:val="18"/>
              <w:spacing w:before="68" w:line="219" w:lineRule="auto"/>
              <w:ind w:left="113"/>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报价函</w:t>
            </w:r>
          </w:p>
          <w:p w14:paraId="1F981A4F">
            <w:pPr>
              <w:pStyle w:val="18"/>
              <w:spacing w:before="94" w:line="221" w:lineRule="auto"/>
              <w:ind w:left="116"/>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标的清单</w:t>
            </w:r>
          </w:p>
          <w:p w14:paraId="29361D25">
            <w:pPr>
              <w:pStyle w:val="18"/>
              <w:spacing w:before="91" w:line="219" w:lineRule="auto"/>
              <w:ind w:left="138"/>
              <w:rPr>
                <w:rFonts w:hint="eastAsia" w:ascii="仿宋" w:hAnsi="仿宋" w:eastAsia="仿宋" w:cs="仿宋"/>
                <w:sz w:val="21"/>
                <w:szCs w:val="21"/>
                <w:highlight w:val="none"/>
                <w:lang w:eastAsia="zh-CN"/>
              </w:rPr>
            </w:pPr>
          </w:p>
        </w:tc>
      </w:tr>
      <w:tr w14:paraId="03FB4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jc w:val="center"/>
        </w:trPr>
        <w:tc>
          <w:tcPr>
            <w:tcW w:w="682" w:type="dxa"/>
            <w:vAlign w:val="center"/>
          </w:tcPr>
          <w:p w14:paraId="1BFDC51A">
            <w:pPr>
              <w:spacing w:line="263" w:lineRule="auto"/>
              <w:jc w:val="center"/>
              <w:rPr>
                <w:rFonts w:hint="eastAsia" w:ascii="仿宋" w:hAnsi="仿宋" w:eastAsia="仿宋" w:cs="仿宋"/>
                <w:highlight w:val="none"/>
                <w:lang w:eastAsia="zh-CN"/>
              </w:rPr>
            </w:pPr>
          </w:p>
          <w:p w14:paraId="717F29B2">
            <w:pPr>
              <w:spacing w:line="263" w:lineRule="auto"/>
              <w:jc w:val="center"/>
              <w:rPr>
                <w:rFonts w:hint="eastAsia" w:ascii="仿宋" w:hAnsi="仿宋" w:eastAsia="仿宋" w:cs="仿宋"/>
                <w:highlight w:val="none"/>
                <w:lang w:eastAsia="zh-CN"/>
              </w:rPr>
            </w:pPr>
          </w:p>
          <w:p w14:paraId="366F74CC">
            <w:pPr>
              <w:spacing w:line="263" w:lineRule="auto"/>
              <w:jc w:val="center"/>
              <w:rPr>
                <w:rFonts w:hint="eastAsia" w:ascii="仿宋" w:hAnsi="仿宋" w:eastAsia="仿宋" w:cs="仿宋"/>
                <w:highlight w:val="none"/>
                <w:lang w:eastAsia="zh-CN"/>
              </w:rPr>
            </w:pPr>
            <w:r>
              <w:rPr>
                <w:rFonts w:hint="eastAsia" w:ascii="仿宋" w:hAnsi="仿宋" w:eastAsia="仿宋" w:cs="仿宋"/>
                <w:highlight w:val="none"/>
                <w:lang w:eastAsia="zh-CN"/>
              </w:rPr>
              <w:t>2</w:t>
            </w:r>
          </w:p>
        </w:tc>
        <w:tc>
          <w:tcPr>
            <w:tcW w:w="1951" w:type="dxa"/>
            <w:shd w:val="clear" w:color="auto" w:fill="auto"/>
            <w:vAlign w:val="center"/>
          </w:tcPr>
          <w:p w14:paraId="6CE07592">
            <w:pPr>
              <w:spacing w:line="263" w:lineRule="auto"/>
              <w:jc w:val="center"/>
              <w:rPr>
                <w:rFonts w:hint="eastAsia" w:ascii="仿宋" w:hAnsi="仿宋" w:eastAsia="仿宋" w:cs="仿宋"/>
                <w:highlight w:val="none"/>
                <w:lang w:eastAsia="zh-CN"/>
              </w:rPr>
            </w:pPr>
          </w:p>
          <w:p w14:paraId="7A0B5C78">
            <w:pPr>
              <w:spacing w:line="263" w:lineRule="auto"/>
              <w:jc w:val="center"/>
              <w:rPr>
                <w:rFonts w:hint="eastAsia" w:ascii="仿宋" w:hAnsi="仿宋" w:eastAsia="仿宋" w:cs="仿宋"/>
                <w:highlight w:val="none"/>
                <w:lang w:eastAsia="zh-CN"/>
              </w:rPr>
            </w:pPr>
            <w:r>
              <w:rPr>
                <w:rFonts w:hint="eastAsia" w:ascii="仿宋" w:hAnsi="仿宋" w:eastAsia="仿宋" w:cs="仿宋"/>
                <w:highlight w:val="none"/>
                <w:lang w:eastAsia="zh-CN"/>
              </w:rPr>
              <w:t>报价</w:t>
            </w:r>
          </w:p>
        </w:tc>
        <w:tc>
          <w:tcPr>
            <w:tcW w:w="5072" w:type="dxa"/>
            <w:shd w:val="clear" w:color="auto" w:fill="auto"/>
            <w:vAlign w:val="center"/>
          </w:tcPr>
          <w:p w14:paraId="20E7604E">
            <w:pPr>
              <w:pStyle w:val="18"/>
              <w:spacing w:before="115" w:line="265" w:lineRule="auto"/>
              <w:ind w:left="112" w:right="105" w:firstLine="12"/>
              <w:jc w:val="both"/>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只能有一个有效报价，且不超过采购预算金额或最高限价或评标委员会认为低于成本价</w:t>
            </w:r>
            <w:r>
              <w:rPr>
                <w:rFonts w:hint="eastAsia" w:ascii="仿宋" w:hAnsi="仿宋" w:eastAsia="仿宋" w:cs="仿宋"/>
                <w:spacing w:val="-2"/>
                <w:sz w:val="21"/>
                <w:szCs w:val="21"/>
                <w:highlight w:val="none"/>
                <w:lang w:eastAsia="zh-CN"/>
              </w:rPr>
              <w:t>的报价。</w:t>
            </w:r>
          </w:p>
        </w:tc>
        <w:tc>
          <w:tcPr>
            <w:tcW w:w="2119" w:type="dxa"/>
            <w:shd w:val="clear" w:color="auto" w:fill="auto"/>
            <w:vAlign w:val="center"/>
          </w:tcPr>
          <w:p w14:paraId="1F750444">
            <w:pPr>
              <w:pStyle w:val="18"/>
              <w:spacing w:before="84" w:line="219" w:lineRule="auto"/>
              <w:ind w:left="113"/>
              <w:rPr>
                <w:rFonts w:hint="eastAsia" w:ascii="仿宋" w:hAnsi="仿宋" w:eastAsia="仿宋" w:cs="仿宋"/>
                <w:spacing w:val="-1"/>
                <w:sz w:val="21"/>
                <w:szCs w:val="21"/>
                <w:highlight w:val="none"/>
                <w:lang w:eastAsia="zh-CN"/>
              </w:rPr>
            </w:pPr>
            <w:r>
              <w:rPr>
                <w:rFonts w:hint="eastAsia" w:ascii="仿宋" w:hAnsi="仿宋" w:eastAsia="仿宋" w:cs="仿宋"/>
                <w:spacing w:val="-1"/>
                <w:sz w:val="21"/>
                <w:szCs w:val="21"/>
                <w:highlight w:val="none"/>
                <w:lang w:eastAsia="zh-CN"/>
              </w:rPr>
              <w:t>响应函</w:t>
            </w:r>
          </w:p>
          <w:p w14:paraId="67665BC9">
            <w:pPr>
              <w:pStyle w:val="18"/>
              <w:spacing w:before="84" w:line="219" w:lineRule="auto"/>
              <w:ind w:left="113"/>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报价函</w:t>
            </w:r>
          </w:p>
          <w:p w14:paraId="5CDC2AD9">
            <w:pPr>
              <w:pStyle w:val="18"/>
              <w:spacing w:before="94" w:line="221" w:lineRule="auto"/>
              <w:ind w:left="116"/>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标的清单</w:t>
            </w:r>
          </w:p>
          <w:p w14:paraId="0564B834">
            <w:pPr>
              <w:pStyle w:val="18"/>
              <w:spacing w:before="89" w:line="219" w:lineRule="auto"/>
              <w:ind w:left="138"/>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已标价工程量清单</w:t>
            </w:r>
          </w:p>
        </w:tc>
      </w:tr>
      <w:tr w14:paraId="017C7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jc w:val="center"/>
        </w:trPr>
        <w:tc>
          <w:tcPr>
            <w:tcW w:w="682" w:type="dxa"/>
            <w:shd w:val="clear" w:color="auto" w:fill="auto"/>
            <w:vAlign w:val="top"/>
          </w:tcPr>
          <w:p w14:paraId="4C03CC13">
            <w:pPr>
              <w:spacing w:line="254" w:lineRule="auto"/>
              <w:rPr>
                <w:rFonts w:hint="eastAsia" w:ascii="仿宋" w:hAnsi="仿宋" w:eastAsia="仿宋" w:cs="仿宋"/>
                <w:highlight w:val="none"/>
                <w:lang w:eastAsia="zh-CN"/>
              </w:rPr>
            </w:pPr>
          </w:p>
          <w:p w14:paraId="6BBC0BE1">
            <w:pPr>
              <w:spacing w:line="254" w:lineRule="auto"/>
              <w:rPr>
                <w:rFonts w:hint="eastAsia" w:ascii="仿宋" w:hAnsi="仿宋" w:eastAsia="仿宋" w:cs="仿宋"/>
                <w:highlight w:val="none"/>
                <w:lang w:eastAsia="zh-CN"/>
              </w:rPr>
            </w:pPr>
          </w:p>
          <w:p w14:paraId="6772945B">
            <w:pPr>
              <w:spacing w:line="254" w:lineRule="auto"/>
              <w:rPr>
                <w:rFonts w:hint="eastAsia" w:ascii="仿宋" w:hAnsi="仿宋" w:eastAsia="仿宋" w:cs="仿宋"/>
                <w:highlight w:val="none"/>
                <w:lang w:eastAsia="zh-CN"/>
              </w:rPr>
            </w:pPr>
          </w:p>
          <w:p w14:paraId="636D939A">
            <w:pPr>
              <w:pStyle w:val="18"/>
              <w:spacing w:before="69" w:line="182" w:lineRule="auto"/>
              <w:ind w:left="295" w:leftChars="0"/>
              <w:rPr>
                <w:rFonts w:hint="eastAsia" w:ascii="仿宋" w:hAnsi="仿宋" w:eastAsia="仿宋" w:cs="仿宋"/>
                <w:snapToGrid w:val="0"/>
                <w:color w:val="000000"/>
                <w:sz w:val="21"/>
                <w:szCs w:val="21"/>
                <w:highlight w:val="none"/>
                <w:lang w:val="en-US" w:eastAsia="zh-CN" w:bidi="ar-SA"/>
              </w:rPr>
            </w:pPr>
            <w:r>
              <w:rPr>
                <w:rFonts w:hint="eastAsia" w:ascii="仿宋" w:hAnsi="仿宋" w:eastAsia="仿宋" w:cs="仿宋"/>
                <w:sz w:val="21"/>
                <w:szCs w:val="21"/>
                <w:highlight w:val="none"/>
              </w:rPr>
              <w:t>3</w:t>
            </w:r>
          </w:p>
        </w:tc>
        <w:tc>
          <w:tcPr>
            <w:tcW w:w="1951" w:type="dxa"/>
            <w:shd w:val="clear" w:color="auto" w:fill="auto"/>
            <w:vAlign w:val="top"/>
          </w:tcPr>
          <w:p w14:paraId="44B4AADC">
            <w:pPr>
              <w:spacing w:line="256" w:lineRule="auto"/>
              <w:rPr>
                <w:rFonts w:hint="eastAsia" w:ascii="仿宋" w:hAnsi="仿宋" w:eastAsia="仿宋" w:cs="仿宋"/>
                <w:highlight w:val="none"/>
                <w:lang w:eastAsia="zh-CN"/>
              </w:rPr>
            </w:pPr>
          </w:p>
          <w:p w14:paraId="5FA82010">
            <w:pPr>
              <w:spacing w:line="256" w:lineRule="auto"/>
              <w:rPr>
                <w:rFonts w:hint="eastAsia" w:ascii="仿宋" w:hAnsi="仿宋" w:eastAsia="仿宋" w:cs="仿宋"/>
                <w:highlight w:val="none"/>
                <w:lang w:eastAsia="zh-CN"/>
              </w:rPr>
            </w:pPr>
          </w:p>
          <w:p w14:paraId="1012833F">
            <w:pPr>
              <w:pStyle w:val="18"/>
              <w:spacing w:before="68" w:line="260" w:lineRule="auto"/>
              <w:ind w:left="117" w:leftChars="0" w:right="104" w:rightChars="0" w:hanging="4" w:firstLineChars="0"/>
              <w:rPr>
                <w:rFonts w:hint="eastAsia" w:ascii="仿宋" w:hAnsi="仿宋" w:eastAsia="仿宋" w:cs="仿宋"/>
                <w:snapToGrid w:val="0"/>
                <w:color w:val="000000"/>
                <w:sz w:val="21"/>
                <w:szCs w:val="21"/>
                <w:highlight w:val="none"/>
                <w:lang w:val="en-US" w:eastAsia="zh-CN" w:bidi="ar-SA"/>
              </w:rPr>
            </w:pPr>
            <w:r>
              <w:rPr>
                <w:rFonts w:hint="eastAsia" w:ascii="仿宋" w:hAnsi="仿宋" w:eastAsia="仿宋" w:cs="仿宋"/>
                <w:spacing w:val="17"/>
                <w:sz w:val="21"/>
                <w:szCs w:val="21"/>
                <w:highlight w:val="none"/>
                <w:lang w:eastAsia="zh-CN"/>
              </w:rPr>
              <w:t>投标文件的签署及盖</w:t>
            </w:r>
            <w:r>
              <w:rPr>
                <w:rFonts w:hint="eastAsia" w:ascii="仿宋" w:hAnsi="仿宋" w:eastAsia="仿宋" w:cs="仿宋"/>
                <w:sz w:val="21"/>
                <w:szCs w:val="21"/>
                <w:highlight w:val="none"/>
                <w:lang w:eastAsia="zh-CN"/>
              </w:rPr>
              <w:t xml:space="preserve"> 章</w:t>
            </w:r>
          </w:p>
        </w:tc>
        <w:tc>
          <w:tcPr>
            <w:tcW w:w="5072" w:type="dxa"/>
            <w:shd w:val="clear" w:color="auto" w:fill="auto"/>
            <w:vAlign w:val="top"/>
          </w:tcPr>
          <w:p w14:paraId="25CC41D3">
            <w:pPr>
              <w:spacing w:line="256" w:lineRule="auto"/>
              <w:rPr>
                <w:rFonts w:hint="eastAsia" w:ascii="仿宋" w:hAnsi="仿宋" w:eastAsia="仿宋" w:cs="仿宋"/>
                <w:highlight w:val="none"/>
                <w:lang w:eastAsia="zh-CN"/>
              </w:rPr>
            </w:pPr>
          </w:p>
          <w:p w14:paraId="2EC92B9D">
            <w:pPr>
              <w:spacing w:line="256" w:lineRule="auto"/>
              <w:rPr>
                <w:rFonts w:hint="eastAsia" w:ascii="仿宋" w:hAnsi="仿宋" w:eastAsia="仿宋" w:cs="仿宋"/>
                <w:highlight w:val="none"/>
                <w:lang w:eastAsia="zh-CN"/>
              </w:rPr>
            </w:pPr>
          </w:p>
          <w:p w14:paraId="508CE8B5">
            <w:pPr>
              <w:pStyle w:val="18"/>
              <w:spacing w:before="68" w:line="260" w:lineRule="auto"/>
              <w:ind w:left="111" w:leftChars="0" w:right="105" w:rightChars="0" w:firstLine="2" w:firstLineChars="0"/>
              <w:rPr>
                <w:rFonts w:hint="eastAsia" w:ascii="仿宋" w:hAnsi="仿宋" w:eastAsia="仿宋" w:cs="仿宋"/>
                <w:snapToGrid w:val="0"/>
                <w:color w:val="000000"/>
                <w:sz w:val="21"/>
                <w:szCs w:val="21"/>
                <w:highlight w:val="none"/>
                <w:lang w:val="en-US" w:eastAsia="zh-CN" w:bidi="ar-SA"/>
              </w:rPr>
            </w:pPr>
            <w:r>
              <w:rPr>
                <w:rFonts w:hint="eastAsia" w:ascii="仿宋" w:hAnsi="仿宋" w:eastAsia="仿宋" w:cs="仿宋"/>
                <w:spacing w:val="3"/>
                <w:sz w:val="21"/>
                <w:szCs w:val="21"/>
                <w:highlight w:val="none"/>
                <w:lang w:eastAsia="zh-CN"/>
              </w:rPr>
              <w:t>按照投标文件格式要求进行签署及盖章，由</w:t>
            </w:r>
            <w:r>
              <w:rPr>
                <w:rFonts w:hint="eastAsia" w:ascii="仿宋" w:hAnsi="仿宋" w:eastAsia="仿宋" w:cs="仿宋"/>
                <w:spacing w:val="10"/>
                <w:sz w:val="21"/>
                <w:szCs w:val="21"/>
                <w:highlight w:val="none"/>
                <w:lang w:eastAsia="zh-CN"/>
              </w:rPr>
              <w:t xml:space="preserve"> </w:t>
            </w:r>
            <w:r>
              <w:rPr>
                <w:rFonts w:hint="eastAsia" w:ascii="仿宋" w:hAnsi="仿宋" w:eastAsia="仿宋" w:cs="仿宋"/>
                <w:spacing w:val="-1"/>
                <w:sz w:val="21"/>
                <w:szCs w:val="21"/>
                <w:highlight w:val="none"/>
                <w:lang w:eastAsia="zh-CN"/>
              </w:rPr>
              <w:t>委托代理人签署的，应附授权委托书。</w:t>
            </w:r>
          </w:p>
        </w:tc>
        <w:tc>
          <w:tcPr>
            <w:tcW w:w="2119" w:type="dxa"/>
            <w:shd w:val="clear" w:color="auto" w:fill="auto"/>
            <w:vAlign w:val="top"/>
          </w:tcPr>
          <w:p w14:paraId="712BA99F">
            <w:pPr>
              <w:pStyle w:val="18"/>
              <w:spacing w:before="89" w:line="220" w:lineRule="auto"/>
              <w:ind w:left="131"/>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响应函</w:t>
            </w:r>
          </w:p>
          <w:p w14:paraId="0E941D6F">
            <w:pPr>
              <w:pStyle w:val="18"/>
              <w:spacing w:before="89" w:line="220" w:lineRule="auto"/>
              <w:ind w:left="131"/>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报价函</w:t>
            </w:r>
          </w:p>
          <w:p w14:paraId="3CFDA6D9">
            <w:pPr>
              <w:pStyle w:val="18"/>
              <w:spacing w:before="89" w:line="220" w:lineRule="auto"/>
              <w:ind w:left="131"/>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已标价工程量清单</w:t>
            </w:r>
          </w:p>
          <w:p w14:paraId="0D29CEB8">
            <w:pPr>
              <w:pStyle w:val="18"/>
              <w:spacing w:before="89" w:line="220" w:lineRule="auto"/>
              <w:ind w:left="131"/>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技术服务合同条款及其他商务要求应答表</w:t>
            </w:r>
          </w:p>
          <w:p w14:paraId="70F5279C">
            <w:pPr>
              <w:pStyle w:val="18"/>
              <w:spacing w:before="89" w:line="220" w:lineRule="auto"/>
              <w:ind w:left="131"/>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供应商资格证明资料</w:t>
            </w:r>
          </w:p>
          <w:p w14:paraId="6B32FACA">
            <w:pPr>
              <w:pStyle w:val="18"/>
              <w:spacing w:before="89" w:line="220" w:lineRule="auto"/>
              <w:ind w:left="131"/>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供应商承诺书</w:t>
            </w:r>
          </w:p>
          <w:p w14:paraId="08615A33">
            <w:pPr>
              <w:pStyle w:val="18"/>
              <w:spacing w:before="89" w:line="220" w:lineRule="auto"/>
              <w:ind w:left="131"/>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投标保证金缴纳凭证</w:t>
            </w:r>
          </w:p>
          <w:p w14:paraId="2D02AE3D">
            <w:pPr>
              <w:pStyle w:val="18"/>
              <w:spacing w:before="89" w:line="220" w:lineRule="auto"/>
              <w:ind w:left="131" w:leftChars="0"/>
              <w:rPr>
                <w:rFonts w:hint="eastAsia" w:ascii="仿宋" w:hAnsi="仿宋" w:eastAsia="仿宋" w:cs="仿宋"/>
                <w:snapToGrid w:val="0"/>
                <w:color w:val="000000"/>
                <w:sz w:val="21"/>
                <w:szCs w:val="21"/>
                <w:highlight w:val="none"/>
                <w:lang w:val="en-US" w:eastAsia="zh-CN" w:bidi="ar-SA"/>
              </w:rPr>
            </w:pPr>
            <w:r>
              <w:rPr>
                <w:rFonts w:hint="eastAsia" w:ascii="仿宋" w:hAnsi="仿宋" w:eastAsia="仿宋" w:cs="仿宋"/>
                <w:sz w:val="21"/>
                <w:szCs w:val="21"/>
                <w:highlight w:val="none"/>
                <w:lang w:eastAsia="zh-CN"/>
              </w:rPr>
              <w:t>响应文件封面</w:t>
            </w:r>
          </w:p>
        </w:tc>
      </w:tr>
      <w:tr w14:paraId="69404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682" w:type="dxa"/>
            <w:shd w:val="clear" w:color="auto" w:fill="auto"/>
            <w:vAlign w:val="top"/>
          </w:tcPr>
          <w:p w14:paraId="18905D07">
            <w:pPr>
              <w:pStyle w:val="18"/>
              <w:spacing w:before="218" w:line="182" w:lineRule="auto"/>
              <w:ind w:left="290" w:leftChars="0"/>
              <w:rPr>
                <w:rFonts w:hint="eastAsia" w:ascii="仿宋" w:hAnsi="仿宋" w:eastAsia="仿宋" w:cs="仿宋"/>
                <w:snapToGrid w:val="0"/>
                <w:color w:val="000000"/>
                <w:sz w:val="21"/>
                <w:szCs w:val="21"/>
                <w:highlight w:val="none"/>
                <w:lang w:val="en-US" w:eastAsia="zh-CN" w:bidi="ar-SA"/>
              </w:rPr>
            </w:pPr>
            <w:r>
              <w:rPr>
                <w:rFonts w:hint="eastAsia" w:ascii="仿宋" w:hAnsi="仿宋" w:eastAsia="仿宋" w:cs="仿宋"/>
                <w:sz w:val="21"/>
                <w:szCs w:val="21"/>
                <w:highlight w:val="none"/>
              </w:rPr>
              <w:t>4</w:t>
            </w:r>
          </w:p>
        </w:tc>
        <w:tc>
          <w:tcPr>
            <w:tcW w:w="1951" w:type="dxa"/>
            <w:shd w:val="clear" w:color="auto" w:fill="auto"/>
            <w:vAlign w:val="top"/>
          </w:tcPr>
          <w:p w14:paraId="67543835">
            <w:pPr>
              <w:pStyle w:val="18"/>
              <w:spacing w:before="183" w:line="221" w:lineRule="auto"/>
              <w:ind w:left="113" w:leftChars="0"/>
              <w:rPr>
                <w:rFonts w:hint="eastAsia" w:ascii="仿宋" w:hAnsi="仿宋" w:eastAsia="仿宋" w:cs="仿宋"/>
                <w:snapToGrid w:val="0"/>
                <w:color w:val="000000"/>
                <w:sz w:val="21"/>
                <w:szCs w:val="21"/>
                <w:highlight w:val="none"/>
                <w:lang w:val="en-US" w:eastAsia="zh-CN" w:bidi="ar-SA"/>
              </w:rPr>
            </w:pPr>
            <w:r>
              <w:rPr>
                <w:rFonts w:hint="eastAsia" w:ascii="仿宋" w:hAnsi="仿宋" w:eastAsia="仿宋" w:cs="仿宋"/>
                <w:spacing w:val="-2"/>
                <w:sz w:val="21"/>
                <w:szCs w:val="21"/>
                <w:highlight w:val="none"/>
              </w:rPr>
              <w:t>投标有效期</w:t>
            </w:r>
          </w:p>
        </w:tc>
        <w:tc>
          <w:tcPr>
            <w:tcW w:w="5072" w:type="dxa"/>
            <w:shd w:val="clear" w:color="auto" w:fill="auto"/>
            <w:vAlign w:val="top"/>
          </w:tcPr>
          <w:p w14:paraId="66103709">
            <w:pPr>
              <w:pStyle w:val="18"/>
              <w:spacing w:before="182" w:line="221" w:lineRule="auto"/>
              <w:ind w:left="112" w:leftChars="0"/>
              <w:rPr>
                <w:rFonts w:hint="eastAsia" w:ascii="仿宋" w:hAnsi="仿宋" w:eastAsia="仿宋" w:cs="仿宋"/>
                <w:snapToGrid w:val="0"/>
                <w:color w:val="000000"/>
                <w:sz w:val="21"/>
                <w:szCs w:val="21"/>
                <w:highlight w:val="none"/>
                <w:lang w:val="en-US" w:eastAsia="zh-CN" w:bidi="ar-SA"/>
              </w:rPr>
            </w:pPr>
            <w:r>
              <w:rPr>
                <w:rFonts w:hint="eastAsia" w:ascii="仿宋" w:hAnsi="仿宋" w:eastAsia="仿宋" w:cs="仿宋"/>
                <w:spacing w:val="-1"/>
                <w:sz w:val="21"/>
                <w:szCs w:val="21"/>
                <w:highlight w:val="none"/>
                <w:lang w:eastAsia="zh-CN"/>
              </w:rPr>
              <w:t>应满足招标文件要求。</w:t>
            </w:r>
          </w:p>
        </w:tc>
        <w:tc>
          <w:tcPr>
            <w:tcW w:w="2119" w:type="dxa"/>
            <w:shd w:val="clear" w:color="auto" w:fill="auto"/>
            <w:vAlign w:val="top"/>
          </w:tcPr>
          <w:p w14:paraId="4550E020">
            <w:pPr>
              <w:pStyle w:val="18"/>
              <w:spacing w:before="183" w:line="221" w:lineRule="auto"/>
              <w:ind w:left="118" w:leftChars="0"/>
              <w:rPr>
                <w:rFonts w:hint="eastAsia" w:ascii="仿宋" w:hAnsi="仿宋" w:eastAsia="仿宋" w:cs="仿宋"/>
                <w:snapToGrid w:val="0"/>
                <w:color w:val="000000"/>
                <w:sz w:val="21"/>
                <w:szCs w:val="21"/>
                <w:highlight w:val="none"/>
                <w:lang w:val="en-US" w:eastAsia="zh-CN" w:bidi="ar-SA"/>
              </w:rPr>
            </w:pPr>
            <w:r>
              <w:rPr>
                <w:rFonts w:hint="eastAsia" w:ascii="仿宋" w:hAnsi="仿宋" w:eastAsia="仿宋" w:cs="仿宋"/>
                <w:spacing w:val="-3"/>
                <w:sz w:val="21"/>
                <w:szCs w:val="21"/>
                <w:highlight w:val="none"/>
                <w:lang w:eastAsia="zh-CN"/>
              </w:rPr>
              <w:t>响应函</w:t>
            </w:r>
          </w:p>
        </w:tc>
      </w:tr>
    </w:tbl>
    <w:p w14:paraId="1A9F97DD">
      <w:pPr>
        <w:rPr>
          <w:rFonts w:hint="default" w:ascii="宋体" w:hAnsi="宋体" w:eastAsia="宋体" w:cs="宋体"/>
          <w:spacing w:val="-6"/>
          <w:sz w:val="24"/>
          <w:szCs w:val="24"/>
          <w:highlight w:val="none"/>
          <w:lang w:val="en-US" w:eastAsia="zh-CN"/>
        </w:rPr>
      </w:pPr>
      <w:r>
        <w:rPr>
          <w:rFonts w:hint="default" w:ascii="宋体" w:hAnsi="宋体" w:eastAsia="宋体" w:cs="宋体"/>
          <w:spacing w:val="-6"/>
          <w:sz w:val="24"/>
          <w:szCs w:val="24"/>
          <w:highlight w:val="none"/>
          <w:lang w:val="en-US" w:eastAsia="zh-CN"/>
        </w:rPr>
        <w:br w:type="page"/>
      </w:r>
    </w:p>
    <w:tbl>
      <w:tblPr>
        <w:tblStyle w:val="19"/>
        <w:tblW w:w="98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2267"/>
        <w:gridCol w:w="4284"/>
        <w:gridCol w:w="2591"/>
      </w:tblGrid>
      <w:tr w14:paraId="080B8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jc w:val="center"/>
        </w:trPr>
        <w:tc>
          <w:tcPr>
            <w:tcW w:w="682" w:type="dxa"/>
            <w:vAlign w:val="center"/>
          </w:tcPr>
          <w:p w14:paraId="7F9C0590">
            <w:pPr>
              <w:pStyle w:val="18"/>
              <w:spacing w:before="69" w:line="181" w:lineRule="auto"/>
              <w:ind w:left="295"/>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2267" w:type="dxa"/>
            <w:shd w:val="clear" w:color="auto" w:fill="auto"/>
            <w:vAlign w:val="center"/>
          </w:tcPr>
          <w:p w14:paraId="1F8E6059">
            <w:pPr>
              <w:pStyle w:val="18"/>
              <w:spacing w:before="185" w:line="221" w:lineRule="auto"/>
              <w:ind w:left="113"/>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工期</w:t>
            </w:r>
          </w:p>
        </w:tc>
        <w:tc>
          <w:tcPr>
            <w:tcW w:w="4284" w:type="dxa"/>
            <w:shd w:val="clear" w:color="auto" w:fill="auto"/>
            <w:vAlign w:val="center"/>
          </w:tcPr>
          <w:p w14:paraId="3412F3B3">
            <w:pPr>
              <w:pStyle w:val="18"/>
              <w:spacing w:before="184" w:line="221" w:lineRule="auto"/>
              <w:ind w:left="112"/>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应满足招标文件要求。</w:t>
            </w:r>
          </w:p>
        </w:tc>
        <w:tc>
          <w:tcPr>
            <w:tcW w:w="2591" w:type="dxa"/>
            <w:shd w:val="clear" w:color="auto" w:fill="auto"/>
            <w:vAlign w:val="center"/>
          </w:tcPr>
          <w:p w14:paraId="561BEACD">
            <w:pPr>
              <w:pStyle w:val="18"/>
              <w:spacing w:before="184" w:line="219" w:lineRule="auto"/>
              <w:ind w:left="113"/>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报价函</w:t>
            </w:r>
          </w:p>
          <w:p w14:paraId="32CC20A9">
            <w:pPr>
              <w:pStyle w:val="18"/>
              <w:spacing w:before="184" w:line="219" w:lineRule="auto"/>
              <w:ind w:left="113"/>
              <w:rPr>
                <w:rFonts w:hint="eastAsia" w:ascii="仿宋" w:hAnsi="仿宋" w:eastAsia="仿宋" w:cs="仿宋"/>
                <w:spacing w:val="-1"/>
                <w:sz w:val="21"/>
                <w:szCs w:val="21"/>
                <w:highlight w:val="none"/>
              </w:rPr>
            </w:pPr>
            <w:r>
              <w:rPr>
                <w:rFonts w:hint="eastAsia" w:ascii="仿宋" w:hAnsi="仿宋" w:eastAsia="仿宋" w:cs="仿宋"/>
                <w:sz w:val="21"/>
                <w:szCs w:val="21"/>
                <w:highlight w:val="none"/>
                <w:lang w:eastAsia="zh-CN"/>
              </w:rPr>
              <w:t>技术服务合同条款及其他商务要求应答表</w:t>
            </w:r>
          </w:p>
        </w:tc>
      </w:tr>
      <w:tr w14:paraId="0D13F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jc w:val="center"/>
        </w:trPr>
        <w:tc>
          <w:tcPr>
            <w:tcW w:w="682" w:type="dxa"/>
            <w:vAlign w:val="center"/>
          </w:tcPr>
          <w:p w14:paraId="34268667">
            <w:pPr>
              <w:pStyle w:val="18"/>
              <w:spacing w:before="69" w:line="182" w:lineRule="auto"/>
              <w:ind w:left="293"/>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2267" w:type="dxa"/>
            <w:vAlign w:val="center"/>
          </w:tcPr>
          <w:p w14:paraId="44FEED4B">
            <w:pPr>
              <w:pStyle w:val="18"/>
              <w:spacing w:before="68" w:line="221" w:lineRule="auto"/>
              <w:ind w:left="11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保修期</w:t>
            </w:r>
          </w:p>
        </w:tc>
        <w:tc>
          <w:tcPr>
            <w:tcW w:w="4284" w:type="dxa"/>
            <w:vAlign w:val="center"/>
          </w:tcPr>
          <w:p w14:paraId="02E221DA">
            <w:pPr>
              <w:pStyle w:val="18"/>
              <w:spacing w:before="259" w:line="260" w:lineRule="auto"/>
              <w:ind w:left="120" w:right="101" w:hanging="7"/>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lang w:eastAsia="zh-CN"/>
              </w:rPr>
              <w:t>应满足招标文件要求。</w:t>
            </w:r>
          </w:p>
        </w:tc>
        <w:tc>
          <w:tcPr>
            <w:tcW w:w="2591" w:type="dxa"/>
            <w:vAlign w:val="center"/>
          </w:tcPr>
          <w:p w14:paraId="32C67E6B">
            <w:pPr>
              <w:pStyle w:val="18"/>
              <w:spacing w:before="184" w:line="219" w:lineRule="auto"/>
              <w:ind w:left="113"/>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报价函</w:t>
            </w:r>
          </w:p>
          <w:p w14:paraId="29F49AE2">
            <w:pPr>
              <w:pStyle w:val="18"/>
              <w:spacing w:before="64" w:line="220" w:lineRule="auto"/>
              <w:ind w:left="12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技术服务合同条款及其他商务要求应答表</w:t>
            </w:r>
          </w:p>
        </w:tc>
      </w:tr>
      <w:tr w14:paraId="3194D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682" w:type="dxa"/>
            <w:vAlign w:val="center"/>
          </w:tcPr>
          <w:p w14:paraId="51A7EC82">
            <w:pPr>
              <w:pStyle w:val="18"/>
              <w:spacing w:before="221" w:line="181" w:lineRule="auto"/>
              <w:ind w:left="29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267" w:type="dxa"/>
            <w:shd w:val="clear" w:color="auto" w:fill="auto"/>
            <w:vAlign w:val="center"/>
          </w:tcPr>
          <w:p w14:paraId="32290AD9">
            <w:pPr>
              <w:pStyle w:val="18"/>
              <w:spacing w:before="183" w:line="221" w:lineRule="auto"/>
              <w:ind w:left="113"/>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投标保证金</w:t>
            </w:r>
          </w:p>
        </w:tc>
        <w:tc>
          <w:tcPr>
            <w:tcW w:w="4284" w:type="dxa"/>
            <w:shd w:val="clear" w:color="auto" w:fill="auto"/>
            <w:vAlign w:val="center"/>
          </w:tcPr>
          <w:p w14:paraId="6B91F594">
            <w:pPr>
              <w:pStyle w:val="18"/>
              <w:spacing w:before="182" w:line="221" w:lineRule="auto"/>
              <w:ind w:left="112"/>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eastAsia="zh-CN"/>
              </w:rPr>
              <w:t>应满足招标文件要求。</w:t>
            </w:r>
          </w:p>
        </w:tc>
        <w:tc>
          <w:tcPr>
            <w:tcW w:w="2591" w:type="dxa"/>
            <w:shd w:val="clear" w:color="auto" w:fill="auto"/>
            <w:vAlign w:val="center"/>
          </w:tcPr>
          <w:p w14:paraId="14F942AA">
            <w:pPr>
              <w:pStyle w:val="18"/>
              <w:spacing w:before="89" w:line="220" w:lineRule="auto"/>
              <w:ind w:left="13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投标保证金缴纳凭证</w:t>
            </w:r>
          </w:p>
        </w:tc>
      </w:tr>
      <w:tr w14:paraId="769F7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jc w:val="center"/>
        </w:trPr>
        <w:tc>
          <w:tcPr>
            <w:tcW w:w="682" w:type="dxa"/>
            <w:vAlign w:val="center"/>
          </w:tcPr>
          <w:p w14:paraId="363900B1">
            <w:pPr>
              <w:pStyle w:val="18"/>
              <w:spacing w:before="218" w:line="182" w:lineRule="auto"/>
              <w:ind w:left="292"/>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2267" w:type="dxa"/>
            <w:shd w:val="clear" w:color="auto" w:fill="auto"/>
            <w:vAlign w:val="center"/>
          </w:tcPr>
          <w:p w14:paraId="43DC604A">
            <w:pPr>
              <w:spacing w:line="253" w:lineRule="auto"/>
              <w:rPr>
                <w:rFonts w:hint="eastAsia" w:ascii="仿宋" w:hAnsi="仿宋" w:eastAsia="仿宋" w:cs="仿宋"/>
                <w:spacing w:val="-1"/>
                <w:highlight w:val="none"/>
                <w:lang w:eastAsia="zh-CN"/>
              </w:rPr>
            </w:pPr>
          </w:p>
          <w:p w14:paraId="7866D67D">
            <w:pPr>
              <w:spacing w:before="78" w:line="377" w:lineRule="auto"/>
              <w:ind w:left="142" w:right="136" w:hanging="18"/>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法律、法规和招标文件规定的其他无效情形</w:t>
            </w:r>
          </w:p>
        </w:tc>
        <w:tc>
          <w:tcPr>
            <w:tcW w:w="4284" w:type="dxa"/>
            <w:shd w:val="clear" w:color="auto" w:fill="auto"/>
            <w:vAlign w:val="center"/>
          </w:tcPr>
          <w:p w14:paraId="1C3F70EC">
            <w:pPr>
              <w:spacing w:line="265" w:lineRule="auto"/>
              <w:rPr>
                <w:rFonts w:hint="eastAsia" w:ascii="仿宋" w:hAnsi="仿宋" w:eastAsia="仿宋" w:cs="仿宋"/>
                <w:spacing w:val="-1"/>
                <w:highlight w:val="none"/>
                <w:lang w:eastAsia="zh-CN"/>
              </w:rPr>
            </w:pPr>
          </w:p>
          <w:p w14:paraId="48DBDCC9">
            <w:pPr>
              <w:spacing w:before="78" w:line="374" w:lineRule="auto"/>
              <w:ind w:left="128" w:right="220" w:firstLine="3"/>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是否符合法律法规和招标文件规定的其他实质性要求</w:t>
            </w:r>
          </w:p>
        </w:tc>
        <w:tc>
          <w:tcPr>
            <w:tcW w:w="2591" w:type="dxa"/>
            <w:shd w:val="clear" w:color="auto" w:fill="auto"/>
            <w:vAlign w:val="center"/>
          </w:tcPr>
          <w:p w14:paraId="0286560A">
            <w:pPr>
              <w:spacing w:line="219" w:lineRule="auto"/>
              <w:ind w:left="134"/>
              <w:rPr>
                <w:rFonts w:hint="eastAsia" w:ascii="仿宋" w:hAnsi="仿宋" w:eastAsia="仿宋" w:cs="仿宋"/>
                <w:spacing w:val="-1"/>
                <w:highlight w:val="none"/>
              </w:rPr>
            </w:pPr>
            <w:r>
              <w:rPr>
                <w:rFonts w:hint="eastAsia" w:ascii="仿宋" w:hAnsi="仿宋" w:eastAsia="仿宋" w:cs="仿宋"/>
                <w:sz w:val="21"/>
                <w:szCs w:val="21"/>
                <w:highlight w:val="none"/>
                <w:lang w:eastAsia="zh-CN"/>
              </w:rPr>
              <w:t>技术服务合同条款及其他商务要求应答表</w:t>
            </w:r>
          </w:p>
        </w:tc>
      </w:tr>
    </w:tbl>
    <w:p w14:paraId="7096FC3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以上实质性要求全部响应并满足采购需求的，则通</w:t>
      </w:r>
      <w:r>
        <w:rPr>
          <w:rFonts w:hint="eastAsia" w:ascii="仿宋" w:hAnsi="仿宋" w:eastAsia="仿宋" w:cs="仿宋"/>
          <w:spacing w:val="-3"/>
          <w:sz w:val="21"/>
          <w:szCs w:val="21"/>
          <w:highlight w:val="none"/>
          <w:lang w:eastAsia="zh-CN"/>
        </w:rPr>
        <w:t>过符合性审查；如有任意一项未</w:t>
      </w:r>
      <w:r>
        <w:rPr>
          <w:rFonts w:hint="eastAsia" w:ascii="仿宋" w:hAnsi="仿宋" w:eastAsia="仿宋" w:cs="仿宋"/>
          <w:spacing w:val="-2"/>
          <w:sz w:val="21"/>
          <w:szCs w:val="21"/>
          <w:highlight w:val="none"/>
          <w:lang w:eastAsia="zh-CN"/>
        </w:rPr>
        <w:t>响应或不满足采购需求的，则按无效投标文件处理。如果评标委员会认为投标人有任意一项不通过的，应在符合性审查表中载明不通过的具体原因。</w:t>
      </w:r>
    </w:p>
    <w:p w14:paraId="4E65C092">
      <w:pPr>
        <w:spacing w:before="34" w:line="220" w:lineRule="auto"/>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5.4.3</w:t>
      </w:r>
      <w:r>
        <w:rPr>
          <w:rFonts w:hint="eastAsia" w:ascii="仿宋" w:hAnsi="仿宋" w:eastAsia="仿宋" w:cs="仿宋"/>
          <w:spacing w:val="-42"/>
          <w:sz w:val="21"/>
          <w:szCs w:val="21"/>
          <w:highlight w:val="none"/>
          <w:lang w:eastAsia="zh-CN"/>
        </w:rPr>
        <w:t xml:space="preserve"> </w:t>
      </w:r>
      <w:r>
        <w:rPr>
          <w:rFonts w:hint="eastAsia" w:ascii="仿宋" w:hAnsi="仿宋" w:eastAsia="仿宋" w:cs="仿宋"/>
          <w:b/>
          <w:bCs/>
          <w:spacing w:val="-4"/>
          <w:sz w:val="21"/>
          <w:szCs w:val="21"/>
          <w:highlight w:val="none"/>
          <w:lang w:eastAsia="zh-CN"/>
        </w:rPr>
        <w:t>解释、澄清有关问题</w:t>
      </w:r>
    </w:p>
    <w:p w14:paraId="309977A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一、评标过程中，评标委员会认为招标文件有关事项表述不明确或需要说明的，可以提请代理机构书面解释。代理机构的解释不得改变招标文件的原义或者影响公平、公正，解释事项如果涉及投标人权益的以有利于投标人的原则进行解释。</w:t>
      </w:r>
    </w:p>
    <w:p w14:paraId="4879F97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二、对投标文件中含义不明确、同类问题表述不一致或者有明显文字和计算错误的内容，评标委员会应当要求投标人作出必要的澄清、说明或更正，并给予投标人必要的反馈时间。投标人应当按评标委员会的要求进行澄清、说明或者更正。投标人的澄清、说明或者更正不得超出投标文件的范围或者改变投标文件的实质性内容。澄清、说明或者更正不影响投标文件的效力，有效的澄清、说明或者更正材料是投标文件的组成部分。</w:t>
      </w:r>
    </w:p>
    <w:p w14:paraId="21FD009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三、投标人的澄清、说明或者更正需进行电子签章，应当不超出投标文件的范围、不实质性改变投标文件的内容、不影响投标人的公平竞争、不导致投标文件从不响应招标文件变为响应招标文件的条件。下列内容不得澄清：</w:t>
      </w:r>
    </w:p>
    <w:p w14:paraId="59EA88A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（一）投标人投标文件中不响应招标文件规定的技术参数指标和商务应答；</w:t>
      </w:r>
    </w:p>
    <w:p w14:paraId="31BF639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（二）投标人投标文件中未提供的证明其是否符合招标文件资格、符合性规定要求的相关材料。</w:t>
      </w:r>
    </w:p>
    <w:p w14:paraId="65F7197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（三）投标人投标文件中的材料因印刷、影印等不清晰而难以辨认的。</w:t>
      </w:r>
    </w:p>
    <w:p w14:paraId="554F6D3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四、投标文件报价出现下列情况的，按以下原则处理：</w:t>
      </w:r>
    </w:p>
    <w:p w14:paraId="27EE787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（一）投标文件中开标一览表（报价表）内容与投标文件中相应内容不一致的，以开标一览表（报价表）为准；</w:t>
      </w:r>
    </w:p>
    <w:p w14:paraId="40E5CEA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（二）大写金额和小写金额不一致的，以大写金额为准，但大写金额出现文字错误，导致金额无法判断的除外；</w:t>
      </w:r>
    </w:p>
    <w:p w14:paraId="1CDF813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（三）单价金额小数点或者百分比有明显错位的，以开标一览表总价为准，并修改单价；</w:t>
      </w:r>
    </w:p>
    <w:p w14:paraId="78F2426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（四）总价金额与按单价汇总金额不一致的，以单价金额计算结果为准。</w:t>
      </w:r>
    </w:p>
    <w:p w14:paraId="4A71E14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同时出现两种以上不一致的，按照前款规定的顺序修正。修正后的报价经投标人确认后产生约束力，投标人不确认的，其投标无效。</w:t>
      </w:r>
    </w:p>
    <w:p w14:paraId="69FDBD5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五、对不同语言文本投标文件的解释发生异议的，以中文文本为准。</w:t>
      </w:r>
    </w:p>
    <w:p w14:paraId="2CF3723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六、代理机构宣布评标结束前，投标人应通过项目电子化交易系统随时关注评标消息提示，及时响应评标委员会发出的澄清、说明或更正要求。投标人未能及时响应的，自行承担不利后果。</w:t>
      </w:r>
    </w:p>
    <w:p w14:paraId="4F0D9B1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七、评标委员会应当积极履行澄清、说明或者更正的职责，不得滥用权力。</w:t>
      </w:r>
    </w:p>
    <w:p w14:paraId="0FE2E026">
      <w:pPr>
        <w:spacing w:before="184" w:line="218" w:lineRule="auto"/>
        <w:ind w:left="5"/>
        <w:outlineLvl w:val="5"/>
        <w:rPr>
          <w:rFonts w:hint="eastAsia" w:ascii="仿宋" w:hAnsi="仿宋" w:eastAsia="仿宋" w:cs="仿宋"/>
          <w:sz w:val="21"/>
          <w:szCs w:val="21"/>
          <w:highlight w:val="none"/>
          <w:lang w:eastAsia="zh-CN"/>
        </w:rPr>
      </w:pPr>
      <w:r>
        <w:rPr>
          <w:rFonts w:hint="eastAsia" w:ascii="仿宋" w:hAnsi="仿宋" w:eastAsia="仿宋" w:cs="仿宋"/>
          <w:b/>
          <w:bCs/>
          <w:spacing w:val="-7"/>
          <w:sz w:val="21"/>
          <w:szCs w:val="21"/>
          <w:highlight w:val="none"/>
          <w:lang w:eastAsia="zh-CN"/>
        </w:rPr>
        <w:t>5.4.4</w:t>
      </w:r>
      <w:r>
        <w:rPr>
          <w:rFonts w:hint="eastAsia" w:ascii="仿宋" w:hAnsi="仿宋" w:eastAsia="仿宋" w:cs="仿宋"/>
          <w:spacing w:val="-22"/>
          <w:sz w:val="21"/>
          <w:szCs w:val="21"/>
          <w:highlight w:val="none"/>
          <w:lang w:eastAsia="zh-CN"/>
        </w:rPr>
        <w:t xml:space="preserve"> </w:t>
      </w:r>
      <w:r>
        <w:rPr>
          <w:rFonts w:hint="eastAsia" w:ascii="仿宋" w:hAnsi="仿宋" w:eastAsia="仿宋" w:cs="仿宋"/>
          <w:b/>
          <w:bCs/>
          <w:spacing w:val="-7"/>
          <w:sz w:val="21"/>
          <w:szCs w:val="21"/>
          <w:highlight w:val="none"/>
          <w:lang w:eastAsia="zh-CN"/>
        </w:rPr>
        <w:t>比较与评价</w:t>
      </w:r>
    </w:p>
    <w:p w14:paraId="0DBDCF79">
      <w:pPr>
        <w:spacing w:before="184" w:line="346" w:lineRule="auto"/>
        <w:ind w:right="85" w:firstLine="480"/>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评标委员会应当按照招标文件规定的评标细则及标准，对符合性检查合格的投标文件进行商务和技术评估，具体要求详见本章评审办法及标准部分。</w:t>
      </w:r>
    </w:p>
    <w:p w14:paraId="45CD1B3D">
      <w:pPr>
        <w:spacing w:before="37" w:line="220" w:lineRule="auto"/>
        <w:ind w:left="5"/>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5.4.5</w:t>
      </w:r>
      <w:r>
        <w:rPr>
          <w:rFonts w:hint="eastAsia" w:ascii="仿宋" w:hAnsi="仿宋" w:eastAsia="仿宋" w:cs="仿宋"/>
          <w:spacing w:val="-44"/>
          <w:sz w:val="21"/>
          <w:szCs w:val="21"/>
          <w:highlight w:val="none"/>
          <w:lang w:eastAsia="zh-CN"/>
        </w:rPr>
        <w:t xml:space="preserve"> </w:t>
      </w:r>
      <w:r>
        <w:rPr>
          <w:rFonts w:hint="eastAsia" w:ascii="仿宋" w:hAnsi="仿宋" w:eastAsia="仿宋" w:cs="仿宋"/>
          <w:b/>
          <w:bCs/>
          <w:spacing w:val="-5"/>
          <w:sz w:val="21"/>
          <w:szCs w:val="21"/>
          <w:highlight w:val="none"/>
          <w:lang w:eastAsia="zh-CN"/>
        </w:rPr>
        <w:t>复核</w:t>
      </w:r>
    </w:p>
    <w:p w14:paraId="3F58AEE8">
      <w:pPr>
        <w:spacing w:before="184" w:line="346" w:lineRule="auto"/>
        <w:ind w:right="85" w:firstLine="480"/>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评分汇总结束后，评标委员会应当进行复核，对拟推荐为中标候选人、报价最低、投标文件被认定为无效等进行重点复核。</w:t>
      </w:r>
    </w:p>
    <w:p w14:paraId="3B113426">
      <w:pPr>
        <w:spacing w:before="184" w:line="346" w:lineRule="auto"/>
        <w:ind w:right="85" w:firstLine="480"/>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评标结果汇总完成后，评标委员会拟出具评标报告前，代理机构应当组织不少于 2 名工作人员，在采购监督人员的监督之下，依据有关的法律制度和招标文件对评标结果进行复核，出具复核报告。</w:t>
      </w:r>
    </w:p>
    <w:p w14:paraId="430BDAAB">
      <w:pPr>
        <w:spacing w:before="184" w:line="346" w:lineRule="auto"/>
        <w:ind w:right="85" w:firstLine="480"/>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评标结果汇总完成后，除下列情形外，任何人不得修改评标结果：</w:t>
      </w:r>
    </w:p>
    <w:p w14:paraId="42718E08">
      <w:pPr>
        <w:spacing w:before="184" w:line="346" w:lineRule="auto"/>
        <w:ind w:right="85" w:firstLine="480"/>
        <w:rPr>
          <w:rFonts w:hint="eastAsia" w:ascii="仿宋" w:hAnsi="仿宋" w:eastAsia="仿宋" w:cs="仿宋"/>
          <w:spacing w:val="-2"/>
          <w:sz w:val="21"/>
          <w:szCs w:val="21"/>
          <w:highlight w:val="none"/>
          <w:lang w:val="en-US" w:eastAsia="zh-CN"/>
        </w:rPr>
      </w:pPr>
      <w:r>
        <w:rPr>
          <w:rFonts w:hint="eastAsia" w:ascii="仿宋" w:hAnsi="仿宋" w:eastAsia="仿宋" w:cs="仿宋"/>
          <w:spacing w:val="-2"/>
          <w:sz w:val="21"/>
          <w:szCs w:val="21"/>
          <w:highlight w:val="none"/>
          <w:lang w:val="en-US" w:eastAsia="zh-CN"/>
        </w:rPr>
        <w:t>（一）分值汇总计算错误的；</w:t>
      </w:r>
    </w:p>
    <w:p w14:paraId="5522DAA7">
      <w:pPr>
        <w:spacing w:before="184" w:line="346" w:lineRule="auto"/>
        <w:ind w:right="85" w:firstLine="480"/>
        <w:rPr>
          <w:rFonts w:hint="eastAsia" w:ascii="仿宋" w:hAnsi="仿宋" w:eastAsia="仿宋" w:cs="仿宋"/>
          <w:spacing w:val="-2"/>
          <w:sz w:val="21"/>
          <w:szCs w:val="21"/>
          <w:highlight w:val="none"/>
          <w:lang w:val="en-US" w:eastAsia="zh-CN"/>
        </w:rPr>
      </w:pPr>
      <w:r>
        <w:rPr>
          <w:rFonts w:hint="eastAsia" w:ascii="仿宋" w:hAnsi="仿宋" w:eastAsia="仿宋" w:cs="仿宋"/>
          <w:spacing w:val="-2"/>
          <w:sz w:val="21"/>
          <w:szCs w:val="21"/>
          <w:highlight w:val="none"/>
          <w:lang w:val="en-US" w:eastAsia="zh-CN"/>
        </w:rPr>
        <w:t>（二）分项评分超出评分标准范围的；</w:t>
      </w:r>
    </w:p>
    <w:p w14:paraId="43BB24C8">
      <w:pPr>
        <w:spacing w:before="184" w:line="346" w:lineRule="auto"/>
        <w:ind w:right="85" w:firstLine="480"/>
        <w:rPr>
          <w:rFonts w:hint="eastAsia" w:ascii="仿宋" w:hAnsi="仿宋" w:eastAsia="仿宋" w:cs="仿宋"/>
          <w:spacing w:val="-2"/>
          <w:sz w:val="21"/>
          <w:szCs w:val="21"/>
          <w:highlight w:val="none"/>
          <w:lang w:val="en-US" w:eastAsia="zh-CN"/>
        </w:rPr>
      </w:pPr>
      <w:r>
        <w:rPr>
          <w:rFonts w:hint="eastAsia" w:ascii="仿宋" w:hAnsi="仿宋" w:eastAsia="仿宋" w:cs="仿宋"/>
          <w:spacing w:val="-2"/>
          <w:sz w:val="21"/>
          <w:szCs w:val="21"/>
          <w:highlight w:val="none"/>
          <w:lang w:val="en-US" w:eastAsia="zh-CN"/>
        </w:rPr>
        <w:t>（三）评标委员会成员对客观评审因素评分不一致的；</w:t>
      </w:r>
    </w:p>
    <w:p w14:paraId="0D7DFDAE">
      <w:pPr>
        <w:spacing w:before="184" w:line="346" w:lineRule="auto"/>
        <w:ind w:right="85" w:firstLine="480"/>
        <w:rPr>
          <w:rFonts w:hint="eastAsia" w:ascii="仿宋" w:hAnsi="仿宋" w:eastAsia="仿宋" w:cs="仿宋"/>
          <w:spacing w:val="-2"/>
          <w:sz w:val="21"/>
          <w:szCs w:val="21"/>
          <w:highlight w:val="none"/>
          <w:lang w:val="en-US" w:eastAsia="zh-CN"/>
        </w:rPr>
      </w:pPr>
      <w:r>
        <w:rPr>
          <w:rFonts w:hint="eastAsia" w:ascii="仿宋" w:hAnsi="仿宋" w:eastAsia="仿宋" w:cs="仿宋"/>
          <w:spacing w:val="-2"/>
          <w:sz w:val="21"/>
          <w:szCs w:val="21"/>
          <w:highlight w:val="none"/>
          <w:lang w:val="en-US" w:eastAsia="zh-CN"/>
        </w:rPr>
        <w:t>（四）经评标委员会认定评分畸高、畸低的。</w:t>
      </w:r>
    </w:p>
    <w:p w14:paraId="2D97A86D">
      <w:pPr>
        <w:spacing w:before="184" w:line="346" w:lineRule="auto"/>
        <w:ind w:right="85" w:firstLine="480"/>
        <w:rPr>
          <w:rFonts w:hint="eastAsia" w:ascii="仿宋" w:hAnsi="仿宋" w:eastAsia="仿宋" w:cs="仿宋"/>
          <w:spacing w:val="-2"/>
          <w:sz w:val="21"/>
          <w:szCs w:val="21"/>
          <w:highlight w:val="none"/>
          <w:lang w:val="en-US" w:eastAsia="zh-CN"/>
        </w:rPr>
      </w:pPr>
      <w:r>
        <w:rPr>
          <w:rFonts w:hint="eastAsia" w:ascii="仿宋" w:hAnsi="仿宋" w:eastAsia="仿宋" w:cs="仿宋"/>
          <w:spacing w:val="-2"/>
          <w:sz w:val="21"/>
          <w:szCs w:val="21"/>
          <w:highlight w:val="none"/>
          <w:lang w:val="en-US" w:eastAsia="zh-CN"/>
        </w:rPr>
        <w:t>评标报告签署前，经复核发现存在以上情形之一的，评标委员会应当当场修改评标结果，并在评标报告中记载；评标报告签署后，采购人或者代理机构发现存在以上情形之一的，应当组织原评标委员会进行重新评标，重新评标改变评标结果的，书面报告本级财政部门。</w:t>
      </w:r>
    </w:p>
    <w:p w14:paraId="7E2EA6CE">
      <w:pPr>
        <w:spacing w:before="34" w:line="220" w:lineRule="auto"/>
        <w:ind w:left="6"/>
        <w:outlineLvl w:val="5"/>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5.4.6</w:t>
      </w:r>
      <w:r>
        <w:rPr>
          <w:rFonts w:hint="eastAsia" w:ascii="仿宋" w:hAnsi="仿宋" w:eastAsia="仿宋" w:cs="仿宋"/>
          <w:spacing w:val="-42"/>
          <w:sz w:val="21"/>
          <w:szCs w:val="21"/>
          <w:highlight w:val="none"/>
          <w:lang w:eastAsia="zh-CN"/>
        </w:rPr>
        <w:t xml:space="preserve"> </w:t>
      </w:r>
      <w:r>
        <w:rPr>
          <w:rFonts w:hint="eastAsia" w:ascii="仿宋" w:hAnsi="仿宋" w:eastAsia="仿宋" w:cs="仿宋"/>
          <w:b/>
          <w:bCs/>
          <w:spacing w:val="-4"/>
          <w:sz w:val="21"/>
          <w:szCs w:val="21"/>
          <w:highlight w:val="none"/>
          <w:lang w:eastAsia="zh-CN"/>
        </w:rPr>
        <w:t>确定中标候选人名单</w:t>
      </w:r>
    </w:p>
    <w:p w14:paraId="5EC2344E">
      <w:pPr>
        <w:spacing w:before="183" w:line="346" w:lineRule="auto"/>
        <w:ind w:left="4" w:right="86" w:firstLine="479"/>
        <w:rPr>
          <w:rFonts w:hint="eastAsia" w:ascii="仿宋" w:hAnsi="仿宋" w:eastAsia="仿宋" w:cs="仿宋"/>
          <w:sz w:val="21"/>
          <w:szCs w:val="21"/>
          <w:highlight w:val="none"/>
          <w:lang w:eastAsia="zh-CN"/>
        </w:rPr>
      </w:pPr>
      <w:r>
        <w:rPr>
          <w:rFonts w:hint="eastAsia" w:ascii="仿宋" w:hAnsi="仿宋" w:eastAsia="仿宋" w:cs="仿宋"/>
          <w:spacing w:val="-7"/>
          <w:sz w:val="21"/>
          <w:szCs w:val="21"/>
          <w:highlight w:val="none"/>
          <w:lang w:eastAsia="zh-CN"/>
        </w:rPr>
        <w:t>按投标人综合得分从高到低进行排序，确定</w:t>
      </w:r>
      <w:r>
        <w:rPr>
          <w:rFonts w:hint="eastAsia" w:ascii="仿宋" w:hAnsi="仿宋" w:eastAsia="仿宋" w:cs="仿宋"/>
          <w:spacing w:val="-46"/>
          <w:sz w:val="21"/>
          <w:szCs w:val="21"/>
          <w:highlight w:val="none"/>
          <w:lang w:eastAsia="zh-CN"/>
        </w:rPr>
        <w:t xml:space="preserve"> </w:t>
      </w:r>
      <w:r>
        <w:rPr>
          <w:rFonts w:hint="eastAsia" w:ascii="仿宋" w:hAnsi="仿宋" w:eastAsia="仿宋" w:cs="仿宋"/>
          <w:spacing w:val="-7"/>
          <w:sz w:val="21"/>
          <w:szCs w:val="21"/>
          <w:highlight w:val="none"/>
          <w:lang w:eastAsia="zh-CN"/>
        </w:rPr>
        <w:t>3</w:t>
      </w:r>
      <w:r>
        <w:rPr>
          <w:rFonts w:hint="eastAsia" w:ascii="仿宋" w:hAnsi="仿宋" w:eastAsia="仿宋" w:cs="仿宋"/>
          <w:spacing w:val="-47"/>
          <w:sz w:val="21"/>
          <w:szCs w:val="21"/>
          <w:highlight w:val="none"/>
          <w:lang w:eastAsia="zh-CN"/>
        </w:rPr>
        <w:t xml:space="preserve"> </w:t>
      </w:r>
      <w:r>
        <w:rPr>
          <w:rFonts w:hint="eastAsia" w:ascii="仿宋" w:hAnsi="仿宋" w:eastAsia="仿宋" w:cs="仿宋"/>
          <w:spacing w:val="-7"/>
          <w:sz w:val="21"/>
          <w:szCs w:val="21"/>
          <w:highlight w:val="none"/>
          <w:lang w:eastAsia="zh-CN"/>
        </w:rPr>
        <w:t>名中标候选人。综合得分</w:t>
      </w:r>
      <w:r>
        <w:rPr>
          <w:rFonts w:hint="eastAsia" w:ascii="仿宋" w:hAnsi="仿宋" w:eastAsia="仿宋" w:cs="仿宋"/>
          <w:spacing w:val="-8"/>
          <w:sz w:val="21"/>
          <w:szCs w:val="21"/>
          <w:highlight w:val="none"/>
          <w:lang w:eastAsia="zh-CN"/>
        </w:rPr>
        <w:t>相同的，按</w:t>
      </w:r>
      <w:r>
        <w:rPr>
          <w:rFonts w:hint="eastAsia" w:ascii="仿宋" w:hAnsi="仿宋" w:eastAsia="仿宋" w:cs="仿宋"/>
          <w:spacing w:val="-4"/>
          <w:sz w:val="21"/>
          <w:szCs w:val="21"/>
          <w:highlight w:val="none"/>
          <w:lang w:eastAsia="zh-CN"/>
        </w:rPr>
        <w:t>投标报价由低到高顺序排列。</w:t>
      </w:r>
    </w:p>
    <w:p w14:paraId="5B5D7DC2">
      <w:pPr>
        <w:spacing w:before="37" w:line="218" w:lineRule="auto"/>
        <w:ind w:left="6"/>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5.4.7</w:t>
      </w:r>
      <w:r>
        <w:rPr>
          <w:rFonts w:hint="eastAsia" w:ascii="仿宋" w:hAnsi="仿宋" w:eastAsia="仿宋" w:cs="仿宋"/>
          <w:spacing w:val="-39"/>
          <w:sz w:val="21"/>
          <w:szCs w:val="21"/>
          <w:highlight w:val="none"/>
          <w:lang w:eastAsia="zh-CN"/>
        </w:rPr>
        <w:t xml:space="preserve"> </w:t>
      </w:r>
      <w:r>
        <w:rPr>
          <w:rFonts w:hint="eastAsia" w:ascii="仿宋" w:hAnsi="仿宋" w:eastAsia="仿宋" w:cs="仿宋"/>
          <w:b/>
          <w:bCs/>
          <w:spacing w:val="-5"/>
          <w:sz w:val="21"/>
          <w:szCs w:val="21"/>
          <w:highlight w:val="none"/>
          <w:lang w:eastAsia="zh-CN"/>
        </w:rPr>
        <w:t>编写评标报告</w:t>
      </w:r>
    </w:p>
    <w:p w14:paraId="2CAE6B1F">
      <w:pPr>
        <w:spacing w:before="183" w:line="347" w:lineRule="auto"/>
        <w:ind w:left="2" w:right="21" w:firstLine="478"/>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评标报告是评标委员会根据全体评标成员签字的评标记录和评标结果编写的报告，</w:t>
      </w:r>
      <w:r>
        <w:rPr>
          <w:rFonts w:hint="eastAsia" w:ascii="仿宋" w:hAnsi="仿宋" w:eastAsia="仿宋" w:cs="仿宋"/>
          <w:spacing w:val="-8"/>
          <w:sz w:val="21"/>
          <w:szCs w:val="21"/>
          <w:highlight w:val="none"/>
          <w:lang w:eastAsia="zh-CN"/>
        </w:rPr>
        <w:t>其主要内容包括：</w:t>
      </w:r>
    </w:p>
    <w:p w14:paraId="3A505077">
      <w:pPr>
        <w:spacing w:before="35" w:line="218" w:lineRule="auto"/>
        <w:ind w:left="485"/>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一、招标公告刊登的媒体名称、开标日期和地</w:t>
      </w:r>
      <w:r>
        <w:rPr>
          <w:rFonts w:hint="eastAsia" w:ascii="仿宋" w:hAnsi="仿宋" w:eastAsia="仿宋" w:cs="仿宋"/>
          <w:spacing w:val="-4"/>
          <w:sz w:val="21"/>
          <w:szCs w:val="21"/>
          <w:highlight w:val="none"/>
          <w:lang w:eastAsia="zh-CN"/>
        </w:rPr>
        <w:t>点；</w:t>
      </w:r>
    </w:p>
    <w:p w14:paraId="362BB4A8">
      <w:pPr>
        <w:spacing w:before="184" w:line="219" w:lineRule="auto"/>
        <w:ind w:left="485"/>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二、投标人名单和评标委员会成员名单；</w:t>
      </w:r>
    </w:p>
    <w:p w14:paraId="45BE5930">
      <w:pPr>
        <w:spacing w:before="184" w:line="220" w:lineRule="auto"/>
        <w:ind w:left="481"/>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三、评审方法和标准；</w:t>
      </w:r>
    </w:p>
    <w:p w14:paraId="32705D35">
      <w:pPr>
        <w:spacing w:before="181" w:line="220" w:lineRule="auto"/>
        <w:ind w:left="504"/>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四、开标记录和评审情况及说明，包括投标无效投标人名单及原因；</w:t>
      </w:r>
    </w:p>
    <w:p w14:paraId="1BB47AC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五、评标结果，确定的中标候选人名单或者</w:t>
      </w:r>
      <w:r>
        <w:rPr>
          <w:rFonts w:hint="eastAsia" w:ascii="仿宋" w:hAnsi="仿宋" w:eastAsia="仿宋" w:cs="仿宋"/>
          <w:spacing w:val="-1"/>
          <w:sz w:val="21"/>
          <w:szCs w:val="21"/>
          <w:highlight w:val="none"/>
          <w:lang w:eastAsia="zh-CN"/>
        </w:rPr>
        <w:t>经采购人委托直接确定的中标人</w:t>
      </w:r>
    </w:p>
    <w:p w14:paraId="75D69A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6"/>
          <w:sz w:val="21"/>
          <w:szCs w:val="21"/>
          <w:highlight w:val="none"/>
          <w:lang w:eastAsia="zh-CN"/>
        </w:rPr>
        <w:t>六、其他需要说明的情况，包括评标过程中投标人根据评标委员会要求进行的澄清、</w:t>
      </w:r>
      <w:r>
        <w:rPr>
          <w:rFonts w:hint="eastAsia" w:ascii="仿宋" w:hAnsi="仿宋" w:eastAsia="仿宋" w:cs="仿宋"/>
          <w:spacing w:val="-4"/>
          <w:sz w:val="21"/>
          <w:szCs w:val="21"/>
          <w:highlight w:val="none"/>
          <w:lang w:eastAsia="zh-CN"/>
        </w:rPr>
        <w:t>说明或者补正，评标委员会成员的更换等；</w:t>
      </w:r>
    </w:p>
    <w:p w14:paraId="44E2BC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5"/>
          <w:sz w:val="21"/>
          <w:szCs w:val="21"/>
          <w:highlight w:val="none"/>
          <w:lang w:eastAsia="zh-CN"/>
        </w:rPr>
        <w:t>七、报价最高的投标人为中标候选人的，评标委员会应当对其报价的合理性予以特</w:t>
      </w:r>
      <w:r>
        <w:rPr>
          <w:rFonts w:hint="eastAsia" w:ascii="仿宋" w:hAnsi="仿宋" w:eastAsia="仿宋" w:cs="仿宋"/>
          <w:spacing w:val="-9"/>
          <w:sz w:val="21"/>
          <w:szCs w:val="21"/>
          <w:highlight w:val="none"/>
          <w:lang w:eastAsia="zh-CN"/>
        </w:rPr>
        <w:t>别说明。</w:t>
      </w:r>
    </w:p>
    <w:p w14:paraId="0BCD7B4A">
      <w:pPr>
        <w:spacing w:before="184" w:line="346" w:lineRule="auto"/>
        <w:ind w:right="85" w:firstLine="480"/>
        <w:rPr>
          <w:rFonts w:hint="eastAsia" w:ascii="仿宋" w:hAnsi="仿宋" w:eastAsia="仿宋" w:cs="仿宋"/>
          <w:spacing w:val="-9"/>
          <w:sz w:val="21"/>
          <w:szCs w:val="21"/>
          <w:highlight w:val="none"/>
          <w:lang w:eastAsia="zh-CN"/>
        </w:rPr>
      </w:pPr>
      <w:r>
        <w:rPr>
          <w:rFonts w:hint="eastAsia" w:ascii="仿宋" w:hAnsi="仿宋" w:eastAsia="仿宋" w:cs="仿宋"/>
          <w:spacing w:val="-2"/>
          <w:sz w:val="21"/>
          <w:szCs w:val="21"/>
          <w:highlight w:val="none"/>
          <w:lang w:eastAsia="zh-CN"/>
        </w:rPr>
        <w:t>评标委员会成员应当在评标报告中签字或加盖电子签章确认，对评标过程和结果有</w:t>
      </w:r>
      <w:r>
        <w:rPr>
          <w:rFonts w:hint="eastAsia" w:ascii="仿宋" w:hAnsi="仿宋" w:eastAsia="仿宋" w:cs="仿宋"/>
          <w:spacing w:val="12"/>
          <w:sz w:val="21"/>
          <w:szCs w:val="21"/>
          <w:highlight w:val="none"/>
          <w:lang w:eastAsia="zh-CN"/>
        </w:rPr>
        <w:t xml:space="preserve"> </w:t>
      </w:r>
      <w:r>
        <w:rPr>
          <w:rFonts w:hint="eastAsia" w:ascii="仿宋" w:hAnsi="仿宋" w:eastAsia="仿宋" w:cs="仿宋"/>
          <w:spacing w:val="-2"/>
          <w:sz w:val="21"/>
          <w:szCs w:val="21"/>
          <w:highlight w:val="none"/>
          <w:lang w:eastAsia="zh-CN"/>
        </w:rPr>
        <w:t>不同意见的，应当在评标报告中写明并说明理由。签字但未写明不同意见或者未说明理</w:t>
      </w:r>
      <w:r>
        <w:rPr>
          <w:rFonts w:hint="eastAsia" w:ascii="仿宋" w:hAnsi="仿宋" w:eastAsia="仿宋" w:cs="仿宋"/>
          <w:spacing w:val="-7"/>
          <w:sz w:val="21"/>
          <w:szCs w:val="21"/>
          <w:highlight w:val="none"/>
          <w:lang w:eastAsia="zh-CN"/>
        </w:rPr>
        <w:t>由的，视同无意见。拒不签字或加盖电子签章又未另行说明其不同意见和理由的，视同</w:t>
      </w:r>
      <w:r>
        <w:rPr>
          <w:rFonts w:hint="eastAsia" w:ascii="仿宋" w:hAnsi="仿宋" w:eastAsia="仿宋" w:cs="仿宋"/>
          <w:spacing w:val="-9"/>
          <w:sz w:val="21"/>
          <w:szCs w:val="21"/>
          <w:highlight w:val="none"/>
          <w:lang w:eastAsia="zh-CN"/>
        </w:rPr>
        <w:t>同意评标结果。</w:t>
      </w:r>
    </w:p>
    <w:p w14:paraId="2B279AA9">
      <w:pPr>
        <w:spacing w:before="92" w:line="220" w:lineRule="auto"/>
        <w:outlineLvl w:val="4"/>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5.5</w:t>
      </w:r>
      <w:r>
        <w:rPr>
          <w:rFonts w:hint="eastAsia" w:ascii="仿宋" w:hAnsi="仿宋" w:eastAsia="仿宋" w:cs="仿宋"/>
          <w:spacing w:val="-54"/>
          <w:sz w:val="21"/>
          <w:szCs w:val="21"/>
          <w:highlight w:val="none"/>
          <w:lang w:eastAsia="zh-CN"/>
        </w:rPr>
        <w:t xml:space="preserve"> </w:t>
      </w:r>
      <w:r>
        <w:rPr>
          <w:rFonts w:hint="eastAsia" w:ascii="仿宋" w:hAnsi="仿宋" w:eastAsia="仿宋" w:cs="仿宋"/>
          <w:b/>
          <w:bCs/>
          <w:spacing w:val="-5"/>
          <w:sz w:val="21"/>
          <w:szCs w:val="21"/>
          <w:highlight w:val="none"/>
          <w:lang w:eastAsia="zh-CN"/>
        </w:rPr>
        <w:t>评标争议处理规则</w:t>
      </w:r>
    </w:p>
    <w:p w14:paraId="2965229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jc w:val="both"/>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评标委员会在评标过程中，对于符合性审查、对投标人文件作无效投标处理及其他 需要共同认定的事项存在争议的，应当以少数服从多数的原则作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代理机构书面反映。采购人或代理机构收到书面反映后，应当书面报告采购项目同级财政部门依法处理。</w:t>
      </w:r>
    </w:p>
    <w:p w14:paraId="27ED6CA7">
      <w:pPr>
        <w:spacing w:before="95" w:line="220" w:lineRule="auto"/>
        <w:outlineLvl w:val="4"/>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5.6</w:t>
      </w:r>
      <w:r>
        <w:rPr>
          <w:rFonts w:hint="eastAsia" w:ascii="仿宋" w:hAnsi="仿宋" w:eastAsia="仿宋" w:cs="仿宋"/>
          <w:spacing w:val="-57"/>
          <w:sz w:val="21"/>
          <w:szCs w:val="21"/>
          <w:highlight w:val="none"/>
          <w:lang w:eastAsia="zh-CN"/>
        </w:rPr>
        <w:t xml:space="preserve"> </w:t>
      </w:r>
      <w:r>
        <w:rPr>
          <w:rFonts w:hint="eastAsia" w:ascii="仿宋" w:hAnsi="仿宋" w:eastAsia="仿宋" w:cs="仿宋"/>
          <w:b/>
          <w:bCs/>
          <w:spacing w:val="-5"/>
          <w:sz w:val="21"/>
          <w:szCs w:val="21"/>
          <w:highlight w:val="none"/>
          <w:lang w:eastAsia="zh-CN"/>
        </w:rPr>
        <w:t>评审办法及标准</w:t>
      </w:r>
    </w:p>
    <w:p w14:paraId="5A6DFC1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jc w:val="both"/>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一、评标委员会只对通过符合性审查的投标文件， 根据招标文件的要求采用相同的 评标程序、评分办法及标准进行评价和比较。</w:t>
      </w:r>
    </w:p>
    <w:p w14:paraId="68D3D46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2" w:firstLineChars="200"/>
        <w:jc w:val="both"/>
        <w:textAlignment w:val="baseline"/>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eastAsia="zh-CN"/>
        </w:rPr>
        <w:t>二、评标委员会成员应依据招标文件规定的评分标准和方法独立评审。</w:t>
      </w:r>
    </w:p>
    <w:p w14:paraId="6B39CE49">
      <w:pPr>
        <w:spacing w:before="184" w:line="220" w:lineRule="auto"/>
        <w:outlineLvl w:val="5"/>
        <w:rPr>
          <w:rFonts w:hint="eastAsia" w:ascii="仿宋" w:hAnsi="仿宋" w:eastAsia="仿宋" w:cs="仿宋"/>
          <w:sz w:val="21"/>
          <w:szCs w:val="21"/>
          <w:highlight w:val="none"/>
          <w:lang w:eastAsia="zh-CN"/>
        </w:rPr>
      </w:pPr>
      <w:r>
        <w:rPr>
          <w:rFonts w:hint="eastAsia" w:ascii="仿宋" w:hAnsi="仿宋" w:eastAsia="仿宋" w:cs="仿宋"/>
          <w:b/>
          <w:bCs/>
          <w:spacing w:val="-5"/>
          <w:sz w:val="21"/>
          <w:szCs w:val="21"/>
          <w:highlight w:val="none"/>
          <w:lang w:eastAsia="zh-CN"/>
        </w:rPr>
        <w:t>5.6.1</w:t>
      </w:r>
      <w:r>
        <w:rPr>
          <w:rFonts w:hint="eastAsia" w:ascii="仿宋" w:hAnsi="仿宋" w:eastAsia="仿宋" w:cs="仿宋"/>
          <w:spacing w:val="-44"/>
          <w:sz w:val="21"/>
          <w:szCs w:val="21"/>
          <w:highlight w:val="none"/>
          <w:lang w:eastAsia="zh-CN"/>
        </w:rPr>
        <w:t xml:space="preserve"> </w:t>
      </w:r>
      <w:r>
        <w:rPr>
          <w:rFonts w:hint="eastAsia" w:ascii="仿宋" w:hAnsi="仿宋" w:eastAsia="仿宋" w:cs="仿宋"/>
          <w:b/>
          <w:bCs/>
          <w:spacing w:val="-5"/>
          <w:sz w:val="21"/>
          <w:szCs w:val="21"/>
          <w:highlight w:val="none"/>
          <w:lang w:eastAsia="zh-CN"/>
        </w:rPr>
        <w:t>评分标准</w:t>
      </w:r>
    </w:p>
    <w:p w14:paraId="23ABB258">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一、本次综合评分的因素详见综合评分明细表。</w:t>
      </w:r>
    </w:p>
    <w:p w14:paraId="03FB495A">
      <w:pPr>
        <w:pStyle w:val="21"/>
        <w:ind w:firstLine="412" w:firstLineChars="200"/>
        <w:rPr>
          <w:highlight w:val="none"/>
        </w:rPr>
      </w:pPr>
      <w:r>
        <w:rPr>
          <w:rFonts w:hint="eastAsia" w:ascii="仿宋" w:hAnsi="仿宋" w:eastAsia="仿宋" w:cs="仿宋"/>
          <w:spacing w:val="-2"/>
          <w:sz w:val="21"/>
          <w:szCs w:val="21"/>
          <w:highlight w:val="none"/>
        </w:rPr>
        <w:t>二、综合评分明细表</w:t>
      </w:r>
      <w:r>
        <w:rPr>
          <w:rFonts w:ascii="仿宋_GB2312" w:hAnsi="仿宋_GB2312" w:eastAsia="仿宋_GB2312" w:cs="仿宋_GB2312"/>
          <w:highlight w:val="none"/>
        </w:rPr>
        <w:t>采购包1：</w:t>
      </w:r>
    </w:p>
    <w:tbl>
      <w:tblPr>
        <w:tblStyle w:val="14"/>
        <w:tblW w:w="8915" w:type="dxa"/>
        <w:tblInd w:w="-23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0"/>
        <w:gridCol w:w="1480"/>
        <w:gridCol w:w="2746"/>
        <w:gridCol w:w="966"/>
        <w:gridCol w:w="1003"/>
        <w:gridCol w:w="1650"/>
      </w:tblGrid>
      <w:tr w14:paraId="02257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0" w:type="dxa"/>
            <w:gridSpan w:val="2"/>
          </w:tcPr>
          <w:p w14:paraId="4477F10C">
            <w:pPr>
              <w:pStyle w:val="21"/>
              <w:jc w:val="center"/>
              <w:rPr>
                <w:highlight w:val="none"/>
              </w:rPr>
            </w:pPr>
            <w:r>
              <w:rPr>
                <w:rFonts w:ascii="仿宋_GB2312" w:hAnsi="仿宋_GB2312" w:eastAsia="仿宋_GB2312" w:cs="仿宋_GB2312"/>
                <w:highlight w:val="none"/>
              </w:rPr>
              <w:t xml:space="preserve"> 评审因素</w:t>
            </w:r>
          </w:p>
        </w:tc>
        <w:tc>
          <w:tcPr>
            <w:tcW w:w="6365" w:type="dxa"/>
            <w:gridSpan w:val="4"/>
          </w:tcPr>
          <w:p w14:paraId="446FD5DD">
            <w:pPr>
              <w:pStyle w:val="21"/>
              <w:jc w:val="center"/>
              <w:rPr>
                <w:highlight w:val="none"/>
              </w:rPr>
            </w:pPr>
            <w:r>
              <w:rPr>
                <w:rFonts w:ascii="仿宋_GB2312" w:hAnsi="仿宋_GB2312" w:eastAsia="仿宋_GB2312" w:cs="仿宋_GB2312"/>
                <w:highlight w:val="none"/>
              </w:rPr>
              <w:t xml:space="preserve"> 评审标准</w:t>
            </w:r>
          </w:p>
        </w:tc>
      </w:tr>
      <w:tr w14:paraId="1ABA7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0" w:type="dxa"/>
            <w:gridSpan w:val="2"/>
          </w:tcPr>
          <w:p w14:paraId="62240A36">
            <w:pPr>
              <w:pStyle w:val="21"/>
              <w:jc w:val="center"/>
              <w:rPr>
                <w:highlight w:val="none"/>
              </w:rPr>
            </w:pPr>
            <w:r>
              <w:rPr>
                <w:rFonts w:ascii="仿宋_GB2312" w:hAnsi="仿宋_GB2312" w:eastAsia="仿宋_GB2312" w:cs="仿宋_GB2312"/>
                <w:highlight w:val="none"/>
              </w:rPr>
              <w:t xml:space="preserve"> 分值构成</w:t>
            </w:r>
          </w:p>
        </w:tc>
        <w:tc>
          <w:tcPr>
            <w:tcW w:w="6365" w:type="dxa"/>
            <w:gridSpan w:val="4"/>
          </w:tcPr>
          <w:p w14:paraId="0404CA36">
            <w:pPr>
              <w:pStyle w:val="21"/>
              <w:rPr>
                <w:highlight w:val="none"/>
              </w:rPr>
            </w:pPr>
            <w:r>
              <w:rPr>
                <w:rFonts w:ascii="仿宋_GB2312" w:hAnsi="仿宋_GB2312" w:eastAsia="仿宋_GB2312" w:cs="仿宋_GB2312"/>
                <w:highlight w:val="none"/>
              </w:rPr>
              <w:t>详细评审100.00分</w:t>
            </w:r>
          </w:p>
        </w:tc>
      </w:tr>
      <w:tr w14:paraId="2B448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70" w:type="dxa"/>
          </w:tcPr>
          <w:p w14:paraId="5DED082D">
            <w:pPr>
              <w:pStyle w:val="21"/>
              <w:jc w:val="center"/>
              <w:rPr>
                <w:highlight w:val="none"/>
              </w:rPr>
            </w:pPr>
            <w:r>
              <w:rPr>
                <w:rFonts w:ascii="仿宋_GB2312" w:hAnsi="仿宋_GB2312" w:eastAsia="仿宋_GB2312" w:cs="仿宋_GB2312"/>
                <w:highlight w:val="none"/>
              </w:rPr>
              <w:t xml:space="preserve"> 评审因素分类</w:t>
            </w:r>
          </w:p>
        </w:tc>
        <w:tc>
          <w:tcPr>
            <w:tcW w:w="1480" w:type="dxa"/>
          </w:tcPr>
          <w:p w14:paraId="66C8C2EC">
            <w:pPr>
              <w:pStyle w:val="21"/>
              <w:jc w:val="center"/>
              <w:rPr>
                <w:highlight w:val="none"/>
              </w:rPr>
            </w:pPr>
            <w:r>
              <w:rPr>
                <w:rFonts w:ascii="仿宋_GB2312" w:hAnsi="仿宋_GB2312" w:eastAsia="仿宋_GB2312" w:cs="仿宋_GB2312"/>
                <w:highlight w:val="none"/>
              </w:rPr>
              <w:t xml:space="preserve"> 评审项</w:t>
            </w:r>
          </w:p>
        </w:tc>
        <w:tc>
          <w:tcPr>
            <w:tcW w:w="2746" w:type="dxa"/>
          </w:tcPr>
          <w:p w14:paraId="4CEB7CCF">
            <w:pPr>
              <w:pStyle w:val="21"/>
              <w:jc w:val="center"/>
              <w:rPr>
                <w:highlight w:val="none"/>
              </w:rPr>
            </w:pPr>
            <w:r>
              <w:rPr>
                <w:rFonts w:ascii="仿宋_GB2312" w:hAnsi="仿宋_GB2312" w:eastAsia="仿宋_GB2312" w:cs="仿宋_GB2312"/>
                <w:highlight w:val="none"/>
              </w:rPr>
              <w:t xml:space="preserve"> 详细描述</w:t>
            </w:r>
          </w:p>
        </w:tc>
        <w:tc>
          <w:tcPr>
            <w:tcW w:w="966" w:type="dxa"/>
          </w:tcPr>
          <w:p w14:paraId="74E3DC5C">
            <w:pPr>
              <w:pStyle w:val="21"/>
              <w:jc w:val="center"/>
              <w:rPr>
                <w:highlight w:val="none"/>
              </w:rPr>
            </w:pPr>
            <w:r>
              <w:rPr>
                <w:rFonts w:ascii="仿宋_GB2312" w:hAnsi="仿宋_GB2312" w:eastAsia="仿宋_GB2312" w:cs="仿宋_GB2312"/>
                <w:highlight w:val="none"/>
              </w:rPr>
              <w:t xml:space="preserve"> 分值</w:t>
            </w:r>
          </w:p>
        </w:tc>
        <w:tc>
          <w:tcPr>
            <w:tcW w:w="1003" w:type="dxa"/>
          </w:tcPr>
          <w:p w14:paraId="119395F1">
            <w:pPr>
              <w:pStyle w:val="21"/>
              <w:jc w:val="center"/>
              <w:rPr>
                <w:highlight w:val="none"/>
              </w:rPr>
            </w:pPr>
            <w:r>
              <w:rPr>
                <w:rFonts w:ascii="仿宋_GB2312" w:hAnsi="仿宋_GB2312" w:eastAsia="仿宋_GB2312" w:cs="仿宋_GB2312"/>
                <w:highlight w:val="none"/>
              </w:rPr>
              <w:t xml:space="preserve"> 客观/主观</w:t>
            </w:r>
          </w:p>
        </w:tc>
        <w:tc>
          <w:tcPr>
            <w:tcW w:w="1650" w:type="dxa"/>
          </w:tcPr>
          <w:p w14:paraId="20AE418D">
            <w:pPr>
              <w:pStyle w:val="21"/>
              <w:jc w:val="center"/>
              <w:rPr>
                <w:highlight w:val="none"/>
              </w:rPr>
            </w:pPr>
            <w:r>
              <w:rPr>
                <w:rFonts w:ascii="仿宋_GB2312" w:hAnsi="仿宋_GB2312" w:eastAsia="仿宋_GB2312" w:cs="仿宋_GB2312"/>
                <w:highlight w:val="none"/>
              </w:rPr>
              <w:t xml:space="preserve"> 关联格式</w:t>
            </w:r>
          </w:p>
        </w:tc>
      </w:tr>
      <w:tr w14:paraId="3DB40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restart"/>
          </w:tcPr>
          <w:p w14:paraId="48E6172B">
            <w:pPr>
              <w:pStyle w:val="21"/>
              <w:rPr>
                <w:highlight w:val="none"/>
              </w:rPr>
            </w:pPr>
            <w:r>
              <w:rPr>
                <w:rFonts w:ascii="仿宋_GB2312" w:hAnsi="仿宋_GB2312" w:eastAsia="仿宋_GB2312" w:cs="仿宋_GB2312"/>
                <w:highlight w:val="none"/>
              </w:rPr>
              <w:t>详细评审</w:t>
            </w:r>
          </w:p>
        </w:tc>
        <w:tc>
          <w:tcPr>
            <w:tcW w:w="1480" w:type="dxa"/>
          </w:tcPr>
          <w:p w14:paraId="7DD4A18C">
            <w:pPr>
              <w:pStyle w:val="21"/>
              <w:rPr>
                <w:highlight w:val="none"/>
              </w:rPr>
            </w:pPr>
            <w:r>
              <w:rPr>
                <w:rFonts w:ascii="仿宋_GB2312" w:hAnsi="仿宋_GB2312" w:eastAsia="仿宋_GB2312" w:cs="仿宋_GB2312"/>
                <w:highlight w:val="none"/>
              </w:rPr>
              <w:t>1.施工方案总体说明</w:t>
            </w:r>
          </w:p>
        </w:tc>
        <w:tc>
          <w:tcPr>
            <w:tcW w:w="2746" w:type="dxa"/>
          </w:tcPr>
          <w:p w14:paraId="63236889">
            <w:pPr>
              <w:pStyle w:val="21"/>
              <w:rPr>
                <w:highlight w:val="none"/>
              </w:rPr>
            </w:pPr>
            <w:r>
              <w:rPr>
                <w:rFonts w:ascii="仿宋_GB2312" w:hAnsi="仿宋_GB2312" w:eastAsia="仿宋_GB2312" w:cs="仿宋_GB2312"/>
                <w:highlight w:val="none"/>
              </w:rPr>
              <w:t xml:space="preserve">施工方案总体说明全面合理得 </w:t>
            </w: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分，基本合理得3分，无不得分。</w:t>
            </w:r>
          </w:p>
        </w:tc>
        <w:tc>
          <w:tcPr>
            <w:tcW w:w="966" w:type="dxa"/>
          </w:tcPr>
          <w:p w14:paraId="5CB17ABB">
            <w:pPr>
              <w:pStyle w:val="21"/>
              <w:jc w:val="right"/>
              <w:rPr>
                <w:highlight w:val="none"/>
              </w:rPr>
            </w:pP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.0000</w:t>
            </w:r>
          </w:p>
        </w:tc>
        <w:tc>
          <w:tcPr>
            <w:tcW w:w="1003" w:type="dxa"/>
          </w:tcPr>
          <w:p w14:paraId="53987E2B">
            <w:pPr>
              <w:pStyle w:val="21"/>
              <w:rPr>
                <w:highlight w:val="none"/>
              </w:rPr>
            </w:pPr>
            <w:r>
              <w:rPr>
                <w:rFonts w:ascii="仿宋_GB2312" w:hAnsi="仿宋_GB2312" w:eastAsia="仿宋_GB2312" w:cs="仿宋_GB2312"/>
                <w:highlight w:val="none"/>
              </w:rPr>
              <w:t>主观</w:t>
            </w:r>
          </w:p>
        </w:tc>
        <w:tc>
          <w:tcPr>
            <w:tcW w:w="1650" w:type="dxa"/>
          </w:tcPr>
          <w:p w14:paraId="0565CEA8">
            <w:pPr>
              <w:pStyle w:val="21"/>
              <w:rPr>
                <w:highlight w:val="none"/>
              </w:rPr>
            </w:pPr>
            <w:r>
              <w:rPr>
                <w:rFonts w:ascii="仿宋_GB2312" w:hAnsi="仿宋_GB2312" w:eastAsia="仿宋_GB2312" w:cs="仿宋_GB2312"/>
                <w:highlight w:val="none"/>
              </w:rPr>
              <w:t>响应方案.docx</w:t>
            </w:r>
          </w:p>
        </w:tc>
      </w:tr>
      <w:tr w14:paraId="69C01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70" w:type="dxa"/>
            <w:vMerge w:val="continue"/>
          </w:tcPr>
          <w:p w14:paraId="50F77ACA">
            <w:pPr>
              <w:rPr>
                <w:highlight w:val="none"/>
              </w:rPr>
            </w:pPr>
          </w:p>
        </w:tc>
        <w:tc>
          <w:tcPr>
            <w:tcW w:w="1480" w:type="dxa"/>
          </w:tcPr>
          <w:p w14:paraId="3CE56763">
            <w:pPr>
              <w:pStyle w:val="21"/>
              <w:rPr>
                <w:highlight w:val="none"/>
              </w:rPr>
            </w:pPr>
            <w:r>
              <w:rPr>
                <w:rFonts w:ascii="仿宋_GB2312" w:hAnsi="仿宋_GB2312" w:eastAsia="仿宋_GB2312" w:cs="仿宋_GB2312"/>
                <w:highlight w:val="none"/>
              </w:rPr>
              <w:t>2.确保工程质量的技术组织措施</w:t>
            </w:r>
          </w:p>
        </w:tc>
        <w:tc>
          <w:tcPr>
            <w:tcW w:w="2746" w:type="dxa"/>
          </w:tcPr>
          <w:p w14:paraId="65A40550">
            <w:pPr>
              <w:pStyle w:val="21"/>
              <w:rPr>
                <w:highlight w:val="none"/>
              </w:rPr>
            </w:pPr>
            <w:r>
              <w:rPr>
                <w:rFonts w:ascii="仿宋_GB2312" w:hAnsi="仿宋_GB2312" w:eastAsia="仿宋_GB2312" w:cs="仿宋_GB2312"/>
                <w:highlight w:val="none"/>
              </w:rPr>
              <w:t>工程质量的技术组织措施全面合理得</w:t>
            </w: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分，基本合理得3分，无不得分。</w:t>
            </w:r>
          </w:p>
        </w:tc>
        <w:tc>
          <w:tcPr>
            <w:tcW w:w="966" w:type="dxa"/>
          </w:tcPr>
          <w:p w14:paraId="2E8A0808">
            <w:pPr>
              <w:pStyle w:val="21"/>
              <w:jc w:val="right"/>
              <w:rPr>
                <w:highlight w:val="none"/>
              </w:rPr>
            </w:pP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.0000</w:t>
            </w:r>
          </w:p>
        </w:tc>
        <w:tc>
          <w:tcPr>
            <w:tcW w:w="1003" w:type="dxa"/>
          </w:tcPr>
          <w:p w14:paraId="31BF8705">
            <w:pPr>
              <w:pStyle w:val="21"/>
              <w:rPr>
                <w:highlight w:val="none"/>
              </w:rPr>
            </w:pPr>
            <w:r>
              <w:rPr>
                <w:rFonts w:ascii="仿宋_GB2312" w:hAnsi="仿宋_GB2312" w:eastAsia="仿宋_GB2312" w:cs="仿宋_GB2312"/>
                <w:highlight w:val="none"/>
              </w:rPr>
              <w:t>主观</w:t>
            </w:r>
          </w:p>
        </w:tc>
        <w:tc>
          <w:tcPr>
            <w:tcW w:w="1650" w:type="dxa"/>
          </w:tcPr>
          <w:p w14:paraId="65CD074E">
            <w:pPr>
              <w:pStyle w:val="21"/>
              <w:rPr>
                <w:highlight w:val="none"/>
              </w:rPr>
            </w:pPr>
            <w:r>
              <w:rPr>
                <w:rFonts w:ascii="仿宋_GB2312" w:hAnsi="仿宋_GB2312" w:eastAsia="仿宋_GB2312" w:cs="仿宋_GB2312"/>
                <w:highlight w:val="none"/>
              </w:rPr>
              <w:t>响应方案.docx</w:t>
            </w:r>
          </w:p>
        </w:tc>
      </w:tr>
      <w:tr w14:paraId="265DC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461AB6F2">
            <w:pPr>
              <w:rPr>
                <w:highlight w:val="none"/>
              </w:rPr>
            </w:pPr>
          </w:p>
        </w:tc>
        <w:tc>
          <w:tcPr>
            <w:tcW w:w="1480" w:type="dxa"/>
          </w:tcPr>
          <w:p w14:paraId="52C34D49">
            <w:pPr>
              <w:pStyle w:val="21"/>
              <w:rPr>
                <w:highlight w:val="none"/>
              </w:rPr>
            </w:pPr>
            <w:r>
              <w:rPr>
                <w:rFonts w:ascii="仿宋_GB2312" w:hAnsi="仿宋_GB2312" w:eastAsia="仿宋_GB2312" w:cs="仿宋_GB2312"/>
                <w:highlight w:val="none"/>
              </w:rPr>
              <w:t>3.确保安全生产的技术组织措施</w:t>
            </w:r>
          </w:p>
        </w:tc>
        <w:tc>
          <w:tcPr>
            <w:tcW w:w="2746" w:type="dxa"/>
          </w:tcPr>
          <w:p w14:paraId="2430DBE4">
            <w:pPr>
              <w:pStyle w:val="21"/>
              <w:rPr>
                <w:highlight w:val="none"/>
              </w:rPr>
            </w:pPr>
            <w:r>
              <w:rPr>
                <w:rFonts w:ascii="仿宋_GB2312" w:hAnsi="仿宋_GB2312" w:eastAsia="仿宋_GB2312" w:cs="仿宋_GB2312"/>
                <w:highlight w:val="none"/>
              </w:rPr>
              <w:t>安全生产的技术组织措施全面合理得</w:t>
            </w: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分，基本合理得3分，无不得分。</w:t>
            </w:r>
          </w:p>
        </w:tc>
        <w:tc>
          <w:tcPr>
            <w:tcW w:w="966" w:type="dxa"/>
          </w:tcPr>
          <w:p w14:paraId="5346A5FA">
            <w:pPr>
              <w:pStyle w:val="21"/>
              <w:jc w:val="right"/>
              <w:rPr>
                <w:highlight w:val="none"/>
              </w:rPr>
            </w:pP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.0000</w:t>
            </w:r>
          </w:p>
        </w:tc>
        <w:tc>
          <w:tcPr>
            <w:tcW w:w="1003" w:type="dxa"/>
          </w:tcPr>
          <w:p w14:paraId="1814790E">
            <w:pPr>
              <w:pStyle w:val="21"/>
              <w:rPr>
                <w:highlight w:val="none"/>
              </w:rPr>
            </w:pPr>
            <w:r>
              <w:rPr>
                <w:rFonts w:ascii="仿宋_GB2312" w:hAnsi="仿宋_GB2312" w:eastAsia="仿宋_GB2312" w:cs="仿宋_GB2312"/>
                <w:highlight w:val="none"/>
              </w:rPr>
              <w:t>主观</w:t>
            </w:r>
          </w:p>
        </w:tc>
        <w:tc>
          <w:tcPr>
            <w:tcW w:w="1650" w:type="dxa"/>
          </w:tcPr>
          <w:p w14:paraId="1F7A7D06">
            <w:pPr>
              <w:pStyle w:val="21"/>
              <w:rPr>
                <w:highlight w:val="none"/>
              </w:rPr>
            </w:pPr>
            <w:r>
              <w:rPr>
                <w:rFonts w:ascii="仿宋_GB2312" w:hAnsi="仿宋_GB2312" w:eastAsia="仿宋_GB2312" w:cs="仿宋_GB2312"/>
                <w:highlight w:val="none"/>
              </w:rPr>
              <w:t>响应方案.docx</w:t>
            </w:r>
          </w:p>
        </w:tc>
      </w:tr>
      <w:tr w14:paraId="0C9BC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7A45E67E">
            <w:pPr>
              <w:rPr>
                <w:highlight w:val="none"/>
              </w:rPr>
            </w:pPr>
          </w:p>
        </w:tc>
        <w:tc>
          <w:tcPr>
            <w:tcW w:w="1480" w:type="dxa"/>
          </w:tcPr>
          <w:p w14:paraId="1F6FBF0B">
            <w:pPr>
              <w:pStyle w:val="21"/>
              <w:rPr>
                <w:highlight w:val="none"/>
              </w:rPr>
            </w:pPr>
            <w:r>
              <w:rPr>
                <w:rFonts w:ascii="仿宋_GB2312" w:hAnsi="仿宋_GB2312" w:eastAsia="仿宋_GB2312" w:cs="仿宋_GB2312"/>
                <w:highlight w:val="none"/>
              </w:rPr>
              <w:t>4.确保文明施工的技术组织措施及环境保护措施</w:t>
            </w:r>
          </w:p>
        </w:tc>
        <w:tc>
          <w:tcPr>
            <w:tcW w:w="2746" w:type="dxa"/>
          </w:tcPr>
          <w:p w14:paraId="1551FCBF">
            <w:pPr>
              <w:pStyle w:val="21"/>
              <w:rPr>
                <w:highlight w:val="none"/>
              </w:rPr>
            </w:pPr>
            <w:r>
              <w:rPr>
                <w:rFonts w:ascii="仿宋_GB2312" w:hAnsi="仿宋_GB2312" w:eastAsia="仿宋_GB2312" w:cs="仿宋_GB2312"/>
                <w:highlight w:val="none"/>
              </w:rPr>
              <w:t>文明施工的技术组织措施及环境保护措施全面合理得</w:t>
            </w: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分，基本合理得3分，无不得分。</w:t>
            </w:r>
          </w:p>
        </w:tc>
        <w:tc>
          <w:tcPr>
            <w:tcW w:w="966" w:type="dxa"/>
          </w:tcPr>
          <w:p w14:paraId="60C2EDF2">
            <w:pPr>
              <w:pStyle w:val="21"/>
              <w:jc w:val="right"/>
              <w:rPr>
                <w:highlight w:val="none"/>
              </w:rPr>
            </w:pP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.0000</w:t>
            </w:r>
          </w:p>
        </w:tc>
        <w:tc>
          <w:tcPr>
            <w:tcW w:w="1003" w:type="dxa"/>
          </w:tcPr>
          <w:p w14:paraId="3EB77421">
            <w:pPr>
              <w:pStyle w:val="21"/>
              <w:rPr>
                <w:highlight w:val="none"/>
              </w:rPr>
            </w:pPr>
            <w:r>
              <w:rPr>
                <w:rFonts w:ascii="仿宋_GB2312" w:hAnsi="仿宋_GB2312" w:eastAsia="仿宋_GB2312" w:cs="仿宋_GB2312"/>
                <w:highlight w:val="none"/>
              </w:rPr>
              <w:t>主观</w:t>
            </w:r>
          </w:p>
        </w:tc>
        <w:tc>
          <w:tcPr>
            <w:tcW w:w="1650" w:type="dxa"/>
          </w:tcPr>
          <w:p w14:paraId="47F729C3">
            <w:pPr>
              <w:pStyle w:val="21"/>
              <w:rPr>
                <w:highlight w:val="none"/>
              </w:rPr>
            </w:pPr>
            <w:r>
              <w:rPr>
                <w:rFonts w:ascii="仿宋_GB2312" w:hAnsi="仿宋_GB2312" w:eastAsia="仿宋_GB2312" w:cs="仿宋_GB2312"/>
                <w:highlight w:val="none"/>
              </w:rPr>
              <w:t>强制优先采购产品承诺函</w:t>
            </w:r>
          </w:p>
          <w:p w14:paraId="04480A63">
            <w:pPr>
              <w:pStyle w:val="21"/>
              <w:rPr>
                <w:highlight w:val="none"/>
              </w:rPr>
            </w:pPr>
            <w:r>
              <w:rPr>
                <w:rFonts w:ascii="仿宋_GB2312" w:hAnsi="仿宋_GB2312" w:eastAsia="仿宋_GB2312" w:cs="仿宋_GB2312"/>
                <w:highlight w:val="none"/>
              </w:rPr>
              <w:t>响应方案.docx</w:t>
            </w:r>
          </w:p>
        </w:tc>
      </w:tr>
      <w:tr w14:paraId="08592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7AE36ACA">
            <w:pPr>
              <w:rPr>
                <w:highlight w:val="none"/>
              </w:rPr>
            </w:pPr>
          </w:p>
        </w:tc>
        <w:tc>
          <w:tcPr>
            <w:tcW w:w="1480" w:type="dxa"/>
          </w:tcPr>
          <w:p w14:paraId="19CB8AA4">
            <w:pPr>
              <w:pStyle w:val="21"/>
              <w:rPr>
                <w:highlight w:val="none"/>
              </w:rPr>
            </w:pPr>
            <w:r>
              <w:rPr>
                <w:rFonts w:ascii="仿宋_GB2312" w:hAnsi="仿宋_GB2312" w:eastAsia="仿宋_GB2312" w:cs="仿宋_GB2312"/>
                <w:highlight w:val="none"/>
              </w:rPr>
              <w:t>5.项目经理</w:t>
            </w:r>
          </w:p>
        </w:tc>
        <w:tc>
          <w:tcPr>
            <w:tcW w:w="2746" w:type="dxa"/>
          </w:tcPr>
          <w:p w14:paraId="092462B6">
            <w:pPr>
              <w:pStyle w:val="21"/>
              <w:rPr>
                <w:color w:val="auto"/>
                <w:highlight w:val="none"/>
              </w:rPr>
            </w:pPr>
            <w:r>
              <w:rPr>
                <w:rFonts w:ascii="仿宋_GB2312" w:hAnsi="仿宋_GB2312" w:eastAsia="仿宋_GB2312" w:cs="仿宋_GB2312"/>
                <w:color w:val="auto"/>
                <w:highlight w:val="none"/>
              </w:rPr>
              <w:t>具备工程类高级技术职称的，计3分。 评审依据:提供拟派项目经理的技术职称证书的扫描件(或复印件)并加盖供应商公章。供应商如未按照上述要求提供相关证明材料的或所提供内容辨析不清、不完整的，</w:t>
            </w:r>
            <w:r>
              <w:rPr>
                <w:rFonts w:hint="eastAsia" w:ascii="仿宋_GB2312" w:hAnsi="仿宋_GB2312" w:eastAsia="仿宋_GB2312" w:cs="仿宋_GB2312"/>
                <w:color w:val="auto"/>
                <w:highlight w:val="none"/>
                <w:lang w:val="en-US" w:eastAsia="zh-CN"/>
              </w:rPr>
              <w:t>不</w:t>
            </w:r>
            <w:r>
              <w:rPr>
                <w:rFonts w:ascii="仿宋_GB2312" w:hAnsi="仿宋_GB2312" w:eastAsia="仿宋_GB2312" w:cs="仿宋_GB2312"/>
                <w:color w:val="auto"/>
                <w:highlight w:val="none"/>
              </w:rPr>
              <w:t>得分。</w:t>
            </w:r>
          </w:p>
        </w:tc>
        <w:tc>
          <w:tcPr>
            <w:tcW w:w="966" w:type="dxa"/>
          </w:tcPr>
          <w:p w14:paraId="7F4A6F61">
            <w:pPr>
              <w:pStyle w:val="21"/>
              <w:jc w:val="right"/>
              <w:rPr>
                <w:highlight w:val="none"/>
              </w:rPr>
            </w:pPr>
            <w:r>
              <w:rPr>
                <w:rFonts w:ascii="仿宋_GB2312" w:hAnsi="仿宋_GB2312" w:eastAsia="仿宋_GB2312" w:cs="仿宋_GB2312"/>
                <w:highlight w:val="none"/>
              </w:rPr>
              <w:t>3.0000</w:t>
            </w:r>
          </w:p>
        </w:tc>
        <w:tc>
          <w:tcPr>
            <w:tcW w:w="1003" w:type="dxa"/>
          </w:tcPr>
          <w:p w14:paraId="2BBB9475">
            <w:pPr>
              <w:pStyle w:val="21"/>
              <w:rPr>
                <w:highlight w:val="none"/>
              </w:rPr>
            </w:pPr>
            <w:r>
              <w:rPr>
                <w:rFonts w:ascii="仿宋_GB2312" w:hAnsi="仿宋_GB2312" w:eastAsia="仿宋_GB2312" w:cs="仿宋_GB2312"/>
                <w:highlight w:val="none"/>
              </w:rPr>
              <w:t>客观</w:t>
            </w:r>
          </w:p>
        </w:tc>
        <w:tc>
          <w:tcPr>
            <w:tcW w:w="1650" w:type="dxa"/>
          </w:tcPr>
          <w:p w14:paraId="557FF482">
            <w:pPr>
              <w:pStyle w:val="21"/>
              <w:rPr>
                <w:highlight w:val="none"/>
              </w:rPr>
            </w:pPr>
            <w:r>
              <w:rPr>
                <w:rFonts w:ascii="仿宋_GB2312" w:hAnsi="仿宋_GB2312" w:eastAsia="仿宋_GB2312" w:cs="仿宋_GB2312"/>
                <w:highlight w:val="none"/>
              </w:rPr>
              <w:t>响应方案.docx</w:t>
            </w:r>
          </w:p>
        </w:tc>
      </w:tr>
      <w:tr w14:paraId="25D49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7C0D4C21">
            <w:pPr>
              <w:rPr>
                <w:highlight w:val="none"/>
              </w:rPr>
            </w:pPr>
          </w:p>
        </w:tc>
        <w:tc>
          <w:tcPr>
            <w:tcW w:w="1480" w:type="dxa"/>
          </w:tcPr>
          <w:p w14:paraId="7F9BF0D2">
            <w:pPr>
              <w:pStyle w:val="21"/>
              <w:rPr>
                <w:color w:val="auto"/>
                <w:highlight w:val="none"/>
              </w:rPr>
            </w:pPr>
            <w:r>
              <w:rPr>
                <w:rFonts w:ascii="仿宋_GB2312" w:hAnsi="仿宋_GB2312" w:eastAsia="仿宋_GB2312" w:cs="仿宋_GB2312"/>
                <w:color w:val="auto"/>
                <w:highlight w:val="none"/>
              </w:rPr>
              <w:t>6.项目经理业绩</w:t>
            </w:r>
          </w:p>
        </w:tc>
        <w:tc>
          <w:tcPr>
            <w:tcW w:w="2746" w:type="dxa"/>
          </w:tcPr>
          <w:p w14:paraId="63F6E5B2">
            <w:pPr>
              <w:pStyle w:val="21"/>
              <w:rPr>
                <w:rFonts w:ascii="仿宋_GB2312" w:hAnsi="仿宋_GB2312" w:eastAsia="仿宋_GB2312" w:cs="仿宋_GB2312"/>
                <w:color w:val="auto"/>
                <w:highlight w:val="none"/>
              </w:rPr>
            </w:pPr>
            <w:r>
              <w:rPr>
                <w:rFonts w:ascii="仿宋_GB2312" w:hAnsi="仿宋_GB2312" w:eastAsia="仿宋_GB2312" w:cs="仿宋_GB2312"/>
                <w:color w:val="auto"/>
                <w:highlight w:val="none"/>
              </w:rPr>
              <w:t>自202</w:t>
            </w:r>
            <w:r>
              <w:rPr>
                <w:rFonts w:hint="eastAsia" w:ascii="仿宋_GB2312" w:hAnsi="仿宋_GB2312" w:eastAsia="仿宋_GB2312" w:cs="仿宋_GB2312"/>
                <w:color w:val="auto"/>
                <w:highlight w:val="none"/>
                <w:lang w:val="en-US" w:eastAsia="zh-CN"/>
              </w:rPr>
              <w:t>0</w:t>
            </w:r>
            <w:r>
              <w:rPr>
                <w:rFonts w:ascii="仿宋_GB2312" w:hAnsi="仿宋_GB2312" w:eastAsia="仿宋_GB2312" w:cs="仿宋_GB2312"/>
                <w:color w:val="auto"/>
                <w:highlight w:val="none"/>
              </w:rPr>
              <w:t>年1月1日起至本项目响应文件递交截止时间止，每提供1项类似业绩</w:t>
            </w:r>
            <w:r>
              <w:rPr>
                <w:rFonts w:hint="eastAsia" w:ascii="仿宋_GB2312" w:hAnsi="仿宋_GB2312" w:eastAsia="仿宋_GB2312" w:cs="仿宋_GB2312"/>
                <w:color w:val="auto"/>
                <w:highlight w:val="none"/>
                <w:lang w:val="en-US" w:eastAsia="zh-CN"/>
              </w:rPr>
              <w:t xml:space="preserve">（合 </w:t>
            </w:r>
          </w:p>
          <w:p w14:paraId="7B509B5A">
            <w:pPr>
              <w:pStyle w:val="2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同金额不低于</w:t>
            </w:r>
            <w:r>
              <w:rPr>
                <w:rFonts w:ascii="仿宋_GB2312" w:hAnsi="仿宋_GB2312" w:eastAsia="仿宋_GB2312" w:cs="仿宋_GB2312"/>
                <w:color w:val="auto"/>
                <w:highlight w:val="none"/>
                <w:lang w:val="en-US" w:eastAsia="zh-CN"/>
              </w:rPr>
              <w:t>500</w:t>
            </w:r>
            <w:r>
              <w:rPr>
                <w:rFonts w:hint="eastAsia" w:ascii="仿宋_GB2312" w:hAnsi="仿宋_GB2312" w:eastAsia="仿宋_GB2312" w:cs="仿宋_GB2312"/>
                <w:color w:val="auto"/>
                <w:highlight w:val="none"/>
                <w:lang w:val="en-US" w:eastAsia="zh-CN"/>
              </w:rPr>
              <w:t>万元）</w:t>
            </w:r>
          </w:p>
          <w:p w14:paraId="428547D0">
            <w:pPr>
              <w:pStyle w:val="21"/>
              <w:rPr>
                <w:color w:val="auto"/>
                <w:highlight w:val="none"/>
              </w:rPr>
            </w:pPr>
            <w:r>
              <w:rPr>
                <w:rFonts w:ascii="仿宋_GB2312" w:hAnsi="仿宋_GB2312" w:eastAsia="仿宋_GB2312" w:cs="仿宋_GB2312"/>
                <w:color w:val="auto"/>
                <w:highlight w:val="none"/>
              </w:rPr>
              <w:t>证明材料的计</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分，最多计</w:t>
            </w:r>
            <w:r>
              <w:rPr>
                <w:rFonts w:hint="eastAsia" w:ascii="仿宋_GB2312" w:hAnsi="仿宋_GB2312" w:eastAsia="仿宋_GB2312" w:cs="仿宋_GB2312"/>
                <w:color w:val="auto"/>
                <w:highlight w:val="none"/>
                <w:lang w:val="en-US" w:eastAsia="zh-CN"/>
              </w:rPr>
              <w:t>8</w:t>
            </w:r>
            <w:r>
              <w:rPr>
                <w:rFonts w:ascii="仿宋_GB2312" w:hAnsi="仿宋_GB2312" w:eastAsia="仿宋_GB2312" w:cs="仿宋_GB2312"/>
                <w:color w:val="auto"/>
                <w:highlight w:val="none"/>
              </w:rPr>
              <w:t>分。 评审依据:以供应商所提供的合同扫描件(或复印件)并加盖供应商公章为准，合同上应体现供应商拟派项目负责人的相关信息(包括但不限于姓名等相关内容)，时间以合同签订时间为依据。</w:t>
            </w:r>
          </w:p>
        </w:tc>
        <w:tc>
          <w:tcPr>
            <w:tcW w:w="966" w:type="dxa"/>
          </w:tcPr>
          <w:p w14:paraId="70A4BC3A">
            <w:pPr>
              <w:pStyle w:val="21"/>
              <w:jc w:val="right"/>
              <w:rPr>
                <w:color w:val="auto"/>
                <w:highlight w:val="none"/>
              </w:rPr>
            </w:pPr>
            <w:r>
              <w:rPr>
                <w:rFonts w:hint="eastAsia" w:ascii="仿宋_GB2312" w:hAnsi="仿宋_GB2312" w:eastAsia="仿宋_GB2312" w:cs="仿宋_GB2312"/>
                <w:color w:val="auto"/>
                <w:highlight w:val="none"/>
                <w:lang w:val="en-US" w:eastAsia="zh-CN"/>
              </w:rPr>
              <w:t>8</w:t>
            </w:r>
            <w:r>
              <w:rPr>
                <w:rFonts w:ascii="仿宋_GB2312" w:hAnsi="仿宋_GB2312" w:eastAsia="仿宋_GB2312" w:cs="仿宋_GB2312"/>
                <w:color w:val="auto"/>
                <w:highlight w:val="none"/>
              </w:rPr>
              <w:t>.0000</w:t>
            </w:r>
          </w:p>
        </w:tc>
        <w:tc>
          <w:tcPr>
            <w:tcW w:w="1003" w:type="dxa"/>
          </w:tcPr>
          <w:p w14:paraId="7EB6D1A9">
            <w:pPr>
              <w:pStyle w:val="21"/>
              <w:rPr>
                <w:color w:val="auto"/>
                <w:highlight w:val="none"/>
              </w:rPr>
            </w:pPr>
            <w:r>
              <w:rPr>
                <w:rFonts w:ascii="仿宋_GB2312" w:hAnsi="仿宋_GB2312" w:eastAsia="仿宋_GB2312" w:cs="仿宋_GB2312"/>
                <w:color w:val="auto"/>
                <w:highlight w:val="none"/>
              </w:rPr>
              <w:t>客观</w:t>
            </w:r>
          </w:p>
        </w:tc>
        <w:tc>
          <w:tcPr>
            <w:tcW w:w="1650" w:type="dxa"/>
          </w:tcPr>
          <w:p w14:paraId="253279AC">
            <w:pPr>
              <w:pStyle w:val="21"/>
              <w:rPr>
                <w:color w:val="auto"/>
                <w:highlight w:val="none"/>
              </w:rPr>
            </w:pPr>
            <w:r>
              <w:rPr>
                <w:rFonts w:ascii="仿宋_GB2312" w:hAnsi="仿宋_GB2312" w:eastAsia="仿宋_GB2312" w:cs="仿宋_GB2312"/>
                <w:color w:val="auto"/>
                <w:highlight w:val="none"/>
              </w:rPr>
              <w:t>响应方案.docx</w:t>
            </w:r>
          </w:p>
        </w:tc>
      </w:tr>
      <w:tr w14:paraId="16719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770E56C0">
            <w:pPr>
              <w:rPr>
                <w:highlight w:val="none"/>
              </w:rPr>
            </w:pPr>
          </w:p>
        </w:tc>
        <w:tc>
          <w:tcPr>
            <w:tcW w:w="1480" w:type="dxa"/>
          </w:tcPr>
          <w:p w14:paraId="6307E2AA">
            <w:pPr>
              <w:pStyle w:val="21"/>
              <w:rPr>
                <w:highlight w:val="none"/>
              </w:rPr>
            </w:pPr>
            <w:r>
              <w:rPr>
                <w:rFonts w:ascii="仿宋_GB2312" w:hAnsi="仿宋_GB2312" w:eastAsia="仿宋_GB2312" w:cs="仿宋_GB2312"/>
                <w:highlight w:val="none"/>
              </w:rPr>
              <w:t>7.项目组成员构成</w:t>
            </w:r>
          </w:p>
        </w:tc>
        <w:tc>
          <w:tcPr>
            <w:tcW w:w="2746" w:type="dxa"/>
          </w:tcPr>
          <w:p w14:paraId="3B9C7A4C">
            <w:pPr>
              <w:pStyle w:val="21"/>
              <w:rPr>
                <w:color w:val="auto"/>
                <w:highlight w:val="none"/>
              </w:rPr>
            </w:pPr>
            <w:r>
              <w:rPr>
                <w:rFonts w:ascii="仿宋_GB2312" w:hAnsi="仿宋_GB2312" w:eastAsia="仿宋_GB2312" w:cs="仿宋_GB2312"/>
                <w:color w:val="auto"/>
                <w:highlight w:val="none"/>
              </w:rPr>
              <w:t>项目</w:t>
            </w:r>
            <w:r>
              <w:rPr>
                <w:rFonts w:hint="eastAsia" w:ascii="仿宋_GB2312" w:hAnsi="仿宋_GB2312" w:eastAsia="仿宋_GB2312" w:cs="仿宋_GB2312"/>
                <w:color w:val="auto"/>
                <w:highlight w:val="none"/>
                <w:lang w:val="en-US" w:eastAsia="zh-CN"/>
              </w:rPr>
              <w:t>组成</w:t>
            </w:r>
            <w:r>
              <w:rPr>
                <w:rFonts w:ascii="仿宋_GB2312" w:hAnsi="仿宋_GB2312" w:eastAsia="仿宋_GB2312" w:cs="仿宋_GB2312"/>
                <w:color w:val="auto"/>
                <w:highlight w:val="none"/>
              </w:rPr>
              <w:t>员全面合理</w:t>
            </w:r>
            <w:r>
              <w:rPr>
                <w:rFonts w:hint="eastAsia" w:ascii="仿宋_GB2312" w:hAnsi="仿宋_GB2312" w:eastAsia="仿宋_GB2312" w:cs="仿宋_GB2312"/>
                <w:color w:val="auto"/>
                <w:highlight w:val="none"/>
                <w:lang w:val="en-US" w:eastAsia="zh-CN"/>
              </w:rPr>
              <w:t>且具有相应资格证</w:t>
            </w:r>
            <w:r>
              <w:rPr>
                <w:rFonts w:ascii="仿宋_GB2312" w:hAnsi="仿宋_GB2312" w:eastAsia="仿宋_GB2312" w:cs="仿宋_GB2312"/>
                <w:color w:val="auto"/>
                <w:highlight w:val="none"/>
              </w:rPr>
              <w:t>得5分，基本合理得3分，无不得分。</w:t>
            </w:r>
          </w:p>
        </w:tc>
        <w:tc>
          <w:tcPr>
            <w:tcW w:w="966" w:type="dxa"/>
          </w:tcPr>
          <w:p w14:paraId="6F03F493">
            <w:pPr>
              <w:pStyle w:val="21"/>
              <w:jc w:val="right"/>
              <w:rPr>
                <w:highlight w:val="none"/>
              </w:rPr>
            </w:pPr>
            <w:r>
              <w:rPr>
                <w:rFonts w:ascii="仿宋_GB2312" w:hAnsi="仿宋_GB2312" w:eastAsia="仿宋_GB2312" w:cs="仿宋_GB2312"/>
                <w:highlight w:val="none"/>
              </w:rPr>
              <w:t>5.0000</w:t>
            </w:r>
          </w:p>
        </w:tc>
        <w:tc>
          <w:tcPr>
            <w:tcW w:w="1003" w:type="dxa"/>
          </w:tcPr>
          <w:p w14:paraId="639C24F5">
            <w:pPr>
              <w:pStyle w:val="21"/>
              <w:rPr>
                <w:highlight w:val="none"/>
              </w:rPr>
            </w:pPr>
            <w:r>
              <w:rPr>
                <w:rFonts w:ascii="仿宋_GB2312" w:hAnsi="仿宋_GB2312" w:eastAsia="仿宋_GB2312" w:cs="仿宋_GB2312"/>
                <w:highlight w:val="none"/>
              </w:rPr>
              <w:t>主观</w:t>
            </w:r>
          </w:p>
        </w:tc>
        <w:tc>
          <w:tcPr>
            <w:tcW w:w="1650" w:type="dxa"/>
          </w:tcPr>
          <w:p w14:paraId="726D28C5">
            <w:pPr>
              <w:pStyle w:val="21"/>
              <w:rPr>
                <w:highlight w:val="none"/>
              </w:rPr>
            </w:pPr>
            <w:r>
              <w:rPr>
                <w:rFonts w:ascii="仿宋_GB2312" w:hAnsi="仿宋_GB2312" w:eastAsia="仿宋_GB2312" w:cs="仿宋_GB2312"/>
                <w:highlight w:val="none"/>
              </w:rPr>
              <w:t>响应方案.docx</w:t>
            </w:r>
          </w:p>
        </w:tc>
      </w:tr>
      <w:tr w14:paraId="558E1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1BF351EA">
            <w:pPr>
              <w:rPr>
                <w:highlight w:val="none"/>
              </w:rPr>
            </w:pPr>
          </w:p>
        </w:tc>
        <w:tc>
          <w:tcPr>
            <w:tcW w:w="1480" w:type="dxa"/>
          </w:tcPr>
          <w:p w14:paraId="5EB840D0">
            <w:pPr>
              <w:pStyle w:val="21"/>
              <w:rPr>
                <w:highlight w:val="none"/>
              </w:rPr>
            </w:pPr>
            <w:r>
              <w:rPr>
                <w:rFonts w:ascii="仿宋_GB2312" w:hAnsi="仿宋_GB2312" w:eastAsia="仿宋_GB2312" w:cs="仿宋_GB2312"/>
                <w:highlight w:val="none"/>
              </w:rPr>
              <w:t>8.项目组成员职称</w:t>
            </w:r>
          </w:p>
        </w:tc>
        <w:tc>
          <w:tcPr>
            <w:tcW w:w="2746" w:type="dxa"/>
          </w:tcPr>
          <w:p w14:paraId="5B917126">
            <w:pPr>
              <w:pStyle w:val="21"/>
              <w:rPr>
                <w:color w:val="auto"/>
                <w:highlight w:val="none"/>
              </w:rPr>
            </w:pPr>
            <w:r>
              <w:rPr>
                <w:rFonts w:ascii="仿宋_GB2312" w:hAnsi="仿宋_GB2312" w:eastAsia="仿宋_GB2312" w:cs="仿宋_GB2312"/>
                <w:color w:val="auto"/>
                <w:highlight w:val="none"/>
              </w:rPr>
              <w:t>项目组成员具备1个相关专业中级及以上职称得1分，</w:t>
            </w:r>
            <w:r>
              <w:rPr>
                <w:rFonts w:hint="eastAsia" w:ascii="仿宋_GB2312" w:hAnsi="仿宋_GB2312" w:eastAsia="仿宋_GB2312" w:cs="仿宋_GB2312"/>
                <w:color w:val="auto"/>
                <w:highlight w:val="none"/>
                <w:lang w:val="en-US" w:eastAsia="zh-CN"/>
              </w:rPr>
              <w:t>相同专业不重复得分，</w:t>
            </w:r>
            <w:r>
              <w:rPr>
                <w:rFonts w:ascii="仿宋_GB2312" w:hAnsi="仿宋_GB2312" w:eastAsia="仿宋_GB2312" w:cs="仿宋_GB2312"/>
                <w:color w:val="auto"/>
                <w:highlight w:val="none"/>
              </w:rPr>
              <w:t>最高得3分。</w:t>
            </w:r>
          </w:p>
        </w:tc>
        <w:tc>
          <w:tcPr>
            <w:tcW w:w="966" w:type="dxa"/>
          </w:tcPr>
          <w:p w14:paraId="3870F1AB">
            <w:pPr>
              <w:pStyle w:val="21"/>
              <w:jc w:val="right"/>
              <w:rPr>
                <w:color w:val="auto"/>
                <w:highlight w:val="none"/>
              </w:rPr>
            </w:pPr>
            <w:r>
              <w:rPr>
                <w:rFonts w:ascii="仿宋_GB2312" w:hAnsi="仿宋_GB2312" w:eastAsia="仿宋_GB2312" w:cs="仿宋_GB2312"/>
                <w:color w:val="auto"/>
                <w:highlight w:val="none"/>
              </w:rPr>
              <w:t>3.0000</w:t>
            </w:r>
          </w:p>
        </w:tc>
        <w:tc>
          <w:tcPr>
            <w:tcW w:w="1003" w:type="dxa"/>
          </w:tcPr>
          <w:p w14:paraId="461CDBE9">
            <w:pPr>
              <w:pStyle w:val="21"/>
              <w:rPr>
                <w:highlight w:val="none"/>
              </w:rPr>
            </w:pPr>
            <w:r>
              <w:rPr>
                <w:rFonts w:ascii="仿宋_GB2312" w:hAnsi="仿宋_GB2312" w:eastAsia="仿宋_GB2312" w:cs="仿宋_GB2312"/>
                <w:highlight w:val="none"/>
              </w:rPr>
              <w:t>客观</w:t>
            </w:r>
          </w:p>
        </w:tc>
        <w:tc>
          <w:tcPr>
            <w:tcW w:w="1650" w:type="dxa"/>
          </w:tcPr>
          <w:p w14:paraId="7239FF75">
            <w:pPr>
              <w:pStyle w:val="21"/>
              <w:rPr>
                <w:highlight w:val="none"/>
              </w:rPr>
            </w:pPr>
            <w:r>
              <w:rPr>
                <w:rFonts w:ascii="仿宋_GB2312" w:hAnsi="仿宋_GB2312" w:eastAsia="仿宋_GB2312" w:cs="仿宋_GB2312"/>
                <w:highlight w:val="none"/>
              </w:rPr>
              <w:t>响应方案.docx</w:t>
            </w:r>
          </w:p>
        </w:tc>
      </w:tr>
      <w:tr w14:paraId="145F6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72F4720C">
            <w:pPr>
              <w:rPr>
                <w:highlight w:val="none"/>
              </w:rPr>
            </w:pPr>
          </w:p>
        </w:tc>
        <w:tc>
          <w:tcPr>
            <w:tcW w:w="1480" w:type="dxa"/>
          </w:tcPr>
          <w:p w14:paraId="7B18D598">
            <w:pPr>
              <w:pStyle w:val="21"/>
              <w:rPr>
                <w:highlight w:val="none"/>
              </w:rPr>
            </w:pPr>
            <w:r>
              <w:rPr>
                <w:rFonts w:ascii="仿宋_GB2312" w:hAnsi="仿宋_GB2312" w:eastAsia="仿宋_GB2312" w:cs="仿宋_GB2312"/>
                <w:highlight w:val="none"/>
              </w:rPr>
              <w:t>9.施工机械配备和材料投入计划</w:t>
            </w:r>
          </w:p>
        </w:tc>
        <w:tc>
          <w:tcPr>
            <w:tcW w:w="2746" w:type="dxa"/>
          </w:tcPr>
          <w:p w14:paraId="7D82D3A4">
            <w:pPr>
              <w:pStyle w:val="21"/>
              <w:rPr>
                <w:color w:val="auto"/>
                <w:highlight w:val="none"/>
              </w:rPr>
            </w:pPr>
            <w:r>
              <w:rPr>
                <w:rFonts w:ascii="仿宋_GB2312" w:hAnsi="仿宋_GB2312" w:eastAsia="仿宋_GB2312" w:cs="仿宋_GB2312"/>
                <w:color w:val="auto"/>
                <w:highlight w:val="none"/>
              </w:rPr>
              <w:t>施工机械配备和材料投入计划全面合理得</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分，基本合理得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分，无不得分。</w:t>
            </w:r>
          </w:p>
        </w:tc>
        <w:tc>
          <w:tcPr>
            <w:tcW w:w="966" w:type="dxa"/>
          </w:tcPr>
          <w:p w14:paraId="5050D559">
            <w:pPr>
              <w:pStyle w:val="21"/>
              <w:jc w:val="right"/>
              <w:rPr>
                <w:color w:val="auto"/>
                <w:highlight w:val="none"/>
              </w:rPr>
            </w:pP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.0000</w:t>
            </w:r>
          </w:p>
        </w:tc>
        <w:tc>
          <w:tcPr>
            <w:tcW w:w="1003" w:type="dxa"/>
          </w:tcPr>
          <w:p w14:paraId="49572307">
            <w:pPr>
              <w:pStyle w:val="21"/>
              <w:rPr>
                <w:highlight w:val="none"/>
              </w:rPr>
            </w:pPr>
            <w:r>
              <w:rPr>
                <w:rFonts w:ascii="仿宋_GB2312" w:hAnsi="仿宋_GB2312" w:eastAsia="仿宋_GB2312" w:cs="仿宋_GB2312"/>
                <w:highlight w:val="none"/>
              </w:rPr>
              <w:t>主观</w:t>
            </w:r>
          </w:p>
        </w:tc>
        <w:tc>
          <w:tcPr>
            <w:tcW w:w="1650" w:type="dxa"/>
          </w:tcPr>
          <w:p w14:paraId="587E7E5E">
            <w:pPr>
              <w:pStyle w:val="21"/>
              <w:rPr>
                <w:highlight w:val="none"/>
              </w:rPr>
            </w:pPr>
            <w:r>
              <w:rPr>
                <w:rFonts w:ascii="仿宋_GB2312" w:hAnsi="仿宋_GB2312" w:eastAsia="仿宋_GB2312" w:cs="仿宋_GB2312"/>
                <w:highlight w:val="none"/>
              </w:rPr>
              <w:t>响应方案.docx</w:t>
            </w:r>
          </w:p>
        </w:tc>
      </w:tr>
      <w:tr w14:paraId="24ECF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315913D1">
            <w:pPr>
              <w:rPr>
                <w:highlight w:val="none"/>
              </w:rPr>
            </w:pPr>
          </w:p>
        </w:tc>
        <w:tc>
          <w:tcPr>
            <w:tcW w:w="1480" w:type="dxa"/>
          </w:tcPr>
          <w:p w14:paraId="0771A42A">
            <w:pPr>
              <w:pStyle w:val="21"/>
              <w:rPr>
                <w:highlight w:val="none"/>
              </w:rPr>
            </w:pPr>
            <w:r>
              <w:rPr>
                <w:rFonts w:ascii="仿宋_GB2312" w:hAnsi="仿宋_GB2312" w:eastAsia="仿宋_GB2312" w:cs="仿宋_GB2312"/>
                <w:highlight w:val="none"/>
              </w:rPr>
              <w:t>10.施工进度表或施工网络图</w:t>
            </w:r>
          </w:p>
        </w:tc>
        <w:tc>
          <w:tcPr>
            <w:tcW w:w="2746" w:type="dxa"/>
          </w:tcPr>
          <w:p w14:paraId="2BE4D622">
            <w:pPr>
              <w:pStyle w:val="21"/>
              <w:rPr>
                <w:color w:val="auto"/>
                <w:highlight w:val="none"/>
              </w:rPr>
            </w:pPr>
            <w:r>
              <w:rPr>
                <w:rFonts w:ascii="仿宋_GB2312" w:hAnsi="仿宋_GB2312" w:eastAsia="仿宋_GB2312" w:cs="仿宋_GB2312"/>
                <w:color w:val="auto"/>
                <w:highlight w:val="none"/>
              </w:rPr>
              <w:t>施工进度表或施工网络图全面合理得</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 xml:space="preserve"> 分，基本合理得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分，不够合理得1分，无不得分。</w:t>
            </w:r>
          </w:p>
        </w:tc>
        <w:tc>
          <w:tcPr>
            <w:tcW w:w="966" w:type="dxa"/>
          </w:tcPr>
          <w:p w14:paraId="617A6BF7">
            <w:pPr>
              <w:pStyle w:val="21"/>
              <w:jc w:val="right"/>
              <w:rPr>
                <w:color w:val="auto"/>
                <w:highlight w:val="none"/>
              </w:rPr>
            </w:pP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.0000</w:t>
            </w:r>
          </w:p>
        </w:tc>
        <w:tc>
          <w:tcPr>
            <w:tcW w:w="1003" w:type="dxa"/>
          </w:tcPr>
          <w:p w14:paraId="7D890930">
            <w:pPr>
              <w:pStyle w:val="21"/>
              <w:rPr>
                <w:highlight w:val="none"/>
              </w:rPr>
            </w:pPr>
            <w:r>
              <w:rPr>
                <w:rFonts w:ascii="仿宋_GB2312" w:hAnsi="仿宋_GB2312" w:eastAsia="仿宋_GB2312" w:cs="仿宋_GB2312"/>
                <w:highlight w:val="none"/>
              </w:rPr>
              <w:t>主观</w:t>
            </w:r>
          </w:p>
        </w:tc>
        <w:tc>
          <w:tcPr>
            <w:tcW w:w="1650" w:type="dxa"/>
          </w:tcPr>
          <w:p w14:paraId="7E9936F2">
            <w:pPr>
              <w:pStyle w:val="21"/>
              <w:rPr>
                <w:highlight w:val="none"/>
              </w:rPr>
            </w:pPr>
            <w:r>
              <w:rPr>
                <w:rFonts w:ascii="仿宋_GB2312" w:hAnsi="仿宋_GB2312" w:eastAsia="仿宋_GB2312" w:cs="仿宋_GB2312"/>
                <w:highlight w:val="none"/>
              </w:rPr>
              <w:t>响应方案.docx</w:t>
            </w:r>
          </w:p>
        </w:tc>
      </w:tr>
      <w:tr w14:paraId="4C2AD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25AE1155">
            <w:pPr>
              <w:rPr>
                <w:highlight w:val="none"/>
              </w:rPr>
            </w:pPr>
          </w:p>
        </w:tc>
        <w:tc>
          <w:tcPr>
            <w:tcW w:w="1480" w:type="dxa"/>
          </w:tcPr>
          <w:p w14:paraId="562AA060">
            <w:pPr>
              <w:pStyle w:val="21"/>
              <w:rPr>
                <w:highlight w:val="none"/>
              </w:rPr>
            </w:pPr>
            <w:r>
              <w:rPr>
                <w:rFonts w:ascii="仿宋_GB2312" w:hAnsi="仿宋_GB2312" w:eastAsia="仿宋_GB2312" w:cs="仿宋_GB2312"/>
                <w:highlight w:val="none"/>
              </w:rPr>
              <w:t>11.劳动力安排计划及劳务分包情况表</w:t>
            </w:r>
          </w:p>
        </w:tc>
        <w:tc>
          <w:tcPr>
            <w:tcW w:w="2746" w:type="dxa"/>
          </w:tcPr>
          <w:p w14:paraId="35442830">
            <w:pPr>
              <w:pStyle w:val="21"/>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劳动力安排计划及劳务分包情况表全面合理得 </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分，基本合理得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分，不够合理得1分，无不得分。</w:t>
            </w:r>
          </w:p>
        </w:tc>
        <w:tc>
          <w:tcPr>
            <w:tcW w:w="966" w:type="dxa"/>
          </w:tcPr>
          <w:p w14:paraId="2477242E">
            <w:pPr>
              <w:pStyle w:val="21"/>
              <w:jc w:val="right"/>
              <w:rPr>
                <w:color w:val="auto"/>
                <w:highlight w:val="none"/>
              </w:rPr>
            </w:pP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.0000</w:t>
            </w:r>
          </w:p>
        </w:tc>
        <w:tc>
          <w:tcPr>
            <w:tcW w:w="1003" w:type="dxa"/>
          </w:tcPr>
          <w:p w14:paraId="2AE4837F">
            <w:pPr>
              <w:pStyle w:val="21"/>
              <w:rPr>
                <w:highlight w:val="none"/>
              </w:rPr>
            </w:pPr>
            <w:r>
              <w:rPr>
                <w:rFonts w:ascii="仿宋_GB2312" w:hAnsi="仿宋_GB2312" w:eastAsia="仿宋_GB2312" w:cs="仿宋_GB2312"/>
                <w:highlight w:val="none"/>
              </w:rPr>
              <w:t>主观</w:t>
            </w:r>
          </w:p>
        </w:tc>
        <w:tc>
          <w:tcPr>
            <w:tcW w:w="1650" w:type="dxa"/>
          </w:tcPr>
          <w:p w14:paraId="22B62809">
            <w:pPr>
              <w:pStyle w:val="21"/>
              <w:rPr>
                <w:highlight w:val="none"/>
              </w:rPr>
            </w:pPr>
            <w:r>
              <w:rPr>
                <w:rFonts w:ascii="仿宋_GB2312" w:hAnsi="仿宋_GB2312" w:eastAsia="仿宋_GB2312" w:cs="仿宋_GB2312"/>
                <w:highlight w:val="none"/>
              </w:rPr>
              <w:t>响应方案.docx</w:t>
            </w:r>
          </w:p>
        </w:tc>
      </w:tr>
      <w:tr w14:paraId="57D89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761B23E4">
            <w:pPr>
              <w:rPr>
                <w:highlight w:val="none"/>
              </w:rPr>
            </w:pPr>
          </w:p>
        </w:tc>
        <w:tc>
          <w:tcPr>
            <w:tcW w:w="1480" w:type="dxa"/>
            <w:vAlign w:val="center"/>
          </w:tcPr>
          <w:p w14:paraId="19BEFAF8">
            <w:pPr>
              <w:spacing w:line="240" w:lineRule="auto"/>
              <w:jc w:val="center"/>
              <w:rPr>
                <w:rFonts w:hint="default" w:ascii="仿宋_GB2312" w:hAnsi="仿宋_GB2312" w:eastAsia="仿宋_GB2312" w:cs="仿宋_GB2312"/>
                <w:snapToGrid/>
                <w:color w:val="auto"/>
                <w:sz w:val="20"/>
                <w:szCs w:val="20"/>
                <w:highlight w:val="none"/>
                <w:lang w:val="en-US" w:eastAsia="zh-CN"/>
              </w:rPr>
            </w:pPr>
            <w:r>
              <w:rPr>
                <w:rFonts w:hint="eastAsia" w:ascii="仿宋_GB2312" w:hAnsi="仿宋_GB2312" w:eastAsia="仿宋_GB2312" w:cs="仿宋_GB2312"/>
                <w:snapToGrid/>
                <w:color w:val="auto"/>
                <w:sz w:val="20"/>
                <w:szCs w:val="20"/>
                <w:highlight w:val="none"/>
                <w:lang w:val="en-US" w:eastAsia="zh-CN"/>
              </w:rPr>
              <w:t>12.</w:t>
            </w:r>
            <w:r>
              <w:rPr>
                <w:rFonts w:hint="eastAsia" w:ascii="仿宋_GB2312" w:hAnsi="仿宋_GB2312" w:eastAsia="仿宋_GB2312" w:cs="仿宋_GB2312"/>
                <w:snapToGrid/>
                <w:color w:val="auto"/>
                <w:sz w:val="20"/>
                <w:szCs w:val="20"/>
                <w:highlight w:val="none"/>
                <w:lang w:val="en-US" w:eastAsia="zh-Hans"/>
              </w:rPr>
              <w:t>新技术、新产品、新工艺、新材料应用；施工现场扬尘预防措施</w:t>
            </w:r>
          </w:p>
        </w:tc>
        <w:tc>
          <w:tcPr>
            <w:tcW w:w="2746" w:type="dxa"/>
            <w:vAlign w:val="center"/>
          </w:tcPr>
          <w:p w14:paraId="478BCA47">
            <w:pPr>
              <w:pStyle w:val="21"/>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Hans"/>
              </w:rPr>
              <w:t>针对本项目列出的新技术、新产品、新工艺、新材料应用及施工现场扬尘预防措施的合理性、可行性等因素进行自主评分；</w:t>
            </w:r>
          </w:p>
          <w:p w14:paraId="1A6DEE00">
            <w:pPr>
              <w:pStyle w:val="21"/>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得分：优得5分，良得3分</w:t>
            </w:r>
          </w:p>
        </w:tc>
        <w:tc>
          <w:tcPr>
            <w:tcW w:w="966" w:type="dxa"/>
            <w:vAlign w:val="top"/>
          </w:tcPr>
          <w:p w14:paraId="05379B09">
            <w:pPr>
              <w:pStyle w:val="21"/>
              <w:jc w:val="right"/>
              <w:rPr>
                <w:rFonts w:hint="eastAsia" w:ascii="仿宋_GB2312" w:hAnsi="仿宋_GB2312" w:eastAsia="仿宋_GB2312" w:cs="仿宋_GB2312"/>
                <w:snapToGrid/>
                <w:color w:val="auto"/>
                <w:sz w:val="20"/>
                <w:szCs w:val="20"/>
                <w:highlight w:val="none"/>
                <w:lang w:val="en-US" w:eastAsia="zh-Hans"/>
              </w:rPr>
            </w:pPr>
            <w:r>
              <w:rPr>
                <w:rFonts w:ascii="仿宋_GB2312" w:hAnsi="仿宋_GB2312" w:eastAsia="仿宋_GB2312" w:cs="仿宋_GB2312"/>
                <w:highlight w:val="none"/>
              </w:rPr>
              <w:t>5.0000</w:t>
            </w:r>
          </w:p>
        </w:tc>
        <w:tc>
          <w:tcPr>
            <w:tcW w:w="1003" w:type="dxa"/>
            <w:vAlign w:val="top"/>
          </w:tcPr>
          <w:p w14:paraId="6300430E">
            <w:pPr>
              <w:pStyle w:val="21"/>
              <w:rPr>
                <w:rFonts w:hint="eastAsia" w:ascii="仿宋_GB2312" w:hAnsi="仿宋_GB2312" w:eastAsia="仿宋_GB2312" w:cs="仿宋_GB2312"/>
                <w:snapToGrid/>
                <w:color w:val="auto"/>
                <w:sz w:val="20"/>
                <w:szCs w:val="20"/>
                <w:highlight w:val="none"/>
                <w:lang w:val="en-US" w:eastAsia="zh-Hans"/>
              </w:rPr>
            </w:pPr>
            <w:r>
              <w:rPr>
                <w:rFonts w:ascii="仿宋_GB2312" w:hAnsi="仿宋_GB2312" w:eastAsia="仿宋_GB2312" w:cs="仿宋_GB2312"/>
                <w:highlight w:val="none"/>
              </w:rPr>
              <w:t>主观</w:t>
            </w:r>
          </w:p>
        </w:tc>
        <w:tc>
          <w:tcPr>
            <w:tcW w:w="1650" w:type="dxa"/>
            <w:vAlign w:val="top"/>
          </w:tcPr>
          <w:p w14:paraId="611EC1ED">
            <w:pPr>
              <w:pStyle w:val="21"/>
              <w:rPr>
                <w:rFonts w:ascii="仿宋_GB2312" w:hAnsi="仿宋_GB2312" w:eastAsia="仿宋_GB2312" w:cs="仿宋_GB2312"/>
                <w:highlight w:val="none"/>
              </w:rPr>
            </w:pPr>
            <w:r>
              <w:rPr>
                <w:rFonts w:ascii="仿宋_GB2312" w:hAnsi="仿宋_GB2312" w:eastAsia="仿宋_GB2312" w:cs="仿宋_GB2312"/>
                <w:highlight w:val="none"/>
              </w:rPr>
              <w:t>响应方案.docx</w:t>
            </w:r>
          </w:p>
        </w:tc>
      </w:tr>
      <w:tr w14:paraId="34417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2919B66C">
            <w:pPr>
              <w:rPr>
                <w:highlight w:val="none"/>
              </w:rPr>
            </w:pPr>
          </w:p>
        </w:tc>
        <w:tc>
          <w:tcPr>
            <w:tcW w:w="1480" w:type="dxa"/>
          </w:tcPr>
          <w:p w14:paraId="11436727">
            <w:pPr>
              <w:pStyle w:val="21"/>
              <w:rPr>
                <w:highlight w:val="none"/>
              </w:rPr>
            </w:pPr>
            <w:r>
              <w:rPr>
                <w:rFonts w:hint="eastAsia" w:ascii="仿宋_GB2312" w:hAnsi="仿宋_GB2312" w:eastAsia="仿宋_GB2312" w:cs="仿宋_GB2312"/>
                <w:highlight w:val="none"/>
                <w:lang w:val="en-US" w:eastAsia="zh-CN"/>
              </w:rPr>
              <w:t>13</w:t>
            </w:r>
            <w:r>
              <w:rPr>
                <w:rFonts w:ascii="仿宋_GB2312" w:hAnsi="仿宋_GB2312" w:eastAsia="仿宋_GB2312" w:cs="仿宋_GB2312"/>
                <w:highlight w:val="none"/>
              </w:rPr>
              <w:t>.业绩</w:t>
            </w:r>
          </w:p>
        </w:tc>
        <w:tc>
          <w:tcPr>
            <w:tcW w:w="2746" w:type="dxa"/>
          </w:tcPr>
          <w:p w14:paraId="5BFFFC1F">
            <w:pPr>
              <w:pStyle w:val="21"/>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提供202</w:t>
            </w:r>
            <w:r>
              <w:rPr>
                <w:rFonts w:hint="eastAsia" w:ascii="仿宋_GB2312" w:hAnsi="仿宋_GB2312" w:eastAsia="仿宋_GB2312" w:cs="仿宋_GB2312"/>
                <w:color w:val="auto"/>
                <w:highlight w:val="none"/>
                <w:lang w:val="en-US" w:eastAsia="zh-CN"/>
              </w:rPr>
              <w:t>0</w:t>
            </w:r>
            <w:r>
              <w:rPr>
                <w:rFonts w:ascii="仿宋_GB2312" w:hAnsi="仿宋_GB2312" w:eastAsia="仿宋_GB2312" w:cs="仿宋_GB2312"/>
                <w:color w:val="auto"/>
                <w:highlight w:val="none"/>
              </w:rPr>
              <w:t>年1月1日至响应截止时间（以合同签订时间为准）类似项目业绩</w:t>
            </w:r>
            <w:r>
              <w:rPr>
                <w:rFonts w:hint="eastAsia" w:ascii="仿宋_GB2312" w:hAnsi="仿宋_GB2312" w:eastAsia="仿宋_GB2312" w:cs="仿宋_GB2312"/>
                <w:color w:val="auto"/>
                <w:highlight w:val="none"/>
                <w:lang w:val="en-US" w:eastAsia="zh-CN"/>
              </w:rPr>
              <w:t xml:space="preserve">（合 </w:t>
            </w:r>
          </w:p>
          <w:p w14:paraId="1FFAAD00">
            <w:pPr>
              <w:pStyle w:val="21"/>
              <w:rPr>
                <w:color w:val="auto"/>
                <w:highlight w:val="none"/>
              </w:rPr>
            </w:pPr>
            <w:r>
              <w:rPr>
                <w:rFonts w:hint="eastAsia" w:ascii="仿宋_GB2312" w:hAnsi="仿宋_GB2312" w:eastAsia="仿宋_GB2312" w:cs="仿宋_GB2312"/>
                <w:color w:val="auto"/>
                <w:highlight w:val="none"/>
                <w:lang w:val="en-US" w:eastAsia="zh-CN"/>
              </w:rPr>
              <w:t>同金额不低于</w:t>
            </w:r>
            <w:r>
              <w:rPr>
                <w:rFonts w:ascii="仿宋_GB2312" w:hAnsi="仿宋_GB2312" w:eastAsia="仿宋_GB2312" w:cs="仿宋_GB2312"/>
                <w:color w:val="auto"/>
                <w:highlight w:val="none"/>
                <w:lang w:val="en-US" w:eastAsia="zh-CN"/>
              </w:rPr>
              <w:t>500</w:t>
            </w:r>
            <w:r>
              <w:rPr>
                <w:rFonts w:hint="eastAsia" w:ascii="仿宋_GB2312" w:hAnsi="仿宋_GB2312" w:eastAsia="仿宋_GB2312" w:cs="仿宋_GB2312"/>
                <w:color w:val="auto"/>
                <w:highlight w:val="none"/>
                <w:lang w:val="en-US" w:eastAsia="zh-CN"/>
              </w:rPr>
              <w:t>万元）</w:t>
            </w:r>
            <w:r>
              <w:rPr>
                <w:rFonts w:ascii="仿宋_GB2312" w:hAnsi="仿宋_GB2312" w:eastAsia="仿宋_GB2312" w:cs="仿宋_GB2312"/>
                <w:color w:val="auto"/>
                <w:highlight w:val="none"/>
              </w:rPr>
              <w:t>，每提供一个业绩得2分，满分10分。 评审依据：以加盖公章的业绩合同复印件</w:t>
            </w:r>
            <w:r>
              <w:rPr>
                <w:rFonts w:hint="eastAsia" w:ascii="仿宋_GB2312" w:hAnsi="仿宋_GB2312" w:eastAsia="仿宋_GB2312" w:cs="仿宋_GB2312"/>
                <w:color w:val="auto"/>
                <w:highlight w:val="none"/>
                <w:lang w:val="en-US" w:eastAsia="zh-CN"/>
              </w:rPr>
              <w:t>及付款记录</w:t>
            </w:r>
            <w:r>
              <w:rPr>
                <w:rFonts w:ascii="仿宋_GB2312" w:hAnsi="仿宋_GB2312" w:eastAsia="仿宋_GB2312" w:cs="仿宋_GB2312"/>
                <w:color w:val="auto"/>
                <w:highlight w:val="none"/>
              </w:rPr>
              <w:t>为准，合同至少需包含合同首页、产品页、签章页。</w:t>
            </w:r>
          </w:p>
        </w:tc>
        <w:tc>
          <w:tcPr>
            <w:tcW w:w="966" w:type="dxa"/>
          </w:tcPr>
          <w:p w14:paraId="7F221AD9">
            <w:pPr>
              <w:pStyle w:val="21"/>
              <w:jc w:val="right"/>
              <w:rPr>
                <w:highlight w:val="none"/>
              </w:rPr>
            </w:pPr>
            <w:r>
              <w:rPr>
                <w:rFonts w:ascii="仿宋_GB2312" w:hAnsi="仿宋_GB2312" w:eastAsia="仿宋_GB2312" w:cs="仿宋_GB2312"/>
                <w:highlight w:val="none"/>
              </w:rPr>
              <w:t>10.0000</w:t>
            </w:r>
          </w:p>
        </w:tc>
        <w:tc>
          <w:tcPr>
            <w:tcW w:w="1003" w:type="dxa"/>
          </w:tcPr>
          <w:p w14:paraId="0529408A">
            <w:pPr>
              <w:pStyle w:val="21"/>
              <w:rPr>
                <w:highlight w:val="none"/>
              </w:rPr>
            </w:pPr>
            <w:r>
              <w:rPr>
                <w:rFonts w:ascii="仿宋_GB2312" w:hAnsi="仿宋_GB2312" w:eastAsia="仿宋_GB2312" w:cs="仿宋_GB2312"/>
                <w:highlight w:val="none"/>
              </w:rPr>
              <w:t>客观</w:t>
            </w:r>
          </w:p>
        </w:tc>
        <w:tc>
          <w:tcPr>
            <w:tcW w:w="1650" w:type="dxa"/>
          </w:tcPr>
          <w:p w14:paraId="658C7DA3">
            <w:pPr>
              <w:pStyle w:val="21"/>
              <w:rPr>
                <w:highlight w:val="none"/>
              </w:rPr>
            </w:pPr>
            <w:r>
              <w:rPr>
                <w:rFonts w:ascii="仿宋_GB2312" w:hAnsi="仿宋_GB2312" w:eastAsia="仿宋_GB2312" w:cs="仿宋_GB2312"/>
                <w:highlight w:val="none"/>
              </w:rPr>
              <w:t>响应方案.docx</w:t>
            </w:r>
          </w:p>
        </w:tc>
      </w:tr>
      <w:tr w14:paraId="2BB57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vMerge w:val="continue"/>
          </w:tcPr>
          <w:p w14:paraId="78C97AF5">
            <w:pPr>
              <w:rPr>
                <w:highlight w:val="none"/>
              </w:rPr>
            </w:pPr>
          </w:p>
        </w:tc>
        <w:tc>
          <w:tcPr>
            <w:tcW w:w="1480" w:type="dxa"/>
          </w:tcPr>
          <w:p w14:paraId="736A052B">
            <w:pPr>
              <w:pStyle w:val="21"/>
              <w:rPr>
                <w:highlight w:val="none"/>
              </w:rPr>
            </w:pPr>
            <w:r>
              <w:rPr>
                <w:rFonts w:hint="eastAsia" w:ascii="仿宋_GB2312" w:hAnsi="仿宋_GB2312" w:eastAsia="仿宋_GB2312" w:cs="仿宋_GB2312"/>
                <w:highlight w:val="none"/>
                <w:lang w:val="en-US" w:eastAsia="zh-CN"/>
              </w:rPr>
              <w:t>14</w:t>
            </w:r>
            <w:r>
              <w:rPr>
                <w:rFonts w:ascii="仿宋_GB2312" w:hAnsi="仿宋_GB2312" w:eastAsia="仿宋_GB2312" w:cs="仿宋_GB2312"/>
                <w:highlight w:val="none"/>
              </w:rPr>
              <w:t>.价格分</w:t>
            </w:r>
          </w:p>
        </w:tc>
        <w:tc>
          <w:tcPr>
            <w:tcW w:w="2746" w:type="dxa"/>
          </w:tcPr>
          <w:p w14:paraId="3E5AF49C">
            <w:pPr>
              <w:pStyle w:val="21"/>
              <w:rPr>
                <w:rFonts w:hint="default" w:eastAsia="仿宋_GB2312"/>
                <w:color w:val="auto"/>
                <w:highlight w:val="none"/>
                <w:lang w:val="en-US" w:eastAsia="zh-CN"/>
              </w:rPr>
            </w:pPr>
            <w:r>
              <w:rPr>
                <w:rFonts w:hint="default" w:eastAsia="仿宋_GB2312"/>
                <w:color w:val="auto"/>
                <w:highlight w:val="none"/>
                <w:lang w:val="en-US" w:eastAsia="zh-CN"/>
              </w:rPr>
              <w:t>平均值计算规则</w:t>
            </w:r>
          </w:p>
          <w:p w14:paraId="03A94E98">
            <w:pPr>
              <w:pStyle w:val="21"/>
              <w:rPr>
                <w:rFonts w:hint="default" w:eastAsia="仿宋_GB2312"/>
                <w:color w:val="auto"/>
                <w:highlight w:val="none"/>
                <w:lang w:val="en-US" w:eastAsia="zh-CN"/>
              </w:rPr>
            </w:pPr>
            <w:r>
              <w:rPr>
                <w:rFonts w:hint="default" w:eastAsia="仿宋_GB2312"/>
                <w:color w:val="auto"/>
                <w:highlight w:val="none"/>
                <w:lang w:val="en-US" w:eastAsia="zh-CN"/>
              </w:rPr>
              <w:t xml:space="preserve">是否有范围限制：是  </w:t>
            </w:r>
          </w:p>
          <w:p w14:paraId="5C7EFEDA">
            <w:pPr>
              <w:pStyle w:val="21"/>
              <w:rPr>
                <w:rFonts w:hint="default" w:eastAsia="仿宋_GB2312"/>
                <w:color w:val="auto"/>
                <w:highlight w:val="none"/>
                <w:lang w:val="en-US" w:eastAsia="zh-CN"/>
              </w:rPr>
            </w:pPr>
            <w:r>
              <w:rPr>
                <w:rFonts w:hint="default" w:eastAsia="仿宋_GB2312"/>
                <w:color w:val="auto"/>
                <w:highlight w:val="none"/>
                <w:lang w:val="en-US" w:eastAsia="zh-CN"/>
              </w:rPr>
              <w:t>投标报价在最高投标限价 92 %— 100 %范围内的，参与平均值计算。</w:t>
            </w:r>
          </w:p>
          <w:p w14:paraId="71225DCD">
            <w:pPr>
              <w:pStyle w:val="21"/>
              <w:rPr>
                <w:rFonts w:hint="default" w:eastAsia="仿宋_GB2312"/>
                <w:color w:val="auto"/>
                <w:highlight w:val="none"/>
                <w:lang w:val="en-US" w:eastAsia="zh-CN"/>
              </w:rPr>
            </w:pPr>
            <w:r>
              <w:rPr>
                <w:rFonts w:hint="default" w:eastAsia="仿宋_GB2312"/>
                <w:color w:val="auto"/>
                <w:highlight w:val="none"/>
                <w:lang w:val="en-US" w:eastAsia="zh-CN"/>
              </w:rPr>
              <w:t>当投标单位大于10 家时，去除投标报价最高的 1 家和最低的1家，然后进行算术平均，计算得出投标人投标报价的平均值。</w:t>
            </w:r>
          </w:p>
          <w:p w14:paraId="386E17E1">
            <w:pPr>
              <w:pStyle w:val="21"/>
              <w:rPr>
                <w:rFonts w:hint="default" w:eastAsia="仿宋_GB2312"/>
                <w:color w:val="auto"/>
                <w:highlight w:val="none"/>
                <w:lang w:val="en-US" w:eastAsia="zh-CN"/>
              </w:rPr>
            </w:pPr>
            <w:r>
              <w:rPr>
                <w:rFonts w:hint="default" w:eastAsia="仿宋_GB2312"/>
                <w:color w:val="auto"/>
                <w:highlight w:val="none"/>
                <w:lang w:val="en-US" w:eastAsia="zh-CN"/>
              </w:rPr>
              <w:t>当投标单位小于等于 10 家时，取所有有效报价的平均值。</w:t>
            </w:r>
          </w:p>
          <w:p w14:paraId="24FDF773">
            <w:pPr>
              <w:pStyle w:val="21"/>
              <w:rPr>
                <w:rFonts w:hint="default" w:eastAsia="仿宋_GB2312"/>
                <w:color w:val="auto"/>
                <w:highlight w:val="none"/>
                <w:lang w:val="en-US" w:eastAsia="zh-CN"/>
              </w:rPr>
            </w:pPr>
            <w:r>
              <w:rPr>
                <w:rFonts w:hint="default" w:eastAsia="仿宋_GB2312"/>
                <w:color w:val="auto"/>
                <w:highlight w:val="none"/>
                <w:lang w:val="en-US" w:eastAsia="zh-CN"/>
              </w:rPr>
              <w:t>评标基准价计算</w:t>
            </w:r>
          </w:p>
          <w:p w14:paraId="795106ED">
            <w:pPr>
              <w:pStyle w:val="21"/>
              <w:rPr>
                <w:rFonts w:hint="default" w:eastAsia="仿宋_GB2312"/>
                <w:color w:val="auto"/>
                <w:highlight w:val="none"/>
                <w:lang w:val="en-US" w:eastAsia="zh-CN"/>
              </w:rPr>
            </w:pPr>
            <w:r>
              <w:rPr>
                <w:rFonts w:hint="default" w:eastAsia="仿宋_GB2312"/>
                <w:color w:val="auto"/>
                <w:highlight w:val="none"/>
                <w:lang w:val="en-US" w:eastAsia="zh-CN"/>
              </w:rPr>
              <w:t xml:space="preserve">基准价=平均值*K%，K= 97 </w:t>
            </w:r>
          </w:p>
          <w:p w14:paraId="0F17C6DD">
            <w:pPr>
              <w:pStyle w:val="21"/>
              <w:rPr>
                <w:rFonts w:hint="default" w:eastAsia="仿宋_GB2312"/>
                <w:b/>
                <w:bCs/>
                <w:color w:val="auto"/>
                <w:highlight w:val="none"/>
                <w:lang w:val="en-US" w:eastAsia="zh-CN"/>
              </w:rPr>
            </w:pPr>
            <w:r>
              <w:rPr>
                <w:rFonts w:hint="default" w:eastAsia="仿宋_GB2312"/>
                <w:b/>
                <w:bCs/>
                <w:color w:val="auto"/>
                <w:highlight w:val="none"/>
                <w:lang w:val="en-US" w:eastAsia="zh-CN"/>
              </w:rPr>
              <w:t>总报价得分</w:t>
            </w:r>
          </w:p>
          <w:p w14:paraId="30416FFB">
            <w:pPr>
              <w:pStyle w:val="21"/>
              <w:rPr>
                <w:rFonts w:hint="default" w:eastAsia="仿宋_GB2312"/>
                <w:color w:val="auto"/>
                <w:highlight w:val="none"/>
                <w:lang w:val="en-US" w:eastAsia="zh-CN"/>
              </w:rPr>
            </w:pPr>
            <w:r>
              <w:rPr>
                <w:rFonts w:hint="default" w:eastAsia="仿宋_GB2312"/>
                <w:color w:val="auto"/>
                <w:highlight w:val="none"/>
                <w:lang w:val="en-US" w:eastAsia="zh-CN"/>
              </w:rPr>
              <w:t xml:space="preserve">1、总报价&gt;基准价，总报价得分=满分-偏差率*100* 1 </w:t>
            </w:r>
          </w:p>
          <w:p w14:paraId="35DF8407">
            <w:pPr>
              <w:pStyle w:val="21"/>
              <w:rPr>
                <w:rFonts w:hint="default" w:eastAsia="仿宋_GB2312"/>
                <w:color w:val="auto"/>
                <w:highlight w:val="none"/>
                <w:lang w:val="en-US" w:eastAsia="zh-CN"/>
              </w:rPr>
            </w:pPr>
            <w:r>
              <w:rPr>
                <w:rFonts w:hint="default" w:eastAsia="仿宋_GB2312"/>
                <w:color w:val="auto"/>
                <w:highlight w:val="none"/>
                <w:lang w:val="en-US" w:eastAsia="zh-CN"/>
              </w:rPr>
              <w:t>2、总报价≤基准价，总报价得分=满分-偏差率*100* 0.5</w:t>
            </w:r>
          </w:p>
        </w:tc>
        <w:tc>
          <w:tcPr>
            <w:tcW w:w="966" w:type="dxa"/>
          </w:tcPr>
          <w:p w14:paraId="2A79450C">
            <w:pPr>
              <w:pStyle w:val="2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0.0000</w:t>
            </w:r>
          </w:p>
        </w:tc>
        <w:tc>
          <w:tcPr>
            <w:tcW w:w="1003" w:type="dxa"/>
          </w:tcPr>
          <w:p w14:paraId="6B25F7E1">
            <w:pPr>
              <w:pStyle w:val="21"/>
              <w:rPr>
                <w:highlight w:val="none"/>
              </w:rPr>
            </w:pPr>
            <w:r>
              <w:rPr>
                <w:rFonts w:ascii="仿宋_GB2312" w:hAnsi="仿宋_GB2312" w:eastAsia="仿宋_GB2312" w:cs="仿宋_GB2312"/>
                <w:highlight w:val="none"/>
              </w:rPr>
              <w:t>客观</w:t>
            </w:r>
          </w:p>
        </w:tc>
        <w:tc>
          <w:tcPr>
            <w:tcW w:w="1650" w:type="dxa"/>
          </w:tcPr>
          <w:p w14:paraId="76DC67EF">
            <w:pPr>
              <w:pStyle w:val="21"/>
              <w:rPr>
                <w:highlight w:val="none"/>
              </w:rPr>
            </w:pPr>
            <w:r>
              <w:rPr>
                <w:rFonts w:ascii="仿宋_GB2312" w:hAnsi="仿宋_GB2312" w:eastAsia="仿宋_GB2312" w:cs="仿宋_GB2312"/>
                <w:highlight w:val="none"/>
              </w:rPr>
              <w:t>报价函</w:t>
            </w:r>
          </w:p>
          <w:p w14:paraId="312CC3F1">
            <w:pPr>
              <w:pStyle w:val="21"/>
              <w:rPr>
                <w:highlight w:val="none"/>
              </w:rPr>
            </w:pPr>
            <w:r>
              <w:rPr>
                <w:rFonts w:ascii="仿宋_GB2312" w:hAnsi="仿宋_GB2312" w:eastAsia="仿宋_GB2312" w:cs="仿宋_GB2312"/>
                <w:highlight w:val="none"/>
              </w:rPr>
              <w:t>已标价工程量清单</w:t>
            </w:r>
          </w:p>
        </w:tc>
      </w:tr>
    </w:tbl>
    <w:p w14:paraId="4C8F58F2">
      <w:pPr>
        <w:pStyle w:val="21"/>
        <w:rPr>
          <w:rFonts w:ascii="仿宋_GB2312" w:hAnsi="仿宋_GB2312" w:eastAsia="仿宋_GB2312" w:cs="仿宋_GB2312"/>
          <w:highlight w:val="none"/>
        </w:rPr>
      </w:pPr>
      <w:r>
        <w:rPr>
          <w:rFonts w:hint="eastAsia" w:ascii="仿宋_GB2312" w:hAnsi="仿宋_GB2312" w:eastAsia="仿宋_GB2312" w:cs="仿宋_GB2312"/>
          <w:highlight w:val="none"/>
        </w:rPr>
        <w:t>小微企业:在原报价价格得分基础上直接增加3%作为最终价格分</w:t>
      </w:r>
    </w:p>
    <w:p w14:paraId="7E6FA67C">
      <w:pPr>
        <w:pStyle w:val="21"/>
        <w:rPr>
          <w:rFonts w:ascii="仿宋_GB2312" w:hAnsi="仿宋_GB2312" w:eastAsia="仿宋_GB2312" w:cs="仿宋_GB2312"/>
          <w:highlight w:val="none"/>
        </w:rPr>
      </w:pPr>
      <w:r>
        <w:rPr>
          <w:rFonts w:ascii="仿宋_GB2312" w:hAnsi="仿宋_GB2312" w:eastAsia="仿宋_GB2312" w:cs="仿宋_GB2312"/>
          <w:highlight w:val="none"/>
        </w:rPr>
        <w:t>价格扣除</w:t>
      </w:r>
      <w:bookmarkStart w:id="786" w:name="_GoBack"/>
      <w:bookmarkEnd w:id="786"/>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2342"/>
        <w:gridCol w:w="1144"/>
      </w:tblGrid>
      <w:tr w14:paraId="1A270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C8F6C6">
            <w:pPr>
              <w:pStyle w:val="21"/>
              <w:rPr>
                <w:highlight w:val="none"/>
              </w:rPr>
            </w:pPr>
            <w:r>
              <w:rPr>
                <w:rFonts w:ascii="仿宋_GB2312" w:hAnsi="仿宋_GB2312" w:eastAsia="仿宋_GB2312" w:cs="仿宋_GB2312"/>
                <w:highlight w:val="none"/>
              </w:rPr>
              <w:t xml:space="preserve"> 序号</w:t>
            </w:r>
          </w:p>
        </w:tc>
        <w:tc>
          <w:tcPr>
            <w:tcW w:w="1661" w:type="dxa"/>
          </w:tcPr>
          <w:p w14:paraId="69145CBA">
            <w:pPr>
              <w:pStyle w:val="21"/>
              <w:rPr>
                <w:highlight w:val="none"/>
              </w:rPr>
            </w:pPr>
            <w:r>
              <w:rPr>
                <w:rFonts w:ascii="仿宋_GB2312" w:hAnsi="仿宋_GB2312" w:eastAsia="仿宋_GB2312" w:cs="仿宋_GB2312"/>
                <w:highlight w:val="none"/>
              </w:rPr>
              <w:t xml:space="preserve"> 情形</w:t>
            </w:r>
          </w:p>
        </w:tc>
        <w:tc>
          <w:tcPr>
            <w:tcW w:w="1661" w:type="dxa"/>
          </w:tcPr>
          <w:p w14:paraId="681CA59E">
            <w:pPr>
              <w:pStyle w:val="21"/>
              <w:rPr>
                <w:highlight w:val="none"/>
              </w:rPr>
            </w:pPr>
            <w:r>
              <w:rPr>
                <w:rFonts w:ascii="仿宋_GB2312" w:hAnsi="仿宋_GB2312" w:eastAsia="仿宋_GB2312" w:cs="仿宋_GB2312"/>
                <w:highlight w:val="none"/>
              </w:rPr>
              <w:t xml:space="preserve"> 适用对象</w:t>
            </w:r>
          </w:p>
        </w:tc>
        <w:tc>
          <w:tcPr>
            <w:tcW w:w="831" w:type="dxa"/>
          </w:tcPr>
          <w:p w14:paraId="32B06647">
            <w:pPr>
              <w:pStyle w:val="21"/>
              <w:rPr>
                <w:highlight w:val="none"/>
              </w:rPr>
            </w:pPr>
            <w:r>
              <w:rPr>
                <w:rFonts w:ascii="仿宋_GB2312" w:hAnsi="仿宋_GB2312" w:eastAsia="仿宋_GB2312" w:cs="仿宋_GB2312"/>
                <w:highlight w:val="none"/>
              </w:rPr>
              <w:t xml:space="preserve"> 比例</w:t>
            </w:r>
          </w:p>
        </w:tc>
        <w:tc>
          <w:tcPr>
            <w:tcW w:w="2342" w:type="dxa"/>
          </w:tcPr>
          <w:p w14:paraId="3BA5102D">
            <w:pPr>
              <w:pStyle w:val="21"/>
              <w:rPr>
                <w:highlight w:val="none"/>
              </w:rPr>
            </w:pPr>
            <w:r>
              <w:rPr>
                <w:rFonts w:ascii="仿宋_GB2312" w:hAnsi="仿宋_GB2312" w:eastAsia="仿宋_GB2312" w:cs="仿宋_GB2312"/>
                <w:highlight w:val="none"/>
              </w:rPr>
              <w:t xml:space="preserve"> 说明</w:t>
            </w:r>
          </w:p>
        </w:tc>
        <w:tc>
          <w:tcPr>
            <w:tcW w:w="1144" w:type="dxa"/>
          </w:tcPr>
          <w:p w14:paraId="61D40307">
            <w:pPr>
              <w:pStyle w:val="21"/>
              <w:rPr>
                <w:highlight w:val="none"/>
              </w:rPr>
            </w:pPr>
            <w:r>
              <w:rPr>
                <w:rFonts w:ascii="仿宋_GB2312" w:hAnsi="仿宋_GB2312" w:eastAsia="仿宋_GB2312" w:cs="仿宋_GB2312"/>
                <w:highlight w:val="none"/>
              </w:rPr>
              <w:t xml:space="preserve"> 关联格式</w:t>
            </w:r>
          </w:p>
        </w:tc>
      </w:tr>
      <w:tr w14:paraId="1A708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313879">
            <w:pPr>
              <w:pStyle w:val="21"/>
              <w:rPr>
                <w:highlight w:val="none"/>
              </w:rPr>
            </w:pPr>
            <w:r>
              <w:rPr>
                <w:rFonts w:ascii="仿宋_GB2312" w:hAnsi="仿宋_GB2312" w:eastAsia="仿宋_GB2312" w:cs="仿宋_GB2312"/>
                <w:highlight w:val="none"/>
              </w:rPr>
              <w:t>1</w:t>
            </w:r>
          </w:p>
        </w:tc>
        <w:tc>
          <w:tcPr>
            <w:tcW w:w="1661" w:type="dxa"/>
          </w:tcPr>
          <w:p w14:paraId="1CE6CB3E">
            <w:pPr>
              <w:pStyle w:val="21"/>
              <w:rPr>
                <w:rFonts w:hint="eastAsia" w:eastAsiaTheme="minorEastAsia"/>
                <w:highlight w:val="none"/>
                <w:lang w:val="en-US" w:eastAsia="zh-CN"/>
              </w:rPr>
            </w:pPr>
            <w:r>
              <w:rPr>
                <w:rFonts w:hint="eastAsia"/>
                <w:highlight w:val="none"/>
                <w:lang w:val="en-US" w:eastAsia="zh-CN"/>
              </w:rPr>
              <w:t>无</w:t>
            </w:r>
          </w:p>
        </w:tc>
        <w:tc>
          <w:tcPr>
            <w:tcW w:w="1661" w:type="dxa"/>
          </w:tcPr>
          <w:p w14:paraId="0E2D4014">
            <w:pPr>
              <w:rPr>
                <w:highlight w:val="none"/>
              </w:rPr>
            </w:pPr>
            <w:r>
              <w:rPr>
                <w:rFonts w:hint="eastAsia"/>
                <w:highlight w:val="none"/>
                <w:lang w:val="en-US" w:eastAsia="zh-CN"/>
              </w:rPr>
              <w:t>无</w:t>
            </w:r>
          </w:p>
        </w:tc>
        <w:tc>
          <w:tcPr>
            <w:tcW w:w="831" w:type="dxa"/>
          </w:tcPr>
          <w:p w14:paraId="5D73841B">
            <w:pPr>
              <w:jc w:val="right"/>
              <w:rPr>
                <w:highlight w:val="none"/>
              </w:rPr>
            </w:pPr>
            <w:r>
              <w:rPr>
                <w:rFonts w:hint="eastAsia"/>
                <w:highlight w:val="none"/>
                <w:lang w:val="en-US" w:eastAsia="zh-CN"/>
              </w:rPr>
              <w:t>无</w:t>
            </w:r>
          </w:p>
        </w:tc>
        <w:tc>
          <w:tcPr>
            <w:tcW w:w="2342" w:type="dxa"/>
          </w:tcPr>
          <w:p w14:paraId="05341771">
            <w:pPr>
              <w:rPr>
                <w:highlight w:val="none"/>
              </w:rPr>
            </w:pPr>
            <w:r>
              <w:rPr>
                <w:rFonts w:hint="eastAsia"/>
                <w:highlight w:val="none"/>
                <w:lang w:val="en-US" w:eastAsia="zh-CN"/>
              </w:rPr>
              <w:t>无</w:t>
            </w:r>
          </w:p>
        </w:tc>
        <w:tc>
          <w:tcPr>
            <w:tcW w:w="1144" w:type="dxa"/>
          </w:tcPr>
          <w:p w14:paraId="2A3A6DC9">
            <w:pPr>
              <w:pStyle w:val="21"/>
              <w:rPr>
                <w:highlight w:val="none"/>
              </w:rPr>
            </w:pPr>
            <w:r>
              <w:rPr>
                <w:rFonts w:ascii="仿宋_GB2312" w:hAnsi="仿宋_GB2312" w:eastAsia="仿宋_GB2312" w:cs="仿宋_GB2312"/>
                <w:highlight w:val="none"/>
              </w:rPr>
              <w:t>中小企业声明函</w:t>
            </w:r>
          </w:p>
        </w:tc>
      </w:tr>
    </w:tbl>
    <w:p w14:paraId="152734F5">
      <w:pPr>
        <w:keepNext w:val="0"/>
        <w:keepLines w:val="0"/>
        <w:pageBreakBefore w:val="0"/>
        <w:widowControl/>
        <w:kinsoku w:val="0"/>
        <w:wordWrap/>
        <w:overflowPunct/>
        <w:topLinePunct w:val="0"/>
        <w:autoSpaceDE w:val="0"/>
        <w:autoSpaceDN w:val="0"/>
        <w:bidi w:val="0"/>
        <w:adjustRightInd w:val="0"/>
        <w:snapToGrid w:val="0"/>
        <w:spacing w:line="360" w:lineRule="auto"/>
        <w:ind w:firstLine="360" w:firstLineChars="200"/>
        <w:textAlignment w:val="baseline"/>
        <w:rPr>
          <w:rFonts w:hint="eastAsia" w:ascii="仿宋" w:hAnsi="仿宋" w:eastAsia="仿宋" w:cs="仿宋"/>
          <w:sz w:val="21"/>
          <w:szCs w:val="21"/>
          <w:highlight w:val="none"/>
        </w:rPr>
      </w:pPr>
      <w:r>
        <w:rPr>
          <w:rFonts w:hint="eastAsia" w:ascii="仿宋" w:hAnsi="仿宋" w:eastAsia="仿宋" w:cs="仿宋"/>
          <w:spacing w:val="-15"/>
          <w:sz w:val="21"/>
          <w:szCs w:val="21"/>
          <w:highlight w:val="none"/>
        </w:rPr>
        <w:t>说明：</w:t>
      </w:r>
    </w:p>
    <w:p w14:paraId="1C2759F2">
      <w:pPr>
        <w:keepNext w:val="0"/>
        <w:keepLines w:val="0"/>
        <w:pageBreakBefore w:val="0"/>
        <w:widowControl/>
        <w:kinsoku w:val="0"/>
        <w:wordWrap/>
        <w:overflowPunct/>
        <w:topLinePunct w:val="0"/>
        <w:autoSpaceDE w:val="0"/>
        <w:autoSpaceDN w:val="0"/>
        <w:bidi w:val="0"/>
        <w:adjustRightInd w:val="0"/>
        <w:snapToGrid w:val="0"/>
        <w:spacing w:line="360" w:lineRule="auto"/>
        <w:ind w:firstLine="404"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1.评分的取值按四舍五入法，保留小数点后两位；</w:t>
      </w:r>
    </w:p>
    <w:p w14:paraId="2CB26292">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2.评分标准中要求提供扫描件的证明材料须清晰可辨。</w:t>
      </w:r>
    </w:p>
    <w:p w14:paraId="527C43B8">
      <w:pPr>
        <w:spacing w:before="241" w:line="221" w:lineRule="auto"/>
        <w:outlineLvl w:val="4"/>
        <w:rPr>
          <w:rFonts w:hint="eastAsia" w:ascii="仿宋" w:hAnsi="仿宋" w:eastAsia="仿宋" w:cs="仿宋"/>
          <w:sz w:val="21"/>
          <w:szCs w:val="21"/>
          <w:highlight w:val="none"/>
          <w:lang w:eastAsia="zh-CN"/>
        </w:rPr>
      </w:pPr>
      <w:r>
        <w:rPr>
          <w:rFonts w:hint="eastAsia" w:ascii="仿宋" w:hAnsi="仿宋" w:eastAsia="仿宋" w:cs="仿宋"/>
          <w:b/>
          <w:bCs/>
          <w:spacing w:val="-7"/>
          <w:sz w:val="21"/>
          <w:szCs w:val="21"/>
          <w:highlight w:val="none"/>
          <w:lang w:eastAsia="zh-CN"/>
        </w:rPr>
        <w:t>5.7</w:t>
      </w:r>
      <w:r>
        <w:rPr>
          <w:rFonts w:hint="eastAsia" w:ascii="仿宋" w:hAnsi="仿宋" w:eastAsia="仿宋" w:cs="仿宋"/>
          <w:spacing w:val="14"/>
          <w:sz w:val="21"/>
          <w:szCs w:val="21"/>
          <w:highlight w:val="none"/>
          <w:lang w:eastAsia="zh-CN"/>
        </w:rPr>
        <w:t xml:space="preserve"> </w:t>
      </w:r>
      <w:r>
        <w:rPr>
          <w:rFonts w:hint="eastAsia" w:ascii="仿宋" w:hAnsi="仿宋" w:eastAsia="仿宋" w:cs="仿宋"/>
          <w:b/>
          <w:bCs/>
          <w:spacing w:val="-7"/>
          <w:sz w:val="21"/>
          <w:szCs w:val="21"/>
          <w:highlight w:val="none"/>
          <w:lang w:eastAsia="zh-CN"/>
        </w:rPr>
        <w:t>废标</w:t>
      </w:r>
    </w:p>
    <w:p w14:paraId="043ECB08">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本次政府采购活动中，出现下列情形之一的，予以废标：</w:t>
      </w:r>
    </w:p>
    <w:p w14:paraId="77FF9592">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eastAsia="zh-CN"/>
        </w:rPr>
        <w:t>一、符合专业条件的投标人或者对招标文件作实质响应的投标人不足三家的；</w:t>
      </w:r>
    </w:p>
    <w:p w14:paraId="2319ED90">
      <w:pPr>
        <w:keepNext w:val="0"/>
        <w:keepLines w:val="0"/>
        <w:pageBreakBefore w:val="0"/>
        <w:widowControl/>
        <w:kinsoku w:val="0"/>
        <w:wordWrap/>
        <w:overflowPunct/>
        <w:topLinePunct w:val="0"/>
        <w:autoSpaceDE w:val="0"/>
        <w:autoSpaceDN w:val="0"/>
        <w:bidi w:val="0"/>
        <w:adjustRightInd w:val="0"/>
        <w:snapToGrid w:val="0"/>
        <w:spacing w:line="360" w:lineRule="auto"/>
        <w:ind w:firstLine="404"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4"/>
          <w:sz w:val="21"/>
          <w:szCs w:val="21"/>
          <w:highlight w:val="none"/>
          <w:lang w:eastAsia="zh-CN"/>
        </w:rPr>
        <w:t>二、出现影响采购公正的违法、违规行为的；</w:t>
      </w:r>
    </w:p>
    <w:p w14:paraId="34BB79F7">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z w:val="21"/>
          <w:szCs w:val="21"/>
          <w:highlight w:val="none"/>
          <w:lang w:eastAsia="zh-CN"/>
        </w:rPr>
      </w:pPr>
      <w:r>
        <w:rPr>
          <w:rFonts w:hint="eastAsia" w:ascii="仿宋" w:hAnsi="仿宋" w:eastAsia="仿宋" w:cs="仿宋"/>
          <w:spacing w:val="-3"/>
          <w:sz w:val="21"/>
          <w:szCs w:val="21"/>
          <w:highlight w:val="none"/>
          <w:lang w:eastAsia="zh-CN"/>
        </w:rPr>
        <w:t>三、投标人的报价均超过了采购预算，采购人不能支付的；</w:t>
      </w:r>
    </w:p>
    <w:p w14:paraId="57E2C1B1">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四、因重大变故，采购任务取消的；废标后，代理机构将在“陕西省政府采购网”上公告。对于评标过程中废标的采购项目，评标委员会应当对招标文件是否存在不合理条款进行论证，并出具书面论证意见。</w:t>
      </w:r>
    </w:p>
    <w:p w14:paraId="4CA5D457">
      <w:pPr>
        <w:spacing w:before="241" w:line="221" w:lineRule="auto"/>
        <w:ind w:left="8"/>
        <w:outlineLvl w:val="4"/>
        <w:rPr>
          <w:rFonts w:hint="eastAsia" w:ascii="仿宋" w:hAnsi="仿宋" w:eastAsia="仿宋" w:cs="仿宋"/>
          <w:sz w:val="21"/>
          <w:szCs w:val="21"/>
          <w:highlight w:val="none"/>
          <w:lang w:eastAsia="zh-CN"/>
        </w:rPr>
      </w:pPr>
      <w:r>
        <w:rPr>
          <w:rFonts w:hint="eastAsia" w:ascii="仿宋" w:hAnsi="仿宋" w:eastAsia="仿宋" w:cs="仿宋"/>
          <w:b/>
          <w:bCs/>
          <w:spacing w:val="-8"/>
          <w:sz w:val="21"/>
          <w:szCs w:val="21"/>
          <w:highlight w:val="none"/>
          <w:lang w:eastAsia="zh-CN"/>
        </w:rPr>
        <w:t>5.8</w:t>
      </w:r>
      <w:r>
        <w:rPr>
          <w:rFonts w:hint="eastAsia" w:ascii="仿宋" w:hAnsi="仿宋" w:eastAsia="仿宋" w:cs="仿宋"/>
          <w:spacing w:val="23"/>
          <w:sz w:val="21"/>
          <w:szCs w:val="21"/>
          <w:highlight w:val="none"/>
          <w:lang w:eastAsia="zh-CN"/>
        </w:rPr>
        <w:t xml:space="preserve"> </w:t>
      </w:r>
      <w:r>
        <w:rPr>
          <w:rFonts w:hint="eastAsia" w:ascii="仿宋" w:hAnsi="仿宋" w:eastAsia="仿宋" w:cs="仿宋"/>
          <w:b/>
          <w:bCs/>
          <w:spacing w:val="-8"/>
          <w:sz w:val="21"/>
          <w:szCs w:val="21"/>
          <w:highlight w:val="none"/>
          <w:lang w:eastAsia="zh-CN"/>
        </w:rPr>
        <w:t>定标</w:t>
      </w:r>
    </w:p>
    <w:p w14:paraId="12B620D2">
      <w:pPr>
        <w:spacing w:before="230" w:line="220" w:lineRule="auto"/>
        <w:ind w:left="5"/>
        <w:outlineLvl w:val="5"/>
        <w:rPr>
          <w:rFonts w:hint="eastAsia" w:ascii="仿宋" w:hAnsi="仿宋" w:eastAsia="仿宋" w:cs="仿宋"/>
          <w:sz w:val="21"/>
          <w:szCs w:val="21"/>
          <w:highlight w:val="none"/>
          <w:lang w:eastAsia="zh-CN"/>
        </w:rPr>
      </w:pPr>
      <w:r>
        <w:rPr>
          <w:rFonts w:hint="eastAsia" w:ascii="仿宋" w:hAnsi="仿宋" w:eastAsia="仿宋" w:cs="仿宋"/>
          <w:b/>
          <w:bCs/>
          <w:spacing w:val="-6"/>
          <w:sz w:val="21"/>
          <w:szCs w:val="21"/>
          <w:highlight w:val="none"/>
          <w:lang w:eastAsia="zh-CN"/>
        </w:rPr>
        <w:t>5.8.1</w:t>
      </w:r>
      <w:r>
        <w:rPr>
          <w:rFonts w:hint="eastAsia" w:ascii="仿宋" w:hAnsi="仿宋" w:eastAsia="仿宋" w:cs="仿宋"/>
          <w:spacing w:val="25"/>
          <w:sz w:val="21"/>
          <w:szCs w:val="21"/>
          <w:highlight w:val="none"/>
          <w:lang w:eastAsia="zh-CN"/>
        </w:rPr>
        <w:t xml:space="preserve"> </w:t>
      </w:r>
      <w:r>
        <w:rPr>
          <w:rFonts w:hint="eastAsia" w:ascii="仿宋" w:hAnsi="仿宋" w:eastAsia="仿宋" w:cs="仿宋"/>
          <w:b/>
          <w:bCs/>
          <w:spacing w:val="-6"/>
          <w:sz w:val="21"/>
          <w:szCs w:val="21"/>
          <w:highlight w:val="none"/>
          <w:lang w:eastAsia="zh-CN"/>
        </w:rPr>
        <w:t>定标原则</w:t>
      </w:r>
    </w:p>
    <w:p w14:paraId="072EC69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8" w:firstLineChars="200"/>
        <w:jc w:val="both"/>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采购人在评标报告确定的中标候选人名单中按顺序确定 1 名中标人。中标候选人并列的，由采购人采取随机抽取的方式确定中标人。</w:t>
      </w:r>
    </w:p>
    <w:p w14:paraId="43C06A24">
      <w:pPr>
        <w:spacing w:before="36" w:line="220" w:lineRule="auto"/>
        <w:ind w:left="5"/>
        <w:outlineLvl w:val="5"/>
        <w:rPr>
          <w:rFonts w:hint="eastAsia" w:ascii="仿宋" w:hAnsi="仿宋" w:eastAsia="仿宋" w:cs="仿宋"/>
          <w:sz w:val="21"/>
          <w:szCs w:val="21"/>
          <w:highlight w:val="none"/>
          <w:lang w:eastAsia="zh-CN"/>
        </w:rPr>
      </w:pPr>
      <w:r>
        <w:rPr>
          <w:rFonts w:hint="eastAsia" w:ascii="仿宋" w:hAnsi="仿宋" w:eastAsia="仿宋" w:cs="仿宋"/>
          <w:b/>
          <w:bCs/>
          <w:spacing w:val="-6"/>
          <w:sz w:val="21"/>
          <w:szCs w:val="21"/>
          <w:highlight w:val="none"/>
          <w:lang w:eastAsia="zh-CN"/>
        </w:rPr>
        <w:t>5.8.2</w:t>
      </w:r>
      <w:r>
        <w:rPr>
          <w:rFonts w:hint="eastAsia" w:ascii="仿宋" w:hAnsi="仿宋" w:eastAsia="仿宋" w:cs="仿宋"/>
          <w:spacing w:val="25"/>
          <w:sz w:val="21"/>
          <w:szCs w:val="21"/>
          <w:highlight w:val="none"/>
          <w:lang w:eastAsia="zh-CN"/>
        </w:rPr>
        <w:t xml:space="preserve"> </w:t>
      </w:r>
      <w:r>
        <w:rPr>
          <w:rFonts w:hint="eastAsia" w:ascii="仿宋" w:hAnsi="仿宋" w:eastAsia="仿宋" w:cs="仿宋"/>
          <w:b/>
          <w:bCs/>
          <w:spacing w:val="-6"/>
          <w:sz w:val="21"/>
          <w:szCs w:val="21"/>
          <w:highlight w:val="none"/>
          <w:lang w:eastAsia="zh-CN"/>
        </w:rPr>
        <w:t>定标程序</w:t>
      </w:r>
    </w:p>
    <w:p w14:paraId="47B4AF89">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一、评标委员会在项目电子化交易系统中编制评标情况，生成评标报告。</w:t>
      </w:r>
    </w:p>
    <w:p w14:paraId="79BEE70B">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二、代理机构在评标结束之日起 2 个工作日内将评标报告送采购人。</w:t>
      </w:r>
    </w:p>
    <w:p w14:paraId="2BB28DC1">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三、采购人在收到评标报告后 5 个工作日内，按照评标报告中推荐的中标候选人 顺序确定中标人。逾期未确认的，又不能说明合法理由的，视同按评标报告推荐的顺序 确定排名第一的中标候选人为中标人。</w:t>
      </w:r>
    </w:p>
    <w:p w14:paraId="7BF4E938">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四、根据确定的中标人，代理机构在陕西省政府采购网上发布中标结果公告，通过 项目电子化交易系统向中标人发出中标通知书。</w:t>
      </w:r>
    </w:p>
    <w:p w14:paraId="7DA40DD0">
      <w:pPr>
        <w:spacing w:before="242" w:line="219" w:lineRule="auto"/>
        <w:ind w:left="8"/>
        <w:outlineLvl w:val="4"/>
        <w:rPr>
          <w:rFonts w:hint="eastAsia" w:ascii="仿宋" w:hAnsi="仿宋" w:eastAsia="仿宋" w:cs="仿宋"/>
          <w:sz w:val="21"/>
          <w:szCs w:val="21"/>
          <w:highlight w:val="none"/>
          <w:lang w:eastAsia="zh-CN"/>
        </w:rPr>
      </w:pPr>
      <w:r>
        <w:rPr>
          <w:rFonts w:hint="eastAsia" w:ascii="仿宋" w:hAnsi="仿宋" w:eastAsia="仿宋" w:cs="仿宋"/>
          <w:b/>
          <w:bCs/>
          <w:spacing w:val="-4"/>
          <w:sz w:val="21"/>
          <w:szCs w:val="21"/>
          <w:highlight w:val="none"/>
          <w:lang w:eastAsia="zh-CN"/>
        </w:rPr>
        <w:t>5.9</w:t>
      </w:r>
      <w:r>
        <w:rPr>
          <w:rFonts w:hint="eastAsia" w:ascii="仿宋" w:hAnsi="仿宋" w:eastAsia="仿宋" w:cs="仿宋"/>
          <w:spacing w:val="-43"/>
          <w:sz w:val="21"/>
          <w:szCs w:val="21"/>
          <w:highlight w:val="none"/>
          <w:lang w:eastAsia="zh-CN"/>
        </w:rPr>
        <w:t xml:space="preserve"> </w:t>
      </w:r>
      <w:r>
        <w:rPr>
          <w:rFonts w:hint="eastAsia" w:ascii="仿宋" w:hAnsi="仿宋" w:eastAsia="仿宋" w:cs="仿宋"/>
          <w:b/>
          <w:bCs/>
          <w:spacing w:val="-4"/>
          <w:sz w:val="21"/>
          <w:szCs w:val="21"/>
          <w:highlight w:val="none"/>
          <w:lang w:eastAsia="zh-CN"/>
        </w:rPr>
        <w:t>评审专家在政府采购活动中承担以下义务</w:t>
      </w:r>
    </w:p>
    <w:p w14:paraId="19B2EA2A">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（一）遵守评审工作纪律；</w:t>
      </w:r>
    </w:p>
    <w:p w14:paraId="7FCDFBA3">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（二）按照客观、公正、审慎的原则，根据采购文件规定的评审程序、评审方法和评审标准进行独立评审；</w:t>
      </w:r>
    </w:p>
    <w:p w14:paraId="1C3B86C4">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（三）不得泄露评审文件、评审情况和在评审过程中获悉的商业秘密；</w:t>
      </w:r>
    </w:p>
    <w:p w14:paraId="32ADCC12">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（四）及时向监督管理部门报告评审过程中的违法违规情况，包括采购组织单位向评审专家作出倾向性、误导性的解释或者说明情况，投标人行贿、提供虚假材料或者串通情况，其他非法干预评审情况等；</w:t>
      </w:r>
    </w:p>
    <w:p w14:paraId="507A9139">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（五）发现采购文件内容违反国家有关强制性规定或者存在歧义、重大缺陷导致评审工作无法进行时，停止评审并通过项目电子化交易系统向采购组织单位书面说明情况，说明停止评审的情形和具体理由；</w:t>
      </w:r>
    </w:p>
    <w:p w14:paraId="09222AE0">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（六）配合答复处理投标人的询问、质疑和投诉等事项；</w:t>
      </w:r>
    </w:p>
    <w:p w14:paraId="053CB028">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（七）法律、法规和规章规定的其他义务。</w:t>
      </w:r>
    </w:p>
    <w:p w14:paraId="14F47ED8">
      <w:pPr>
        <w:spacing w:before="243" w:line="219" w:lineRule="auto"/>
        <w:ind w:left="8"/>
        <w:outlineLvl w:val="4"/>
        <w:rPr>
          <w:rFonts w:hint="eastAsia" w:ascii="仿宋" w:hAnsi="仿宋" w:eastAsia="仿宋" w:cs="仿宋"/>
          <w:sz w:val="21"/>
          <w:szCs w:val="21"/>
          <w:highlight w:val="none"/>
          <w:lang w:eastAsia="zh-CN"/>
        </w:rPr>
      </w:pPr>
      <w:r>
        <w:rPr>
          <w:rFonts w:hint="eastAsia" w:ascii="仿宋" w:hAnsi="仿宋" w:eastAsia="仿宋" w:cs="仿宋"/>
          <w:b/>
          <w:bCs/>
          <w:spacing w:val="-3"/>
          <w:sz w:val="21"/>
          <w:szCs w:val="21"/>
          <w:highlight w:val="none"/>
          <w:lang w:eastAsia="zh-CN"/>
        </w:rPr>
        <w:t>5.10</w:t>
      </w:r>
      <w:r>
        <w:rPr>
          <w:rFonts w:hint="eastAsia" w:ascii="仿宋" w:hAnsi="仿宋" w:eastAsia="仿宋" w:cs="仿宋"/>
          <w:spacing w:val="-58"/>
          <w:sz w:val="21"/>
          <w:szCs w:val="21"/>
          <w:highlight w:val="none"/>
          <w:lang w:eastAsia="zh-CN"/>
        </w:rPr>
        <w:t xml:space="preserve"> </w:t>
      </w:r>
      <w:r>
        <w:rPr>
          <w:rFonts w:hint="eastAsia" w:ascii="仿宋" w:hAnsi="仿宋" w:eastAsia="仿宋" w:cs="仿宋"/>
          <w:b/>
          <w:bCs/>
          <w:spacing w:val="-3"/>
          <w:sz w:val="21"/>
          <w:szCs w:val="21"/>
          <w:highlight w:val="none"/>
          <w:lang w:eastAsia="zh-CN"/>
        </w:rPr>
        <w:t>评审专家在政府采购活动中应当遵守以下工作纪律</w:t>
      </w:r>
    </w:p>
    <w:p w14:paraId="5C0A0AED">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（一）遵行《中华人民共和国政府采购法》第十二条和《中华人民共和国政府采购 法实施条例》第九条及财政部关于回避的规定。</w:t>
      </w:r>
    </w:p>
    <w:p w14:paraId="553BC3E2">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（二）评审前，应当将通讯工具或者相关电子设备交由采购组织单位统一保管。</w:t>
      </w:r>
    </w:p>
    <w:p w14:paraId="70D69A54">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（三）评审过程中，不得与外界联系，因发生不可预见情况，确实需要与外界联系的，应当在监督人员监督之下办理。</w:t>
      </w:r>
    </w:p>
    <w:p w14:paraId="73EB7190">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四）评审过程中，不得干预或者影响正常评审工作，不得发表倾向性、引导性意见，不得修改或细化招标文件确定的评审程序、评审方法、评审因素和评审标准，不得接受投标人主动提出的澄清和解释，不得征询采购人代表的意见，不得协商评分，不得违反规定的评审格式评分和撰写评审意见，不得拒绝对自己的评审意见签字确认。</w:t>
      </w:r>
    </w:p>
    <w:p w14:paraId="2A7094A1">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（五）在评审过程中和评审结束后，不得记录、复制或带走任何评审资料，不得向外界透露评审内容。</w:t>
      </w:r>
    </w:p>
    <w:p w14:paraId="3C02ACF2">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仿宋" w:hAnsi="仿宋" w:eastAsia="仿宋" w:cs="仿宋"/>
          <w:spacing w:val="-3"/>
          <w:sz w:val="21"/>
          <w:szCs w:val="21"/>
          <w:highlight w:val="none"/>
          <w:lang w:eastAsia="zh-CN"/>
        </w:rPr>
      </w:pPr>
      <w:r>
        <w:rPr>
          <w:rFonts w:hint="eastAsia" w:ascii="仿宋" w:hAnsi="仿宋" w:eastAsia="仿宋" w:cs="仿宋"/>
          <w:spacing w:val="-3"/>
          <w:sz w:val="21"/>
          <w:szCs w:val="21"/>
          <w:highlight w:val="none"/>
          <w:lang w:eastAsia="zh-CN"/>
        </w:rPr>
        <w:t>（六）服从评审现场采购组织单位的现场秩序管理，接受评审现场监督人员的合法监督。</w:t>
      </w:r>
    </w:p>
    <w:p w14:paraId="0EBCD4FF">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ascii="宋体" w:hAnsi="宋体" w:eastAsia="宋体" w:cs="宋体"/>
          <w:spacing w:val="-3"/>
          <w:sz w:val="24"/>
          <w:szCs w:val="24"/>
          <w:highlight w:val="none"/>
          <w:lang w:eastAsia="zh-CN"/>
        </w:rPr>
      </w:pPr>
      <w:r>
        <w:rPr>
          <w:rFonts w:hint="eastAsia" w:ascii="仿宋" w:hAnsi="仿宋" w:eastAsia="仿宋" w:cs="仿宋"/>
          <w:spacing w:val="-3"/>
          <w:sz w:val="21"/>
          <w:szCs w:val="21"/>
          <w:highlight w:val="none"/>
          <w:lang w:eastAsia="zh-CN"/>
        </w:rPr>
        <w:t>（七）遵守有关廉洁自律规定，不得私下接触投标人，不得收受投标人及有关业务单位和个人的财物或好处，不得接受采购组织单位的请托。</w:t>
      </w:r>
    </w:p>
    <w:p w14:paraId="59746A3C">
      <w:pPr>
        <w:rPr>
          <w:rFonts w:ascii="宋体" w:hAnsi="宋体" w:eastAsia="宋体" w:cs="宋体"/>
          <w:spacing w:val="-3"/>
          <w:sz w:val="24"/>
          <w:szCs w:val="24"/>
          <w:highlight w:val="none"/>
          <w:lang w:eastAsia="zh-CN"/>
        </w:rPr>
      </w:pPr>
      <w:r>
        <w:rPr>
          <w:rFonts w:ascii="宋体" w:hAnsi="宋体" w:eastAsia="宋体" w:cs="宋体"/>
          <w:spacing w:val="-3"/>
          <w:sz w:val="24"/>
          <w:szCs w:val="24"/>
          <w:highlight w:val="none"/>
          <w:lang w:eastAsia="zh-CN"/>
        </w:rPr>
        <w:br w:type="page"/>
      </w:r>
    </w:p>
    <w:p w14:paraId="78FFE432">
      <w:pPr>
        <w:spacing w:before="138" w:line="224" w:lineRule="auto"/>
        <w:ind w:left="2573"/>
        <w:outlineLvl w:val="2"/>
        <w:rPr>
          <w:rFonts w:hint="eastAsia" w:ascii="宋体" w:hAnsi="宋体" w:eastAsia="宋体" w:cs="宋体"/>
          <w:sz w:val="31"/>
          <w:szCs w:val="31"/>
          <w:highlight w:val="none"/>
          <w:lang w:eastAsia="zh-CN"/>
        </w:rPr>
      </w:pPr>
      <w:r>
        <w:rPr>
          <w:rFonts w:ascii="宋体" w:hAnsi="宋体" w:eastAsia="宋体" w:cs="宋体"/>
          <w:b/>
          <w:bCs/>
          <w:spacing w:val="6"/>
          <w:sz w:val="31"/>
          <w:szCs w:val="31"/>
          <w:highlight w:val="none"/>
          <w:lang w:eastAsia="zh-CN"/>
        </w:rPr>
        <w:t>第六章</w:t>
      </w:r>
      <w:r>
        <w:rPr>
          <w:rFonts w:ascii="宋体" w:hAnsi="宋体" w:eastAsia="宋体" w:cs="宋体"/>
          <w:spacing w:val="6"/>
          <w:sz w:val="31"/>
          <w:szCs w:val="31"/>
          <w:highlight w:val="none"/>
          <w:lang w:eastAsia="zh-CN"/>
        </w:rPr>
        <w:t xml:space="preserve">  </w:t>
      </w:r>
      <w:r>
        <w:rPr>
          <w:rFonts w:ascii="宋体" w:hAnsi="宋体" w:eastAsia="宋体" w:cs="宋体"/>
          <w:b/>
          <w:bCs/>
          <w:spacing w:val="6"/>
          <w:sz w:val="31"/>
          <w:szCs w:val="31"/>
          <w:highlight w:val="none"/>
          <w:lang w:eastAsia="zh-CN"/>
        </w:rPr>
        <w:t>投标文件格式</w:t>
      </w:r>
    </w:p>
    <w:p w14:paraId="1572E018">
      <w:pPr>
        <w:pStyle w:val="21"/>
        <w:jc w:val="center"/>
        <w:outlineLvl w:val="1"/>
        <w:rPr>
          <w:highlight w:val="none"/>
        </w:rPr>
      </w:pPr>
      <w:r>
        <w:rPr>
          <w:rFonts w:ascii="仿宋_GB2312" w:hAnsi="仿宋_GB2312" w:eastAsia="仿宋_GB2312" w:cs="仿宋_GB2312"/>
          <w:b/>
          <w:sz w:val="36"/>
          <w:highlight w:val="none"/>
        </w:rPr>
        <w:t xml:space="preserve">第七章 </w:t>
      </w:r>
      <w:r>
        <w:rPr>
          <w:rFonts w:hint="eastAsia" w:ascii="仿宋_GB2312" w:hAnsi="仿宋_GB2312" w:eastAsia="仿宋_GB2312" w:cs="仿宋_GB2312"/>
          <w:b/>
          <w:sz w:val="36"/>
          <w:highlight w:val="none"/>
          <w:lang w:val="en-US" w:eastAsia="zh-CN"/>
        </w:rPr>
        <w:t>投标</w:t>
      </w:r>
      <w:r>
        <w:rPr>
          <w:rFonts w:ascii="仿宋_GB2312" w:hAnsi="仿宋_GB2312" w:eastAsia="仿宋_GB2312" w:cs="仿宋_GB2312"/>
          <w:b/>
          <w:sz w:val="36"/>
          <w:highlight w:val="none"/>
        </w:rPr>
        <w:t>文件格式</w:t>
      </w:r>
    </w:p>
    <w:p w14:paraId="10912A3A">
      <w:pPr>
        <w:pStyle w:val="21"/>
        <w:ind w:firstLine="480"/>
        <w:rPr>
          <w:highlight w:val="none"/>
        </w:rPr>
      </w:pPr>
      <w:r>
        <w:rPr>
          <w:rFonts w:ascii="仿宋_GB2312" w:hAnsi="仿宋_GB2312" w:eastAsia="仿宋_GB2312" w:cs="仿宋_GB2312"/>
          <w:highlight w:val="none"/>
        </w:rPr>
        <w:t>一、本章所制响应文件格式，除格式中明确将该格式作为实质性要求的，不具有强制性。</w:t>
      </w:r>
    </w:p>
    <w:p w14:paraId="64557010">
      <w:pPr>
        <w:pStyle w:val="21"/>
        <w:ind w:firstLine="480"/>
        <w:rPr>
          <w:highlight w:val="none"/>
        </w:rPr>
      </w:pPr>
      <w:r>
        <w:rPr>
          <w:rFonts w:ascii="仿宋_GB2312" w:hAnsi="仿宋_GB2312" w:eastAsia="仿宋_GB2312" w:cs="仿宋_GB2312"/>
          <w:highlight w:val="none"/>
        </w:rPr>
        <w:t>二、本章所制响应文件格式有关表格中的备注栏，由</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根据自身响应情况作解释性说明，不作为必填项。</w:t>
      </w:r>
    </w:p>
    <w:p w14:paraId="48920C1C">
      <w:pPr>
        <w:pStyle w:val="21"/>
        <w:rPr>
          <w:highlight w:val="none"/>
        </w:rPr>
      </w:pPr>
      <w:r>
        <w:rPr>
          <w:rFonts w:ascii="仿宋_GB2312" w:hAnsi="仿宋_GB2312" w:eastAsia="仿宋_GB2312" w:cs="仿宋_GB2312"/>
          <w:highlight w:val="none"/>
        </w:rPr>
        <w:t>采购包1：</w:t>
      </w:r>
    </w:p>
    <w:p w14:paraId="6C8AE712">
      <w:pPr>
        <w:pStyle w:val="21"/>
        <w:rPr>
          <w:highlight w:val="none"/>
        </w:rPr>
      </w:pPr>
      <w:r>
        <w:rPr>
          <w:rFonts w:ascii="仿宋_GB2312" w:hAnsi="仿宋_GB2312" w:eastAsia="仿宋_GB2312" w:cs="仿宋_GB2312"/>
          <w:highlight w:val="none"/>
        </w:rPr>
        <w:t>分册名称：投标响应文件分册</w:t>
      </w:r>
    </w:p>
    <w:p w14:paraId="5DA32D0C">
      <w:pPr>
        <w:pStyle w:val="21"/>
        <w:ind w:firstLine="960"/>
        <w:rPr>
          <w:highlight w:val="none"/>
        </w:rPr>
      </w:pPr>
      <w:r>
        <w:rPr>
          <w:rFonts w:ascii="仿宋_GB2312" w:hAnsi="仿宋_GB2312" w:eastAsia="仿宋_GB2312" w:cs="仿宋_GB2312"/>
          <w:highlight w:val="none"/>
        </w:rPr>
        <w:t>详见附件：响应文件封面</w:t>
      </w:r>
    </w:p>
    <w:p w14:paraId="5DF0A92E">
      <w:pPr>
        <w:pStyle w:val="21"/>
        <w:ind w:firstLine="960"/>
        <w:rPr>
          <w:highlight w:val="none"/>
        </w:rPr>
      </w:pPr>
      <w:r>
        <w:rPr>
          <w:rFonts w:ascii="仿宋_GB2312" w:hAnsi="仿宋_GB2312" w:eastAsia="仿宋_GB2312" w:cs="仿宋_GB2312"/>
          <w:highlight w:val="none"/>
        </w:rPr>
        <w:t>详见附件：响应函</w:t>
      </w:r>
    </w:p>
    <w:p w14:paraId="1155A435">
      <w:pPr>
        <w:pStyle w:val="21"/>
        <w:ind w:firstLine="960"/>
        <w:rPr>
          <w:highlight w:val="none"/>
        </w:rPr>
      </w:pPr>
      <w:r>
        <w:rPr>
          <w:rFonts w:ascii="仿宋_GB2312" w:hAnsi="仿宋_GB2312" w:eastAsia="仿宋_GB2312" w:cs="仿宋_GB2312"/>
          <w:highlight w:val="none"/>
        </w:rPr>
        <w:t>详见附件：报价函</w:t>
      </w:r>
    </w:p>
    <w:p w14:paraId="73E35E9E">
      <w:pPr>
        <w:pStyle w:val="21"/>
        <w:ind w:firstLine="960"/>
        <w:rPr>
          <w:highlight w:val="none"/>
        </w:rPr>
      </w:pPr>
      <w:r>
        <w:rPr>
          <w:rFonts w:ascii="仿宋_GB2312" w:hAnsi="仿宋_GB2312" w:eastAsia="仿宋_GB2312" w:cs="仿宋_GB2312"/>
          <w:highlight w:val="none"/>
        </w:rPr>
        <w:t>详见附件：中小企业声明函</w:t>
      </w:r>
    </w:p>
    <w:p w14:paraId="5017B629">
      <w:pPr>
        <w:pStyle w:val="21"/>
        <w:ind w:firstLine="960"/>
        <w:rPr>
          <w:highlight w:val="none"/>
        </w:rPr>
      </w:pPr>
      <w:r>
        <w:rPr>
          <w:rFonts w:ascii="仿宋_GB2312" w:hAnsi="仿宋_GB2312" w:eastAsia="仿宋_GB2312" w:cs="仿宋_GB2312"/>
          <w:highlight w:val="none"/>
        </w:rPr>
        <w:t>详见附件：残疾人福利性单位声明函</w:t>
      </w:r>
    </w:p>
    <w:p w14:paraId="290A66E4">
      <w:pPr>
        <w:pStyle w:val="21"/>
        <w:ind w:firstLine="960"/>
        <w:rPr>
          <w:highlight w:val="none"/>
        </w:rPr>
      </w:pPr>
      <w:r>
        <w:rPr>
          <w:rFonts w:ascii="仿宋_GB2312" w:hAnsi="仿宋_GB2312" w:eastAsia="仿宋_GB2312" w:cs="仿宋_GB2312"/>
          <w:highlight w:val="none"/>
        </w:rPr>
        <w:t>详见附件：监狱企业的证明文件</w:t>
      </w:r>
    </w:p>
    <w:p w14:paraId="2D93171D">
      <w:pPr>
        <w:pStyle w:val="21"/>
        <w:ind w:firstLine="960"/>
        <w:rPr>
          <w:highlight w:val="none"/>
        </w:rPr>
      </w:pPr>
      <w:r>
        <w:rPr>
          <w:rFonts w:ascii="仿宋_GB2312" w:hAnsi="仿宋_GB2312" w:eastAsia="仿宋_GB2312" w:cs="仿宋_GB2312"/>
          <w:highlight w:val="none"/>
        </w:rPr>
        <w:t>详见附件：标的清单</w:t>
      </w:r>
    </w:p>
    <w:p w14:paraId="5285DD89">
      <w:pPr>
        <w:pStyle w:val="21"/>
        <w:ind w:firstLine="960"/>
        <w:rPr>
          <w:highlight w:val="none"/>
        </w:rPr>
      </w:pPr>
      <w:r>
        <w:rPr>
          <w:rFonts w:ascii="仿宋_GB2312" w:hAnsi="仿宋_GB2312" w:eastAsia="仿宋_GB2312" w:cs="仿宋_GB2312"/>
          <w:highlight w:val="none"/>
        </w:rPr>
        <w:t>详见附件：已标价工程量清单</w:t>
      </w:r>
    </w:p>
    <w:p w14:paraId="77F919F8">
      <w:pPr>
        <w:pStyle w:val="21"/>
        <w:ind w:firstLine="960"/>
        <w:rPr>
          <w:highlight w:val="none"/>
        </w:rPr>
      </w:pPr>
      <w:r>
        <w:rPr>
          <w:rFonts w:ascii="仿宋_GB2312" w:hAnsi="仿宋_GB2312" w:eastAsia="仿宋_GB2312" w:cs="仿宋_GB2312"/>
          <w:highlight w:val="none"/>
        </w:rPr>
        <w:t>详见附件：响应方案.docx</w:t>
      </w:r>
    </w:p>
    <w:p w14:paraId="0BA36BE6">
      <w:pPr>
        <w:pStyle w:val="21"/>
        <w:ind w:firstLine="960"/>
        <w:rPr>
          <w:rFonts w:ascii="仿宋_GB2312" w:hAnsi="仿宋_GB2312" w:eastAsia="仿宋_GB2312" w:cs="仿宋_GB2312"/>
          <w:highlight w:val="none"/>
        </w:rPr>
      </w:pPr>
      <w:r>
        <w:rPr>
          <w:rFonts w:ascii="仿宋_GB2312" w:hAnsi="仿宋_GB2312" w:eastAsia="仿宋_GB2312" w:cs="仿宋_GB2312"/>
          <w:highlight w:val="none"/>
        </w:rPr>
        <w:t>详见附件：资格证明文件.docx</w:t>
      </w:r>
    </w:p>
    <w:p w14:paraId="54A0D1A4">
      <w:pPr>
        <w:rPr>
          <w:rFonts w:ascii="仿宋_GB2312" w:hAnsi="仿宋_GB2312" w:eastAsia="仿宋_GB2312" w:cs="仿宋_GB2312"/>
          <w:highlight w:val="none"/>
        </w:rPr>
      </w:pPr>
      <w:r>
        <w:rPr>
          <w:rFonts w:ascii="仿宋_GB2312" w:hAnsi="仿宋_GB2312" w:eastAsia="仿宋_GB2312" w:cs="仿宋_GB2312"/>
          <w:highlight w:val="none"/>
        </w:rPr>
        <w:br w:type="page"/>
      </w:r>
    </w:p>
    <w:p w14:paraId="142E840C">
      <w:pPr>
        <w:spacing w:line="342" w:lineRule="auto"/>
        <w:rPr>
          <w:rFonts w:ascii="Arial"/>
          <w:sz w:val="21"/>
          <w:highlight w:val="none"/>
        </w:rPr>
      </w:pPr>
    </w:p>
    <w:p w14:paraId="571122A8">
      <w:pPr>
        <w:spacing w:line="342" w:lineRule="auto"/>
        <w:rPr>
          <w:rFonts w:ascii="Arial"/>
          <w:sz w:val="21"/>
          <w:highlight w:val="none"/>
        </w:rPr>
      </w:pPr>
    </w:p>
    <w:p w14:paraId="13AF82CE">
      <w:pPr>
        <w:pStyle w:val="2"/>
        <w:spacing w:before="146" w:line="222" w:lineRule="auto"/>
        <w:ind w:left="3294"/>
        <w:outlineLvl w:val="0"/>
        <w:rPr>
          <w:spacing w:val="-6"/>
          <w:sz w:val="45"/>
          <w:szCs w:val="45"/>
          <w:highlight w:val="none"/>
        </w:rPr>
      </w:pPr>
    </w:p>
    <w:p w14:paraId="11093C3B">
      <w:pPr>
        <w:pStyle w:val="2"/>
        <w:spacing w:before="146" w:line="222" w:lineRule="auto"/>
        <w:ind w:left="3294"/>
        <w:outlineLvl w:val="0"/>
        <w:rPr>
          <w:spacing w:val="-6"/>
          <w:sz w:val="45"/>
          <w:szCs w:val="45"/>
          <w:highlight w:val="none"/>
        </w:rPr>
      </w:pPr>
    </w:p>
    <w:p w14:paraId="34561114">
      <w:pPr>
        <w:pStyle w:val="2"/>
        <w:spacing w:before="146" w:line="222" w:lineRule="auto"/>
        <w:ind w:left="3294"/>
        <w:outlineLvl w:val="0"/>
        <w:rPr>
          <w:sz w:val="45"/>
          <w:szCs w:val="45"/>
          <w:highlight w:val="none"/>
        </w:rPr>
      </w:pPr>
      <w:r>
        <w:rPr>
          <w:rFonts w:hint="eastAsia"/>
          <w:spacing w:val="-6"/>
          <w:sz w:val="45"/>
          <w:szCs w:val="45"/>
          <w:highlight w:val="none"/>
          <w:lang w:val="en-US" w:eastAsia="zh-CN"/>
        </w:rPr>
        <w:t>投标</w:t>
      </w:r>
      <w:r>
        <w:rPr>
          <w:spacing w:val="-6"/>
          <w:sz w:val="45"/>
          <w:szCs w:val="45"/>
          <w:highlight w:val="none"/>
        </w:rPr>
        <w:t>文件</w:t>
      </w:r>
    </w:p>
    <w:p w14:paraId="18D62283">
      <w:pPr>
        <w:spacing w:line="269" w:lineRule="auto"/>
        <w:rPr>
          <w:rFonts w:ascii="Arial"/>
          <w:sz w:val="21"/>
          <w:highlight w:val="none"/>
        </w:rPr>
      </w:pPr>
    </w:p>
    <w:p w14:paraId="7F58D0F2">
      <w:pPr>
        <w:spacing w:line="269" w:lineRule="auto"/>
        <w:rPr>
          <w:rFonts w:ascii="Arial"/>
          <w:sz w:val="21"/>
          <w:highlight w:val="none"/>
        </w:rPr>
      </w:pPr>
    </w:p>
    <w:p w14:paraId="58D24CB4">
      <w:pPr>
        <w:spacing w:line="269" w:lineRule="auto"/>
        <w:rPr>
          <w:rFonts w:ascii="Arial"/>
          <w:sz w:val="21"/>
          <w:highlight w:val="none"/>
        </w:rPr>
      </w:pPr>
    </w:p>
    <w:p w14:paraId="305A7B1A">
      <w:pPr>
        <w:spacing w:line="269" w:lineRule="auto"/>
        <w:rPr>
          <w:rFonts w:ascii="Arial"/>
          <w:sz w:val="21"/>
          <w:highlight w:val="none"/>
        </w:rPr>
      </w:pPr>
    </w:p>
    <w:p w14:paraId="0E0DB5D1">
      <w:pPr>
        <w:spacing w:line="269" w:lineRule="auto"/>
        <w:rPr>
          <w:rFonts w:ascii="Arial"/>
          <w:sz w:val="21"/>
          <w:highlight w:val="none"/>
        </w:rPr>
      </w:pPr>
    </w:p>
    <w:p w14:paraId="23B41562">
      <w:pPr>
        <w:spacing w:line="269" w:lineRule="auto"/>
        <w:rPr>
          <w:rFonts w:ascii="Arial"/>
          <w:sz w:val="21"/>
          <w:highlight w:val="none"/>
        </w:rPr>
      </w:pPr>
    </w:p>
    <w:p w14:paraId="111F2387">
      <w:pPr>
        <w:spacing w:line="270" w:lineRule="auto"/>
        <w:rPr>
          <w:rFonts w:ascii="Arial"/>
          <w:sz w:val="21"/>
          <w:highlight w:val="none"/>
        </w:rPr>
      </w:pPr>
    </w:p>
    <w:p w14:paraId="6A323987">
      <w:pPr>
        <w:spacing w:line="270" w:lineRule="auto"/>
        <w:rPr>
          <w:rFonts w:ascii="Arial"/>
          <w:sz w:val="21"/>
          <w:highlight w:val="none"/>
        </w:rPr>
      </w:pPr>
    </w:p>
    <w:p w14:paraId="2554FFDA">
      <w:pPr>
        <w:pStyle w:val="2"/>
        <w:spacing w:before="65" w:line="222" w:lineRule="auto"/>
        <w:rPr>
          <w:highlight w:val="none"/>
        </w:rPr>
      </w:pPr>
      <w:r>
        <w:rPr>
          <w:highlight w:val="none"/>
        </w:rPr>
        <w:t>采购项目名称：</w:t>
      </w:r>
      <w:r>
        <w:rPr>
          <w:spacing w:val="83"/>
          <w:highlight w:val="none"/>
          <w:u w:val="single" w:color="222222"/>
        </w:rPr>
        <w:t xml:space="preserve"> </w:t>
      </w:r>
      <w:r>
        <w:rPr>
          <w:highlight w:val="none"/>
          <w:u w:val="single" w:color="222222"/>
        </w:rPr>
        <w:t xml:space="preserve">{项目名称}  </w:t>
      </w:r>
    </w:p>
    <w:p w14:paraId="5C0D3241">
      <w:pPr>
        <w:pStyle w:val="2"/>
        <w:spacing w:before="239" w:line="222" w:lineRule="auto"/>
        <w:rPr>
          <w:highlight w:val="none"/>
        </w:rPr>
      </w:pPr>
      <w:r>
        <w:rPr>
          <w:highlight w:val="none"/>
        </w:rPr>
        <w:t>采购项目编号：</w:t>
      </w:r>
      <w:r>
        <w:rPr>
          <w:spacing w:val="83"/>
          <w:highlight w:val="none"/>
          <w:u w:val="single" w:color="222222"/>
        </w:rPr>
        <w:t xml:space="preserve"> </w:t>
      </w:r>
      <w:r>
        <w:rPr>
          <w:highlight w:val="none"/>
          <w:u w:val="single" w:color="222222"/>
        </w:rPr>
        <w:t xml:space="preserve">{项目编码}  </w:t>
      </w:r>
    </w:p>
    <w:p w14:paraId="2C0E95C0">
      <w:pPr>
        <w:pStyle w:val="2"/>
        <w:spacing w:before="239" w:line="222" w:lineRule="auto"/>
        <w:rPr>
          <w:highlight w:val="none"/>
        </w:rPr>
      </w:pPr>
      <w:r>
        <w:rPr>
          <w:spacing w:val="-2"/>
          <w:highlight w:val="none"/>
        </w:rPr>
        <w:t>采购包号：</w:t>
      </w:r>
      <w:r>
        <w:rPr>
          <w:spacing w:val="85"/>
          <w:highlight w:val="none"/>
          <w:u w:val="single" w:color="222222"/>
        </w:rPr>
        <w:t xml:space="preserve"> </w:t>
      </w:r>
      <w:r>
        <w:rPr>
          <w:spacing w:val="-2"/>
          <w:highlight w:val="none"/>
          <w:u w:val="single" w:color="222222"/>
        </w:rPr>
        <w:t>{包号}</w:t>
      </w:r>
      <w:r>
        <w:rPr>
          <w:highlight w:val="none"/>
          <w:u w:val="single" w:color="222222"/>
        </w:rPr>
        <w:t xml:space="preserve">  </w:t>
      </w:r>
    </w:p>
    <w:p w14:paraId="4E142474">
      <w:pPr>
        <w:spacing w:line="275" w:lineRule="auto"/>
        <w:rPr>
          <w:rFonts w:ascii="Arial"/>
          <w:sz w:val="21"/>
          <w:highlight w:val="none"/>
        </w:rPr>
      </w:pPr>
    </w:p>
    <w:p w14:paraId="42CC59FA">
      <w:pPr>
        <w:spacing w:line="276" w:lineRule="auto"/>
        <w:rPr>
          <w:rFonts w:ascii="Arial"/>
          <w:sz w:val="21"/>
          <w:highlight w:val="none"/>
        </w:rPr>
      </w:pPr>
    </w:p>
    <w:p w14:paraId="1D7A21BF">
      <w:pPr>
        <w:pStyle w:val="2"/>
        <w:spacing w:before="92" w:line="220" w:lineRule="auto"/>
        <w:ind w:left="3149" w:right="2446" w:hanging="697"/>
        <w:outlineLvl w:val="0"/>
        <w:rPr>
          <w:spacing w:val="1"/>
          <w:sz w:val="28"/>
          <w:szCs w:val="28"/>
          <w:highlight w:val="none"/>
        </w:rPr>
      </w:pPr>
    </w:p>
    <w:p w14:paraId="2FA01F0B">
      <w:pPr>
        <w:pStyle w:val="2"/>
        <w:spacing w:before="92" w:line="220" w:lineRule="auto"/>
        <w:ind w:left="3149" w:right="2446" w:hanging="697"/>
        <w:outlineLvl w:val="0"/>
        <w:rPr>
          <w:spacing w:val="1"/>
          <w:sz w:val="28"/>
          <w:szCs w:val="28"/>
          <w:highlight w:val="none"/>
        </w:rPr>
      </w:pPr>
    </w:p>
    <w:p w14:paraId="2FC05047">
      <w:pPr>
        <w:pStyle w:val="2"/>
        <w:spacing w:before="92" w:line="220" w:lineRule="auto"/>
        <w:ind w:left="3149" w:right="2446" w:hanging="697"/>
        <w:outlineLvl w:val="0"/>
        <w:rPr>
          <w:spacing w:val="1"/>
          <w:sz w:val="28"/>
          <w:szCs w:val="28"/>
          <w:highlight w:val="none"/>
        </w:rPr>
      </w:pPr>
    </w:p>
    <w:p w14:paraId="5E22D6CE">
      <w:pPr>
        <w:pStyle w:val="2"/>
        <w:spacing w:before="92" w:line="220" w:lineRule="auto"/>
        <w:ind w:left="3149" w:right="2446" w:hanging="697"/>
        <w:outlineLvl w:val="0"/>
        <w:rPr>
          <w:sz w:val="28"/>
          <w:szCs w:val="28"/>
          <w:highlight w:val="none"/>
        </w:rPr>
      </w:pPr>
      <w:r>
        <w:rPr>
          <w:rFonts w:hint="eastAsia"/>
          <w:spacing w:val="1"/>
          <w:sz w:val="28"/>
          <w:szCs w:val="28"/>
          <w:highlight w:val="none"/>
          <w:lang w:eastAsia="zh-CN"/>
        </w:rPr>
        <w:t>投标人</w:t>
      </w:r>
      <w:r>
        <w:rPr>
          <w:spacing w:val="1"/>
          <w:sz w:val="28"/>
          <w:szCs w:val="28"/>
          <w:highlight w:val="none"/>
        </w:rPr>
        <w:t>名称：</w:t>
      </w:r>
      <w:r>
        <w:rPr>
          <w:spacing w:val="-69"/>
          <w:sz w:val="28"/>
          <w:szCs w:val="28"/>
          <w:highlight w:val="none"/>
        </w:rPr>
        <w:t xml:space="preserve"> </w:t>
      </w:r>
      <w:r>
        <w:rPr>
          <w:spacing w:val="1"/>
          <w:sz w:val="28"/>
          <w:szCs w:val="28"/>
          <w:highlight w:val="none"/>
        </w:rPr>
        <w:t>{</w:t>
      </w:r>
      <w:r>
        <w:rPr>
          <w:rFonts w:hint="eastAsia"/>
          <w:spacing w:val="1"/>
          <w:sz w:val="28"/>
          <w:szCs w:val="28"/>
          <w:highlight w:val="none"/>
          <w:lang w:eastAsia="zh-CN"/>
        </w:rPr>
        <w:t>投标人</w:t>
      </w:r>
      <w:r>
        <w:rPr>
          <w:spacing w:val="1"/>
          <w:sz w:val="28"/>
          <w:szCs w:val="28"/>
          <w:highlight w:val="none"/>
        </w:rPr>
        <w:t>名称}</w:t>
      </w:r>
      <w:r>
        <w:rPr>
          <w:sz w:val="28"/>
          <w:szCs w:val="28"/>
          <w:highlight w:val="none"/>
        </w:rPr>
        <w:t xml:space="preserve"> </w:t>
      </w:r>
    </w:p>
    <w:p w14:paraId="0FB13355">
      <w:pPr>
        <w:pStyle w:val="2"/>
        <w:spacing w:before="92" w:line="220" w:lineRule="auto"/>
        <w:ind w:left="3149" w:right="2446" w:hanging="697"/>
        <w:outlineLvl w:val="0"/>
        <w:rPr>
          <w:spacing w:val="-14"/>
          <w:sz w:val="28"/>
          <w:szCs w:val="28"/>
          <w:highlight w:val="none"/>
        </w:rPr>
      </w:pPr>
      <w:r>
        <w:rPr>
          <w:spacing w:val="-14"/>
          <w:sz w:val="28"/>
          <w:szCs w:val="28"/>
          <w:highlight w:val="none"/>
        </w:rPr>
        <w:t>日期</w:t>
      </w:r>
      <w:r>
        <w:rPr>
          <w:spacing w:val="-79"/>
          <w:sz w:val="28"/>
          <w:szCs w:val="28"/>
          <w:highlight w:val="none"/>
        </w:rPr>
        <w:t xml:space="preserve"> </w:t>
      </w:r>
      <w:r>
        <w:rPr>
          <w:spacing w:val="-14"/>
          <w:sz w:val="28"/>
          <w:szCs w:val="28"/>
          <w:highlight w:val="none"/>
        </w:rPr>
        <w:t>:</w:t>
      </w:r>
      <w:r>
        <w:rPr>
          <w:spacing w:val="-78"/>
          <w:sz w:val="28"/>
          <w:szCs w:val="28"/>
          <w:highlight w:val="none"/>
        </w:rPr>
        <w:t xml:space="preserve"> </w:t>
      </w:r>
      <w:r>
        <w:rPr>
          <w:spacing w:val="-14"/>
          <w:sz w:val="28"/>
          <w:szCs w:val="28"/>
          <w:highlight w:val="none"/>
        </w:rPr>
        <w:t>{当前日期}</w:t>
      </w:r>
    </w:p>
    <w:p w14:paraId="3AFC50E8">
      <w:pPr>
        <w:rPr>
          <w:spacing w:val="-14"/>
          <w:sz w:val="28"/>
          <w:szCs w:val="28"/>
          <w:highlight w:val="none"/>
        </w:rPr>
      </w:pPr>
      <w:r>
        <w:rPr>
          <w:spacing w:val="-14"/>
          <w:sz w:val="28"/>
          <w:szCs w:val="28"/>
          <w:highlight w:val="none"/>
        </w:rPr>
        <w:br w:type="page"/>
      </w:r>
    </w:p>
    <w:p w14:paraId="4CA0EC4A">
      <w:pPr>
        <w:pStyle w:val="2"/>
        <w:spacing w:before="76" w:line="222" w:lineRule="auto"/>
        <w:ind w:firstLine="2744" w:firstLineChars="700"/>
        <w:outlineLvl w:val="0"/>
        <w:rPr>
          <w:sz w:val="38"/>
          <w:szCs w:val="38"/>
          <w:highlight w:val="none"/>
        </w:rPr>
      </w:pPr>
      <w:r>
        <w:rPr>
          <w:spacing w:val="6"/>
          <w:sz w:val="38"/>
          <w:szCs w:val="38"/>
          <w:highlight w:val="none"/>
        </w:rPr>
        <w:t>投标（响应）函</w:t>
      </w:r>
    </w:p>
    <w:p w14:paraId="36522A27">
      <w:pPr>
        <w:pStyle w:val="2"/>
        <w:spacing w:before="263" w:line="224" w:lineRule="auto"/>
        <w:rPr>
          <w:sz w:val="21"/>
          <w:szCs w:val="21"/>
          <w:highlight w:val="none"/>
        </w:rPr>
      </w:pPr>
      <w:r>
        <w:rPr>
          <w:sz w:val="21"/>
          <w:szCs w:val="21"/>
          <w:highlight w:val="none"/>
        </w:rPr>
        <w:t>致：</w:t>
      </w:r>
      <w:r>
        <w:rPr>
          <w:spacing w:val="83"/>
          <w:sz w:val="21"/>
          <w:szCs w:val="21"/>
          <w:highlight w:val="none"/>
          <w:u w:val="single" w:color="222222"/>
        </w:rPr>
        <w:t xml:space="preserve"> </w:t>
      </w:r>
      <w:r>
        <w:rPr>
          <w:sz w:val="21"/>
          <w:szCs w:val="21"/>
          <w:highlight w:val="none"/>
          <w:u w:val="single" w:color="222222"/>
        </w:rPr>
        <w:t xml:space="preserve">{代理机构名称}  </w:t>
      </w:r>
    </w:p>
    <w:p w14:paraId="69DA44A3">
      <w:pPr>
        <w:pStyle w:val="2"/>
        <w:spacing w:before="281" w:line="375" w:lineRule="auto"/>
        <w:ind w:left="8" w:firstLine="382"/>
        <w:rPr>
          <w:highlight w:val="none"/>
        </w:rPr>
      </w:pPr>
      <w:r>
        <w:rPr>
          <w:spacing w:val="-2"/>
          <w:highlight w:val="none"/>
        </w:rPr>
        <w:t>我单位作为</w:t>
      </w:r>
      <w:r>
        <w:rPr>
          <w:spacing w:val="109"/>
          <w:highlight w:val="none"/>
          <w:u w:val="single" w:color="222222"/>
        </w:rPr>
        <w:t xml:space="preserve"> </w:t>
      </w:r>
      <w:r>
        <w:rPr>
          <w:spacing w:val="-2"/>
          <w:highlight w:val="none"/>
          <w:u w:val="single" w:color="222222"/>
        </w:rPr>
        <w:t>{项目名称}</w:t>
      </w:r>
      <w:r>
        <w:rPr>
          <w:spacing w:val="50"/>
          <w:highlight w:val="none"/>
          <w:u w:val="single" w:color="222222"/>
        </w:rPr>
        <w:t xml:space="preserve"> </w:t>
      </w:r>
      <w:r>
        <w:rPr>
          <w:spacing w:val="-2"/>
          <w:highlight w:val="none"/>
        </w:rPr>
        <w:t>（项目编号：</w:t>
      </w:r>
      <w:r>
        <w:rPr>
          <w:spacing w:val="89"/>
          <w:w w:val="101"/>
          <w:highlight w:val="none"/>
          <w:u w:val="single" w:color="222222"/>
        </w:rPr>
        <w:t xml:space="preserve"> </w:t>
      </w:r>
      <w:r>
        <w:rPr>
          <w:spacing w:val="-2"/>
          <w:highlight w:val="none"/>
          <w:u w:val="single" w:color="222222"/>
        </w:rPr>
        <w:t>{项目编码}</w:t>
      </w:r>
      <w:r>
        <w:rPr>
          <w:spacing w:val="77"/>
          <w:highlight w:val="none"/>
          <w:u w:val="single" w:color="222222"/>
        </w:rPr>
        <w:t xml:space="preserve"> </w:t>
      </w:r>
      <w:r>
        <w:rPr>
          <w:spacing w:val="-2"/>
          <w:highlight w:val="none"/>
        </w:rPr>
        <w:t>）的投标（响应）</w:t>
      </w:r>
      <w:r>
        <w:rPr>
          <w:rFonts w:hint="eastAsia"/>
          <w:spacing w:val="-2"/>
          <w:highlight w:val="none"/>
          <w:lang w:eastAsia="zh-CN"/>
        </w:rPr>
        <w:t>投标人</w:t>
      </w:r>
      <w:r>
        <w:rPr>
          <w:spacing w:val="-2"/>
          <w:highlight w:val="none"/>
        </w:rPr>
        <w:t>，</w:t>
      </w:r>
      <w:r>
        <w:rPr>
          <w:spacing w:val="-54"/>
          <w:highlight w:val="none"/>
        </w:rPr>
        <w:t xml:space="preserve"> </w:t>
      </w:r>
      <w:r>
        <w:rPr>
          <w:spacing w:val="-2"/>
          <w:highlight w:val="none"/>
        </w:rPr>
        <w:t>自愿参与本项目政府采购</w:t>
      </w:r>
      <w:r>
        <w:rPr>
          <w:highlight w:val="none"/>
        </w:rPr>
        <w:t xml:space="preserve"> </w:t>
      </w:r>
      <w:r>
        <w:rPr>
          <w:spacing w:val="1"/>
          <w:highlight w:val="none"/>
        </w:rPr>
        <w:t>活动，充分理解采购文件的要求，在此郑重声明及承诺：</w:t>
      </w:r>
    </w:p>
    <w:p w14:paraId="784A754C">
      <w:pPr>
        <w:pStyle w:val="2"/>
        <w:spacing w:before="237" w:line="221" w:lineRule="auto"/>
        <w:ind w:left="392"/>
        <w:rPr>
          <w:highlight w:val="none"/>
        </w:rPr>
      </w:pPr>
      <w:r>
        <w:rPr>
          <w:spacing w:val="1"/>
          <w:highlight w:val="none"/>
        </w:rPr>
        <w:t>一、我单位具有独立承担民事责任的能力；</w:t>
      </w:r>
    </w:p>
    <w:p w14:paraId="7F28D907">
      <w:pPr>
        <w:pStyle w:val="2"/>
        <w:spacing w:before="155" w:line="221" w:lineRule="auto"/>
        <w:ind w:left="392"/>
        <w:rPr>
          <w:highlight w:val="none"/>
        </w:rPr>
      </w:pPr>
      <w:r>
        <w:rPr>
          <w:spacing w:val="1"/>
          <w:highlight w:val="none"/>
        </w:rPr>
        <w:t>二、我单位具有良好的商业信誉和健全的财务会计制度；</w:t>
      </w:r>
    </w:p>
    <w:p w14:paraId="076459B7">
      <w:pPr>
        <w:pStyle w:val="2"/>
        <w:spacing w:before="158" w:line="221" w:lineRule="auto"/>
        <w:ind w:left="389"/>
        <w:rPr>
          <w:highlight w:val="none"/>
        </w:rPr>
      </w:pPr>
      <w:r>
        <w:rPr>
          <w:spacing w:val="1"/>
          <w:highlight w:val="none"/>
        </w:rPr>
        <w:t>三、我单位具有履行合同所必需的设备和专业技术能力；</w:t>
      </w:r>
    </w:p>
    <w:p w14:paraId="782A443C">
      <w:pPr>
        <w:pStyle w:val="2"/>
        <w:spacing w:before="156" w:line="221" w:lineRule="auto"/>
        <w:ind w:left="407"/>
        <w:rPr>
          <w:highlight w:val="none"/>
        </w:rPr>
      </w:pPr>
      <w:r>
        <w:rPr>
          <w:spacing w:val="1"/>
          <w:highlight w:val="none"/>
        </w:rPr>
        <w:t>四、我单位具有依法缴纳税收和社会保障资金的良好</w:t>
      </w:r>
      <w:r>
        <w:rPr>
          <w:highlight w:val="none"/>
        </w:rPr>
        <w:t>记录；</w:t>
      </w:r>
    </w:p>
    <w:p w14:paraId="4BEE8790">
      <w:pPr>
        <w:pStyle w:val="2"/>
        <w:spacing w:before="156" w:line="221" w:lineRule="auto"/>
        <w:ind w:left="392"/>
        <w:rPr>
          <w:highlight w:val="none"/>
        </w:rPr>
      </w:pPr>
      <w:r>
        <w:rPr>
          <w:spacing w:val="2"/>
          <w:highlight w:val="none"/>
        </w:rPr>
        <w:t>五、我单位参加政府采购活动前三年内，在</w:t>
      </w:r>
      <w:r>
        <w:rPr>
          <w:spacing w:val="1"/>
          <w:highlight w:val="none"/>
        </w:rPr>
        <w:t>经营活动中没有重大违法记录；</w:t>
      </w:r>
    </w:p>
    <w:p w14:paraId="3C0ED0AE">
      <w:pPr>
        <w:pStyle w:val="2"/>
        <w:spacing w:before="157" w:line="221" w:lineRule="auto"/>
        <w:ind w:left="390"/>
        <w:rPr>
          <w:highlight w:val="none"/>
        </w:rPr>
      </w:pPr>
      <w:r>
        <w:rPr>
          <w:spacing w:val="1"/>
          <w:highlight w:val="none"/>
        </w:rPr>
        <w:t>六、我单位满足采购文件规定的特定条件；</w:t>
      </w:r>
    </w:p>
    <w:p w14:paraId="4E5D6136">
      <w:pPr>
        <w:pStyle w:val="2"/>
        <w:spacing w:before="157" w:line="297" w:lineRule="auto"/>
        <w:ind w:left="4" w:firstLine="384"/>
        <w:rPr>
          <w:highlight w:val="none"/>
        </w:rPr>
      </w:pPr>
      <w:r>
        <w:rPr>
          <w:spacing w:val="2"/>
          <w:highlight w:val="none"/>
        </w:rPr>
        <w:t>七、我单位不存在与单位负责人为同一人或者存在直接控股、管理关系的其他</w:t>
      </w:r>
      <w:r>
        <w:rPr>
          <w:rFonts w:hint="eastAsia"/>
          <w:spacing w:val="2"/>
          <w:highlight w:val="none"/>
          <w:lang w:eastAsia="zh-CN"/>
        </w:rPr>
        <w:t>投标人</w:t>
      </w:r>
      <w:r>
        <w:rPr>
          <w:spacing w:val="2"/>
          <w:highlight w:val="none"/>
        </w:rPr>
        <w:t>参与同</w:t>
      </w:r>
      <w:r>
        <w:rPr>
          <w:spacing w:val="1"/>
          <w:highlight w:val="none"/>
        </w:rPr>
        <w:t>一合同项下的政</w:t>
      </w:r>
      <w:r>
        <w:rPr>
          <w:highlight w:val="none"/>
        </w:rPr>
        <w:t xml:space="preserve"> 府采购活动的行为；</w:t>
      </w:r>
    </w:p>
    <w:p w14:paraId="3353C343">
      <w:pPr>
        <w:pStyle w:val="2"/>
        <w:spacing w:before="157" w:line="221" w:lineRule="auto"/>
        <w:ind w:left="392"/>
        <w:rPr>
          <w:highlight w:val="none"/>
        </w:rPr>
      </w:pPr>
      <w:r>
        <w:rPr>
          <w:spacing w:val="2"/>
          <w:highlight w:val="none"/>
        </w:rPr>
        <w:t>八、我单位不属于为本项目提供整体设计、规范编制或者项目管理、</w:t>
      </w:r>
      <w:r>
        <w:rPr>
          <w:spacing w:val="1"/>
          <w:highlight w:val="none"/>
        </w:rPr>
        <w:t>监理、检测等服务的</w:t>
      </w:r>
      <w:r>
        <w:rPr>
          <w:rFonts w:hint="eastAsia"/>
          <w:spacing w:val="1"/>
          <w:highlight w:val="none"/>
          <w:lang w:eastAsia="zh-CN"/>
        </w:rPr>
        <w:t>投标人</w:t>
      </w:r>
      <w:r>
        <w:rPr>
          <w:spacing w:val="1"/>
          <w:highlight w:val="none"/>
        </w:rPr>
        <w:t>；</w:t>
      </w:r>
    </w:p>
    <w:p w14:paraId="08BB7673">
      <w:pPr>
        <w:pStyle w:val="2"/>
        <w:spacing w:before="157" w:line="298" w:lineRule="auto"/>
        <w:ind w:left="7" w:firstLine="386"/>
        <w:rPr>
          <w:highlight w:val="none"/>
        </w:rPr>
      </w:pPr>
      <w:r>
        <w:rPr>
          <w:spacing w:val="2"/>
          <w:highlight w:val="none"/>
        </w:rPr>
        <w:t>九、我单位不存在与其他</w:t>
      </w:r>
      <w:r>
        <w:rPr>
          <w:rFonts w:hint="eastAsia"/>
          <w:spacing w:val="2"/>
          <w:highlight w:val="none"/>
          <w:lang w:eastAsia="zh-CN"/>
        </w:rPr>
        <w:t>投标人</w:t>
      </w:r>
      <w:r>
        <w:rPr>
          <w:spacing w:val="2"/>
          <w:highlight w:val="none"/>
        </w:rPr>
        <w:t>委托同一单位或者个人编制投标（响应）文件</w:t>
      </w:r>
      <w:r>
        <w:rPr>
          <w:spacing w:val="1"/>
          <w:highlight w:val="none"/>
        </w:rPr>
        <w:t>、办理投标（响应）事宜的情</w:t>
      </w:r>
      <w:r>
        <w:rPr>
          <w:highlight w:val="none"/>
        </w:rPr>
        <w:t xml:space="preserve"> </w:t>
      </w:r>
      <w:r>
        <w:rPr>
          <w:spacing w:val="-5"/>
          <w:highlight w:val="none"/>
        </w:rPr>
        <w:t>形；</w:t>
      </w:r>
    </w:p>
    <w:p w14:paraId="55A6C582">
      <w:pPr>
        <w:pStyle w:val="2"/>
        <w:spacing w:before="154" w:line="323" w:lineRule="auto"/>
        <w:ind w:left="5" w:firstLine="384"/>
        <w:rPr>
          <w:highlight w:val="none"/>
        </w:rPr>
      </w:pPr>
      <w:r>
        <w:rPr>
          <w:spacing w:val="2"/>
          <w:highlight w:val="none"/>
        </w:rPr>
        <w:t>十、如本项目采购过程中需要提供样品，我单位提供的样品即为中标（</w:t>
      </w:r>
      <w:r>
        <w:rPr>
          <w:rFonts w:hint="eastAsia"/>
          <w:spacing w:val="2"/>
          <w:highlight w:val="none"/>
          <w:lang w:eastAsia="zh-CN"/>
        </w:rPr>
        <w:t>中标</w:t>
      </w:r>
      <w:r>
        <w:rPr>
          <w:spacing w:val="2"/>
          <w:highlight w:val="none"/>
        </w:rPr>
        <w:t>）后将要提</w:t>
      </w:r>
      <w:r>
        <w:rPr>
          <w:spacing w:val="1"/>
          <w:highlight w:val="none"/>
        </w:rPr>
        <w:t>供的产品，我单位对</w:t>
      </w:r>
      <w:r>
        <w:rPr>
          <w:highlight w:val="none"/>
        </w:rPr>
        <w:t xml:space="preserve"> </w:t>
      </w:r>
      <w:r>
        <w:rPr>
          <w:spacing w:val="2"/>
          <w:highlight w:val="none"/>
        </w:rPr>
        <w:t>提供样品的性能和质量负责，因样品存在缺陷或者不符合采购文件要求导致未能中标（</w:t>
      </w:r>
      <w:r>
        <w:rPr>
          <w:rFonts w:hint="eastAsia"/>
          <w:spacing w:val="2"/>
          <w:highlight w:val="none"/>
          <w:lang w:eastAsia="zh-CN"/>
        </w:rPr>
        <w:t>中标</w:t>
      </w:r>
      <w:r>
        <w:rPr>
          <w:spacing w:val="1"/>
          <w:highlight w:val="none"/>
        </w:rPr>
        <w:t>）的，我单位愿意承</w:t>
      </w:r>
      <w:r>
        <w:rPr>
          <w:highlight w:val="none"/>
        </w:rPr>
        <w:t xml:space="preserve"> 担相应不利后果；</w:t>
      </w:r>
    </w:p>
    <w:p w14:paraId="0C5A405E">
      <w:pPr>
        <w:pStyle w:val="2"/>
        <w:spacing w:before="155" w:line="297" w:lineRule="auto"/>
        <w:ind w:left="7" w:firstLine="382"/>
        <w:rPr>
          <w:highlight w:val="none"/>
        </w:rPr>
      </w:pPr>
      <w:r>
        <w:rPr>
          <w:spacing w:val="2"/>
          <w:highlight w:val="none"/>
        </w:rPr>
        <w:t>十一、我单位一旦中标（</w:t>
      </w:r>
      <w:r>
        <w:rPr>
          <w:rFonts w:hint="eastAsia"/>
          <w:spacing w:val="2"/>
          <w:highlight w:val="none"/>
          <w:lang w:eastAsia="zh-CN"/>
        </w:rPr>
        <w:t>中标</w:t>
      </w:r>
      <w:r>
        <w:rPr>
          <w:spacing w:val="5"/>
          <w:highlight w:val="none"/>
        </w:rPr>
        <w:t>），</w:t>
      </w:r>
      <w:r>
        <w:rPr>
          <w:spacing w:val="2"/>
          <w:highlight w:val="none"/>
        </w:rPr>
        <w:t>将严格按照采购文件规定交纳代理服</w:t>
      </w:r>
      <w:r>
        <w:rPr>
          <w:spacing w:val="1"/>
          <w:highlight w:val="none"/>
        </w:rPr>
        <w:t>务费、履约保证金，在约定期限内签 订采购合同，并严格履行采购合同规定的责任和义务；</w:t>
      </w:r>
    </w:p>
    <w:p w14:paraId="359B2567">
      <w:pPr>
        <w:pStyle w:val="2"/>
        <w:spacing w:before="156" w:line="323" w:lineRule="auto"/>
        <w:ind w:left="4" w:firstLine="385"/>
        <w:rPr>
          <w:highlight w:val="none"/>
        </w:rPr>
      </w:pPr>
      <w:r>
        <w:rPr>
          <w:spacing w:val="2"/>
          <w:highlight w:val="none"/>
        </w:rPr>
        <w:t>十二、我单位在本项目使用的任何技术、产品和服务（</w:t>
      </w:r>
      <w:r>
        <w:rPr>
          <w:spacing w:val="1"/>
          <w:highlight w:val="none"/>
        </w:rPr>
        <w:t>包括部分使用</w:t>
      </w:r>
      <w:r>
        <w:rPr>
          <w:spacing w:val="8"/>
          <w:highlight w:val="none"/>
        </w:rPr>
        <w:t>），</w:t>
      </w:r>
      <w:r>
        <w:rPr>
          <w:spacing w:val="1"/>
          <w:highlight w:val="none"/>
        </w:rPr>
        <w:t>不会产生因第三方提出侵犯其专利</w:t>
      </w:r>
      <w:r>
        <w:rPr>
          <w:highlight w:val="none"/>
        </w:rPr>
        <w:t xml:space="preserve"> </w:t>
      </w:r>
      <w:r>
        <w:rPr>
          <w:spacing w:val="2"/>
          <w:highlight w:val="none"/>
        </w:rPr>
        <w:t>权、商标权或其它知识产权而引起的法律和经济纠纷，如因专利权、商标权或其它知识产权而引</w:t>
      </w:r>
      <w:r>
        <w:rPr>
          <w:spacing w:val="1"/>
          <w:highlight w:val="none"/>
        </w:rPr>
        <w:t>起法律和经济纠</w:t>
      </w:r>
      <w:r>
        <w:rPr>
          <w:highlight w:val="none"/>
        </w:rPr>
        <w:t xml:space="preserve"> </w:t>
      </w:r>
      <w:r>
        <w:rPr>
          <w:spacing w:val="1"/>
          <w:highlight w:val="none"/>
        </w:rPr>
        <w:t>纷，由我单位承担所有相关责任；</w:t>
      </w:r>
    </w:p>
    <w:p w14:paraId="1F711E15">
      <w:pPr>
        <w:pStyle w:val="2"/>
        <w:spacing w:before="156" w:line="221" w:lineRule="auto"/>
        <w:ind w:left="389"/>
        <w:rPr>
          <w:highlight w:val="none"/>
        </w:rPr>
      </w:pPr>
      <w:r>
        <w:rPr>
          <w:spacing w:val="2"/>
          <w:highlight w:val="none"/>
        </w:rPr>
        <w:t>十三、我单位为本项目实施涉及的商品包装和快递包装，均符合《商品包装政府采购需求标准（试行）》</w:t>
      </w:r>
    </w:p>
    <w:p w14:paraId="3FDDD2B9">
      <w:pPr>
        <w:pStyle w:val="2"/>
        <w:spacing w:before="157" w:line="297" w:lineRule="auto"/>
        <w:ind w:left="5" w:firstLine="1"/>
        <w:rPr>
          <w:highlight w:val="none"/>
        </w:rPr>
      </w:pPr>
      <w:r>
        <w:rPr>
          <w:spacing w:val="2"/>
          <w:highlight w:val="none"/>
        </w:rPr>
        <w:t>《快递包装政府采购需求标准（试行）》的要求，包装适应于远距离运输、防潮、防震、</w:t>
      </w:r>
      <w:r>
        <w:rPr>
          <w:spacing w:val="1"/>
          <w:highlight w:val="none"/>
        </w:rPr>
        <w:t>防锈和防野蛮装卸，以</w:t>
      </w:r>
      <w:r>
        <w:rPr>
          <w:highlight w:val="none"/>
        </w:rPr>
        <w:t xml:space="preserve"> </w:t>
      </w:r>
      <w:r>
        <w:rPr>
          <w:spacing w:val="1"/>
          <w:highlight w:val="none"/>
        </w:rPr>
        <w:t>确保货物安全无损运抵指定地点。</w:t>
      </w:r>
    </w:p>
    <w:p w14:paraId="685F86C7">
      <w:pPr>
        <w:pStyle w:val="2"/>
        <w:spacing w:before="157" w:line="221" w:lineRule="auto"/>
        <w:ind w:left="389"/>
        <w:rPr>
          <w:highlight w:val="none"/>
        </w:rPr>
      </w:pPr>
      <w:r>
        <w:rPr>
          <w:spacing w:val="1"/>
          <w:highlight w:val="none"/>
        </w:rPr>
        <w:t>十四、我单位完全接受和理解本项目采购文件规定的实质性要求；</w:t>
      </w:r>
    </w:p>
    <w:p w14:paraId="423D3E40">
      <w:pPr>
        <w:pStyle w:val="2"/>
        <w:spacing w:before="157" w:line="221" w:lineRule="auto"/>
        <w:ind w:left="389"/>
        <w:rPr>
          <w:highlight w:val="none"/>
        </w:rPr>
      </w:pPr>
      <w:r>
        <w:rPr>
          <w:highlight w:val="none"/>
        </w:rPr>
        <w:t>十五、我单位承诺，响应有效期为提交响应文件截止之日起</w:t>
      </w:r>
      <w:r>
        <w:rPr>
          <w:spacing w:val="106"/>
          <w:highlight w:val="none"/>
          <w:u w:val="single" w:color="222222"/>
        </w:rPr>
        <w:t xml:space="preserve"> </w:t>
      </w:r>
      <w:r>
        <w:rPr>
          <w:highlight w:val="none"/>
          <w:u w:val="single" w:color="222222"/>
        </w:rPr>
        <w:t>{投标（响应）有效期天数}</w:t>
      </w:r>
      <w:r>
        <w:rPr>
          <w:spacing w:val="61"/>
          <w:highlight w:val="none"/>
          <w:u w:val="single" w:color="222222"/>
        </w:rPr>
        <w:t xml:space="preserve"> </w:t>
      </w:r>
      <w:r>
        <w:rPr>
          <w:highlight w:val="none"/>
        </w:rPr>
        <w:t>天；</w:t>
      </w:r>
    </w:p>
    <w:p w14:paraId="5A57ACC3">
      <w:pPr>
        <w:pStyle w:val="2"/>
        <w:spacing w:before="157" w:line="373" w:lineRule="auto"/>
        <w:ind w:left="5" w:right="12" w:firstLine="383"/>
        <w:rPr>
          <w:highlight w:val="none"/>
        </w:rPr>
      </w:pPr>
      <w:r>
        <w:rPr>
          <w:spacing w:val="2"/>
          <w:highlight w:val="none"/>
        </w:rPr>
        <w:t>根据采购文件规定，以上承诺事项如需提供相关证明材料的，</w:t>
      </w:r>
      <w:r>
        <w:rPr>
          <w:spacing w:val="1"/>
          <w:highlight w:val="none"/>
        </w:rPr>
        <w:t>以投标（响应）文件中提供的证明材料为准。</w:t>
      </w:r>
      <w:r>
        <w:rPr>
          <w:highlight w:val="none"/>
        </w:rPr>
        <w:t xml:space="preserve"> </w:t>
      </w:r>
      <w:r>
        <w:rPr>
          <w:spacing w:val="2"/>
          <w:highlight w:val="none"/>
        </w:rPr>
        <w:t>本函发出后，即对我单位产生约束力，我单位保证严格遵守本响</w:t>
      </w:r>
      <w:r>
        <w:rPr>
          <w:spacing w:val="1"/>
          <w:highlight w:val="none"/>
        </w:rPr>
        <w:t>应函的各项承诺，并对本次提交的投标（响应）</w:t>
      </w:r>
      <w:r>
        <w:rPr>
          <w:highlight w:val="none"/>
        </w:rPr>
        <w:t xml:space="preserve"> </w:t>
      </w:r>
      <w:r>
        <w:rPr>
          <w:spacing w:val="2"/>
          <w:highlight w:val="none"/>
        </w:rPr>
        <w:t>文件全部内容真实性负责。如经查实上述承诺的内容事项存在虚</w:t>
      </w:r>
      <w:r>
        <w:rPr>
          <w:spacing w:val="1"/>
          <w:highlight w:val="none"/>
        </w:rPr>
        <w:t>假，我单位愿意接受以提供虚假材料谋取入围、</w:t>
      </w:r>
      <w:r>
        <w:rPr>
          <w:highlight w:val="none"/>
        </w:rPr>
        <w:t xml:space="preserve"> </w:t>
      </w:r>
      <w:r>
        <w:rPr>
          <w:rFonts w:hint="eastAsia"/>
          <w:highlight w:val="none"/>
          <w:lang w:eastAsia="zh-CN"/>
        </w:rPr>
        <w:t>中标</w:t>
      </w:r>
      <w:r>
        <w:rPr>
          <w:highlight w:val="none"/>
        </w:rPr>
        <w:t>的法律责任。</w:t>
      </w:r>
    </w:p>
    <w:p w14:paraId="10D51FAD">
      <w:pPr>
        <w:pStyle w:val="2"/>
        <w:spacing w:before="1" w:line="221" w:lineRule="auto"/>
        <w:ind w:left="389"/>
        <w:rPr>
          <w:highlight w:val="none"/>
        </w:rPr>
      </w:pPr>
      <w:r>
        <w:rPr>
          <w:spacing w:val="-1"/>
          <w:highlight w:val="none"/>
        </w:rPr>
        <w:t>特此声明。</w:t>
      </w:r>
    </w:p>
    <w:p w14:paraId="563FCFF1">
      <w:pPr>
        <w:spacing w:line="249" w:lineRule="auto"/>
        <w:rPr>
          <w:rFonts w:ascii="Arial"/>
          <w:sz w:val="21"/>
          <w:highlight w:val="none"/>
        </w:rPr>
      </w:pPr>
    </w:p>
    <w:p w14:paraId="7F3A0F4B">
      <w:pPr>
        <w:pStyle w:val="2"/>
        <w:spacing w:before="65" w:line="423" w:lineRule="auto"/>
        <w:ind w:right="13"/>
        <w:jc w:val="right"/>
        <w:rPr>
          <w:spacing w:val="-1"/>
          <w:sz w:val="20"/>
          <w:szCs w:val="20"/>
          <w:highlight w:val="none"/>
        </w:rPr>
      </w:pPr>
      <w:r>
        <w:rPr>
          <w:rFonts w:hint="eastAsia"/>
          <w:spacing w:val="-1"/>
          <w:sz w:val="20"/>
          <w:szCs w:val="20"/>
          <w:highlight w:val="none"/>
          <w:lang w:eastAsia="zh-CN"/>
        </w:rPr>
        <w:t>投标人</w:t>
      </w:r>
      <w:r>
        <w:rPr>
          <w:spacing w:val="-1"/>
          <w:sz w:val="20"/>
          <w:szCs w:val="20"/>
          <w:highlight w:val="none"/>
        </w:rPr>
        <w:t>名称：</w:t>
      </w:r>
      <w:r>
        <w:rPr>
          <w:spacing w:val="100"/>
          <w:sz w:val="20"/>
          <w:szCs w:val="20"/>
          <w:highlight w:val="none"/>
          <w:u w:val="single" w:color="222222"/>
        </w:rPr>
        <w:t xml:space="preserve"> </w:t>
      </w:r>
      <w:r>
        <w:rPr>
          <w:spacing w:val="-1"/>
          <w:sz w:val="20"/>
          <w:szCs w:val="20"/>
          <w:highlight w:val="none"/>
          <w:u w:val="single" w:color="222222"/>
        </w:rPr>
        <w:t>{</w:t>
      </w:r>
      <w:r>
        <w:rPr>
          <w:rFonts w:hint="eastAsia"/>
          <w:spacing w:val="-1"/>
          <w:sz w:val="20"/>
          <w:szCs w:val="20"/>
          <w:highlight w:val="none"/>
          <w:u w:val="single" w:color="222222"/>
          <w:lang w:eastAsia="zh-CN"/>
        </w:rPr>
        <w:t>投标人</w:t>
      </w:r>
      <w:r>
        <w:rPr>
          <w:spacing w:val="-1"/>
          <w:sz w:val="20"/>
          <w:szCs w:val="20"/>
          <w:highlight w:val="none"/>
          <w:u w:val="single" w:color="222222"/>
        </w:rPr>
        <w:t>名称}</w:t>
      </w:r>
      <w:r>
        <w:rPr>
          <w:spacing w:val="57"/>
          <w:sz w:val="20"/>
          <w:szCs w:val="20"/>
          <w:highlight w:val="none"/>
          <w:u w:val="single" w:color="222222"/>
        </w:rPr>
        <w:t xml:space="preserve"> </w:t>
      </w:r>
      <w:r>
        <w:rPr>
          <w:spacing w:val="-1"/>
          <w:sz w:val="20"/>
          <w:szCs w:val="20"/>
          <w:highlight w:val="none"/>
        </w:rPr>
        <w:t>（签章）</w:t>
      </w:r>
    </w:p>
    <w:p w14:paraId="63FB3597">
      <w:pPr>
        <w:pStyle w:val="2"/>
        <w:spacing w:before="65" w:line="423" w:lineRule="auto"/>
        <w:ind w:right="13"/>
        <w:jc w:val="right"/>
        <w:rPr>
          <w:spacing w:val="-8"/>
          <w:sz w:val="20"/>
          <w:szCs w:val="20"/>
          <w:highlight w:val="none"/>
        </w:rPr>
      </w:pPr>
      <w:r>
        <w:rPr>
          <w:sz w:val="20"/>
          <w:szCs w:val="20"/>
          <w:highlight w:val="none"/>
        </w:rPr>
        <w:t xml:space="preserve"> </w:t>
      </w:r>
      <w:r>
        <w:rPr>
          <w:spacing w:val="-8"/>
          <w:sz w:val="20"/>
          <w:szCs w:val="20"/>
          <w:highlight w:val="none"/>
        </w:rPr>
        <w:t>日</w:t>
      </w:r>
      <w:r>
        <w:rPr>
          <w:spacing w:val="21"/>
          <w:sz w:val="20"/>
          <w:szCs w:val="20"/>
          <w:highlight w:val="none"/>
        </w:rPr>
        <w:t xml:space="preserve"> </w:t>
      </w:r>
      <w:r>
        <w:rPr>
          <w:spacing w:val="-8"/>
          <w:sz w:val="20"/>
          <w:szCs w:val="20"/>
          <w:highlight w:val="none"/>
        </w:rPr>
        <w:t>期:</w:t>
      </w:r>
      <w:r>
        <w:rPr>
          <w:spacing w:val="46"/>
          <w:sz w:val="20"/>
          <w:szCs w:val="20"/>
          <w:highlight w:val="none"/>
        </w:rPr>
        <w:t xml:space="preserve"> </w:t>
      </w:r>
      <w:r>
        <w:rPr>
          <w:spacing w:val="-8"/>
          <w:sz w:val="20"/>
          <w:szCs w:val="20"/>
          <w:highlight w:val="none"/>
        </w:rPr>
        <w:t>{当前日期}</w:t>
      </w:r>
    </w:p>
    <w:p w14:paraId="619208ED">
      <w:pPr>
        <w:pStyle w:val="2"/>
        <w:spacing w:before="65" w:line="423" w:lineRule="auto"/>
        <w:ind w:right="13"/>
        <w:rPr>
          <w:highlight w:val="none"/>
        </w:rPr>
      </w:pPr>
      <w:r>
        <w:rPr>
          <w:spacing w:val="-3"/>
          <w:highlight w:val="none"/>
        </w:rPr>
        <w:t>说明：</w:t>
      </w:r>
    </w:p>
    <w:p w14:paraId="682E1880">
      <w:pPr>
        <w:pStyle w:val="2"/>
        <w:spacing w:before="157" w:line="335" w:lineRule="auto"/>
        <w:ind w:firstLine="12"/>
        <w:rPr>
          <w:highlight w:val="none"/>
        </w:rPr>
      </w:pPr>
      <w:r>
        <w:rPr>
          <w:spacing w:val="2"/>
          <w:highlight w:val="none"/>
        </w:rPr>
        <w:t>1.重大违法记录，是指</w:t>
      </w:r>
      <w:r>
        <w:rPr>
          <w:rFonts w:hint="eastAsia"/>
          <w:spacing w:val="2"/>
          <w:highlight w:val="none"/>
          <w:lang w:eastAsia="zh-CN"/>
        </w:rPr>
        <w:t>投标人</w:t>
      </w:r>
      <w:r>
        <w:rPr>
          <w:spacing w:val="2"/>
          <w:highlight w:val="none"/>
        </w:rPr>
        <w:t>因违法经营受到刑事处罚或</w:t>
      </w:r>
      <w:r>
        <w:rPr>
          <w:spacing w:val="1"/>
          <w:highlight w:val="none"/>
        </w:rPr>
        <w:t>者责令停产停业、吊销许可证或者执照、较大数额罚款</w:t>
      </w:r>
      <w:r>
        <w:rPr>
          <w:highlight w:val="none"/>
        </w:rPr>
        <w:t xml:space="preserve"> </w:t>
      </w:r>
      <w:r>
        <w:rPr>
          <w:spacing w:val="1"/>
          <w:highlight w:val="none"/>
        </w:rPr>
        <w:t>等行政处罚。根据《财政部关于&lt;中华人民共和国政府采购法实施条例&gt;第十九条第一款“较大数额罚款</w:t>
      </w:r>
      <w:r>
        <w:rPr>
          <w:spacing w:val="-56"/>
          <w:highlight w:val="none"/>
        </w:rPr>
        <w:t xml:space="preserve"> </w:t>
      </w:r>
      <w:r>
        <w:rPr>
          <w:spacing w:val="1"/>
          <w:highlight w:val="none"/>
        </w:rPr>
        <w:t>”具体适</w:t>
      </w:r>
      <w:r>
        <w:rPr>
          <w:highlight w:val="none"/>
        </w:rPr>
        <w:t xml:space="preserve"> </w:t>
      </w:r>
      <w:r>
        <w:rPr>
          <w:spacing w:val="1"/>
          <w:highlight w:val="none"/>
        </w:rPr>
        <w:t>用问题的意见》（财库〔2022〕3号）规定，“较大数额罚款</w:t>
      </w:r>
      <w:r>
        <w:rPr>
          <w:spacing w:val="-59"/>
          <w:highlight w:val="none"/>
        </w:rPr>
        <w:t xml:space="preserve"> </w:t>
      </w:r>
      <w:r>
        <w:rPr>
          <w:spacing w:val="1"/>
          <w:highlight w:val="none"/>
        </w:rPr>
        <w:t>”认定为200万元以上的罚款，法律、行政法规以及</w:t>
      </w:r>
      <w:r>
        <w:rPr>
          <w:highlight w:val="none"/>
        </w:rPr>
        <w:t xml:space="preserve"> </w:t>
      </w:r>
      <w:r>
        <w:rPr>
          <w:spacing w:val="1"/>
          <w:highlight w:val="none"/>
        </w:rPr>
        <w:t>国务院有关部门明确规定相关领域“较大数额罚款</w:t>
      </w:r>
      <w:r>
        <w:rPr>
          <w:spacing w:val="-68"/>
          <w:highlight w:val="none"/>
        </w:rPr>
        <w:t xml:space="preserve"> </w:t>
      </w:r>
      <w:r>
        <w:rPr>
          <w:spacing w:val="1"/>
          <w:highlight w:val="none"/>
        </w:rPr>
        <w:t>”标准高于200万元的，从其</w:t>
      </w:r>
      <w:r>
        <w:rPr>
          <w:highlight w:val="none"/>
        </w:rPr>
        <w:t>规定。</w:t>
      </w:r>
    </w:p>
    <w:p w14:paraId="01EDC203">
      <w:pPr>
        <w:pStyle w:val="2"/>
        <w:spacing w:before="156" w:line="297" w:lineRule="auto"/>
        <w:ind w:firstLine="1"/>
        <w:rPr>
          <w:spacing w:val="-1"/>
          <w:highlight w:val="none"/>
        </w:rPr>
      </w:pPr>
      <w:r>
        <w:rPr>
          <w:spacing w:val="2"/>
          <w:highlight w:val="none"/>
        </w:rPr>
        <w:t>2.需</w:t>
      </w:r>
      <w:r>
        <w:rPr>
          <w:rFonts w:hint="eastAsia"/>
          <w:spacing w:val="2"/>
          <w:highlight w:val="none"/>
          <w:lang w:eastAsia="zh-CN"/>
        </w:rPr>
        <w:t>投标人</w:t>
      </w:r>
      <w:r>
        <w:rPr>
          <w:spacing w:val="2"/>
          <w:highlight w:val="none"/>
        </w:rPr>
        <w:t>提供的财务状况证明、履行合同所必需的设备和专业技术能力等证明材料</w:t>
      </w:r>
      <w:r>
        <w:rPr>
          <w:spacing w:val="1"/>
          <w:highlight w:val="none"/>
        </w:rPr>
        <w:t>的，按照本项目采购文件的</w:t>
      </w:r>
      <w:r>
        <w:rPr>
          <w:highlight w:val="none"/>
        </w:rPr>
        <w:t xml:space="preserve"> </w:t>
      </w:r>
      <w:r>
        <w:rPr>
          <w:spacing w:val="-1"/>
          <w:highlight w:val="none"/>
        </w:rPr>
        <w:t>规定提供。</w:t>
      </w:r>
    </w:p>
    <w:p w14:paraId="6A44F250">
      <w:pPr>
        <w:rPr>
          <w:spacing w:val="-1"/>
          <w:highlight w:val="none"/>
        </w:rPr>
      </w:pPr>
      <w:r>
        <w:rPr>
          <w:spacing w:val="-1"/>
          <w:highlight w:val="none"/>
        </w:rPr>
        <w:br w:type="page"/>
      </w:r>
    </w:p>
    <w:p w14:paraId="6D49D007">
      <w:pPr>
        <w:pStyle w:val="2"/>
        <w:spacing w:before="76" w:line="220" w:lineRule="auto"/>
        <w:ind w:left="4132"/>
        <w:outlineLvl w:val="0"/>
        <w:rPr>
          <w:sz w:val="38"/>
          <w:szCs w:val="38"/>
          <w:highlight w:val="none"/>
        </w:rPr>
      </w:pPr>
      <w:r>
        <w:rPr>
          <w:spacing w:val="-1"/>
          <w:sz w:val="38"/>
          <w:szCs w:val="38"/>
          <w:highlight w:val="none"/>
        </w:rPr>
        <w:t>报价函</w:t>
      </w:r>
    </w:p>
    <w:p w14:paraId="7974F23D">
      <w:pPr>
        <w:pStyle w:val="2"/>
        <w:tabs>
          <w:tab w:val="left" w:pos="182"/>
        </w:tabs>
        <w:spacing w:before="267" w:line="224" w:lineRule="auto"/>
        <w:rPr>
          <w:sz w:val="21"/>
          <w:szCs w:val="21"/>
          <w:highlight w:val="none"/>
        </w:rPr>
      </w:pPr>
      <w:r>
        <w:rPr>
          <w:sz w:val="21"/>
          <w:szCs w:val="21"/>
          <w:highlight w:val="none"/>
          <w:u w:val="single" w:color="222222"/>
        </w:rPr>
        <w:tab/>
      </w:r>
      <w:r>
        <w:rPr>
          <w:spacing w:val="-1"/>
          <w:sz w:val="21"/>
          <w:szCs w:val="21"/>
          <w:highlight w:val="none"/>
          <w:u w:val="single" w:color="222222"/>
        </w:rPr>
        <w:t>{代理机构名称}</w:t>
      </w:r>
      <w:r>
        <w:rPr>
          <w:spacing w:val="45"/>
          <w:sz w:val="21"/>
          <w:szCs w:val="21"/>
          <w:highlight w:val="none"/>
          <w:u w:val="single" w:color="222222"/>
        </w:rPr>
        <w:t xml:space="preserve"> </w:t>
      </w:r>
      <w:r>
        <w:rPr>
          <w:spacing w:val="-1"/>
          <w:sz w:val="21"/>
          <w:szCs w:val="21"/>
          <w:highlight w:val="none"/>
        </w:rPr>
        <w:t>：</w:t>
      </w:r>
    </w:p>
    <w:p w14:paraId="58F1BF2D">
      <w:pPr>
        <w:spacing w:line="243" w:lineRule="auto"/>
        <w:rPr>
          <w:rFonts w:ascii="Arial"/>
          <w:sz w:val="21"/>
          <w:highlight w:val="none"/>
        </w:rPr>
      </w:pPr>
    </w:p>
    <w:p w14:paraId="4073F642">
      <w:pPr>
        <w:pStyle w:val="2"/>
        <w:spacing w:before="62" w:line="297" w:lineRule="auto"/>
        <w:ind w:left="8" w:right="82" w:firstLine="397"/>
        <w:rPr>
          <w:highlight w:val="none"/>
        </w:rPr>
      </w:pPr>
      <w:r>
        <w:rPr>
          <w:highlight w:val="none"/>
        </w:rPr>
        <w:t>1．我方已仔细研究了{项目名称}</w:t>
      </w:r>
      <w:r>
        <w:rPr>
          <w:rFonts w:hint="eastAsia"/>
          <w:highlight w:val="none"/>
          <w:lang w:eastAsia="zh-CN"/>
        </w:rPr>
        <w:t>招标文件</w:t>
      </w:r>
      <w:r>
        <w:rPr>
          <w:highlight w:val="none"/>
        </w:rPr>
        <w:t>的全部内容，愿意以人民币</w:t>
      </w:r>
      <w:r>
        <w:rPr>
          <w:spacing w:val="-81"/>
          <w:highlight w:val="none"/>
        </w:rPr>
        <w:t xml:space="preserve"> </w:t>
      </w:r>
      <w:r>
        <w:rPr>
          <w:spacing w:val="1"/>
          <w:highlight w:val="none"/>
          <w:u w:val="single" w:color="222222"/>
        </w:rPr>
        <w:t xml:space="preserve">   </w:t>
      </w:r>
      <w:r>
        <w:rPr>
          <w:spacing w:val="-86"/>
          <w:highlight w:val="none"/>
        </w:rPr>
        <w:t xml:space="preserve"> </w:t>
      </w:r>
      <w:r>
        <w:rPr>
          <w:highlight w:val="none"/>
        </w:rPr>
        <w:t>元的总报价，工期</w:t>
      </w:r>
      <w:r>
        <w:rPr>
          <w:spacing w:val="-94"/>
          <w:highlight w:val="none"/>
        </w:rPr>
        <w:t xml:space="preserve"> </w:t>
      </w:r>
      <w:r>
        <w:rPr>
          <w:spacing w:val="1"/>
          <w:highlight w:val="none"/>
          <w:u w:val="single" w:color="222222"/>
        </w:rPr>
        <w:t xml:space="preserve">   </w:t>
      </w:r>
      <w:r>
        <w:rPr>
          <w:spacing w:val="-54"/>
          <w:highlight w:val="none"/>
        </w:rPr>
        <w:t xml:space="preserve"> </w:t>
      </w:r>
      <w:r>
        <w:rPr>
          <w:highlight w:val="none"/>
        </w:rPr>
        <w:t xml:space="preserve">日历天，按 </w:t>
      </w:r>
      <w:r>
        <w:rPr>
          <w:spacing w:val="2"/>
          <w:highlight w:val="none"/>
        </w:rPr>
        <w:t>合同约定实施和完成承包工程，修补工程中的任何缺陷，工程</w:t>
      </w:r>
      <w:r>
        <w:rPr>
          <w:spacing w:val="1"/>
          <w:highlight w:val="none"/>
        </w:rPr>
        <w:t>质量达到规定要求标准。</w:t>
      </w:r>
    </w:p>
    <w:p w14:paraId="7DEC9A3A">
      <w:pPr>
        <w:pStyle w:val="2"/>
        <w:spacing w:before="156" w:line="222" w:lineRule="auto"/>
        <w:ind w:left="393"/>
        <w:rPr>
          <w:highlight w:val="none"/>
        </w:rPr>
      </w:pPr>
      <w:r>
        <w:rPr>
          <w:highlight w:val="none"/>
        </w:rPr>
        <w:t>2．如我方</w:t>
      </w:r>
      <w:r>
        <w:rPr>
          <w:rFonts w:hint="eastAsia"/>
          <w:highlight w:val="none"/>
          <w:lang w:eastAsia="zh-CN"/>
        </w:rPr>
        <w:t>中标</w:t>
      </w:r>
      <w:r>
        <w:rPr>
          <w:highlight w:val="none"/>
        </w:rPr>
        <w:t>：</w:t>
      </w:r>
    </w:p>
    <w:p w14:paraId="10E7EB08">
      <w:pPr>
        <w:pStyle w:val="2"/>
        <w:spacing w:before="155" w:line="221" w:lineRule="auto"/>
        <w:ind w:left="397"/>
        <w:rPr>
          <w:highlight w:val="none"/>
        </w:rPr>
      </w:pPr>
      <w:r>
        <w:rPr>
          <w:spacing w:val="1"/>
          <w:highlight w:val="none"/>
        </w:rPr>
        <w:t>（1）我方承诺在收到</w:t>
      </w:r>
      <w:r>
        <w:rPr>
          <w:rFonts w:hint="eastAsia"/>
          <w:spacing w:val="1"/>
          <w:highlight w:val="none"/>
          <w:lang w:eastAsia="zh-CN"/>
        </w:rPr>
        <w:t>中标</w:t>
      </w:r>
      <w:r>
        <w:rPr>
          <w:spacing w:val="1"/>
          <w:highlight w:val="none"/>
        </w:rPr>
        <w:t>通知书后，在规定的期限内与采购人签订合同。</w:t>
      </w:r>
    </w:p>
    <w:p w14:paraId="0A1D5AE2">
      <w:pPr>
        <w:pStyle w:val="2"/>
        <w:spacing w:before="156" w:line="221" w:lineRule="auto"/>
        <w:ind w:left="397"/>
        <w:rPr>
          <w:highlight w:val="none"/>
        </w:rPr>
      </w:pPr>
      <w:r>
        <w:rPr>
          <w:spacing w:val="1"/>
          <w:highlight w:val="none"/>
        </w:rPr>
        <w:t>（2）我方承诺按照</w:t>
      </w:r>
      <w:r>
        <w:rPr>
          <w:rFonts w:hint="eastAsia"/>
          <w:spacing w:val="1"/>
          <w:highlight w:val="none"/>
          <w:lang w:eastAsia="zh-CN"/>
        </w:rPr>
        <w:t>招标文件</w:t>
      </w:r>
      <w:r>
        <w:rPr>
          <w:spacing w:val="1"/>
          <w:highlight w:val="none"/>
        </w:rPr>
        <w:t>规定的金额和方式向采购人缴纳履约保证金。</w:t>
      </w:r>
    </w:p>
    <w:p w14:paraId="400F2A0C">
      <w:pPr>
        <w:pStyle w:val="2"/>
        <w:spacing w:before="157" w:line="221" w:lineRule="auto"/>
        <w:ind w:left="397"/>
        <w:rPr>
          <w:highlight w:val="none"/>
        </w:rPr>
      </w:pPr>
      <w:r>
        <w:rPr>
          <w:spacing w:val="1"/>
          <w:highlight w:val="none"/>
        </w:rPr>
        <w:t>（3）我方将严格履行政府采购合同约定的责任和义务。</w:t>
      </w:r>
    </w:p>
    <w:p w14:paraId="4458D4F5">
      <w:pPr>
        <w:pStyle w:val="2"/>
        <w:spacing w:before="157" w:line="297" w:lineRule="auto"/>
        <w:ind w:left="9" w:right="82" w:firstLine="388"/>
        <w:rPr>
          <w:highlight w:val="none"/>
        </w:rPr>
      </w:pPr>
      <w:r>
        <w:rPr>
          <w:spacing w:val="2"/>
          <w:highlight w:val="none"/>
        </w:rPr>
        <w:t>（4）我方愿意提供贵单位可能另外要求的，与磋商报价有关的文件资料</w:t>
      </w:r>
      <w:r>
        <w:rPr>
          <w:spacing w:val="1"/>
          <w:highlight w:val="none"/>
        </w:rPr>
        <w:t>，并保证我方已提供和将要提供的</w:t>
      </w:r>
      <w:r>
        <w:rPr>
          <w:highlight w:val="none"/>
        </w:rPr>
        <w:t xml:space="preserve"> </w:t>
      </w:r>
      <w:r>
        <w:rPr>
          <w:spacing w:val="1"/>
          <w:highlight w:val="none"/>
        </w:rPr>
        <w:t>文件资料是真实、准确的。</w:t>
      </w:r>
    </w:p>
    <w:p w14:paraId="60E7A3C7">
      <w:pPr>
        <w:pStyle w:val="2"/>
        <w:spacing w:before="157" w:line="297" w:lineRule="auto"/>
        <w:ind w:left="5" w:right="82" w:firstLine="391"/>
        <w:rPr>
          <w:highlight w:val="none"/>
        </w:rPr>
      </w:pPr>
      <w:r>
        <w:rPr>
          <w:spacing w:val="2"/>
          <w:highlight w:val="none"/>
        </w:rPr>
        <w:t>（5）我方自愿按照</w:t>
      </w:r>
      <w:r>
        <w:rPr>
          <w:rFonts w:hint="eastAsia"/>
          <w:spacing w:val="2"/>
          <w:highlight w:val="none"/>
          <w:lang w:eastAsia="zh-CN"/>
        </w:rPr>
        <w:t>招标文件</w:t>
      </w:r>
      <w:r>
        <w:rPr>
          <w:spacing w:val="2"/>
          <w:highlight w:val="none"/>
        </w:rPr>
        <w:t>规定的各项要求完成工程建设项目，最后报</w:t>
      </w:r>
      <w:r>
        <w:rPr>
          <w:spacing w:val="1"/>
          <w:highlight w:val="none"/>
        </w:rPr>
        <w:t>价以《最后报价表》为准，接受采</w:t>
      </w:r>
      <w:r>
        <w:rPr>
          <w:highlight w:val="none"/>
        </w:rPr>
        <w:t xml:space="preserve"> </w:t>
      </w:r>
      <w:r>
        <w:rPr>
          <w:spacing w:val="1"/>
          <w:highlight w:val="none"/>
        </w:rPr>
        <w:t>购人按照政府采购合同约定金额支付采购资金。</w:t>
      </w:r>
    </w:p>
    <w:p w14:paraId="5E96AC23">
      <w:pPr>
        <w:spacing w:line="250" w:lineRule="auto"/>
        <w:rPr>
          <w:rFonts w:ascii="Arial"/>
          <w:sz w:val="21"/>
          <w:highlight w:val="none"/>
        </w:rPr>
      </w:pPr>
    </w:p>
    <w:p w14:paraId="709EBA79">
      <w:pPr>
        <w:spacing w:line="250" w:lineRule="auto"/>
        <w:rPr>
          <w:rFonts w:ascii="Arial"/>
          <w:sz w:val="21"/>
          <w:highlight w:val="none"/>
        </w:rPr>
      </w:pPr>
    </w:p>
    <w:p w14:paraId="2E79ACB1">
      <w:pPr>
        <w:spacing w:line="250" w:lineRule="auto"/>
        <w:rPr>
          <w:rFonts w:ascii="Arial"/>
          <w:sz w:val="21"/>
          <w:highlight w:val="none"/>
        </w:rPr>
      </w:pPr>
    </w:p>
    <w:p w14:paraId="3E616901">
      <w:pPr>
        <w:spacing w:line="250" w:lineRule="auto"/>
        <w:rPr>
          <w:rFonts w:ascii="Arial"/>
          <w:sz w:val="21"/>
          <w:highlight w:val="none"/>
        </w:rPr>
      </w:pPr>
    </w:p>
    <w:p w14:paraId="5D3C1534">
      <w:pPr>
        <w:pStyle w:val="2"/>
        <w:spacing w:before="65" w:line="222" w:lineRule="auto"/>
        <w:jc w:val="right"/>
        <w:rPr>
          <w:sz w:val="20"/>
          <w:szCs w:val="20"/>
          <w:highlight w:val="none"/>
        </w:rPr>
      </w:pPr>
      <w:r>
        <w:rPr>
          <w:rFonts w:hint="eastAsia"/>
          <w:sz w:val="20"/>
          <w:szCs w:val="20"/>
          <w:highlight w:val="none"/>
          <w:lang w:eastAsia="zh-CN"/>
        </w:rPr>
        <w:t>投标人</w:t>
      </w:r>
      <w:r>
        <w:rPr>
          <w:sz w:val="20"/>
          <w:szCs w:val="20"/>
          <w:highlight w:val="none"/>
        </w:rPr>
        <w:t>名称：</w:t>
      </w:r>
      <w:r>
        <w:rPr>
          <w:spacing w:val="91"/>
          <w:sz w:val="20"/>
          <w:szCs w:val="20"/>
          <w:highlight w:val="none"/>
          <w:u w:val="single" w:color="222222"/>
        </w:rPr>
        <w:t xml:space="preserve"> </w:t>
      </w:r>
      <w:r>
        <w:rPr>
          <w:sz w:val="20"/>
          <w:szCs w:val="20"/>
          <w:highlight w:val="none"/>
          <w:u w:val="single" w:color="222222"/>
        </w:rPr>
        <w:t>{</w:t>
      </w:r>
      <w:r>
        <w:rPr>
          <w:rFonts w:hint="eastAsia"/>
          <w:sz w:val="20"/>
          <w:szCs w:val="20"/>
          <w:highlight w:val="none"/>
          <w:u w:val="single" w:color="222222"/>
          <w:lang w:eastAsia="zh-CN"/>
        </w:rPr>
        <w:t>投标人</w:t>
      </w:r>
      <w:r>
        <w:rPr>
          <w:sz w:val="20"/>
          <w:szCs w:val="20"/>
          <w:highlight w:val="none"/>
          <w:u w:val="single" w:color="222222"/>
        </w:rPr>
        <w:t>名称}</w:t>
      </w:r>
      <w:r>
        <w:rPr>
          <w:spacing w:val="57"/>
          <w:sz w:val="20"/>
          <w:szCs w:val="20"/>
          <w:highlight w:val="none"/>
          <w:u w:val="single" w:color="222222"/>
        </w:rPr>
        <w:t xml:space="preserve"> </w:t>
      </w:r>
      <w:r>
        <w:rPr>
          <w:sz w:val="20"/>
          <w:szCs w:val="20"/>
          <w:highlight w:val="none"/>
        </w:rPr>
        <w:t>（加盖公章）</w:t>
      </w:r>
    </w:p>
    <w:p w14:paraId="0AB76BCD">
      <w:pPr>
        <w:pStyle w:val="2"/>
        <w:spacing w:before="215" w:line="230" w:lineRule="auto"/>
        <w:ind w:left="5445"/>
        <w:rPr>
          <w:sz w:val="20"/>
          <w:szCs w:val="20"/>
          <w:highlight w:val="none"/>
        </w:rPr>
      </w:pPr>
      <w:r>
        <w:rPr>
          <w:sz w:val="20"/>
          <w:szCs w:val="20"/>
          <w:highlight w:val="none"/>
        </w:rPr>
        <w:t>通讯地址：</w:t>
      </w:r>
      <w:r>
        <w:rPr>
          <w:sz w:val="20"/>
          <w:szCs w:val="20"/>
          <w:highlight w:val="none"/>
          <w:u w:val="single" w:color="222222"/>
        </w:rPr>
        <w:t xml:space="preserve">            </w:t>
      </w:r>
    </w:p>
    <w:p w14:paraId="791591D9">
      <w:pPr>
        <w:pStyle w:val="2"/>
        <w:spacing w:before="219" w:line="223" w:lineRule="auto"/>
        <w:ind w:left="5460"/>
        <w:rPr>
          <w:sz w:val="20"/>
          <w:szCs w:val="20"/>
          <w:highlight w:val="none"/>
        </w:rPr>
      </w:pPr>
      <w:r>
        <w:rPr>
          <w:spacing w:val="-2"/>
          <w:sz w:val="20"/>
          <w:szCs w:val="20"/>
          <w:highlight w:val="none"/>
        </w:rPr>
        <w:t>邮政编码：</w:t>
      </w:r>
      <w:r>
        <w:rPr>
          <w:spacing w:val="-2"/>
          <w:sz w:val="20"/>
          <w:szCs w:val="20"/>
          <w:highlight w:val="none"/>
          <w:u w:val="single" w:color="222222"/>
        </w:rPr>
        <w:t xml:space="preserve">   </w:t>
      </w:r>
    </w:p>
    <w:p w14:paraId="6252BFAD">
      <w:pPr>
        <w:pStyle w:val="2"/>
        <w:spacing w:before="215" w:line="225" w:lineRule="auto"/>
        <w:ind w:left="5446"/>
        <w:rPr>
          <w:sz w:val="20"/>
          <w:szCs w:val="20"/>
          <w:highlight w:val="none"/>
        </w:rPr>
      </w:pPr>
      <w:r>
        <w:rPr>
          <w:spacing w:val="2"/>
          <w:sz w:val="20"/>
          <w:szCs w:val="20"/>
          <w:highlight w:val="none"/>
        </w:rPr>
        <w:t>联系电话：</w:t>
      </w:r>
      <w:r>
        <w:rPr>
          <w:sz w:val="20"/>
          <w:szCs w:val="20"/>
          <w:highlight w:val="none"/>
          <w:u w:val="single" w:color="222222"/>
        </w:rPr>
        <w:t xml:space="preserve">   </w:t>
      </w:r>
    </w:p>
    <w:p w14:paraId="2149F72A">
      <w:pPr>
        <w:pStyle w:val="2"/>
        <w:spacing w:before="212" w:line="222" w:lineRule="auto"/>
        <w:ind w:left="5443"/>
        <w:rPr>
          <w:sz w:val="20"/>
          <w:szCs w:val="20"/>
          <w:highlight w:val="none"/>
        </w:rPr>
      </w:pPr>
      <w:r>
        <w:rPr>
          <w:spacing w:val="1"/>
          <w:sz w:val="20"/>
          <w:szCs w:val="20"/>
          <w:highlight w:val="none"/>
        </w:rPr>
        <w:t>传真：</w:t>
      </w:r>
      <w:r>
        <w:rPr>
          <w:sz w:val="20"/>
          <w:szCs w:val="20"/>
          <w:highlight w:val="none"/>
          <w:u w:val="single" w:color="222222"/>
        </w:rPr>
        <w:t xml:space="preserve">   </w:t>
      </w:r>
    </w:p>
    <w:p w14:paraId="67462D93">
      <w:pPr>
        <w:pStyle w:val="2"/>
        <w:spacing w:before="215" w:line="224" w:lineRule="auto"/>
        <w:ind w:left="5480"/>
        <w:rPr>
          <w:sz w:val="20"/>
          <w:szCs w:val="20"/>
          <w:highlight w:val="none"/>
        </w:rPr>
      </w:pPr>
      <w:r>
        <w:rPr>
          <w:spacing w:val="-9"/>
          <w:sz w:val="20"/>
          <w:szCs w:val="20"/>
          <w:highlight w:val="none"/>
        </w:rPr>
        <w:t>日</w:t>
      </w:r>
      <w:r>
        <w:rPr>
          <w:spacing w:val="21"/>
          <w:sz w:val="20"/>
          <w:szCs w:val="20"/>
          <w:highlight w:val="none"/>
        </w:rPr>
        <w:t xml:space="preserve"> </w:t>
      </w:r>
      <w:r>
        <w:rPr>
          <w:spacing w:val="-9"/>
          <w:sz w:val="20"/>
          <w:szCs w:val="20"/>
          <w:highlight w:val="none"/>
        </w:rPr>
        <w:t xml:space="preserve">期: </w:t>
      </w:r>
      <w:r>
        <w:rPr>
          <w:spacing w:val="-9"/>
          <w:sz w:val="20"/>
          <w:szCs w:val="20"/>
          <w:highlight w:val="none"/>
          <w:u w:val="single" w:color="222222"/>
        </w:rPr>
        <w:t xml:space="preserve">  {日期}</w:t>
      </w:r>
      <w:r>
        <w:rPr>
          <w:sz w:val="20"/>
          <w:szCs w:val="20"/>
          <w:highlight w:val="none"/>
          <w:u w:val="single" w:color="222222"/>
        </w:rPr>
        <w:t xml:space="preserve">  </w:t>
      </w:r>
    </w:p>
    <w:p w14:paraId="70CB2230">
      <w:pPr>
        <w:rPr>
          <w:spacing w:val="-1"/>
          <w:highlight w:val="none"/>
        </w:rPr>
      </w:pPr>
      <w:r>
        <w:rPr>
          <w:spacing w:val="-1"/>
          <w:highlight w:val="none"/>
        </w:rPr>
        <w:br w:type="page"/>
      </w:r>
    </w:p>
    <w:p w14:paraId="469B0155">
      <w:pPr>
        <w:pStyle w:val="2"/>
        <w:spacing w:before="77" w:line="221" w:lineRule="auto"/>
        <w:jc w:val="center"/>
        <w:outlineLvl w:val="0"/>
        <w:rPr>
          <w:sz w:val="38"/>
          <w:szCs w:val="38"/>
          <w:highlight w:val="none"/>
        </w:rPr>
      </w:pPr>
      <w:r>
        <w:rPr>
          <w:spacing w:val="-4"/>
          <w:sz w:val="38"/>
          <w:szCs w:val="38"/>
          <w:highlight w:val="none"/>
        </w:rPr>
        <w:t>中小企业声明函</w:t>
      </w:r>
    </w:p>
    <w:p w14:paraId="7FE6DF7A">
      <w:pPr>
        <w:spacing w:line="269" w:lineRule="auto"/>
        <w:rPr>
          <w:rFonts w:ascii="Arial"/>
          <w:sz w:val="21"/>
          <w:highlight w:val="none"/>
        </w:rPr>
      </w:pPr>
    </w:p>
    <w:p w14:paraId="14ED0BD9">
      <w:pPr>
        <w:pStyle w:val="2"/>
        <w:spacing w:before="62" w:line="221" w:lineRule="auto"/>
        <w:ind w:left="385"/>
        <w:rPr>
          <w:highlight w:val="none"/>
        </w:rPr>
      </w:pPr>
      <w:r>
        <w:rPr>
          <w:spacing w:val="2"/>
          <w:highlight w:val="none"/>
        </w:rPr>
        <w:t>本公司（联合体）郑重声明，根据《政府采购促进中小企业发展管理办法》</w:t>
      </w:r>
      <w:r>
        <w:rPr>
          <w:spacing w:val="1"/>
          <w:highlight w:val="none"/>
        </w:rPr>
        <w:t>（财库﹝2020﹞46 号）的规</w:t>
      </w:r>
    </w:p>
    <w:p w14:paraId="324ECEFE">
      <w:pPr>
        <w:pStyle w:val="2"/>
        <w:spacing w:before="157" w:line="375" w:lineRule="auto"/>
        <w:ind w:left="5" w:right="1"/>
        <w:rPr>
          <w:highlight w:val="none"/>
        </w:rPr>
      </w:pPr>
      <w:r>
        <w:rPr>
          <w:spacing w:val="-1"/>
          <w:highlight w:val="none"/>
        </w:rPr>
        <w:t>定，本公司（联合体）参加</w:t>
      </w:r>
      <w:r>
        <w:rPr>
          <w:spacing w:val="103"/>
          <w:highlight w:val="none"/>
          <w:u w:val="single" w:color="222222"/>
        </w:rPr>
        <w:t xml:space="preserve"> </w:t>
      </w:r>
      <w:r>
        <w:rPr>
          <w:spacing w:val="-1"/>
          <w:highlight w:val="none"/>
          <w:u w:val="single" w:color="222222"/>
        </w:rPr>
        <w:t>{采购单位名称}</w:t>
      </w:r>
      <w:r>
        <w:rPr>
          <w:spacing w:val="73"/>
          <w:highlight w:val="none"/>
          <w:u w:val="single" w:color="222222"/>
        </w:rPr>
        <w:t xml:space="preserve"> </w:t>
      </w:r>
      <w:r>
        <w:rPr>
          <w:spacing w:val="-1"/>
          <w:highlight w:val="none"/>
        </w:rPr>
        <w:t>的</w:t>
      </w:r>
      <w:r>
        <w:rPr>
          <w:spacing w:val="91"/>
          <w:highlight w:val="none"/>
          <w:u w:val="single" w:color="222222"/>
        </w:rPr>
        <w:t xml:space="preserve"> </w:t>
      </w:r>
      <w:r>
        <w:rPr>
          <w:spacing w:val="-1"/>
          <w:highlight w:val="none"/>
          <w:u w:val="single" w:color="222222"/>
        </w:rPr>
        <w:t>{项目名称}</w:t>
      </w:r>
      <w:r>
        <w:rPr>
          <w:spacing w:val="56"/>
          <w:w w:val="101"/>
          <w:highlight w:val="none"/>
          <w:u w:val="single" w:color="222222"/>
        </w:rPr>
        <w:t xml:space="preserve"> </w:t>
      </w:r>
      <w:r>
        <w:rPr>
          <w:spacing w:val="-1"/>
          <w:highlight w:val="none"/>
        </w:rPr>
        <w:t>采购活动，提供的货物全部由符合政策要求的中</w:t>
      </w:r>
      <w:r>
        <w:rPr>
          <w:highlight w:val="none"/>
        </w:rPr>
        <w:t xml:space="preserve"> </w:t>
      </w:r>
      <w:r>
        <w:rPr>
          <w:spacing w:val="1"/>
          <w:highlight w:val="none"/>
        </w:rPr>
        <w:t>小企业制造。相关企业（含联合体中的中小企业、签订分包意向协议的中小企业）</w:t>
      </w:r>
      <w:r>
        <w:rPr>
          <w:spacing w:val="30"/>
          <w:highlight w:val="none"/>
        </w:rPr>
        <w:t xml:space="preserve"> </w:t>
      </w:r>
      <w:r>
        <w:rPr>
          <w:spacing w:val="1"/>
          <w:highlight w:val="none"/>
        </w:rPr>
        <w:t>的具体情况如下：</w:t>
      </w:r>
    </w:p>
    <w:p w14:paraId="4CD0C52A">
      <w:pPr>
        <w:pStyle w:val="2"/>
        <w:spacing w:before="236" w:line="373" w:lineRule="auto"/>
        <w:ind w:right="1" w:firstLine="399"/>
        <w:rPr>
          <w:highlight w:val="none"/>
        </w:rPr>
      </w:pPr>
      <w:r>
        <w:rPr>
          <w:spacing w:val="-2"/>
          <w:highlight w:val="none"/>
        </w:rPr>
        <w:t>1.</w:t>
      </w:r>
      <w:r>
        <w:rPr>
          <w:spacing w:val="95"/>
          <w:w w:val="101"/>
          <w:highlight w:val="none"/>
          <w:u w:val="single" w:color="222222"/>
        </w:rPr>
        <w:t xml:space="preserve"> </w:t>
      </w:r>
      <w:r>
        <w:rPr>
          <w:spacing w:val="-2"/>
          <w:highlight w:val="none"/>
          <w:u w:val="single" w:color="222222"/>
        </w:rPr>
        <w:t>{标的名称}</w:t>
      </w:r>
      <w:r>
        <w:rPr>
          <w:spacing w:val="49"/>
          <w:highlight w:val="none"/>
          <w:u w:val="single" w:color="222222"/>
        </w:rPr>
        <w:t xml:space="preserve"> </w:t>
      </w:r>
      <w:r>
        <w:rPr>
          <w:spacing w:val="25"/>
          <w:highlight w:val="none"/>
        </w:rPr>
        <w:t xml:space="preserve"> </w:t>
      </w:r>
      <w:r>
        <w:rPr>
          <w:spacing w:val="-2"/>
          <w:highlight w:val="none"/>
        </w:rPr>
        <w:t xml:space="preserve">，属 于 </w:t>
      </w:r>
      <w:r>
        <w:rPr>
          <w:spacing w:val="-2"/>
          <w:highlight w:val="none"/>
          <w:u w:val="single" w:color="222222"/>
        </w:rPr>
        <w:t xml:space="preserve">  {采购文件中明确的所属行业}</w:t>
      </w:r>
      <w:r>
        <w:rPr>
          <w:spacing w:val="60"/>
          <w:highlight w:val="none"/>
          <w:u w:val="single" w:color="222222"/>
        </w:rPr>
        <w:t xml:space="preserve"> </w:t>
      </w:r>
      <w:r>
        <w:rPr>
          <w:spacing w:val="-2"/>
          <w:highlight w:val="none"/>
        </w:rPr>
        <w:t>行业；制造商为</w:t>
      </w:r>
      <w:r>
        <w:rPr>
          <w:spacing w:val="-94"/>
          <w:highlight w:val="none"/>
        </w:rPr>
        <w:t xml:space="preserve"> </w:t>
      </w:r>
      <w:r>
        <w:rPr>
          <w:spacing w:val="1"/>
          <w:highlight w:val="none"/>
          <w:u w:val="single" w:color="222222"/>
        </w:rPr>
        <w:t xml:space="preserve">   </w:t>
      </w:r>
      <w:r>
        <w:rPr>
          <w:spacing w:val="-71"/>
          <w:highlight w:val="none"/>
        </w:rPr>
        <w:t xml:space="preserve"> </w:t>
      </w:r>
      <w:r>
        <w:rPr>
          <w:spacing w:val="-2"/>
          <w:highlight w:val="none"/>
        </w:rPr>
        <w:t xml:space="preserve">，从业人员 </w:t>
      </w:r>
      <w:r>
        <w:rPr>
          <w:spacing w:val="-2"/>
          <w:highlight w:val="none"/>
          <w:u w:val="single" w:color="222222"/>
        </w:rPr>
        <w:t xml:space="preserve">   </w:t>
      </w:r>
      <w:r>
        <w:rPr>
          <w:spacing w:val="-86"/>
          <w:highlight w:val="none"/>
        </w:rPr>
        <w:t xml:space="preserve"> </w:t>
      </w:r>
      <w:r>
        <w:rPr>
          <w:spacing w:val="-2"/>
          <w:highlight w:val="none"/>
        </w:rPr>
        <w:t>人，营业收</w:t>
      </w:r>
      <w:r>
        <w:rPr>
          <w:highlight w:val="none"/>
        </w:rPr>
        <w:t xml:space="preserve"> </w:t>
      </w:r>
      <w:r>
        <w:rPr>
          <w:spacing w:val="-1"/>
          <w:highlight w:val="none"/>
        </w:rPr>
        <w:t>入为</w:t>
      </w:r>
      <w:r>
        <w:rPr>
          <w:spacing w:val="-78"/>
          <w:highlight w:val="none"/>
        </w:rPr>
        <w:t xml:space="preserve"> </w:t>
      </w:r>
      <w:r>
        <w:rPr>
          <w:spacing w:val="1"/>
          <w:highlight w:val="none"/>
          <w:u w:val="single" w:color="222222"/>
        </w:rPr>
        <w:t xml:space="preserve">   </w:t>
      </w:r>
      <w:r>
        <w:rPr>
          <w:spacing w:val="-82"/>
          <w:highlight w:val="none"/>
        </w:rPr>
        <w:t xml:space="preserve"> </w:t>
      </w:r>
      <w:r>
        <w:rPr>
          <w:spacing w:val="-1"/>
          <w:highlight w:val="none"/>
        </w:rPr>
        <w:t>万元，资产总额为</w:t>
      </w:r>
      <w:r>
        <w:rPr>
          <w:spacing w:val="-94"/>
          <w:highlight w:val="none"/>
        </w:rPr>
        <w:t xml:space="preserve"> </w:t>
      </w:r>
      <w:r>
        <w:rPr>
          <w:spacing w:val="1"/>
          <w:highlight w:val="none"/>
          <w:u w:val="single" w:color="222222"/>
        </w:rPr>
        <w:t xml:space="preserve">   </w:t>
      </w:r>
      <w:r>
        <w:rPr>
          <w:spacing w:val="-83"/>
          <w:highlight w:val="none"/>
        </w:rPr>
        <w:t xml:space="preserve"> </w:t>
      </w:r>
      <w:r>
        <w:rPr>
          <w:spacing w:val="-1"/>
          <w:highlight w:val="none"/>
        </w:rPr>
        <w:t>万元，属于</w:t>
      </w:r>
      <w:r>
        <w:rPr>
          <w:spacing w:val="-93"/>
          <w:highlight w:val="none"/>
        </w:rPr>
        <w:t xml:space="preserve"> </w:t>
      </w:r>
      <w:r>
        <w:rPr>
          <w:spacing w:val="-1"/>
          <w:highlight w:val="none"/>
          <w:u w:val="single" w:color="222222"/>
        </w:rPr>
        <w:t xml:space="preserve">   </w:t>
      </w:r>
      <w:r>
        <w:rPr>
          <w:spacing w:val="-1"/>
          <w:highlight w:val="none"/>
        </w:rPr>
        <w:t>；</w:t>
      </w:r>
    </w:p>
    <w:p w14:paraId="30E412BC">
      <w:pPr>
        <w:pStyle w:val="2"/>
        <w:spacing w:line="373" w:lineRule="auto"/>
        <w:ind w:left="2" w:right="1" w:firstLine="404"/>
        <w:rPr>
          <w:highlight w:val="none"/>
        </w:rPr>
      </w:pPr>
      <w:r>
        <w:rPr>
          <w:spacing w:val="1"/>
          <w:highlight w:val="none"/>
        </w:rPr>
        <w:t>以上企业，不属于大企业的分支机构，不存在控股股东为大企业的情形，也不存在与大企业的负责人为同一</w:t>
      </w:r>
      <w:r>
        <w:rPr>
          <w:spacing w:val="17"/>
          <w:highlight w:val="none"/>
        </w:rPr>
        <w:t xml:space="preserve"> </w:t>
      </w:r>
      <w:r>
        <w:rPr>
          <w:spacing w:val="-1"/>
          <w:highlight w:val="none"/>
        </w:rPr>
        <w:t>人的情形。</w:t>
      </w:r>
    </w:p>
    <w:p w14:paraId="2A0F3DA6">
      <w:pPr>
        <w:pStyle w:val="2"/>
        <w:spacing w:line="220" w:lineRule="auto"/>
        <w:ind w:left="385"/>
        <w:rPr>
          <w:highlight w:val="none"/>
        </w:rPr>
      </w:pPr>
      <w:r>
        <w:rPr>
          <w:spacing w:val="2"/>
          <w:highlight w:val="none"/>
        </w:rPr>
        <w:t>本企业对上述声明内容的真实性负责。如有虚</w:t>
      </w:r>
      <w:r>
        <w:rPr>
          <w:spacing w:val="1"/>
          <w:highlight w:val="none"/>
        </w:rPr>
        <w:t>假，将依法承担相应责任。</w:t>
      </w:r>
    </w:p>
    <w:p w14:paraId="2232D18D">
      <w:pPr>
        <w:spacing w:line="250" w:lineRule="auto"/>
        <w:rPr>
          <w:rFonts w:ascii="Arial"/>
          <w:sz w:val="21"/>
          <w:highlight w:val="none"/>
        </w:rPr>
      </w:pPr>
    </w:p>
    <w:p w14:paraId="0918AF0E">
      <w:pPr>
        <w:spacing w:line="250" w:lineRule="auto"/>
        <w:rPr>
          <w:rFonts w:ascii="Arial"/>
          <w:sz w:val="21"/>
          <w:highlight w:val="none"/>
        </w:rPr>
      </w:pPr>
    </w:p>
    <w:p w14:paraId="63900C60">
      <w:pPr>
        <w:spacing w:line="250" w:lineRule="auto"/>
        <w:rPr>
          <w:rFonts w:ascii="Arial"/>
          <w:sz w:val="21"/>
          <w:highlight w:val="none"/>
        </w:rPr>
      </w:pPr>
    </w:p>
    <w:p w14:paraId="4FFE7357">
      <w:pPr>
        <w:spacing w:line="250" w:lineRule="auto"/>
        <w:rPr>
          <w:rFonts w:ascii="Arial"/>
          <w:sz w:val="21"/>
          <w:highlight w:val="none"/>
        </w:rPr>
      </w:pPr>
    </w:p>
    <w:p w14:paraId="7496BCF1">
      <w:pPr>
        <w:pStyle w:val="2"/>
        <w:spacing w:before="66" w:line="423" w:lineRule="auto"/>
        <w:jc w:val="right"/>
        <w:rPr>
          <w:sz w:val="20"/>
          <w:szCs w:val="20"/>
          <w:highlight w:val="none"/>
        </w:rPr>
      </w:pPr>
      <w:r>
        <w:rPr>
          <w:sz w:val="20"/>
          <w:szCs w:val="20"/>
          <w:highlight w:val="none"/>
        </w:rPr>
        <w:t>企业名称(签章)：</w:t>
      </w:r>
      <w:r>
        <w:rPr>
          <w:spacing w:val="87"/>
          <w:sz w:val="20"/>
          <w:szCs w:val="20"/>
          <w:highlight w:val="none"/>
          <w:u w:val="single" w:color="222222"/>
        </w:rPr>
        <w:t xml:space="preserve"> </w:t>
      </w:r>
      <w:r>
        <w:rPr>
          <w:sz w:val="20"/>
          <w:szCs w:val="20"/>
          <w:highlight w:val="none"/>
          <w:u w:val="single" w:color="222222"/>
        </w:rPr>
        <w:t>{</w:t>
      </w:r>
      <w:r>
        <w:rPr>
          <w:rFonts w:hint="eastAsia"/>
          <w:sz w:val="20"/>
          <w:szCs w:val="20"/>
          <w:highlight w:val="none"/>
          <w:u w:val="single" w:color="222222"/>
          <w:lang w:eastAsia="zh-CN"/>
        </w:rPr>
        <w:t>投标人</w:t>
      </w:r>
      <w:r>
        <w:rPr>
          <w:sz w:val="20"/>
          <w:szCs w:val="20"/>
          <w:highlight w:val="none"/>
          <w:u w:val="single" w:color="222222"/>
        </w:rPr>
        <w:t>名称}</w:t>
      </w:r>
      <w:r>
        <w:rPr>
          <w:spacing w:val="63"/>
          <w:sz w:val="20"/>
          <w:szCs w:val="20"/>
          <w:highlight w:val="none"/>
          <w:u w:val="single" w:color="222222"/>
        </w:rPr>
        <w:t xml:space="preserve"> </w:t>
      </w:r>
      <w:r>
        <w:rPr>
          <w:sz w:val="20"/>
          <w:szCs w:val="20"/>
          <w:highlight w:val="none"/>
        </w:rPr>
        <w:t xml:space="preserve"> </w:t>
      </w:r>
    </w:p>
    <w:p w14:paraId="6957DE51">
      <w:pPr>
        <w:pStyle w:val="2"/>
        <w:spacing w:before="66" w:line="423" w:lineRule="auto"/>
        <w:jc w:val="right"/>
        <w:rPr>
          <w:sz w:val="20"/>
          <w:szCs w:val="20"/>
          <w:highlight w:val="none"/>
          <w:u w:val="single" w:color="222222"/>
        </w:rPr>
      </w:pPr>
      <w:r>
        <w:rPr>
          <w:spacing w:val="-7"/>
          <w:sz w:val="20"/>
          <w:szCs w:val="20"/>
          <w:highlight w:val="none"/>
        </w:rPr>
        <w:t>日</w:t>
      </w:r>
      <w:r>
        <w:rPr>
          <w:spacing w:val="23"/>
          <w:sz w:val="20"/>
          <w:szCs w:val="20"/>
          <w:highlight w:val="none"/>
        </w:rPr>
        <w:t xml:space="preserve"> </w:t>
      </w:r>
      <w:r>
        <w:rPr>
          <w:spacing w:val="-7"/>
          <w:sz w:val="20"/>
          <w:szCs w:val="20"/>
          <w:highlight w:val="none"/>
        </w:rPr>
        <w:t xml:space="preserve">期: </w:t>
      </w:r>
      <w:r>
        <w:rPr>
          <w:spacing w:val="-7"/>
          <w:sz w:val="20"/>
          <w:szCs w:val="20"/>
          <w:highlight w:val="none"/>
          <w:u w:val="single" w:color="222222"/>
        </w:rPr>
        <w:t xml:space="preserve">  {当前日期}</w:t>
      </w:r>
      <w:r>
        <w:rPr>
          <w:sz w:val="20"/>
          <w:szCs w:val="20"/>
          <w:highlight w:val="none"/>
          <w:u w:val="single" w:color="222222"/>
        </w:rPr>
        <w:t xml:space="preserve">  </w:t>
      </w:r>
    </w:p>
    <w:p w14:paraId="6CE808CB">
      <w:pPr>
        <w:rPr>
          <w:sz w:val="20"/>
          <w:szCs w:val="20"/>
          <w:highlight w:val="none"/>
          <w:u w:val="single" w:color="222222"/>
        </w:rPr>
      </w:pPr>
      <w:r>
        <w:rPr>
          <w:sz w:val="20"/>
          <w:szCs w:val="20"/>
          <w:highlight w:val="none"/>
          <w:u w:val="single" w:color="222222"/>
        </w:rPr>
        <w:br w:type="page"/>
      </w:r>
    </w:p>
    <w:p w14:paraId="092369EA">
      <w:pPr>
        <w:pStyle w:val="2"/>
        <w:spacing w:before="77" w:line="221" w:lineRule="auto"/>
        <w:ind w:firstLine="1920" w:firstLineChars="500"/>
        <w:outlineLvl w:val="0"/>
        <w:rPr>
          <w:sz w:val="38"/>
          <w:szCs w:val="38"/>
          <w:highlight w:val="none"/>
        </w:rPr>
      </w:pPr>
      <w:r>
        <w:rPr>
          <w:spacing w:val="2"/>
          <w:sz w:val="38"/>
          <w:szCs w:val="38"/>
          <w:highlight w:val="none"/>
        </w:rPr>
        <w:t>残疾人福利性单位声明函</w:t>
      </w:r>
    </w:p>
    <w:p w14:paraId="5E1BD832">
      <w:pPr>
        <w:spacing w:line="270" w:lineRule="auto"/>
        <w:rPr>
          <w:rFonts w:ascii="Arial"/>
          <w:sz w:val="21"/>
          <w:highlight w:val="none"/>
        </w:rPr>
      </w:pPr>
    </w:p>
    <w:p w14:paraId="4CD193FE">
      <w:pPr>
        <w:pStyle w:val="2"/>
        <w:spacing w:before="62" w:line="373" w:lineRule="auto"/>
        <w:ind w:right="1" w:firstLine="384"/>
        <w:rPr>
          <w:highlight w:val="none"/>
        </w:rPr>
      </w:pPr>
      <w:r>
        <w:rPr>
          <w:spacing w:val="1"/>
          <w:highlight w:val="none"/>
        </w:rPr>
        <w:t>本单位郑重声明，根据《财政部</w:t>
      </w:r>
      <w:r>
        <w:rPr>
          <w:spacing w:val="29"/>
          <w:highlight w:val="none"/>
        </w:rPr>
        <w:t xml:space="preserve"> </w:t>
      </w:r>
      <w:r>
        <w:rPr>
          <w:spacing w:val="1"/>
          <w:highlight w:val="none"/>
        </w:rPr>
        <w:t>民政部</w:t>
      </w:r>
      <w:r>
        <w:rPr>
          <w:spacing w:val="28"/>
          <w:highlight w:val="none"/>
        </w:rPr>
        <w:t xml:space="preserve"> </w:t>
      </w:r>
      <w:r>
        <w:rPr>
          <w:spacing w:val="1"/>
          <w:highlight w:val="none"/>
        </w:rPr>
        <w:t>中国残疾人联合会关于促</w:t>
      </w:r>
      <w:r>
        <w:rPr>
          <w:highlight w:val="none"/>
        </w:rPr>
        <w:t>进残疾人就业政府采购政策的通知》（财 库〔2017〕</w:t>
      </w:r>
      <w:r>
        <w:rPr>
          <w:spacing w:val="31"/>
          <w:highlight w:val="none"/>
        </w:rPr>
        <w:t xml:space="preserve"> </w:t>
      </w:r>
      <w:r>
        <w:rPr>
          <w:highlight w:val="none"/>
        </w:rPr>
        <w:t>141号）的规定，本单位为符合条件的残疾人福利性单位，且本单位参加</w:t>
      </w:r>
      <w:r>
        <w:rPr>
          <w:spacing w:val="91"/>
          <w:highlight w:val="none"/>
          <w:u w:val="single" w:color="222222"/>
        </w:rPr>
        <w:t xml:space="preserve"> </w:t>
      </w:r>
      <w:r>
        <w:rPr>
          <w:highlight w:val="none"/>
          <w:u w:val="single" w:color="222222"/>
        </w:rPr>
        <w:t>{采购单位名称}</w:t>
      </w:r>
      <w:r>
        <w:rPr>
          <w:spacing w:val="59"/>
          <w:highlight w:val="none"/>
          <w:u w:val="single" w:color="222222"/>
        </w:rPr>
        <w:t xml:space="preserve"> </w:t>
      </w:r>
      <w:r>
        <w:rPr>
          <w:highlight w:val="none"/>
        </w:rPr>
        <w:t>单位</w:t>
      </w:r>
    </w:p>
    <w:p w14:paraId="06D273EF">
      <w:pPr>
        <w:pStyle w:val="2"/>
        <w:spacing w:line="373" w:lineRule="auto"/>
        <w:ind w:right="97" w:firstLine="15"/>
        <w:rPr>
          <w:highlight w:val="none"/>
        </w:rPr>
      </w:pPr>
      <w:r>
        <w:rPr>
          <w:spacing w:val="1"/>
          <w:highlight w:val="none"/>
        </w:rPr>
        <w:t>的</w:t>
      </w:r>
      <w:r>
        <w:rPr>
          <w:spacing w:val="91"/>
          <w:highlight w:val="none"/>
          <w:u w:val="single" w:color="222222"/>
        </w:rPr>
        <w:t xml:space="preserve"> </w:t>
      </w:r>
      <w:r>
        <w:rPr>
          <w:spacing w:val="1"/>
          <w:highlight w:val="none"/>
          <w:u w:val="single" w:color="222222"/>
        </w:rPr>
        <w:t>{项目名称}</w:t>
      </w:r>
      <w:r>
        <w:rPr>
          <w:spacing w:val="56"/>
          <w:highlight w:val="none"/>
          <w:u w:val="single" w:color="222222"/>
        </w:rPr>
        <w:t xml:space="preserve"> </w:t>
      </w:r>
      <w:r>
        <w:rPr>
          <w:spacing w:val="1"/>
          <w:highlight w:val="none"/>
        </w:rPr>
        <w:t>采购活动提供本单位制造的货物</w:t>
      </w:r>
      <w:r>
        <w:rPr>
          <w:highlight w:val="none"/>
        </w:rPr>
        <w:t xml:space="preserve">，或者提供其他残疾人福利性单位制造的货物（不包括使用非 </w:t>
      </w:r>
      <w:r>
        <w:rPr>
          <w:spacing w:val="1"/>
          <w:highlight w:val="none"/>
        </w:rPr>
        <w:t>残疾人福利性单位注册商标的货物）。</w:t>
      </w:r>
    </w:p>
    <w:p w14:paraId="7D68B257">
      <w:pPr>
        <w:pStyle w:val="2"/>
        <w:spacing w:line="220" w:lineRule="auto"/>
        <w:ind w:left="384"/>
        <w:rPr>
          <w:highlight w:val="none"/>
        </w:rPr>
      </w:pPr>
      <w:r>
        <w:rPr>
          <w:spacing w:val="1"/>
          <w:highlight w:val="none"/>
        </w:rPr>
        <w:t>本单位对上述声明的真实性负责。如有虚假，将依法承担相应责任。</w:t>
      </w:r>
    </w:p>
    <w:p w14:paraId="53EDC1B3">
      <w:pPr>
        <w:spacing w:line="250" w:lineRule="auto"/>
        <w:rPr>
          <w:rFonts w:ascii="Arial"/>
          <w:sz w:val="21"/>
          <w:highlight w:val="none"/>
        </w:rPr>
      </w:pPr>
    </w:p>
    <w:p w14:paraId="364D231A">
      <w:pPr>
        <w:spacing w:line="250" w:lineRule="auto"/>
        <w:rPr>
          <w:rFonts w:ascii="Arial"/>
          <w:sz w:val="21"/>
          <w:highlight w:val="none"/>
        </w:rPr>
      </w:pPr>
    </w:p>
    <w:p w14:paraId="45A3BF1D">
      <w:pPr>
        <w:spacing w:line="250" w:lineRule="auto"/>
        <w:rPr>
          <w:rFonts w:ascii="Arial"/>
          <w:sz w:val="21"/>
          <w:highlight w:val="none"/>
        </w:rPr>
      </w:pPr>
    </w:p>
    <w:p w14:paraId="5B42D86E">
      <w:pPr>
        <w:spacing w:line="250" w:lineRule="auto"/>
        <w:rPr>
          <w:rFonts w:ascii="Arial"/>
          <w:sz w:val="21"/>
          <w:highlight w:val="none"/>
        </w:rPr>
      </w:pPr>
    </w:p>
    <w:p w14:paraId="437F2098">
      <w:pPr>
        <w:pStyle w:val="2"/>
        <w:spacing w:before="65" w:line="423" w:lineRule="auto"/>
        <w:jc w:val="right"/>
        <w:rPr>
          <w:sz w:val="20"/>
          <w:szCs w:val="20"/>
          <w:highlight w:val="none"/>
        </w:rPr>
      </w:pPr>
      <w:r>
        <w:rPr>
          <w:spacing w:val="-1"/>
          <w:sz w:val="20"/>
          <w:szCs w:val="20"/>
          <w:highlight w:val="none"/>
        </w:rPr>
        <w:t>单位名称（签章</w:t>
      </w:r>
      <w:r>
        <w:rPr>
          <w:spacing w:val="10"/>
          <w:sz w:val="20"/>
          <w:szCs w:val="20"/>
          <w:highlight w:val="none"/>
        </w:rPr>
        <w:t>）：</w:t>
      </w:r>
      <w:r>
        <w:rPr>
          <w:spacing w:val="87"/>
          <w:sz w:val="20"/>
          <w:szCs w:val="20"/>
          <w:highlight w:val="none"/>
          <w:u w:val="single" w:color="222222"/>
        </w:rPr>
        <w:t xml:space="preserve"> </w:t>
      </w:r>
      <w:r>
        <w:rPr>
          <w:spacing w:val="-1"/>
          <w:sz w:val="20"/>
          <w:szCs w:val="20"/>
          <w:highlight w:val="none"/>
          <w:u w:val="single" w:color="222222"/>
        </w:rPr>
        <w:t>{</w:t>
      </w:r>
      <w:r>
        <w:rPr>
          <w:rFonts w:hint="eastAsia"/>
          <w:spacing w:val="-1"/>
          <w:sz w:val="20"/>
          <w:szCs w:val="20"/>
          <w:highlight w:val="none"/>
          <w:u w:val="single" w:color="222222"/>
          <w:lang w:eastAsia="zh-CN"/>
        </w:rPr>
        <w:t>投标人</w:t>
      </w:r>
      <w:r>
        <w:rPr>
          <w:spacing w:val="-1"/>
          <w:sz w:val="20"/>
          <w:szCs w:val="20"/>
          <w:highlight w:val="none"/>
          <w:u w:val="single" w:color="222222"/>
        </w:rPr>
        <w:t>名称}</w:t>
      </w:r>
      <w:r>
        <w:rPr>
          <w:spacing w:val="57"/>
          <w:sz w:val="20"/>
          <w:szCs w:val="20"/>
          <w:highlight w:val="none"/>
          <w:u w:val="single" w:color="222222"/>
        </w:rPr>
        <w:t xml:space="preserve"> </w:t>
      </w:r>
      <w:r>
        <w:rPr>
          <w:sz w:val="20"/>
          <w:szCs w:val="20"/>
          <w:highlight w:val="none"/>
        </w:rPr>
        <w:t xml:space="preserve"> </w:t>
      </w:r>
    </w:p>
    <w:p w14:paraId="77B79E44">
      <w:pPr>
        <w:pStyle w:val="2"/>
        <w:spacing w:before="65" w:line="423" w:lineRule="auto"/>
        <w:jc w:val="right"/>
        <w:rPr>
          <w:sz w:val="20"/>
          <w:szCs w:val="20"/>
          <w:highlight w:val="none"/>
        </w:rPr>
      </w:pPr>
      <w:r>
        <w:rPr>
          <w:spacing w:val="-7"/>
          <w:sz w:val="20"/>
          <w:szCs w:val="20"/>
          <w:highlight w:val="none"/>
        </w:rPr>
        <w:t>日</w:t>
      </w:r>
      <w:r>
        <w:rPr>
          <w:spacing w:val="23"/>
          <w:sz w:val="20"/>
          <w:szCs w:val="20"/>
          <w:highlight w:val="none"/>
        </w:rPr>
        <w:t xml:space="preserve"> </w:t>
      </w:r>
      <w:r>
        <w:rPr>
          <w:spacing w:val="-7"/>
          <w:sz w:val="20"/>
          <w:szCs w:val="20"/>
          <w:highlight w:val="none"/>
        </w:rPr>
        <w:t xml:space="preserve">期: </w:t>
      </w:r>
      <w:r>
        <w:rPr>
          <w:spacing w:val="-7"/>
          <w:sz w:val="20"/>
          <w:szCs w:val="20"/>
          <w:highlight w:val="none"/>
          <w:u w:val="single" w:color="222222"/>
        </w:rPr>
        <w:t xml:space="preserve">  {当前日期}</w:t>
      </w:r>
      <w:r>
        <w:rPr>
          <w:sz w:val="20"/>
          <w:szCs w:val="20"/>
          <w:highlight w:val="none"/>
          <w:u w:val="single" w:color="222222"/>
        </w:rPr>
        <w:t xml:space="preserve">  </w:t>
      </w:r>
    </w:p>
    <w:p w14:paraId="3194109C">
      <w:pPr>
        <w:spacing w:line="242" w:lineRule="auto"/>
        <w:rPr>
          <w:rFonts w:ascii="Arial"/>
          <w:sz w:val="21"/>
          <w:highlight w:val="none"/>
        </w:rPr>
      </w:pPr>
    </w:p>
    <w:p w14:paraId="280AB4A4">
      <w:pPr>
        <w:spacing w:line="242" w:lineRule="auto"/>
        <w:rPr>
          <w:rFonts w:ascii="Arial"/>
          <w:sz w:val="21"/>
          <w:highlight w:val="none"/>
        </w:rPr>
      </w:pPr>
    </w:p>
    <w:p w14:paraId="1A892901">
      <w:pPr>
        <w:spacing w:line="242" w:lineRule="auto"/>
        <w:rPr>
          <w:rFonts w:ascii="Arial"/>
          <w:sz w:val="21"/>
          <w:highlight w:val="none"/>
        </w:rPr>
      </w:pPr>
    </w:p>
    <w:p w14:paraId="1D6D0C57">
      <w:pPr>
        <w:spacing w:line="243" w:lineRule="auto"/>
        <w:rPr>
          <w:rFonts w:ascii="Arial"/>
          <w:sz w:val="21"/>
          <w:highlight w:val="none"/>
        </w:rPr>
      </w:pPr>
    </w:p>
    <w:p w14:paraId="31B30F70">
      <w:pPr>
        <w:pStyle w:val="2"/>
        <w:spacing w:before="62" w:line="226" w:lineRule="auto"/>
        <w:rPr>
          <w:highlight w:val="none"/>
        </w:rPr>
      </w:pPr>
      <w:r>
        <w:rPr>
          <w:spacing w:val="-4"/>
          <w:highlight w:val="none"/>
        </w:rPr>
        <w:t>注：</w:t>
      </w:r>
    </w:p>
    <w:p w14:paraId="76EC99A5">
      <w:pPr>
        <w:pStyle w:val="2"/>
        <w:spacing w:before="152" w:line="297" w:lineRule="auto"/>
        <w:ind w:left="1" w:right="193" w:firstLine="12"/>
        <w:rPr>
          <w:highlight w:val="none"/>
        </w:rPr>
      </w:pPr>
      <w:r>
        <w:rPr>
          <w:spacing w:val="2"/>
          <w:highlight w:val="none"/>
        </w:rPr>
        <w:t>1.残疾人福利性单位视同小型、微型企业，享受预留份</w:t>
      </w:r>
      <w:r>
        <w:rPr>
          <w:spacing w:val="1"/>
          <w:highlight w:val="none"/>
        </w:rPr>
        <w:t>额、评审中价格扣除等促进中小企业发展的政府采购政</w:t>
      </w:r>
      <w:r>
        <w:rPr>
          <w:highlight w:val="none"/>
        </w:rPr>
        <w:t xml:space="preserve"> </w:t>
      </w:r>
      <w:r>
        <w:rPr>
          <w:spacing w:val="2"/>
          <w:highlight w:val="none"/>
        </w:rPr>
        <w:t>策。残疾人福利性单位本身属于小型、微型企业或者监狱</w:t>
      </w:r>
      <w:r>
        <w:rPr>
          <w:spacing w:val="1"/>
          <w:highlight w:val="none"/>
        </w:rPr>
        <w:t>企业的，不重复享受政策。</w:t>
      </w:r>
    </w:p>
    <w:p w14:paraId="259B60A7">
      <w:pPr>
        <w:pStyle w:val="2"/>
        <w:spacing w:before="157" w:line="221" w:lineRule="auto"/>
        <w:ind w:left="2"/>
        <w:rPr>
          <w:spacing w:val="1"/>
          <w:highlight w:val="none"/>
        </w:rPr>
      </w:pPr>
      <w:r>
        <w:rPr>
          <w:spacing w:val="1"/>
          <w:highlight w:val="none"/>
        </w:rPr>
        <w:t>2.</w:t>
      </w:r>
      <w:r>
        <w:rPr>
          <w:rFonts w:hint="eastAsia"/>
          <w:spacing w:val="1"/>
          <w:highlight w:val="none"/>
          <w:lang w:eastAsia="zh-CN"/>
        </w:rPr>
        <w:t>投标人</w:t>
      </w:r>
      <w:r>
        <w:rPr>
          <w:spacing w:val="1"/>
          <w:highlight w:val="none"/>
        </w:rPr>
        <w:t>不属于残疾人福利性单位的，不提供此声明。</w:t>
      </w:r>
    </w:p>
    <w:p w14:paraId="3A995DB7">
      <w:pPr>
        <w:rPr>
          <w:spacing w:val="1"/>
          <w:highlight w:val="none"/>
        </w:rPr>
      </w:pPr>
      <w:r>
        <w:rPr>
          <w:spacing w:val="1"/>
          <w:highlight w:val="none"/>
        </w:rPr>
        <w:br w:type="page"/>
      </w:r>
    </w:p>
    <w:p w14:paraId="411871ED">
      <w:pPr>
        <w:keepNext/>
        <w:keepLines/>
        <w:numPr>
          <w:ilvl w:val="0"/>
          <w:numId w:val="0"/>
        </w:numPr>
        <w:spacing w:line="360" w:lineRule="auto"/>
        <w:ind w:leftChars="0"/>
        <w:jc w:val="center"/>
        <w:outlineLvl w:val="2"/>
        <w:rPr>
          <w:b/>
          <w:bCs/>
          <w:sz w:val="28"/>
          <w:szCs w:val="28"/>
          <w:highlight w:val="none"/>
        </w:rPr>
      </w:pPr>
      <w:r>
        <w:rPr>
          <w:rFonts w:hint="eastAsia"/>
          <w:b/>
          <w:bCs/>
          <w:sz w:val="28"/>
          <w:szCs w:val="28"/>
          <w:highlight w:val="none"/>
        </w:rPr>
        <w:t>监狱企业的证明文件</w:t>
      </w:r>
    </w:p>
    <w:p w14:paraId="5B755881">
      <w:pPr>
        <w:rPr>
          <w:b/>
          <w:bCs/>
          <w:sz w:val="28"/>
          <w:szCs w:val="28"/>
          <w:highlight w:val="none"/>
        </w:rPr>
      </w:pPr>
    </w:p>
    <w:p w14:paraId="277CAC40">
      <w:pPr>
        <w:rPr>
          <w:highlight w:val="none"/>
        </w:rPr>
      </w:pPr>
      <w:r>
        <w:rPr>
          <w:rFonts w:hint="eastAsia" w:asciiTheme="minorEastAsia" w:hAnsiTheme="minorEastAsia" w:eastAsiaTheme="minorEastAsia"/>
          <w:b/>
          <w:spacing w:val="6"/>
          <w:sz w:val="28"/>
          <w:szCs w:val="28"/>
          <w:highlight w:val="none"/>
        </w:rPr>
        <w:t>注：</w:t>
      </w:r>
      <w:r>
        <w:rPr>
          <w:rFonts w:asciiTheme="minorEastAsia" w:hAnsiTheme="minorEastAsia" w:eastAsiaTheme="minorEastAsia"/>
          <w:b/>
          <w:spacing w:val="6"/>
          <w:sz w:val="28"/>
          <w:szCs w:val="28"/>
          <w:highlight w:val="none"/>
        </w:rPr>
        <w:t>1、根据《司法部关于政府采购支持监狱企业发展有关问题的通知》财库〔2014〕68号，监狱企业参加政府采购活动时，应当提供由省级以上监狱管理局、戒毒管理局（含新疆生产建设兵团）出具的属于监狱企业的证明文件。</w:t>
      </w:r>
    </w:p>
    <w:p w14:paraId="498CA51E">
      <w:pPr>
        <w:rPr>
          <w:spacing w:val="-1"/>
          <w:highlight w:val="none"/>
        </w:rPr>
      </w:pPr>
      <w:r>
        <w:rPr>
          <w:spacing w:val="-1"/>
          <w:highlight w:val="none"/>
        </w:rPr>
        <w:br w:type="page"/>
      </w:r>
    </w:p>
    <w:p w14:paraId="28C7BB4A">
      <w:pPr>
        <w:pStyle w:val="2"/>
        <w:spacing w:before="92" w:line="220" w:lineRule="auto"/>
        <w:ind w:left="3577"/>
        <w:outlineLvl w:val="0"/>
        <w:rPr>
          <w:sz w:val="45"/>
          <w:szCs w:val="45"/>
          <w:highlight w:val="none"/>
        </w:rPr>
      </w:pPr>
    </w:p>
    <w:p w14:paraId="0805B913">
      <w:pPr>
        <w:pStyle w:val="2"/>
        <w:spacing w:before="92" w:line="220" w:lineRule="auto"/>
        <w:ind w:firstLine="3150" w:firstLineChars="700"/>
        <w:outlineLvl w:val="0"/>
        <w:rPr>
          <w:sz w:val="45"/>
          <w:szCs w:val="45"/>
          <w:highlight w:val="none"/>
        </w:rPr>
      </w:pPr>
      <w:r>
        <w:rPr>
          <w:sz w:val="45"/>
          <w:szCs w:val="45"/>
          <w:highlight w:val="none"/>
        </w:rPr>
        <w:t>分项报价表</w:t>
      </w:r>
    </w:p>
    <w:p w14:paraId="071A3294">
      <w:pPr>
        <w:pStyle w:val="2"/>
        <w:spacing w:before="257" w:line="224" w:lineRule="auto"/>
        <w:ind w:left="1"/>
        <w:rPr>
          <w:highlight w:val="none"/>
        </w:rPr>
      </w:pPr>
      <w:r>
        <w:rPr>
          <w:spacing w:val="-1"/>
          <w:highlight w:val="none"/>
        </w:rPr>
        <w:t>采购编号：</w:t>
      </w:r>
      <w:r>
        <w:rPr>
          <w:spacing w:val="-43"/>
          <w:highlight w:val="none"/>
        </w:rPr>
        <w:t xml:space="preserve"> </w:t>
      </w:r>
      <w:r>
        <w:rPr>
          <w:spacing w:val="-1"/>
          <w:highlight w:val="none"/>
        </w:rPr>
        <w:t>{采购编号}</w:t>
      </w:r>
    </w:p>
    <w:p w14:paraId="611B62F7">
      <w:pPr>
        <w:pStyle w:val="2"/>
        <w:spacing w:before="213" w:line="225" w:lineRule="auto"/>
        <w:ind w:left="5"/>
        <w:rPr>
          <w:highlight w:val="none"/>
        </w:rPr>
      </w:pPr>
      <w:r>
        <w:rPr>
          <w:spacing w:val="-1"/>
          <w:highlight w:val="none"/>
        </w:rPr>
        <w:t>项目名称：</w:t>
      </w:r>
      <w:r>
        <w:rPr>
          <w:spacing w:val="-48"/>
          <w:highlight w:val="none"/>
        </w:rPr>
        <w:t xml:space="preserve"> </w:t>
      </w:r>
      <w:r>
        <w:rPr>
          <w:spacing w:val="-1"/>
          <w:highlight w:val="none"/>
        </w:rPr>
        <w:t>{项目名称}</w:t>
      </w:r>
    </w:p>
    <w:p w14:paraId="46A63F03">
      <w:pPr>
        <w:pStyle w:val="2"/>
        <w:spacing w:before="211" w:line="226" w:lineRule="auto"/>
        <w:ind w:left="2"/>
        <w:rPr>
          <w:highlight w:val="none"/>
        </w:rPr>
      </w:pPr>
      <w:r>
        <w:rPr>
          <w:highlight w:val="none"/>
        </w:rPr>
        <w:t>包号：</w:t>
      </w:r>
    </w:p>
    <w:p w14:paraId="24AAECBB">
      <w:pPr>
        <w:pStyle w:val="2"/>
        <w:spacing w:before="210" w:line="224" w:lineRule="auto"/>
        <w:ind w:left="5"/>
        <w:rPr>
          <w:highlight w:val="none"/>
        </w:rPr>
      </w:pPr>
      <w:r>
        <w:rPr>
          <w:highlight w:val="none"/>
        </w:rPr>
        <w:t>投标人名称：</w:t>
      </w:r>
      <w:r>
        <w:rPr>
          <w:spacing w:val="-46"/>
          <w:highlight w:val="none"/>
        </w:rPr>
        <w:t xml:space="preserve"> </w:t>
      </w:r>
      <w:r>
        <w:rPr>
          <w:highlight w:val="none"/>
        </w:rPr>
        <w:t>{</w:t>
      </w:r>
      <w:r>
        <w:rPr>
          <w:rFonts w:hint="eastAsia"/>
          <w:highlight w:val="none"/>
          <w:lang w:eastAsia="zh-CN"/>
        </w:rPr>
        <w:t>投标人</w:t>
      </w:r>
      <w:r>
        <w:rPr>
          <w:highlight w:val="none"/>
        </w:rPr>
        <w:t>名称}</w:t>
      </w:r>
    </w:p>
    <w:p w14:paraId="3AE4CF3B">
      <w:pPr>
        <w:spacing w:line="344" w:lineRule="auto"/>
        <w:rPr>
          <w:rFonts w:ascii="Arial"/>
          <w:sz w:val="21"/>
          <w:highlight w:val="none"/>
        </w:rPr>
      </w:pPr>
    </w:p>
    <w:p w14:paraId="01C4F991">
      <w:pPr>
        <w:pStyle w:val="2"/>
        <w:spacing w:before="53" w:line="208" w:lineRule="auto"/>
        <w:ind w:right="1"/>
        <w:jc w:val="right"/>
        <w:rPr>
          <w:sz w:val="16"/>
          <w:szCs w:val="16"/>
          <w:highlight w:val="none"/>
        </w:rPr>
      </w:pPr>
      <w:r>
        <w:rPr>
          <w:spacing w:val="6"/>
          <w:sz w:val="16"/>
          <w:szCs w:val="16"/>
          <w:highlight w:val="none"/>
        </w:rPr>
        <w:t>货币及单位:人民币/元</w:t>
      </w:r>
    </w:p>
    <w:tbl>
      <w:tblPr>
        <w:tblStyle w:val="19"/>
        <w:tblW w:w="940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862"/>
        <w:gridCol w:w="573"/>
        <w:gridCol w:w="1127"/>
        <w:gridCol w:w="1127"/>
        <w:gridCol w:w="1128"/>
        <w:gridCol w:w="1140"/>
        <w:gridCol w:w="1694"/>
        <w:gridCol w:w="573"/>
        <w:gridCol w:w="585"/>
        <w:gridCol w:w="591"/>
      </w:tblGrid>
      <w:tr w14:paraId="1A7140E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trPr>
        <w:tc>
          <w:tcPr>
            <w:tcW w:w="862" w:type="dxa"/>
            <w:tcBorders>
              <w:top w:val="single" w:color="2C2C2C" w:sz="4" w:space="0"/>
              <w:left w:val="single" w:color="2C2C2C" w:sz="4" w:space="0"/>
              <w:bottom w:val="single" w:color="2C2C2C" w:sz="8" w:space="0"/>
              <w:right w:val="single" w:color="2C2C2C" w:sz="8" w:space="0"/>
            </w:tcBorders>
            <w:vAlign w:val="top"/>
          </w:tcPr>
          <w:p w14:paraId="5D199649">
            <w:pPr>
              <w:spacing w:before="195" w:line="230" w:lineRule="auto"/>
              <w:ind w:left="184"/>
              <w:rPr>
                <w:rFonts w:ascii="宋体" w:hAnsi="宋体" w:eastAsia="宋体" w:cs="宋体"/>
                <w:sz w:val="16"/>
                <w:szCs w:val="16"/>
                <w:highlight w:val="none"/>
              </w:rPr>
            </w:pPr>
            <w:r>
              <w:rPr>
                <w:rFonts w:ascii="宋体" w:hAnsi="宋体" w:eastAsia="宋体" w:cs="宋体"/>
                <w:sz w:val="16"/>
                <w:szCs w:val="16"/>
                <w:highlight w:val="none"/>
              </w:rPr>
              <w:t>品目号</w:t>
            </w:r>
          </w:p>
        </w:tc>
        <w:tc>
          <w:tcPr>
            <w:tcW w:w="573" w:type="dxa"/>
            <w:tcBorders>
              <w:top w:val="single" w:color="808080" w:sz="8" w:space="0"/>
            </w:tcBorders>
            <w:vAlign w:val="top"/>
          </w:tcPr>
          <w:p w14:paraId="0115383C">
            <w:pPr>
              <w:spacing w:before="195" w:line="230" w:lineRule="auto"/>
              <w:ind w:left="101"/>
              <w:rPr>
                <w:rFonts w:ascii="宋体" w:hAnsi="宋体" w:eastAsia="宋体" w:cs="宋体"/>
                <w:sz w:val="16"/>
                <w:szCs w:val="16"/>
                <w:highlight w:val="none"/>
              </w:rPr>
            </w:pPr>
            <w:r>
              <w:rPr>
                <w:rFonts w:ascii="宋体" w:hAnsi="宋体" w:eastAsia="宋体" w:cs="宋体"/>
                <w:spacing w:val="4"/>
                <w:sz w:val="16"/>
                <w:szCs w:val="16"/>
                <w:highlight w:val="none"/>
              </w:rPr>
              <w:t>序号</w:t>
            </w:r>
          </w:p>
        </w:tc>
        <w:tc>
          <w:tcPr>
            <w:tcW w:w="1127" w:type="dxa"/>
            <w:tcBorders>
              <w:top w:val="single" w:color="808080" w:sz="8" w:space="0"/>
            </w:tcBorders>
            <w:vAlign w:val="top"/>
          </w:tcPr>
          <w:p w14:paraId="4C7E4BE3">
            <w:pPr>
              <w:spacing w:before="196" w:line="229" w:lineRule="auto"/>
              <w:ind w:left="220"/>
              <w:rPr>
                <w:rFonts w:ascii="宋体" w:hAnsi="宋体" w:eastAsia="宋体" w:cs="宋体"/>
                <w:sz w:val="16"/>
                <w:szCs w:val="16"/>
                <w:highlight w:val="none"/>
              </w:rPr>
            </w:pPr>
            <w:r>
              <w:rPr>
                <w:rFonts w:ascii="宋体" w:hAnsi="宋体" w:eastAsia="宋体" w:cs="宋体"/>
                <w:spacing w:val="5"/>
                <w:sz w:val="16"/>
                <w:szCs w:val="16"/>
                <w:highlight w:val="none"/>
              </w:rPr>
              <w:t>工程名称</w:t>
            </w:r>
          </w:p>
        </w:tc>
        <w:tc>
          <w:tcPr>
            <w:tcW w:w="1127" w:type="dxa"/>
            <w:tcBorders>
              <w:top w:val="single" w:color="808080" w:sz="8" w:space="0"/>
            </w:tcBorders>
            <w:vAlign w:val="top"/>
          </w:tcPr>
          <w:p w14:paraId="5FAA2EED">
            <w:pPr>
              <w:spacing w:before="196" w:line="229" w:lineRule="auto"/>
              <w:ind w:left="218"/>
              <w:rPr>
                <w:rFonts w:ascii="宋体" w:hAnsi="宋体" w:eastAsia="宋体" w:cs="宋体"/>
                <w:sz w:val="16"/>
                <w:szCs w:val="16"/>
                <w:highlight w:val="none"/>
              </w:rPr>
            </w:pPr>
            <w:r>
              <w:rPr>
                <w:rFonts w:ascii="宋体" w:hAnsi="宋体" w:eastAsia="宋体" w:cs="宋体"/>
                <w:spacing w:val="6"/>
                <w:sz w:val="16"/>
                <w:szCs w:val="16"/>
                <w:highlight w:val="none"/>
              </w:rPr>
              <w:t>施工范围</w:t>
            </w:r>
          </w:p>
        </w:tc>
        <w:tc>
          <w:tcPr>
            <w:tcW w:w="1128" w:type="dxa"/>
            <w:tcBorders>
              <w:top w:val="single" w:color="2C2C2C" w:sz="4" w:space="0"/>
              <w:left w:val="single" w:color="2C2C2C" w:sz="8" w:space="0"/>
              <w:bottom w:val="single" w:color="2C2C2C" w:sz="8" w:space="0"/>
              <w:right w:val="single" w:color="2C2C2C" w:sz="8" w:space="0"/>
            </w:tcBorders>
            <w:vAlign w:val="top"/>
          </w:tcPr>
          <w:p w14:paraId="193575EC">
            <w:pPr>
              <w:spacing w:before="196" w:line="229" w:lineRule="auto"/>
              <w:ind w:left="214"/>
              <w:rPr>
                <w:rFonts w:ascii="宋体" w:hAnsi="宋体" w:eastAsia="宋体" w:cs="宋体"/>
                <w:sz w:val="16"/>
                <w:szCs w:val="16"/>
                <w:highlight w:val="none"/>
              </w:rPr>
            </w:pPr>
            <w:r>
              <w:rPr>
                <w:rFonts w:ascii="宋体" w:hAnsi="宋体" w:eastAsia="宋体" w:cs="宋体"/>
                <w:spacing w:val="6"/>
                <w:sz w:val="16"/>
                <w:szCs w:val="16"/>
                <w:highlight w:val="none"/>
              </w:rPr>
              <w:t>施工工期</w:t>
            </w:r>
          </w:p>
        </w:tc>
        <w:tc>
          <w:tcPr>
            <w:tcW w:w="1140" w:type="dxa"/>
            <w:tcBorders>
              <w:top w:val="single" w:color="808080" w:sz="8" w:space="0"/>
            </w:tcBorders>
            <w:vAlign w:val="top"/>
          </w:tcPr>
          <w:p w14:paraId="012A71EF">
            <w:pPr>
              <w:spacing w:before="196" w:line="229" w:lineRule="auto"/>
              <w:ind w:left="224"/>
              <w:rPr>
                <w:rFonts w:ascii="宋体" w:hAnsi="宋体" w:eastAsia="宋体" w:cs="宋体"/>
                <w:sz w:val="16"/>
                <w:szCs w:val="16"/>
                <w:highlight w:val="none"/>
              </w:rPr>
            </w:pPr>
            <w:r>
              <w:rPr>
                <w:rFonts w:ascii="宋体" w:hAnsi="宋体" w:eastAsia="宋体" w:cs="宋体"/>
                <w:spacing w:val="5"/>
                <w:sz w:val="16"/>
                <w:szCs w:val="16"/>
                <w:highlight w:val="none"/>
              </w:rPr>
              <w:t>项目经理</w:t>
            </w:r>
          </w:p>
        </w:tc>
        <w:tc>
          <w:tcPr>
            <w:tcW w:w="1694" w:type="dxa"/>
            <w:tcBorders>
              <w:top w:val="single" w:color="2C2C2C" w:sz="4" w:space="0"/>
              <w:left w:val="single" w:color="2C2C2C" w:sz="8" w:space="0"/>
              <w:bottom w:val="single" w:color="2C2C2C" w:sz="8" w:space="0"/>
              <w:right w:val="single" w:color="2C2C2C" w:sz="8" w:space="0"/>
            </w:tcBorders>
            <w:vAlign w:val="top"/>
          </w:tcPr>
          <w:p w14:paraId="2AE0E32A">
            <w:pPr>
              <w:spacing w:before="195" w:line="228" w:lineRule="auto"/>
              <w:ind w:left="330"/>
              <w:rPr>
                <w:rFonts w:ascii="宋体" w:hAnsi="宋体" w:eastAsia="宋体" w:cs="宋体"/>
                <w:sz w:val="16"/>
                <w:szCs w:val="16"/>
                <w:highlight w:val="none"/>
              </w:rPr>
            </w:pPr>
            <w:r>
              <w:rPr>
                <w:rFonts w:ascii="宋体" w:hAnsi="宋体" w:eastAsia="宋体" w:cs="宋体"/>
                <w:spacing w:val="6"/>
                <w:sz w:val="16"/>
                <w:szCs w:val="16"/>
                <w:highlight w:val="none"/>
              </w:rPr>
              <w:t>执业证书信息</w:t>
            </w:r>
          </w:p>
        </w:tc>
        <w:tc>
          <w:tcPr>
            <w:tcW w:w="573" w:type="dxa"/>
            <w:tcBorders>
              <w:top w:val="single" w:color="808080" w:sz="8" w:space="0"/>
            </w:tcBorders>
            <w:vAlign w:val="top"/>
          </w:tcPr>
          <w:p w14:paraId="29CF4DEC">
            <w:pPr>
              <w:spacing w:before="195" w:line="227" w:lineRule="auto"/>
              <w:ind w:left="108"/>
              <w:rPr>
                <w:rFonts w:ascii="宋体" w:hAnsi="宋体" w:eastAsia="宋体" w:cs="宋体"/>
                <w:sz w:val="16"/>
                <w:szCs w:val="16"/>
                <w:highlight w:val="none"/>
              </w:rPr>
            </w:pPr>
            <w:r>
              <w:rPr>
                <w:rFonts w:ascii="宋体" w:hAnsi="宋体" w:eastAsia="宋体" w:cs="宋体"/>
                <w:spacing w:val="3"/>
                <w:sz w:val="16"/>
                <w:szCs w:val="16"/>
                <w:highlight w:val="none"/>
              </w:rPr>
              <w:t>单价</w:t>
            </w:r>
          </w:p>
        </w:tc>
        <w:tc>
          <w:tcPr>
            <w:tcW w:w="585" w:type="dxa"/>
            <w:tcBorders>
              <w:top w:val="single" w:color="2C2C2C" w:sz="4" w:space="0"/>
              <w:left w:val="single" w:color="2C2C2C" w:sz="8" w:space="0"/>
              <w:bottom w:val="single" w:color="2C2C2C" w:sz="8" w:space="0"/>
              <w:right w:val="single" w:color="2C2C2C" w:sz="8" w:space="0"/>
            </w:tcBorders>
            <w:vAlign w:val="top"/>
          </w:tcPr>
          <w:p w14:paraId="244E1845">
            <w:pPr>
              <w:spacing w:before="195" w:line="229" w:lineRule="auto"/>
              <w:ind w:left="117"/>
              <w:rPr>
                <w:rFonts w:ascii="宋体" w:hAnsi="宋体" w:eastAsia="宋体" w:cs="宋体"/>
                <w:sz w:val="16"/>
                <w:szCs w:val="16"/>
                <w:highlight w:val="none"/>
              </w:rPr>
            </w:pPr>
            <w:r>
              <w:rPr>
                <w:rFonts w:ascii="宋体" w:hAnsi="宋体" w:eastAsia="宋体" w:cs="宋体"/>
                <w:spacing w:val="3"/>
                <w:sz w:val="16"/>
                <w:szCs w:val="16"/>
                <w:highlight w:val="none"/>
              </w:rPr>
              <w:t>数量</w:t>
            </w:r>
          </w:p>
        </w:tc>
        <w:tc>
          <w:tcPr>
            <w:tcW w:w="591" w:type="dxa"/>
            <w:tcBorders>
              <w:top w:val="single" w:color="2C2C2C" w:sz="4" w:space="0"/>
              <w:left w:val="single" w:color="2C2C2C" w:sz="8" w:space="0"/>
              <w:bottom w:val="single" w:color="2C2C2C" w:sz="8" w:space="0"/>
              <w:right w:val="single" w:color="2C2C2C" w:sz="4" w:space="0"/>
            </w:tcBorders>
            <w:vAlign w:val="top"/>
          </w:tcPr>
          <w:p w14:paraId="045D5055">
            <w:pPr>
              <w:spacing w:before="195" w:line="227" w:lineRule="auto"/>
              <w:ind w:left="123"/>
              <w:rPr>
                <w:rFonts w:ascii="宋体" w:hAnsi="宋体" w:eastAsia="宋体" w:cs="宋体"/>
                <w:sz w:val="16"/>
                <w:szCs w:val="16"/>
                <w:highlight w:val="none"/>
              </w:rPr>
            </w:pPr>
            <w:r>
              <w:rPr>
                <w:rFonts w:ascii="宋体" w:hAnsi="宋体" w:eastAsia="宋体" w:cs="宋体"/>
                <w:spacing w:val="1"/>
                <w:sz w:val="16"/>
                <w:szCs w:val="16"/>
                <w:highlight w:val="none"/>
              </w:rPr>
              <w:t>总价</w:t>
            </w:r>
          </w:p>
        </w:tc>
      </w:tr>
      <w:tr w14:paraId="45C3AF8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trPr>
        <w:tc>
          <w:tcPr>
            <w:tcW w:w="862" w:type="dxa"/>
            <w:tcBorders>
              <w:top w:val="single" w:color="2C2C2C" w:sz="8" w:space="0"/>
              <w:left w:val="single" w:color="2C2C2C" w:sz="4" w:space="0"/>
              <w:bottom w:val="single" w:color="2C2C2C" w:sz="4" w:space="0"/>
              <w:right w:val="single" w:color="2C2C2C" w:sz="8" w:space="0"/>
            </w:tcBorders>
            <w:vAlign w:val="top"/>
          </w:tcPr>
          <w:p w14:paraId="38D59AF4">
            <w:pPr>
              <w:rPr>
                <w:rFonts w:ascii="Arial"/>
                <w:sz w:val="21"/>
                <w:highlight w:val="none"/>
              </w:rPr>
            </w:pPr>
          </w:p>
        </w:tc>
        <w:tc>
          <w:tcPr>
            <w:tcW w:w="573" w:type="dxa"/>
            <w:tcBorders>
              <w:bottom w:val="single" w:color="808080" w:sz="8" w:space="0"/>
            </w:tcBorders>
            <w:vAlign w:val="top"/>
          </w:tcPr>
          <w:p w14:paraId="0F8074BC">
            <w:pPr>
              <w:rPr>
                <w:rFonts w:ascii="Arial"/>
                <w:sz w:val="21"/>
                <w:highlight w:val="none"/>
              </w:rPr>
            </w:pPr>
          </w:p>
        </w:tc>
        <w:tc>
          <w:tcPr>
            <w:tcW w:w="1127" w:type="dxa"/>
            <w:tcBorders>
              <w:bottom w:val="single" w:color="808080" w:sz="8" w:space="0"/>
            </w:tcBorders>
            <w:vAlign w:val="top"/>
          </w:tcPr>
          <w:p w14:paraId="1A41925C">
            <w:pPr>
              <w:rPr>
                <w:rFonts w:ascii="Arial"/>
                <w:sz w:val="21"/>
                <w:highlight w:val="none"/>
              </w:rPr>
            </w:pPr>
          </w:p>
        </w:tc>
        <w:tc>
          <w:tcPr>
            <w:tcW w:w="1127" w:type="dxa"/>
            <w:tcBorders>
              <w:bottom w:val="single" w:color="808080" w:sz="8" w:space="0"/>
            </w:tcBorders>
            <w:vAlign w:val="top"/>
          </w:tcPr>
          <w:p w14:paraId="166C431B">
            <w:pPr>
              <w:rPr>
                <w:rFonts w:ascii="Arial"/>
                <w:sz w:val="21"/>
                <w:highlight w:val="none"/>
              </w:rPr>
            </w:pPr>
          </w:p>
        </w:tc>
        <w:tc>
          <w:tcPr>
            <w:tcW w:w="1128" w:type="dxa"/>
            <w:tcBorders>
              <w:top w:val="single" w:color="2C2C2C" w:sz="8" w:space="0"/>
              <w:left w:val="single" w:color="2C2C2C" w:sz="8" w:space="0"/>
              <w:bottom w:val="single" w:color="2C2C2C" w:sz="4" w:space="0"/>
              <w:right w:val="single" w:color="2C2C2C" w:sz="8" w:space="0"/>
            </w:tcBorders>
            <w:vAlign w:val="top"/>
          </w:tcPr>
          <w:p w14:paraId="52C8A633">
            <w:pPr>
              <w:rPr>
                <w:rFonts w:ascii="Arial"/>
                <w:sz w:val="21"/>
                <w:highlight w:val="none"/>
              </w:rPr>
            </w:pPr>
          </w:p>
        </w:tc>
        <w:tc>
          <w:tcPr>
            <w:tcW w:w="1140" w:type="dxa"/>
            <w:tcBorders>
              <w:bottom w:val="single" w:color="808080" w:sz="8" w:space="0"/>
            </w:tcBorders>
            <w:vAlign w:val="top"/>
          </w:tcPr>
          <w:p w14:paraId="570E79B6">
            <w:pPr>
              <w:rPr>
                <w:rFonts w:ascii="Arial"/>
                <w:sz w:val="21"/>
                <w:highlight w:val="none"/>
              </w:rPr>
            </w:pPr>
          </w:p>
        </w:tc>
        <w:tc>
          <w:tcPr>
            <w:tcW w:w="1694" w:type="dxa"/>
            <w:tcBorders>
              <w:top w:val="single" w:color="2C2C2C" w:sz="8" w:space="0"/>
              <w:left w:val="single" w:color="2C2C2C" w:sz="8" w:space="0"/>
              <w:bottom w:val="single" w:color="2C2C2C" w:sz="4" w:space="0"/>
              <w:right w:val="single" w:color="2C2C2C" w:sz="8" w:space="0"/>
            </w:tcBorders>
            <w:vAlign w:val="top"/>
          </w:tcPr>
          <w:p w14:paraId="66C24116">
            <w:pPr>
              <w:rPr>
                <w:rFonts w:ascii="Arial"/>
                <w:sz w:val="21"/>
                <w:highlight w:val="none"/>
              </w:rPr>
            </w:pPr>
          </w:p>
        </w:tc>
        <w:tc>
          <w:tcPr>
            <w:tcW w:w="573" w:type="dxa"/>
            <w:tcBorders>
              <w:bottom w:val="single" w:color="808080" w:sz="8" w:space="0"/>
            </w:tcBorders>
            <w:vAlign w:val="top"/>
          </w:tcPr>
          <w:p w14:paraId="0ED24C8E">
            <w:pPr>
              <w:rPr>
                <w:rFonts w:ascii="Arial"/>
                <w:sz w:val="21"/>
                <w:highlight w:val="none"/>
              </w:rPr>
            </w:pPr>
          </w:p>
        </w:tc>
        <w:tc>
          <w:tcPr>
            <w:tcW w:w="585" w:type="dxa"/>
            <w:tcBorders>
              <w:top w:val="single" w:color="2C2C2C" w:sz="8" w:space="0"/>
              <w:left w:val="single" w:color="2C2C2C" w:sz="8" w:space="0"/>
              <w:bottom w:val="single" w:color="2C2C2C" w:sz="4" w:space="0"/>
              <w:right w:val="single" w:color="2C2C2C" w:sz="8" w:space="0"/>
            </w:tcBorders>
            <w:vAlign w:val="top"/>
          </w:tcPr>
          <w:p w14:paraId="086181A5">
            <w:pPr>
              <w:rPr>
                <w:rFonts w:ascii="Arial"/>
                <w:sz w:val="21"/>
                <w:highlight w:val="none"/>
              </w:rPr>
            </w:pPr>
          </w:p>
        </w:tc>
        <w:tc>
          <w:tcPr>
            <w:tcW w:w="591" w:type="dxa"/>
            <w:tcBorders>
              <w:top w:val="single" w:color="2C2C2C" w:sz="8" w:space="0"/>
              <w:left w:val="single" w:color="2C2C2C" w:sz="8" w:space="0"/>
              <w:bottom w:val="single" w:color="2C2C2C" w:sz="4" w:space="0"/>
              <w:right w:val="single" w:color="2C2C2C" w:sz="4" w:space="0"/>
            </w:tcBorders>
            <w:vAlign w:val="top"/>
          </w:tcPr>
          <w:p w14:paraId="566C199A">
            <w:pPr>
              <w:rPr>
                <w:rFonts w:ascii="Arial"/>
                <w:sz w:val="21"/>
                <w:highlight w:val="none"/>
              </w:rPr>
            </w:pPr>
          </w:p>
        </w:tc>
      </w:tr>
    </w:tbl>
    <w:p w14:paraId="6D718ADE">
      <w:pPr>
        <w:pStyle w:val="2"/>
        <w:spacing w:before="252" w:line="227" w:lineRule="auto"/>
        <w:ind w:left="6"/>
        <w:rPr>
          <w:sz w:val="16"/>
          <w:szCs w:val="16"/>
          <w:highlight w:val="none"/>
        </w:rPr>
      </w:pPr>
      <w:r>
        <w:rPr>
          <w:spacing w:val="8"/>
          <w:sz w:val="16"/>
          <w:szCs w:val="16"/>
          <w:highlight w:val="none"/>
        </w:rPr>
        <w:t>注：本《响应报价表》附件只是一个示例模板，具体响应模板以</w:t>
      </w:r>
      <w:r>
        <w:rPr>
          <w:rFonts w:hint="eastAsia"/>
          <w:spacing w:val="8"/>
          <w:sz w:val="16"/>
          <w:szCs w:val="16"/>
          <w:highlight w:val="none"/>
          <w:lang w:eastAsia="zh-CN"/>
        </w:rPr>
        <w:t>投标人</w:t>
      </w:r>
      <w:r>
        <w:rPr>
          <w:spacing w:val="8"/>
          <w:sz w:val="16"/>
          <w:szCs w:val="16"/>
          <w:highlight w:val="none"/>
        </w:rPr>
        <w:t>在</w:t>
      </w:r>
      <w:r>
        <w:rPr>
          <w:spacing w:val="7"/>
          <w:sz w:val="16"/>
          <w:szCs w:val="16"/>
          <w:highlight w:val="none"/>
        </w:rPr>
        <w:t>投标（响应）客户端响应的为准。</w:t>
      </w:r>
    </w:p>
    <w:p w14:paraId="34CBB62F">
      <w:pPr>
        <w:spacing w:line="304" w:lineRule="auto"/>
        <w:rPr>
          <w:rFonts w:ascii="Arial"/>
          <w:sz w:val="21"/>
          <w:highlight w:val="none"/>
        </w:rPr>
      </w:pPr>
    </w:p>
    <w:p w14:paraId="1AE0C432">
      <w:pPr>
        <w:spacing w:line="305" w:lineRule="auto"/>
        <w:rPr>
          <w:rFonts w:ascii="Arial"/>
          <w:sz w:val="21"/>
          <w:highlight w:val="none"/>
        </w:rPr>
      </w:pPr>
    </w:p>
    <w:p w14:paraId="6DEA44F6">
      <w:pPr>
        <w:spacing w:line="305" w:lineRule="auto"/>
        <w:rPr>
          <w:rFonts w:ascii="Arial"/>
          <w:sz w:val="21"/>
          <w:highlight w:val="none"/>
        </w:rPr>
      </w:pPr>
    </w:p>
    <w:p w14:paraId="1351209D">
      <w:pPr>
        <w:pStyle w:val="2"/>
        <w:spacing w:before="65" w:line="423" w:lineRule="auto"/>
        <w:ind w:right="15"/>
        <w:rPr>
          <w:spacing w:val="1"/>
          <w:sz w:val="20"/>
          <w:szCs w:val="20"/>
          <w:highlight w:val="none"/>
        </w:rPr>
      </w:pPr>
      <w:r>
        <w:rPr>
          <w:spacing w:val="4"/>
          <w:sz w:val="20"/>
          <w:szCs w:val="20"/>
          <w:highlight w:val="none"/>
        </w:rPr>
        <w:t>投标人签章</w:t>
      </w:r>
      <w:r>
        <w:rPr>
          <w:spacing w:val="-10"/>
          <w:sz w:val="20"/>
          <w:szCs w:val="20"/>
          <w:highlight w:val="none"/>
        </w:rPr>
        <w:t>：（</w:t>
      </w:r>
      <w:r>
        <w:rPr>
          <w:spacing w:val="4"/>
          <w:sz w:val="20"/>
          <w:szCs w:val="20"/>
          <w:highlight w:val="none"/>
        </w:rPr>
        <w:t>加盖公章）</w:t>
      </w:r>
      <w:r>
        <w:rPr>
          <w:spacing w:val="1"/>
          <w:sz w:val="20"/>
          <w:szCs w:val="20"/>
          <w:highlight w:val="none"/>
        </w:rPr>
        <w:t xml:space="preserve"> </w:t>
      </w:r>
    </w:p>
    <w:p w14:paraId="4EF8A62B">
      <w:pPr>
        <w:pStyle w:val="2"/>
        <w:spacing w:before="65" w:line="423" w:lineRule="auto"/>
        <w:ind w:right="15"/>
        <w:rPr>
          <w:spacing w:val="-12"/>
          <w:sz w:val="20"/>
          <w:szCs w:val="20"/>
          <w:highlight w:val="none"/>
        </w:rPr>
      </w:pPr>
      <w:r>
        <w:rPr>
          <w:spacing w:val="-12"/>
          <w:sz w:val="20"/>
          <w:szCs w:val="20"/>
          <w:highlight w:val="none"/>
        </w:rPr>
        <w:t>日</w:t>
      </w:r>
      <w:r>
        <w:rPr>
          <w:spacing w:val="25"/>
          <w:sz w:val="20"/>
          <w:szCs w:val="20"/>
          <w:highlight w:val="none"/>
        </w:rPr>
        <w:t xml:space="preserve"> </w:t>
      </w:r>
      <w:r>
        <w:rPr>
          <w:spacing w:val="-12"/>
          <w:sz w:val="20"/>
          <w:szCs w:val="20"/>
          <w:highlight w:val="none"/>
        </w:rPr>
        <w:t>期:</w:t>
      </w:r>
      <w:r>
        <w:rPr>
          <w:spacing w:val="46"/>
          <w:sz w:val="20"/>
          <w:szCs w:val="20"/>
          <w:highlight w:val="none"/>
        </w:rPr>
        <w:t xml:space="preserve"> </w:t>
      </w:r>
      <w:r>
        <w:rPr>
          <w:spacing w:val="-12"/>
          <w:sz w:val="20"/>
          <w:szCs w:val="20"/>
          <w:highlight w:val="none"/>
        </w:rPr>
        <w:t>{日期}</w:t>
      </w:r>
    </w:p>
    <w:p w14:paraId="7AD8D847">
      <w:pPr>
        <w:rPr>
          <w:spacing w:val="-12"/>
          <w:sz w:val="20"/>
          <w:szCs w:val="20"/>
          <w:highlight w:val="none"/>
        </w:rPr>
      </w:pPr>
      <w:r>
        <w:rPr>
          <w:spacing w:val="-12"/>
          <w:sz w:val="20"/>
          <w:szCs w:val="20"/>
          <w:highlight w:val="none"/>
        </w:rPr>
        <w:br w:type="page"/>
      </w:r>
    </w:p>
    <w:p w14:paraId="0E4E0F65">
      <w:pPr>
        <w:jc w:val="center"/>
        <w:rPr>
          <w:b/>
          <w:bCs/>
          <w:sz w:val="32"/>
          <w:szCs w:val="36"/>
          <w:highlight w:val="none"/>
        </w:rPr>
      </w:pPr>
      <w:r>
        <w:rPr>
          <w:rFonts w:hint="eastAsia"/>
          <w:b/>
          <w:bCs/>
          <w:sz w:val="32"/>
          <w:szCs w:val="36"/>
          <w:highlight w:val="none"/>
        </w:rPr>
        <w:t>已标价工程量清单</w:t>
      </w:r>
    </w:p>
    <w:p w14:paraId="63B14A5D">
      <w:pPr>
        <w:jc w:val="center"/>
        <w:rPr>
          <w:b/>
          <w:bCs/>
          <w:sz w:val="32"/>
          <w:szCs w:val="36"/>
          <w:highlight w:val="none"/>
        </w:rPr>
      </w:pPr>
    </w:p>
    <w:p w14:paraId="0BEC1B8B">
      <w:pPr>
        <w:tabs>
          <w:tab w:val="left" w:pos="1260"/>
        </w:tabs>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1.已标价工程量清单仅适用于采用项目单价报价，不适用于采用项目包干价或采购人固定价报价；</w:t>
      </w:r>
    </w:p>
    <w:p w14:paraId="7BE95386">
      <w:pPr>
        <w:tabs>
          <w:tab w:val="left" w:pos="1260"/>
        </w:tabs>
        <w:spacing w:line="360" w:lineRule="auto"/>
        <w:ind w:firstLine="560" w:firstLineChars="200"/>
        <w:rPr>
          <w:rFonts w:hint="eastAsia" w:ascii="宋体" w:hAnsi="宋体" w:cs="宋体" w:eastAsiaTheme="minorEastAsia"/>
          <w:sz w:val="28"/>
          <w:szCs w:val="28"/>
          <w:highlight w:val="none"/>
          <w:lang w:eastAsia="zh-CN"/>
        </w:rPr>
      </w:pPr>
      <w:r>
        <w:rPr>
          <w:rFonts w:hint="eastAsia" w:ascii="宋体" w:hAnsi="宋体" w:cs="宋体"/>
          <w:sz w:val="28"/>
          <w:szCs w:val="28"/>
          <w:highlight w:val="none"/>
        </w:rPr>
        <w:t>2.已标价工程量清单应按工程量清单报价相关要求进行填报</w:t>
      </w:r>
      <w:r>
        <w:rPr>
          <w:rFonts w:hint="eastAsia" w:ascii="宋体" w:hAnsi="宋体" w:cs="宋体"/>
          <w:sz w:val="28"/>
          <w:szCs w:val="28"/>
          <w:highlight w:val="none"/>
          <w:lang w:eastAsia="zh-CN"/>
        </w:rPr>
        <w:t>。</w:t>
      </w:r>
    </w:p>
    <w:p w14:paraId="0112D4AB">
      <w:pPr>
        <w:rPr>
          <w:spacing w:val="-12"/>
          <w:sz w:val="20"/>
          <w:szCs w:val="20"/>
          <w:highlight w:val="none"/>
        </w:rPr>
      </w:pPr>
      <w:r>
        <w:rPr>
          <w:spacing w:val="-12"/>
          <w:sz w:val="20"/>
          <w:szCs w:val="20"/>
          <w:highlight w:val="none"/>
        </w:rPr>
        <w:br w:type="page"/>
      </w:r>
    </w:p>
    <w:p w14:paraId="158AE718">
      <w:pPr>
        <w:pStyle w:val="5"/>
        <w:jc w:val="center"/>
        <w:rPr>
          <w:rFonts w:hint="eastAsia" w:ascii="Times New Roman" w:eastAsia="仿宋"/>
          <w:b/>
          <w:color w:val="auto"/>
          <w:sz w:val="30"/>
          <w:szCs w:val="30"/>
          <w:highlight w:val="none"/>
          <w:shd w:val="clear" w:color="auto" w:fill="FFFFFF"/>
          <w:lang w:val="zh-CN"/>
        </w:rPr>
      </w:pPr>
      <w:r>
        <w:rPr>
          <w:rFonts w:hint="eastAsia" w:ascii="Times New Roman" w:eastAsia="仿宋"/>
          <w:b/>
          <w:color w:val="auto"/>
          <w:sz w:val="30"/>
          <w:szCs w:val="30"/>
          <w:highlight w:val="none"/>
          <w:shd w:val="clear" w:color="auto" w:fill="FFFFFF"/>
          <w:lang w:val="en-US" w:eastAsia="zh-CN"/>
        </w:rPr>
        <w:t>投标</w:t>
      </w:r>
      <w:r>
        <w:rPr>
          <w:rFonts w:hint="eastAsia" w:ascii="Times New Roman" w:eastAsia="仿宋"/>
          <w:b/>
          <w:color w:val="auto"/>
          <w:sz w:val="30"/>
          <w:szCs w:val="30"/>
          <w:highlight w:val="none"/>
          <w:shd w:val="clear" w:color="auto" w:fill="FFFFFF"/>
          <w:lang w:val="zh-CN"/>
        </w:rPr>
        <w:t>方案</w:t>
      </w:r>
    </w:p>
    <w:p w14:paraId="1E2694FB">
      <w:pPr>
        <w:pStyle w:val="6"/>
        <w:ind w:firstLine="0" w:firstLineChars="0"/>
        <w:jc w:val="center"/>
        <w:rPr>
          <w:rFonts w:ascii="Times New Roman" w:hAnsi="Times New Roman" w:eastAsia="仿宋_GB2312"/>
          <w:color w:val="auto"/>
          <w:sz w:val="32"/>
          <w:szCs w:val="32"/>
          <w:highlight w:val="none"/>
        </w:rPr>
      </w:pPr>
      <w:bookmarkStart w:id="0" w:name="_Toc60929140"/>
      <w:bookmarkStart w:id="1" w:name="_Toc62194352"/>
      <w:bookmarkStart w:id="2" w:name="_Toc216582817"/>
      <w:bookmarkStart w:id="3" w:name="_Toc60928908"/>
      <w:bookmarkStart w:id="4" w:name="_Toc30168"/>
      <w:bookmarkStart w:id="5" w:name="_Toc22563"/>
      <w:bookmarkStart w:id="6" w:name="_Toc28959"/>
      <w:bookmarkStart w:id="7" w:name="_Toc532473509"/>
      <w:bookmarkStart w:id="8" w:name="_Toc515647820"/>
      <w:r>
        <w:rPr>
          <w:rFonts w:ascii="Times New Roman" w:hAnsi="Times New Roman" w:eastAsia="仿宋_GB2312"/>
          <w:color w:val="auto"/>
          <w:sz w:val="32"/>
          <w:szCs w:val="32"/>
          <w:highlight w:val="none"/>
        </w:rPr>
        <w:t>技术偏离表</w:t>
      </w:r>
      <w:bookmarkEnd w:id="0"/>
      <w:bookmarkEnd w:id="1"/>
      <w:bookmarkEnd w:id="2"/>
      <w:bookmarkEnd w:id="3"/>
      <w:bookmarkEnd w:id="4"/>
    </w:p>
    <w:bookmarkEnd w:id="5"/>
    <w:bookmarkEnd w:id="6"/>
    <w:bookmarkEnd w:id="7"/>
    <w:bookmarkEnd w:id="8"/>
    <w:p w14:paraId="6604BEB9">
      <w:pPr>
        <w:pStyle w:val="10"/>
        <w:spacing w:line="360"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rPr>
        <w:t>项目编号：</w:t>
      </w:r>
    </w:p>
    <w:p w14:paraId="4A9EA8EB">
      <w:pPr>
        <w:pStyle w:val="10"/>
        <w:spacing w:line="360"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rPr>
        <w:t>项目名称：</w:t>
      </w:r>
    </w:p>
    <w:p w14:paraId="3A343BA4">
      <w:pPr>
        <w:pStyle w:val="10"/>
        <w:wordWrap w:val="0"/>
        <w:spacing w:line="360" w:lineRule="auto"/>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标段:         </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701"/>
        <w:gridCol w:w="2287"/>
        <w:gridCol w:w="1663"/>
        <w:gridCol w:w="1631"/>
      </w:tblGrid>
      <w:tr w14:paraId="32B0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0" w:type="pct"/>
            <w:noWrap w:val="0"/>
            <w:vAlign w:val="center"/>
          </w:tcPr>
          <w:p w14:paraId="23BD4964">
            <w:pPr>
              <w:pStyle w:val="10"/>
              <w:ind w:left="-31" w:leftChars="-15"/>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序号</w:t>
            </w:r>
          </w:p>
        </w:tc>
        <w:tc>
          <w:tcPr>
            <w:tcW w:w="1454" w:type="pct"/>
            <w:noWrap w:val="0"/>
            <w:vAlign w:val="center"/>
          </w:tcPr>
          <w:p w14:paraId="0B12ECA0">
            <w:pPr>
              <w:pStyle w:val="10"/>
              <w:ind w:left="-206" w:leftChars="-98" w:right="-166" w:rightChars="-79"/>
              <w:jc w:val="center"/>
              <w:rPr>
                <w:rFonts w:ascii="Times New Roman" w:hAnsi="Times New Roman" w:eastAsia="黑体"/>
                <w:color w:val="auto"/>
                <w:sz w:val="24"/>
                <w:highlight w:val="none"/>
                <w:lang w:val="en-US" w:eastAsia="zh-CN"/>
              </w:rPr>
            </w:pPr>
            <w:r>
              <w:rPr>
                <w:rFonts w:hint="eastAsia" w:ascii="Times New Roman" w:hAnsi="Times New Roman" w:eastAsia="黑体"/>
                <w:color w:val="auto"/>
                <w:sz w:val="24"/>
                <w:highlight w:val="none"/>
                <w:lang w:val="en-US" w:eastAsia="zh-CN"/>
              </w:rPr>
              <w:t>招标文件</w:t>
            </w:r>
            <w:r>
              <w:rPr>
                <w:rFonts w:ascii="Times New Roman" w:hAnsi="Times New Roman" w:eastAsia="黑体"/>
                <w:color w:val="auto"/>
                <w:sz w:val="24"/>
                <w:highlight w:val="none"/>
                <w:lang w:val="en-US" w:eastAsia="zh-CN"/>
              </w:rPr>
              <w:t>要求</w:t>
            </w:r>
          </w:p>
        </w:tc>
        <w:tc>
          <w:tcPr>
            <w:tcW w:w="1231" w:type="pct"/>
            <w:noWrap w:val="0"/>
            <w:vAlign w:val="center"/>
          </w:tcPr>
          <w:p w14:paraId="5C4E0612">
            <w:pPr>
              <w:pStyle w:val="10"/>
              <w:ind w:left="-48" w:leftChars="-23"/>
              <w:jc w:val="center"/>
              <w:rPr>
                <w:rFonts w:ascii="Times New Roman" w:hAnsi="Times New Roman" w:eastAsia="黑体"/>
                <w:color w:val="auto"/>
                <w:sz w:val="24"/>
                <w:highlight w:val="none"/>
                <w:lang w:val="en-US" w:eastAsia="zh-CN"/>
              </w:rPr>
            </w:pPr>
            <w:r>
              <w:rPr>
                <w:rFonts w:hint="eastAsia" w:ascii="Times New Roman" w:hAnsi="Times New Roman" w:eastAsia="黑体"/>
                <w:color w:val="auto"/>
                <w:sz w:val="24"/>
                <w:highlight w:val="none"/>
                <w:lang w:val="en-US" w:eastAsia="zh-CN"/>
              </w:rPr>
              <w:t>投标</w:t>
            </w:r>
            <w:r>
              <w:rPr>
                <w:rFonts w:ascii="Times New Roman" w:hAnsi="Times New Roman" w:eastAsia="黑体"/>
                <w:color w:val="auto"/>
                <w:sz w:val="24"/>
                <w:highlight w:val="none"/>
                <w:lang w:val="en-US" w:eastAsia="zh-CN"/>
              </w:rPr>
              <w:t>响应</w:t>
            </w:r>
          </w:p>
        </w:tc>
        <w:tc>
          <w:tcPr>
            <w:tcW w:w="895" w:type="pct"/>
            <w:noWrap w:val="0"/>
            <w:vAlign w:val="center"/>
          </w:tcPr>
          <w:p w14:paraId="5035CC4C">
            <w:pPr>
              <w:pStyle w:val="10"/>
              <w:ind w:left="-34" w:leftChars="-16"/>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偏离</w:t>
            </w:r>
          </w:p>
        </w:tc>
        <w:tc>
          <w:tcPr>
            <w:tcW w:w="878" w:type="pct"/>
            <w:noWrap w:val="0"/>
            <w:vAlign w:val="center"/>
          </w:tcPr>
          <w:p w14:paraId="19661A3E">
            <w:pPr>
              <w:pStyle w:val="10"/>
              <w:ind w:left="-82" w:leftChars="-39"/>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说明</w:t>
            </w:r>
          </w:p>
        </w:tc>
      </w:tr>
      <w:tr w14:paraId="662C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0" w:type="pct"/>
            <w:noWrap w:val="0"/>
            <w:vAlign w:val="top"/>
          </w:tcPr>
          <w:p w14:paraId="23D74C47">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454" w:type="pct"/>
            <w:noWrap w:val="0"/>
            <w:vAlign w:val="top"/>
          </w:tcPr>
          <w:p w14:paraId="07B692C8">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231" w:type="pct"/>
            <w:noWrap w:val="0"/>
            <w:vAlign w:val="top"/>
          </w:tcPr>
          <w:p w14:paraId="596E6D1B">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95" w:type="pct"/>
            <w:noWrap w:val="0"/>
            <w:vAlign w:val="top"/>
          </w:tcPr>
          <w:p w14:paraId="68121F85">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78" w:type="pct"/>
            <w:noWrap w:val="0"/>
            <w:vAlign w:val="top"/>
          </w:tcPr>
          <w:p w14:paraId="475AECDA">
            <w:pPr>
              <w:pStyle w:val="10"/>
              <w:spacing w:line="360" w:lineRule="auto"/>
              <w:ind w:left="1080" w:leftChars="257" w:hanging="540"/>
              <w:rPr>
                <w:rFonts w:ascii="Times New Roman" w:hAnsi="Times New Roman" w:eastAsia="仿宋_GB2312"/>
                <w:color w:val="auto"/>
                <w:sz w:val="24"/>
                <w:highlight w:val="none"/>
                <w:lang w:val="en-US" w:eastAsia="zh-CN"/>
              </w:rPr>
            </w:pPr>
          </w:p>
        </w:tc>
      </w:tr>
      <w:tr w14:paraId="5AF2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0" w:type="pct"/>
            <w:noWrap w:val="0"/>
            <w:vAlign w:val="top"/>
          </w:tcPr>
          <w:p w14:paraId="498E5CA3">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454" w:type="pct"/>
            <w:noWrap w:val="0"/>
            <w:vAlign w:val="top"/>
          </w:tcPr>
          <w:p w14:paraId="6125DF7A">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231" w:type="pct"/>
            <w:noWrap w:val="0"/>
            <w:vAlign w:val="top"/>
          </w:tcPr>
          <w:p w14:paraId="0F778BE2">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95" w:type="pct"/>
            <w:noWrap w:val="0"/>
            <w:vAlign w:val="top"/>
          </w:tcPr>
          <w:p w14:paraId="294A5130">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78" w:type="pct"/>
            <w:noWrap w:val="0"/>
            <w:vAlign w:val="top"/>
          </w:tcPr>
          <w:p w14:paraId="38835E50">
            <w:pPr>
              <w:pStyle w:val="10"/>
              <w:spacing w:line="360" w:lineRule="auto"/>
              <w:ind w:left="1080" w:leftChars="257" w:hanging="540"/>
              <w:rPr>
                <w:rFonts w:ascii="Times New Roman" w:hAnsi="Times New Roman" w:eastAsia="仿宋_GB2312"/>
                <w:color w:val="auto"/>
                <w:sz w:val="24"/>
                <w:highlight w:val="none"/>
                <w:lang w:val="en-US" w:eastAsia="zh-CN"/>
              </w:rPr>
            </w:pPr>
          </w:p>
        </w:tc>
      </w:tr>
      <w:tr w14:paraId="7AA2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0" w:type="pct"/>
            <w:noWrap w:val="0"/>
            <w:vAlign w:val="top"/>
          </w:tcPr>
          <w:p w14:paraId="743DDC8A">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454" w:type="pct"/>
            <w:noWrap w:val="0"/>
            <w:vAlign w:val="top"/>
          </w:tcPr>
          <w:p w14:paraId="3A171EA3">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231" w:type="pct"/>
            <w:noWrap w:val="0"/>
            <w:vAlign w:val="top"/>
          </w:tcPr>
          <w:p w14:paraId="1934385E">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95" w:type="pct"/>
            <w:noWrap w:val="0"/>
            <w:vAlign w:val="top"/>
          </w:tcPr>
          <w:p w14:paraId="4CC630FC">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78" w:type="pct"/>
            <w:noWrap w:val="0"/>
            <w:vAlign w:val="top"/>
          </w:tcPr>
          <w:p w14:paraId="114DEF34">
            <w:pPr>
              <w:pStyle w:val="10"/>
              <w:spacing w:line="360" w:lineRule="auto"/>
              <w:ind w:left="1080" w:leftChars="257" w:hanging="540"/>
              <w:rPr>
                <w:rFonts w:ascii="Times New Roman" w:hAnsi="Times New Roman" w:eastAsia="仿宋_GB2312"/>
                <w:color w:val="auto"/>
                <w:sz w:val="24"/>
                <w:highlight w:val="none"/>
                <w:lang w:val="en-US" w:eastAsia="zh-CN"/>
              </w:rPr>
            </w:pPr>
          </w:p>
        </w:tc>
      </w:tr>
      <w:tr w14:paraId="4BEB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0" w:type="pct"/>
            <w:noWrap w:val="0"/>
            <w:vAlign w:val="top"/>
          </w:tcPr>
          <w:p w14:paraId="2A32E40D">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454" w:type="pct"/>
            <w:noWrap w:val="0"/>
            <w:vAlign w:val="top"/>
          </w:tcPr>
          <w:p w14:paraId="2606BD6E">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231" w:type="pct"/>
            <w:noWrap w:val="0"/>
            <w:vAlign w:val="top"/>
          </w:tcPr>
          <w:p w14:paraId="55E503AD">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95" w:type="pct"/>
            <w:noWrap w:val="0"/>
            <w:vAlign w:val="top"/>
          </w:tcPr>
          <w:p w14:paraId="419D2671">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78" w:type="pct"/>
            <w:noWrap w:val="0"/>
            <w:vAlign w:val="top"/>
          </w:tcPr>
          <w:p w14:paraId="429665F7">
            <w:pPr>
              <w:pStyle w:val="10"/>
              <w:spacing w:line="360" w:lineRule="auto"/>
              <w:ind w:left="1080" w:leftChars="257" w:hanging="540"/>
              <w:rPr>
                <w:rFonts w:ascii="Times New Roman" w:hAnsi="Times New Roman" w:eastAsia="仿宋_GB2312"/>
                <w:color w:val="auto"/>
                <w:sz w:val="24"/>
                <w:highlight w:val="none"/>
                <w:lang w:val="en-US" w:eastAsia="zh-CN"/>
              </w:rPr>
            </w:pPr>
          </w:p>
        </w:tc>
      </w:tr>
      <w:tr w14:paraId="62C3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0" w:type="pct"/>
            <w:noWrap w:val="0"/>
            <w:vAlign w:val="top"/>
          </w:tcPr>
          <w:p w14:paraId="589EDB34">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454" w:type="pct"/>
            <w:noWrap w:val="0"/>
            <w:vAlign w:val="top"/>
          </w:tcPr>
          <w:p w14:paraId="6208A107">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231" w:type="pct"/>
            <w:noWrap w:val="0"/>
            <w:vAlign w:val="top"/>
          </w:tcPr>
          <w:p w14:paraId="18FD9AED">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95" w:type="pct"/>
            <w:noWrap w:val="0"/>
            <w:vAlign w:val="top"/>
          </w:tcPr>
          <w:p w14:paraId="1E785954">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78" w:type="pct"/>
            <w:noWrap w:val="0"/>
            <w:vAlign w:val="top"/>
          </w:tcPr>
          <w:p w14:paraId="1F74494F">
            <w:pPr>
              <w:pStyle w:val="10"/>
              <w:spacing w:line="360" w:lineRule="auto"/>
              <w:ind w:left="1080" w:leftChars="257" w:hanging="540"/>
              <w:rPr>
                <w:rFonts w:ascii="Times New Roman" w:hAnsi="Times New Roman" w:eastAsia="仿宋_GB2312"/>
                <w:color w:val="auto"/>
                <w:sz w:val="24"/>
                <w:highlight w:val="none"/>
                <w:lang w:val="en-US" w:eastAsia="zh-CN"/>
              </w:rPr>
            </w:pPr>
          </w:p>
        </w:tc>
      </w:tr>
      <w:tr w14:paraId="34A0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0" w:type="pct"/>
            <w:noWrap w:val="0"/>
            <w:vAlign w:val="top"/>
          </w:tcPr>
          <w:p w14:paraId="64783ED6">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454" w:type="pct"/>
            <w:noWrap w:val="0"/>
            <w:vAlign w:val="top"/>
          </w:tcPr>
          <w:p w14:paraId="3875B459">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231" w:type="pct"/>
            <w:noWrap w:val="0"/>
            <w:vAlign w:val="top"/>
          </w:tcPr>
          <w:p w14:paraId="3A40D506">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95" w:type="pct"/>
            <w:noWrap w:val="0"/>
            <w:vAlign w:val="top"/>
          </w:tcPr>
          <w:p w14:paraId="039F0B76">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78" w:type="pct"/>
            <w:noWrap w:val="0"/>
            <w:vAlign w:val="top"/>
          </w:tcPr>
          <w:p w14:paraId="419EA468">
            <w:pPr>
              <w:pStyle w:val="10"/>
              <w:spacing w:line="360" w:lineRule="auto"/>
              <w:ind w:left="1080" w:leftChars="257" w:hanging="540"/>
              <w:rPr>
                <w:rFonts w:ascii="Times New Roman" w:hAnsi="Times New Roman" w:eastAsia="仿宋_GB2312"/>
                <w:color w:val="auto"/>
                <w:sz w:val="24"/>
                <w:highlight w:val="none"/>
                <w:lang w:val="en-US" w:eastAsia="zh-CN"/>
              </w:rPr>
            </w:pPr>
          </w:p>
        </w:tc>
      </w:tr>
      <w:tr w14:paraId="2EC6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0" w:type="pct"/>
            <w:noWrap w:val="0"/>
            <w:vAlign w:val="top"/>
          </w:tcPr>
          <w:p w14:paraId="26CB2EAD">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454" w:type="pct"/>
            <w:noWrap w:val="0"/>
            <w:vAlign w:val="top"/>
          </w:tcPr>
          <w:p w14:paraId="08002FDE">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231" w:type="pct"/>
            <w:noWrap w:val="0"/>
            <w:vAlign w:val="top"/>
          </w:tcPr>
          <w:p w14:paraId="39E0ADE2">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95" w:type="pct"/>
            <w:noWrap w:val="0"/>
            <w:vAlign w:val="top"/>
          </w:tcPr>
          <w:p w14:paraId="028F0831">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78" w:type="pct"/>
            <w:noWrap w:val="0"/>
            <w:vAlign w:val="top"/>
          </w:tcPr>
          <w:p w14:paraId="2A5084DF">
            <w:pPr>
              <w:pStyle w:val="10"/>
              <w:spacing w:line="360" w:lineRule="auto"/>
              <w:ind w:left="1080" w:leftChars="257" w:hanging="540"/>
              <w:rPr>
                <w:rFonts w:ascii="Times New Roman" w:hAnsi="Times New Roman" w:eastAsia="仿宋_GB2312"/>
                <w:color w:val="auto"/>
                <w:sz w:val="24"/>
                <w:highlight w:val="none"/>
                <w:lang w:val="en-US" w:eastAsia="zh-CN"/>
              </w:rPr>
            </w:pPr>
          </w:p>
        </w:tc>
      </w:tr>
      <w:tr w14:paraId="43F4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0" w:type="pct"/>
            <w:noWrap w:val="0"/>
            <w:vAlign w:val="top"/>
          </w:tcPr>
          <w:p w14:paraId="6B21F343">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454" w:type="pct"/>
            <w:noWrap w:val="0"/>
            <w:vAlign w:val="top"/>
          </w:tcPr>
          <w:p w14:paraId="55F10D0B">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231" w:type="pct"/>
            <w:noWrap w:val="0"/>
            <w:vAlign w:val="top"/>
          </w:tcPr>
          <w:p w14:paraId="75A3FDD2">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95" w:type="pct"/>
            <w:noWrap w:val="0"/>
            <w:vAlign w:val="top"/>
          </w:tcPr>
          <w:p w14:paraId="3D11A04C">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78" w:type="pct"/>
            <w:noWrap w:val="0"/>
            <w:vAlign w:val="top"/>
          </w:tcPr>
          <w:p w14:paraId="381436F2">
            <w:pPr>
              <w:pStyle w:val="10"/>
              <w:spacing w:line="360" w:lineRule="auto"/>
              <w:ind w:left="1080" w:leftChars="257" w:hanging="540"/>
              <w:rPr>
                <w:rFonts w:ascii="Times New Roman" w:hAnsi="Times New Roman" w:eastAsia="仿宋_GB2312"/>
                <w:color w:val="auto"/>
                <w:sz w:val="24"/>
                <w:highlight w:val="none"/>
                <w:lang w:val="en-US" w:eastAsia="zh-CN"/>
              </w:rPr>
            </w:pPr>
          </w:p>
        </w:tc>
      </w:tr>
      <w:tr w14:paraId="7FB0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0" w:type="pct"/>
            <w:noWrap w:val="0"/>
            <w:vAlign w:val="top"/>
          </w:tcPr>
          <w:p w14:paraId="2567C868">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454" w:type="pct"/>
            <w:noWrap w:val="0"/>
            <w:vAlign w:val="top"/>
          </w:tcPr>
          <w:p w14:paraId="019A04B0">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231" w:type="pct"/>
            <w:noWrap w:val="0"/>
            <w:vAlign w:val="top"/>
          </w:tcPr>
          <w:p w14:paraId="071CDDEE">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95" w:type="pct"/>
            <w:noWrap w:val="0"/>
            <w:vAlign w:val="top"/>
          </w:tcPr>
          <w:p w14:paraId="02566AC2">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78" w:type="pct"/>
            <w:noWrap w:val="0"/>
            <w:vAlign w:val="top"/>
          </w:tcPr>
          <w:p w14:paraId="39B12A3F">
            <w:pPr>
              <w:pStyle w:val="10"/>
              <w:spacing w:line="360" w:lineRule="auto"/>
              <w:ind w:left="1080" w:leftChars="257" w:hanging="540"/>
              <w:rPr>
                <w:rFonts w:ascii="Times New Roman" w:hAnsi="Times New Roman" w:eastAsia="仿宋_GB2312"/>
                <w:color w:val="auto"/>
                <w:sz w:val="24"/>
                <w:highlight w:val="none"/>
                <w:lang w:val="en-US" w:eastAsia="zh-CN"/>
              </w:rPr>
            </w:pPr>
          </w:p>
        </w:tc>
      </w:tr>
      <w:tr w14:paraId="7BDC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0" w:type="pct"/>
            <w:noWrap w:val="0"/>
            <w:vAlign w:val="top"/>
          </w:tcPr>
          <w:p w14:paraId="736F2F3C">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454" w:type="pct"/>
            <w:noWrap w:val="0"/>
            <w:vAlign w:val="top"/>
          </w:tcPr>
          <w:p w14:paraId="5F7E46EA">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1231" w:type="pct"/>
            <w:noWrap w:val="0"/>
            <w:vAlign w:val="top"/>
          </w:tcPr>
          <w:p w14:paraId="2542F199">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95" w:type="pct"/>
            <w:noWrap w:val="0"/>
            <w:vAlign w:val="top"/>
          </w:tcPr>
          <w:p w14:paraId="69BC9505">
            <w:pPr>
              <w:pStyle w:val="10"/>
              <w:spacing w:line="360" w:lineRule="auto"/>
              <w:ind w:left="1080" w:leftChars="257" w:hanging="540"/>
              <w:rPr>
                <w:rFonts w:ascii="Times New Roman" w:hAnsi="Times New Roman" w:eastAsia="仿宋_GB2312"/>
                <w:color w:val="auto"/>
                <w:sz w:val="24"/>
                <w:highlight w:val="none"/>
                <w:lang w:val="en-US" w:eastAsia="zh-CN"/>
              </w:rPr>
            </w:pPr>
          </w:p>
        </w:tc>
        <w:tc>
          <w:tcPr>
            <w:tcW w:w="878" w:type="pct"/>
            <w:noWrap w:val="0"/>
            <w:vAlign w:val="top"/>
          </w:tcPr>
          <w:p w14:paraId="62960C63">
            <w:pPr>
              <w:pStyle w:val="10"/>
              <w:spacing w:line="360" w:lineRule="auto"/>
              <w:ind w:left="1080" w:leftChars="257" w:hanging="540"/>
              <w:rPr>
                <w:rFonts w:ascii="Times New Roman" w:hAnsi="Times New Roman" w:eastAsia="仿宋_GB2312"/>
                <w:color w:val="auto"/>
                <w:sz w:val="24"/>
                <w:highlight w:val="none"/>
                <w:lang w:val="en-US" w:eastAsia="zh-CN"/>
              </w:rPr>
            </w:pPr>
          </w:p>
        </w:tc>
      </w:tr>
    </w:tbl>
    <w:p w14:paraId="03DA5C78">
      <w:pPr>
        <w:pStyle w:val="10"/>
        <w:spacing w:line="360" w:lineRule="auto"/>
        <w:ind w:left="1080" w:leftChars="257" w:hanging="540"/>
        <w:rPr>
          <w:rFonts w:ascii="Times New Roman" w:hAnsi="Times New Roman" w:eastAsia="仿宋_GB2312"/>
          <w:color w:val="auto"/>
          <w:sz w:val="24"/>
          <w:highlight w:val="none"/>
        </w:rPr>
      </w:pPr>
    </w:p>
    <w:p w14:paraId="0C9436AF">
      <w:pPr>
        <w:spacing w:line="360" w:lineRule="auto"/>
        <w:ind w:firstLine="1920" w:firstLineChars="800"/>
        <w:rPr>
          <w:rFonts w:eastAsia="仿宋_GB2312"/>
          <w:color w:val="auto"/>
          <w:sz w:val="24"/>
          <w:highlight w:val="none"/>
        </w:rPr>
      </w:pPr>
      <w:r>
        <w:rPr>
          <w:rFonts w:hint="eastAsia" w:eastAsia="仿宋_GB2312"/>
          <w:color w:val="auto"/>
          <w:sz w:val="24"/>
          <w:highlight w:val="none"/>
          <w:lang w:val="en-US" w:eastAsia="zh-CN"/>
        </w:rPr>
        <w:t>投标人</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56111EE9">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14:paraId="6CFCC346">
      <w:pPr>
        <w:pStyle w:val="10"/>
        <w:tabs>
          <w:tab w:val="left" w:pos="5580"/>
        </w:tabs>
        <w:spacing w:line="360" w:lineRule="auto"/>
        <w:ind w:firstLine="1920" w:firstLineChars="800"/>
        <w:rPr>
          <w:rFonts w:ascii="Times New Roman" w:hAnsi="Times New Roman" w:eastAsia="仿宋_GB2312"/>
          <w:color w:val="auto"/>
          <w:sz w:val="24"/>
          <w:highlight w:val="none"/>
        </w:rPr>
      </w:pPr>
      <w:r>
        <w:rPr>
          <w:rFonts w:eastAsia="仿宋_GB2312"/>
          <w:color w:val="auto"/>
          <w:sz w:val="24"/>
          <w:highlight w:val="none"/>
        </w:rPr>
        <w:t>日    期：</w:t>
      </w:r>
      <w:r>
        <w:rPr>
          <w:rFonts w:eastAsia="仿宋_GB2312"/>
          <w:color w:val="auto"/>
          <w:sz w:val="32"/>
          <w:highlight w:val="none"/>
          <w:u w:val="single"/>
        </w:rPr>
        <w:t xml:space="preserve">                      </w:t>
      </w:r>
      <w:r>
        <w:rPr>
          <w:rFonts w:hint="eastAsia" w:eastAsia="仿宋_GB2312"/>
          <w:color w:val="auto"/>
          <w:sz w:val="32"/>
          <w:highlight w:val="none"/>
          <w:u w:val="single"/>
        </w:rPr>
        <w:t xml:space="preserve">      </w:t>
      </w:r>
    </w:p>
    <w:p w14:paraId="6A6D349F">
      <w:pPr>
        <w:pStyle w:val="10"/>
        <w:spacing w:line="360" w:lineRule="auto"/>
        <w:ind w:left="1080" w:leftChars="257" w:hanging="540"/>
        <w:rPr>
          <w:rFonts w:hint="eastAsia"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注：1. 对完全响应的条目在本表相应列中标注“○”。对有偏离的条目在本表相应列中标注“正偏离”或“负偏离”。并在“偏离简述”栏中加以说明。</w:t>
      </w:r>
    </w:p>
    <w:p w14:paraId="3FD89D81">
      <w:pPr>
        <w:pStyle w:val="10"/>
        <w:spacing w:line="360" w:lineRule="auto"/>
        <w:ind w:left="1080" w:leftChars="257" w:hanging="540"/>
        <w:rPr>
          <w:rFonts w:hint="eastAsia"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2. 正偏离是指应答的条件高于</w:t>
      </w:r>
      <w:r>
        <w:rPr>
          <w:rFonts w:hint="eastAsia" w:ascii="Times New Roman" w:hAnsi="Times New Roman" w:eastAsia="仿宋_GB2312"/>
          <w:color w:val="auto"/>
          <w:szCs w:val="21"/>
          <w:highlight w:val="none"/>
          <w:lang w:val="en-US" w:eastAsia="zh-CN"/>
        </w:rPr>
        <w:t>招标</w:t>
      </w:r>
      <w:r>
        <w:rPr>
          <w:rFonts w:hint="eastAsia" w:ascii="Times New Roman" w:hAnsi="Times New Roman" w:eastAsia="仿宋_GB2312"/>
          <w:color w:val="auto"/>
          <w:szCs w:val="21"/>
          <w:highlight w:val="none"/>
        </w:rPr>
        <w:t>文件要求，负偏离是指应答的条件低于</w:t>
      </w:r>
      <w:r>
        <w:rPr>
          <w:rFonts w:hint="eastAsia" w:ascii="Times New Roman" w:hAnsi="Times New Roman" w:eastAsia="仿宋_GB2312"/>
          <w:color w:val="auto"/>
          <w:szCs w:val="21"/>
          <w:highlight w:val="none"/>
          <w:lang w:eastAsia="zh-CN"/>
        </w:rPr>
        <w:t>招标文件</w:t>
      </w:r>
      <w:r>
        <w:rPr>
          <w:rFonts w:hint="eastAsia" w:ascii="Times New Roman" w:hAnsi="Times New Roman" w:eastAsia="仿宋_GB2312"/>
          <w:color w:val="auto"/>
          <w:szCs w:val="21"/>
          <w:highlight w:val="none"/>
        </w:rPr>
        <w:t>要求，正偏离项目不作扣分处理。</w:t>
      </w:r>
    </w:p>
    <w:p w14:paraId="5F877294">
      <w:pPr>
        <w:pStyle w:val="10"/>
        <w:spacing w:line="360" w:lineRule="auto"/>
        <w:ind w:left="1080" w:leftChars="257" w:hanging="540"/>
        <w:rPr>
          <w:rFonts w:hint="eastAsia"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3. </w:t>
      </w:r>
      <w:r>
        <w:rPr>
          <w:rFonts w:hint="eastAsia" w:ascii="Times New Roman" w:hAnsi="Times New Roman" w:eastAsia="仿宋_GB2312"/>
          <w:color w:val="auto"/>
          <w:szCs w:val="21"/>
          <w:highlight w:val="none"/>
          <w:lang w:eastAsia="zh-CN"/>
        </w:rPr>
        <w:t>投标人</w:t>
      </w:r>
      <w:r>
        <w:rPr>
          <w:rFonts w:hint="eastAsia" w:ascii="Times New Roman" w:hAnsi="Times New Roman" w:eastAsia="仿宋_GB2312"/>
          <w:color w:val="auto"/>
          <w:szCs w:val="21"/>
          <w:highlight w:val="none"/>
        </w:rPr>
        <w:t>须按照用户需求书逐条完整填写响应表。如果未完整填写响应表的各项内容则视作</w:t>
      </w:r>
      <w:r>
        <w:rPr>
          <w:rFonts w:hint="eastAsia" w:ascii="Times New Roman" w:hAnsi="Times New Roman" w:eastAsia="仿宋_GB2312"/>
          <w:color w:val="auto"/>
          <w:szCs w:val="21"/>
          <w:highlight w:val="none"/>
          <w:lang w:eastAsia="zh-CN"/>
        </w:rPr>
        <w:t>投标人</w:t>
      </w:r>
      <w:r>
        <w:rPr>
          <w:rFonts w:hint="eastAsia" w:ascii="Times New Roman" w:hAnsi="Times New Roman" w:eastAsia="仿宋_GB2312"/>
          <w:color w:val="auto"/>
          <w:szCs w:val="21"/>
          <w:highlight w:val="none"/>
        </w:rPr>
        <w:t>已经对</w:t>
      </w:r>
      <w:r>
        <w:rPr>
          <w:rFonts w:hint="eastAsia" w:ascii="Times New Roman" w:hAnsi="Times New Roman" w:eastAsia="仿宋_GB2312"/>
          <w:color w:val="auto"/>
          <w:szCs w:val="21"/>
          <w:highlight w:val="none"/>
          <w:lang w:eastAsia="zh-CN"/>
        </w:rPr>
        <w:t>招标文件</w:t>
      </w:r>
      <w:r>
        <w:rPr>
          <w:rFonts w:hint="eastAsia" w:ascii="Times New Roman" w:hAnsi="Times New Roman" w:eastAsia="仿宋_GB2312"/>
          <w:color w:val="auto"/>
          <w:szCs w:val="21"/>
          <w:highlight w:val="none"/>
        </w:rPr>
        <w:t>相关要求和内容完全理解并同意，其报价为在此基础上的完全价格。</w:t>
      </w:r>
    </w:p>
    <w:p w14:paraId="4A9D8681">
      <w:pPr>
        <w:pStyle w:val="10"/>
        <w:spacing w:line="360" w:lineRule="auto"/>
        <w:ind w:left="1080" w:leftChars="257" w:hanging="540"/>
        <w:rPr>
          <w:rFonts w:hint="eastAsia"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4. 在采购人与</w:t>
      </w:r>
      <w:r>
        <w:rPr>
          <w:rFonts w:hint="eastAsia" w:ascii="Times New Roman" w:hAnsi="Times New Roman" w:eastAsia="仿宋_GB2312"/>
          <w:color w:val="auto"/>
          <w:szCs w:val="21"/>
          <w:highlight w:val="none"/>
          <w:lang w:eastAsia="zh-CN"/>
        </w:rPr>
        <w:t>中标投标人</w:t>
      </w:r>
      <w:r>
        <w:rPr>
          <w:rFonts w:hint="eastAsia" w:ascii="Times New Roman" w:hAnsi="Times New Roman" w:eastAsia="仿宋_GB2312"/>
          <w:color w:val="auto"/>
          <w:szCs w:val="21"/>
          <w:highlight w:val="none"/>
        </w:rPr>
        <w:t>签订合同时，如</w:t>
      </w:r>
      <w:r>
        <w:rPr>
          <w:rFonts w:hint="eastAsia" w:ascii="Times New Roman" w:hAnsi="Times New Roman" w:eastAsia="仿宋_GB2312"/>
          <w:color w:val="auto"/>
          <w:szCs w:val="21"/>
          <w:highlight w:val="none"/>
          <w:lang w:eastAsia="zh-CN"/>
        </w:rPr>
        <w:t>中标投标人</w:t>
      </w:r>
      <w:r>
        <w:rPr>
          <w:rFonts w:hint="eastAsia" w:ascii="Times New Roman" w:hAnsi="Times New Roman" w:eastAsia="仿宋_GB2312"/>
          <w:color w:val="auto"/>
          <w:szCs w:val="21"/>
          <w:highlight w:val="none"/>
        </w:rPr>
        <w:t>未在响应文件“响应表”中列出偏离说明无论即将发生或已发生任何情形，均视为完全符合</w:t>
      </w:r>
      <w:r>
        <w:rPr>
          <w:rFonts w:hint="eastAsia" w:ascii="Times New Roman" w:hAnsi="Times New Roman" w:eastAsia="仿宋_GB2312"/>
          <w:color w:val="auto"/>
          <w:szCs w:val="21"/>
          <w:highlight w:val="none"/>
          <w:lang w:eastAsia="zh-CN"/>
        </w:rPr>
        <w:t>招标文件</w:t>
      </w:r>
      <w:r>
        <w:rPr>
          <w:rFonts w:hint="eastAsia" w:ascii="Times New Roman" w:hAnsi="Times New Roman" w:eastAsia="仿宋_GB2312"/>
          <w:color w:val="auto"/>
          <w:szCs w:val="21"/>
          <w:highlight w:val="none"/>
        </w:rPr>
        <w:t>要求，并写入合同。若</w:t>
      </w:r>
      <w:r>
        <w:rPr>
          <w:rFonts w:hint="eastAsia" w:ascii="Times New Roman" w:hAnsi="Times New Roman" w:eastAsia="仿宋_GB2312"/>
          <w:color w:val="auto"/>
          <w:szCs w:val="21"/>
          <w:highlight w:val="none"/>
          <w:lang w:eastAsia="zh-CN"/>
        </w:rPr>
        <w:t>中标投标人</w:t>
      </w:r>
      <w:r>
        <w:rPr>
          <w:rFonts w:hint="eastAsia" w:ascii="Times New Roman" w:hAnsi="Times New Roman" w:eastAsia="仿宋_GB2312"/>
          <w:color w:val="auto"/>
          <w:szCs w:val="21"/>
          <w:highlight w:val="none"/>
        </w:rPr>
        <w:t>在合同签订前，以上述事项为借口而不履行合同签订手续及执行合同，则视作拒绝与采购人签订合同。</w:t>
      </w:r>
    </w:p>
    <w:p w14:paraId="5DBB2140">
      <w:pPr>
        <w:rPr>
          <w:rFonts w:ascii="Times New Roman" w:hAnsi="Times New Roman" w:eastAsia="仿宋_GB2312"/>
          <w:color w:val="auto"/>
          <w:sz w:val="32"/>
          <w:szCs w:val="32"/>
          <w:highlight w:val="none"/>
        </w:rPr>
      </w:pPr>
      <w:bookmarkStart w:id="9" w:name="_Toc62194353"/>
      <w:bookmarkStart w:id="10" w:name="_Toc216582818"/>
      <w:bookmarkStart w:id="11" w:name="_Toc6000"/>
      <w:bookmarkStart w:id="12" w:name="_Toc60929141"/>
      <w:bookmarkStart w:id="13" w:name="_Toc60928909"/>
      <w:bookmarkStart w:id="14" w:name="_Toc532473510"/>
      <w:bookmarkStart w:id="15" w:name="_Toc515647821"/>
      <w:bookmarkStart w:id="16" w:name="_Toc23"/>
      <w:bookmarkStart w:id="17" w:name="_Toc1980"/>
      <w:r>
        <w:rPr>
          <w:rFonts w:ascii="Times New Roman" w:hAnsi="Times New Roman" w:eastAsia="仿宋_GB2312"/>
          <w:color w:val="auto"/>
          <w:sz w:val="32"/>
          <w:szCs w:val="32"/>
          <w:highlight w:val="none"/>
        </w:rPr>
        <w:br w:type="page"/>
      </w:r>
    </w:p>
    <w:p w14:paraId="6D3D438B">
      <w:pPr>
        <w:pStyle w:val="6"/>
        <w:ind w:firstLine="0" w:firstLineChars="0"/>
        <w:jc w:val="cente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商务条款偏离表</w:t>
      </w:r>
      <w:bookmarkEnd w:id="9"/>
      <w:bookmarkEnd w:id="10"/>
      <w:bookmarkEnd w:id="11"/>
      <w:bookmarkEnd w:id="12"/>
      <w:bookmarkEnd w:id="13"/>
    </w:p>
    <w:bookmarkEnd w:id="14"/>
    <w:bookmarkEnd w:id="15"/>
    <w:bookmarkEnd w:id="16"/>
    <w:bookmarkEnd w:id="17"/>
    <w:p w14:paraId="70E4B4CF">
      <w:pPr>
        <w:pStyle w:val="2"/>
        <w:tabs>
          <w:tab w:val="left" w:pos="567"/>
        </w:tabs>
        <w:rPr>
          <w:rFonts w:ascii="Times New Roman" w:hAnsi="Times New Roman" w:eastAsia="仿宋_GB2312"/>
          <w:color w:val="auto"/>
          <w:highlight w:val="none"/>
          <w:u w:val="single"/>
        </w:rPr>
      </w:pPr>
      <w:r>
        <w:rPr>
          <w:rFonts w:ascii="Times New Roman" w:hAnsi="Times New Roman" w:eastAsia="仿宋_GB2312"/>
          <w:color w:val="auto"/>
          <w:highlight w:val="none"/>
        </w:rPr>
        <w:t>项目编号：</w:t>
      </w:r>
    </w:p>
    <w:p w14:paraId="511F6896">
      <w:pPr>
        <w:pStyle w:val="10"/>
        <w:spacing w:line="360"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rPr>
        <w:t>项目名称：</w:t>
      </w:r>
    </w:p>
    <w:p w14:paraId="59FDDF61">
      <w:pPr>
        <w:pStyle w:val="10"/>
        <w:wordWrap w:val="0"/>
        <w:spacing w:line="360" w:lineRule="auto"/>
        <w:ind w:left="1080" w:leftChars="257" w:hanging="540"/>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标段:        </w:t>
      </w:r>
    </w:p>
    <w:tbl>
      <w:tblPr>
        <w:tblStyle w:val="1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14:paraId="3B14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5DE57E38">
            <w:pPr>
              <w:pStyle w:val="10"/>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序号</w:t>
            </w:r>
          </w:p>
        </w:tc>
        <w:tc>
          <w:tcPr>
            <w:tcW w:w="2040" w:type="dxa"/>
            <w:noWrap w:val="0"/>
            <w:vAlign w:val="center"/>
          </w:tcPr>
          <w:p w14:paraId="75D47415">
            <w:pPr>
              <w:pStyle w:val="10"/>
              <w:ind w:left="-206" w:leftChars="-98" w:right="-166" w:rightChars="-79"/>
              <w:jc w:val="center"/>
              <w:rPr>
                <w:rFonts w:ascii="Times New Roman" w:hAnsi="Times New Roman" w:eastAsia="黑体"/>
                <w:color w:val="auto"/>
                <w:sz w:val="24"/>
                <w:highlight w:val="none"/>
                <w:lang w:val="en-US" w:eastAsia="zh-CN"/>
              </w:rPr>
            </w:pPr>
            <w:r>
              <w:rPr>
                <w:rFonts w:hint="eastAsia" w:ascii="Times New Roman" w:hAnsi="Times New Roman" w:eastAsia="黑体"/>
                <w:color w:val="auto"/>
                <w:sz w:val="24"/>
                <w:highlight w:val="none"/>
                <w:lang w:val="en-US" w:eastAsia="zh-CN"/>
              </w:rPr>
              <w:t>招标文件</w:t>
            </w:r>
            <w:r>
              <w:rPr>
                <w:rFonts w:ascii="Times New Roman" w:hAnsi="Times New Roman" w:eastAsia="黑体"/>
                <w:color w:val="auto"/>
                <w:sz w:val="24"/>
                <w:highlight w:val="none"/>
                <w:lang w:val="en-US" w:eastAsia="zh-CN"/>
              </w:rPr>
              <w:t>要求</w:t>
            </w:r>
          </w:p>
        </w:tc>
        <w:tc>
          <w:tcPr>
            <w:tcW w:w="2520" w:type="dxa"/>
            <w:noWrap w:val="0"/>
            <w:vAlign w:val="center"/>
          </w:tcPr>
          <w:p w14:paraId="0E162207">
            <w:pPr>
              <w:pStyle w:val="10"/>
              <w:ind w:left="-48" w:leftChars="-23"/>
              <w:jc w:val="center"/>
              <w:rPr>
                <w:rFonts w:ascii="Times New Roman" w:hAnsi="Times New Roman" w:eastAsia="黑体"/>
                <w:color w:val="auto"/>
                <w:sz w:val="24"/>
                <w:highlight w:val="none"/>
                <w:lang w:val="en-US" w:eastAsia="zh-CN"/>
              </w:rPr>
            </w:pPr>
            <w:r>
              <w:rPr>
                <w:rFonts w:hint="eastAsia" w:ascii="Times New Roman" w:hAnsi="Times New Roman" w:eastAsia="黑体"/>
                <w:color w:val="auto"/>
                <w:sz w:val="24"/>
                <w:highlight w:val="none"/>
                <w:lang w:val="en-US" w:eastAsia="zh-CN"/>
              </w:rPr>
              <w:t>磋商</w:t>
            </w:r>
            <w:r>
              <w:rPr>
                <w:rFonts w:ascii="Times New Roman" w:hAnsi="Times New Roman" w:eastAsia="黑体"/>
                <w:color w:val="auto"/>
                <w:sz w:val="24"/>
                <w:highlight w:val="none"/>
                <w:lang w:val="en-US" w:eastAsia="zh-CN"/>
              </w:rPr>
              <w:t>响应</w:t>
            </w:r>
          </w:p>
        </w:tc>
        <w:tc>
          <w:tcPr>
            <w:tcW w:w="1792" w:type="dxa"/>
            <w:noWrap w:val="0"/>
            <w:vAlign w:val="center"/>
          </w:tcPr>
          <w:p w14:paraId="5F0338BB">
            <w:pPr>
              <w:pStyle w:val="10"/>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偏离</w:t>
            </w:r>
          </w:p>
        </w:tc>
        <w:tc>
          <w:tcPr>
            <w:tcW w:w="1628" w:type="dxa"/>
            <w:noWrap w:val="0"/>
            <w:vAlign w:val="center"/>
          </w:tcPr>
          <w:p w14:paraId="474960A3">
            <w:pPr>
              <w:pStyle w:val="10"/>
              <w:jc w:val="center"/>
              <w:rPr>
                <w:rFonts w:ascii="Times New Roman" w:hAnsi="Times New Roman" w:eastAsia="黑体"/>
                <w:color w:val="auto"/>
                <w:sz w:val="24"/>
                <w:highlight w:val="none"/>
                <w:lang w:val="en-US" w:eastAsia="zh-CN"/>
              </w:rPr>
            </w:pPr>
            <w:r>
              <w:rPr>
                <w:rFonts w:ascii="Times New Roman" w:hAnsi="Times New Roman" w:eastAsia="黑体"/>
                <w:color w:val="auto"/>
                <w:sz w:val="24"/>
                <w:highlight w:val="none"/>
                <w:lang w:val="en-US" w:eastAsia="zh-CN"/>
              </w:rPr>
              <w:t>说明</w:t>
            </w:r>
          </w:p>
        </w:tc>
      </w:tr>
      <w:tr w14:paraId="3F2C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04469F2A">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7E0260C5">
            <w:pPr>
              <w:jc w:val="center"/>
              <w:rPr>
                <w:rFonts w:hint="default" w:eastAsia="仿宋"/>
                <w:bCs/>
                <w:color w:val="auto"/>
                <w:sz w:val="24"/>
                <w:highlight w:val="none"/>
                <w:lang w:val="en-US" w:eastAsia="zh-CN"/>
              </w:rPr>
            </w:pPr>
            <w:r>
              <w:rPr>
                <w:rFonts w:hint="eastAsia" w:eastAsia="仿宋"/>
                <w:bCs/>
                <w:color w:val="auto"/>
                <w:sz w:val="24"/>
                <w:highlight w:val="none"/>
                <w:lang w:val="en-US" w:eastAsia="zh-CN"/>
              </w:rPr>
              <w:t>建设地点</w:t>
            </w:r>
          </w:p>
        </w:tc>
        <w:tc>
          <w:tcPr>
            <w:tcW w:w="2520" w:type="dxa"/>
            <w:noWrap w:val="0"/>
            <w:vAlign w:val="center"/>
          </w:tcPr>
          <w:p w14:paraId="1FADF4F6">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4AE37BE6">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4590A3CC">
            <w:pPr>
              <w:pStyle w:val="10"/>
              <w:ind w:left="1080" w:leftChars="257" w:hanging="540"/>
              <w:jc w:val="center"/>
              <w:rPr>
                <w:rFonts w:ascii="Times New Roman" w:hAnsi="Times New Roman" w:eastAsia="仿宋_GB2312"/>
                <w:color w:val="auto"/>
                <w:sz w:val="24"/>
                <w:highlight w:val="none"/>
                <w:lang w:val="en-US" w:eastAsia="zh-CN"/>
              </w:rPr>
            </w:pPr>
          </w:p>
        </w:tc>
      </w:tr>
      <w:tr w14:paraId="44B9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6E1DC8A8">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4D05FC0E">
            <w:pPr>
              <w:jc w:val="center"/>
              <w:rPr>
                <w:rFonts w:hint="default" w:eastAsia="仿宋"/>
                <w:bCs/>
                <w:color w:val="auto"/>
                <w:sz w:val="24"/>
                <w:highlight w:val="none"/>
                <w:lang w:val="en-US" w:eastAsia="zh-CN"/>
              </w:rPr>
            </w:pPr>
            <w:r>
              <w:rPr>
                <w:rFonts w:hint="eastAsia" w:eastAsia="仿宋"/>
                <w:bCs/>
                <w:color w:val="auto"/>
                <w:sz w:val="24"/>
                <w:highlight w:val="none"/>
                <w:lang w:val="en-US" w:eastAsia="zh-CN"/>
              </w:rPr>
              <w:t>工期</w:t>
            </w:r>
          </w:p>
        </w:tc>
        <w:tc>
          <w:tcPr>
            <w:tcW w:w="2520" w:type="dxa"/>
            <w:noWrap w:val="0"/>
            <w:vAlign w:val="center"/>
          </w:tcPr>
          <w:p w14:paraId="0A091F1D">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025EB2DE">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2A259954">
            <w:pPr>
              <w:pStyle w:val="10"/>
              <w:ind w:left="1080" w:leftChars="257" w:hanging="540"/>
              <w:jc w:val="center"/>
              <w:rPr>
                <w:rFonts w:ascii="Times New Roman" w:hAnsi="Times New Roman" w:eastAsia="仿宋_GB2312"/>
                <w:color w:val="auto"/>
                <w:sz w:val="24"/>
                <w:highlight w:val="none"/>
                <w:lang w:val="en-US" w:eastAsia="zh-CN"/>
              </w:rPr>
            </w:pPr>
          </w:p>
        </w:tc>
      </w:tr>
      <w:tr w14:paraId="20E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12FB00E7">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2E239577">
            <w:pPr>
              <w:jc w:val="center"/>
              <w:rPr>
                <w:rFonts w:hint="default" w:eastAsia="仿宋"/>
                <w:bCs/>
                <w:color w:val="auto"/>
                <w:sz w:val="24"/>
                <w:highlight w:val="none"/>
                <w:lang w:val="en-US" w:eastAsia="zh-CN"/>
              </w:rPr>
            </w:pPr>
            <w:r>
              <w:rPr>
                <w:rFonts w:hint="eastAsia" w:eastAsia="仿宋"/>
                <w:bCs/>
                <w:color w:val="auto"/>
                <w:sz w:val="24"/>
                <w:highlight w:val="none"/>
                <w:lang w:val="en-US" w:eastAsia="zh-CN"/>
              </w:rPr>
              <w:t>付款比例</w:t>
            </w:r>
          </w:p>
        </w:tc>
        <w:tc>
          <w:tcPr>
            <w:tcW w:w="2520" w:type="dxa"/>
            <w:noWrap w:val="0"/>
            <w:vAlign w:val="center"/>
          </w:tcPr>
          <w:p w14:paraId="78F0B20A">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5AB4EE2E">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182EE8D4">
            <w:pPr>
              <w:pStyle w:val="10"/>
              <w:ind w:left="1080" w:leftChars="257" w:hanging="540"/>
              <w:jc w:val="center"/>
              <w:rPr>
                <w:rFonts w:ascii="Times New Roman" w:hAnsi="Times New Roman" w:eastAsia="仿宋_GB2312"/>
                <w:color w:val="auto"/>
                <w:sz w:val="24"/>
                <w:highlight w:val="none"/>
                <w:lang w:val="en-US" w:eastAsia="zh-CN"/>
              </w:rPr>
            </w:pPr>
          </w:p>
        </w:tc>
      </w:tr>
      <w:tr w14:paraId="3900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58281DAB">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3533E4A7">
            <w:pPr>
              <w:jc w:val="center"/>
              <w:rPr>
                <w:rFonts w:hint="default" w:eastAsia="仿宋"/>
                <w:bCs/>
                <w:color w:val="auto"/>
                <w:sz w:val="24"/>
                <w:highlight w:val="none"/>
                <w:lang w:val="en-US" w:eastAsia="zh-CN"/>
              </w:rPr>
            </w:pPr>
            <w:r>
              <w:rPr>
                <w:rFonts w:hint="eastAsia" w:eastAsia="仿宋"/>
                <w:bCs/>
                <w:color w:val="auto"/>
                <w:sz w:val="24"/>
                <w:highlight w:val="none"/>
                <w:lang w:val="en-US" w:eastAsia="zh-CN"/>
              </w:rPr>
              <w:t>质量保修期</w:t>
            </w:r>
          </w:p>
        </w:tc>
        <w:tc>
          <w:tcPr>
            <w:tcW w:w="2520" w:type="dxa"/>
            <w:noWrap w:val="0"/>
            <w:vAlign w:val="center"/>
          </w:tcPr>
          <w:p w14:paraId="4C989944">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53C84DBC">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1F7A1D39">
            <w:pPr>
              <w:pStyle w:val="10"/>
              <w:ind w:left="1080" w:leftChars="257" w:hanging="540"/>
              <w:jc w:val="center"/>
              <w:rPr>
                <w:rFonts w:ascii="Times New Roman" w:hAnsi="Times New Roman" w:eastAsia="仿宋_GB2312"/>
                <w:color w:val="auto"/>
                <w:sz w:val="24"/>
                <w:highlight w:val="none"/>
                <w:lang w:val="en-US" w:eastAsia="zh-CN"/>
              </w:rPr>
            </w:pPr>
          </w:p>
        </w:tc>
      </w:tr>
      <w:tr w14:paraId="6399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35AE7E60">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41820F5F">
            <w:pPr>
              <w:jc w:val="center"/>
              <w:rPr>
                <w:rFonts w:eastAsia="仿宋"/>
                <w:bCs/>
                <w:color w:val="auto"/>
                <w:sz w:val="24"/>
                <w:highlight w:val="none"/>
              </w:rPr>
            </w:pPr>
          </w:p>
        </w:tc>
        <w:tc>
          <w:tcPr>
            <w:tcW w:w="2520" w:type="dxa"/>
            <w:noWrap w:val="0"/>
            <w:vAlign w:val="center"/>
          </w:tcPr>
          <w:p w14:paraId="51CB95FC">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69E590FB">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49494612">
            <w:pPr>
              <w:pStyle w:val="10"/>
              <w:ind w:left="1080" w:leftChars="257" w:hanging="540"/>
              <w:jc w:val="center"/>
              <w:rPr>
                <w:rFonts w:ascii="Times New Roman" w:hAnsi="Times New Roman" w:eastAsia="仿宋_GB2312"/>
                <w:color w:val="auto"/>
                <w:sz w:val="24"/>
                <w:highlight w:val="none"/>
                <w:lang w:val="en-US" w:eastAsia="zh-CN"/>
              </w:rPr>
            </w:pPr>
          </w:p>
        </w:tc>
      </w:tr>
      <w:tr w14:paraId="2FA6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001A450C">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12BD7770">
            <w:pPr>
              <w:jc w:val="center"/>
              <w:rPr>
                <w:rFonts w:eastAsia="仿宋"/>
                <w:bCs/>
                <w:color w:val="auto"/>
                <w:sz w:val="24"/>
                <w:highlight w:val="none"/>
              </w:rPr>
            </w:pPr>
            <w:r>
              <w:rPr>
                <w:rFonts w:eastAsia="仿宋"/>
                <w:bCs/>
                <w:color w:val="auto"/>
                <w:sz w:val="24"/>
                <w:highlight w:val="none"/>
              </w:rPr>
              <w:t>...</w:t>
            </w:r>
          </w:p>
        </w:tc>
        <w:tc>
          <w:tcPr>
            <w:tcW w:w="2520" w:type="dxa"/>
            <w:noWrap w:val="0"/>
            <w:vAlign w:val="center"/>
          </w:tcPr>
          <w:p w14:paraId="45E2E9DE">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786C9FFC">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73F7D1AE">
            <w:pPr>
              <w:pStyle w:val="10"/>
              <w:ind w:left="1080" w:leftChars="257" w:hanging="540"/>
              <w:jc w:val="center"/>
              <w:rPr>
                <w:rFonts w:ascii="Times New Roman" w:hAnsi="Times New Roman" w:eastAsia="仿宋_GB2312"/>
                <w:color w:val="auto"/>
                <w:sz w:val="24"/>
                <w:highlight w:val="none"/>
                <w:lang w:val="en-US" w:eastAsia="zh-CN"/>
              </w:rPr>
            </w:pPr>
          </w:p>
        </w:tc>
      </w:tr>
      <w:tr w14:paraId="12BB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752CD8FF">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12B7B05A">
            <w:pPr>
              <w:jc w:val="center"/>
              <w:rPr>
                <w:rFonts w:eastAsia="仿宋"/>
                <w:bCs/>
                <w:color w:val="auto"/>
                <w:sz w:val="24"/>
                <w:highlight w:val="none"/>
              </w:rPr>
            </w:pPr>
          </w:p>
        </w:tc>
        <w:tc>
          <w:tcPr>
            <w:tcW w:w="2520" w:type="dxa"/>
            <w:noWrap w:val="0"/>
            <w:vAlign w:val="center"/>
          </w:tcPr>
          <w:p w14:paraId="363D10C4">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1BA8D06B">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62E42291">
            <w:pPr>
              <w:pStyle w:val="10"/>
              <w:ind w:left="1080" w:leftChars="257" w:hanging="540"/>
              <w:jc w:val="center"/>
              <w:rPr>
                <w:rFonts w:ascii="Times New Roman" w:hAnsi="Times New Roman" w:eastAsia="仿宋_GB2312"/>
                <w:color w:val="auto"/>
                <w:sz w:val="24"/>
                <w:highlight w:val="none"/>
                <w:lang w:val="en-US" w:eastAsia="zh-CN"/>
              </w:rPr>
            </w:pPr>
          </w:p>
        </w:tc>
      </w:tr>
      <w:tr w14:paraId="32EE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2BA7C916">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3BA44183">
            <w:pPr>
              <w:jc w:val="center"/>
              <w:rPr>
                <w:rFonts w:eastAsia="仿宋"/>
                <w:bCs/>
                <w:color w:val="auto"/>
                <w:sz w:val="24"/>
                <w:highlight w:val="none"/>
              </w:rPr>
            </w:pPr>
          </w:p>
        </w:tc>
        <w:tc>
          <w:tcPr>
            <w:tcW w:w="2520" w:type="dxa"/>
            <w:noWrap w:val="0"/>
            <w:vAlign w:val="center"/>
          </w:tcPr>
          <w:p w14:paraId="6D06C7B1">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3C35CC59">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45155CC4">
            <w:pPr>
              <w:pStyle w:val="10"/>
              <w:ind w:left="1080" w:leftChars="257" w:hanging="540"/>
              <w:jc w:val="center"/>
              <w:rPr>
                <w:rFonts w:ascii="Times New Roman" w:hAnsi="Times New Roman" w:eastAsia="仿宋_GB2312"/>
                <w:color w:val="auto"/>
                <w:sz w:val="24"/>
                <w:highlight w:val="none"/>
                <w:lang w:val="en-US" w:eastAsia="zh-CN"/>
              </w:rPr>
            </w:pPr>
          </w:p>
        </w:tc>
      </w:tr>
      <w:tr w14:paraId="1530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65730267">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44BE9E52">
            <w:pPr>
              <w:pStyle w:val="10"/>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78D567D0">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3ECCCB8C">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5B31FAAA">
            <w:pPr>
              <w:pStyle w:val="10"/>
              <w:ind w:left="1080" w:leftChars="257" w:hanging="540"/>
              <w:jc w:val="center"/>
              <w:rPr>
                <w:rFonts w:ascii="Times New Roman" w:hAnsi="Times New Roman" w:eastAsia="仿宋_GB2312"/>
                <w:color w:val="auto"/>
                <w:sz w:val="24"/>
                <w:highlight w:val="none"/>
                <w:lang w:val="en-US" w:eastAsia="zh-CN"/>
              </w:rPr>
            </w:pPr>
          </w:p>
        </w:tc>
      </w:tr>
      <w:tr w14:paraId="0472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38F45A72">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48A53F4B">
            <w:pPr>
              <w:pStyle w:val="10"/>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7647498D">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3A516560">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15ABD13C">
            <w:pPr>
              <w:pStyle w:val="10"/>
              <w:ind w:left="1080" w:leftChars="257" w:hanging="540"/>
              <w:jc w:val="center"/>
              <w:rPr>
                <w:rFonts w:ascii="Times New Roman" w:hAnsi="Times New Roman" w:eastAsia="仿宋_GB2312"/>
                <w:color w:val="auto"/>
                <w:sz w:val="24"/>
                <w:highlight w:val="none"/>
                <w:lang w:val="en-US" w:eastAsia="zh-CN"/>
              </w:rPr>
            </w:pPr>
          </w:p>
        </w:tc>
      </w:tr>
      <w:tr w14:paraId="66DC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465304C5">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50C847ED">
            <w:pPr>
              <w:pStyle w:val="10"/>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05FCB4C3">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44410B8A">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28F9B2A5">
            <w:pPr>
              <w:pStyle w:val="10"/>
              <w:ind w:left="1080" w:leftChars="257" w:hanging="540"/>
              <w:jc w:val="center"/>
              <w:rPr>
                <w:rFonts w:ascii="Times New Roman" w:hAnsi="Times New Roman" w:eastAsia="仿宋_GB2312"/>
                <w:color w:val="auto"/>
                <w:sz w:val="24"/>
                <w:highlight w:val="none"/>
                <w:lang w:val="en-US" w:eastAsia="zh-CN"/>
              </w:rPr>
            </w:pPr>
          </w:p>
        </w:tc>
      </w:tr>
      <w:tr w14:paraId="6E2E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04563E16">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18FE8677">
            <w:pPr>
              <w:pStyle w:val="10"/>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6DA3143E">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4D20EA75">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1BA7398A">
            <w:pPr>
              <w:pStyle w:val="10"/>
              <w:ind w:left="1080" w:leftChars="257" w:hanging="540"/>
              <w:jc w:val="center"/>
              <w:rPr>
                <w:rFonts w:ascii="Times New Roman" w:hAnsi="Times New Roman" w:eastAsia="仿宋_GB2312"/>
                <w:color w:val="auto"/>
                <w:sz w:val="24"/>
                <w:highlight w:val="none"/>
                <w:lang w:val="en-US" w:eastAsia="zh-CN"/>
              </w:rPr>
            </w:pPr>
          </w:p>
        </w:tc>
      </w:tr>
      <w:tr w14:paraId="64C1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33343CEE">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5FCBE5F6">
            <w:pPr>
              <w:pStyle w:val="10"/>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75D20A64">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25A66C20">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4263D30D">
            <w:pPr>
              <w:pStyle w:val="10"/>
              <w:ind w:left="1080" w:leftChars="257" w:hanging="540"/>
              <w:jc w:val="center"/>
              <w:rPr>
                <w:rFonts w:ascii="Times New Roman" w:hAnsi="Times New Roman" w:eastAsia="仿宋_GB2312"/>
                <w:color w:val="auto"/>
                <w:sz w:val="24"/>
                <w:highlight w:val="none"/>
                <w:lang w:val="en-US" w:eastAsia="zh-CN"/>
              </w:rPr>
            </w:pPr>
          </w:p>
        </w:tc>
      </w:tr>
      <w:tr w14:paraId="72B9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1505E92F">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2CD73E5C">
            <w:pPr>
              <w:pStyle w:val="10"/>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4FE9D6D7">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38963A66">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734F0479">
            <w:pPr>
              <w:pStyle w:val="10"/>
              <w:ind w:left="1080" w:leftChars="257" w:hanging="540"/>
              <w:jc w:val="center"/>
              <w:rPr>
                <w:rFonts w:ascii="Times New Roman" w:hAnsi="Times New Roman" w:eastAsia="仿宋_GB2312"/>
                <w:color w:val="auto"/>
                <w:sz w:val="24"/>
                <w:highlight w:val="none"/>
                <w:lang w:val="en-US" w:eastAsia="zh-CN"/>
              </w:rPr>
            </w:pPr>
          </w:p>
        </w:tc>
      </w:tr>
      <w:tr w14:paraId="7349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5A5AF415">
            <w:pPr>
              <w:pStyle w:val="10"/>
              <w:ind w:left="1080" w:leftChars="257" w:hanging="540"/>
              <w:jc w:val="center"/>
              <w:rPr>
                <w:rFonts w:ascii="Times New Roman" w:hAnsi="Times New Roman" w:eastAsia="仿宋_GB2312"/>
                <w:color w:val="auto"/>
                <w:sz w:val="24"/>
                <w:highlight w:val="none"/>
                <w:lang w:val="en-US" w:eastAsia="zh-CN"/>
              </w:rPr>
            </w:pPr>
          </w:p>
        </w:tc>
        <w:tc>
          <w:tcPr>
            <w:tcW w:w="2040" w:type="dxa"/>
            <w:noWrap w:val="0"/>
            <w:vAlign w:val="center"/>
          </w:tcPr>
          <w:p w14:paraId="5A4F3A0E">
            <w:pPr>
              <w:pStyle w:val="10"/>
              <w:ind w:left="1080" w:leftChars="257" w:hanging="540"/>
              <w:jc w:val="center"/>
              <w:rPr>
                <w:rFonts w:ascii="Times New Roman" w:hAnsi="Times New Roman" w:eastAsia="仿宋_GB2312"/>
                <w:color w:val="auto"/>
                <w:sz w:val="24"/>
                <w:highlight w:val="none"/>
                <w:lang w:val="en-US" w:eastAsia="zh-CN"/>
              </w:rPr>
            </w:pPr>
          </w:p>
        </w:tc>
        <w:tc>
          <w:tcPr>
            <w:tcW w:w="2520" w:type="dxa"/>
            <w:noWrap w:val="0"/>
            <w:vAlign w:val="center"/>
          </w:tcPr>
          <w:p w14:paraId="68C4797A">
            <w:pPr>
              <w:pStyle w:val="10"/>
              <w:ind w:left="1080" w:leftChars="257" w:hanging="540"/>
              <w:jc w:val="center"/>
              <w:rPr>
                <w:rFonts w:ascii="Times New Roman" w:hAnsi="Times New Roman" w:eastAsia="仿宋_GB2312"/>
                <w:color w:val="auto"/>
                <w:sz w:val="24"/>
                <w:highlight w:val="none"/>
                <w:lang w:val="en-US" w:eastAsia="zh-CN"/>
              </w:rPr>
            </w:pPr>
          </w:p>
        </w:tc>
        <w:tc>
          <w:tcPr>
            <w:tcW w:w="1792" w:type="dxa"/>
            <w:noWrap w:val="0"/>
            <w:vAlign w:val="center"/>
          </w:tcPr>
          <w:p w14:paraId="7EEF9BD0">
            <w:pPr>
              <w:pStyle w:val="10"/>
              <w:ind w:left="1080" w:leftChars="257" w:hanging="540"/>
              <w:jc w:val="center"/>
              <w:rPr>
                <w:rFonts w:ascii="Times New Roman" w:hAnsi="Times New Roman" w:eastAsia="仿宋_GB2312"/>
                <w:color w:val="auto"/>
                <w:sz w:val="24"/>
                <w:highlight w:val="none"/>
                <w:lang w:val="en-US" w:eastAsia="zh-CN"/>
              </w:rPr>
            </w:pPr>
          </w:p>
        </w:tc>
        <w:tc>
          <w:tcPr>
            <w:tcW w:w="1628" w:type="dxa"/>
            <w:noWrap w:val="0"/>
            <w:vAlign w:val="center"/>
          </w:tcPr>
          <w:p w14:paraId="384AC925">
            <w:pPr>
              <w:pStyle w:val="10"/>
              <w:ind w:left="1080" w:leftChars="257" w:hanging="540"/>
              <w:jc w:val="center"/>
              <w:rPr>
                <w:rFonts w:ascii="Times New Roman" w:hAnsi="Times New Roman" w:eastAsia="仿宋_GB2312"/>
                <w:color w:val="auto"/>
                <w:sz w:val="24"/>
                <w:highlight w:val="none"/>
                <w:lang w:val="en-US" w:eastAsia="zh-CN"/>
              </w:rPr>
            </w:pPr>
          </w:p>
        </w:tc>
      </w:tr>
    </w:tbl>
    <w:p w14:paraId="5D0676B6">
      <w:pPr>
        <w:pStyle w:val="10"/>
        <w:spacing w:line="360"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rPr>
        <w:t>声明：除本商务偏离表中所列的偏离项目外，其他所有商务均完全响应“招标文件”中的要求</w:t>
      </w:r>
    </w:p>
    <w:p w14:paraId="0E313E15">
      <w:pPr>
        <w:pStyle w:val="10"/>
        <w:spacing w:line="360" w:lineRule="auto"/>
        <w:rPr>
          <w:rFonts w:ascii="Times New Roman" w:hAnsi="Times New Roman" w:eastAsia="仿宋_GB2312"/>
          <w:color w:val="auto"/>
          <w:sz w:val="24"/>
          <w:highlight w:val="none"/>
        </w:rPr>
      </w:pPr>
    </w:p>
    <w:p w14:paraId="6ABD54EB">
      <w:pPr>
        <w:spacing w:line="360" w:lineRule="auto"/>
        <w:ind w:firstLine="1920" w:firstLineChars="800"/>
        <w:rPr>
          <w:rFonts w:eastAsia="仿宋_GB2312"/>
          <w:color w:val="auto"/>
          <w:sz w:val="24"/>
          <w:highlight w:val="none"/>
        </w:rPr>
      </w:pPr>
      <w:bookmarkStart w:id="18" w:name="_Toc532473511"/>
      <w:bookmarkStart w:id="19" w:name="_Toc10725"/>
      <w:bookmarkStart w:id="20" w:name="_Toc515647823"/>
      <w:bookmarkStart w:id="21" w:name="_Toc21312"/>
      <w:r>
        <w:rPr>
          <w:rFonts w:hint="eastAsia" w:ascii="宋体" w:hAnsi="宋体"/>
          <w:color w:val="auto"/>
          <w:sz w:val="24"/>
          <w:szCs w:val="24"/>
          <w:highlight w:val="none"/>
          <w:lang w:val="en-US" w:eastAsia="zh-CN"/>
        </w:rPr>
        <w:t>投标人</w:t>
      </w:r>
      <w:r>
        <w:rPr>
          <w:rFonts w:eastAsia="仿宋_GB2312"/>
          <w:color w:val="auto"/>
          <w:sz w:val="24"/>
          <w:highlight w:val="none"/>
        </w:rPr>
        <w:t>（盖</w:t>
      </w:r>
      <w:r>
        <w:rPr>
          <w:rFonts w:hint="eastAsia" w:eastAsia="仿宋_GB2312"/>
          <w:color w:val="auto"/>
          <w:sz w:val="24"/>
          <w:highlight w:val="none"/>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14:paraId="59E87B6D">
      <w:pP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14:paraId="6FB368F4">
      <w:pPr>
        <w:pStyle w:val="10"/>
        <w:tabs>
          <w:tab w:val="left" w:pos="5580"/>
        </w:tabs>
        <w:spacing w:line="360" w:lineRule="auto"/>
        <w:ind w:firstLine="1920" w:firstLineChars="800"/>
        <w:rPr>
          <w:rFonts w:ascii="Times New Roman" w:hAnsi="Times New Roman" w:eastAsia="仿宋_GB2312"/>
          <w:color w:val="auto"/>
          <w:sz w:val="24"/>
          <w:highlight w:val="none"/>
        </w:rPr>
      </w:pPr>
      <w:r>
        <w:rPr>
          <w:rFonts w:eastAsia="仿宋_GB2312"/>
          <w:color w:val="auto"/>
          <w:sz w:val="24"/>
          <w:highlight w:val="none"/>
        </w:rPr>
        <w:t>日    期：</w:t>
      </w:r>
      <w:r>
        <w:rPr>
          <w:rFonts w:eastAsia="仿宋_GB2312"/>
          <w:color w:val="auto"/>
          <w:sz w:val="32"/>
          <w:highlight w:val="none"/>
          <w:u w:val="single"/>
        </w:rPr>
        <w:t xml:space="preserve">                     </w:t>
      </w:r>
      <w:r>
        <w:rPr>
          <w:rFonts w:hint="eastAsia" w:eastAsia="仿宋_GB2312"/>
          <w:color w:val="auto"/>
          <w:sz w:val="32"/>
          <w:highlight w:val="none"/>
          <w:u w:val="single"/>
        </w:rPr>
        <w:t xml:space="preserve">  </w:t>
      </w:r>
      <w:r>
        <w:rPr>
          <w:rFonts w:eastAsia="仿宋_GB2312"/>
          <w:color w:val="auto"/>
          <w:sz w:val="32"/>
          <w:highlight w:val="none"/>
          <w:u w:val="single"/>
        </w:rPr>
        <w:t xml:space="preserve"> </w:t>
      </w:r>
      <w:r>
        <w:rPr>
          <w:rFonts w:hint="eastAsia" w:eastAsia="仿宋_GB2312"/>
          <w:color w:val="auto"/>
          <w:sz w:val="32"/>
          <w:highlight w:val="none"/>
          <w:u w:val="single"/>
        </w:rPr>
        <w:t xml:space="preserve">    </w:t>
      </w:r>
    </w:p>
    <w:bookmarkEnd w:id="18"/>
    <w:bookmarkEnd w:id="19"/>
    <w:bookmarkEnd w:id="20"/>
    <w:bookmarkEnd w:id="21"/>
    <w:p w14:paraId="2569BB7D">
      <w:pPr>
        <w:rPr>
          <w:rFonts w:hint="eastAsia" w:ascii="宋体" w:hAnsi="宋体" w:eastAsia="宋体"/>
          <w:b w:val="0"/>
          <w:bCs w:val="0"/>
          <w:color w:val="auto"/>
          <w:highlight w:val="none"/>
        </w:rPr>
      </w:pPr>
      <w:r>
        <w:rPr>
          <w:rFonts w:hint="eastAsia" w:ascii="宋体" w:hAnsi="宋体" w:eastAsia="宋体"/>
          <w:b w:val="0"/>
          <w:bCs w:val="0"/>
          <w:color w:val="auto"/>
          <w:highlight w:val="none"/>
        </w:rPr>
        <w:br w:type="page"/>
      </w:r>
    </w:p>
    <w:p w14:paraId="77990877">
      <w:pPr>
        <w:pStyle w:val="7"/>
        <w:spacing w:line="360" w:lineRule="auto"/>
        <w:contextualSpacing/>
        <w:rPr>
          <w:rFonts w:ascii="宋体" w:hAnsi="宋体" w:eastAsia="宋体"/>
          <w:b w:val="0"/>
          <w:color w:val="auto"/>
          <w:highlight w:val="none"/>
        </w:rPr>
      </w:pPr>
      <w:r>
        <w:rPr>
          <w:rFonts w:hint="eastAsia" w:ascii="宋体" w:hAnsi="宋体" w:eastAsia="宋体"/>
          <w:b w:val="0"/>
          <w:bCs w:val="0"/>
          <w:color w:val="auto"/>
          <w:highlight w:val="none"/>
        </w:rPr>
        <w:t>附表</w:t>
      </w:r>
      <w:r>
        <w:rPr>
          <w:rFonts w:ascii="宋体" w:hAnsi="宋体" w:eastAsia="宋体"/>
          <w:b w:val="0"/>
          <w:bCs w:val="0"/>
          <w:color w:val="auto"/>
          <w:highlight w:val="none"/>
        </w:rPr>
        <w:t>1</w:t>
      </w:r>
      <w:r>
        <w:rPr>
          <w:rFonts w:hint="eastAsia" w:ascii="宋体" w:hAnsi="宋体" w:eastAsia="宋体"/>
          <w:b w:val="0"/>
          <w:bCs w:val="0"/>
          <w:color w:val="auto"/>
          <w:highlight w:val="none"/>
        </w:rPr>
        <w:t>：拟投入的主要施工机械设备表</w:t>
      </w:r>
    </w:p>
    <w:tbl>
      <w:tblPr>
        <w:tblStyle w:val="14"/>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72"/>
        <w:gridCol w:w="708"/>
        <w:gridCol w:w="567"/>
        <w:gridCol w:w="914"/>
        <w:gridCol w:w="992"/>
        <w:gridCol w:w="1417"/>
        <w:gridCol w:w="993"/>
        <w:gridCol w:w="992"/>
        <w:gridCol w:w="780"/>
      </w:tblGrid>
      <w:tr w14:paraId="16AE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67" w:type="dxa"/>
            <w:noWrap w:val="0"/>
            <w:vAlign w:val="center"/>
          </w:tcPr>
          <w:p w14:paraId="584B5F35">
            <w:pPr>
              <w:contextualSpacing/>
              <w:jc w:val="center"/>
              <w:rPr>
                <w:rFonts w:ascii="宋体" w:hAnsi="宋体"/>
                <w:color w:val="auto"/>
                <w:szCs w:val="21"/>
                <w:highlight w:val="none"/>
              </w:rPr>
            </w:pPr>
            <w:r>
              <w:rPr>
                <w:rFonts w:hint="eastAsia" w:ascii="宋体" w:hAnsi="宋体"/>
                <w:color w:val="auto"/>
                <w:szCs w:val="21"/>
                <w:highlight w:val="none"/>
              </w:rPr>
              <w:t>序号</w:t>
            </w:r>
          </w:p>
        </w:tc>
        <w:tc>
          <w:tcPr>
            <w:tcW w:w="1072" w:type="dxa"/>
            <w:noWrap w:val="0"/>
            <w:vAlign w:val="center"/>
          </w:tcPr>
          <w:p w14:paraId="4963B990">
            <w:pPr>
              <w:contextualSpacing/>
              <w:jc w:val="center"/>
              <w:rPr>
                <w:rFonts w:ascii="宋体" w:hAnsi="宋体"/>
                <w:color w:val="auto"/>
                <w:szCs w:val="21"/>
                <w:highlight w:val="none"/>
              </w:rPr>
            </w:pPr>
            <w:r>
              <w:rPr>
                <w:rFonts w:hint="eastAsia" w:ascii="宋体" w:hAnsi="宋体"/>
                <w:color w:val="auto"/>
                <w:szCs w:val="21"/>
                <w:highlight w:val="none"/>
              </w:rPr>
              <w:t>设备名称</w:t>
            </w:r>
          </w:p>
        </w:tc>
        <w:tc>
          <w:tcPr>
            <w:tcW w:w="708" w:type="dxa"/>
            <w:noWrap w:val="0"/>
            <w:vAlign w:val="center"/>
          </w:tcPr>
          <w:p w14:paraId="15EF36F1">
            <w:pPr>
              <w:contextualSpacing/>
              <w:jc w:val="center"/>
              <w:rPr>
                <w:rFonts w:ascii="宋体" w:hAnsi="宋体"/>
                <w:color w:val="auto"/>
                <w:szCs w:val="21"/>
                <w:highlight w:val="none"/>
              </w:rPr>
            </w:pPr>
            <w:r>
              <w:rPr>
                <w:rFonts w:hint="eastAsia" w:ascii="宋体" w:hAnsi="宋体"/>
                <w:color w:val="auto"/>
                <w:szCs w:val="21"/>
                <w:highlight w:val="none"/>
              </w:rPr>
              <w:t>型号</w:t>
            </w:r>
          </w:p>
          <w:p w14:paraId="71205A0A">
            <w:pPr>
              <w:contextualSpacing/>
              <w:jc w:val="center"/>
              <w:rPr>
                <w:rFonts w:ascii="宋体" w:hAnsi="宋体"/>
                <w:color w:val="auto"/>
                <w:szCs w:val="21"/>
                <w:highlight w:val="none"/>
              </w:rPr>
            </w:pPr>
            <w:r>
              <w:rPr>
                <w:rFonts w:hint="eastAsia" w:ascii="宋体" w:hAnsi="宋体"/>
                <w:color w:val="auto"/>
                <w:szCs w:val="21"/>
                <w:highlight w:val="none"/>
              </w:rPr>
              <w:t>规格</w:t>
            </w:r>
          </w:p>
        </w:tc>
        <w:tc>
          <w:tcPr>
            <w:tcW w:w="567" w:type="dxa"/>
            <w:noWrap w:val="0"/>
            <w:vAlign w:val="center"/>
          </w:tcPr>
          <w:p w14:paraId="283606F3">
            <w:pPr>
              <w:contextualSpacing/>
              <w:jc w:val="center"/>
              <w:rPr>
                <w:rFonts w:ascii="宋体" w:hAnsi="宋体"/>
                <w:color w:val="auto"/>
                <w:szCs w:val="21"/>
                <w:highlight w:val="none"/>
              </w:rPr>
            </w:pPr>
            <w:r>
              <w:rPr>
                <w:rFonts w:hint="eastAsia" w:ascii="宋体" w:hAnsi="宋体"/>
                <w:color w:val="auto"/>
                <w:szCs w:val="21"/>
                <w:highlight w:val="none"/>
              </w:rPr>
              <w:t>数量</w:t>
            </w:r>
          </w:p>
        </w:tc>
        <w:tc>
          <w:tcPr>
            <w:tcW w:w="914" w:type="dxa"/>
            <w:noWrap w:val="0"/>
            <w:vAlign w:val="center"/>
          </w:tcPr>
          <w:p w14:paraId="0DA520A5">
            <w:pPr>
              <w:contextualSpacing/>
              <w:jc w:val="center"/>
              <w:rPr>
                <w:rFonts w:ascii="宋体" w:hAnsi="宋体"/>
                <w:color w:val="auto"/>
                <w:szCs w:val="21"/>
                <w:highlight w:val="none"/>
              </w:rPr>
            </w:pPr>
            <w:r>
              <w:rPr>
                <w:rFonts w:hint="eastAsia" w:ascii="宋体" w:hAnsi="宋体"/>
                <w:color w:val="auto"/>
                <w:szCs w:val="21"/>
                <w:highlight w:val="none"/>
              </w:rPr>
              <w:t>国别</w:t>
            </w:r>
          </w:p>
          <w:p w14:paraId="6CABE4D1">
            <w:pPr>
              <w:contextualSpacing/>
              <w:jc w:val="center"/>
              <w:rPr>
                <w:rFonts w:ascii="宋体" w:hAnsi="宋体"/>
                <w:color w:val="auto"/>
                <w:szCs w:val="21"/>
                <w:highlight w:val="none"/>
              </w:rPr>
            </w:pPr>
            <w:r>
              <w:rPr>
                <w:rFonts w:hint="eastAsia" w:ascii="宋体" w:hAnsi="宋体"/>
                <w:color w:val="auto"/>
                <w:szCs w:val="21"/>
                <w:highlight w:val="none"/>
              </w:rPr>
              <w:t>产地</w:t>
            </w:r>
          </w:p>
        </w:tc>
        <w:tc>
          <w:tcPr>
            <w:tcW w:w="992" w:type="dxa"/>
            <w:noWrap w:val="0"/>
            <w:vAlign w:val="center"/>
          </w:tcPr>
          <w:p w14:paraId="13C3BB47">
            <w:pPr>
              <w:contextualSpacing/>
              <w:jc w:val="center"/>
              <w:rPr>
                <w:rFonts w:ascii="宋体" w:hAnsi="宋体"/>
                <w:color w:val="auto"/>
                <w:szCs w:val="21"/>
                <w:highlight w:val="none"/>
              </w:rPr>
            </w:pPr>
            <w:r>
              <w:rPr>
                <w:rFonts w:hint="eastAsia" w:ascii="宋体" w:hAnsi="宋体"/>
                <w:color w:val="auto"/>
                <w:szCs w:val="21"/>
                <w:highlight w:val="none"/>
              </w:rPr>
              <w:t>制造</w:t>
            </w:r>
          </w:p>
          <w:p w14:paraId="4902818A">
            <w:pPr>
              <w:contextualSpacing/>
              <w:jc w:val="center"/>
              <w:rPr>
                <w:rFonts w:ascii="宋体" w:hAnsi="宋体"/>
                <w:color w:val="auto"/>
                <w:szCs w:val="21"/>
                <w:highlight w:val="none"/>
              </w:rPr>
            </w:pPr>
            <w:r>
              <w:rPr>
                <w:rFonts w:hint="eastAsia" w:ascii="宋体" w:hAnsi="宋体"/>
                <w:color w:val="auto"/>
                <w:szCs w:val="21"/>
                <w:highlight w:val="none"/>
              </w:rPr>
              <w:t>年份</w:t>
            </w:r>
          </w:p>
        </w:tc>
        <w:tc>
          <w:tcPr>
            <w:tcW w:w="1417" w:type="dxa"/>
            <w:noWrap w:val="0"/>
            <w:vAlign w:val="center"/>
          </w:tcPr>
          <w:p w14:paraId="2196E771">
            <w:pPr>
              <w:contextualSpacing/>
              <w:jc w:val="center"/>
              <w:rPr>
                <w:rFonts w:ascii="宋体" w:hAnsi="宋体"/>
                <w:color w:val="auto"/>
                <w:szCs w:val="21"/>
                <w:highlight w:val="none"/>
              </w:rPr>
            </w:pPr>
            <w:r>
              <w:rPr>
                <w:rFonts w:hint="eastAsia" w:ascii="宋体" w:hAnsi="宋体"/>
                <w:color w:val="auto"/>
                <w:szCs w:val="21"/>
                <w:highlight w:val="none"/>
              </w:rPr>
              <w:t>额定功率</w:t>
            </w:r>
          </w:p>
          <w:p w14:paraId="43FCA46B">
            <w:pPr>
              <w:contextualSpacing/>
              <w:jc w:val="center"/>
              <w:rPr>
                <w:rFonts w:ascii="宋体" w:hAnsi="宋体"/>
                <w:color w:val="auto"/>
                <w:szCs w:val="21"/>
                <w:highlight w:val="none"/>
              </w:rPr>
            </w:pPr>
            <w:r>
              <w:rPr>
                <w:rFonts w:ascii="宋体" w:hAnsi="宋体"/>
                <w:color w:val="auto"/>
                <w:szCs w:val="21"/>
                <w:highlight w:val="none"/>
              </w:rPr>
              <w:t>( KW )</w:t>
            </w:r>
          </w:p>
        </w:tc>
        <w:tc>
          <w:tcPr>
            <w:tcW w:w="993" w:type="dxa"/>
            <w:noWrap w:val="0"/>
            <w:vAlign w:val="center"/>
          </w:tcPr>
          <w:p w14:paraId="04CB6788">
            <w:pPr>
              <w:contextualSpacing/>
              <w:jc w:val="center"/>
              <w:rPr>
                <w:rFonts w:ascii="宋体" w:hAnsi="宋体"/>
                <w:color w:val="auto"/>
                <w:szCs w:val="21"/>
                <w:highlight w:val="none"/>
              </w:rPr>
            </w:pPr>
            <w:r>
              <w:rPr>
                <w:rFonts w:hint="eastAsia" w:ascii="宋体" w:hAnsi="宋体"/>
                <w:color w:val="auto"/>
                <w:szCs w:val="21"/>
                <w:highlight w:val="none"/>
              </w:rPr>
              <w:t>生产</w:t>
            </w:r>
          </w:p>
          <w:p w14:paraId="0D2E50CD">
            <w:pPr>
              <w:contextualSpacing/>
              <w:jc w:val="center"/>
              <w:rPr>
                <w:rFonts w:ascii="宋体" w:hAnsi="宋体"/>
                <w:color w:val="auto"/>
                <w:szCs w:val="21"/>
                <w:highlight w:val="none"/>
              </w:rPr>
            </w:pPr>
            <w:r>
              <w:rPr>
                <w:rFonts w:hint="eastAsia" w:ascii="宋体" w:hAnsi="宋体"/>
                <w:color w:val="auto"/>
                <w:szCs w:val="21"/>
                <w:highlight w:val="none"/>
              </w:rPr>
              <w:t>能力</w:t>
            </w:r>
          </w:p>
        </w:tc>
        <w:tc>
          <w:tcPr>
            <w:tcW w:w="992" w:type="dxa"/>
            <w:noWrap w:val="0"/>
            <w:vAlign w:val="center"/>
          </w:tcPr>
          <w:p w14:paraId="5A03D922">
            <w:pPr>
              <w:contextualSpacing/>
              <w:jc w:val="center"/>
              <w:rPr>
                <w:rFonts w:ascii="宋体" w:hAnsi="宋体"/>
                <w:color w:val="auto"/>
                <w:szCs w:val="21"/>
                <w:highlight w:val="none"/>
              </w:rPr>
            </w:pPr>
            <w:r>
              <w:rPr>
                <w:rFonts w:hint="eastAsia" w:ascii="宋体" w:hAnsi="宋体"/>
                <w:color w:val="auto"/>
                <w:szCs w:val="21"/>
                <w:highlight w:val="none"/>
              </w:rPr>
              <w:t>用于施</w:t>
            </w:r>
          </w:p>
          <w:p w14:paraId="09F87CF0">
            <w:pPr>
              <w:contextualSpacing/>
              <w:jc w:val="center"/>
              <w:rPr>
                <w:rFonts w:ascii="宋体" w:hAnsi="宋体"/>
                <w:color w:val="auto"/>
                <w:szCs w:val="21"/>
                <w:highlight w:val="none"/>
              </w:rPr>
            </w:pPr>
            <w:r>
              <w:rPr>
                <w:rFonts w:hint="eastAsia" w:ascii="宋体" w:hAnsi="宋体"/>
                <w:color w:val="auto"/>
                <w:szCs w:val="21"/>
                <w:highlight w:val="none"/>
              </w:rPr>
              <w:t>工部位</w:t>
            </w:r>
          </w:p>
        </w:tc>
        <w:tc>
          <w:tcPr>
            <w:tcW w:w="780" w:type="dxa"/>
            <w:noWrap w:val="0"/>
            <w:vAlign w:val="center"/>
          </w:tcPr>
          <w:p w14:paraId="784CCFF2">
            <w:pPr>
              <w:contextualSpacing/>
              <w:jc w:val="center"/>
              <w:rPr>
                <w:rFonts w:ascii="宋体" w:hAnsi="宋体"/>
                <w:color w:val="auto"/>
                <w:szCs w:val="21"/>
                <w:highlight w:val="none"/>
              </w:rPr>
            </w:pPr>
            <w:r>
              <w:rPr>
                <w:rFonts w:hint="eastAsia" w:ascii="宋体" w:hAnsi="宋体"/>
                <w:color w:val="auto"/>
                <w:szCs w:val="21"/>
                <w:highlight w:val="none"/>
              </w:rPr>
              <w:t>备注</w:t>
            </w:r>
          </w:p>
        </w:tc>
      </w:tr>
      <w:tr w14:paraId="4E2C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67" w:type="dxa"/>
            <w:noWrap w:val="0"/>
            <w:vAlign w:val="center"/>
          </w:tcPr>
          <w:p w14:paraId="56787F61">
            <w:pPr>
              <w:contextualSpacing/>
              <w:jc w:val="center"/>
              <w:rPr>
                <w:rFonts w:ascii="宋体" w:hAnsi="宋体"/>
                <w:color w:val="auto"/>
                <w:szCs w:val="21"/>
                <w:highlight w:val="none"/>
              </w:rPr>
            </w:pPr>
          </w:p>
        </w:tc>
        <w:tc>
          <w:tcPr>
            <w:tcW w:w="1072" w:type="dxa"/>
            <w:noWrap w:val="0"/>
            <w:vAlign w:val="center"/>
          </w:tcPr>
          <w:p w14:paraId="6C91C38D">
            <w:pPr>
              <w:contextualSpacing/>
              <w:jc w:val="center"/>
              <w:rPr>
                <w:rFonts w:ascii="宋体" w:hAnsi="宋体"/>
                <w:color w:val="auto"/>
                <w:szCs w:val="21"/>
                <w:highlight w:val="none"/>
              </w:rPr>
            </w:pPr>
          </w:p>
        </w:tc>
        <w:tc>
          <w:tcPr>
            <w:tcW w:w="708" w:type="dxa"/>
            <w:noWrap w:val="0"/>
            <w:vAlign w:val="center"/>
          </w:tcPr>
          <w:p w14:paraId="1A44902E">
            <w:pPr>
              <w:contextualSpacing/>
              <w:jc w:val="center"/>
              <w:rPr>
                <w:rFonts w:ascii="宋体" w:hAnsi="宋体"/>
                <w:color w:val="auto"/>
                <w:szCs w:val="21"/>
                <w:highlight w:val="none"/>
              </w:rPr>
            </w:pPr>
          </w:p>
        </w:tc>
        <w:tc>
          <w:tcPr>
            <w:tcW w:w="567" w:type="dxa"/>
            <w:noWrap w:val="0"/>
            <w:vAlign w:val="center"/>
          </w:tcPr>
          <w:p w14:paraId="59CFF8FE">
            <w:pPr>
              <w:contextualSpacing/>
              <w:jc w:val="center"/>
              <w:rPr>
                <w:rFonts w:ascii="宋体" w:hAnsi="宋体"/>
                <w:color w:val="auto"/>
                <w:szCs w:val="21"/>
                <w:highlight w:val="none"/>
              </w:rPr>
            </w:pPr>
          </w:p>
        </w:tc>
        <w:tc>
          <w:tcPr>
            <w:tcW w:w="914" w:type="dxa"/>
            <w:noWrap w:val="0"/>
            <w:vAlign w:val="center"/>
          </w:tcPr>
          <w:p w14:paraId="284BB7B7">
            <w:pPr>
              <w:contextualSpacing/>
              <w:jc w:val="center"/>
              <w:rPr>
                <w:rFonts w:ascii="宋体" w:hAnsi="宋体"/>
                <w:color w:val="auto"/>
                <w:szCs w:val="21"/>
                <w:highlight w:val="none"/>
              </w:rPr>
            </w:pPr>
          </w:p>
        </w:tc>
        <w:tc>
          <w:tcPr>
            <w:tcW w:w="992" w:type="dxa"/>
            <w:noWrap w:val="0"/>
            <w:vAlign w:val="center"/>
          </w:tcPr>
          <w:p w14:paraId="33F563A7">
            <w:pPr>
              <w:contextualSpacing/>
              <w:jc w:val="center"/>
              <w:rPr>
                <w:rFonts w:ascii="宋体" w:hAnsi="宋体"/>
                <w:color w:val="auto"/>
                <w:szCs w:val="21"/>
                <w:highlight w:val="none"/>
              </w:rPr>
            </w:pPr>
          </w:p>
        </w:tc>
        <w:tc>
          <w:tcPr>
            <w:tcW w:w="1417" w:type="dxa"/>
            <w:noWrap w:val="0"/>
            <w:vAlign w:val="center"/>
          </w:tcPr>
          <w:p w14:paraId="526CD93C">
            <w:pPr>
              <w:contextualSpacing/>
              <w:jc w:val="center"/>
              <w:rPr>
                <w:rFonts w:ascii="宋体" w:hAnsi="宋体"/>
                <w:color w:val="auto"/>
                <w:szCs w:val="21"/>
                <w:highlight w:val="none"/>
              </w:rPr>
            </w:pPr>
          </w:p>
        </w:tc>
        <w:tc>
          <w:tcPr>
            <w:tcW w:w="993" w:type="dxa"/>
            <w:noWrap w:val="0"/>
            <w:vAlign w:val="center"/>
          </w:tcPr>
          <w:p w14:paraId="415F2DE9">
            <w:pPr>
              <w:contextualSpacing/>
              <w:jc w:val="center"/>
              <w:rPr>
                <w:rFonts w:ascii="宋体" w:hAnsi="宋体"/>
                <w:color w:val="auto"/>
                <w:szCs w:val="21"/>
                <w:highlight w:val="none"/>
              </w:rPr>
            </w:pPr>
          </w:p>
        </w:tc>
        <w:tc>
          <w:tcPr>
            <w:tcW w:w="992" w:type="dxa"/>
            <w:noWrap w:val="0"/>
            <w:vAlign w:val="center"/>
          </w:tcPr>
          <w:p w14:paraId="7D143B5F">
            <w:pPr>
              <w:contextualSpacing/>
              <w:jc w:val="center"/>
              <w:rPr>
                <w:rFonts w:ascii="宋体" w:hAnsi="宋体"/>
                <w:color w:val="auto"/>
                <w:szCs w:val="21"/>
                <w:highlight w:val="none"/>
              </w:rPr>
            </w:pPr>
          </w:p>
        </w:tc>
        <w:tc>
          <w:tcPr>
            <w:tcW w:w="780" w:type="dxa"/>
            <w:noWrap w:val="0"/>
            <w:vAlign w:val="center"/>
          </w:tcPr>
          <w:p w14:paraId="09394538">
            <w:pPr>
              <w:contextualSpacing/>
              <w:jc w:val="center"/>
              <w:rPr>
                <w:rFonts w:ascii="宋体" w:hAnsi="宋体"/>
                <w:color w:val="auto"/>
                <w:szCs w:val="21"/>
                <w:highlight w:val="none"/>
              </w:rPr>
            </w:pPr>
          </w:p>
        </w:tc>
      </w:tr>
      <w:tr w14:paraId="1FB7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jc w:val="center"/>
        </w:trPr>
        <w:tc>
          <w:tcPr>
            <w:tcW w:w="567" w:type="dxa"/>
            <w:noWrap w:val="0"/>
            <w:vAlign w:val="center"/>
          </w:tcPr>
          <w:p w14:paraId="6C66C7C5">
            <w:pPr>
              <w:contextualSpacing/>
              <w:jc w:val="center"/>
              <w:rPr>
                <w:rFonts w:ascii="宋体" w:hAnsi="宋体"/>
                <w:color w:val="auto"/>
                <w:szCs w:val="21"/>
                <w:highlight w:val="none"/>
              </w:rPr>
            </w:pPr>
          </w:p>
        </w:tc>
        <w:tc>
          <w:tcPr>
            <w:tcW w:w="1072" w:type="dxa"/>
            <w:noWrap w:val="0"/>
            <w:vAlign w:val="center"/>
          </w:tcPr>
          <w:p w14:paraId="2DAF3AFC">
            <w:pPr>
              <w:contextualSpacing/>
              <w:jc w:val="center"/>
              <w:rPr>
                <w:rFonts w:ascii="宋体" w:hAnsi="宋体"/>
                <w:color w:val="auto"/>
                <w:szCs w:val="21"/>
                <w:highlight w:val="none"/>
              </w:rPr>
            </w:pPr>
          </w:p>
        </w:tc>
        <w:tc>
          <w:tcPr>
            <w:tcW w:w="708" w:type="dxa"/>
            <w:noWrap w:val="0"/>
            <w:vAlign w:val="center"/>
          </w:tcPr>
          <w:p w14:paraId="0F220AEF">
            <w:pPr>
              <w:contextualSpacing/>
              <w:jc w:val="center"/>
              <w:rPr>
                <w:rFonts w:ascii="宋体" w:hAnsi="宋体"/>
                <w:color w:val="auto"/>
                <w:szCs w:val="21"/>
                <w:highlight w:val="none"/>
              </w:rPr>
            </w:pPr>
          </w:p>
        </w:tc>
        <w:tc>
          <w:tcPr>
            <w:tcW w:w="567" w:type="dxa"/>
            <w:noWrap w:val="0"/>
            <w:vAlign w:val="center"/>
          </w:tcPr>
          <w:p w14:paraId="2C1AC3E0">
            <w:pPr>
              <w:contextualSpacing/>
              <w:jc w:val="center"/>
              <w:rPr>
                <w:rFonts w:ascii="宋体" w:hAnsi="宋体"/>
                <w:color w:val="auto"/>
                <w:szCs w:val="21"/>
                <w:highlight w:val="none"/>
              </w:rPr>
            </w:pPr>
          </w:p>
        </w:tc>
        <w:tc>
          <w:tcPr>
            <w:tcW w:w="914" w:type="dxa"/>
            <w:noWrap w:val="0"/>
            <w:vAlign w:val="center"/>
          </w:tcPr>
          <w:p w14:paraId="2717B447">
            <w:pPr>
              <w:contextualSpacing/>
              <w:jc w:val="center"/>
              <w:rPr>
                <w:rFonts w:ascii="宋体" w:hAnsi="宋体"/>
                <w:color w:val="auto"/>
                <w:szCs w:val="21"/>
                <w:highlight w:val="none"/>
              </w:rPr>
            </w:pPr>
          </w:p>
        </w:tc>
        <w:tc>
          <w:tcPr>
            <w:tcW w:w="992" w:type="dxa"/>
            <w:noWrap w:val="0"/>
            <w:vAlign w:val="center"/>
          </w:tcPr>
          <w:p w14:paraId="543A4504">
            <w:pPr>
              <w:contextualSpacing/>
              <w:jc w:val="center"/>
              <w:rPr>
                <w:rFonts w:ascii="宋体" w:hAnsi="宋体"/>
                <w:color w:val="auto"/>
                <w:szCs w:val="21"/>
                <w:highlight w:val="none"/>
              </w:rPr>
            </w:pPr>
          </w:p>
        </w:tc>
        <w:tc>
          <w:tcPr>
            <w:tcW w:w="1417" w:type="dxa"/>
            <w:noWrap w:val="0"/>
            <w:vAlign w:val="center"/>
          </w:tcPr>
          <w:p w14:paraId="3DF935BB">
            <w:pPr>
              <w:contextualSpacing/>
              <w:jc w:val="center"/>
              <w:rPr>
                <w:rFonts w:ascii="宋体" w:hAnsi="宋体"/>
                <w:color w:val="auto"/>
                <w:szCs w:val="21"/>
                <w:highlight w:val="none"/>
              </w:rPr>
            </w:pPr>
          </w:p>
        </w:tc>
        <w:tc>
          <w:tcPr>
            <w:tcW w:w="993" w:type="dxa"/>
            <w:noWrap w:val="0"/>
            <w:vAlign w:val="center"/>
          </w:tcPr>
          <w:p w14:paraId="3CEB0A3F">
            <w:pPr>
              <w:contextualSpacing/>
              <w:jc w:val="center"/>
              <w:rPr>
                <w:rFonts w:ascii="宋体" w:hAnsi="宋体"/>
                <w:color w:val="auto"/>
                <w:szCs w:val="21"/>
                <w:highlight w:val="none"/>
              </w:rPr>
            </w:pPr>
          </w:p>
        </w:tc>
        <w:tc>
          <w:tcPr>
            <w:tcW w:w="992" w:type="dxa"/>
            <w:noWrap w:val="0"/>
            <w:vAlign w:val="center"/>
          </w:tcPr>
          <w:p w14:paraId="7583FC22">
            <w:pPr>
              <w:contextualSpacing/>
              <w:jc w:val="center"/>
              <w:rPr>
                <w:rFonts w:ascii="宋体" w:hAnsi="宋体"/>
                <w:color w:val="auto"/>
                <w:szCs w:val="21"/>
                <w:highlight w:val="none"/>
              </w:rPr>
            </w:pPr>
          </w:p>
        </w:tc>
        <w:tc>
          <w:tcPr>
            <w:tcW w:w="780" w:type="dxa"/>
            <w:noWrap w:val="0"/>
            <w:vAlign w:val="center"/>
          </w:tcPr>
          <w:p w14:paraId="0896A3FA">
            <w:pPr>
              <w:contextualSpacing/>
              <w:jc w:val="center"/>
              <w:rPr>
                <w:rFonts w:ascii="宋体" w:hAnsi="宋体"/>
                <w:color w:val="auto"/>
                <w:szCs w:val="21"/>
                <w:highlight w:val="none"/>
              </w:rPr>
            </w:pPr>
          </w:p>
        </w:tc>
      </w:tr>
      <w:tr w14:paraId="13EF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67" w:type="dxa"/>
            <w:noWrap w:val="0"/>
            <w:vAlign w:val="center"/>
          </w:tcPr>
          <w:p w14:paraId="2565068D">
            <w:pPr>
              <w:contextualSpacing/>
              <w:jc w:val="center"/>
              <w:rPr>
                <w:rFonts w:ascii="宋体" w:hAnsi="宋体"/>
                <w:color w:val="auto"/>
                <w:szCs w:val="21"/>
                <w:highlight w:val="none"/>
              </w:rPr>
            </w:pPr>
          </w:p>
        </w:tc>
        <w:tc>
          <w:tcPr>
            <w:tcW w:w="1072" w:type="dxa"/>
            <w:noWrap w:val="0"/>
            <w:vAlign w:val="center"/>
          </w:tcPr>
          <w:p w14:paraId="0026941D">
            <w:pPr>
              <w:contextualSpacing/>
              <w:jc w:val="center"/>
              <w:rPr>
                <w:rFonts w:ascii="宋体" w:hAnsi="宋体"/>
                <w:color w:val="auto"/>
                <w:szCs w:val="21"/>
                <w:highlight w:val="none"/>
              </w:rPr>
            </w:pPr>
          </w:p>
        </w:tc>
        <w:tc>
          <w:tcPr>
            <w:tcW w:w="708" w:type="dxa"/>
            <w:noWrap w:val="0"/>
            <w:vAlign w:val="center"/>
          </w:tcPr>
          <w:p w14:paraId="1EAF1882">
            <w:pPr>
              <w:contextualSpacing/>
              <w:jc w:val="center"/>
              <w:rPr>
                <w:rFonts w:ascii="宋体" w:hAnsi="宋体"/>
                <w:color w:val="auto"/>
                <w:szCs w:val="21"/>
                <w:highlight w:val="none"/>
              </w:rPr>
            </w:pPr>
          </w:p>
        </w:tc>
        <w:tc>
          <w:tcPr>
            <w:tcW w:w="567" w:type="dxa"/>
            <w:noWrap w:val="0"/>
            <w:vAlign w:val="center"/>
          </w:tcPr>
          <w:p w14:paraId="754A63CA">
            <w:pPr>
              <w:contextualSpacing/>
              <w:jc w:val="center"/>
              <w:rPr>
                <w:rFonts w:ascii="宋体" w:hAnsi="宋体"/>
                <w:color w:val="auto"/>
                <w:szCs w:val="21"/>
                <w:highlight w:val="none"/>
              </w:rPr>
            </w:pPr>
          </w:p>
        </w:tc>
        <w:tc>
          <w:tcPr>
            <w:tcW w:w="914" w:type="dxa"/>
            <w:noWrap w:val="0"/>
            <w:vAlign w:val="center"/>
          </w:tcPr>
          <w:p w14:paraId="451FD728">
            <w:pPr>
              <w:contextualSpacing/>
              <w:jc w:val="center"/>
              <w:rPr>
                <w:rFonts w:ascii="宋体" w:hAnsi="宋体"/>
                <w:color w:val="auto"/>
                <w:szCs w:val="21"/>
                <w:highlight w:val="none"/>
              </w:rPr>
            </w:pPr>
          </w:p>
        </w:tc>
        <w:tc>
          <w:tcPr>
            <w:tcW w:w="992" w:type="dxa"/>
            <w:noWrap w:val="0"/>
            <w:vAlign w:val="center"/>
          </w:tcPr>
          <w:p w14:paraId="20809E43">
            <w:pPr>
              <w:contextualSpacing/>
              <w:jc w:val="center"/>
              <w:rPr>
                <w:rFonts w:ascii="宋体" w:hAnsi="宋体"/>
                <w:color w:val="auto"/>
                <w:szCs w:val="21"/>
                <w:highlight w:val="none"/>
              </w:rPr>
            </w:pPr>
          </w:p>
        </w:tc>
        <w:tc>
          <w:tcPr>
            <w:tcW w:w="1417" w:type="dxa"/>
            <w:noWrap w:val="0"/>
            <w:vAlign w:val="center"/>
          </w:tcPr>
          <w:p w14:paraId="1BA57C38">
            <w:pPr>
              <w:contextualSpacing/>
              <w:jc w:val="center"/>
              <w:rPr>
                <w:rFonts w:ascii="宋体" w:hAnsi="宋体"/>
                <w:color w:val="auto"/>
                <w:szCs w:val="21"/>
                <w:highlight w:val="none"/>
              </w:rPr>
            </w:pPr>
          </w:p>
        </w:tc>
        <w:tc>
          <w:tcPr>
            <w:tcW w:w="993" w:type="dxa"/>
            <w:noWrap w:val="0"/>
            <w:vAlign w:val="center"/>
          </w:tcPr>
          <w:p w14:paraId="3A46998D">
            <w:pPr>
              <w:contextualSpacing/>
              <w:jc w:val="center"/>
              <w:rPr>
                <w:rFonts w:ascii="宋体" w:hAnsi="宋体"/>
                <w:color w:val="auto"/>
                <w:szCs w:val="21"/>
                <w:highlight w:val="none"/>
              </w:rPr>
            </w:pPr>
          </w:p>
        </w:tc>
        <w:tc>
          <w:tcPr>
            <w:tcW w:w="992" w:type="dxa"/>
            <w:noWrap w:val="0"/>
            <w:vAlign w:val="center"/>
          </w:tcPr>
          <w:p w14:paraId="7FE10529">
            <w:pPr>
              <w:contextualSpacing/>
              <w:jc w:val="center"/>
              <w:rPr>
                <w:rFonts w:ascii="宋体" w:hAnsi="宋体"/>
                <w:color w:val="auto"/>
                <w:szCs w:val="21"/>
                <w:highlight w:val="none"/>
              </w:rPr>
            </w:pPr>
          </w:p>
        </w:tc>
        <w:tc>
          <w:tcPr>
            <w:tcW w:w="780" w:type="dxa"/>
            <w:noWrap w:val="0"/>
            <w:vAlign w:val="center"/>
          </w:tcPr>
          <w:p w14:paraId="6E57935E">
            <w:pPr>
              <w:contextualSpacing/>
              <w:jc w:val="center"/>
              <w:rPr>
                <w:rFonts w:ascii="宋体" w:hAnsi="宋体"/>
                <w:color w:val="auto"/>
                <w:szCs w:val="21"/>
                <w:highlight w:val="none"/>
              </w:rPr>
            </w:pPr>
          </w:p>
        </w:tc>
      </w:tr>
      <w:tr w14:paraId="09B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67" w:type="dxa"/>
            <w:noWrap w:val="0"/>
            <w:vAlign w:val="center"/>
          </w:tcPr>
          <w:p w14:paraId="72D0EA92">
            <w:pPr>
              <w:contextualSpacing/>
              <w:jc w:val="center"/>
              <w:rPr>
                <w:rFonts w:ascii="宋体" w:hAnsi="宋体"/>
                <w:color w:val="auto"/>
                <w:szCs w:val="21"/>
                <w:highlight w:val="none"/>
              </w:rPr>
            </w:pPr>
          </w:p>
        </w:tc>
        <w:tc>
          <w:tcPr>
            <w:tcW w:w="1072" w:type="dxa"/>
            <w:noWrap w:val="0"/>
            <w:vAlign w:val="center"/>
          </w:tcPr>
          <w:p w14:paraId="323CD8E3">
            <w:pPr>
              <w:contextualSpacing/>
              <w:jc w:val="center"/>
              <w:rPr>
                <w:rFonts w:ascii="宋体" w:hAnsi="宋体"/>
                <w:color w:val="auto"/>
                <w:szCs w:val="21"/>
                <w:highlight w:val="none"/>
              </w:rPr>
            </w:pPr>
          </w:p>
        </w:tc>
        <w:tc>
          <w:tcPr>
            <w:tcW w:w="708" w:type="dxa"/>
            <w:noWrap w:val="0"/>
            <w:vAlign w:val="center"/>
          </w:tcPr>
          <w:p w14:paraId="0213D0AF">
            <w:pPr>
              <w:contextualSpacing/>
              <w:jc w:val="center"/>
              <w:rPr>
                <w:rFonts w:ascii="宋体" w:hAnsi="宋体"/>
                <w:color w:val="auto"/>
                <w:szCs w:val="21"/>
                <w:highlight w:val="none"/>
              </w:rPr>
            </w:pPr>
          </w:p>
        </w:tc>
        <w:tc>
          <w:tcPr>
            <w:tcW w:w="567" w:type="dxa"/>
            <w:noWrap w:val="0"/>
            <w:vAlign w:val="center"/>
          </w:tcPr>
          <w:p w14:paraId="3D285737">
            <w:pPr>
              <w:contextualSpacing/>
              <w:jc w:val="center"/>
              <w:rPr>
                <w:rFonts w:ascii="宋体" w:hAnsi="宋体"/>
                <w:color w:val="auto"/>
                <w:szCs w:val="21"/>
                <w:highlight w:val="none"/>
              </w:rPr>
            </w:pPr>
          </w:p>
        </w:tc>
        <w:tc>
          <w:tcPr>
            <w:tcW w:w="914" w:type="dxa"/>
            <w:noWrap w:val="0"/>
            <w:vAlign w:val="center"/>
          </w:tcPr>
          <w:p w14:paraId="14937510">
            <w:pPr>
              <w:contextualSpacing/>
              <w:jc w:val="center"/>
              <w:rPr>
                <w:rFonts w:ascii="宋体" w:hAnsi="宋体"/>
                <w:color w:val="auto"/>
                <w:szCs w:val="21"/>
                <w:highlight w:val="none"/>
              </w:rPr>
            </w:pPr>
          </w:p>
        </w:tc>
        <w:tc>
          <w:tcPr>
            <w:tcW w:w="992" w:type="dxa"/>
            <w:noWrap w:val="0"/>
            <w:vAlign w:val="center"/>
          </w:tcPr>
          <w:p w14:paraId="0E514037">
            <w:pPr>
              <w:contextualSpacing/>
              <w:jc w:val="center"/>
              <w:rPr>
                <w:rFonts w:ascii="宋体" w:hAnsi="宋体"/>
                <w:color w:val="auto"/>
                <w:szCs w:val="21"/>
                <w:highlight w:val="none"/>
              </w:rPr>
            </w:pPr>
          </w:p>
        </w:tc>
        <w:tc>
          <w:tcPr>
            <w:tcW w:w="1417" w:type="dxa"/>
            <w:noWrap w:val="0"/>
            <w:vAlign w:val="center"/>
          </w:tcPr>
          <w:p w14:paraId="1835C019">
            <w:pPr>
              <w:contextualSpacing/>
              <w:jc w:val="center"/>
              <w:rPr>
                <w:rFonts w:ascii="宋体" w:hAnsi="宋体"/>
                <w:color w:val="auto"/>
                <w:szCs w:val="21"/>
                <w:highlight w:val="none"/>
              </w:rPr>
            </w:pPr>
          </w:p>
        </w:tc>
        <w:tc>
          <w:tcPr>
            <w:tcW w:w="993" w:type="dxa"/>
            <w:noWrap w:val="0"/>
            <w:vAlign w:val="center"/>
          </w:tcPr>
          <w:p w14:paraId="023C56AE">
            <w:pPr>
              <w:contextualSpacing/>
              <w:jc w:val="center"/>
              <w:rPr>
                <w:rFonts w:ascii="宋体" w:hAnsi="宋体"/>
                <w:color w:val="auto"/>
                <w:szCs w:val="21"/>
                <w:highlight w:val="none"/>
              </w:rPr>
            </w:pPr>
          </w:p>
        </w:tc>
        <w:tc>
          <w:tcPr>
            <w:tcW w:w="992" w:type="dxa"/>
            <w:noWrap w:val="0"/>
            <w:vAlign w:val="center"/>
          </w:tcPr>
          <w:p w14:paraId="38B03073">
            <w:pPr>
              <w:contextualSpacing/>
              <w:jc w:val="center"/>
              <w:rPr>
                <w:rFonts w:ascii="宋体" w:hAnsi="宋体"/>
                <w:color w:val="auto"/>
                <w:szCs w:val="21"/>
                <w:highlight w:val="none"/>
              </w:rPr>
            </w:pPr>
          </w:p>
        </w:tc>
        <w:tc>
          <w:tcPr>
            <w:tcW w:w="780" w:type="dxa"/>
            <w:noWrap w:val="0"/>
            <w:vAlign w:val="center"/>
          </w:tcPr>
          <w:p w14:paraId="4C424F9A">
            <w:pPr>
              <w:contextualSpacing/>
              <w:jc w:val="center"/>
              <w:rPr>
                <w:rFonts w:ascii="宋体" w:hAnsi="宋体"/>
                <w:color w:val="auto"/>
                <w:szCs w:val="21"/>
                <w:highlight w:val="none"/>
              </w:rPr>
            </w:pPr>
          </w:p>
        </w:tc>
      </w:tr>
      <w:tr w14:paraId="0C73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jc w:val="center"/>
        </w:trPr>
        <w:tc>
          <w:tcPr>
            <w:tcW w:w="567" w:type="dxa"/>
            <w:noWrap w:val="0"/>
            <w:vAlign w:val="center"/>
          </w:tcPr>
          <w:p w14:paraId="5D9BEF4E">
            <w:pPr>
              <w:contextualSpacing/>
              <w:jc w:val="center"/>
              <w:rPr>
                <w:rFonts w:ascii="宋体" w:hAnsi="宋体"/>
                <w:color w:val="auto"/>
                <w:szCs w:val="21"/>
                <w:highlight w:val="none"/>
              </w:rPr>
            </w:pPr>
          </w:p>
        </w:tc>
        <w:tc>
          <w:tcPr>
            <w:tcW w:w="1072" w:type="dxa"/>
            <w:noWrap w:val="0"/>
            <w:vAlign w:val="center"/>
          </w:tcPr>
          <w:p w14:paraId="1B28EA02">
            <w:pPr>
              <w:contextualSpacing/>
              <w:jc w:val="center"/>
              <w:rPr>
                <w:rFonts w:ascii="宋体" w:hAnsi="宋体"/>
                <w:color w:val="auto"/>
                <w:szCs w:val="21"/>
                <w:highlight w:val="none"/>
              </w:rPr>
            </w:pPr>
          </w:p>
        </w:tc>
        <w:tc>
          <w:tcPr>
            <w:tcW w:w="708" w:type="dxa"/>
            <w:noWrap w:val="0"/>
            <w:vAlign w:val="center"/>
          </w:tcPr>
          <w:p w14:paraId="1270A4B1">
            <w:pPr>
              <w:contextualSpacing/>
              <w:jc w:val="center"/>
              <w:rPr>
                <w:rFonts w:ascii="宋体" w:hAnsi="宋体"/>
                <w:color w:val="auto"/>
                <w:szCs w:val="21"/>
                <w:highlight w:val="none"/>
              </w:rPr>
            </w:pPr>
          </w:p>
        </w:tc>
        <w:tc>
          <w:tcPr>
            <w:tcW w:w="567" w:type="dxa"/>
            <w:noWrap w:val="0"/>
            <w:vAlign w:val="center"/>
          </w:tcPr>
          <w:p w14:paraId="21DEA940">
            <w:pPr>
              <w:contextualSpacing/>
              <w:jc w:val="center"/>
              <w:rPr>
                <w:rFonts w:ascii="宋体" w:hAnsi="宋体"/>
                <w:color w:val="auto"/>
                <w:szCs w:val="21"/>
                <w:highlight w:val="none"/>
              </w:rPr>
            </w:pPr>
          </w:p>
        </w:tc>
        <w:tc>
          <w:tcPr>
            <w:tcW w:w="914" w:type="dxa"/>
            <w:noWrap w:val="0"/>
            <w:vAlign w:val="center"/>
          </w:tcPr>
          <w:p w14:paraId="7BF3905B">
            <w:pPr>
              <w:contextualSpacing/>
              <w:jc w:val="center"/>
              <w:rPr>
                <w:rFonts w:ascii="宋体" w:hAnsi="宋体"/>
                <w:color w:val="auto"/>
                <w:szCs w:val="21"/>
                <w:highlight w:val="none"/>
              </w:rPr>
            </w:pPr>
          </w:p>
        </w:tc>
        <w:tc>
          <w:tcPr>
            <w:tcW w:w="992" w:type="dxa"/>
            <w:noWrap w:val="0"/>
            <w:vAlign w:val="center"/>
          </w:tcPr>
          <w:p w14:paraId="3F9804D5">
            <w:pPr>
              <w:contextualSpacing/>
              <w:jc w:val="center"/>
              <w:rPr>
                <w:rFonts w:ascii="宋体" w:hAnsi="宋体"/>
                <w:color w:val="auto"/>
                <w:szCs w:val="21"/>
                <w:highlight w:val="none"/>
              </w:rPr>
            </w:pPr>
          </w:p>
        </w:tc>
        <w:tc>
          <w:tcPr>
            <w:tcW w:w="1417" w:type="dxa"/>
            <w:noWrap w:val="0"/>
            <w:vAlign w:val="center"/>
          </w:tcPr>
          <w:p w14:paraId="730E1A53">
            <w:pPr>
              <w:contextualSpacing/>
              <w:jc w:val="center"/>
              <w:rPr>
                <w:rFonts w:ascii="宋体" w:hAnsi="宋体"/>
                <w:color w:val="auto"/>
                <w:szCs w:val="21"/>
                <w:highlight w:val="none"/>
              </w:rPr>
            </w:pPr>
          </w:p>
        </w:tc>
        <w:tc>
          <w:tcPr>
            <w:tcW w:w="993" w:type="dxa"/>
            <w:noWrap w:val="0"/>
            <w:vAlign w:val="center"/>
          </w:tcPr>
          <w:p w14:paraId="4B09F98F">
            <w:pPr>
              <w:contextualSpacing/>
              <w:jc w:val="center"/>
              <w:rPr>
                <w:rFonts w:ascii="宋体" w:hAnsi="宋体"/>
                <w:color w:val="auto"/>
                <w:szCs w:val="21"/>
                <w:highlight w:val="none"/>
              </w:rPr>
            </w:pPr>
          </w:p>
        </w:tc>
        <w:tc>
          <w:tcPr>
            <w:tcW w:w="992" w:type="dxa"/>
            <w:noWrap w:val="0"/>
            <w:vAlign w:val="center"/>
          </w:tcPr>
          <w:p w14:paraId="6EDF2B48">
            <w:pPr>
              <w:contextualSpacing/>
              <w:jc w:val="center"/>
              <w:rPr>
                <w:rFonts w:ascii="宋体" w:hAnsi="宋体"/>
                <w:color w:val="auto"/>
                <w:szCs w:val="21"/>
                <w:highlight w:val="none"/>
              </w:rPr>
            </w:pPr>
          </w:p>
        </w:tc>
        <w:tc>
          <w:tcPr>
            <w:tcW w:w="780" w:type="dxa"/>
            <w:noWrap w:val="0"/>
            <w:vAlign w:val="center"/>
          </w:tcPr>
          <w:p w14:paraId="705430D8">
            <w:pPr>
              <w:contextualSpacing/>
              <w:jc w:val="center"/>
              <w:rPr>
                <w:rFonts w:ascii="宋体" w:hAnsi="宋体"/>
                <w:color w:val="auto"/>
                <w:szCs w:val="21"/>
                <w:highlight w:val="none"/>
              </w:rPr>
            </w:pPr>
          </w:p>
        </w:tc>
      </w:tr>
      <w:tr w14:paraId="03AE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67" w:type="dxa"/>
            <w:noWrap w:val="0"/>
            <w:vAlign w:val="center"/>
          </w:tcPr>
          <w:p w14:paraId="7C9CF52C">
            <w:pPr>
              <w:contextualSpacing/>
              <w:jc w:val="center"/>
              <w:rPr>
                <w:rFonts w:ascii="宋体" w:hAnsi="宋体"/>
                <w:color w:val="auto"/>
                <w:szCs w:val="21"/>
                <w:highlight w:val="none"/>
              </w:rPr>
            </w:pPr>
          </w:p>
        </w:tc>
        <w:tc>
          <w:tcPr>
            <w:tcW w:w="1072" w:type="dxa"/>
            <w:noWrap w:val="0"/>
            <w:vAlign w:val="center"/>
          </w:tcPr>
          <w:p w14:paraId="7DFFA2A0">
            <w:pPr>
              <w:contextualSpacing/>
              <w:jc w:val="center"/>
              <w:rPr>
                <w:rFonts w:ascii="宋体" w:hAnsi="宋体"/>
                <w:color w:val="auto"/>
                <w:szCs w:val="21"/>
                <w:highlight w:val="none"/>
              </w:rPr>
            </w:pPr>
          </w:p>
        </w:tc>
        <w:tc>
          <w:tcPr>
            <w:tcW w:w="708" w:type="dxa"/>
            <w:noWrap w:val="0"/>
            <w:vAlign w:val="center"/>
          </w:tcPr>
          <w:p w14:paraId="0926A012">
            <w:pPr>
              <w:contextualSpacing/>
              <w:jc w:val="center"/>
              <w:rPr>
                <w:rFonts w:ascii="宋体" w:hAnsi="宋体"/>
                <w:color w:val="auto"/>
                <w:szCs w:val="21"/>
                <w:highlight w:val="none"/>
              </w:rPr>
            </w:pPr>
          </w:p>
        </w:tc>
        <w:tc>
          <w:tcPr>
            <w:tcW w:w="567" w:type="dxa"/>
            <w:noWrap w:val="0"/>
            <w:vAlign w:val="center"/>
          </w:tcPr>
          <w:p w14:paraId="1D14E8B1">
            <w:pPr>
              <w:contextualSpacing/>
              <w:jc w:val="center"/>
              <w:rPr>
                <w:rFonts w:ascii="宋体" w:hAnsi="宋体"/>
                <w:color w:val="auto"/>
                <w:szCs w:val="21"/>
                <w:highlight w:val="none"/>
              </w:rPr>
            </w:pPr>
          </w:p>
        </w:tc>
        <w:tc>
          <w:tcPr>
            <w:tcW w:w="914" w:type="dxa"/>
            <w:noWrap w:val="0"/>
            <w:vAlign w:val="center"/>
          </w:tcPr>
          <w:p w14:paraId="2309B9FF">
            <w:pPr>
              <w:contextualSpacing/>
              <w:jc w:val="center"/>
              <w:rPr>
                <w:rFonts w:ascii="宋体" w:hAnsi="宋体"/>
                <w:color w:val="auto"/>
                <w:szCs w:val="21"/>
                <w:highlight w:val="none"/>
              </w:rPr>
            </w:pPr>
          </w:p>
        </w:tc>
        <w:tc>
          <w:tcPr>
            <w:tcW w:w="992" w:type="dxa"/>
            <w:noWrap w:val="0"/>
            <w:vAlign w:val="center"/>
          </w:tcPr>
          <w:p w14:paraId="4487F786">
            <w:pPr>
              <w:contextualSpacing/>
              <w:jc w:val="center"/>
              <w:rPr>
                <w:rFonts w:ascii="宋体" w:hAnsi="宋体"/>
                <w:color w:val="auto"/>
                <w:szCs w:val="21"/>
                <w:highlight w:val="none"/>
              </w:rPr>
            </w:pPr>
          </w:p>
        </w:tc>
        <w:tc>
          <w:tcPr>
            <w:tcW w:w="1417" w:type="dxa"/>
            <w:noWrap w:val="0"/>
            <w:vAlign w:val="center"/>
          </w:tcPr>
          <w:p w14:paraId="03DF2250">
            <w:pPr>
              <w:contextualSpacing/>
              <w:jc w:val="center"/>
              <w:rPr>
                <w:rFonts w:ascii="宋体" w:hAnsi="宋体"/>
                <w:color w:val="auto"/>
                <w:szCs w:val="21"/>
                <w:highlight w:val="none"/>
              </w:rPr>
            </w:pPr>
          </w:p>
        </w:tc>
        <w:tc>
          <w:tcPr>
            <w:tcW w:w="993" w:type="dxa"/>
            <w:noWrap w:val="0"/>
            <w:vAlign w:val="center"/>
          </w:tcPr>
          <w:p w14:paraId="594D4D71">
            <w:pPr>
              <w:contextualSpacing/>
              <w:jc w:val="center"/>
              <w:rPr>
                <w:rFonts w:ascii="宋体" w:hAnsi="宋体"/>
                <w:color w:val="auto"/>
                <w:szCs w:val="21"/>
                <w:highlight w:val="none"/>
              </w:rPr>
            </w:pPr>
          </w:p>
        </w:tc>
        <w:tc>
          <w:tcPr>
            <w:tcW w:w="992" w:type="dxa"/>
            <w:noWrap w:val="0"/>
            <w:vAlign w:val="center"/>
          </w:tcPr>
          <w:p w14:paraId="7409BF0E">
            <w:pPr>
              <w:contextualSpacing/>
              <w:jc w:val="center"/>
              <w:rPr>
                <w:rFonts w:ascii="宋体" w:hAnsi="宋体"/>
                <w:color w:val="auto"/>
                <w:szCs w:val="21"/>
                <w:highlight w:val="none"/>
              </w:rPr>
            </w:pPr>
          </w:p>
        </w:tc>
        <w:tc>
          <w:tcPr>
            <w:tcW w:w="780" w:type="dxa"/>
            <w:noWrap w:val="0"/>
            <w:vAlign w:val="center"/>
          </w:tcPr>
          <w:p w14:paraId="7AE943AE">
            <w:pPr>
              <w:contextualSpacing/>
              <w:jc w:val="center"/>
              <w:rPr>
                <w:rFonts w:ascii="宋体" w:hAnsi="宋体"/>
                <w:color w:val="auto"/>
                <w:szCs w:val="21"/>
                <w:highlight w:val="none"/>
              </w:rPr>
            </w:pPr>
          </w:p>
        </w:tc>
      </w:tr>
      <w:tr w14:paraId="2D61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jc w:val="center"/>
        </w:trPr>
        <w:tc>
          <w:tcPr>
            <w:tcW w:w="567" w:type="dxa"/>
            <w:noWrap w:val="0"/>
            <w:vAlign w:val="center"/>
          </w:tcPr>
          <w:p w14:paraId="73C9356E">
            <w:pPr>
              <w:contextualSpacing/>
              <w:jc w:val="center"/>
              <w:rPr>
                <w:rFonts w:ascii="宋体" w:hAnsi="宋体"/>
                <w:color w:val="auto"/>
                <w:szCs w:val="21"/>
                <w:highlight w:val="none"/>
              </w:rPr>
            </w:pPr>
          </w:p>
        </w:tc>
        <w:tc>
          <w:tcPr>
            <w:tcW w:w="1072" w:type="dxa"/>
            <w:noWrap w:val="0"/>
            <w:vAlign w:val="center"/>
          </w:tcPr>
          <w:p w14:paraId="00352E32">
            <w:pPr>
              <w:contextualSpacing/>
              <w:jc w:val="center"/>
              <w:rPr>
                <w:rFonts w:ascii="宋体" w:hAnsi="宋体"/>
                <w:color w:val="auto"/>
                <w:szCs w:val="21"/>
                <w:highlight w:val="none"/>
              </w:rPr>
            </w:pPr>
          </w:p>
        </w:tc>
        <w:tc>
          <w:tcPr>
            <w:tcW w:w="708" w:type="dxa"/>
            <w:noWrap w:val="0"/>
            <w:vAlign w:val="center"/>
          </w:tcPr>
          <w:p w14:paraId="46B9582D">
            <w:pPr>
              <w:contextualSpacing/>
              <w:jc w:val="center"/>
              <w:rPr>
                <w:rFonts w:ascii="宋体" w:hAnsi="宋体"/>
                <w:color w:val="auto"/>
                <w:szCs w:val="21"/>
                <w:highlight w:val="none"/>
              </w:rPr>
            </w:pPr>
          </w:p>
        </w:tc>
        <w:tc>
          <w:tcPr>
            <w:tcW w:w="567" w:type="dxa"/>
            <w:noWrap w:val="0"/>
            <w:vAlign w:val="center"/>
          </w:tcPr>
          <w:p w14:paraId="52635152">
            <w:pPr>
              <w:contextualSpacing/>
              <w:jc w:val="center"/>
              <w:rPr>
                <w:rFonts w:ascii="宋体" w:hAnsi="宋体"/>
                <w:color w:val="auto"/>
                <w:szCs w:val="21"/>
                <w:highlight w:val="none"/>
              </w:rPr>
            </w:pPr>
          </w:p>
        </w:tc>
        <w:tc>
          <w:tcPr>
            <w:tcW w:w="914" w:type="dxa"/>
            <w:noWrap w:val="0"/>
            <w:vAlign w:val="center"/>
          </w:tcPr>
          <w:p w14:paraId="4CD61D28">
            <w:pPr>
              <w:contextualSpacing/>
              <w:jc w:val="center"/>
              <w:rPr>
                <w:rFonts w:ascii="宋体" w:hAnsi="宋体"/>
                <w:color w:val="auto"/>
                <w:szCs w:val="21"/>
                <w:highlight w:val="none"/>
              </w:rPr>
            </w:pPr>
          </w:p>
        </w:tc>
        <w:tc>
          <w:tcPr>
            <w:tcW w:w="992" w:type="dxa"/>
            <w:noWrap w:val="0"/>
            <w:vAlign w:val="center"/>
          </w:tcPr>
          <w:p w14:paraId="4A095DA8">
            <w:pPr>
              <w:contextualSpacing/>
              <w:jc w:val="center"/>
              <w:rPr>
                <w:rFonts w:ascii="宋体" w:hAnsi="宋体"/>
                <w:color w:val="auto"/>
                <w:szCs w:val="21"/>
                <w:highlight w:val="none"/>
              </w:rPr>
            </w:pPr>
          </w:p>
        </w:tc>
        <w:tc>
          <w:tcPr>
            <w:tcW w:w="1417" w:type="dxa"/>
            <w:noWrap w:val="0"/>
            <w:vAlign w:val="center"/>
          </w:tcPr>
          <w:p w14:paraId="14C96AB4">
            <w:pPr>
              <w:contextualSpacing/>
              <w:jc w:val="center"/>
              <w:rPr>
                <w:rFonts w:ascii="宋体" w:hAnsi="宋体"/>
                <w:color w:val="auto"/>
                <w:szCs w:val="21"/>
                <w:highlight w:val="none"/>
              </w:rPr>
            </w:pPr>
          </w:p>
        </w:tc>
        <w:tc>
          <w:tcPr>
            <w:tcW w:w="993" w:type="dxa"/>
            <w:noWrap w:val="0"/>
            <w:vAlign w:val="center"/>
          </w:tcPr>
          <w:p w14:paraId="3838BFD1">
            <w:pPr>
              <w:contextualSpacing/>
              <w:jc w:val="center"/>
              <w:rPr>
                <w:rFonts w:ascii="宋体" w:hAnsi="宋体"/>
                <w:color w:val="auto"/>
                <w:szCs w:val="21"/>
                <w:highlight w:val="none"/>
              </w:rPr>
            </w:pPr>
          </w:p>
        </w:tc>
        <w:tc>
          <w:tcPr>
            <w:tcW w:w="992" w:type="dxa"/>
            <w:noWrap w:val="0"/>
            <w:vAlign w:val="center"/>
          </w:tcPr>
          <w:p w14:paraId="0850761F">
            <w:pPr>
              <w:contextualSpacing/>
              <w:jc w:val="center"/>
              <w:rPr>
                <w:rFonts w:ascii="宋体" w:hAnsi="宋体"/>
                <w:color w:val="auto"/>
                <w:szCs w:val="21"/>
                <w:highlight w:val="none"/>
              </w:rPr>
            </w:pPr>
          </w:p>
        </w:tc>
        <w:tc>
          <w:tcPr>
            <w:tcW w:w="780" w:type="dxa"/>
            <w:noWrap w:val="0"/>
            <w:vAlign w:val="center"/>
          </w:tcPr>
          <w:p w14:paraId="30FB46AB">
            <w:pPr>
              <w:contextualSpacing/>
              <w:jc w:val="center"/>
              <w:rPr>
                <w:rFonts w:ascii="宋体" w:hAnsi="宋体"/>
                <w:color w:val="auto"/>
                <w:szCs w:val="21"/>
                <w:highlight w:val="none"/>
              </w:rPr>
            </w:pPr>
          </w:p>
        </w:tc>
      </w:tr>
      <w:tr w14:paraId="3295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67" w:type="dxa"/>
            <w:noWrap w:val="0"/>
            <w:vAlign w:val="center"/>
          </w:tcPr>
          <w:p w14:paraId="303E8C8D">
            <w:pPr>
              <w:contextualSpacing/>
              <w:jc w:val="center"/>
              <w:rPr>
                <w:rFonts w:ascii="宋体" w:hAnsi="宋体"/>
                <w:color w:val="auto"/>
                <w:szCs w:val="21"/>
                <w:highlight w:val="none"/>
              </w:rPr>
            </w:pPr>
          </w:p>
        </w:tc>
        <w:tc>
          <w:tcPr>
            <w:tcW w:w="1072" w:type="dxa"/>
            <w:noWrap w:val="0"/>
            <w:vAlign w:val="center"/>
          </w:tcPr>
          <w:p w14:paraId="6A7AF7B9">
            <w:pPr>
              <w:contextualSpacing/>
              <w:jc w:val="center"/>
              <w:rPr>
                <w:rFonts w:ascii="宋体" w:hAnsi="宋体"/>
                <w:color w:val="auto"/>
                <w:szCs w:val="21"/>
                <w:highlight w:val="none"/>
              </w:rPr>
            </w:pPr>
          </w:p>
        </w:tc>
        <w:tc>
          <w:tcPr>
            <w:tcW w:w="708" w:type="dxa"/>
            <w:noWrap w:val="0"/>
            <w:vAlign w:val="center"/>
          </w:tcPr>
          <w:p w14:paraId="17F0360D">
            <w:pPr>
              <w:contextualSpacing/>
              <w:jc w:val="center"/>
              <w:rPr>
                <w:rFonts w:ascii="宋体" w:hAnsi="宋体"/>
                <w:color w:val="auto"/>
                <w:szCs w:val="21"/>
                <w:highlight w:val="none"/>
              </w:rPr>
            </w:pPr>
          </w:p>
        </w:tc>
        <w:tc>
          <w:tcPr>
            <w:tcW w:w="567" w:type="dxa"/>
            <w:noWrap w:val="0"/>
            <w:vAlign w:val="center"/>
          </w:tcPr>
          <w:p w14:paraId="0585E347">
            <w:pPr>
              <w:contextualSpacing/>
              <w:jc w:val="center"/>
              <w:rPr>
                <w:rFonts w:ascii="宋体" w:hAnsi="宋体"/>
                <w:color w:val="auto"/>
                <w:szCs w:val="21"/>
                <w:highlight w:val="none"/>
              </w:rPr>
            </w:pPr>
          </w:p>
        </w:tc>
        <w:tc>
          <w:tcPr>
            <w:tcW w:w="914" w:type="dxa"/>
            <w:noWrap w:val="0"/>
            <w:vAlign w:val="center"/>
          </w:tcPr>
          <w:p w14:paraId="62738589">
            <w:pPr>
              <w:contextualSpacing/>
              <w:jc w:val="center"/>
              <w:rPr>
                <w:rFonts w:ascii="宋体" w:hAnsi="宋体"/>
                <w:color w:val="auto"/>
                <w:szCs w:val="21"/>
                <w:highlight w:val="none"/>
              </w:rPr>
            </w:pPr>
          </w:p>
        </w:tc>
        <w:tc>
          <w:tcPr>
            <w:tcW w:w="992" w:type="dxa"/>
            <w:noWrap w:val="0"/>
            <w:vAlign w:val="center"/>
          </w:tcPr>
          <w:p w14:paraId="34FF83D5">
            <w:pPr>
              <w:contextualSpacing/>
              <w:jc w:val="center"/>
              <w:rPr>
                <w:rFonts w:ascii="宋体" w:hAnsi="宋体"/>
                <w:color w:val="auto"/>
                <w:szCs w:val="21"/>
                <w:highlight w:val="none"/>
              </w:rPr>
            </w:pPr>
          </w:p>
        </w:tc>
        <w:tc>
          <w:tcPr>
            <w:tcW w:w="1417" w:type="dxa"/>
            <w:noWrap w:val="0"/>
            <w:vAlign w:val="center"/>
          </w:tcPr>
          <w:p w14:paraId="0F5BCBF2">
            <w:pPr>
              <w:contextualSpacing/>
              <w:jc w:val="center"/>
              <w:rPr>
                <w:rFonts w:ascii="宋体" w:hAnsi="宋体"/>
                <w:color w:val="auto"/>
                <w:szCs w:val="21"/>
                <w:highlight w:val="none"/>
              </w:rPr>
            </w:pPr>
          </w:p>
        </w:tc>
        <w:tc>
          <w:tcPr>
            <w:tcW w:w="993" w:type="dxa"/>
            <w:noWrap w:val="0"/>
            <w:vAlign w:val="center"/>
          </w:tcPr>
          <w:p w14:paraId="2F0BAA7A">
            <w:pPr>
              <w:contextualSpacing/>
              <w:jc w:val="center"/>
              <w:rPr>
                <w:rFonts w:ascii="宋体" w:hAnsi="宋体"/>
                <w:color w:val="auto"/>
                <w:szCs w:val="21"/>
                <w:highlight w:val="none"/>
              </w:rPr>
            </w:pPr>
          </w:p>
        </w:tc>
        <w:tc>
          <w:tcPr>
            <w:tcW w:w="992" w:type="dxa"/>
            <w:noWrap w:val="0"/>
            <w:vAlign w:val="center"/>
          </w:tcPr>
          <w:p w14:paraId="00610CAA">
            <w:pPr>
              <w:contextualSpacing/>
              <w:jc w:val="center"/>
              <w:rPr>
                <w:rFonts w:ascii="宋体" w:hAnsi="宋体"/>
                <w:color w:val="auto"/>
                <w:szCs w:val="21"/>
                <w:highlight w:val="none"/>
              </w:rPr>
            </w:pPr>
          </w:p>
        </w:tc>
        <w:tc>
          <w:tcPr>
            <w:tcW w:w="780" w:type="dxa"/>
            <w:noWrap w:val="0"/>
            <w:vAlign w:val="center"/>
          </w:tcPr>
          <w:p w14:paraId="5D93C5DF">
            <w:pPr>
              <w:contextualSpacing/>
              <w:jc w:val="center"/>
              <w:rPr>
                <w:rFonts w:ascii="宋体" w:hAnsi="宋体"/>
                <w:color w:val="auto"/>
                <w:szCs w:val="21"/>
                <w:highlight w:val="none"/>
              </w:rPr>
            </w:pPr>
          </w:p>
        </w:tc>
      </w:tr>
      <w:tr w14:paraId="1CB9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67" w:type="dxa"/>
            <w:noWrap w:val="0"/>
            <w:vAlign w:val="center"/>
          </w:tcPr>
          <w:p w14:paraId="0F228572">
            <w:pPr>
              <w:contextualSpacing/>
              <w:jc w:val="center"/>
              <w:rPr>
                <w:rFonts w:ascii="宋体" w:hAnsi="宋体"/>
                <w:color w:val="auto"/>
                <w:szCs w:val="21"/>
                <w:highlight w:val="none"/>
              </w:rPr>
            </w:pPr>
          </w:p>
        </w:tc>
        <w:tc>
          <w:tcPr>
            <w:tcW w:w="1072" w:type="dxa"/>
            <w:noWrap w:val="0"/>
            <w:vAlign w:val="center"/>
          </w:tcPr>
          <w:p w14:paraId="719CBE4A">
            <w:pPr>
              <w:contextualSpacing/>
              <w:jc w:val="center"/>
              <w:rPr>
                <w:rFonts w:ascii="宋体" w:hAnsi="宋体"/>
                <w:color w:val="auto"/>
                <w:szCs w:val="21"/>
                <w:highlight w:val="none"/>
              </w:rPr>
            </w:pPr>
          </w:p>
        </w:tc>
        <w:tc>
          <w:tcPr>
            <w:tcW w:w="708" w:type="dxa"/>
            <w:noWrap w:val="0"/>
            <w:vAlign w:val="center"/>
          </w:tcPr>
          <w:p w14:paraId="2A5A97FC">
            <w:pPr>
              <w:contextualSpacing/>
              <w:jc w:val="center"/>
              <w:rPr>
                <w:rFonts w:ascii="宋体" w:hAnsi="宋体"/>
                <w:color w:val="auto"/>
                <w:szCs w:val="21"/>
                <w:highlight w:val="none"/>
              </w:rPr>
            </w:pPr>
          </w:p>
        </w:tc>
        <w:tc>
          <w:tcPr>
            <w:tcW w:w="567" w:type="dxa"/>
            <w:noWrap w:val="0"/>
            <w:vAlign w:val="center"/>
          </w:tcPr>
          <w:p w14:paraId="373EDB2E">
            <w:pPr>
              <w:contextualSpacing/>
              <w:jc w:val="center"/>
              <w:rPr>
                <w:rFonts w:ascii="宋体" w:hAnsi="宋体"/>
                <w:color w:val="auto"/>
                <w:szCs w:val="21"/>
                <w:highlight w:val="none"/>
              </w:rPr>
            </w:pPr>
          </w:p>
        </w:tc>
        <w:tc>
          <w:tcPr>
            <w:tcW w:w="914" w:type="dxa"/>
            <w:noWrap w:val="0"/>
            <w:vAlign w:val="center"/>
          </w:tcPr>
          <w:p w14:paraId="4AA04CB2">
            <w:pPr>
              <w:contextualSpacing/>
              <w:jc w:val="center"/>
              <w:rPr>
                <w:rFonts w:ascii="宋体" w:hAnsi="宋体"/>
                <w:color w:val="auto"/>
                <w:szCs w:val="21"/>
                <w:highlight w:val="none"/>
              </w:rPr>
            </w:pPr>
          </w:p>
        </w:tc>
        <w:tc>
          <w:tcPr>
            <w:tcW w:w="992" w:type="dxa"/>
            <w:noWrap w:val="0"/>
            <w:vAlign w:val="center"/>
          </w:tcPr>
          <w:p w14:paraId="208551F9">
            <w:pPr>
              <w:contextualSpacing/>
              <w:jc w:val="center"/>
              <w:rPr>
                <w:rFonts w:ascii="宋体" w:hAnsi="宋体"/>
                <w:color w:val="auto"/>
                <w:szCs w:val="21"/>
                <w:highlight w:val="none"/>
              </w:rPr>
            </w:pPr>
          </w:p>
        </w:tc>
        <w:tc>
          <w:tcPr>
            <w:tcW w:w="1417" w:type="dxa"/>
            <w:noWrap w:val="0"/>
            <w:vAlign w:val="center"/>
          </w:tcPr>
          <w:p w14:paraId="7F32F714">
            <w:pPr>
              <w:contextualSpacing/>
              <w:jc w:val="center"/>
              <w:rPr>
                <w:rFonts w:ascii="宋体" w:hAnsi="宋体"/>
                <w:color w:val="auto"/>
                <w:szCs w:val="21"/>
                <w:highlight w:val="none"/>
              </w:rPr>
            </w:pPr>
          </w:p>
        </w:tc>
        <w:tc>
          <w:tcPr>
            <w:tcW w:w="993" w:type="dxa"/>
            <w:noWrap w:val="0"/>
            <w:vAlign w:val="center"/>
          </w:tcPr>
          <w:p w14:paraId="686412BF">
            <w:pPr>
              <w:contextualSpacing/>
              <w:jc w:val="center"/>
              <w:rPr>
                <w:rFonts w:ascii="宋体" w:hAnsi="宋体"/>
                <w:color w:val="auto"/>
                <w:szCs w:val="21"/>
                <w:highlight w:val="none"/>
              </w:rPr>
            </w:pPr>
          </w:p>
        </w:tc>
        <w:tc>
          <w:tcPr>
            <w:tcW w:w="992" w:type="dxa"/>
            <w:noWrap w:val="0"/>
            <w:vAlign w:val="center"/>
          </w:tcPr>
          <w:p w14:paraId="6952696A">
            <w:pPr>
              <w:contextualSpacing/>
              <w:jc w:val="center"/>
              <w:rPr>
                <w:rFonts w:ascii="宋体" w:hAnsi="宋体"/>
                <w:color w:val="auto"/>
                <w:szCs w:val="21"/>
                <w:highlight w:val="none"/>
              </w:rPr>
            </w:pPr>
          </w:p>
        </w:tc>
        <w:tc>
          <w:tcPr>
            <w:tcW w:w="780" w:type="dxa"/>
            <w:noWrap w:val="0"/>
            <w:vAlign w:val="center"/>
          </w:tcPr>
          <w:p w14:paraId="61B651CA">
            <w:pPr>
              <w:contextualSpacing/>
              <w:jc w:val="center"/>
              <w:rPr>
                <w:rFonts w:ascii="宋体" w:hAnsi="宋体"/>
                <w:color w:val="auto"/>
                <w:szCs w:val="21"/>
                <w:highlight w:val="none"/>
              </w:rPr>
            </w:pPr>
          </w:p>
        </w:tc>
      </w:tr>
      <w:tr w14:paraId="42C5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67" w:type="dxa"/>
            <w:noWrap w:val="0"/>
            <w:vAlign w:val="center"/>
          </w:tcPr>
          <w:p w14:paraId="2A7414A2">
            <w:pPr>
              <w:contextualSpacing/>
              <w:jc w:val="center"/>
              <w:rPr>
                <w:rFonts w:ascii="宋体" w:hAnsi="宋体"/>
                <w:color w:val="auto"/>
                <w:szCs w:val="21"/>
                <w:highlight w:val="none"/>
              </w:rPr>
            </w:pPr>
          </w:p>
        </w:tc>
        <w:tc>
          <w:tcPr>
            <w:tcW w:w="1072" w:type="dxa"/>
            <w:noWrap w:val="0"/>
            <w:vAlign w:val="center"/>
          </w:tcPr>
          <w:p w14:paraId="1F5E8056">
            <w:pPr>
              <w:contextualSpacing/>
              <w:jc w:val="center"/>
              <w:rPr>
                <w:rFonts w:ascii="宋体" w:hAnsi="宋体"/>
                <w:color w:val="auto"/>
                <w:szCs w:val="21"/>
                <w:highlight w:val="none"/>
              </w:rPr>
            </w:pPr>
          </w:p>
        </w:tc>
        <w:tc>
          <w:tcPr>
            <w:tcW w:w="708" w:type="dxa"/>
            <w:noWrap w:val="0"/>
            <w:vAlign w:val="center"/>
          </w:tcPr>
          <w:p w14:paraId="52F886D0">
            <w:pPr>
              <w:contextualSpacing/>
              <w:jc w:val="center"/>
              <w:rPr>
                <w:rFonts w:ascii="宋体" w:hAnsi="宋体"/>
                <w:color w:val="auto"/>
                <w:szCs w:val="21"/>
                <w:highlight w:val="none"/>
              </w:rPr>
            </w:pPr>
          </w:p>
        </w:tc>
        <w:tc>
          <w:tcPr>
            <w:tcW w:w="567" w:type="dxa"/>
            <w:noWrap w:val="0"/>
            <w:vAlign w:val="center"/>
          </w:tcPr>
          <w:p w14:paraId="362929D9">
            <w:pPr>
              <w:contextualSpacing/>
              <w:jc w:val="center"/>
              <w:rPr>
                <w:rFonts w:ascii="宋体" w:hAnsi="宋体"/>
                <w:color w:val="auto"/>
                <w:szCs w:val="21"/>
                <w:highlight w:val="none"/>
              </w:rPr>
            </w:pPr>
          </w:p>
        </w:tc>
        <w:tc>
          <w:tcPr>
            <w:tcW w:w="914" w:type="dxa"/>
            <w:noWrap w:val="0"/>
            <w:vAlign w:val="center"/>
          </w:tcPr>
          <w:p w14:paraId="40AC2101">
            <w:pPr>
              <w:contextualSpacing/>
              <w:jc w:val="center"/>
              <w:rPr>
                <w:rFonts w:ascii="宋体" w:hAnsi="宋体"/>
                <w:color w:val="auto"/>
                <w:szCs w:val="21"/>
                <w:highlight w:val="none"/>
              </w:rPr>
            </w:pPr>
          </w:p>
        </w:tc>
        <w:tc>
          <w:tcPr>
            <w:tcW w:w="992" w:type="dxa"/>
            <w:noWrap w:val="0"/>
            <w:vAlign w:val="center"/>
          </w:tcPr>
          <w:p w14:paraId="6C0BFB3D">
            <w:pPr>
              <w:contextualSpacing/>
              <w:jc w:val="center"/>
              <w:rPr>
                <w:rFonts w:ascii="宋体" w:hAnsi="宋体"/>
                <w:color w:val="auto"/>
                <w:szCs w:val="21"/>
                <w:highlight w:val="none"/>
              </w:rPr>
            </w:pPr>
          </w:p>
        </w:tc>
        <w:tc>
          <w:tcPr>
            <w:tcW w:w="1417" w:type="dxa"/>
            <w:noWrap w:val="0"/>
            <w:vAlign w:val="center"/>
          </w:tcPr>
          <w:p w14:paraId="0BA8779D">
            <w:pPr>
              <w:contextualSpacing/>
              <w:jc w:val="center"/>
              <w:rPr>
                <w:rFonts w:ascii="宋体" w:hAnsi="宋体"/>
                <w:color w:val="auto"/>
                <w:szCs w:val="21"/>
                <w:highlight w:val="none"/>
              </w:rPr>
            </w:pPr>
          </w:p>
        </w:tc>
        <w:tc>
          <w:tcPr>
            <w:tcW w:w="993" w:type="dxa"/>
            <w:noWrap w:val="0"/>
            <w:vAlign w:val="center"/>
          </w:tcPr>
          <w:p w14:paraId="40F6D6EF">
            <w:pPr>
              <w:contextualSpacing/>
              <w:jc w:val="center"/>
              <w:rPr>
                <w:rFonts w:ascii="宋体" w:hAnsi="宋体"/>
                <w:color w:val="auto"/>
                <w:szCs w:val="21"/>
                <w:highlight w:val="none"/>
              </w:rPr>
            </w:pPr>
          </w:p>
        </w:tc>
        <w:tc>
          <w:tcPr>
            <w:tcW w:w="992" w:type="dxa"/>
            <w:noWrap w:val="0"/>
            <w:vAlign w:val="center"/>
          </w:tcPr>
          <w:p w14:paraId="11C01744">
            <w:pPr>
              <w:contextualSpacing/>
              <w:jc w:val="center"/>
              <w:rPr>
                <w:rFonts w:ascii="宋体" w:hAnsi="宋体"/>
                <w:color w:val="auto"/>
                <w:szCs w:val="21"/>
                <w:highlight w:val="none"/>
              </w:rPr>
            </w:pPr>
          </w:p>
        </w:tc>
        <w:tc>
          <w:tcPr>
            <w:tcW w:w="780" w:type="dxa"/>
            <w:noWrap w:val="0"/>
            <w:vAlign w:val="center"/>
          </w:tcPr>
          <w:p w14:paraId="0BD0DD84">
            <w:pPr>
              <w:contextualSpacing/>
              <w:jc w:val="center"/>
              <w:rPr>
                <w:rFonts w:ascii="宋体" w:hAnsi="宋体"/>
                <w:color w:val="auto"/>
                <w:szCs w:val="21"/>
                <w:highlight w:val="none"/>
              </w:rPr>
            </w:pPr>
          </w:p>
        </w:tc>
      </w:tr>
      <w:tr w14:paraId="09EF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67" w:type="dxa"/>
            <w:noWrap w:val="0"/>
            <w:vAlign w:val="center"/>
          </w:tcPr>
          <w:p w14:paraId="628C5534">
            <w:pPr>
              <w:contextualSpacing/>
              <w:jc w:val="center"/>
              <w:rPr>
                <w:rFonts w:ascii="宋体" w:hAnsi="宋体"/>
                <w:color w:val="auto"/>
                <w:szCs w:val="21"/>
                <w:highlight w:val="none"/>
              </w:rPr>
            </w:pPr>
          </w:p>
        </w:tc>
        <w:tc>
          <w:tcPr>
            <w:tcW w:w="1072" w:type="dxa"/>
            <w:noWrap w:val="0"/>
            <w:vAlign w:val="center"/>
          </w:tcPr>
          <w:p w14:paraId="6E5C6855">
            <w:pPr>
              <w:contextualSpacing/>
              <w:jc w:val="center"/>
              <w:rPr>
                <w:rFonts w:ascii="宋体" w:hAnsi="宋体"/>
                <w:color w:val="auto"/>
                <w:szCs w:val="21"/>
                <w:highlight w:val="none"/>
              </w:rPr>
            </w:pPr>
          </w:p>
        </w:tc>
        <w:tc>
          <w:tcPr>
            <w:tcW w:w="708" w:type="dxa"/>
            <w:noWrap w:val="0"/>
            <w:vAlign w:val="center"/>
          </w:tcPr>
          <w:p w14:paraId="773EC7CB">
            <w:pPr>
              <w:contextualSpacing/>
              <w:jc w:val="center"/>
              <w:rPr>
                <w:rFonts w:ascii="宋体" w:hAnsi="宋体"/>
                <w:color w:val="auto"/>
                <w:szCs w:val="21"/>
                <w:highlight w:val="none"/>
              </w:rPr>
            </w:pPr>
          </w:p>
        </w:tc>
        <w:tc>
          <w:tcPr>
            <w:tcW w:w="567" w:type="dxa"/>
            <w:noWrap w:val="0"/>
            <w:vAlign w:val="center"/>
          </w:tcPr>
          <w:p w14:paraId="1F637841">
            <w:pPr>
              <w:contextualSpacing/>
              <w:jc w:val="center"/>
              <w:rPr>
                <w:rFonts w:ascii="宋体" w:hAnsi="宋体"/>
                <w:color w:val="auto"/>
                <w:szCs w:val="21"/>
                <w:highlight w:val="none"/>
              </w:rPr>
            </w:pPr>
          </w:p>
        </w:tc>
        <w:tc>
          <w:tcPr>
            <w:tcW w:w="914" w:type="dxa"/>
            <w:noWrap w:val="0"/>
            <w:vAlign w:val="center"/>
          </w:tcPr>
          <w:p w14:paraId="5E00EDCB">
            <w:pPr>
              <w:contextualSpacing/>
              <w:jc w:val="center"/>
              <w:rPr>
                <w:rFonts w:ascii="宋体" w:hAnsi="宋体"/>
                <w:color w:val="auto"/>
                <w:szCs w:val="21"/>
                <w:highlight w:val="none"/>
              </w:rPr>
            </w:pPr>
          </w:p>
        </w:tc>
        <w:tc>
          <w:tcPr>
            <w:tcW w:w="992" w:type="dxa"/>
            <w:noWrap w:val="0"/>
            <w:vAlign w:val="center"/>
          </w:tcPr>
          <w:p w14:paraId="6112395C">
            <w:pPr>
              <w:contextualSpacing/>
              <w:jc w:val="center"/>
              <w:rPr>
                <w:rFonts w:ascii="宋体" w:hAnsi="宋体"/>
                <w:color w:val="auto"/>
                <w:szCs w:val="21"/>
                <w:highlight w:val="none"/>
              </w:rPr>
            </w:pPr>
          </w:p>
        </w:tc>
        <w:tc>
          <w:tcPr>
            <w:tcW w:w="1417" w:type="dxa"/>
            <w:noWrap w:val="0"/>
            <w:vAlign w:val="center"/>
          </w:tcPr>
          <w:p w14:paraId="793E6735">
            <w:pPr>
              <w:contextualSpacing/>
              <w:jc w:val="center"/>
              <w:rPr>
                <w:rFonts w:ascii="宋体" w:hAnsi="宋体"/>
                <w:color w:val="auto"/>
                <w:szCs w:val="21"/>
                <w:highlight w:val="none"/>
              </w:rPr>
            </w:pPr>
          </w:p>
        </w:tc>
        <w:tc>
          <w:tcPr>
            <w:tcW w:w="993" w:type="dxa"/>
            <w:noWrap w:val="0"/>
            <w:vAlign w:val="center"/>
          </w:tcPr>
          <w:p w14:paraId="7C34699C">
            <w:pPr>
              <w:contextualSpacing/>
              <w:jc w:val="center"/>
              <w:rPr>
                <w:rFonts w:ascii="宋体" w:hAnsi="宋体"/>
                <w:color w:val="auto"/>
                <w:szCs w:val="21"/>
                <w:highlight w:val="none"/>
              </w:rPr>
            </w:pPr>
          </w:p>
        </w:tc>
        <w:tc>
          <w:tcPr>
            <w:tcW w:w="992" w:type="dxa"/>
            <w:noWrap w:val="0"/>
            <w:vAlign w:val="center"/>
          </w:tcPr>
          <w:p w14:paraId="5C30DEE8">
            <w:pPr>
              <w:contextualSpacing/>
              <w:jc w:val="center"/>
              <w:rPr>
                <w:rFonts w:ascii="宋体" w:hAnsi="宋体"/>
                <w:color w:val="auto"/>
                <w:szCs w:val="21"/>
                <w:highlight w:val="none"/>
              </w:rPr>
            </w:pPr>
          </w:p>
        </w:tc>
        <w:tc>
          <w:tcPr>
            <w:tcW w:w="780" w:type="dxa"/>
            <w:noWrap w:val="0"/>
            <w:vAlign w:val="center"/>
          </w:tcPr>
          <w:p w14:paraId="7D1566D4">
            <w:pPr>
              <w:contextualSpacing/>
              <w:jc w:val="center"/>
              <w:rPr>
                <w:rFonts w:ascii="宋体" w:hAnsi="宋体"/>
                <w:color w:val="auto"/>
                <w:szCs w:val="21"/>
                <w:highlight w:val="none"/>
              </w:rPr>
            </w:pPr>
          </w:p>
        </w:tc>
      </w:tr>
      <w:tr w14:paraId="7F02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67" w:type="dxa"/>
            <w:noWrap w:val="0"/>
            <w:vAlign w:val="center"/>
          </w:tcPr>
          <w:p w14:paraId="1A0D1E70">
            <w:pPr>
              <w:contextualSpacing/>
              <w:jc w:val="center"/>
              <w:rPr>
                <w:rFonts w:ascii="宋体" w:hAnsi="宋体"/>
                <w:color w:val="auto"/>
                <w:szCs w:val="21"/>
                <w:highlight w:val="none"/>
              </w:rPr>
            </w:pPr>
          </w:p>
        </w:tc>
        <w:tc>
          <w:tcPr>
            <w:tcW w:w="1072" w:type="dxa"/>
            <w:noWrap w:val="0"/>
            <w:vAlign w:val="center"/>
          </w:tcPr>
          <w:p w14:paraId="24438FA9">
            <w:pPr>
              <w:contextualSpacing/>
              <w:jc w:val="center"/>
              <w:rPr>
                <w:rFonts w:ascii="宋体" w:hAnsi="宋体"/>
                <w:color w:val="auto"/>
                <w:szCs w:val="21"/>
                <w:highlight w:val="none"/>
              </w:rPr>
            </w:pPr>
          </w:p>
        </w:tc>
        <w:tc>
          <w:tcPr>
            <w:tcW w:w="708" w:type="dxa"/>
            <w:noWrap w:val="0"/>
            <w:vAlign w:val="center"/>
          </w:tcPr>
          <w:p w14:paraId="1FE86831">
            <w:pPr>
              <w:contextualSpacing/>
              <w:jc w:val="center"/>
              <w:rPr>
                <w:rFonts w:ascii="宋体" w:hAnsi="宋体"/>
                <w:color w:val="auto"/>
                <w:szCs w:val="21"/>
                <w:highlight w:val="none"/>
              </w:rPr>
            </w:pPr>
          </w:p>
        </w:tc>
        <w:tc>
          <w:tcPr>
            <w:tcW w:w="567" w:type="dxa"/>
            <w:noWrap w:val="0"/>
            <w:vAlign w:val="center"/>
          </w:tcPr>
          <w:p w14:paraId="108B3D27">
            <w:pPr>
              <w:contextualSpacing/>
              <w:jc w:val="center"/>
              <w:rPr>
                <w:rFonts w:ascii="宋体" w:hAnsi="宋体"/>
                <w:color w:val="auto"/>
                <w:szCs w:val="21"/>
                <w:highlight w:val="none"/>
              </w:rPr>
            </w:pPr>
          </w:p>
        </w:tc>
        <w:tc>
          <w:tcPr>
            <w:tcW w:w="914" w:type="dxa"/>
            <w:noWrap w:val="0"/>
            <w:vAlign w:val="center"/>
          </w:tcPr>
          <w:p w14:paraId="673F7047">
            <w:pPr>
              <w:contextualSpacing/>
              <w:jc w:val="center"/>
              <w:rPr>
                <w:rFonts w:ascii="宋体" w:hAnsi="宋体"/>
                <w:color w:val="auto"/>
                <w:szCs w:val="21"/>
                <w:highlight w:val="none"/>
              </w:rPr>
            </w:pPr>
          </w:p>
        </w:tc>
        <w:tc>
          <w:tcPr>
            <w:tcW w:w="992" w:type="dxa"/>
            <w:noWrap w:val="0"/>
            <w:vAlign w:val="center"/>
          </w:tcPr>
          <w:p w14:paraId="1E17FB9D">
            <w:pPr>
              <w:contextualSpacing/>
              <w:jc w:val="center"/>
              <w:rPr>
                <w:rFonts w:ascii="宋体" w:hAnsi="宋体"/>
                <w:color w:val="auto"/>
                <w:szCs w:val="21"/>
                <w:highlight w:val="none"/>
              </w:rPr>
            </w:pPr>
          </w:p>
        </w:tc>
        <w:tc>
          <w:tcPr>
            <w:tcW w:w="1417" w:type="dxa"/>
            <w:noWrap w:val="0"/>
            <w:vAlign w:val="center"/>
          </w:tcPr>
          <w:p w14:paraId="4700E988">
            <w:pPr>
              <w:contextualSpacing/>
              <w:jc w:val="center"/>
              <w:rPr>
                <w:rFonts w:ascii="宋体" w:hAnsi="宋体"/>
                <w:color w:val="auto"/>
                <w:szCs w:val="21"/>
                <w:highlight w:val="none"/>
              </w:rPr>
            </w:pPr>
          </w:p>
        </w:tc>
        <w:tc>
          <w:tcPr>
            <w:tcW w:w="993" w:type="dxa"/>
            <w:noWrap w:val="0"/>
            <w:vAlign w:val="center"/>
          </w:tcPr>
          <w:p w14:paraId="2B3B8E74">
            <w:pPr>
              <w:contextualSpacing/>
              <w:jc w:val="center"/>
              <w:rPr>
                <w:rFonts w:ascii="宋体" w:hAnsi="宋体"/>
                <w:color w:val="auto"/>
                <w:szCs w:val="21"/>
                <w:highlight w:val="none"/>
              </w:rPr>
            </w:pPr>
          </w:p>
        </w:tc>
        <w:tc>
          <w:tcPr>
            <w:tcW w:w="992" w:type="dxa"/>
            <w:noWrap w:val="0"/>
            <w:vAlign w:val="center"/>
          </w:tcPr>
          <w:p w14:paraId="38AE62B9">
            <w:pPr>
              <w:contextualSpacing/>
              <w:jc w:val="center"/>
              <w:rPr>
                <w:rFonts w:ascii="宋体" w:hAnsi="宋体"/>
                <w:color w:val="auto"/>
                <w:szCs w:val="21"/>
                <w:highlight w:val="none"/>
              </w:rPr>
            </w:pPr>
          </w:p>
        </w:tc>
        <w:tc>
          <w:tcPr>
            <w:tcW w:w="780" w:type="dxa"/>
            <w:noWrap w:val="0"/>
            <w:vAlign w:val="center"/>
          </w:tcPr>
          <w:p w14:paraId="35289140">
            <w:pPr>
              <w:contextualSpacing/>
              <w:jc w:val="center"/>
              <w:rPr>
                <w:rFonts w:ascii="宋体" w:hAnsi="宋体"/>
                <w:color w:val="auto"/>
                <w:szCs w:val="21"/>
                <w:highlight w:val="none"/>
              </w:rPr>
            </w:pPr>
          </w:p>
        </w:tc>
      </w:tr>
      <w:tr w14:paraId="4338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67" w:type="dxa"/>
            <w:noWrap w:val="0"/>
            <w:vAlign w:val="center"/>
          </w:tcPr>
          <w:p w14:paraId="3A751649">
            <w:pPr>
              <w:contextualSpacing/>
              <w:jc w:val="center"/>
              <w:rPr>
                <w:rFonts w:ascii="宋体" w:hAnsi="宋体"/>
                <w:color w:val="auto"/>
                <w:szCs w:val="21"/>
                <w:highlight w:val="none"/>
              </w:rPr>
            </w:pPr>
          </w:p>
        </w:tc>
        <w:tc>
          <w:tcPr>
            <w:tcW w:w="1072" w:type="dxa"/>
            <w:noWrap w:val="0"/>
            <w:vAlign w:val="center"/>
          </w:tcPr>
          <w:p w14:paraId="30B33D4F">
            <w:pPr>
              <w:contextualSpacing/>
              <w:jc w:val="center"/>
              <w:rPr>
                <w:rFonts w:ascii="宋体" w:hAnsi="宋体"/>
                <w:color w:val="auto"/>
                <w:szCs w:val="21"/>
                <w:highlight w:val="none"/>
              </w:rPr>
            </w:pPr>
          </w:p>
        </w:tc>
        <w:tc>
          <w:tcPr>
            <w:tcW w:w="708" w:type="dxa"/>
            <w:noWrap w:val="0"/>
            <w:vAlign w:val="center"/>
          </w:tcPr>
          <w:p w14:paraId="53A16560">
            <w:pPr>
              <w:contextualSpacing/>
              <w:jc w:val="center"/>
              <w:rPr>
                <w:rFonts w:ascii="宋体" w:hAnsi="宋体"/>
                <w:color w:val="auto"/>
                <w:szCs w:val="21"/>
                <w:highlight w:val="none"/>
              </w:rPr>
            </w:pPr>
          </w:p>
        </w:tc>
        <w:tc>
          <w:tcPr>
            <w:tcW w:w="567" w:type="dxa"/>
            <w:noWrap w:val="0"/>
            <w:vAlign w:val="center"/>
          </w:tcPr>
          <w:p w14:paraId="37918481">
            <w:pPr>
              <w:contextualSpacing/>
              <w:jc w:val="center"/>
              <w:rPr>
                <w:rFonts w:ascii="宋体" w:hAnsi="宋体"/>
                <w:color w:val="auto"/>
                <w:szCs w:val="21"/>
                <w:highlight w:val="none"/>
              </w:rPr>
            </w:pPr>
          </w:p>
        </w:tc>
        <w:tc>
          <w:tcPr>
            <w:tcW w:w="914" w:type="dxa"/>
            <w:noWrap w:val="0"/>
            <w:vAlign w:val="center"/>
          </w:tcPr>
          <w:p w14:paraId="301BCE0C">
            <w:pPr>
              <w:contextualSpacing/>
              <w:jc w:val="center"/>
              <w:rPr>
                <w:rFonts w:ascii="宋体" w:hAnsi="宋体"/>
                <w:color w:val="auto"/>
                <w:szCs w:val="21"/>
                <w:highlight w:val="none"/>
              </w:rPr>
            </w:pPr>
          </w:p>
        </w:tc>
        <w:tc>
          <w:tcPr>
            <w:tcW w:w="992" w:type="dxa"/>
            <w:noWrap w:val="0"/>
            <w:vAlign w:val="center"/>
          </w:tcPr>
          <w:p w14:paraId="75B9B9C0">
            <w:pPr>
              <w:contextualSpacing/>
              <w:jc w:val="center"/>
              <w:rPr>
                <w:rFonts w:ascii="宋体" w:hAnsi="宋体"/>
                <w:color w:val="auto"/>
                <w:szCs w:val="21"/>
                <w:highlight w:val="none"/>
              </w:rPr>
            </w:pPr>
          </w:p>
        </w:tc>
        <w:tc>
          <w:tcPr>
            <w:tcW w:w="1417" w:type="dxa"/>
            <w:noWrap w:val="0"/>
            <w:vAlign w:val="center"/>
          </w:tcPr>
          <w:p w14:paraId="4BE5BC88">
            <w:pPr>
              <w:contextualSpacing/>
              <w:jc w:val="center"/>
              <w:rPr>
                <w:rFonts w:ascii="宋体" w:hAnsi="宋体"/>
                <w:color w:val="auto"/>
                <w:szCs w:val="21"/>
                <w:highlight w:val="none"/>
              </w:rPr>
            </w:pPr>
          </w:p>
        </w:tc>
        <w:tc>
          <w:tcPr>
            <w:tcW w:w="993" w:type="dxa"/>
            <w:noWrap w:val="0"/>
            <w:vAlign w:val="center"/>
          </w:tcPr>
          <w:p w14:paraId="0C4FBFA3">
            <w:pPr>
              <w:contextualSpacing/>
              <w:jc w:val="center"/>
              <w:rPr>
                <w:rFonts w:ascii="宋体" w:hAnsi="宋体"/>
                <w:color w:val="auto"/>
                <w:szCs w:val="21"/>
                <w:highlight w:val="none"/>
              </w:rPr>
            </w:pPr>
          </w:p>
        </w:tc>
        <w:tc>
          <w:tcPr>
            <w:tcW w:w="992" w:type="dxa"/>
            <w:noWrap w:val="0"/>
            <w:vAlign w:val="center"/>
          </w:tcPr>
          <w:p w14:paraId="68E26949">
            <w:pPr>
              <w:contextualSpacing/>
              <w:jc w:val="center"/>
              <w:rPr>
                <w:rFonts w:ascii="宋体" w:hAnsi="宋体"/>
                <w:color w:val="auto"/>
                <w:szCs w:val="21"/>
                <w:highlight w:val="none"/>
              </w:rPr>
            </w:pPr>
          </w:p>
        </w:tc>
        <w:tc>
          <w:tcPr>
            <w:tcW w:w="780" w:type="dxa"/>
            <w:noWrap w:val="0"/>
            <w:vAlign w:val="center"/>
          </w:tcPr>
          <w:p w14:paraId="0D67F2F0">
            <w:pPr>
              <w:contextualSpacing/>
              <w:jc w:val="center"/>
              <w:rPr>
                <w:rFonts w:ascii="宋体" w:hAnsi="宋体"/>
                <w:color w:val="auto"/>
                <w:szCs w:val="21"/>
                <w:highlight w:val="none"/>
              </w:rPr>
            </w:pPr>
          </w:p>
        </w:tc>
      </w:tr>
    </w:tbl>
    <w:p w14:paraId="15A4F128">
      <w:pPr>
        <w:shd w:val="clear" w:color="auto" w:fill="FFFFFF"/>
        <w:spacing w:line="360" w:lineRule="auto"/>
        <w:contextualSpacing/>
        <w:jc w:val="center"/>
        <w:rPr>
          <w:rFonts w:ascii="宋体" w:hAnsi="宋体" w:cs="宋体"/>
          <w:color w:val="auto"/>
          <w:sz w:val="44"/>
          <w:szCs w:val="44"/>
          <w:highlight w:val="none"/>
        </w:rPr>
      </w:pPr>
    </w:p>
    <w:p w14:paraId="73BB30A3">
      <w:pPr>
        <w:rPr>
          <w:rFonts w:ascii="宋体" w:hAnsi="宋体" w:cs="宋体"/>
          <w:color w:val="auto"/>
          <w:sz w:val="44"/>
          <w:szCs w:val="44"/>
          <w:highlight w:val="none"/>
        </w:rPr>
      </w:pPr>
      <w:r>
        <w:rPr>
          <w:rFonts w:ascii="宋体" w:hAnsi="宋体" w:cs="宋体"/>
          <w:color w:val="auto"/>
          <w:sz w:val="44"/>
          <w:szCs w:val="44"/>
          <w:highlight w:val="none"/>
        </w:rPr>
        <w:br w:type="page"/>
      </w:r>
    </w:p>
    <w:p w14:paraId="444E92C5">
      <w:pPr>
        <w:pStyle w:val="7"/>
        <w:spacing w:line="360" w:lineRule="auto"/>
        <w:rPr>
          <w:rFonts w:ascii="宋体" w:hAnsi="宋体" w:eastAsia="宋体"/>
          <w:b w:val="0"/>
          <w:color w:val="auto"/>
          <w:highlight w:val="none"/>
        </w:rPr>
      </w:pPr>
      <w:bookmarkStart w:id="22" w:name="_Toc249791201"/>
      <w:bookmarkStart w:id="23" w:name="_Toc251352660"/>
      <w:bookmarkStart w:id="24" w:name="_Toc251353043"/>
      <w:bookmarkStart w:id="25" w:name="_Toc251353173"/>
      <w:bookmarkStart w:id="26" w:name="_Toc360525438"/>
      <w:bookmarkStart w:id="27" w:name="_Toc251352791"/>
      <w:bookmarkStart w:id="28" w:name="_Toc249764880"/>
      <w:bookmarkStart w:id="29" w:name="_Toc249791332"/>
      <w:bookmarkStart w:id="30" w:name="_Toc249764684"/>
      <w:bookmarkStart w:id="31" w:name="_Toc249790840"/>
      <w:bookmarkStart w:id="32" w:name="_Toc250045050"/>
      <w:bookmarkStart w:id="33" w:name="_Toc251352174"/>
      <w:bookmarkStart w:id="34" w:name="_Toc249775860"/>
      <w:bookmarkStart w:id="35" w:name="_Toc249791067"/>
      <w:bookmarkStart w:id="36" w:name="_Toc251576815"/>
      <w:bookmarkStart w:id="37" w:name="_Toc249343459"/>
      <w:bookmarkStart w:id="38" w:name="_Toc251676173"/>
      <w:r>
        <w:rPr>
          <w:rFonts w:hint="eastAsia" w:ascii="宋体" w:hAnsi="宋体" w:eastAsia="宋体"/>
          <w:b w:val="0"/>
          <w:bCs w:val="0"/>
          <w:color w:val="auto"/>
          <w:highlight w:val="none"/>
        </w:rPr>
        <w:t>附表</w:t>
      </w:r>
      <w:r>
        <w:rPr>
          <w:rFonts w:ascii="宋体" w:hAnsi="宋体" w:eastAsia="宋体"/>
          <w:b w:val="0"/>
          <w:bCs w:val="0"/>
          <w:color w:val="auto"/>
          <w:highlight w:val="none"/>
        </w:rPr>
        <w:t>2</w:t>
      </w:r>
      <w:r>
        <w:rPr>
          <w:rFonts w:hint="eastAsia" w:ascii="宋体" w:hAnsi="宋体" w:eastAsia="宋体"/>
          <w:b w:val="0"/>
          <w:bCs w:val="0"/>
          <w:color w:val="auto"/>
          <w:highlight w:val="none"/>
        </w:rPr>
        <w:t>：拟配备的试验和检测仪器设备表</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bl>
      <w:tblPr>
        <w:tblStyle w:val="14"/>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131"/>
        <w:gridCol w:w="1177"/>
        <w:gridCol w:w="707"/>
        <w:gridCol w:w="824"/>
        <w:gridCol w:w="1175"/>
        <w:gridCol w:w="1656"/>
        <w:gridCol w:w="996"/>
        <w:gridCol w:w="816"/>
      </w:tblGrid>
      <w:tr w14:paraId="6050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00D8BB89">
            <w:pPr>
              <w:contextualSpacing/>
              <w:jc w:val="center"/>
              <w:rPr>
                <w:rFonts w:ascii="宋体" w:hAnsi="宋体"/>
                <w:color w:val="auto"/>
                <w:szCs w:val="21"/>
                <w:highlight w:val="none"/>
              </w:rPr>
            </w:pPr>
            <w:r>
              <w:rPr>
                <w:rFonts w:hint="eastAsia" w:ascii="宋体" w:hAnsi="宋体"/>
                <w:color w:val="auto"/>
                <w:szCs w:val="21"/>
                <w:highlight w:val="none"/>
              </w:rPr>
              <w:t>序号</w:t>
            </w:r>
          </w:p>
        </w:tc>
        <w:tc>
          <w:tcPr>
            <w:tcW w:w="1131" w:type="dxa"/>
            <w:tcBorders>
              <w:top w:val="outset" w:color="auto" w:sz="6" w:space="0"/>
              <w:left w:val="outset" w:color="auto" w:sz="6" w:space="0"/>
              <w:bottom w:val="outset" w:color="auto" w:sz="6" w:space="0"/>
              <w:right w:val="outset" w:color="auto" w:sz="6" w:space="0"/>
            </w:tcBorders>
            <w:noWrap w:val="0"/>
            <w:vAlign w:val="center"/>
          </w:tcPr>
          <w:p w14:paraId="62434128">
            <w:pPr>
              <w:contextualSpacing/>
              <w:jc w:val="center"/>
              <w:rPr>
                <w:rFonts w:ascii="宋体" w:hAnsi="宋体"/>
                <w:color w:val="auto"/>
                <w:szCs w:val="21"/>
                <w:highlight w:val="none"/>
              </w:rPr>
            </w:pPr>
            <w:r>
              <w:rPr>
                <w:rFonts w:hint="eastAsia" w:ascii="宋体" w:hAnsi="宋体"/>
                <w:color w:val="auto"/>
                <w:szCs w:val="21"/>
                <w:highlight w:val="none"/>
              </w:rPr>
              <w:t>仪器设备</w:t>
            </w:r>
          </w:p>
          <w:p w14:paraId="4A61463B">
            <w:pPr>
              <w:contextualSpacing/>
              <w:jc w:val="center"/>
              <w:rPr>
                <w:rFonts w:ascii="宋体" w:hAnsi="宋体"/>
                <w:color w:val="auto"/>
                <w:szCs w:val="21"/>
                <w:highlight w:val="none"/>
              </w:rPr>
            </w:pPr>
            <w:r>
              <w:rPr>
                <w:rFonts w:hint="eastAsia" w:ascii="宋体" w:hAnsi="宋体"/>
                <w:color w:val="auto"/>
                <w:szCs w:val="21"/>
                <w:highlight w:val="none"/>
              </w:rPr>
              <w:t>名称</w:t>
            </w:r>
          </w:p>
        </w:tc>
        <w:tc>
          <w:tcPr>
            <w:tcW w:w="1177" w:type="dxa"/>
            <w:tcBorders>
              <w:top w:val="outset" w:color="auto" w:sz="6" w:space="0"/>
              <w:left w:val="outset" w:color="auto" w:sz="6" w:space="0"/>
              <w:bottom w:val="outset" w:color="auto" w:sz="6" w:space="0"/>
              <w:right w:val="outset" w:color="auto" w:sz="6" w:space="0"/>
            </w:tcBorders>
            <w:noWrap w:val="0"/>
            <w:vAlign w:val="center"/>
          </w:tcPr>
          <w:p w14:paraId="2D4C62B7">
            <w:pPr>
              <w:contextualSpacing/>
              <w:jc w:val="center"/>
              <w:rPr>
                <w:rFonts w:ascii="宋体" w:hAnsi="宋体"/>
                <w:color w:val="auto"/>
                <w:szCs w:val="21"/>
                <w:highlight w:val="none"/>
              </w:rPr>
            </w:pPr>
            <w:r>
              <w:rPr>
                <w:rFonts w:hint="eastAsia" w:ascii="宋体" w:hAnsi="宋体"/>
                <w:color w:val="auto"/>
                <w:szCs w:val="21"/>
                <w:highlight w:val="none"/>
              </w:rPr>
              <w:t>型号</w:t>
            </w:r>
          </w:p>
          <w:p w14:paraId="5A685710">
            <w:pPr>
              <w:contextualSpacing/>
              <w:jc w:val="center"/>
              <w:rPr>
                <w:rFonts w:ascii="宋体" w:hAnsi="宋体"/>
                <w:color w:val="auto"/>
                <w:szCs w:val="21"/>
                <w:highlight w:val="none"/>
              </w:rPr>
            </w:pPr>
            <w:r>
              <w:rPr>
                <w:rFonts w:hint="eastAsia" w:ascii="宋体" w:hAnsi="宋体"/>
                <w:color w:val="auto"/>
                <w:szCs w:val="21"/>
                <w:highlight w:val="none"/>
              </w:rPr>
              <w:t>规格</w:t>
            </w:r>
          </w:p>
        </w:tc>
        <w:tc>
          <w:tcPr>
            <w:tcW w:w="707" w:type="dxa"/>
            <w:tcBorders>
              <w:top w:val="outset" w:color="auto" w:sz="6" w:space="0"/>
              <w:left w:val="outset" w:color="auto" w:sz="6" w:space="0"/>
              <w:bottom w:val="outset" w:color="auto" w:sz="6" w:space="0"/>
              <w:right w:val="outset" w:color="auto" w:sz="6" w:space="0"/>
            </w:tcBorders>
            <w:noWrap w:val="0"/>
            <w:vAlign w:val="center"/>
          </w:tcPr>
          <w:p w14:paraId="5F8B32CF">
            <w:pPr>
              <w:contextualSpacing/>
              <w:jc w:val="center"/>
              <w:rPr>
                <w:rFonts w:ascii="宋体" w:hAnsi="宋体"/>
                <w:color w:val="auto"/>
                <w:szCs w:val="21"/>
                <w:highlight w:val="none"/>
              </w:rPr>
            </w:pPr>
            <w:r>
              <w:rPr>
                <w:rFonts w:hint="eastAsia" w:ascii="宋体" w:hAnsi="宋体"/>
                <w:color w:val="auto"/>
                <w:szCs w:val="21"/>
                <w:highlight w:val="none"/>
              </w:rPr>
              <w:t>数量</w:t>
            </w:r>
          </w:p>
        </w:tc>
        <w:tc>
          <w:tcPr>
            <w:tcW w:w="824" w:type="dxa"/>
            <w:tcBorders>
              <w:top w:val="outset" w:color="auto" w:sz="6" w:space="0"/>
              <w:left w:val="outset" w:color="auto" w:sz="6" w:space="0"/>
              <w:bottom w:val="outset" w:color="auto" w:sz="6" w:space="0"/>
              <w:right w:val="outset" w:color="auto" w:sz="6" w:space="0"/>
            </w:tcBorders>
            <w:noWrap w:val="0"/>
            <w:vAlign w:val="center"/>
          </w:tcPr>
          <w:p w14:paraId="6E6A01B0">
            <w:pPr>
              <w:contextualSpacing/>
              <w:jc w:val="center"/>
              <w:rPr>
                <w:rFonts w:ascii="宋体" w:hAnsi="宋体"/>
                <w:color w:val="auto"/>
                <w:szCs w:val="21"/>
                <w:highlight w:val="none"/>
              </w:rPr>
            </w:pPr>
            <w:r>
              <w:rPr>
                <w:rFonts w:hint="eastAsia" w:ascii="宋体" w:hAnsi="宋体"/>
                <w:color w:val="auto"/>
                <w:szCs w:val="21"/>
                <w:highlight w:val="none"/>
              </w:rPr>
              <w:t>国别</w:t>
            </w:r>
          </w:p>
          <w:p w14:paraId="2C1A0F13">
            <w:pPr>
              <w:contextualSpacing/>
              <w:jc w:val="center"/>
              <w:rPr>
                <w:rFonts w:ascii="宋体" w:hAnsi="宋体"/>
                <w:color w:val="auto"/>
                <w:szCs w:val="21"/>
                <w:highlight w:val="none"/>
              </w:rPr>
            </w:pPr>
            <w:r>
              <w:rPr>
                <w:rFonts w:hint="eastAsia" w:ascii="宋体" w:hAnsi="宋体"/>
                <w:color w:val="auto"/>
                <w:szCs w:val="21"/>
                <w:highlight w:val="none"/>
              </w:rPr>
              <w:t>产地</w:t>
            </w:r>
          </w:p>
        </w:tc>
        <w:tc>
          <w:tcPr>
            <w:tcW w:w="1175" w:type="dxa"/>
            <w:tcBorders>
              <w:top w:val="outset" w:color="auto" w:sz="6" w:space="0"/>
              <w:left w:val="outset" w:color="auto" w:sz="6" w:space="0"/>
              <w:bottom w:val="outset" w:color="auto" w:sz="6" w:space="0"/>
              <w:right w:val="outset" w:color="auto" w:sz="6" w:space="0"/>
            </w:tcBorders>
            <w:noWrap w:val="0"/>
            <w:vAlign w:val="center"/>
          </w:tcPr>
          <w:p w14:paraId="5446AE81">
            <w:pPr>
              <w:contextualSpacing/>
              <w:jc w:val="center"/>
              <w:rPr>
                <w:rFonts w:ascii="宋体" w:hAnsi="宋体"/>
                <w:color w:val="auto"/>
                <w:szCs w:val="21"/>
                <w:highlight w:val="none"/>
              </w:rPr>
            </w:pPr>
            <w:r>
              <w:rPr>
                <w:rFonts w:hint="eastAsia" w:ascii="宋体" w:hAnsi="宋体"/>
                <w:color w:val="auto"/>
                <w:szCs w:val="21"/>
                <w:highlight w:val="none"/>
              </w:rPr>
              <w:t>制造年份</w:t>
            </w:r>
          </w:p>
        </w:tc>
        <w:tc>
          <w:tcPr>
            <w:tcW w:w="1656" w:type="dxa"/>
            <w:tcBorders>
              <w:top w:val="outset" w:color="auto" w:sz="6" w:space="0"/>
              <w:left w:val="outset" w:color="auto" w:sz="6" w:space="0"/>
              <w:bottom w:val="outset" w:color="auto" w:sz="6" w:space="0"/>
              <w:right w:val="outset" w:color="auto" w:sz="6" w:space="0"/>
            </w:tcBorders>
            <w:noWrap w:val="0"/>
            <w:vAlign w:val="center"/>
          </w:tcPr>
          <w:p w14:paraId="5EBC99D1">
            <w:pPr>
              <w:contextualSpacing/>
              <w:jc w:val="center"/>
              <w:rPr>
                <w:rFonts w:ascii="宋体" w:hAnsi="宋体"/>
                <w:color w:val="auto"/>
                <w:szCs w:val="21"/>
                <w:highlight w:val="none"/>
              </w:rPr>
            </w:pPr>
            <w:r>
              <w:rPr>
                <w:rFonts w:hint="eastAsia" w:ascii="宋体" w:hAnsi="宋体"/>
                <w:color w:val="auto"/>
                <w:szCs w:val="21"/>
                <w:highlight w:val="none"/>
              </w:rPr>
              <w:t>己使用台时数</w:t>
            </w:r>
          </w:p>
        </w:tc>
        <w:tc>
          <w:tcPr>
            <w:tcW w:w="996" w:type="dxa"/>
            <w:tcBorders>
              <w:top w:val="outset" w:color="auto" w:sz="6" w:space="0"/>
              <w:left w:val="outset" w:color="auto" w:sz="6" w:space="0"/>
              <w:bottom w:val="outset" w:color="auto" w:sz="6" w:space="0"/>
              <w:right w:val="outset" w:color="auto" w:sz="6" w:space="0"/>
            </w:tcBorders>
            <w:noWrap w:val="0"/>
            <w:vAlign w:val="center"/>
          </w:tcPr>
          <w:p w14:paraId="2A8B3069">
            <w:pPr>
              <w:contextualSpacing/>
              <w:jc w:val="center"/>
              <w:rPr>
                <w:rFonts w:ascii="宋体" w:hAnsi="宋体"/>
                <w:color w:val="auto"/>
                <w:szCs w:val="21"/>
                <w:highlight w:val="none"/>
              </w:rPr>
            </w:pPr>
            <w:r>
              <w:rPr>
                <w:rFonts w:hint="eastAsia" w:ascii="宋体" w:hAnsi="宋体"/>
                <w:color w:val="auto"/>
                <w:szCs w:val="21"/>
                <w:highlight w:val="none"/>
              </w:rPr>
              <w:t>用途</w:t>
            </w:r>
          </w:p>
        </w:tc>
        <w:tc>
          <w:tcPr>
            <w:tcW w:w="816" w:type="dxa"/>
            <w:tcBorders>
              <w:top w:val="outset" w:color="auto" w:sz="6" w:space="0"/>
              <w:left w:val="outset" w:color="auto" w:sz="6" w:space="0"/>
              <w:bottom w:val="outset" w:color="auto" w:sz="6" w:space="0"/>
              <w:right w:val="outset" w:color="auto" w:sz="6" w:space="0"/>
            </w:tcBorders>
            <w:noWrap w:val="0"/>
            <w:vAlign w:val="center"/>
          </w:tcPr>
          <w:p w14:paraId="5631CFAE">
            <w:pPr>
              <w:contextualSpacing/>
              <w:jc w:val="center"/>
              <w:rPr>
                <w:rFonts w:ascii="宋体" w:hAnsi="宋体"/>
                <w:color w:val="auto"/>
                <w:szCs w:val="21"/>
                <w:highlight w:val="none"/>
              </w:rPr>
            </w:pPr>
            <w:r>
              <w:rPr>
                <w:rFonts w:hint="eastAsia" w:ascii="宋体" w:hAnsi="宋体"/>
                <w:color w:val="auto"/>
                <w:szCs w:val="21"/>
                <w:highlight w:val="none"/>
              </w:rPr>
              <w:t>备注</w:t>
            </w:r>
          </w:p>
        </w:tc>
      </w:tr>
      <w:tr w14:paraId="58B5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2F0138CC">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2C7B6152">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559B98AB">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49CD029E">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00858EBB">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4EFC1F82">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51C4D2EC">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658E397B">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1612D685">
            <w:pPr>
              <w:contextualSpacing/>
              <w:jc w:val="center"/>
              <w:rPr>
                <w:rFonts w:ascii="宋体" w:hAnsi="宋体"/>
                <w:color w:val="auto"/>
                <w:szCs w:val="21"/>
                <w:highlight w:val="none"/>
              </w:rPr>
            </w:pPr>
          </w:p>
        </w:tc>
      </w:tr>
      <w:tr w14:paraId="5FF8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67C9601A">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6AE0CAC4">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49B30850">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2EBCFF93">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5E59E534">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497473D5">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701D8DB3">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52EE22F3">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5AF6029A">
            <w:pPr>
              <w:contextualSpacing/>
              <w:jc w:val="center"/>
              <w:rPr>
                <w:rFonts w:ascii="宋体" w:hAnsi="宋体"/>
                <w:color w:val="auto"/>
                <w:szCs w:val="21"/>
                <w:highlight w:val="none"/>
              </w:rPr>
            </w:pPr>
          </w:p>
        </w:tc>
      </w:tr>
      <w:tr w14:paraId="0D71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0C3FF19C">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520ADF52">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3E84DD17">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7C1586A1">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5126C1C5">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7E06515B">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3EE05C6E">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7127AD1B">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75BE0454">
            <w:pPr>
              <w:contextualSpacing/>
              <w:jc w:val="center"/>
              <w:rPr>
                <w:rFonts w:ascii="宋体" w:hAnsi="宋体"/>
                <w:color w:val="auto"/>
                <w:szCs w:val="21"/>
                <w:highlight w:val="none"/>
              </w:rPr>
            </w:pPr>
          </w:p>
        </w:tc>
      </w:tr>
      <w:tr w14:paraId="3C57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30A41F3A">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2282BBA4">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0B88CFBA">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6BFFD60F">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1AED80E0">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62FB79F5">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6C118DE6">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5D3F0A26">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12B1307C">
            <w:pPr>
              <w:contextualSpacing/>
              <w:jc w:val="center"/>
              <w:rPr>
                <w:rFonts w:ascii="宋体" w:hAnsi="宋体"/>
                <w:color w:val="auto"/>
                <w:szCs w:val="21"/>
                <w:highlight w:val="none"/>
              </w:rPr>
            </w:pPr>
          </w:p>
        </w:tc>
      </w:tr>
      <w:tr w14:paraId="681D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036E9E03">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2850A468">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34572F09">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0805F2FD">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37C5F1A8">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68C750E0">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5DEEF58C">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74D1DF61">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6DF8DC3A">
            <w:pPr>
              <w:contextualSpacing/>
              <w:jc w:val="center"/>
              <w:rPr>
                <w:rFonts w:ascii="宋体" w:hAnsi="宋体"/>
                <w:color w:val="auto"/>
                <w:szCs w:val="21"/>
                <w:highlight w:val="none"/>
              </w:rPr>
            </w:pPr>
          </w:p>
        </w:tc>
      </w:tr>
      <w:tr w14:paraId="11E9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2863F225">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7230F744">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35283717">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0C3618B3">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17FA508A">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056D26D4">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15BDE3DC">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46ED3D1D">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04111E59">
            <w:pPr>
              <w:contextualSpacing/>
              <w:jc w:val="center"/>
              <w:rPr>
                <w:rFonts w:ascii="宋体" w:hAnsi="宋体"/>
                <w:color w:val="auto"/>
                <w:szCs w:val="21"/>
                <w:highlight w:val="none"/>
              </w:rPr>
            </w:pPr>
          </w:p>
        </w:tc>
      </w:tr>
      <w:tr w14:paraId="1571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1D178449">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70C7EB1C">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1A00071B">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2C5114A4">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3941C100">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21A4115B">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6C5E057E">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7FB08345">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26B1E272">
            <w:pPr>
              <w:contextualSpacing/>
              <w:jc w:val="center"/>
              <w:rPr>
                <w:rFonts w:ascii="宋体" w:hAnsi="宋体"/>
                <w:color w:val="auto"/>
                <w:szCs w:val="21"/>
                <w:highlight w:val="none"/>
              </w:rPr>
            </w:pPr>
          </w:p>
        </w:tc>
      </w:tr>
      <w:tr w14:paraId="38ED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50E37680">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73D93EC6">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7F1D64D4">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13B768C8">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5820C27C">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5411BE00">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7C31CC9D">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7EA5CF19">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4D830F1B">
            <w:pPr>
              <w:contextualSpacing/>
              <w:jc w:val="center"/>
              <w:rPr>
                <w:rFonts w:ascii="宋体" w:hAnsi="宋体"/>
                <w:color w:val="auto"/>
                <w:szCs w:val="21"/>
                <w:highlight w:val="none"/>
              </w:rPr>
            </w:pPr>
          </w:p>
        </w:tc>
      </w:tr>
      <w:tr w14:paraId="3E0A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62C7BB8E">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2F2CB8EF">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2DB1FE1D">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76996E47">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388D3004">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7C85575D">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1ED6E8A7">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6ACB4F9F">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0DC21CE1">
            <w:pPr>
              <w:contextualSpacing/>
              <w:jc w:val="center"/>
              <w:rPr>
                <w:rFonts w:ascii="宋体" w:hAnsi="宋体"/>
                <w:color w:val="auto"/>
                <w:szCs w:val="21"/>
                <w:highlight w:val="none"/>
              </w:rPr>
            </w:pPr>
          </w:p>
        </w:tc>
      </w:tr>
      <w:tr w14:paraId="583E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771BCF37">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527325D1">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07A4ADF6">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2C05F08B">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7D751EC1">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058C67F0">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1343D1E6">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4DF59C7D">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2CDBA859">
            <w:pPr>
              <w:contextualSpacing/>
              <w:jc w:val="center"/>
              <w:rPr>
                <w:rFonts w:ascii="宋体" w:hAnsi="宋体"/>
                <w:color w:val="auto"/>
                <w:szCs w:val="21"/>
                <w:highlight w:val="none"/>
              </w:rPr>
            </w:pPr>
          </w:p>
        </w:tc>
      </w:tr>
      <w:tr w14:paraId="5382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03556DF5">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5EC1963C">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7D5FA86C">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6617C83B">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4102F296">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34155F27">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2C9724CA">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75D4FCFC">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181DAC15">
            <w:pPr>
              <w:contextualSpacing/>
              <w:jc w:val="center"/>
              <w:rPr>
                <w:rFonts w:ascii="宋体" w:hAnsi="宋体"/>
                <w:color w:val="auto"/>
                <w:szCs w:val="21"/>
                <w:highlight w:val="none"/>
              </w:rPr>
            </w:pPr>
          </w:p>
        </w:tc>
      </w:tr>
      <w:tr w14:paraId="5C0C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3CBC3718">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0ACBD310">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57316EF9">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4BDD2A8B">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1AD4F96C">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2159C291">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7513D5FA">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41D654E8">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1198E8B4">
            <w:pPr>
              <w:contextualSpacing/>
              <w:jc w:val="center"/>
              <w:rPr>
                <w:rFonts w:ascii="宋体" w:hAnsi="宋体"/>
                <w:color w:val="auto"/>
                <w:szCs w:val="21"/>
                <w:highlight w:val="none"/>
              </w:rPr>
            </w:pPr>
          </w:p>
        </w:tc>
      </w:tr>
      <w:tr w14:paraId="2423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90" w:type="dxa"/>
            <w:tcBorders>
              <w:top w:val="outset" w:color="auto" w:sz="6" w:space="0"/>
              <w:left w:val="outset" w:color="auto" w:sz="6" w:space="0"/>
              <w:bottom w:val="outset" w:color="auto" w:sz="6" w:space="0"/>
              <w:right w:val="outset" w:color="auto" w:sz="6" w:space="0"/>
            </w:tcBorders>
            <w:noWrap w:val="0"/>
            <w:vAlign w:val="center"/>
          </w:tcPr>
          <w:p w14:paraId="718F3850">
            <w:pPr>
              <w:contextualSpacing/>
              <w:jc w:val="center"/>
              <w:rPr>
                <w:rFonts w:ascii="宋体" w:hAnsi="宋体"/>
                <w:color w:val="auto"/>
                <w:szCs w:val="21"/>
                <w:highlight w:val="none"/>
              </w:rPr>
            </w:pPr>
          </w:p>
        </w:tc>
        <w:tc>
          <w:tcPr>
            <w:tcW w:w="1131" w:type="dxa"/>
            <w:tcBorders>
              <w:top w:val="outset" w:color="auto" w:sz="6" w:space="0"/>
              <w:left w:val="outset" w:color="auto" w:sz="6" w:space="0"/>
              <w:bottom w:val="outset" w:color="auto" w:sz="6" w:space="0"/>
              <w:right w:val="outset" w:color="auto" w:sz="6" w:space="0"/>
            </w:tcBorders>
            <w:noWrap w:val="0"/>
            <w:vAlign w:val="center"/>
          </w:tcPr>
          <w:p w14:paraId="385E9289">
            <w:pPr>
              <w:contextualSpacing/>
              <w:jc w:val="center"/>
              <w:rPr>
                <w:rFonts w:ascii="宋体" w:hAnsi="宋体"/>
                <w:color w:val="auto"/>
                <w:szCs w:val="21"/>
                <w:highlight w:val="none"/>
              </w:rPr>
            </w:pPr>
          </w:p>
        </w:tc>
        <w:tc>
          <w:tcPr>
            <w:tcW w:w="1177" w:type="dxa"/>
            <w:tcBorders>
              <w:top w:val="outset" w:color="auto" w:sz="6" w:space="0"/>
              <w:left w:val="outset" w:color="auto" w:sz="6" w:space="0"/>
              <w:bottom w:val="outset" w:color="auto" w:sz="6" w:space="0"/>
              <w:right w:val="outset" w:color="auto" w:sz="6" w:space="0"/>
            </w:tcBorders>
            <w:noWrap w:val="0"/>
            <w:vAlign w:val="center"/>
          </w:tcPr>
          <w:p w14:paraId="4DA9DEC8">
            <w:pPr>
              <w:contextualSpacing/>
              <w:jc w:val="center"/>
              <w:rPr>
                <w:rFonts w:ascii="宋体" w:hAnsi="宋体"/>
                <w:color w:val="auto"/>
                <w:szCs w:val="21"/>
                <w:highlight w:val="none"/>
              </w:rPr>
            </w:pPr>
          </w:p>
        </w:tc>
        <w:tc>
          <w:tcPr>
            <w:tcW w:w="707" w:type="dxa"/>
            <w:tcBorders>
              <w:top w:val="outset" w:color="auto" w:sz="6" w:space="0"/>
              <w:left w:val="outset" w:color="auto" w:sz="6" w:space="0"/>
              <w:bottom w:val="outset" w:color="auto" w:sz="6" w:space="0"/>
              <w:right w:val="outset" w:color="auto" w:sz="6" w:space="0"/>
            </w:tcBorders>
            <w:noWrap w:val="0"/>
            <w:vAlign w:val="center"/>
          </w:tcPr>
          <w:p w14:paraId="742E8A2F">
            <w:pPr>
              <w:contextualSpacing/>
              <w:jc w:val="center"/>
              <w:rPr>
                <w:rFonts w:ascii="宋体" w:hAnsi="宋体"/>
                <w:color w:val="auto"/>
                <w:szCs w:val="21"/>
                <w:highlight w:val="none"/>
              </w:rPr>
            </w:pPr>
          </w:p>
        </w:tc>
        <w:tc>
          <w:tcPr>
            <w:tcW w:w="824" w:type="dxa"/>
            <w:tcBorders>
              <w:top w:val="outset" w:color="auto" w:sz="6" w:space="0"/>
              <w:left w:val="outset" w:color="auto" w:sz="6" w:space="0"/>
              <w:bottom w:val="outset" w:color="auto" w:sz="6" w:space="0"/>
              <w:right w:val="outset" w:color="auto" w:sz="6" w:space="0"/>
            </w:tcBorders>
            <w:noWrap w:val="0"/>
            <w:vAlign w:val="center"/>
          </w:tcPr>
          <w:p w14:paraId="6BF53215">
            <w:pPr>
              <w:contextualSpacing/>
              <w:jc w:val="center"/>
              <w:rPr>
                <w:rFonts w:ascii="宋体" w:hAnsi="宋体"/>
                <w:color w:val="auto"/>
                <w:szCs w:val="21"/>
                <w:highlight w:val="none"/>
              </w:rPr>
            </w:pPr>
          </w:p>
        </w:tc>
        <w:tc>
          <w:tcPr>
            <w:tcW w:w="1175" w:type="dxa"/>
            <w:tcBorders>
              <w:top w:val="outset" w:color="auto" w:sz="6" w:space="0"/>
              <w:left w:val="outset" w:color="auto" w:sz="6" w:space="0"/>
              <w:bottom w:val="outset" w:color="auto" w:sz="6" w:space="0"/>
              <w:right w:val="outset" w:color="auto" w:sz="6" w:space="0"/>
            </w:tcBorders>
            <w:noWrap w:val="0"/>
            <w:vAlign w:val="center"/>
          </w:tcPr>
          <w:p w14:paraId="37BD8F91">
            <w:pPr>
              <w:contextualSpacing/>
              <w:jc w:val="center"/>
              <w:rPr>
                <w:rFonts w:ascii="宋体" w:hAnsi="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noWrap w:val="0"/>
            <w:vAlign w:val="center"/>
          </w:tcPr>
          <w:p w14:paraId="672F4110">
            <w:pPr>
              <w:contextualSpacing/>
              <w:jc w:val="center"/>
              <w:rPr>
                <w:rFonts w:ascii="宋体" w:hAnsi="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noWrap w:val="0"/>
            <w:vAlign w:val="center"/>
          </w:tcPr>
          <w:p w14:paraId="33C18F55">
            <w:pPr>
              <w:contextualSpacing/>
              <w:jc w:val="center"/>
              <w:rPr>
                <w:rFonts w:ascii="宋体" w:hAnsi="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noWrap w:val="0"/>
            <w:vAlign w:val="center"/>
          </w:tcPr>
          <w:p w14:paraId="172183A2">
            <w:pPr>
              <w:contextualSpacing/>
              <w:jc w:val="center"/>
              <w:rPr>
                <w:rFonts w:ascii="宋体" w:hAnsi="宋体"/>
                <w:color w:val="auto"/>
                <w:szCs w:val="21"/>
                <w:highlight w:val="none"/>
              </w:rPr>
            </w:pPr>
          </w:p>
        </w:tc>
      </w:tr>
    </w:tbl>
    <w:p w14:paraId="0E416F67">
      <w:pPr>
        <w:shd w:val="clear" w:color="auto" w:fill="FFFFFF"/>
        <w:spacing w:line="360" w:lineRule="auto"/>
        <w:contextualSpacing/>
        <w:jc w:val="center"/>
        <w:rPr>
          <w:rFonts w:ascii="宋体" w:hAnsi="宋体" w:cs="宋体"/>
          <w:color w:val="auto"/>
          <w:sz w:val="44"/>
          <w:szCs w:val="44"/>
          <w:highlight w:val="none"/>
        </w:rPr>
      </w:pPr>
    </w:p>
    <w:p w14:paraId="417525CF">
      <w:pPr>
        <w:rPr>
          <w:rFonts w:ascii="宋体" w:hAnsi="宋体" w:cs="宋体"/>
          <w:color w:val="auto"/>
          <w:sz w:val="44"/>
          <w:szCs w:val="44"/>
          <w:highlight w:val="none"/>
        </w:rPr>
      </w:pPr>
      <w:r>
        <w:rPr>
          <w:rFonts w:ascii="宋体" w:hAnsi="宋体" w:cs="宋体"/>
          <w:color w:val="auto"/>
          <w:sz w:val="44"/>
          <w:szCs w:val="44"/>
          <w:highlight w:val="none"/>
        </w:rPr>
        <w:br w:type="page"/>
      </w:r>
    </w:p>
    <w:p w14:paraId="327F85FB">
      <w:pPr>
        <w:pStyle w:val="7"/>
        <w:spacing w:before="0" w:after="0" w:line="360" w:lineRule="auto"/>
        <w:rPr>
          <w:rFonts w:ascii="宋体" w:hAnsi="宋体" w:eastAsia="宋体"/>
          <w:b w:val="0"/>
          <w:color w:val="auto"/>
          <w:highlight w:val="none"/>
        </w:rPr>
      </w:pPr>
      <w:bookmarkStart w:id="39" w:name="_Toc360525439"/>
      <w:bookmarkStart w:id="40" w:name="_Toc249764881"/>
      <w:bookmarkStart w:id="41" w:name="_Toc251352175"/>
      <w:bookmarkStart w:id="42" w:name="_Toc251352661"/>
      <w:bookmarkStart w:id="43" w:name="_Toc249775861"/>
      <w:bookmarkStart w:id="44" w:name="_Toc249791202"/>
      <w:bookmarkStart w:id="45" w:name="_Toc251353044"/>
      <w:bookmarkStart w:id="46" w:name="_Toc249791068"/>
      <w:bookmarkStart w:id="47" w:name="_Toc251352792"/>
      <w:bookmarkStart w:id="48" w:name="_Toc250045051"/>
      <w:bookmarkStart w:id="49" w:name="_Toc249791333"/>
      <w:bookmarkStart w:id="50" w:name="_Toc251676174"/>
      <w:bookmarkStart w:id="51" w:name="_Toc249790841"/>
      <w:bookmarkStart w:id="52" w:name="_Toc249343460"/>
      <w:bookmarkStart w:id="53" w:name="_Toc251576816"/>
      <w:bookmarkStart w:id="54" w:name="_Toc251353174"/>
      <w:bookmarkStart w:id="55" w:name="_Toc249764685"/>
      <w:r>
        <w:rPr>
          <w:rFonts w:hint="eastAsia" w:ascii="宋体" w:hAnsi="宋体" w:eastAsia="宋体"/>
          <w:b w:val="0"/>
          <w:bCs w:val="0"/>
          <w:color w:val="auto"/>
          <w:highlight w:val="none"/>
        </w:rPr>
        <w:t>附表</w:t>
      </w:r>
      <w:r>
        <w:rPr>
          <w:rFonts w:ascii="宋体" w:hAnsi="宋体" w:eastAsia="宋体"/>
          <w:b w:val="0"/>
          <w:bCs w:val="0"/>
          <w:color w:val="auto"/>
          <w:highlight w:val="none"/>
        </w:rPr>
        <w:t>3</w:t>
      </w:r>
      <w:r>
        <w:rPr>
          <w:rFonts w:hint="eastAsia" w:ascii="宋体" w:hAnsi="宋体" w:eastAsia="宋体"/>
          <w:b w:val="0"/>
          <w:bCs w:val="0"/>
          <w:color w:val="auto"/>
          <w:highlight w:val="none"/>
        </w:rPr>
        <w:t>：劳动力计划表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63372C">
      <w:pPr>
        <w:spacing w:line="360" w:lineRule="auto"/>
        <w:ind w:firstLine="7440" w:firstLineChars="3100"/>
        <w:rPr>
          <w:rFonts w:ascii="宋体" w:hAnsi="宋体"/>
          <w:color w:val="auto"/>
          <w:sz w:val="24"/>
          <w:highlight w:val="none"/>
        </w:rPr>
      </w:pPr>
      <w:r>
        <w:rPr>
          <w:rFonts w:hint="eastAsia" w:ascii="宋体" w:hAnsi="宋体"/>
          <w:color w:val="auto"/>
          <w:sz w:val="24"/>
          <w:highlight w:val="none"/>
        </w:rPr>
        <w:t>单位：人</w:t>
      </w:r>
    </w:p>
    <w:tbl>
      <w:tblPr>
        <w:tblStyle w:val="14"/>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111"/>
        <w:gridCol w:w="1112"/>
        <w:gridCol w:w="1111"/>
        <w:gridCol w:w="1111"/>
        <w:gridCol w:w="1112"/>
        <w:gridCol w:w="1111"/>
        <w:gridCol w:w="1112"/>
      </w:tblGrid>
      <w:tr w14:paraId="25D7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5DABED95">
            <w:pPr>
              <w:contextualSpacing/>
              <w:jc w:val="center"/>
              <w:rPr>
                <w:rFonts w:ascii="宋体" w:hAnsi="宋体"/>
                <w:color w:val="auto"/>
                <w:szCs w:val="21"/>
                <w:highlight w:val="none"/>
              </w:rPr>
            </w:pPr>
            <w:r>
              <w:rPr>
                <w:rFonts w:hint="eastAsia" w:ascii="宋体" w:hAnsi="宋体"/>
                <w:color w:val="auto"/>
                <w:szCs w:val="21"/>
                <w:highlight w:val="none"/>
              </w:rPr>
              <w:t>工种</w:t>
            </w:r>
          </w:p>
        </w:tc>
        <w:tc>
          <w:tcPr>
            <w:tcW w:w="7780" w:type="dxa"/>
            <w:gridSpan w:val="7"/>
            <w:tcBorders>
              <w:top w:val="outset" w:color="auto" w:sz="6" w:space="0"/>
              <w:left w:val="outset" w:color="auto" w:sz="6" w:space="0"/>
              <w:bottom w:val="outset" w:color="auto" w:sz="6" w:space="0"/>
              <w:right w:val="outset" w:color="auto" w:sz="6" w:space="0"/>
            </w:tcBorders>
            <w:noWrap w:val="0"/>
            <w:vAlign w:val="center"/>
          </w:tcPr>
          <w:p w14:paraId="3B1E8DED">
            <w:pPr>
              <w:contextualSpacing/>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14:paraId="7FF6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39BE461F">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59393950">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5308CCCB">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3EB11AA9">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1184E3E6">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15F819A0">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63A55903">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06470165">
            <w:pPr>
              <w:spacing w:line="700" w:lineRule="exact"/>
              <w:ind w:firstLine="420" w:firstLineChars="200"/>
              <w:rPr>
                <w:rFonts w:ascii="宋体" w:hAnsi="宋体"/>
                <w:color w:val="auto"/>
                <w:szCs w:val="21"/>
                <w:highlight w:val="none"/>
              </w:rPr>
            </w:pPr>
          </w:p>
        </w:tc>
      </w:tr>
      <w:tr w14:paraId="55C9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333E792C">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3F7CA9E2">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03D792B2">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36FF97AF">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59C0A740">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178DC688">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6E6EB369">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10E36A9C">
            <w:pPr>
              <w:spacing w:line="700" w:lineRule="exact"/>
              <w:ind w:firstLine="420" w:firstLineChars="200"/>
              <w:rPr>
                <w:rFonts w:ascii="宋体" w:hAnsi="宋体"/>
                <w:color w:val="auto"/>
                <w:szCs w:val="21"/>
                <w:highlight w:val="none"/>
              </w:rPr>
            </w:pPr>
          </w:p>
        </w:tc>
      </w:tr>
      <w:tr w14:paraId="0084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560A63A1">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6BA05AAD">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7537D170">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4D3DF21D">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77787A97">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04038806">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2AE587F5">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1DF76108">
            <w:pPr>
              <w:spacing w:line="700" w:lineRule="exact"/>
              <w:ind w:firstLine="420" w:firstLineChars="200"/>
              <w:rPr>
                <w:rFonts w:ascii="宋体" w:hAnsi="宋体"/>
                <w:color w:val="auto"/>
                <w:szCs w:val="21"/>
                <w:highlight w:val="none"/>
              </w:rPr>
            </w:pPr>
          </w:p>
        </w:tc>
      </w:tr>
      <w:tr w14:paraId="2826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4D69D39F">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2C355362">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228921D2">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330A043B">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2D52CB4A">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71E13EFA">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338D8946">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3E22FA54">
            <w:pPr>
              <w:spacing w:line="700" w:lineRule="exact"/>
              <w:ind w:firstLine="420" w:firstLineChars="200"/>
              <w:rPr>
                <w:rFonts w:ascii="宋体" w:hAnsi="宋体"/>
                <w:color w:val="auto"/>
                <w:szCs w:val="21"/>
                <w:highlight w:val="none"/>
              </w:rPr>
            </w:pPr>
          </w:p>
        </w:tc>
      </w:tr>
      <w:tr w14:paraId="1F4C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1CC2A3FD">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75CD4A04">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1A8DA876">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22DAAF39">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596B788B">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4F664F24">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37B56408">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4A997DA4">
            <w:pPr>
              <w:spacing w:line="700" w:lineRule="exact"/>
              <w:ind w:firstLine="420" w:firstLineChars="200"/>
              <w:rPr>
                <w:rFonts w:ascii="宋体" w:hAnsi="宋体"/>
                <w:color w:val="auto"/>
                <w:szCs w:val="21"/>
                <w:highlight w:val="none"/>
              </w:rPr>
            </w:pPr>
          </w:p>
        </w:tc>
      </w:tr>
      <w:tr w14:paraId="2B73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7AD64BDB">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5E7B1BE7">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7E9C06E2">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1251D648">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4D7F77FE">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629ECAC8">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786D8660">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22E32809">
            <w:pPr>
              <w:spacing w:line="700" w:lineRule="exact"/>
              <w:ind w:firstLine="420" w:firstLineChars="200"/>
              <w:rPr>
                <w:rFonts w:ascii="宋体" w:hAnsi="宋体"/>
                <w:color w:val="auto"/>
                <w:szCs w:val="21"/>
                <w:highlight w:val="none"/>
              </w:rPr>
            </w:pPr>
          </w:p>
        </w:tc>
      </w:tr>
      <w:tr w14:paraId="2997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47B80384">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602FE0DF">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2D42D79B">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445AFD99">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39152B50">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0C724271">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4F23CB42">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1F698359">
            <w:pPr>
              <w:spacing w:line="700" w:lineRule="exact"/>
              <w:ind w:firstLine="420" w:firstLineChars="200"/>
              <w:rPr>
                <w:rFonts w:ascii="宋体" w:hAnsi="宋体"/>
                <w:color w:val="auto"/>
                <w:szCs w:val="21"/>
                <w:highlight w:val="none"/>
              </w:rPr>
            </w:pPr>
          </w:p>
        </w:tc>
      </w:tr>
      <w:tr w14:paraId="2F66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2BE2DED3">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0E91EC8D">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5F08F787">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74D9ABB7">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2F07C528">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286F2D92">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7F0333E7">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20962C2C">
            <w:pPr>
              <w:spacing w:line="700" w:lineRule="exact"/>
              <w:ind w:firstLine="420" w:firstLineChars="200"/>
              <w:rPr>
                <w:rFonts w:ascii="宋体" w:hAnsi="宋体"/>
                <w:color w:val="auto"/>
                <w:szCs w:val="21"/>
                <w:highlight w:val="none"/>
              </w:rPr>
            </w:pPr>
          </w:p>
        </w:tc>
      </w:tr>
      <w:tr w14:paraId="1FA4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04CA8604">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5B922AF6">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37958AB9">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38335BB2">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38847B94">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16A886D0">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1BB94631">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4AAFBC35">
            <w:pPr>
              <w:spacing w:line="700" w:lineRule="exact"/>
              <w:ind w:firstLine="420" w:firstLineChars="200"/>
              <w:rPr>
                <w:rFonts w:ascii="宋体" w:hAnsi="宋体"/>
                <w:color w:val="auto"/>
                <w:szCs w:val="21"/>
                <w:highlight w:val="none"/>
              </w:rPr>
            </w:pPr>
          </w:p>
        </w:tc>
      </w:tr>
      <w:tr w14:paraId="0533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21F0F379">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418674E9">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79BCB935">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4D1507C7">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75A68402">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3D0E2A2D">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3E465CB0">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5AA267B8">
            <w:pPr>
              <w:spacing w:line="700" w:lineRule="exact"/>
              <w:ind w:firstLine="420" w:firstLineChars="200"/>
              <w:rPr>
                <w:rFonts w:ascii="宋体" w:hAnsi="宋体"/>
                <w:color w:val="auto"/>
                <w:szCs w:val="21"/>
                <w:highlight w:val="none"/>
              </w:rPr>
            </w:pPr>
          </w:p>
        </w:tc>
      </w:tr>
      <w:tr w14:paraId="0385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7DA2A7FE">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52BEA090">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33F5835B">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1A68F884">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7F5C3890">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06DB3B31">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449F2C75">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4DF70CA7">
            <w:pPr>
              <w:spacing w:line="700" w:lineRule="exact"/>
              <w:ind w:firstLine="420" w:firstLineChars="200"/>
              <w:rPr>
                <w:rFonts w:ascii="宋体" w:hAnsi="宋体"/>
                <w:color w:val="auto"/>
                <w:szCs w:val="21"/>
                <w:highlight w:val="none"/>
              </w:rPr>
            </w:pPr>
          </w:p>
        </w:tc>
      </w:tr>
      <w:tr w14:paraId="699C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tcBorders>
              <w:top w:val="outset" w:color="auto" w:sz="6" w:space="0"/>
              <w:left w:val="outset" w:color="auto" w:sz="6" w:space="0"/>
              <w:bottom w:val="outset" w:color="auto" w:sz="6" w:space="0"/>
              <w:right w:val="outset" w:color="auto" w:sz="6" w:space="0"/>
            </w:tcBorders>
            <w:noWrap w:val="0"/>
            <w:vAlign w:val="center"/>
          </w:tcPr>
          <w:p w14:paraId="028F36FD">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5CECE933">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409129D9">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04B92138">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56805D90">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01135BE4">
            <w:pPr>
              <w:contextualSpacing/>
              <w:jc w:val="center"/>
              <w:rPr>
                <w:rFonts w:ascii="宋体" w:hAnsi="宋体"/>
                <w:color w:val="auto"/>
                <w:szCs w:val="21"/>
                <w:highlight w:val="none"/>
              </w:rPr>
            </w:pPr>
          </w:p>
        </w:tc>
        <w:tc>
          <w:tcPr>
            <w:tcW w:w="1111" w:type="dxa"/>
            <w:tcBorders>
              <w:top w:val="outset" w:color="auto" w:sz="6" w:space="0"/>
              <w:left w:val="outset" w:color="auto" w:sz="6" w:space="0"/>
              <w:bottom w:val="outset" w:color="auto" w:sz="6" w:space="0"/>
              <w:right w:val="outset" w:color="auto" w:sz="6" w:space="0"/>
            </w:tcBorders>
            <w:noWrap w:val="0"/>
            <w:vAlign w:val="center"/>
          </w:tcPr>
          <w:p w14:paraId="0214EEA0">
            <w:pPr>
              <w:contextualSpacing/>
              <w:jc w:val="center"/>
              <w:rPr>
                <w:rFonts w:ascii="宋体" w:hAnsi="宋体"/>
                <w:color w:val="auto"/>
                <w:szCs w:val="21"/>
                <w:highlight w:val="none"/>
              </w:rPr>
            </w:pPr>
          </w:p>
        </w:tc>
        <w:tc>
          <w:tcPr>
            <w:tcW w:w="1112" w:type="dxa"/>
            <w:tcBorders>
              <w:top w:val="outset" w:color="auto" w:sz="6" w:space="0"/>
              <w:left w:val="outset" w:color="auto" w:sz="6" w:space="0"/>
              <w:bottom w:val="outset" w:color="auto" w:sz="6" w:space="0"/>
              <w:right w:val="outset" w:color="auto" w:sz="6" w:space="0"/>
            </w:tcBorders>
            <w:noWrap w:val="0"/>
            <w:vAlign w:val="center"/>
          </w:tcPr>
          <w:p w14:paraId="14037F6D">
            <w:pPr>
              <w:spacing w:line="700" w:lineRule="exact"/>
              <w:ind w:firstLine="420" w:firstLineChars="200"/>
              <w:rPr>
                <w:rFonts w:ascii="宋体" w:hAnsi="宋体"/>
                <w:color w:val="auto"/>
                <w:szCs w:val="21"/>
                <w:highlight w:val="none"/>
              </w:rPr>
            </w:pPr>
          </w:p>
        </w:tc>
      </w:tr>
    </w:tbl>
    <w:p w14:paraId="36D70124">
      <w:pPr>
        <w:rPr>
          <w:color w:val="auto"/>
          <w:highlight w:val="none"/>
        </w:rPr>
      </w:pPr>
      <w:bookmarkStart w:id="56" w:name="_Toc249343461"/>
      <w:bookmarkStart w:id="57" w:name="_Toc251676175"/>
      <w:bookmarkStart w:id="58" w:name="_Toc249764686"/>
      <w:bookmarkStart w:id="59" w:name="_Toc249791203"/>
      <w:bookmarkStart w:id="60" w:name="_Toc249791334"/>
      <w:bookmarkStart w:id="61" w:name="_Toc249791069"/>
      <w:bookmarkStart w:id="62" w:name="_Toc251352176"/>
      <w:bookmarkStart w:id="63" w:name="_Toc249775862"/>
      <w:bookmarkStart w:id="64" w:name="_Toc251576817"/>
      <w:bookmarkStart w:id="65" w:name="_Toc249790842"/>
      <w:bookmarkStart w:id="66" w:name="_Toc250045052"/>
      <w:bookmarkStart w:id="67" w:name="_Toc251353045"/>
      <w:bookmarkStart w:id="68" w:name="_Toc251352793"/>
      <w:bookmarkStart w:id="69" w:name="_Toc360525440"/>
      <w:bookmarkStart w:id="70" w:name="_Toc251353175"/>
      <w:bookmarkStart w:id="71" w:name="_Toc249764882"/>
      <w:bookmarkStart w:id="72" w:name="_Toc251352662"/>
    </w:p>
    <w:p w14:paraId="7A5C9902">
      <w:pPr>
        <w:rPr>
          <w:rFonts w:ascii="宋体" w:hAnsi="宋体" w:cs="宋体"/>
          <w:color w:val="auto"/>
          <w:sz w:val="24"/>
          <w:highlight w:val="none"/>
        </w:rPr>
      </w:pPr>
      <w:r>
        <w:rPr>
          <w:rFonts w:ascii="宋体" w:hAnsi="宋体"/>
          <w:b/>
          <w:bCs/>
          <w:color w:val="auto"/>
          <w:highlight w:val="none"/>
        </w:rPr>
        <w:br w:type="page"/>
      </w:r>
    </w:p>
    <w:p w14:paraId="76C7D824">
      <w:pPr>
        <w:pStyle w:val="7"/>
        <w:spacing w:before="0" w:after="0" w:line="360" w:lineRule="auto"/>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附表</w:t>
      </w:r>
      <w:r>
        <w:rPr>
          <w:rFonts w:ascii="宋体" w:hAnsi="宋体" w:eastAsia="宋体"/>
          <w:color w:val="auto"/>
          <w:sz w:val="21"/>
          <w:szCs w:val="21"/>
          <w:highlight w:val="none"/>
        </w:rPr>
        <w:t>4</w:t>
      </w:r>
      <w:r>
        <w:rPr>
          <w:rFonts w:hint="eastAsia" w:ascii="宋体" w:hAnsi="宋体" w:eastAsia="宋体"/>
          <w:color w:val="auto"/>
          <w:sz w:val="21"/>
          <w:szCs w:val="21"/>
          <w:highlight w:val="none"/>
        </w:rPr>
        <w:t>：计划开、竣工日期和施工进度网络图</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F5EE19B">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olor w:val="auto"/>
          <w:szCs w:val="21"/>
          <w:highlight w:val="none"/>
          <w:lang w:val="en-US" w:eastAsia="zh-CN"/>
        </w:rPr>
        <w:t>投标人</w:t>
      </w:r>
      <w:r>
        <w:rPr>
          <w:rFonts w:hint="eastAsia" w:ascii="宋体" w:hAnsi="宋体"/>
          <w:color w:val="auto"/>
          <w:szCs w:val="21"/>
          <w:highlight w:val="none"/>
        </w:rPr>
        <w:t>应递交施工进度网络图或施工进度表，说明按</w:t>
      </w:r>
      <w:r>
        <w:rPr>
          <w:rFonts w:hint="eastAsia" w:ascii="宋体" w:hAnsi="宋体"/>
          <w:color w:val="auto"/>
          <w:szCs w:val="21"/>
          <w:highlight w:val="none"/>
          <w:lang w:val="en-US" w:eastAsia="zh-CN"/>
        </w:rPr>
        <w:t>招标文件</w:t>
      </w:r>
      <w:r>
        <w:rPr>
          <w:rFonts w:hint="eastAsia" w:ascii="宋体" w:hAnsi="宋体"/>
          <w:color w:val="auto"/>
          <w:szCs w:val="21"/>
          <w:highlight w:val="none"/>
        </w:rPr>
        <w:t>要求的计划工期进行施工的各个关键日期。</w:t>
      </w:r>
    </w:p>
    <w:p w14:paraId="3FC9429B">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、施工进度表可采用网络图（或横道图）表示。</w:t>
      </w:r>
    </w:p>
    <w:p w14:paraId="154A5B7B">
      <w:pPr>
        <w:rPr>
          <w:color w:val="auto"/>
          <w:highlight w:val="none"/>
        </w:rPr>
      </w:pPr>
      <w:bookmarkStart w:id="73" w:name="_Toc251353046"/>
      <w:bookmarkStart w:id="74" w:name="_Toc249764883"/>
      <w:bookmarkStart w:id="75" w:name="_Toc249791070"/>
      <w:bookmarkStart w:id="76" w:name="_Toc251576818"/>
      <w:bookmarkStart w:id="77" w:name="_Toc251352177"/>
      <w:bookmarkStart w:id="78" w:name="_Toc360525441"/>
      <w:bookmarkStart w:id="79" w:name="_Toc251353176"/>
      <w:bookmarkStart w:id="80" w:name="_Toc251352794"/>
      <w:bookmarkStart w:id="81" w:name="_Toc249791204"/>
      <w:bookmarkStart w:id="82" w:name="_Toc249791335"/>
      <w:bookmarkStart w:id="83" w:name="_Toc249790843"/>
      <w:bookmarkStart w:id="84" w:name="_Toc251676176"/>
      <w:bookmarkStart w:id="85" w:name="_Toc249775863"/>
      <w:bookmarkStart w:id="86" w:name="_Toc249764687"/>
      <w:bookmarkStart w:id="87" w:name="_Toc250045053"/>
      <w:bookmarkStart w:id="88" w:name="_Toc249343462"/>
      <w:bookmarkStart w:id="89" w:name="_Toc251352663"/>
    </w:p>
    <w:p w14:paraId="16EF7720">
      <w:pPr>
        <w:rPr>
          <w:color w:val="auto"/>
          <w:highlight w:val="none"/>
        </w:rPr>
      </w:pPr>
    </w:p>
    <w:p w14:paraId="30115B31">
      <w:pPr>
        <w:rPr>
          <w:rFonts w:ascii="宋体" w:hAnsi="宋体"/>
          <w:color w:val="auto"/>
          <w:szCs w:val="21"/>
          <w:highlight w:val="none"/>
        </w:rPr>
      </w:pPr>
    </w:p>
    <w:p w14:paraId="004C7445">
      <w:pPr>
        <w:rPr>
          <w:rFonts w:ascii="宋体" w:hAnsi="宋体"/>
          <w:color w:val="auto"/>
          <w:szCs w:val="21"/>
          <w:highlight w:val="none"/>
        </w:rPr>
      </w:pPr>
    </w:p>
    <w:p w14:paraId="76A889EB">
      <w:pPr>
        <w:rPr>
          <w:rFonts w:ascii="宋体" w:hAnsi="宋体"/>
          <w:color w:val="auto"/>
          <w:szCs w:val="21"/>
          <w:highlight w:val="none"/>
        </w:rPr>
      </w:pPr>
    </w:p>
    <w:p w14:paraId="20EE782F">
      <w:pPr>
        <w:rPr>
          <w:rFonts w:ascii="宋体" w:hAnsi="宋体"/>
          <w:color w:val="auto"/>
          <w:szCs w:val="21"/>
          <w:highlight w:val="none"/>
        </w:rPr>
      </w:pPr>
    </w:p>
    <w:p w14:paraId="7BD7FE6B">
      <w:pPr>
        <w:rPr>
          <w:rFonts w:ascii="宋体" w:hAnsi="宋体"/>
          <w:color w:val="auto"/>
          <w:szCs w:val="21"/>
          <w:highlight w:val="none"/>
        </w:rPr>
      </w:pPr>
    </w:p>
    <w:p w14:paraId="285D7F71">
      <w:pPr>
        <w:rPr>
          <w:rFonts w:ascii="宋体" w:hAnsi="宋体"/>
          <w:color w:val="auto"/>
          <w:szCs w:val="21"/>
          <w:highlight w:val="none"/>
        </w:rPr>
      </w:pPr>
    </w:p>
    <w:p w14:paraId="49BBD6AD">
      <w:pPr>
        <w:spacing w:line="360" w:lineRule="auto"/>
        <w:ind w:firstLine="420" w:firstLineChars="200"/>
        <w:contextualSpacing/>
        <w:rPr>
          <w:rFonts w:hint="eastAsia" w:ascii="宋体" w:hAnsi="宋体"/>
          <w:b/>
          <w:bCs/>
          <w:color w:val="auto"/>
          <w:szCs w:val="21"/>
          <w:highlight w:val="none"/>
        </w:rPr>
      </w:pPr>
      <w:r>
        <w:rPr>
          <w:rFonts w:hint="eastAsia" w:ascii="宋体" w:hAnsi="宋体"/>
          <w:b/>
          <w:bCs/>
          <w:color w:val="auto"/>
          <w:szCs w:val="21"/>
          <w:highlight w:val="none"/>
        </w:rPr>
        <w:br w:type="page"/>
      </w:r>
    </w:p>
    <w:p w14:paraId="355A73C9">
      <w:pPr>
        <w:pStyle w:val="7"/>
        <w:spacing w:before="0" w:after="0" w:line="360" w:lineRule="auto"/>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附表</w:t>
      </w:r>
      <w:r>
        <w:rPr>
          <w:rFonts w:ascii="宋体" w:hAnsi="宋体" w:eastAsia="宋体"/>
          <w:color w:val="auto"/>
          <w:sz w:val="21"/>
          <w:szCs w:val="21"/>
          <w:highlight w:val="none"/>
        </w:rPr>
        <w:t>5</w:t>
      </w:r>
      <w:r>
        <w:rPr>
          <w:rFonts w:hint="eastAsia" w:ascii="宋体" w:hAnsi="宋体" w:eastAsia="宋体"/>
          <w:color w:val="auto"/>
          <w:sz w:val="21"/>
          <w:szCs w:val="21"/>
          <w:highlight w:val="none"/>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Start w:id="90" w:name="_Toc251352178"/>
      <w:bookmarkStart w:id="91" w:name="_Toc251353047"/>
      <w:bookmarkStart w:id="92" w:name="_Toc251353177"/>
      <w:bookmarkStart w:id="93" w:name="_Toc249791336"/>
      <w:bookmarkStart w:id="94" w:name="_Toc360525442"/>
      <w:bookmarkStart w:id="95" w:name="_Toc251352664"/>
      <w:bookmarkStart w:id="96" w:name="_Toc249343463"/>
      <w:bookmarkStart w:id="97" w:name="_Toc251676177"/>
      <w:bookmarkStart w:id="98" w:name="_Toc250045054"/>
      <w:bookmarkStart w:id="99" w:name="_Toc249764884"/>
      <w:bookmarkStart w:id="100" w:name="_Toc251352795"/>
      <w:bookmarkStart w:id="101" w:name="_Toc249764688"/>
      <w:bookmarkStart w:id="102" w:name="_Toc251576819"/>
      <w:bookmarkStart w:id="103" w:name="_Toc249791071"/>
      <w:bookmarkStart w:id="104" w:name="_Toc249790844"/>
      <w:bookmarkStart w:id="105" w:name="_Toc249791205"/>
      <w:bookmarkStart w:id="106" w:name="_Toc249775864"/>
      <w:bookmarkStart w:id="107" w:name="_Toc235704412"/>
      <w:bookmarkStart w:id="108" w:name="_Toc228770175"/>
      <w:bookmarkStart w:id="109" w:name="_Toc228803379"/>
      <w:bookmarkStart w:id="110" w:name="_Toc228800353"/>
      <w:bookmarkStart w:id="111" w:name="_Toc228800287"/>
      <w:bookmarkStart w:id="112" w:name="_Toc228800047"/>
      <w:bookmarkStart w:id="113" w:name="_Toc228802847"/>
      <w:bookmarkStart w:id="114" w:name="_Toc228802420"/>
      <w:bookmarkStart w:id="115" w:name="_Toc235177166"/>
      <w:bookmarkStart w:id="116" w:name="_Toc228802112"/>
      <w:bookmarkStart w:id="117" w:name="_Toc229747284"/>
      <w:r>
        <w:rPr>
          <w:rFonts w:hint="eastAsia" w:ascii="宋体" w:hAnsi="宋体" w:eastAsia="宋体"/>
          <w:color w:val="auto"/>
          <w:sz w:val="21"/>
          <w:szCs w:val="21"/>
          <w:highlight w:val="none"/>
        </w:rPr>
        <w:t>项目管理机构</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068A5585">
      <w:pPr>
        <w:rPr>
          <w:color w:val="auto"/>
          <w:highlight w:val="none"/>
        </w:rPr>
      </w:pPr>
    </w:p>
    <w:bookmarkEnd w:id="107"/>
    <w:bookmarkEnd w:id="108"/>
    <w:bookmarkEnd w:id="109"/>
    <w:bookmarkEnd w:id="110"/>
    <w:bookmarkEnd w:id="111"/>
    <w:bookmarkEnd w:id="112"/>
    <w:bookmarkEnd w:id="113"/>
    <w:bookmarkEnd w:id="114"/>
    <w:bookmarkEnd w:id="115"/>
    <w:bookmarkEnd w:id="116"/>
    <w:bookmarkEnd w:id="117"/>
    <w:p w14:paraId="47D7EEED">
      <w:pPr>
        <w:spacing w:line="360" w:lineRule="auto"/>
        <w:contextualSpacing/>
        <w:jc w:val="center"/>
        <w:rPr>
          <w:rFonts w:ascii="宋体" w:hAnsi="宋体"/>
          <w:color w:val="auto"/>
          <w:sz w:val="24"/>
          <w:highlight w:val="none"/>
        </w:rPr>
      </w:pPr>
      <w:bookmarkStart w:id="118" w:name="_Toc249761918"/>
      <w:bookmarkStart w:id="119" w:name="_Toc442173550"/>
      <w:r>
        <w:rPr>
          <w:rFonts w:hint="eastAsia" w:ascii="宋体" w:hAnsi="宋体"/>
          <w:color w:val="auto"/>
          <w:sz w:val="24"/>
          <w:highlight w:val="none"/>
        </w:rPr>
        <w:t>（一）项目管理机构组成表</w:t>
      </w:r>
      <w:bookmarkEnd w:id="118"/>
      <w:bookmarkEnd w:id="119"/>
    </w:p>
    <w:tbl>
      <w:tblPr>
        <w:tblStyle w:val="14"/>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286"/>
        <w:gridCol w:w="1328"/>
        <w:gridCol w:w="1069"/>
      </w:tblGrid>
      <w:tr w14:paraId="139B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4" w:type="dxa"/>
            <w:vMerge w:val="restart"/>
            <w:noWrap w:val="0"/>
            <w:vAlign w:val="center"/>
          </w:tcPr>
          <w:p w14:paraId="315A7CAB">
            <w:pPr>
              <w:jc w:val="center"/>
              <w:rPr>
                <w:rFonts w:ascii="宋体" w:hAnsi="宋体"/>
                <w:color w:val="auto"/>
                <w:szCs w:val="21"/>
                <w:highlight w:val="none"/>
              </w:rPr>
            </w:pPr>
            <w:r>
              <w:rPr>
                <w:rFonts w:hint="eastAsia" w:ascii="宋体" w:hAnsi="宋体"/>
                <w:color w:val="auto"/>
                <w:szCs w:val="21"/>
                <w:highlight w:val="none"/>
              </w:rPr>
              <w:t>职务</w:t>
            </w:r>
          </w:p>
        </w:tc>
        <w:tc>
          <w:tcPr>
            <w:tcW w:w="726" w:type="dxa"/>
            <w:vMerge w:val="restart"/>
            <w:noWrap w:val="0"/>
            <w:vAlign w:val="center"/>
          </w:tcPr>
          <w:p w14:paraId="40CBABB6">
            <w:pPr>
              <w:jc w:val="center"/>
              <w:rPr>
                <w:rFonts w:ascii="宋体" w:hAnsi="宋体"/>
                <w:color w:val="auto"/>
                <w:szCs w:val="21"/>
                <w:highlight w:val="none"/>
              </w:rPr>
            </w:pPr>
            <w:r>
              <w:rPr>
                <w:rFonts w:hint="eastAsia" w:ascii="宋体" w:hAnsi="宋体"/>
                <w:color w:val="auto"/>
                <w:szCs w:val="21"/>
                <w:highlight w:val="none"/>
              </w:rPr>
              <w:t>姓名</w:t>
            </w:r>
          </w:p>
        </w:tc>
        <w:tc>
          <w:tcPr>
            <w:tcW w:w="889" w:type="dxa"/>
            <w:vMerge w:val="restart"/>
            <w:noWrap w:val="0"/>
            <w:vAlign w:val="center"/>
          </w:tcPr>
          <w:p w14:paraId="1EC22253">
            <w:pPr>
              <w:jc w:val="center"/>
              <w:rPr>
                <w:rFonts w:ascii="宋体" w:hAnsi="宋体"/>
                <w:color w:val="auto"/>
                <w:szCs w:val="21"/>
                <w:highlight w:val="none"/>
              </w:rPr>
            </w:pPr>
            <w:r>
              <w:rPr>
                <w:rFonts w:hint="eastAsia" w:ascii="宋体" w:hAnsi="宋体"/>
                <w:color w:val="auto"/>
                <w:szCs w:val="21"/>
                <w:highlight w:val="none"/>
              </w:rPr>
              <w:t>职称</w:t>
            </w:r>
          </w:p>
        </w:tc>
        <w:tc>
          <w:tcPr>
            <w:tcW w:w="6045" w:type="dxa"/>
            <w:gridSpan w:val="5"/>
            <w:noWrap w:val="0"/>
            <w:vAlign w:val="center"/>
          </w:tcPr>
          <w:p w14:paraId="3D218F51">
            <w:pPr>
              <w:jc w:val="center"/>
              <w:rPr>
                <w:rFonts w:ascii="宋体" w:hAnsi="宋体"/>
                <w:color w:val="auto"/>
                <w:szCs w:val="21"/>
                <w:highlight w:val="none"/>
              </w:rPr>
            </w:pPr>
            <w:r>
              <w:rPr>
                <w:rFonts w:hint="eastAsia" w:ascii="宋体" w:hAnsi="宋体"/>
                <w:color w:val="auto"/>
                <w:szCs w:val="21"/>
                <w:highlight w:val="none"/>
              </w:rPr>
              <w:t>职业或职业资格证明</w:t>
            </w:r>
          </w:p>
        </w:tc>
        <w:tc>
          <w:tcPr>
            <w:tcW w:w="1069" w:type="dxa"/>
            <w:vMerge w:val="restart"/>
            <w:noWrap w:val="0"/>
            <w:vAlign w:val="center"/>
          </w:tcPr>
          <w:p w14:paraId="68599D6C">
            <w:pPr>
              <w:jc w:val="center"/>
              <w:rPr>
                <w:rFonts w:ascii="宋体" w:hAnsi="宋体"/>
                <w:color w:val="auto"/>
                <w:szCs w:val="21"/>
                <w:highlight w:val="none"/>
              </w:rPr>
            </w:pPr>
            <w:r>
              <w:rPr>
                <w:rFonts w:hint="eastAsia" w:ascii="宋体" w:hAnsi="宋体"/>
                <w:color w:val="auto"/>
                <w:szCs w:val="21"/>
                <w:highlight w:val="none"/>
              </w:rPr>
              <w:t>备注</w:t>
            </w:r>
          </w:p>
        </w:tc>
      </w:tr>
      <w:tr w14:paraId="2E6E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4" w:type="dxa"/>
            <w:vMerge w:val="continue"/>
            <w:noWrap w:val="0"/>
            <w:vAlign w:val="center"/>
          </w:tcPr>
          <w:p w14:paraId="2A9FD826">
            <w:pPr>
              <w:jc w:val="center"/>
              <w:rPr>
                <w:rFonts w:ascii="宋体" w:hAnsi="宋体"/>
                <w:color w:val="auto"/>
                <w:szCs w:val="21"/>
                <w:highlight w:val="none"/>
              </w:rPr>
            </w:pPr>
          </w:p>
        </w:tc>
        <w:tc>
          <w:tcPr>
            <w:tcW w:w="726" w:type="dxa"/>
            <w:vMerge w:val="continue"/>
            <w:noWrap w:val="0"/>
            <w:vAlign w:val="center"/>
          </w:tcPr>
          <w:p w14:paraId="2C639BBB">
            <w:pPr>
              <w:jc w:val="center"/>
              <w:rPr>
                <w:rFonts w:ascii="宋体" w:hAnsi="宋体"/>
                <w:color w:val="auto"/>
                <w:szCs w:val="21"/>
                <w:highlight w:val="none"/>
              </w:rPr>
            </w:pPr>
          </w:p>
        </w:tc>
        <w:tc>
          <w:tcPr>
            <w:tcW w:w="889" w:type="dxa"/>
            <w:vMerge w:val="continue"/>
            <w:noWrap w:val="0"/>
            <w:vAlign w:val="center"/>
          </w:tcPr>
          <w:p w14:paraId="5547BEBB">
            <w:pPr>
              <w:jc w:val="center"/>
              <w:rPr>
                <w:rFonts w:ascii="宋体" w:hAnsi="宋体"/>
                <w:color w:val="auto"/>
                <w:szCs w:val="21"/>
                <w:highlight w:val="none"/>
              </w:rPr>
            </w:pPr>
          </w:p>
        </w:tc>
        <w:tc>
          <w:tcPr>
            <w:tcW w:w="1451" w:type="dxa"/>
            <w:noWrap w:val="0"/>
            <w:vAlign w:val="center"/>
          </w:tcPr>
          <w:p w14:paraId="3C093D01">
            <w:pPr>
              <w:jc w:val="center"/>
              <w:rPr>
                <w:rFonts w:ascii="宋体" w:hAnsi="宋体"/>
                <w:color w:val="auto"/>
                <w:szCs w:val="21"/>
                <w:highlight w:val="none"/>
              </w:rPr>
            </w:pPr>
            <w:r>
              <w:rPr>
                <w:rFonts w:hint="eastAsia" w:ascii="宋体" w:hAnsi="宋体"/>
                <w:color w:val="auto"/>
                <w:szCs w:val="21"/>
                <w:highlight w:val="none"/>
              </w:rPr>
              <w:t>证书名称</w:t>
            </w:r>
          </w:p>
        </w:tc>
        <w:tc>
          <w:tcPr>
            <w:tcW w:w="900" w:type="dxa"/>
            <w:noWrap w:val="0"/>
            <w:vAlign w:val="center"/>
          </w:tcPr>
          <w:p w14:paraId="7AEB7B49">
            <w:pPr>
              <w:jc w:val="center"/>
              <w:rPr>
                <w:rFonts w:ascii="宋体" w:hAnsi="宋体"/>
                <w:color w:val="auto"/>
                <w:szCs w:val="21"/>
                <w:highlight w:val="none"/>
              </w:rPr>
            </w:pPr>
            <w:r>
              <w:rPr>
                <w:rFonts w:hint="eastAsia" w:ascii="宋体" w:hAnsi="宋体"/>
                <w:color w:val="auto"/>
                <w:szCs w:val="21"/>
                <w:highlight w:val="none"/>
              </w:rPr>
              <w:t>级别</w:t>
            </w:r>
          </w:p>
        </w:tc>
        <w:tc>
          <w:tcPr>
            <w:tcW w:w="1080" w:type="dxa"/>
            <w:noWrap w:val="0"/>
            <w:vAlign w:val="center"/>
          </w:tcPr>
          <w:p w14:paraId="289EA68A">
            <w:pPr>
              <w:jc w:val="center"/>
              <w:rPr>
                <w:rFonts w:ascii="宋体" w:hAnsi="宋体"/>
                <w:color w:val="auto"/>
                <w:szCs w:val="21"/>
                <w:highlight w:val="none"/>
              </w:rPr>
            </w:pPr>
            <w:r>
              <w:rPr>
                <w:rFonts w:hint="eastAsia" w:ascii="宋体" w:hAnsi="宋体"/>
                <w:color w:val="auto"/>
                <w:szCs w:val="21"/>
                <w:highlight w:val="none"/>
              </w:rPr>
              <w:t>证号</w:t>
            </w:r>
          </w:p>
        </w:tc>
        <w:tc>
          <w:tcPr>
            <w:tcW w:w="1286" w:type="dxa"/>
            <w:noWrap w:val="0"/>
            <w:vAlign w:val="center"/>
          </w:tcPr>
          <w:p w14:paraId="09EFC9AC">
            <w:pPr>
              <w:jc w:val="center"/>
              <w:rPr>
                <w:rFonts w:ascii="宋体" w:hAnsi="宋体"/>
                <w:color w:val="auto"/>
                <w:szCs w:val="21"/>
                <w:highlight w:val="none"/>
              </w:rPr>
            </w:pPr>
            <w:r>
              <w:rPr>
                <w:rFonts w:hint="eastAsia" w:ascii="宋体" w:hAnsi="宋体"/>
                <w:color w:val="auto"/>
                <w:szCs w:val="21"/>
                <w:highlight w:val="none"/>
              </w:rPr>
              <w:t>专业</w:t>
            </w:r>
          </w:p>
        </w:tc>
        <w:tc>
          <w:tcPr>
            <w:tcW w:w="1328" w:type="dxa"/>
            <w:noWrap w:val="0"/>
            <w:vAlign w:val="center"/>
          </w:tcPr>
          <w:p w14:paraId="3EAFC817">
            <w:pPr>
              <w:jc w:val="center"/>
              <w:rPr>
                <w:rFonts w:ascii="宋体" w:hAnsi="宋体"/>
                <w:color w:val="auto"/>
                <w:szCs w:val="21"/>
                <w:highlight w:val="none"/>
              </w:rPr>
            </w:pPr>
            <w:r>
              <w:rPr>
                <w:rFonts w:hint="eastAsia" w:ascii="宋体" w:hAnsi="宋体"/>
                <w:color w:val="auto"/>
                <w:szCs w:val="21"/>
                <w:highlight w:val="none"/>
              </w:rPr>
              <w:t>其他</w:t>
            </w:r>
          </w:p>
        </w:tc>
        <w:tc>
          <w:tcPr>
            <w:tcW w:w="1069" w:type="dxa"/>
            <w:vMerge w:val="continue"/>
            <w:noWrap w:val="0"/>
            <w:vAlign w:val="center"/>
          </w:tcPr>
          <w:p w14:paraId="72E85C4B">
            <w:pPr>
              <w:jc w:val="center"/>
              <w:rPr>
                <w:rFonts w:ascii="宋体" w:hAnsi="宋体"/>
                <w:color w:val="auto"/>
                <w:szCs w:val="21"/>
                <w:highlight w:val="none"/>
              </w:rPr>
            </w:pPr>
          </w:p>
        </w:tc>
      </w:tr>
      <w:tr w14:paraId="657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noWrap w:val="0"/>
            <w:vAlign w:val="top"/>
          </w:tcPr>
          <w:p w14:paraId="3F767233">
            <w:pPr>
              <w:jc w:val="center"/>
              <w:rPr>
                <w:rFonts w:ascii="宋体" w:hAnsi="宋体"/>
                <w:color w:val="auto"/>
                <w:szCs w:val="21"/>
                <w:highlight w:val="none"/>
              </w:rPr>
            </w:pPr>
          </w:p>
        </w:tc>
        <w:tc>
          <w:tcPr>
            <w:tcW w:w="726" w:type="dxa"/>
            <w:noWrap w:val="0"/>
            <w:vAlign w:val="top"/>
          </w:tcPr>
          <w:p w14:paraId="5C457C16">
            <w:pPr>
              <w:jc w:val="center"/>
              <w:rPr>
                <w:rFonts w:ascii="宋体" w:hAnsi="宋体"/>
                <w:color w:val="auto"/>
                <w:szCs w:val="21"/>
                <w:highlight w:val="none"/>
              </w:rPr>
            </w:pPr>
          </w:p>
        </w:tc>
        <w:tc>
          <w:tcPr>
            <w:tcW w:w="889" w:type="dxa"/>
            <w:noWrap w:val="0"/>
            <w:vAlign w:val="top"/>
          </w:tcPr>
          <w:p w14:paraId="20735808">
            <w:pPr>
              <w:jc w:val="center"/>
              <w:rPr>
                <w:rFonts w:ascii="宋体" w:hAnsi="宋体"/>
                <w:color w:val="auto"/>
                <w:szCs w:val="21"/>
                <w:highlight w:val="none"/>
              </w:rPr>
            </w:pPr>
          </w:p>
        </w:tc>
        <w:tc>
          <w:tcPr>
            <w:tcW w:w="1451" w:type="dxa"/>
            <w:noWrap w:val="0"/>
            <w:vAlign w:val="top"/>
          </w:tcPr>
          <w:p w14:paraId="227ABF56">
            <w:pPr>
              <w:jc w:val="center"/>
              <w:rPr>
                <w:rFonts w:ascii="宋体" w:hAnsi="宋体"/>
                <w:color w:val="auto"/>
                <w:szCs w:val="21"/>
                <w:highlight w:val="none"/>
              </w:rPr>
            </w:pPr>
          </w:p>
        </w:tc>
        <w:tc>
          <w:tcPr>
            <w:tcW w:w="900" w:type="dxa"/>
            <w:noWrap w:val="0"/>
            <w:vAlign w:val="top"/>
          </w:tcPr>
          <w:p w14:paraId="501360F7">
            <w:pPr>
              <w:jc w:val="center"/>
              <w:rPr>
                <w:rFonts w:ascii="宋体" w:hAnsi="宋体"/>
                <w:color w:val="auto"/>
                <w:szCs w:val="21"/>
                <w:highlight w:val="none"/>
              </w:rPr>
            </w:pPr>
          </w:p>
        </w:tc>
        <w:tc>
          <w:tcPr>
            <w:tcW w:w="1080" w:type="dxa"/>
            <w:noWrap w:val="0"/>
            <w:vAlign w:val="top"/>
          </w:tcPr>
          <w:p w14:paraId="1B9F4A12">
            <w:pPr>
              <w:jc w:val="center"/>
              <w:rPr>
                <w:rFonts w:ascii="宋体" w:hAnsi="宋体"/>
                <w:color w:val="auto"/>
                <w:szCs w:val="21"/>
                <w:highlight w:val="none"/>
              </w:rPr>
            </w:pPr>
          </w:p>
        </w:tc>
        <w:tc>
          <w:tcPr>
            <w:tcW w:w="1286" w:type="dxa"/>
            <w:noWrap w:val="0"/>
            <w:vAlign w:val="top"/>
          </w:tcPr>
          <w:p w14:paraId="5CD3C252">
            <w:pPr>
              <w:jc w:val="center"/>
              <w:rPr>
                <w:rFonts w:ascii="宋体" w:hAnsi="宋体"/>
                <w:color w:val="auto"/>
                <w:szCs w:val="21"/>
                <w:highlight w:val="none"/>
              </w:rPr>
            </w:pPr>
          </w:p>
        </w:tc>
        <w:tc>
          <w:tcPr>
            <w:tcW w:w="1328" w:type="dxa"/>
            <w:noWrap w:val="0"/>
            <w:vAlign w:val="top"/>
          </w:tcPr>
          <w:p w14:paraId="09B562E8">
            <w:pPr>
              <w:jc w:val="center"/>
              <w:rPr>
                <w:rFonts w:ascii="宋体" w:hAnsi="宋体"/>
                <w:color w:val="auto"/>
                <w:szCs w:val="21"/>
                <w:highlight w:val="none"/>
              </w:rPr>
            </w:pPr>
          </w:p>
        </w:tc>
        <w:tc>
          <w:tcPr>
            <w:tcW w:w="1069" w:type="dxa"/>
            <w:noWrap w:val="0"/>
            <w:vAlign w:val="top"/>
          </w:tcPr>
          <w:p w14:paraId="3150C55D">
            <w:pPr>
              <w:jc w:val="center"/>
              <w:rPr>
                <w:rFonts w:ascii="宋体" w:hAnsi="宋体"/>
                <w:color w:val="auto"/>
                <w:szCs w:val="21"/>
                <w:highlight w:val="none"/>
              </w:rPr>
            </w:pPr>
          </w:p>
        </w:tc>
      </w:tr>
      <w:tr w14:paraId="5A8D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714" w:type="dxa"/>
            <w:noWrap w:val="0"/>
            <w:vAlign w:val="top"/>
          </w:tcPr>
          <w:p w14:paraId="1868688B">
            <w:pPr>
              <w:rPr>
                <w:rFonts w:ascii="宋体" w:hAnsi="宋体"/>
                <w:color w:val="auto"/>
                <w:sz w:val="24"/>
                <w:highlight w:val="none"/>
              </w:rPr>
            </w:pPr>
          </w:p>
        </w:tc>
        <w:tc>
          <w:tcPr>
            <w:tcW w:w="726" w:type="dxa"/>
            <w:noWrap w:val="0"/>
            <w:vAlign w:val="top"/>
          </w:tcPr>
          <w:p w14:paraId="08A248A2">
            <w:pPr>
              <w:rPr>
                <w:rFonts w:ascii="宋体" w:hAnsi="宋体"/>
                <w:color w:val="auto"/>
                <w:sz w:val="24"/>
                <w:highlight w:val="none"/>
              </w:rPr>
            </w:pPr>
          </w:p>
        </w:tc>
        <w:tc>
          <w:tcPr>
            <w:tcW w:w="889" w:type="dxa"/>
            <w:noWrap w:val="0"/>
            <w:vAlign w:val="top"/>
          </w:tcPr>
          <w:p w14:paraId="6C74D674">
            <w:pPr>
              <w:rPr>
                <w:rFonts w:ascii="宋体" w:hAnsi="宋体"/>
                <w:color w:val="auto"/>
                <w:sz w:val="24"/>
                <w:highlight w:val="none"/>
              </w:rPr>
            </w:pPr>
          </w:p>
        </w:tc>
        <w:tc>
          <w:tcPr>
            <w:tcW w:w="1451" w:type="dxa"/>
            <w:noWrap w:val="0"/>
            <w:vAlign w:val="top"/>
          </w:tcPr>
          <w:p w14:paraId="1A90F98F">
            <w:pPr>
              <w:rPr>
                <w:rFonts w:ascii="宋体" w:hAnsi="宋体"/>
                <w:color w:val="auto"/>
                <w:sz w:val="24"/>
                <w:highlight w:val="none"/>
              </w:rPr>
            </w:pPr>
          </w:p>
        </w:tc>
        <w:tc>
          <w:tcPr>
            <w:tcW w:w="900" w:type="dxa"/>
            <w:noWrap w:val="0"/>
            <w:vAlign w:val="top"/>
          </w:tcPr>
          <w:p w14:paraId="769532AE">
            <w:pPr>
              <w:rPr>
                <w:rFonts w:ascii="宋体" w:hAnsi="宋体"/>
                <w:color w:val="auto"/>
                <w:sz w:val="24"/>
                <w:highlight w:val="none"/>
              </w:rPr>
            </w:pPr>
          </w:p>
        </w:tc>
        <w:tc>
          <w:tcPr>
            <w:tcW w:w="1080" w:type="dxa"/>
            <w:noWrap w:val="0"/>
            <w:vAlign w:val="top"/>
          </w:tcPr>
          <w:p w14:paraId="011A0597">
            <w:pPr>
              <w:rPr>
                <w:rFonts w:ascii="宋体" w:hAnsi="宋体"/>
                <w:color w:val="auto"/>
                <w:sz w:val="24"/>
                <w:highlight w:val="none"/>
              </w:rPr>
            </w:pPr>
          </w:p>
        </w:tc>
        <w:tc>
          <w:tcPr>
            <w:tcW w:w="1286" w:type="dxa"/>
            <w:noWrap w:val="0"/>
            <w:vAlign w:val="top"/>
          </w:tcPr>
          <w:p w14:paraId="3754F5EB">
            <w:pPr>
              <w:rPr>
                <w:rFonts w:ascii="宋体" w:hAnsi="宋体"/>
                <w:color w:val="auto"/>
                <w:sz w:val="24"/>
                <w:highlight w:val="none"/>
              </w:rPr>
            </w:pPr>
          </w:p>
        </w:tc>
        <w:tc>
          <w:tcPr>
            <w:tcW w:w="1328" w:type="dxa"/>
            <w:noWrap w:val="0"/>
            <w:vAlign w:val="top"/>
          </w:tcPr>
          <w:p w14:paraId="4AF06FC7">
            <w:pPr>
              <w:rPr>
                <w:rFonts w:ascii="宋体" w:hAnsi="宋体"/>
                <w:color w:val="auto"/>
                <w:sz w:val="24"/>
                <w:highlight w:val="none"/>
              </w:rPr>
            </w:pPr>
          </w:p>
        </w:tc>
        <w:tc>
          <w:tcPr>
            <w:tcW w:w="1069" w:type="dxa"/>
            <w:noWrap w:val="0"/>
            <w:vAlign w:val="top"/>
          </w:tcPr>
          <w:p w14:paraId="5506A940">
            <w:pPr>
              <w:rPr>
                <w:rFonts w:ascii="宋体" w:hAnsi="宋体"/>
                <w:color w:val="auto"/>
                <w:sz w:val="24"/>
                <w:highlight w:val="none"/>
              </w:rPr>
            </w:pPr>
          </w:p>
        </w:tc>
      </w:tr>
      <w:tr w14:paraId="558B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noWrap w:val="0"/>
            <w:vAlign w:val="top"/>
          </w:tcPr>
          <w:p w14:paraId="03D0FFB6">
            <w:pPr>
              <w:rPr>
                <w:rFonts w:ascii="宋体" w:hAnsi="宋体"/>
                <w:color w:val="auto"/>
                <w:sz w:val="24"/>
                <w:highlight w:val="none"/>
              </w:rPr>
            </w:pPr>
          </w:p>
        </w:tc>
        <w:tc>
          <w:tcPr>
            <w:tcW w:w="726" w:type="dxa"/>
            <w:noWrap w:val="0"/>
            <w:vAlign w:val="top"/>
          </w:tcPr>
          <w:p w14:paraId="4FCD35F7">
            <w:pPr>
              <w:rPr>
                <w:rFonts w:ascii="宋体" w:hAnsi="宋体"/>
                <w:color w:val="auto"/>
                <w:sz w:val="24"/>
                <w:highlight w:val="none"/>
              </w:rPr>
            </w:pPr>
          </w:p>
        </w:tc>
        <w:tc>
          <w:tcPr>
            <w:tcW w:w="889" w:type="dxa"/>
            <w:noWrap w:val="0"/>
            <w:vAlign w:val="top"/>
          </w:tcPr>
          <w:p w14:paraId="7FCE69A5">
            <w:pPr>
              <w:rPr>
                <w:rFonts w:ascii="宋体" w:hAnsi="宋体"/>
                <w:color w:val="auto"/>
                <w:sz w:val="24"/>
                <w:highlight w:val="none"/>
              </w:rPr>
            </w:pPr>
          </w:p>
        </w:tc>
        <w:tc>
          <w:tcPr>
            <w:tcW w:w="1451" w:type="dxa"/>
            <w:noWrap w:val="0"/>
            <w:vAlign w:val="top"/>
          </w:tcPr>
          <w:p w14:paraId="27BB4F24">
            <w:pPr>
              <w:rPr>
                <w:rFonts w:ascii="宋体" w:hAnsi="宋体"/>
                <w:color w:val="auto"/>
                <w:sz w:val="24"/>
                <w:highlight w:val="none"/>
              </w:rPr>
            </w:pPr>
          </w:p>
        </w:tc>
        <w:tc>
          <w:tcPr>
            <w:tcW w:w="900" w:type="dxa"/>
            <w:noWrap w:val="0"/>
            <w:vAlign w:val="top"/>
          </w:tcPr>
          <w:p w14:paraId="6A1C3F15">
            <w:pPr>
              <w:rPr>
                <w:rFonts w:ascii="宋体" w:hAnsi="宋体"/>
                <w:color w:val="auto"/>
                <w:sz w:val="24"/>
                <w:highlight w:val="none"/>
              </w:rPr>
            </w:pPr>
          </w:p>
        </w:tc>
        <w:tc>
          <w:tcPr>
            <w:tcW w:w="1080" w:type="dxa"/>
            <w:noWrap w:val="0"/>
            <w:vAlign w:val="top"/>
          </w:tcPr>
          <w:p w14:paraId="79CCD244">
            <w:pPr>
              <w:rPr>
                <w:rFonts w:ascii="宋体" w:hAnsi="宋体"/>
                <w:color w:val="auto"/>
                <w:sz w:val="24"/>
                <w:highlight w:val="none"/>
              </w:rPr>
            </w:pPr>
          </w:p>
        </w:tc>
        <w:tc>
          <w:tcPr>
            <w:tcW w:w="1286" w:type="dxa"/>
            <w:noWrap w:val="0"/>
            <w:vAlign w:val="top"/>
          </w:tcPr>
          <w:p w14:paraId="2F350DFA">
            <w:pPr>
              <w:rPr>
                <w:rFonts w:ascii="宋体" w:hAnsi="宋体"/>
                <w:color w:val="auto"/>
                <w:sz w:val="24"/>
                <w:highlight w:val="none"/>
              </w:rPr>
            </w:pPr>
          </w:p>
        </w:tc>
        <w:tc>
          <w:tcPr>
            <w:tcW w:w="1328" w:type="dxa"/>
            <w:noWrap w:val="0"/>
            <w:vAlign w:val="top"/>
          </w:tcPr>
          <w:p w14:paraId="6532D680">
            <w:pPr>
              <w:rPr>
                <w:rFonts w:ascii="宋体" w:hAnsi="宋体"/>
                <w:color w:val="auto"/>
                <w:sz w:val="24"/>
                <w:highlight w:val="none"/>
              </w:rPr>
            </w:pPr>
          </w:p>
        </w:tc>
        <w:tc>
          <w:tcPr>
            <w:tcW w:w="1069" w:type="dxa"/>
            <w:noWrap w:val="0"/>
            <w:vAlign w:val="top"/>
          </w:tcPr>
          <w:p w14:paraId="572C2C32">
            <w:pPr>
              <w:rPr>
                <w:rFonts w:ascii="宋体" w:hAnsi="宋体"/>
                <w:color w:val="auto"/>
                <w:sz w:val="24"/>
                <w:highlight w:val="none"/>
              </w:rPr>
            </w:pPr>
          </w:p>
        </w:tc>
      </w:tr>
      <w:tr w14:paraId="5697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noWrap w:val="0"/>
            <w:vAlign w:val="top"/>
          </w:tcPr>
          <w:p w14:paraId="37C332FA">
            <w:pPr>
              <w:rPr>
                <w:rFonts w:ascii="宋体" w:hAnsi="宋体"/>
                <w:color w:val="auto"/>
                <w:sz w:val="24"/>
                <w:highlight w:val="none"/>
              </w:rPr>
            </w:pPr>
          </w:p>
        </w:tc>
        <w:tc>
          <w:tcPr>
            <w:tcW w:w="726" w:type="dxa"/>
            <w:noWrap w:val="0"/>
            <w:vAlign w:val="top"/>
          </w:tcPr>
          <w:p w14:paraId="183F7A1E">
            <w:pPr>
              <w:rPr>
                <w:rFonts w:ascii="宋体" w:hAnsi="宋体"/>
                <w:color w:val="auto"/>
                <w:sz w:val="24"/>
                <w:highlight w:val="none"/>
              </w:rPr>
            </w:pPr>
          </w:p>
        </w:tc>
        <w:tc>
          <w:tcPr>
            <w:tcW w:w="889" w:type="dxa"/>
            <w:noWrap w:val="0"/>
            <w:vAlign w:val="top"/>
          </w:tcPr>
          <w:p w14:paraId="598044D4">
            <w:pPr>
              <w:rPr>
                <w:rFonts w:ascii="宋体" w:hAnsi="宋体"/>
                <w:color w:val="auto"/>
                <w:sz w:val="24"/>
                <w:highlight w:val="none"/>
              </w:rPr>
            </w:pPr>
          </w:p>
        </w:tc>
        <w:tc>
          <w:tcPr>
            <w:tcW w:w="1451" w:type="dxa"/>
            <w:noWrap w:val="0"/>
            <w:vAlign w:val="top"/>
          </w:tcPr>
          <w:p w14:paraId="4E81B5A5">
            <w:pPr>
              <w:rPr>
                <w:rFonts w:ascii="宋体" w:hAnsi="宋体"/>
                <w:color w:val="auto"/>
                <w:sz w:val="24"/>
                <w:highlight w:val="none"/>
              </w:rPr>
            </w:pPr>
          </w:p>
        </w:tc>
        <w:tc>
          <w:tcPr>
            <w:tcW w:w="900" w:type="dxa"/>
            <w:noWrap w:val="0"/>
            <w:vAlign w:val="top"/>
          </w:tcPr>
          <w:p w14:paraId="08E8ED51">
            <w:pPr>
              <w:rPr>
                <w:rFonts w:ascii="宋体" w:hAnsi="宋体"/>
                <w:color w:val="auto"/>
                <w:sz w:val="24"/>
                <w:highlight w:val="none"/>
              </w:rPr>
            </w:pPr>
          </w:p>
        </w:tc>
        <w:tc>
          <w:tcPr>
            <w:tcW w:w="1080" w:type="dxa"/>
            <w:noWrap w:val="0"/>
            <w:vAlign w:val="top"/>
          </w:tcPr>
          <w:p w14:paraId="3DEA2E37">
            <w:pPr>
              <w:rPr>
                <w:rFonts w:ascii="宋体" w:hAnsi="宋体"/>
                <w:color w:val="auto"/>
                <w:sz w:val="24"/>
                <w:highlight w:val="none"/>
              </w:rPr>
            </w:pPr>
          </w:p>
        </w:tc>
        <w:tc>
          <w:tcPr>
            <w:tcW w:w="1286" w:type="dxa"/>
            <w:noWrap w:val="0"/>
            <w:vAlign w:val="top"/>
          </w:tcPr>
          <w:p w14:paraId="265C0F91">
            <w:pPr>
              <w:rPr>
                <w:rFonts w:ascii="宋体" w:hAnsi="宋体"/>
                <w:color w:val="auto"/>
                <w:sz w:val="24"/>
                <w:highlight w:val="none"/>
              </w:rPr>
            </w:pPr>
          </w:p>
        </w:tc>
        <w:tc>
          <w:tcPr>
            <w:tcW w:w="1328" w:type="dxa"/>
            <w:noWrap w:val="0"/>
            <w:vAlign w:val="top"/>
          </w:tcPr>
          <w:p w14:paraId="489581C5">
            <w:pPr>
              <w:rPr>
                <w:rFonts w:ascii="宋体" w:hAnsi="宋体"/>
                <w:color w:val="auto"/>
                <w:sz w:val="24"/>
                <w:highlight w:val="none"/>
              </w:rPr>
            </w:pPr>
          </w:p>
        </w:tc>
        <w:tc>
          <w:tcPr>
            <w:tcW w:w="1069" w:type="dxa"/>
            <w:noWrap w:val="0"/>
            <w:vAlign w:val="top"/>
          </w:tcPr>
          <w:p w14:paraId="6EFE1954">
            <w:pPr>
              <w:rPr>
                <w:rFonts w:ascii="宋体" w:hAnsi="宋体"/>
                <w:color w:val="auto"/>
                <w:sz w:val="24"/>
                <w:highlight w:val="none"/>
              </w:rPr>
            </w:pPr>
          </w:p>
        </w:tc>
      </w:tr>
      <w:tr w14:paraId="4FAD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714" w:type="dxa"/>
            <w:noWrap w:val="0"/>
            <w:vAlign w:val="top"/>
          </w:tcPr>
          <w:p w14:paraId="63E79D01">
            <w:pPr>
              <w:rPr>
                <w:rFonts w:ascii="宋体" w:hAnsi="宋体"/>
                <w:color w:val="auto"/>
                <w:sz w:val="24"/>
                <w:highlight w:val="none"/>
              </w:rPr>
            </w:pPr>
          </w:p>
        </w:tc>
        <w:tc>
          <w:tcPr>
            <w:tcW w:w="726" w:type="dxa"/>
            <w:noWrap w:val="0"/>
            <w:vAlign w:val="top"/>
          </w:tcPr>
          <w:p w14:paraId="10C80197">
            <w:pPr>
              <w:rPr>
                <w:rFonts w:ascii="宋体" w:hAnsi="宋体"/>
                <w:color w:val="auto"/>
                <w:sz w:val="24"/>
                <w:highlight w:val="none"/>
              </w:rPr>
            </w:pPr>
          </w:p>
        </w:tc>
        <w:tc>
          <w:tcPr>
            <w:tcW w:w="889" w:type="dxa"/>
            <w:noWrap w:val="0"/>
            <w:vAlign w:val="top"/>
          </w:tcPr>
          <w:p w14:paraId="709AF735">
            <w:pPr>
              <w:rPr>
                <w:rFonts w:ascii="宋体" w:hAnsi="宋体"/>
                <w:color w:val="auto"/>
                <w:sz w:val="24"/>
                <w:highlight w:val="none"/>
              </w:rPr>
            </w:pPr>
          </w:p>
        </w:tc>
        <w:tc>
          <w:tcPr>
            <w:tcW w:w="1451" w:type="dxa"/>
            <w:noWrap w:val="0"/>
            <w:vAlign w:val="top"/>
          </w:tcPr>
          <w:p w14:paraId="60ED18AF">
            <w:pPr>
              <w:rPr>
                <w:rFonts w:ascii="宋体" w:hAnsi="宋体"/>
                <w:color w:val="auto"/>
                <w:sz w:val="24"/>
                <w:highlight w:val="none"/>
              </w:rPr>
            </w:pPr>
          </w:p>
        </w:tc>
        <w:tc>
          <w:tcPr>
            <w:tcW w:w="900" w:type="dxa"/>
            <w:noWrap w:val="0"/>
            <w:vAlign w:val="top"/>
          </w:tcPr>
          <w:p w14:paraId="3ABB44AC">
            <w:pPr>
              <w:rPr>
                <w:rFonts w:ascii="宋体" w:hAnsi="宋体"/>
                <w:color w:val="auto"/>
                <w:sz w:val="24"/>
                <w:highlight w:val="none"/>
              </w:rPr>
            </w:pPr>
          </w:p>
        </w:tc>
        <w:tc>
          <w:tcPr>
            <w:tcW w:w="1080" w:type="dxa"/>
            <w:noWrap w:val="0"/>
            <w:vAlign w:val="top"/>
          </w:tcPr>
          <w:p w14:paraId="1D18AC0C">
            <w:pPr>
              <w:rPr>
                <w:rFonts w:ascii="宋体" w:hAnsi="宋体"/>
                <w:color w:val="auto"/>
                <w:sz w:val="24"/>
                <w:highlight w:val="none"/>
              </w:rPr>
            </w:pPr>
          </w:p>
        </w:tc>
        <w:tc>
          <w:tcPr>
            <w:tcW w:w="1286" w:type="dxa"/>
            <w:noWrap w:val="0"/>
            <w:vAlign w:val="top"/>
          </w:tcPr>
          <w:p w14:paraId="7DD8504E">
            <w:pPr>
              <w:rPr>
                <w:rFonts w:ascii="宋体" w:hAnsi="宋体"/>
                <w:color w:val="auto"/>
                <w:sz w:val="24"/>
                <w:highlight w:val="none"/>
              </w:rPr>
            </w:pPr>
          </w:p>
        </w:tc>
        <w:tc>
          <w:tcPr>
            <w:tcW w:w="1328" w:type="dxa"/>
            <w:noWrap w:val="0"/>
            <w:vAlign w:val="top"/>
          </w:tcPr>
          <w:p w14:paraId="123341E3">
            <w:pPr>
              <w:rPr>
                <w:rFonts w:ascii="宋体" w:hAnsi="宋体"/>
                <w:color w:val="auto"/>
                <w:sz w:val="24"/>
                <w:highlight w:val="none"/>
              </w:rPr>
            </w:pPr>
          </w:p>
        </w:tc>
        <w:tc>
          <w:tcPr>
            <w:tcW w:w="1069" w:type="dxa"/>
            <w:noWrap w:val="0"/>
            <w:vAlign w:val="top"/>
          </w:tcPr>
          <w:p w14:paraId="5C5EE4E1">
            <w:pPr>
              <w:rPr>
                <w:rFonts w:ascii="宋体" w:hAnsi="宋体"/>
                <w:color w:val="auto"/>
                <w:sz w:val="24"/>
                <w:highlight w:val="none"/>
              </w:rPr>
            </w:pPr>
          </w:p>
        </w:tc>
      </w:tr>
      <w:tr w14:paraId="1D5E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noWrap w:val="0"/>
            <w:vAlign w:val="top"/>
          </w:tcPr>
          <w:p w14:paraId="03978DCF">
            <w:pPr>
              <w:rPr>
                <w:rFonts w:ascii="宋体" w:hAnsi="宋体"/>
                <w:color w:val="auto"/>
                <w:sz w:val="24"/>
                <w:highlight w:val="none"/>
              </w:rPr>
            </w:pPr>
          </w:p>
        </w:tc>
        <w:tc>
          <w:tcPr>
            <w:tcW w:w="726" w:type="dxa"/>
            <w:noWrap w:val="0"/>
            <w:vAlign w:val="top"/>
          </w:tcPr>
          <w:p w14:paraId="50FD6A1A">
            <w:pPr>
              <w:rPr>
                <w:rFonts w:ascii="宋体" w:hAnsi="宋体"/>
                <w:color w:val="auto"/>
                <w:sz w:val="24"/>
                <w:highlight w:val="none"/>
              </w:rPr>
            </w:pPr>
          </w:p>
        </w:tc>
        <w:tc>
          <w:tcPr>
            <w:tcW w:w="889" w:type="dxa"/>
            <w:noWrap w:val="0"/>
            <w:vAlign w:val="top"/>
          </w:tcPr>
          <w:p w14:paraId="25D33B15">
            <w:pPr>
              <w:rPr>
                <w:rFonts w:ascii="宋体" w:hAnsi="宋体"/>
                <w:color w:val="auto"/>
                <w:sz w:val="24"/>
                <w:highlight w:val="none"/>
              </w:rPr>
            </w:pPr>
          </w:p>
        </w:tc>
        <w:tc>
          <w:tcPr>
            <w:tcW w:w="1451" w:type="dxa"/>
            <w:noWrap w:val="0"/>
            <w:vAlign w:val="top"/>
          </w:tcPr>
          <w:p w14:paraId="1884DA8B">
            <w:pPr>
              <w:rPr>
                <w:rFonts w:ascii="宋体" w:hAnsi="宋体"/>
                <w:color w:val="auto"/>
                <w:sz w:val="24"/>
                <w:highlight w:val="none"/>
              </w:rPr>
            </w:pPr>
          </w:p>
        </w:tc>
        <w:tc>
          <w:tcPr>
            <w:tcW w:w="900" w:type="dxa"/>
            <w:noWrap w:val="0"/>
            <w:vAlign w:val="top"/>
          </w:tcPr>
          <w:p w14:paraId="2C2053AC">
            <w:pPr>
              <w:rPr>
                <w:rFonts w:ascii="宋体" w:hAnsi="宋体"/>
                <w:color w:val="auto"/>
                <w:sz w:val="24"/>
                <w:highlight w:val="none"/>
              </w:rPr>
            </w:pPr>
          </w:p>
        </w:tc>
        <w:tc>
          <w:tcPr>
            <w:tcW w:w="1080" w:type="dxa"/>
            <w:noWrap w:val="0"/>
            <w:vAlign w:val="top"/>
          </w:tcPr>
          <w:p w14:paraId="2C4B2794">
            <w:pPr>
              <w:rPr>
                <w:rFonts w:ascii="宋体" w:hAnsi="宋体"/>
                <w:color w:val="auto"/>
                <w:sz w:val="24"/>
                <w:highlight w:val="none"/>
              </w:rPr>
            </w:pPr>
          </w:p>
        </w:tc>
        <w:tc>
          <w:tcPr>
            <w:tcW w:w="1286" w:type="dxa"/>
            <w:noWrap w:val="0"/>
            <w:vAlign w:val="top"/>
          </w:tcPr>
          <w:p w14:paraId="17309696">
            <w:pPr>
              <w:rPr>
                <w:rFonts w:ascii="宋体" w:hAnsi="宋体"/>
                <w:color w:val="auto"/>
                <w:sz w:val="24"/>
                <w:highlight w:val="none"/>
              </w:rPr>
            </w:pPr>
          </w:p>
        </w:tc>
        <w:tc>
          <w:tcPr>
            <w:tcW w:w="1328" w:type="dxa"/>
            <w:noWrap w:val="0"/>
            <w:vAlign w:val="top"/>
          </w:tcPr>
          <w:p w14:paraId="33D76844">
            <w:pPr>
              <w:rPr>
                <w:rFonts w:ascii="宋体" w:hAnsi="宋体"/>
                <w:color w:val="auto"/>
                <w:sz w:val="24"/>
                <w:highlight w:val="none"/>
              </w:rPr>
            </w:pPr>
          </w:p>
        </w:tc>
        <w:tc>
          <w:tcPr>
            <w:tcW w:w="1069" w:type="dxa"/>
            <w:noWrap w:val="0"/>
            <w:vAlign w:val="top"/>
          </w:tcPr>
          <w:p w14:paraId="04C40B6E">
            <w:pPr>
              <w:rPr>
                <w:rFonts w:ascii="宋体" w:hAnsi="宋体"/>
                <w:color w:val="auto"/>
                <w:sz w:val="24"/>
                <w:highlight w:val="none"/>
              </w:rPr>
            </w:pPr>
          </w:p>
        </w:tc>
      </w:tr>
      <w:tr w14:paraId="1D16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714" w:type="dxa"/>
            <w:noWrap w:val="0"/>
            <w:vAlign w:val="top"/>
          </w:tcPr>
          <w:p w14:paraId="311DA45C">
            <w:pPr>
              <w:rPr>
                <w:rFonts w:ascii="宋体" w:hAnsi="宋体"/>
                <w:color w:val="auto"/>
                <w:sz w:val="24"/>
                <w:highlight w:val="none"/>
              </w:rPr>
            </w:pPr>
          </w:p>
        </w:tc>
        <w:tc>
          <w:tcPr>
            <w:tcW w:w="726" w:type="dxa"/>
            <w:noWrap w:val="0"/>
            <w:vAlign w:val="top"/>
          </w:tcPr>
          <w:p w14:paraId="638CCE3A">
            <w:pPr>
              <w:rPr>
                <w:rFonts w:ascii="宋体" w:hAnsi="宋体"/>
                <w:color w:val="auto"/>
                <w:sz w:val="24"/>
                <w:highlight w:val="none"/>
              </w:rPr>
            </w:pPr>
          </w:p>
        </w:tc>
        <w:tc>
          <w:tcPr>
            <w:tcW w:w="889" w:type="dxa"/>
            <w:noWrap w:val="0"/>
            <w:vAlign w:val="top"/>
          </w:tcPr>
          <w:p w14:paraId="58CB5BEB">
            <w:pPr>
              <w:rPr>
                <w:rFonts w:ascii="宋体" w:hAnsi="宋体"/>
                <w:color w:val="auto"/>
                <w:sz w:val="24"/>
                <w:highlight w:val="none"/>
              </w:rPr>
            </w:pPr>
          </w:p>
        </w:tc>
        <w:tc>
          <w:tcPr>
            <w:tcW w:w="1451" w:type="dxa"/>
            <w:noWrap w:val="0"/>
            <w:vAlign w:val="top"/>
          </w:tcPr>
          <w:p w14:paraId="66B30271">
            <w:pPr>
              <w:rPr>
                <w:rFonts w:ascii="宋体" w:hAnsi="宋体"/>
                <w:color w:val="auto"/>
                <w:sz w:val="24"/>
                <w:highlight w:val="none"/>
              </w:rPr>
            </w:pPr>
          </w:p>
        </w:tc>
        <w:tc>
          <w:tcPr>
            <w:tcW w:w="900" w:type="dxa"/>
            <w:noWrap w:val="0"/>
            <w:vAlign w:val="top"/>
          </w:tcPr>
          <w:p w14:paraId="415BEB99">
            <w:pPr>
              <w:rPr>
                <w:rFonts w:ascii="宋体" w:hAnsi="宋体"/>
                <w:color w:val="auto"/>
                <w:sz w:val="24"/>
                <w:highlight w:val="none"/>
              </w:rPr>
            </w:pPr>
          </w:p>
        </w:tc>
        <w:tc>
          <w:tcPr>
            <w:tcW w:w="1080" w:type="dxa"/>
            <w:noWrap w:val="0"/>
            <w:vAlign w:val="top"/>
          </w:tcPr>
          <w:p w14:paraId="16DCE9C5">
            <w:pPr>
              <w:rPr>
                <w:rFonts w:ascii="宋体" w:hAnsi="宋体"/>
                <w:color w:val="auto"/>
                <w:sz w:val="24"/>
                <w:highlight w:val="none"/>
              </w:rPr>
            </w:pPr>
          </w:p>
        </w:tc>
        <w:tc>
          <w:tcPr>
            <w:tcW w:w="1286" w:type="dxa"/>
            <w:noWrap w:val="0"/>
            <w:vAlign w:val="top"/>
          </w:tcPr>
          <w:p w14:paraId="5EE15D67">
            <w:pPr>
              <w:rPr>
                <w:rFonts w:ascii="宋体" w:hAnsi="宋体"/>
                <w:color w:val="auto"/>
                <w:sz w:val="24"/>
                <w:highlight w:val="none"/>
              </w:rPr>
            </w:pPr>
          </w:p>
        </w:tc>
        <w:tc>
          <w:tcPr>
            <w:tcW w:w="1328" w:type="dxa"/>
            <w:noWrap w:val="0"/>
            <w:vAlign w:val="top"/>
          </w:tcPr>
          <w:p w14:paraId="0090F334">
            <w:pPr>
              <w:rPr>
                <w:rFonts w:ascii="宋体" w:hAnsi="宋体"/>
                <w:color w:val="auto"/>
                <w:sz w:val="24"/>
                <w:highlight w:val="none"/>
              </w:rPr>
            </w:pPr>
          </w:p>
        </w:tc>
        <w:tc>
          <w:tcPr>
            <w:tcW w:w="1069" w:type="dxa"/>
            <w:noWrap w:val="0"/>
            <w:vAlign w:val="top"/>
          </w:tcPr>
          <w:p w14:paraId="5107938F">
            <w:pPr>
              <w:rPr>
                <w:rFonts w:ascii="宋体" w:hAnsi="宋体"/>
                <w:color w:val="auto"/>
                <w:sz w:val="24"/>
                <w:highlight w:val="none"/>
              </w:rPr>
            </w:pPr>
          </w:p>
        </w:tc>
      </w:tr>
      <w:tr w14:paraId="018F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noWrap w:val="0"/>
            <w:vAlign w:val="top"/>
          </w:tcPr>
          <w:p w14:paraId="216199C0">
            <w:pPr>
              <w:rPr>
                <w:rFonts w:ascii="宋体" w:hAnsi="宋体"/>
                <w:color w:val="auto"/>
                <w:sz w:val="24"/>
                <w:highlight w:val="none"/>
              </w:rPr>
            </w:pPr>
          </w:p>
        </w:tc>
        <w:tc>
          <w:tcPr>
            <w:tcW w:w="726" w:type="dxa"/>
            <w:noWrap w:val="0"/>
            <w:vAlign w:val="top"/>
          </w:tcPr>
          <w:p w14:paraId="7329BBE7">
            <w:pPr>
              <w:rPr>
                <w:rFonts w:ascii="宋体" w:hAnsi="宋体"/>
                <w:color w:val="auto"/>
                <w:sz w:val="24"/>
                <w:highlight w:val="none"/>
              </w:rPr>
            </w:pPr>
          </w:p>
        </w:tc>
        <w:tc>
          <w:tcPr>
            <w:tcW w:w="889" w:type="dxa"/>
            <w:noWrap w:val="0"/>
            <w:vAlign w:val="top"/>
          </w:tcPr>
          <w:p w14:paraId="45394E47">
            <w:pPr>
              <w:rPr>
                <w:rFonts w:ascii="宋体" w:hAnsi="宋体"/>
                <w:color w:val="auto"/>
                <w:sz w:val="24"/>
                <w:highlight w:val="none"/>
              </w:rPr>
            </w:pPr>
          </w:p>
        </w:tc>
        <w:tc>
          <w:tcPr>
            <w:tcW w:w="1451" w:type="dxa"/>
            <w:noWrap w:val="0"/>
            <w:vAlign w:val="top"/>
          </w:tcPr>
          <w:p w14:paraId="1658ECBE">
            <w:pPr>
              <w:rPr>
                <w:rFonts w:ascii="宋体" w:hAnsi="宋体"/>
                <w:color w:val="auto"/>
                <w:sz w:val="24"/>
                <w:highlight w:val="none"/>
              </w:rPr>
            </w:pPr>
          </w:p>
        </w:tc>
        <w:tc>
          <w:tcPr>
            <w:tcW w:w="900" w:type="dxa"/>
            <w:noWrap w:val="0"/>
            <w:vAlign w:val="top"/>
          </w:tcPr>
          <w:p w14:paraId="635C95BA">
            <w:pPr>
              <w:rPr>
                <w:rFonts w:ascii="宋体" w:hAnsi="宋体"/>
                <w:color w:val="auto"/>
                <w:sz w:val="24"/>
                <w:highlight w:val="none"/>
              </w:rPr>
            </w:pPr>
          </w:p>
        </w:tc>
        <w:tc>
          <w:tcPr>
            <w:tcW w:w="1080" w:type="dxa"/>
            <w:noWrap w:val="0"/>
            <w:vAlign w:val="top"/>
          </w:tcPr>
          <w:p w14:paraId="078D2015">
            <w:pPr>
              <w:rPr>
                <w:rFonts w:ascii="宋体" w:hAnsi="宋体"/>
                <w:color w:val="auto"/>
                <w:sz w:val="24"/>
                <w:highlight w:val="none"/>
              </w:rPr>
            </w:pPr>
          </w:p>
        </w:tc>
        <w:tc>
          <w:tcPr>
            <w:tcW w:w="1286" w:type="dxa"/>
            <w:noWrap w:val="0"/>
            <w:vAlign w:val="top"/>
          </w:tcPr>
          <w:p w14:paraId="4BF84D61">
            <w:pPr>
              <w:rPr>
                <w:rFonts w:ascii="宋体" w:hAnsi="宋体"/>
                <w:color w:val="auto"/>
                <w:sz w:val="24"/>
                <w:highlight w:val="none"/>
              </w:rPr>
            </w:pPr>
          </w:p>
        </w:tc>
        <w:tc>
          <w:tcPr>
            <w:tcW w:w="1328" w:type="dxa"/>
            <w:noWrap w:val="0"/>
            <w:vAlign w:val="top"/>
          </w:tcPr>
          <w:p w14:paraId="722BF33D">
            <w:pPr>
              <w:rPr>
                <w:rFonts w:ascii="宋体" w:hAnsi="宋体"/>
                <w:color w:val="auto"/>
                <w:sz w:val="24"/>
                <w:highlight w:val="none"/>
              </w:rPr>
            </w:pPr>
          </w:p>
        </w:tc>
        <w:tc>
          <w:tcPr>
            <w:tcW w:w="1069" w:type="dxa"/>
            <w:noWrap w:val="0"/>
            <w:vAlign w:val="top"/>
          </w:tcPr>
          <w:p w14:paraId="4E0167A6">
            <w:pPr>
              <w:rPr>
                <w:rFonts w:ascii="宋体" w:hAnsi="宋体"/>
                <w:color w:val="auto"/>
                <w:sz w:val="24"/>
                <w:highlight w:val="none"/>
              </w:rPr>
            </w:pPr>
          </w:p>
        </w:tc>
      </w:tr>
      <w:tr w14:paraId="713C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noWrap w:val="0"/>
            <w:vAlign w:val="top"/>
          </w:tcPr>
          <w:p w14:paraId="1FA16549">
            <w:pPr>
              <w:rPr>
                <w:rFonts w:ascii="宋体" w:hAnsi="宋体"/>
                <w:color w:val="auto"/>
                <w:sz w:val="24"/>
                <w:highlight w:val="none"/>
              </w:rPr>
            </w:pPr>
          </w:p>
        </w:tc>
        <w:tc>
          <w:tcPr>
            <w:tcW w:w="726" w:type="dxa"/>
            <w:noWrap w:val="0"/>
            <w:vAlign w:val="top"/>
          </w:tcPr>
          <w:p w14:paraId="71C1524F">
            <w:pPr>
              <w:rPr>
                <w:rFonts w:ascii="宋体" w:hAnsi="宋体"/>
                <w:color w:val="auto"/>
                <w:sz w:val="24"/>
                <w:highlight w:val="none"/>
              </w:rPr>
            </w:pPr>
          </w:p>
        </w:tc>
        <w:tc>
          <w:tcPr>
            <w:tcW w:w="889" w:type="dxa"/>
            <w:noWrap w:val="0"/>
            <w:vAlign w:val="top"/>
          </w:tcPr>
          <w:p w14:paraId="25147C20">
            <w:pPr>
              <w:rPr>
                <w:rFonts w:ascii="宋体" w:hAnsi="宋体"/>
                <w:color w:val="auto"/>
                <w:sz w:val="24"/>
                <w:highlight w:val="none"/>
              </w:rPr>
            </w:pPr>
          </w:p>
        </w:tc>
        <w:tc>
          <w:tcPr>
            <w:tcW w:w="1451" w:type="dxa"/>
            <w:noWrap w:val="0"/>
            <w:vAlign w:val="top"/>
          </w:tcPr>
          <w:p w14:paraId="0E6D4D76">
            <w:pPr>
              <w:rPr>
                <w:rFonts w:ascii="宋体" w:hAnsi="宋体"/>
                <w:color w:val="auto"/>
                <w:sz w:val="24"/>
                <w:highlight w:val="none"/>
              </w:rPr>
            </w:pPr>
          </w:p>
        </w:tc>
        <w:tc>
          <w:tcPr>
            <w:tcW w:w="900" w:type="dxa"/>
            <w:noWrap w:val="0"/>
            <w:vAlign w:val="top"/>
          </w:tcPr>
          <w:p w14:paraId="44BF5D43">
            <w:pPr>
              <w:rPr>
                <w:rFonts w:ascii="宋体" w:hAnsi="宋体"/>
                <w:color w:val="auto"/>
                <w:sz w:val="24"/>
                <w:highlight w:val="none"/>
              </w:rPr>
            </w:pPr>
          </w:p>
        </w:tc>
        <w:tc>
          <w:tcPr>
            <w:tcW w:w="1080" w:type="dxa"/>
            <w:noWrap w:val="0"/>
            <w:vAlign w:val="top"/>
          </w:tcPr>
          <w:p w14:paraId="4D1457FE">
            <w:pPr>
              <w:rPr>
                <w:rFonts w:ascii="宋体" w:hAnsi="宋体"/>
                <w:color w:val="auto"/>
                <w:sz w:val="24"/>
                <w:highlight w:val="none"/>
              </w:rPr>
            </w:pPr>
          </w:p>
        </w:tc>
        <w:tc>
          <w:tcPr>
            <w:tcW w:w="1286" w:type="dxa"/>
            <w:noWrap w:val="0"/>
            <w:vAlign w:val="top"/>
          </w:tcPr>
          <w:p w14:paraId="5C5BF9F7">
            <w:pPr>
              <w:rPr>
                <w:rFonts w:ascii="宋体" w:hAnsi="宋体"/>
                <w:color w:val="auto"/>
                <w:sz w:val="24"/>
                <w:highlight w:val="none"/>
              </w:rPr>
            </w:pPr>
          </w:p>
        </w:tc>
        <w:tc>
          <w:tcPr>
            <w:tcW w:w="1328" w:type="dxa"/>
            <w:noWrap w:val="0"/>
            <w:vAlign w:val="top"/>
          </w:tcPr>
          <w:p w14:paraId="20A0C74F">
            <w:pPr>
              <w:rPr>
                <w:rFonts w:ascii="宋体" w:hAnsi="宋体"/>
                <w:color w:val="auto"/>
                <w:sz w:val="24"/>
                <w:highlight w:val="none"/>
              </w:rPr>
            </w:pPr>
          </w:p>
        </w:tc>
        <w:tc>
          <w:tcPr>
            <w:tcW w:w="1069" w:type="dxa"/>
            <w:noWrap w:val="0"/>
            <w:vAlign w:val="top"/>
          </w:tcPr>
          <w:p w14:paraId="25D0FB47">
            <w:pPr>
              <w:rPr>
                <w:rFonts w:ascii="宋体" w:hAnsi="宋体"/>
                <w:color w:val="auto"/>
                <w:sz w:val="24"/>
                <w:highlight w:val="none"/>
              </w:rPr>
            </w:pPr>
          </w:p>
        </w:tc>
      </w:tr>
      <w:tr w14:paraId="4C86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noWrap w:val="0"/>
            <w:vAlign w:val="top"/>
          </w:tcPr>
          <w:p w14:paraId="3089135A">
            <w:pPr>
              <w:rPr>
                <w:rFonts w:ascii="宋体" w:hAnsi="宋体"/>
                <w:color w:val="auto"/>
                <w:sz w:val="24"/>
                <w:highlight w:val="none"/>
              </w:rPr>
            </w:pPr>
          </w:p>
        </w:tc>
        <w:tc>
          <w:tcPr>
            <w:tcW w:w="726" w:type="dxa"/>
            <w:noWrap w:val="0"/>
            <w:vAlign w:val="top"/>
          </w:tcPr>
          <w:p w14:paraId="384753F4">
            <w:pPr>
              <w:rPr>
                <w:rFonts w:ascii="宋体" w:hAnsi="宋体"/>
                <w:color w:val="auto"/>
                <w:sz w:val="24"/>
                <w:highlight w:val="none"/>
              </w:rPr>
            </w:pPr>
          </w:p>
        </w:tc>
        <w:tc>
          <w:tcPr>
            <w:tcW w:w="889" w:type="dxa"/>
            <w:noWrap w:val="0"/>
            <w:vAlign w:val="top"/>
          </w:tcPr>
          <w:p w14:paraId="369B2C98">
            <w:pPr>
              <w:rPr>
                <w:rFonts w:ascii="宋体" w:hAnsi="宋体"/>
                <w:color w:val="auto"/>
                <w:sz w:val="24"/>
                <w:highlight w:val="none"/>
              </w:rPr>
            </w:pPr>
          </w:p>
        </w:tc>
        <w:tc>
          <w:tcPr>
            <w:tcW w:w="1451" w:type="dxa"/>
            <w:noWrap w:val="0"/>
            <w:vAlign w:val="top"/>
          </w:tcPr>
          <w:p w14:paraId="7E949E92">
            <w:pPr>
              <w:rPr>
                <w:rFonts w:ascii="宋体" w:hAnsi="宋体"/>
                <w:color w:val="auto"/>
                <w:sz w:val="24"/>
                <w:highlight w:val="none"/>
              </w:rPr>
            </w:pPr>
          </w:p>
        </w:tc>
        <w:tc>
          <w:tcPr>
            <w:tcW w:w="900" w:type="dxa"/>
            <w:noWrap w:val="0"/>
            <w:vAlign w:val="top"/>
          </w:tcPr>
          <w:p w14:paraId="500904A3">
            <w:pPr>
              <w:rPr>
                <w:rFonts w:ascii="宋体" w:hAnsi="宋体"/>
                <w:color w:val="auto"/>
                <w:sz w:val="24"/>
                <w:highlight w:val="none"/>
              </w:rPr>
            </w:pPr>
          </w:p>
        </w:tc>
        <w:tc>
          <w:tcPr>
            <w:tcW w:w="1080" w:type="dxa"/>
            <w:noWrap w:val="0"/>
            <w:vAlign w:val="top"/>
          </w:tcPr>
          <w:p w14:paraId="468E2770">
            <w:pPr>
              <w:rPr>
                <w:rFonts w:ascii="宋体" w:hAnsi="宋体"/>
                <w:color w:val="auto"/>
                <w:sz w:val="24"/>
                <w:highlight w:val="none"/>
              </w:rPr>
            </w:pPr>
          </w:p>
        </w:tc>
        <w:tc>
          <w:tcPr>
            <w:tcW w:w="1286" w:type="dxa"/>
            <w:noWrap w:val="0"/>
            <w:vAlign w:val="top"/>
          </w:tcPr>
          <w:p w14:paraId="42792873">
            <w:pPr>
              <w:rPr>
                <w:rFonts w:ascii="宋体" w:hAnsi="宋体"/>
                <w:color w:val="auto"/>
                <w:sz w:val="24"/>
                <w:highlight w:val="none"/>
              </w:rPr>
            </w:pPr>
          </w:p>
        </w:tc>
        <w:tc>
          <w:tcPr>
            <w:tcW w:w="1328" w:type="dxa"/>
            <w:noWrap w:val="0"/>
            <w:vAlign w:val="top"/>
          </w:tcPr>
          <w:p w14:paraId="7D2A7DA6">
            <w:pPr>
              <w:rPr>
                <w:rFonts w:ascii="宋体" w:hAnsi="宋体"/>
                <w:color w:val="auto"/>
                <w:sz w:val="24"/>
                <w:highlight w:val="none"/>
              </w:rPr>
            </w:pPr>
          </w:p>
        </w:tc>
        <w:tc>
          <w:tcPr>
            <w:tcW w:w="1069" w:type="dxa"/>
            <w:noWrap w:val="0"/>
            <w:vAlign w:val="top"/>
          </w:tcPr>
          <w:p w14:paraId="48F4DC2C">
            <w:pPr>
              <w:rPr>
                <w:rFonts w:ascii="宋体" w:hAnsi="宋体"/>
                <w:color w:val="auto"/>
                <w:sz w:val="24"/>
                <w:highlight w:val="none"/>
              </w:rPr>
            </w:pPr>
          </w:p>
        </w:tc>
      </w:tr>
      <w:tr w14:paraId="6B45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noWrap w:val="0"/>
            <w:vAlign w:val="top"/>
          </w:tcPr>
          <w:p w14:paraId="24BAED8C">
            <w:pPr>
              <w:rPr>
                <w:rFonts w:ascii="宋体" w:hAnsi="宋体"/>
                <w:color w:val="auto"/>
                <w:sz w:val="24"/>
                <w:highlight w:val="none"/>
              </w:rPr>
            </w:pPr>
          </w:p>
        </w:tc>
        <w:tc>
          <w:tcPr>
            <w:tcW w:w="726" w:type="dxa"/>
            <w:noWrap w:val="0"/>
            <w:vAlign w:val="top"/>
          </w:tcPr>
          <w:p w14:paraId="35BF979E">
            <w:pPr>
              <w:rPr>
                <w:rFonts w:ascii="宋体" w:hAnsi="宋体"/>
                <w:color w:val="auto"/>
                <w:sz w:val="24"/>
                <w:highlight w:val="none"/>
              </w:rPr>
            </w:pPr>
          </w:p>
        </w:tc>
        <w:tc>
          <w:tcPr>
            <w:tcW w:w="889" w:type="dxa"/>
            <w:noWrap w:val="0"/>
            <w:vAlign w:val="top"/>
          </w:tcPr>
          <w:p w14:paraId="593C2544">
            <w:pPr>
              <w:rPr>
                <w:rFonts w:ascii="宋体" w:hAnsi="宋体"/>
                <w:color w:val="auto"/>
                <w:sz w:val="24"/>
                <w:highlight w:val="none"/>
              </w:rPr>
            </w:pPr>
          </w:p>
        </w:tc>
        <w:tc>
          <w:tcPr>
            <w:tcW w:w="1451" w:type="dxa"/>
            <w:noWrap w:val="0"/>
            <w:vAlign w:val="top"/>
          </w:tcPr>
          <w:p w14:paraId="10420420">
            <w:pPr>
              <w:rPr>
                <w:rFonts w:ascii="宋体" w:hAnsi="宋体"/>
                <w:color w:val="auto"/>
                <w:sz w:val="24"/>
                <w:highlight w:val="none"/>
              </w:rPr>
            </w:pPr>
          </w:p>
        </w:tc>
        <w:tc>
          <w:tcPr>
            <w:tcW w:w="900" w:type="dxa"/>
            <w:noWrap w:val="0"/>
            <w:vAlign w:val="top"/>
          </w:tcPr>
          <w:p w14:paraId="26182E4D">
            <w:pPr>
              <w:rPr>
                <w:rFonts w:ascii="宋体" w:hAnsi="宋体"/>
                <w:color w:val="auto"/>
                <w:sz w:val="24"/>
                <w:highlight w:val="none"/>
              </w:rPr>
            </w:pPr>
          </w:p>
        </w:tc>
        <w:tc>
          <w:tcPr>
            <w:tcW w:w="1080" w:type="dxa"/>
            <w:noWrap w:val="0"/>
            <w:vAlign w:val="top"/>
          </w:tcPr>
          <w:p w14:paraId="43EBCEA4">
            <w:pPr>
              <w:rPr>
                <w:rFonts w:ascii="宋体" w:hAnsi="宋体"/>
                <w:color w:val="auto"/>
                <w:sz w:val="24"/>
                <w:highlight w:val="none"/>
              </w:rPr>
            </w:pPr>
          </w:p>
        </w:tc>
        <w:tc>
          <w:tcPr>
            <w:tcW w:w="1286" w:type="dxa"/>
            <w:noWrap w:val="0"/>
            <w:vAlign w:val="top"/>
          </w:tcPr>
          <w:p w14:paraId="6A01C335">
            <w:pPr>
              <w:rPr>
                <w:rFonts w:ascii="宋体" w:hAnsi="宋体"/>
                <w:color w:val="auto"/>
                <w:sz w:val="24"/>
                <w:highlight w:val="none"/>
              </w:rPr>
            </w:pPr>
          </w:p>
        </w:tc>
        <w:tc>
          <w:tcPr>
            <w:tcW w:w="1328" w:type="dxa"/>
            <w:noWrap w:val="0"/>
            <w:vAlign w:val="top"/>
          </w:tcPr>
          <w:p w14:paraId="5DCBC512">
            <w:pPr>
              <w:rPr>
                <w:rFonts w:ascii="宋体" w:hAnsi="宋体"/>
                <w:color w:val="auto"/>
                <w:sz w:val="24"/>
                <w:highlight w:val="none"/>
              </w:rPr>
            </w:pPr>
          </w:p>
        </w:tc>
        <w:tc>
          <w:tcPr>
            <w:tcW w:w="1069" w:type="dxa"/>
            <w:noWrap w:val="0"/>
            <w:vAlign w:val="top"/>
          </w:tcPr>
          <w:p w14:paraId="4050CFF8">
            <w:pPr>
              <w:rPr>
                <w:rFonts w:ascii="宋体" w:hAnsi="宋体"/>
                <w:color w:val="auto"/>
                <w:sz w:val="24"/>
                <w:highlight w:val="none"/>
              </w:rPr>
            </w:pPr>
          </w:p>
        </w:tc>
      </w:tr>
      <w:tr w14:paraId="38B0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noWrap w:val="0"/>
            <w:vAlign w:val="top"/>
          </w:tcPr>
          <w:p w14:paraId="3B764C55">
            <w:pPr>
              <w:rPr>
                <w:rFonts w:ascii="宋体" w:hAnsi="宋体"/>
                <w:color w:val="auto"/>
                <w:sz w:val="24"/>
                <w:highlight w:val="none"/>
              </w:rPr>
            </w:pPr>
          </w:p>
        </w:tc>
        <w:tc>
          <w:tcPr>
            <w:tcW w:w="726" w:type="dxa"/>
            <w:noWrap w:val="0"/>
            <w:vAlign w:val="top"/>
          </w:tcPr>
          <w:p w14:paraId="062CD2EF">
            <w:pPr>
              <w:rPr>
                <w:rFonts w:ascii="宋体" w:hAnsi="宋体"/>
                <w:color w:val="auto"/>
                <w:sz w:val="24"/>
                <w:highlight w:val="none"/>
              </w:rPr>
            </w:pPr>
          </w:p>
        </w:tc>
        <w:tc>
          <w:tcPr>
            <w:tcW w:w="889" w:type="dxa"/>
            <w:noWrap w:val="0"/>
            <w:vAlign w:val="top"/>
          </w:tcPr>
          <w:p w14:paraId="0C9BE369">
            <w:pPr>
              <w:rPr>
                <w:rFonts w:ascii="宋体" w:hAnsi="宋体"/>
                <w:color w:val="auto"/>
                <w:sz w:val="24"/>
                <w:highlight w:val="none"/>
              </w:rPr>
            </w:pPr>
          </w:p>
        </w:tc>
        <w:tc>
          <w:tcPr>
            <w:tcW w:w="1451" w:type="dxa"/>
            <w:noWrap w:val="0"/>
            <w:vAlign w:val="top"/>
          </w:tcPr>
          <w:p w14:paraId="2156DA3B">
            <w:pPr>
              <w:rPr>
                <w:rFonts w:ascii="宋体" w:hAnsi="宋体"/>
                <w:color w:val="auto"/>
                <w:sz w:val="24"/>
                <w:highlight w:val="none"/>
              </w:rPr>
            </w:pPr>
          </w:p>
        </w:tc>
        <w:tc>
          <w:tcPr>
            <w:tcW w:w="900" w:type="dxa"/>
            <w:noWrap w:val="0"/>
            <w:vAlign w:val="top"/>
          </w:tcPr>
          <w:p w14:paraId="08991FE4">
            <w:pPr>
              <w:rPr>
                <w:rFonts w:ascii="宋体" w:hAnsi="宋体"/>
                <w:color w:val="auto"/>
                <w:sz w:val="24"/>
                <w:highlight w:val="none"/>
              </w:rPr>
            </w:pPr>
          </w:p>
        </w:tc>
        <w:tc>
          <w:tcPr>
            <w:tcW w:w="1080" w:type="dxa"/>
            <w:noWrap w:val="0"/>
            <w:vAlign w:val="top"/>
          </w:tcPr>
          <w:p w14:paraId="3F9006ED">
            <w:pPr>
              <w:rPr>
                <w:rFonts w:ascii="宋体" w:hAnsi="宋体"/>
                <w:color w:val="auto"/>
                <w:sz w:val="24"/>
                <w:highlight w:val="none"/>
              </w:rPr>
            </w:pPr>
          </w:p>
        </w:tc>
        <w:tc>
          <w:tcPr>
            <w:tcW w:w="1286" w:type="dxa"/>
            <w:noWrap w:val="0"/>
            <w:vAlign w:val="top"/>
          </w:tcPr>
          <w:p w14:paraId="6870CB59">
            <w:pPr>
              <w:rPr>
                <w:rFonts w:ascii="宋体" w:hAnsi="宋体"/>
                <w:color w:val="auto"/>
                <w:sz w:val="24"/>
                <w:highlight w:val="none"/>
              </w:rPr>
            </w:pPr>
          </w:p>
        </w:tc>
        <w:tc>
          <w:tcPr>
            <w:tcW w:w="1328" w:type="dxa"/>
            <w:noWrap w:val="0"/>
            <w:vAlign w:val="top"/>
          </w:tcPr>
          <w:p w14:paraId="3DCCF6BE">
            <w:pPr>
              <w:rPr>
                <w:rFonts w:ascii="宋体" w:hAnsi="宋体"/>
                <w:color w:val="auto"/>
                <w:sz w:val="24"/>
                <w:highlight w:val="none"/>
              </w:rPr>
            </w:pPr>
          </w:p>
        </w:tc>
        <w:tc>
          <w:tcPr>
            <w:tcW w:w="1069" w:type="dxa"/>
            <w:noWrap w:val="0"/>
            <w:vAlign w:val="top"/>
          </w:tcPr>
          <w:p w14:paraId="68B629AA">
            <w:pPr>
              <w:rPr>
                <w:rFonts w:ascii="宋体" w:hAnsi="宋体"/>
                <w:color w:val="auto"/>
                <w:sz w:val="24"/>
                <w:highlight w:val="none"/>
              </w:rPr>
            </w:pPr>
          </w:p>
        </w:tc>
      </w:tr>
    </w:tbl>
    <w:p w14:paraId="176420CD">
      <w:pPr>
        <w:adjustRightInd w:val="0"/>
        <w:jc w:val="center"/>
        <w:rPr>
          <w:rFonts w:ascii="宋体" w:hAnsi="宋体"/>
          <w:b/>
          <w:color w:val="auto"/>
          <w:sz w:val="28"/>
          <w:szCs w:val="28"/>
          <w:highlight w:val="none"/>
        </w:rPr>
      </w:pPr>
      <w:bookmarkStart w:id="120" w:name="_Toc249761919"/>
      <w:bookmarkStart w:id="121" w:name="_Toc442173551"/>
    </w:p>
    <w:p w14:paraId="44B5EC04">
      <w:pPr>
        <w:rPr>
          <w:rFonts w:ascii="宋体" w:hAnsi="宋体"/>
          <w:b/>
          <w:color w:val="auto"/>
          <w:sz w:val="28"/>
          <w:szCs w:val="28"/>
          <w:highlight w:val="none"/>
        </w:rPr>
      </w:pPr>
      <w:r>
        <w:rPr>
          <w:rFonts w:ascii="宋体" w:hAnsi="宋体"/>
          <w:b/>
          <w:color w:val="auto"/>
          <w:sz w:val="28"/>
          <w:szCs w:val="28"/>
          <w:highlight w:val="none"/>
        </w:rPr>
        <w:br w:type="page"/>
      </w:r>
    </w:p>
    <w:p w14:paraId="6B34E03B">
      <w:pPr>
        <w:spacing w:line="360" w:lineRule="auto"/>
        <w:contextualSpacing/>
        <w:jc w:val="center"/>
        <w:rPr>
          <w:rFonts w:ascii="宋体" w:hAnsi="宋体"/>
          <w:color w:val="auto"/>
          <w:sz w:val="24"/>
          <w:highlight w:val="none"/>
        </w:rPr>
      </w:pPr>
      <w:r>
        <w:rPr>
          <w:rFonts w:hint="eastAsia" w:ascii="宋体" w:hAnsi="宋体"/>
          <w:color w:val="auto"/>
          <w:sz w:val="24"/>
          <w:highlight w:val="none"/>
        </w:rPr>
        <w:t>（二）主要人员简历表</w:t>
      </w:r>
      <w:bookmarkEnd w:id="120"/>
      <w:bookmarkEnd w:id="121"/>
    </w:p>
    <w:p w14:paraId="37BCE11F">
      <w:pPr>
        <w:spacing w:line="360" w:lineRule="auto"/>
        <w:contextualSpacing/>
        <w:jc w:val="center"/>
        <w:rPr>
          <w:rFonts w:ascii="宋体" w:hAnsi="宋体"/>
          <w:b/>
          <w:color w:val="auto"/>
          <w:sz w:val="24"/>
          <w:highlight w:val="none"/>
        </w:rPr>
      </w:pPr>
    </w:p>
    <w:p w14:paraId="015A8C2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拟派项目经理和其他人员附身份证、职称证、学历证，资格证书（如有）复印件，</w:t>
      </w:r>
      <w:r>
        <w:rPr>
          <w:rFonts w:hint="eastAsia" w:ascii="宋体" w:hAnsi="宋体"/>
          <w:color w:val="auto"/>
          <w:szCs w:val="21"/>
          <w:highlight w:val="none"/>
          <w:lang w:val="en-US" w:eastAsia="zh-CN"/>
        </w:rPr>
        <w:t>项目经理业绩以投标人所提供的合同扫描件(或复印件)并加盖投标人公章为准，合同上应体现投标人拟派项目负责人的相关信息(包括但不限于姓名等相关内容)，时间以合同签订时间为依据。</w:t>
      </w:r>
    </w:p>
    <w:p w14:paraId="3EA899A7">
      <w:pPr>
        <w:spacing w:line="360" w:lineRule="auto"/>
        <w:ind w:firstLine="360" w:firstLineChars="150"/>
        <w:contextualSpacing/>
        <w:rPr>
          <w:rFonts w:ascii="宋体" w:hAnsi="宋体"/>
          <w:color w:val="auto"/>
          <w:sz w:val="24"/>
          <w:highlight w:val="none"/>
        </w:rPr>
      </w:pPr>
    </w:p>
    <w:tbl>
      <w:tblPr>
        <w:tblStyle w:val="14"/>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14:paraId="126F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15" w:type="dxa"/>
            <w:gridSpan w:val="2"/>
            <w:noWrap w:val="0"/>
            <w:vAlign w:val="center"/>
          </w:tcPr>
          <w:p w14:paraId="36449E9F">
            <w:pPr>
              <w:jc w:val="center"/>
              <w:rPr>
                <w:rFonts w:ascii="宋体" w:hAnsi="宋体"/>
                <w:color w:val="auto"/>
                <w:szCs w:val="21"/>
                <w:highlight w:val="none"/>
              </w:rPr>
            </w:pPr>
            <w:r>
              <w:rPr>
                <w:rFonts w:hint="eastAsia" w:ascii="宋体" w:hAnsi="宋体"/>
                <w:color w:val="auto"/>
                <w:szCs w:val="21"/>
                <w:highlight w:val="none"/>
              </w:rPr>
              <w:t>姓名</w:t>
            </w:r>
          </w:p>
        </w:tc>
        <w:tc>
          <w:tcPr>
            <w:tcW w:w="1625" w:type="dxa"/>
            <w:noWrap w:val="0"/>
            <w:vAlign w:val="center"/>
          </w:tcPr>
          <w:p w14:paraId="3D5358FA">
            <w:pPr>
              <w:jc w:val="center"/>
              <w:rPr>
                <w:rFonts w:ascii="宋体" w:hAnsi="宋体"/>
                <w:color w:val="auto"/>
                <w:szCs w:val="21"/>
                <w:highlight w:val="none"/>
              </w:rPr>
            </w:pPr>
          </w:p>
        </w:tc>
        <w:tc>
          <w:tcPr>
            <w:tcW w:w="1080" w:type="dxa"/>
            <w:noWrap w:val="0"/>
            <w:vAlign w:val="center"/>
          </w:tcPr>
          <w:p w14:paraId="42433400">
            <w:pPr>
              <w:jc w:val="center"/>
              <w:rPr>
                <w:rFonts w:ascii="宋体" w:hAnsi="宋体"/>
                <w:color w:val="auto"/>
                <w:szCs w:val="21"/>
                <w:highlight w:val="none"/>
              </w:rPr>
            </w:pPr>
            <w:r>
              <w:rPr>
                <w:rFonts w:hint="eastAsia" w:ascii="宋体" w:hAnsi="宋体"/>
                <w:color w:val="auto"/>
                <w:szCs w:val="21"/>
                <w:highlight w:val="none"/>
              </w:rPr>
              <w:t>年龄</w:t>
            </w:r>
          </w:p>
        </w:tc>
        <w:tc>
          <w:tcPr>
            <w:tcW w:w="1440" w:type="dxa"/>
            <w:gridSpan w:val="2"/>
            <w:noWrap w:val="0"/>
            <w:vAlign w:val="center"/>
          </w:tcPr>
          <w:p w14:paraId="7F039B17">
            <w:pPr>
              <w:jc w:val="center"/>
              <w:rPr>
                <w:rFonts w:ascii="宋体" w:hAnsi="宋体"/>
                <w:color w:val="auto"/>
                <w:szCs w:val="21"/>
                <w:highlight w:val="none"/>
              </w:rPr>
            </w:pPr>
          </w:p>
        </w:tc>
        <w:tc>
          <w:tcPr>
            <w:tcW w:w="1980" w:type="dxa"/>
            <w:gridSpan w:val="2"/>
            <w:noWrap w:val="0"/>
            <w:vAlign w:val="center"/>
          </w:tcPr>
          <w:p w14:paraId="7262ABC6">
            <w:pPr>
              <w:jc w:val="center"/>
              <w:rPr>
                <w:rFonts w:ascii="宋体" w:hAnsi="宋体"/>
                <w:color w:val="auto"/>
                <w:szCs w:val="21"/>
                <w:highlight w:val="none"/>
              </w:rPr>
            </w:pPr>
            <w:r>
              <w:rPr>
                <w:rFonts w:hint="eastAsia" w:ascii="宋体" w:hAnsi="宋体"/>
                <w:color w:val="auto"/>
                <w:szCs w:val="21"/>
                <w:highlight w:val="none"/>
              </w:rPr>
              <w:t>学历</w:t>
            </w:r>
          </w:p>
        </w:tc>
        <w:tc>
          <w:tcPr>
            <w:tcW w:w="1789" w:type="dxa"/>
            <w:noWrap w:val="0"/>
            <w:vAlign w:val="center"/>
          </w:tcPr>
          <w:p w14:paraId="60D082EE">
            <w:pPr>
              <w:jc w:val="center"/>
              <w:rPr>
                <w:rFonts w:ascii="宋体" w:hAnsi="宋体"/>
                <w:color w:val="auto"/>
                <w:szCs w:val="21"/>
                <w:highlight w:val="none"/>
              </w:rPr>
            </w:pPr>
          </w:p>
        </w:tc>
      </w:tr>
      <w:tr w14:paraId="0460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15" w:type="dxa"/>
            <w:gridSpan w:val="2"/>
            <w:noWrap w:val="0"/>
            <w:vAlign w:val="center"/>
          </w:tcPr>
          <w:p w14:paraId="40037070">
            <w:pPr>
              <w:jc w:val="center"/>
              <w:rPr>
                <w:rFonts w:ascii="宋体" w:hAnsi="宋体"/>
                <w:color w:val="auto"/>
                <w:szCs w:val="21"/>
                <w:highlight w:val="none"/>
              </w:rPr>
            </w:pPr>
            <w:r>
              <w:rPr>
                <w:rFonts w:hint="eastAsia" w:ascii="宋体" w:hAnsi="宋体"/>
                <w:color w:val="auto"/>
                <w:szCs w:val="21"/>
                <w:highlight w:val="none"/>
              </w:rPr>
              <w:t>职称</w:t>
            </w:r>
          </w:p>
        </w:tc>
        <w:tc>
          <w:tcPr>
            <w:tcW w:w="1625" w:type="dxa"/>
            <w:noWrap w:val="0"/>
            <w:vAlign w:val="center"/>
          </w:tcPr>
          <w:p w14:paraId="7C5CADA9">
            <w:pPr>
              <w:jc w:val="center"/>
              <w:rPr>
                <w:rFonts w:ascii="宋体" w:hAnsi="宋体"/>
                <w:color w:val="auto"/>
                <w:szCs w:val="21"/>
                <w:highlight w:val="none"/>
              </w:rPr>
            </w:pPr>
          </w:p>
        </w:tc>
        <w:tc>
          <w:tcPr>
            <w:tcW w:w="1080" w:type="dxa"/>
            <w:noWrap w:val="0"/>
            <w:vAlign w:val="center"/>
          </w:tcPr>
          <w:p w14:paraId="225C65C3">
            <w:pPr>
              <w:jc w:val="center"/>
              <w:rPr>
                <w:rFonts w:ascii="宋体" w:hAnsi="宋体"/>
                <w:color w:val="auto"/>
                <w:szCs w:val="21"/>
                <w:highlight w:val="none"/>
              </w:rPr>
            </w:pPr>
            <w:r>
              <w:rPr>
                <w:rFonts w:hint="eastAsia" w:ascii="宋体" w:hAnsi="宋体"/>
                <w:color w:val="auto"/>
                <w:szCs w:val="21"/>
                <w:highlight w:val="none"/>
              </w:rPr>
              <w:t>职务</w:t>
            </w:r>
          </w:p>
        </w:tc>
        <w:tc>
          <w:tcPr>
            <w:tcW w:w="1440" w:type="dxa"/>
            <w:gridSpan w:val="2"/>
            <w:noWrap w:val="0"/>
            <w:vAlign w:val="center"/>
          </w:tcPr>
          <w:p w14:paraId="7E330954">
            <w:pPr>
              <w:jc w:val="center"/>
              <w:rPr>
                <w:rFonts w:ascii="宋体" w:hAnsi="宋体"/>
                <w:color w:val="auto"/>
                <w:szCs w:val="21"/>
                <w:highlight w:val="none"/>
              </w:rPr>
            </w:pPr>
          </w:p>
        </w:tc>
        <w:tc>
          <w:tcPr>
            <w:tcW w:w="1980" w:type="dxa"/>
            <w:gridSpan w:val="2"/>
            <w:noWrap w:val="0"/>
            <w:vAlign w:val="center"/>
          </w:tcPr>
          <w:p w14:paraId="0EBFA56C">
            <w:pPr>
              <w:jc w:val="center"/>
              <w:rPr>
                <w:rFonts w:ascii="宋体" w:hAnsi="宋体"/>
                <w:color w:val="auto"/>
                <w:szCs w:val="21"/>
                <w:highlight w:val="none"/>
              </w:rPr>
            </w:pPr>
            <w:r>
              <w:rPr>
                <w:rFonts w:hint="eastAsia" w:ascii="宋体" w:hAnsi="宋体"/>
                <w:color w:val="auto"/>
                <w:szCs w:val="21"/>
                <w:highlight w:val="none"/>
              </w:rPr>
              <w:t>拟在本合同任职</w:t>
            </w:r>
          </w:p>
        </w:tc>
        <w:tc>
          <w:tcPr>
            <w:tcW w:w="1789" w:type="dxa"/>
            <w:noWrap w:val="0"/>
            <w:vAlign w:val="center"/>
          </w:tcPr>
          <w:p w14:paraId="7C9D17EC">
            <w:pPr>
              <w:jc w:val="center"/>
              <w:rPr>
                <w:rFonts w:ascii="宋体" w:hAnsi="宋体"/>
                <w:color w:val="auto"/>
                <w:szCs w:val="21"/>
                <w:highlight w:val="none"/>
              </w:rPr>
            </w:pPr>
          </w:p>
        </w:tc>
      </w:tr>
      <w:tr w14:paraId="2DF5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5" w:type="dxa"/>
            <w:gridSpan w:val="2"/>
            <w:noWrap w:val="0"/>
            <w:vAlign w:val="center"/>
          </w:tcPr>
          <w:p w14:paraId="0C7FD660">
            <w:pPr>
              <w:contextualSpacing/>
              <w:jc w:val="center"/>
              <w:rPr>
                <w:rFonts w:ascii="宋体" w:hAnsi="宋体"/>
                <w:color w:val="auto"/>
                <w:szCs w:val="21"/>
                <w:highlight w:val="none"/>
              </w:rPr>
            </w:pPr>
            <w:r>
              <w:rPr>
                <w:rFonts w:hint="eastAsia" w:ascii="宋体" w:hAnsi="宋体"/>
                <w:color w:val="auto"/>
                <w:szCs w:val="21"/>
                <w:highlight w:val="none"/>
              </w:rPr>
              <w:t>毕业学校</w:t>
            </w:r>
          </w:p>
        </w:tc>
        <w:tc>
          <w:tcPr>
            <w:tcW w:w="7914" w:type="dxa"/>
            <w:gridSpan w:val="7"/>
            <w:noWrap w:val="0"/>
            <w:vAlign w:val="center"/>
          </w:tcPr>
          <w:p w14:paraId="30646B23">
            <w:pPr>
              <w:contextualSpacing/>
              <w:jc w:val="center"/>
              <w:rPr>
                <w:rFonts w:ascii="宋体" w:hAnsi="宋体"/>
                <w:color w:val="auto"/>
                <w:szCs w:val="21"/>
                <w:highlight w:val="none"/>
              </w:rPr>
            </w:pPr>
            <w:r>
              <w:rPr>
                <w:rFonts w:hint="eastAsia" w:ascii="宋体" w:hAnsi="宋体"/>
                <w:color w:val="auto"/>
                <w:szCs w:val="21"/>
                <w:highlight w:val="none"/>
              </w:rPr>
              <w:t>年毕业于学校专业</w:t>
            </w:r>
          </w:p>
        </w:tc>
      </w:tr>
      <w:tr w14:paraId="7BE5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29" w:type="dxa"/>
            <w:gridSpan w:val="9"/>
            <w:noWrap w:val="0"/>
            <w:vAlign w:val="center"/>
          </w:tcPr>
          <w:p w14:paraId="73DA0EBD">
            <w:pPr>
              <w:contextualSpacing/>
              <w:jc w:val="center"/>
              <w:rPr>
                <w:rFonts w:ascii="宋体" w:hAnsi="宋体"/>
                <w:color w:val="auto"/>
                <w:szCs w:val="21"/>
                <w:highlight w:val="none"/>
              </w:rPr>
            </w:pPr>
            <w:r>
              <w:rPr>
                <w:rFonts w:hint="eastAsia" w:ascii="宋体" w:hAnsi="宋体"/>
                <w:color w:val="auto"/>
                <w:szCs w:val="21"/>
                <w:highlight w:val="none"/>
              </w:rPr>
              <w:t>主要工作经历</w:t>
            </w:r>
          </w:p>
        </w:tc>
      </w:tr>
      <w:tr w14:paraId="13BB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noWrap w:val="0"/>
            <w:vAlign w:val="center"/>
          </w:tcPr>
          <w:p w14:paraId="3447E68A">
            <w:pPr>
              <w:contextualSpacing/>
              <w:jc w:val="center"/>
              <w:rPr>
                <w:rFonts w:ascii="宋体" w:hAnsi="宋体"/>
                <w:color w:val="auto"/>
                <w:szCs w:val="21"/>
                <w:highlight w:val="none"/>
              </w:rPr>
            </w:pPr>
            <w:r>
              <w:rPr>
                <w:rFonts w:hint="eastAsia" w:ascii="宋体" w:hAnsi="宋体"/>
                <w:color w:val="auto"/>
                <w:szCs w:val="21"/>
                <w:highlight w:val="none"/>
              </w:rPr>
              <w:t>时间</w:t>
            </w:r>
          </w:p>
        </w:tc>
        <w:tc>
          <w:tcPr>
            <w:tcW w:w="3960" w:type="dxa"/>
            <w:gridSpan w:val="4"/>
            <w:noWrap w:val="0"/>
            <w:vAlign w:val="center"/>
          </w:tcPr>
          <w:p w14:paraId="1912BDC4">
            <w:pPr>
              <w:contextualSpacing/>
              <w:jc w:val="center"/>
              <w:rPr>
                <w:rFonts w:ascii="宋体" w:hAnsi="宋体"/>
                <w:color w:val="auto"/>
                <w:szCs w:val="21"/>
                <w:highlight w:val="none"/>
              </w:rPr>
            </w:pPr>
            <w:r>
              <w:rPr>
                <w:rFonts w:hint="eastAsia" w:ascii="宋体" w:hAnsi="宋体"/>
                <w:color w:val="auto"/>
                <w:szCs w:val="21"/>
                <w:highlight w:val="none"/>
              </w:rPr>
              <w:t>参加过的类似项目</w:t>
            </w:r>
          </w:p>
        </w:tc>
        <w:tc>
          <w:tcPr>
            <w:tcW w:w="1792" w:type="dxa"/>
            <w:gridSpan w:val="2"/>
            <w:noWrap w:val="0"/>
            <w:vAlign w:val="center"/>
          </w:tcPr>
          <w:p w14:paraId="4DF87F49">
            <w:pPr>
              <w:contextualSpacing/>
              <w:jc w:val="center"/>
              <w:rPr>
                <w:rFonts w:ascii="宋体" w:hAnsi="宋体"/>
                <w:color w:val="auto"/>
                <w:szCs w:val="21"/>
                <w:highlight w:val="none"/>
              </w:rPr>
            </w:pPr>
            <w:r>
              <w:rPr>
                <w:rFonts w:hint="eastAsia" w:ascii="宋体" w:hAnsi="宋体"/>
                <w:color w:val="auto"/>
                <w:szCs w:val="21"/>
                <w:highlight w:val="none"/>
              </w:rPr>
              <w:t>担任职务</w:t>
            </w:r>
          </w:p>
        </w:tc>
        <w:tc>
          <w:tcPr>
            <w:tcW w:w="2517" w:type="dxa"/>
            <w:gridSpan w:val="2"/>
            <w:noWrap w:val="0"/>
            <w:vAlign w:val="center"/>
          </w:tcPr>
          <w:p w14:paraId="07C6040B">
            <w:pPr>
              <w:contextualSpacing/>
              <w:jc w:val="center"/>
              <w:rPr>
                <w:rFonts w:ascii="宋体" w:hAnsi="宋体"/>
                <w:color w:val="auto"/>
                <w:szCs w:val="21"/>
                <w:highlight w:val="none"/>
              </w:rPr>
            </w:pPr>
            <w:r>
              <w:rPr>
                <w:rFonts w:hint="eastAsia" w:ascii="宋体" w:hAnsi="宋体"/>
                <w:color w:val="auto"/>
                <w:szCs w:val="21"/>
                <w:highlight w:val="none"/>
              </w:rPr>
              <w:t>发包人及联系电话</w:t>
            </w:r>
          </w:p>
        </w:tc>
      </w:tr>
      <w:tr w14:paraId="4A39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noWrap w:val="0"/>
            <w:vAlign w:val="center"/>
          </w:tcPr>
          <w:p w14:paraId="39C68D84">
            <w:pPr>
              <w:contextualSpacing/>
              <w:jc w:val="center"/>
              <w:rPr>
                <w:rFonts w:ascii="宋体" w:hAnsi="宋体"/>
                <w:color w:val="auto"/>
                <w:szCs w:val="21"/>
                <w:highlight w:val="none"/>
              </w:rPr>
            </w:pPr>
          </w:p>
        </w:tc>
        <w:tc>
          <w:tcPr>
            <w:tcW w:w="3960" w:type="dxa"/>
            <w:gridSpan w:val="4"/>
            <w:noWrap w:val="0"/>
            <w:vAlign w:val="center"/>
          </w:tcPr>
          <w:p w14:paraId="070D75B5">
            <w:pPr>
              <w:contextualSpacing/>
              <w:jc w:val="center"/>
              <w:rPr>
                <w:rFonts w:ascii="宋体" w:hAnsi="宋体"/>
                <w:color w:val="auto"/>
                <w:szCs w:val="21"/>
                <w:highlight w:val="none"/>
              </w:rPr>
            </w:pPr>
          </w:p>
        </w:tc>
        <w:tc>
          <w:tcPr>
            <w:tcW w:w="1792" w:type="dxa"/>
            <w:gridSpan w:val="2"/>
            <w:noWrap w:val="0"/>
            <w:vAlign w:val="center"/>
          </w:tcPr>
          <w:p w14:paraId="7E3B327D">
            <w:pPr>
              <w:contextualSpacing/>
              <w:jc w:val="center"/>
              <w:rPr>
                <w:rFonts w:ascii="宋体" w:hAnsi="宋体"/>
                <w:color w:val="auto"/>
                <w:szCs w:val="21"/>
                <w:highlight w:val="none"/>
              </w:rPr>
            </w:pPr>
          </w:p>
        </w:tc>
        <w:tc>
          <w:tcPr>
            <w:tcW w:w="2517" w:type="dxa"/>
            <w:gridSpan w:val="2"/>
            <w:noWrap w:val="0"/>
            <w:vAlign w:val="center"/>
          </w:tcPr>
          <w:p w14:paraId="36B7F9FE">
            <w:pPr>
              <w:contextualSpacing/>
              <w:jc w:val="center"/>
              <w:rPr>
                <w:rFonts w:ascii="宋体" w:hAnsi="宋体"/>
                <w:color w:val="auto"/>
                <w:szCs w:val="21"/>
                <w:highlight w:val="none"/>
              </w:rPr>
            </w:pPr>
          </w:p>
        </w:tc>
      </w:tr>
      <w:tr w14:paraId="0409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260" w:type="dxa"/>
            <w:noWrap w:val="0"/>
            <w:vAlign w:val="center"/>
          </w:tcPr>
          <w:p w14:paraId="7E101695">
            <w:pPr>
              <w:contextualSpacing/>
              <w:jc w:val="center"/>
              <w:rPr>
                <w:rFonts w:ascii="宋体" w:hAnsi="宋体"/>
                <w:color w:val="auto"/>
                <w:szCs w:val="21"/>
                <w:highlight w:val="none"/>
              </w:rPr>
            </w:pPr>
          </w:p>
        </w:tc>
        <w:tc>
          <w:tcPr>
            <w:tcW w:w="3960" w:type="dxa"/>
            <w:gridSpan w:val="4"/>
            <w:noWrap w:val="0"/>
            <w:vAlign w:val="center"/>
          </w:tcPr>
          <w:p w14:paraId="3780E3B9">
            <w:pPr>
              <w:contextualSpacing/>
              <w:jc w:val="center"/>
              <w:rPr>
                <w:rFonts w:ascii="宋体" w:hAnsi="宋体"/>
                <w:color w:val="auto"/>
                <w:szCs w:val="21"/>
                <w:highlight w:val="none"/>
              </w:rPr>
            </w:pPr>
          </w:p>
        </w:tc>
        <w:tc>
          <w:tcPr>
            <w:tcW w:w="1792" w:type="dxa"/>
            <w:gridSpan w:val="2"/>
            <w:noWrap w:val="0"/>
            <w:vAlign w:val="center"/>
          </w:tcPr>
          <w:p w14:paraId="74DC2219">
            <w:pPr>
              <w:contextualSpacing/>
              <w:jc w:val="center"/>
              <w:rPr>
                <w:rFonts w:ascii="宋体" w:hAnsi="宋体"/>
                <w:color w:val="auto"/>
                <w:szCs w:val="21"/>
                <w:highlight w:val="none"/>
              </w:rPr>
            </w:pPr>
          </w:p>
        </w:tc>
        <w:tc>
          <w:tcPr>
            <w:tcW w:w="2517" w:type="dxa"/>
            <w:gridSpan w:val="2"/>
            <w:noWrap w:val="0"/>
            <w:vAlign w:val="center"/>
          </w:tcPr>
          <w:p w14:paraId="1867A4C6">
            <w:pPr>
              <w:contextualSpacing/>
              <w:jc w:val="center"/>
              <w:rPr>
                <w:rFonts w:ascii="宋体" w:hAnsi="宋体"/>
                <w:color w:val="auto"/>
                <w:szCs w:val="21"/>
                <w:highlight w:val="none"/>
              </w:rPr>
            </w:pPr>
          </w:p>
        </w:tc>
      </w:tr>
      <w:tr w14:paraId="10AE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0" w:type="dxa"/>
            <w:noWrap w:val="0"/>
            <w:vAlign w:val="center"/>
          </w:tcPr>
          <w:p w14:paraId="5C1A968B">
            <w:pPr>
              <w:contextualSpacing/>
              <w:jc w:val="center"/>
              <w:rPr>
                <w:rFonts w:ascii="宋体" w:hAnsi="宋体"/>
                <w:color w:val="auto"/>
                <w:szCs w:val="21"/>
                <w:highlight w:val="none"/>
              </w:rPr>
            </w:pPr>
          </w:p>
        </w:tc>
        <w:tc>
          <w:tcPr>
            <w:tcW w:w="3960" w:type="dxa"/>
            <w:gridSpan w:val="4"/>
            <w:noWrap w:val="0"/>
            <w:vAlign w:val="center"/>
          </w:tcPr>
          <w:p w14:paraId="31031D63">
            <w:pPr>
              <w:contextualSpacing/>
              <w:jc w:val="center"/>
              <w:rPr>
                <w:rFonts w:ascii="宋体" w:hAnsi="宋体"/>
                <w:color w:val="auto"/>
                <w:szCs w:val="21"/>
                <w:highlight w:val="none"/>
              </w:rPr>
            </w:pPr>
          </w:p>
        </w:tc>
        <w:tc>
          <w:tcPr>
            <w:tcW w:w="1792" w:type="dxa"/>
            <w:gridSpan w:val="2"/>
            <w:noWrap w:val="0"/>
            <w:vAlign w:val="center"/>
          </w:tcPr>
          <w:p w14:paraId="3680A664">
            <w:pPr>
              <w:contextualSpacing/>
              <w:jc w:val="center"/>
              <w:rPr>
                <w:rFonts w:ascii="宋体" w:hAnsi="宋体"/>
                <w:color w:val="auto"/>
                <w:szCs w:val="21"/>
                <w:highlight w:val="none"/>
              </w:rPr>
            </w:pPr>
          </w:p>
        </w:tc>
        <w:tc>
          <w:tcPr>
            <w:tcW w:w="2517" w:type="dxa"/>
            <w:gridSpan w:val="2"/>
            <w:noWrap w:val="0"/>
            <w:vAlign w:val="center"/>
          </w:tcPr>
          <w:p w14:paraId="1D9AEDFB">
            <w:pPr>
              <w:contextualSpacing/>
              <w:jc w:val="center"/>
              <w:rPr>
                <w:rFonts w:ascii="宋体" w:hAnsi="宋体"/>
                <w:color w:val="auto"/>
                <w:szCs w:val="21"/>
                <w:highlight w:val="none"/>
              </w:rPr>
            </w:pPr>
          </w:p>
        </w:tc>
      </w:tr>
      <w:tr w14:paraId="73F0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60" w:type="dxa"/>
            <w:noWrap w:val="0"/>
            <w:vAlign w:val="center"/>
          </w:tcPr>
          <w:p w14:paraId="6DFD354A">
            <w:pPr>
              <w:contextualSpacing/>
              <w:jc w:val="center"/>
              <w:rPr>
                <w:rFonts w:ascii="宋体" w:hAnsi="宋体"/>
                <w:color w:val="auto"/>
                <w:szCs w:val="21"/>
                <w:highlight w:val="none"/>
              </w:rPr>
            </w:pPr>
          </w:p>
        </w:tc>
        <w:tc>
          <w:tcPr>
            <w:tcW w:w="3960" w:type="dxa"/>
            <w:gridSpan w:val="4"/>
            <w:noWrap w:val="0"/>
            <w:vAlign w:val="center"/>
          </w:tcPr>
          <w:p w14:paraId="4296FE5B">
            <w:pPr>
              <w:contextualSpacing/>
              <w:jc w:val="center"/>
              <w:rPr>
                <w:rFonts w:ascii="宋体" w:hAnsi="宋体"/>
                <w:color w:val="auto"/>
                <w:szCs w:val="21"/>
                <w:highlight w:val="none"/>
              </w:rPr>
            </w:pPr>
          </w:p>
        </w:tc>
        <w:tc>
          <w:tcPr>
            <w:tcW w:w="1792" w:type="dxa"/>
            <w:gridSpan w:val="2"/>
            <w:noWrap w:val="0"/>
            <w:vAlign w:val="center"/>
          </w:tcPr>
          <w:p w14:paraId="4FE6CFF7">
            <w:pPr>
              <w:contextualSpacing/>
              <w:jc w:val="center"/>
              <w:rPr>
                <w:rFonts w:ascii="宋体" w:hAnsi="宋体"/>
                <w:color w:val="auto"/>
                <w:szCs w:val="21"/>
                <w:highlight w:val="none"/>
              </w:rPr>
            </w:pPr>
          </w:p>
        </w:tc>
        <w:tc>
          <w:tcPr>
            <w:tcW w:w="2517" w:type="dxa"/>
            <w:gridSpan w:val="2"/>
            <w:noWrap w:val="0"/>
            <w:vAlign w:val="center"/>
          </w:tcPr>
          <w:p w14:paraId="07EBF4DF">
            <w:pPr>
              <w:contextualSpacing/>
              <w:jc w:val="center"/>
              <w:rPr>
                <w:rFonts w:ascii="宋体" w:hAnsi="宋体"/>
                <w:color w:val="auto"/>
                <w:szCs w:val="21"/>
                <w:highlight w:val="none"/>
              </w:rPr>
            </w:pPr>
          </w:p>
        </w:tc>
      </w:tr>
      <w:tr w14:paraId="3374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noWrap w:val="0"/>
            <w:vAlign w:val="center"/>
          </w:tcPr>
          <w:p w14:paraId="327B88DC">
            <w:pPr>
              <w:contextualSpacing/>
              <w:jc w:val="center"/>
              <w:rPr>
                <w:rFonts w:ascii="宋体" w:hAnsi="宋体"/>
                <w:color w:val="auto"/>
                <w:szCs w:val="21"/>
                <w:highlight w:val="none"/>
              </w:rPr>
            </w:pPr>
          </w:p>
        </w:tc>
        <w:tc>
          <w:tcPr>
            <w:tcW w:w="3960" w:type="dxa"/>
            <w:gridSpan w:val="4"/>
            <w:noWrap w:val="0"/>
            <w:vAlign w:val="center"/>
          </w:tcPr>
          <w:p w14:paraId="1CFB2826">
            <w:pPr>
              <w:contextualSpacing/>
              <w:jc w:val="center"/>
              <w:rPr>
                <w:rFonts w:ascii="宋体" w:hAnsi="宋体"/>
                <w:color w:val="auto"/>
                <w:szCs w:val="21"/>
                <w:highlight w:val="none"/>
              </w:rPr>
            </w:pPr>
          </w:p>
        </w:tc>
        <w:tc>
          <w:tcPr>
            <w:tcW w:w="1792" w:type="dxa"/>
            <w:gridSpan w:val="2"/>
            <w:noWrap w:val="0"/>
            <w:vAlign w:val="center"/>
          </w:tcPr>
          <w:p w14:paraId="444DA6F5">
            <w:pPr>
              <w:contextualSpacing/>
              <w:jc w:val="center"/>
              <w:rPr>
                <w:rFonts w:ascii="宋体" w:hAnsi="宋体"/>
                <w:color w:val="auto"/>
                <w:szCs w:val="21"/>
                <w:highlight w:val="none"/>
              </w:rPr>
            </w:pPr>
          </w:p>
        </w:tc>
        <w:tc>
          <w:tcPr>
            <w:tcW w:w="2517" w:type="dxa"/>
            <w:gridSpan w:val="2"/>
            <w:noWrap w:val="0"/>
            <w:vAlign w:val="center"/>
          </w:tcPr>
          <w:p w14:paraId="6191EF20">
            <w:pPr>
              <w:contextualSpacing/>
              <w:jc w:val="center"/>
              <w:rPr>
                <w:rFonts w:ascii="宋体" w:hAnsi="宋体"/>
                <w:color w:val="auto"/>
                <w:szCs w:val="21"/>
                <w:highlight w:val="none"/>
              </w:rPr>
            </w:pPr>
          </w:p>
        </w:tc>
      </w:tr>
      <w:tr w14:paraId="67B1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60" w:type="dxa"/>
            <w:noWrap w:val="0"/>
            <w:vAlign w:val="center"/>
          </w:tcPr>
          <w:p w14:paraId="3A1EBDDC">
            <w:pPr>
              <w:contextualSpacing/>
              <w:jc w:val="center"/>
              <w:rPr>
                <w:rFonts w:ascii="宋体" w:hAnsi="宋体"/>
                <w:color w:val="auto"/>
                <w:szCs w:val="21"/>
                <w:highlight w:val="none"/>
              </w:rPr>
            </w:pPr>
          </w:p>
        </w:tc>
        <w:tc>
          <w:tcPr>
            <w:tcW w:w="3960" w:type="dxa"/>
            <w:gridSpan w:val="4"/>
            <w:noWrap w:val="0"/>
            <w:vAlign w:val="center"/>
          </w:tcPr>
          <w:p w14:paraId="47C2CC53">
            <w:pPr>
              <w:contextualSpacing/>
              <w:jc w:val="center"/>
              <w:rPr>
                <w:rFonts w:ascii="宋体" w:hAnsi="宋体"/>
                <w:color w:val="auto"/>
                <w:szCs w:val="21"/>
                <w:highlight w:val="none"/>
              </w:rPr>
            </w:pPr>
          </w:p>
        </w:tc>
        <w:tc>
          <w:tcPr>
            <w:tcW w:w="1792" w:type="dxa"/>
            <w:gridSpan w:val="2"/>
            <w:noWrap w:val="0"/>
            <w:vAlign w:val="center"/>
          </w:tcPr>
          <w:p w14:paraId="5609611D">
            <w:pPr>
              <w:contextualSpacing/>
              <w:jc w:val="center"/>
              <w:rPr>
                <w:rFonts w:ascii="宋体" w:hAnsi="宋体"/>
                <w:color w:val="auto"/>
                <w:szCs w:val="21"/>
                <w:highlight w:val="none"/>
              </w:rPr>
            </w:pPr>
          </w:p>
        </w:tc>
        <w:tc>
          <w:tcPr>
            <w:tcW w:w="2517" w:type="dxa"/>
            <w:gridSpan w:val="2"/>
            <w:noWrap w:val="0"/>
            <w:vAlign w:val="center"/>
          </w:tcPr>
          <w:p w14:paraId="5360440E">
            <w:pPr>
              <w:contextualSpacing/>
              <w:jc w:val="center"/>
              <w:rPr>
                <w:rFonts w:ascii="宋体" w:hAnsi="宋体"/>
                <w:color w:val="auto"/>
                <w:szCs w:val="21"/>
                <w:highlight w:val="none"/>
              </w:rPr>
            </w:pPr>
          </w:p>
        </w:tc>
      </w:tr>
      <w:tr w14:paraId="4EEB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noWrap w:val="0"/>
            <w:vAlign w:val="center"/>
          </w:tcPr>
          <w:p w14:paraId="562E8D55">
            <w:pPr>
              <w:contextualSpacing/>
              <w:jc w:val="center"/>
              <w:rPr>
                <w:rFonts w:ascii="宋体" w:hAnsi="宋体"/>
                <w:color w:val="auto"/>
                <w:szCs w:val="21"/>
                <w:highlight w:val="none"/>
              </w:rPr>
            </w:pPr>
          </w:p>
        </w:tc>
        <w:tc>
          <w:tcPr>
            <w:tcW w:w="3960" w:type="dxa"/>
            <w:gridSpan w:val="4"/>
            <w:noWrap w:val="0"/>
            <w:vAlign w:val="center"/>
          </w:tcPr>
          <w:p w14:paraId="376AD046">
            <w:pPr>
              <w:contextualSpacing/>
              <w:jc w:val="center"/>
              <w:rPr>
                <w:rFonts w:ascii="宋体" w:hAnsi="宋体"/>
                <w:color w:val="auto"/>
                <w:szCs w:val="21"/>
                <w:highlight w:val="none"/>
              </w:rPr>
            </w:pPr>
          </w:p>
        </w:tc>
        <w:tc>
          <w:tcPr>
            <w:tcW w:w="1792" w:type="dxa"/>
            <w:gridSpan w:val="2"/>
            <w:noWrap w:val="0"/>
            <w:vAlign w:val="center"/>
          </w:tcPr>
          <w:p w14:paraId="7B79ED56">
            <w:pPr>
              <w:contextualSpacing/>
              <w:jc w:val="center"/>
              <w:rPr>
                <w:rFonts w:ascii="宋体" w:hAnsi="宋体"/>
                <w:color w:val="auto"/>
                <w:szCs w:val="21"/>
                <w:highlight w:val="none"/>
              </w:rPr>
            </w:pPr>
          </w:p>
        </w:tc>
        <w:tc>
          <w:tcPr>
            <w:tcW w:w="2517" w:type="dxa"/>
            <w:gridSpan w:val="2"/>
            <w:noWrap w:val="0"/>
            <w:vAlign w:val="center"/>
          </w:tcPr>
          <w:p w14:paraId="36B5CD36">
            <w:pPr>
              <w:contextualSpacing/>
              <w:jc w:val="center"/>
              <w:rPr>
                <w:rFonts w:ascii="宋体" w:hAnsi="宋体"/>
                <w:color w:val="auto"/>
                <w:szCs w:val="21"/>
                <w:highlight w:val="none"/>
              </w:rPr>
            </w:pPr>
          </w:p>
        </w:tc>
      </w:tr>
      <w:tr w14:paraId="5F11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noWrap w:val="0"/>
            <w:vAlign w:val="center"/>
          </w:tcPr>
          <w:p w14:paraId="5829AB07">
            <w:pPr>
              <w:contextualSpacing/>
              <w:jc w:val="center"/>
              <w:rPr>
                <w:rFonts w:ascii="宋体" w:hAnsi="宋体"/>
                <w:color w:val="auto"/>
                <w:szCs w:val="21"/>
                <w:highlight w:val="none"/>
              </w:rPr>
            </w:pPr>
          </w:p>
        </w:tc>
        <w:tc>
          <w:tcPr>
            <w:tcW w:w="3960" w:type="dxa"/>
            <w:gridSpan w:val="4"/>
            <w:noWrap w:val="0"/>
            <w:vAlign w:val="center"/>
          </w:tcPr>
          <w:p w14:paraId="4E8F3D7A">
            <w:pPr>
              <w:contextualSpacing/>
              <w:jc w:val="center"/>
              <w:rPr>
                <w:rFonts w:ascii="宋体" w:hAnsi="宋体"/>
                <w:color w:val="auto"/>
                <w:szCs w:val="21"/>
                <w:highlight w:val="none"/>
              </w:rPr>
            </w:pPr>
          </w:p>
        </w:tc>
        <w:tc>
          <w:tcPr>
            <w:tcW w:w="1792" w:type="dxa"/>
            <w:gridSpan w:val="2"/>
            <w:noWrap w:val="0"/>
            <w:vAlign w:val="center"/>
          </w:tcPr>
          <w:p w14:paraId="41C24E05">
            <w:pPr>
              <w:contextualSpacing/>
              <w:jc w:val="center"/>
              <w:rPr>
                <w:rFonts w:ascii="宋体" w:hAnsi="宋体"/>
                <w:color w:val="auto"/>
                <w:szCs w:val="21"/>
                <w:highlight w:val="none"/>
              </w:rPr>
            </w:pPr>
          </w:p>
        </w:tc>
        <w:tc>
          <w:tcPr>
            <w:tcW w:w="2517" w:type="dxa"/>
            <w:gridSpan w:val="2"/>
            <w:noWrap w:val="0"/>
            <w:vAlign w:val="center"/>
          </w:tcPr>
          <w:p w14:paraId="331A095B">
            <w:pPr>
              <w:contextualSpacing/>
              <w:jc w:val="center"/>
              <w:rPr>
                <w:rFonts w:ascii="宋体" w:hAnsi="宋体"/>
                <w:color w:val="auto"/>
                <w:szCs w:val="21"/>
                <w:highlight w:val="none"/>
              </w:rPr>
            </w:pPr>
          </w:p>
        </w:tc>
      </w:tr>
      <w:tr w14:paraId="7D55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60" w:type="dxa"/>
            <w:noWrap w:val="0"/>
            <w:vAlign w:val="center"/>
          </w:tcPr>
          <w:p w14:paraId="24D9B5B3">
            <w:pPr>
              <w:contextualSpacing/>
              <w:jc w:val="center"/>
              <w:rPr>
                <w:rFonts w:ascii="宋体" w:hAnsi="宋体"/>
                <w:color w:val="auto"/>
                <w:szCs w:val="21"/>
                <w:highlight w:val="none"/>
              </w:rPr>
            </w:pPr>
          </w:p>
        </w:tc>
        <w:tc>
          <w:tcPr>
            <w:tcW w:w="3960" w:type="dxa"/>
            <w:gridSpan w:val="4"/>
            <w:noWrap w:val="0"/>
            <w:vAlign w:val="center"/>
          </w:tcPr>
          <w:p w14:paraId="7D319A82">
            <w:pPr>
              <w:contextualSpacing/>
              <w:jc w:val="center"/>
              <w:rPr>
                <w:rFonts w:ascii="宋体" w:hAnsi="宋体"/>
                <w:color w:val="auto"/>
                <w:szCs w:val="21"/>
                <w:highlight w:val="none"/>
              </w:rPr>
            </w:pPr>
          </w:p>
        </w:tc>
        <w:tc>
          <w:tcPr>
            <w:tcW w:w="1792" w:type="dxa"/>
            <w:gridSpan w:val="2"/>
            <w:noWrap w:val="0"/>
            <w:vAlign w:val="center"/>
          </w:tcPr>
          <w:p w14:paraId="13311677">
            <w:pPr>
              <w:contextualSpacing/>
              <w:jc w:val="center"/>
              <w:rPr>
                <w:rFonts w:ascii="宋体" w:hAnsi="宋体"/>
                <w:color w:val="auto"/>
                <w:szCs w:val="21"/>
                <w:highlight w:val="none"/>
              </w:rPr>
            </w:pPr>
          </w:p>
        </w:tc>
        <w:tc>
          <w:tcPr>
            <w:tcW w:w="2517" w:type="dxa"/>
            <w:gridSpan w:val="2"/>
            <w:noWrap w:val="0"/>
            <w:vAlign w:val="center"/>
          </w:tcPr>
          <w:p w14:paraId="5CCAD29C">
            <w:pPr>
              <w:contextualSpacing/>
              <w:jc w:val="center"/>
              <w:rPr>
                <w:rFonts w:ascii="宋体" w:hAnsi="宋体"/>
                <w:color w:val="auto"/>
                <w:szCs w:val="21"/>
                <w:highlight w:val="none"/>
              </w:rPr>
            </w:pPr>
          </w:p>
        </w:tc>
      </w:tr>
    </w:tbl>
    <w:p w14:paraId="2EAFBFB7">
      <w:pPr>
        <w:spacing w:line="360" w:lineRule="auto"/>
        <w:ind w:firstLine="420" w:firstLineChars="200"/>
        <w:rPr>
          <w:rFonts w:ascii="宋体" w:hAnsi="宋体"/>
          <w:color w:val="auto"/>
          <w:szCs w:val="21"/>
          <w:highlight w:val="none"/>
        </w:rPr>
      </w:pPr>
    </w:p>
    <w:p w14:paraId="2E0527F5">
      <w:pPr>
        <w:pStyle w:val="24"/>
        <w:rPr>
          <w:rFonts w:hint="eastAsia"/>
          <w:color w:val="auto"/>
          <w:highlight w:val="none"/>
        </w:rPr>
      </w:pPr>
    </w:p>
    <w:p w14:paraId="6875876A">
      <w:pPr>
        <w:pStyle w:val="24"/>
        <w:rPr>
          <w:rFonts w:hint="eastAsia"/>
          <w:color w:val="auto"/>
          <w:highlight w:val="none"/>
        </w:rPr>
      </w:pPr>
    </w:p>
    <w:p w14:paraId="75F65BE3">
      <w:pPr>
        <w:pStyle w:val="24"/>
        <w:rPr>
          <w:color w:val="auto"/>
          <w:highlight w:val="none"/>
        </w:rPr>
      </w:pPr>
    </w:p>
    <w:p w14:paraId="0C135617">
      <w:pPr>
        <w:rPr>
          <w:rFonts w:hint="eastAsia"/>
          <w:color w:val="auto"/>
          <w:highlight w:val="none"/>
        </w:rPr>
      </w:pPr>
    </w:p>
    <w:p w14:paraId="34DD9A75">
      <w:pPr>
        <w:spacing w:line="360" w:lineRule="auto"/>
        <w:contextualSpacing/>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项目经理无在建承诺书</w:t>
      </w:r>
    </w:p>
    <w:p w14:paraId="3B825B86">
      <w:pPr>
        <w:spacing w:after="312" w:afterLines="100" w:line="440" w:lineRule="exact"/>
        <w:rPr>
          <w:rFonts w:hint="eastAsia"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名称）：</w:t>
      </w:r>
    </w:p>
    <w:p w14:paraId="74A007B6">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我方在此声明，我方拟派往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（项目名称）（以下简称“本工程”）的项目经理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（项目经理姓名）现阶段没有担任任何在施建设工程项目的项目经理。</w:t>
      </w:r>
    </w:p>
    <w:p w14:paraId="20F7ED74">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14:paraId="0484A8F6">
      <w:pPr>
        <w:spacing w:line="44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特此承诺</w:t>
      </w:r>
      <w:r>
        <w:rPr>
          <w:rFonts w:hint="eastAsia" w:ascii="宋体" w:hAnsi="宋体"/>
          <w:color w:val="auto"/>
          <w:sz w:val="24"/>
          <w:szCs w:val="24"/>
          <w:highlight w:val="none"/>
          <w:lang w:eastAsia="zh-CN"/>
        </w:rPr>
        <w:t>。</w:t>
      </w:r>
    </w:p>
    <w:p w14:paraId="578245D4">
      <w:pPr>
        <w:spacing w:line="440" w:lineRule="exact"/>
        <w:ind w:firstLine="480" w:firstLineChars="200"/>
        <w:rPr>
          <w:rFonts w:hint="eastAsia" w:ascii="宋体" w:hAnsi="宋体"/>
          <w:color w:val="auto"/>
          <w:sz w:val="24"/>
          <w:szCs w:val="24"/>
          <w:highlight w:val="none"/>
        </w:rPr>
      </w:pPr>
    </w:p>
    <w:p w14:paraId="682CEF1C">
      <w:pPr>
        <w:spacing w:line="440" w:lineRule="exact"/>
        <w:ind w:firstLine="480" w:firstLineChars="200"/>
        <w:rPr>
          <w:rFonts w:hint="eastAsia" w:ascii="宋体" w:hAnsi="宋体"/>
          <w:color w:val="auto"/>
          <w:sz w:val="24"/>
          <w:szCs w:val="24"/>
          <w:highlight w:val="none"/>
        </w:rPr>
      </w:pPr>
    </w:p>
    <w:p w14:paraId="74DF30E0">
      <w:pPr>
        <w:spacing w:line="440" w:lineRule="exact"/>
        <w:ind w:firstLine="480" w:firstLineChars="200"/>
        <w:rPr>
          <w:rFonts w:hint="eastAsia" w:ascii="宋体" w:hAnsi="宋体"/>
          <w:color w:val="auto"/>
          <w:sz w:val="24"/>
          <w:szCs w:val="24"/>
          <w:highlight w:val="none"/>
        </w:rPr>
      </w:pPr>
    </w:p>
    <w:p w14:paraId="4C1B82AD">
      <w:pPr>
        <w:spacing w:line="440" w:lineRule="exact"/>
        <w:ind w:firstLine="480" w:firstLineChars="200"/>
        <w:rPr>
          <w:rFonts w:hint="eastAsia" w:ascii="宋体" w:hAnsi="宋体"/>
          <w:color w:val="auto"/>
          <w:sz w:val="24"/>
          <w:szCs w:val="24"/>
          <w:highlight w:val="none"/>
        </w:rPr>
      </w:pPr>
    </w:p>
    <w:p w14:paraId="1BF6CD33">
      <w:pPr>
        <w:spacing w:line="440" w:lineRule="exact"/>
        <w:ind w:firstLine="480" w:firstLineChars="200"/>
        <w:rPr>
          <w:rFonts w:hint="eastAsia" w:ascii="宋体" w:hAnsi="宋体"/>
          <w:color w:val="auto"/>
          <w:sz w:val="24"/>
          <w:szCs w:val="24"/>
          <w:highlight w:val="none"/>
        </w:rPr>
      </w:pPr>
    </w:p>
    <w:p w14:paraId="59E4748B">
      <w:pPr>
        <w:spacing w:line="440" w:lineRule="exact"/>
        <w:ind w:firstLine="480" w:firstLineChars="200"/>
        <w:rPr>
          <w:rFonts w:hint="eastAsia" w:ascii="宋体" w:hAnsi="宋体"/>
          <w:color w:val="auto"/>
          <w:sz w:val="24"/>
          <w:szCs w:val="24"/>
          <w:highlight w:val="none"/>
        </w:rPr>
      </w:pPr>
    </w:p>
    <w:p w14:paraId="4D475282">
      <w:pPr>
        <w:spacing w:line="440" w:lineRule="exact"/>
        <w:jc w:val="right"/>
        <w:rPr>
          <w:rFonts w:hint="eastAsia" w:ascii="宋体" w:hAnsi="宋体"/>
          <w:color w:val="auto"/>
          <w:sz w:val="24"/>
          <w:szCs w:val="24"/>
          <w:highlight w:val="none"/>
        </w:rPr>
      </w:pPr>
      <w:r>
        <w:rPr>
          <w:rFonts w:hint="eastAsia" w:ascii="宋体" w:hAnsi="宋体"/>
          <w:color w:val="auto"/>
          <w:sz w:val="24"/>
          <w:szCs w:val="24"/>
          <w:highlight w:val="none"/>
          <w:lang w:val="en-US" w:eastAsia="zh-CN"/>
        </w:rPr>
        <w:t>投标人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05E35CF0">
      <w:pPr>
        <w:spacing w:line="440" w:lineRule="exact"/>
        <w:jc w:val="right"/>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6664B5FC">
      <w:pPr>
        <w:spacing w:line="440" w:lineRule="exact"/>
        <w:jc w:val="right"/>
        <w:rPr>
          <w:rFonts w:hint="eastAsia" w:ascii="宋体" w:hAnsi="宋体"/>
          <w:color w:val="auto"/>
          <w:sz w:val="24"/>
          <w:szCs w:val="24"/>
          <w:highlight w:val="none"/>
        </w:rPr>
      </w:pPr>
    </w:p>
    <w:p w14:paraId="2A317D10">
      <w:pPr>
        <w:spacing w:line="440" w:lineRule="exact"/>
        <w:jc w:val="right"/>
        <w:rPr>
          <w:rFonts w:hint="eastAsia"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p>
    <w:p w14:paraId="7336569E">
      <w:pPr>
        <w:spacing w:before="312" w:beforeLines="100" w:after="312" w:afterLines="100"/>
        <w:jc w:val="center"/>
        <w:rPr>
          <w:rFonts w:hint="eastAsia" w:ascii="宋体" w:hAnsi="宋体"/>
          <w:color w:val="auto"/>
          <w:sz w:val="24"/>
          <w:highlight w:val="none"/>
        </w:rPr>
      </w:pPr>
    </w:p>
    <w:p w14:paraId="3EFC1A1E">
      <w:pPr>
        <w:spacing w:line="360" w:lineRule="auto"/>
        <w:ind w:firstLine="640" w:firstLineChars="200"/>
        <w:jc w:val="center"/>
        <w:rPr>
          <w:rFonts w:hint="eastAsia" w:ascii="宋体" w:hAnsi="宋体"/>
          <w:b/>
          <w:color w:val="auto"/>
          <w:sz w:val="32"/>
          <w:highlight w:val="none"/>
        </w:rPr>
      </w:pPr>
    </w:p>
    <w:p w14:paraId="3699954F">
      <w:pPr>
        <w:spacing w:line="360" w:lineRule="auto"/>
        <w:ind w:firstLine="640" w:firstLineChars="200"/>
        <w:jc w:val="center"/>
        <w:rPr>
          <w:rFonts w:hint="eastAsia" w:ascii="宋体" w:hAnsi="宋体"/>
          <w:b/>
          <w:color w:val="auto"/>
          <w:sz w:val="32"/>
          <w:highlight w:val="none"/>
        </w:rPr>
      </w:pPr>
    </w:p>
    <w:p w14:paraId="3BE14A08">
      <w:pPr>
        <w:pStyle w:val="4"/>
        <w:tabs>
          <w:tab w:val="left" w:pos="0"/>
        </w:tabs>
        <w:ind w:left="0" w:firstLine="0"/>
        <w:jc w:val="center"/>
        <w:rPr>
          <w:rFonts w:hint="eastAsia" w:ascii="宋体" w:hAnsi="宋体"/>
          <w:b/>
          <w:color w:val="auto"/>
          <w:sz w:val="32"/>
          <w:highlight w:val="none"/>
        </w:rPr>
      </w:pPr>
      <w:r>
        <w:rPr>
          <w:rFonts w:ascii="宋体" w:hAnsi="宋体"/>
          <w:b/>
          <w:color w:val="auto"/>
          <w:sz w:val="32"/>
          <w:highlight w:val="none"/>
        </w:rPr>
        <w:br w:type="page"/>
      </w:r>
      <w:bookmarkStart w:id="122" w:name="_Toc99370030"/>
      <w:r>
        <w:rPr>
          <w:rFonts w:hint="eastAsia" w:ascii="宋体" w:hAnsi="宋体"/>
          <w:b/>
          <w:color w:val="auto"/>
          <w:sz w:val="32"/>
          <w:highlight w:val="none"/>
        </w:rPr>
        <w:t>二</w:t>
      </w:r>
      <w:r>
        <w:rPr>
          <w:rFonts w:ascii="宋体" w:hAnsi="宋体"/>
          <w:b/>
          <w:color w:val="auto"/>
          <w:sz w:val="32"/>
          <w:highlight w:val="none"/>
        </w:rPr>
        <w:t>、</w:t>
      </w:r>
      <w:r>
        <w:rPr>
          <w:rFonts w:hint="eastAsia" w:ascii="宋体" w:hAnsi="宋体"/>
          <w:b/>
          <w:color w:val="auto"/>
          <w:sz w:val="32"/>
          <w:highlight w:val="none"/>
        </w:rPr>
        <w:t>承包人业绩</w:t>
      </w:r>
      <w:bookmarkEnd w:id="122"/>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FA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2D257BF8">
            <w:pPr>
              <w:topLinePunct/>
              <w:spacing w:line="440" w:lineRule="exact"/>
              <w:jc w:val="center"/>
              <w:rPr>
                <w:color w:val="auto"/>
                <w:szCs w:val="21"/>
                <w:highlight w:val="none"/>
              </w:rPr>
            </w:pPr>
            <w:r>
              <w:rPr>
                <w:color w:val="auto"/>
                <w:szCs w:val="21"/>
                <w:highlight w:val="none"/>
              </w:rPr>
              <w:t>项目名称</w:t>
            </w:r>
          </w:p>
        </w:tc>
        <w:tc>
          <w:tcPr>
            <w:tcW w:w="6253" w:type="dxa"/>
            <w:noWrap w:val="0"/>
            <w:vAlign w:val="top"/>
          </w:tcPr>
          <w:p w14:paraId="4D071D85">
            <w:pPr>
              <w:topLinePunct/>
              <w:spacing w:line="440" w:lineRule="exact"/>
              <w:rPr>
                <w:color w:val="auto"/>
                <w:highlight w:val="none"/>
              </w:rPr>
            </w:pPr>
          </w:p>
        </w:tc>
      </w:tr>
      <w:tr w14:paraId="7DAE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679CE439">
            <w:pPr>
              <w:topLinePunct/>
              <w:spacing w:line="440" w:lineRule="exact"/>
              <w:jc w:val="center"/>
              <w:rPr>
                <w:color w:val="auto"/>
                <w:szCs w:val="21"/>
                <w:highlight w:val="none"/>
              </w:rPr>
            </w:pPr>
            <w:r>
              <w:rPr>
                <w:color w:val="auto"/>
                <w:szCs w:val="21"/>
                <w:highlight w:val="none"/>
              </w:rPr>
              <w:t>买方名称</w:t>
            </w:r>
          </w:p>
        </w:tc>
        <w:tc>
          <w:tcPr>
            <w:tcW w:w="6253" w:type="dxa"/>
            <w:noWrap w:val="0"/>
            <w:vAlign w:val="top"/>
          </w:tcPr>
          <w:p w14:paraId="7BB599C3">
            <w:pPr>
              <w:topLinePunct/>
              <w:spacing w:line="440" w:lineRule="exact"/>
              <w:rPr>
                <w:color w:val="auto"/>
                <w:highlight w:val="none"/>
              </w:rPr>
            </w:pPr>
          </w:p>
        </w:tc>
      </w:tr>
      <w:tr w14:paraId="32DF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2269" w:type="dxa"/>
            <w:noWrap w:val="0"/>
            <w:vAlign w:val="center"/>
          </w:tcPr>
          <w:p w14:paraId="48E5A618">
            <w:pPr>
              <w:topLinePunct/>
              <w:spacing w:line="440" w:lineRule="exact"/>
              <w:jc w:val="center"/>
              <w:rPr>
                <w:color w:val="auto"/>
                <w:szCs w:val="21"/>
                <w:highlight w:val="none"/>
              </w:rPr>
            </w:pPr>
            <w:r>
              <w:rPr>
                <w:color w:val="auto"/>
                <w:szCs w:val="21"/>
                <w:highlight w:val="none"/>
              </w:rPr>
              <w:t>买方联系人及电话</w:t>
            </w:r>
          </w:p>
        </w:tc>
        <w:tc>
          <w:tcPr>
            <w:tcW w:w="6253" w:type="dxa"/>
            <w:noWrap w:val="0"/>
            <w:vAlign w:val="top"/>
          </w:tcPr>
          <w:p w14:paraId="01474D6B">
            <w:pPr>
              <w:topLinePunct/>
              <w:spacing w:line="440" w:lineRule="exact"/>
              <w:rPr>
                <w:color w:val="auto"/>
                <w:highlight w:val="none"/>
              </w:rPr>
            </w:pPr>
          </w:p>
        </w:tc>
      </w:tr>
      <w:tr w14:paraId="33F5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4C37769E">
            <w:pPr>
              <w:topLinePunct/>
              <w:spacing w:line="440" w:lineRule="exact"/>
              <w:jc w:val="center"/>
              <w:rPr>
                <w:color w:val="auto"/>
                <w:szCs w:val="21"/>
                <w:highlight w:val="none"/>
              </w:rPr>
            </w:pPr>
            <w:r>
              <w:rPr>
                <w:color w:val="auto"/>
                <w:szCs w:val="21"/>
                <w:highlight w:val="none"/>
              </w:rPr>
              <w:t>合同价格</w:t>
            </w:r>
          </w:p>
        </w:tc>
        <w:tc>
          <w:tcPr>
            <w:tcW w:w="6253" w:type="dxa"/>
            <w:noWrap w:val="0"/>
            <w:vAlign w:val="top"/>
          </w:tcPr>
          <w:p w14:paraId="3425950B">
            <w:pPr>
              <w:topLinePunct/>
              <w:spacing w:line="440" w:lineRule="exact"/>
              <w:rPr>
                <w:color w:val="auto"/>
                <w:highlight w:val="none"/>
              </w:rPr>
            </w:pPr>
          </w:p>
        </w:tc>
      </w:tr>
      <w:tr w14:paraId="3FB2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4524F4DD">
            <w:pPr>
              <w:topLinePunct/>
              <w:spacing w:line="440" w:lineRule="exact"/>
              <w:jc w:val="center"/>
              <w:rPr>
                <w:color w:val="auto"/>
                <w:szCs w:val="21"/>
                <w:highlight w:val="none"/>
              </w:rPr>
            </w:pPr>
            <w:r>
              <w:rPr>
                <w:color w:val="auto"/>
                <w:szCs w:val="21"/>
                <w:highlight w:val="none"/>
              </w:rPr>
              <w:t>项目概况及</w:t>
            </w:r>
            <w:r>
              <w:rPr>
                <w:rFonts w:hint="eastAsia"/>
                <w:color w:val="auto"/>
                <w:szCs w:val="21"/>
                <w:highlight w:val="none"/>
                <w:lang w:val="en-US" w:eastAsia="zh-CN"/>
              </w:rPr>
              <w:t>投标人</w:t>
            </w:r>
            <w:r>
              <w:rPr>
                <w:color w:val="auto"/>
                <w:szCs w:val="21"/>
                <w:highlight w:val="none"/>
              </w:rPr>
              <w:t>履约情况</w:t>
            </w:r>
          </w:p>
        </w:tc>
        <w:tc>
          <w:tcPr>
            <w:tcW w:w="6253" w:type="dxa"/>
            <w:noWrap w:val="0"/>
            <w:vAlign w:val="top"/>
          </w:tcPr>
          <w:p w14:paraId="4D101FFE">
            <w:pPr>
              <w:topLinePunct/>
              <w:spacing w:line="440" w:lineRule="exact"/>
              <w:rPr>
                <w:color w:val="auto"/>
                <w:highlight w:val="none"/>
              </w:rPr>
            </w:pPr>
          </w:p>
          <w:p w14:paraId="24212C2C">
            <w:pPr>
              <w:topLinePunct/>
              <w:spacing w:line="440" w:lineRule="exact"/>
              <w:rPr>
                <w:color w:val="auto"/>
                <w:highlight w:val="none"/>
              </w:rPr>
            </w:pPr>
          </w:p>
          <w:p w14:paraId="63D49752">
            <w:pPr>
              <w:topLinePunct/>
              <w:spacing w:line="440" w:lineRule="exact"/>
              <w:rPr>
                <w:color w:val="auto"/>
                <w:highlight w:val="none"/>
              </w:rPr>
            </w:pPr>
          </w:p>
        </w:tc>
      </w:tr>
      <w:tr w14:paraId="5669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862B04B">
            <w:pPr>
              <w:topLinePunct/>
              <w:spacing w:line="440" w:lineRule="exact"/>
              <w:jc w:val="center"/>
              <w:rPr>
                <w:color w:val="auto"/>
                <w:szCs w:val="21"/>
                <w:highlight w:val="none"/>
              </w:rPr>
            </w:pPr>
            <w:r>
              <w:rPr>
                <w:color w:val="auto"/>
                <w:szCs w:val="21"/>
                <w:highlight w:val="none"/>
              </w:rPr>
              <w:t>备注</w:t>
            </w:r>
          </w:p>
        </w:tc>
        <w:tc>
          <w:tcPr>
            <w:tcW w:w="6253" w:type="dxa"/>
            <w:noWrap w:val="0"/>
            <w:vAlign w:val="top"/>
          </w:tcPr>
          <w:p w14:paraId="13399586">
            <w:pPr>
              <w:topLinePunct/>
              <w:spacing w:line="440" w:lineRule="exact"/>
              <w:rPr>
                <w:color w:val="auto"/>
                <w:highlight w:val="none"/>
              </w:rPr>
            </w:pPr>
          </w:p>
        </w:tc>
      </w:tr>
    </w:tbl>
    <w:p w14:paraId="0F75AE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840" w:right="840" w:firstLine="420"/>
        <w:jc w:val="left"/>
        <w:rPr>
          <w:color w:val="auto"/>
          <w:highlight w:val="none"/>
        </w:rPr>
      </w:pPr>
      <w:r>
        <w:rPr>
          <w:color w:val="auto"/>
          <w:highlight w:val="none"/>
        </w:rPr>
        <w:t>注：</w:t>
      </w:r>
      <w:r>
        <w:rPr>
          <w:rFonts w:hint="eastAsia"/>
          <w:color w:val="auto"/>
          <w:highlight w:val="none"/>
          <w:lang w:val="en-US" w:eastAsia="zh-CN"/>
        </w:rPr>
        <w:t>投标人</w:t>
      </w:r>
      <w:r>
        <w:rPr>
          <w:color w:val="auto"/>
          <w:highlight w:val="none"/>
        </w:rPr>
        <w:t>应根据</w:t>
      </w:r>
      <w:r>
        <w:rPr>
          <w:rFonts w:hint="eastAsia"/>
          <w:color w:val="auto"/>
          <w:highlight w:val="none"/>
        </w:rPr>
        <w:t>评审要求</w:t>
      </w:r>
      <w:r>
        <w:rPr>
          <w:color w:val="auto"/>
          <w:highlight w:val="none"/>
        </w:rPr>
        <w:t>后附相关证明材料。</w:t>
      </w:r>
    </w:p>
    <w:p w14:paraId="1FA9CE49">
      <w:pPr>
        <w:rPr>
          <w:color w:val="auto"/>
          <w:highlight w:val="none"/>
        </w:rPr>
      </w:pPr>
      <w:r>
        <w:rPr>
          <w:color w:val="auto"/>
          <w:highlight w:val="none"/>
        </w:rPr>
        <w:br w:type="page"/>
      </w:r>
    </w:p>
    <w:p w14:paraId="5850CB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840" w:right="840" w:firstLine="420"/>
        <w:jc w:val="center"/>
        <w:rPr>
          <w:rFonts w:hint="eastAsia" w:ascii="宋体" w:hAnsi="宋体" w:eastAsia="宋体" w:cs="Times New Roman"/>
          <w:b/>
          <w:color w:val="auto"/>
          <w:kern w:val="2"/>
          <w:sz w:val="32"/>
          <w:szCs w:val="24"/>
          <w:highlight w:val="none"/>
          <w:lang w:val="en-US" w:eastAsia="zh-CN" w:bidi="ar-SA"/>
        </w:rPr>
      </w:pPr>
      <w:r>
        <w:rPr>
          <w:rFonts w:hint="eastAsia" w:ascii="宋体" w:hAnsi="宋体" w:eastAsia="宋体" w:cs="Times New Roman"/>
          <w:b/>
          <w:color w:val="auto"/>
          <w:kern w:val="2"/>
          <w:sz w:val="32"/>
          <w:szCs w:val="24"/>
          <w:highlight w:val="none"/>
          <w:lang w:val="en-US" w:eastAsia="zh-CN" w:bidi="ar-SA"/>
        </w:rPr>
        <w:t>实施方案</w:t>
      </w:r>
    </w:p>
    <w:p w14:paraId="241FE3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840" w:right="840" w:firstLine="420"/>
        <w:jc w:val="left"/>
        <w:rPr>
          <w:rFonts w:hint="default"/>
          <w:color w:val="auto"/>
          <w:highlight w:val="none"/>
          <w:lang w:val="en-US" w:eastAsia="zh-CN"/>
        </w:rPr>
      </w:pPr>
    </w:p>
    <w:p w14:paraId="1CFBB824">
      <w:pPr>
        <w:topLinePunct/>
        <w:spacing w:line="440" w:lineRule="exact"/>
        <w:jc w:val="center"/>
        <w:rPr>
          <w:spacing w:val="-12"/>
          <w:sz w:val="20"/>
          <w:szCs w:val="20"/>
          <w:highlight w:val="none"/>
        </w:rPr>
      </w:pPr>
      <w:r>
        <w:rPr>
          <w:rFonts w:hint="eastAsia"/>
          <w:color w:val="auto"/>
          <w:szCs w:val="21"/>
          <w:highlight w:val="none"/>
          <w:lang w:val="en-US" w:eastAsia="zh-CN"/>
        </w:rPr>
        <w:t>按照评标办法响应，格式自拟</w:t>
      </w:r>
      <w:r>
        <w:rPr>
          <w:spacing w:val="-12"/>
          <w:sz w:val="20"/>
          <w:szCs w:val="20"/>
          <w:highlight w:val="none"/>
        </w:rPr>
        <w:br w:type="page"/>
      </w:r>
    </w:p>
    <w:p w14:paraId="26382F9C">
      <w:pPr>
        <w:pStyle w:val="5"/>
        <w:ind w:firstLine="0"/>
        <w:jc w:val="center"/>
        <w:rPr>
          <w:rFonts w:hint="eastAsia" w:ascii="Times New Roman" w:eastAsia="仿宋"/>
          <w:b/>
          <w:color w:val="auto"/>
          <w:sz w:val="30"/>
          <w:highlight w:val="none"/>
        </w:rPr>
      </w:pPr>
      <w:r>
        <w:rPr>
          <w:rFonts w:hint="eastAsia" w:ascii="Times New Roman" w:eastAsia="仿宋"/>
          <w:b/>
          <w:color w:val="auto"/>
          <w:sz w:val="30"/>
          <w:highlight w:val="none"/>
        </w:rPr>
        <w:t>资格证明文件</w:t>
      </w:r>
    </w:p>
    <w:p w14:paraId="4D25F678">
      <w:pPr>
        <w:pStyle w:val="6"/>
        <w:ind w:firstLine="0" w:firstLineChars="0"/>
        <w:jc w:val="center"/>
        <w:rPr>
          <w:rFonts w:ascii="Times New Roman" w:hAnsi="Times New Roman" w:eastAsia="仿宋"/>
          <w:color w:val="auto"/>
          <w:highlight w:val="none"/>
        </w:rPr>
      </w:pPr>
      <w:bookmarkStart w:id="123" w:name="_Toc142559899"/>
      <w:bookmarkStart w:id="124" w:name="_Toc5010"/>
      <w:bookmarkStart w:id="125" w:name="_Toc105505626"/>
      <w:bookmarkStart w:id="126" w:name="_Toc27885"/>
      <w:bookmarkStart w:id="127" w:name="_Toc114840461"/>
      <w:r>
        <w:rPr>
          <w:rFonts w:ascii="Times New Roman" w:hAnsi="Times New Roman" w:eastAsia="仿宋"/>
          <w:color w:val="auto"/>
          <w:highlight w:val="none"/>
        </w:rPr>
        <w:t>一、身份证明文件</w:t>
      </w:r>
      <w:bookmarkEnd w:id="123"/>
      <w:bookmarkEnd w:id="124"/>
      <w:bookmarkEnd w:id="125"/>
      <w:bookmarkEnd w:id="126"/>
      <w:bookmarkEnd w:id="127"/>
    </w:p>
    <w:p w14:paraId="08C7A785">
      <w:pPr>
        <w:jc w:val="center"/>
        <w:rPr>
          <w:rFonts w:eastAsia="仿宋_GB2312"/>
          <w:b/>
          <w:color w:val="auto"/>
          <w:sz w:val="28"/>
          <w:szCs w:val="28"/>
          <w:highlight w:val="none"/>
        </w:rPr>
      </w:pPr>
      <w:r>
        <w:rPr>
          <w:rFonts w:hint="eastAsia" w:eastAsia="仿宋_GB2312"/>
          <w:b/>
          <w:color w:val="auto"/>
          <w:sz w:val="28"/>
          <w:szCs w:val="28"/>
          <w:highlight w:val="none"/>
        </w:rPr>
        <w:t>1</w:t>
      </w:r>
      <w:r>
        <w:rPr>
          <w:rFonts w:eastAsia="仿宋_GB2312"/>
          <w:b/>
          <w:color w:val="auto"/>
          <w:sz w:val="28"/>
          <w:szCs w:val="28"/>
          <w:highlight w:val="none"/>
        </w:rPr>
        <w:t>、法定代表人（或单位负责人）身份证明</w:t>
      </w:r>
    </w:p>
    <w:p w14:paraId="35D19827">
      <w:pPr>
        <w:spacing w:line="360" w:lineRule="auto"/>
        <w:rPr>
          <w:color w:val="auto"/>
          <w:highlight w:val="none"/>
          <w:shd w:val="clear" w:color="auto" w:fill="FFFFFF"/>
        </w:rPr>
      </w:pPr>
    </w:p>
    <w:p w14:paraId="644FE0CB">
      <w:pPr>
        <w:spacing w:line="360" w:lineRule="auto"/>
        <w:rPr>
          <w:rFonts w:eastAsia="仿宋_GB2312"/>
          <w:color w:val="auto"/>
          <w:sz w:val="24"/>
          <w:highlight w:val="none"/>
        </w:rPr>
      </w:pPr>
      <w:r>
        <w:rPr>
          <w:rFonts w:eastAsia="仿宋_GB2312"/>
          <w:color w:val="auto"/>
          <w:sz w:val="24"/>
          <w:highlight w:val="none"/>
          <w:u w:val="single"/>
        </w:rPr>
        <w:t>（采购代理机构名称）</w:t>
      </w:r>
      <w:r>
        <w:rPr>
          <w:rFonts w:eastAsia="仿宋_GB2312"/>
          <w:color w:val="auto"/>
          <w:sz w:val="24"/>
          <w:highlight w:val="none"/>
        </w:rPr>
        <w:t>：</w:t>
      </w:r>
    </w:p>
    <w:p w14:paraId="010C9699">
      <w:pPr>
        <w:spacing w:line="360" w:lineRule="auto"/>
        <w:ind w:firstLine="600" w:firstLineChars="250"/>
        <w:rPr>
          <w:rFonts w:eastAsia="仿宋_GB2312"/>
          <w:color w:val="auto"/>
          <w:sz w:val="24"/>
          <w:highlight w:val="none"/>
        </w:rPr>
      </w:pPr>
      <w:r>
        <w:rPr>
          <w:rFonts w:eastAsia="仿宋_GB2312"/>
          <w:color w:val="auto"/>
          <w:sz w:val="24"/>
          <w:highlight w:val="none"/>
          <w:u w:val="single"/>
        </w:rPr>
        <w:t xml:space="preserve">        </w:t>
      </w:r>
      <w:r>
        <w:rPr>
          <w:rFonts w:eastAsia="仿宋_GB2312"/>
          <w:color w:val="auto"/>
          <w:sz w:val="24"/>
          <w:highlight w:val="none"/>
        </w:rPr>
        <w:t>（姓名、性别、年龄、身份证号码）在我</w:t>
      </w:r>
      <w:r>
        <w:rPr>
          <w:rFonts w:eastAsia="仿宋_GB2312"/>
          <w:color w:val="auto"/>
          <w:sz w:val="24"/>
          <w:highlight w:val="none"/>
        </w:rPr>
        <w:fldChar w:fldCharType="begin"/>
      </w:r>
      <w:r>
        <w:rPr>
          <w:rFonts w:eastAsia="仿宋_GB2312"/>
          <w:color w:val="auto"/>
          <w:sz w:val="24"/>
          <w:highlight w:val="none"/>
        </w:rPr>
        <w:instrText xml:space="preserve"> HYPERLINK "https://baike.baidu.com/item/%E5%8D%95%E4%BD%8D/32292" \t "_blank" </w:instrText>
      </w:r>
      <w:r>
        <w:rPr>
          <w:rFonts w:eastAsia="仿宋_GB2312"/>
          <w:color w:val="auto"/>
          <w:sz w:val="24"/>
          <w:highlight w:val="none"/>
        </w:rPr>
        <w:fldChar w:fldCharType="separate"/>
      </w:r>
      <w:r>
        <w:rPr>
          <w:rFonts w:eastAsia="仿宋_GB2312"/>
          <w:color w:val="auto"/>
          <w:sz w:val="24"/>
          <w:highlight w:val="none"/>
        </w:rPr>
        <w:t>单位</w:t>
      </w:r>
      <w:r>
        <w:rPr>
          <w:rFonts w:eastAsia="仿宋_GB2312"/>
          <w:color w:val="auto"/>
          <w:sz w:val="24"/>
          <w:highlight w:val="none"/>
        </w:rPr>
        <w:fldChar w:fldCharType="end"/>
      </w:r>
      <w:r>
        <w:rPr>
          <w:rFonts w:eastAsia="仿宋_GB2312"/>
          <w:color w:val="auto"/>
          <w:sz w:val="24"/>
          <w:highlight w:val="none"/>
        </w:rPr>
        <w:t>任</w:t>
      </w:r>
      <w:r>
        <w:rPr>
          <w:rFonts w:eastAsia="仿宋_GB2312"/>
          <w:color w:val="auto"/>
          <w:sz w:val="24"/>
          <w:highlight w:val="none"/>
          <w:u w:val="single"/>
        </w:rPr>
        <w:t xml:space="preserve">       </w:t>
      </w:r>
      <w:r>
        <w:rPr>
          <w:rFonts w:eastAsia="仿宋_GB2312"/>
          <w:color w:val="auto"/>
          <w:sz w:val="24"/>
          <w:highlight w:val="none"/>
        </w:rPr>
        <w:t>（董事长、总经理等）职务，是我单位的法定代表人。</w:t>
      </w:r>
    </w:p>
    <w:p w14:paraId="558DFB9B">
      <w:pPr>
        <w:spacing w:line="360" w:lineRule="auto"/>
        <w:ind w:firstLine="480"/>
        <w:rPr>
          <w:rFonts w:eastAsia="仿宋_GB2312"/>
          <w:color w:val="auto"/>
          <w:sz w:val="24"/>
          <w:highlight w:val="none"/>
        </w:rPr>
      </w:pPr>
    </w:p>
    <w:p w14:paraId="5A98206E">
      <w:pPr>
        <w:spacing w:line="360" w:lineRule="auto"/>
        <w:ind w:firstLine="480"/>
        <w:rPr>
          <w:rFonts w:eastAsia="仿宋_GB2312"/>
          <w:color w:val="auto"/>
          <w:sz w:val="24"/>
          <w:highlight w:val="none"/>
        </w:rPr>
      </w:pPr>
    </w:p>
    <w:p w14:paraId="11F03417">
      <w:pPr>
        <w:spacing w:line="360" w:lineRule="auto"/>
        <w:ind w:firstLine="480"/>
        <w:rPr>
          <w:rFonts w:eastAsia="仿宋_GB2312"/>
          <w:color w:val="auto"/>
          <w:sz w:val="24"/>
          <w:highlight w:val="none"/>
        </w:rPr>
      </w:pPr>
      <w:r>
        <w:rPr>
          <w:rFonts w:eastAsia="仿宋_GB2312"/>
          <w:color w:val="auto"/>
          <w:sz w:val="24"/>
          <w:highlight w:val="none"/>
        </w:rPr>
        <w:t>特此证明。</w:t>
      </w:r>
    </w:p>
    <w:p w14:paraId="301C10F7">
      <w:pPr>
        <w:spacing w:line="360" w:lineRule="auto"/>
        <w:ind w:firstLine="480"/>
        <w:rPr>
          <w:rFonts w:eastAsia="仿宋_GB2312"/>
          <w:color w:val="auto"/>
          <w:sz w:val="24"/>
          <w:highlight w:val="none"/>
        </w:rPr>
      </w:pPr>
    </w:p>
    <w:p w14:paraId="4779AFAA">
      <w:pPr>
        <w:spacing w:line="360" w:lineRule="auto"/>
        <w:ind w:firstLine="480"/>
        <w:rPr>
          <w:rFonts w:eastAsia="仿宋_GB2312"/>
          <w:color w:val="auto"/>
          <w:sz w:val="24"/>
          <w:highlight w:val="none"/>
        </w:rPr>
      </w:pPr>
    </w:p>
    <w:p w14:paraId="465F9956">
      <w:pPr>
        <w:spacing w:line="360" w:lineRule="auto"/>
        <w:ind w:firstLine="480"/>
        <w:rPr>
          <w:rFonts w:eastAsia="仿宋_GB2312"/>
          <w:color w:val="auto"/>
          <w:sz w:val="24"/>
          <w:highlight w:val="none"/>
        </w:rPr>
      </w:pPr>
    </w:p>
    <w:p w14:paraId="0FEE6063">
      <w:pPr>
        <w:pStyle w:val="10"/>
        <w:tabs>
          <w:tab w:val="left" w:pos="5580"/>
        </w:tabs>
        <w:spacing w:line="360" w:lineRule="auto"/>
        <w:ind w:left="-540" w:leftChars="-257" w:firstLine="900" w:firstLineChars="375"/>
        <w:rPr>
          <w:rFonts w:ascii="Times New Roman" w:hAnsi="Times New Roman" w:eastAsia="仿宋_GB2312"/>
          <w:color w:val="auto"/>
          <w:sz w:val="24"/>
          <w:highlight w:val="none"/>
        </w:rPr>
      </w:pPr>
      <w:r>
        <w:rPr>
          <w:rFonts w:ascii="Times New Roman" w:hAnsi="Times New Roman" w:eastAsia="仿宋_GB2312"/>
          <w:color w:val="auto"/>
          <w:sz w:val="24"/>
          <w:highlight w:val="none"/>
        </w:rPr>
        <w:t>投标人（</w:t>
      </w:r>
      <w:r>
        <w:rPr>
          <w:rFonts w:hint="eastAsia" w:eastAsia="仿宋_GB2312"/>
          <w:color w:val="auto"/>
          <w:sz w:val="24"/>
          <w:highlight w:val="none"/>
        </w:rPr>
        <w:t>盖</w:t>
      </w:r>
      <w:r>
        <w:rPr>
          <w:rFonts w:eastAsia="仿宋_GB2312"/>
          <w:color w:val="auto"/>
          <w:sz w:val="24"/>
          <w:highlight w:val="none"/>
        </w:rPr>
        <w:t>公章</w:t>
      </w:r>
      <w:r>
        <w:rPr>
          <w:rFonts w:ascii="Times New Roman" w:hAnsi="Times New Roman" w:eastAsia="仿宋_GB2312"/>
          <w:color w:val="auto"/>
          <w:sz w:val="24"/>
          <w:highlight w:val="none"/>
        </w:rPr>
        <w:t>）：</w:t>
      </w:r>
      <w:r>
        <w:rPr>
          <w:rFonts w:ascii="Times New Roman" w:hAnsi="Times New Roman" w:eastAsia="仿宋_GB2312"/>
          <w:color w:val="auto"/>
          <w:sz w:val="24"/>
          <w:highlight w:val="none"/>
          <w:u w:val="single"/>
        </w:rPr>
        <w:t xml:space="preserve">                    </w:t>
      </w:r>
      <w:r>
        <w:rPr>
          <w:rFonts w:hint="eastAsia"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u w:val="single"/>
        </w:rPr>
        <w:t xml:space="preserve">     </w:t>
      </w:r>
      <w:r>
        <w:rPr>
          <w:rFonts w:hint="eastAsia"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u w:val="single"/>
        </w:rPr>
        <w:t xml:space="preserve">   </w:t>
      </w:r>
    </w:p>
    <w:p w14:paraId="14A421FC">
      <w:pPr>
        <w:pStyle w:val="10"/>
        <w:tabs>
          <w:tab w:val="left" w:pos="5580"/>
        </w:tabs>
        <w:spacing w:line="360" w:lineRule="auto"/>
        <w:ind w:left="269" w:leftChars="128" w:firstLine="120" w:firstLineChars="50"/>
        <w:rPr>
          <w:rFonts w:ascii="Times New Roman" w:hAnsi="Times New Roman" w:eastAsia="仿宋_GB2312"/>
          <w:color w:val="auto"/>
          <w:sz w:val="24"/>
          <w:highlight w:val="none"/>
        </w:rPr>
      </w:pPr>
      <w:r>
        <w:rPr>
          <w:rFonts w:ascii="Times New Roman" w:hAnsi="Times New Roman" w:eastAsia="仿宋_GB2312"/>
          <w:color w:val="auto"/>
          <w:sz w:val="24"/>
          <w:highlight w:val="none"/>
        </w:rPr>
        <w:t>详细通讯地址：</w:t>
      </w:r>
      <w:r>
        <w:rPr>
          <w:rFonts w:ascii="Times New Roman" w:hAnsi="Times New Roman" w:eastAsia="仿宋_GB2312"/>
          <w:color w:val="auto"/>
          <w:sz w:val="24"/>
          <w:highlight w:val="none"/>
          <w:u w:val="single"/>
        </w:rPr>
        <w:t xml:space="preserve">                           </w:t>
      </w:r>
      <w:r>
        <w:rPr>
          <w:rFonts w:hint="eastAsia"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u w:val="single"/>
        </w:rPr>
        <w:t xml:space="preserve">     </w:t>
      </w:r>
    </w:p>
    <w:p w14:paraId="02A77E1D">
      <w:pPr>
        <w:pStyle w:val="10"/>
        <w:tabs>
          <w:tab w:val="left" w:pos="5580"/>
        </w:tabs>
        <w:spacing w:line="360" w:lineRule="auto"/>
        <w:ind w:firstLine="360" w:firstLineChars="150"/>
        <w:rPr>
          <w:rFonts w:ascii="Times New Roman" w:hAnsi="Times New Roman" w:eastAsia="仿宋_GB2312"/>
          <w:color w:val="auto"/>
          <w:sz w:val="24"/>
          <w:highlight w:val="none"/>
        </w:rPr>
      </w:pPr>
      <w:r>
        <w:rPr>
          <w:rFonts w:ascii="Times New Roman" w:hAnsi="Times New Roman" w:eastAsia="仿宋_GB2312"/>
          <w:color w:val="auto"/>
          <w:sz w:val="24"/>
          <w:highlight w:val="none"/>
        </w:rPr>
        <w:t>邮 政 编 码 ：</w:t>
      </w:r>
      <w:r>
        <w:rPr>
          <w:rFonts w:ascii="Times New Roman" w:hAnsi="Times New Roman" w:eastAsia="仿宋_GB2312"/>
          <w:color w:val="auto"/>
          <w:sz w:val="24"/>
          <w:highlight w:val="none"/>
          <w:u w:val="single"/>
        </w:rPr>
        <w:t xml:space="preserve">                         </w:t>
      </w:r>
      <w:r>
        <w:rPr>
          <w:rFonts w:hint="eastAsia"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u w:val="single"/>
        </w:rPr>
        <w:t xml:space="preserve">       </w:t>
      </w:r>
    </w:p>
    <w:p w14:paraId="7D3E3E63">
      <w:pPr>
        <w:pStyle w:val="10"/>
        <w:tabs>
          <w:tab w:val="left" w:pos="5580"/>
        </w:tabs>
        <w:spacing w:line="360" w:lineRule="auto"/>
        <w:ind w:firstLine="360" w:firstLineChars="150"/>
        <w:rPr>
          <w:rFonts w:ascii="Times New Roman" w:hAnsi="Times New Roman" w:eastAsia="仿宋_GB2312"/>
          <w:color w:val="auto"/>
          <w:sz w:val="24"/>
          <w:highlight w:val="none"/>
        </w:rPr>
      </w:pPr>
      <w:r>
        <w:rPr>
          <w:rFonts w:ascii="Times New Roman" w:hAnsi="Times New Roman" w:eastAsia="仿宋_GB2312"/>
          <w:color w:val="auto"/>
          <w:sz w:val="24"/>
          <w:highlight w:val="none"/>
        </w:rPr>
        <w:t>电　　　　话：</w:t>
      </w:r>
      <w:r>
        <w:rPr>
          <w:rFonts w:ascii="Times New Roman" w:hAnsi="Times New Roman" w:eastAsia="仿宋_GB2312"/>
          <w:color w:val="auto"/>
          <w:sz w:val="24"/>
          <w:highlight w:val="none"/>
          <w:u w:val="single"/>
        </w:rPr>
        <w:t xml:space="preserve">                         </w:t>
      </w:r>
      <w:r>
        <w:rPr>
          <w:rFonts w:hint="eastAsia"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u w:val="single"/>
        </w:rPr>
        <w:t xml:space="preserve">       </w:t>
      </w:r>
    </w:p>
    <w:p w14:paraId="52F982AC">
      <w:pPr>
        <w:spacing w:line="360" w:lineRule="auto"/>
        <w:ind w:firstLine="480"/>
        <w:rPr>
          <w:rFonts w:eastAsia="仿宋_GB2312"/>
          <w:color w:val="auto"/>
          <w:sz w:val="24"/>
          <w:highlight w:val="none"/>
        </w:rPr>
      </w:pPr>
    </w:p>
    <w:p w14:paraId="6DB47EC8">
      <w:pPr>
        <w:spacing w:line="360" w:lineRule="auto"/>
        <w:ind w:firstLine="480"/>
        <w:rPr>
          <w:rFonts w:eastAsia="仿宋_GB2312"/>
          <w:color w:val="auto"/>
          <w:sz w:val="24"/>
          <w:highlight w:val="none"/>
        </w:rPr>
      </w:pPr>
    </w:p>
    <w:p w14:paraId="171478B8">
      <w:pPr>
        <w:spacing w:line="360" w:lineRule="auto"/>
        <w:ind w:firstLine="480"/>
        <w:rPr>
          <w:rFonts w:eastAsia="仿宋_GB2312"/>
          <w:color w:val="auto"/>
          <w:sz w:val="24"/>
          <w:highlight w:val="none"/>
        </w:rPr>
      </w:pPr>
      <w:r>
        <w:rPr>
          <w:rFonts w:eastAsia="仿宋_GB2312"/>
          <w:color w:val="auto"/>
          <w:sz w:val="24"/>
          <w:highlight w:val="none"/>
        </w:rPr>
        <w:t>注：自然人投标的仅需提供身份证</w:t>
      </w:r>
    </w:p>
    <w:p w14:paraId="7DF03ED5">
      <w:pPr>
        <w:pStyle w:val="5"/>
        <w:ind w:firstLine="0"/>
        <w:jc w:val="center"/>
        <w:rPr>
          <w:rFonts w:eastAsia="仿宋_GB2312"/>
          <w:b/>
          <w:color w:val="auto"/>
          <w:sz w:val="28"/>
          <w:szCs w:val="28"/>
          <w:highlight w:val="none"/>
        </w:rPr>
      </w:pPr>
      <w:r>
        <w:rPr>
          <w:rFonts w:eastAsia="仿宋_GB2312"/>
          <w:color w:val="auto"/>
          <w:highlight w:val="none"/>
        </w:rPr>
        <w:br w:type="page"/>
      </w:r>
      <w:bookmarkStart w:id="128" w:name="_Toc60929127"/>
      <w:r>
        <w:rPr>
          <w:rFonts w:hint="eastAsia" w:eastAsia="仿宋_GB2312"/>
          <w:b/>
          <w:color w:val="auto"/>
          <w:sz w:val="28"/>
          <w:szCs w:val="28"/>
          <w:highlight w:val="none"/>
        </w:rPr>
        <w:t>2</w:t>
      </w:r>
      <w:r>
        <w:rPr>
          <w:rFonts w:eastAsia="仿宋_GB2312"/>
          <w:b/>
          <w:color w:val="auto"/>
          <w:sz w:val="28"/>
          <w:szCs w:val="28"/>
          <w:highlight w:val="none"/>
        </w:rPr>
        <w:t>、法定代表人（或单位负责人）授权书</w:t>
      </w:r>
      <w:bookmarkEnd w:id="128"/>
    </w:p>
    <w:p w14:paraId="2E09AE75">
      <w:pPr>
        <w:pStyle w:val="10"/>
        <w:tabs>
          <w:tab w:val="left" w:pos="5580"/>
        </w:tabs>
        <w:spacing w:line="360" w:lineRule="auto"/>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本授权书声明：注册于</w:t>
      </w:r>
      <w:r>
        <w:rPr>
          <w:rFonts w:ascii="Times New Roman" w:hAnsi="Times New Roman" w:eastAsia="仿宋_GB2312"/>
          <w:color w:val="auto"/>
          <w:sz w:val="24"/>
          <w:highlight w:val="none"/>
          <w:u w:val="single"/>
        </w:rPr>
        <w:t>（国家或地区的名称）</w:t>
      </w:r>
      <w:r>
        <w:rPr>
          <w:rFonts w:ascii="Times New Roman" w:hAnsi="Times New Roman" w:eastAsia="仿宋_GB2312"/>
          <w:color w:val="auto"/>
          <w:sz w:val="24"/>
          <w:highlight w:val="none"/>
        </w:rPr>
        <w:t>的（</w:t>
      </w:r>
      <w:r>
        <w:rPr>
          <w:rFonts w:ascii="Times New Roman" w:hAnsi="Times New Roman" w:eastAsia="仿宋_GB2312"/>
          <w:color w:val="auto"/>
          <w:sz w:val="24"/>
          <w:highlight w:val="none"/>
          <w:u w:val="single"/>
        </w:rPr>
        <w:t>投标人</w:t>
      </w:r>
      <w:r>
        <w:rPr>
          <w:rFonts w:ascii="Times New Roman" w:hAnsi="Times New Roman" w:eastAsia="仿宋_GB2312"/>
          <w:color w:val="auto"/>
          <w:sz w:val="24"/>
          <w:highlight w:val="none"/>
        </w:rPr>
        <w:t>）的（</w:t>
      </w:r>
      <w:r>
        <w:rPr>
          <w:rFonts w:ascii="Times New Roman" w:hAnsi="Times New Roman" w:eastAsia="仿宋_GB2312"/>
          <w:color w:val="auto"/>
          <w:sz w:val="24"/>
          <w:highlight w:val="none"/>
          <w:u w:val="single"/>
        </w:rPr>
        <w:t>法人代表姓名、职务</w:t>
      </w:r>
      <w:r>
        <w:rPr>
          <w:rFonts w:ascii="Times New Roman" w:hAnsi="Times New Roman" w:eastAsia="仿宋_GB2312"/>
          <w:color w:val="auto"/>
          <w:sz w:val="24"/>
          <w:highlight w:val="none"/>
        </w:rPr>
        <w:t>）为我单位法定代表人，代表我单位授权（</w:t>
      </w:r>
      <w:r>
        <w:rPr>
          <w:rFonts w:ascii="Times New Roman" w:hAnsi="Times New Roman" w:eastAsia="仿宋_GB2312"/>
          <w:color w:val="auto"/>
          <w:sz w:val="24"/>
          <w:highlight w:val="none"/>
          <w:u w:val="single"/>
        </w:rPr>
        <w:t>被授权人的姓名</w:t>
      </w:r>
      <w:r>
        <w:rPr>
          <w:rFonts w:ascii="Times New Roman" w:hAnsi="Times New Roman" w:eastAsia="仿宋_GB2312"/>
          <w:color w:val="auto"/>
          <w:sz w:val="24"/>
          <w:highlight w:val="none"/>
        </w:rPr>
        <w:t>）为我单位的合法代理人，就（</w:t>
      </w:r>
      <w:r>
        <w:rPr>
          <w:rFonts w:ascii="Times New Roman" w:hAnsi="Times New Roman" w:eastAsia="仿宋_GB2312"/>
          <w:color w:val="auto"/>
          <w:sz w:val="24"/>
          <w:highlight w:val="none"/>
          <w:u w:val="single"/>
        </w:rPr>
        <w:t>项目名称和采购项目编号</w:t>
      </w:r>
      <w:r>
        <w:rPr>
          <w:rFonts w:ascii="Times New Roman" w:hAnsi="Times New Roman" w:eastAsia="仿宋_GB2312"/>
          <w:color w:val="auto"/>
          <w:sz w:val="24"/>
          <w:highlight w:val="none"/>
        </w:rPr>
        <w:t>）投标，以我单位名义处理一切与之有关的事务。</w:t>
      </w:r>
      <w:r>
        <w:rPr>
          <w:rFonts w:ascii="Times New Roman" w:hAnsi="Times New Roman" w:eastAsia="仿宋_GB2312"/>
          <w:color w:val="auto"/>
          <w:sz w:val="24"/>
          <w:highlight w:val="none"/>
        </w:rPr>
        <w:cr/>
      </w:r>
      <w:r>
        <w:rPr>
          <w:rFonts w:ascii="Times New Roman" w:hAnsi="Times New Roman" w:eastAsia="仿宋_GB2312"/>
          <w:color w:val="auto"/>
          <w:sz w:val="24"/>
          <w:highlight w:val="none"/>
        </w:rPr>
        <w:t>　　本授权书于</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年</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月</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日签字生效</w:t>
      </w:r>
      <w:r>
        <w:rPr>
          <w:rFonts w:hint="eastAsia" w:ascii="Times New Roman" w:hAnsi="Times New Roman" w:eastAsia="仿宋_GB2312"/>
          <w:color w:val="auto"/>
          <w:sz w:val="24"/>
          <w:highlight w:val="none"/>
        </w:rPr>
        <w:t>，</w:t>
      </w:r>
      <w:r>
        <w:rPr>
          <w:rFonts w:ascii="Times New Roman" w:hAnsi="Times New Roman" w:eastAsia="仿宋_GB2312"/>
          <w:color w:val="auto"/>
          <w:sz w:val="24"/>
          <w:highlight w:val="none"/>
        </w:rPr>
        <w:t>特此声明。（提示：此日期应不晚于投标函签署日期）</w:t>
      </w:r>
      <w:r>
        <w:rPr>
          <w:rFonts w:ascii="Times New Roman" w:hAnsi="Times New Roman" w:eastAsia="仿宋_GB2312"/>
          <w:color w:val="auto"/>
          <w:sz w:val="24"/>
          <w:highlight w:val="none"/>
        </w:rPr>
        <w:cr/>
      </w:r>
    </w:p>
    <w:p w14:paraId="3D63237F">
      <w:pPr>
        <w:pStyle w:val="10"/>
        <w:tabs>
          <w:tab w:val="left" w:pos="5580"/>
        </w:tabs>
        <w:spacing w:line="360"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lang w:val="zh-CN"/>
        </w:rPr>
        <w:t>附：授权代表姓名：</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lang w:val="zh-CN"/>
        </w:rPr>
        <w:t>性别：</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lang w:val="zh-CN"/>
        </w:rPr>
        <w:t>年龄：</w:t>
      </w:r>
      <w:r>
        <w:rPr>
          <w:rFonts w:ascii="Times New Roman" w:hAnsi="Times New Roman" w:eastAsia="仿宋_GB2312"/>
          <w:color w:val="auto"/>
          <w:sz w:val="24"/>
          <w:highlight w:val="none"/>
          <w:u w:val="single"/>
        </w:rPr>
        <w:t xml:space="preserve">        </w:t>
      </w:r>
    </w:p>
    <w:p w14:paraId="4C3F4F7F">
      <w:pPr>
        <w:autoSpaceDE w:val="0"/>
        <w:autoSpaceDN w:val="0"/>
        <w:adjustRightInd w:val="0"/>
        <w:spacing w:line="360" w:lineRule="auto"/>
        <w:ind w:firstLine="630"/>
        <w:rPr>
          <w:rFonts w:eastAsia="仿宋_GB2312"/>
          <w:color w:val="auto"/>
          <w:sz w:val="24"/>
          <w:highlight w:val="none"/>
        </w:rPr>
      </w:pPr>
      <w:r>
        <w:rPr>
          <w:rFonts w:eastAsia="仿宋_GB2312"/>
          <w:color w:val="auto"/>
          <w:sz w:val="24"/>
          <w:highlight w:val="none"/>
          <w:lang w:val="zh-CN"/>
        </w:rPr>
        <w:t>职</w:t>
      </w:r>
      <w:r>
        <w:rPr>
          <w:rFonts w:eastAsia="仿宋_GB2312"/>
          <w:color w:val="auto"/>
          <w:sz w:val="24"/>
          <w:highlight w:val="none"/>
        </w:rPr>
        <w:t xml:space="preserve">    </w:t>
      </w:r>
      <w:r>
        <w:rPr>
          <w:rFonts w:eastAsia="仿宋_GB2312"/>
          <w:color w:val="auto"/>
          <w:sz w:val="24"/>
          <w:highlight w:val="none"/>
          <w:lang w:val="zh-CN"/>
        </w:rPr>
        <w:t>务：</w:t>
      </w:r>
      <w:r>
        <w:rPr>
          <w:rFonts w:eastAsia="仿宋_GB2312"/>
          <w:color w:val="auto"/>
          <w:sz w:val="24"/>
          <w:highlight w:val="none"/>
          <w:u w:val="single"/>
        </w:rPr>
        <w:t xml:space="preserve">             </w:t>
      </w:r>
      <w:r>
        <w:rPr>
          <w:rFonts w:eastAsia="仿宋_GB2312"/>
          <w:color w:val="auto"/>
          <w:sz w:val="24"/>
          <w:highlight w:val="none"/>
          <w:lang w:val="zh-CN"/>
        </w:rPr>
        <w:t>身份证号码：</w:t>
      </w:r>
      <w:r>
        <w:rPr>
          <w:rFonts w:eastAsia="仿宋_GB2312"/>
          <w:color w:val="auto"/>
          <w:sz w:val="24"/>
          <w:highlight w:val="none"/>
          <w:u w:val="single"/>
        </w:rPr>
        <w:t xml:space="preserve">             </w:t>
      </w:r>
    </w:p>
    <w:p w14:paraId="1306A40E">
      <w:pPr>
        <w:autoSpaceDE w:val="0"/>
        <w:autoSpaceDN w:val="0"/>
        <w:adjustRightInd w:val="0"/>
        <w:spacing w:line="360" w:lineRule="auto"/>
        <w:ind w:firstLine="630"/>
        <w:rPr>
          <w:rFonts w:eastAsia="仿宋_GB2312"/>
          <w:color w:val="auto"/>
          <w:sz w:val="24"/>
          <w:highlight w:val="none"/>
          <w:u w:val="single"/>
        </w:rPr>
      </w:pPr>
      <w:r>
        <w:rPr>
          <w:rFonts w:eastAsia="仿宋_GB2312"/>
          <w:color w:val="auto"/>
          <w:sz w:val="24"/>
          <w:highlight w:val="none"/>
          <w:lang w:val="zh-CN"/>
        </w:rPr>
        <w:t>通讯地址：</w:t>
      </w:r>
      <w:r>
        <w:rPr>
          <w:rFonts w:eastAsia="仿宋_GB2312"/>
          <w:color w:val="auto"/>
          <w:sz w:val="24"/>
          <w:highlight w:val="none"/>
          <w:u w:val="single"/>
        </w:rPr>
        <w:t xml:space="preserve">                                      </w:t>
      </w:r>
    </w:p>
    <w:p w14:paraId="76D02C2B">
      <w:pPr>
        <w:autoSpaceDE w:val="0"/>
        <w:autoSpaceDN w:val="0"/>
        <w:adjustRightInd w:val="0"/>
        <w:spacing w:line="360" w:lineRule="auto"/>
        <w:ind w:firstLine="630"/>
        <w:rPr>
          <w:rFonts w:eastAsia="仿宋_GB2312"/>
          <w:color w:val="auto"/>
          <w:sz w:val="24"/>
          <w:highlight w:val="none"/>
          <w:u w:val="single"/>
        </w:rPr>
      </w:pPr>
      <w:r>
        <w:rPr>
          <w:rFonts w:eastAsia="仿宋_GB2312"/>
          <w:color w:val="auto"/>
          <w:sz w:val="24"/>
          <w:highlight w:val="none"/>
          <w:lang w:val="zh-CN"/>
        </w:rPr>
        <w:t>邮政编码：</w:t>
      </w:r>
      <w:r>
        <w:rPr>
          <w:rFonts w:eastAsia="仿宋_GB2312"/>
          <w:color w:val="auto"/>
          <w:sz w:val="24"/>
          <w:highlight w:val="none"/>
          <w:u w:val="single"/>
        </w:rPr>
        <w:t xml:space="preserve">            </w:t>
      </w:r>
      <w:r>
        <w:rPr>
          <w:rFonts w:eastAsia="仿宋_GB2312"/>
          <w:color w:val="auto"/>
          <w:sz w:val="24"/>
          <w:highlight w:val="none"/>
        </w:rPr>
        <w:t xml:space="preserve">      </w:t>
      </w:r>
      <w:r>
        <w:rPr>
          <w:rFonts w:eastAsia="仿宋_GB2312"/>
          <w:color w:val="auto"/>
          <w:sz w:val="24"/>
          <w:highlight w:val="none"/>
          <w:lang w:val="zh-CN"/>
        </w:rPr>
        <w:t>电话：</w:t>
      </w:r>
      <w:r>
        <w:rPr>
          <w:rFonts w:eastAsia="仿宋_GB2312"/>
          <w:color w:val="auto"/>
          <w:sz w:val="24"/>
          <w:highlight w:val="none"/>
          <w:u w:val="single"/>
        </w:rPr>
        <w:t xml:space="preserve">               </w:t>
      </w:r>
    </w:p>
    <w:p w14:paraId="5972BA75">
      <w:pPr>
        <w:autoSpaceDE w:val="0"/>
        <w:autoSpaceDN w:val="0"/>
        <w:adjustRightInd w:val="0"/>
        <w:spacing w:line="360" w:lineRule="auto"/>
        <w:rPr>
          <w:rFonts w:eastAsia="仿宋_GB2312"/>
          <w:color w:val="auto"/>
          <w:sz w:val="24"/>
          <w:highlight w:val="none"/>
        </w:rPr>
      </w:pPr>
    </w:p>
    <w:p w14:paraId="33EDD812">
      <w:pPr>
        <w:autoSpaceDE w:val="0"/>
        <w:autoSpaceDN w:val="0"/>
        <w:adjustRightInd w:val="0"/>
        <w:spacing w:line="360" w:lineRule="auto"/>
        <w:ind w:firstLine="360" w:firstLineChars="150"/>
        <w:rPr>
          <w:rFonts w:eastAsia="仿宋_GB2312"/>
          <w:color w:val="auto"/>
          <w:sz w:val="24"/>
          <w:highlight w:val="none"/>
        </w:rPr>
      </w:pPr>
      <w:r>
        <w:rPr>
          <w:rFonts w:eastAsia="仿宋_GB2312"/>
          <w:color w:val="auto"/>
          <w:sz w:val="24"/>
          <w:highlight w:val="none"/>
          <w:lang w:val="zh-CN"/>
        </w:rPr>
        <w:t>法定代表人</w:t>
      </w:r>
      <w:r>
        <w:rPr>
          <w:rFonts w:eastAsia="仿宋_GB2312"/>
          <w:color w:val="auto"/>
          <w:sz w:val="24"/>
          <w:highlight w:val="none"/>
        </w:rPr>
        <w:t>及</w:t>
      </w:r>
      <w:r>
        <w:rPr>
          <w:rFonts w:eastAsia="仿宋_GB2312"/>
          <w:color w:val="auto"/>
          <w:sz w:val="24"/>
          <w:highlight w:val="none"/>
          <w:lang w:val="zh-CN"/>
        </w:rPr>
        <w:t>授权代表身份证复印件</w:t>
      </w:r>
    </w:p>
    <w:tbl>
      <w:tblPr>
        <w:tblStyle w:val="14"/>
        <w:tblW w:w="0" w:type="auto"/>
        <w:tblInd w:w="679" w:type="dxa"/>
        <w:tblLayout w:type="fixed"/>
        <w:tblCellMar>
          <w:top w:w="0" w:type="dxa"/>
          <w:left w:w="108" w:type="dxa"/>
          <w:bottom w:w="0" w:type="dxa"/>
          <w:right w:w="108" w:type="dxa"/>
        </w:tblCellMar>
      </w:tblPr>
      <w:tblGrid>
        <w:gridCol w:w="4049"/>
        <w:gridCol w:w="3885"/>
      </w:tblGrid>
      <w:tr w14:paraId="1602F3CA">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3D09E577">
            <w:pPr>
              <w:autoSpaceDE w:val="0"/>
              <w:autoSpaceDN w:val="0"/>
              <w:adjustRightInd w:val="0"/>
              <w:spacing w:line="312" w:lineRule="auto"/>
              <w:jc w:val="center"/>
              <w:rPr>
                <w:rFonts w:eastAsia="仿宋_GB2312"/>
                <w:color w:val="auto"/>
                <w:sz w:val="24"/>
                <w:highlight w:val="none"/>
                <w:lang w:val="zh-CN"/>
              </w:rPr>
            </w:pPr>
            <w:r>
              <w:rPr>
                <w:rFonts w:eastAsia="仿宋_GB2312"/>
                <w:color w:val="auto"/>
                <w:sz w:val="24"/>
                <w:highlight w:val="none"/>
                <w:lang w:val="zh-CN"/>
              </w:rPr>
              <w:t>法定代表人身份证复印件</w:t>
            </w:r>
          </w:p>
          <w:p w14:paraId="27F0A2E8">
            <w:pPr>
              <w:autoSpaceDE w:val="0"/>
              <w:autoSpaceDN w:val="0"/>
              <w:adjustRightInd w:val="0"/>
              <w:spacing w:line="312" w:lineRule="auto"/>
              <w:jc w:val="center"/>
              <w:rPr>
                <w:rFonts w:eastAsia="仿宋_GB2312"/>
                <w:color w:val="auto"/>
                <w:sz w:val="24"/>
                <w:highlight w:val="none"/>
                <w:u w:val="single"/>
              </w:rPr>
            </w:pPr>
            <w:r>
              <w:rPr>
                <w:rFonts w:eastAsia="仿宋_GB2312"/>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13A52233">
            <w:pPr>
              <w:autoSpaceDE w:val="0"/>
              <w:autoSpaceDN w:val="0"/>
              <w:adjustRightInd w:val="0"/>
              <w:spacing w:line="312" w:lineRule="auto"/>
              <w:jc w:val="center"/>
              <w:rPr>
                <w:rFonts w:eastAsia="仿宋_GB2312"/>
                <w:color w:val="auto"/>
                <w:sz w:val="24"/>
                <w:highlight w:val="none"/>
                <w:lang w:val="zh-CN"/>
              </w:rPr>
            </w:pPr>
            <w:r>
              <w:rPr>
                <w:rFonts w:eastAsia="仿宋_GB2312"/>
                <w:color w:val="auto"/>
                <w:sz w:val="24"/>
                <w:highlight w:val="none"/>
                <w:lang w:val="zh-CN"/>
              </w:rPr>
              <w:t>授权代表身份证复印件</w:t>
            </w:r>
          </w:p>
          <w:p w14:paraId="27539B93">
            <w:pPr>
              <w:autoSpaceDE w:val="0"/>
              <w:autoSpaceDN w:val="0"/>
              <w:adjustRightInd w:val="0"/>
              <w:spacing w:line="312" w:lineRule="auto"/>
              <w:jc w:val="center"/>
              <w:rPr>
                <w:rFonts w:eastAsia="仿宋_GB2312"/>
                <w:color w:val="auto"/>
                <w:sz w:val="24"/>
                <w:highlight w:val="none"/>
                <w:u w:val="single"/>
              </w:rPr>
            </w:pPr>
            <w:r>
              <w:rPr>
                <w:rFonts w:eastAsia="仿宋_GB2312"/>
                <w:color w:val="auto"/>
                <w:sz w:val="24"/>
                <w:highlight w:val="none"/>
                <w:lang w:val="zh-CN"/>
              </w:rPr>
              <w:t>（正反面）</w:t>
            </w:r>
          </w:p>
        </w:tc>
      </w:tr>
    </w:tbl>
    <w:p w14:paraId="55F43993">
      <w:pPr>
        <w:adjustRightInd w:val="0"/>
        <w:snapToGrid w:val="0"/>
        <w:spacing w:line="360" w:lineRule="auto"/>
        <w:rPr>
          <w:rFonts w:eastAsia="仿宋_GB2312"/>
          <w:color w:val="auto"/>
          <w:sz w:val="24"/>
          <w:highlight w:val="none"/>
        </w:rPr>
      </w:pPr>
      <w:r>
        <w:rPr>
          <w:rFonts w:eastAsia="仿宋_GB2312"/>
          <w:color w:val="auto"/>
          <w:sz w:val="24"/>
          <w:highlight w:val="none"/>
        </w:rPr>
        <w:t xml:space="preserve">  </w:t>
      </w:r>
    </w:p>
    <w:p w14:paraId="58413C33">
      <w:pPr>
        <w:adjustRightInd w:val="0"/>
        <w:snapToGrid w:val="0"/>
        <w:spacing w:line="360" w:lineRule="auto"/>
        <w:ind w:firstLine="360" w:firstLineChars="150"/>
        <w:rPr>
          <w:rFonts w:eastAsia="仿宋_GB2312"/>
          <w:color w:val="auto"/>
          <w:sz w:val="24"/>
          <w:highlight w:val="none"/>
        </w:rPr>
      </w:pPr>
      <w:r>
        <w:rPr>
          <w:rFonts w:eastAsia="仿宋_GB2312"/>
          <w:color w:val="auto"/>
          <w:sz w:val="24"/>
          <w:highlight w:val="none"/>
        </w:rPr>
        <w:t xml:space="preserve"> </w:t>
      </w:r>
    </w:p>
    <w:p w14:paraId="26E3A014">
      <w:pPr>
        <w:adjustRightInd w:val="0"/>
        <w:snapToGrid w:val="0"/>
        <w:spacing w:line="360" w:lineRule="auto"/>
        <w:ind w:firstLine="360" w:firstLineChars="150"/>
        <w:rPr>
          <w:rFonts w:eastAsia="仿宋_GB2312"/>
          <w:color w:val="auto"/>
          <w:sz w:val="24"/>
          <w:highlight w:val="none"/>
        </w:rPr>
      </w:pPr>
      <w:r>
        <w:rPr>
          <w:rFonts w:eastAsia="仿宋_GB2312"/>
          <w:color w:val="auto"/>
          <w:sz w:val="24"/>
          <w:highlight w:val="none"/>
        </w:rPr>
        <w:t>投标人（</w:t>
      </w:r>
      <w:r>
        <w:rPr>
          <w:rFonts w:hint="eastAsia" w:eastAsia="仿宋_GB2312"/>
          <w:color w:val="auto"/>
          <w:sz w:val="24"/>
          <w:highlight w:val="none"/>
        </w:rPr>
        <w:t>盖</w:t>
      </w:r>
      <w:r>
        <w:rPr>
          <w:rFonts w:eastAsia="仿宋_GB2312"/>
          <w:color w:val="auto"/>
          <w:sz w:val="24"/>
          <w:highlight w:val="none"/>
        </w:rPr>
        <w:t xml:space="preserve">公章） ：                </w:t>
      </w:r>
    </w:p>
    <w:p w14:paraId="6172B08E">
      <w:pPr>
        <w:adjustRightInd w:val="0"/>
        <w:snapToGrid w:val="0"/>
        <w:spacing w:line="360" w:lineRule="auto"/>
        <w:ind w:firstLine="360" w:firstLineChars="150"/>
        <w:rPr>
          <w:rFonts w:eastAsia="仿宋_GB2312"/>
          <w:color w:val="auto"/>
          <w:sz w:val="24"/>
          <w:highlight w:val="none"/>
        </w:rPr>
      </w:pPr>
    </w:p>
    <w:p w14:paraId="28ABE2A0">
      <w:pPr>
        <w:adjustRightInd w:val="0"/>
        <w:snapToGrid w:val="0"/>
        <w:spacing w:line="360" w:lineRule="auto"/>
        <w:ind w:firstLine="360" w:firstLineChars="150"/>
        <w:rPr>
          <w:rFonts w:eastAsia="仿宋_GB2312"/>
          <w:color w:val="auto"/>
          <w:sz w:val="24"/>
          <w:highlight w:val="none"/>
        </w:rPr>
      </w:pPr>
      <w:r>
        <w:rPr>
          <w:rFonts w:eastAsia="仿宋_GB2312"/>
          <w:color w:val="auto"/>
          <w:sz w:val="24"/>
          <w:highlight w:val="none"/>
        </w:rPr>
        <w:t>法定代表人</w:t>
      </w:r>
      <w:r>
        <w:rPr>
          <w:rFonts w:hint="eastAsia" w:eastAsia="仿宋_GB2312"/>
          <w:color w:val="auto"/>
          <w:sz w:val="24"/>
          <w:highlight w:val="none"/>
        </w:rPr>
        <w:t>（或单位负责人）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p>
    <w:p w14:paraId="51F39E11">
      <w:pPr>
        <w:spacing w:line="360" w:lineRule="auto"/>
        <w:rPr>
          <w:rFonts w:eastAsia="仿宋_GB2312"/>
          <w:color w:val="auto"/>
          <w:sz w:val="24"/>
          <w:highlight w:val="none"/>
        </w:rPr>
      </w:pPr>
    </w:p>
    <w:p w14:paraId="50982B2F">
      <w:pPr>
        <w:spacing w:line="360" w:lineRule="auto"/>
        <w:ind w:firstLine="480" w:firstLineChars="200"/>
        <w:rPr>
          <w:rFonts w:eastAsia="仿宋_GB2312"/>
          <w:color w:val="auto"/>
          <w:sz w:val="24"/>
          <w:highlight w:val="none"/>
        </w:rPr>
      </w:pPr>
      <w:r>
        <w:rPr>
          <w:rFonts w:eastAsia="仿宋_GB2312"/>
          <w:color w:val="auto"/>
          <w:sz w:val="24"/>
          <w:highlight w:val="none"/>
        </w:rPr>
        <w:t>注：自然人投标的或法定代表人投标的无需提供</w:t>
      </w:r>
    </w:p>
    <w:p w14:paraId="564AF186">
      <w:pPr>
        <w:spacing w:line="360" w:lineRule="auto"/>
        <w:ind w:firstLine="480"/>
        <w:rPr>
          <w:rFonts w:eastAsia="仿宋_GB2312"/>
          <w:color w:val="auto"/>
          <w:sz w:val="24"/>
          <w:highlight w:val="none"/>
        </w:rPr>
      </w:pPr>
    </w:p>
    <w:p w14:paraId="5CB997D1">
      <w:pPr>
        <w:jc w:val="center"/>
        <w:rPr>
          <w:rFonts w:hint="eastAsia" w:ascii="仿宋_GB2312" w:hAnsi="仿宋_GB2312" w:eastAsia="仿宋_GB2312" w:cs="仿宋_GB2312"/>
          <w:b/>
          <w:color w:val="auto"/>
          <w:sz w:val="28"/>
          <w:szCs w:val="28"/>
          <w:highlight w:val="none"/>
        </w:rPr>
      </w:pPr>
      <w:bookmarkStart w:id="129" w:name="_Toc60929128"/>
      <w:r>
        <w:rPr>
          <w:rFonts w:eastAsia="仿宋_GB2312"/>
          <w:b/>
          <w:color w:val="auto"/>
          <w:sz w:val="28"/>
          <w:szCs w:val="28"/>
          <w:highlight w:val="none"/>
        </w:rPr>
        <w:br w:type="page"/>
      </w:r>
      <w:bookmarkEnd w:id="129"/>
      <w:bookmarkStart w:id="130" w:name="_Toc60929129"/>
      <w:r>
        <w:rPr>
          <w:rFonts w:hint="eastAsia" w:ascii="仿宋_GB2312" w:hAnsi="仿宋_GB2312" w:eastAsia="仿宋_GB2312" w:cs="仿宋_GB2312"/>
          <w:b/>
          <w:color w:val="auto"/>
          <w:sz w:val="28"/>
          <w:szCs w:val="28"/>
          <w:highlight w:val="none"/>
        </w:rPr>
        <w:t>3、授权代表本单位证明</w:t>
      </w:r>
      <w:bookmarkEnd w:id="130"/>
    </w:p>
    <w:p w14:paraId="111791FD">
      <w:pPr>
        <w:spacing w:after="120"/>
        <w:rPr>
          <w:color w:val="auto"/>
          <w:highlight w:val="none"/>
        </w:rPr>
      </w:pPr>
    </w:p>
    <w:p w14:paraId="2CCDD901">
      <w:pPr>
        <w:autoSpaceDE w:val="0"/>
        <w:autoSpaceDN w:val="0"/>
        <w:adjustRightInd w:val="0"/>
        <w:spacing w:line="348" w:lineRule="auto"/>
        <w:jc w:val="center"/>
        <w:rPr>
          <w:rFonts w:hint="eastAsia"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w:t>
      </w:r>
      <w:r>
        <w:rPr>
          <w:rFonts w:hint="eastAsia" w:ascii="仿宋" w:hAnsi="仿宋" w:eastAsia="仿宋"/>
          <w:color w:val="auto"/>
          <w:sz w:val="28"/>
          <w:szCs w:val="28"/>
          <w:highlight w:val="none"/>
        </w:rPr>
        <w:t>提供授权代表在本单位养老保险缴纳证明</w:t>
      </w:r>
      <w:r>
        <w:rPr>
          <w:rFonts w:hint="eastAsia" w:ascii="仿宋" w:hAnsi="仿宋" w:eastAsia="仿宋"/>
          <w:color w:val="auto"/>
          <w:sz w:val="28"/>
          <w:szCs w:val="28"/>
          <w:highlight w:val="none"/>
          <w:lang w:val="zh-CN"/>
        </w:rPr>
        <w:t>）</w:t>
      </w:r>
    </w:p>
    <w:p w14:paraId="2DDE5ABA">
      <w:pPr>
        <w:autoSpaceDE w:val="0"/>
        <w:autoSpaceDN w:val="0"/>
        <w:adjustRightInd w:val="0"/>
        <w:spacing w:line="348" w:lineRule="auto"/>
        <w:jc w:val="center"/>
        <w:rPr>
          <w:rFonts w:hint="eastAsia" w:ascii="仿宋" w:hAnsi="仿宋" w:eastAsia="仿宋"/>
          <w:color w:val="auto"/>
          <w:sz w:val="28"/>
          <w:szCs w:val="28"/>
          <w:highlight w:val="none"/>
          <w:lang w:val="zh-CN"/>
        </w:rPr>
      </w:pPr>
    </w:p>
    <w:p w14:paraId="36B778E2">
      <w:pPr>
        <w:autoSpaceDE w:val="0"/>
        <w:autoSpaceDN w:val="0"/>
        <w:adjustRightInd w:val="0"/>
        <w:spacing w:line="348" w:lineRule="auto"/>
        <w:jc w:val="center"/>
        <w:rPr>
          <w:rFonts w:hint="eastAsia" w:ascii="仿宋" w:hAnsi="仿宋" w:eastAsia="仿宋"/>
          <w:color w:val="auto"/>
          <w:sz w:val="28"/>
          <w:szCs w:val="28"/>
          <w:highlight w:val="none"/>
          <w:lang w:val="zh-CN"/>
        </w:rPr>
      </w:pPr>
    </w:p>
    <w:p w14:paraId="4E46FBE6">
      <w:pPr>
        <w:autoSpaceDE w:val="0"/>
        <w:autoSpaceDN w:val="0"/>
        <w:adjustRightInd w:val="0"/>
        <w:spacing w:line="348" w:lineRule="auto"/>
        <w:jc w:val="center"/>
        <w:rPr>
          <w:rFonts w:hint="eastAsia" w:ascii="仿宋" w:hAnsi="仿宋" w:eastAsia="仿宋"/>
          <w:color w:val="auto"/>
          <w:sz w:val="28"/>
          <w:szCs w:val="28"/>
          <w:highlight w:val="none"/>
          <w:lang w:val="zh-CN"/>
        </w:rPr>
      </w:pPr>
    </w:p>
    <w:p w14:paraId="1D83D766">
      <w:pPr>
        <w:pStyle w:val="6"/>
        <w:ind w:firstLine="0" w:firstLineChars="0"/>
        <w:jc w:val="center"/>
        <w:rPr>
          <w:rFonts w:eastAsia="仿宋_GB2312"/>
          <w:b w:val="0"/>
          <w:color w:val="auto"/>
          <w:sz w:val="32"/>
          <w:szCs w:val="32"/>
          <w:highlight w:val="none"/>
        </w:rPr>
      </w:pPr>
      <w:r>
        <w:rPr>
          <w:color w:val="auto"/>
          <w:highlight w:val="none"/>
        </w:rPr>
        <w:br w:type="page"/>
      </w:r>
      <w:bookmarkStart w:id="131" w:name="_Toc14451"/>
      <w:bookmarkStart w:id="132" w:name="_Toc62194347"/>
      <w:bookmarkStart w:id="133" w:name="_Toc60929130"/>
      <w:r>
        <w:rPr>
          <w:rFonts w:hint="eastAsia" w:ascii="Times New Roman" w:hAnsi="Times New Roman" w:eastAsia="仿宋_GB2312"/>
          <w:color w:val="auto"/>
          <w:sz w:val="32"/>
          <w:szCs w:val="32"/>
          <w:highlight w:val="none"/>
        </w:rPr>
        <w:t>二、资格证明文件</w:t>
      </w:r>
      <w:bookmarkEnd w:id="131"/>
      <w:bookmarkEnd w:id="132"/>
      <w:bookmarkEnd w:id="133"/>
    </w:p>
    <w:p w14:paraId="2B3764BB">
      <w:pPr>
        <w:snapToGrid w:val="0"/>
        <w:spacing w:line="360" w:lineRule="auto"/>
        <w:ind w:left="708" w:hanging="708" w:hangingChars="295"/>
        <w:jc w:val="center"/>
        <w:rPr>
          <w:rFonts w:eastAsia="仿宋_GB2312"/>
          <w:color w:val="auto"/>
          <w:sz w:val="24"/>
          <w:highlight w:val="none"/>
        </w:rPr>
      </w:pPr>
    </w:p>
    <w:p w14:paraId="6B935D63">
      <w:pPr>
        <w:tabs>
          <w:tab w:val="left" w:pos="5580"/>
        </w:tabs>
        <w:snapToGrid w:val="0"/>
        <w:spacing w:line="360" w:lineRule="auto"/>
        <w:rPr>
          <w:rFonts w:eastAsia="仿宋_GB2312"/>
          <w:color w:val="auto"/>
          <w:sz w:val="24"/>
          <w:highlight w:val="none"/>
        </w:rPr>
      </w:pPr>
      <w:r>
        <w:rPr>
          <w:rFonts w:eastAsia="仿宋_GB2312"/>
          <w:color w:val="auto"/>
          <w:sz w:val="24"/>
          <w:highlight w:val="none"/>
        </w:rPr>
        <w:t>符合《政府采购法》第二十二条的规定</w:t>
      </w:r>
      <w:r>
        <w:rPr>
          <w:rFonts w:hint="eastAsia" w:eastAsia="仿宋_GB2312"/>
          <w:color w:val="auto"/>
          <w:sz w:val="24"/>
          <w:highlight w:val="none"/>
          <w:lang w:eastAsia="zh-CN"/>
        </w:rPr>
        <w:t>投标人</w:t>
      </w:r>
      <w:r>
        <w:rPr>
          <w:rFonts w:eastAsia="仿宋_GB2312"/>
          <w:color w:val="auto"/>
          <w:sz w:val="24"/>
          <w:highlight w:val="none"/>
        </w:rPr>
        <w:t>条件，并提供以下证明材料；</w:t>
      </w:r>
    </w:p>
    <w:p w14:paraId="1F53352E">
      <w:pPr>
        <w:snapToGrid w:val="0"/>
        <w:spacing w:line="360" w:lineRule="auto"/>
        <w:ind w:firstLine="480" w:firstLineChars="200"/>
        <w:rPr>
          <w:rFonts w:eastAsia="仿宋_GB2312"/>
          <w:color w:val="auto"/>
          <w:sz w:val="24"/>
          <w:highlight w:val="none"/>
        </w:rPr>
      </w:pPr>
      <w:r>
        <w:rPr>
          <w:rFonts w:eastAsia="仿宋_GB2312"/>
          <w:color w:val="auto"/>
          <w:sz w:val="24"/>
          <w:highlight w:val="none"/>
        </w:rPr>
        <w:t>（1）投标人合法注册的法人或其他组织的营业执照等证明文件，自然人的身份证明（格式要求见附件6-1）；</w:t>
      </w:r>
    </w:p>
    <w:p w14:paraId="592B1CAF">
      <w:pPr>
        <w:snapToGrid w:val="0"/>
        <w:spacing w:line="360" w:lineRule="auto"/>
        <w:ind w:firstLine="480" w:firstLineChars="200"/>
        <w:rPr>
          <w:rFonts w:eastAsia="仿宋_GB2312"/>
          <w:color w:val="auto"/>
          <w:sz w:val="24"/>
          <w:highlight w:val="none"/>
        </w:rPr>
      </w:pPr>
      <w:r>
        <w:rPr>
          <w:rFonts w:eastAsia="仿宋_GB2312"/>
          <w:color w:val="auto"/>
          <w:sz w:val="24"/>
          <w:highlight w:val="none"/>
        </w:rPr>
        <w:t>（2）</w:t>
      </w:r>
      <w:r>
        <w:rPr>
          <w:rFonts w:hint="eastAsia" w:eastAsia="仿宋_GB2312"/>
          <w:color w:val="auto"/>
          <w:sz w:val="24"/>
          <w:highlight w:val="none"/>
          <w:lang w:val="en-US" w:eastAsia="zh-CN"/>
        </w:rPr>
        <w:t>2024年度</w:t>
      </w:r>
      <w:r>
        <w:rPr>
          <w:rFonts w:hint="eastAsia" w:eastAsia="仿宋_GB2312"/>
          <w:color w:val="auto"/>
          <w:sz w:val="24"/>
          <w:highlight w:val="none"/>
        </w:rPr>
        <w:t>经审计的财务报告</w:t>
      </w:r>
      <w:r>
        <w:rPr>
          <w:rFonts w:eastAsia="仿宋_GB2312"/>
          <w:color w:val="auto"/>
          <w:sz w:val="24"/>
          <w:highlight w:val="none"/>
        </w:rPr>
        <w:t>复印件（</w:t>
      </w:r>
      <w:r>
        <w:rPr>
          <w:rFonts w:hint="eastAsia" w:ascii="仿宋_GB2312" w:hAnsi="仿宋_GB2312" w:eastAsia="仿宋_GB2312" w:cs="仿宋_GB2312"/>
          <w:color w:val="auto"/>
          <w:sz w:val="24"/>
          <w:highlight w:val="none"/>
        </w:rPr>
        <w:t>包括报告正文、资产负债表、现金流量表、利润表、附注和会计师事务所营业执照，报告正文应当有会计师事务所公章和2名注册会计师的签字及盖章。且审计报告应当经过注册会计师行业统一监管平台备案赋码。</w:t>
      </w:r>
      <w:r>
        <w:rPr>
          <w:rFonts w:eastAsia="仿宋_GB2312"/>
          <w:color w:val="auto"/>
          <w:sz w:val="24"/>
          <w:highlight w:val="none"/>
        </w:rPr>
        <w:t>），或</w:t>
      </w:r>
      <w:r>
        <w:rPr>
          <w:rFonts w:hint="eastAsia" w:ascii="仿宋_GB2312" w:hAnsi="仿宋_GB2312" w:eastAsia="仿宋_GB2312" w:cs="仿宋_GB2312"/>
          <w:color w:val="auto"/>
          <w:sz w:val="24"/>
          <w:highlight w:val="none"/>
        </w:rPr>
        <w:t>递交投标文件截止时间</w:t>
      </w:r>
      <w:r>
        <w:rPr>
          <w:rFonts w:hint="eastAsia" w:eastAsia="仿宋_GB2312"/>
          <w:color w:val="auto"/>
          <w:sz w:val="24"/>
          <w:highlight w:val="none"/>
        </w:rPr>
        <w:t>前三个月内</w:t>
      </w:r>
      <w:r>
        <w:rPr>
          <w:rFonts w:hint="eastAsia" w:ascii="仿宋_GB2312" w:hAnsi="仿宋_GB2312" w:eastAsia="仿宋_GB2312" w:cs="仿宋_GB2312"/>
          <w:color w:val="auto"/>
          <w:sz w:val="24"/>
          <w:highlight w:val="none"/>
        </w:rPr>
        <w:t>投标人基本账户</w:t>
      </w:r>
      <w:r>
        <w:rPr>
          <w:rFonts w:eastAsia="仿宋_GB2312"/>
          <w:color w:val="auto"/>
          <w:sz w:val="24"/>
          <w:highlight w:val="none"/>
        </w:rPr>
        <w:t>开户银行出具的资信证明（格式要求见附件6-2）；</w:t>
      </w:r>
    </w:p>
    <w:p w14:paraId="7A8C4B0E">
      <w:pPr>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（3）</w:t>
      </w:r>
      <w:r>
        <w:rPr>
          <w:rFonts w:eastAsia="仿宋_GB2312"/>
          <w:color w:val="auto"/>
          <w:sz w:val="24"/>
          <w:highlight w:val="none"/>
        </w:rPr>
        <w:t>依法缴纳税收和社会保障资金的证明材料复印件（格式见附件6-3、6-4）</w:t>
      </w:r>
    </w:p>
    <w:p w14:paraId="7BDE873D">
      <w:pPr>
        <w:snapToGrid w:val="0"/>
        <w:spacing w:line="360" w:lineRule="auto"/>
        <w:ind w:firstLine="480" w:firstLineChars="200"/>
        <w:rPr>
          <w:rFonts w:eastAsia="仿宋_GB2312"/>
          <w:color w:val="auto"/>
          <w:sz w:val="24"/>
          <w:highlight w:val="none"/>
        </w:rPr>
      </w:pPr>
      <w:r>
        <w:rPr>
          <w:rFonts w:eastAsia="仿宋_GB2312"/>
          <w:color w:val="auto"/>
          <w:sz w:val="24"/>
          <w:highlight w:val="none"/>
        </w:rPr>
        <w:t>（</w:t>
      </w:r>
      <w:r>
        <w:rPr>
          <w:rFonts w:hint="eastAsia" w:eastAsia="仿宋_GB2312"/>
          <w:color w:val="auto"/>
          <w:sz w:val="24"/>
          <w:highlight w:val="none"/>
        </w:rPr>
        <w:t>4</w:t>
      </w:r>
      <w:r>
        <w:rPr>
          <w:rFonts w:eastAsia="仿宋_GB2312"/>
          <w:color w:val="auto"/>
          <w:sz w:val="24"/>
          <w:highlight w:val="none"/>
        </w:rPr>
        <w:t>）具备履行合同所必需的设备和专业技术能力的承诺原件（格式见附件6-5）</w:t>
      </w:r>
    </w:p>
    <w:p w14:paraId="220CA777">
      <w:pPr>
        <w:snapToGrid w:val="0"/>
        <w:spacing w:line="360" w:lineRule="auto"/>
        <w:ind w:firstLine="480" w:firstLineChars="200"/>
        <w:rPr>
          <w:rFonts w:eastAsia="仿宋_GB2312"/>
          <w:color w:val="auto"/>
          <w:sz w:val="24"/>
          <w:highlight w:val="none"/>
        </w:rPr>
      </w:pPr>
      <w:r>
        <w:rPr>
          <w:rFonts w:eastAsia="仿宋_GB2312"/>
          <w:color w:val="auto"/>
          <w:sz w:val="24"/>
          <w:highlight w:val="none"/>
        </w:rPr>
        <w:t>（</w:t>
      </w:r>
      <w:r>
        <w:rPr>
          <w:rFonts w:hint="eastAsia" w:eastAsia="仿宋_GB2312"/>
          <w:color w:val="auto"/>
          <w:sz w:val="24"/>
          <w:highlight w:val="none"/>
        </w:rPr>
        <w:t>5</w:t>
      </w:r>
      <w:r>
        <w:rPr>
          <w:rFonts w:eastAsia="仿宋_GB2312"/>
          <w:color w:val="auto"/>
          <w:sz w:val="24"/>
          <w:highlight w:val="none"/>
        </w:rPr>
        <w:t>）</w:t>
      </w:r>
      <w:r>
        <w:rPr>
          <w:rFonts w:hint="eastAsia" w:eastAsia="仿宋_GB2312"/>
          <w:color w:val="auto"/>
          <w:sz w:val="24"/>
          <w:highlight w:val="none"/>
        </w:rPr>
        <w:t>投标人</w:t>
      </w:r>
      <w:r>
        <w:rPr>
          <w:rFonts w:eastAsia="仿宋_GB2312"/>
          <w:color w:val="auto"/>
          <w:sz w:val="24"/>
          <w:highlight w:val="none"/>
        </w:rPr>
        <w:t>参加政府采购活动前3年内在经营活动中没有重大违法记录的书面声明原件（格式见附件6-6）</w:t>
      </w:r>
    </w:p>
    <w:p w14:paraId="7CDE2862">
      <w:pPr>
        <w:snapToGrid w:val="0"/>
        <w:spacing w:line="360" w:lineRule="auto"/>
        <w:ind w:firstLine="480" w:firstLineChars="200"/>
        <w:rPr>
          <w:rFonts w:eastAsia="仿宋_GB2312"/>
          <w:color w:val="auto"/>
          <w:sz w:val="24"/>
          <w:highlight w:val="none"/>
        </w:rPr>
      </w:pPr>
      <w:r>
        <w:rPr>
          <w:rFonts w:eastAsia="仿宋_GB2312"/>
          <w:color w:val="auto"/>
          <w:sz w:val="24"/>
          <w:highlight w:val="none"/>
        </w:rPr>
        <w:t>（</w:t>
      </w:r>
      <w:r>
        <w:rPr>
          <w:rFonts w:hint="eastAsia" w:eastAsia="仿宋_GB2312"/>
          <w:color w:val="auto"/>
          <w:sz w:val="24"/>
          <w:highlight w:val="none"/>
        </w:rPr>
        <w:t>6</w:t>
      </w:r>
      <w:r>
        <w:rPr>
          <w:rFonts w:eastAsia="仿宋_GB2312"/>
          <w:color w:val="auto"/>
          <w:sz w:val="24"/>
          <w:highlight w:val="none"/>
        </w:rPr>
        <w:t>）</w:t>
      </w:r>
      <w:r>
        <w:rPr>
          <w:rFonts w:hint="eastAsia" w:eastAsia="仿宋_GB2312"/>
          <w:color w:val="auto"/>
          <w:sz w:val="24"/>
          <w:highlight w:val="none"/>
        </w:rPr>
        <w:t>投标人</w:t>
      </w:r>
      <w:r>
        <w:rPr>
          <w:rFonts w:eastAsia="仿宋_GB2312"/>
          <w:color w:val="auto"/>
          <w:sz w:val="24"/>
          <w:highlight w:val="none"/>
        </w:rPr>
        <w:t>控股股东名称、控股公司的名称和存在管理、被管理关系的单位名称说明（格式见附件6-7）</w:t>
      </w:r>
    </w:p>
    <w:p w14:paraId="7D8B2E0B">
      <w:pPr>
        <w:snapToGrid w:val="0"/>
        <w:spacing w:line="360" w:lineRule="auto"/>
        <w:ind w:firstLine="480" w:firstLineChars="200"/>
        <w:rPr>
          <w:rFonts w:eastAsia="仿宋_GB2312"/>
          <w:color w:val="auto"/>
          <w:sz w:val="24"/>
          <w:highlight w:val="none"/>
        </w:rPr>
      </w:pPr>
      <w:r>
        <w:rPr>
          <w:rFonts w:eastAsia="仿宋_GB2312"/>
          <w:color w:val="auto"/>
          <w:sz w:val="24"/>
          <w:highlight w:val="none"/>
        </w:rPr>
        <w:t>（</w:t>
      </w:r>
      <w:r>
        <w:rPr>
          <w:rFonts w:hint="eastAsia" w:eastAsia="仿宋_GB2312"/>
          <w:color w:val="auto"/>
          <w:sz w:val="24"/>
          <w:highlight w:val="none"/>
        </w:rPr>
        <w:t>7</w:t>
      </w:r>
      <w:r>
        <w:rPr>
          <w:rFonts w:eastAsia="仿宋_GB2312"/>
          <w:color w:val="auto"/>
          <w:sz w:val="24"/>
          <w:highlight w:val="none"/>
        </w:rPr>
        <w:t>）</w:t>
      </w:r>
      <w:r>
        <w:rPr>
          <w:rFonts w:hint="eastAsia" w:eastAsia="仿宋_GB2312"/>
          <w:color w:val="auto"/>
          <w:sz w:val="24"/>
          <w:highlight w:val="none"/>
        </w:rPr>
        <w:t>投标人</w:t>
      </w:r>
      <w:r>
        <w:rPr>
          <w:rFonts w:eastAsia="仿宋_GB2312"/>
          <w:color w:val="auto"/>
          <w:sz w:val="24"/>
          <w:highlight w:val="none"/>
        </w:rPr>
        <w:t>是否属于为本项目提供整体设计、规范编制或者项目管理、监理、检测等服务的</w:t>
      </w:r>
      <w:r>
        <w:rPr>
          <w:rFonts w:hint="eastAsia" w:eastAsia="仿宋_GB2312"/>
          <w:color w:val="auto"/>
          <w:sz w:val="24"/>
          <w:highlight w:val="none"/>
        </w:rPr>
        <w:t>投标人</w:t>
      </w:r>
      <w:r>
        <w:rPr>
          <w:rFonts w:eastAsia="仿宋_GB2312"/>
          <w:color w:val="auto"/>
          <w:sz w:val="24"/>
          <w:highlight w:val="none"/>
        </w:rPr>
        <w:t>声明原件（格式见附件6-8）</w:t>
      </w:r>
    </w:p>
    <w:p w14:paraId="02A623DE">
      <w:pPr>
        <w:snapToGrid w:val="0"/>
        <w:spacing w:line="360" w:lineRule="auto"/>
        <w:ind w:firstLine="480" w:firstLineChars="200"/>
        <w:rPr>
          <w:rFonts w:eastAsia="仿宋_GB2312"/>
          <w:color w:val="auto"/>
          <w:sz w:val="24"/>
          <w:highlight w:val="none"/>
        </w:rPr>
      </w:pPr>
      <w:r>
        <w:rPr>
          <w:rFonts w:eastAsia="仿宋_GB2312"/>
          <w:color w:val="auto"/>
          <w:sz w:val="24"/>
          <w:highlight w:val="none"/>
        </w:rPr>
        <w:t>（</w:t>
      </w:r>
      <w:r>
        <w:rPr>
          <w:rFonts w:hint="eastAsia" w:eastAsia="仿宋_GB2312"/>
          <w:color w:val="auto"/>
          <w:sz w:val="24"/>
          <w:highlight w:val="none"/>
        </w:rPr>
        <w:t>8</w:t>
      </w:r>
      <w:r>
        <w:rPr>
          <w:rFonts w:eastAsia="仿宋_GB2312"/>
          <w:color w:val="auto"/>
          <w:sz w:val="24"/>
          <w:highlight w:val="none"/>
        </w:rPr>
        <w:t>）证明</w:t>
      </w:r>
      <w:r>
        <w:rPr>
          <w:rFonts w:hint="eastAsia" w:eastAsia="仿宋_GB2312"/>
          <w:color w:val="auto"/>
          <w:sz w:val="24"/>
          <w:highlight w:val="none"/>
        </w:rPr>
        <w:t>投标人</w:t>
      </w:r>
      <w:r>
        <w:rPr>
          <w:rFonts w:eastAsia="仿宋_GB2312"/>
          <w:color w:val="auto"/>
          <w:sz w:val="24"/>
          <w:highlight w:val="none"/>
        </w:rPr>
        <w:t>符合特定资格条件的证明材料；（格式见附件6-9）</w:t>
      </w:r>
    </w:p>
    <w:p w14:paraId="665C8146">
      <w:pPr>
        <w:pStyle w:val="10"/>
        <w:tabs>
          <w:tab w:val="left" w:pos="5580"/>
        </w:tabs>
        <w:spacing w:line="360" w:lineRule="auto"/>
        <w:ind w:left="1080" w:leftChars="257" w:hanging="540"/>
        <w:rPr>
          <w:rFonts w:ascii="Times New Roman" w:hAnsi="Times New Roman" w:eastAsia="仿宋_GB2312"/>
          <w:b/>
          <w:color w:val="auto"/>
          <w:sz w:val="24"/>
          <w:highlight w:val="none"/>
        </w:rPr>
      </w:pPr>
      <w:r>
        <w:rPr>
          <w:rFonts w:ascii="Times New Roman" w:hAnsi="Times New Roman" w:eastAsia="仿宋_GB2312"/>
          <w:b/>
          <w:color w:val="auto"/>
          <w:sz w:val="24"/>
          <w:highlight w:val="none"/>
        </w:rPr>
        <w:t>要求：以上资格证明文件须加盖投标人红色公章。</w:t>
      </w:r>
    </w:p>
    <w:p w14:paraId="292B5A49">
      <w:pPr>
        <w:pStyle w:val="10"/>
        <w:tabs>
          <w:tab w:val="left" w:pos="5580"/>
        </w:tabs>
        <w:spacing w:line="360" w:lineRule="auto"/>
        <w:ind w:left="1080" w:leftChars="257" w:hanging="540"/>
        <w:rPr>
          <w:rFonts w:ascii="Times New Roman" w:hAnsi="Times New Roman" w:eastAsia="仿宋_GB2312"/>
          <w:b/>
          <w:color w:val="auto"/>
          <w:sz w:val="24"/>
          <w:highlight w:val="none"/>
        </w:rPr>
      </w:pPr>
      <w:r>
        <w:rPr>
          <w:rFonts w:ascii="Times New Roman" w:hAnsi="Times New Roman" w:eastAsia="仿宋_GB2312"/>
          <w:b/>
          <w:color w:val="auto"/>
          <w:sz w:val="24"/>
          <w:highlight w:val="none"/>
        </w:rPr>
        <w:t xml:space="preserve">     </w:t>
      </w:r>
    </w:p>
    <w:p w14:paraId="4359E135">
      <w:pPr>
        <w:rPr>
          <w:rFonts w:eastAsia="仿宋_GB2312"/>
          <w:b/>
          <w:color w:val="auto"/>
          <w:sz w:val="24"/>
          <w:szCs w:val="32"/>
          <w:highlight w:val="none"/>
        </w:rPr>
      </w:pPr>
      <w:bookmarkStart w:id="134" w:name="_Toc7005120"/>
    </w:p>
    <w:p w14:paraId="6E3C8D52">
      <w:pPr>
        <w:rPr>
          <w:rFonts w:eastAsia="仿宋_GB2312"/>
          <w:b/>
          <w:color w:val="auto"/>
          <w:sz w:val="24"/>
          <w:szCs w:val="32"/>
          <w:highlight w:val="none"/>
        </w:rPr>
      </w:pPr>
    </w:p>
    <w:p w14:paraId="36B8EC0A">
      <w:pPr>
        <w:rPr>
          <w:rFonts w:eastAsia="仿宋_GB2312"/>
          <w:b/>
          <w:color w:val="auto"/>
          <w:sz w:val="24"/>
          <w:szCs w:val="32"/>
          <w:highlight w:val="none"/>
        </w:rPr>
      </w:pPr>
    </w:p>
    <w:p w14:paraId="2BA3E3CE">
      <w:pPr>
        <w:rPr>
          <w:rFonts w:eastAsia="仿宋_GB2312"/>
          <w:b/>
          <w:color w:val="auto"/>
          <w:sz w:val="24"/>
          <w:szCs w:val="32"/>
          <w:highlight w:val="none"/>
        </w:rPr>
      </w:pPr>
    </w:p>
    <w:p w14:paraId="165338FD">
      <w:pPr>
        <w:rPr>
          <w:rFonts w:eastAsia="仿宋_GB2312"/>
          <w:b/>
          <w:color w:val="auto"/>
          <w:sz w:val="24"/>
          <w:szCs w:val="32"/>
          <w:highlight w:val="none"/>
        </w:rPr>
      </w:pPr>
    </w:p>
    <w:p w14:paraId="03F641F0">
      <w:pPr>
        <w:rPr>
          <w:rFonts w:eastAsia="仿宋_GB2312"/>
          <w:b/>
          <w:color w:val="auto"/>
          <w:sz w:val="24"/>
          <w:szCs w:val="32"/>
          <w:highlight w:val="none"/>
        </w:rPr>
      </w:pPr>
    </w:p>
    <w:p w14:paraId="5E545BA1">
      <w:pPr>
        <w:rPr>
          <w:rFonts w:eastAsia="仿宋_GB2312"/>
          <w:b/>
          <w:color w:val="auto"/>
          <w:sz w:val="24"/>
          <w:szCs w:val="32"/>
          <w:highlight w:val="none"/>
        </w:rPr>
      </w:pPr>
    </w:p>
    <w:p w14:paraId="73620473">
      <w:pPr>
        <w:rPr>
          <w:rFonts w:eastAsia="仿宋_GB2312"/>
          <w:b/>
          <w:color w:val="auto"/>
          <w:sz w:val="24"/>
          <w:szCs w:val="32"/>
          <w:highlight w:val="none"/>
        </w:rPr>
      </w:pPr>
    </w:p>
    <w:p w14:paraId="0C74D455">
      <w:pPr>
        <w:rPr>
          <w:rFonts w:eastAsia="仿宋_GB2312"/>
          <w:b/>
          <w:color w:val="auto"/>
          <w:sz w:val="24"/>
          <w:szCs w:val="32"/>
          <w:highlight w:val="none"/>
        </w:rPr>
      </w:pPr>
    </w:p>
    <w:p w14:paraId="44CF21A7">
      <w:pPr>
        <w:rPr>
          <w:rFonts w:eastAsia="仿宋_GB2312"/>
          <w:b/>
          <w:color w:val="auto"/>
          <w:sz w:val="24"/>
          <w:szCs w:val="32"/>
          <w:highlight w:val="none"/>
        </w:rPr>
      </w:pPr>
    </w:p>
    <w:p w14:paraId="29B0433A">
      <w:pPr>
        <w:rPr>
          <w:rFonts w:eastAsia="仿宋_GB2312"/>
          <w:b/>
          <w:color w:val="auto"/>
          <w:sz w:val="24"/>
          <w:szCs w:val="32"/>
          <w:highlight w:val="none"/>
        </w:rPr>
      </w:pPr>
    </w:p>
    <w:p w14:paraId="2D65C7AF">
      <w:pPr>
        <w:rPr>
          <w:rFonts w:eastAsia="仿宋_GB2312"/>
          <w:b/>
          <w:color w:val="auto"/>
          <w:sz w:val="24"/>
          <w:szCs w:val="32"/>
          <w:highlight w:val="none"/>
        </w:rPr>
      </w:pPr>
      <w:r>
        <w:rPr>
          <w:rFonts w:eastAsia="仿宋_GB2312"/>
          <w:b/>
          <w:color w:val="auto"/>
          <w:sz w:val="24"/>
          <w:szCs w:val="32"/>
          <w:highlight w:val="none"/>
        </w:rPr>
        <w:t xml:space="preserve">6-1  </w:t>
      </w:r>
      <w:r>
        <w:rPr>
          <w:rFonts w:hint="eastAsia" w:eastAsia="仿宋_GB2312"/>
          <w:b/>
          <w:color w:val="auto"/>
          <w:sz w:val="24"/>
          <w:szCs w:val="32"/>
          <w:highlight w:val="none"/>
        </w:rPr>
        <w:t>投标人</w:t>
      </w:r>
      <w:r>
        <w:rPr>
          <w:rFonts w:eastAsia="仿宋_GB2312"/>
          <w:b/>
          <w:color w:val="auto"/>
          <w:sz w:val="24"/>
          <w:szCs w:val="32"/>
          <w:highlight w:val="none"/>
        </w:rPr>
        <w:t>的企业法人营业执照副本复印件（加盖公章）</w:t>
      </w:r>
      <w:bookmarkEnd w:id="134"/>
    </w:p>
    <w:p w14:paraId="2A53032F">
      <w:pPr>
        <w:jc w:val="left"/>
        <w:rPr>
          <w:rFonts w:eastAsia="仿宋_GB2312"/>
          <w:color w:val="auto"/>
          <w:sz w:val="24"/>
          <w:highlight w:val="none"/>
        </w:rPr>
      </w:pPr>
    </w:p>
    <w:p w14:paraId="6255ECDA">
      <w:pPr>
        <w:tabs>
          <w:tab w:val="left" w:pos="993"/>
          <w:tab w:val="left" w:pos="1030"/>
          <w:tab w:val="left" w:pos="8364"/>
        </w:tabs>
        <w:snapToGrid w:val="0"/>
        <w:spacing w:after="120" w:afterLines="50"/>
        <w:ind w:right="-57" w:rightChars="-27"/>
        <w:rPr>
          <w:rFonts w:eastAsia="仿宋_GB2312"/>
          <w:color w:val="auto"/>
          <w:sz w:val="24"/>
          <w:highlight w:val="none"/>
        </w:rPr>
      </w:pPr>
      <w:r>
        <w:rPr>
          <w:rFonts w:eastAsia="仿宋_GB2312"/>
          <w:color w:val="auto"/>
          <w:sz w:val="24"/>
          <w:highlight w:val="none"/>
        </w:rPr>
        <w:t>（注：根据项目实际情况，本项内容可能要求提供“事业单位法人证书”、执业许可证、自然人身份证明等证明材料）</w:t>
      </w:r>
    </w:p>
    <w:p w14:paraId="58D02E91">
      <w:pPr>
        <w:adjustRightInd w:val="0"/>
        <w:spacing w:line="360" w:lineRule="atLeast"/>
        <w:jc w:val="left"/>
        <w:textAlignment w:val="baseline"/>
        <w:rPr>
          <w:rFonts w:eastAsia="仿宋_GB2312"/>
          <w:b/>
          <w:color w:val="auto"/>
          <w:sz w:val="28"/>
          <w:highlight w:val="none"/>
        </w:rPr>
      </w:pPr>
      <w:r>
        <w:rPr>
          <w:rFonts w:eastAsia="仿宋_GB2312"/>
          <w:b/>
          <w:color w:val="auto"/>
          <w:sz w:val="28"/>
          <w:highlight w:val="none"/>
        </w:rPr>
        <w:t xml:space="preserve"> </w:t>
      </w:r>
    </w:p>
    <w:p w14:paraId="6B108090">
      <w:pPr>
        <w:rPr>
          <w:rFonts w:hint="eastAsia" w:eastAsia="仿宋_GB2312"/>
          <w:b/>
          <w:color w:val="auto"/>
          <w:sz w:val="24"/>
          <w:szCs w:val="32"/>
          <w:highlight w:val="none"/>
        </w:rPr>
      </w:pPr>
      <w:bookmarkStart w:id="135" w:name="_Ref527015333"/>
      <w:bookmarkStart w:id="136" w:name="_Toc7005121"/>
      <w:r>
        <w:rPr>
          <w:rFonts w:eastAsia="仿宋_GB2312"/>
          <w:b/>
          <w:color w:val="auto"/>
          <w:sz w:val="24"/>
          <w:szCs w:val="32"/>
          <w:highlight w:val="none"/>
        </w:rPr>
        <w:t>6-2  经审计的财务</w:t>
      </w:r>
      <w:bookmarkEnd w:id="135"/>
      <w:bookmarkEnd w:id="136"/>
      <w:r>
        <w:rPr>
          <w:rFonts w:hint="eastAsia" w:eastAsia="仿宋_GB2312"/>
          <w:b/>
          <w:color w:val="auto"/>
          <w:sz w:val="24"/>
          <w:szCs w:val="32"/>
          <w:highlight w:val="none"/>
        </w:rPr>
        <w:t>报告</w:t>
      </w:r>
    </w:p>
    <w:p w14:paraId="0583ED62">
      <w:pPr>
        <w:spacing w:line="360" w:lineRule="auto"/>
        <w:rPr>
          <w:rFonts w:eastAsia="仿宋_GB2312"/>
          <w:color w:val="auto"/>
          <w:szCs w:val="21"/>
          <w:highlight w:val="none"/>
        </w:rPr>
      </w:pPr>
    </w:p>
    <w:p w14:paraId="5E4D20B6">
      <w:pPr>
        <w:tabs>
          <w:tab w:val="left" w:pos="993"/>
          <w:tab w:val="left" w:pos="1030"/>
          <w:tab w:val="left" w:pos="8364"/>
        </w:tabs>
        <w:snapToGrid w:val="0"/>
        <w:spacing w:after="120" w:afterLines="50"/>
        <w:ind w:right="-57" w:rightChars="-27"/>
        <w:rPr>
          <w:rFonts w:eastAsia="仿宋_GB2312"/>
          <w:color w:val="auto"/>
          <w:sz w:val="24"/>
          <w:highlight w:val="none"/>
        </w:rPr>
      </w:pPr>
      <w:r>
        <w:rPr>
          <w:rFonts w:hint="eastAsia" w:eastAsia="仿宋_GB2312"/>
          <w:color w:val="auto"/>
          <w:sz w:val="24"/>
          <w:highlight w:val="none"/>
        </w:rPr>
        <w:t>投标人</w:t>
      </w:r>
      <w:r>
        <w:rPr>
          <w:rFonts w:eastAsia="仿宋_GB2312"/>
          <w:color w:val="auto"/>
          <w:sz w:val="24"/>
          <w:highlight w:val="none"/>
        </w:rPr>
        <w:t>提供</w:t>
      </w:r>
      <w:r>
        <w:rPr>
          <w:rFonts w:hint="eastAsia" w:eastAsia="仿宋_GB2312"/>
          <w:color w:val="auto"/>
          <w:sz w:val="24"/>
          <w:highlight w:val="none"/>
          <w:lang w:val="en-US" w:eastAsia="zh-CN"/>
        </w:rPr>
        <w:t>2024年度</w:t>
      </w:r>
      <w:r>
        <w:rPr>
          <w:rFonts w:hint="eastAsia" w:eastAsia="仿宋_GB2312"/>
          <w:color w:val="auto"/>
          <w:sz w:val="24"/>
          <w:highlight w:val="none"/>
        </w:rPr>
        <w:t>经审计的财务报告</w:t>
      </w:r>
      <w:r>
        <w:rPr>
          <w:rFonts w:eastAsia="仿宋_GB2312"/>
          <w:color w:val="auto"/>
          <w:sz w:val="24"/>
          <w:highlight w:val="none"/>
        </w:rPr>
        <w:t>（</w:t>
      </w:r>
      <w:r>
        <w:rPr>
          <w:rFonts w:hint="eastAsia" w:ascii="仿宋_GB2312" w:hAnsi="仿宋_GB2312" w:eastAsia="仿宋_GB2312" w:cs="仿宋_GB2312"/>
          <w:color w:val="auto"/>
          <w:sz w:val="24"/>
          <w:highlight w:val="none"/>
        </w:rPr>
        <w:t>包括报告正文、资产负债表、现金流量表、利润表、附注和会计师事务所营业执照，报告正文应当有会计师事务所公章和2名注册会计师的签字及盖章。且审计报告应当经过注册会计师行业统一监管平台备案赋码。</w:t>
      </w:r>
      <w:r>
        <w:rPr>
          <w:rFonts w:eastAsia="仿宋_GB2312"/>
          <w:color w:val="auto"/>
          <w:sz w:val="24"/>
          <w:highlight w:val="none"/>
        </w:rPr>
        <w:t>）复印件或扫描件</w:t>
      </w:r>
      <w:r>
        <w:rPr>
          <w:rFonts w:hint="eastAsia" w:eastAsia="仿宋_GB2312"/>
          <w:color w:val="auto"/>
          <w:sz w:val="24"/>
          <w:highlight w:val="none"/>
        </w:rPr>
        <w:t>，</w:t>
      </w:r>
      <w:r>
        <w:rPr>
          <w:rFonts w:eastAsia="仿宋_GB2312"/>
          <w:color w:val="auto"/>
          <w:sz w:val="24"/>
          <w:highlight w:val="none"/>
        </w:rPr>
        <w:t>所有复印件或扫描件需加盖单位公章。</w:t>
      </w:r>
    </w:p>
    <w:p w14:paraId="4F44098E">
      <w:pPr>
        <w:rPr>
          <w:rFonts w:eastAsia="仿宋_GB2312"/>
          <w:b/>
          <w:color w:val="auto"/>
          <w:sz w:val="24"/>
          <w:szCs w:val="32"/>
          <w:highlight w:val="none"/>
        </w:rPr>
      </w:pPr>
      <w:bookmarkStart w:id="137" w:name="_Toc7005122"/>
      <w:r>
        <w:rPr>
          <w:rFonts w:eastAsia="仿宋_GB2312"/>
          <w:b/>
          <w:color w:val="auto"/>
          <w:sz w:val="24"/>
          <w:szCs w:val="32"/>
          <w:highlight w:val="none"/>
        </w:rPr>
        <w:t xml:space="preserve">或  6-2  </w:t>
      </w:r>
      <w:bookmarkEnd w:id="137"/>
      <w:r>
        <w:rPr>
          <w:rFonts w:hint="eastAsia" w:eastAsia="仿宋_GB2312"/>
          <w:b/>
          <w:color w:val="auto"/>
          <w:sz w:val="24"/>
          <w:szCs w:val="32"/>
          <w:highlight w:val="none"/>
        </w:rPr>
        <w:t>递交投标文件截止时间前三个月内投标人基本账户开户银行出具的资信证明</w:t>
      </w:r>
    </w:p>
    <w:p w14:paraId="21356454">
      <w:pPr>
        <w:spacing w:line="360" w:lineRule="auto"/>
        <w:rPr>
          <w:rFonts w:eastAsia="仿宋_GB2312"/>
          <w:color w:val="auto"/>
          <w:szCs w:val="21"/>
          <w:highlight w:val="none"/>
        </w:rPr>
      </w:pPr>
    </w:p>
    <w:p w14:paraId="214B72C7">
      <w:pPr>
        <w:rPr>
          <w:rFonts w:eastAsia="仿宋_GB2312"/>
          <w:b/>
          <w:color w:val="auto"/>
          <w:sz w:val="24"/>
          <w:szCs w:val="32"/>
          <w:highlight w:val="none"/>
        </w:rPr>
      </w:pPr>
      <w:bookmarkStart w:id="138" w:name="_Toc7005123"/>
      <w:r>
        <w:rPr>
          <w:rFonts w:eastAsia="仿宋_GB2312"/>
          <w:b/>
          <w:color w:val="auto"/>
          <w:sz w:val="24"/>
          <w:szCs w:val="32"/>
          <w:highlight w:val="none"/>
        </w:rPr>
        <w:t>6-3  依法缴纳税收的证明</w:t>
      </w:r>
      <w:bookmarkEnd w:id="138"/>
    </w:p>
    <w:p w14:paraId="1A648B53">
      <w:pPr>
        <w:tabs>
          <w:tab w:val="left" w:pos="993"/>
          <w:tab w:val="left" w:pos="1030"/>
          <w:tab w:val="left" w:pos="8364"/>
        </w:tabs>
        <w:snapToGrid w:val="0"/>
        <w:spacing w:after="120" w:afterLines="50"/>
        <w:ind w:left="420" w:right="-57" w:rightChars="-27" w:firstLine="480" w:firstLineChars="200"/>
        <w:jc w:val="left"/>
        <w:rPr>
          <w:rFonts w:eastAsia="仿宋_GB2312"/>
          <w:color w:val="auto"/>
          <w:sz w:val="24"/>
          <w:highlight w:val="none"/>
        </w:rPr>
      </w:pPr>
    </w:p>
    <w:p w14:paraId="3A74712A">
      <w:pPr>
        <w:tabs>
          <w:tab w:val="left" w:pos="993"/>
          <w:tab w:val="left" w:pos="1030"/>
          <w:tab w:val="left" w:pos="8364"/>
        </w:tabs>
        <w:snapToGrid w:val="0"/>
        <w:spacing w:after="120" w:afterLines="50"/>
        <w:ind w:right="-57" w:rightChars="-27" w:firstLine="480" w:firstLineChars="200"/>
        <w:jc w:val="left"/>
        <w:rPr>
          <w:rFonts w:eastAsia="仿宋_GB2312"/>
          <w:color w:val="auto"/>
          <w:sz w:val="24"/>
          <w:highlight w:val="none"/>
        </w:rPr>
      </w:pPr>
      <w:r>
        <w:rPr>
          <w:rFonts w:eastAsia="仿宋_GB2312"/>
          <w:color w:val="auto"/>
          <w:sz w:val="24"/>
          <w:highlight w:val="none"/>
        </w:rPr>
        <w:t>说明：</w:t>
      </w:r>
    </w:p>
    <w:p w14:paraId="0FA3EB65">
      <w:pPr>
        <w:tabs>
          <w:tab w:val="left" w:pos="993"/>
          <w:tab w:val="left" w:pos="1030"/>
          <w:tab w:val="left" w:pos="8364"/>
        </w:tabs>
        <w:snapToGrid w:val="0"/>
        <w:spacing w:after="120" w:afterLines="50"/>
        <w:ind w:left="479" w:leftChars="228" w:right="-57" w:rightChars="-27"/>
        <w:jc w:val="left"/>
        <w:rPr>
          <w:rFonts w:eastAsia="仿宋_GB2312"/>
          <w:color w:val="auto"/>
          <w:sz w:val="24"/>
          <w:highlight w:val="none"/>
        </w:rPr>
      </w:pPr>
      <w:r>
        <w:rPr>
          <w:rFonts w:eastAsia="仿宋_GB2312"/>
          <w:color w:val="auto"/>
          <w:sz w:val="24"/>
          <w:highlight w:val="none"/>
        </w:rPr>
        <w:t>1</w:t>
      </w:r>
      <w:r>
        <w:rPr>
          <w:rFonts w:hint="eastAsia" w:eastAsia="仿宋_GB2312"/>
          <w:color w:val="auto"/>
          <w:sz w:val="24"/>
          <w:highlight w:val="none"/>
        </w:rPr>
        <w:t xml:space="preserve">. </w:t>
      </w:r>
      <w:r>
        <w:rPr>
          <w:rFonts w:hint="eastAsia" w:eastAsia="仿宋_GB2312"/>
          <w:color w:val="auto"/>
          <w:sz w:val="24"/>
          <w:highlight w:val="none"/>
          <w:lang w:eastAsia="zh-CN"/>
        </w:rPr>
        <w:t>投标人</w:t>
      </w:r>
      <w:r>
        <w:rPr>
          <w:rFonts w:eastAsia="仿宋_GB2312"/>
          <w:color w:val="auto"/>
          <w:sz w:val="24"/>
          <w:highlight w:val="none"/>
        </w:rPr>
        <w:t>应提供</w:t>
      </w:r>
      <w:r>
        <w:rPr>
          <w:rFonts w:hint="eastAsia" w:eastAsia="仿宋_GB2312"/>
          <w:color w:val="auto"/>
          <w:sz w:val="24"/>
          <w:highlight w:val="none"/>
        </w:rPr>
        <w:t>自磋商响应文件递交截止时间前</w:t>
      </w:r>
      <w:r>
        <w:rPr>
          <w:rFonts w:eastAsia="仿宋_GB2312"/>
          <w:color w:val="auto"/>
          <w:sz w:val="24"/>
          <w:highlight w:val="none"/>
        </w:rPr>
        <w:t>近六个月中任何一个月缴纳</w:t>
      </w:r>
      <w:r>
        <w:rPr>
          <w:rFonts w:hint="eastAsia" w:eastAsia="仿宋_GB2312"/>
          <w:color w:val="auto"/>
          <w:sz w:val="24"/>
          <w:highlight w:val="none"/>
          <w:lang w:val="en-US" w:eastAsia="zh-CN"/>
        </w:rPr>
        <w:t>税收</w:t>
      </w:r>
      <w:r>
        <w:rPr>
          <w:rFonts w:eastAsia="仿宋_GB2312"/>
          <w:color w:val="auto"/>
          <w:sz w:val="24"/>
          <w:highlight w:val="none"/>
        </w:rPr>
        <w:t>的凭证</w:t>
      </w:r>
      <w:r>
        <w:rPr>
          <w:rFonts w:hint="eastAsia" w:eastAsia="仿宋_GB2312"/>
          <w:color w:val="auto"/>
          <w:sz w:val="24"/>
          <w:highlight w:val="none"/>
        </w:rPr>
        <w:t>，时间以税款所属时期为准</w:t>
      </w:r>
      <w:r>
        <w:rPr>
          <w:rFonts w:eastAsia="仿宋_GB2312"/>
          <w:color w:val="auto"/>
          <w:sz w:val="24"/>
          <w:highlight w:val="none"/>
        </w:rPr>
        <w:t>（银行出具的缴税凭证或税务机关出具的证明的复印件，并加盖本单位公章）。</w:t>
      </w:r>
    </w:p>
    <w:p w14:paraId="63CA7DA5">
      <w:pPr>
        <w:tabs>
          <w:tab w:val="left" w:pos="993"/>
          <w:tab w:val="left" w:pos="1030"/>
          <w:tab w:val="left" w:pos="8364"/>
        </w:tabs>
        <w:snapToGrid w:val="0"/>
        <w:spacing w:after="120" w:afterLines="50"/>
        <w:ind w:left="479" w:leftChars="228" w:right="-57" w:rightChars="-27"/>
        <w:jc w:val="left"/>
        <w:rPr>
          <w:color w:val="auto"/>
          <w:highlight w:val="none"/>
        </w:rPr>
      </w:pPr>
      <w:r>
        <w:rPr>
          <w:rFonts w:hint="eastAsia" w:eastAsia="仿宋_GB2312"/>
          <w:color w:val="auto"/>
          <w:sz w:val="24"/>
          <w:highlight w:val="none"/>
          <w:lang w:eastAsia="zh-CN"/>
        </w:rPr>
        <w:t>投标人</w:t>
      </w:r>
      <w:r>
        <w:rPr>
          <w:rFonts w:hint="eastAsia" w:eastAsia="仿宋_GB2312"/>
          <w:color w:val="auto"/>
          <w:sz w:val="24"/>
          <w:highlight w:val="none"/>
        </w:rPr>
        <w:t>采用汇算清缴方式缴纳企业所得税的，应提供自响应文件递交截止时间前近六个月中任何一个月缴纳</w:t>
      </w:r>
      <w:r>
        <w:rPr>
          <w:rFonts w:hint="eastAsia" w:eastAsia="仿宋_GB2312"/>
          <w:color w:val="auto"/>
          <w:sz w:val="24"/>
          <w:highlight w:val="none"/>
          <w:lang w:val="en-US" w:eastAsia="zh-CN"/>
        </w:rPr>
        <w:t>税收</w:t>
      </w:r>
      <w:r>
        <w:rPr>
          <w:rFonts w:hint="eastAsia" w:eastAsia="仿宋_GB2312"/>
          <w:color w:val="auto"/>
          <w:sz w:val="24"/>
          <w:highlight w:val="none"/>
        </w:rPr>
        <w:t>的凭证，时间以税款所属时期为准（银行出具的缴税凭证或税务机关出具的证明的复印件，并加盖本单位公章）。</w:t>
      </w:r>
    </w:p>
    <w:p w14:paraId="0030B41E">
      <w:pPr>
        <w:tabs>
          <w:tab w:val="left" w:pos="993"/>
          <w:tab w:val="left" w:pos="1030"/>
          <w:tab w:val="left" w:pos="8364"/>
        </w:tabs>
        <w:snapToGrid w:val="0"/>
        <w:spacing w:after="120" w:afterLines="50"/>
        <w:ind w:right="-57" w:rightChars="-27" w:firstLine="480" w:firstLineChars="200"/>
        <w:jc w:val="left"/>
        <w:rPr>
          <w:rFonts w:eastAsia="仿宋_GB2312"/>
          <w:color w:val="auto"/>
          <w:sz w:val="24"/>
          <w:highlight w:val="none"/>
        </w:rPr>
      </w:pPr>
      <w:r>
        <w:rPr>
          <w:rFonts w:eastAsia="仿宋_GB2312"/>
          <w:color w:val="auto"/>
          <w:sz w:val="24"/>
          <w:highlight w:val="none"/>
        </w:rPr>
        <w:t>2</w:t>
      </w:r>
      <w:r>
        <w:rPr>
          <w:rFonts w:hint="eastAsia" w:eastAsia="仿宋_GB2312"/>
          <w:color w:val="auto"/>
          <w:sz w:val="24"/>
          <w:highlight w:val="none"/>
        </w:rPr>
        <w:t xml:space="preserve">. </w:t>
      </w:r>
      <w:r>
        <w:rPr>
          <w:rFonts w:eastAsia="仿宋_GB2312"/>
          <w:color w:val="auto"/>
          <w:sz w:val="24"/>
          <w:highlight w:val="none"/>
        </w:rPr>
        <w:t>依法免税</w:t>
      </w:r>
      <w:r>
        <w:rPr>
          <w:rFonts w:hint="eastAsia" w:eastAsia="仿宋_GB2312"/>
          <w:color w:val="auto"/>
          <w:sz w:val="24"/>
          <w:highlight w:val="none"/>
        </w:rPr>
        <w:t>或无须缴纳税收</w:t>
      </w:r>
      <w:r>
        <w:rPr>
          <w:rFonts w:eastAsia="仿宋_GB2312"/>
          <w:color w:val="auto"/>
          <w:sz w:val="24"/>
          <w:highlight w:val="none"/>
        </w:rPr>
        <w:t>的</w:t>
      </w:r>
      <w:r>
        <w:rPr>
          <w:rFonts w:hint="eastAsia" w:eastAsia="仿宋_GB2312"/>
          <w:color w:val="auto"/>
          <w:sz w:val="24"/>
          <w:highlight w:val="none"/>
          <w:lang w:val="en-US" w:eastAsia="zh-CN"/>
        </w:rPr>
        <w:t>投标人</w:t>
      </w:r>
      <w:r>
        <w:rPr>
          <w:rFonts w:eastAsia="仿宋_GB2312"/>
          <w:color w:val="auto"/>
          <w:sz w:val="24"/>
          <w:highlight w:val="none"/>
        </w:rPr>
        <w:t>，应提供相应证明</w:t>
      </w:r>
      <w:r>
        <w:rPr>
          <w:rFonts w:hint="eastAsia" w:eastAsia="仿宋_GB2312"/>
          <w:color w:val="auto"/>
          <w:sz w:val="24"/>
          <w:highlight w:val="none"/>
          <w:lang w:val="en-US" w:eastAsia="zh-CN"/>
        </w:rPr>
        <w:t>文件</w:t>
      </w:r>
      <w:r>
        <w:rPr>
          <w:rFonts w:eastAsia="仿宋_GB2312"/>
          <w:color w:val="auto"/>
          <w:sz w:val="24"/>
          <w:highlight w:val="none"/>
        </w:rPr>
        <w:t>。</w:t>
      </w:r>
    </w:p>
    <w:p w14:paraId="01C50455">
      <w:pPr>
        <w:tabs>
          <w:tab w:val="left" w:pos="993"/>
          <w:tab w:val="left" w:pos="1030"/>
          <w:tab w:val="left" w:pos="8364"/>
        </w:tabs>
        <w:snapToGrid w:val="0"/>
        <w:spacing w:after="120" w:afterLines="50"/>
        <w:ind w:left="420" w:right="-57" w:rightChars="-27" w:firstLine="480" w:firstLineChars="200"/>
        <w:jc w:val="left"/>
        <w:rPr>
          <w:rFonts w:eastAsia="仿宋_GB2312"/>
          <w:color w:val="auto"/>
          <w:sz w:val="24"/>
          <w:highlight w:val="none"/>
        </w:rPr>
      </w:pPr>
    </w:p>
    <w:p w14:paraId="47ED85D4">
      <w:pPr>
        <w:rPr>
          <w:rFonts w:eastAsia="仿宋_GB2312"/>
          <w:b/>
          <w:color w:val="auto"/>
          <w:highlight w:val="none"/>
        </w:rPr>
      </w:pPr>
    </w:p>
    <w:p w14:paraId="4E6359A8">
      <w:pPr>
        <w:rPr>
          <w:rFonts w:eastAsia="仿宋_GB2312"/>
          <w:b/>
          <w:color w:val="auto"/>
          <w:sz w:val="24"/>
          <w:szCs w:val="32"/>
          <w:highlight w:val="none"/>
        </w:rPr>
      </w:pPr>
      <w:bookmarkStart w:id="139" w:name="_Toc7005124"/>
      <w:r>
        <w:rPr>
          <w:rFonts w:eastAsia="仿宋_GB2312"/>
          <w:b/>
          <w:color w:val="auto"/>
          <w:sz w:val="24"/>
          <w:szCs w:val="32"/>
          <w:highlight w:val="none"/>
        </w:rPr>
        <w:t>6-4  社会保障资金缴纳记录</w:t>
      </w:r>
      <w:bookmarkEnd w:id="139"/>
    </w:p>
    <w:p w14:paraId="7C763F07">
      <w:pPr>
        <w:tabs>
          <w:tab w:val="left" w:pos="993"/>
          <w:tab w:val="left" w:pos="1030"/>
          <w:tab w:val="left" w:pos="8364"/>
        </w:tabs>
        <w:snapToGrid w:val="0"/>
        <w:spacing w:after="120" w:afterLines="50"/>
        <w:ind w:left="420" w:leftChars="200" w:right="-57" w:rightChars="-27"/>
        <w:jc w:val="left"/>
        <w:rPr>
          <w:rFonts w:eastAsia="仿宋_GB2312"/>
          <w:color w:val="auto"/>
          <w:sz w:val="24"/>
          <w:highlight w:val="none"/>
        </w:rPr>
      </w:pPr>
      <w:r>
        <w:rPr>
          <w:rFonts w:eastAsia="仿宋_GB2312"/>
          <w:color w:val="auto"/>
          <w:sz w:val="24"/>
          <w:highlight w:val="none"/>
        </w:rPr>
        <w:cr/>
      </w:r>
      <w:bookmarkStart w:id="140" w:name="_Toc7005125"/>
      <w:r>
        <w:rPr>
          <w:rFonts w:eastAsia="仿宋_GB2312"/>
          <w:color w:val="auto"/>
          <w:sz w:val="24"/>
          <w:highlight w:val="none"/>
        </w:rPr>
        <w:t>说明：</w:t>
      </w:r>
    </w:p>
    <w:p w14:paraId="294D76AE">
      <w:pPr>
        <w:tabs>
          <w:tab w:val="left" w:pos="993"/>
          <w:tab w:val="left" w:pos="1030"/>
          <w:tab w:val="left" w:pos="8364"/>
        </w:tabs>
        <w:snapToGrid w:val="0"/>
        <w:spacing w:after="120" w:afterLines="50"/>
        <w:ind w:right="-57" w:rightChars="-27"/>
        <w:jc w:val="left"/>
        <w:rPr>
          <w:rFonts w:eastAsia="仿宋_GB2312"/>
          <w:color w:val="auto"/>
          <w:sz w:val="24"/>
          <w:highlight w:val="none"/>
        </w:rPr>
      </w:pPr>
      <w:r>
        <w:rPr>
          <w:rFonts w:hint="eastAsia" w:eastAsia="仿宋_GB2312"/>
          <w:color w:val="auto"/>
          <w:sz w:val="24"/>
          <w:highlight w:val="none"/>
        </w:rPr>
        <w:t xml:space="preserve">1. </w:t>
      </w:r>
      <w:r>
        <w:rPr>
          <w:rFonts w:hint="eastAsia" w:eastAsia="仿宋_GB2312"/>
          <w:color w:val="auto"/>
          <w:sz w:val="24"/>
          <w:highlight w:val="none"/>
          <w:lang w:eastAsia="zh-CN"/>
        </w:rPr>
        <w:t>投标人</w:t>
      </w:r>
      <w:r>
        <w:rPr>
          <w:rFonts w:eastAsia="仿宋_GB2312"/>
          <w:color w:val="auto"/>
          <w:sz w:val="24"/>
          <w:highlight w:val="none"/>
        </w:rPr>
        <w:t>应提供</w:t>
      </w:r>
      <w:r>
        <w:rPr>
          <w:rFonts w:hint="eastAsia" w:eastAsia="仿宋_GB2312"/>
          <w:color w:val="auto"/>
          <w:sz w:val="24"/>
          <w:highlight w:val="none"/>
        </w:rPr>
        <w:t>自磋商响应文件递交截止时间前近</w:t>
      </w:r>
      <w:r>
        <w:rPr>
          <w:rFonts w:eastAsia="仿宋_GB2312"/>
          <w:color w:val="auto"/>
          <w:sz w:val="24"/>
          <w:highlight w:val="none"/>
        </w:rPr>
        <w:t>六个月中至少一个月的社会缴纳社会保险的凭据（专用收据或社会保险缴纳清单），并加盖本单位公章。</w:t>
      </w:r>
    </w:p>
    <w:p w14:paraId="1328D7DD">
      <w:pPr>
        <w:tabs>
          <w:tab w:val="left" w:pos="993"/>
          <w:tab w:val="left" w:pos="1030"/>
          <w:tab w:val="left" w:pos="8364"/>
        </w:tabs>
        <w:snapToGrid w:val="0"/>
        <w:spacing w:after="120" w:afterLines="50"/>
        <w:ind w:right="-57" w:rightChars="-27"/>
        <w:jc w:val="left"/>
        <w:rPr>
          <w:rFonts w:eastAsia="仿宋_GB2312"/>
          <w:color w:val="auto"/>
          <w:sz w:val="24"/>
          <w:highlight w:val="none"/>
        </w:rPr>
      </w:pPr>
      <w:r>
        <w:rPr>
          <w:rFonts w:hint="eastAsia" w:eastAsia="仿宋_GB2312"/>
          <w:color w:val="auto"/>
          <w:sz w:val="24"/>
          <w:highlight w:val="none"/>
        </w:rPr>
        <w:t xml:space="preserve">2. </w:t>
      </w:r>
      <w:r>
        <w:rPr>
          <w:rFonts w:eastAsia="仿宋_GB2312"/>
          <w:color w:val="auto"/>
          <w:sz w:val="24"/>
          <w:highlight w:val="none"/>
        </w:rPr>
        <w:t>不需要缴纳社会保障资金的</w:t>
      </w:r>
      <w:r>
        <w:rPr>
          <w:rFonts w:hint="eastAsia" w:eastAsia="仿宋_GB2312"/>
          <w:color w:val="auto"/>
          <w:sz w:val="24"/>
          <w:highlight w:val="none"/>
          <w:lang w:eastAsia="zh-CN"/>
        </w:rPr>
        <w:t>投标人</w:t>
      </w:r>
      <w:r>
        <w:rPr>
          <w:rFonts w:eastAsia="仿宋_GB2312"/>
          <w:color w:val="auto"/>
          <w:sz w:val="24"/>
          <w:highlight w:val="none"/>
        </w:rPr>
        <w:t>，应提供相应文件证明其不需要缴纳社会保障资金。</w:t>
      </w:r>
    </w:p>
    <w:p w14:paraId="6DAE7EAC">
      <w:pPr>
        <w:rPr>
          <w:rFonts w:eastAsia="仿宋_GB2312"/>
          <w:b/>
          <w:color w:val="auto"/>
          <w:sz w:val="24"/>
          <w:highlight w:val="none"/>
        </w:rPr>
      </w:pPr>
    </w:p>
    <w:p w14:paraId="20A0BED5">
      <w:pPr>
        <w:rPr>
          <w:rFonts w:eastAsia="仿宋_GB2312"/>
          <w:b/>
          <w:color w:val="auto"/>
          <w:sz w:val="24"/>
          <w:highlight w:val="none"/>
        </w:rPr>
      </w:pPr>
    </w:p>
    <w:p w14:paraId="5F6A1BFE">
      <w:pPr>
        <w:rPr>
          <w:rFonts w:eastAsia="仿宋_GB2312"/>
          <w:b/>
          <w:color w:val="auto"/>
          <w:sz w:val="24"/>
          <w:highlight w:val="none"/>
        </w:rPr>
      </w:pPr>
      <w:r>
        <w:rPr>
          <w:rFonts w:eastAsia="仿宋_GB2312"/>
          <w:b/>
          <w:color w:val="auto"/>
          <w:sz w:val="24"/>
          <w:highlight w:val="none"/>
        </w:rPr>
        <w:t>6-5  具备履行合同所必需的设备和专业技术能力承诺书</w:t>
      </w:r>
      <w:bookmarkEnd w:id="140"/>
      <w:r>
        <w:rPr>
          <w:rFonts w:eastAsia="仿宋_GB2312"/>
          <w:b/>
          <w:color w:val="auto"/>
          <w:sz w:val="24"/>
          <w:highlight w:val="none"/>
        </w:rPr>
        <w:t xml:space="preserve">                                                                                                                                                                                                                                                                                                                                                                                                                                                                                                                                                                                                                                                                                                      </w:t>
      </w:r>
    </w:p>
    <w:p w14:paraId="2D42E54B">
      <w:pPr>
        <w:ind w:firstLine="480"/>
        <w:rPr>
          <w:rFonts w:eastAsia="仿宋_GB2312"/>
          <w:color w:val="auto"/>
          <w:kern w:val="0"/>
          <w:sz w:val="24"/>
          <w:highlight w:val="none"/>
        </w:rPr>
      </w:pPr>
    </w:p>
    <w:p w14:paraId="7F1B24B4">
      <w:pPr>
        <w:ind w:firstLine="480"/>
        <w:rPr>
          <w:rFonts w:eastAsia="仿宋_GB2312"/>
          <w:color w:val="auto"/>
          <w:kern w:val="0"/>
          <w:sz w:val="24"/>
          <w:highlight w:val="none"/>
        </w:rPr>
      </w:pPr>
    </w:p>
    <w:p w14:paraId="716A6484">
      <w:pPr>
        <w:rPr>
          <w:rFonts w:eastAsia="仿宋_GB2312"/>
          <w:color w:val="auto"/>
          <w:kern w:val="0"/>
          <w:sz w:val="24"/>
          <w:highlight w:val="none"/>
        </w:rPr>
      </w:pPr>
      <w:r>
        <w:rPr>
          <w:rFonts w:eastAsia="仿宋_GB2312"/>
          <w:color w:val="auto"/>
          <w:kern w:val="0"/>
          <w:sz w:val="24"/>
          <w:highlight w:val="none"/>
        </w:rPr>
        <w:t xml:space="preserve">陕西省采购招标有限责任公司：   </w:t>
      </w:r>
    </w:p>
    <w:p w14:paraId="54503EF1">
      <w:pPr>
        <w:ind w:firstLine="480"/>
        <w:rPr>
          <w:rFonts w:eastAsia="仿宋_GB2312"/>
          <w:color w:val="auto"/>
          <w:kern w:val="0"/>
          <w:sz w:val="24"/>
          <w:highlight w:val="none"/>
        </w:rPr>
      </w:pPr>
    </w:p>
    <w:p w14:paraId="48C3546F">
      <w:pPr>
        <w:ind w:firstLine="480"/>
        <w:rPr>
          <w:rFonts w:eastAsia="仿宋_GB2312"/>
          <w:color w:val="auto"/>
          <w:kern w:val="0"/>
          <w:sz w:val="24"/>
          <w:highlight w:val="none"/>
        </w:rPr>
      </w:pPr>
      <w:r>
        <w:rPr>
          <w:rFonts w:eastAsia="仿宋_GB2312"/>
          <w:color w:val="auto"/>
          <w:kern w:val="0"/>
          <w:sz w:val="24"/>
          <w:highlight w:val="none"/>
        </w:rPr>
        <w:t>我公司承诺</w:t>
      </w:r>
      <w:r>
        <w:rPr>
          <w:rFonts w:eastAsia="仿宋_GB2312"/>
          <w:color w:val="auto"/>
          <w:sz w:val="24"/>
          <w:highlight w:val="none"/>
        </w:rPr>
        <w:t>具备履行合同所必需的设备和专业技术能力</w:t>
      </w:r>
      <w:r>
        <w:rPr>
          <w:rFonts w:eastAsia="仿宋_GB2312"/>
          <w:color w:val="auto"/>
          <w:kern w:val="0"/>
          <w:sz w:val="24"/>
          <w:highlight w:val="none"/>
        </w:rPr>
        <w:t>。</w:t>
      </w:r>
    </w:p>
    <w:p w14:paraId="2005CAA5">
      <w:pPr>
        <w:ind w:firstLine="480"/>
        <w:rPr>
          <w:rFonts w:eastAsia="仿宋_GB2312"/>
          <w:b/>
          <w:color w:val="auto"/>
          <w:sz w:val="24"/>
          <w:highlight w:val="none"/>
        </w:rPr>
      </w:pPr>
    </w:p>
    <w:p w14:paraId="5534207A">
      <w:pPr>
        <w:ind w:firstLine="480"/>
        <w:rPr>
          <w:rFonts w:eastAsia="仿宋_GB2312"/>
          <w:b/>
          <w:color w:val="auto"/>
          <w:sz w:val="24"/>
          <w:highlight w:val="none"/>
        </w:rPr>
      </w:pPr>
    </w:p>
    <w:p w14:paraId="5030528B">
      <w:pPr>
        <w:spacing w:before="120" w:after="120" w:line="360" w:lineRule="auto"/>
        <w:ind w:firstLine="480" w:firstLineChars="200"/>
        <w:rPr>
          <w:rFonts w:eastAsia="仿宋_GB2312"/>
          <w:color w:val="auto"/>
          <w:sz w:val="24"/>
          <w:highlight w:val="none"/>
          <w:u w:val="single"/>
        </w:rPr>
      </w:pPr>
      <w:r>
        <w:rPr>
          <w:rFonts w:hint="eastAsia" w:eastAsia="仿宋_GB2312"/>
          <w:color w:val="auto"/>
          <w:sz w:val="24"/>
          <w:highlight w:val="none"/>
        </w:rPr>
        <w:t>投标人</w:t>
      </w:r>
      <w:r>
        <w:rPr>
          <w:rFonts w:eastAsia="仿宋_GB2312"/>
          <w:color w:val="auto"/>
          <w:sz w:val="24"/>
          <w:highlight w:val="none"/>
        </w:rPr>
        <w:t>（</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14:paraId="7FBC9B7C">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22E64798">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14:paraId="28FEA9CF">
      <w:pPr>
        <w:ind w:right="280"/>
        <w:rPr>
          <w:rFonts w:eastAsia="仿宋_GB2312"/>
          <w:color w:val="auto"/>
          <w:sz w:val="24"/>
          <w:highlight w:val="none"/>
        </w:rPr>
      </w:pPr>
    </w:p>
    <w:p w14:paraId="595BE5A3">
      <w:pPr>
        <w:tabs>
          <w:tab w:val="left" w:pos="5580"/>
        </w:tabs>
        <w:spacing w:before="120" w:line="360" w:lineRule="auto"/>
        <w:ind w:firstLine="480" w:firstLineChars="200"/>
        <w:rPr>
          <w:rFonts w:eastAsia="仿宋_GB2312"/>
          <w:color w:val="auto"/>
          <w:sz w:val="24"/>
          <w:highlight w:val="none"/>
        </w:rPr>
      </w:pPr>
    </w:p>
    <w:p w14:paraId="7CB4BA95">
      <w:pPr>
        <w:widowControl/>
        <w:jc w:val="left"/>
        <w:rPr>
          <w:rFonts w:eastAsia="仿宋_GB2312"/>
          <w:b/>
          <w:color w:val="auto"/>
          <w:sz w:val="24"/>
          <w:highlight w:val="none"/>
        </w:rPr>
      </w:pPr>
    </w:p>
    <w:p w14:paraId="77EF0111">
      <w:pPr>
        <w:rPr>
          <w:rFonts w:eastAsia="仿宋_GB2312"/>
          <w:b/>
          <w:color w:val="auto"/>
          <w:sz w:val="24"/>
          <w:szCs w:val="32"/>
          <w:highlight w:val="none"/>
        </w:rPr>
      </w:pPr>
      <w:bookmarkStart w:id="141" w:name="_Toc7005126"/>
      <w:r>
        <w:rPr>
          <w:rFonts w:eastAsia="仿宋_GB2312"/>
          <w:b/>
          <w:color w:val="auto"/>
          <w:sz w:val="24"/>
          <w:szCs w:val="32"/>
          <w:highlight w:val="none"/>
        </w:rPr>
        <w:t xml:space="preserve"> </w:t>
      </w:r>
      <w:bookmarkStart w:id="142" w:name="_Toc60929131"/>
      <w:bookmarkStart w:id="143" w:name="_Toc60928899"/>
      <w:bookmarkStart w:id="144" w:name="_Toc60928818"/>
      <w:r>
        <w:rPr>
          <w:rFonts w:eastAsia="仿宋_GB2312"/>
          <w:b/>
          <w:color w:val="auto"/>
          <w:sz w:val="24"/>
          <w:szCs w:val="32"/>
          <w:highlight w:val="none"/>
        </w:rPr>
        <w:t xml:space="preserve">6-6  </w:t>
      </w:r>
      <w:r>
        <w:rPr>
          <w:rFonts w:hint="eastAsia" w:eastAsia="仿宋_GB2312"/>
          <w:b/>
          <w:color w:val="auto"/>
          <w:sz w:val="24"/>
          <w:szCs w:val="32"/>
          <w:highlight w:val="none"/>
        </w:rPr>
        <w:t>投标人</w:t>
      </w:r>
      <w:r>
        <w:rPr>
          <w:rFonts w:eastAsia="仿宋_GB2312"/>
          <w:b/>
          <w:color w:val="auto"/>
          <w:sz w:val="24"/>
          <w:szCs w:val="32"/>
          <w:highlight w:val="none"/>
        </w:rPr>
        <w:t>参加政府采购活动前3年内在经营活动中没有重大违法记录的书面声明</w:t>
      </w:r>
      <w:bookmarkEnd w:id="141"/>
      <w:bookmarkEnd w:id="142"/>
      <w:bookmarkEnd w:id="143"/>
      <w:bookmarkEnd w:id="144"/>
    </w:p>
    <w:p w14:paraId="6B86605B">
      <w:pPr>
        <w:jc w:val="center"/>
        <w:rPr>
          <w:rFonts w:eastAsia="仿宋_GB2312"/>
          <w:color w:val="auto"/>
          <w:sz w:val="24"/>
          <w:highlight w:val="none"/>
        </w:rPr>
      </w:pPr>
    </w:p>
    <w:p w14:paraId="0B825FB8">
      <w:pPr>
        <w:tabs>
          <w:tab w:val="left" w:pos="5580"/>
        </w:tabs>
        <w:spacing w:before="120" w:line="360" w:lineRule="auto"/>
        <w:rPr>
          <w:rFonts w:eastAsia="仿宋_GB2312"/>
          <w:color w:val="auto"/>
          <w:sz w:val="24"/>
          <w:highlight w:val="none"/>
        </w:rPr>
      </w:pPr>
      <w:r>
        <w:rPr>
          <w:rFonts w:eastAsia="仿宋_GB2312"/>
          <w:color w:val="auto"/>
          <w:sz w:val="24"/>
          <w:highlight w:val="none"/>
        </w:rPr>
        <w:t xml:space="preserve">陕西省采购招标有限责任公司：  </w:t>
      </w:r>
    </w:p>
    <w:p w14:paraId="353251D5">
      <w:pPr>
        <w:tabs>
          <w:tab w:val="left" w:pos="5580"/>
        </w:tabs>
        <w:spacing w:before="120" w:line="360" w:lineRule="auto"/>
        <w:ind w:firstLine="480" w:firstLineChars="200"/>
        <w:rPr>
          <w:rFonts w:eastAsia="仿宋_GB2312"/>
          <w:color w:val="auto"/>
          <w:sz w:val="24"/>
          <w:highlight w:val="none"/>
        </w:rPr>
      </w:pPr>
      <w:r>
        <w:rPr>
          <w:rFonts w:hint="eastAsia" w:eastAsia="仿宋_GB2312"/>
          <w:color w:val="auto"/>
          <w:sz w:val="24"/>
          <w:highlight w:val="none"/>
        </w:rPr>
        <w:t>我公司郑重承诺在参加本项目政府采购活动前三年内，在经营活动中无重大违法记录。</w:t>
      </w:r>
    </w:p>
    <w:p w14:paraId="15C656B3">
      <w:pPr>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特此声明。</w:t>
      </w:r>
    </w:p>
    <w:p w14:paraId="03CAE0C2">
      <w:pPr>
        <w:tabs>
          <w:tab w:val="left" w:pos="5580"/>
        </w:tabs>
        <w:spacing w:before="120" w:line="360" w:lineRule="auto"/>
        <w:ind w:firstLine="480" w:firstLineChars="200"/>
        <w:rPr>
          <w:rFonts w:eastAsia="仿宋_GB2312"/>
          <w:color w:val="auto"/>
          <w:sz w:val="24"/>
          <w:highlight w:val="none"/>
        </w:rPr>
      </w:pPr>
    </w:p>
    <w:p w14:paraId="0DDB519C">
      <w:pPr>
        <w:spacing w:before="120" w:after="120" w:line="360" w:lineRule="auto"/>
        <w:ind w:firstLine="480" w:firstLineChars="200"/>
        <w:rPr>
          <w:rFonts w:eastAsia="仿宋_GB2312"/>
          <w:color w:val="auto"/>
          <w:sz w:val="24"/>
          <w:highlight w:val="none"/>
          <w:u w:val="single"/>
        </w:rPr>
      </w:pPr>
      <w:r>
        <w:rPr>
          <w:rFonts w:hint="eastAsia" w:eastAsia="仿宋_GB2312"/>
          <w:color w:val="auto"/>
          <w:sz w:val="24"/>
          <w:highlight w:val="none"/>
        </w:rPr>
        <w:t>投标人</w:t>
      </w:r>
      <w:r>
        <w:rPr>
          <w:rFonts w:eastAsia="仿宋_GB2312"/>
          <w:color w:val="auto"/>
          <w:sz w:val="24"/>
          <w:highlight w:val="none"/>
        </w:rPr>
        <w:t>（</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14:paraId="792A3DBC">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0467EC18">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14:paraId="4CB54391">
      <w:pPr>
        <w:spacing w:after="120"/>
        <w:rPr>
          <w:rFonts w:eastAsia="仿宋_GB2312"/>
          <w:color w:val="auto"/>
          <w:highlight w:val="none"/>
        </w:rPr>
      </w:pPr>
    </w:p>
    <w:p w14:paraId="7C351E7F">
      <w:pPr>
        <w:jc w:val="left"/>
        <w:rPr>
          <w:rFonts w:eastAsia="仿宋_GB2312"/>
          <w:b/>
          <w:color w:val="auto"/>
          <w:highlight w:val="none"/>
        </w:rPr>
      </w:pPr>
      <w:bookmarkStart w:id="145" w:name="_Toc60928900"/>
      <w:bookmarkStart w:id="146" w:name="_Toc7005127"/>
      <w:bookmarkStart w:id="147" w:name="_Toc60928819"/>
      <w:bookmarkStart w:id="148" w:name="_Toc60929132"/>
    </w:p>
    <w:p w14:paraId="6E88FC0C">
      <w:pPr>
        <w:rPr>
          <w:rFonts w:eastAsia="仿宋_GB2312"/>
          <w:b/>
          <w:color w:val="auto"/>
          <w:highlight w:val="none"/>
        </w:rPr>
      </w:pPr>
    </w:p>
    <w:p w14:paraId="53A09E37">
      <w:pPr>
        <w:rPr>
          <w:rFonts w:eastAsia="仿宋_GB2312"/>
          <w:b/>
          <w:color w:val="auto"/>
          <w:sz w:val="24"/>
          <w:szCs w:val="32"/>
          <w:highlight w:val="none"/>
        </w:rPr>
      </w:pPr>
      <w:r>
        <w:rPr>
          <w:rFonts w:eastAsia="仿宋_GB2312"/>
          <w:b/>
          <w:color w:val="auto"/>
          <w:sz w:val="24"/>
          <w:szCs w:val="32"/>
          <w:highlight w:val="none"/>
        </w:rPr>
        <w:t xml:space="preserve">6-7  </w:t>
      </w:r>
      <w:r>
        <w:rPr>
          <w:rFonts w:hint="eastAsia" w:eastAsia="仿宋_GB2312"/>
          <w:b/>
          <w:color w:val="auto"/>
          <w:sz w:val="24"/>
          <w:szCs w:val="32"/>
          <w:highlight w:val="none"/>
        </w:rPr>
        <w:t>投标人</w:t>
      </w:r>
      <w:r>
        <w:rPr>
          <w:rFonts w:eastAsia="仿宋_GB2312"/>
          <w:b/>
          <w:color w:val="auto"/>
          <w:sz w:val="24"/>
          <w:szCs w:val="32"/>
          <w:highlight w:val="none"/>
        </w:rPr>
        <w:t>控股股东名称、控股公司的名称和存在管理、被管理关系的单位名称说明</w:t>
      </w:r>
      <w:bookmarkEnd w:id="145"/>
      <w:bookmarkEnd w:id="146"/>
      <w:bookmarkEnd w:id="147"/>
      <w:bookmarkEnd w:id="148"/>
    </w:p>
    <w:p w14:paraId="14E673EA">
      <w:pPr>
        <w:ind w:firstLine="420"/>
        <w:rPr>
          <w:rFonts w:eastAsia="仿宋_GB2312"/>
          <w:color w:val="auto"/>
          <w:szCs w:val="21"/>
          <w:highlight w:val="none"/>
        </w:rPr>
      </w:pPr>
    </w:p>
    <w:p w14:paraId="2C6532C7">
      <w:pPr>
        <w:rPr>
          <w:rFonts w:eastAsia="仿宋_GB2312"/>
          <w:color w:val="auto"/>
          <w:sz w:val="24"/>
          <w:highlight w:val="none"/>
        </w:rPr>
      </w:pPr>
    </w:p>
    <w:p w14:paraId="0C8B9E96">
      <w:pPr>
        <w:rPr>
          <w:rFonts w:eastAsia="仿宋_GB2312"/>
          <w:color w:val="auto"/>
          <w:sz w:val="24"/>
          <w:highlight w:val="none"/>
        </w:rPr>
      </w:pPr>
      <w:r>
        <w:rPr>
          <w:rFonts w:eastAsia="仿宋_GB2312"/>
          <w:color w:val="auto"/>
          <w:sz w:val="24"/>
          <w:highlight w:val="none"/>
        </w:rPr>
        <w:t>陕西省采购招标有限责任公司：</w:t>
      </w:r>
    </w:p>
    <w:p w14:paraId="790D572E">
      <w:pPr>
        <w:pStyle w:val="2"/>
        <w:tabs>
          <w:tab w:val="left" w:pos="567"/>
        </w:tabs>
        <w:rPr>
          <w:rFonts w:ascii="Times New Roman" w:hAnsi="Times New Roman"/>
          <w:color w:val="auto"/>
          <w:highlight w:val="none"/>
        </w:rPr>
      </w:pPr>
    </w:p>
    <w:p w14:paraId="36971745">
      <w:pPr>
        <w:ind w:firstLine="426"/>
        <w:rPr>
          <w:rFonts w:eastAsia="仿宋_GB2312"/>
          <w:color w:val="auto"/>
          <w:sz w:val="24"/>
          <w:highlight w:val="none"/>
        </w:rPr>
      </w:pPr>
      <w:r>
        <w:rPr>
          <w:rFonts w:eastAsia="仿宋_GB2312"/>
          <w:color w:val="auto"/>
          <w:sz w:val="24"/>
          <w:highlight w:val="none"/>
        </w:rPr>
        <w:t>与我方的法定代表人（单位负责人）为同一人的企业如下：</w:t>
      </w:r>
    </w:p>
    <w:p w14:paraId="56249DF7">
      <w:pPr>
        <w:ind w:firstLine="426"/>
        <w:rPr>
          <w:rFonts w:eastAsia="仿宋_GB2312"/>
          <w:color w:val="auto"/>
          <w:sz w:val="24"/>
          <w:highlight w:val="none"/>
        </w:rPr>
      </w:pPr>
    </w:p>
    <w:p w14:paraId="1DCD171D">
      <w:pPr>
        <w:ind w:firstLine="426"/>
        <w:rPr>
          <w:rFonts w:eastAsia="仿宋_GB2312"/>
          <w:color w:val="auto"/>
          <w:sz w:val="24"/>
          <w:highlight w:val="none"/>
        </w:rPr>
      </w:pPr>
      <w:r>
        <w:rPr>
          <w:rFonts w:eastAsia="仿宋_GB2312"/>
          <w:color w:val="auto"/>
          <w:sz w:val="24"/>
          <w:highlight w:val="none"/>
        </w:rPr>
        <w:t>我方的控股股东如下：</w:t>
      </w:r>
    </w:p>
    <w:p w14:paraId="3027B675">
      <w:pPr>
        <w:ind w:firstLine="426"/>
        <w:rPr>
          <w:rFonts w:eastAsia="仿宋_GB2312"/>
          <w:color w:val="auto"/>
          <w:sz w:val="24"/>
          <w:highlight w:val="none"/>
        </w:rPr>
      </w:pPr>
    </w:p>
    <w:p w14:paraId="0949D6C2">
      <w:pPr>
        <w:ind w:firstLine="426"/>
        <w:rPr>
          <w:rFonts w:eastAsia="仿宋_GB2312"/>
          <w:color w:val="auto"/>
          <w:sz w:val="24"/>
          <w:highlight w:val="none"/>
        </w:rPr>
      </w:pPr>
      <w:r>
        <w:rPr>
          <w:rFonts w:eastAsia="仿宋_GB2312"/>
          <w:color w:val="auto"/>
          <w:sz w:val="24"/>
          <w:highlight w:val="none"/>
        </w:rPr>
        <w:t>我方直接控股的企业如下：</w:t>
      </w:r>
    </w:p>
    <w:p w14:paraId="2A826EF3">
      <w:pPr>
        <w:ind w:firstLine="426"/>
        <w:rPr>
          <w:rFonts w:eastAsia="仿宋_GB2312"/>
          <w:color w:val="auto"/>
          <w:sz w:val="24"/>
          <w:highlight w:val="none"/>
        </w:rPr>
      </w:pPr>
    </w:p>
    <w:p w14:paraId="28F91F3C">
      <w:pPr>
        <w:ind w:firstLine="426"/>
        <w:rPr>
          <w:rFonts w:eastAsia="仿宋_GB2312"/>
          <w:color w:val="auto"/>
          <w:sz w:val="24"/>
          <w:highlight w:val="none"/>
        </w:rPr>
      </w:pPr>
      <w:r>
        <w:rPr>
          <w:rFonts w:eastAsia="仿宋_GB2312"/>
          <w:color w:val="auto"/>
          <w:sz w:val="24"/>
          <w:highlight w:val="none"/>
        </w:rPr>
        <w:t>与我方存在管理、被管理关系的单位名称如下：</w:t>
      </w:r>
    </w:p>
    <w:p w14:paraId="01BED258">
      <w:pPr>
        <w:ind w:firstLine="426"/>
        <w:rPr>
          <w:rFonts w:eastAsia="仿宋_GB2312"/>
          <w:color w:val="auto"/>
          <w:sz w:val="24"/>
          <w:highlight w:val="none"/>
        </w:rPr>
      </w:pPr>
    </w:p>
    <w:p w14:paraId="3067DBF4">
      <w:pPr>
        <w:ind w:firstLine="426"/>
        <w:rPr>
          <w:rFonts w:eastAsia="仿宋_GB2312"/>
          <w:color w:val="auto"/>
          <w:szCs w:val="21"/>
          <w:highlight w:val="none"/>
        </w:rPr>
      </w:pPr>
    </w:p>
    <w:p w14:paraId="5EB6A7E9">
      <w:pPr>
        <w:spacing w:before="120" w:after="120" w:line="360" w:lineRule="auto"/>
        <w:ind w:firstLine="480" w:firstLineChars="200"/>
        <w:rPr>
          <w:rFonts w:eastAsia="仿宋_GB2312"/>
          <w:color w:val="auto"/>
          <w:sz w:val="24"/>
          <w:highlight w:val="none"/>
          <w:u w:val="single"/>
        </w:rPr>
      </w:pPr>
      <w:r>
        <w:rPr>
          <w:rFonts w:hint="eastAsia" w:eastAsia="仿宋_GB2312"/>
          <w:color w:val="auto"/>
          <w:sz w:val="24"/>
          <w:highlight w:val="none"/>
        </w:rPr>
        <w:t>投标人</w:t>
      </w:r>
      <w:r>
        <w:rPr>
          <w:rFonts w:eastAsia="仿宋_GB2312"/>
          <w:color w:val="auto"/>
          <w:sz w:val="24"/>
          <w:highlight w:val="none"/>
        </w:rPr>
        <w:t>名称（</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14:paraId="7DCF49BE">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7FB89FDB">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14:paraId="199472D8">
      <w:pPr>
        <w:ind w:firstLine="420" w:firstLineChars="200"/>
        <w:rPr>
          <w:rFonts w:eastAsia="仿宋_GB2312"/>
          <w:color w:val="auto"/>
          <w:szCs w:val="21"/>
          <w:highlight w:val="none"/>
        </w:rPr>
      </w:pPr>
    </w:p>
    <w:p w14:paraId="1EDC078D">
      <w:pPr>
        <w:jc w:val="left"/>
        <w:rPr>
          <w:rFonts w:eastAsia="仿宋_GB2312"/>
          <w:b/>
          <w:color w:val="auto"/>
          <w:sz w:val="24"/>
          <w:highlight w:val="none"/>
        </w:rPr>
      </w:pPr>
    </w:p>
    <w:p w14:paraId="62F66E4B">
      <w:pPr>
        <w:rPr>
          <w:rFonts w:eastAsia="仿宋_GB2312"/>
          <w:b/>
          <w:color w:val="auto"/>
          <w:sz w:val="24"/>
          <w:szCs w:val="32"/>
          <w:highlight w:val="none"/>
        </w:rPr>
      </w:pPr>
      <w:bookmarkStart w:id="149" w:name="_Toc60928820"/>
      <w:bookmarkStart w:id="150" w:name="_Toc60928901"/>
      <w:bookmarkStart w:id="151" w:name="_Toc7005128"/>
      <w:bookmarkStart w:id="152" w:name="_Toc60929133"/>
      <w:r>
        <w:rPr>
          <w:rFonts w:eastAsia="仿宋_GB2312"/>
          <w:b/>
          <w:color w:val="auto"/>
          <w:sz w:val="24"/>
          <w:szCs w:val="32"/>
          <w:highlight w:val="none"/>
        </w:rPr>
        <w:t xml:space="preserve">6-8  </w:t>
      </w:r>
      <w:r>
        <w:rPr>
          <w:rFonts w:hint="eastAsia" w:eastAsia="仿宋_GB2312"/>
          <w:b/>
          <w:color w:val="auto"/>
          <w:sz w:val="24"/>
          <w:szCs w:val="32"/>
          <w:highlight w:val="none"/>
        </w:rPr>
        <w:t>投标人</w:t>
      </w:r>
      <w:r>
        <w:rPr>
          <w:rFonts w:eastAsia="仿宋_GB2312"/>
          <w:b/>
          <w:color w:val="auto"/>
          <w:sz w:val="24"/>
          <w:szCs w:val="32"/>
          <w:highlight w:val="none"/>
        </w:rPr>
        <w:t>是否属于为本项目提供整体设计、规范编制或者项目管理、监理、检测等服务的</w:t>
      </w:r>
      <w:r>
        <w:rPr>
          <w:rFonts w:hint="eastAsia" w:eastAsia="仿宋_GB2312"/>
          <w:b/>
          <w:color w:val="auto"/>
          <w:sz w:val="24"/>
          <w:szCs w:val="32"/>
          <w:highlight w:val="none"/>
        </w:rPr>
        <w:t>投标人</w:t>
      </w:r>
      <w:r>
        <w:rPr>
          <w:rFonts w:eastAsia="仿宋_GB2312"/>
          <w:b/>
          <w:color w:val="auto"/>
          <w:sz w:val="24"/>
          <w:szCs w:val="32"/>
          <w:highlight w:val="none"/>
        </w:rPr>
        <w:t>声明</w:t>
      </w:r>
      <w:bookmarkEnd w:id="149"/>
      <w:bookmarkEnd w:id="150"/>
      <w:bookmarkEnd w:id="151"/>
      <w:bookmarkEnd w:id="152"/>
    </w:p>
    <w:p w14:paraId="44A61071">
      <w:pPr>
        <w:ind w:firstLine="420"/>
        <w:rPr>
          <w:rFonts w:eastAsia="仿宋_GB2312"/>
          <w:color w:val="auto"/>
          <w:szCs w:val="21"/>
          <w:highlight w:val="none"/>
        </w:rPr>
      </w:pPr>
    </w:p>
    <w:p w14:paraId="0B58B2AF">
      <w:pPr>
        <w:spacing w:line="360" w:lineRule="auto"/>
        <w:rPr>
          <w:rFonts w:eastAsia="仿宋_GB2312"/>
          <w:color w:val="auto"/>
          <w:szCs w:val="21"/>
          <w:highlight w:val="none"/>
        </w:rPr>
      </w:pPr>
    </w:p>
    <w:p w14:paraId="429D46F3">
      <w:pPr>
        <w:spacing w:line="360" w:lineRule="auto"/>
        <w:rPr>
          <w:rFonts w:eastAsia="仿宋_GB2312"/>
          <w:color w:val="auto"/>
          <w:sz w:val="24"/>
          <w:highlight w:val="none"/>
        </w:rPr>
      </w:pPr>
      <w:r>
        <w:rPr>
          <w:rFonts w:eastAsia="仿宋_GB2312"/>
          <w:color w:val="auto"/>
          <w:sz w:val="24"/>
          <w:highlight w:val="none"/>
        </w:rPr>
        <w:t>陕西省采购招标有限责任公司：</w:t>
      </w:r>
    </w:p>
    <w:p w14:paraId="39B44F59">
      <w:pPr>
        <w:spacing w:line="360" w:lineRule="auto"/>
        <w:ind w:firstLine="480" w:firstLineChars="200"/>
        <w:rPr>
          <w:rFonts w:eastAsia="仿宋_GB2312"/>
          <w:color w:val="auto"/>
          <w:sz w:val="24"/>
          <w:highlight w:val="none"/>
        </w:rPr>
      </w:pPr>
      <w:r>
        <w:rPr>
          <w:rFonts w:eastAsia="仿宋_GB2312"/>
          <w:color w:val="auto"/>
          <w:sz w:val="24"/>
          <w:highlight w:val="none"/>
        </w:rPr>
        <w:t xml:space="preserve">我方 </w:t>
      </w:r>
      <w:r>
        <w:rPr>
          <w:rFonts w:eastAsia="仿宋_GB2312"/>
          <w:color w:val="auto"/>
          <w:sz w:val="24"/>
          <w:highlight w:val="none"/>
          <w:u w:val="single"/>
        </w:rPr>
        <w:t xml:space="preserve">不属于 </w:t>
      </w:r>
      <w:r>
        <w:rPr>
          <w:rFonts w:eastAsia="仿宋_GB2312"/>
          <w:color w:val="auto"/>
          <w:sz w:val="24"/>
          <w:highlight w:val="none"/>
        </w:rPr>
        <w:t>为本项目提供整体设计、规范编制或者项目管理、监理、检测等服务的</w:t>
      </w:r>
      <w:r>
        <w:rPr>
          <w:rFonts w:hint="eastAsia" w:eastAsia="仿宋_GB2312"/>
          <w:color w:val="auto"/>
          <w:sz w:val="24"/>
          <w:highlight w:val="none"/>
          <w:lang w:eastAsia="zh-CN"/>
        </w:rPr>
        <w:t>投标人</w:t>
      </w:r>
      <w:r>
        <w:rPr>
          <w:rFonts w:eastAsia="仿宋_GB2312"/>
          <w:color w:val="auto"/>
          <w:sz w:val="24"/>
          <w:highlight w:val="none"/>
        </w:rPr>
        <w:t>。</w:t>
      </w:r>
    </w:p>
    <w:p w14:paraId="4AB571FD">
      <w:pPr>
        <w:ind w:firstLine="426"/>
        <w:rPr>
          <w:rFonts w:eastAsia="仿宋_GB2312"/>
          <w:color w:val="auto"/>
          <w:sz w:val="24"/>
          <w:highlight w:val="none"/>
        </w:rPr>
      </w:pPr>
    </w:p>
    <w:p w14:paraId="24B5B1BF">
      <w:pPr>
        <w:ind w:firstLine="426"/>
        <w:rPr>
          <w:rFonts w:eastAsia="仿宋_GB2312"/>
          <w:color w:val="auto"/>
          <w:szCs w:val="21"/>
          <w:highlight w:val="none"/>
        </w:rPr>
      </w:pPr>
    </w:p>
    <w:p w14:paraId="3098837E">
      <w:pPr>
        <w:spacing w:before="120" w:after="120" w:line="360" w:lineRule="auto"/>
        <w:ind w:firstLine="480" w:firstLineChars="200"/>
        <w:rPr>
          <w:rFonts w:eastAsia="仿宋_GB2312"/>
          <w:color w:val="auto"/>
          <w:sz w:val="24"/>
          <w:highlight w:val="none"/>
          <w:u w:val="single"/>
        </w:rPr>
      </w:pPr>
      <w:r>
        <w:rPr>
          <w:rFonts w:hint="eastAsia" w:eastAsia="仿宋_GB2312"/>
          <w:color w:val="auto"/>
          <w:sz w:val="24"/>
          <w:highlight w:val="none"/>
        </w:rPr>
        <w:t>投标人</w:t>
      </w:r>
      <w:r>
        <w:rPr>
          <w:rFonts w:eastAsia="仿宋_GB2312"/>
          <w:color w:val="auto"/>
          <w:sz w:val="24"/>
          <w:highlight w:val="none"/>
        </w:rPr>
        <w:t>名称（</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14:paraId="264F543A">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14:paraId="12C937AE">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14:paraId="3DE6F760">
      <w:pPr>
        <w:rPr>
          <w:rFonts w:eastAsia="仿宋_GB2312"/>
          <w:b/>
          <w:color w:val="auto"/>
          <w:highlight w:val="none"/>
        </w:rPr>
      </w:pPr>
      <w:bookmarkStart w:id="153" w:name="_Toc7005129"/>
      <w:bookmarkStart w:id="154" w:name="_Toc60929134"/>
      <w:bookmarkStart w:id="155" w:name="_Toc60928902"/>
      <w:bookmarkStart w:id="156" w:name="_Toc60928821"/>
    </w:p>
    <w:p w14:paraId="262972E4">
      <w:pPr>
        <w:rPr>
          <w:rFonts w:eastAsia="仿宋_GB2312"/>
          <w:b/>
          <w:color w:val="auto"/>
          <w:highlight w:val="none"/>
        </w:rPr>
      </w:pPr>
    </w:p>
    <w:p w14:paraId="237A0226">
      <w:pPr>
        <w:rPr>
          <w:rFonts w:eastAsia="仿宋_GB2312"/>
          <w:b/>
          <w:color w:val="auto"/>
          <w:sz w:val="24"/>
          <w:szCs w:val="32"/>
          <w:highlight w:val="none"/>
        </w:rPr>
      </w:pPr>
    </w:p>
    <w:p w14:paraId="1820D24D">
      <w:pPr>
        <w:rPr>
          <w:rFonts w:eastAsia="仿宋_GB2312"/>
          <w:b/>
          <w:color w:val="auto"/>
          <w:sz w:val="24"/>
          <w:szCs w:val="32"/>
          <w:highlight w:val="none"/>
        </w:rPr>
      </w:pPr>
      <w:r>
        <w:rPr>
          <w:rFonts w:eastAsia="仿宋_GB2312"/>
          <w:b/>
          <w:color w:val="auto"/>
          <w:sz w:val="24"/>
          <w:szCs w:val="32"/>
          <w:highlight w:val="none"/>
        </w:rPr>
        <w:br w:type="page"/>
      </w:r>
    </w:p>
    <w:p w14:paraId="7E7870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840"/>
        <w:jc w:val="left"/>
        <w:rPr>
          <w:rFonts w:hint="eastAsia" w:ascii="宋体" w:hAnsi="宋体" w:eastAsia="宋体" w:cs="宋体"/>
          <w:i w:val="0"/>
          <w:iCs w:val="0"/>
          <w:caps w:val="0"/>
          <w:color w:val="auto"/>
          <w:spacing w:val="0"/>
          <w:sz w:val="24"/>
          <w:szCs w:val="24"/>
          <w:highlight w:val="none"/>
          <w:lang w:val="en-US" w:eastAsia="zh-CN"/>
        </w:rPr>
      </w:pPr>
      <w:r>
        <w:rPr>
          <w:rFonts w:eastAsia="仿宋_GB2312"/>
          <w:b/>
          <w:color w:val="auto"/>
          <w:sz w:val="24"/>
          <w:szCs w:val="32"/>
          <w:highlight w:val="none"/>
        </w:rPr>
        <w:t>6-9  证明</w:t>
      </w:r>
      <w:r>
        <w:rPr>
          <w:rFonts w:hint="eastAsia" w:eastAsia="仿宋_GB2312"/>
          <w:b/>
          <w:color w:val="auto"/>
          <w:sz w:val="24"/>
          <w:szCs w:val="32"/>
          <w:highlight w:val="none"/>
        </w:rPr>
        <w:t>投标人</w:t>
      </w:r>
      <w:r>
        <w:rPr>
          <w:rFonts w:eastAsia="仿宋_GB2312"/>
          <w:b/>
          <w:color w:val="auto"/>
          <w:sz w:val="24"/>
          <w:szCs w:val="32"/>
          <w:highlight w:val="none"/>
        </w:rPr>
        <w:t>符合特定资格条件的证明材料</w:t>
      </w:r>
      <w:bookmarkEnd w:id="153"/>
      <w:r>
        <w:rPr>
          <w:rFonts w:eastAsia="仿宋_GB2312"/>
          <w:b/>
          <w:color w:val="auto"/>
          <w:sz w:val="24"/>
          <w:szCs w:val="32"/>
          <w:highlight w:val="none"/>
        </w:rPr>
        <w:t>：</w:t>
      </w:r>
      <w:bookmarkEnd w:id="154"/>
      <w:bookmarkEnd w:id="155"/>
      <w:bookmarkEnd w:id="156"/>
    </w:p>
    <w:p w14:paraId="4D516FBC">
      <w:pPr>
        <w:spacing w:line="360" w:lineRule="auto"/>
        <w:rPr>
          <w:rFonts w:eastAsia="仿宋_GB2312"/>
          <w:color w:val="auto"/>
          <w:sz w:val="24"/>
          <w:highlight w:val="none"/>
        </w:rPr>
      </w:pPr>
      <w:r>
        <w:rPr>
          <w:rFonts w:hint="eastAsia" w:eastAsia="仿宋_GB2312"/>
          <w:color w:val="auto"/>
          <w:sz w:val="24"/>
          <w:highlight w:val="none"/>
          <w:lang w:val="en-US" w:eastAsia="zh-CN"/>
        </w:rPr>
        <w:t>1</w:t>
      </w:r>
      <w:r>
        <w:rPr>
          <w:rFonts w:eastAsia="仿宋_GB2312"/>
          <w:color w:val="auto"/>
          <w:sz w:val="24"/>
          <w:highlight w:val="none"/>
        </w:rPr>
        <w:t>、</w:t>
      </w:r>
      <w:r>
        <w:rPr>
          <w:rFonts w:hint="eastAsia" w:eastAsia="仿宋_GB2312"/>
          <w:color w:val="auto"/>
          <w:sz w:val="24"/>
          <w:highlight w:val="none"/>
          <w:lang w:eastAsia="zh-CN"/>
        </w:rPr>
        <w:t>投标人</w:t>
      </w:r>
      <w:r>
        <w:rPr>
          <w:rFonts w:eastAsia="仿宋_GB2312"/>
          <w:color w:val="auto"/>
          <w:sz w:val="24"/>
          <w:highlight w:val="none"/>
        </w:rPr>
        <w:t>须具备</w:t>
      </w:r>
      <w:r>
        <w:rPr>
          <w:rFonts w:hint="eastAsia" w:eastAsia="仿宋_GB2312"/>
          <w:color w:val="auto"/>
          <w:sz w:val="24"/>
          <w:highlight w:val="none"/>
          <w:lang w:val="en-US" w:eastAsia="zh-CN"/>
        </w:rPr>
        <w:t>建筑工程施工总承包资质三级及以上（含三级）</w:t>
      </w:r>
      <w:r>
        <w:rPr>
          <w:rFonts w:eastAsia="仿宋_GB2312"/>
          <w:color w:val="auto"/>
          <w:sz w:val="24"/>
          <w:highlight w:val="none"/>
        </w:rPr>
        <w:t>，具备有效的安全生产许可证。</w:t>
      </w:r>
    </w:p>
    <w:p w14:paraId="31F20559">
      <w:pPr>
        <w:spacing w:line="360" w:lineRule="auto"/>
        <w:rPr>
          <w:rFonts w:eastAsia="仿宋_GB2312"/>
          <w:color w:val="auto"/>
          <w:sz w:val="24"/>
          <w:highlight w:val="none"/>
        </w:rPr>
      </w:pPr>
      <w:r>
        <w:rPr>
          <w:rFonts w:hint="eastAsia" w:eastAsia="仿宋_GB2312"/>
          <w:color w:val="auto"/>
          <w:sz w:val="24"/>
          <w:highlight w:val="none"/>
          <w:lang w:val="en-US" w:eastAsia="zh-CN"/>
        </w:rPr>
        <w:t>2</w:t>
      </w:r>
      <w:r>
        <w:rPr>
          <w:rFonts w:eastAsia="仿宋_GB2312"/>
          <w:color w:val="auto"/>
          <w:sz w:val="24"/>
          <w:highlight w:val="none"/>
        </w:rPr>
        <w:t>、拟派项目经理须具备建筑工程二级及以上注册建造师资格且在本单位注册，具有有效的安全生产考核合格证（建安B证），且无在建工程承诺书。</w:t>
      </w:r>
    </w:p>
    <w:p w14:paraId="2FE1220D">
      <w:pPr>
        <w:spacing w:line="360" w:lineRule="auto"/>
        <w:rPr>
          <w:rFonts w:hint="eastAsia" w:ascii="宋体" w:hAnsi="宋体" w:eastAsia="宋体" w:cs="宋体"/>
          <w:i w:val="0"/>
          <w:iCs w:val="0"/>
          <w:caps w:val="0"/>
          <w:color w:val="auto"/>
          <w:spacing w:val="0"/>
          <w:sz w:val="24"/>
          <w:szCs w:val="24"/>
          <w:highlight w:val="none"/>
          <w:lang w:val="en-US" w:eastAsia="zh-CN"/>
        </w:rPr>
      </w:pPr>
      <w:r>
        <w:rPr>
          <w:rFonts w:hint="eastAsia" w:eastAsia="仿宋_GB2312"/>
          <w:color w:val="auto"/>
          <w:sz w:val="24"/>
          <w:highlight w:val="none"/>
          <w:lang w:val="en-US" w:eastAsia="zh-CN"/>
        </w:rPr>
        <w:t>3、</w:t>
      </w:r>
      <w:r>
        <w:rPr>
          <w:rFonts w:hint="eastAsia" w:eastAsia="仿宋_GB2312"/>
          <w:color w:val="auto"/>
          <w:sz w:val="24"/>
          <w:highlight w:val="none"/>
          <w:lang w:eastAsia="zh-CN"/>
        </w:rPr>
        <w:t>投标人基本信息及项目经理执业基本信息在“陕西省住房和城乡建设厅（http://js.shaanxi.gov.cn/）”网站可查询。</w:t>
      </w:r>
      <w:r>
        <w:rPr>
          <w:rFonts w:hint="eastAsia" w:ascii="宋体" w:hAnsi="宋体" w:eastAsia="宋体" w:cs="宋体"/>
          <w:i w:val="0"/>
          <w:iCs w:val="0"/>
          <w:caps w:val="0"/>
          <w:color w:val="auto"/>
          <w:spacing w:val="0"/>
          <w:sz w:val="24"/>
          <w:szCs w:val="24"/>
          <w:highlight w:val="none"/>
          <w:lang w:val="en-US" w:eastAsia="zh-CN"/>
        </w:rPr>
        <w:br w:type="page"/>
      </w:r>
    </w:p>
    <w:p w14:paraId="76235918">
      <w:pPr>
        <w:widowControl/>
        <w:spacing w:before="100" w:beforeAutospacing="1" w:after="100" w:afterAutospacing="1" w:line="360" w:lineRule="auto"/>
        <w:jc w:val="center"/>
        <w:rPr>
          <w:color w:val="auto"/>
          <w:highlight w:val="none"/>
        </w:rPr>
      </w:pPr>
      <w:r>
        <w:rPr>
          <w:rFonts w:hint="eastAsia" w:eastAsia="仿宋"/>
          <w:b/>
          <w:color w:val="auto"/>
          <w:kern w:val="0"/>
          <w:sz w:val="30"/>
          <w:szCs w:val="20"/>
          <w:highlight w:val="none"/>
        </w:rPr>
        <w:t>投标人参加政府采购活动承诺书</w:t>
      </w:r>
    </w:p>
    <w:p w14:paraId="288F62CB">
      <w:pPr>
        <w:pStyle w:val="6"/>
        <w:ind w:firstLine="0" w:firstLineChars="0"/>
        <w:jc w:val="center"/>
        <w:rPr>
          <w:rFonts w:ascii="Times New Roman" w:hAnsi="Times New Roman" w:eastAsia="仿宋"/>
          <w:color w:val="auto"/>
          <w:highlight w:val="none"/>
        </w:rPr>
      </w:pPr>
      <w:bookmarkStart w:id="157" w:name="_Toc114840473"/>
      <w:bookmarkStart w:id="158" w:name="_Toc142559905"/>
      <w:bookmarkStart w:id="159" w:name="_Toc16244"/>
      <w:bookmarkStart w:id="160" w:name="_Toc4809"/>
      <w:bookmarkStart w:id="161" w:name="_Toc17892"/>
      <w:bookmarkStart w:id="162" w:name="_Toc105505638"/>
      <w:r>
        <w:rPr>
          <w:rFonts w:ascii="Times New Roman" w:hAnsi="Times New Roman" w:eastAsia="仿宋"/>
          <w:color w:val="auto"/>
          <w:highlight w:val="none"/>
        </w:rPr>
        <w:t>参加政府采购活动行为自律承诺书</w:t>
      </w:r>
      <w:bookmarkEnd w:id="157"/>
      <w:bookmarkEnd w:id="158"/>
      <w:bookmarkEnd w:id="159"/>
      <w:bookmarkEnd w:id="160"/>
      <w:bookmarkEnd w:id="161"/>
      <w:bookmarkEnd w:id="162"/>
    </w:p>
    <w:p w14:paraId="1B142C04">
      <w:pPr>
        <w:spacing w:line="360" w:lineRule="auto"/>
        <w:ind w:firstLine="480" w:firstLineChars="200"/>
        <w:rPr>
          <w:rFonts w:eastAsia="仿宋"/>
          <w:color w:val="auto"/>
          <w:sz w:val="24"/>
          <w:highlight w:val="none"/>
        </w:rPr>
      </w:pPr>
      <w:r>
        <w:rPr>
          <w:rFonts w:eastAsia="仿宋"/>
          <w:color w:val="auto"/>
          <w:sz w:val="24"/>
          <w:highlight w:val="none"/>
        </w:rPr>
        <w:t>作为参加本次政府采购项目的投标人，我方郑重承诺在参与政府采购活动中遵纪守法、公平竞争、诚实守信，如有违反愿承担一切责任及后果：</w:t>
      </w:r>
    </w:p>
    <w:p w14:paraId="71CDAE1B">
      <w:pPr>
        <w:spacing w:line="360" w:lineRule="auto"/>
        <w:ind w:firstLine="480" w:firstLineChars="200"/>
        <w:rPr>
          <w:rFonts w:eastAsia="仿宋"/>
          <w:color w:val="auto"/>
          <w:sz w:val="24"/>
          <w:highlight w:val="none"/>
        </w:rPr>
      </w:pPr>
      <w:r>
        <w:rPr>
          <w:rFonts w:eastAsia="仿宋"/>
          <w:color w:val="auto"/>
          <w:sz w:val="24"/>
          <w:highlight w:val="none"/>
        </w:rPr>
        <w:t>1．不与采购人、采购代理机构、政府采购评审专家恶意串通，不向其行贿或提供其他不正当利益；</w:t>
      </w:r>
    </w:p>
    <w:p w14:paraId="3A50A493">
      <w:pPr>
        <w:spacing w:line="360" w:lineRule="auto"/>
        <w:ind w:firstLine="480" w:firstLineChars="200"/>
        <w:rPr>
          <w:rFonts w:eastAsia="仿宋"/>
          <w:color w:val="auto"/>
          <w:sz w:val="24"/>
          <w:highlight w:val="none"/>
        </w:rPr>
      </w:pPr>
      <w:r>
        <w:rPr>
          <w:rFonts w:eastAsia="仿宋"/>
          <w:color w:val="auto"/>
          <w:sz w:val="24"/>
          <w:highlight w:val="none"/>
        </w:rPr>
        <w:t>2．不与其他投标人恶意串通，采取“围标、串标、陪标”等商业欺诈手段谋取中标、</w:t>
      </w:r>
      <w:r>
        <w:rPr>
          <w:rFonts w:hint="eastAsia" w:eastAsia="仿宋"/>
          <w:color w:val="auto"/>
          <w:sz w:val="24"/>
          <w:highlight w:val="none"/>
          <w:lang w:eastAsia="zh-CN"/>
        </w:rPr>
        <w:t>中标</w:t>
      </w:r>
      <w:r>
        <w:rPr>
          <w:rFonts w:eastAsia="仿宋"/>
          <w:color w:val="auto"/>
          <w:sz w:val="24"/>
          <w:highlight w:val="none"/>
        </w:rPr>
        <w:t>；</w:t>
      </w:r>
    </w:p>
    <w:p w14:paraId="18928045">
      <w:pPr>
        <w:spacing w:line="360" w:lineRule="auto"/>
        <w:ind w:firstLine="480" w:firstLineChars="200"/>
        <w:rPr>
          <w:rFonts w:eastAsia="仿宋"/>
          <w:color w:val="auto"/>
          <w:sz w:val="24"/>
          <w:highlight w:val="none"/>
        </w:rPr>
      </w:pPr>
      <w:r>
        <w:rPr>
          <w:rFonts w:eastAsia="仿宋"/>
          <w:color w:val="auto"/>
          <w:sz w:val="24"/>
          <w:highlight w:val="none"/>
        </w:rPr>
        <w:t>3．不提供虚假或无效证明文件（包括但不限于资格证明文件、合同及验收文件、检验检测报告、从业人员资格证书、机构或所投产品的各类认证证书等）或虚假材料谋取中标、</w:t>
      </w:r>
      <w:r>
        <w:rPr>
          <w:rFonts w:hint="eastAsia" w:eastAsia="仿宋"/>
          <w:color w:val="auto"/>
          <w:sz w:val="24"/>
          <w:highlight w:val="none"/>
          <w:lang w:eastAsia="zh-CN"/>
        </w:rPr>
        <w:t>中标</w:t>
      </w:r>
      <w:r>
        <w:rPr>
          <w:rFonts w:eastAsia="仿宋"/>
          <w:color w:val="auto"/>
          <w:sz w:val="24"/>
          <w:highlight w:val="none"/>
        </w:rPr>
        <w:t>；</w:t>
      </w:r>
    </w:p>
    <w:p w14:paraId="43E431A6">
      <w:pPr>
        <w:spacing w:line="360" w:lineRule="auto"/>
        <w:ind w:firstLine="480" w:firstLineChars="200"/>
        <w:rPr>
          <w:rFonts w:eastAsia="仿宋"/>
          <w:color w:val="auto"/>
          <w:sz w:val="24"/>
          <w:highlight w:val="none"/>
        </w:rPr>
      </w:pPr>
      <w:r>
        <w:rPr>
          <w:rFonts w:eastAsia="仿宋"/>
          <w:color w:val="auto"/>
          <w:sz w:val="24"/>
          <w:highlight w:val="none"/>
        </w:rPr>
        <w:t>4．不采取不正当手段诋毁、排挤其他投标人；</w:t>
      </w:r>
    </w:p>
    <w:p w14:paraId="64E32666">
      <w:pPr>
        <w:spacing w:line="360" w:lineRule="auto"/>
        <w:ind w:firstLine="480" w:firstLineChars="200"/>
        <w:rPr>
          <w:rFonts w:eastAsia="仿宋"/>
          <w:color w:val="auto"/>
          <w:sz w:val="24"/>
          <w:highlight w:val="none"/>
        </w:rPr>
      </w:pPr>
      <w:r>
        <w:rPr>
          <w:rFonts w:eastAsia="仿宋"/>
          <w:color w:val="auto"/>
          <w:sz w:val="24"/>
          <w:highlight w:val="none"/>
        </w:rPr>
        <w:t>5．不以不正当理由拒不与采购人签订政府采购合同，或逾期签订政府采购合同，或不按照采购文件确定的事项签订政府采购合同；</w:t>
      </w:r>
    </w:p>
    <w:p w14:paraId="74BA7D0F">
      <w:pPr>
        <w:spacing w:line="360" w:lineRule="auto"/>
        <w:ind w:firstLine="480" w:firstLineChars="200"/>
        <w:rPr>
          <w:rFonts w:eastAsia="仿宋"/>
          <w:color w:val="auto"/>
          <w:sz w:val="24"/>
          <w:highlight w:val="none"/>
        </w:rPr>
      </w:pPr>
      <w:r>
        <w:rPr>
          <w:rFonts w:eastAsia="仿宋"/>
          <w:color w:val="auto"/>
          <w:sz w:val="24"/>
          <w:highlight w:val="none"/>
        </w:rPr>
        <w:t>6．不以不正当理由拒绝履行合同义务，不会擅自变更、中止或者终止政府采购合同或将政府采购合同转包；</w:t>
      </w:r>
    </w:p>
    <w:p w14:paraId="1E52C7A4">
      <w:pPr>
        <w:spacing w:line="360" w:lineRule="auto"/>
        <w:ind w:firstLine="480" w:firstLineChars="200"/>
        <w:rPr>
          <w:rFonts w:eastAsia="仿宋"/>
          <w:color w:val="auto"/>
          <w:sz w:val="24"/>
          <w:highlight w:val="none"/>
        </w:rPr>
      </w:pPr>
      <w:r>
        <w:rPr>
          <w:rFonts w:eastAsia="仿宋"/>
          <w:color w:val="auto"/>
          <w:sz w:val="24"/>
          <w:highlight w:val="none"/>
        </w:rPr>
        <w:t>7．不在提供商品、服务实施过程中提供假冒伪劣产品，损害采购人的合法权益或公共利益；</w:t>
      </w:r>
    </w:p>
    <w:p w14:paraId="7C62D84E">
      <w:pPr>
        <w:spacing w:line="360" w:lineRule="auto"/>
        <w:ind w:firstLine="480" w:firstLineChars="200"/>
        <w:rPr>
          <w:rFonts w:eastAsia="仿宋"/>
          <w:color w:val="auto"/>
          <w:sz w:val="24"/>
          <w:highlight w:val="none"/>
        </w:rPr>
      </w:pPr>
      <w:r>
        <w:rPr>
          <w:rFonts w:eastAsia="仿宋"/>
          <w:color w:val="auto"/>
          <w:sz w:val="24"/>
          <w:highlight w:val="none"/>
        </w:rPr>
        <w:t>8．不采取捏造事实、提供虚假材料或者以非法手段取得证明材料进行质疑和投诉；</w:t>
      </w:r>
    </w:p>
    <w:p w14:paraId="50D40B1F">
      <w:pPr>
        <w:spacing w:line="360" w:lineRule="auto"/>
        <w:ind w:firstLine="480" w:firstLineChars="200"/>
        <w:rPr>
          <w:rFonts w:eastAsia="仿宋"/>
          <w:color w:val="auto"/>
          <w:sz w:val="24"/>
          <w:highlight w:val="none"/>
        </w:rPr>
      </w:pPr>
      <w:r>
        <w:rPr>
          <w:rFonts w:eastAsia="仿宋"/>
          <w:color w:val="auto"/>
          <w:sz w:val="24"/>
          <w:highlight w:val="none"/>
        </w:rPr>
        <w:t>9．不发生其他有悖于政府采购公开、公平、公正和诚信原则的行为。</w:t>
      </w:r>
    </w:p>
    <w:p w14:paraId="2A2A1555">
      <w:pPr>
        <w:spacing w:line="360" w:lineRule="auto"/>
        <w:ind w:firstLine="480" w:firstLineChars="200"/>
        <w:rPr>
          <w:rFonts w:eastAsia="仿宋"/>
          <w:color w:val="auto"/>
          <w:sz w:val="24"/>
          <w:highlight w:val="none"/>
        </w:rPr>
      </w:pPr>
      <w:r>
        <w:rPr>
          <w:rFonts w:eastAsia="仿宋"/>
          <w:color w:val="auto"/>
          <w:sz w:val="24"/>
          <w:highlight w:val="none"/>
        </w:rPr>
        <w:t>10．尊重和接受政府采购监督管理部门的监督和采购人、采购代理机构的政府采购工作要求，愿意承担因违约行为给采购人造成的损失。</w:t>
      </w:r>
    </w:p>
    <w:p w14:paraId="4B219ED0">
      <w:pPr>
        <w:spacing w:line="360" w:lineRule="auto"/>
        <w:ind w:firstLine="3376" w:firstLineChars="1407"/>
        <w:jc w:val="right"/>
        <w:rPr>
          <w:rFonts w:eastAsia="仿宋"/>
          <w:color w:val="auto"/>
          <w:sz w:val="24"/>
          <w:highlight w:val="none"/>
        </w:rPr>
      </w:pPr>
      <w:r>
        <w:rPr>
          <w:rFonts w:eastAsia="仿宋"/>
          <w:color w:val="auto"/>
          <w:sz w:val="24"/>
          <w:highlight w:val="none"/>
        </w:rPr>
        <w:t>投标人：（投标人全称并加盖公章）</w:t>
      </w:r>
    </w:p>
    <w:p w14:paraId="3A5AD5B5">
      <w:pPr>
        <w:jc w:val="right"/>
        <w:rPr>
          <w:rFonts w:eastAsia="仿宋"/>
          <w:color w:val="auto"/>
          <w:sz w:val="24"/>
          <w:highlight w:val="none"/>
        </w:rPr>
      </w:pPr>
      <w:r>
        <w:rPr>
          <w:rFonts w:eastAsia="仿宋"/>
          <w:color w:val="auto"/>
          <w:sz w:val="24"/>
          <w:highlight w:val="none"/>
        </w:rPr>
        <w:t>日  期：    年  月  日</w:t>
      </w:r>
    </w:p>
    <w:p w14:paraId="0EA3AF4B">
      <w:pPr>
        <w:rPr>
          <w:rFonts w:eastAsia="仿宋"/>
          <w:color w:val="auto"/>
          <w:sz w:val="24"/>
          <w:highlight w:val="none"/>
        </w:rPr>
      </w:pPr>
      <w:r>
        <w:rPr>
          <w:rFonts w:eastAsia="仿宋"/>
          <w:color w:val="auto"/>
          <w:sz w:val="24"/>
          <w:highlight w:val="none"/>
        </w:rPr>
        <w:br w:type="page"/>
      </w:r>
    </w:p>
    <w:p w14:paraId="0C4CDD69">
      <w:pPr>
        <w:pStyle w:val="2"/>
        <w:jc w:val="center"/>
        <w:rPr>
          <w:rFonts w:hint="default" w:ascii="Arial" w:hAnsi="Arial" w:eastAsia="仿宋" w:cs="Arial"/>
          <w:b/>
          <w:snapToGrid w:val="0"/>
          <w:color w:val="auto"/>
          <w:kern w:val="0"/>
          <w:sz w:val="30"/>
          <w:szCs w:val="20"/>
          <w:highlight w:val="none"/>
          <w:lang w:val="en-US" w:eastAsia="zh-CN" w:bidi="ar-SA"/>
        </w:rPr>
      </w:pPr>
      <w:r>
        <w:rPr>
          <w:rFonts w:hint="eastAsia" w:ascii="Arial" w:hAnsi="Arial" w:eastAsia="仿宋" w:cs="Arial"/>
          <w:b/>
          <w:snapToGrid w:val="0"/>
          <w:color w:val="auto"/>
          <w:kern w:val="0"/>
          <w:sz w:val="30"/>
          <w:szCs w:val="20"/>
          <w:highlight w:val="none"/>
          <w:lang w:val="en-US" w:eastAsia="zh-CN" w:bidi="ar-SA"/>
        </w:rPr>
        <w:t>投标保证金缴纳凭证</w:t>
      </w:r>
    </w:p>
    <w:p w14:paraId="1739449F">
      <w:pPr>
        <w:jc w:val="center"/>
        <w:rPr>
          <w:rFonts w:hint="eastAsia" w:ascii="Arial" w:hAnsi="Arial" w:eastAsia="仿宋" w:cs="Arial"/>
          <w:b/>
          <w:snapToGrid w:val="0"/>
          <w:color w:val="auto"/>
          <w:kern w:val="0"/>
          <w:sz w:val="30"/>
          <w:szCs w:val="20"/>
          <w:highlight w:val="none"/>
          <w:lang w:val="en-US" w:eastAsia="en-US" w:bidi="ar-SA"/>
        </w:rPr>
      </w:pPr>
    </w:p>
    <w:p w14:paraId="2828E0B0">
      <w:pPr>
        <w:jc w:val="center"/>
        <w:rPr>
          <w:rFonts w:hint="eastAsia" w:ascii="Arial" w:hAnsi="Arial" w:eastAsia="仿宋" w:cs="Arial"/>
          <w:b/>
          <w:snapToGrid w:val="0"/>
          <w:color w:val="auto"/>
          <w:kern w:val="0"/>
          <w:sz w:val="30"/>
          <w:szCs w:val="20"/>
          <w:highlight w:val="none"/>
          <w:lang w:val="en-US" w:eastAsia="zh-CN" w:bidi="ar-SA"/>
        </w:rPr>
      </w:pPr>
      <w:r>
        <w:rPr>
          <w:rFonts w:hint="eastAsia" w:ascii="Arial" w:hAnsi="Arial" w:eastAsia="仿宋" w:cs="Arial"/>
          <w:b/>
          <w:snapToGrid w:val="0"/>
          <w:color w:val="auto"/>
          <w:kern w:val="0"/>
          <w:sz w:val="30"/>
          <w:szCs w:val="20"/>
          <w:highlight w:val="none"/>
          <w:lang w:val="en-US" w:eastAsia="zh-CN" w:bidi="ar-SA"/>
        </w:rPr>
        <w:br w:type="page"/>
      </w:r>
    </w:p>
    <w:p w14:paraId="0FF21E5B">
      <w:pPr>
        <w:numPr>
          <w:ilvl w:val="0"/>
          <w:numId w:val="2"/>
        </w:numPr>
        <w:spacing w:before="138" w:line="224" w:lineRule="auto"/>
        <w:ind w:firstLine="1288" w:firstLineChars="400"/>
        <w:outlineLvl w:val="2"/>
        <w:rPr>
          <w:rFonts w:hint="eastAsia" w:ascii="宋体" w:hAnsi="宋体" w:eastAsia="宋体" w:cs="宋体"/>
          <w:b/>
          <w:bCs/>
          <w:spacing w:val="6"/>
          <w:sz w:val="31"/>
          <w:szCs w:val="31"/>
          <w:highlight w:val="none"/>
          <w:lang w:eastAsia="zh-CN"/>
        </w:rPr>
      </w:pPr>
      <w:r>
        <w:rPr>
          <w:rFonts w:ascii="宋体" w:hAnsi="宋体" w:eastAsia="宋体" w:cs="宋体"/>
          <w:spacing w:val="6"/>
          <w:sz w:val="31"/>
          <w:szCs w:val="31"/>
          <w:highlight w:val="none"/>
          <w:lang w:eastAsia="zh-CN"/>
        </w:rPr>
        <w:t xml:space="preserve"> </w:t>
      </w:r>
      <w:r>
        <w:rPr>
          <w:rFonts w:ascii="宋体" w:hAnsi="宋体" w:eastAsia="宋体" w:cs="宋体"/>
          <w:b/>
          <w:bCs/>
          <w:spacing w:val="6"/>
          <w:sz w:val="31"/>
          <w:szCs w:val="31"/>
          <w:highlight w:val="none"/>
          <w:lang w:eastAsia="zh-CN"/>
        </w:rPr>
        <w:t>拟签订采购合同文本</w:t>
      </w:r>
      <w:r>
        <w:rPr>
          <w:rFonts w:hint="eastAsia" w:ascii="宋体" w:hAnsi="宋体" w:eastAsia="宋体" w:cs="宋体"/>
          <w:b/>
          <w:bCs/>
          <w:spacing w:val="6"/>
          <w:sz w:val="31"/>
          <w:szCs w:val="31"/>
          <w:highlight w:val="none"/>
          <w:lang w:eastAsia="zh-CN"/>
        </w:rPr>
        <w:t>（参考）</w:t>
      </w:r>
    </w:p>
    <w:p w14:paraId="1B65E9CC">
      <w:pPr>
        <w:jc w:val="center"/>
        <w:rPr>
          <w:b/>
          <w:bCs/>
          <w:color w:val="auto"/>
          <w:kern w:val="0"/>
          <w:sz w:val="32"/>
          <w:szCs w:val="32"/>
          <w:highlight w:val="none"/>
        </w:rPr>
      </w:pPr>
    </w:p>
    <w:p w14:paraId="5DB51564">
      <w:pPr>
        <w:pStyle w:val="2"/>
        <w:rPr>
          <w:b/>
          <w:bCs/>
          <w:color w:val="auto"/>
          <w:kern w:val="0"/>
          <w:sz w:val="32"/>
          <w:szCs w:val="32"/>
          <w:highlight w:val="none"/>
        </w:rPr>
      </w:pPr>
    </w:p>
    <w:p w14:paraId="10F08C14">
      <w:pPr>
        <w:rPr>
          <w:b/>
          <w:bCs/>
          <w:color w:val="auto"/>
          <w:kern w:val="0"/>
          <w:sz w:val="32"/>
          <w:szCs w:val="32"/>
          <w:highlight w:val="none"/>
        </w:rPr>
      </w:pPr>
    </w:p>
    <w:p w14:paraId="1C2CDD10">
      <w:pPr>
        <w:pStyle w:val="2"/>
        <w:rPr>
          <w:b/>
          <w:bCs/>
          <w:color w:val="auto"/>
          <w:kern w:val="0"/>
          <w:sz w:val="32"/>
          <w:szCs w:val="32"/>
          <w:highlight w:val="none"/>
        </w:rPr>
      </w:pPr>
    </w:p>
    <w:p w14:paraId="06F9578D">
      <w:pPr>
        <w:rPr>
          <w:highlight w:val="none"/>
        </w:rPr>
      </w:pPr>
    </w:p>
    <w:p w14:paraId="03C67625">
      <w:pPr>
        <w:rPr>
          <w:color w:val="auto"/>
          <w:highlight w:val="none"/>
        </w:rPr>
      </w:pPr>
    </w:p>
    <w:p w14:paraId="461E7970">
      <w:pPr>
        <w:rPr>
          <w:color w:val="auto"/>
          <w:highlight w:val="none"/>
        </w:rPr>
      </w:pPr>
    </w:p>
    <w:p w14:paraId="07667EB9">
      <w:pPr>
        <w:jc w:val="center"/>
        <w:rPr>
          <w:rFonts w:ascii="Times New Roman" w:hAnsi="Times New Roman"/>
          <w:b/>
          <w:color w:val="auto"/>
          <w:sz w:val="44"/>
          <w:szCs w:val="44"/>
          <w:highlight w:val="none"/>
        </w:rPr>
      </w:pPr>
      <w:r>
        <w:rPr>
          <w:rFonts w:ascii="Times New Roman" w:hAnsi="Times New Roman"/>
          <w:b/>
          <w:color w:val="auto"/>
          <w:sz w:val="44"/>
          <w:szCs w:val="44"/>
          <w:highlight w:val="none"/>
        </w:rPr>
        <w:t>建设工程施工合同</w:t>
      </w:r>
    </w:p>
    <w:p w14:paraId="5A8A84B2">
      <w:pPr>
        <w:jc w:val="center"/>
        <w:rPr>
          <w:rFonts w:ascii="Times New Roman" w:hAnsi="Times New Roman"/>
          <w:color w:val="auto"/>
          <w:sz w:val="44"/>
          <w:szCs w:val="44"/>
          <w:highlight w:val="none"/>
        </w:rPr>
      </w:pPr>
      <w:r>
        <w:rPr>
          <w:rFonts w:ascii="Times New Roman" w:hAnsi="Times New Roman"/>
          <w:b/>
          <w:color w:val="auto"/>
          <w:sz w:val="44"/>
          <w:szCs w:val="44"/>
          <w:highlight w:val="none"/>
        </w:rPr>
        <w:t>（示范文本）</w:t>
      </w:r>
    </w:p>
    <w:p w14:paraId="03F82D93">
      <w:pPr>
        <w:jc w:val="center"/>
        <w:rPr>
          <w:rFonts w:ascii="Times New Roman" w:hAnsi="Times New Roman"/>
          <w:b/>
          <w:color w:val="auto"/>
          <w:sz w:val="44"/>
          <w:szCs w:val="44"/>
          <w:highlight w:val="none"/>
        </w:rPr>
      </w:pPr>
    </w:p>
    <w:p w14:paraId="51CFD04C">
      <w:pPr>
        <w:rPr>
          <w:color w:val="auto"/>
          <w:highlight w:val="none"/>
        </w:rPr>
      </w:pPr>
    </w:p>
    <w:p w14:paraId="58D19757">
      <w:pPr>
        <w:rPr>
          <w:color w:val="auto"/>
          <w:highlight w:val="none"/>
        </w:rPr>
      </w:pPr>
    </w:p>
    <w:p w14:paraId="4D967DFA">
      <w:pPr>
        <w:spacing w:line="600" w:lineRule="auto"/>
        <w:ind w:left="1225" w:leftChars="355" w:hanging="480" w:hangingChars="229"/>
        <w:rPr>
          <w:color w:val="auto"/>
          <w:highlight w:val="none"/>
        </w:rPr>
      </w:pPr>
      <w:r>
        <w:rPr>
          <w:rFonts w:hint="eastAsia"/>
          <w:color w:val="auto"/>
          <w:highlight w:val="none"/>
        </w:rPr>
        <w:t>合同编号：</w:t>
      </w:r>
      <w:r>
        <w:rPr>
          <w:rFonts w:hint="eastAsia"/>
          <w:color w:val="auto"/>
          <w:highlight w:val="none"/>
          <w:u w:val="single"/>
        </w:rPr>
        <w:tab/>
      </w:r>
      <w:r>
        <w:rPr>
          <w:rFonts w:hint="eastAsia"/>
          <w:color w:val="auto"/>
          <w:highlight w:val="none"/>
          <w:u w:val="single"/>
        </w:rPr>
        <w:t xml:space="preserve">                              </w:t>
      </w:r>
    </w:p>
    <w:p w14:paraId="337688C8">
      <w:pPr>
        <w:spacing w:line="600" w:lineRule="auto"/>
        <w:ind w:left="1225" w:leftChars="355" w:hanging="480" w:hangingChars="229"/>
        <w:rPr>
          <w:rFonts w:hint="eastAsia"/>
          <w:color w:val="auto"/>
          <w:highlight w:val="none"/>
        </w:rPr>
      </w:pPr>
      <w:r>
        <w:rPr>
          <w:rFonts w:hint="eastAsia"/>
          <w:color w:val="auto"/>
          <w:highlight w:val="none"/>
        </w:rPr>
        <w:t>项目标段名称：</w:t>
      </w:r>
      <w:r>
        <w:rPr>
          <w:rFonts w:hint="eastAsia"/>
          <w:color w:val="auto"/>
          <w:highlight w:val="none"/>
          <w:u w:val="single"/>
        </w:rPr>
        <w:tab/>
      </w:r>
      <w:r>
        <w:rPr>
          <w:rFonts w:hint="eastAsia"/>
          <w:color w:val="auto"/>
          <w:highlight w:val="none"/>
          <w:u w:val="single"/>
        </w:rPr>
        <w:t xml:space="preserve">                               </w:t>
      </w:r>
    </w:p>
    <w:p w14:paraId="0F486E07">
      <w:pPr>
        <w:spacing w:line="600" w:lineRule="auto"/>
        <w:ind w:left="1225" w:leftChars="355" w:hanging="480" w:hangingChars="229"/>
        <w:rPr>
          <w:color w:val="auto"/>
          <w:highlight w:val="none"/>
        </w:rPr>
      </w:pPr>
      <w:r>
        <w:rPr>
          <w:rFonts w:hint="eastAsia"/>
          <w:color w:val="auto"/>
          <w:highlight w:val="none"/>
        </w:rPr>
        <w:t>项目单位(建设单位)：</w:t>
      </w:r>
      <w:r>
        <w:rPr>
          <w:rFonts w:hint="eastAsia"/>
          <w:color w:val="auto"/>
          <w:highlight w:val="none"/>
          <w:u w:val="single"/>
        </w:rPr>
        <w:tab/>
      </w:r>
      <w:r>
        <w:rPr>
          <w:rFonts w:hint="eastAsia"/>
          <w:color w:val="auto"/>
          <w:highlight w:val="none"/>
          <w:u w:val="single"/>
        </w:rPr>
        <w:t xml:space="preserve">                              </w:t>
      </w:r>
    </w:p>
    <w:p w14:paraId="52F4ED7A">
      <w:pPr>
        <w:spacing w:line="600" w:lineRule="auto"/>
        <w:ind w:left="1225" w:leftChars="355" w:hanging="480" w:hangingChars="229"/>
        <w:rPr>
          <w:color w:val="auto"/>
          <w:highlight w:val="none"/>
        </w:rPr>
      </w:pPr>
      <w:r>
        <w:rPr>
          <w:rFonts w:hint="eastAsia"/>
          <w:color w:val="auto"/>
          <w:highlight w:val="none"/>
        </w:rPr>
        <w:t>承包人：</w:t>
      </w:r>
      <w:r>
        <w:rPr>
          <w:rFonts w:hint="eastAsia"/>
          <w:color w:val="auto"/>
          <w:highlight w:val="none"/>
          <w:u w:val="single"/>
        </w:rPr>
        <w:tab/>
      </w:r>
      <w:r>
        <w:rPr>
          <w:rFonts w:hint="eastAsia"/>
          <w:color w:val="auto"/>
          <w:highlight w:val="none"/>
          <w:u w:val="single"/>
        </w:rPr>
        <w:t xml:space="preserve">                              </w:t>
      </w:r>
    </w:p>
    <w:p w14:paraId="3BE8800B">
      <w:pPr>
        <w:ind w:firstLine="735" w:firstLineChars="350"/>
        <w:rPr>
          <w:color w:val="auto"/>
          <w:highlight w:val="none"/>
        </w:rPr>
      </w:pPr>
      <w:r>
        <w:rPr>
          <w:rFonts w:hint="eastAsia"/>
          <w:color w:val="auto"/>
          <w:highlight w:val="none"/>
        </w:rPr>
        <w:t>签订日期：</w:t>
      </w:r>
      <w:r>
        <w:rPr>
          <w:rFonts w:hint="eastAsia"/>
          <w:color w:val="auto"/>
          <w:highlight w:val="none"/>
          <w:u w:val="single"/>
        </w:rPr>
        <w:t xml:space="preserve">        年      月      日</w:t>
      </w:r>
    </w:p>
    <w:p w14:paraId="1411E217">
      <w:pPr>
        <w:rPr>
          <w:color w:val="auto"/>
          <w:highlight w:val="none"/>
        </w:rPr>
      </w:pPr>
    </w:p>
    <w:p w14:paraId="41CD199A">
      <w:pPr>
        <w:rPr>
          <w:color w:val="auto"/>
          <w:highlight w:val="none"/>
        </w:rPr>
      </w:pPr>
    </w:p>
    <w:p w14:paraId="56FFCC17">
      <w:pPr>
        <w:rPr>
          <w:color w:val="auto"/>
          <w:highlight w:val="none"/>
        </w:rPr>
      </w:pPr>
    </w:p>
    <w:p w14:paraId="2C4C57DD">
      <w:pPr>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 xml:space="preserve"> </w:t>
      </w:r>
      <w:r>
        <w:rPr>
          <w:rFonts w:ascii="Times New Roman" w:hAnsi="Times New Roman"/>
          <w:b/>
          <w:color w:val="auto"/>
          <w:sz w:val="28"/>
          <w:szCs w:val="28"/>
          <w:highlight w:val="none"/>
        </w:rPr>
        <w:t>住</w:t>
      </w:r>
      <w:r>
        <w:rPr>
          <w:rFonts w:hint="eastAsia" w:ascii="Times New Roman" w:hAnsi="Times New Roman"/>
          <w:b/>
          <w:color w:val="auto"/>
          <w:sz w:val="28"/>
          <w:szCs w:val="28"/>
          <w:highlight w:val="none"/>
        </w:rPr>
        <w:t xml:space="preserve"> </w:t>
      </w:r>
      <w:r>
        <w:rPr>
          <w:rFonts w:ascii="Times New Roman" w:hAnsi="Times New Roman"/>
          <w:b/>
          <w:color w:val="auto"/>
          <w:sz w:val="28"/>
          <w:szCs w:val="28"/>
          <w:highlight w:val="none"/>
        </w:rPr>
        <w:t>房</w:t>
      </w:r>
      <w:r>
        <w:rPr>
          <w:rFonts w:hint="eastAsia" w:ascii="Times New Roman" w:hAnsi="Times New Roman"/>
          <w:b/>
          <w:color w:val="auto"/>
          <w:sz w:val="28"/>
          <w:szCs w:val="28"/>
          <w:highlight w:val="none"/>
        </w:rPr>
        <w:t xml:space="preserve"> 和 </w:t>
      </w:r>
      <w:r>
        <w:rPr>
          <w:rFonts w:ascii="Times New Roman" w:hAnsi="Times New Roman"/>
          <w:b/>
          <w:color w:val="auto"/>
          <w:sz w:val="28"/>
          <w:szCs w:val="28"/>
          <w:highlight w:val="none"/>
        </w:rPr>
        <w:t>城</w:t>
      </w:r>
      <w:r>
        <w:rPr>
          <w:rFonts w:hint="eastAsia" w:ascii="Times New Roman" w:hAnsi="Times New Roman"/>
          <w:b/>
          <w:color w:val="auto"/>
          <w:sz w:val="28"/>
          <w:szCs w:val="28"/>
          <w:highlight w:val="none"/>
        </w:rPr>
        <w:t xml:space="preserve"> </w:t>
      </w:r>
      <w:r>
        <w:rPr>
          <w:rFonts w:ascii="Times New Roman" w:hAnsi="Times New Roman"/>
          <w:b/>
          <w:color w:val="auto"/>
          <w:sz w:val="28"/>
          <w:szCs w:val="28"/>
          <w:highlight w:val="none"/>
        </w:rPr>
        <w:t>乡</w:t>
      </w:r>
      <w:r>
        <w:rPr>
          <w:rFonts w:hint="eastAsia" w:ascii="Times New Roman" w:hAnsi="Times New Roman"/>
          <w:b/>
          <w:color w:val="auto"/>
          <w:sz w:val="28"/>
          <w:szCs w:val="28"/>
          <w:highlight w:val="none"/>
        </w:rPr>
        <w:t xml:space="preserve"> </w:t>
      </w:r>
      <w:r>
        <w:rPr>
          <w:rFonts w:ascii="Times New Roman" w:hAnsi="Times New Roman"/>
          <w:b/>
          <w:color w:val="auto"/>
          <w:sz w:val="28"/>
          <w:szCs w:val="28"/>
          <w:highlight w:val="none"/>
        </w:rPr>
        <w:t>建</w:t>
      </w:r>
      <w:r>
        <w:rPr>
          <w:rFonts w:hint="eastAsia" w:ascii="Times New Roman" w:hAnsi="Times New Roman"/>
          <w:b/>
          <w:color w:val="auto"/>
          <w:sz w:val="28"/>
          <w:szCs w:val="28"/>
          <w:highlight w:val="none"/>
        </w:rPr>
        <w:t xml:space="preserve"> </w:t>
      </w:r>
      <w:r>
        <w:rPr>
          <w:rFonts w:ascii="Times New Roman" w:hAnsi="Times New Roman"/>
          <w:b/>
          <w:color w:val="auto"/>
          <w:sz w:val="28"/>
          <w:szCs w:val="28"/>
          <w:highlight w:val="none"/>
        </w:rPr>
        <w:t>设</w:t>
      </w:r>
      <w:r>
        <w:rPr>
          <w:rFonts w:hint="eastAsia" w:ascii="Times New Roman" w:hAnsi="Times New Roman"/>
          <w:b/>
          <w:color w:val="auto"/>
          <w:sz w:val="28"/>
          <w:szCs w:val="28"/>
          <w:highlight w:val="none"/>
        </w:rPr>
        <w:t xml:space="preserve"> </w:t>
      </w:r>
      <w:r>
        <w:rPr>
          <w:rFonts w:ascii="Times New Roman" w:hAnsi="Times New Roman"/>
          <w:b/>
          <w:color w:val="auto"/>
          <w:sz w:val="28"/>
          <w:szCs w:val="28"/>
          <w:highlight w:val="none"/>
        </w:rPr>
        <w:t>部</w:t>
      </w:r>
    </w:p>
    <w:p w14:paraId="47B2FCD8">
      <w:pPr>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 xml:space="preserve"> </w:t>
      </w:r>
      <w:r>
        <w:rPr>
          <w:rFonts w:ascii="Times New Roman" w:hAnsi="Times New Roman"/>
          <w:b/>
          <w:color w:val="auto"/>
          <w:sz w:val="28"/>
          <w:szCs w:val="28"/>
          <w:highlight w:val="none"/>
        </w:rPr>
        <w:t xml:space="preserve">                                  制定</w:t>
      </w:r>
    </w:p>
    <w:p w14:paraId="0E1D2DB9">
      <w:pPr>
        <w:jc w:val="center"/>
        <w:rPr>
          <w:color w:val="auto"/>
          <w:highlight w:val="none"/>
        </w:rPr>
        <w:sectPr>
          <w:footerReference r:id="rId5" w:type="first"/>
          <w:headerReference r:id="rId3" w:type="default"/>
          <w:footerReference r:id="rId4" w:type="default"/>
          <w:pgSz w:w="11906" w:h="16838"/>
          <w:pgMar w:top="1417" w:right="1417" w:bottom="1417" w:left="1417" w:header="851" w:footer="992" w:gutter="0"/>
          <w:pgNumType w:fmt="decimal"/>
          <w:cols w:space="720" w:num="1"/>
          <w:titlePg/>
          <w:docGrid w:type="lines" w:linePitch="312" w:charSpace="0"/>
        </w:sectPr>
      </w:pPr>
      <w:r>
        <w:rPr>
          <w:rFonts w:ascii="Times New Roman" w:hAnsi="Times New Roman"/>
          <w:b/>
          <w:color w:val="auto"/>
          <w:sz w:val="28"/>
          <w:szCs w:val="28"/>
          <w:highlight w:val="none"/>
        </w:rPr>
        <w:t>国家工商行政管理总局</w:t>
      </w:r>
      <w:r>
        <w:rPr>
          <w:rFonts w:hint="eastAsia"/>
          <w:color w:val="auto"/>
          <w:highlight w:val="none"/>
        </w:rPr>
        <w:t xml:space="preserve">  </w:t>
      </w:r>
    </w:p>
    <w:p w14:paraId="15CE4FC3">
      <w:pPr>
        <w:pStyle w:val="6"/>
        <w:rPr>
          <w:rFonts w:ascii="Times New Roman" w:hAnsi="Times New Roman"/>
          <w:b w:val="0"/>
          <w:color w:val="auto"/>
          <w:sz w:val="30"/>
          <w:szCs w:val="30"/>
          <w:highlight w:val="none"/>
        </w:rPr>
      </w:pPr>
      <w:r>
        <w:rPr>
          <w:rFonts w:ascii="Times New Roman" w:hAnsi="Times New Roman"/>
          <w:color w:val="auto"/>
          <w:sz w:val="30"/>
          <w:szCs w:val="30"/>
          <w:highlight w:val="none"/>
        </w:rPr>
        <w:t>第一部分 合同协议书</w:t>
      </w:r>
    </w:p>
    <w:p w14:paraId="40C8F1CA">
      <w:pPr>
        <w:spacing w:line="360" w:lineRule="auto"/>
        <w:rPr>
          <w:rFonts w:hint="default" w:eastAsia="宋体"/>
          <w:color w:val="auto"/>
          <w:sz w:val="21"/>
          <w:szCs w:val="21"/>
          <w:highlight w:val="none"/>
          <w:u w:val="single"/>
          <w:lang w:val="en-US" w:eastAsia="zh-CN"/>
        </w:rPr>
      </w:pPr>
      <w:r>
        <w:rPr>
          <w:b/>
          <w:color w:val="auto"/>
          <w:sz w:val="21"/>
          <w:szCs w:val="21"/>
          <w:highlight w:val="none"/>
        </w:rPr>
        <w:t>发包人（全称）：</w:t>
      </w:r>
      <w:r>
        <w:rPr>
          <w:rFonts w:hint="eastAsia"/>
          <w:b/>
          <w:color w:val="auto"/>
          <w:sz w:val="21"/>
          <w:szCs w:val="21"/>
          <w:highlight w:val="none"/>
          <w:lang w:val="en-US" w:eastAsia="zh-CN"/>
        </w:rPr>
        <w:t>陕西省人民医院</w:t>
      </w:r>
    </w:p>
    <w:p w14:paraId="7FDBD089">
      <w:pPr>
        <w:spacing w:line="360" w:lineRule="auto"/>
        <w:rPr>
          <w:rFonts w:ascii="Times New Roman" w:hAnsi="Times New Roman"/>
          <w:b/>
          <w:color w:val="auto"/>
          <w:szCs w:val="21"/>
          <w:highlight w:val="none"/>
          <w:u w:val="single"/>
        </w:rPr>
      </w:pPr>
      <w:r>
        <w:rPr>
          <w:rFonts w:hint="eastAsia"/>
          <w:b/>
          <w:color w:val="auto"/>
          <w:sz w:val="21"/>
          <w:szCs w:val="21"/>
          <w:highlight w:val="none"/>
        </w:rPr>
        <w:t>承包人</w:t>
      </w:r>
      <w:r>
        <w:rPr>
          <w:b/>
          <w:color w:val="auto"/>
          <w:sz w:val="21"/>
          <w:szCs w:val="21"/>
          <w:highlight w:val="none"/>
        </w:rPr>
        <w:t>（全称）：</w:t>
      </w:r>
      <w:r>
        <w:rPr>
          <w:rFonts w:hint="eastAsia" w:ascii="MingLiU_HKSCS" w:hAnsi="MingLiU_HKSCS" w:cs="MingLiU_HKSCS"/>
          <w:b w:val="0"/>
          <w:bCs/>
          <w:color w:val="auto"/>
          <w:sz w:val="21"/>
          <w:szCs w:val="21"/>
          <w:highlight w:val="none"/>
          <w:u w:val="single"/>
        </w:rPr>
        <w:t xml:space="preserve">    </w:t>
      </w:r>
      <w:r>
        <w:rPr>
          <w:rFonts w:hint="eastAsia" w:cs="宋体"/>
          <w:b w:val="0"/>
          <w:bCs/>
          <w:color w:val="auto"/>
          <w:sz w:val="21"/>
          <w:szCs w:val="21"/>
          <w:highlight w:val="none"/>
          <w:u w:val="single"/>
        </w:rPr>
        <w:t xml:space="preserve"> </w:t>
      </w:r>
      <w:r>
        <w:rPr>
          <w:rFonts w:hint="eastAsia"/>
          <w:b w:val="0"/>
          <w:bCs/>
          <w:color w:val="auto"/>
          <w:sz w:val="21"/>
          <w:szCs w:val="21"/>
          <w:highlight w:val="none"/>
          <w:u w:val="single"/>
        </w:rPr>
        <w:t xml:space="preserve"> </w:t>
      </w:r>
      <w:r>
        <w:rPr>
          <w:b w:val="0"/>
          <w:bCs/>
          <w:color w:val="auto"/>
          <w:sz w:val="21"/>
          <w:szCs w:val="21"/>
          <w:highlight w:val="none"/>
          <w:u w:val="single"/>
        </w:rPr>
        <w:t xml:space="preserve">       </w:t>
      </w:r>
      <w:r>
        <w:rPr>
          <w:rFonts w:hint="eastAsia"/>
          <w:b w:val="0"/>
          <w:bCs/>
          <w:color w:val="auto"/>
          <w:sz w:val="21"/>
          <w:szCs w:val="21"/>
          <w:highlight w:val="none"/>
          <w:u w:val="single"/>
        </w:rPr>
        <w:t xml:space="preserve"> </w:t>
      </w:r>
      <w:r>
        <w:rPr>
          <w:b w:val="0"/>
          <w:bCs/>
          <w:color w:val="auto"/>
          <w:sz w:val="21"/>
          <w:szCs w:val="21"/>
          <w:highlight w:val="none"/>
          <w:u w:val="single"/>
        </w:rPr>
        <w:t xml:space="preserve">  </w:t>
      </w:r>
    </w:p>
    <w:p w14:paraId="0760113B">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根据《中华人民共和国民法典》《中华人民共和国建筑法》及其他有关法律、法规，遵循平等、自愿、公平和诚信的原则，双方就下述工程事项协商一致，订立本合同。</w:t>
      </w:r>
    </w:p>
    <w:p w14:paraId="7F2FC777">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一、工程概况</w:t>
      </w:r>
    </w:p>
    <w:p w14:paraId="6EE65D83">
      <w:pPr>
        <w:spacing w:line="360" w:lineRule="auto"/>
        <w:ind w:firstLine="411" w:firstLineChars="196"/>
        <w:rPr>
          <w:rFonts w:ascii="Times New Roman" w:hAnsi="Times New Roman"/>
          <w:color w:val="auto"/>
          <w:sz w:val="21"/>
          <w:szCs w:val="21"/>
          <w:highlight w:val="none"/>
          <w:u w:val="single"/>
        </w:rPr>
      </w:pPr>
      <w:r>
        <w:rPr>
          <w:rFonts w:ascii="Times New Roman" w:hAnsi="Times New Roman"/>
          <w:bCs/>
          <w:color w:val="auto"/>
          <w:sz w:val="21"/>
          <w:szCs w:val="21"/>
          <w:highlight w:val="none"/>
        </w:rPr>
        <w:t>1.工程名称</w:t>
      </w:r>
      <w:r>
        <w:rPr>
          <w:rFonts w:ascii="Times New Roman" w:hAnsi="Times New Roman"/>
          <w:color w:val="auto"/>
          <w:sz w:val="21"/>
          <w:szCs w:val="21"/>
          <w:highlight w:val="none"/>
        </w:rPr>
        <w:t>：</w:t>
      </w:r>
      <w:r>
        <w:rPr>
          <w:rFonts w:hint="eastAsia" w:ascii="Times New Roman" w:hAnsi="Times New Roman"/>
          <w:bCs/>
          <w:color w:val="auto"/>
          <w:sz w:val="21"/>
          <w:szCs w:val="21"/>
          <w:highlight w:val="none"/>
          <w:u w:val="single"/>
          <w:lang w:val="en-US" w:eastAsia="zh-CN"/>
        </w:rPr>
        <w:t>实验楼加固/改造/装修项目一标段</w:t>
      </w:r>
      <w:r>
        <w:rPr>
          <w:rFonts w:hint="eastAsia" w:ascii="Times New Roman" w:hAnsi="Times New Roman"/>
          <w:bCs/>
          <w:color w:val="auto"/>
          <w:sz w:val="21"/>
          <w:szCs w:val="21"/>
          <w:highlight w:val="none"/>
          <w:u w:val="single"/>
        </w:rPr>
        <w:t xml:space="preserve">  </w:t>
      </w:r>
      <w:r>
        <w:rPr>
          <w:rFonts w:ascii="Times New Roman" w:hAnsi="Times New Roman"/>
          <w:color w:val="auto"/>
          <w:sz w:val="21"/>
          <w:szCs w:val="21"/>
          <w:highlight w:val="none"/>
          <w:u w:val="single"/>
        </w:rPr>
        <w:t>；</w:t>
      </w:r>
    </w:p>
    <w:p w14:paraId="107E7EF0">
      <w:pPr>
        <w:spacing w:line="360" w:lineRule="auto"/>
        <w:ind w:firstLine="411" w:firstLineChars="196"/>
        <w:rPr>
          <w:rFonts w:ascii="Times New Roman" w:hAnsi="Times New Roman"/>
          <w:color w:val="auto"/>
          <w:sz w:val="21"/>
          <w:szCs w:val="21"/>
          <w:highlight w:val="none"/>
          <w:u w:val="single"/>
        </w:rPr>
      </w:pPr>
      <w:r>
        <w:rPr>
          <w:rFonts w:ascii="Times New Roman" w:hAnsi="Times New Roman"/>
          <w:bCs/>
          <w:color w:val="auto"/>
          <w:sz w:val="21"/>
          <w:szCs w:val="21"/>
          <w:highlight w:val="none"/>
        </w:rPr>
        <w:t>2.工程地点：</w:t>
      </w:r>
      <w:r>
        <w:rPr>
          <w:rFonts w:hint="eastAsia" w:ascii="Times New Roman" w:hAnsi="Times New Roman"/>
          <w:bCs/>
          <w:color w:val="auto"/>
          <w:sz w:val="21"/>
          <w:szCs w:val="21"/>
          <w:highlight w:val="none"/>
          <w:u w:val="single"/>
          <w:lang w:val="en-US" w:eastAsia="zh-CN"/>
        </w:rPr>
        <w:t>陕西省人民医院</w:t>
      </w:r>
      <w:r>
        <w:rPr>
          <w:rFonts w:ascii="Times New Roman" w:hAnsi="Times New Roman"/>
          <w:bCs/>
          <w:color w:val="auto"/>
          <w:sz w:val="21"/>
          <w:szCs w:val="21"/>
          <w:highlight w:val="none"/>
          <w:u w:val="single"/>
        </w:rPr>
        <w:t xml:space="preserve"> </w:t>
      </w:r>
      <w:r>
        <w:rPr>
          <w:rFonts w:hint="eastAsia" w:ascii="_x000B__x000C_" w:hAnsi="_x000B__x000C_"/>
          <w:bCs/>
          <w:color w:val="auto"/>
          <w:sz w:val="21"/>
          <w:szCs w:val="21"/>
          <w:highlight w:val="none"/>
          <w:u w:val="single"/>
        </w:rPr>
        <w:t xml:space="preserve"> </w:t>
      </w:r>
      <w:r>
        <w:rPr>
          <w:rFonts w:ascii="Times New Roman" w:hAnsi="Times New Roman"/>
          <w:color w:val="auto"/>
          <w:sz w:val="21"/>
          <w:szCs w:val="21"/>
          <w:highlight w:val="none"/>
          <w:u w:val="single"/>
        </w:rPr>
        <w:t>；</w:t>
      </w:r>
    </w:p>
    <w:p w14:paraId="0689C7D1">
      <w:pPr>
        <w:spacing w:line="360" w:lineRule="auto"/>
        <w:ind w:firstLine="420" w:firstLineChars="200"/>
        <w:rPr>
          <w:rFonts w:ascii="Times New Roman" w:hAnsi="Times New Roman"/>
          <w:bCs/>
          <w:color w:val="auto"/>
          <w:sz w:val="21"/>
          <w:szCs w:val="21"/>
          <w:highlight w:val="none"/>
          <w:u w:val="single"/>
        </w:rPr>
      </w:pPr>
      <w:r>
        <w:rPr>
          <w:rFonts w:ascii="Times New Roman" w:hAnsi="Times New Roman"/>
          <w:bCs/>
          <w:color w:val="auto"/>
          <w:sz w:val="21"/>
          <w:szCs w:val="21"/>
          <w:highlight w:val="none"/>
        </w:rPr>
        <w:t>3.工程立项批准文号：</w:t>
      </w:r>
      <w:r>
        <w:rPr>
          <w:rFonts w:ascii="Times New Roman" w:hAnsi="Times New Roman"/>
          <w:color w:val="auto"/>
          <w:sz w:val="21"/>
          <w:szCs w:val="21"/>
          <w:highlight w:val="none"/>
          <w:u w:val="single"/>
        </w:rPr>
        <w:t xml:space="preserve"> </w:t>
      </w:r>
      <w:r>
        <w:rPr>
          <w:rFonts w:hint="eastAsia" w:ascii="_x000B__x000C_" w:hAnsi="_x000B__x000C_"/>
          <w:bCs/>
          <w:color w:val="auto"/>
          <w:sz w:val="21"/>
          <w:szCs w:val="21"/>
          <w:highlight w:val="none"/>
          <w:u w:val="single"/>
        </w:rPr>
        <w:t xml:space="preserve">       </w:t>
      </w:r>
      <w:r>
        <w:rPr>
          <w:rFonts w:ascii="Times New Roman" w:hAnsi="Times New Roman"/>
          <w:bCs/>
          <w:color w:val="auto"/>
          <w:sz w:val="21"/>
          <w:szCs w:val="21"/>
          <w:highlight w:val="none"/>
          <w:u w:val="single"/>
        </w:rPr>
        <w:t>；</w:t>
      </w:r>
    </w:p>
    <w:p w14:paraId="24434DAD">
      <w:pPr>
        <w:spacing w:line="360" w:lineRule="auto"/>
        <w:ind w:firstLine="411" w:firstLineChars="196"/>
        <w:rPr>
          <w:rFonts w:ascii="Times New Roman" w:hAnsi="Times New Roman"/>
          <w:bCs/>
          <w:color w:val="auto"/>
          <w:sz w:val="21"/>
          <w:szCs w:val="21"/>
          <w:highlight w:val="none"/>
        </w:rPr>
      </w:pPr>
      <w:r>
        <w:rPr>
          <w:rFonts w:ascii="Times New Roman" w:hAnsi="Times New Roman"/>
          <w:bCs/>
          <w:color w:val="auto"/>
          <w:sz w:val="21"/>
          <w:szCs w:val="21"/>
          <w:highlight w:val="none"/>
        </w:rPr>
        <w:t>4.资金来源：</w:t>
      </w:r>
      <w:r>
        <w:rPr>
          <w:rFonts w:ascii="Times New Roman" w:hAnsi="Times New Roman"/>
          <w:color w:val="auto"/>
          <w:sz w:val="21"/>
          <w:szCs w:val="21"/>
          <w:highlight w:val="none"/>
          <w:u w:val="single"/>
        </w:rPr>
        <w:t xml:space="preserve"> </w:t>
      </w:r>
      <w:r>
        <w:rPr>
          <w:rFonts w:hint="eastAsia" w:ascii="_x000B__x000C_" w:hAnsi="_x000B__x000C_"/>
          <w:bCs/>
          <w:color w:val="auto"/>
          <w:sz w:val="21"/>
          <w:szCs w:val="21"/>
          <w:highlight w:val="none"/>
          <w:u w:val="single"/>
        </w:rPr>
        <w:t xml:space="preserve">       </w:t>
      </w:r>
      <w:r>
        <w:rPr>
          <w:rFonts w:ascii="Times New Roman" w:hAnsi="Times New Roman"/>
          <w:bCs/>
          <w:color w:val="auto"/>
          <w:sz w:val="21"/>
          <w:szCs w:val="21"/>
          <w:highlight w:val="none"/>
          <w:u w:val="single"/>
        </w:rPr>
        <w:t>；</w:t>
      </w:r>
      <w:r>
        <w:rPr>
          <w:rFonts w:ascii="Times New Roman" w:hAnsi="Times New Roman"/>
          <w:bCs/>
          <w:color w:val="auto"/>
          <w:sz w:val="21"/>
          <w:szCs w:val="21"/>
          <w:highlight w:val="none"/>
        </w:rPr>
        <w:t xml:space="preserve"> </w:t>
      </w:r>
    </w:p>
    <w:p w14:paraId="7A59EAB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Times New Roman" w:hAnsi="Times New Roman"/>
          <w:bCs/>
          <w:color w:val="auto"/>
          <w:sz w:val="21"/>
          <w:szCs w:val="21"/>
          <w:highlight w:val="none"/>
          <w:u w:val="single"/>
          <w:lang w:val="en-US" w:eastAsia="zh-CN"/>
        </w:rPr>
      </w:pPr>
      <w:r>
        <w:rPr>
          <w:rFonts w:ascii="Times New Roman" w:hAnsi="Times New Roman"/>
          <w:bCs/>
          <w:color w:val="auto"/>
          <w:sz w:val="21"/>
          <w:szCs w:val="21"/>
          <w:highlight w:val="none"/>
        </w:rPr>
        <w:t>5.工程内容：</w:t>
      </w:r>
      <w:r>
        <w:rPr>
          <w:rFonts w:hint="eastAsia" w:ascii="Times New Roman" w:hAnsi="Times New Roman"/>
          <w:bCs/>
          <w:color w:val="auto"/>
          <w:sz w:val="21"/>
          <w:szCs w:val="21"/>
          <w:highlight w:val="none"/>
          <w:u w:val="single"/>
          <w:lang w:val="en-US" w:eastAsia="zh-CN"/>
        </w:rPr>
        <w:t>在功能重新布局的基础上，拟对实验楼一至五层实施室内外全专业装修，包含建筑,结构,给排水,暖通,电气、弱电智能化、净化、消防等专业，屋面防水、整体外立面改造及加固改造。（包含专项实验室基础装修，不包含PCR实验室和动物房），具体要求详见图纸、清单。</w:t>
      </w:r>
    </w:p>
    <w:p w14:paraId="4651DDFA">
      <w:pPr>
        <w:spacing w:line="360" w:lineRule="auto"/>
        <w:ind w:firstLine="411" w:firstLineChars="196"/>
        <w:rPr>
          <w:rFonts w:ascii="Times New Roman" w:hAnsi="Times New Roman"/>
          <w:bCs/>
          <w:color w:val="auto"/>
          <w:sz w:val="21"/>
          <w:szCs w:val="21"/>
          <w:highlight w:val="none"/>
          <w:u w:val="single"/>
        </w:rPr>
      </w:pPr>
      <w:r>
        <w:rPr>
          <w:rFonts w:hint="eastAsia" w:ascii="Times New Roman" w:hAnsi="Times New Roman"/>
          <w:bCs/>
          <w:color w:val="auto"/>
          <w:sz w:val="21"/>
          <w:szCs w:val="21"/>
          <w:highlight w:val="none"/>
        </w:rPr>
        <w:t>6.承包范围：</w:t>
      </w:r>
      <w:r>
        <w:rPr>
          <w:rFonts w:hint="eastAsia" w:ascii="Times New Roman" w:hAnsi="Times New Roman"/>
          <w:bCs/>
          <w:color w:val="auto"/>
          <w:sz w:val="21"/>
          <w:szCs w:val="21"/>
          <w:highlight w:val="none"/>
          <w:u w:val="single"/>
        </w:rPr>
        <w:t>本项目招标文件</w:t>
      </w:r>
      <w:r>
        <w:rPr>
          <w:rFonts w:hint="eastAsia" w:ascii="Times New Roman" w:hAnsi="Times New Roman"/>
          <w:bCs/>
          <w:color w:val="auto"/>
          <w:sz w:val="21"/>
          <w:szCs w:val="21"/>
          <w:highlight w:val="none"/>
          <w:u w:val="single"/>
          <w:lang w:eastAsia="zh-CN"/>
        </w:rPr>
        <w:t>、</w:t>
      </w:r>
      <w:r>
        <w:rPr>
          <w:rFonts w:hint="eastAsia" w:ascii="Times New Roman" w:hAnsi="Times New Roman"/>
          <w:bCs/>
          <w:color w:val="auto"/>
          <w:sz w:val="21"/>
          <w:szCs w:val="21"/>
          <w:highlight w:val="none"/>
          <w:u w:val="single"/>
          <w:lang w:val="en-US" w:eastAsia="zh-CN"/>
        </w:rPr>
        <w:t>施工图纸</w:t>
      </w:r>
      <w:r>
        <w:rPr>
          <w:rFonts w:hint="eastAsia" w:ascii="Times New Roman" w:hAnsi="Times New Roman"/>
          <w:bCs/>
          <w:color w:val="auto"/>
          <w:sz w:val="21"/>
          <w:szCs w:val="21"/>
          <w:highlight w:val="none"/>
          <w:u w:val="single"/>
        </w:rPr>
        <w:t>和工程量清单所包含的工程内容</w:t>
      </w:r>
      <w:r>
        <w:rPr>
          <w:rFonts w:hint="eastAsia" w:ascii="Times New Roman" w:hAnsi="Times New Roman"/>
          <w:bCs/>
          <w:color w:val="auto"/>
          <w:sz w:val="21"/>
          <w:szCs w:val="21"/>
          <w:highlight w:val="none"/>
        </w:rPr>
        <w:t>。</w:t>
      </w:r>
    </w:p>
    <w:p w14:paraId="5D094F5F">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二、合同工期</w:t>
      </w:r>
    </w:p>
    <w:p w14:paraId="414C1E67">
      <w:pPr>
        <w:spacing w:line="360" w:lineRule="auto"/>
        <w:ind w:firstLine="459"/>
        <w:rPr>
          <w:rFonts w:ascii="Times New Roman" w:hAnsi="Times New Roman"/>
          <w:color w:val="auto"/>
          <w:sz w:val="21"/>
          <w:szCs w:val="21"/>
          <w:highlight w:val="none"/>
        </w:rPr>
      </w:pPr>
      <w:r>
        <w:rPr>
          <w:rFonts w:ascii="Times New Roman" w:hAnsi="Times New Roman"/>
          <w:color w:val="auto"/>
          <w:sz w:val="21"/>
          <w:szCs w:val="21"/>
          <w:highlight w:val="none"/>
        </w:rPr>
        <w:t>工期总日历天数：</w:t>
      </w:r>
      <w:r>
        <w:rPr>
          <w:rFonts w:hint="eastAsia"/>
          <w:color w:val="auto"/>
          <w:sz w:val="21"/>
          <w:szCs w:val="21"/>
          <w:highlight w:val="none"/>
          <w:u w:val="single"/>
          <w:lang w:val="en-US" w:eastAsia="zh-CN"/>
        </w:rPr>
        <w:t>120</w:t>
      </w:r>
      <w:r>
        <w:rPr>
          <w:rFonts w:ascii="Times New Roman" w:hAnsi="Times New Roman"/>
          <w:color w:val="auto"/>
          <w:sz w:val="21"/>
          <w:szCs w:val="21"/>
          <w:highlight w:val="none"/>
        </w:rPr>
        <w:t>天，</w:t>
      </w:r>
      <w:r>
        <w:rPr>
          <w:rFonts w:hint="eastAsia" w:ascii="Times New Roman" w:hAnsi="Times New Roman"/>
          <w:color w:val="auto"/>
          <w:sz w:val="21"/>
          <w:szCs w:val="21"/>
          <w:highlight w:val="none"/>
        </w:rPr>
        <w:t>自开工令签发之日</w:t>
      </w:r>
      <w:r>
        <w:rPr>
          <w:rFonts w:ascii="Times New Roman" w:hAnsi="Times New Roman"/>
          <w:color w:val="auto"/>
          <w:sz w:val="21"/>
          <w:szCs w:val="21"/>
          <w:highlight w:val="none"/>
        </w:rPr>
        <w:t>起算。</w:t>
      </w:r>
    </w:p>
    <w:p w14:paraId="1F723FD1">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三、质量标准</w:t>
      </w:r>
    </w:p>
    <w:p w14:paraId="29D4FFDA">
      <w:pPr>
        <w:spacing w:line="360" w:lineRule="auto"/>
        <w:ind w:firstLine="459"/>
        <w:rPr>
          <w:rFonts w:hint="default" w:ascii="Times New Roman" w:hAnsi="Times New Roman" w:eastAsia="宋体"/>
          <w:color w:val="auto"/>
          <w:sz w:val="21"/>
          <w:szCs w:val="21"/>
          <w:highlight w:val="none"/>
          <w:lang w:val="en-US" w:eastAsia="zh-CN"/>
        </w:rPr>
      </w:pPr>
      <w:r>
        <w:rPr>
          <w:rFonts w:ascii="Times New Roman" w:hAnsi="Times New Roman"/>
          <w:color w:val="auto"/>
          <w:sz w:val="21"/>
          <w:szCs w:val="21"/>
          <w:highlight w:val="none"/>
        </w:rPr>
        <w:t>工程质量符合</w:t>
      </w:r>
      <w:r>
        <w:rPr>
          <w:rFonts w:hint="eastAsia" w:cs="宋体"/>
          <w:color w:val="auto"/>
          <w:sz w:val="21"/>
          <w:szCs w:val="21"/>
          <w:highlight w:val="none"/>
        </w:rPr>
        <w:t>达到国家现行施工验收规范“合格”标准</w:t>
      </w:r>
      <w:r>
        <w:rPr>
          <w:rFonts w:hint="eastAsia" w:ascii="Times New Roman" w:hAnsi="Times New Roman"/>
          <w:color w:val="auto"/>
          <w:sz w:val="21"/>
          <w:szCs w:val="21"/>
          <w:highlight w:val="none"/>
        </w:rPr>
        <w:t>。</w:t>
      </w:r>
      <w:r>
        <w:rPr>
          <w:rFonts w:hint="eastAsia"/>
          <w:color w:val="auto"/>
          <w:sz w:val="21"/>
          <w:szCs w:val="21"/>
          <w:highlight w:val="none"/>
          <w:lang w:val="en-US" w:eastAsia="zh-CN"/>
        </w:rPr>
        <w:t xml:space="preserve">            </w:t>
      </w:r>
    </w:p>
    <w:p w14:paraId="3BC99852">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四、签约合同价与合同价格形式</w:t>
      </w:r>
      <w:r>
        <w:rPr>
          <w:rFonts w:ascii="Times New Roman" w:hAnsi="Times New Roman"/>
          <w:color w:val="auto"/>
          <w:sz w:val="21"/>
          <w:szCs w:val="21"/>
          <w:highlight w:val="none"/>
        </w:rPr>
        <w:tab/>
      </w:r>
    </w:p>
    <w:p w14:paraId="01D65D22">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1.签约合同价为：</w:t>
      </w:r>
    </w:p>
    <w:p w14:paraId="0C37E797">
      <w:pPr>
        <w:spacing w:line="360" w:lineRule="auto"/>
        <w:ind w:firstLine="525" w:firstLineChars="250"/>
        <w:rPr>
          <w:rFonts w:ascii="Times New Roman" w:hAnsi="Times New Roman"/>
          <w:color w:val="auto"/>
          <w:sz w:val="21"/>
          <w:szCs w:val="21"/>
          <w:highlight w:val="none"/>
        </w:rPr>
      </w:pPr>
      <w:r>
        <w:rPr>
          <w:rFonts w:ascii="Times New Roman" w:hAnsi="Times New Roman"/>
          <w:color w:val="auto"/>
          <w:sz w:val="21"/>
          <w:szCs w:val="21"/>
          <w:highlight w:val="none"/>
        </w:rPr>
        <w:t>人民币（大写）:</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元</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（含税）；</w:t>
      </w:r>
    </w:p>
    <w:p w14:paraId="032F94AF">
      <w:pPr>
        <w:spacing w:line="360" w:lineRule="auto"/>
        <w:ind w:firstLine="525" w:firstLineChars="250"/>
        <w:rPr>
          <w:rFonts w:ascii="Times New Roman" w:hAnsi="Times New Roman"/>
          <w:color w:val="auto"/>
          <w:sz w:val="21"/>
          <w:szCs w:val="21"/>
          <w:highlight w:val="none"/>
        </w:rPr>
      </w:pPr>
      <w:r>
        <w:rPr>
          <w:rFonts w:ascii="Times New Roman" w:hAnsi="Times New Roman"/>
          <w:color w:val="auto"/>
          <w:sz w:val="21"/>
          <w:szCs w:val="21"/>
          <w:highlight w:val="none"/>
        </w:rPr>
        <w:t>其中：</w:t>
      </w:r>
    </w:p>
    <w:p w14:paraId="348EF9FF">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（1）安全文明施工费（此部分费用为包干价，不作任何调整）：</w:t>
      </w:r>
    </w:p>
    <w:p w14:paraId="63A2EAB0">
      <w:pPr>
        <w:spacing w:line="360" w:lineRule="auto"/>
        <w:ind w:firstLine="525" w:firstLineChars="250"/>
        <w:rPr>
          <w:rFonts w:ascii="Times New Roman" w:hAnsi="Times New Roman"/>
          <w:color w:val="auto"/>
          <w:sz w:val="21"/>
          <w:szCs w:val="21"/>
          <w:highlight w:val="none"/>
        </w:rPr>
      </w:pPr>
      <w:r>
        <w:rPr>
          <w:rFonts w:ascii="Times New Roman" w:hAnsi="Times New Roman"/>
          <w:color w:val="auto"/>
          <w:sz w:val="21"/>
          <w:szCs w:val="21"/>
          <w:highlight w:val="none"/>
        </w:rPr>
        <w:t xml:space="preserve">人民币（大写）： </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 xml:space="preserve"> </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元）；</w:t>
      </w:r>
    </w:p>
    <w:p w14:paraId="7146BCA8">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（2）专业工程暂估价金额：</w:t>
      </w:r>
    </w:p>
    <w:p w14:paraId="586EE2E3">
      <w:pPr>
        <w:spacing w:line="360" w:lineRule="auto"/>
        <w:ind w:firstLine="525" w:firstLineChars="250"/>
        <w:rPr>
          <w:rFonts w:ascii="Times New Roman" w:hAnsi="Times New Roman"/>
          <w:color w:val="auto"/>
          <w:sz w:val="21"/>
          <w:szCs w:val="21"/>
          <w:highlight w:val="none"/>
        </w:rPr>
      </w:pPr>
      <w:r>
        <w:rPr>
          <w:rFonts w:ascii="Times New Roman" w:hAnsi="Times New Roman"/>
          <w:color w:val="auto"/>
          <w:sz w:val="21"/>
          <w:szCs w:val="21"/>
          <w:highlight w:val="none"/>
        </w:rPr>
        <w:t>人民币（大写）：</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 xml:space="preserve">¥ </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元</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w:t>
      </w:r>
    </w:p>
    <w:p w14:paraId="49E4F3A1">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（3）暂列金额：</w:t>
      </w:r>
    </w:p>
    <w:p w14:paraId="328ED572">
      <w:pPr>
        <w:spacing w:line="360" w:lineRule="auto"/>
        <w:ind w:firstLine="525" w:firstLineChars="250"/>
        <w:rPr>
          <w:rFonts w:ascii="Times New Roman" w:hAnsi="Times New Roman"/>
          <w:color w:val="auto"/>
          <w:sz w:val="21"/>
          <w:szCs w:val="21"/>
          <w:highlight w:val="none"/>
        </w:rPr>
      </w:pPr>
      <w:r>
        <w:rPr>
          <w:rFonts w:ascii="Times New Roman" w:hAnsi="Times New Roman"/>
          <w:color w:val="auto"/>
          <w:sz w:val="21"/>
          <w:szCs w:val="21"/>
          <w:highlight w:val="none"/>
        </w:rPr>
        <w:t>人民币（大写）：</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元</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w:t>
      </w:r>
    </w:p>
    <w:p w14:paraId="2A98E1DB">
      <w:pPr>
        <w:numPr>
          <w:ilvl w:val="0"/>
          <w:numId w:val="3"/>
        </w:num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总承包服务费：</w:t>
      </w:r>
      <w:r>
        <w:rPr>
          <w:rFonts w:hint="eastAsia" w:ascii="Times New Roman" w:hAnsi="Times New Roman"/>
          <w:color w:val="auto"/>
          <w:sz w:val="21"/>
          <w:szCs w:val="21"/>
          <w:highlight w:val="none"/>
          <w:u w:val="single"/>
        </w:rPr>
        <w:t>/</w:t>
      </w:r>
      <w:r>
        <w:rPr>
          <w:rFonts w:hint="eastAsia" w:ascii="Times New Roman" w:hAnsi="Times New Roman"/>
          <w:color w:val="auto"/>
          <w:sz w:val="21"/>
          <w:szCs w:val="21"/>
          <w:highlight w:val="none"/>
        </w:rPr>
        <w:t>。</w:t>
      </w:r>
    </w:p>
    <w:p w14:paraId="23F53F9F">
      <w:pPr>
        <w:spacing w:line="360" w:lineRule="auto"/>
        <w:ind w:firstLine="420" w:firstLineChars="200"/>
        <w:rPr>
          <w:rFonts w:hint="eastAsia" w:ascii="Times New Roman" w:hAnsi="Times New Roman"/>
          <w:color w:val="auto"/>
          <w:sz w:val="21"/>
          <w:szCs w:val="21"/>
          <w:highlight w:val="none"/>
          <w:u w:val="single"/>
        </w:rPr>
      </w:pPr>
      <w:r>
        <w:rPr>
          <w:rFonts w:ascii="Times New Roman" w:hAnsi="Times New Roman"/>
          <w:color w:val="auto"/>
          <w:sz w:val="21"/>
          <w:szCs w:val="21"/>
          <w:highlight w:val="none"/>
        </w:rPr>
        <w:t>2.合同价格形式：</w:t>
      </w:r>
      <w:r>
        <w:rPr>
          <w:rFonts w:ascii="Times New Roman" w:hAnsi="Times New Roman"/>
          <w:color w:val="auto"/>
          <w:sz w:val="21"/>
          <w:szCs w:val="21"/>
          <w:highlight w:val="none"/>
          <w:u w:val="single"/>
        </w:rPr>
        <w:t>固定综合单价（详见承包人的已标价工程量清单）</w:t>
      </w:r>
      <w:r>
        <w:rPr>
          <w:rFonts w:hint="eastAsia" w:ascii="Times New Roman" w:hAnsi="Times New Roman"/>
          <w:color w:val="auto"/>
          <w:sz w:val="21"/>
          <w:szCs w:val="21"/>
          <w:highlight w:val="none"/>
          <w:u w:val="single"/>
        </w:rPr>
        <w:t>。</w:t>
      </w:r>
    </w:p>
    <w:p w14:paraId="43B546D1">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五、项目经理</w:t>
      </w:r>
    </w:p>
    <w:p w14:paraId="2FC21CE2">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承包人项目经理姓名：</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；证书编号或注册编号：</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1B0D800C">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六、合同文件构成</w:t>
      </w:r>
    </w:p>
    <w:p w14:paraId="0334B2E1">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组成本合同的文件包括</w:t>
      </w:r>
      <w:r>
        <w:rPr>
          <w:rFonts w:hint="eastAsia" w:ascii="Times New Roman" w:hAnsi="Times New Roman"/>
          <w:bCs/>
          <w:color w:val="auto"/>
          <w:sz w:val="21"/>
          <w:szCs w:val="21"/>
          <w:highlight w:val="none"/>
        </w:rPr>
        <w:t>（按照以下顺序优先适用）</w:t>
      </w:r>
      <w:r>
        <w:rPr>
          <w:rFonts w:ascii="Times New Roman" w:hAnsi="Times New Roman"/>
          <w:bCs/>
          <w:color w:val="auto"/>
          <w:sz w:val="21"/>
          <w:szCs w:val="21"/>
          <w:highlight w:val="none"/>
        </w:rPr>
        <w:t>：</w:t>
      </w:r>
    </w:p>
    <w:p w14:paraId="2B47D219">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1、本合同协议书</w:t>
      </w:r>
    </w:p>
    <w:p w14:paraId="0EB2A50E">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2、中标通知书</w:t>
      </w:r>
    </w:p>
    <w:p w14:paraId="4911176B">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3、投标书及其附件</w:t>
      </w:r>
    </w:p>
    <w:p w14:paraId="501B670C">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4、本合同专用条款</w:t>
      </w:r>
    </w:p>
    <w:p w14:paraId="1CF618CC">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5、本合同通用条款</w:t>
      </w:r>
    </w:p>
    <w:p w14:paraId="0460BE59">
      <w:pPr>
        <w:spacing w:line="360" w:lineRule="auto"/>
        <w:ind w:firstLine="420" w:firstLineChars="200"/>
        <w:rPr>
          <w:rFonts w:hint="eastAsia" w:ascii="Times New Roman" w:hAnsi="Times New Roman"/>
          <w:bCs/>
          <w:color w:val="auto"/>
          <w:sz w:val="21"/>
          <w:szCs w:val="21"/>
          <w:highlight w:val="none"/>
        </w:rPr>
      </w:pPr>
      <w:r>
        <w:rPr>
          <w:rFonts w:ascii="Times New Roman" w:hAnsi="Times New Roman"/>
          <w:bCs/>
          <w:color w:val="auto"/>
          <w:sz w:val="21"/>
          <w:szCs w:val="21"/>
          <w:highlight w:val="none"/>
        </w:rPr>
        <w:t>6、招标文件、答疑纪要</w:t>
      </w:r>
    </w:p>
    <w:p w14:paraId="13F6F5FE">
      <w:pPr>
        <w:spacing w:line="360" w:lineRule="auto"/>
        <w:ind w:firstLine="420" w:firstLineChars="200"/>
        <w:rPr>
          <w:rFonts w:hint="eastAsia" w:ascii="Times New Roman" w:hAnsi="Times New Roman"/>
          <w:bCs/>
          <w:color w:val="auto"/>
          <w:sz w:val="21"/>
          <w:szCs w:val="21"/>
          <w:highlight w:val="none"/>
        </w:rPr>
      </w:pPr>
      <w:r>
        <w:rPr>
          <w:rFonts w:ascii="Times New Roman" w:hAnsi="Times New Roman"/>
          <w:bCs/>
          <w:color w:val="auto"/>
          <w:sz w:val="21"/>
          <w:szCs w:val="21"/>
          <w:highlight w:val="none"/>
        </w:rPr>
        <w:t>7、图纸及工程量清单</w:t>
      </w:r>
    </w:p>
    <w:p w14:paraId="68585BB7">
      <w:pPr>
        <w:spacing w:line="360" w:lineRule="auto"/>
        <w:ind w:firstLine="420" w:firstLineChars="200"/>
        <w:rPr>
          <w:rFonts w:hint="eastAsia" w:ascii="Times New Roman" w:hAnsi="Times New Roman"/>
          <w:bCs/>
          <w:color w:val="auto"/>
          <w:sz w:val="21"/>
          <w:szCs w:val="21"/>
          <w:highlight w:val="none"/>
        </w:rPr>
      </w:pPr>
      <w:r>
        <w:rPr>
          <w:rFonts w:ascii="Times New Roman" w:hAnsi="Times New Roman"/>
          <w:bCs/>
          <w:color w:val="auto"/>
          <w:sz w:val="21"/>
          <w:szCs w:val="21"/>
          <w:highlight w:val="none"/>
        </w:rPr>
        <w:t>8、标准、规范及有关技术文件</w:t>
      </w:r>
    </w:p>
    <w:p w14:paraId="3EA176AC">
      <w:pPr>
        <w:spacing w:line="360" w:lineRule="auto"/>
        <w:rPr>
          <w:rFonts w:ascii="Times New Roman" w:hAnsi="Times New Roman"/>
          <w:bCs/>
          <w:color w:val="auto"/>
          <w:sz w:val="21"/>
          <w:szCs w:val="21"/>
          <w:highlight w:val="none"/>
        </w:rPr>
      </w:pPr>
      <w:r>
        <w:rPr>
          <w:rFonts w:hint="eastAsia" w:ascii="Times New Roman" w:hAnsi="Times New Roman"/>
          <w:bCs/>
          <w:color w:val="auto"/>
          <w:sz w:val="21"/>
          <w:szCs w:val="21"/>
          <w:highlight w:val="none"/>
        </w:rPr>
        <w:t xml:space="preserve">    9、</w:t>
      </w:r>
      <w:r>
        <w:rPr>
          <w:rFonts w:ascii="Times New Roman" w:hAnsi="Times New Roman"/>
          <w:bCs/>
          <w:color w:val="auto"/>
          <w:sz w:val="21"/>
          <w:szCs w:val="21"/>
          <w:highlight w:val="none"/>
        </w:rPr>
        <w:t>已标价工程量清单或预算书</w:t>
      </w:r>
    </w:p>
    <w:p w14:paraId="64DDA2B5">
      <w:pPr>
        <w:spacing w:line="360" w:lineRule="auto"/>
        <w:rPr>
          <w:rFonts w:ascii="Times New Roman" w:hAnsi="Times New Roman"/>
          <w:bCs/>
          <w:color w:val="auto"/>
          <w:sz w:val="21"/>
          <w:szCs w:val="21"/>
          <w:highlight w:val="none"/>
        </w:rPr>
      </w:pPr>
      <w:r>
        <w:rPr>
          <w:rFonts w:hint="eastAsia" w:ascii="Times New Roman" w:hAnsi="Times New Roman"/>
          <w:bCs/>
          <w:color w:val="auto"/>
          <w:sz w:val="21"/>
          <w:szCs w:val="21"/>
          <w:highlight w:val="none"/>
        </w:rPr>
        <w:t xml:space="preserve">    10、施工过程中的往来函件、会议纪要等文件</w:t>
      </w:r>
    </w:p>
    <w:p w14:paraId="2EA88302">
      <w:pPr>
        <w:spacing w:line="360" w:lineRule="auto"/>
        <w:ind w:firstLine="420" w:firstLineChars="200"/>
        <w:rPr>
          <w:rFonts w:ascii="Times New Roman" w:hAnsi="Times New Roman"/>
          <w:color w:val="auto"/>
          <w:sz w:val="21"/>
          <w:szCs w:val="21"/>
          <w:highlight w:val="none"/>
        </w:rPr>
      </w:pPr>
      <w:r>
        <w:rPr>
          <w:rFonts w:ascii="Times New Roman" w:hAnsi="Times New Roman"/>
          <w:bCs/>
          <w:color w:val="auto"/>
          <w:sz w:val="21"/>
          <w:szCs w:val="21"/>
          <w:highlight w:val="none"/>
        </w:rPr>
        <w:t>双方为履行本合同的有关洽商、变更等书面协议、文件，视为本合同的组成部分。</w:t>
      </w:r>
    </w:p>
    <w:p w14:paraId="0214D0DC">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七、承诺</w:t>
      </w:r>
    </w:p>
    <w:p w14:paraId="07B77BED">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1.发包人承诺按照法律规定履行项目相关义务，按照合同约定的期限和方式支付合同价款。</w:t>
      </w:r>
    </w:p>
    <w:p w14:paraId="2A2787C2">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5917855B">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3.发包人和承包人通过招投标形式签订合同的，双方理解并承诺不再就同一工程另行签订与合同实质性内容相背离的协议。</w:t>
      </w:r>
    </w:p>
    <w:p w14:paraId="20DA4A21">
      <w:pPr>
        <w:spacing w:line="360" w:lineRule="auto"/>
        <w:rPr>
          <w:rFonts w:ascii="Times New Roman" w:hAnsi="Times New Roman"/>
          <w:bCs/>
          <w:color w:val="auto"/>
          <w:sz w:val="21"/>
          <w:szCs w:val="21"/>
          <w:highlight w:val="none"/>
        </w:rPr>
      </w:pPr>
      <w:r>
        <w:rPr>
          <w:rFonts w:ascii="Times New Roman" w:hAnsi="Times New Roman"/>
          <w:b/>
          <w:color w:val="auto"/>
          <w:sz w:val="21"/>
          <w:szCs w:val="21"/>
          <w:highlight w:val="none"/>
        </w:rPr>
        <w:t>八、词语含义</w:t>
      </w:r>
    </w:p>
    <w:p w14:paraId="7D1D5C10">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本协议书中词语含义与第二部分通用合同条款中赋予的含义相同。</w:t>
      </w:r>
    </w:p>
    <w:p w14:paraId="517369F3">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九、签订时间</w:t>
      </w:r>
    </w:p>
    <w:p w14:paraId="535C1B70">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本合同于</w:t>
      </w:r>
      <w:r>
        <w:rPr>
          <w:rFonts w:ascii="Times New Roman" w:hAnsi="Times New Roman"/>
          <w:bCs/>
          <w:color w:val="auto"/>
          <w:sz w:val="21"/>
          <w:szCs w:val="21"/>
          <w:highlight w:val="none"/>
          <w:u w:val="single"/>
        </w:rPr>
        <w:t>202</w:t>
      </w:r>
      <w:r>
        <w:rPr>
          <w:rFonts w:hint="eastAsia" w:ascii="Times New Roman" w:hAnsi="Times New Roman"/>
          <w:bCs/>
          <w:color w:val="auto"/>
          <w:sz w:val="21"/>
          <w:szCs w:val="21"/>
          <w:highlight w:val="none"/>
          <w:u w:val="single"/>
          <w:lang w:val="en-US" w:eastAsia="zh-CN"/>
        </w:rPr>
        <w:t>5</w:t>
      </w:r>
      <w:r>
        <w:rPr>
          <w:rFonts w:ascii="Times New Roman" w:hAnsi="Times New Roman"/>
          <w:bCs/>
          <w:color w:val="auto"/>
          <w:sz w:val="21"/>
          <w:szCs w:val="21"/>
          <w:highlight w:val="none"/>
          <w:u w:val="single"/>
        </w:rPr>
        <w:t xml:space="preserve">年 </w:t>
      </w:r>
      <w:r>
        <w:rPr>
          <w:rFonts w:hint="eastAsia"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u w:val="single"/>
        </w:rPr>
        <w:t xml:space="preserve"> 月 </w:t>
      </w:r>
      <w:r>
        <w:rPr>
          <w:rFonts w:hint="eastAsia"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u w:val="single"/>
        </w:rPr>
        <w:t xml:space="preserve"> 日</w:t>
      </w:r>
      <w:r>
        <w:rPr>
          <w:rFonts w:ascii="Times New Roman" w:hAnsi="Times New Roman"/>
          <w:bCs/>
          <w:color w:val="auto"/>
          <w:sz w:val="21"/>
          <w:szCs w:val="21"/>
          <w:highlight w:val="none"/>
        </w:rPr>
        <w:t>签订。</w:t>
      </w:r>
    </w:p>
    <w:p w14:paraId="7669AC7E">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十、签订地点</w:t>
      </w:r>
    </w:p>
    <w:p w14:paraId="347A2327">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本合同在</w:t>
      </w:r>
      <w:r>
        <w:rPr>
          <w:rFonts w:ascii="Times New Roman" w:hAnsi="Times New Roman"/>
          <w:bCs/>
          <w:color w:val="auto"/>
          <w:sz w:val="21"/>
          <w:szCs w:val="21"/>
          <w:highlight w:val="none"/>
          <w:u w:val="single"/>
        </w:rPr>
        <w:t xml:space="preserve"> </w:t>
      </w:r>
      <w:r>
        <w:rPr>
          <w:rFonts w:hint="eastAsia"/>
          <w:color w:val="auto"/>
          <w:sz w:val="21"/>
          <w:szCs w:val="21"/>
          <w:highlight w:val="none"/>
          <w:u w:val="single"/>
        </w:rPr>
        <w:t xml:space="preserve">    </w:t>
      </w:r>
      <w:r>
        <w:rPr>
          <w:rFonts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rPr>
        <w:t>签订。</w:t>
      </w:r>
    </w:p>
    <w:p w14:paraId="1AB0C5B8">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十一、补充协议</w:t>
      </w:r>
    </w:p>
    <w:p w14:paraId="6A43CF6E">
      <w:pPr>
        <w:spacing w:line="360" w:lineRule="auto"/>
        <w:ind w:firstLine="420" w:firstLineChars="200"/>
        <w:rPr>
          <w:rFonts w:ascii="Times New Roman" w:hAnsi="Times New Roman"/>
          <w:b/>
          <w:bCs/>
          <w:color w:val="auto"/>
          <w:sz w:val="21"/>
          <w:szCs w:val="21"/>
          <w:highlight w:val="none"/>
        </w:rPr>
      </w:pPr>
      <w:r>
        <w:rPr>
          <w:rFonts w:ascii="Times New Roman" w:hAnsi="Times New Roman"/>
          <w:bCs/>
          <w:color w:val="auto"/>
          <w:sz w:val="21"/>
          <w:szCs w:val="21"/>
          <w:highlight w:val="none"/>
        </w:rPr>
        <w:t>合同未尽事宜，合同当事人另行签订补充协议，补充协议是合同的组成部分。</w:t>
      </w:r>
    </w:p>
    <w:p w14:paraId="472655D9">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十二、合同生效</w:t>
      </w:r>
    </w:p>
    <w:p w14:paraId="0261868D">
      <w:pPr>
        <w:spacing w:line="36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本合同自</w:t>
      </w:r>
      <w:r>
        <w:rPr>
          <w:rFonts w:ascii="Times New Roman" w:hAnsi="Times New Roman"/>
          <w:bCs/>
          <w:color w:val="auto"/>
          <w:sz w:val="21"/>
          <w:szCs w:val="21"/>
          <w:highlight w:val="none"/>
          <w:u w:val="single"/>
        </w:rPr>
        <w:t>合同签订之日起</w:t>
      </w:r>
      <w:r>
        <w:rPr>
          <w:rFonts w:ascii="Times New Roman" w:hAnsi="Times New Roman"/>
          <w:bCs/>
          <w:color w:val="auto"/>
          <w:sz w:val="21"/>
          <w:szCs w:val="21"/>
          <w:highlight w:val="none"/>
        </w:rPr>
        <w:t>生效。</w:t>
      </w:r>
    </w:p>
    <w:p w14:paraId="5F4784E7">
      <w:pPr>
        <w:pStyle w:val="7"/>
        <w:spacing w:line="360" w:lineRule="auto"/>
        <w:ind w:firstLine="420"/>
        <w:rPr>
          <w:rFonts w:ascii="Times New Roman" w:hAnsi="Times New Roman"/>
          <w:color w:val="auto"/>
          <w:sz w:val="21"/>
          <w:szCs w:val="21"/>
          <w:highlight w:val="none"/>
        </w:rPr>
      </w:pPr>
      <w:r>
        <w:rPr>
          <w:rFonts w:ascii="Times New Roman" w:hAnsi="Times New Roman"/>
          <w:color w:val="auto"/>
          <w:sz w:val="21"/>
          <w:szCs w:val="21"/>
          <w:highlight w:val="none"/>
        </w:rPr>
        <w:t>十三、合同份数</w:t>
      </w:r>
    </w:p>
    <w:p w14:paraId="1F19F184">
      <w:pPr>
        <w:tabs>
          <w:tab w:val="left" w:pos="0"/>
        </w:tabs>
        <w:spacing w:line="360" w:lineRule="auto"/>
        <w:rPr>
          <w:rFonts w:hint="eastAsia" w:ascii="Times New Roman" w:hAnsi="Times New Roman"/>
          <w:color w:val="auto"/>
          <w:kern w:val="0"/>
          <w:sz w:val="21"/>
          <w:szCs w:val="21"/>
          <w:highlight w:val="none"/>
          <w:u w:val="single"/>
        </w:rPr>
      </w:pPr>
      <w:r>
        <w:rPr>
          <w:rFonts w:hint="eastAsia" w:ascii="Times New Roman" w:hAnsi="Times New Roman"/>
          <w:color w:val="auto"/>
          <w:kern w:val="0"/>
          <w:sz w:val="21"/>
          <w:szCs w:val="21"/>
          <w:highlight w:val="none"/>
          <w:u w:val="single"/>
        </w:rPr>
        <w:t xml:space="preserve">本合同正本一式 </w:t>
      </w:r>
      <w:r>
        <w:rPr>
          <w:rFonts w:hint="eastAsia"/>
          <w:color w:val="auto"/>
          <w:kern w:val="0"/>
          <w:sz w:val="21"/>
          <w:szCs w:val="21"/>
          <w:highlight w:val="none"/>
          <w:u w:val="single"/>
          <w:lang w:val="en-US" w:eastAsia="zh-CN"/>
        </w:rPr>
        <w:t>伍</w:t>
      </w:r>
      <w:r>
        <w:rPr>
          <w:rFonts w:hint="eastAsia" w:ascii="Times New Roman" w:hAnsi="Times New Roman"/>
          <w:color w:val="auto"/>
          <w:kern w:val="0"/>
          <w:sz w:val="21"/>
          <w:szCs w:val="21"/>
          <w:highlight w:val="none"/>
          <w:u w:val="single"/>
        </w:rPr>
        <w:t xml:space="preserve"> 份、副本一式 </w:t>
      </w:r>
      <w:r>
        <w:rPr>
          <w:rFonts w:hint="eastAsia"/>
          <w:color w:val="auto"/>
          <w:kern w:val="0"/>
          <w:sz w:val="21"/>
          <w:szCs w:val="21"/>
          <w:highlight w:val="none"/>
          <w:u w:val="single"/>
          <w:lang w:val="en-US" w:eastAsia="zh-CN"/>
        </w:rPr>
        <w:t>柒</w:t>
      </w:r>
      <w:r>
        <w:rPr>
          <w:rFonts w:hint="eastAsia" w:ascii="Times New Roman" w:hAnsi="Times New Roman"/>
          <w:color w:val="auto"/>
          <w:kern w:val="0"/>
          <w:sz w:val="21"/>
          <w:szCs w:val="21"/>
          <w:highlight w:val="none"/>
          <w:u w:val="single"/>
        </w:rPr>
        <w:t xml:space="preserve"> 份，均具有同等法律效力，发包人执正本 叁 份、副本 叁 份，承包人执正本 壹 份、副本 叁 份，备 案正本 壹 份、副本 壹 份</w:t>
      </w:r>
      <w:r>
        <w:rPr>
          <w:rFonts w:ascii="Times New Roman" w:hAnsi="Times New Roman"/>
          <w:color w:val="auto"/>
          <w:kern w:val="0"/>
          <w:sz w:val="21"/>
          <w:szCs w:val="21"/>
          <w:highlight w:val="none"/>
          <w:u w:val="single"/>
        </w:rPr>
        <w:t>。</w:t>
      </w:r>
    </w:p>
    <w:tbl>
      <w:tblPr>
        <w:tblStyle w:val="14"/>
        <w:tblpPr w:leftFromText="180" w:rightFromText="180" w:vertAnchor="text" w:horzAnchor="margin" w:tblpXSpec="center" w:tblpY="2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0"/>
        <w:gridCol w:w="4772"/>
      </w:tblGrid>
      <w:tr w14:paraId="3B94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200" w:type="pct"/>
            <w:noWrap w:val="0"/>
            <w:vAlign w:val="top"/>
          </w:tcPr>
          <w:p w14:paraId="02AD134E">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(此页为签署页)</w:t>
            </w:r>
          </w:p>
          <w:p w14:paraId="445B6554">
            <w:pPr>
              <w:tabs>
                <w:tab w:val="left" w:pos="180"/>
              </w:tabs>
              <w:spacing w:line="400" w:lineRule="exact"/>
              <w:rPr>
                <w:rFonts w:hint="eastAsia" w:cs="宋体"/>
                <w:color w:val="auto"/>
                <w:sz w:val="21"/>
                <w:szCs w:val="21"/>
                <w:highlight w:val="none"/>
              </w:rPr>
            </w:pPr>
            <w:r>
              <w:rPr>
                <w:rFonts w:hint="eastAsia"/>
                <w:color w:val="auto"/>
                <w:sz w:val="21"/>
                <w:szCs w:val="21"/>
                <w:highlight w:val="none"/>
                <w:lang w:val="en-US" w:eastAsia="zh-CN"/>
              </w:rPr>
              <w:t>发包</w:t>
            </w:r>
            <w:r>
              <w:rPr>
                <w:rFonts w:hint="eastAsia"/>
                <w:color w:val="auto"/>
                <w:sz w:val="21"/>
                <w:szCs w:val="21"/>
                <w:highlight w:val="none"/>
              </w:rPr>
              <w:t>单位</w:t>
            </w:r>
            <w:r>
              <w:rPr>
                <w:rFonts w:hint="eastAsia" w:cs="宋体"/>
                <w:color w:val="auto"/>
                <w:sz w:val="21"/>
                <w:szCs w:val="21"/>
                <w:highlight w:val="none"/>
              </w:rPr>
              <w:t xml:space="preserve">：       </w:t>
            </w:r>
            <w:r>
              <w:rPr>
                <w:rFonts w:hint="eastAsia"/>
                <w:color w:val="auto"/>
                <w:sz w:val="21"/>
                <w:szCs w:val="21"/>
                <w:highlight w:val="none"/>
              </w:rPr>
              <w:t>（盖章）</w:t>
            </w:r>
            <w:r>
              <w:rPr>
                <w:rFonts w:hint="eastAsia" w:cs="宋体"/>
                <w:color w:val="auto"/>
                <w:sz w:val="21"/>
                <w:szCs w:val="21"/>
                <w:highlight w:val="none"/>
              </w:rPr>
              <w:t xml:space="preserve"> </w:t>
            </w:r>
          </w:p>
          <w:p w14:paraId="6CA9727E">
            <w:pPr>
              <w:tabs>
                <w:tab w:val="left" w:pos="180"/>
              </w:tabs>
              <w:spacing w:line="400" w:lineRule="exact"/>
              <w:rPr>
                <w:rFonts w:hint="eastAsia" w:cs="宋体"/>
                <w:color w:val="auto"/>
                <w:sz w:val="21"/>
                <w:szCs w:val="21"/>
                <w:highlight w:val="none"/>
              </w:rPr>
            </w:pPr>
            <w:r>
              <w:rPr>
                <w:rFonts w:hint="eastAsia"/>
                <w:color w:val="auto"/>
                <w:sz w:val="21"/>
                <w:szCs w:val="21"/>
                <w:highlight w:val="none"/>
              </w:rPr>
              <w:t>法定代表人或其委托代理人</w:t>
            </w:r>
            <w:r>
              <w:rPr>
                <w:rFonts w:hint="eastAsia" w:cs="宋体"/>
                <w:color w:val="auto"/>
                <w:sz w:val="21"/>
                <w:szCs w:val="21"/>
                <w:highlight w:val="none"/>
              </w:rPr>
              <w:t xml:space="preserve">： </w:t>
            </w:r>
          </w:p>
          <w:p w14:paraId="50AB7712">
            <w:pPr>
              <w:tabs>
                <w:tab w:val="left" w:pos="180"/>
              </w:tabs>
              <w:spacing w:line="400" w:lineRule="exact"/>
              <w:rPr>
                <w:rFonts w:hint="eastAsia" w:cs="宋体"/>
                <w:color w:val="auto"/>
                <w:sz w:val="21"/>
                <w:szCs w:val="21"/>
                <w:highlight w:val="none"/>
              </w:rPr>
            </w:pPr>
            <w:r>
              <w:rPr>
                <w:rFonts w:hint="eastAsia" w:cs="宋体"/>
                <w:color w:val="auto"/>
                <w:sz w:val="21"/>
                <w:szCs w:val="21"/>
                <w:highlight w:val="none"/>
              </w:rPr>
              <w:t>（签字或盖章）</w:t>
            </w:r>
          </w:p>
          <w:p w14:paraId="6D1596E9">
            <w:pPr>
              <w:spacing w:line="400" w:lineRule="exact"/>
              <w:rPr>
                <w:rFonts w:hint="eastAsia" w:cs="宋体"/>
                <w:color w:val="auto"/>
                <w:sz w:val="21"/>
                <w:szCs w:val="21"/>
                <w:highlight w:val="none"/>
              </w:rPr>
            </w:pPr>
            <w:r>
              <w:rPr>
                <w:rFonts w:hint="eastAsia" w:cs="宋体"/>
                <w:color w:val="auto"/>
                <w:sz w:val="21"/>
                <w:szCs w:val="21"/>
                <w:highlight w:val="none"/>
              </w:rPr>
              <w:t xml:space="preserve">统一社会信用代码： </w:t>
            </w:r>
          </w:p>
          <w:p w14:paraId="6BE59D27">
            <w:pPr>
              <w:tabs>
                <w:tab w:val="left" w:pos="180"/>
              </w:tabs>
              <w:spacing w:line="400" w:lineRule="exact"/>
              <w:rPr>
                <w:rFonts w:hint="eastAsia"/>
                <w:color w:val="auto"/>
                <w:sz w:val="21"/>
                <w:szCs w:val="21"/>
                <w:highlight w:val="none"/>
              </w:rPr>
            </w:pPr>
            <w:r>
              <w:rPr>
                <w:rFonts w:hint="eastAsia"/>
                <w:color w:val="auto"/>
                <w:sz w:val="21"/>
                <w:szCs w:val="21"/>
                <w:highlight w:val="none"/>
              </w:rPr>
              <w:t xml:space="preserve">地址： </w:t>
            </w:r>
          </w:p>
          <w:p w14:paraId="3EC73CE6">
            <w:pPr>
              <w:tabs>
                <w:tab w:val="left" w:pos="180"/>
              </w:tabs>
              <w:spacing w:line="400" w:lineRule="exact"/>
              <w:rPr>
                <w:rFonts w:hint="eastAsia"/>
                <w:color w:val="auto"/>
                <w:sz w:val="21"/>
                <w:szCs w:val="21"/>
                <w:highlight w:val="none"/>
              </w:rPr>
            </w:pPr>
            <w:r>
              <w:rPr>
                <w:rFonts w:hint="eastAsia"/>
                <w:color w:val="auto"/>
                <w:sz w:val="21"/>
                <w:szCs w:val="21"/>
                <w:highlight w:val="none"/>
              </w:rPr>
              <w:t>邮编：</w:t>
            </w:r>
          </w:p>
          <w:p w14:paraId="0DEEF2FF">
            <w:pPr>
              <w:tabs>
                <w:tab w:val="left" w:pos="180"/>
              </w:tabs>
              <w:spacing w:line="400" w:lineRule="exact"/>
              <w:rPr>
                <w:rFonts w:hint="eastAsia"/>
                <w:color w:val="auto"/>
                <w:sz w:val="21"/>
                <w:szCs w:val="21"/>
                <w:highlight w:val="none"/>
              </w:rPr>
            </w:pPr>
            <w:r>
              <w:rPr>
                <w:color w:val="auto"/>
                <w:sz w:val="21"/>
                <w:szCs w:val="21"/>
                <w:highlight w:val="none"/>
              </w:rPr>
              <w:t>法定代表人：</w:t>
            </w:r>
          </w:p>
          <w:p w14:paraId="3E8A4749">
            <w:pPr>
              <w:tabs>
                <w:tab w:val="left" w:pos="180"/>
              </w:tabs>
              <w:spacing w:line="400" w:lineRule="exact"/>
              <w:rPr>
                <w:rFonts w:hint="eastAsia"/>
                <w:color w:val="auto"/>
                <w:sz w:val="21"/>
                <w:szCs w:val="21"/>
                <w:highlight w:val="none"/>
              </w:rPr>
            </w:pPr>
            <w:r>
              <w:rPr>
                <w:color w:val="auto"/>
                <w:sz w:val="21"/>
                <w:szCs w:val="21"/>
                <w:highlight w:val="none"/>
              </w:rPr>
              <w:t>委托代理人：</w:t>
            </w:r>
          </w:p>
          <w:p w14:paraId="27B5041D">
            <w:pPr>
              <w:tabs>
                <w:tab w:val="left" w:pos="180"/>
              </w:tabs>
              <w:spacing w:line="400" w:lineRule="exact"/>
              <w:rPr>
                <w:rFonts w:hint="eastAsia"/>
                <w:color w:val="auto"/>
                <w:sz w:val="21"/>
                <w:szCs w:val="21"/>
                <w:highlight w:val="none"/>
              </w:rPr>
            </w:pPr>
            <w:r>
              <w:rPr>
                <w:rFonts w:hint="eastAsia"/>
                <w:color w:val="auto"/>
                <w:sz w:val="21"/>
                <w:szCs w:val="21"/>
                <w:highlight w:val="none"/>
              </w:rPr>
              <w:t>电话：</w:t>
            </w:r>
          </w:p>
          <w:p w14:paraId="7124DEEB">
            <w:pPr>
              <w:tabs>
                <w:tab w:val="left" w:pos="180"/>
              </w:tabs>
              <w:spacing w:line="400" w:lineRule="exact"/>
              <w:rPr>
                <w:rFonts w:hint="eastAsia"/>
                <w:color w:val="auto"/>
                <w:sz w:val="21"/>
                <w:szCs w:val="21"/>
                <w:highlight w:val="none"/>
              </w:rPr>
            </w:pPr>
            <w:r>
              <w:rPr>
                <w:rFonts w:hint="eastAsia"/>
                <w:color w:val="auto"/>
                <w:sz w:val="21"/>
                <w:szCs w:val="21"/>
                <w:highlight w:val="none"/>
              </w:rPr>
              <w:t>传真：</w:t>
            </w:r>
          </w:p>
          <w:p w14:paraId="6CCFBFE5">
            <w:pPr>
              <w:tabs>
                <w:tab w:val="left" w:pos="180"/>
              </w:tabs>
              <w:spacing w:line="400" w:lineRule="exact"/>
              <w:rPr>
                <w:rFonts w:hint="eastAsia"/>
                <w:color w:val="auto"/>
                <w:sz w:val="21"/>
                <w:szCs w:val="21"/>
                <w:highlight w:val="none"/>
              </w:rPr>
            </w:pPr>
            <w:r>
              <w:rPr>
                <w:color w:val="auto"/>
                <w:sz w:val="21"/>
                <w:szCs w:val="21"/>
                <w:highlight w:val="none"/>
              </w:rPr>
              <w:t>电子信箱：</w:t>
            </w:r>
          </w:p>
          <w:p w14:paraId="3921FD9A">
            <w:pPr>
              <w:tabs>
                <w:tab w:val="left" w:pos="180"/>
              </w:tabs>
              <w:spacing w:line="400" w:lineRule="exact"/>
              <w:rPr>
                <w:rFonts w:hint="eastAsia"/>
                <w:color w:val="auto"/>
                <w:sz w:val="21"/>
                <w:szCs w:val="21"/>
                <w:highlight w:val="none"/>
              </w:rPr>
            </w:pPr>
            <w:r>
              <w:rPr>
                <w:rFonts w:hint="eastAsia"/>
                <w:color w:val="auto"/>
                <w:sz w:val="21"/>
                <w:szCs w:val="21"/>
                <w:highlight w:val="none"/>
              </w:rPr>
              <w:t xml:space="preserve">开户银行： </w:t>
            </w:r>
          </w:p>
          <w:p w14:paraId="1106B79D">
            <w:pPr>
              <w:tabs>
                <w:tab w:val="left" w:pos="180"/>
              </w:tabs>
              <w:spacing w:line="400" w:lineRule="exact"/>
              <w:rPr>
                <w:rFonts w:hint="eastAsia"/>
                <w:color w:val="auto"/>
                <w:sz w:val="21"/>
                <w:szCs w:val="21"/>
                <w:highlight w:val="none"/>
              </w:rPr>
            </w:pPr>
            <w:r>
              <w:rPr>
                <w:rFonts w:hint="eastAsia"/>
                <w:color w:val="auto"/>
                <w:sz w:val="21"/>
                <w:szCs w:val="21"/>
                <w:highlight w:val="none"/>
              </w:rPr>
              <w:t>银行账号：</w:t>
            </w:r>
          </w:p>
          <w:p w14:paraId="3C09A3B3">
            <w:pPr>
              <w:tabs>
                <w:tab w:val="left" w:pos="180"/>
              </w:tabs>
              <w:spacing w:line="400" w:lineRule="exact"/>
              <w:rPr>
                <w:rFonts w:hint="eastAsia"/>
                <w:color w:val="auto"/>
                <w:sz w:val="21"/>
                <w:szCs w:val="21"/>
                <w:highlight w:val="none"/>
              </w:rPr>
            </w:pPr>
            <w:r>
              <w:rPr>
                <w:rFonts w:hint="eastAsia"/>
                <w:color w:val="auto"/>
                <w:sz w:val="21"/>
                <w:szCs w:val="21"/>
                <w:highlight w:val="none"/>
              </w:rPr>
              <w:t>时  间：</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tc>
        <w:tc>
          <w:tcPr>
            <w:tcW w:w="2799" w:type="pct"/>
            <w:noWrap w:val="0"/>
            <w:vAlign w:val="top"/>
          </w:tcPr>
          <w:p w14:paraId="1EE5C678">
            <w:pPr>
              <w:spacing w:line="320" w:lineRule="exact"/>
              <w:ind w:left="-2" w:leftChars="-3" w:right="-86" w:rightChars="-41" w:hanging="4" w:hangingChars="2"/>
              <w:rPr>
                <w:rFonts w:hint="eastAsia"/>
                <w:color w:val="auto"/>
                <w:sz w:val="21"/>
                <w:szCs w:val="21"/>
                <w:highlight w:val="none"/>
              </w:rPr>
            </w:pPr>
          </w:p>
          <w:p w14:paraId="326A00FA">
            <w:pPr>
              <w:spacing w:line="400" w:lineRule="exact"/>
              <w:ind w:right="-86" w:rightChars="-41"/>
              <w:rPr>
                <w:rFonts w:hint="eastAsia" w:cs="宋体"/>
                <w:color w:val="auto"/>
                <w:sz w:val="21"/>
                <w:szCs w:val="21"/>
                <w:highlight w:val="none"/>
              </w:rPr>
            </w:pPr>
            <w:r>
              <w:rPr>
                <w:rFonts w:hint="eastAsia"/>
                <w:color w:val="auto"/>
                <w:sz w:val="21"/>
                <w:szCs w:val="21"/>
                <w:highlight w:val="none"/>
              </w:rPr>
              <w:t>承包人</w:t>
            </w:r>
            <w:r>
              <w:rPr>
                <w:rFonts w:hint="eastAsia" w:cs="宋体"/>
                <w:color w:val="auto"/>
                <w:sz w:val="21"/>
                <w:szCs w:val="21"/>
                <w:highlight w:val="none"/>
              </w:rPr>
              <w:t xml:space="preserve">：       </w:t>
            </w:r>
            <w:r>
              <w:rPr>
                <w:rFonts w:hint="eastAsia"/>
                <w:color w:val="auto"/>
                <w:sz w:val="21"/>
                <w:szCs w:val="21"/>
                <w:highlight w:val="none"/>
              </w:rPr>
              <w:t>（盖章）</w:t>
            </w:r>
          </w:p>
          <w:p w14:paraId="3B2F698C">
            <w:pPr>
              <w:spacing w:line="400" w:lineRule="exact"/>
              <w:ind w:right="-86" w:rightChars="-41"/>
              <w:rPr>
                <w:rFonts w:hint="eastAsia" w:cs="宋体"/>
                <w:color w:val="auto"/>
                <w:sz w:val="21"/>
                <w:szCs w:val="21"/>
                <w:highlight w:val="none"/>
              </w:rPr>
            </w:pPr>
            <w:r>
              <w:rPr>
                <w:rFonts w:hint="eastAsia"/>
                <w:color w:val="auto"/>
                <w:sz w:val="21"/>
                <w:szCs w:val="21"/>
                <w:highlight w:val="none"/>
              </w:rPr>
              <w:t>法定代表人或其委托代理人</w:t>
            </w:r>
            <w:r>
              <w:rPr>
                <w:rFonts w:hint="eastAsia" w:cs="宋体"/>
                <w:color w:val="auto"/>
                <w:sz w:val="21"/>
                <w:szCs w:val="21"/>
                <w:highlight w:val="none"/>
              </w:rPr>
              <w:t>：</w:t>
            </w:r>
          </w:p>
          <w:p w14:paraId="0F37FF67">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（签字或盖章）</w:t>
            </w:r>
          </w:p>
          <w:p w14:paraId="3EE72B9A">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统一社会信用代码：</w:t>
            </w:r>
          </w:p>
          <w:p w14:paraId="7010B3B9">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 xml:space="preserve">地址： </w:t>
            </w:r>
          </w:p>
          <w:p w14:paraId="0D8AA08F">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邮编：</w:t>
            </w:r>
          </w:p>
          <w:p w14:paraId="0737C14A">
            <w:pPr>
              <w:tabs>
                <w:tab w:val="left" w:pos="180"/>
              </w:tabs>
              <w:spacing w:line="400" w:lineRule="exact"/>
              <w:rPr>
                <w:rFonts w:hint="eastAsia"/>
                <w:color w:val="auto"/>
                <w:sz w:val="21"/>
                <w:szCs w:val="21"/>
                <w:highlight w:val="none"/>
              </w:rPr>
            </w:pPr>
            <w:r>
              <w:rPr>
                <w:color w:val="auto"/>
                <w:sz w:val="21"/>
                <w:szCs w:val="21"/>
                <w:highlight w:val="none"/>
              </w:rPr>
              <w:t>法定代表人：</w:t>
            </w:r>
          </w:p>
          <w:p w14:paraId="059BB843">
            <w:pPr>
              <w:tabs>
                <w:tab w:val="left" w:pos="180"/>
              </w:tabs>
              <w:spacing w:line="400" w:lineRule="exact"/>
              <w:rPr>
                <w:rFonts w:hint="eastAsia"/>
                <w:color w:val="auto"/>
                <w:sz w:val="21"/>
                <w:szCs w:val="21"/>
                <w:highlight w:val="none"/>
              </w:rPr>
            </w:pPr>
            <w:r>
              <w:rPr>
                <w:color w:val="auto"/>
                <w:sz w:val="21"/>
                <w:szCs w:val="21"/>
                <w:highlight w:val="none"/>
              </w:rPr>
              <w:t>委托代理人：</w:t>
            </w:r>
          </w:p>
          <w:p w14:paraId="1B5C9D4A">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电话：</w:t>
            </w:r>
          </w:p>
          <w:p w14:paraId="2E360D08">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传真：</w:t>
            </w:r>
          </w:p>
          <w:p w14:paraId="23EE7D69">
            <w:pPr>
              <w:tabs>
                <w:tab w:val="left" w:pos="180"/>
              </w:tabs>
              <w:spacing w:line="400" w:lineRule="exact"/>
              <w:rPr>
                <w:rFonts w:hint="eastAsia"/>
                <w:color w:val="auto"/>
                <w:sz w:val="21"/>
                <w:szCs w:val="21"/>
                <w:highlight w:val="none"/>
              </w:rPr>
            </w:pPr>
            <w:r>
              <w:rPr>
                <w:color w:val="auto"/>
                <w:sz w:val="21"/>
                <w:szCs w:val="21"/>
                <w:highlight w:val="none"/>
              </w:rPr>
              <w:t>电子信箱：</w:t>
            </w:r>
          </w:p>
          <w:p w14:paraId="61B682EA">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开户银行：</w:t>
            </w:r>
          </w:p>
          <w:p w14:paraId="6B42CBFE">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银行账号：</w:t>
            </w:r>
          </w:p>
          <w:p w14:paraId="7193284E">
            <w:pPr>
              <w:bidi w:val="0"/>
              <w:ind w:firstLine="437"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时  间：</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tc>
      </w:tr>
    </w:tbl>
    <w:p w14:paraId="1B212344">
      <w:pPr>
        <w:pStyle w:val="13"/>
        <w:ind w:left="0" w:leftChars="0" w:firstLine="0" w:firstLineChars="0"/>
        <w:rPr>
          <w:rFonts w:hint="eastAsia"/>
          <w:color w:val="auto"/>
          <w:highlight w:val="none"/>
        </w:rPr>
      </w:pPr>
    </w:p>
    <w:p w14:paraId="0B77081E">
      <w:pPr>
        <w:pStyle w:val="13"/>
        <w:ind w:left="480" w:firstLine="480"/>
        <w:rPr>
          <w:rFonts w:hint="eastAsia"/>
          <w:color w:val="auto"/>
          <w:highlight w:val="none"/>
          <w:lang w:eastAsia="zh-CN"/>
        </w:rPr>
      </w:pPr>
    </w:p>
    <w:p w14:paraId="61CE43EF">
      <w:pPr>
        <w:pStyle w:val="13"/>
        <w:ind w:left="480" w:firstLine="480"/>
        <w:rPr>
          <w:rFonts w:hint="eastAsia"/>
          <w:color w:val="auto"/>
          <w:highlight w:val="none"/>
          <w:lang w:eastAsia="zh-CN"/>
        </w:rPr>
      </w:pPr>
    </w:p>
    <w:p w14:paraId="4ECC35BF">
      <w:pPr>
        <w:pStyle w:val="13"/>
        <w:ind w:left="480" w:firstLine="480"/>
        <w:rPr>
          <w:rFonts w:hint="eastAsia"/>
          <w:color w:val="auto"/>
          <w:highlight w:val="none"/>
          <w:lang w:eastAsia="zh-CN"/>
        </w:rPr>
      </w:pPr>
    </w:p>
    <w:p w14:paraId="74F02CA7">
      <w:pPr>
        <w:pStyle w:val="13"/>
        <w:ind w:left="480" w:firstLine="480"/>
        <w:rPr>
          <w:rFonts w:hint="eastAsia"/>
          <w:color w:val="auto"/>
          <w:highlight w:val="none"/>
          <w:lang w:eastAsia="zh-CN"/>
        </w:rPr>
      </w:pPr>
    </w:p>
    <w:p w14:paraId="76FDCE03">
      <w:pPr>
        <w:pStyle w:val="13"/>
        <w:ind w:left="480" w:firstLine="480"/>
        <w:rPr>
          <w:rFonts w:hint="eastAsia"/>
          <w:color w:val="auto"/>
          <w:highlight w:val="none"/>
          <w:lang w:eastAsia="zh-CN"/>
        </w:rPr>
      </w:pPr>
    </w:p>
    <w:p w14:paraId="6C1584A5">
      <w:pPr>
        <w:pStyle w:val="13"/>
        <w:ind w:left="480" w:firstLine="480"/>
        <w:rPr>
          <w:rFonts w:hint="eastAsia"/>
          <w:color w:val="auto"/>
          <w:highlight w:val="none"/>
          <w:lang w:eastAsia="zh-CN"/>
        </w:rPr>
      </w:pPr>
    </w:p>
    <w:p w14:paraId="0BEBA1B6">
      <w:pPr>
        <w:pStyle w:val="13"/>
        <w:ind w:left="480" w:firstLine="480"/>
        <w:rPr>
          <w:rFonts w:hint="eastAsia"/>
          <w:color w:val="auto"/>
          <w:highlight w:val="none"/>
        </w:rPr>
      </w:pPr>
    </w:p>
    <w:p w14:paraId="22D3647A">
      <w:pPr>
        <w:pStyle w:val="6"/>
        <w:rPr>
          <w:rFonts w:ascii="Times New Roman" w:hAnsi="Times New Roman"/>
          <w:color w:val="auto"/>
          <w:sz w:val="21"/>
          <w:szCs w:val="21"/>
          <w:highlight w:val="none"/>
        </w:rPr>
      </w:pPr>
      <w:r>
        <w:rPr>
          <w:rFonts w:ascii="Times New Roman" w:hAnsi="Times New Roman"/>
          <w:color w:val="auto"/>
          <w:sz w:val="30"/>
          <w:szCs w:val="30"/>
          <w:highlight w:val="none"/>
        </w:rPr>
        <w:t>第二部分 通用合同条款</w:t>
      </w:r>
    </w:p>
    <w:p w14:paraId="7D6BEA73">
      <w:pPr>
        <w:spacing w:line="360" w:lineRule="auto"/>
        <w:rPr>
          <w:rFonts w:ascii="Times New Roman" w:hAnsi="Times New Roman"/>
          <w:color w:val="auto"/>
          <w:sz w:val="21"/>
          <w:szCs w:val="21"/>
          <w:highlight w:val="none"/>
        </w:rPr>
      </w:pPr>
      <w:bookmarkStart w:id="163" w:name="_Toc351203495"/>
      <w:r>
        <w:rPr>
          <w:rFonts w:ascii="Times New Roman" w:hAnsi="Times New Roman"/>
          <w:color w:val="auto"/>
          <w:sz w:val="21"/>
          <w:szCs w:val="21"/>
          <w:highlight w:val="none"/>
        </w:rPr>
        <w:t>1.</w:t>
      </w:r>
      <w:bookmarkStart w:id="164" w:name="_Toc303538975"/>
      <w:bookmarkEnd w:id="164"/>
      <w:bookmarkStart w:id="165" w:name="_Toc303538972"/>
      <w:bookmarkEnd w:id="165"/>
      <w:bookmarkStart w:id="166" w:name="_Toc303538976"/>
      <w:bookmarkEnd w:id="166"/>
      <w:bookmarkStart w:id="167" w:name="_Toc303538974"/>
      <w:bookmarkEnd w:id="167"/>
      <w:bookmarkStart w:id="168" w:name="_Toc303538973"/>
      <w:bookmarkEnd w:id="168"/>
      <w:bookmarkStart w:id="169" w:name="_Toc296346528"/>
      <w:bookmarkStart w:id="170" w:name="_Toc296503027"/>
      <w:r>
        <w:rPr>
          <w:rFonts w:ascii="Times New Roman" w:hAnsi="Times New Roman"/>
          <w:color w:val="auto"/>
          <w:sz w:val="21"/>
          <w:szCs w:val="21"/>
          <w:highlight w:val="none"/>
        </w:rPr>
        <w:t xml:space="preserve"> 一般约定</w:t>
      </w:r>
      <w:bookmarkEnd w:id="163"/>
      <w:bookmarkEnd w:id="169"/>
      <w:bookmarkEnd w:id="170"/>
    </w:p>
    <w:p w14:paraId="5B0D6B39">
      <w:pPr>
        <w:spacing w:line="360" w:lineRule="auto"/>
        <w:rPr>
          <w:rFonts w:ascii="Times New Roman" w:hAnsi="Times New Roman"/>
          <w:color w:val="auto"/>
          <w:sz w:val="21"/>
          <w:szCs w:val="21"/>
          <w:highlight w:val="none"/>
        </w:rPr>
      </w:pPr>
      <w:bookmarkStart w:id="171" w:name="_Toc296346529"/>
      <w:bookmarkStart w:id="172" w:name="_Toc296503028"/>
      <w:bookmarkStart w:id="173" w:name="_Toc337558728"/>
      <w:bookmarkStart w:id="174" w:name="_Toc351203496"/>
      <w:r>
        <w:rPr>
          <w:rFonts w:ascii="Times New Roman" w:hAnsi="Times New Roman"/>
          <w:color w:val="auto"/>
          <w:sz w:val="21"/>
          <w:szCs w:val="21"/>
          <w:highlight w:val="none"/>
        </w:rPr>
        <w:t>1.1词语定义</w:t>
      </w:r>
      <w:bookmarkEnd w:id="171"/>
      <w:bookmarkEnd w:id="172"/>
      <w:bookmarkEnd w:id="173"/>
      <w:r>
        <w:rPr>
          <w:rFonts w:ascii="Times New Roman" w:hAnsi="Times New Roman"/>
          <w:color w:val="auto"/>
          <w:sz w:val="21"/>
          <w:szCs w:val="21"/>
          <w:highlight w:val="none"/>
        </w:rPr>
        <w:t>与解释</w:t>
      </w:r>
      <w:bookmarkEnd w:id="174"/>
    </w:p>
    <w:p w14:paraId="336354A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合同协议书、通用合同条款、专用合同条款中的下列词语具有本款所赋予的含义：</w:t>
      </w:r>
    </w:p>
    <w:p w14:paraId="6EE44A8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 合同</w:t>
      </w:r>
    </w:p>
    <w:p w14:paraId="38C5095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263FCA8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1.1.1.2 合同协议书：是指构成合同的由发包人和承包人共同签署的称为</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合同协议书</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的书面文件。</w:t>
      </w:r>
    </w:p>
    <w:p w14:paraId="57BFA79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1.1.1.3 中标通知书：是指构成合同的由发包人通知承包人中标的书面文件。</w:t>
      </w:r>
    </w:p>
    <w:p w14:paraId="472155C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1.1.1.4 投标函：是指构成合同的由承包人填写并签署的用于投标的称为</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投标函</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的文件。</w:t>
      </w:r>
    </w:p>
    <w:p w14:paraId="75F4077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1.1.1.5 投标函附录：是指构成合同的附在投标函后的称为</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投标函附录</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的文件。</w:t>
      </w:r>
    </w:p>
    <w:p w14:paraId="1648666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1.1.1.6 技术标准和要求：是指构成合同的施工应当遵守的或指导施工的国家、行业或地方的技术标准和要求，以及合同约定的技术标准和要求。</w:t>
      </w:r>
    </w:p>
    <w:p w14:paraId="11CF554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45D7DF7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1.1.1.8 已标价工程量清单：是指构成合同的由承包人按照规定的格式和要求填写并标明价格的工程量清单，包括说明和表格。</w:t>
      </w:r>
    </w:p>
    <w:p w14:paraId="5038094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1.1.1.9 预算书：是指构成合同的由承包人按照发包人规定的格式和要求编制的工程预算文件。</w:t>
      </w:r>
    </w:p>
    <w:p w14:paraId="73A0176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1.1.1.10 其他合同文件：是指经合同当事人约定的与工程施工有关的具有合同约束力的文件或书面协议。合同当事人可以在专用合同条款中进行约定。</w:t>
      </w:r>
    </w:p>
    <w:p w14:paraId="736D379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1.1.2 合同当事人及其他相关方</w:t>
      </w:r>
    </w:p>
    <w:p w14:paraId="679CB12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1.1.2.1 合同当事人：是指发包人和（或）承包人。</w:t>
      </w:r>
    </w:p>
    <w:p w14:paraId="5F093B2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1.1.2.2 发包人：是指与承包人签订合同协议书的当事人及取得该当事人资格的合法继承人。</w:t>
      </w:r>
    </w:p>
    <w:p w14:paraId="2F6411E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1.1.2.3 承包人：是指与发包人签订合同协议书的，具有相应工程施工承包资质的当事人及取得该当事人资格的合法继承人。</w:t>
      </w:r>
    </w:p>
    <w:p w14:paraId="7D10A2A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1.1.2.4 监理人：是指在专用合同条款中指明的，受发包人委托按照法律规定进行工程监督管理的法人或其他组织。</w:t>
      </w:r>
    </w:p>
    <w:p w14:paraId="73CC7DB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1.1.2.5 设计人：是指在专用合同条款中指明的，受发包人委托负责工程设计并具备相应工程设计资质的法人或其他组织。</w:t>
      </w:r>
    </w:p>
    <w:p w14:paraId="670DE5F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1.1.2.6 分包人：</w:t>
      </w:r>
      <w:bookmarkStart w:id="175" w:name="#go5"/>
      <w:bookmarkEnd w:id="175"/>
      <w:r>
        <w:rPr>
          <w:rFonts w:ascii="Times New Roman" w:hAnsi="Times New Roman"/>
          <w:color w:val="auto"/>
          <w:sz w:val="21"/>
          <w:szCs w:val="21"/>
          <w:highlight w:val="none"/>
        </w:rPr>
        <w:t>是指按照法律规定和合同约定，分包部分工程或工作，并与承包人签订分包合同的具有相应资质的法人。</w:t>
      </w:r>
    </w:p>
    <w:p w14:paraId="31732BD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1.1.2.7 发包人代表：是指由发包人任命并派驻施工现场在发包人授权范围内行使发包人权利的人。</w:t>
      </w:r>
    </w:p>
    <w:p w14:paraId="59F4B8B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1.1.2.8 项目经理：是指由承包人任命并派驻施工现场，在承包人授权范围内负责合同履行，且按照法律规定具有相应资格的项目负责人。</w:t>
      </w:r>
    </w:p>
    <w:p w14:paraId="5D5AEF8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1.1.2.9 总监理工程师：是指由监理人任命并派驻施工现场进行工程监理的总负责人。</w:t>
      </w:r>
    </w:p>
    <w:p w14:paraId="29FFE77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1.1.3 工程和设备</w:t>
      </w:r>
    </w:p>
    <w:p w14:paraId="0928716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1.1.3.1 工程：是指与合同协议书中工程承包范围对应的永久工程和（或）临时工程。</w:t>
      </w:r>
    </w:p>
    <w:p w14:paraId="4955BD8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1.1.3.2 永久工程：是指按合同约定建造并移交给发包人的工程，包括工程设备。</w:t>
      </w:r>
    </w:p>
    <w:p w14:paraId="1674CE85">
      <w:pPr>
        <w:spacing w:line="360" w:lineRule="auto"/>
        <w:rPr>
          <w:color w:val="auto"/>
          <w:sz w:val="21"/>
          <w:szCs w:val="21"/>
          <w:highlight w:val="none"/>
        </w:rPr>
      </w:pPr>
      <w:r>
        <w:rPr>
          <w:color w:val="auto"/>
          <w:sz w:val="21"/>
          <w:szCs w:val="21"/>
          <w:highlight w:val="none"/>
        </w:rPr>
        <w:t>1.1.3.3 临时工程：是指为完成合同约定的永久工程所修建的各类临时性工程，不包括施工设备。</w:t>
      </w:r>
    </w:p>
    <w:p w14:paraId="05BCDA5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1.1.3.4 单位工程：是指在合同协议书中指明的，具备独立施工条件并能形成独立使用功能的永久工程。</w:t>
      </w:r>
    </w:p>
    <w:p w14:paraId="1D7ED52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1.1.3.5 工程设备：是指构成永久工程的机电设备、金属结构设备、仪器及其他类似的设备和装置。</w:t>
      </w:r>
    </w:p>
    <w:p w14:paraId="1C69241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1.1.3.6 施工设备：是指为完成合同约定的各项工作所需的设备、器具和其他物品，但不包括工程设备、临时工程和材料。</w:t>
      </w:r>
    </w:p>
    <w:p w14:paraId="4050321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1.1.3.7 施工现场：是指用于工程施工的场所，以及在专用合同条款中指明作为施工场所组成部分的其他场所，包括永久占地和临时占地。</w:t>
      </w:r>
    </w:p>
    <w:p w14:paraId="4C0052B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1.1.3.8临时设施：是指为完成合同约定的各项工作所服务的临时性生产和生活设施。</w:t>
      </w:r>
    </w:p>
    <w:p w14:paraId="5C500B4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1.1.3.9 永久占地：是指专用合同条款中指明为实施工程需永久占用的土地。</w:t>
      </w:r>
    </w:p>
    <w:p w14:paraId="7CAAAF8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1.1.3.10 临时占地：是指专用合同条款中指明为实施工程需要临时占用的土地。</w:t>
      </w:r>
    </w:p>
    <w:p w14:paraId="4D2D8D3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1.1.4 日期和期限</w:t>
      </w:r>
    </w:p>
    <w:p w14:paraId="317622C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8970F6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1.1.4.2 竣工日期：包括计划竣工日期和实际竣工日期。计划竣工日期是指合同协议书约定的竣工日期；实际竣工日期按照第13.2.3项〔竣工日期〕的约定确定。 </w:t>
      </w:r>
    </w:p>
    <w:p w14:paraId="7899481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1.1.4.3 工期：是指在合同协议书约定的承包人完成工程所需的期限，包括按照合同约定所作的期限变更。</w:t>
      </w:r>
    </w:p>
    <w:p w14:paraId="44B91D2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1.1.4.4 缺陷责任期：是指承包人按照合同约定承担缺陷修复义务，且发包人预留质量保证金（已缴纳的除外）的期限，自工程实际竣工日期起计算。</w:t>
      </w:r>
    </w:p>
    <w:p w14:paraId="3493C26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1.1.4.5 保修期：是指承包人按照合同约定对工程承担保修责任的期限，从工程竣工验收合格之日起计算。</w:t>
      </w:r>
    </w:p>
    <w:p w14:paraId="64F31B1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1.1.4.6 基准日期：招标发包的工程以投标截止日前28天的日期为基准日期，直接发包的工程以合同签订日前28天的日期为基准日期。</w:t>
      </w:r>
    </w:p>
    <w:p w14:paraId="40999FA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1.1.4.7 天：除特别指明外，均指日历天。合同中按天计算时间的，开始当天不计入，从次日开始计算，期限最后一天的截止时间为当天24:00时。</w:t>
      </w:r>
    </w:p>
    <w:p w14:paraId="4DF6F90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1.1.5 合同价格和费用</w:t>
      </w:r>
    </w:p>
    <w:p w14:paraId="08C02D2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1.1.5.1 签约合同价：是指发包人和承包人在合同协议书中确定的总金额，包括安全文明施工费、暂估价及暂列金额等。</w:t>
      </w:r>
    </w:p>
    <w:p w14:paraId="7CF470E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1.1.5.2 合同价格：是指发包人用于支付承包人按照合同约定完成承包范围内全部工作的金额，包括合同履行过程中按合同约定发生的价格变化。</w:t>
      </w:r>
    </w:p>
    <w:p w14:paraId="4153D8E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1.1.5.3 费用：是指为履行合同所发生的或将要发生的所有必需的开支，包括管理费和应分摊的其他费用，但不包括利润。</w:t>
      </w:r>
    </w:p>
    <w:p w14:paraId="1668895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1.1.5.4 暂估价：是指发包人在工程量清单或预算书中提供的用于支付必然发生但暂时不能确定价格的材料、工程设备的单价、专业工程以及服务工作的金额。</w:t>
      </w:r>
    </w:p>
    <w:p w14:paraId="3317635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7E08372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1.1.5.6 计日工：是指合同履行过程中，承包人完成发包人提出的零星工作或需要采用计日工计价的变更工作时，按合同中约定的单价计价的一种方式。</w:t>
      </w:r>
    </w:p>
    <w:p w14:paraId="7E9A2F5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1.1.5.7 质量保证金</w:t>
      </w:r>
      <w:bookmarkStart w:id="176" w:name="#go2"/>
      <w:bookmarkEnd w:id="176"/>
      <w:r>
        <w:rPr>
          <w:rFonts w:ascii="Times New Roman" w:hAnsi="Times New Roman"/>
          <w:color w:val="auto"/>
          <w:sz w:val="21"/>
          <w:szCs w:val="21"/>
          <w:highlight w:val="none"/>
        </w:rPr>
        <w:t>：是指按照第15.3款〔质量保证金〕约定承包人用于保证其在缺陷责任期内履行缺陷修补义务的担保。</w:t>
      </w:r>
    </w:p>
    <w:p w14:paraId="4C311A9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1.1.5.8 总价项目：是指在现行国家、行业以及地方的计量规则中无工程量计算规则，在已标价工程量清单或预算书中以总价或以费率形式计算的项目。</w:t>
      </w:r>
    </w:p>
    <w:p w14:paraId="1CC8C9A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1.1.6 其他</w:t>
      </w:r>
    </w:p>
    <w:p w14:paraId="266C8CA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1.1.6.1 书面形式：是指合同文件、信函、电报、传真等可以有形地表现所载内容的形式。</w:t>
      </w:r>
    </w:p>
    <w:p w14:paraId="70344542">
      <w:pPr>
        <w:spacing w:line="360" w:lineRule="auto"/>
        <w:rPr>
          <w:rFonts w:ascii="Times New Roman" w:hAnsi="Times New Roman"/>
          <w:color w:val="auto"/>
          <w:sz w:val="21"/>
          <w:szCs w:val="21"/>
          <w:highlight w:val="none"/>
        </w:rPr>
      </w:pPr>
      <w:bookmarkStart w:id="177" w:name="_Toc337558729"/>
      <w:bookmarkStart w:id="178" w:name="_Toc351203497"/>
      <w:bookmarkStart w:id="179" w:name="_Toc296503029"/>
      <w:bookmarkStart w:id="180" w:name="_Toc296346530"/>
      <w:r>
        <w:rPr>
          <w:rFonts w:ascii="Times New Roman" w:hAnsi="Times New Roman"/>
          <w:color w:val="auto"/>
          <w:sz w:val="21"/>
          <w:szCs w:val="21"/>
          <w:highlight w:val="none"/>
        </w:rPr>
        <w:t>1.2语言文字</w:t>
      </w:r>
      <w:bookmarkEnd w:id="177"/>
      <w:bookmarkEnd w:id="178"/>
      <w:bookmarkEnd w:id="179"/>
      <w:bookmarkEnd w:id="180"/>
    </w:p>
    <w:p w14:paraId="4B41101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合同以中国的汉语简体文字编写、解释和说明。合同当事人在专用合同条款中约定使用两种以上语言时，汉语为优先解释和说明合同的语言。</w:t>
      </w:r>
    </w:p>
    <w:p w14:paraId="0312BDFF">
      <w:pPr>
        <w:spacing w:line="360" w:lineRule="auto"/>
        <w:rPr>
          <w:rFonts w:ascii="Times New Roman" w:hAnsi="Times New Roman"/>
          <w:color w:val="auto"/>
          <w:sz w:val="21"/>
          <w:szCs w:val="21"/>
          <w:highlight w:val="none"/>
        </w:rPr>
      </w:pPr>
      <w:bookmarkStart w:id="181" w:name="_Toc296503030"/>
      <w:bookmarkStart w:id="182" w:name="_Toc337558730"/>
      <w:bookmarkStart w:id="183" w:name="_Toc351203498"/>
      <w:bookmarkStart w:id="184" w:name="_Toc296346531"/>
      <w:r>
        <w:rPr>
          <w:rFonts w:ascii="Times New Roman" w:hAnsi="Times New Roman"/>
          <w:color w:val="auto"/>
          <w:sz w:val="21"/>
          <w:szCs w:val="21"/>
          <w:highlight w:val="none"/>
        </w:rPr>
        <w:t>1.3法律</w:t>
      </w:r>
      <w:bookmarkEnd w:id="181"/>
      <w:bookmarkEnd w:id="182"/>
      <w:bookmarkEnd w:id="183"/>
      <w:bookmarkEnd w:id="184"/>
    </w:p>
    <w:p w14:paraId="5CF94E9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合同所称法律是指中华人民共和国法律、行政法规、部门规章，以及工程所在地的地方性法规、自治条例、单行条例和地方政府规章等。</w:t>
      </w:r>
    </w:p>
    <w:p w14:paraId="10B3090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合同当事人可以在专用合同条款中约定合同适用的其他规范性文件。</w:t>
      </w:r>
    </w:p>
    <w:p w14:paraId="2653A0F6">
      <w:pPr>
        <w:spacing w:line="360" w:lineRule="auto"/>
        <w:rPr>
          <w:rFonts w:ascii="Times New Roman" w:hAnsi="Times New Roman"/>
          <w:color w:val="auto"/>
          <w:sz w:val="21"/>
          <w:szCs w:val="21"/>
          <w:highlight w:val="none"/>
        </w:rPr>
      </w:pPr>
      <w:bookmarkStart w:id="185" w:name="_Toc351203499"/>
      <w:r>
        <w:rPr>
          <w:rFonts w:ascii="Times New Roman" w:hAnsi="Times New Roman"/>
          <w:color w:val="auto"/>
          <w:sz w:val="21"/>
          <w:szCs w:val="21"/>
          <w:highlight w:val="none"/>
        </w:rPr>
        <w:t>1.4 标准和规范</w:t>
      </w:r>
      <w:bookmarkEnd w:id="185"/>
    </w:p>
    <w:p w14:paraId="53F3C77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1.4.1 适用于工程的国家标准、行业标准、工程所在地的地方性标准，以及相应的规范、规程等，合同当事人有特别要求的，应在专用合同条款中约定。</w:t>
      </w:r>
    </w:p>
    <w:p w14:paraId="46718A7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1.4.2 发包人要求使用国外标准、规范的，发包人负责提供原文版本和中文译本，并在专用合同条款中约定提供标准规范的名称、份数和时间。</w:t>
      </w:r>
    </w:p>
    <w:p w14:paraId="79BD71E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EB8EE6B">
      <w:pPr>
        <w:spacing w:line="360" w:lineRule="auto"/>
        <w:rPr>
          <w:rFonts w:ascii="Times New Roman" w:hAnsi="Times New Roman"/>
          <w:color w:val="auto"/>
          <w:sz w:val="21"/>
          <w:szCs w:val="21"/>
          <w:highlight w:val="none"/>
        </w:rPr>
      </w:pPr>
      <w:bookmarkStart w:id="186" w:name="_Toc351203500"/>
      <w:r>
        <w:rPr>
          <w:rFonts w:ascii="Times New Roman" w:hAnsi="Times New Roman"/>
          <w:color w:val="auto"/>
          <w:sz w:val="21"/>
          <w:szCs w:val="21"/>
          <w:highlight w:val="none"/>
        </w:rPr>
        <w:t>1</w:t>
      </w:r>
      <w:bookmarkStart w:id="187" w:name="_Toc296503031"/>
      <w:bookmarkStart w:id="188" w:name="_Toc296346532"/>
      <w:bookmarkStart w:id="189" w:name="_Toc337558731"/>
      <w:r>
        <w:rPr>
          <w:rFonts w:ascii="Times New Roman" w:hAnsi="Times New Roman"/>
          <w:color w:val="auto"/>
          <w:sz w:val="21"/>
          <w:szCs w:val="21"/>
          <w:highlight w:val="none"/>
        </w:rPr>
        <w:t>.5 合同文件的优先顺序</w:t>
      </w:r>
      <w:bookmarkEnd w:id="186"/>
    </w:p>
    <w:bookmarkEnd w:id="187"/>
    <w:bookmarkEnd w:id="188"/>
    <w:bookmarkEnd w:id="189"/>
    <w:p w14:paraId="743CB13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组成合同的各项文件应互相解释，互为说明。除专用合同条款另有约定外，解释合同文件的优先顺序如下：</w:t>
      </w:r>
    </w:p>
    <w:p w14:paraId="2C61D46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（1）合同协议书；</w:t>
      </w:r>
    </w:p>
    <w:p w14:paraId="248BF4A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（2）中标通知书（如果有）；</w:t>
      </w:r>
    </w:p>
    <w:p w14:paraId="338F1F2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（3）投标函及其附录（如果有）；</w:t>
      </w:r>
    </w:p>
    <w:p w14:paraId="50F4BAF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（4）专用合同条款及其附件；</w:t>
      </w:r>
    </w:p>
    <w:p w14:paraId="0932599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（5）通用合同条款；</w:t>
      </w:r>
    </w:p>
    <w:p w14:paraId="40C10CF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（6）技术标准和要求；</w:t>
      </w:r>
    </w:p>
    <w:p w14:paraId="1954E40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（7）图纸；</w:t>
      </w:r>
    </w:p>
    <w:p w14:paraId="308A9E4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（8）已标价工程量清单或预算书；</w:t>
      </w:r>
    </w:p>
    <w:p w14:paraId="6ADDE15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（9）其他合同文件。</w:t>
      </w:r>
    </w:p>
    <w:p w14:paraId="4EB150F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上述各项合同文件包括合同当事人就该项合同文件所作出的补充和修改，属于同一类内容的文件，应以最新签署的为准。</w:t>
      </w:r>
    </w:p>
    <w:p w14:paraId="02E7066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在合同订立及履行过程中形成的与合同有关的文件均构成合同文件组成部分，并根据其性质确定优先解释顺序。</w:t>
      </w:r>
    </w:p>
    <w:p w14:paraId="7D07B3A4">
      <w:pPr>
        <w:spacing w:line="360" w:lineRule="auto"/>
        <w:rPr>
          <w:rFonts w:ascii="Times New Roman" w:hAnsi="Times New Roman"/>
          <w:color w:val="auto"/>
          <w:sz w:val="21"/>
          <w:szCs w:val="21"/>
          <w:highlight w:val="none"/>
        </w:rPr>
      </w:pPr>
      <w:bookmarkStart w:id="190" w:name="_Toc351203501"/>
      <w:r>
        <w:rPr>
          <w:rFonts w:ascii="Times New Roman" w:hAnsi="Times New Roman"/>
          <w:color w:val="auto"/>
          <w:sz w:val="21"/>
          <w:szCs w:val="21"/>
          <w:highlight w:val="none"/>
        </w:rPr>
        <w:t>1</w:t>
      </w:r>
      <w:bookmarkStart w:id="191" w:name="_Toc296503032"/>
      <w:bookmarkStart w:id="192" w:name="_Toc337558732"/>
      <w:bookmarkStart w:id="193" w:name="_Toc296346533"/>
      <w:r>
        <w:rPr>
          <w:rFonts w:ascii="Times New Roman" w:hAnsi="Times New Roman"/>
          <w:color w:val="auto"/>
          <w:sz w:val="21"/>
          <w:szCs w:val="21"/>
          <w:highlight w:val="none"/>
        </w:rPr>
        <w:t>.6图纸和承包人文件</w:t>
      </w:r>
      <w:bookmarkEnd w:id="190"/>
    </w:p>
    <w:bookmarkEnd w:id="191"/>
    <w:bookmarkEnd w:id="192"/>
    <w:bookmarkEnd w:id="193"/>
    <w:p w14:paraId="46671E7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1.6.1 图纸的提供和交底</w:t>
      </w:r>
    </w:p>
    <w:p w14:paraId="4DCD294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E28E6E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因发包人未按合同约定提供图纸导致承包人费用增加和（或）工期延误的，按照第7.5.1项〔因发包人原因导致工期延误〕约定办理。</w:t>
      </w:r>
    </w:p>
    <w:p w14:paraId="65016D8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1.6.2 图纸的错误</w:t>
      </w:r>
    </w:p>
    <w:p w14:paraId="2AD3B1C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7BFBA4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1.6.3 图纸的修改和补充</w:t>
      </w:r>
    </w:p>
    <w:p w14:paraId="6CBA087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11E3CF2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1.6.4 承包人文件</w:t>
      </w:r>
    </w:p>
    <w:p w14:paraId="2457D92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承包人应按照专用合同条款的约定提供应当由其编制的与工程施工有关的文件，并按照专用合同条款约定的期限、数量和形式提交监理人，并由监理人报送发包人。</w:t>
      </w:r>
    </w:p>
    <w:p w14:paraId="19935F4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7D732D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1.6.5 图纸和承包人文件的保管</w:t>
      </w:r>
    </w:p>
    <w:p w14:paraId="0261E6E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除专用合同条款另有约定外，承包人应在施工现场另外保存一套完整的图纸和承包人文件，供发包人、监理人及有关人员进行工程检查时使用。</w:t>
      </w:r>
    </w:p>
    <w:p w14:paraId="69FF913E">
      <w:pPr>
        <w:spacing w:line="360" w:lineRule="auto"/>
        <w:rPr>
          <w:rFonts w:ascii="Times New Roman" w:hAnsi="Times New Roman"/>
          <w:color w:val="auto"/>
          <w:sz w:val="21"/>
          <w:szCs w:val="21"/>
          <w:highlight w:val="none"/>
        </w:rPr>
      </w:pPr>
      <w:bookmarkStart w:id="194" w:name="_Toc351203502"/>
      <w:r>
        <w:rPr>
          <w:rFonts w:ascii="Times New Roman" w:hAnsi="Times New Roman"/>
          <w:color w:val="auto"/>
          <w:sz w:val="21"/>
          <w:szCs w:val="21"/>
          <w:highlight w:val="none"/>
        </w:rPr>
        <w:t>1</w:t>
      </w:r>
      <w:bookmarkStart w:id="195" w:name="_Toc337558733"/>
      <w:bookmarkStart w:id="196" w:name="_Toc296346534"/>
      <w:bookmarkStart w:id="197" w:name="_Toc296503033"/>
      <w:r>
        <w:rPr>
          <w:rFonts w:ascii="Times New Roman" w:hAnsi="Times New Roman"/>
          <w:color w:val="auto"/>
          <w:sz w:val="21"/>
          <w:szCs w:val="21"/>
          <w:highlight w:val="none"/>
        </w:rPr>
        <w:t>.7联络</w:t>
      </w:r>
      <w:bookmarkEnd w:id="194"/>
    </w:p>
    <w:bookmarkEnd w:id="195"/>
    <w:bookmarkEnd w:id="196"/>
    <w:bookmarkEnd w:id="197"/>
    <w:p w14:paraId="4A9A0FD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1.7.1 与合同有关的通知、批准、证明、证书、指示、指令、要求、请求、同意、意见、确定和决定等，均应采用书面形式，并应在合同约定的期限内送达接收人和送达地点。</w:t>
      </w:r>
    </w:p>
    <w:p w14:paraId="7CF748D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46FBD1F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1.7.3 发包人和承包人应当及时签收另一方送达至送达地点和指定接收人的来往信函。拒不签收的，由此增加的费用和（或）延误的工期由拒绝接收一方承担。</w:t>
      </w:r>
    </w:p>
    <w:p w14:paraId="11B7C37B">
      <w:pPr>
        <w:spacing w:line="360" w:lineRule="auto"/>
        <w:rPr>
          <w:rFonts w:ascii="Times New Roman" w:hAnsi="Times New Roman"/>
          <w:color w:val="auto"/>
          <w:sz w:val="21"/>
          <w:szCs w:val="21"/>
          <w:highlight w:val="none"/>
        </w:rPr>
      </w:pPr>
      <w:bookmarkStart w:id="198" w:name="_Toc351203503"/>
      <w:r>
        <w:rPr>
          <w:rFonts w:ascii="Times New Roman" w:hAnsi="Times New Roman"/>
          <w:color w:val="auto"/>
          <w:sz w:val="21"/>
          <w:szCs w:val="21"/>
          <w:highlight w:val="none"/>
        </w:rPr>
        <w:t>1</w:t>
      </w:r>
      <w:bookmarkStart w:id="199" w:name="_Toc296503035"/>
      <w:bookmarkStart w:id="200" w:name="_Toc296346536"/>
      <w:bookmarkStart w:id="201" w:name="_Toc337558734"/>
      <w:r>
        <w:rPr>
          <w:rFonts w:ascii="Times New Roman" w:hAnsi="Times New Roman"/>
          <w:color w:val="auto"/>
          <w:sz w:val="21"/>
          <w:szCs w:val="21"/>
          <w:highlight w:val="none"/>
        </w:rPr>
        <w:t>.8严禁贿赂</w:t>
      </w:r>
      <w:bookmarkEnd w:id="198"/>
    </w:p>
    <w:bookmarkEnd w:id="199"/>
    <w:bookmarkEnd w:id="200"/>
    <w:bookmarkEnd w:id="201"/>
    <w:p w14:paraId="07E4F0D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合同当事人不得以贿赂或变相贿赂的方式，谋取非法利益或损害对方权益。因一方合同当事人的贿赂造成对方损失的，应赔偿损失，并承担相应的法律责任。</w:t>
      </w:r>
    </w:p>
    <w:p w14:paraId="2183844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8A20A7B">
      <w:pPr>
        <w:spacing w:line="360" w:lineRule="auto"/>
        <w:rPr>
          <w:rFonts w:ascii="Times New Roman" w:hAnsi="Times New Roman"/>
          <w:color w:val="auto"/>
          <w:sz w:val="21"/>
          <w:szCs w:val="21"/>
          <w:highlight w:val="none"/>
        </w:rPr>
      </w:pPr>
      <w:bookmarkStart w:id="202" w:name="_Toc351203504"/>
      <w:r>
        <w:rPr>
          <w:rFonts w:ascii="Times New Roman" w:hAnsi="Times New Roman"/>
          <w:color w:val="auto"/>
          <w:sz w:val="21"/>
          <w:szCs w:val="21"/>
          <w:highlight w:val="none"/>
        </w:rPr>
        <w:t>1</w:t>
      </w:r>
      <w:bookmarkStart w:id="203" w:name="_Toc337558735"/>
      <w:bookmarkStart w:id="204" w:name="_Toc296503036"/>
      <w:bookmarkStart w:id="205" w:name="_Toc296346537"/>
      <w:r>
        <w:rPr>
          <w:rFonts w:ascii="Times New Roman" w:hAnsi="Times New Roman"/>
          <w:color w:val="auto"/>
          <w:sz w:val="21"/>
          <w:szCs w:val="21"/>
          <w:highlight w:val="none"/>
        </w:rPr>
        <w:t>.9化石、文物</w:t>
      </w:r>
      <w:bookmarkEnd w:id="202"/>
    </w:p>
    <w:bookmarkEnd w:id="203"/>
    <w:bookmarkEnd w:id="204"/>
    <w:bookmarkEnd w:id="205"/>
    <w:p w14:paraId="10EC2AC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991821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发包人、监理人和承包人应按有关政府行政管理部门要求采取妥善的保护措施，由此增加的费用和（或）延误的工期由发包人承担。</w:t>
      </w:r>
    </w:p>
    <w:p w14:paraId="4F250F7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承包人发现文物后不及时报告或隐瞒不报，致使文物丢失或损坏的，应赔偿损失，并承担相应的法律责任。</w:t>
      </w:r>
    </w:p>
    <w:p w14:paraId="273DB74B">
      <w:pPr>
        <w:spacing w:line="360" w:lineRule="auto"/>
        <w:rPr>
          <w:rFonts w:ascii="Times New Roman" w:hAnsi="Times New Roman"/>
          <w:color w:val="auto"/>
          <w:sz w:val="21"/>
          <w:szCs w:val="21"/>
          <w:highlight w:val="none"/>
        </w:rPr>
      </w:pPr>
      <w:bookmarkStart w:id="206" w:name="_Toc351203505"/>
      <w:r>
        <w:rPr>
          <w:rFonts w:ascii="Times New Roman" w:hAnsi="Times New Roman"/>
          <w:color w:val="auto"/>
          <w:sz w:val="21"/>
          <w:szCs w:val="21"/>
          <w:highlight w:val="none"/>
        </w:rPr>
        <w:t>1</w:t>
      </w:r>
      <w:bookmarkStart w:id="207" w:name="_Toc337558736"/>
      <w:r>
        <w:rPr>
          <w:rFonts w:ascii="Times New Roman" w:hAnsi="Times New Roman"/>
          <w:color w:val="auto"/>
          <w:sz w:val="21"/>
          <w:szCs w:val="21"/>
          <w:highlight w:val="none"/>
        </w:rPr>
        <w:t>.10交通运输</w:t>
      </w:r>
      <w:bookmarkEnd w:id="206"/>
    </w:p>
    <w:bookmarkEnd w:id="207"/>
    <w:p w14:paraId="7002B9C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1.10.1 出入现场的权利</w:t>
      </w:r>
    </w:p>
    <w:p w14:paraId="1F4C3FC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94992B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7E5DC5F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1.10.2 场外交通</w:t>
      </w:r>
    </w:p>
    <w:p w14:paraId="2759DD7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AA340D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1.10.3场内交通</w:t>
      </w:r>
    </w:p>
    <w:p w14:paraId="5014461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31A50EC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0ADE77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场外交通和场内交通的边界由合同当事人在专用合同条款中约定。</w:t>
      </w:r>
    </w:p>
    <w:p w14:paraId="5889E90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1.10.4 超大件和超重件的运输</w:t>
      </w:r>
    </w:p>
    <w:p w14:paraId="0FAE822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955377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1.10.5 道路和桥梁的损坏责任</w:t>
      </w:r>
    </w:p>
    <w:p w14:paraId="0F97337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因承包人运输造成施工场地内外公共道路和桥梁损坏的，由承包人承担修复损坏的全部费用和可能引起的赔偿。</w:t>
      </w:r>
    </w:p>
    <w:p w14:paraId="4888BFF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1.10.6 水路和航空运输</w:t>
      </w:r>
    </w:p>
    <w:p w14:paraId="4B7EEEA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本款前述各项的内容适用于水路运输和航空运输，其中</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道路</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一词的涵义包括河道、航线、船闸、机场、码头、堤防以及水路或航空运输中其他相似结构物；</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车辆</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一词的涵义包括船舶和飞机等。</w:t>
      </w:r>
    </w:p>
    <w:p w14:paraId="1568221A">
      <w:pPr>
        <w:spacing w:line="360" w:lineRule="auto"/>
        <w:rPr>
          <w:rFonts w:ascii="Times New Roman" w:hAnsi="Times New Roman"/>
          <w:color w:val="auto"/>
          <w:sz w:val="21"/>
          <w:szCs w:val="21"/>
          <w:highlight w:val="none"/>
        </w:rPr>
      </w:pPr>
      <w:bookmarkStart w:id="208" w:name="_Toc351203506"/>
      <w:r>
        <w:rPr>
          <w:rFonts w:ascii="Times New Roman" w:hAnsi="Times New Roman"/>
          <w:color w:val="auto"/>
          <w:sz w:val="21"/>
          <w:szCs w:val="21"/>
          <w:highlight w:val="none"/>
        </w:rPr>
        <w:t>1</w:t>
      </w:r>
      <w:bookmarkStart w:id="209" w:name="_Toc337558737"/>
      <w:bookmarkStart w:id="210" w:name="_Toc296503037"/>
      <w:bookmarkStart w:id="211" w:name="_Toc296346538"/>
      <w:r>
        <w:rPr>
          <w:rFonts w:ascii="Times New Roman" w:hAnsi="Times New Roman"/>
          <w:color w:val="auto"/>
          <w:sz w:val="21"/>
          <w:szCs w:val="21"/>
          <w:highlight w:val="none"/>
        </w:rPr>
        <w:t>.11知识产权</w:t>
      </w:r>
      <w:bookmarkEnd w:id="208"/>
      <w:r>
        <w:rPr>
          <w:rFonts w:ascii="Times New Roman" w:hAnsi="Times New Roman"/>
          <w:color w:val="auto"/>
          <w:sz w:val="21"/>
          <w:szCs w:val="21"/>
          <w:highlight w:val="none"/>
        </w:rPr>
        <w:t xml:space="preserve"> </w:t>
      </w:r>
      <w:bookmarkEnd w:id="209"/>
    </w:p>
    <w:bookmarkEnd w:id="210"/>
    <w:bookmarkEnd w:id="211"/>
    <w:p w14:paraId="6D103B0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2358C3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ADD0C5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6763C0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1.11.4 除专用合同条款另有约定外，承包人在合同签订前和签订时已确定采用的专利、专有技术、技术秘密的使用费已包含在签约合同价中。</w:t>
      </w:r>
    </w:p>
    <w:p w14:paraId="4721AC8F">
      <w:pPr>
        <w:spacing w:line="360" w:lineRule="auto"/>
        <w:rPr>
          <w:rFonts w:ascii="Times New Roman" w:hAnsi="Times New Roman"/>
          <w:color w:val="auto"/>
          <w:sz w:val="21"/>
          <w:szCs w:val="21"/>
          <w:highlight w:val="none"/>
        </w:rPr>
      </w:pPr>
      <w:bookmarkStart w:id="212" w:name="_Toc351203507"/>
      <w:r>
        <w:rPr>
          <w:rFonts w:ascii="Times New Roman" w:hAnsi="Times New Roman"/>
          <w:color w:val="auto"/>
          <w:sz w:val="21"/>
          <w:szCs w:val="21"/>
          <w:highlight w:val="none"/>
        </w:rPr>
        <w:t>1</w:t>
      </w:r>
      <w:bookmarkStart w:id="213" w:name="_Toc337558738"/>
      <w:r>
        <w:rPr>
          <w:rFonts w:ascii="Times New Roman" w:hAnsi="Times New Roman"/>
          <w:color w:val="auto"/>
          <w:sz w:val="21"/>
          <w:szCs w:val="21"/>
          <w:highlight w:val="none"/>
        </w:rPr>
        <w:t>.12保密</w:t>
      </w:r>
      <w:bookmarkEnd w:id="212"/>
    </w:p>
    <w:bookmarkEnd w:id="213"/>
    <w:p w14:paraId="4D7A3A4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除法律规定或合同另有约定外，未经发包人同意，承包人不得将发包人提供的图纸、文件以及声明需要保密的资料信息等商业秘密泄露给第三方。</w:t>
      </w:r>
    </w:p>
    <w:p w14:paraId="115731A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除法律规定或合同另有约定外，未经承包人同意，发包人不得将承包人提供的技术秘密及声明需要保密的资料信息等商业秘密泄露给第三方。</w:t>
      </w:r>
    </w:p>
    <w:p w14:paraId="7296F5EC">
      <w:pPr>
        <w:spacing w:line="360" w:lineRule="auto"/>
        <w:rPr>
          <w:rFonts w:ascii="Times New Roman" w:hAnsi="Times New Roman"/>
          <w:color w:val="auto"/>
          <w:sz w:val="21"/>
          <w:szCs w:val="21"/>
          <w:highlight w:val="none"/>
        </w:rPr>
      </w:pPr>
      <w:bookmarkStart w:id="214" w:name="_Toc351203508"/>
      <w:r>
        <w:rPr>
          <w:rFonts w:ascii="Times New Roman" w:hAnsi="Times New Roman"/>
          <w:color w:val="auto"/>
          <w:sz w:val="21"/>
          <w:szCs w:val="21"/>
          <w:highlight w:val="none"/>
        </w:rPr>
        <w:t>1.13工程量清单错误的修正</w:t>
      </w:r>
      <w:bookmarkEnd w:id="214"/>
    </w:p>
    <w:p w14:paraId="3E4BFBD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除专用合同条款另有约定外，发包人提供的工程量清单，应被认为是准确的和完整的。出现下列情形之一时，发包人应予以修正，并相应调整合同价格：</w:t>
      </w:r>
    </w:p>
    <w:p w14:paraId="0A42330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（1）工程量清单存在缺项、漏项的；</w:t>
      </w:r>
    </w:p>
    <w:p w14:paraId="2DA685F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（2）工程量清单偏差超出专用合同条款约定的工程量偏差范围的；</w:t>
      </w:r>
    </w:p>
    <w:p w14:paraId="6691906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（3）未按照国家现行计量规范强制性规定计量的。</w:t>
      </w:r>
    </w:p>
    <w:p w14:paraId="3B7C8A14">
      <w:pPr>
        <w:spacing w:line="360" w:lineRule="auto"/>
        <w:rPr>
          <w:rFonts w:ascii="Times New Roman" w:hAnsi="Times New Roman"/>
          <w:color w:val="auto"/>
          <w:sz w:val="21"/>
          <w:szCs w:val="21"/>
          <w:highlight w:val="none"/>
        </w:rPr>
      </w:pPr>
      <w:bookmarkStart w:id="215" w:name="_Toc351203509"/>
      <w:r>
        <w:rPr>
          <w:rFonts w:ascii="Times New Roman" w:hAnsi="Times New Roman"/>
          <w:color w:val="auto"/>
          <w:sz w:val="21"/>
          <w:szCs w:val="21"/>
          <w:highlight w:val="none"/>
        </w:rPr>
        <w:t>2</w:t>
      </w:r>
      <w:bookmarkStart w:id="216" w:name="_Toc337558739"/>
      <w:bookmarkStart w:id="217" w:name="_Toc296503038"/>
      <w:bookmarkStart w:id="218" w:name="_Toc296346539"/>
      <w:bookmarkStart w:id="219" w:name="OLE_LINK2"/>
      <w:bookmarkStart w:id="220" w:name="OLE_LINK1"/>
      <w:r>
        <w:rPr>
          <w:rFonts w:ascii="Times New Roman" w:hAnsi="Times New Roman"/>
          <w:color w:val="auto"/>
          <w:sz w:val="21"/>
          <w:szCs w:val="21"/>
          <w:highlight w:val="none"/>
        </w:rPr>
        <w:t>. 发包人</w:t>
      </w:r>
      <w:bookmarkEnd w:id="215"/>
    </w:p>
    <w:bookmarkEnd w:id="216"/>
    <w:bookmarkEnd w:id="217"/>
    <w:bookmarkEnd w:id="218"/>
    <w:p w14:paraId="3CF4A776">
      <w:pPr>
        <w:spacing w:line="360" w:lineRule="auto"/>
        <w:rPr>
          <w:rFonts w:ascii="Times New Roman" w:hAnsi="Times New Roman"/>
          <w:color w:val="auto"/>
          <w:sz w:val="21"/>
          <w:szCs w:val="21"/>
          <w:highlight w:val="none"/>
        </w:rPr>
      </w:pPr>
      <w:bookmarkStart w:id="221" w:name="_Toc351203510"/>
      <w:r>
        <w:rPr>
          <w:rFonts w:ascii="Times New Roman" w:hAnsi="Times New Roman"/>
          <w:color w:val="auto"/>
          <w:sz w:val="21"/>
          <w:szCs w:val="21"/>
          <w:highlight w:val="none"/>
        </w:rPr>
        <w:t>2</w:t>
      </w:r>
      <w:bookmarkStart w:id="222" w:name="_Toc296503039"/>
      <w:bookmarkStart w:id="223" w:name="_Toc337558740"/>
      <w:bookmarkStart w:id="224" w:name="_Toc296346540"/>
      <w:r>
        <w:rPr>
          <w:rFonts w:ascii="Times New Roman" w:hAnsi="Times New Roman"/>
          <w:color w:val="auto"/>
          <w:sz w:val="21"/>
          <w:szCs w:val="21"/>
          <w:highlight w:val="none"/>
        </w:rPr>
        <w:t>.1 许可或批准</w:t>
      </w:r>
      <w:bookmarkEnd w:id="221"/>
    </w:p>
    <w:p w14:paraId="42A90E3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651FF8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因发包人原因未能及时办理完毕前述许可、批准或备案，由发包人承担由此增加的费用和（或）延误的工期，并支付承包人合理的利润。</w:t>
      </w:r>
    </w:p>
    <w:p w14:paraId="0448D08A">
      <w:pPr>
        <w:spacing w:line="360" w:lineRule="auto"/>
        <w:rPr>
          <w:rFonts w:ascii="Times New Roman" w:hAnsi="Times New Roman"/>
          <w:color w:val="auto"/>
          <w:sz w:val="21"/>
          <w:szCs w:val="21"/>
          <w:highlight w:val="none"/>
        </w:rPr>
      </w:pPr>
      <w:bookmarkStart w:id="225" w:name="_Toc351203511"/>
      <w:r>
        <w:rPr>
          <w:rFonts w:ascii="Times New Roman" w:hAnsi="Times New Roman"/>
          <w:color w:val="auto"/>
          <w:sz w:val="21"/>
          <w:szCs w:val="21"/>
          <w:highlight w:val="none"/>
        </w:rPr>
        <w:t>2.2 发包人代表</w:t>
      </w:r>
      <w:bookmarkEnd w:id="225"/>
    </w:p>
    <w:p w14:paraId="2AFC5A9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91C649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发包人代表不能按照合同约定履行其职责及义务，并导致合同无法继续正常履行的，承包人可以要求发包人撤换发包人代表。</w:t>
      </w:r>
    </w:p>
    <w:p w14:paraId="57720A8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不属于法定必须监理的工程，监理人的职权可以由发包人代表或发包人指定的其他人员行使。</w:t>
      </w:r>
    </w:p>
    <w:p w14:paraId="0C0EADE6">
      <w:pPr>
        <w:spacing w:line="360" w:lineRule="auto"/>
        <w:rPr>
          <w:rFonts w:ascii="Times New Roman" w:hAnsi="Times New Roman"/>
          <w:color w:val="auto"/>
          <w:sz w:val="21"/>
          <w:szCs w:val="21"/>
          <w:highlight w:val="none"/>
        </w:rPr>
      </w:pPr>
      <w:bookmarkStart w:id="226" w:name="_Toc351203512"/>
      <w:r>
        <w:rPr>
          <w:rFonts w:ascii="Times New Roman" w:hAnsi="Times New Roman"/>
          <w:color w:val="auto"/>
          <w:sz w:val="21"/>
          <w:szCs w:val="21"/>
          <w:highlight w:val="none"/>
        </w:rPr>
        <w:t>2.3 发包人人员</w:t>
      </w:r>
      <w:bookmarkEnd w:id="226"/>
    </w:p>
    <w:p w14:paraId="3BB0CD8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27E27D2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发包人人员包括发包人代表及其他由发包人派驻施工现场的人员。</w:t>
      </w:r>
      <w:bookmarkEnd w:id="222"/>
      <w:bookmarkEnd w:id="223"/>
      <w:bookmarkEnd w:id="224"/>
    </w:p>
    <w:p w14:paraId="0347B917">
      <w:pPr>
        <w:spacing w:line="360" w:lineRule="auto"/>
        <w:rPr>
          <w:rFonts w:ascii="Times New Roman" w:hAnsi="Times New Roman"/>
          <w:color w:val="auto"/>
          <w:sz w:val="21"/>
          <w:szCs w:val="21"/>
          <w:highlight w:val="none"/>
        </w:rPr>
      </w:pPr>
      <w:bookmarkStart w:id="227" w:name="_Toc351203513"/>
      <w:r>
        <w:rPr>
          <w:rFonts w:ascii="Times New Roman" w:hAnsi="Times New Roman"/>
          <w:color w:val="auto"/>
          <w:sz w:val="21"/>
          <w:szCs w:val="21"/>
          <w:highlight w:val="none"/>
        </w:rPr>
        <w:t>2</w:t>
      </w:r>
      <w:bookmarkStart w:id="228" w:name="_Toc296346541"/>
      <w:bookmarkStart w:id="229" w:name="_Toc337558741"/>
      <w:bookmarkStart w:id="230" w:name="_Toc296503040"/>
      <w:r>
        <w:rPr>
          <w:rFonts w:ascii="Times New Roman" w:hAnsi="Times New Roman"/>
          <w:color w:val="auto"/>
          <w:sz w:val="21"/>
          <w:szCs w:val="21"/>
          <w:highlight w:val="none"/>
        </w:rPr>
        <w:t>.4 施工现场、施工条件和基础资料的提供</w:t>
      </w:r>
      <w:bookmarkEnd w:id="227"/>
      <w:r>
        <w:rPr>
          <w:rFonts w:ascii="Times New Roman" w:hAnsi="Times New Roman"/>
          <w:color w:val="auto"/>
          <w:sz w:val="21"/>
          <w:szCs w:val="21"/>
          <w:highlight w:val="none"/>
        </w:rPr>
        <w:t xml:space="preserve"> </w:t>
      </w:r>
      <w:bookmarkEnd w:id="228"/>
      <w:bookmarkEnd w:id="229"/>
      <w:bookmarkEnd w:id="230"/>
      <w:r>
        <w:rPr>
          <w:rFonts w:ascii="Times New Roman" w:hAnsi="Times New Roman"/>
          <w:color w:val="auto"/>
          <w:sz w:val="21"/>
          <w:szCs w:val="21"/>
          <w:highlight w:val="none"/>
        </w:rPr>
        <w:t xml:space="preserve"> </w:t>
      </w:r>
    </w:p>
    <w:p w14:paraId="7393573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2.4.1 提供施工现场</w:t>
      </w:r>
    </w:p>
    <w:p w14:paraId="24FC807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w:t>
      </w:r>
      <w:bookmarkEnd w:id="219"/>
      <w:bookmarkEnd w:id="220"/>
      <w:r>
        <w:rPr>
          <w:rFonts w:ascii="Times New Roman" w:hAnsi="Times New Roman"/>
          <w:color w:val="auto"/>
          <w:sz w:val="21"/>
          <w:szCs w:val="21"/>
          <w:highlight w:val="none"/>
        </w:rPr>
        <w:t>专用合同条款另有约定外，发包人应最迟于开工日期7天前向承包人移交施工现场。</w:t>
      </w:r>
    </w:p>
    <w:p w14:paraId="14E62BE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2.4.2 提供施工条件</w:t>
      </w:r>
    </w:p>
    <w:p w14:paraId="11A2BF0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除专用合同条款另有约定外，发包人应负责提供施工所需要的条件，包括：</w:t>
      </w:r>
    </w:p>
    <w:p w14:paraId="46D6646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（1）将施工用水、电力、通讯线路等施工所必需的条件接至施工现场内；</w:t>
      </w:r>
    </w:p>
    <w:p w14:paraId="15DE5FD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（2）保证向承包人提供正常施工所需要的进入施工现场的交通条件；</w:t>
      </w:r>
    </w:p>
    <w:p w14:paraId="1E9EF7B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（3）协调处理施工现场周围地下管线和邻近建筑物、构筑物、古树名木的保护工作，并承担相关费用；</w:t>
      </w:r>
    </w:p>
    <w:p w14:paraId="2DFA76E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（4）按照专用合同条款约定应提供的其他设施和条件。</w:t>
      </w:r>
    </w:p>
    <w:p w14:paraId="7A37253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2.4.3 提供基础资料</w:t>
      </w:r>
    </w:p>
    <w:p w14:paraId="1D68682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23A6C2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按照法律规定确需在开工后方能提供的基础资料，发包人应尽其努力及时地在相应工程施工前的合理期限内提供，合理期限应以不影响承包人的正常施工为限。</w:t>
      </w:r>
    </w:p>
    <w:p w14:paraId="2AACD07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2.4.4 逾期提供的责任</w:t>
      </w:r>
    </w:p>
    <w:p w14:paraId="60B9900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因发包人原因未能按合同约定及时向承包人提供施工现场、施工条件、基础资料的，由发包人承担由此增加的费用和（或）延误的工期。</w:t>
      </w:r>
    </w:p>
    <w:p w14:paraId="72997A75">
      <w:pPr>
        <w:spacing w:line="360" w:lineRule="auto"/>
        <w:rPr>
          <w:rFonts w:ascii="Times New Roman" w:hAnsi="Times New Roman"/>
          <w:color w:val="auto"/>
          <w:sz w:val="21"/>
          <w:szCs w:val="21"/>
          <w:highlight w:val="none"/>
        </w:rPr>
      </w:pPr>
      <w:bookmarkStart w:id="231" w:name="_Toc351203514"/>
      <w:r>
        <w:rPr>
          <w:rFonts w:ascii="Times New Roman" w:hAnsi="Times New Roman"/>
          <w:color w:val="auto"/>
          <w:sz w:val="21"/>
          <w:szCs w:val="21"/>
          <w:highlight w:val="none"/>
        </w:rPr>
        <w:t>2</w:t>
      </w:r>
      <w:bookmarkStart w:id="232" w:name="_Toc296346543"/>
      <w:bookmarkStart w:id="233" w:name="_Toc337558745"/>
      <w:bookmarkStart w:id="234" w:name="_Toc296503042"/>
      <w:r>
        <w:rPr>
          <w:rFonts w:ascii="Times New Roman" w:hAnsi="Times New Roman"/>
          <w:color w:val="auto"/>
          <w:sz w:val="21"/>
          <w:szCs w:val="21"/>
          <w:highlight w:val="none"/>
        </w:rPr>
        <w:t>.5 资</w:t>
      </w:r>
      <w:bookmarkEnd w:id="232"/>
      <w:bookmarkEnd w:id="233"/>
      <w:bookmarkEnd w:id="234"/>
      <w:r>
        <w:rPr>
          <w:rFonts w:ascii="Times New Roman" w:hAnsi="Times New Roman"/>
          <w:color w:val="auto"/>
          <w:sz w:val="21"/>
          <w:szCs w:val="21"/>
          <w:highlight w:val="none"/>
        </w:rPr>
        <w:t>金来源证明及支付担保</w:t>
      </w:r>
      <w:bookmarkEnd w:id="231"/>
    </w:p>
    <w:p w14:paraId="6C0DDBB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42B3542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6891CCCB">
      <w:pPr>
        <w:spacing w:line="360" w:lineRule="auto"/>
        <w:rPr>
          <w:rFonts w:ascii="Times New Roman" w:hAnsi="Times New Roman"/>
          <w:color w:val="auto"/>
          <w:sz w:val="21"/>
          <w:szCs w:val="21"/>
          <w:highlight w:val="none"/>
        </w:rPr>
      </w:pPr>
      <w:bookmarkStart w:id="235" w:name="_Toc351203515"/>
      <w:r>
        <w:rPr>
          <w:rFonts w:ascii="Times New Roman" w:hAnsi="Times New Roman"/>
          <w:color w:val="auto"/>
          <w:sz w:val="21"/>
          <w:szCs w:val="21"/>
          <w:highlight w:val="none"/>
        </w:rPr>
        <w:t>2.6 支付合同价款</w:t>
      </w:r>
      <w:bookmarkEnd w:id="235"/>
    </w:p>
    <w:p w14:paraId="165FB9D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发包人应按合同约定向承包人及时支付合同价款。</w:t>
      </w:r>
    </w:p>
    <w:p w14:paraId="411628D8">
      <w:pPr>
        <w:spacing w:line="360" w:lineRule="auto"/>
        <w:rPr>
          <w:rFonts w:ascii="Times New Roman" w:hAnsi="Times New Roman"/>
          <w:color w:val="auto"/>
          <w:sz w:val="21"/>
          <w:szCs w:val="21"/>
          <w:highlight w:val="none"/>
        </w:rPr>
      </w:pPr>
      <w:bookmarkStart w:id="236" w:name="_Toc351203516"/>
      <w:r>
        <w:rPr>
          <w:rFonts w:ascii="Times New Roman" w:hAnsi="Times New Roman"/>
          <w:color w:val="auto"/>
          <w:sz w:val="21"/>
          <w:szCs w:val="21"/>
          <w:highlight w:val="none"/>
        </w:rPr>
        <w:t>2.7 组织竣工验收</w:t>
      </w:r>
      <w:bookmarkEnd w:id="236"/>
    </w:p>
    <w:p w14:paraId="3B5D82F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发包人应按合同约定及时组织竣工验收。</w:t>
      </w:r>
    </w:p>
    <w:p w14:paraId="49D44220">
      <w:pPr>
        <w:spacing w:line="360" w:lineRule="auto"/>
        <w:rPr>
          <w:rFonts w:ascii="Times New Roman" w:hAnsi="Times New Roman"/>
          <w:color w:val="auto"/>
          <w:sz w:val="21"/>
          <w:szCs w:val="21"/>
          <w:highlight w:val="none"/>
        </w:rPr>
      </w:pPr>
      <w:bookmarkStart w:id="237" w:name="_Toc351203517"/>
      <w:r>
        <w:rPr>
          <w:rFonts w:ascii="Times New Roman" w:hAnsi="Times New Roman"/>
          <w:color w:val="auto"/>
          <w:sz w:val="21"/>
          <w:szCs w:val="21"/>
          <w:highlight w:val="none"/>
        </w:rPr>
        <w:t>2.8 现场统一管理协议</w:t>
      </w:r>
      <w:bookmarkEnd w:id="237"/>
    </w:p>
    <w:p w14:paraId="79E08AB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发包人应与承包人、由发包人直接发包的专业工程的承包人签订施工现场统一管理协议，明确各方的权利义务。施工现场统一管理协议作为专用合同条款的附件。</w:t>
      </w:r>
    </w:p>
    <w:p w14:paraId="552B3680">
      <w:pPr>
        <w:spacing w:line="360" w:lineRule="auto"/>
        <w:rPr>
          <w:rFonts w:ascii="Times New Roman" w:hAnsi="Times New Roman"/>
          <w:color w:val="auto"/>
          <w:sz w:val="21"/>
          <w:szCs w:val="21"/>
          <w:highlight w:val="none"/>
        </w:rPr>
      </w:pPr>
      <w:bookmarkStart w:id="238" w:name="_Toc351203518"/>
      <w:r>
        <w:rPr>
          <w:rFonts w:ascii="Times New Roman" w:hAnsi="Times New Roman"/>
          <w:color w:val="auto"/>
          <w:sz w:val="21"/>
          <w:szCs w:val="21"/>
          <w:highlight w:val="none"/>
        </w:rPr>
        <w:t>3</w:t>
      </w:r>
      <w:bookmarkStart w:id="239" w:name="_Toc296346546"/>
      <w:bookmarkStart w:id="240" w:name="_Toc296503045"/>
      <w:bookmarkStart w:id="241" w:name="_Toc337558746"/>
      <w:r>
        <w:rPr>
          <w:rFonts w:ascii="Times New Roman" w:hAnsi="Times New Roman"/>
          <w:color w:val="auto"/>
          <w:sz w:val="21"/>
          <w:szCs w:val="21"/>
          <w:highlight w:val="none"/>
        </w:rPr>
        <w:t>. 承包人</w:t>
      </w:r>
      <w:bookmarkEnd w:id="238"/>
    </w:p>
    <w:bookmarkEnd w:id="239"/>
    <w:bookmarkEnd w:id="240"/>
    <w:bookmarkEnd w:id="241"/>
    <w:p w14:paraId="724147AB">
      <w:pPr>
        <w:spacing w:line="360" w:lineRule="auto"/>
        <w:rPr>
          <w:rFonts w:ascii="Times New Roman" w:hAnsi="Times New Roman"/>
          <w:color w:val="auto"/>
          <w:sz w:val="21"/>
          <w:szCs w:val="21"/>
          <w:highlight w:val="none"/>
        </w:rPr>
      </w:pPr>
      <w:bookmarkStart w:id="242" w:name="_Toc351203519"/>
      <w:r>
        <w:rPr>
          <w:rFonts w:ascii="Times New Roman" w:hAnsi="Times New Roman"/>
          <w:color w:val="auto"/>
          <w:sz w:val="21"/>
          <w:szCs w:val="21"/>
          <w:highlight w:val="none"/>
        </w:rPr>
        <w:t>3</w:t>
      </w:r>
      <w:bookmarkStart w:id="243" w:name="_Toc296346547"/>
      <w:bookmarkStart w:id="244" w:name="_Toc337558747"/>
      <w:bookmarkStart w:id="245" w:name="_Toc296503046"/>
      <w:r>
        <w:rPr>
          <w:rFonts w:ascii="Times New Roman" w:hAnsi="Times New Roman"/>
          <w:color w:val="auto"/>
          <w:sz w:val="21"/>
          <w:szCs w:val="21"/>
          <w:highlight w:val="none"/>
        </w:rPr>
        <w:t>.1 承包人的一般义务</w:t>
      </w:r>
      <w:bookmarkEnd w:id="242"/>
    </w:p>
    <w:bookmarkEnd w:id="243"/>
    <w:bookmarkEnd w:id="244"/>
    <w:bookmarkEnd w:id="245"/>
    <w:p w14:paraId="427E256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承包人在履行合同过程中应遵守法律和工程建设标准规范，并履行以下义务：</w:t>
      </w:r>
    </w:p>
    <w:p w14:paraId="1A25DAC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办理法律规定应由承包人办理的许可和批准，并将办理结果书面报送发包人留存；</w:t>
      </w:r>
    </w:p>
    <w:p w14:paraId="33B9A61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（2）按法律规定和合同约定完成工程，并在保修期内承担保修义务；</w:t>
      </w:r>
    </w:p>
    <w:p w14:paraId="397DC0B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（3）按法律规定和合同约定采取施工安全和环境保护措施，办理工伤保险，确保工程及人员、材料、设备和设施的安全；</w:t>
      </w:r>
    </w:p>
    <w:p w14:paraId="3CA878E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（4）按合同约定的工作内容和施工进度要求，编制施工组织设计和施工措施计划，并对所有施工作业和施工方法的完备性和安全可靠性负责；</w:t>
      </w:r>
    </w:p>
    <w:p w14:paraId="6C1E845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6335ED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（6）按照第6.3款〔环境保护〕约定负责施工场地及其周边环境与生态的保护工作；</w:t>
      </w:r>
    </w:p>
    <w:p w14:paraId="354EE2F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（7）按第6.1款〔安全文明施工〕约定采取施工安全措施，确保工程及其人员、材料、设备和设施的安全，防止因工程施工造成的人身伤害和财产损失；</w:t>
      </w:r>
    </w:p>
    <w:p w14:paraId="69F493E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（8）将发包人按合同约定支付的各项价款专用于合同工程，且应及时支付其雇用人员工资，并及时向分包人支付合同价款；</w:t>
      </w:r>
    </w:p>
    <w:p w14:paraId="19A9C70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（9）按照法律规定和合同约定编制竣工资料，完成竣工资料立卷及归档，并按专用合同条款约定的竣工资料的套数、内容、时间等要求移交发包人；</w:t>
      </w:r>
    </w:p>
    <w:p w14:paraId="142352E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（10）应履行的其他义务。</w:t>
      </w:r>
    </w:p>
    <w:p w14:paraId="4C37661B">
      <w:pPr>
        <w:spacing w:line="360" w:lineRule="auto"/>
        <w:rPr>
          <w:rFonts w:ascii="Times New Roman" w:hAnsi="Times New Roman"/>
          <w:color w:val="auto"/>
          <w:sz w:val="21"/>
          <w:szCs w:val="21"/>
          <w:highlight w:val="none"/>
        </w:rPr>
      </w:pPr>
      <w:bookmarkStart w:id="246" w:name="_Toc351203520"/>
      <w:r>
        <w:rPr>
          <w:rFonts w:ascii="Times New Roman" w:hAnsi="Times New Roman"/>
          <w:color w:val="auto"/>
          <w:sz w:val="21"/>
          <w:szCs w:val="21"/>
          <w:highlight w:val="none"/>
        </w:rPr>
        <w:t>3</w:t>
      </w:r>
      <w:bookmarkStart w:id="247" w:name="_Toc296346548"/>
      <w:bookmarkStart w:id="248" w:name="_Toc296503047"/>
      <w:bookmarkStart w:id="249" w:name="_Toc337558748"/>
      <w:r>
        <w:rPr>
          <w:rFonts w:ascii="Times New Roman" w:hAnsi="Times New Roman"/>
          <w:color w:val="auto"/>
          <w:sz w:val="21"/>
          <w:szCs w:val="21"/>
          <w:highlight w:val="none"/>
        </w:rPr>
        <w:t xml:space="preserve">.2 </w:t>
      </w:r>
      <w:bookmarkEnd w:id="246"/>
      <w:r>
        <w:rPr>
          <w:rFonts w:ascii="Times New Roman" w:hAnsi="Times New Roman"/>
          <w:color w:val="auto"/>
          <w:sz w:val="21"/>
          <w:szCs w:val="21"/>
          <w:highlight w:val="none"/>
        </w:rPr>
        <w:t>项目经理</w:t>
      </w:r>
    </w:p>
    <w:bookmarkEnd w:id="247"/>
    <w:bookmarkEnd w:id="248"/>
    <w:bookmarkEnd w:id="249"/>
    <w:p w14:paraId="767374F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F10479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B9385D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承包人违反上述约定的，应按照专用合同条款的约定，承担违约责任。</w:t>
      </w:r>
    </w:p>
    <w:p w14:paraId="6C5869D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40B03B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B8CDAE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BAABDD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3118E19F">
      <w:pPr>
        <w:spacing w:line="360" w:lineRule="auto"/>
        <w:rPr>
          <w:rFonts w:ascii="Times New Roman" w:hAnsi="Times New Roman"/>
          <w:color w:val="auto"/>
          <w:sz w:val="21"/>
          <w:szCs w:val="21"/>
          <w:highlight w:val="none"/>
        </w:rPr>
      </w:pPr>
      <w:bookmarkStart w:id="250" w:name="_Toc351203521"/>
      <w:r>
        <w:rPr>
          <w:rFonts w:ascii="Times New Roman" w:hAnsi="Times New Roman"/>
          <w:color w:val="auto"/>
          <w:sz w:val="21"/>
          <w:szCs w:val="21"/>
          <w:highlight w:val="none"/>
        </w:rPr>
        <w:t>3</w:t>
      </w:r>
      <w:bookmarkStart w:id="251" w:name="_Toc296346549"/>
      <w:bookmarkStart w:id="252" w:name="_Toc296503048"/>
      <w:bookmarkStart w:id="253" w:name="_Toc337558749"/>
      <w:r>
        <w:rPr>
          <w:rFonts w:ascii="Times New Roman" w:hAnsi="Times New Roman"/>
          <w:color w:val="auto"/>
          <w:sz w:val="21"/>
          <w:szCs w:val="21"/>
          <w:highlight w:val="none"/>
        </w:rPr>
        <w:t xml:space="preserve">.3 </w:t>
      </w:r>
      <w:bookmarkEnd w:id="251"/>
      <w:bookmarkEnd w:id="252"/>
      <w:r>
        <w:rPr>
          <w:rFonts w:ascii="Times New Roman" w:hAnsi="Times New Roman"/>
          <w:color w:val="auto"/>
          <w:sz w:val="21"/>
          <w:szCs w:val="21"/>
          <w:highlight w:val="none"/>
        </w:rPr>
        <w:t>承包人人员</w:t>
      </w:r>
      <w:bookmarkEnd w:id="250"/>
    </w:p>
    <w:bookmarkEnd w:id="253"/>
    <w:p w14:paraId="4630080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4D6526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A979DC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特殊工种作业人员均应持有相应的资格证明，监理人可以随时检查。</w:t>
      </w:r>
    </w:p>
    <w:p w14:paraId="1D03F8D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29A52B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672866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3.3.5 承包人擅自更换主要施工管理人员，或前述人员未经监理人或发包人同意擅自离开施工现场的，应按照专用合同条款约定承担违约责任。</w:t>
      </w:r>
    </w:p>
    <w:p w14:paraId="3E6A1009">
      <w:pPr>
        <w:spacing w:line="360" w:lineRule="auto"/>
        <w:rPr>
          <w:rFonts w:ascii="Times New Roman" w:hAnsi="Times New Roman"/>
          <w:color w:val="auto"/>
          <w:sz w:val="21"/>
          <w:szCs w:val="21"/>
          <w:highlight w:val="none"/>
        </w:rPr>
      </w:pPr>
      <w:bookmarkStart w:id="254" w:name="_Toc351203522"/>
      <w:r>
        <w:rPr>
          <w:rFonts w:ascii="Times New Roman" w:hAnsi="Times New Roman"/>
          <w:color w:val="auto"/>
          <w:sz w:val="21"/>
          <w:szCs w:val="21"/>
          <w:highlight w:val="none"/>
        </w:rPr>
        <w:t>3</w:t>
      </w:r>
      <w:bookmarkStart w:id="255" w:name="_Toc296503050"/>
      <w:bookmarkStart w:id="256" w:name="_Toc296346551"/>
      <w:bookmarkStart w:id="257" w:name="_Toc337558750"/>
      <w:r>
        <w:rPr>
          <w:rFonts w:ascii="Times New Roman" w:hAnsi="Times New Roman"/>
          <w:color w:val="auto"/>
          <w:sz w:val="21"/>
          <w:szCs w:val="21"/>
          <w:highlight w:val="none"/>
        </w:rPr>
        <w:t>.4 承包人现场查勘</w:t>
      </w:r>
      <w:bookmarkEnd w:id="254"/>
    </w:p>
    <w:bookmarkEnd w:id="255"/>
    <w:bookmarkEnd w:id="256"/>
    <w:bookmarkEnd w:id="257"/>
    <w:p w14:paraId="3C0FB2F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413AF2E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822F666">
      <w:pPr>
        <w:spacing w:line="360" w:lineRule="auto"/>
        <w:rPr>
          <w:rFonts w:ascii="Times New Roman" w:hAnsi="Times New Roman"/>
          <w:color w:val="auto"/>
          <w:sz w:val="21"/>
          <w:szCs w:val="21"/>
          <w:highlight w:val="none"/>
        </w:rPr>
      </w:pPr>
      <w:bookmarkStart w:id="258" w:name="_Toc351203523"/>
      <w:r>
        <w:rPr>
          <w:rFonts w:ascii="Times New Roman" w:hAnsi="Times New Roman"/>
          <w:color w:val="auto"/>
          <w:sz w:val="21"/>
          <w:szCs w:val="21"/>
          <w:highlight w:val="none"/>
        </w:rPr>
        <w:t>3</w:t>
      </w:r>
      <w:bookmarkStart w:id="259" w:name="_Toc296503051"/>
      <w:bookmarkStart w:id="260" w:name="_Toc296346552"/>
      <w:bookmarkStart w:id="261" w:name="_Toc337558751"/>
      <w:r>
        <w:rPr>
          <w:rFonts w:ascii="Times New Roman" w:hAnsi="Times New Roman"/>
          <w:color w:val="auto"/>
          <w:sz w:val="21"/>
          <w:szCs w:val="21"/>
          <w:highlight w:val="none"/>
        </w:rPr>
        <w:t>.5 分包</w:t>
      </w:r>
      <w:bookmarkEnd w:id="258"/>
    </w:p>
    <w:bookmarkEnd w:id="259"/>
    <w:bookmarkEnd w:id="260"/>
    <w:bookmarkEnd w:id="261"/>
    <w:p w14:paraId="5A37BC4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3.5.1 分包的一般约定</w:t>
      </w:r>
    </w:p>
    <w:p w14:paraId="446A9C7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F894EF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承包人不得以劳务分包的名义转包或违法分包工程。</w:t>
      </w:r>
    </w:p>
    <w:p w14:paraId="4228E8F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3.5.2 分包的确定</w:t>
      </w:r>
    </w:p>
    <w:p w14:paraId="2344812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389C2E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3.5.3 分包管理</w:t>
      </w:r>
    </w:p>
    <w:p w14:paraId="25240F7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承包人应向监理人提交分包人的主要施工管理人员表，并对分包人的施工人员进行实名制管理，包括但不限于进出场管理、登记造册以及各种证照的办理。</w:t>
      </w:r>
    </w:p>
    <w:p w14:paraId="12AD214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3.5.4 分包合同价款</w:t>
      </w:r>
    </w:p>
    <w:p w14:paraId="220B7D4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（1）除本项第（2）目约定的情况或专用合同条款另有约定外，分包合同价款由承包人与分包人结算，未经承包人同意，发包人不得向分包人支付分包工程价款；</w:t>
      </w:r>
    </w:p>
    <w:p w14:paraId="7A167DA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（2）生效法律文书要求发包人向分包人支付分包合同价款的，发包人有权从应付承包人工程款中扣除该部分款项。</w:t>
      </w:r>
    </w:p>
    <w:p w14:paraId="2FA91FF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3.5.5 分包合同权益的转让</w:t>
      </w:r>
    </w:p>
    <w:p w14:paraId="18B8FCB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62" w:name="_Toc351203524"/>
    </w:p>
    <w:p w14:paraId="0DB5916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3.6 工程照管与成品、半成品保护</w:t>
      </w:r>
      <w:bookmarkEnd w:id="262"/>
    </w:p>
    <w:p w14:paraId="76F3A08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（1）除专用合同条款另有约定外，自发包人向承包人移交施工现场之日起，承包人应负责照管工程及工程相关的材料、工程设备，直到颁发工程接收证书之日止。</w:t>
      </w:r>
    </w:p>
    <w:p w14:paraId="483FD23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（2）在承包人负责照管期间，因承包人原因造成工程、材料、工程设备损坏的，由承包人负责修复或更换，并承担由此增加的费用和（或）延误的工期。</w:t>
      </w:r>
    </w:p>
    <w:p w14:paraId="4BFECCF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6A74DCA">
      <w:pPr>
        <w:spacing w:line="360" w:lineRule="auto"/>
        <w:rPr>
          <w:rFonts w:ascii="Times New Roman" w:hAnsi="Times New Roman"/>
          <w:color w:val="auto"/>
          <w:sz w:val="21"/>
          <w:szCs w:val="21"/>
          <w:highlight w:val="none"/>
        </w:rPr>
      </w:pPr>
      <w:bookmarkStart w:id="263" w:name="_Toc351203525"/>
      <w:r>
        <w:rPr>
          <w:rFonts w:ascii="Times New Roman" w:hAnsi="Times New Roman"/>
          <w:color w:val="auto"/>
          <w:sz w:val="21"/>
          <w:szCs w:val="21"/>
          <w:highlight w:val="none"/>
        </w:rPr>
        <w:t>3</w:t>
      </w:r>
      <w:bookmarkStart w:id="264" w:name="_Toc296503052"/>
      <w:bookmarkStart w:id="265" w:name="_Toc296346553"/>
      <w:bookmarkStart w:id="266" w:name="_Toc337558752"/>
      <w:r>
        <w:rPr>
          <w:rFonts w:ascii="Times New Roman" w:hAnsi="Times New Roman"/>
          <w:color w:val="auto"/>
          <w:sz w:val="21"/>
          <w:szCs w:val="21"/>
          <w:highlight w:val="none"/>
        </w:rPr>
        <w:t>.7 履约担保</w:t>
      </w:r>
      <w:bookmarkEnd w:id="263"/>
    </w:p>
    <w:bookmarkEnd w:id="264"/>
    <w:bookmarkEnd w:id="265"/>
    <w:bookmarkEnd w:id="266"/>
    <w:p w14:paraId="4ECE060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0950C4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因承包人原因导致工期延长的，继续提供履约担保所增加的费用由承包人承担；非因承包人原因导致工期延长的，继续提供履约担保所增加的费用由发包人承担。</w:t>
      </w:r>
    </w:p>
    <w:p w14:paraId="0C254A1F">
      <w:pPr>
        <w:spacing w:line="360" w:lineRule="auto"/>
        <w:rPr>
          <w:rFonts w:ascii="Times New Roman" w:hAnsi="Times New Roman"/>
          <w:color w:val="auto"/>
          <w:sz w:val="21"/>
          <w:szCs w:val="21"/>
          <w:highlight w:val="none"/>
        </w:rPr>
      </w:pPr>
      <w:bookmarkStart w:id="267" w:name="_Toc351203526"/>
      <w:r>
        <w:rPr>
          <w:rFonts w:ascii="Times New Roman" w:hAnsi="Times New Roman"/>
          <w:color w:val="auto"/>
          <w:sz w:val="21"/>
          <w:szCs w:val="21"/>
          <w:highlight w:val="none"/>
        </w:rPr>
        <w:t>3.8 联合体</w:t>
      </w:r>
      <w:bookmarkEnd w:id="267"/>
    </w:p>
    <w:p w14:paraId="7EE14E2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3.8.1 联合体各方应共同与发包人签订合同协议书。联合体各方应为履行合同向发包人承担连带责任。</w:t>
      </w:r>
    </w:p>
    <w:p w14:paraId="24E8129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3.8.2 联合体协议经发包人确认后作为合同附件。在履行合同过程中，未经发包人同意，不得修改联合体协议。</w:t>
      </w:r>
    </w:p>
    <w:p w14:paraId="6EA94D9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3.8.3 联合体牵头人负责与发包人和监理人联系，并接受指示，负责组织联合体各成员全面履行合同。</w:t>
      </w:r>
    </w:p>
    <w:p w14:paraId="5AFDE777">
      <w:pPr>
        <w:spacing w:line="360" w:lineRule="auto"/>
        <w:rPr>
          <w:rFonts w:ascii="Times New Roman" w:hAnsi="Times New Roman"/>
          <w:color w:val="auto"/>
          <w:sz w:val="21"/>
          <w:szCs w:val="21"/>
          <w:highlight w:val="none"/>
        </w:rPr>
      </w:pPr>
      <w:bookmarkStart w:id="268" w:name="_Toc351203527"/>
      <w:r>
        <w:rPr>
          <w:rFonts w:ascii="Times New Roman" w:hAnsi="Times New Roman"/>
          <w:color w:val="auto"/>
          <w:sz w:val="21"/>
          <w:szCs w:val="21"/>
          <w:highlight w:val="none"/>
        </w:rPr>
        <w:t>4</w:t>
      </w:r>
      <w:bookmarkStart w:id="269" w:name="_Toc296346554"/>
      <w:bookmarkStart w:id="270" w:name="_Toc296503053"/>
      <w:bookmarkStart w:id="271" w:name="_Toc337558753"/>
      <w:r>
        <w:rPr>
          <w:rFonts w:ascii="Times New Roman" w:hAnsi="Times New Roman"/>
          <w:color w:val="auto"/>
          <w:sz w:val="21"/>
          <w:szCs w:val="21"/>
          <w:highlight w:val="none"/>
        </w:rPr>
        <w:t>. 监</w:t>
      </w:r>
      <w:bookmarkEnd w:id="269"/>
      <w:bookmarkEnd w:id="270"/>
      <w:r>
        <w:rPr>
          <w:rFonts w:ascii="Times New Roman" w:hAnsi="Times New Roman"/>
          <w:color w:val="auto"/>
          <w:sz w:val="21"/>
          <w:szCs w:val="21"/>
          <w:highlight w:val="none"/>
        </w:rPr>
        <w:t>理人</w:t>
      </w:r>
      <w:bookmarkEnd w:id="268"/>
    </w:p>
    <w:bookmarkEnd w:id="271"/>
    <w:p w14:paraId="09279EEA">
      <w:pPr>
        <w:spacing w:line="360" w:lineRule="auto"/>
        <w:rPr>
          <w:rFonts w:ascii="Times New Roman" w:hAnsi="Times New Roman"/>
          <w:color w:val="auto"/>
          <w:sz w:val="21"/>
          <w:szCs w:val="21"/>
          <w:highlight w:val="none"/>
        </w:rPr>
      </w:pPr>
      <w:bookmarkStart w:id="272" w:name="_Toc351203528"/>
      <w:r>
        <w:rPr>
          <w:rFonts w:ascii="Times New Roman" w:hAnsi="Times New Roman"/>
          <w:color w:val="auto"/>
          <w:sz w:val="21"/>
          <w:szCs w:val="21"/>
          <w:highlight w:val="none"/>
        </w:rPr>
        <w:t>4</w:t>
      </w:r>
      <w:bookmarkStart w:id="273" w:name="_Toc337558754"/>
      <w:bookmarkStart w:id="274" w:name="_Toc296346555"/>
      <w:bookmarkStart w:id="275" w:name="_Toc296503054"/>
      <w:r>
        <w:rPr>
          <w:rFonts w:ascii="Times New Roman" w:hAnsi="Times New Roman"/>
          <w:color w:val="auto"/>
          <w:sz w:val="21"/>
          <w:szCs w:val="21"/>
          <w:highlight w:val="none"/>
        </w:rPr>
        <w:t>.1监理人的一般规定</w:t>
      </w:r>
      <w:bookmarkEnd w:id="272"/>
    </w:p>
    <w:bookmarkEnd w:id="273"/>
    <w:bookmarkEnd w:id="274"/>
    <w:bookmarkEnd w:id="275"/>
    <w:p w14:paraId="23DBB39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E456CE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除专用合同条款另有约定外，监理人在施工现场的办公场所、生活场所由承包人提供，所发生的费用由发包人承担。</w:t>
      </w:r>
    </w:p>
    <w:p w14:paraId="13DDAC0C">
      <w:pPr>
        <w:spacing w:line="360" w:lineRule="auto"/>
        <w:rPr>
          <w:rFonts w:ascii="Times New Roman" w:hAnsi="Times New Roman"/>
          <w:color w:val="auto"/>
          <w:sz w:val="21"/>
          <w:szCs w:val="21"/>
          <w:highlight w:val="none"/>
        </w:rPr>
      </w:pPr>
      <w:bookmarkStart w:id="276" w:name="_Toc351203529"/>
      <w:r>
        <w:rPr>
          <w:rFonts w:ascii="Times New Roman" w:hAnsi="Times New Roman"/>
          <w:color w:val="auto"/>
          <w:sz w:val="21"/>
          <w:szCs w:val="21"/>
          <w:highlight w:val="none"/>
        </w:rPr>
        <w:t>4</w:t>
      </w:r>
      <w:bookmarkStart w:id="277" w:name="_Toc337558755"/>
      <w:r>
        <w:rPr>
          <w:rFonts w:ascii="Times New Roman" w:hAnsi="Times New Roman"/>
          <w:color w:val="auto"/>
          <w:sz w:val="21"/>
          <w:szCs w:val="21"/>
          <w:highlight w:val="none"/>
        </w:rPr>
        <w:t>.2监理人员</w:t>
      </w:r>
      <w:bookmarkEnd w:id="276"/>
    </w:p>
    <w:bookmarkEnd w:id="277"/>
    <w:p w14:paraId="711C44D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CFE94A4">
      <w:pPr>
        <w:spacing w:line="360" w:lineRule="auto"/>
        <w:rPr>
          <w:rFonts w:ascii="Times New Roman" w:hAnsi="Times New Roman"/>
          <w:color w:val="auto"/>
          <w:sz w:val="21"/>
          <w:szCs w:val="21"/>
          <w:highlight w:val="none"/>
        </w:rPr>
      </w:pPr>
      <w:bookmarkStart w:id="278" w:name="_Toc351203530"/>
      <w:r>
        <w:rPr>
          <w:rFonts w:ascii="Times New Roman" w:hAnsi="Times New Roman"/>
          <w:color w:val="auto"/>
          <w:sz w:val="21"/>
          <w:szCs w:val="21"/>
          <w:highlight w:val="none"/>
        </w:rPr>
        <w:t>4</w:t>
      </w:r>
      <w:bookmarkStart w:id="279" w:name="_Toc296346556"/>
      <w:bookmarkStart w:id="280" w:name="_Toc296503055"/>
      <w:bookmarkStart w:id="281" w:name="_Toc337558756"/>
      <w:r>
        <w:rPr>
          <w:rFonts w:ascii="Times New Roman" w:hAnsi="Times New Roman"/>
          <w:color w:val="auto"/>
          <w:sz w:val="21"/>
          <w:szCs w:val="21"/>
          <w:highlight w:val="none"/>
        </w:rPr>
        <w:t>.3</w:t>
      </w:r>
      <w:bookmarkEnd w:id="279"/>
      <w:bookmarkEnd w:id="280"/>
      <w:r>
        <w:rPr>
          <w:rFonts w:ascii="Times New Roman" w:hAnsi="Times New Roman"/>
          <w:color w:val="auto"/>
          <w:sz w:val="21"/>
          <w:szCs w:val="21"/>
          <w:highlight w:val="none"/>
        </w:rPr>
        <w:t>监理人的指</w:t>
      </w:r>
      <w:bookmarkEnd w:id="281"/>
      <w:r>
        <w:rPr>
          <w:rFonts w:ascii="Times New Roman" w:hAnsi="Times New Roman"/>
          <w:color w:val="auto"/>
          <w:sz w:val="21"/>
          <w:szCs w:val="21"/>
          <w:highlight w:val="none"/>
        </w:rPr>
        <w:t>示</w:t>
      </w:r>
      <w:bookmarkEnd w:id="278"/>
    </w:p>
    <w:p w14:paraId="0D6C7C6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6626D0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50FBAA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67B8DB7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6AD5F910">
      <w:pPr>
        <w:spacing w:line="360" w:lineRule="auto"/>
        <w:rPr>
          <w:rFonts w:ascii="Times New Roman" w:hAnsi="Times New Roman"/>
          <w:color w:val="auto"/>
          <w:sz w:val="21"/>
          <w:szCs w:val="21"/>
          <w:highlight w:val="none"/>
        </w:rPr>
      </w:pPr>
      <w:bookmarkStart w:id="282" w:name="_Toc351203531"/>
      <w:r>
        <w:rPr>
          <w:rFonts w:ascii="Times New Roman" w:hAnsi="Times New Roman"/>
          <w:color w:val="auto"/>
          <w:sz w:val="21"/>
          <w:szCs w:val="21"/>
          <w:highlight w:val="none"/>
        </w:rPr>
        <w:t>4</w:t>
      </w:r>
      <w:bookmarkStart w:id="283" w:name="_Toc296346558"/>
      <w:bookmarkStart w:id="284" w:name="_Toc337558757"/>
      <w:bookmarkStart w:id="285" w:name="_Toc296503057"/>
      <w:r>
        <w:rPr>
          <w:rFonts w:ascii="Times New Roman" w:hAnsi="Times New Roman"/>
          <w:color w:val="auto"/>
          <w:sz w:val="21"/>
          <w:szCs w:val="21"/>
          <w:highlight w:val="none"/>
        </w:rPr>
        <w:t>.4 商定或确定</w:t>
      </w:r>
      <w:bookmarkEnd w:id="282"/>
    </w:p>
    <w:bookmarkEnd w:id="283"/>
    <w:bookmarkEnd w:id="284"/>
    <w:bookmarkEnd w:id="285"/>
    <w:p w14:paraId="6F4E7E1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合同当事人进行商定或确定时，总监理工程师应当会同合同当事人尽量通过协商达成一致，不能达成一致的，由总监理工程师按照合同约定审慎做出公正的确定。</w:t>
      </w:r>
    </w:p>
    <w:p w14:paraId="656E4CA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DE2462E">
      <w:pPr>
        <w:spacing w:line="360" w:lineRule="auto"/>
        <w:rPr>
          <w:rFonts w:ascii="Times New Roman" w:hAnsi="Times New Roman"/>
          <w:color w:val="auto"/>
          <w:sz w:val="21"/>
          <w:szCs w:val="21"/>
          <w:highlight w:val="none"/>
        </w:rPr>
      </w:pPr>
      <w:bookmarkStart w:id="286" w:name="_Toc351203532"/>
      <w:r>
        <w:rPr>
          <w:rFonts w:ascii="Times New Roman" w:hAnsi="Times New Roman"/>
          <w:color w:val="auto"/>
          <w:sz w:val="21"/>
          <w:szCs w:val="21"/>
          <w:highlight w:val="none"/>
        </w:rPr>
        <w:t>5</w:t>
      </w:r>
      <w:bookmarkStart w:id="287" w:name="_Toc337558758"/>
      <w:r>
        <w:rPr>
          <w:rFonts w:ascii="Times New Roman" w:hAnsi="Times New Roman"/>
          <w:color w:val="auto"/>
          <w:sz w:val="21"/>
          <w:szCs w:val="21"/>
          <w:highlight w:val="none"/>
        </w:rPr>
        <w:t>. 工程质量</w:t>
      </w:r>
      <w:bookmarkEnd w:id="286"/>
    </w:p>
    <w:bookmarkEnd w:id="287"/>
    <w:p w14:paraId="2D95499C">
      <w:pPr>
        <w:spacing w:line="360" w:lineRule="auto"/>
        <w:rPr>
          <w:rFonts w:ascii="Times New Roman" w:hAnsi="Times New Roman"/>
          <w:color w:val="auto"/>
          <w:sz w:val="21"/>
          <w:szCs w:val="21"/>
          <w:highlight w:val="none"/>
        </w:rPr>
      </w:pPr>
      <w:bookmarkStart w:id="288" w:name="_Toc351203533"/>
      <w:r>
        <w:rPr>
          <w:rFonts w:ascii="Times New Roman" w:hAnsi="Times New Roman"/>
          <w:color w:val="auto"/>
          <w:sz w:val="21"/>
          <w:szCs w:val="21"/>
          <w:highlight w:val="none"/>
        </w:rPr>
        <w:t>5</w:t>
      </w:r>
      <w:bookmarkStart w:id="289" w:name="_Toc337558759"/>
      <w:r>
        <w:rPr>
          <w:rFonts w:ascii="Times New Roman" w:hAnsi="Times New Roman"/>
          <w:color w:val="auto"/>
          <w:sz w:val="21"/>
          <w:szCs w:val="21"/>
          <w:highlight w:val="none"/>
        </w:rPr>
        <w:t>.1质量要求</w:t>
      </w:r>
      <w:bookmarkEnd w:id="288"/>
    </w:p>
    <w:bookmarkEnd w:id="289"/>
    <w:p w14:paraId="0184C65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5.1.1 工程质量标准必须符合现行国家有关工程施工质量验收规范和标准的要求。有关工程质量的特殊标准或要求由合同当事人在专用合同条款中约定。</w:t>
      </w:r>
    </w:p>
    <w:p w14:paraId="771F7EF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5.1.2 因发包人原因造成工程质量未达到合同约定标准的，由发包人承担由此增加的费用和（或）延误的工期，并支付承包人合理的利润。</w:t>
      </w:r>
    </w:p>
    <w:p w14:paraId="3C0A9FB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14488888">
      <w:pPr>
        <w:spacing w:line="360" w:lineRule="auto"/>
        <w:rPr>
          <w:rFonts w:ascii="Times New Roman" w:hAnsi="Times New Roman"/>
          <w:color w:val="auto"/>
          <w:sz w:val="21"/>
          <w:szCs w:val="21"/>
          <w:highlight w:val="none"/>
        </w:rPr>
      </w:pPr>
      <w:bookmarkStart w:id="290" w:name="_Toc351203534"/>
      <w:r>
        <w:rPr>
          <w:rFonts w:ascii="Times New Roman" w:hAnsi="Times New Roman"/>
          <w:color w:val="auto"/>
          <w:sz w:val="21"/>
          <w:szCs w:val="21"/>
          <w:highlight w:val="none"/>
        </w:rPr>
        <w:t>5</w:t>
      </w:r>
      <w:bookmarkStart w:id="291" w:name="_Toc337558760"/>
      <w:r>
        <w:rPr>
          <w:rFonts w:ascii="Times New Roman" w:hAnsi="Times New Roman"/>
          <w:color w:val="auto"/>
          <w:sz w:val="21"/>
          <w:szCs w:val="21"/>
          <w:highlight w:val="none"/>
        </w:rPr>
        <w:t>.2质量保证措施</w:t>
      </w:r>
      <w:bookmarkEnd w:id="290"/>
    </w:p>
    <w:bookmarkEnd w:id="291"/>
    <w:p w14:paraId="166A2B0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5.2.1 发包人的质量管理</w:t>
      </w:r>
    </w:p>
    <w:p w14:paraId="3EF2A0A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发包人应按照法律规定及合同约定完成与工程质量有关的各项工作。</w:t>
      </w:r>
    </w:p>
    <w:p w14:paraId="5BCBB78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5.2.2 承包人的质量管理</w:t>
      </w:r>
    </w:p>
    <w:p w14:paraId="5EC0E5B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E38D97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承包人应对施工人员进行质量教育和技术培训，定期考核施工人员的劳动技能，严格执行施工规范和操作规程。</w:t>
      </w:r>
    </w:p>
    <w:p w14:paraId="2968D4B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E10E16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5.2.3 监理人的质量检查和检验</w:t>
      </w:r>
    </w:p>
    <w:p w14:paraId="3C40D25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CB7861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68E45B3">
      <w:pPr>
        <w:spacing w:line="360" w:lineRule="auto"/>
        <w:rPr>
          <w:rFonts w:ascii="Times New Roman" w:hAnsi="Times New Roman"/>
          <w:color w:val="auto"/>
          <w:sz w:val="21"/>
          <w:szCs w:val="21"/>
          <w:highlight w:val="none"/>
        </w:rPr>
      </w:pPr>
      <w:bookmarkStart w:id="292" w:name="_Toc351203535"/>
      <w:r>
        <w:rPr>
          <w:rFonts w:ascii="Times New Roman" w:hAnsi="Times New Roman"/>
          <w:color w:val="auto"/>
          <w:sz w:val="21"/>
          <w:szCs w:val="21"/>
          <w:highlight w:val="none"/>
        </w:rPr>
        <w:t>5</w:t>
      </w:r>
      <w:bookmarkStart w:id="293" w:name="_Toc337558761"/>
      <w:r>
        <w:rPr>
          <w:rFonts w:ascii="Times New Roman" w:hAnsi="Times New Roman"/>
          <w:color w:val="auto"/>
          <w:sz w:val="21"/>
          <w:szCs w:val="21"/>
          <w:highlight w:val="none"/>
        </w:rPr>
        <w:t>.3 隐蔽工程检查</w:t>
      </w:r>
      <w:bookmarkEnd w:id="292"/>
    </w:p>
    <w:bookmarkEnd w:id="293"/>
    <w:p w14:paraId="5DA660A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5.3.1承包人自检</w:t>
      </w:r>
    </w:p>
    <w:p w14:paraId="494E03C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承包人应当对工程隐蔽部位进行自检，并经自检确认是否具备覆盖条件。</w:t>
      </w:r>
    </w:p>
    <w:p w14:paraId="27C95F5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5.3.2检查程序</w:t>
      </w:r>
    </w:p>
    <w:p w14:paraId="6CB9312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1914D7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291218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025A55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5.3.3 重新检查</w:t>
      </w:r>
    </w:p>
    <w:p w14:paraId="688434D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3D30B1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5.3.4 承包人私自覆盖</w:t>
      </w:r>
    </w:p>
    <w:p w14:paraId="1C3B49F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F0C2A50">
      <w:pPr>
        <w:spacing w:line="360" w:lineRule="auto"/>
        <w:rPr>
          <w:rFonts w:ascii="Times New Roman" w:hAnsi="Times New Roman"/>
          <w:color w:val="auto"/>
          <w:sz w:val="21"/>
          <w:szCs w:val="21"/>
          <w:highlight w:val="none"/>
        </w:rPr>
      </w:pPr>
      <w:bookmarkStart w:id="294" w:name="_Toc351203536"/>
      <w:r>
        <w:rPr>
          <w:rFonts w:ascii="Times New Roman" w:hAnsi="Times New Roman"/>
          <w:color w:val="auto"/>
          <w:sz w:val="21"/>
          <w:szCs w:val="21"/>
          <w:highlight w:val="none"/>
        </w:rPr>
        <w:t>5</w:t>
      </w:r>
      <w:bookmarkStart w:id="295" w:name="_Toc337558762"/>
      <w:r>
        <w:rPr>
          <w:rFonts w:ascii="Times New Roman" w:hAnsi="Times New Roman"/>
          <w:color w:val="auto"/>
          <w:sz w:val="21"/>
          <w:szCs w:val="21"/>
          <w:highlight w:val="none"/>
        </w:rPr>
        <w:t>.4不合格工程的处理</w:t>
      </w:r>
      <w:bookmarkEnd w:id="294"/>
    </w:p>
    <w:bookmarkEnd w:id="295"/>
    <w:p w14:paraId="419F353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AEF9FF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5.4.2 因发包人原因造成工程不合格的，由此增加的费用和（或）延误的工期由发包人承担，并支付承包人合理的利润。</w:t>
      </w:r>
    </w:p>
    <w:p w14:paraId="6C860A7B">
      <w:pPr>
        <w:spacing w:line="360" w:lineRule="auto"/>
        <w:rPr>
          <w:rFonts w:ascii="Times New Roman" w:hAnsi="Times New Roman"/>
          <w:color w:val="auto"/>
          <w:sz w:val="21"/>
          <w:szCs w:val="21"/>
          <w:highlight w:val="none"/>
        </w:rPr>
      </w:pPr>
      <w:bookmarkStart w:id="296" w:name="_Toc351203537"/>
      <w:r>
        <w:rPr>
          <w:rFonts w:ascii="Times New Roman" w:hAnsi="Times New Roman"/>
          <w:color w:val="auto"/>
          <w:sz w:val="21"/>
          <w:szCs w:val="21"/>
          <w:highlight w:val="none"/>
        </w:rPr>
        <w:t>5.5 质量争议检测</w:t>
      </w:r>
      <w:bookmarkEnd w:id="296"/>
    </w:p>
    <w:p w14:paraId="1610113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合同当事人对工程质量有争议的，由双方协商确定的工程质量检测机构鉴定，由此产生的费用及因此造成的损失，由责任方承担。</w:t>
      </w:r>
    </w:p>
    <w:p w14:paraId="459CE46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合同当事人均有责任的，由双方根据其责任分别承担。合同当事人无法达成一致的，按照第4.4款〔商定或确定〕执行。</w:t>
      </w:r>
    </w:p>
    <w:p w14:paraId="137C6F6A">
      <w:pPr>
        <w:spacing w:line="360" w:lineRule="auto"/>
        <w:rPr>
          <w:rFonts w:ascii="Times New Roman" w:hAnsi="Times New Roman"/>
          <w:color w:val="auto"/>
          <w:sz w:val="21"/>
          <w:szCs w:val="21"/>
          <w:highlight w:val="none"/>
        </w:rPr>
      </w:pPr>
      <w:bookmarkStart w:id="297" w:name="_Toc351203538"/>
      <w:r>
        <w:rPr>
          <w:rFonts w:ascii="Times New Roman" w:hAnsi="Times New Roman"/>
          <w:color w:val="auto"/>
          <w:sz w:val="21"/>
          <w:szCs w:val="21"/>
          <w:highlight w:val="none"/>
        </w:rPr>
        <w:t>6</w:t>
      </w:r>
      <w:bookmarkStart w:id="298" w:name="_Toc337558763"/>
      <w:r>
        <w:rPr>
          <w:rFonts w:ascii="Times New Roman" w:hAnsi="Times New Roman"/>
          <w:color w:val="auto"/>
          <w:sz w:val="21"/>
          <w:szCs w:val="21"/>
          <w:highlight w:val="none"/>
        </w:rPr>
        <w:t>. 安全文明施工与环境保护</w:t>
      </w:r>
      <w:bookmarkEnd w:id="297"/>
    </w:p>
    <w:bookmarkEnd w:id="298"/>
    <w:p w14:paraId="1C5476A6">
      <w:pPr>
        <w:spacing w:line="360" w:lineRule="auto"/>
        <w:rPr>
          <w:rFonts w:ascii="Times New Roman" w:hAnsi="Times New Roman"/>
          <w:color w:val="auto"/>
          <w:sz w:val="21"/>
          <w:szCs w:val="21"/>
          <w:highlight w:val="none"/>
        </w:rPr>
      </w:pPr>
      <w:bookmarkStart w:id="299" w:name="_Toc351203539"/>
      <w:r>
        <w:rPr>
          <w:rFonts w:ascii="Times New Roman" w:hAnsi="Times New Roman"/>
          <w:color w:val="auto"/>
          <w:sz w:val="21"/>
          <w:szCs w:val="21"/>
          <w:highlight w:val="none"/>
        </w:rPr>
        <w:t>6</w:t>
      </w:r>
      <w:bookmarkStart w:id="300" w:name="_Toc337558764"/>
      <w:r>
        <w:rPr>
          <w:rFonts w:ascii="Times New Roman" w:hAnsi="Times New Roman"/>
          <w:color w:val="auto"/>
          <w:sz w:val="21"/>
          <w:szCs w:val="21"/>
          <w:highlight w:val="none"/>
        </w:rPr>
        <w:t>.1安全文明施工</w:t>
      </w:r>
      <w:bookmarkEnd w:id="299"/>
    </w:p>
    <w:bookmarkEnd w:id="300"/>
    <w:p w14:paraId="10E0CDA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6.1.1安全生产要求</w:t>
      </w:r>
    </w:p>
    <w:p w14:paraId="5CFCDE3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D7F4B5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7867B21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因安全生产需要暂停施工的，按照第7.8款〔暂停施工〕的约定执行。</w:t>
      </w:r>
    </w:p>
    <w:p w14:paraId="1E28609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6.1.2 安全生产保证措施</w:t>
      </w:r>
    </w:p>
    <w:p w14:paraId="432F790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6C3540E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6.1.3特别安全生产事项</w:t>
      </w:r>
    </w:p>
    <w:p w14:paraId="7B16071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524F24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7329C2C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66FD7AE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需单独编制危险性较大分部分项专项工程施工方案的，及要求进行专家论证的超过一定规模的危险性较大的分部分项工程，承包人应及时编制和组织论证。</w:t>
      </w:r>
    </w:p>
    <w:p w14:paraId="07CC301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6.1.4 治安保卫</w:t>
      </w:r>
    </w:p>
    <w:p w14:paraId="194F535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3BD49D1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发包人和承包人除应协助现场治安管理机构或联防组织维护施工场地的社会治安外，还应做好包括生活区在内的各自管辖区的治安保卫工作。</w:t>
      </w:r>
    </w:p>
    <w:p w14:paraId="633390F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7B2776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6.1.5 文明施工</w:t>
      </w:r>
    </w:p>
    <w:p w14:paraId="4749A42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DF9535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7BE749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6.1.6 安全文明施工费</w:t>
      </w:r>
    </w:p>
    <w:p w14:paraId="55A6CC3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安全文明施工费由发包人承担，发包人不得以任何形式扣减该部分费用。因基准日期后合同所适用的法律或政府有关规定发生变化，增加的安全文明施工费由发包人承担。</w:t>
      </w:r>
    </w:p>
    <w:p w14:paraId="39E3B34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DB825E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9486CD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779333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6.1.7 紧急情况处理</w:t>
      </w:r>
    </w:p>
    <w:p w14:paraId="730B5C4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5FE8D57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6.1.8 事故处理</w:t>
      </w:r>
    </w:p>
    <w:p w14:paraId="75791F1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A234AC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6.1.9 安全生产责任</w:t>
      </w:r>
    </w:p>
    <w:p w14:paraId="64F38B6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6.1.9.1 发包人的安全责任</w:t>
      </w:r>
    </w:p>
    <w:p w14:paraId="1A3FD83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发包人应负责赔偿以下各种情况造成的损失：</w:t>
      </w:r>
    </w:p>
    <w:p w14:paraId="542072A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（1）工程或工程的任何部分对土地的占用所造成的第三者财产损失；</w:t>
      </w:r>
    </w:p>
    <w:p w14:paraId="7113F25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（2）由于发包人原因在施工场地及其毗邻地带造成的第三者人身伤亡和财产损失；</w:t>
      </w:r>
    </w:p>
    <w:p w14:paraId="3243999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（3）由于发包人原因对承包人、监理人造成的人员人身伤亡和财产损失；</w:t>
      </w:r>
    </w:p>
    <w:p w14:paraId="5CC27E7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（4）由于发包人原因造成的发包人自身人员的人身伤害以及财产损失。</w:t>
      </w:r>
    </w:p>
    <w:p w14:paraId="0241CC5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6.1.9.2 承包人的安全责任</w:t>
      </w:r>
    </w:p>
    <w:p w14:paraId="76AB795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由于承包人原因在施工场地内及其毗邻地带造成的发包人、监理人以及第三者人员伤亡和财产损失，由承包人负责赔偿。</w:t>
      </w:r>
    </w:p>
    <w:p w14:paraId="04F96766">
      <w:pPr>
        <w:spacing w:line="360" w:lineRule="auto"/>
        <w:rPr>
          <w:rFonts w:ascii="Times New Roman" w:hAnsi="Times New Roman"/>
          <w:color w:val="auto"/>
          <w:sz w:val="21"/>
          <w:szCs w:val="21"/>
          <w:highlight w:val="none"/>
        </w:rPr>
      </w:pPr>
      <w:bookmarkStart w:id="301" w:name="_Toc351203540"/>
      <w:r>
        <w:rPr>
          <w:rFonts w:ascii="Times New Roman" w:hAnsi="Times New Roman"/>
          <w:color w:val="auto"/>
          <w:sz w:val="21"/>
          <w:szCs w:val="21"/>
          <w:highlight w:val="none"/>
        </w:rPr>
        <w:t>6</w:t>
      </w:r>
      <w:bookmarkStart w:id="302" w:name="_Toc337558765"/>
      <w:r>
        <w:rPr>
          <w:rFonts w:ascii="Times New Roman" w:hAnsi="Times New Roman"/>
          <w:color w:val="auto"/>
          <w:sz w:val="21"/>
          <w:szCs w:val="21"/>
          <w:highlight w:val="none"/>
        </w:rPr>
        <w:t>.2 职业健康</w:t>
      </w:r>
      <w:bookmarkEnd w:id="301"/>
    </w:p>
    <w:bookmarkEnd w:id="302"/>
    <w:p w14:paraId="7DA8D8C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6.2.1 劳动保护</w:t>
      </w:r>
    </w:p>
    <w:p w14:paraId="371A207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4B82F0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承包人应按照法律规定保障现场施工人员的劳动安全，并提供劳动保护</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0D9DD2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4F50288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6.2.2 生活条件</w:t>
      </w:r>
    </w:p>
    <w:p w14:paraId="7B71979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 xml:space="preserve"> 在远离城镇的施工场地，还应配备必要的伤病防治和急救的医务人员与医疗设施。</w:t>
      </w:r>
    </w:p>
    <w:p w14:paraId="308C1009">
      <w:pPr>
        <w:spacing w:line="360" w:lineRule="auto"/>
        <w:rPr>
          <w:rFonts w:ascii="Times New Roman" w:hAnsi="Times New Roman"/>
          <w:color w:val="auto"/>
          <w:sz w:val="21"/>
          <w:szCs w:val="21"/>
          <w:highlight w:val="none"/>
        </w:rPr>
      </w:pPr>
      <w:bookmarkStart w:id="303" w:name="_Toc351203541"/>
      <w:r>
        <w:rPr>
          <w:rFonts w:ascii="Times New Roman" w:hAnsi="Times New Roman"/>
          <w:color w:val="auto"/>
          <w:sz w:val="21"/>
          <w:szCs w:val="21"/>
          <w:highlight w:val="none"/>
        </w:rPr>
        <w:t>6</w:t>
      </w:r>
      <w:bookmarkStart w:id="304" w:name="_Toc337558766"/>
      <w:r>
        <w:rPr>
          <w:rFonts w:ascii="Times New Roman" w:hAnsi="Times New Roman"/>
          <w:color w:val="auto"/>
          <w:sz w:val="21"/>
          <w:szCs w:val="21"/>
          <w:highlight w:val="none"/>
        </w:rPr>
        <w:t>.3 环境保护</w:t>
      </w:r>
      <w:bookmarkEnd w:id="303"/>
    </w:p>
    <w:bookmarkEnd w:id="304"/>
    <w:p w14:paraId="3D818AA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8BF5EC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承包人应当承担因其原因引起的环境污染侵权损害赔偿责任，因上述环境污染引起纠纷而导致暂停施工的，由此增加的费用和（或）延误的工期由承包人承担。</w:t>
      </w:r>
    </w:p>
    <w:p w14:paraId="0D7A8B78">
      <w:pPr>
        <w:spacing w:line="360" w:lineRule="auto"/>
        <w:rPr>
          <w:rFonts w:ascii="Times New Roman" w:hAnsi="Times New Roman"/>
          <w:color w:val="auto"/>
          <w:sz w:val="21"/>
          <w:szCs w:val="21"/>
          <w:highlight w:val="none"/>
        </w:rPr>
      </w:pPr>
      <w:bookmarkStart w:id="305" w:name="_Toc351203542"/>
      <w:r>
        <w:rPr>
          <w:rFonts w:ascii="Times New Roman" w:hAnsi="Times New Roman"/>
          <w:color w:val="auto"/>
          <w:sz w:val="21"/>
          <w:szCs w:val="21"/>
          <w:highlight w:val="none"/>
        </w:rPr>
        <w:t>7</w:t>
      </w:r>
      <w:bookmarkStart w:id="306" w:name="_Toc337558767"/>
      <w:r>
        <w:rPr>
          <w:rFonts w:ascii="Times New Roman" w:hAnsi="Times New Roman"/>
          <w:color w:val="auto"/>
          <w:sz w:val="21"/>
          <w:szCs w:val="21"/>
          <w:highlight w:val="none"/>
        </w:rPr>
        <w:t>. 工期和进度</w:t>
      </w:r>
      <w:bookmarkEnd w:id="305"/>
    </w:p>
    <w:bookmarkEnd w:id="306"/>
    <w:p w14:paraId="6639267D">
      <w:pPr>
        <w:spacing w:line="360" w:lineRule="auto"/>
        <w:rPr>
          <w:rFonts w:ascii="Times New Roman" w:hAnsi="Times New Roman"/>
          <w:color w:val="auto"/>
          <w:sz w:val="21"/>
          <w:szCs w:val="21"/>
          <w:highlight w:val="none"/>
        </w:rPr>
      </w:pPr>
      <w:bookmarkStart w:id="307" w:name="_Toc351203543"/>
      <w:r>
        <w:rPr>
          <w:rFonts w:ascii="Times New Roman" w:hAnsi="Times New Roman"/>
          <w:color w:val="auto"/>
          <w:sz w:val="21"/>
          <w:szCs w:val="21"/>
          <w:highlight w:val="none"/>
        </w:rPr>
        <w:t>7</w:t>
      </w:r>
      <w:bookmarkStart w:id="308" w:name="_Toc337558768"/>
      <w:bookmarkStart w:id="309" w:name="_Toc296346567"/>
      <w:bookmarkStart w:id="310" w:name="_Toc296503066"/>
      <w:r>
        <w:rPr>
          <w:rFonts w:ascii="Times New Roman" w:hAnsi="Times New Roman"/>
          <w:color w:val="auto"/>
          <w:sz w:val="21"/>
          <w:szCs w:val="21"/>
          <w:highlight w:val="none"/>
        </w:rPr>
        <w:t>.1施工组织设计</w:t>
      </w:r>
      <w:bookmarkEnd w:id="307"/>
    </w:p>
    <w:bookmarkEnd w:id="308"/>
    <w:p w14:paraId="6E93E95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7.1.1 施工组织设计的内容</w:t>
      </w:r>
    </w:p>
    <w:p w14:paraId="0043129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施工组织设计应包含以下内容：</w:t>
      </w:r>
    </w:p>
    <w:p w14:paraId="168D4FA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（1）施工方案； </w:t>
      </w:r>
    </w:p>
    <w:p w14:paraId="1A94DB3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（2）施工现场平面布置图；</w:t>
      </w:r>
    </w:p>
    <w:p w14:paraId="19B55DE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（3）施工进度计划和保证措施； </w:t>
      </w:r>
    </w:p>
    <w:p w14:paraId="011519F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（4）劳动力及材料供应计划；</w:t>
      </w:r>
    </w:p>
    <w:p w14:paraId="278A49C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（5）施工机械设备的选用；</w:t>
      </w:r>
    </w:p>
    <w:p w14:paraId="3E4C61D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（6）质量保证体系及措施；</w:t>
      </w:r>
    </w:p>
    <w:p w14:paraId="58F178B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（7）安全生产、文明施工措施；</w:t>
      </w:r>
    </w:p>
    <w:p w14:paraId="3EE3EBC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（8）环境保护、成本控制措施；</w:t>
      </w:r>
    </w:p>
    <w:p w14:paraId="42F4BBB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（9）合同当事人约定的其他内容。</w:t>
      </w:r>
    </w:p>
    <w:p w14:paraId="1733B18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7.1.2 施工组织设计的提交和修改</w:t>
      </w:r>
    </w:p>
    <w:p w14:paraId="30F74B5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895BF3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施工进度计划的编制和修改按照第7.2款〔施工进度计划〕执行。</w:t>
      </w:r>
    </w:p>
    <w:p w14:paraId="4A89B547">
      <w:pPr>
        <w:spacing w:line="360" w:lineRule="auto"/>
        <w:rPr>
          <w:rFonts w:ascii="Times New Roman" w:hAnsi="Times New Roman"/>
          <w:color w:val="auto"/>
          <w:sz w:val="21"/>
          <w:szCs w:val="21"/>
          <w:highlight w:val="none"/>
        </w:rPr>
      </w:pPr>
      <w:bookmarkStart w:id="311" w:name="_Toc351203544"/>
      <w:r>
        <w:rPr>
          <w:rFonts w:ascii="Times New Roman" w:hAnsi="Times New Roman"/>
          <w:color w:val="auto"/>
          <w:sz w:val="21"/>
          <w:szCs w:val="21"/>
          <w:highlight w:val="none"/>
        </w:rPr>
        <w:t>7</w:t>
      </w:r>
      <w:bookmarkStart w:id="312" w:name="_Toc337558769"/>
      <w:r>
        <w:rPr>
          <w:rFonts w:ascii="Times New Roman" w:hAnsi="Times New Roman"/>
          <w:color w:val="auto"/>
          <w:sz w:val="21"/>
          <w:szCs w:val="21"/>
          <w:highlight w:val="none"/>
        </w:rPr>
        <w:t>.2 施工进度计划</w:t>
      </w:r>
      <w:bookmarkEnd w:id="311"/>
    </w:p>
    <w:bookmarkEnd w:id="312"/>
    <w:p w14:paraId="732F09F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7.2.1 施工进度计划的编制</w:t>
      </w:r>
    </w:p>
    <w:p w14:paraId="0CB6356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BBF78A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7.2.2 施工进度计划的修订</w:t>
      </w:r>
    </w:p>
    <w:p w14:paraId="5F689B0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A642092">
      <w:pPr>
        <w:spacing w:line="360" w:lineRule="auto"/>
        <w:rPr>
          <w:rFonts w:ascii="Times New Roman" w:hAnsi="Times New Roman"/>
          <w:color w:val="auto"/>
          <w:sz w:val="21"/>
          <w:szCs w:val="21"/>
          <w:highlight w:val="none"/>
        </w:rPr>
      </w:pPr>
      <w:bookmarkStart w:id="313" w:name="_Toc351203545"/>
      <w:r>
        <w:rPr>
          <w:rFonts w:ascii="Times New Roman" w:hAnsi="Times New Roman"/>
          <w:color w:val="auto"/>
          <w:sz w:val="21"/>
          <w:szCs w:val="21"/>
          <w:highlight w:val="none"/>
        </w:rPr>
        <w:t>7</w:t>
      </w:r>
      <w:bookmarkStart w:id="314" w:name="_Toc337558770"/>
      <w:r>
        <w:rPr>
          <w:rFonts w:ascii="Times New Roman" w:hAnsi="Times New Roman"/>
          <w:color w:val="auto"/>
          <w:sz w:val="21"/>
          <w:szCs w:val="21"/>
          <w:highlight w:val="none"/>
        </w:rPr>
        <w:t>.3 开工</w:t>
      </w:r>
      <w:bookmarkEnd w:id="313"/>
    </w:p>
    <w:p w14:paraId="6EDE4EC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7.3.1 开工准备</w:t>
      </w:r>
    </w:p>
    <w:p w14:paraId="1C30702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8CF63A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除专用合同条款另有约定外，合同当事人应按约定完成开工准备工作。</w:t>
      </w:r>
    </w:p>
    <w:p w14:paraId="69FECB4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7.3.2 开工通知</w:t>
      </w:r>
    </w:p>
    <w:bookmarkEnd w:id="314"/>
    <w:p w14:paraId="224165D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2203B9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D933B26">
      <w:pPr>
        <w:spacing w:line="360" w:lineRule="auto"/>
        <w:rPr>
          <w:rFonts w:ascii="Times New Roman" w:hAnsi="Times New Roman"/>
          <w:color w:val="auto"/>
          <w:sz w:val="21"/>
          <w:szCs w:val="21"/>
          <w:highlight w:val="none"/>
        </w:rPr>
      </w:pPr>
      <w:bookmarkStart w:id="315" w:name="_Toc351203546"/>
      <w:r>
        <w:rPr>
          <w:rFonts w:ascii="Times New Roman" w:hAnsi="Times New Roman"/>
          <w:color w:val="auto"/>
          <w:sz w:val="21"/>
          <w:szCs w:val="21"/>
          <w:highlight w:val="none"/>
        </w:rPr>
        <w:t>7.4测量放线</w:t>
      </w:r>
      <w:bookmarkEnd w:id="315"/>
    </w:p>
    <w:p w14:paraId="2E41943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EF3141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6F8A0D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19FFC9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施工过程中对施工现场内水准点等测量标志物的保护工作由承包人负责。</w:t>
      </w:r>
      <w:bookmarkStart w:id="316" w:name="_Toc351203547"/>
    </w:p>
    <w:p w14:paraId="39E0926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w:t>
      </w:r>
      <w:bookmarkEnd w:id="309"/>
      <w:bookmarkEnd w:id="310"/>
      <w:bookmarkStart w:id="317" w:name="_Toc296503073"/>
      <w:bookmarkStart w:id="318" w:name="_Toc337558772"/>
      <w:bookmarkStart w:id="319" w:name="_Toc296346574"/>
      <w:r>
        <w:rPr>
          <w:rFonts w:ascii="Times New Roman" w:hAnsi="Times New Roman"/>
          <w:color w:val="auto"/>
          <w:sz w:val="21"/>
          <w:szCs w:val="21"/>
          <w:highlight w:val="none"/>
        </w:rPr>
        <w:t>.5 工期延误</w:t>
      </w:r>
      <w:bookmarkEnd w:id="316"/>
    </w:p>
    <w:bookmarkEnd w:id="317"/>
    <w:bookmarkEnd w:id="318"/>
    <w:bookmarkEnd w:id="319"/>
    <w:p w14:paraId="69184ED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7.5.1 因发包人原因导致工期延误</w:t>
      </w:r>
    </w:p>
    <w:p w14:paraId="3D86090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在合同履行过程中，因下列情况导致工期延误和（或）费用增加的，由发包人承担由此延误的工期和（或）增加的费用，且发包人应支付承包人合理的利润： </w:t>
      </w:r>
    </w:p>
    <w:p w14:paraId="4E7D8E6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（1）发包人未能按合同约定提供图纸或所提供图纸不符合合同约定的；</w:t>
      </w:r>
    </w:p>
    <w:p w14:paraId="6022504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（2）发包人未能按合同约定提供施工现场、施工条件、基础资料、许可、批准等开工条件的；</w:t>
      </w:r>
    </w:p>
    <w:p w14:paraId="63516C7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（3）发包人提供的测量基准点、基准线和水准点及其书面资料存在错误或疏漏的；</w:t>
      </w:r>
    </w:p>
    <w:p w14:paraId="02AB2BC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（4）发包人未能在计划开工日期之日起7天内同意下达开工通知的；</w:t>
      </w:r>
    </w:p>
    <w:p w14:paraId="0427FB5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（5）发包人未能按合同约定日期支付工程预付款、进度款或竣工结算款的；</w:t>
      </w:r>
    </w:p>
    <w:p w14:paraId="4B5CB8C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（6）监理人未按合同约定发出指示、批准等文件的；</w:t>
      </w:r>
    </w:p>
    <w:p w14:paraId="4E00759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（7）专用合同条款中约定的其他情形。</w:t>
      </w:r>
    </w:p>
    <w:p w14:paraId="4E7B012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FCA8B2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7.5.2 因承包人原因导致工期延误</w:t>
      </w:r>
    </w:p>
    <w:p w14:paraId="32E0BA8A">
      <w:pPr>
        <w:spacing w:line="360" w:lineRule="auto"/>
        <w:rPr>
          <w:rFonts w:ascii="Times New Roman" w:hAnsi="Times New Roman"/>
          <w:color w:val="auto"/>
          <w:sz w:val="21"/>
          <w:szCs w:val="21"/>
          <w:highlight w:val="none"/>
        </w:rPr>
      </w:pPr>
      <w:bookmarkStart w:id="320" w:name="_Toc296346577"/>
      <w:bookmarkStart w:id="321" w:name="_Toc296503076"/>
      <w:r>
        <w:rPr>
          <w:rFonts w:ascii="Times New Roman" w:hAnsi="Times New Roman"/>
          <w:color w:val="auto"/>
          <w:sz w:val="21"/>
          <w:szCs w:val="21"/>
          <w:highlight w:val="none"/>
        </w:rPr>
        <w:t>因</w:t>
      </w:r>
      <w:bookmarkEnd w:id="320"/>
      <w:bookmarkEnd w:id="321"/>
      <w:r>
        <w:rPr>
          <w:rFonts w:ascii="Times New Roman" w:hAnsi="Times New Roman"/>
          <w:color w:val="auto"/>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5A474665">
      <w:pPr>
        <w:spacing w:line="360" w:lineRule="auto"/>
        <w:rPr>
          <w:rFonts w:ascii="Times New Roman" w:hAnsi="Times New Roman"/>
          <w:color w:val="auto"/>
          <w:sz w:val="21"/>
          <w:szCs w:val="21"/>
          <w:highlight w:val="none"/>
        </w:rPr>
      </w:pPr>
      <w:bookmarkStart w:id="322" w:name="_Toc351203548"/>
      <w:r>
        <w:rPr>
          <w:rFonts w:ascii="Times New Roman" w:hAnsi="Times New Roman"/>
          <w:color w:val="auto"/>
          <w:sz w:val="21"/>
          <w:szCs w:val="21"/>
          <w:highlight w:val="none"/>
        </w:rPr>
        <w:t>7</w:t>
      </w:r>
      <w:bookmarkStart w:id="323" w:name="_Toc296346575"/>
      <w:bookmarkStart w:id="324" w:name="_Toc296503074"/>
      <w:bookmarkStart w:id="325" w:name="_Toc337558773"/>
      <w:bookmarkStart w:id="326" w:name="_Toc296346578"/>
      <w:bookmarkStart w:id="327" w:name="_Toc296503077"/>
      <w:r>
        <w:rPr>
          <w:rFonts w:ascii="Times New Roman" w:hAnsi="Times New Roman"/>
          <w:color w:val="auto"/>
          <w:sz w:val="21"/>
          <w:szCs w:val="21"/>
          <w:highlight w:val="none"/>
        </w:rPr>
        <w:t>.6 不利物质条件</w:t>
      </w:r>
      <w:bookmarkEnd w:id="322"/>
    </w:p>
    <w:bookmarkEnd w:id="323"/>
    <w:bookmarkEnd w:id="324"/>
    <w:bookmarkEnd w:id="325"/>
    <w:p w14:paraId="153BD27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7655C5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9CDE950">
      <w:pPr>
        <w:spacing w:line="360" w:lineRule="auto"/>
        <w:rPr>
          <w:rFonts w:ascii="Times New Roman" w:hAnsi="Times New Roman"/>
          <w:color w:val="auto"/>
          <w:sz w:val="21"/>
          <w:szCs w:val="21"/>
          <w:highlight w:val="none"/>
        </w:rPr>
      </w:pPr>
      <w:bookmarkStart w:id="328" w:name="_Toc351203549"/>
      <w:r>
        <w:rPr>
          <w:rFonts w:ascii="Times New Roman" w:hAnsi="Times New Roman"/>
          <w:color w:val="auto"/>
          <w:sz w:val="21"/>
          <w:szCs w:val="21"/>
          <w:highlight w:val="none"/>
        </w:rPr>
        <w:t>7</w:t>
      </w:r>
      <w:bookmarkStart w:id="329" w:name="_Toc337558774"/>
      <w:bookmarkStart w:id="330" w:name="_Toc296503075"/>
      <w:bookmarkStart w:id="331" w:name="_Toc296346576"/>
      <w:r>
        <w:rPr>
          <w:rFonts w:ascii="Times New Roman" w:hAnsi="Times New Roman"/>
          <w:color w:val="auto"/>
          <w:sz w:val="21"/>
          <w:szCs w:val="21"/>
          <w:highlight w:val="none"/>
        </w:rPr>
        <w:t>.7 异常恶劣的气候条件</w:t>
      </w:r>
      <w:bookmarkEnd w:id="328"/>
    </w:p>
    <w:bookmarkEnd w:id="329"/>
    <w:bookmarkEnd w:id="330"/>
    <w:bookmarkEnd w:id="331"/>
    <w:p w14:paraId="58E27FD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97BFDD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32" w:name="_Toc351203550"/>
    </w:p>
    <w:p w14:paraId="54DD886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w:t>
      </w:r>
      <w:bookmarkStart w:id="333" w:name="_Toc337558775"/>
      <w:r>
        <w:rPr>
          <w:rFonts w:ascii="Times New Roman" w:hAnsi="Times New Roman"/>
          <w:color w:val="auto"/>
          <w:sz w:val="21"/>
          <w:szCs w:val="21"/>
          <w:highlight w:val="none"/>
        </w:rPr>
        <w:t>.8 暂停施工</w:t>
      </w:r>
      <w:bookmarkEnd w:id="332"/>
    </w:p>
    <w:bookmarkEnd w:id="326"/>
    <w:bookmarkEnd w:id="327"/>
    <w:bookmarkEnd w:id="333"/>
    <w:p w14:paraId="31027B8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7.8.1发包人原因引起的暂停施工</w:t>
      </w:r>
    </w:p>
    <w:p w14:paraId="0F00747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3BC2AF8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因发包人原因引起的暂停施工，发包人应承担由此增加的费用和（或）延误的工期，并支付承包人合理的利润。</w:t>
      </w:r>
    </w:p>
    <w:p w14:paraId="70C9395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7.8.2 承包人原因引起的暂停施工</w:t>
      </w:r>
    </w:p>
    <w:p w14:paraId="7E86F7D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82D69F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7.8.3 指示暂停施工</w:t>
      </w:r>
    </w:p>
    <w:p w14:paraId="152A289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监理人认为有必要时，并经发包人批准后，可向承包人作出暂停施工的指示，承包人应按监理人指示暂停施工。</w:t>
      </w:r>
    </w:p>
    <w:p w14:paraId="458700E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7.8.4 紧急情况下的暂停施工</w:t>
      </w:r>
    </w:p>
    <w:p w14:paraId="62FB96B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E4D664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7.8.5 暂停施工后的复工</w:t>
      </w:r>
    </w:p>
    <w:p w14:paraId="7EBAA82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4D10A0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承包人无故拖延和拒绝复工的，承包人承担由此增加的费用和（或）延误的工期；因发包人原因无法按时复工的，按照第7.5.1项〔因发包人原因导致工期延误〕约定办理。</w:t>
      </w:r>
    </w:p>
    <w:p w14:paraId="57F4FC4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7.8.6 暂停施工持续56天以上</w:t>
      </w:r>
    </w:p>
    <w:p w14:paraId="5C028B1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5892EB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3E3CD68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7.8.7 暂停施工期间的工程照管</w:t>
      </w:r>
    </w:p>
    <w:p w14:paraId="1DA8983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暂停施工期间，承包人应负责妥善照管工程并提供安全保障，由此增加的费用由责任方承担。</w:t>
      </w:r>
    </w:p>
    <w:p w14:paraId="33D3EDB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7.8.8 暂停施工的措施</w:t>
      </w:r>
    </w:p>
    <w:p w14:paraId="076244A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暂停施工期间，发包人和承包人均应采取必要的措施确保工程质量及安全，防止因暂停施工扩大损失。</w:t>
      </w:r>
    </w:p>
    <w:p w14:paraId="0B86E985">
      <w:pPr>
        <w:spacing w:line="360" w:lineRule="auto"/>
        <w:rPr>
          <w:rFonts w:ascii="Times New Roman" w:hAnsi="Times New Roman"/>
          <w:color w:val="auto"/>
          <w:sz w:val="21"/>
          <w:szCs w:val="21"/>
          <w:highlight w:val="none"/>
        </w:rPr>
      </w:pPr>
      <w:bookmarkStart w:id="334" w:name="_Toc351203551"/>
      <w:r>
        <w:rPr>
          <w:rFonts w:ascii="Times New Roman" w:hAnsi="Times New Roman"/>
          <w:color w:val="auto"/>
          <w:sz w:val="21"/>
          <w:szCs w:val="21"/>
          <w:highlight w:val="none"/>
        </w:rPr>
        <w:t>7.9提前竣工</w:t>
      </w:r>
      <w:bookmarkEnd w:id="334"/>
    </w:p>
    <w:p w14:paraId="75A0D59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70BF15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7.9.2 发包人要求承包人提前竣工，或承包人提出提前竣工的建议能够给发包人带来效益的，合同当事人可以在专用合同条款中约定提前竣工的奖励。</w:t>
      </w:r>
    </w:p>
    <w:p w14:paraId="248E15A7">
      <w:pPr>
        <w:spacing w:line="360" w:lineRule="auto"/>
        <w:rPr>
          <w:rFonts w:ascii="Times New Roman" w:hAnsi="Times New Roman"/>
          <w:color w:val="auto"/>
          <w:sz w:val="21"/>
          <w:szCs w:val="21"/>
          <w:highlight w:val="none"/>
        </w:rPr>
      </w:pPr>
      <w:bookmarkStart w:id="335" w:name="_Toc351203552"/>
      <w:r>
        <w:rPr>
          <w:rFonts w:ascii="Times New Roman" w:hAnsi="Times New Roman"/>
          <w:color w:val="auto"/>
          <w:sz w:val="21"/>
          <w:szCs w:val="21"/>
          <w:highlight w:val="none"/>
        </w:rPr>
        <w:t>8</w:t>
      </w:r>
      <w:bookmarkStart w:id="336" w:name="_Toc296346559"/>
      <w:bookmarkStart w:id="337" w:name="_Toc337558776"/>
      <w:bookmarkStart w:id="338" w:name="_Toc296503058"/>
      <w:r>
        <w:rPr>
          <w:rFonts w:ascii="Times New Roman" w:hAnsi="Times New Roman"/>
          <w:color w:val="auto"/>
          <w:sz w:val="21"/>
          <w:szCs w:val="21"/>
          <w:highlight w:val="none"/>
        </w:rPr>
        <w:t>. 材料与设备</w:t>
      </w:r>
      <w:bookmarkEnd w:id="335"/>
    </w:p>
    <w:bookmarkEnd w:id="336"/>
    <w:bookmarkEnd w:id="337"/>
    <w:bookmarkEnd w:id="338"/>
    <w:p w14:paraId="35B83DB9">
      <w:pPr>
        <w:spacing w:line="360" w:lineRule="auto"/>
        <w:rPr>
          <w:rFonts w:ascii="Times New Roman" w:hAnsi="Times New Roman"/>
          <w:color w:val="auto"/>
          <w:sz w:val="21"/>
          <w:szCs w:val="21"/>
          <w:highlight w:val="none"/>
        </w:rPr>
      </w:pPr>
      <w:bookmarkStart w:id="339" w:name="_Toc351203553"/>
      <w:r>
        <w:rPr>
          <w:rFonts w:ascii="Times New Roman" w:hAnsi="Times New Roman"/>
          <w:color w:val="auto"/>
          <w:sz w:val="21"/>
          <w:szCs w:val="21"/>
          <w:highlight w:val="none"/>
        </w:rPr>
        <w:t>8</w:t>
      </w:r>
      <w:bookmarkStart w:id="340" w:name="_Toc337558777"/>
      <w:bookmarkStart w:id="341" w:name="_Toc296503059"/>
      <w:bookmarkStart w:id="342" w:name="_Toc296346560"/>
      <w:bookmarkStart w:id="343" w:name="_Toc468936960"/>
      <w:r>
        <w:rPr>
          <w:rFonts w:ascii="Times New Roman" w:hAnsi="Times New Roman"/>
          <w:color w:val="auto"/>
          <w:sz w:val="21"/>
          <w:szCs w:val="21"/>
          <w:highlight w:val="none"/>
        </w:rPr>
        <w:t>.1发包人供应材料与工程设备</w:t>
      </w:r>
      <w:bookmarkEnd w:id="339"/>
    </w:p>
    <w:bookmarkEnd w:id="340"/>
    <w:bookmarkEnd w:id="341"/>
    <w:bookmarkEnd w:id="342"/>
    <w:p w14:paraId="5CF92F2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1A9582D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76758452">
      <w:pPr>
        <w:spacing w:line="360" w:lineRule="auto"/>
        <w:rPr>
          <w:rFonts w:ascii="Times New Roman" w:hAnsi="Times New Roman"/>
          <w:color w:val="auto"/>
          <w:sz w:val="21"/>
          <w:szCs w:val="21"/>
          <w:highlight w:val="none"/>
        </w:rPr>
      </w:pPr>
      <w:bookmarkStart w:id="344" w:name="_Toc351203554"/>
      <w:r>
        <w:rPr>
          <w:rFonts w:ascii="Times New Roman" w:hAnsi="Times New Roman"/>
          <w:color w:val="auto"/>
          <w:sz w:val="21"/>
          <w:szCs w:val="21"/>
          <w:highlight w:val="none"/>
        </w:rPr>
        <w:t>8</w:t>
      </w:r>
      <w:bookmarkStart w:id="345" w:name="_Toc296346561"/>
      <w:bookmarkStart w:id="346" w:name="_Toc337558778"/>
      <w:bookmarkStart w:id="347" w:name="_Toc296503060"/>
      <w:r>
        <w:rPr>
          <w:rFonts w:ascii="Times New Roman" w:hAnsi="Times New Roman"/>
          <w:color w:val="auto"/>
          <w:sz w:val="21"/>
          <w:szCs w:val="21"/>
          <w:highlight w:val="none"/>
        </w:rPr>
        <w:t>.2承包人采购材料与工程设备</w:t>
      </w:r>
      <w:bookmarkEnd w:id="344"/>
    </w:p>
    <w:bookmarkEnd w:id="345"/>
    <w:bookmarkEnd w:id="346"/>
    <w:bookmarkEnd w:id="347"/>
    <w:p w14:paraId="54E1C68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6DE005B">
      <w:pPr>
        <w:spacing w:line="360" w:lineRule="auto"/>
        <w:rPr>
          <w:rFonts w:ascii="Times New Roman" w:hAnsi="Times New Roman"/>
          <w:color w:val="auto"/>
          <w:sz w:val="21"/>
          <w:szCs w:val="21"/>
          <w:highlight w:val="none"/>
        </w:rPr>
      </w:pPr>
      <w:bookmarkStart w:id="348" w:name="_Toc351203555"/>
      <w:r>
        <w:rPr>
          <w:rFonts w:ascii="Times New Roman" w:hAnsi="Times New Roman"/>
          <w:color w:val="auto"/>
          <w:sz w:val="21"/>
          <w:szCs w:val="21"/>
          <w:highlight w:val="none"/>
        </w:rPr>
        <w:t>8</w:t>
      </w:r>
      <w:bookmarkStart w:id="349" w:name="_Toc296346562"/>
      <w:bookmarkStart w:id="350" w:name="_Toc337558779"/>
      <w:bookmarkStart w:id="351" w:name="_Toc296503061"/>
      <w:r>
        <w:rPr>
          <w:rFonts w:ascii="Times New Roman" w:hAnsi="Times New Roman"/>
          <w:color w:val="auto"/>
          <w:sz w:val="21"/>
          <w:szCs w:val="21"/>
          <w:highlight w:val="none"/>
        </w:rPr>
        <w:t>.3材料与工程设备的接收与拒收</w:t>
      </w:r>
      <w:bookmarkEnd w:id="348"/>
    </w:p>
    <w:bookmarkEnd w:id="349"/>
    <w:bookmarkEnd w:id="350"/>
    <w:bookmarkEnd w:id="351"/>
    <w:p w14:paraId="61EA22A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F4A1E2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35AED8F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8.3.2 承包人采购的材料和工程设备，应保证产品质量合格，承包人应在材料和工程设备到货前24小时通知监理人检验。承</w:t>
      </w:r>
      <w:bookmarkStart w:id="352" w:name="_Toc250655469"/>
      <w:r>
        <w:rPr>
          <w:rFonts w:ascii="Times New Roman" w:hAnsi="Times New Roman"/>
          <w:color w:val="auto"/>
          <w:sz w:val="21"/>
          <w:szCs w:val="21"/>
          <w:highlight w:val="none"/>
        </w:rPr>
        <w:t>包人进行永久设备、材料的制造和生产的，应符合相关质量标准，并向监理人提交材料的样本以及有关资料，并应在使用该材料或工程设备之前获得监理人同意。</w:t>
      </w:r>
    </w:p>
    <w:bookmarkEnd w:id="352"/>
    <w:p w14:paraId="2C78A37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1C16763">
      <w:pPr>
        <w:spacing w:line="360" w:lineRule="auto"/>
        <w:rPr>
          <w:rFonts w:ascii="Times New Roman" w:hAnsi="Times New Roman"/>
          <w:color w:val="auto"/>
          <w:sz w:val="21"/>
          <w:szCs w:val="21"/>
          <w:highlight w:val="none"/>
        </w:rPr>
      </w:pPr>
      <w:bookmarkStart w:id="353" w:name="_Toc351203556"/>
      <w:r>
        <w:rPr>
          <w:rFonts w:ascii="Times New Roman" w:hAnsi="Times New Roman"/>
          <w:color w:val="auto"/>
          <w:sz w:val="21"/>
          <w:szCs w:val="21"/>
          <w:highlight w:val="none"/>
        </w:rPr>
        <w:t>8</w:t>
      </w:r>
      <w:bookmarkStart w:id="354" w:name="_Toc337558780"/>
      <w:bookmarkStart w:id="355" w:name="_Toc296503062"/>
      <w:bookmarkStart w:id="356" w:name="_Toc296346563"/>
      <w:r>
        <w:rPr>
          <w:rFonts w:ascii="Times New Roman" w:hAnsi="Times New Roman"/>
          <w:color w:val="auto"/>
          <w:sz w:val="21"/>
          <w:szCs w:val="21"/>
          <w:highlight w:val="none"/>
        </w:rPr>
        <w:t>.4材料与工程设备的保管与使用</w:t>
      </w:r>
      <w:bookmarkEnd w:id="353"/>
    </w:p>
    <w:bookmarkEnd w:id="354"/>
    <w:bookmarkEnd w:id="355"/>
    <w:bookmarkEnd w:id="356"/>
    <w:p w14:paraId="306E708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8.4.1 发包人供应材料与工程设备的保管与使用</w:t>
      </w:r>
    </w:p>
    <w:p w14:paraId="0E95BBA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06D94C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发包人供应的材料和工程设备使用前，由承包人负责检验，检验费用由发包人承担，不合格的不得使用。</w:t>
      </w:r>
    </w:p>
    <w:p w14:paraId="20B9660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8.4.2 承包人采购材料与工程设备的保管与使用</w:t>
      </w:r>
    </w:p>
    <w:p w14:paraId="348AE48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BEB01E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6B01AE84">
      <w:pPr>
        <w:spacing w:line="360" w:lineRule="auto"/>
        <w:rPr>
          <w:rFonts w:ascii="Times New Roman" w:hAnsi="Times New Roman"/>
          <w:color w:val="auto"/>
          <w:sz w:val="21"/>
          <w:szCs w:val="21"/>
          <w:highlight w:val="none"/>
        </w:rPr>
      </w:pPr>
      <w:bookmarkStart w:id="357" w:name="_Toc351203557"/>
      <w:r>
        <w:rPr>
          <w:rFonts w:ascii="Times New Roman" w:hAnsi="Times New Roman"/>
          <w:color w:val="auto"/>
          <w:sz w:val="21"/>
          <w:szCs w:val="21"/>
          <w:highlight w:val="none"/>
        </w:rPr>
        <w:t>8.5禁止使用不合格的材料和工程设备</w:t>
      </w:r>
      <w:bookmarkEnd w:id="357"/>
    </w:p>
    <w:p w14:paraId="16074E3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71D65E3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8.5.2 监理人发现承包人使用了不合格的材料和工程设备，承包人应按照监理人的指示立即改正，并禁止在工程中继续使用不合格的材料和工程设备。</w:t>
      </w:r>
    </w:p>
    <w:p w14:paraId="43AF7FB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8.5.3 发包人提供的材料或工程设备不符合合同要求的，承包人有权拒绝，并可要求发包人更换，由此增加的费用和（或）延误的工期由发包人承担，并支付承包人合理的利润。</w:t>
      </w:r>
    </w:p>
    <w:p w14:paraId="70615C8F">
      <w:pPr>
        <w:spacing w:line="360" w:lineRule="auto"/>
        <w:rPr>
          <w:rFonts w:ascii="Times New Roman" w:hAnsi="Times New Roman"/>
          <w:color w:val="auto"/>
          <w:sz w:val="21"/>
          <w:szCs w:val="21"/>
          <w:highlight w:val="none"/>
        </w:rPr>
      </w:pPr>
      <w:bookmarkStart w:id="358" w:name="_Toc351203558"/>
      <w:r>
        <w:rPr>
          <w:rFonts w:ascii="Times New Roman" w:hAnsi="Times New Roman"/>
          <w:color w:val="auto"/>
          <w:sz w:val="21"/>
          <w:szCs w:val="21"/>
          <w:highlight w:val="none"/>
        </w:rPr>
        <w:t>8.6 样品</w:t>
      </w:r>
      <w:bookmarkEnd w:id="358"/>
    </w:p>
    <w:p w14:paraId="0D1225D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8.6.1</w:t>
      </w:r>
      <w:r>
        <w:rPr>
          <w:rFonts w:ascii="Times New Roman" w:hAnsi="Times New Roman"/>
          <w:color w:val="auto"/>
          <w:sz w:val="21"/>
          <w:szCs w:val="21"/>
          <w:highlight w:val="none"/>
        </w:rPr>
        <w:tab/>
      </w:r>
      <w:r>
        <w:rPr>
          <w:rFonts w:ascii="Times New Roman" w:hAnsi="Times New Roman"/>
          <w:color w:val="auto"/>
          <w:sz w:val="21"/>
          <w:szCs w:val="21"/>
          <w:highlight w:val="none"/>
        </w:rPr>
        <w:t>样品的报送与封存</w:t>
      </w:r>
    </w:p>
    <w:p w14:paraId="167D490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需要承包人报送样品的材料或工程设备，样品的种类、名称、规格、数量等要求均应在专用合同条款中约定。样品的报送程序如下：</w:t>
      </w:r>
    </w:p>
    <w:p w14:paraId="1F81566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DAEAFE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623FD2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12B9276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161498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8.6.2 样品的保管</w:t>
      </w:r>
    </w:p>
    <w:p w14:paraId="6AFD52B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经批准的样品应由监理人负责封存于现场，承包人应在现场为保存样品提供适当和固定的场所并保持适当和良好的存储环境条件。</w:t>
      </w:r>
    </w:p>
    <w:p w14:paraId="340F9B80">
      <w:pPr>
        <w:spacing w:line="360" w:lineRule="auto"/>
        <w:rPr>
          <w:rFonts w:ascii="Times New Roman" w:hAnsi="Times New Roman"/>
          <w:color w:val="auto"/>
          <w:sz w:val="21"/>
          <w:szCs w:val="21"/>
          <w:highlight w:val="none"/>
        </w:rPr>
      </w:pPr>
      <w:bookmarkStart w:id="359" w:name="_Toc351203559"/>
      <w:r>
        <w:rPr>
          <w:rFonts w:ascii="Times New Roman" w:hAnsi="Times New Roman"/>
          <w:color w:val="auto"/>
          <w:sz w:val="21"/>
          <w:szCs w:val="21"/>
          <w:highlight w:val="none"/>
        </w:rPr>
        <w:t>8.7材料与工程设备的替代</w:t>
      </w:r>
      <w:bookmarkEnd w:id="359"/>
    </w:p>
    <w:p w14:paraId="481D278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8.7.1 出现下列情况需要使用替代材料和工程设备的，承包人应按照第8.7.2项约定的程序执行：</w:t>
      </w:r>
    </w:p>
    <w:p w14:paraId="7D3CB94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（1）基准日期后生效的法律规定禁止使用的；</w:t>
      </w:r>
    </w:p>
    <w:p w14:paraId="6F40CC0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（2）发包人要求使用替代品的；</w:t>
      </w:r>
    </w:p>
    <w:p w14:paraId="54D0B14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（3）因其他原因必须使用替代品的。</w:t>
      </w:r>
    </w:p>
    <w:p w14:paraId="20DEEB8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8.7.2 承包人应在使用替代材料和工程设备28天前书面通知监理人，并附下列文件：</w:t>
      </w:r>
    </w:p>
    <w:p w14:paraId="33ADDFD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（1）被替代的材料和工程设备的名称、数量、规格、型号、品牌、性能、价格及其他相关资料；</w:t>
      </w:r>
    </w:p>
    <w:p w14:paraId="16FEBE6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（2）替代品的名称、数量、规格、型号、品牌、性能、价格及其他相关资料；</w:t>
      </w:r>
    </w:p>
    <w:p w14:paraId="75E86CB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（3）替代品与被替代产品之间的差异以及使用替代品可能对工程产生的影响；</w:t>
      </w:r>
    </w:p>
    <w:p w14:paraId="1BADE8A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（4）替代品与被替代产品的价格差异；</w:t>
      </w:r>
    </w:p>
    <w:p w14:paraId="070F4ED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（5）使用替代品的理由和原因说明；</w:t>
      </w:r>
    </w:p>
    <w:p w14:paraId="7F6FC20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（6）监理人要求的其他文件。</w:t>
      </w:r>
    </w:p>
    <w:p w14:paraId="1845371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监理人应在收到通知后14天内向承包人发出经发包人签认的书面指示；监理人逾期发出书面指示的，视为发包人和监理人同意使用替代品。</w:t>
      </w:r>
    </w:p>
    <w:p w14:paraId="280C656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9917515">
      <w:pPr>
        <w:spacing w:line="360" w:lineRule="auto"/>
        <w:rPr>
          <w:rFonts w:ascii="Times New Roman" w:hAnsi="Times New Roman"/>
          <w:color w:val="auto"/>
          <w:sz w:val="21"/>
          <w:szCs w:val="21"/>
          <w:highlight w:val="none"/>
        </w:rPr>
      </w:pPr>
      <w:bookmarkStart w:id="360" w:name="_Toc351203560"/>
      <w:r>
        <w:rPr>
          <w:rFonts w:ascii="Times New Roman" w:hAnsi="Times New Roman"/>
          <w:color w:val="auto"/>
          <w:sz w:val="21"/>
          <w:szCs w:val="21"/>
          <w:highlight w:val="none"/>
        </w:rPr>
        <w:t>8.8施工设备和临时设施</w:t>
      </w:r>
      <w:bookmarkEnd w:id="360"/>
    </w:p>
    <w:p w14:paraId="458CB0F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8.8.1 承包人提供的施工设备和临时设施</w:t>
      </w:r>
    </w:p>
    <w:p w14:paraId="54F6807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C0BB32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除专用合同条款另有约定外，承包人应自行承担修建临时设施的费用，需要临时占地的，应由发包人办理申请手续并承担相应费用。</w:t>
      </w:r>
    </w:p>
    <w:p w14:paraId="402E87E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8.8.2发包人提供的施工设备和临时设施</w:t>
      </w:r>
    </w:p>
    <w:p w14:paraId="3E3B4D3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发包人提供的施工设备或临时设施在专用合同条款中约定。</w:t>
      </w:r>
    </w:p>
    <w:p w14:paraId="5E384A3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8.8.3要求承包人增加或更换施工设备</w:t>
      </w:r>
    </w:p>
    <w:p w14:paraId="4CD1430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2AE91078">
      <w:pPr>
        <w:spacing w:line="360" w:lineRule="auto"/>
        <w:rPr>
          <w:rFonts w:ascii="Times New Roman" w:hAnsi="Times New Roman"/>
          <w:color w:val="auto"/>
          <w:sz w:val="21"/>
          <w:szCs w:val="21"/>
          <w:highlight w:val="none"/>
        </w:rPr>
      </w:pPr>
      <w:bookmarkStart w:id="361" w:name="_Toc351203561"/>
      <w:r>
        <w:rPr>
          <w:rFonts w:ascii="Times New Roman" w:hAnsi="Times New Roman"/>
          <w:color w:val="auto"/>
          <w:sz w:val="21"/>
          <w:szCs w:val="21"/>
          <w:highlight w:val="none"/>
        </w:rPr>
        <w:t>8</w:t>
      </w:r>
      <w:bookmarkStart w:id="362" w:name="_Toc296346564"/>
      <w:bookmarkStart w:id="363" w:name="_Toc296503063"/>
      <w:bookmarkStart w:id="364" w:name="_Toc337558781"/>
      <w:r>
        <w:rPr>
          <w:rFonts w:ascii="Times New Roman" w:hAnsi="Times New Roman"/>
          <w:color w:val="auto"/>
          <w:sz w:val="21"/>
          <w:szCs w:val="21"/>
          <w:highlight w:val="none"/>
        </w:rPr>
        <w:t>.9材料与设备专用</w:t>
      </w:r>
      <w:bookmarkEnd w:id="361"/>
      <w:r>
        <w:rPr>
          <w:rFonts w:ascii="Times New Roman" w:hAnsi="Times New Roman"/>
          <w:color w:val="auto"/>
          <w:sz w:val="21"/>
          <w:szCs w:val="21"/>
          <w:highlight w:val="none"/>
        </w:rPr>
        <w:t>要求</w:t>
      </w:r>
    </w:p>
    <w:bookmarkEnd w:id="362"/>
    <w:bookmarkEnd w:id="363"/>
    <w:bookmarkEnd w:id="364"/>
    <w:p w14:paraId="2F82BB6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43"/>
      <w:r>
        <w:rPr>
          <w:rFonts w:ascii="Times New Roman" w:hAnsi="Times New Roman"/>
          <w:color w:val="auto"/>
          <w:sz w:val="21"/>
          <w:szCs w:val="21"/>
          <w:highlight w:val="none"/>
        </w:rPr>
        <w:t>经发包人批准，承包人可以根据施工进度计划撤走闲置的施工设备和其他物品。</w:t>
      </w:r>
    </w:p>
    <w:p w14:paraId="6074AA4A">
      <w:pPr>
        <w:spacing w:line="360" w:lineRule="auto"/>
        <w:rPr>
          <w:rFonts w:ascii="Times New Roman" w:hAnsi="Times New Roman"/>
          <w:color w:val="auto"/>
          <w:sz w:val="21"/>
          <w:szCs w:val="21"/>
          <w:highlight w:val="none"/>
        </w:rPr>
      </w:pPr>
      <w:bookmarkStart w:id="365" w:name="_Toc351203562"/>
      <w:r>
        <w:rPr>
          <w:rFonts w:ascii="Times New Roman" w:hAnsi="Times New Roman"/>
          <w:color w:val="auto"/>
          <w:sz w:val="21"/>
          <w:szCs w:val="21"/>
          <w:highlight w:val="none"/>
        </w:rPr>
        <w:t>9</w:t>
      </w:r>
      <w:bookmarkStart w:id="366" w:name="_Toc337558782"/>
      <w:bookmarkStart w:id="367" w:name="_Toc296346584"/>
      <w:bookmarkStart w:id="368" w:name="_Toc296503083"/>
      <w:r>
        <w:rPr>
          <w:rFonts w:ascii="Times New Roman" w:hAnsi="Times New Roman"/>
          <w:color w:val="auto"/>
          <w:sz w:val="21"/>
          <w:szCs w:val="21"/>
          <w:highlight w:val="none"/>
        </w:rPr>
        <w:t>. 试验与检验</w:t>
      </w:r>
      <w:bookmarkEnd w:id="365"/>
    </w:p>
    <w:bookmarkEnd w:id="366"/>
    <w:p w14:paraId="2AB942BA">
      <w:pPr>
        <w:spacing w:line="360" w:lineRule="auto"/>
        <w:rPr>
          <w:rFonts w:ascii="Times New Roman" w:hAnsi="Times New Roman"/>
          <w:color w:val="auto"/>
          <w:sz w:val="21"/>
          <w:szCs w:val="21"/>
          <w:highlight w:val="none"/>
        </w:rPr>
      </w:pPr>
      <w:bookmarkStart w:id="369" w:name="_Toc351203563"/>
      <w:r>
        <w:rPr>
          <w:rFonts w:ascii="Times New Roman" w:hAnsi="Times New Roman"/>
          <w:color w:val="auto"/>
          <w:sz w:val="21"/>
          <w:szCs w:val="21"/>
          <w:highlight w:val="none"/>
        </w:rPr>
        <w:t>9</w:t>
      </w:r>
      <w:bookmarkStart w:id="370" w:name="_Toc337558783"/>
      <w:r>
        <w:rPr>
          <w:rFonts w:ascii="Times New Roman" w:hAnsi="Times New Roman"/>
          <w:color w:val="auto"/>
          <w:sz w:val="21"/>
          <w:szCs w:val="21"/>
          <w:highlight w:val="none"/>
        </w:rPr>
        <w:t>.1试验设备与试验人员</w:t>
      </w:r>
      <w:bookmarkEnd w:id="369"/>
    </w:p>
    <w:bookmarkEnd w:id="370"/>
    <w:p w14:paraId="57C6F41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B6462D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9.1.2 承包人应按专用合同条款的约定提供试验设备、取样装置、试验场所和试验条件，并向监理人提交相应进场计划表。</w:t>
      </w:r>
    </w:p>
    <w:p w14:paraId="338BD2C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承包人配置的试验设备要符合相应试验规程的要求并经过具有资质的检测单位检测，且在正式使用该试验设备前，需要经过监理人与承包人共同校定。</w:t>
      </w:r>
    </w:p>
    <w:p w14:paraId="3D1E03F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9.1.3 承包人应向监理人提交试验人员的名单及其岗位、资格等证明资料，试验人员必须能够熟练进行相应的检测试验，承包人对试验人员的试验程序和试验结果的正确性负责。</w:t>
      </w:r>
    </w:p>
    <w:p w14:paraId="66069D91">
      <w:pPr>
        <w:spacing w:line="360" w:lineRule="auto"/>
        <w:rPr>
          <w:rFonts w:ascii="Times New Roman" w:hAnsi="Times New Roman"/>
          <w:color w:val="auto"/>
          <w:sz w:val="21"/>
          <w:szCs w:val="21"/>
          <w:highlight w:val="none"/>
        </w:rPr>
      </w:pPr>
      <w:bookmarkStart w:id="371" w:name="_Toc351203564"/>
      <w:r>
        <w:rPr>
          <w:rFonts w:ascii="Times New Roman" w:hAnsi="Times New Roman"/>
          <w:color w:val="auto"/>
          <w:sz w:val="21"/>
          <w:szCs w:val="21"/>
          <w:highlight w:val="none"/>
        </w:rPr>
        <w:t>9</w:t>
      </w:r>
      <w:bookmarkStart w:id="372" w:name="_Toc337558784"/>
      <w:r>
        <w:rPr>
          <w:rFonts w:ascii="Times New Roman" w:hAnsi="Times New Roman"/>
          <w:color w:val="auto"/>
          <w:sz w:val="21"/>
          <w:szCs w:val="21"/>
          <w:highlight w:val="none"/>
        </w:rPr>
        <w:t>.2取样</w:t>
      </w:r>
      <w:bookmarkEnd w:id="371"/>
    </w:p>
    <w:bookmarkEnd w:id="372"/>
    <w:p w14:paraId="0F1D4EF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试验属于自检性质的，承包人可以单独取样。试验属于监理人抽检性质的，可由监理人取样，也可由承包人的试验人员在监理人的监督下取样。</w:t>
      </w:r>
    </w:p>
    <w:p w14:paraId="2F3D8819">
      <w:pPr>
        <w:spacing w:line="360" w:lineRule="auto"/>
        <w:rPr>
          <w:rFonts w:ascii="Times New Roman" w:hAnsi="Times New Roman"/>
          <w:color w:val="auto"/>
          <w:sz w:val="21"/>
          <w:szCs w:val="21"/>
          <w:highlight w:val="none"/>
        </w:rPr>
      </w:pPr>
      <w:bookmarkStart w:id="373" w:name="_Toc351203565"/>
      <w:r>
        <w:rPr>
          <w:rFonts w:ascii="Times New Roman" w:hAnsi="Times New Roman"/>
          <w:color w:val="auto"/>
          <w:sz w:val="21"/>
          <w:szCs w:val="21"/>
          <w:highlight w:val="none"/>
        </w:rPr>
        <w:t>9</w:t>
      </w:r>
      <w:bookmarkStart w:id="374" w:name="_Toc337558785"/>
      <w:r>
        <w:rPr>
          <w:rFonts w:ascii="Times New Roman" w:hAnsi="Times New Roman"/>
          <w:color w:val="auto"/>
          <w:sz w:val="21"/>
          <w:szCs w:val="21"/>
          <w:highlight w:val="none"/>
        </w:rPr>
        <w:t>.3材料、工程设备和工程的试验和检验</w:t>
      </w:r>
      <w:bookmarkEnd w:id="373"/>
    </w:p>
    <w:bookmarkEnd w:id="374"/>
    <w:p w14:paraId="30338F6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2CEDF9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4A4E0F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AF36DF0">
      <w:pPr>
        <w:spacing w:line="360" w:lineRule="auto"/>
        <w:rPr>
          <w:rFonts w:ascii="Times New Roman" w:hAnsi="Times New Roman"/>
          <w:color w:val="auto"/>
          <w:sz w:val="21"/>
          <w:szCs w:val="21"/>
          <w:highlight w:val="none"/>
        </w:rPr>
      </w:pPr>
      <w:bookmarkStart w:id="375" w:name="_Toc351203566"/>
      <w:r>
        <w:rPr>
          <w:rFonts w:ascii="Times New Roman" w:hAnsi="Times New Roman"/>
          <w:color w:val="auto"/>
          <w:sz w:val="21"/>
          <w:szCs w:val="21"/>
          <w:highlight w:val="none"/>
        </w:rPr>
        <w:t>9</w:t>
      </w:r>
      <w:bookmarkStart w:id="376" w:name="_Toc337558786"/>
      <w:r>
        <w:rPr>
          <w:rFonts w:ascii="Times New Roman" w:hAnsi="Times New Roman"/>
          <w:color w:val="auto"/>
          <w:sz w:val="21"/>
          <w:szCs w:val="21"/>
          <w:highlight w:val="none"/>
        </w:rPr>
        <w:t>.4现场工艺试验</w:t>
      </w:r>
      <w:bookmarkEnd w:id="375"/>
    </w:p>
    <w:bookmarkEnd w:id="376"/>
    <w:p w14:paraId="1519AC2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21845A60">
      <w:pPr>
        <w:spacing w:line="360" w:lineRule="auto"/>
        <w:rPr>
          <w:rFonts w:ascii="Times New Roman" w:hAnsi="Times New Roman"/>
          <w:color w:val="auto"/>
          <w:sz w:val="21"/>
          <w:szCs w:val="21"/>
          <w:highlight w:val="none"/>
        </w:rPr>
      </w:pPr>
      <w:bookmarkStart w:id="377" w:name="_Toc351203567"/>
      <w:r>
        <w:rPr>
          <w:rFonts w:ascii="Times New Roman" w:hAnsi="Times New Roman"/>
          <w:color w:val="auto"/>
          <w:sz w:val="21"/>
          <w:szCs w:val="21"/>
          <w:highlight w:val="none"/>
        </w:rPr>
        <w:t>1</w:t>
      </w:r>
      <w:bookmarkStart w:id="378" w:name="_Toc337558787"/>
      <w:r>
        <w:rPr>
          <w:rFonts w:ascii="Times New Roman" w:hAnsi="Times New Roman"/>
          <w:color w:val="auto"/>
          <w:sz w:val="21"/>
          <w:szCs w:val="21"/>
          <w:highlight w:val="none"/>
        </w:rPr>
        <w:t>0. 变更</w:t>
      </w:r>
      <w:bookmarkEnd w:id="367"/>
      <w:bookmarkEnd w:id="368"/>
      <w:bookmarkEnd w:id="377"/>
    </w:p>
    <w:bookmarkEnd w:id="378"/>
    <w:p w14:paraId="2F87951B">
      <w:pPr>
        <w:spacing w:line="360" w:lineRule="auto"/>
        <w:rPr>
          <w:rFonts w:ascii="Times New Roman" w:hAnsi="Times New Roman"/>
          <w:color w:val="auto"/>
          <w:sz w:val="21"/>
          <w:szCs w:val="21"/>
          <w:highlight w:val="none"/>
        </w:rPr>
      </w:pPr>
      <w:bookmarkStart w:id="379" w:name="_Toc351203568"/>
      <w:r>
        <w:rPr>
          <w:rFonts w:ascii="Times New Roman" w:hAnsi="Times New Roman"/>
          <w:color w:val="auto"/>
          <w:sz w:val="21"/>
          <w:szCs w:val="21"/>
          <w:highlight w:val="none"/>
        </w:rPr>
        <w:t>1</w:t>
      </w:r>
      <w:bookmarkStart w:id="380" w:name="_Toc296503084"/>
      <w:bookmarkStart w:id="381" w:name="_Toc337558788"/>
      <w:bookmarkStart w:id="382" w:name="_Toc296346585"/>
      <w:r>
        <w:rPr>
          <w:rFonts w:ascii="Times New Roman" w:hAnsi="Times New Roman"/>
          <w:color w:val="auto"/>
          <w:sz w:val="21"/>
          <w:szCs w:val="21"/>
          <w:highlight w:val="none"/>
        </w:rPr>
        <w:t>0.1变更的范围</w:t>
      </w:r>
      <w:bookmarkEnd w:id="379"/>
    </w:p>
    <w:bookmarkEnd w:id="380"/>
    <w:bookmarkEnd w:id="381"/>
    <w:bookmarkEnd w:id="382"/>
    <w:p w14:paraId="4A2C0D6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除专用合同条款另有约定外，合同履行过程中发生以下情形的，应按照本条约定进行变更：</w:t>
      </w:r>
    </w:p>
    <w:p w14:paraId="4CB47BA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（1）增加或减少合同中任何工作，或追加额外的工作；</w:t>
      </w:r>
    </w:p>
    <w:p w14:paraId="6D742AE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（2）取消合同中任何工作，但转由他人实施的工作除外；</w:t>
      </w:r>
    </w:p>
    <w:p w14:paraId="72FB638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（3）改变合同中任何工作的质量标准或其他特性；</w:t>
      </w:r>
    </w:p>
    <w:p w14:paraId="4846106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（4）改变工程的基线、标高、位置和尺寸；</w:t>
      </w:r>
    </w:p>
    <w:p w14:paraId="71970D8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（5）改变工程的时间安排或实施顺序。</w:t>
      </w:r>
    </w:p>
    <w:p w14:paraId="3639EC30">
      <w:pPr>
        <w:spacing w:line="360" w:lineRule="auto"/>
        <w:rPr>
          <w:rFonts w:ascii="Times New Roman" w:hAnsi="Times New Roman"/>
          <w:color w:val="auto"/>
          <w:sz w:val="21"/>
          <w:szCs w:val="21"/>
          <w:highlight w:val="none"/>
        </w:rPr>
      </w:pPr>
      <w:bookmarkStart w:id="383" w:name="_Toc351203569"/>
      <w:r>
        <w:rPr>
          <w:rFonts w:ascii="Times New Roman" w:hAnsi="Times New Roman"/>
          <w:color w:val="auto"/>
          <w:sz w:val="21"/>
          <w:szCs w:val="21"/>
          <w:highlight w:val="none"/>
        </w:rPr>
        <w:t>1</w:t>
      </w:r>
      <w:bookmarkStart w:id="384" w:name="_Toc337558789"/>
      <w:bookmarkStart w:id="385" w:name="_Toc296503085"/>
      <w:bookmarkStart w:id="386" w:name="_Toc296346586"/>
      <w:r>
        <w:rPr>
          <w:rFonts w:ascii="Times New Roman" w:hAnsi="Times New Roman"/>
          <w:color w:val="auto"/>
          <w:sz w:val="21"/>
          <w:szCs w:val="21"/>
          <w:highlight w:val="none"/>
        </w:rPr>
        <w:t>0.2变更权</w:t>
      </w:r>
      <w:bookmarkEnd w:id="383"/>
    </w:p>
    <w:bookmarkEnd w:id="384"/>
    <w:bookmarkEnd w:id="385"/>
    <w:bookmarkEnd w:id="386"/>
    <w:p w14:paraId="2BD0BBA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4F4BB1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涉及设计变更的，应由设计人提供变更后的图纸和说明。如变更超过原设计标准或批准的建设规模时，发包人应及时办理规划、设计变更等审批手续。</w:t>
      </w:r>
    </w:p>
    <w:p w14:paraId="711B82F8">
      <w:pPr>
        <w:spacing w:line="360" w:lineRule="auto"/>
        <w:rPr>
          <w:rFonts w:ascii="Times New Roman" w:hAnsi="Times New Roman"/>
          <w:color w:val="auto"/>
          <w:sz w:val="21"/>
          <w:szCs w:val="21"/>
          <w:highlight w:val="none"/>
        </w:rPr>
      </w:pPr>
      <w:bookmarkStart w:id="387" w:name="_Toc351203570"/>
      <w:r>
        <w:rPr>
          <w:rFonts w:ascii="Times New Roman" w:hAnsi="Times New Roman"/>
          <w:color w:val="auto"/>
          <w:sz w:val="21"/>
          <w:szCs w:val="21"/>
          <w:highlight w:val="none"/>
        </w:rPr>
        <w:t>1</w:t>
      </w:r>
      <w:bookmarkStart w:id="388" w:name="_Toc296503086"/>
      <w:bookmarkStart w:id="389" w:name="_Toc337558790"/>
      <w:bookmarkStart w:id="390" w:name="_Toc296346587"/>
      <w:r>
        <w:rPr>
          <w:rFonts w:ascii="Times New Roman" w:hAnsi="Times New Roman"/>
          <w:color w:val="auto"/>
          <w:sz w:val="21"/>
          <w:szCs w:val="21"/>
          <w:highlight w:val="none"/>
        </w:rPr>
        <w:t>0.3变更程序</w:t>
      </w:r>
      <w:bookmarkEnd w:id="387"/>
    </w:p>
    <w:bookmarkEnd w:id="388"/>
    <w:bookmarkEnd w:id="389"/>
    <w:bookmarkEnd w:id="390"/>
    <w:p w14:paraId="0CEBEC7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10.3.1 发包人提出变更</w:t>
      </w:r>
    </w:p>
    <w:p w14:paraId="5EBD7CD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发包人提出变更的，应通过监理人向承包人发出变更指示，变更指示应说明计划变更的工程范围和变更的内容。</w:t>
      </w:r>
    </w:p>
    <w:p w14:paraId="4647CB8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10.3.2 监理人提出变更建议</w:t>
      </w:r>
    </w:p>
    <w:p w14:paraId="29921CB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739DF2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10.3.3 变更执行</w:t>
      </w:r>
    </w:p>
    <w:p w14:paraId="7048BBE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4623966">
      <w:pPr>
        <w:spacing w:line="360" w:lineRule="auto"/>
        <w:rPr>
          <w:rFonts w:ascii="Times New Roman" w:hAnsi="Times New Roman"/>
          <w:color w:val="auto"/>
          <w:sz w:val="21"/>
          <w:szCs w:val="21"/>
          <w:highlight w:val="none"/>
        </w:rPr>
      </w:pPr>
      <w:bookmarkStart w:id="391" w:name="_Toc351203571"/>
      <w:r>
        <w:rPr>
          <w:rFonts w:ascii="Times New Roman" w:hAnsi="Times New Roman"/>
          <w:color w:val="auto"/>
          <w:sz w:val="21"/>
          <w:szCs w:val="21"/>
          <w:highlight w:val="none"/>
        </w:rPr>
        <w:t>1</w:t>
      </w:r>
      <w:bookmarkStart w:id="392" w:name="_Toc337558791"/>
      <w:bookmarkStart w:id="393" w:name="_Toc296346588"/>
      <w:bookmarkStart w:id="394" w:name="_Toc296503087"/>
      <w:r>
        <w:rPr>
          <w:rFonts w:ascii="Times New Roman" w:hAnsi="Times New Roman"/>
          <w:color w:val="auto"/>
          <w:sz w:val="21"/>
          <w:szCs w:val="21"/>
          <w:highlight w:val="none"/>
        </w:rPr>
        <w:t>0.4变更估价</w:t>
      </w:r>
      <w:bookmarkEnd w:id="391"/>
    </w:p>
    <w:bookmarkEnd w:id="392"/>
    <w:bookmarkEnd w:id="393"/>
    <w:bookmarkEnd w:id="394"/>
    <w:p w14:paraId="0ED624A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10.4.1 变更估价原则</w:t>
      </w:r>
    </w:p>
    <w:p w14:paraId="7C5BDB0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除专用合同条款另有约定外，变更估价按照本款约定处理：</w:t>
      </w:r>
    </w:p>
    <w:p w14:paraId="7F9C5F0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（1）已标价工程量清单或预算书有相同项目的，按照相同项目单价认定；</w:t>
      </w:r>
    </w:p>
    <w:p w14:paraId="21F7B6C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（2）已标价工程量清单或预算书中无相同项目，但有类似项目的，参照类似项目的单价认定；</w:t>
      </w:r>
    </w:p>
    <w:p w14:paraId="4602564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7A9A4F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10.4.2 变更估价程序</w:t>
      </w:r>
    </w:p>
    <w:p w14:paraId="692D550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C602D2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因变更引起的价格调整应计入最近一期的进度款中支付。</w:t>
      </w:r>
    </w:p>
    <w:p w14:paraId="0D97FAA8">
      <w:pPr>
        <w:spacing w:line="360" w:lineRule="auto"/>
        <w:rPr>
          <w:rFonts w:ascii="Times New Roman" w:hAnsi="Times New Roman"/>
          <w:color w:val="auto"/>
          <w:sz w:val="21"/>
          <w:szCs w:val="21"/>
          <w:highlight w:val="none"/>
        </w:rPr>
      </w:pPr>
      <w:bookmarkStart w:id="395" w:name="_Toc351203572"/>
      <w:r>
        <w:rPr>
          <w:rFonts w:ascii="Times New Roman" w:hAnsi="Times New Roman"/>
          <w:color w:val="auto"/>
          <w:sz w:val="21"/>
          <w:szCs w:val="21"/>
          <w:highlight w:val="none"/>
        </w:rPr>
        <w:t>1</w:t>
      </w:r>
      <w:bookmarkStart w:id="396" w:name="_Toc296346595"/>
      <w:bookmarkStart w:id="397" w:name="_Toc337558792"/>
      <w:bookmarkStart w:id="398" w:name="_Toc296503094"/>
      <w:r>
        <w:rPr>
          <w:rFonts w:ascii="Times New Roman" w:hAnsi="Times New Roman"/>
          <w:color w:val="auto"/>
          <w:sz w:val="21"/>
          <w:szCs w:val="21"/>
          <w:highlight w:val="none"/>
        </w:rPr>
        <w:t>0.5承包人的合理化建议</w:t>
      </w:r>
      <w:bookmarkEnd w:id="395"/>
    </w:p>
    <w:bookmarkEnd w:id="396"/>
    <w:bookmarkEnd w:id="397"/>
    <w:bookmarkEnd w:id="398"/>
    <w:p w14:paraId="5EA449A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承包人提出合理化建议的，应向监理人提交合理化建议说明，说明建议的内容和理由，以及实施该建议对合同价格和工期的影响。</w:t>
      </w:r>
    </w:p>
    <w:p w14:paraId="664707B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2A5922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合理化建议降低了合同价格或者提高了工程经济效益的，发包人可对承包人给予奖励，奖励的方法和金额在专用合同条款中约定。</w:t>
      </w:r>
    </w:p>
    <w:p w14:paraId="77937845">
      <w:pPr>
        <w:spacing w:line="360" w:lineRule="auto"/>
        <w:rPr>
          <w:rFonts w:ascii="Times New Roman" w:hAnsi="Times New Roman"/>
          <w:color w:val="auto"/>
          <w:sz w:val="21"/>
          <w:szCs w:val="21"/>
          <w:highlight w:val="none"/>
        </w:rPr>
      </w:pPr>
      <w:bookmarkStart w:id="399" w:name="_Toc351203573"/>
      <w:r>
        <w:rPr>
          <w:rFonts w:ascii="Times New Roman" w:hAnsi="Times New Roman"/>
          <w:color w:val="auto"/>
          <w:sz w:val="21"/>
          <w:szCs w:val="21"/>
          <w:highlight w:val="none"/>
        </w:rPr>
        <w:t>1</w:t>
      </w:r>
      <w:bookmarkStart w:id="400" w:name="_Toc337558793"/>
      <w:r>
        <w:rPr>
          <w:rFonts w:ascii="Times New Roman" w:hAnsi="Times New Roman"/>
          <w:color w:val="auto"/>
          <w:sz w:val="21"/>
          <w:szCs w:val="21"/>
          <w:highlight w:val="none"/>
        </w:rPr>
        <w:t>0.6变更引起的工期调整</w:t>
      </w:r>
      <w:bookmarkEnd w:id="399"/>
      <w:r>
        <w:rPr>
          <w:rFonts w:ascii="Times New Roman" w:hAnsi="Times New Roman"/>
          <w:color w:val="auto"/>
          <w:sz w:val="21"/>
          <w:szCs w:val="21"/>
          <w:highlight w:val="none"/>
        </w:rPr>
        <w:t xml:space="preserve"> </w:t>
      </w:r>
      <w:bookmarkEnd w:id="400"/>
      <w:r>
        <w:rPr>
          <w:rFonts w:ascii="Times New Roman" w:hAnsi="Times New Roman"/>
          <w:color w:val="auto"/>
          <w:sz w:val="21"/>
          <w:szCs w:val="21"/>
          <w:highlight w:val="none"/>
        </w:rPr>
        <w:t xml:space="preserve">  </w:t>
      </w:r>
    </w:p>
    <w:p w14:paraId="248344A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因变更引起工期变化的，合同当事人均可要求调整合同工期，由合同当事人按照第4.4款〔商定或确定〕并参考工程所在地的工期定额标准确定增减工期天数。</w:t>
      </w:r>
    </w:p>
    <w:p w14:paraId="163B05E5">
      <w:pPr>
        <w:spacing w:line="360" w:lineRule="auto"/>
        <w:rPr>
          <w:rFonts w:ascii="Times New Roman" w:hAnsi="Times New Roman"/>
          <w:color w:val="auto"/>
          <w:sz w:val="21"/>
          <w:szCs w:val="21"/>
          <w:highlight w:val="none"/>
        </w:rPr>
      </w:pPr>
      <w:bookmarkStart w:id="401" w:name="_Toc351203574"/>
      <w:r>
        <w:rPr>
          <w:rFonts w:ascii="Times New Roman" w:hAnsi="Times New Roman"/>
          <w:color w:val="auto"/>
          <w:sz w:val="21"/>
          <w:szCs w:val="21"/>
          <w:highlight w:val="none"/>
        </w:rPr>
        <w:t>10.7暂估价</w:t>
      </w:r>
      <w:bookmarkEnd w:id="401"/>
    </w:p>
    <w:p w14:paraId="3CCF426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暂估价专业分包工程、服务、材料和工程设备的明细由合同当事人在专用合同条款中约定。</w:t>
      </w:r>
    </w:p>
    <w:p w14:paraId="71BECB0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10.7.1 依法必须招标的暂估价项目</w:t>
      </w:r>
    </w:p>
    <w:p w14:paraId="52D82B1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对于依法必须招标的暂估价项目，采取以下第1种方式确定。合同当事人也可以在专用合同条款中选择其他招标方式。</w:t>
      </w:r>
    </w:p>
    <w:p w14:paraId="6E93F83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第1种方式：对于依法必须招标的暂估价项目，由承包人招标，对该暂估价项目的确认和批准按照以下约定执行：</w:t>
      </w:r>
    </w:p>
    <w:p w14:paraId="7BEC6BA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0A529D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0C6560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C71E12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D39E8A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10.7.2不属于依法必须招标的暂估价项目</w:t>
      </w:r>
    </w:p>
    <w:p w14:paraId="5E5C341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除专用合同条款另有约定外，对于不属于依法必须招标的暂估价项目，采取以下第1种方式确定： </w:t>
      </w:r>
    </w:p>
    <w:p w14:paraId="3EBB9AF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第1种方式：对于不属于依法必须招标的暂估价项目，按本项约定确认和批准：</w:t>
      </w:r>
    </w:p>
    <w:p w14:paraId="1AF26BF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9A33B4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（2）发包人认为承包人确定的供应商、分包人无法满足工程质量或合同要求的，发包人可以要求承包人重新确定暂估价项目的供应商、分包人</w:t>
      </w:r>
      <w:r>
        <w:rPr>
          <w:rFonts w:hint="eastAsia" w:ascii="Times New Roman" w:hAnsi="Times New Roman"/>
          <w:color w:val="auto"/>
          <w:sz w:val="21"/>
          <w:szCs w:val="21"/>
          <w:highlight w:val="none"/>
        </w:rPr>
        <w:t>；</w:t>
      </w:r>
    </w:p>
    <w:p w14:paraId="40480E5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（3）承包人应当在签订暂估价合同后7天内，将暂估价合同副本报送发包人留存。</w:t>
      </w:r>
    </w:p>
    <w:p w14:paraId="29059EB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第2种方式：承包人按照第10.7.1项〔依法必须招标的暂估价项目〕约定的第1种方式确定暂估价项目。</w:t>
      </w:r>
    </w:p>
    <w:p w14:paraId="298788C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第3种方式：承包人直接实施的暂估价项目</w:t>
      </w:r>
    </w:p>
    <w:p w14:paraId="70807D5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承包人具备实施暂估价项目的资格和条件的，经发包人和承包人协商一致后，可由承包人自行实施暂估价项目，合同当事人可以在专用合同条款约定具体事项。</w:t>
      </w:r>
    </w:p>
    <w:p w14:paraId="3723C9F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80EB48C">
      <w:pPr>
        <w:spacing w:line="360" w:lineRule="auto"/>
        <w:rPr>
          <w:rFonts w:ascii="Times New Roman" w:hAnsi="Times New Roman"/>
          <w:color w:val="auto"/>
          <w:sz w:val="21"/>
          <w:szCs w:val="21"/>
          <w:highlight w:val="none"/>
        </w:rPr>
      </w:pPr>
      <w:bookmarkStart w:id="402" w:name="_Toc351203575"/>
      <w:r>
        <w:rPr>
          <w:rFonts w:ascii="Times New Roman" w:hAnsi="Times New Roman"/>
          <w:color w:val="auto"/>
          <w:sz w:val="21"/>
          <w:szCs w:val="21"/>
          <w:highlight w:val="none"/>
        </w:rPr>
        <w:t>1</w:t>
      </w:r>
      <w:bookmarkStart w:id="403" w:name="_Toc337558794"/>
      <w:bookmarkStart w:id="404" w:name="_Toc322522561"/>
      <w:bookmarkStart w:id="405" w:name="_Toc296503090"/>
      <w:bookmarkStart w:id="406" w:name="_Toc296346591"/>
      <w:r>
        <w:rPr>
          <w:rFonts w:ascii="Times New Roman" w:hAnsi="Times New Roman"/>
          <w:color w:val="auto"/>
          <w:sz w:val="21"/>
          <w:szCs w:val="21"/>
          <w:highlight w:val="none"/>
        </w:rPr>
        <w:t>0.8暂列金额</w:t>
      </w:r>
      <w:bookmarkEnd w:id="402"/>
    </w:p>
    <w:bookmarkEnd w:id="403"/>
    <w:p w14:paraId="766F0DA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暂列金额应按照发包人的要求使用，发包人的要求应通过监理人发出。合同当事人可以在专用合同条款中协商确定有关事项。</w:t>
      </w:r>
    </w:p>
    <w:bookmarkEnd w:id="404"/>
    <w:bookmarkEnd w:id="405"/>
    <w:bookmarkEnd w:id="406"/>
    <w:p w14:paraId="301F64BF">
      <w:pPr>
        <w:spacing w:line="360" w:lineRule="auto"/>
        <w:rPr>
          <w:rFonts w:ascii="Times New Roman" w:hAnsi="Times New Roman"/>
          <w:color w:val="auto"/>
          <w:sz w:val="21"/>
          <w:szCs w:val="21"/>
          <w:highlight w:val="none"/>
        </w:rPr>
      </w:pPr>
      <w:bookmarkStart w:id="407" w:name="_Toc351203576"/>
      <w:r>
        <w:rPr>
          <w:rFonts w:ascii="Times New Roman" w:hAnsi="Times New Roman"/>
          <w:color w:val="auto"/>
          <w:sz w:val="21"/>
          <w:szCs w:val="21"/>
          <w:highlight w:val="none"/>
        </w:rPr>
        <w:t>1</w:t>
      </w:r>
      <w:bookmarkStart w:id="408" w:name="_Toc296346592"/>
      <w:bookmarkStart w:id="409" w:name="_Toc337558796"/>
      <w:bookmarkStart w:id="410" w:name="_Toc296503091"/>
      <w:r>
        <w:rPr>
          <w:rFonts w:ascii="Times New Roman" w:hAnsi="Times New Roman"/>
          <w:color w:val="auto"/>
          <w:sz w:val="21"/>
          <w:szCs w:val="21"/>
          <w:highlight w:val="none"/>
        </w:rPr>
        <w:t>0.9计日工</w:t>
      </w:r>
      <w:bookmarkEnd w:id="407"/>
      <w:r>
        <w:rPr>
          <w:rFonts w:ascii="Times New Roman" w:hAnsi="Times New Roman"/>
          <w:color w:val="auto"/>
          <w:sz w:val="21"/>
          <w:szCs w:val="21"/>
          <w:highlight w:val="none"/>
        </w:rPr>
        <w:t xml:space="preserve"> </w:t>
      </w:r>
      <w:bookmarkEnd w:id="408"/>
      <w:bookmarkEnd w:id="409"/>
      <w:bookmarkEnd w:id="410"/>
    </w:p>
    <w:p w14:paraId="637B189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57127A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采用计日工计价的任何一项工作，承包人应在该项工作实施过程中，每天提交以下报表和有关凭证报送监理人审查：</w:t>
      </w:r>
    </w:p>
    <w:p w14:paraId="6F1D5CE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（1）工作名称、内容和数量；</w:t>
      </w:r>
    </w:p>
    <w:p w14:paraId="359EA2C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（2）投入该工作的所有人员的姓名、专业、工种、级别和耗用工时；</w:t>
      </w:r>
    </w:p>
    <w:p w14:paraId="1A789BC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（3）投入该工作的材料类别和数量；</w:t>
      </w:r>
    </w:p>
    <w:p w14:paraId="06849C7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（4）投入该工作的施工设备型号、台数和耗用台时；</w:t>
      </w:r>
    </w:p>
    <w:p w14:paraId="7B3D1CA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（5）其他有关资料和凭证。</w:t>
      </w:r>
    </w:p>
    <w:p w14:paraId="64860C9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 计日工由承包人汇总后，列入最近一期进度付款申请单，由监理人审查并经发包人批准后列入进度付款。</w:t>
      </w:r>
    </w:p>
    <w:p w14:paraId="68F1A4A5">
      <w:pPr>
        <w:spacing w:line="360" w:lineRule="auto"/>
        <w:rPr>
          <w:rFonts w:ascii="Times New Roman" w:hAnsi="Times New Roman"/>
          <w:color w:val="auto"/>
          <w:sz w:val="21"/>
          <w:szCs w:val="21"/>
          <w:highlight w:val="none"/>
        </w:rPr>
      </w:pPr>
      <w:bookmarkStart w:id="411" w:name="_Toc351203577"/>
      <w:r>
        <w:rPr>
          <w:rFonts w:ascii="Times New Roman" w:hAnsi="Times New Roman"/>
          <w:color w:val="auto"/>
          <w:sz w:val="21"/>
          <w:szCs w:val="21"/>
          <w:highlight w:val="none"/>
        </w:rPr>
        <w:t>11. 价格调整</w:t>
      </w:r>
      <w:bookmarkEnd w:id="411"/>
    </w:p>
    <w:p w14:paraId="4FFDB587">
      <w:pPr>
        <w:spacing w:line="360" w:lineRule="auto"/>
        <w:rPr>
          <w:rFonts w:ascii="Times New Roman" w:hAnsi="Times New Roman"/>
          <w:color w:val="auto"/>
          <w:sz w:val="21"/>
          <w:szCs w:val="21"/>
          <w:highlight w:val="none"/>
        </w:rPr>
      </w:pPr>
      <w:bookmarkStart w:id="412" w:name="_Toc351203578"/>
      <w:bookmarkStart w:id="413" w:name="_Toc296503092"/>
      <w:bookmarkStart w:id="414" w:name="_Toc296346593"/>
      <w:bookmarkStart w:id="415" w:name="_Toc337558797"/>
      <w:r>
        <w:rPr>
          <w:rFonts w:ascii="Times New Roman" w:hAnsi="Times New Roman"/>
          <w:color w:val="auto"/>
          <w:sz w:val="21"/>
          <w:szCs w:val="21"/>
          <w:highlight w:val="none"/>
        </w:rPr>
        <w:t>11.1市场价格波动引起的调整</w:t>
      </w:r>
      <w:bookmarkEnd w:id="412"/>
    </w:p>
    <w:bookmarkEnd w:id="413"/>
    <w:bookmarkEnd w:id="414"/>
    <w:bookmarkEnd w:id="415"/>
    <w:p w14:paraId="7B81E0B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39C881F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第1种方式：采用价格指数进行价格调整。</w:t>
      </w:r>
    </w:p>
    <w:p w14:paraId="57B33BF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（1）价格调整公式</w:t>
      </w:r>
    </w:p>
    <w:p w14:paraId="34BE12C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因人工、材料和设备等价格波动影响合同价格时，根据专用合同条款中约定的数据，按以下公式计算差额并调整合同价格：</w:t>
      </w:r>
    </w:p>
    <w:p w14:paraId="2E0D841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object>
          <v:shape id="_x0000_i1025" o:spt="75" type="#_x0000_t75" style="height:43.9pt;width:359.85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p>
    <w:p w14:paraId="59CA1DC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公式中：ΔP——需调整的价格差额；</w:t>
      </w:r>
    </w:p>
    <w:p w14:paraId="4974F1C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object>
          <v:shape id="_x0000_i1026" o:spt="75" type="#_x0000_t75" style="height:17.95pt;width:17.95pt;" o:ole="t" filled="f" o:preferrelative="t" stroked="f" coordsize="21600,21600">
            <v:path/>
            <v:fill on="f" focussize="0,0"/>
            <v:stroke on="f"/>
            <v:imagedata r:id="rId12" o:title=""/>
            <o:lock v:ext="edit" aspectratio="t"/>
            <w10:wrap type="none"/>
            <w10:anchorlock/>
          </v:shape>
          <o:OLEObject Type="Embed" ProgID="Equation.KSEE3" ShapeID="_x0000_i1026" DrawAspect="Content" ObjectID="_1468075726" r:id="rId11">
            <o:LockedField>false</o:LockedField>
          </o:OLEObject>
        </w:object>
      </w:r>
      <w:r>
        <w:rPr>
          <w:rFonts w:ascii="Times New Roman" w:hAnsi="Times New Roman"/>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34A07B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A——定值权重（即不调部分的权重）；</w:t>
      </w:r>
    </w:p>
    <w:p w14:paraId="270C978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object>
          <v:shape id="_x0000_i1027" o:spt="75" type="#_x0000_t75" style="height:21.05pt;width:101pt;" o:ole="t" filled="f" o:preferrelative="t" stroked="f" coordsize="21600,21600">
            <v:path/>
            <v:fill on="f" focussize="0,0"/>
            <v:stroke on="f"/>
            <v:imagedata r:id="rId14" o:title=""/>
            <o:lock v:ext="edit" aspectratio="t"/>
            <w10:wrap type="none"/>
            <w10:anchorlock/>
          </v:shape>
          <o:OLEObject Type="Embed" ProgID="Equation.KSEE3" ShapeID="_x0000_i1027" DrawAspect="Content" ObjectID="_1468075727" r:id="rId13">
            <o:LockedField>false</o:LockedField>
          </o:OLEObject>
        </w:object>
      </w:r>
      <w:r>
        <w:rPr>
          <w:rFonts w:ascii="Times New Roman" w:hAnsi="Times New Roman"/>
          <w:color w:val="auto"/>
          <w:sz w:val="21"/>
          <w:szCs w:val="21"/>
          <w:highlight w:val="none"/>
        </w:rPr>
        <w:t>——各可调因子的变值权重（即可调部分的权重），为各可调因子在签约合同价中所占的比例；</w:t>
      </w:r>
    </w:p>
    <w:p w14:paraId="001AA91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object>
          <v:shape id="_x0000_i1028" o:spt="75" type="#_x0000_t75" style="height:20.6pt;width:102.05pt;" o:ole="t" filled="f" o:preferrelative="t" stroked="f" coordsize="21600,21600">
            <v:path/>
            <v:fill on="f" focussize="0,0"/>
            <v:stroke on="f"/>
            <v:imagedata r:id="rId16" o:title=""/>
            <o:lock v:ext="edit" aspectratio="t"/>
            <w10:wrap type="none"/>
            <w10:anchorlock/>
          </v:shape>
          <o:OLEObject Type="Embed" ProgID="Equation.KSEE3" ShapeID="_x0000_i1028" DrawAspect="Content" ObjectID="_1468075728" r:id="rId15">
            <o:LockedField>false</o:LockedField>
          </o:OLEObject>
        </w:object>
      </w:r>
      <w:r>
        <w:rPr>
          <w:rFonts w:ascii="Times New Roman" w:hAnsi="Times New Roman"/>
          <w:color w:val="auto"/>
          <w:sz w:val="21"/>
          <w:szCs w:val="21"/>
          <w:highlight w:val="none"/>
        </w:rPr>
        <w:t>——各可调因子的现行价格指数，指约定的付款证书相关周期最后一天的前42天的各可调因子的价格指数；</w:t>
      </w:r>
    </w:p>
    <w:p w14:paraId="1EDE13A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object>
          <v:shape id="_x0000_i1029" o:spt="75" type="#_x0000_t75" style="height:20.2pt;width:108pt;" o:ole="t" filled="f" o:preferrelative="t" stroked="f" coordsize="21600,21600">
            <v:path/>
            <v:fill on="f" focussize="0,0"/>
            <v:stroke on="f"/>
            <v:imagedata r:id="rId18" o:title=""/>
            <o:lock v:ext="edit" aspectratio="t"/>
            <w10:wrap type="none"/>
            <w10:anchorlock/>
          </v:shape>
          <o:OLEObject Type="Embed" ProgID="Equation.KSEE3" ShapeID="_x0000_i1029" DrawAspect="Content" ObjectID="_1468075729" r:id="rId17">
            <o:LockedField>false</o:LockedField>
          </o:OLEObject>
        </w:object>
      </w:r>
      <w:r>
        <w:rPr>
          <w:rFonts w:ascii="Times New Roman" w:hAnsi="Times New Roman"/>
          <w:color w:val="auto"/>
          <w:sz w:val="21"/>
          <w:szCs w:val="21"/>
          <w:highlight w:val="none"/>
        </w:rPr>
        <w:t>——各可调因子的基本价格指数，指基准日期的各可调因子的价格指数。</w:t>
      </w:r>
    </w:p>
    <w:p w14:paraId="0C16EEB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6BCA0F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（2）暂时确定调整差额</w:t>
      </w:r>
    </w:p>
    <w:p w14:paraId="3F46986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在计算调整差额时无现行价格指数的，合同当事人同意暂用前次价格指数计算。实际价格指数有调整的，合同当事人进行相应调整。</w:t>
      </w:r>
    </w:p>
    <w:p w14:paraId="677D20E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（3）权重的调整</w:t>
      </w:r>
    </w:p>
    <w:p w14:paraId="1BD7C7E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因变更导致合同约定的权重不合理时，按照第4.4款〔商定或确定〕执行。</w:t>
      </w:r>
    </w:p>
    <w:p w14:paraId="336DAE0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（4）因承包人原因工期延误后的价格调整</w:t>
      </w:r>
    </w:p>
    <w:p w14:paraId="229571A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8D02FA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第2种方式：采用造价信息进行价格调整。</w:t>
      </w:r>
    </w:p>
    <w:p w14:paraId="2DD6376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645555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B02449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（2）材料、工程设备价格变化的价款调整按照发包人提供的基准价格，按以下风险范围规定执行:</w:t>
      </w:r>
    </w:p>
    <w:p w14:paraId="012457B7">
      <w:pPr>
        <w:spacing w:line="360" w:lineRule="auto"/>
        <w:rPr>
          <w:rFonts w:ascii="Times New Roman" w:hAnsi="Times New Roman"/>
          <w:color w:val="auto"/>
          <w:sz w:val="21"/>
          <w:szCs w:val="21"/>
          <w:highlight w:val="none"/>
        </w:rPr>
      </w:pPr>
      <w:r>
        <w:rPr>
          <w:rFonts w:hint="eastAsia" w:cs="宋体"/>
          <w:color w:val="auto"/>
          <w:sz w:val="21"/>
          <w:szCs w:val="21"/>
          <w:highlight w:val="none"/>
        </w:rPr>
        <w:t>①</w:t>
      </w:r>
      <w:r>
        <w:rPr>
          <w:rFonts w:ascii="Times New Roman" w:hAnsi="Times New Roman"/>
          <w:color w:val="auto"/>
          <w:sz w:val="21"/>
          <w:szCs w:val="21"/>
          <w:highlight w:val="non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26568C5">
      <w:pPr>
        <w:spacing w:line="360" w:lineRule="auto"/>
        <w:rPr>
          <w:rFonts w:ascii="Times New Roman" w:hAnsi="Times New Roman"/>
          <w:color w:val="auto"/>
          <w:sz w:val="21"/>
          <w:szCs w:val="21"/>
          <w:highlight w:val="none"/>
        </w:rPr>
      </w:pPr>
      <w:r>
        <w:rPr>
          <w:rFonts w:hint="eastAsia" w:cs="宋体"/>
          <w:color w:val="auto"/>
          <w:sz w:val="21"/>
          <w:szCs w:val="21"/>
          <w:highlight w:val="none"/>
        </w:rPr>
        <w:t>②</w:t>
      </w:r>
      <w:r>
        <w:rPr>
          <w:rFonts w:ascii="Times New Roman" w:hAnsi="Times New Roman"/>
          <w:color w:val="auto"/>
          <w:sz w:val="21"/>
          <w:szCs w:val="21"/>
          <w:highlight w:val="non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A417EE4">
      <w:pPr>
        <w:spacing w:line="360" w:lineRule="auto"/>
        <w:rPr>
          <w:rFonts w:ascii="Times New Roman" w:hAnsi="Times New Roman"/>
          <w:color w:val="auto"/>
          <w:sz w:val="21"/>
          <w:szCs w:val="21"/>
          <w:highlight w:val="none"/>
        </w:rPr>
      </w:pPr>
      <w:r>
        <w:rPr>
          <w:rFonts w:hint="eastAsia" w:cs="宋体"/>
          <w:color w:val="auto"/>
          <w:sz w:val="21"/>
          <w:szCs w:val="21"/>
          <w:highlight w:val="none"/>
        </w:rPr>
        <w:t>③</w:t>
      </w:r>
      <w:r>
        <w:rPr>
          <w:rFonts w:ascii="Times New Roman" w:hAnsi="Times New Roman"/>
          <w:color w:val="auto"/>
          <w:sz w:val="21"/>
          <w:szCs w:val="21"/>
          <w:highlight w:val="none"/>
        </w:rPr>
        <w:t>承包人在已标价工程量清单或预算书中载明材料单价等于基准价格的：除专用合同条款另有约定外，合同履行期间材料单价涨跌幅以基准价格为基础超过±5%时，其超过部分据实调整。</w:t>
      </w:r>
    </w:p>
    <w:p w14:paraId="0DA16713">
      <w:pPr>
        <w:spacing w:line="360" w:lineRule="auto"/>
        <w:rPr>
          <w:rFonts w:ascii="Times New Roman" w:hAnsi="Times New Roman"/>
          <w:color w:val="auto"/>
          <w:sz w:val="21"/>
          <w:szCs w:val="21"/>
          <w:highlight w:val="none"/>
        </w:rPr>
      </w:pPr>
      <w:r>
        <w:rPr>
          <w:rFonts w:hint="eastAsia" w:cs="宋体"/>
          <w:color w:val="auto"/>
          <w:sz w:val="21"/>
          <w:szCs w:val="21"/>
          <w:highlight w:val="none"/>
        </w:rPr>
        <w:t>④</w:t>
      </w:r>
      <w:r>
        <w:rPr>
          <w:rFonts w:ascii="Times New Roman" w:hAnsi="Times New Roman"/>
          <w:color w:val="auto"/>
          <w:sz w:val="21"/>
          <w:szCs w:val="21"/>
          <w:highlight w:val="non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7170E42">
      <w:pPr>
        <w:spacing w:line="360" w:lineRule="auto"/>
        <w:rPr>
          <w:rFonts w:ascii="Times New Roman" w:hAnsi="Times New Roman"/>
          <w:color w:val="auto"/>
          <w:sz w:val="21"/>
          <w:szCs w:val="21"/>
          <w:highlight w:val="none"/>
        </w:rPr>
      </w:pPr>
      <w:bookmarkStart w:id="416" w:name="OLE_LINK3"/>
      <w:r>
        <w:rPr>
          <w:rFonts w:ascii="Times New Roman" w:hAnsi="Times New Roman"/>
          <w:color w:val="auto"/>
          <w:sz w:val="21"/>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01EE1F6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（3）施工机械台班单价或施工机械使用费发生变化超过省级或行业建设主管部门或其授权的工程造价管理机构规定的范围时，按规定调整合同价格。</w:t>
      </w:r>
    </w:p>
    <w:p w14:paraId="0848B18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第3种方式：专用合同条款约定的其他方式。</w:t>
      </w:r>
    </w:p>
    <w:p w14:paraId="3AE62DDD">
      <w:pPr>
        <w:spacing w:line="360" w:lineRule="auto"/>
        <w:rPr>
          <w:rFonts w:ascii="Times New Roman" w:hAnsi="Times New Roman"/>
          <w:color w:val="auto"/>
          <w:sz w:val="21"/>
          <w:szCs w:val="21"/>
          <w:highlight w:val="none"/>
        </w:rPr>
      </w:pPr>
      <w:bookmarkStart w:id="417" w:name="_Toc351203579"/>
      <w:bookmarkStart w:id="418" w:name="_Toc337558798"/>
      <w:bookmarkStart w:id="419" w:name="_Toc296503093"/>
      <w:bookmarkStart w:id="420" w:name="_Toc296346594"/>
      <w:r>
        <w:rPr>
          <w:rFonts w:ascii="Times New Roman" w:hAnsi="Times New Roman"/>
          <w:color w:val="auto"/>
          <w:sz w:val="21"/>
          <w:szCs w:val="21"/>
          <w:highlight w:val="none"/>
        </w:rPr>
        <w:t>11.2法律变化引起的调整</w:t>
      </w:r>
      <w:bookmarkEnd w:id="417"/>
    </w:p>
    <w:bookmarkEnd w:id="418"/>
    <w:bookmarkEnd w:id="419"/>
    <w:bookmarkEnd w:id="420"/>
    <w:p w14:paraId="0AECA88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3577E7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因法律变化引起的合同价格和工期调整，合同当事人无法达成一致的，由总监理工程师按第4.4款〔商定或确定〕的约定处理。</w:t>
      </w:r>
    </w:p>
    <w:p w14:paraId="089CDC8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因承包人原因造成工期延误，在工期延误期间出现法律变化的，由此增加的费用和（或）延误的工期由承包人承担。</w:t>
      </w:r>
    </w:p>
    <w:p w14:paraId="6BCE8078">
      <w:pPr>
        <w:spacing w:line="360" w:lineRule="auto"/>
        <w:rPr>
          <w:rFonts w:ascii="Times New Roman" w:hAnsi="Times New Roman"/>
          <w:color w:val="auto"/>
          <w:sz w:val="21"/>
          <w:szCs w:val="21"/>
          <w:highlight w:val="none"/>
        </w:rPr>
      </w:pPr>
      <w:bookmarkStart w:id="421" w:name="_Toc351203580"/>
      <w:bookmarkStart w:id="422" w:name="_Toc337558799"/>
      <w:bookmarkStart w:id="423" w:name="_Toc296503096"/>
      <w:bookmarkStart w:id="424" w:name="_Toc296346597"/>
      <w:r>
        <w:rPr>
          <w:rFonts w:ascii="Times New Roman" w:hAnsi="Times New Roman"/>
          <w:color w:val="auto"/>
          <w:sz w:val="21"/>
          <w:szCs w:val="21"/>
          <w:highlight w:val="none"/>
        </w:rPr>
        <w:t>12. 合同价格、计量与支付</w:t>
      </w:r>
      <w:bookmarkEnd w:id="421"/>
    </w:p>
    <w:bookmarkEnd w:id="422"/>
    <w:p w14:paraId="52B0B09D">
      <w:pPr>
        <w:spacing w:line="360" w:lineRule="auto"/>
        <w:rPr>
          <w:rFonts w:ascii="Times New Roman" w:hAnsi="Times New Roman"/>
          <w:color w:val="auto"/>
          <w:sz w:val="21"/>
          <w:szCs w:val="21"/>
          <w:highlight w:val="none"/>
        </w:rPr>
      </w:pPr>
      <w:bookmarkStart w:id="425" w:name="_Toc351203581"/>
      <w:bookmarkStart w:id="426" w:name="_Toc337558800"/>
      <w:r>
        <w:rPr>
          <w:rFonts w:ascii="Times New Roman" w:hAnsi="Times New Roman"/>
          <w:color w:val="auto"/>
          <w:sz w:val="21"/>
          <w:szCs w:val="21"/>
          <w:highlight w:val="none"/>
        </w:rPr>
        <w:t>12.1 合同价</w:t>
      </w:r>
      <w:bookmarkEnd w:id="423"/>
      <w:bookmarkEnd w:id="424"/>
      <w:r>
        <w:rPr>
          <w:rFonts w:ascii="Times New Roman" w:hAnsi="Times New Roman"/>
          <w:color w:val="auto"/>
          <w:sz w:val="21"/>
          <w:szCs w:val="21"/>
          <w:highlight w:val="none"/>
        </w:rPr>
        <w:t>格形式</w:t>
      </w:r>
      <w:bookmarkEnd w:id="425"/>
    </w:p>
    <w:bookmarkEnd w:id="426"/>
    <w:p w14:paraId="205BF39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发包人和承包人应在合同协议书中选择下列一种合同价格形式： </w:t>
      </w:r>
    </w:p>
    <w:p w14:paraId="336442B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1.单价合同</w:t>
      </w:r>
    </w:p>
    <w:p w14:paraId="79F3A07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501417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2.总价合同</w:t>
      </w:r>
    </w:p>
    <w:p w14:paraId="5648F19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EEF48E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3.其它价格形式</w:t>
      </w:r>
    </w:p>
    <w:p w14:paraId="3DC5103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合同当事人可在专用合同条款中约定其他合同价格形式。</w:t>
      </w:r>
    </w:p>
    <w:p w14:paraId="37B080EC">
      <w:pPr>
        <w:spacing w:line="360" w:lineRule="auto"/>
        <w:rPr>
          <w:rFonts w:ascii="Times New Roman" w:hAnsi="Times New Roman"/>
          <w:color w:val="auto"/>
          <w:sz w:val="21"/>
          <w:szCs w:val="21"/>
          <w:highlight w:val="none"/>
        </w:rPr>
      </w:pPr>
      <w:bookmarkStart w:id="427" w:name="_Toc296503097"/>
      <w:bookmarkStart w:id="428" w:name="_Toc296346598"/>
      <w:bookmarkStart w:id="429" w:name="_Toc351203582"/>
      <w:bookmarkStart w:id="430" w:name="_Toc337558801"/>
      <w:r>
        <w:rPr>
          <w:rFonts w:ascii="Times New Roman" w:hAnsi="Times New Roman"/>
          <w:color w:val="auto"/>
          <w:sz w:val="21"/>
          <w:szCs w:val="21"/>
          <w:highlight w:val="none"/>
        </w:rPr>
        <w:t>12.2预</w:t>
      </w:r>
      <w:bookmarkEnd w:id="427"/>
      <w:bookmarkEnd w:id="428"/>
      <w:bookmarkStart w:id="431" w:name="_Toc296346601"/>
      <w:bookmarkStart w:id="432" w:name="_Toc296503100"/>
      <w:r>
        <w:rPr>
          <w:rFonts w:ascii="Times New Roman" w:hAnsi="Times New Roman"/>
          <w:color w:val="auto"/>
          <w:sz w:val="21"/>
          <w:szCs w:val="21"/>
          <w:highlight w:val="none"/>
        </w:rPr>
        <w:t>付款</w:t>
      </w:r>
      <w:bookmarkEnd w:id="429"/>
    </w:p>
    <w:bookmarkEnd w:id="430"/>
    <w:bookmarkEnd w:id="431"/>
    <w:bookmarkEnd w:id="432"/>
    <w:p w14:paraId="6E9E56F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12.2.1预付款的支付</w:t>
      </w:r>
    </w:p>
    <w:p w14:paraId="2D6FE8B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48FBABC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除专用合同条款另有约定外，预付款在进度付款中同比例扣回。</w:t>
      </w:r>
      <w:bookmarkEnd w:id="416"/>
      <w:r>
        <w:rPr>
          <w:rFonts w:ascii="Times New Roman" w:hAnsi="Times New Roman"/>
          <w:color w:val="auto"/>
          <w:sz w:val="21"/>
          <w:szCs w:val="21"/>
          <w:highlight w:val="none"/>
        </w:rPr>
        <w:t>在颁发工程接收证书前，提前解除合同的，尚未扣完的预付款应与合同价款一并结算。</w:t>
      </w:r>
    </w:p>
    <w:p w14:paraId="69B9E04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51EF0E4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12.2.2 预付款担保</w:t>
      </w:r>
    </w:p>
    <w:p w14:paraId="352D995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39ACE8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发包人在工程款中逐期扣回预付款后，预付款担保额度应相应减少，但剩余的预付款担保金额不得低于未被扣回的预付款金额。</w:t>
      </w:r>
    </w:p>
    <w:p w14:paraId="6221D704">
      <w:pPr>
        <w:spacing w:line="360" w:lineRule="auto"/>
        <w:rPr>
          <w:rFonts w:ascii="Times New Roman" w:hAnsi="Times New Roman"/>
          <w:color w:val="auto"/>
          <w:sz w:val="21"/>
          <w:szCs w:val="21"/>
          <w:highlight w:val="none"/>
        </w:rPr>
      </w:pPr>
      <w:bookmarkStart w:id="433" w:name="_Toc351203583"/>
      <w:bookmarkStart w:id="434" w:name="_Toc337558802"/>
      <w:r>
        <w:rPr>
          <w:rFonts w:ascii="Times New Roman" w:hAnsi="Times New Roman"/>
          <w:color w:val="auto"/>
          <w:sz w:val="21"/>
          <w:szCs w:val="21"/>
          <w:highlight w:val="none"/>
        </w:rPr>
        <w:t>12.3计量</w:t>
      </w:r>
      <w:bookmarkEnd w:id="433"/>
    </w:p>
    <w:bookmarkEnd w:id="434"/>
    <w:p w14:paraId="4229B70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12.3.1 计量原则</w:t>
      </w:r>
    </w:p>
    <w:p w14:paraId="67A53FB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57137AA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12.3.2 计量周期</w:t>
      </w:r>
    </w:p>
    <w:p w14:paraId="7763901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除专用合同条款另有约定外，工程量的计量按月进行。</w:t>
      </w:r>
    </w:p>
    <w:p w14:paraId="02497E8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12.3.3 单价合同的计量</w:t>
      </w:r>
    </w:p>
    <w:p w14:paraId="1A43009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除专用合同条款另有约定外，单价合同的计量按照本项约定执行：</w:t>
      </w:r>
    </w:p>
    <w:p w14:paraId="63D601C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（1）承包人应于每月25日向监理人报送上月20日至当月19日已完成的工程量报告，并附具进度付款申请单、已完成工程量报表和有关资料。</w:t>
      </w:r>
    </w:p>
    <w:p w14:paraId="45B3B50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A9DF0C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（3）监理人未在收到承包人提交的工程量报表后的7天内完成审核的，承包人报送的工程量报告中的工程量视为承包人实际完成的工程量，据此计算工程价款。</w:t>
      </w:r>
    </w:p>
    <w:p w14:paraId="683F3A7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12.3.4 总价合同的计量</w:t>
      </w:r>
    </w:p>
    <w:p w14:paraId="74662B9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除专用合同条款另有约定外，按月计量支付的总价合同，按照本项约定执行：</w:t>
      </w:r>
    </w:p>
    <w:p w14:paraId="33F42E1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（1）承包人应于每月25日向监理人报送上月20日至当月19日已完成的工程量报告，并附具进度付款申请单、已完成工程量报表和有关资料。</w:t>
      </w:r>
    </w:p>
    <w:p w14:paraId="1EA703F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5F2029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（3）监理人未在收到承包人提交的工程量报表后的7天内完成复核的，承包人提交的工程量报告中的工程量视为承包人实际完成的工程量。</w:t>
      </w:r>
    </w:p>
    <w:p w14:paraId="0C65133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12.3.5 总价合同采用支付分解表计量支付的，可以按照第12.3.4项〔总价合同的计量〕约定进行计量，但合同价款按照支付分解表进行支付。</w:t>
      </w:r>
    </w:p>
    <w:p w14:paraId="7DBA57A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12.3.6 其他价格形式合同的计量</w:t>
      </w:r>
    </w:p>
    <w:p w14:paraId="245C88D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合同当事人可在专用合同条款中约定其他价格形式合同的计量方式和程序。</w:t>
      </w:r>
    </w:p>
    <w:p w14:paraId="4F1CC419">
      <w:pPr>
        <w:spacing w:line="360" w:lineRule="auto"/>
        <w:rPr>
          <w:rFonts w:ascii="Times New Roman" w:hAnsi="Times New Roman"/>
          <w:color w:val="auto"/>
          <w:sz w:val="21"/>
          <w:szCs w:val="21"/>
          <w:highlight w:val="none"/>
        </w:rPr>
      </w:pPr>
      <w:bookmarkStart w:id="435" w:name="_Toc296346602"/>
      <w:bookmarkStart w:id="436" w:name="_Toc296503101"/>
      <w:bookmarkStart w:id="437" w:name="_Toc351203584"/>
      <w:bookmarkStart w:id="438" w:name="_Toc337558803"/>
      <w:r>
        <w:rPr>
          <w:rFonts w:ascii="Times New Roman" w:hAnsi="Times New Roman"/>
          <w:color w:val="auto"/>
          <w:sz w:val="21"/>
          <w:szCs w:val="21"/>
          <w:highlight w:val="none"/>
        </w:rPr>
        <w:t>12.4工程进度款支</w:t>
      </w:r>
      <w:bookmarkEnd w:id="435"/>
      <w:bookmarkEnd w:id="436"/>
      <w:r>
        <w:rPr>
          <w:rFonts w:ascii="Times New Roman" w:hAnsi="Times New Roman"/>
          <w:color w:val="auto"/>
          <w:sz w:val="21"/>
          <w:szCs w:val="21"/>
          <w:highlight w:val="none"/>
        </w:rPr>
        <w:t>付</w:t>
      </w:r>
      <w:bookmarkEnd w:id="437"/>
    </w:p>
    <w:bookmarkEnd w:id="438"/>
    <w:p w14:paraId="140A9ED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12.4.1 付款周期</w:t>
      </w:r>
    </w:p>
    <w:p w14:paraId="1ADC6E5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除专用合同条款另有约定外，付款周期应按照第12.3.2项〔计量周期〕的约定与计量周期保持一致。</w:t>
      </w:r>
    </w:p>
    <w:p w14:paraId="69254AB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12.4.2 进度付款申请单的编制</w:t>
      </w:r>
    </w:p>
    <w:p w14:paraId="0F567A0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除专用合同条款另有约定外，进度付款申请单应包括下列内容：</w:t>
      </w:r>
    </w:p>
    <w:p w14:paraId="590796D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（1）截至本次付款周期已完成工作对应的金额；</w:t>
      </w:r>
    </w:p>
    <w:p w14:paraId="029B24F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（2）根据第10条〔变更〕应增加和扣减的变更金额；</w:t>
      </w:r>
    </w:p>
    <w:p w14:paraId="5990164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（3）根据第12.2款〔预付款〕约定应支付的预付款和扣减的返还预付款；</w:t>
      </w:r>
    </w:p>
    <w:p w14:paraId="5813C1A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（4）根据第15.3款〔质量保证金〕约定应扣减的质量保证金；</w:t>
      </w:r>
    </w:p>
    <w:p w14:paraId="6E14A83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（5）根据第19条〔索赔〕应增加和扣减的索赔金额；</w:t>
      </w:r>
    </w:p>
    <w:p w14:paraId="7E3C655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（6）对已签发的进度款支付证书中出现错误的修正，应在本次进度付款中支付或扣除的金额；</w:t>
      </w:r>
    </w:p>
    <w:p w14:paraId="74E5B69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（7）根据合同约定应增加和扣减的其他金额。</w:t>
      </w:r>
    </w:p>
    <w:p w14:paraId="1FF74EA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12.4.3 进度付款申请单的提交</w:t>
      </w:r>
    </w:p>
    <w:p w14:paraId="0EF5556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（1）单价合同进度付款申请单的提交</w:t>
      </w:r>
    </w:p>
    <w:p w14:paraId="7C9CE33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B767DD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（2）总价合同进度付款申请单的提交</w:t>
      </w:r>
    </w:p>
    <w:p w14:paraId="5D7C520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总价合同按月计量支付的，承包人按照第12.3.4项〔总价合同的计量〕约定的时间按月向监理人提交进度付款申请单，并附上已完成工程量报表和有关资料。</w:t>
      </w:r>
    </w:p>
    <w:p w14:paraId="73CB8EC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总价合同按支付分解表支付的，承包人应按照第12.4.6项〔支付分解表〕及第12.4.2项〔进度付款申请单的编制〕的约定向监理人提交进度付款申请单。</w:t>
      </w:r>
    </w:p>
    <w:p w14:paraId="7460B52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（3）其他价格形式合同的进度付款申请单的提交</w:t>
      </w:r>
    </w:p>
    <w:p w14:paraId="74D922C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合同当事人可在专用合同条款中约定其他价格形式合同的进度付款申请单的编制和提交程序。</w:t>
      </w:r>
    </w:p>
    <w:p w14:paraId="32DB3A7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12.4.4 进度款审核和支付</w:t>
      </w:r>
    </w:p>
    <w:p w14:paraId="164E2E3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8975EE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C5ADC5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51C99F7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（3）发包人签发进度款支付证书或临时进度款支付证书，不表明发包人已同意、批准或接受了承包人完成的相应部分的工作。</w:t>
      </w:r>
    </w:p>
    <w:p w14:paraId="4F60BF9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12.4.5 进度付款的修正</w:t>
      </w:r>
    </w:p>
    <w:p w14:paraId="7DF2536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3DD60F5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12.4.6 支付分解表</w:t>
      </w:r>
    </w:p>
    <w:p w14:paraId="411825C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1.支付分解表的编制要求</w:t>
      </w:r>
    </w:p>
    <w:p w14:paraId="1C07D94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（1）支付分解表中所列的每期付款金额，应为第12.4.2项〔进度付款申请单的编制〕第（1）目的估算金额；</w:t>
      </w:r>
    </w:p>
    <w:p w14:paraId="2AF2550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（2）实际进度与施工进度计划不一致的，合同当事人可按照第4.4款〔商定或确定〕修改支付分解表；</w:t>
      </w:r>
    </w:p>
    <w:p w14:paraId="1F0B8A3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（3）不采用支付分解表的，承包人应向发包人和监理人提交按季度编制的支付估算分解表，用于支付参考。</w:t>
      </w:r>
    </w:p>
    <w:p w14:paraId="51E83C9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2.总价合同支付分解表的编制与审批</w:t>
      </w:r>
    </w:p>
    <w:p w14:paraId="74CA1B4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65B681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1D58751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（3）发包人逾期未完成支付分解表审批的，也未及时要求承包人进行修正和提供补充资料的，则承包人提交的支付分解表视为已经获得发包人批准。</w:t>
      </w:r>
    </w:p>
    <w:p w14:paraId="168E76F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3.单价合同的总价项目支付分解表的编制与审批</w:t>
      </w:r>
    </w:p>
    <w:p w14:paraId="56444F5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F5BD719">
      <w:pPr>
        <w:spacing w:line="360" w:lineRule="auto"/>
        <w:rPr>
          <w:rFonts w:ascii="Times New Roman" w:hAnsi="Times New Roman"/>
          <w:color w:val="auto"/>
          <w:sz w:val="21"/>
          <w:szCs w:val="21"/>
          <w:highlight w:val="none"/>
        </w:rPr>
      </w:pPr>
      <w:bookmarkStart w:id="439" w:name="_Toc351203585"/>
      <w:r>
        <w:rPr>
          <w:rFonts w:ascii="Times New Roman" w:hAnsi="Times New Roman"/>
          <w:color w:val="auto"/>
          <w:sz w:val="21"/>
          <w:szCs w:val="21"/>
          <w:highlight w:val="none"/>
        </w:rPr>
        <w:t>12.5支付账户</w:t>
      </w:r>
      <w:bookmarkEnd w:id="439"/>
    </w:p>
    <w:p w14:paraId="5523DBF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发包人应将合同价款支付至合同协议书中约定的承包人账户。</w:t>
      </w:r>
    </w:p>
    <w:p w14:paraId="5B536718">
      <w:pPr>
        <w:spacing w:line="360" w:lineRule="auto"/>
        <w:rPr>
          <w:rFonts w:ascii="Times New Roman" w:hAnsi="Times New Roman"/>
          <w:color w:val="auto"/>
          <w:sz w:val="21"/>
          <w:szCs w:val="21"/>
          <w:highlight w:val="none"/>
        </w:rPr>
      </w:pPr>
      <w:bookmarkStart w:id="440" w:name="_Toc351203586"/>
      <w:bookmarkStart w:id="441" w:name="_Toc337558804"/>
      <w:bookmarkStart w:id="442" w:name="_Toc296346607"/>
      <w:bookmarkStart w:id="443" w:name="_Toc296503106"/>
      <w:bookmarkStart w:id="444" w:name="_Toc322522574"/>
      <w:r>
        <w:rPr>
          <w:rFonts w:ascii="Times New Roman" w:hAnsi="Times New Roman"/>
          <w:color w:val="auto"/>
          <w:sz w:val="21"/>
          <w:szCs w:val="21"/>
          <w:highlight w:val="none"/>
        </w:rPr>
        <w:t>13. 验收和工程试车</w:t>
      </w:r>
      <w:bookmarkEnd w:id="440"/>
    </w:p>
    <w:bookmarkEnd w:id="441"/>
    <w:bookmarkEnd w:id="442"/>
    <w:bookmarkEnd w:id="443"/>
    <w:bookmarkEnd w:id="444"/>
    <w:p w14:paraId="053DD5AE">
      <w:pPr>
        <w:spacing w:line="360" w:lineRule="auto"/>
        <w:rPr>
          <w:rFonts w:ascii="Times New Roman" w:hAnsi="Times New Roman"/>
          <w:color w:val="auto"/>
          <w:sz w:val="21"/>
          <w:szCs w:val="21"/>
          <w:highlight w:val="none"/>
        </w:rPr>
      </w:pPr>
      <w:bookmarkStart w:id="445" w:name="_Toc351203587"/>
      <w:bookmarkStart w:id="446" w:name="_Toc337558805"/>
      <w:bookmarkStart w:id="447" w:name="_Toc296503110"/>
      <w:bookmarkStart w:id="448" w:name="_Toc296346611"/>
      <w:r>
        <w:rPr>
          <w:rFonts w:ascii="Times New Roman" w:hAnsi="Times New Roman"/>
          <w:color w:val="auto"/>
          <w:sz w:val="21"/>
          <w:szCs w:val="21"/>
          <w:highlight w:val="none"/>
        </w:rPr>
        <w:t>13.1分部分项工程验收</w:t>
      </w:r>
      <w:bookmarkEnd w:id="445"/>
    </w:p>
    <w:bookmarkEnd w:id="446"/>
    <w:p w14:paraId="3EC488E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13.1.1 分部分项工程质量应符合国家有关工程施工验收规范、标准及合同约定，承包人应按照施工组织设计的要求完成分部分项工程施工。</w:t>
      </w:r>
    </w:p>
    <w:p w14:paraId="7B83019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59AF1F9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分部分项工程的验收资料应当作为竣工资料的组成部分。</w:t>
      </w:r>
    </w:p>
    <w:p w14:paraId="4E94A23D">
      <w:pPr>
        <w:spacing w:line="360" w:lineRule="auto"/>
        <w:rPr>
          <w:rFonts w:ascii="Times New Roman" w:hAnsi="Times New Roman"/>
          <w:color w:val="auto"/>
          <w:sz w:val="21"/>
          <w:szCs w:val="21"/>
          <w:highlight w:val="none"/>
        </w:rPr>
      </w:pPr>
      <w:bookmarkStart w:id="449" w:name="_Toc351203588"/>
      <w:bookmarkStart w:id="450" w:name="_Toc337558806"/>
      <w:r>
        <w:rPr>
          <w:rFonts w:ascii="Times New Roman" w:hAnsi="Times New Roman"/>
          <w:color w:val="auto"/>
          <w:sz w:val="21"/>
          <w:szCs w:val="21"/>
          <w:highlight w:val="none"/>
        </w:rPr>
        <w:t>13.2竣工验收</w:t>
      </w:r>
      <w:bookmarkEnd w:id="449"/>
    </w:p>
    <w:bookmarkEnd w:id="447"/>
    <w:bookmarkEnd w:id="448"/>
    <w:bookmarkEnd w:id="450"/>
    <w:p w14:paraId="350000B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13.2.1竣工验收条件</w:t>
      </w:r>
    </w:p>
    <w:p w14:paraId="5DBF8BD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工程具备以下条件的，承包人可以申请竣工验收：</w:t>
      </w:r>
    </w:p>
    <w:p w14:paraId="52C7A1F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（1）除发包人同意的甩项工作和缺陷修补工作外，合同范围内的全部工程以及有关工作，包括合同要求的试验、试运行以及检验均已完成，并符合合同要求；</w:t>
      </w:r>
    </w:p>
    <w:p w14:paraId="78115BE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（2）已按合同约定编制了甩项工作和缺陷修补工作清单以及相应的施工计划；</w:t>
      </w:r>
    </w:p>
    <w:p w14:paraId="4661BDF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（3）已按合同约定的内容和份数备齐竣工资料。</w:t>
      </w:r>
    </w:p>
    <w:p w14:paraId="2E1657F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13.2.2竣工验收程序</w:t>
      </w:r>
    </w:p>
    <w:p w14:paraId="101AEE4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除专用合同条款另有约定外，承包人申请竣工验收的，应当按照以下程序进行：</w:t>
      </w:r>
    </w:p>
    <w:p w14:paraId="4AE8720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651130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CA4700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314A365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6D31E8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304224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178CA10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13.2.3竣工日期</w:t>
      </w:r>
    </w:p>
    <w:p w14:paraId="377C9F6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51" w:name="#go14"/>
      <w:bookmarkEnd w:id="451"/>
      <w:r>
        <w:rPr>
          <w:rFonts w:ascii="Times New Roman" w:hAnsi="Times New Roman"/>
          <w:color w:val="auto"/>
          <w:sz w:val="21"/>
          <w:szCs w:val="21"/>
          <w:highlight w:val="none"/>
        </w:rPr>
        <w:t>收申请报告的日期为实际竣工日期；工程未经竣工验收，发包人擅自使用的，以转移占有工程之日为实际竣工日期。</w:t>
      </w:r>
    </w:p>
    <w:p w14:paraId="03FC71A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13.2.4 拒绝接收全部或部分工程</w:t>
      </w:r>
    </w:p>
    <w:p w14:paraId="4466896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473C10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13.2.5 移交、接收全部与部分工程</w:t>
      </w:r>
    </w:p>
    <w:p w14:paraId="3C901B5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除专用合同条款另有约定外，合同当事人应当在颁发工程接收证书后7天内完成工程的移交。</w:t>
      </w:r>
    </w:p>
    <w:p w14:paraId="66E663F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D20E76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721D03D0">
      <w:pPr>
        <w:spacing w:line="360" w:lineRule="auto"/>
        <w:rPr>
          <w:rFonts w:ascii="Times New Roman" w:hAnsi="Times New Roman"/>
          <w:color w:val="auto"/>
          <w:sz w:val="21"/>
          <w:szCs w:val="21"/>
          <w:highlight w:val="none"/>
        </w:rPr>
      </w:pPr>
      <w:bookmarkStart w:id="452" w:name="_Toc351203589"/>
      <w:bookmarkStart w:id="453" w:name="_Toc337558807"/>
      <w:bookmarkStart w:id="454" w:name="_Toc296503111"/>
      <w:bookmarkStart w:id="455" w:name="_Toc296346612"/>
      <w:r>
        <w:rPr>
          <w:rFonts w:ascii="Times New Roman" w:hAnsi="Times New Roman"/>
          <w:color w:val="auto"/>
          <w:sz w:val="21"/>
          <w:szCs w:val="21"/>
          <w:highlight w:val="none"/>
        </w:rPr>
        <w:t>13.3工程试车</w:t>
      </w:r>
      <w:bookmarkEnd w:id="452"/>
    </w:p>
    <w:bookmarkEnd w:id="453"/>
    <w:bookmarkEnd w:id="454"/>
    <w:bookmarkEnd w:id="455"/>
    <w:p w14:paraId="4335900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13.3.1试车程序</w:t>
      </w:r>
    </w:p>
    <w:p w14:paraId="49B6B11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工程需要试车的，除专用合同条款另有约定外，试车内容应与承包人承包范围相一致，试车费用由承包人承担。工程试车应按如下程序进行：</w:t>
      </w:r>
    </w:p>
    <w:p w14:paraId="4C02DD4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022DC0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298DCA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5FA2777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13.3.2 试车中的责任</w:t>
      </w:r>
    </w:p>
    <w:p w14:paraId="49D911E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FD384A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E18442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13.3.3 投料试车</w:t>
      </w:r>
    </w:p>
    <w:p w14:paraId="48BD6D6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27074B9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3A78E399">
      <w:pPr>
        <w:spacing w:line="360" w:lineRule="auto"/>
        <w:rPr>
          <w:rFonts w:ascii="Times New Roman" w:hAnsi="Times New Roman"/>
          <w:color w:val="auto"/>
          <w:sz w:val="21"/>
          <w:szCs w:val="21"/>
          <w:highlight w:val="none"/>
        </w:rPr>
      </w:pPr>
      <w:bookmarkStart w:id="456" w:name="_Toc351203590"/>
      <w:bookmarkStart w:id="457" w:name="_Toc337558808"/>
      <w:r>
        <w:rPr>
          <w:rFonts w:ascii="Times New Roman" w:hAnsi="Times New Roman"/>
          <w:color w:val="auto"/>
          <w:sz w:val="21"/>
          <w:szCs w:val="21"/>
          <w:highlight w:val="none"/>
        </w:rPr>
        <w:t>13.4提前交付单位工程的验收</w:t>
      </w:r>
      <w:bookmarkEnd w:id="456"/>
    </w:p>
    <w:bookmarkEnd w:id="457"/>
    <w:p w14:paraId="64A3E8E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2881D0A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499A74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13.4.2 发包人要求在工程竣工前交付单位工程，由此导致承包人费用增加和（或）工期延误的，由发包人承担由此增加的费用和（或）延误的工期，并支付承包人合理的利润。</w:t>
      </w:r>
    </w:p>
    <w:p w14:paraId="0651C0D0">
      <w:pPr>
        <w:spacing w:line="360" w:lineRule="auto"/>
        <w:rPr>
          <w:rFonts w:ascii="Times New Roman" w:hAnsi="Times New Roman"/>
          <w:color w:val="auto"/>
          <w:sz w:val="21"/>
          <w:szCs w:val="21"/>
          <w:highlight w:val="none"/>
        </w:rPr>
      </w:pPr>
      <w:bookmarkStart w:id="458" w:name="_Toc351203591"/>
      <w:r>
        <w:rPr>
          <w:rFonts w:ascii="Times New Roman" w:hAnsi="Times New Roman"/>
          <w:color w:val="auto"/>
          <w:sz w:val="21"/>
          <w:szCs w:val="21"/>
          <w:highlight w:val="none"/>
        </w:rPr>
        <w:t>13.5 施工期运行</w:t>
      </w:r>
      <w:bookmarkEnd w:id="458"/>
    </w:p>
    <w:p w14:paraId="15EDEDA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775B7C6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13.5.2 在施工期运行中发现工程或工程设备损坏或存在缺陷的，由承包人按第15.2款〔缺陷责任期〕约定进行修复。</w:t>
      </w:r>
    </w:p>
    <w:p w14:paraId="7FE2D5BA">
      <w:pPr>
        <w:spacing w:line="360" w:lineRule="auto"/>
        <w:rPr>
          <w:rFonts w:ascii="Times New Roman" w:hAnsi="Times New Roman"/>
          <w:color w:val="auto"/>
          <w:sz w:val="21"/>
          <w:szCs w:val="21"/>
          <w:highlight w:val="none"/>
        </w:rPr>
      </w:pPr>
      <w:bookmarkStart w:id="459" w:name="_Toc296503112"/>
      <w:bookmarkStart w:id="460" w:name="_Toc296346613"/>
      <w:bookmarkStart w:id="461" w:name="_Toc351203592"/>
      <w:bookmarkStart w:id="462" w:name="_Toc337558809"/>
      <w:r>
        <w:rPr>
          <w:rFonts w:ascii="Times New Roman" w:hAnsi="Times New Roman"/>
          <w:color w:val="auto"/>
          <w:sz w:val="21"/>
          <w:szCs w:val="21"/>
          <w:highlight w:val="none"/>
        </w:rPr>
        <w:t>13.6 竣工退</w:t>
      </w:r>
      <w:bookmarkEnd w:id="459"/>
      <w:bookmarkEnd w:id="460"/>
      <w:r>
        <w:rPr>
          <w:rFonts w:ascii="Times New Roman" w:hAnsi="Times New Roman"/>
          <w:color w:val="auto"/>
          <w:sz w:val="21"/>
          <w:szCs w:val="21"/>
          <w:highlight w:val="none"/>
        </w:rPr>
        <w:t>场</w:t>
      </w:r>
      <w:bookmarkEnd w:id="461"/>
    </w:p>
    <w:bookmarkEnd w:id="462"/>
    <w:p w14:paraId="01D8CAB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13.6.1 竣工退场</w:t>
      </w:r>
    </w:p>
    <w:p w14:paraId="39152F9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颁发工程接收证书后，承包人应按以下要求对施工现场进行清理：</w:t>
      </w:r>
    </w:p>
    <w:p w14:paraId="4AAE62D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（1）施工现场内残留的垃圾已全部清除出场；</w:t>
      </w:r>
    </w:p>
    <w:p w14:paraId="1F47ED9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（2）临时工程已拆除，场地已进行清理、平整或复原；</w:t>
      </w:r>
    </w:p>
    <w:p w14:paraId="374B52D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（3）按合同约定应撤离的人员、承包人施工设备和剩余的材料，包括废弃的施工设备和材料，已按计划撤离施工现场；</w:t>
      </w:r>
    </w:p>
    <w:p w14:paraId="5984B45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（4）施工现场周边及其附近道路、河道的施工堆积物，已全部清理；</w:t>
      </w:r>
    </w:p>
    <w:p w14:paraId="2B5833C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（5）施工现场其他场地清理工作已全部完成。</w:t>
      </w:r>
    </w:p>
    <w:p w14:paraId="2278393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D85E38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13.6.2 地表还原</w:t>
      </w:r>
    </w:p>
    <w:p w14:paraId="0A12CE5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0175820A">
      <w:pPr>
        <w:spacing w:line="360" w:lineRule="auto"/>
        <w:rPr>
          <w:rFonts w:ascii="Times New Roman" w:hAnsi="Times New Roman"/>
          <w:color w:val="auto"/>
          <w:sz w:val="21"/>
          <w:szCs w:val="21"/>
          <w:highlight w:val="none"/>
        </w:rPr>
      </w:pPr>
      <w:bookmarkStart w:id="463" w:name="_Toc351203593"/>
      <w:bookmarkStart w:id="464" w:name="_Toc337558810"/>
      <w:bookmarkStart w:id="465" w:name="_Toc296503113"/>
      <w:bookmarkStart w:id="466" w:name="_Toc296346614"/>
      <w:r>
        <w:rPr>
          <w:rFonts w:ascii="Times New Roman" w:hAnsi="Times New Roman"/>
          <w:color w:val="auto"/>
          <w:sz w:val="21"/>
          <w:szCs w:val="21"/>
          <w:highlight w:val="none"/>
        </w:rPr>
        <w:t>14. 竣工结算</w:t>
      </w:r>
      <w:bookmarkEnd w:id="463"/>
    </w:p>
    <w:bookmarkEnd w:id="464"/>
    <w:p w14:paraId="5592676D">
      <w:pPr>
        <w:spacing w:line="360" w:lineRule="auto"/>
        <w:rPr>
          <w:rFonts w:ascii="Times New Roman" w:hAnsi="Times New Roman"/>
          <w:color w:val="auto"/>
          <w:sz w:val="21"/>
          <w:szCs w:val="21"/>
          <w:highlight w:val="none"/>
        </w:rPr>
      </w:pPr>
      <w:bookmarkStart w:id="467" w:name="_Toc351203594"/>
      <w:bookmarkStart w:id="468" w:name="_Toc337558811"/>
      <w:r>
        <w:rPr>
          <w:rFonts w:ascii="Times New Roman" w:hAnsi="Times New Roman"/>
          <w:color w:val="auto"/>
          <w:sz w:val="21"/>
          <w:szCs w:val="21"/>
          <w:highlight w:val="none"/>
        </w:rPr>
        <w:t>14.1 竣工结算申请</w:t>
      </w:r>
      <w:bookmarkEnd w:id="467"/>
    </w:p>
    <w:bookmarkEnd w:id="468"/>
    <w:p w14:paraId="3E4FDC0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0CAD72D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除专用合同条款另有约定外，竣工结算申请单应包括以下内容：</w:t>
      </w:r>
    </w:p>
    <w:p w14:paraId="72331D2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（1）竣工结算合同价格；</w:t>
      </w:r>
    </w:p>
    <w:p w14:paraId="5A5B0F3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（2）发包人已支付承包人的款项；</w:t>
      </w:r>
    </w:p>
    <w:p w14:paraId="50904B3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（3）应扣留的质量保证金。已缴纳履约保证金的或提供其他工程质量担保方式的除外； </w:t>
      </w:r>
    </w:p>
    <w:p w14:paraId="4D01641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（4）发包人应支付承包人的合同价款。</w:t>
      </w:r>
    </w:p>
    <w:p w14:paraId="24AF1DFA">
      <w:pPr>
        <w:spacing w:line="360" w:lineRule="auto"/>
        <w:rPr>
          <w:rFonts w:ascii="Times New Roman" w:hAnsi="Times New Roman"/>
          <w:color w:val="auto"/>
          <w:sz w:val="21"/>
          <w:szCs w:val="21"/>
          <w:highlight w:val="none"/>
        </w:rPr>
      </w:pPr>
      <w:bookmarkStart w:id="469" w:name="_Toc351203595"/>
      <w:bookmarkStart w:id="470" w:name="_Toc337558812"/>
      <w:r>
        <w:rPr>
          <w:rFonts w:ascii="Times New Roman" w:hAnsi="Times New Roman"/>
          <w:color w:val="auto"/>
          <w:sz w:val="21"/>
          <w:szCs w:val="21"/>
          <w:highlight w:val="none"/>
        </w:rPr>
        <w:t>14.2 竣工结算审核</w:t>
      </w:r>
      <w:bookmarkEnd w:id="469"/>
    </w:p>
    <w:bookmarkEnd w:id="470"/>
    <w:p w14:paraId="05F2F6E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07D9D5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A6C3DA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BE460D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BA93754">
      <w:pPr>
        <w:spacing w:line="360" w:lineRule="auto"/>
        <w:rPr>
          <w:rFonts w:ascii="Times New Roman" w:hAnsi="Times New Roman"/>
          <w:color w:val="auto"/>
          <w:sz w:val="21"/>
          <w:szCs w:val="21"/>
          <w:highlight w:val="none"/>
        </w:rPr>
      </w:pPr>
      <w:bookmarkStart w:id="471" w:name="_Toc351203596"/>
      <w:bookmarkStart w:id="472" w:name="_Toc337558813"/>
      <w:r>
        <w:rPr>
          <w:rFonts w:ascii="Times New Roman" w:hAnsi="Times New Roman"/>
          <w:color w:val="auto"/>
          <w:sz w:val="21"/>
          <w:szCs w:val="21"/>
          <w:highlight w:val="none"/>
        </w:rPr>
        <w:t>14.3 甩项竣工协议</w:t>
      </w:r>
      <w:bookmarkEnd w:id="471"/>
    </w:p>
    <w:bookmarkEnd w:id="472"/>
    <w:p w14:paraId="6460360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3E689F2A">
      <w:pPr>
        <w:spacing w:line="360" w:lineRule="auto"/>
        <w:rPr>
          <w:rFonts w:ascii="Times New Roman" w:hAnsi="Times New Roman"/>
          <w:color w:val="auto"/>
          <w:sz w:val="21"/>
          <w:szCs w:val="21"/>
          <w:highlight w:val="none"/>
        </w:rPr>
      </w:pPr>
      <w:bookmarkStart w:id="473" w:name="_Toc351203597"/>
      <w:bookmarkStart w:id="474" w:name="_Toc337558814"/>
      <w:r>
        <w:rPr>
          <w:rFonts w:ascii="Times New Roman" w:hAnsi="Times New Roman"/>
          <w:color w:val="auto"/>
          <w:sz w:val="21"/>
          <w:szCs w:val="21"/>
          <w:highlight w:val="none"/>
        </w:rPr>
        <w:t>14.4 最终结清</w:t>
      </w:r>
      <w:bookmarkEnd w:id="473"/>
    </w:p>
    <w:bookmarkEnd w:id="474"/>
    <w:p w14:paraId="0946733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14.4.1 最终结清申请单</w:t>
      </w:r>
    </w:p>
    <w:p w14:paraId="2CF7ED8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（1）除专用合同条款另有约定外，承包人应在缺陷责任期终止证书颁发后7天内，按专用合同条款约定的份数向发包人提交最终结清申请单，并提供相关证明材料。</w:t>
      </w:r>
    </w:p>
    <w:p w14:paraId="652B02D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除专用合同条款另有约定外，最终结清申请单应列明质量保证金、应扣除的质量保证金、缺陷责任期内发生的增减费用。</w:t>
      </w:r>
    </w:p>
    <w:p w14:paraId="65D3616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（2）发包人对最终结清申请单内容有异议的，有权要求承包人进行修正和提供补充资料，承包人应向发包人提交修正后的最终结清申请单。</w:t>
      </w:r>
    </w:p>
    <w:p w14:paraId="6D4E9D6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14.4.2 最终结清证书和支付</w:t>
      </w:r>
    </w:p>
    <w:p w14:paraId="168D19D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44A1AC6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4513E3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（3）承包人对发包人颁发的最终结清证书有异议的，按第20条〔争议解决〕的约定办理。</w:t>
      </w:r>
    </w:p>
    <w:p w14:paraId="0AC00A77">
      <w:pPr>
        <w:spacing w:line="360" w:lineRule="auto"/>
        <w:rPr>
          <w:rFonts w:ascii="Times New Roman" w:hAnsi="Times New Roman"/>
          <w:color w:val="auto"/>
          <w:sz w:val="21"/>
          <w:szCs w:val="21"/>
          <w:highlight w:val="none"/>
        </w:rPr>
      </w:pPr>
      <w:bookmarkStart w:id="475" w:name="_Toc351203598"/>
      <w:bookmarkStart w:id="476" w:name="_Toc337558815"/>
      <w:r>
        <w:rPr>
          <w:rFonts w:ascii="Times New Roman" w:hAnsi="Times New Roman"/>
          <w:color w:val="auto"/>
          <w:sz w:val="21"/>
          <w:szCs w:val="21"/>
          <w:highlight w:val="none"/>
        </w:rPr>
        <w:t>15. 缺陷责任与保修</w:t>
      </w:r>
      <w:bookmarkEnd w:id="475"/>
    </w:p>
    <w:bookmarkEnd w:id="465"/>
    <w:bookmarkEnd w:id="466"/>
    <w:bookmarkEnd w:id="476"/>
    <w:p w14:paraId="3CC7FC90">
      <w:pPr>
        <w:spacing w:line="360" w:lineRule="auto"/>
        <w:rPr>
          <w:rFonts w:ascii="Times New Roman" w:hAnsi="Times New Roman"/>
          <w:color w:val="auto"/>
          <w:sz w:val="21"/>
          <w:szCs w:val="21"/>
          <w:highlight w:val="none"/>
        </w:rPr>
      </w:pPr>
      <w:bookmarkStart w:id="477" w:name="_Toc351203599"/>
      <w:bookmarkStart w:id="478" w:name="_Toc337558816"/>
      <w:bookmarkStart w:id="479" w:name="_Toc296346615"/>
      <w:bookmarkStart w:id="480" w:name="_Toc296503114"/>
      <w:r>
        <w:rPr>
          <w:rFonts w:ascii="Times New Roman" w:hAnsi="Times New Roman"/>
          <w:color w:val="auto"/>
          <w:sz w:val="21"/>
          <w:szCs w:val="21"/>
          <w:highlight w:val="none"/>
        </w:rPr>
        <w:t>15.1 工程保修的原则</w:t>
      </w:r>
      <w:bookmarkEnd w:id="477"/>
    </w:p>
    <w:bookmarkEnd w:id="478"/>
    <w:p w14:paraId="5A0ECF6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0BC65FF4">
      <w:pPr>
        <w:spacing w:line="360" w:lineRule="auto"/>
        <w:rPr>
          <w:rFonts w:ascii="Times New Roman" w:hAnsi="Times New Roman"/>
          <w:color w:val="auto"/>
          <w:sz w:val="21"/>
          <w:szCs w:val="21"/>
          <w:highlight w:val="none"/>
        </w:rPr>
      </w:pPr>
      <w:bookmarkStart w:id="481" w:name="_Toc351203600"/>
      <w:bookmarkStart w:id="482" w:name="_Toc337558817"/>
      <w:r>
        <w:rPr>
          <w:rFonts w:ascii="Times New Roman" w:hAnsi="Times New Roman"/>
          <w:color w:val="auto"/>
          <w:sz w:val="21"/>
          <w:szCs w:val="21"/>
          <w:highlight w:val="none"/>
        </w:rPr>
        <w:t>15.2 缺陷责任期</w:t>
      </w:r>
      <w:bookmarkEnd w:id="479"/>
      <w:bookmarkEnd w:id="480"/>
      <w:bookmarkEnd w:id="481"/>
    </w:p>
    <w:bookmarkEnd w:id="482"/>
    <w:p w14:paraId="695DDE2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15.2.1 缺陷责任期从工程通过竣工验收之日起计算，合同当事人应在专用合同条款约定缺陷责任期的具体期限，但该期限最长不超过24个月。</w:t>
      </w:r>
    </w:p>
    <w:p w14:paraId="38FA907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746A05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0DE27EF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由他人原因造成的缺陷，发包人负责组织维修，承包人不承担费用，且发包人不得从保证金中扣除费用。</w:t>
      </w:r>
    </w:p>
    <w:p w14:paraId="792B33A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15.2.3 任何一项缺陷或损坏修复后，经检查证明其影响了工程或工程设备的使用性能，承包人应重新进行合同约定的试验和试运行，试验和试运行的全部费用应由责任方承担。</w:t>
      </w:r>
    </w:p>
    <w:p w14:paraId="004DBB9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E545F44">
      <w:pPr>
        <w:spacing w:line="360" w:lineRule="auto"/>
        <w:rPr>
          <w:rFonts w:ascii="Times New Roman" w:hAnsi="Times New Roman"/>
          <w:color w:val="auto"/>
          <w:sz w:val="21"/>
          <w:szCs w:val="21"/>
          <w:highlight w:val="none"/>
        </w:rPr>
      </w:pPr>
      <w:bookmarkStart w:id="483" w:name="_Toc351203601"/>
      <w:bookmarkStart w:id="484" w:name="_Toc337558818"/>
      <w:bookmarkStart w:id="485" w:name="_Toc296503115"/>
      <w:bookmarkStart w:id="486" w:name="_Toc296346616"/>
      <w:r>
        <w:rPr>
          <w:rFonts w:ascii="Times New Roman" w:hAnsi="Times New Roman"/>
          <w:color w:val="auto"/>
          <w:sz w:val="21"/>
          <w:szCs w:val="21"/>
          <w:highlight w:val="none"/>
        </w:rPr>
        <w:t>15.3 质量保证金</w:t>
      </w:r>
      <w:bookmarkEnd w:id="483"/>
    </w:p>
    <w:bookmarkEnd w:id="484"/>
    <w:p w14:paraId="22AB7DE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经合同当事人协商一致扣留质量保证金的，应在专用合同条款中予以明确。</w:t>
      </w:r>
    </w:p>
    <w:p w14:paraId="5B21955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在工程项目竣工前，承包人已经提供履约担保的，发包人不得同时预留工程质量保证金。</w:t>
      </w:r>
    </w:p>
    <w:p w14:paraId="6675B9E3">
      <w:pPr>
        <w:spacing w:line="360" w:lineRule="auto"/>
        <w:rPr>
          <w:rFonts w:ascii="Times New Roman" w:hAnsi="Times New Roman"/>
          <w:color w:val="auto"/>
          <w:sz w:val="21"/>
          <w:szCs w:val="21"/>
          <w:highlight w:val="none"/>
        </w:rPr>
      </w:pPr>
    </w:p>
    <w:p w14:paraId="1E155AB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15.3.1 承包人提供质量保证金的方式</w:t>
      </w:r>
    </w:p>
    <w:p w14:paraId="6AB84DC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承包人提供质量保证金有以下三种方式：</w:t>
      </w:r>
    </w:p>
    <w:p w14:paraId="0AAEA54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（1）质量保证金保函； </w:t>
      </w:r>
    </w:p>
    <w:p w14:paraId="23593B1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（2）相应比例的工程款；</w:t>
      </w:r>
    </w:p>
    <w:p w14:paraId="7AE4213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（3）双方约定的其他方式。</w:t>
      </w:r>
    </w:p>
    <w:p w14:paraId="78A2701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除专用合同条款另有约定外，质量保证金原则上采用上述第（1）种方式。</w:t>
      </w:r>
    </w:p>
    <w:p w14:paraId="1BF13FE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15.3.2 质量保证金的扣留</w:t>
      </w:r>
    </w:p>
    <w:p w14:paraId="490EB65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质量保证金的扣留有以下三种方式：</w:t>
      </w:r>
    </w:p>
    <w:p w14:paraId="024E2E4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（1）在支付工程进度款时逐次扣留，在此情形下，质量保证金的计算基数不包括预付款的支付、扣回以及价格调整的金额；</w:t>
      </w:r>
    </w:p>
    <w:p w14:paraId="088C11A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（2）工</w:t>
      </w:r>
      <w:bookmarkStart w:id="487" w:name="#go6"/>
      <w:bookmarkEnd w:id="487"/>
      <w:r>
        <w:rPr>
          <w:rFonts w:ascii="Times New Roman" w:hAnsi="Times New Roman"/>
          <w:color w:val="auto"/>
          <w:sz w:val="21"/>
          <w:szCs w:val="21"/>
          <w:highlight w:val="none"/>
        </w:rPr>
        <w:t>程竣工结算时一次性扣留质量保证金；</w:t>
      </w:r>
    </w:p>
    <w:p w14:paraId="4A8E1B5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（3）双方约定的其他扣留方式。</w:t>
      </w:r>
    </w:p>
    <w:p w14:paraId="1EF385F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除专用合同条款另有约定外，质量保证金的扣留原则上采用上述第（1）种方式。</w:t>
      </w:r>
    </w:p>
    <w:p w14:paraId="4AF7E20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w:t>
      </w:r>
      <w:bookmarkStart w:id="488" w:name="#go4"/>
      <w:bookmarkEnd w:id="488"/>
      <w:r>
        <w:rPr>
          <w:rFonts w:ascii="Times New Roman" w:hAnsi="Times New Roman"/>
          <w:color w:val="auto"/>
          <w:sz w:val="21"/>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A818DC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发包人在退还质量保证金的同时按照中国人民银行发布的同期同类贷款基准利率支付利息。</w:t>
      </w:r>
    </w:p>
    <w:p w14:paraId="28E1EE1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15.3.3 质量保证金的退还</w:t>
      </w:r>
    </w:p>
    <w:p w14:paraId="36678EE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缺陷责任期内，承包人认真履行合同约定的责任，到期后，承包人可向发包人申请返还保证金。</w:t>
      </w:r>
    </w:p>
    <w:p w14:paraId="462D048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9C786E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发包人和承包人对保证金预留、返还以及工程维修质量、费用有争议的，按本合同第20条约定的争议和纠纷解决程序处理。</w:t>
      </w:r>
    </w:p>
    <w:p w14:paraId="484A26DF">
      <w:pPr>
        <w:spacing w:line="360" w:lineRule="auto"/>
        <w:rPr>
          <w:rFonts w:ascii="Times New Roman" w:hAnsi="Times New Roman"/>
          <w:color w:val="auto"/>
          <w:sz w:val="21"/>
          <w:szCs w:val="21"/>
          <w:highlight w:val="none"/>
        </w:rPr>
      </w:pPr>
      <w:bookmarkStart w:id="489" w:name="_Toc351203602"/>
      <w:bookmarkStart w:id="490" w:name="_Toc337558819"/>
      <w:r>
        <w:rPr>
          <w:rFonts w:ascii="Times New Roman" w:hAnsi="Times New Roman"/>
          <w:color w:val="auto"/>
          <w:sz w:val="21"/>
          <w:szCs w:val="21"/>
          <w:highlight w:val="none"/>
        </w:rPr>
        <w:t>15.4 保修</w:t>
      </w:r>
      <w:bookmarkEnd w:id="489"/>
    </w:p>
    <w:bookmarkEnd w:id="485"/>
    <w:bookmarkEnd w:id="486"/>
    <w:bookmarkEnd w:id="490"/>
    <w:p w14:paraId="55F7C61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15.4.1保修责任</w:t>
      </w:r>
    </w:p>
    <w:p w14:paraId="5F80774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BB7172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发包人未经竣工验收擅自使用工程的，保修期自转移占有之日起算。</w:t>
      </w:r>
    </w:p>
    <w:p w14:paraId="0A706A8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15.4.2 修复费用</w:t>
      </w:r>
    </w:p>
    <w:p w14:paraId="3923FD9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保修期内，修复的费用按照以下约定处理：</w:t>
      </w:r>
    </w:p>
    <w:p w14:paraId="138F28E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（1）保修期内，因承包人原因造成工程的缺陷、损坏，承包人应负责修复，并承担修复的费用以及因工程的缺陷、损坏造成的人身伤害和财产损失；</w:t>
      </w:r>
    </w:p>
    <w:p w14:paraId="6340CD8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（2）保修期内，因发包人使用不当造成工程的缺陷、损坏，可以委托承包人修复，但发包人应承担修复的费用，并支付承包人合理利润；</w:t>
      </w:r>
    </w:p>
    <w:p w14:paraId="7CF84F7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3C3A8CB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15.4.3 修复通知</w:t>
      </w:r>
    </w:p>
    <w:p w14:paraId="6BD0482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289478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15.4.4 未能修复</w:t>
      </w:r>
    </w:p>
    <w:p w14:paraId="42EC23B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B2EED9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15.4.5 承包人出入权</w:t>
      </w:r>
    </w:p>
    <w:p w14:paraId="2559B70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102B031">
      <w:pPr>
        <w:spacing w:line="360" w:lineRule="auto"/>
        <w:rPr>
          <w:rFonts w:ascii="Times New Roman" w:hAnsi="Times New Roman"/>
          <w:color w:val="auto"/>
          <w:sz w:val="21"/>
          <w:szCs w:val="21"/>
          <w:highlight w:val="none"/>
        </w:rPr>
      </w:pPr>
      <w:bookmarkStart w:id="491" w:name="_Toc351203603"/>
      <w:bookmarkStart w:id="492" w:name="_Toc337558820"/>
      <w:r>
        <w:rPr>
          <w:rFonts w:ascii="Times New Roman" w:hAnsi="Times New Roman"/>
          <w:color w:val="auto"/>
          <w:sz w:val="21"/>
          <w:szCs w:val="21"/>
          <w:highlight w:val="none"/>
        </w:rPr>
        <w:t>16. 违约</w:t>
      </w:r>
      <w:bookmarkEnd w:id="491"/>
    </w:p>
    <w:bookmarkEnd w:id="492"/>
    <w:p w14:paraId="26E79137">
      <w:pPr>
        <w:spacing w:line="360" w:lineRule="auto"/>
        <w:rPr>
          <w:rFonts w:ascii="Times New Roman" w:hAnsi="Times New Roman"/>
          <w:color w:val="auto"/>
          <w:sz w:val="21"/>
          <w:szCs w:val="21"/>
          <w:highlight w:val="none"/>
        </w:rPr>
      </w:pPr>
      <w:bookmarkStart w:id="493" w:name="_Toc296503129"/>
      <w:bookmarkStart w:id="494" w:name="_Toc296346630"/>
      <w:bookmarkStart w:id="495" w:name="_Toc351203604"/>
      <w:bookmarkStart w:id="496" w:name="_Toc337558821"/>
      <w:r>
        <w:rPr>
          <w:rFonts w:ascii="Times New Roman" w:hAnsi="Times New Roman"/>
          <w:color w:val="auto"/>
          <w:sz w:val="21"/>
          <w:szCs w:val="21"/>
          <w:highlight w:val="none"/>
        </w:rPr>
        <w:t>16.1 发</w:t>
      </w:r>
      <w:bookmarkEnd w:id="493"/>
      <w:bookmarkEnd w:id="494"/>
      <w:r>
        <w:rPr>
          <w:rFonts w:ascii="Times New Roman" w:hAnsi="Times New Roman"/>
          <w:color w:val="auto"/>
          <w:sz w:val="21"/>
          <w:szCs w:val="21"/>
          <w:highlight w:val="none"/>
        </w:rPr>
        <w:t>包人违约</w:t>
      </w:r>
      <w:bookmarkEnd w:id="495"/>
    </w:p>
    <w:bookmarkEnd w:id="496"/>
    <w:p w14:paraId="673AFAA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16.1.1 发包人违约的情形</w:t>
      </w:r>
    </w:p>
    <w:p w14:paraId="24C52D1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在合同履行过程中发生的下列情形，属于发包人违约：</w:t>
      </w:r>
    </w:p>
    <w:p w14:paraId="1576D30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（1）因发包人原因未能在计划开工日期前7天内下达开工通知的；</w:t>
      </w:r>
    </w:p>
    <w:p w14:paraId="5C1FBDC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（2）因发包人原因未能按合同约定支付合同价款的；</w:t>
      </w:r>
    </w:p>
    <w:p w14:paraId="5C5A4DD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（3）发包人违反第10.1款〔变更的范围〕第（2）项约定，自行实施被取消的工作或转由他人实施的；</w:t>
      </w:r>
    </w:p>
    <w:p w14:paraId="61AE23A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（4）发包人提供的材料、工程设备的规格、数量或质量不符合合同约定，或因发包人原因导致交货日期延误或交货地点变更等情况的；</w:t>
      </w:r>
    </w:p>
    <w:p w14:paraId="40EA020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（5）因发包人违反合同约定造成暂停施工的；</w:t>
      </w:r>
    </w:p>
    <w:p w14:paraId="31F3F46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（6）发包人无正当理由没有在约定期限内发出复工指示，导致承包人无法复工的；</w:t>
      </w:r>
    </w:p>
    <w:p w14:paraId="7C4D90A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（7）发包人明确表示或者以其行为表明不履行合同主要义务的；</w:t>
      </w:r>
    </w:p>
    <w:p w14:paraId="6AA0F2E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（8）发包人未能按照合同约定履行其他义务的。</w:t>
      </w:r>
    </w:p>
    <w:p w14:paraId="103CD70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411FBE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16.1.2 发包人违约的责任</w:t>
      </w:r>
    </w:p>
    <w:p w14:paraId="775D3BA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00D005E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16.1.3 因发包人违约解除合同</w:t>
      </w:r>
    </w:p>
    <w:p w14:paraId="1F61CE1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0B9E515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16.1.4 因发包人违约解除合同后的付款</w:t>
      </w:r>
    </w:p>
    <w:p w14:paraId="3567163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承包人按照本款约定解除合同的，发包人应在解除合同后28天内支付下列款项，并解除履约担保：</w:t>
      </w:r>
    </w:p>
    <w:p w14:paraId="42A4FAF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（1）合同解除前所完成工作的价款；</w:t>
      </w:r>
    </w:p>
    <w:p w14:paraId="7393408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（2）承包人为工程施工订购并已付款的材料、工程设备和其他物品的价款；</w:t>
      </w:r>
    </w:p>
    <w:p w14:paraId="33CA6CD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（3）承包人撤离施工现场以及遣散承包人人员的款项；</w:t>
      </w:r>
    </w:p>
    <w:p w14:paraId="54FC983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（4）按照合同约定在合同解除前应支付的违约金；</w:t>
      </w:r>
    </w:p>
    <w:p w14:paraId="3446260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（5）按照合同约定应当支付给承包人的其他款项；</w:t>
      </w:r>
    </w:p>
    <w:p w14:paraId="4E45BB1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（6）按照合同约定应退还的质量保证金；</w:t>
      </w:r>
    </w:p>
    <w:p w14:paraId="07C9323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（7）因解除合同给承包人造成的损失。</w:t>
      </w:r>
    </w:p>
    <w:p w14:paraId="4DD8448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合同当事人未能就解除合同后的结清达成一致的，按照第20条〔争议解决〕的约定处理。</w:t>
      </w:r>
    </w:p>
    <w:p w14:paraId="1124283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承包人应妥善做好已完合格工程和与工程有关的已购材料、工程设备的保护和移交工作，并将施工设备和人员撤出施工现场，发包人应为承包人撤出提供必要条件。</w:t>
      </w:r>
    </w:p>
    <w:p w14:paraId="7965D8C7">
      <w:pPr>
        <w:spacing w:line="360" w:lineRule="auto"/>
        <w:rPr>
          <w:rFonts w:ascii="Times New Roman" w:hAnsi="Times New Roman"/>
          <w:color w:val="auto"/>
          <w:sz w:val="21"/>
          <w:szCs w:val="21"/>
          <w:highlight w:val="none"/>
        </w:rPr>
      </w:pPr>
      <w:bookmarkStart w:id="497" w:name="_Toc351203605"/>
      <w:bookmarkStart w:id="498" w:name="_Toc337558822"/>
      <w:bookmarkStart w:id="499" w:name="_Toc296503131"/>
      <w:bookmarkStart w:id="500" w:name="_Toc296346632"/>
      <w:r>
        <w:rPr>
          <w:rFonts w:ascii="Times New Roman" w:hAnsi="Times New Roman"/>
          <w:color w:val="auto"/>
          <w:sz w:val="21"/>
          <w:szCs w:val="21"/>
          <w:highlight w:val="none"/>
        </w:rPr>
        <w:t>16.2 承包人违约</w:t>
      </w:r>
      <w:bookmarkEnd w:id="497"/>
    </w:p>
    <w:bookmarkEnd w:id="498"/>
    <w:bookmarkEnd w:id="499"/>
    <w:bookmarkEnd w:id="500"/>
    <w:p w14:paraId="7337951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16.2.1 承包人违约的情形</w:t>
      </w:r>
    </w:p>
    <w:p w14:paraId="4298346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在合同履行过程中发生的下列情形，属于承包人违约：</w:t>
      </w:r>
    </w:p>
    <w:p w14:paraId="3C4630D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（1）承包人违反合同约定进行转包或违法分包的；</w:t>
      </w:r>
    </w:p>
    <w:p w14:paraId="29908D4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（2）承包人违反合同约定采购和使用不合格的材料和工程设备的；</w:t>
      </w:r>
    </w:p>
    <w:p w14:paraId="73CD9B0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（3）因承包人原因导致工程质量不符合合同要求的； </w:t>
      </w:r>
    </w:p>
    <w:p w14:paraId="2806B06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（4）承包人违反第8.9款〔材料与设备专用要求〕的约定，未经批准，私自将已按照合同约定进入施工现场的材料或设备撤离施工现场的；</w:t>
      </w:r>
    </w:p>
    <w:p w14:paraId="31AD5A9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（5）承包人未能按施工进度计划及时完成合同约定的工作，造成工期延误的；</w:t>
      </w:r>
    </w:p>
    <w:p w14:paraId="08BC3E0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（6）承包人在缺陷责任期及保修期内，未能在合理期限对工程缺陷进行修复，或拒绝按发包人要求进行修复的；</w:t>
      </w:r>
    </w:p>
    <w:p w14:paraId="13BAF35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（7）承包人明确表示或者以其行为表明不履行合同主要义务的；</w:t>
      </w:r>
    </w:p>
    <w:p w14:paraId="3D3A4B9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（8）承包人未能按照合同约定履行其他义务的。</w:t>
      </w:r>
    </w:p>
    <w:p w14:paraId="1022908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承包人发生除本项第（7）目约定以外的其他违约情况时，监理人可向承包人发出整改通知，要求其在指定的期限内改正。</w:t>
      </w:r>
    </w:p>
    <w:p w14:paraId="55DE96E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16.2.2 承包人违约的责任</w:t>
      </w:r>
    </w:p>
    <w:p w14:paraId="7B22063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承包人应承担因其违约行为而增加的费用和（或）延误的工期。此外，合同当事人可在专用合同条款中另行约定承包人违约责任的承担方式和计算方法。</w:t>
      </w:r>
    </w:p>
    <w:p w14:paraId="26DACEF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16.2.3 因承包人违约解除合同</w:t>
      </w:r>
    </w:p>
    <w:p w14:paraId="13DF2F0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900619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16.2.4因承包人违约解除合同后的处理</w:t>
      </w:r>
    </w:p>
    <w:p w14:paraId="417455D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因承包人原因导致合同解除的，则合同当事人应在合同解除后28天内完成估价、付款和清算，并按以下约定执行：</w:t>
      </w:r>
    </w:p>
    <w:p w14:paraId="2D8285E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（1）合同解除后，按第4.4款〔商定或确定〕商定或确定承包人实际完成工作对应的合同价款，以及承包人已提供的材料、工程设备、施工设备和临时工程等的价值；</w:t>
      </w:r>
    </w:p>
    <w:p w14:paraId="64AC10D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（2）合同解除后，承包人应支付的违约金；</w:t>
      </w:r>
    </w:p>
    <w:p w14:paraId="56CE365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（3）合同解除后，因解除合同给发包人造成的损失；</w:t>
      </w:r>
    </w:p>
    <w:p w14:paraId="0AC6347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（4）合同解除后，承包人应按照发包人要求和监理人的指示完成现场的清理和撤离；</w:t>
      </w:r>
    </w:p>
    <w:p w14:paraId="5C27785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（5）发包人和承包人应在合同解除后进行清算，出具最终结清付款证书，结清全部款项。</w:t>
      </w:r>
    </w:p>
    <w:p w14:paraId="1EEC56B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AD6C92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16.2.5采购合同权益转让</w:t>
      </w:r>
    </w:p>
    <w:p w14:paraId="0625FB7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F0B041A">
      <w:pPr>
        <w:spacing w:line="360" w:lineRule="auto"/>
        <w:rPr>
          <w:rFonts w:ascii="Times New Roman" w:hAnsi="Times New Roman"/>
          <w:color w:val="auto"/>
          <w:sz w:val="21"/>
          <w:szCs w:val="21"/>
          <w:highlight w:val="none"/>
        </w:rPr>
      </w:pPr>
      <w:bookmarkStart w:id="501" w:name="_Toc351203606"/>
      <w:r>
        <w:rPr>
          <w:rFonts w:ascii="Times New Roman" w:hAnsi="Times New Roman"/>
          <w:color w:val="auto"/>
          <w:sz w:val="21"/>
          <w:szCs w:val="21"/>
          <w:highlight w:val="none"/>
        </w:rPr>
        <w:t>16.3 第三人造成的违约</w:t>
      </w:r>
      <w:bookmarkEnd w:id="501"/>
    </w:p>
    <w:p w14:paraId="7D37B5A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249272C6">
      <w:pPr>
        <w:spacing w:line="360" w:lineRule="auto"/>
        <w:rPr>
          <w:rFonts w:ascii="Times New Roman" w:hAnsi="Times New Roman"/>
          <w:color w:val="auto"/>
          <w:sz w:val="21"/>
          <w:szCs w:val="21"/>
          <w:highlight w:val="none"/>
        </w:rPr>
      </w:pPr>
      <w:bookmarkStart w:id="502" w:name="_Toc351203607"/>
      <w:bookmarkStart w:id="503" w:name="_Toc296346617"/>
      <w:bookmarkStart w:id="504" w:name="_Toc337558823"/>
      <w:bookmarkStart w:id="505" w:name="_Toc296503116"/>
      <w:r>
        <w:rPr>
          <w:rFonts w:ascii="Times New Roman" w:hAnsi="Times New Roman"/>
          <w:color w:val="auto"/>
          <w:sz w:val="21"/>
          <w:szCs w:val="21"/>
          <w:highlight w:val="none"/>
        </w:rPr>
        <w:t>17. 不可抗力</w:t>
      </w:r>
      <w:bookmarkEnd w:id="502"/>
      <w:r>
        <w:rPr>
          <w:rFonts w:ascii="Times New Roman" w:hAnsi="Times New Roman"/>
          <w:color w:val="auto"/>
          <w:sz w:val="21"/>
          <w:szCs w:val="21"/>
          <w:highlight w:val="none"/>
        </w:rPr>
        <w:t xml:space="preserve"> </w:t>
      </w:r>
      <w:bookmarkEnd w:id="503"/>
      <w:bookmarkEnd w:id="504"/>
      <w:bookmarkEnd w:id="505"/>
    </w:p>
    <w:p w14:paraId="7B8B9BE4">
      <w:pPr>
        <w:spacing w:line="360" w:lineRule="auto"/>
        <w:rPr>
          <w:rFonts w:ascii="Times New Roman" w:hAnsi="Times New Roman"/>
          <w:color w:val="auto"/>
          <w:sz w:val="21"/>
          <w:szCs w:val="21"/>
          <w:highlight w:val="none"/>
        </w:rPr>
      </w:pPr>
      <w:bookmarkStart w:id="506" w:name="_Toc351203608"/>
      <w:bookmarkStart w:id="507" w:name="_Toc337558824"/>
      <w:bookmarkStart w:id="508" w:name="_Toc296503117"/>
      <w:bookmarkStart w:id="509" w:name="_Toc296346618"/>
      <w:r>
        <w:rPr>
          <w:rFonts w:ascii="Times New Roman" w:hAnsi="Times New Roman"/>
          <w:color w:val="auto"/>
          <w:sz w:val="21"/>
          <w:szCs w:val="21"/>
          <w:highlight w:val="none"/>
        </w:rPr>
        <w:t>17.1 不可抗力的确认</w:t>
      </w:r>
      <w:bookmarkEnd w:id="506"/>
    </w:p>
    <w:bookmarkEnd w:id="507"/>
    <w:bookmarkEnd w:id="508"/>
    <w:bookmarkEnd w:id="509"/>
    <w:p w14:paraId="0C24C2B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12B188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7350E9C">
      <w:pPr>
        <w:spacing w:line="360" w:lineRule="auto"/>
        <w:rPr>
          <w:rFonts w:ascii="Times New Roman" w:hAnsi="Times New Roman"/>
          <w:color w:val="auto"/>
          <w:sz w:val="21"/>
          <w:szCs w:val="21"/>
          <w:highlight w:val="none"/>
        </w:rPr>
      </w:pPr>
      <w:bookmarkStart w:id="510" w:name="_Toc351203609"/>
      <w:bookmarkStart w:id="511" w:name="_Toc337558825"/>
      <w:bookmarkStart w:id="512" w:name="_Toc296346619"/>
      <w:bookmarkStart w:id="513" w:name="_Toc296503118"/>
      <w:r>
        <w:rPr>
          <w:rFonts w:ascii="Times New Roman" w:hAnsi="Times New Roman"/>
          <w:color w:val="auto"/>
          <w:sz w:val="21"/>
          <w:szCs w:val="21"/>
          <w:highlight w:val="none"/>
        </w:rPr>
        <w:t>17.2 不可抗力的通知</w:t>
      </w:r>
      <w:bookmarkEnd w:id="510"/>
    </w:p>
    <w:bookmarkEnd w:id="511"/>
    <w:bookmarkEnd w:id="512"/>
    <w:bookmarkEnd w:id="513"/>
    <w:p w14:paraId="121E4EB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10F1F31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DC6E86E">
      <w:pPr>
        <w:spacing w:line="360" w:lineRule="auto"/>
        <w:rPr>
          <w:rFonts w:ascii="Times New Roman" w:hAnsi="Times New Roman"/>
          <w:color w:val="auto"/>
          <w:sz w:val="21"/>
          <w:szCs w:val="21"/>
          <w:highlight w:val="none"/>
        </w:rPr>
      </w:pPr>
      <w:bookmarkStart w:id="514" w:name="_Toc351203610"/>
      <w:bookmarkStart w:id="515" w:name="_Toc296346620"/>
      <w:bookmarkStart w:id="516" w:name="_Toc296503119"/>
      <w:bookmarkStart w:id="517" w:name="_Toc337558826"/>
      <w:r>
        <w:rPr>
          <w:rFonts w:ascii="Times New Roman" w:hAnsi="Times New Roman"/>
          <w:color w:val="auto"/>
          <w:sz w:val="21"/>
          <w:szCs w:val="21"/>
          <w:highlight w:val="none"/>
        </w:rPr>
        <w:t>17.3 不可抗力后果的承担</w:t>
      </w:r>
      <w:bookmarkEnd w:id="514"/>
    </w:p>
    <w:bookmarkEnd w:id="515"/>
    <w:bookmarkEnd w:id="516"/>
    <w:bookmarkEnd w:id="517"/>
    <w:p w14:paraId="069DAA0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17.3.1 不可抗力引起的后果及造成的损失由合同当事人按照法律规定及合同约定各自承担。不可抗力发生前已完成的工程应当按照合同约定进行计量支付。</w:t>
      </w:r>
    </w:p>
    <w:p w14:paraId="18F08C1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17.3.2 不可抗力导致的人员伤亡、财产损失、费用增加和（或）工期延误等后果，由合同当事人按以下原则承担：</w:t>
      </w:r>
    </w:p>
    <w:p w14:paraId="1C918B86">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（1）永久工程、已运至施工现场的材料和工程设备的损坏，以及因工程损坏造成的第三人人员伤亡和财产损失由发包人承担；</w:t>
      </w:r>
    </w:p>
    <w:p w14:paraId="6EB969B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（2）承包人施工设备的损坏由承包人承担；</w:t>
      </w:r>
    </w:p>
    <w:p w14:paraId="244EE1A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（3）发包人和承包人承担各自人员伤亡和财产的损失；</w:t>
      </w:r>
    </w:p>
    <w:p w14:paraId="428C636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9217C8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（5）因不可抗力引起或将引起工期延误，发包人要求赶工的，由此增加的赶工费用由发包人承担；</w:t>
      </w:r>
    </w:p>
    <w:p w14:paraId="60C1E00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（6）承包人在停工期间按照发包人要求照管、清理和修复工程的费用由发包人承担。</w:t>
      </w:r>
    </w:p>
    <w:p w14:paraId="063D25C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不可抗力发生后，合同当事人均应采取措施尽量避免和减少损失的扩大，任何一方当事人没有采取有效措施导致损失扩大的，应对扩大的损失承担责任。</w:t>
      </w:r>
    </w:p>
    <w:p w14:paraId="22D27A8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因合同一方迟延履行合同义务，在迟延履行期间遭遇不可抗力的，不免除其违约责任。</w:t>
      </w:r>
    </w:p>
    <w:p w14:paraId="7D7EFB5F">
      <w:pPr>
        <w:spacing w:line="360" w:lineRule="auto"/>
        <w:rPr>
          <w:rFonts w:ascii="Times New Roman" w:hAnsi="Times New Roman"/>
          <w:color w:val="auto"/>
          <w:sz w:val="21"/>
          <w:szCs w:val="21"/>
          <w:highlight w:val="none"/>
        </w:rPr>
      </w:pPr>
      <w:bookmarkStart w:id="518" w:name="_Toc351203611"/>
      <w:bookmarkStart w:id="519" w:name="_Toc337558827"/>
      <w:r>
        <w:rPr>
          <w:rFonts w:ascii="Times New Roman" w:hAnsi="Times New Roman"/>
          <w:color w:val="auto"/>
          <w:sz w:val="21"/>
          <w:szCs w:val="21"/>
          <w:highlight w:val="none"/>
        </w:rPr>
        <w:t>17.4 因不可抗力解除合同</w:t>
      </w:r>
      <w:bookmarkEnd w:id="518"/>
    </w:p>
    <w:bookmarkEnd w:id="519"/>
    <w:p w14:paraId="331E19A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8A595E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（1）合同解除前承包人已完成工作的价款；</w:t>
      </w:r>
    </w:p>
    <w:p w14:paraId="7D3BC62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（2）承包人为工程订购的并已交付给承包人，或承包人有责任接受交付的材料、工程设备和其他物品的价款；</w:t>
      </w:r>
    </w:p>
    <w:p w14:paraId="76DF027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（3）发包人要求承包人退货或解除订货合同而产生的费用，或因不能退货或解除合同而产生的损失；</w:t>
      </w:r>
    </w:p>
    <w:p w14:paraId="2749B3E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（4）承包人撤离施工现场以及遣散承包人人员的费用；</w:t>
      </w:r>
    </w:p>
    <w:p w14:paraId="6FFFBA9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（5）按照合同约定在合同解除前应支付给承包人的其他款项；</w:t>
      </w:r>
    </w:p>
    <w:p w14:paraId="29A614A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（6）扣减承包人按照合同约定应向发包人支付的款项；</w:t>
      </w:r>
    </w:p>
    <w:p w14:paraId="5AF266A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（7）双方商定或确定的其他款项。</w:t>
      </w:r>
    </w:p>
    <w:p w14:paraId="3DEBC62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除专用合同条款另有约定外，合同解除后，发包人应在商定或确定上述款项后28天内完成上述款项的支付。</w:t>
      </w:r>
    </w:p>
    <w:p w14:paraId="050A8780">
      <w:pPr>
        <w:spacing w:line="360" w:lineRule="auto"/>
        <w:rPr>
          <w:rFonts w:ascii="Times New Roman" w:hAnsi="Times New Roman"/>
          <w:color w:val="auto"/>
          <w:sz w:val="21"/>
          <w:szCs w:val="21"/>
          <w:highlight w:val="none"/>
        </w:rPr>
      </w:pPr>
      <w:bookmarkStart w:id="520" w:name="_Toc351203612"/>
      <w:bookmarkStart w:id="521" w:name="_Toc296346621"/>
      <w:bookmarkStart w:id="522" w:name="_Toc337558828"/>
      <w:bookmarkStart w:id="523" w:name="_Toc296503120"/>
      <w:r>
        <w:rPr>
          <w:rFonts w:ascii="Times New Roman" w:hAnsi="Times New Roman"/>
          <w:color w:val="auto"/>
          <w:sz w:val="21"/>
          <w:szCs w:val="21"/>
          <w:highlight w:val="none"/>
        </w:rPr>
        <w:t>18. 保险</w:t>
      </w:r>
      <w:bookmarkEnd w:id="520"/>
    </w:p>
    <w:bookmarkEnd w:id="521"/>
    <w:bookmarkEnd w:id="522"/>
    <w:bookmarkEnd w:id="523"/>
    <w:p w14:paraId="2C8EBC59">
      <w:pPr>
        <w:spacing w:line="360" w:lineRule="auto"/>
        <w:rPr>
          <w:rFonts w:ascii="Times New Roman" w:hAnsi="Times New Roman"/>
          <w:color w:val="auto"/>
          <w:sz w:val="21"/>
          <w:szCs w:val="21"/>
          <w:highlight w:val="none"/>
        </w:rPr>
      </w:pPr>
      <w:bookmarkStart w:id="524" w:name="_Toc351203613"/>
      <w:bookmarkStart w:id="525" w:name="_Toc296503121"/>
      <w:bookmarkStart w:id="526" w:name="_Toc337558829"/>
      <w:bookmarkStart w:id="527" w:name="_Toc296346622"/>
      <w:r>
        <w:rPr>
          <w:rFonts w:ascii="Times New Roman" w:hAnsi="Times New Roman"/>
          <w:color w:val="auto"/>
          <w:sz w:val="21"/>
          <w:szCs w:val="21"/>
          <w:highlight w:val="none"/>
        </w:rPr>
        <w:t>18.1 工程保险</w:t>
      </w:r>
      <w:bookmarkEnd w:id="524"/>
    </w:p>
    <w:bookmarkEnd w:id="525"/>
    <w:bookmarkEnd w:id="526"/>
    <w:bookmarkEnd w:id="527"/>
    <w:p w14:paraId="6293BEC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除专用合同条款另有约定外，发包人应投保建筑工程一切险或安装工程一切险；发包人委托承包人投保的，因投保产生的保险费和其他相关费用由发包人承担。</w:t>
      </w:r>
    </w:p>
    <w:p w14:paraId="4DA605DD">
      <w:pPr>
        <w:spacing w:line="360" w:lineRule="auto"/>
        <w:rPr>
          <w:rFonts w:ascii="Times New Roman" w:hAnsi="Times New Roman"/>
          <w:color w:val="auto"/>
          <w:sz w:val="21"/>
          <w:szCs w:val="21"/>
          <w:highlight w:val="none"/>
        </w:rPr>
      </w:pPr>
      <w:bookmarkStart w:id="528" w:name="_Toc351203614"/>
      <w:bookmarkStart w:id="529" w:name="_Toc337558830"/>
      <w:bookmarkStart w:id="530" w:name="_Toc296503122"/>
      <w:bookmarkStart w:id="531" w:name="_Toc296346623"/>
      <w:r>
        <w:rPr>
          <w:rFonts w:ascii="Times New Roman" w:hAnsi="Times New Roman"/>
          <w:color w:val="auto"/>
          <w:sz w:val="21"/>
          <w:szCs w:val="21"/>
          <w:highlight w:val="none"/>
        </w:rPr>
        <w:t>18.2 工伤保险</w:t>
      </w:r>
      <w:bookmarkEnd w:id="528"/>
    </w:p>
    <w:bookmarkEnd w:id="529"/>
    <w:bookmarkEnd w:id="530"/>
    <w:bookmarkEnd w:id="531"/>
    <w:p w14:paraId="18B2E05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07389DB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61780D01">
      <w:pPr>
        <w:spacing w:line="360" w:lineRule="auto"/>
        <w:rPr>
          <w:rFonts w:ascii="Times New Roman" w:hAnsi="Times New Roman"/>
          <w:color w:val="auto"/>
          <w:sz w:val="21"/>
          <w:szCs w:val="21"/>
          <w:highlight w:val="none"/>
        </w:rPr>
      </w:pPr>
      <w:bookmarkStart w:id="532" w:name="_Toc351203615"/>
      <w:bookmarkStart w:id="533" w:name="_Toc296346626"/>
      <w:bookmarkStart w:id="534" w:name="_Toc296503125"/>
      <w:bookmarkStart w:id="535" w:name="_Toc337558831"/>
      <w:r>
        <w:rPr>
          <w:rFonts w:ascii="Times New Roman" w:hAnsi="Times New Roman"/>
          <w:color w:val="auto"/>
          <w:sz w:val="21"/>
          <w:szCs w:val="21"/>
          <w:highlight w:val="none"/>
        </w:rPr>
        <w:t>18.3其他保险</w:t>
      </w:r>
      <w:bookmarkEnd w:id="532"/>
    </w:p>
    <w:bookmarkEnd w:id="533"/>
    <w:bookmarkEnd w:id="534"/>
    <w:bookmarkEnd w:id="535"/>
    <w:p w14:paraId="17D2E6D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52E4881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除专用合同条款另有约定外，承包人应为其施工设备等办理财产保险。</w:t>
      </w:r>
    </w:p>
    <w:p w14:paraId="079059D6">
      <w:pPr>
        <w:spacing w:line="360" w:lineRule="auto"/>
        <w:rPr>
          <w:rFonts w:ascii="Times New Roman" w:hAnsi="Times New Roman"/>
          <w:color w:val="auto"/>
          <w:sz w:val="21"/>
          <w:szCs w:val="21"/>
          <w:highlight w:val="none"/>
        </w:rPr>
      </w:pPr>
      <w:bookmarkStart w:id="536" w:name="_Toc351203616"/>
      <w:r>
        <w:rPr>
          <w:rFonts w:ascii="Times New Roman" w:hAnsi="Times New Roman"/>
          <w:color w:val="auto"/>
          <w:sz w:val="21"/>
          <w:szCs w:val="21"/>
          <w:highlight w:val="none"/>
        </w:rPr>
        <w:t>18.4持续保险</w:t>
      </w:r>
      <w:bookmarkEnd w:id="536"/>
    </w:p>
    <w:p w14:paraId="7FF82B7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合同当事人应与保险人保持联系，使保险人能够随时了解工程实施中的变动，并确保按保险合同条款要求持续保险。</w:t>
      </w:r>
    </w:p>
    <w:p w14:paraId="206F46E9">
      <w:pPr>
        <w:spacing w:line="360" w:lineRule="auto"/>
        <w:rPr>
          <w:rFonts w:ascii="Times New Roman" w:hAnsi="Times New Roman"/>
          <w:color w:val="auto"/>
          <w:sz w:val="21"/>
          <w:szCs w:val="21"/>
          <w:highlight w:val="none"/>
        </w:rPr>
      </w:pPr>
      <w:bookmarkStart w:id="537" w:name="_Toc351203617"/>
      <w:bookmarkStart w:id="538" w:name="_Toc296503126"/>
      <w:bookmarkStart w:id="539" w:name="_Toc337558832"/>
      <w:bookmarkStart w:id="540" w:name="_Toc296346627"/>
      <w:r>
        <w:rPr>
          <w:rFonts w:ascii="Times New Roman" w:hAnsi="Times New Roman"/>
          <w:color w:val="auto"/>
          <w:sz w:val="21"/>
          <w:szCs w:val="21"/>
          <w:highlight w:val="none"/>
        </w:rPr>
        <w:t>18.5 保险凭证</w:t>
      </w:r>
      <w:bookmarkEnd w:id="537"/>
    </w:p>
    <w:bookmarkEnd w:id="538"/>
    <w:bookmarkEnd w:id="539"/>
    <w:bookmarkEnd w:id="540"/>
    <w:p w14:paraId="19A3270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合同当事人应及时向另一方当事人提交其已投保的各项保险的凭证和保险单复印件。</w:t>
      </w:r>
    </w:p>
    <w:p w14:paraId="0A7CEDF2">
      <w:pPr>
        <w:spacing w:line="360" w:lineRule="auto"/>
        <w:rPr>
          <w:rFonts w:ascii="Times New Roman" w:hAnsi="Times New Roman"/>
          <w:color w:val="auto"/>
          <w:sz w:val="21"/>
          <w:szCs w:val="21"/>
          <w:highlight w:val="none"/>
        </w:rPr>
      </w:pPr>
      <w:bookmarkStart w:id="541" w:name="_Toc351203618"/>
      <w:bookmarkStart w:id="542" w:name="_Toc337558833"/>
      <w:bookmarkStart w:id="543" w:name="_Toc296503127"/>
      <w:bookmarkStart w:id="544" w:name="_Toc296346628"/>
      <w:r>
        <w:rPr>
          <w:rFonts w:ascii="Times New Roman" w:hAnsi="Times New Roman"/>
          <w:color w:val="auto"/>
          <w:sz w:val="21"/>
          <w:szCs w:val="21"/>
          <w:highlight w:val="none"/>
        </w:rPr>
        <w:t>18.6 未按约定投保的补救</w:t>
      </w:r>
      <w:bookmarkEnd w:id="541"/>
    </w:p>
    <w:bookmarkEnd w:id="542"/>
    <w:bookmarkEnd w:id="543"/>
    <w:bookmarkEnd w:id="544"/>
    <w:p w14:paraId="7FC3598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4BAC72E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698A426A">
      <w:pPr>
        <w:spacing w:line="360" w:lineRule="auto"/>
        <w:rPr>
          <w:rFonts w:ascii="Times New Roman" w:hAnsi="Times New Roman"/>
          <w:color w:val="auto"/>
          <w:sz w:val="21"/>
          <w:szCs w:val="21"/>
          <w:highlight w:val="none"/>
        </w:rPr>
      </w:pPr>
      <w:bookmarkStart w:id="545" w:name="_Toc351203619"/>
      <w:bookmarkStart w:id="546" w:name="_Toc337558834"/>
      <w:r>
        <w:rPr>
          <w:rFonts w:ascii="Times New Roman" w:hAnsi="Times New Roman"/>
          <w:color w:val="auto"/>
          <w:sz w:val="21"/>
          <w:szCs w:val="21"/>
          <w:highlight w:val="none"/>
        </w:rPr>
        <w:t>18.7 通知义务</w:t>
      </w:r>
      <w:bookmarkEnd w:id="545"/>
    </w:p>
    <w:bookmarkEnd w:id="546"/>
    <w:p w14:paraId="362876B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168433E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保险事故发生时，投保人应按照保险合同规定的条件和期限及时向保险人报告。发包人和承包人应当在知道保险事故发生后及时通知对方。</w:t>
      </w:r>
    </w:p>
    <w:p w14:paraId="5041E3EB">
      <w:pPr>
        <w:spacing w:line="360" w:lineRule="auto"/>
        <w:rPr>
          <w:rFonts w:ascii="Times New Roman" w:hAnsi="Times New Roman"/>
          <w:color w:val="auto"/>
          <w:sz w:val="21"/>
          <w:szCs w:val="21"/>
          <w:highlight w:val="none"/>
        </w:rPr>
      </w:pPr>
      <w:bookmarkStart w:id="547" w:name="_Toc351203620"/>
      <w:bookmarkStart w:id="548" w:name="_Toc337558835"/>
      <w:bookmarkStart w:id="549" w:name="_Toc296346641"/>
      <w:bookmarkStart w:id="550" w:name="_Toc296503140"/>
      <w:r>
        <w:rPr>
          <w:rFonts w:ascii="Times New Roman" w:hAnsi="Times New Roman"/>
          <w:color w:val="auto"/>
          <w:sz w:val="21"/>
          <w:szCs w:val="21"/>
          <w:highlight w:val="none"/>
        </w:rPr>
        <w:t>19. 索赔</w:t>
      </w:r>
      <w:bookmarkEnd w:id="547"/>
    </w:p>
    <w:bookmarkEnd w:id="548"/>
    <w:bookmarkEnd w:id="549"/>
    <w:bookmarkEnd w:id="550"/>
    <w:p w14:paraId="00E0C5CD">
      <w:pPr>
        <w:spacing w:line="360" w:lineRule="auto"/>
        <w:rPr>
          <w:rFonts w:ascii="Times New Roman" w:hAnsi="Times New Roman"/>
          <w:color w:val="auto"/>
          <w:sz w:val="21"/>
          <w:szCs w:val="21"/>
          <w:highlight w:val="none"/>
        </w:rPr>
      </w:pPr>
      <w:bookmarkStart w:id="551" w:name="_Toc351203621"/>
      <w:bookmarkStart w:id="552" w:name="_Toc337558836"/>
      <w:bookmarkStart w:id="553" w:name="_Toc296503141"/>
      <w:bookmarkStart w:id="554" w:name="_Toc296346642"/>
      <w:r>
        <w:rPr>
          <w:rFonts w:ascii="Times New Roman" w:hAnsi="Times New Roman"/>
          <w:color w:val="auto"/>
          <w:sz w:val="21"/>
          <w:szCs w:val="21"/>
          <w:highlight w:val="none"/>
        </w:rPr>
        <w:t>19.1承包人的索赔</w:t>
      </w:r>
      <w:bookmarkEnd w:id="551"/>
    </w:p>
    <w:bookmarkEnd w:id="552"/>
    <w:bookmarkEnd w:id="553"/>
    <w:bookmarkEnd w:id="554"/>
    <w:p w14:paraId="43735FE8">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根据合同约定，承包人认为有权得到追加付款和（或）延长工期的，应按以下程序向发包人提出索赔：</w:t>
      </w:r>
    </w:p>
    <w:p w14:paraId="7D1C18B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1987A0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27A06B2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（3）索赔事件具有持续影响的，承包人应按合理时间间隔继续递交延续索赔通知，说明持续影响的实际情况和记录，列出累计的追加付款金额和（或）工期延长天数；</w:t>
      </w:r>
    </w:p>
    <w:p w14:paraId="3B395E4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（4）在索赔事件影响结束后28天内，承包人应向监理人递交最终索赔报告，说明最终要求索赔的追加付款金额和（或）延长的工期，并附必要的记录和证明材料。</w:t>
      </w:r>
    </w:p>
    <w:p w14:paraId="14AF3487">
      <w:pPr>
        <w:spacing w:line="360" w:lineRule="auto"/>
        <w:rPr>
          <w:rFonts w:ascii="Times New Roman" w:hAnsi="Times New Roman"/>
          <w:color w:val="auto"/>
          <w:sz w:val="21"/>
          <w:szCs w:val="21"/>
          <w:highlight w:val="none"/>
        </w:rPr>
      </w:pPr>
      <w:bookmarkStart w:id="555" w:name="_Toc351203622"/>
      <w:bookmarkStart w:id="556" w:name="_Toc296503142"/>
      <w:bookmarkStart w:id="557" w:name="_Toc296346643"/>
      <w:bookmarkStart w:id="558" w:name="_Toc337558837"/>
      <w:r>
        <w:rPr>
          <w:rFonts w:ascii="Times New Roman" w:hAnsi="Times New Roman"/>
          <w:color w:val="auto"/>
          <w:sz w:val="21"/>
          <w:szCs w:val="21"/>
          <w:highlight w:val="none"/>
        </w:rPr>
        <w:t>19.2 对承包人索赔的处理</w:t>
      </w:r>
      <w:bookmarkEnd w:id="555"/>
    </w:p>
    <w:bookmarkEnd w:id="556"/>
    <w:bookmarkEnd w:id="557"/>
    <w:bookmarkEnd w:id="558"/>
    <w:p w14:paraId="27EB67B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对承包人索赔的处理如下：</w:t>
      </w:r>
    </w:p>
    <w:p w14:paraId="4094A4B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（1）监理人应在收到索赔报告后14天内完成审查并报送发包人。监理人对索赔报告存在异议的，有权要求承包人提交全部原始记录副本；</w:t>
      </w:r>
    </w:p>
    <w:p w14:paraId="079F40F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339EF41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（3）承包人接受索赔处理结果的，索赔款项在当期进度款中进行支付；承包人不接受索赔处理结果的，按照第20条〔争议解决〕约定处理。</w:t>
      </w:r>
    </w:p>
    <w:p w14:paraId="392EF641">
      <w:pPr>
        <w:spacing w:line="360" w:lineRule="auto"/>
        <w:rPr>
          <w:rFonts w:ascii="Times New Roman" w:hAnsi="Times New Roman"/>
          <w:color w:val="auto"/>
          <w:sz w:val="21"/>
          <w:szCs w:val="21"/>
          <w:highlight w:val="none"/>
        </w:rPr>
      </w:pPr>
      <w:bookmarkStart w:id="559" w:name="_Toc351203623"/>
      <w:bookmarkStart w:id="560" w:name="_Toc337558838"/>
      <w:bookmarkStart w:id="561" w:name="_Toc296503143"/>
      <w:bookmarkStart w:id="562" w:name="_Toc296346644"/>
      <w:r>
        <w:rPr>
          <w:rFonts w:ascii="Times New Roman" w:hAnsi="Times New Roman"/>
          <w:color w:val="auto"/>
          <w:sz w:val="21"/>
          <w:szCs w:val="21"/>
          <w:highlight w:val="none"/>
        </w:rPr>
        <w:t>19.3发包人的索赔</w:t>
      </w:r>
      <w:bookmarkEnd w:id="559"/>
    </w:p>
    <w:bookmarkEnd w:id="560"/>
    <w:bookmarkEnd w:id="561"/>
    <w:bookmarkEnd w:id="562"/>
    <w:p w14:paraId="1A783F2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根据合同约定，发包人认为有权得到赔付金额和（或）延长缺陷责任期的，监理人应向承包人发出通知并附有详细的证明。</w:t>
      </w:r>
    </w:p>
    <w:p w14:paraId="5ECAD38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80B7F5D">
      <w:pPr>
        <w:spacing w:line="360" w:lineRule="auto"/>
        <w:rPr>
          <w:rFonts w:ascii="Times New Roman" w:hAnsi="Times New Roman"/>
          <w:color w:val="auto"/>
          <w:sz w:val="21"/>
          <w:szCs w:val="21"/>
          <w:highlight w:val="none"/>
        </w:rPr>
      </w:pPr>
      <w:bookmarkStart w:id="563" w:name="_Toc351203624"/>
      <w:bookmarkStart w:id="564" w:name="_Toc337558839"/>
      <w:bookmarkStart w:id="565" w:name="_Toc296346645"/>
      <w:bookmarkStart w:id="566" w:name="_Toc296503144"/>
      <w:r>
        <w:rPr>
          <w:rFonts w:ascii="Times New Roman" w:hAnsi="Times New Roman"/>
          <w:color w:val="auto"/>
          <w:sz w:val="21"/>
          <w:szCs w:val="21"/>
          <w:highlight w:val="none"/>
        </w:rPr>
        <w:t>19.4 对发包人索赔的处理</w:t>
      </w:r>
      <w:bookmarkEnd w:id="563"/>
    </w:p>
    <w:bookmarkEnd w:id="564"/>
    <w:bookmarkEnd w:id="565"/>
    <w:bookmarkEnd w:id="566"/>
    <w:p w14:paraId="5EB3604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对发包人索赔的处理如下：</w:t>
      </w:r>
    </w:p>
    <w:p w14:paraId="7A5E4262">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（1）承包人收到发包人提交的索赔报告后，应及时审查索赔报告的内容、查验发包人证明材料；</w:t>
      </w:r>
    </w:p>
    <w:p w14:paraId="1DCA4C0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0A20CFA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7361C69E">
      <w:pPr>
        <w:spacing w:line="360" w:lineRule="auto"/>
        <w:rPr>
          <w:rFonts w:ascii="Times New Roman" w:hAnsi="Times New Roman"/>
          <w:color w:val="auto"/>
          <w:sz w:val="21"/>
          <w:szCs w:val="21"/>
          <w:highlight w:val="none"/>
        </w:rPr>
      </w:pPr>
      <w:bookmarkStart w:id="567" w:name="_Toc351203625"/>
      <w:r>
        <w:rPr>
          <w:rFonts w:ascii="Times New Roman" w:hAnsi="Times New Roman"/>
          <w:color w:val="auto"/>
          <w:sz w:val="21"/>
          <w:szCs w:val="21"/>
          <w:highlight w:val="none"/>
        </w:rPr>
        <w:t>19.5 提出索赔的期限</w:t>
      </w:r>
      <w:bookmarkEnd w:id="567"/>
    </w:p>
    <w:p w14:paraId="6CAC689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（1）承包人按第14.2款〔竣工结算审核〕约定接收竣工付款证书后，应被视为已无权再提出在工程接收证书颁发前所发生的任何索赔。</w:t>
      </w:r>
    </w:p>
    <w:p w14:paraId="6160D9D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（2）承包人按第14.4款〔最终结清〕提交的最终结清申请单中，只限于提出工程接收证书颁发后发生的索赔。提出索赔的期限自接受最终结清证书时终止。</w:t>
      </w:r>
    </w:p>
    <w:p w14:paraId="5FA06E56">
      <w:pPr>
        <w:spacing w:line="360" w:lineRule="auto"/>
        <w:rPr>
          <w:rFonts w:ascii="Times New Roman" w:hAnsi="Times New Roman"/>
          <w:color w:val="auto"/>
          <w:sz w:val="21"/>
          <w:szCs w:val="21"/>
          <w:highlight w:val="none"/>
        </w:rPr>
      </w:pPr>
      <w:bookmarkStart w:id="568" w:name="_Toc351203626"/>
      <w:r>
        <w:rPr>
          <w:rFonts w:ascii="Times New Roman" w:hAnsi="Times New Roman"/>
          <w:color w:val="auto"/>
          <w:sz w:val="21"/>
          <w:szCs w:val="21"/>
          <w:highlight w:val="none"/>
        </w:rPr>
        <w:t>20</w:t>
      </w:r>
      <w:bookmarkStart w:id="569" w:name="_Toc296503146"/>
      <w:bookmarkStart w:id="570" w:name="_Toc296346647"/>
      <w:bookmarkStart w:id="571" w:name="_Toc337558840"/>
      <w:r>
        <w:rPr>
          <w:rFonts w:ascii="Times New Roman" w:hAnsi="Times New Roman"/>
          <w:color w:val="auto"/>
          <w:sz w:val="21"/>
          <w:szCs w:val="21"/>
          <w:highlight w:val="none"/>
        </w:rPr>
        <w:t>. 争议解决</w:t>
      </w:r>
      <w:bookmarkEnd w:id="568"/>
    </w:p>
    <w:bookmarkEnd w:id="569"/>
    <w:bookmarkEnd w:id="570"/>
    <w:bookmarkEnd w:id="571"/>
    <w:p w14:paraId="683C24C3">
      <w:pPr>
        <w:spacing w:line="360" w:lineRule="auto"/>
        <w:rPr>
          <w:rFonts w:ascii="Times New Roman" w:hAnsi="Times New Roman"/>
          <w:color w:val="auto"/>
          <w:sz w:val="21"/>
          <w:szCs w:val="21"/>
          <w:highlight w:val="none"/>
        </w:rPr>
      </w:pPr>
      <w:bookmarkStart w:id="572" w:name="_Toc351203627"/>
      <w:bookmarkStart w:id="573" w:name="_Toc296346648"/>
      <w:bookmarkStart w:id="574" w:name="_Toc337558841"/>
      <w:bookmarkStart w:id="575" w:name="_Toc296503147"/>
      <w:r>
        <w:rPr>
          <w:rFonts w:ascii="Times New Roman" w:hAnsi="Times New Roman"/>
          <w:color w:val="auto"/>
          <w:sz w:val="21"/>
          <w:szCs w:val="21"/>
          <w:highlight w:val="none"/>
        </w:rPr>
        <w:t>20.1和解</w:t>
      </w:r>
      <w:bookmarkEnd w:id="572"/>
    </w:p>
    <w:bookmarkEnd w:id="573"/>
    <w:bookmarkEnd w:id="574"/>
    <w:bookmarkEnd w:id="575"/>
    <w:p w14:paraId="7F3F5F9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合同当事人可以就争议自行和解，自行和解达成协议的经双方签字并盖章后作为合同补充文件，双方均应遵照执行。</w:t>
      </w:r>
    </w:p>
    <w:p w14:paraId="04BA43B4">
      <w:pPr>
        <w:spacing w:line="360" w:lineRule="auto"/>
        <w:rPr>
          <w:rFonts w:ascii="Times New Roman" w:hAnsi="Times New Roman"/>
          <w:color w:val="auto"/>
          <w:sz w:val="21"/>
          <w:szCs w:val="21"/>
          <w:highlight w:val="none"/>
        </w:rPr>
      </w:pPr>
      <w:bookmarkStart w:id="576" w:name="_Toc351203628"/>
      <w:r>
        <w:rPr>
          <w:rFonts w:ascii="Times New Roman" w:hAnsi="Times New Roman"/>
          <w:color w:val="auto"/>
          <w:sz w:val="21"/>
          <w:szCs w:val="21"/>
          <w:highlight w:val="none"/>
        </w:rPr>
        <w:t>20</w:t>
      </w:r>
      <w:bookmarkStart w:id="577" w:name="_Toc337558842"/>
      <w:bookmarkStart w:id="578" w:name="_Toc296503148"/>
      <w:bookmarkStart w:id="579" w:name="_Toc296346649"/>
      <w:r>
        <w:rPr>
          <w:rFonts w:ascii="Times New Roman" w:hAnsi="Times New Roman"/>
          <w:color w:val="auto"/>
          <w:sz w:val="21"/>
          <w:szCs w:val="21"/>
          <w:highlight w:val="none"/>
        </w:rPr>
        <w:t>.2调解</w:t>
      </w:r>
      <w:bookmarkEnd w:id="576"/>
    </w:p>
    <w:bookmarkEnd w:id="577"/>
    <w:bookmarkEnd w:id="578"/>
    <w:bookmarkEnd w:id="579"/>
    <w:p w14:paraId="4332E1B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合同当事人可以就争议请求建设行政主管部门、行业协会或其他第三方进行调解，调解达成协议的，经双方签字并盖章后作为合同补充文件，双方均应遵照执行。</w:t>
      </w:r>
    </w:p>
    <w:p w14:paraId="1E275B52">
      <w:pPr>
        <w:spacing w:line="360" w:lineRule="auto"/>
        <w:rPr>
          <w:rFonts w:ascii="Times New Roman" w:hAnsi="Times New Roman"/>
          <w:color w:val="auto"/>
          <w:sz w:val="21"/>
          <w:szCs w:val="21"/>
          <w:highlight w:val="none"/>
        </w:rPr>
      </w:pPr>
      <w:bookmarkStart w:id="580" w:name="_Toc351203629"/>
      <w:bookmarkStart w:id="581" w:name="_Toc296503149"/>
      <w:bookmarkStart w:id="582" w:name="_Toc337558843"/>
      <w:bookmarkStart w:id="583" w:name="_Toc296346650"/>
      <w:r>
        <w:rPr>
          <w:rFonts w:ascii="Times New Roman" w:hAnsi="Times New Roman"/>
          <w:color w:val="auto"/>
          <w:sz w:val="21"/>
          <w:szCs w:val="21"/>
          <w:highlight w:val="none"/>
        </w:rPr>
        <w:t>20.3争议评审</w:t>
      </w:r>
      <w:bookmarkEnd w:id="580"/>
    </w:p>
    <w:bookmarkEnd w:id="581"/>
    <w:bookmarkEnd w:id="582"/>
    <w:bookmarkEnd w:id="583"/>
    <w:p w14:paraId="7B5E06D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合同当事人在专用合同条款中约定采取争议评审方式解决争议以及评审规则，并按下列约定执行： </w:t>
      </w:r>
    </w:p>
    <w:p w14:paraId="5EEEBCA9">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20.3.1 争议评审小组的确定</w:t>
      </w:r>
    </w:p>
    <w:p w14:paraId="4854CFA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73DCC0B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C43813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除专用合同条款另有约定外，评审员报酬由发包人和承包人各承担一半。</w:t>
      </w:r>
    </w:p>
    <w:p w14:paraId="154CD21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20.3.2 争议评审小组的决定</w:t>
      </w:r>
    </w:p>
    <w:p w14:paraId="6D6022A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6B3E05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20.3.3 争议评审小组决定的效力</w:t>
      </w:r>
    </w:p>
    <w:p w14:paraId="47E9A4D4">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争议评审小组作出的书面决定经合同当事人签字确认后，对双方具有约束力，双方应遵照执行。</w:t>
      </w:r>
    </w:p>
    <w:p w14:paraId="7A39DA4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任何一方当事人不接受争议评审小组决定或不履行争议评审小组决定的，双方可选择采用其他争议解决方式。</w:t>
      </w:r>
    </w:p>
    <w:p w14:paraId="590C1EFF">
      <w:pPr>
        <w:spacing w:line="360" w:lineRule="auto"/>
        <w:rPr>
          <w:rFonts w:ascii="Times New Roman" w:hAnsi="Times New Roman"/>
          <w:color w:val="auto"/>
          <w:sz w:val="21"/>
          <w:szCs w:val="21"/>
          <w:highlight w:val="none"/>
        </w:rPr>
      </w:pPr>
      <w:bookmarkStart w:id="584" w:name="_Toc351203630"/>
      <w:bookmarkStart w:id="585" w:name="_Toc296346651"/>
      <w:bookmarkStart w:id="586" w:name="_Toc337558844"/>
      <w:bookmarkStart w:id="587" w:name="_Toc296503150"/>
      <w:r>
        <w:rPr>
          <w:rFonts w:ascii="Times New Roman" w:hAnsi="Times New Roman"/>
          <w:color w:val="auto"/>
          <w:sz w:val="21"/>
          <w:szCs w:val="21"/>
          <w:highlight w:val="none"/>
        </w:rPr>
        <w:t>20.4仲裁或诉讼</w:t>
      </w:r>
      <w:bookmarkEnd w:id="584"/>
    </w:p>
    <w:bookmarkEnd w:id="585"/>
    <w:bookmarkEnd w:id="586"/>
    <w:bookmarkEnd w:id="587"/>
    <w:p w14:paraId="5A6C70B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因合同及合同有关事项产生的争议，合同当事人可以在专用合同条款中约定以下一种方式解决争议：</w:t>
      </w:r>
    </w:p>
    <w:p w14:paraId="2C30F7DB">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（1）向约定的仲裁委员会申请仲裁；</w:t>
      </w:r>
    </w:p>
    <w:p w14:paraId="4D98B7A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（2）向有管辖权的人民法院起诉。</w:t>
      </w:r>
    </w:p>
    <w:p w14:paraId="457446AA">
      <w:pPr>
        <w:spacing w:line="360" w:lineRule="auto"/>
        <w:rPr>
          <w:rFonts w:ascii="Times New Roman" w:hAnsi="Times New Roman"/>
          <w:color w:val="auto"/>
          <w:sz w:val="21"/>
          <w:szCs w:val="21"/>
          <w:highlight w:val="none"/>
        </w:rPr>
      </w:pPr>
      <w:bookmarkStart w:id="588" w:name="_Toc351203631"/>
      <w:bookmarkStart w:id="589" w:name="_Toc337558845"/>
      <w:bookmarkStart w:id="590" w:name="_Toc296346653"/>
      <w:bookmarkStart w:id="591" w:name="_Toc296503152"/>
      <w:r>
        <w:rPr>
          <w:rFonts w:ascii="Times New Roman" w:hAnsi="Times New Roman"/>
          <w:color w:val="auto"/>
          <w:sz w:val="21"/>
          <w:szCs w:val="21"/>
          <w:highlight w:val="none"/>
        </w:rPr>
        <w:t>20.5争议解决条款效力</w:t>
      </w:r>
      <w:bookmarkEnd w:id="588"/>
    </w:p>
    <w:bookmarkEnd w:id="589"/>
    <w:bookmarkEnd w:id="590"/>
    <w:bookmarkEnd w:id="591"/>
    <w:p w14:paraId="63A011AA">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合同有关争议解决的条款独立存在，合同的变更、解除、终止、无效或者被撤销均不影响其效力。 </w:t>
      </w:r>
    </w:p>
    <w:p w14:paraId="7C752ABA">
      <w:pPr>
        <w:pStyle w:val="6"/>
        <w:rPr>
          <w:color w:val="auto"/>
          <w:sz w:val="21"/>
          <w:szCs w:val="21"/>
          <w:highlight w:val="none"/>
        </w:rPr>
      </w:pPr>
      <w:r>
        <w:rPr>
          <w:rFonts w:ascii="Times New Roman" w:hAnsi="Times New Roman"/>
          <w:color w:val="auto"/>
          <w:szCs w:val="21"/>
          <w:highlight w:val="none"/>
        </w:rPr>
        <w:br w:type="page"/>
      </w:r>
      <w:r>
        <w:rPr>
          <w:rFonts w:ascii="Times New Roman" w:hAnsi="Times New Roman"/>
          <w:color w:val="auto"/>
          <w:sz w:val="30"/>
          <w:szCs w:val="30"/>
          <w:highlight w:val="none"/>
        </w:rPr>
        <w:t>第三部分 专用合同条款</w:t>
      </w:r>
    </w:p>
    <w:p w14:paraId="694406C0">
      <w:pPr>
        <w:pStyle w:val="7"/>
        <w:spacing w:line="360" w:lineRule="auto"/>
        <w:ind w:firstLine="422"/>
        <w:rPr>
          <w:b/>
          <w:bCs w:val="0"/>
          <w:color w:val="auto"/>
          <w:sz w:val="21"/>
          <w:szCs w:val="21"/>
          <w:highlight w:val="none"/>
        </w:rPr>
      </w:pPr>
      <w:r>
        <w:rPr>
          <w:b/>
          <w:bCs w:val="0"/>
          <w:color w:val="auto"/>
          <w:sz w:val="21"/>
          <w:szCs w:val="21"/>
          <w:highlight w:val="none"/>
        </w:rPr>
        <w:t>1. 一般约定</w:t>
      </w:r>
    </w:p>
    <w:p w14:paraId="7C2FCE61">
      <w:pPr>
        <w:spacing w:line="360" w:lineRule="auto"/>
        <w:ind w:firstLine="420" w:firstLineChars="200"/>
        <w:outlineLvl w:val="3"/>
        <w:rPr>
          <w:b/>
          <w:bCs/>
          <w:color w:val="auto"/>
          <w:sz w:val="21"/>
          <w:szCs w:val="21"/>
          <w:highlight w:val="none"/>
        </w:rPr>
      </w:pPr>
      <w:r>
        <w:rPr>
          <w:b/>
          <w:bCs/>
          <w:color w:val="auto"/>
          <w:sz w:val="21"/>
          <w:szCs w:val="21"/>
          <w:highlight w:val="none"/>
        </w:rPr>
        <w:t>1.1 词语定义</w:t>
      </w:r>
    </w:p>
    <w:p w14:paraId="1E0B06EF">
      <w:pPr>
        <w:spacing w:line="360" w:lineRule="auto"/>
        <w:ind w:firstLine="420" w:firstLineChars="200"/>
        <w:rPr>
          <w:color w:val="auto"/>
          <w:sz w:val="21"/>
          <w:szCs w:val="21"/>
          <w:highlight w:val="none"/>
        </w:rPr>
      </w:pPr>
      <w:r>
        <w:rPr>
          <w:color w:val="auto"/>
          <w:sz w:val="21"/>
          <w:szCs w:val="21"/>
          <w:highlight w:val="none"/>
        </w:rPr>
        <w:t>1.1.1合同</w:t>
      </w:r>
    </w:p>
    <w:p w14:paraId="6112A8E0">
      <w:pPr>
        <w:spacing w:line="360" w:lineRule="auto"/>
        <w:ind w:firstLine="420" w:firstLineChars="200"/>
        <w:rPr>
          <w:color w:val="auto"/>
          <w:sz w:val="21"/>
          <w:szCs w:val="21"/>
          <w:highlight w:val="none"/>
          <w:u w:val="single"/>
        </w:rPr>
      </w:pPr>
      <w:r>
        <w:rPr>
          <w:rFonts w:hint="eastAsia"/>
          <w:color w:val="auto"/>
          <w:sz w:val="21"/>
          <w:szCs w:val="21"/>
          <w:highlight w:val="none"/>
          <w:u w:val="single"/>
        </w:rPr>
        <w:t>包括：（1）协议书、</w:t>
      </w:r>
      <w:r>
        <w:rPr>
          <w:rFonts w:hint="eastAsia" w:ascii="Times New Roman" w:hAnsi="Times New Roman" w:eastAsia="宋体" w:cs="Times New Roman"/>
          <w:color w:val="auto"/>
          <w:sz w:val="21"/>
          <w:szCs w:val="21"/>
          <w:highlight w:val="none"/>
          <w:u w:val="single"/>
        </w:rPr>
        <w:t>（2）</w:t>
      </w:r>
      <w:r>
        <w:rPr>
          <w:rFonts w:hint="eastAsia"/>
          <w:color w:val="auto"/>
          <w:sz w:val="21"/>
          <w:szCs w:val="21"/>
          <w:highlight w:val="none"/>
          <w:u w:val="single"/>
        </w:rPr>
        <w:t>中标通知书、(3)招标文件、(4)投标函及其附录、(5)专用合同条款及其附件、(6)通用合同条款、(7)技术标准和要求、(8)图纸、(9)已标价工程量清单或预算书、(10)其他合同文件。</w:t>
      </w:r>
    </w:p>
    <w:p w14:paraId="51779491">
      <w:pPr>
        <w:spacing w:line="360" w:lineRule="auto"/>
        <w:ind w:firstLine="420" w:firstLineChars="200"/>
        <w:rPr>
          <w:color w:val="auto"/>
          <w:sz w:val="21"/>
          <w:szCs w:val="21"/>
          <w:highlight w:val="none"/>
        </w:rPr>
      </w:pPr>
      <w:r>
        <w:rPr>
          <w:color w:val="auto"/>
          <w:sz w:val="21"/>
          <w:szCs w:val="21"/>
          <w:highlight w:val="none"/>
        </w:rPr>
        <w:t>1.1.1.10其他合同文件包括：</w:t>
      </w:r>
      <w:r>
        <w:rPr>
          <w:rFonts w:hint="eastAsia"/>
          <w:color w:val="auto"/>
          <w:sz w:val="21"/>
          <w:szCs w:val="21"/>
          <w:highlight w:val="none"/>
          <w:u w:val="single"/>
          <w:lang w:val="en-US" w:eastAsia="zh-CN"/>
        </w:rPr>
        <w:t>各</w:t>
      </w:r>
      <w:r>
        <w:rPr>
          <w:color w:val="auto"/>
          <w:sz w:val="21"/>
          <w:szCs w:val="21"/>
          <w:highlight w:val="none"/>
          <w:u w:val="single"/>
        </w:rPr>
        <w:t>方在履行合同过程中形成的</w:t>
      </w:r>
      <w:r>
        <w:rPr>
          <w:rFonts w:hint="eastAsia"/>
          <w:color w:val="auto"/>
          <w:sz w:val="21"/>
          <w:szCs w:val="21"/>
          <w:highlight w:val="none"/>
          <w:u w:val="single"/>
          <w:lang w:val="en-US" w:eastAsia="zh-CN"/>
        </w:rPr>
        <w:t>各</w:t>
      </w:r>
      <w:r>
        <w:rPr>
          <w:color w:val="auto"/>
          <w:sz w:val="21"/>
          <w:szCs w:val="21"/>
          <w:highlight w:val="none"/>
          <w:u w:val="single"/>
        </w:rPr>
        <w:t>方授权代表签署的会议纪要、备忘录、补充文件、变更</w:t>
      </w:r>
      <w:r>
        <w:rPr>
          <w:rFonts w:hint="eastAsia"/>
          <w:color w:val="auto"/>
          <w:sz w:val="21"/>
          <w:szCs w:val="21"/>
          <w:highlight w:val="none"/>
          <w:u w:val="single"/>
          <w:lang w:val="en-US" w:eastAsia="zh-CN"/>
        </w:rPr>
        <w:t>签证</w:t>
      </w:r>
      <w:r>
        <w:rPr>
          <w:color w:val="auto"/>
          <w:sz w:val="21"/>
          <w:szCs w:val="21"/>
          <w:highlight w:val="none"/>
          <w:u w:val="single"/>
        </w:rPr>
        <w:t>和洽商等书面形式的文件构成本合同的组成部分</w:t>
      </w:r>
      <w:r>
        <w:rPr>
          <w:color w:val="auto"/>
          <w:sz w:val="21"/>
          <w:szCs w:val="21"/>
          <w:highlight w:val="none"/>
        </w:rPr>
        <w:t>。</w:t>
      </w:r>
    </w:p>
    <w:p w14:paraId="38572D99">
      <w:pPr>
        <w:spacing w:line="360" w:lineRule="auto"/>
        <w:ind w:firstLine="420" w:firstLineChars="200"/>
        <w:rPr>
          <w:color w:val="auto"/>
          <w:sz w:val="21"/>
          <w:szCs w:val="21"/>
          <w:highlight w:val="none"/>
          <w:u w:val="single"/>
        </w:rPr>
      </w:pPr>
      <w:r>
        <w:rPr>
          <w:color w:val="auto"/>
          <w:sz w:val="21"/>
          <w:szCs w:val="21"/>
          <w:highlight w:val="none"/>
        </w:rPr>
        <w:t>1.1.2 合同当事人及其他相关方</w:t>
      </w:r>
      <w:r>
        <w:rPr>
          <w:rFonts w:hint="eastAsia"/>
          <w:color w:val="auto"/>
          <w:sz w:val="21"/>
          <w:szCs w:val="21"/>
          <w:highlight w:val="none"/>
        </w:rPr>
        <w:t>：</w:t>
      </w:r>
      <w:r>
        <w:rPr>
          <w:rFonts w:hint="eastAsia"/>
          <w:color w:val="auto"/>
          <w:sz w:val="21"/>
          <w:szCs w:val="21"/>
          <w:highlight w:val="none"/>
          <w:u w:val="single"/>
        </w:rPr>
        <w:t xml:space="preserve">                   </w:t>
      </w:r>
    </w:p>
    <w:p w14:paraId="05BE2B73">
      <w:pPr>
        <w:spacing w:line="360" w:lineRule="auto"/>
        <w:ind w:firstLine="420" w:firstLineChars="200"/>
        <w:rPr>
          <w:color w:val="auto"/>
          <w:sz w:val="21"/>
          <w:szCs w:val="21"/>
          <w:highlight w:val="none"/>
        </w:rPr>
      </w:pPr>
      <w:r>
        <w:rPr>
          <w:color w:val="auto"/>
          <w:sz w:val="21"/>
          <w:szCs w:val="21"/>
          <w:highlight w:val="none"/>
        </w:rPr>
        <w:t>1.1.3 工程和设备</w:t>
      </w:r>
    </w:p>
    <w:p w14:paraId="67650ECB">
      <w:pPr>
        <w:spacing w:line="360" w:lineRule="auto"/>
        <w:ind w:firstLine="420" w:firstLineChars="200"/>
        <w:rPr>
          <w:color w:val="auto"/>
          <w:sz w:val="21"/>
          <w:szCs w:val="21"/>
          <w:highlight w:val="none"/>
        </w:rPr>
      </w:pPr>
      <w:r>
        <w:rPr>
          <w:color w:val="auto"/>
          <w:sz w:val="21"/>
          <w:szCs w:val="21"/>
          <w:highlight w:val="none"/>
        </w:rPr>
        <w:t>1.1.3.7 作为施工现场组成部分的其他场所包括：</w:t>
      </w:r>
      <w:r>
        <w:rPr>
          <w:rFonts w:hint="eastAsia"/>
          <w:color w:val="auto"/>
          <w:sz w:val="21"/>
          <w:szCs w:val="21"/>
          <w:highlight w:val="none"/>
          <w:u w:val="single"/>
        </w:rPr>
        <w:t xml:space="preserve"> </w:t>
      </w:r>
      <w:r>
        <w:rPr>
          <w:color w:val="auto"/>
          <w:sz w:val="21"/>
          <w:szCs w:val="21"/>
          <w:highlight w:val="none"/>
          <w:u w:val="single"/>
        </w:rPr>
        <w:t>/</w:t>
      </w:r>
      <w:r>
        <w:rPr>
          <w:rFonts w:hint="eastAsia"/>
          <w:color w:val="auto"/>
          <w:sz w:val="21"/>
          <w:szCs w:val="21"/>
          <w:highlight w:val="none"/>
          <w:u w:val="single"/>
        </w:rPr>
        <w:t xml:space="preserve"> </w:t>
      </w:r>
      <w:r>
        <w:rPr>
          <w:color w:val="auto"/>
          <w:sz w:val="21"/>
          <w:szCs w:val="21"/>
          <w:highlight w:val="none"/>
        </w:rPr>
        <w:t>。</w:t>
      </w:r>
    </w:p>
    <w:p w14:paraId="647657E3">
      <w:pPr>
        <w:spacing w:line="360" w:lineRule="auto"/>
        <w:ind w:firstLine="420" w:firstLineChars="200"/>
        <w:rPr>
          <w:color w:val="auto"/>
          <w:sz w:val="21"/>
          <w:szCs w:val="21"/>
          <w:highlight w:val="none"/>
        </w:rPr>
      </w:pPr>
      <w:r>
        <w:rPr>
          <w:color w:val="auto"/>
          <w:sz w:val="21"/>
          <w:szCs w:val="21"/>
          <w:highlight w:val="none"/>
        </w:rPr>
        <w:t>1.1.3.9 永久占地包括：</w:t>
      </w:r>
      <w:r>
        <w:rPr>
          <w:rFonts w:hint="eastAsia"/>
          <w:color w:val="auto"/>
          <w:sz w:val="21"/>
          <w:szCs w:val="21"/>
          <w:highlight w:val="none"/>
          <w:u w:val="single"/>
          <w:lang w:val="en-US" w:eastAsia="zh-CN"/>
        </w:rPr>
        <w:t>/</w:t>
      </w:r>
      <w:r>
        <w:rPr>
          <w:color w:val="auto"/>
          <w:sz w:val="21"/>
          <w:szCs w:val="21"/>
          <w:highlight w:val="none"/>
        </w:rPr>
        <w:t>。</w:t>
      </w:r>
    </w:p>
    <w:p w14:paraId="0358B830">
      <w:pPr>
        <w:spacing w:line="360" w:lineRule="auto"/>
        <w:ind w:firstLine="420" w:firstLineChars="200"/>
        <w:rPr>
          <w:color w:val="auto"/>
          <w:sz w:val="21"/>
          <w:szCs w:val="21"/>
          <w:highlight w:val="none"/>
        </w:rPr>
      </w:pPr>
      <w:r>
        <w:rPr>
          <w:color w:val="auto"/>
          <w:sz w:val="21"/>
          <w:szCs w:val="21"/>
          <w:highlight w:val="none"/>
        </w:rPr>
        <w:t>1.1.3.10 临时占地包括：</w:t>
      </w:r>
      <w:r>
        <w:rPr>
          <w:rFonts w:hint="eastAsia"/>
          <w:color w:val="auto"/>
          <w:sz w:val="21"/>
          <w:szCs w:val="21"/>
          <w:highlight w:val="none"/>
          <w:u w:val="single"/>
        </w:rPr>
        <w:t xml:space="preserve"> </w:t>
      </w:r>
      <w:r>
        <w:rPr>
          <w:color w:val="auto"/>
          <w:sz w:val="21"/>
          <w:szCs w:val="21"/>
          <w:highlight w:val="none"/>
          <w:u w:val="single"/>
        </w:rPr>
        <w:t>/</w:t>
      </w:r>
      <w:r>
        <w:rPr>
          <w:rFonts w:hint="eastAsia"/>
          <w:color w:val="auto"/>
          <w:sz w:val="21"/>
          <w:szCs w:val="21"/>
          <w:highlight w:val="none"/>
          <w:u w:val="single"/>
        </w:rPr>
        <w:t xml:space="preserve"> </w:t>
      </w:r>
      <w:r>
        <w:rPr>
          <w:color w:val="auto"/>
          <w:sz w:val="21"/>
          <w:szCs w:val="21"/>
          <w:highlight w:val="none"/>
        </w:rPr>
        <w:t>。</w:t>
      </w:r>
    </w:p>
    <w:p w14:paraId="4F7E0910">
      <w:pPr>
        <w:spacing w:line="360" w:lineRule="auto"/>
        <w:ind w:firstLine="420" w:firstLineChars="200"/>
        <w:outlineLvl w:val="3"/>
        <w:rPr>
          <w:b/>
          <w:bCs/>
          <w:color w:val="auto"/>
          <w:sz w:val="21"/>
          <w:szCs w:val="21"/>
          <w:highlight w:val="none"/>
        </w:rPr>
      </w:pPr>
      <w:r>
        <w:rPr>
          <w:b/>
          <w:bCs/>
          <w:color w:val="auto"/>
          <w:sz w:val="21"/>
          <w:szCs w:val="21"/>
          <w:highlight w:val="none"/>
        </w:rPr>
        <w:t xml:space="preserve">1.3 法律 </w:t>
      </w:r>
    </w:p>
    <w:p w14:paraId="1128DD09">
      <w:pPr>
        <w:autoSpaceDE w:val="0"/>
        <w:autoSpaceDN w:val="0"/>
        <w:adjustRightInd w:val="0"/>
        <w:spacing w:line="360" w:lineRule="auto"/>
        <w:ind w:firstLine="420" w:firstLineChars="200"/>
        <w:rPr>
          <w:color w:val="auto"/>
          <w:sz w:val="21"/>
          <w:szCs w:val="21"/>
          <w:highlight w:val="none"/>
        </w:rPr>
      </w:pPr>
      <w:r>
        <w:rPr>
          <w:color w:val="auto"/>
          <w:sz w:val="21"/>
          <w:szCs w:val="21"/>
          <w:highlight w:val="none"/>
        </w:rPr>
        <w:t>适用于合同的其他规范性文件：</w:t>
      </w:r>
      <w:r>
        <w:rPr>
          <w:color w:val="auto"/>
          <w:sz w:val="21"/>
          <w:szCs w:val="21"/>
          <w:highlight w:val="none"/>
          <w:u w:val="single"/>
        </w:rPr>
        <w:t>《中华人民共和国民法典》《中华人民共和国建筑法》《中华人民共和国安全生产法》《建筑工程质量管理条例》等</w:t>
      </w:r>
      <w:r>
        <w:rPr>
          <w:color w:val="auto"/>
          <w:sz w:val="21"/>
          <w:szCs w:val="21"/>
          <w:highlight w:val="none"/>
        </w:rPr>
        <w:t>。</w:t>
      </w:r>
    </w:p>
    <w:p w14:paraId="24BAADA1">
      <w:pPr>
        <w:autoSpaceDE w:val="0"/>
        <w:autoSpaceDN w:val="0"/>
        <w:adjustRightInd w:val="0"/>
        <w:spacing w:line="360" w:lineRule="auto"/>
        <w:ind w:firstLine="420" w:firstLineChars="200"/>
        <w:rPr>
          <w:color w:val="auto"/>
          <w:sz w:val="21"/>
          <w:szCs w:val="21"/>
          <w:highlight w:val="none"/>
          <w:u w:val="single"/>
        </w:rPr>
      </w:pPr>
      <w:r>
        <w:rPr>
          <w:color w:val="auto"/>
          <w:sz w:val="21"/>
          <w:szCs w:val="21"/>
          <w:highlight w:val="none"/>
          <w:u w:val="single"/>
        </w:rPr>
        <w:t>本合同同时适用国家与工程所在地现行的有关建筑质量安全、环境保护等方面的法律、法规、规章。</w:t>
      </w:r>
    </w:p>
    <w:p w14:paraId="090AB58A">
      <w:pPr>
        <w:spacing w:line="360" w:lineRule="auto"/>
        <w:ind w:firstLine="420" w:firstLineChars="200"/>
        <w:outlineLvl w:val="3"/>
        <w:rPr>
          <w:b/>
          <w:bCs/>
          <w:color w:val="auto"/>
          <w:sz w:val="21"/>
          <w:szCs w:val="21"/>
          <w:highlight w:val="none"/>
        </w:rPr>
      </w:pPr>
      <w:r>
        <w:rPr>
          <w:b/>
          <w:bCs/>
          <w:color w:val="auto"/>
          <w:sz w:val="21"/>
          <w:szCs w:val="21"/>
          <w:highlight w:val="none"/>
        </w:rPr>
        <w:t>1.4 标准和规范</w:t>
      </w:r>
    </w:p>
    <w:p w14:paraId="623F2729">
      <w:pPr>
        <w:spacing w:line="360" w:lineRule="auto"/>
        <w:ind w:firstLine="420" w:firstLineChars="200"/>
        <w:rPr>
          <w:rFonts w:hint="eastAsia"/>
          <w:color w:val="auto"/>
          <w:sz w:val="21"/>
          <w:szCs w:val="21"/>
          <w:highlight w:val="none"/>
          <w:u w:val="single"/>
        </w:rPr>
      </w:pPr>
      <w:r>
        <w:rPr>
          <w:color w:val="auto"/>
          <w:sz w:val="21"/>
          <w:szCs w:val="21"/>
          <w:highlight w:val="none"/>
        </w:rPr>
        <w:t>1.4.1适用于工程的标准规范包括：</w:t>
      </w:r>
      <w:r>
        <w:rPr>
          <w:color w:val="auto"/>
          <w:sz w:val="21"/>
          <w:szCs w:val="21"/>
          <w:highlight w:val="none"/>
          <w:u w:val="single"/>
        </w:rPr>
        <w:t xml:space="preserve"> </w:t>
      </w:r>
      <w:r>
        <w:rPr>
          <w:rFonts w:hint="eastAsia"/>
          <w:color w:val="auto"/>
          <w:sz w:val="21"/>
          <w:szCs w:val="21"/>
          <w:highlight w:val="none"/>
          <w:u w:val="single"/>
        </w:rPr>
        <w:t>1）国家现行《建筑与市政工程施工质量控制通用规范》和相关技术规程；2）国家现行《中国人民共和国工程建设标准强制性条文》《建筑工程施工质量及验收统一标准》；3）工程所在地建设主管部门的标准、规范；4）工程所在地行业的标准、规范;5）发包人的具体要求。</w:t>
      </w:r>
    </w:p>
    <w:p w14:paraId="082EEC82">
      <w:pPr>
        <w:spacing w:line="360" w:lineRule="auto"/>
        <w:ind w:firstLine="420" w:firstLineChars="200"/>
        <w:rPr>
          <w:color w:val="auto"/>
          <w:sz w:val="21"/>
          <w:szCs w:val="21"/>
          <w:highlight w:val="none"/>
          <w:u w:val="single"/>
        </w:rPr>
      </w:pPr>
      <w:r>
        <w:rPr>
          <w:color w:val="auto"/>
          <w:sz w:val="21"/>
          <w:szCs w:val="21"/>
          <w:highlight w:val="none"/>
          <w:u w:val="single"/>
        </w:rPr>
        <w:t>施工图中涉及的其他相关施工及验收标准、规范。</w:t>
      </w:r>
    </w:p>
    <w:p w14:paraId="700BF95B">
      <w:pPr>
        <w:spacing w:line="360" w:lineRule="auto"/>
        <w:ind w:firstLine="420" w:firstLineChars="200"/>
        <w:rPr>
          <w:color w:val="auto"/>
          <w:sz w:val="21"/>
          <w:szCs w:val="21"/>
          <w:highlight w:val="none"/>
          <w:u w:val="single"/>
        </w:rPr>
      </w:pPr>
      <w:r>
        <w:rPr>
          <w:color w:val="auto"/>
          <w:sz w:val="21"/>
          <w:szCs w:val="21"/>
          <w:highlight w:val="none"/>
          <w:u w:val="single"/>
        </w:rPr>
        <w:t>发包人提供标准、规范的时间：承包人自备，发包人无需提供并无需承担费用。</w:t>
      </w:r>
    </w:p>
    <w:p w14:paraId="07E2343F">
      <w:pPr>
        <w:spacing w:line="360" w:lineRule="auto"/>
        <w:ind w:firstLine="420" w:firstLineChars="200"/>
        <w:rPr>
          <w:color w:val="auto"/>
          <w:sz w:val="21"/>
          <w:szCs w:val="21"/>
          <w:highlight w:val="none"/>
          <w:u w:val="single"/>
        </w:rPr>
      </w:pPr>
      <w:r>
        <w:rPr>
          <w:color w:val="auto"/>
          <w:sz w:val="21"/>
          <w:szCs w:val="21"/>
          <w:highlight w:val="none"/>
          <w:u w:val="single"/>
        </w:rPr>
        <w:t>国内没有相应标准、规范时，适用按生产企业在技术监督局备案并经监理工程师和发包人书面同意的标准。</w:t>
      </w:r>
    </w:p>
    <w:p w14:paraId="178CBF8A">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1.4.2 发包人提供国外标准、规范的名称：</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0177F4DC">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发包人提供国外标准、规范的份数：</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0E200374">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发包人提供国外标准、规范的名称：</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64262B2F">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1.4.3发包人对工程的技术标准和功能要求的特殊要求：</w:t>
      </w:r>
      <w:r>
        <w:rPr>
          <w:rFonts w:hint="eastAsia" w:ascii="Times New Roman" w:hAnsi="Times New Roman"/>
          <w:color w:val="auto"/>
          <w:sz w:val="21"/>
          <w:szCs w:val="21"/>
          <w:highlight w:val="none"/>
          <w:u w:val="single"/>
          <w:lang w:val="en-US" w:eastAsia="zh-CN"/>
        </w:rPr>
        <w:t xml:space="preserve"> </w:t>
      </w: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lang w:val="en-US" w:eastAsia="zh-CN"/>
        </w:rPr>
        <w:t xml:space="preserve"> </w:t>
      </w:r>
      <w:r>
        <w:rPr>
          <w:rFonts w:ascii="Times New Roman" w:hAnsi="Times New Roman"/>
          <w:color w:val="auto"/>
          <w:sz w:val="21"/>
          <w:szCs w:val="21"/>
          <w:highlight w:val="none"/>
        </w:rPr>
        <w:t>。</w:t>
      </w:r>
    </w:p>
    <w:p w14:paraId="0863011A">
      <w:pPr>
        <w:spacing w:line="360" w:lineRule="auto"/>
        <w:ind w:firstLine="420" w:firstLineChars="200"/>
        <w:outlineLvl w:val="3"/>
        <w:rPr>
          <w:rFonts w:ascii="Times New Roman" w:hAnsi="Times New Roman"/>
          <w:b/>
          <w:bCs/>
          <w:color w:val="auto"/>
          <w:sz w:val="21"/>
          <w:szCs w:val="21"/>
          <w:highlight w:val="none"/>
        </w:rPr>
      </w:pPr>
      <w:r>
        <w:rPr>
          <w:rFonts w:ascii="Times New Roman" w:hAnsi="Times New Roman"/>
          <w:b/>
          <w:bCs/>
          <w:color w:val="auto"/>
          <w:sz w:val="21"/>
          <w:szCs w:val="21"/>
          <w:highlight w:val="none"/>
        </w:rPr>
        <w:t>1.5 合同文件的优先顺序</w:t>
      </w:r>
    </w:p>
    <w:p w14:paraId="492B0456">
      <w:pPr>
        <w:spacing w:line="360" w:lineRule="auto"/>
        <w:ind w:firstLine="447" w:firstLineChars="213"/>
        <w:rPr>
          <w:rFonts w:ascii="Times New Roman" w:hAnsi="Times New Roman"/>
          <w:color w:val="auto"/>
          <w:sz w:val="21"/>
          <w:szCs w:val="21"/>
          <w:highlight w:val="none"/>
        </w:rPr>
      </w:pPr>
      <w:r>
        <w:rPr>
          <w:rFonts w:ascii="Times New Roman" w:hAnsi="Times New Roman"/>
          <w:color w:val="auto"/>
          <w:sz w:val="21"/>
          <w:szCs w:val="21"/>
          <w:highlight w:val="none"/>
        </w:rPr>
        <w:t>合同文件组成及优先顺序为：</w:t>
      </w:r>
      <w:r>
        <w:rPr>
          <w:rFonts w:hint="eastAsia" w:cs="宋体"/>
          <w:color w:val="auto"/>
          <w:sz w:val="21"/>
          <w:szCs w:val="21"/>
          <w:highlight w:val="none"/>
          <w:u w:val="single"/>
        </w:rPr>
        <w:t>①</w:t>
      </w:r>
      <w:r>
        <w:rPr>
          <w:rFonts w:ascii="Times New Roman" w:hAnsi="Times New Roman"/>
          <w:color w:val="auto"/>
          <w:sz w:val="21"/>
          <w:szCs w:val="21"/>
          <w:highlight w:val="none"/>
          <w:u w:val="single"/>
        </w:rPr>
        <w:t>本合同协议书；</w:t>
      </w:r>
      <w:r>
        <w:rPr>
          <w:rFonts w:hint="eastAsia" w:cs="宋体"/>
          <w:color w:val="auto"/>
          <w:sz w:val="21"/>
          <w:szCs w:val="21"/>
          <w:highlight w:val="none"/>
          <w:u w:val="single"/>
        </w:rPr>
        <w:t>②</w:t>
      </w:r>
      <w:r>
        <w:rPr>
          <w:rFonts w:ascii="Times New Roman" w:hAnsi="Times New Roman"/>
          <w:color w:val="auto"/>
          <w:sz w:val="21"/>
          <w:szCs w:val="21"/>
          <w:highlight w:val="none"/>
          <w:u w:val="single"/>
        </w:rPr>
        <w:t>中标通知书</w:t>
      </w:r>
      <w:r>
        <w:rPr>
          <w:rFonts w:hint="eastAsia" w:ascii="Times New Roman" w:hAnsi="Times New Roman"/>
          <w:color w:val="auto"/>
          <w:sz w:val="21"/>
          <w:szCs w:val="21"/>
          <w:highlight w:val="none"/>
          <w:u w:val="single"/>
        </w:rPr>
        <w:t>；</w:t>
      </w:r>
      <w:r>
        <w:rPr>
          <w:rFonts w:hint="eastAsia" w:cs="宋体"/>
          <w:color w:val="auto"/>
          <w:sz w:val="21"/>
          <w:szCs w:val="21"/>
          <w:highlight w:val="none"/>
          <w:u w:val="single"/>
        </w:rPr>
        <w:t>③</w:t>
      </w:r>
      <w:r>
        <w:rPr>
          <w:rFonts w:ascii="Times New Roman" w:hAnsi="Times New Roman"/>
          <w:color w:val="auto"/>
          <w:sz w:val="21"/>
          <w:szCs w:val="21"/>
          <w:highlight w:val="none"/>
          <w:u w:val="single"/>
        </w:rPr>
        <w:t>投标书及投标书附录</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含经发包人同意的补充资料和澄清文件等</w:t>
      </w:r>
      <w:r>
        <w:rPr>
          <w:rFonts w:hint="eastAsia" w:ascii="Times New Roman" w:hAnsi="Times New Roman"/>
          <w:color w:val="auto"/>
          <w:sz w:val="21"/>
          <w:szCs w:val="21"/>
          <w:highlight w:val="none"/>
          <w:u w:val="single"/>
        </w:rPr>
        <w:t>）</w:t>
      </w:r>
      <w:r>
        <w:rPr>
          <w:rFonts w:hint="eastAsia" w:cs="宋体"/>
          <w:bCs/>
          <w:color w:val="auto"/>
          <w:sz w:val="21"/>
          <w:szCs w:val="21"/>
          <w:highlight w:val="none"/>
          <w:u w:val="single"/>
        </w:rPr>
        <w:t>；</w:t>
      </w:r>
      <w:r>
        <w:rPr>
          <w:rFonts w:hint="eastAsia" w:cs="宋体"/>
          <w:color w:val="auto"/>
          <w:sz w:val="21"/>
          <w:szCs w:val="21"/>
          <w:highlight w:val="none"/>
          <w:u w:val="single"/>
        </w:rPr>
        <w:t>④</w:t>
      </w:r>
      <w:r>
        <w:rPr>
          <w:rFonts w:ascii="Times New Roman" w:hAnsi="Times New Roman"/>
          <w:color w:val="auto"/>
          <w:sz w:val="21"/>
          <w:szCs w:val="21"/>
          <w:highlight w:val="none"/>
          <w:u w:val="single"/>
        </w:rPr>
        <w:t>本合同专用条款；</w:t>
      </w:r>
      <w:r>
        <w:rPr>
          <w:rFonts w:hint="eastAsia" w:cs="宋体"/>
          <w:color w:val="auto"/>
          <w:sz w:val="21"/>
          <w:szCs w:val="21"/>
          <w:highlight w:val="none"/>
          <w:u w:val="single"/>
        </w:rPr>
        <w:t>⑤</w:t>
      </w:r>
      <w:r>
        <w:rPr>
          <w:rFonts w:ascii="Times New Roman" w:hAnsi="Times New Roman"/>
          <w:color w:val="auto"/>
          <w:sz w:val="21"/>
          <w:szCs w:val="21"/>
          <w:highlight w:val="none"/>
          <w:u w:val="single"/>
        </w:rPr>
        <w:t>本合同通用条款；</w:t>
      </w:r>
      <w:r>
        <w:rPr>
          <w:rFonts w:hint="eastAsia" w:cs="宋体"/>
          <w:color w:val="auto"/>
          <w:sz w:val="21"/>
          <w:szCs w:val="21"/>
          <w:highlight w:val="none"/>
          <w:u w:val="single"/>
        </w:rPr>
        <w:t>⑥</w:t>
      </w:r>
      <w:r>
        <w:rPr>
          <w:rFonts w:ascii="Times New Roman" w:hAnsi="Times New Roman"/>
          <w:color w:val="auto"/>
          <w:sz w:val="21"/>
          <w:szCs w:val="21"/>
          <w:highlight w:val="none"/>
          <w:u w:val="single"/>
        </w:rPr>
        <w:t>招标文件</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含招标答疑纪要与此有关的部分</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w:t>
      </w:r>
      <w:r>
        <w:rPr>
          <w:rFonts w:hint="eastAsia" w:cs="宋体"/>
          <w:color w:val="auto"/>
          <w:sz w:val="21"/>
          <w:szCs w:val="21"/>
          <w:highlight w:val="none"/>
          <w:u w:val="single"/>
        </w:rPr>
        <w:t>⑦</w:t>
      </w:r>
      <w:r>
        <w:rPr>
          <w:rFonts w:ascii="Times New Roman" w:hAnsi="Times New Roman"/>
          <w:color w:val="auto"/>
          <w:sz w:val="21"/>
          <w:szCs w:val="21"/>
          <w:highlight w:val="none"/>
          <w:u w:val="single"/>
        </w:rPr>
        <w:t>图纸及工程量清单；</w:t>
      </w:r>
      <w:r>
        <w:rPr>
          <w:rFonts w:hint="eastAsia" w:cs="宋体"/>
          <w:color w:val="auto"/>
          <w:sz w:val="21"/>
          <w:szCs w:val="21"/>
          <w:highlight w:val="none"/>
          <w:u w:val="single"/>
        </w:rPr>
        <w:t>⑧</w:t>
      </w:r>
      <w:r>
        <w:rPr>
          <w:rFonts w:ascii="Times New Roman" w:hAnsi="Times New Roman"/>
          <w:color w:val="auto"/>
          <w:sz w:val="21"/>
          <w:szCs w:val="21"/>
          <w:highlight w:val="none"/>
          <w:u w:val="single"/>
        </w:rPr>
        <w:t>标准、规范及有关技术文件；</w:t>
      </w:r>
      <w:r>
        <w:rPr>
          <w:rFonts w:hint="eastAsia" w:cs="宋体"/>
          <w:color w:val="auto"/>
          <w:sz w:val="21"/>
          <w:szCs w:val="21"/>
          <w:highlight w:val="none"/>
          <w:u w:val="single"/>
        </w:rPr>
        <w:t>⑨</w:t>
      </w:r>
      <w:r>
        <w:rPr>
          <w:rFonts w:ascii="Times New Roman" w:hAnsi="Times New Roman"/>
          <w:color w:val="auto"/>
          <w:sz w:val="21"/>
          <w:szCs w:val="21"/>
          <w:highlight w:val="none"/>
          <w:u w:val="single"/>
        </w:rPr>
        <w:t>合同履行中，发包人、承包人有关工程的变更</w:t>
      </w:r>
      <w:r>
        <w:rPr>
          <w:rFonts w:hint="eastAsia" w:ascii="Times New Roman" w:hAnsi="Times New Roman"/>
          <w:color w:val="auto"/>
          <w:sz w:val="21"/>
          <w:szCs w:val="21"/>
          <w:highlight w:val="none"/>
          <w:u w:val="single"/>
          <w:lang w:val="en-US" w:eastAsia="zh-CN"/>
        </w:rPr>
        <w:t>签证、</w:t>
      </w:r>
      <w:r>
        <w:rPr>
          <w:rFonts w:ascii="Times New Roman" w:hAnsi="Times New Roman"/>
          <w:color w:val="auto"/>
          <w:sz w:val="21"/>
          <w:szCs w:val="21"/>
          <w:highlight w:val="none"/>
          <w:u w:val="single"/>
        </w:rPr>
        <w:t>洽商等书面协议或文件。上述各项合同文件属于同一类内容的文件，应以最新签署的为准。</w:t>
      </w:r>
    </w:p>
    <w:p w14:paraId="4D9A3AFA">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1.6 图纸和承包人文件</w:t>
      </w:r>
      <w:r>
        <w:rPr>
          <w:rFonts w:ascii="Times New Roman" w:hAnsi="Times New Roman"/>
          <w:b/>
          <w:bCs/>
          <w:color w:val="auto"/>
          <w:sz w:val="21"/>
          <w:szCs w:val="21"/>
          <w:highlight w:val="none"/>
        </w:rPr>
        <w:tab/>
      </w:r>
    </w:p>
    <w:p w14:paraId="683A617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1.6.1 图纸的提供</w:t>
      </w:r>
    </w:p>
    <w:p w14:paraId="114A0392">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发包人向承包人提供图纸的期限：</w:t>
      </w:r>
      <w:r>
        <w:rPr>
          <w:rFonts w:hint="eastAsia" w:ascii="Times New Roman" w:hAnsi="Times New Roman"/>
          <w:color w:val="auto"/>
          <w:sz w:val="21"/>
          <w:szCs w:val="21"/>
          <w:highlight w:val="none"/>
          <w:u w:val="single"/>
          <w:lang w:val="en-US" w:eastAsia="zh-CN"/>
        </w:rPr>
        <w:t>在发放中标通知书后7天内</w:t>
      </w:r>
      <w:r>
        <w:rPr>
          <w:rFonts w:ascii="Times New Roman" w:hAnsi="Times New Roman"/>
          <w:color w:val="auto"/>
          <w:sz w:val="21"/>
          <w:szCs w:val="21"/>
          <w:highlight w:val="none"/>
          <w:u w:val="single"/>
        </w:rPr>
        <w:t>发包人向承包人提供全套施工图纸；</w:t>
      </w:r>
    </w:p>
    <w:p w14:paraId="0D930555">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发包人向承包人提供图纸的数量：</w:t>
      </w:r>
      <w:r>
        <w:rPr>
          <w:rFonts w:hint="eastAsia"/>
          <w:color w:val="auto"/>
          <w:sz w:val="21"/>
          <w:szCs w:val="21"/>
          <w:highlight w:val="none"/>
          <w:lang w:val="en-US" w:eastAsia="zh-CN"/>
        </w:rPr>
        <w:t xml:space="preserve">    </w:t>
      </w:r>
    </w:p>
    <w:p w14:paraId="77582550">
      <w:pPr>
        <w:spacing w:line="360" w:lineRule="auto"/>
        <w:ind w:firstLine="210" w:firstLineChars="100"/>
        <w:rPr>
          <w:rFonts w:ascii="Times New Roman" w:hAnsi="Times New Roman"/>
          <w:color w:val="auto"/>
          <w:sz w:val="21"/>
          <w:szCs w:val="21"/>
          <w:highlight w:val="none"/>
        </w:rPr>
      </w:pPr>
      <w:r>
        <w:rPr>
          <w:rFonts w:hint="eastAsia" w:ascii="Times New Roman" w:hAnsi="Times New Roman"/>
          <w:color w:val="auto"/>
          <w:sz w:val="21"/>
          <w:szCs w:val="21"/>
          <w:highlight w:val="none"/>
          <w:u w:val="single"/>
        </w:rPr>
        <w:t>发包人</w:t>
      </w:r>
      <w:r>
        <w:rPr>
          <w:rFonts w:hint="eastAsia" w:ascii="Times New Roman" w:hAnsi="Times New Roman"/>
          <w:color w:val="auto"/>
          <w:sz w:val="21"/>
          <w:szCs w:val="21"/>
          <w:highlight w:val="none"/>
          <w:u w:val="single"/>
          <w:lang w:val="en-US" w:eastAsia="zh-CN"/>
        </w:rPr>
        <w:t>在发放中标通知书后14天内</w:t>
      </w:r>
      <w:r>
        <w:rPr>
          <w:rFonts w:hint="eastAsia" w:ascii="Times New Roman" w:hAnsi="Times New Roman"/>
          <w:color w:val="auto"/>
          <w:sz w:val="21"/>
          <w:szCs w:val="21"/>
          <w:highlight w:val="none"/>
          <w:u w:val="single"/>
        </w:rPr>
        <w:t>组织承包人、监理人和设计人进行</w:t>
      </w:r>
      <w:r>
        <w:rPr>
          <w:rFonts w:hint="eastAsia" w:ascii="Times New Roman" w:hAnsi="Times New Roman"/>
          <w:color w:val="auto"/>
          <w:sz w:val="21"/>
          <w:szCs w:val="21"/>
          <w:highlight w:val="none"/>
          <w:u w:val="single"/>
          <w:lang w:val="en-US" w:eastAsia="zh-CN"/>
        </w:rPr>
        <w:t>施工</w:t>
      </w:r>
      <w:r>
        <w:rPr>
          <w:rFonts w:hint="eastAsia" w:ascii="Times New Roman" w:hAnsi="Times New Roman"/>
          <w:color w:val="auto"/>
          <w:sz w:val="21"/>
          <w:szCs w:val="21"/>
          <w:highlight w:val="none"/>
          <w:u w:val="single"/>
        </w:rPr>
        <w:t>图纸会审和设计交底</w:t>
      </w:r>
      <w:r>
        <w:rPr>
          <w:rFonts w:ascii="Times New Roman" w:hAnsi="Times New Roman"/>
          <w:color w:val="auto"/>
          <w:sz w:val="21"/>
          <w:szCs w:val="21"/>
          <w:highlight w:val="none"/>
          <w:u w:val="single"/>
        </w:rPr>
        <w:t>。</w:t>
      </w:r>
    </w:p>
    <w:p w14:paraId="040512ED">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1.6.4 承包人文件</w:t>
      </w:r>
    </w:p>
    <w:p w14:paraId="481B8940">
      <w:pPr>
        <w:spacing w:line="360" w:lineRule="auto"/>
        <w:ind w:left="15" w:leftChars="7" w:firstLine="579" w:firstLineChars="276"/>
        <w:rPr>
          <w:rFonts w:ascii="Times New Roman" w:hAnsi="Times New Roman"/>
          <w:color w:val="auto"/>
          <w:sz w:val="21"/>
          <w:szCs w:val="21"/>
          <w:highlight w:val="none"/>
        </w:rPr>
      </w:pPr>
      <w:r>
        <w:rPr>
          <w:rFonts w:ascii="Times New Roman" w:hAnsi="Times New Roman"/>
          <w:color w:val="auto"/>
          <w:sz w:val="21"/>
          <w:szCs w:val="21"/>
          <w:highlight w:val="none"/>
        </w:rPr>
        <w:t>需要由承包人提供的文件，包括：</w:t>
      </w:r>
      <w:r>
        <w:rPr>
          <w:rFonts w:hint="eastAsia" w:ascii="Times New Roman" w:hAnsi="Times New Roman"/>
          <w:color w:val="auto"/>
          <w:sz w:val="21"/>
          <w:szCs w:val="21"/>
          <w:highlight w:val="none"/>
          <w:u w:val="single"/>
          <w:lang w:val="en-US" w:eastAsia="zh-CN"/>
        </w:rPr>
        <w:t>在发放中标通知书后7天内</w:t>
      </w:r>
      <w:r>
        <w:rPr>
          <w:rFonts w:hint="eastAsia" w:ascii="Times New Roman" w:hAnsi="Times New Roman" w:eastAsia="宋体" w:cs="Times New Roman"/>
          <w:color w:val="auto"/>
          <w:sz w:val="21"/>
          <w:szCs w:val="21"/>
          <w:highlight w:val="none"/>
          <w:u w:val="single"/>
          <w:lang w:val="en-US" w:eastAsia="zh-CN"/>
        </w:rPr>
        <w:t>承包人向监理人提供与投标文件相一致的施工总计划及项目机构人员一览表、施工组织设计及质量安全管理文件、拟分包工程一览表、拟分包单位资质、拟用于本工程的材料、设备清单等与工程施工有关的文件，并由监理人报送发包人审定</w:t>
      </w:r>
      <w:r>
        <w:rPr>
          <w:rFonts w:ascii="Times New Roman" w:hAnsi="Times New Roman"/>
          <w:color w:val="auto"/>
          <w:sz w:val="21"/>
          <w:szCs w:val="21"/>
          <w:highlight w:val="none"/>
          <w:u w:val="single"/>
        </w:rPr>
        <w:t>；</w:t>
      </w:r>
    </w:p>
    <w:p w14:paraId="0B3D1E14">
      <w:pPr>
        <w:spacing w:line="360" w:lineRule="auto"/>
        <w:ind w:firstLine="210" w:firstLineChars="100"/>
        <w:rPr>
          <w:rFonts w:hint="eastAsia" w:ascii="Times New Roman" w:hAnsi="Times New Roman"/>
          <w:color w:val="auto"/>
          <w:sz w:val="21"/>
          <w:szCs w:val="21"/>
          <w:highlight w:val="none"/>
        </w:rPr>
      </w:pPr>
      <w:r>
        <w:rPr>
          <w:rFonts w:ascii="Times New Roman" w:hAnsi="Times New Roman"/>
          <w:color w:val="auto"/>
          <w:sz w:val="21"/>
          <w:szCs w:val="21"/>
          <w:highlight w:val="none"/>
        </w:rPr>
        <w:t xml:space="preserve">1.6.5 </w:t>
      </w:r>
      <w:r>
        <w:rPr>
          <w:rFonts w:hint="eastAsia" w:ascii="Times New Roman" w:hAnsi="Times New Roman"/>
          <w:color w:val="auto"/>
          <w:sz w:val="21"/>
          <w:szCs w:val="21"/>
          <w:highlight w:val="none"/>
          <w:lang w:val="en-US" w:eastAsia="zh-CN"/>
        </w:rPr>
        <w:t>图纸和承包人文件的保管：</w:t>
      </w:r>
      <w:r>
        <w:rPr>
          <w:rFonts w:hint="eastAsia" w:ascii="Times New Roman" w:hAnsi="Times New Roman" w:eastAsia="宋体" w:cs="Times New Roman"/>
          <w:color w:val="auto"/>
          <w:sz w:val="21"/>
          <w:szCs w:val="21"/>
          <w:highlight w:val="none"/>
          <w:u w:val="single"/>
          <w:lang w:val="en-US" w:eastAsia="zh-CN"/>
        </w:rPr>
        <w:t>承包人应在施工现场另外保存一套完整的图纸和承包人文件，供发包人、监理人及有关人员进行工程检查时使用。</w:t>
      </w:r>
    </w:p>
    <w:p w14:paraId="7ECD6288">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1.7 联络</w:t>
      </w:r>
    </w:p>
    <w:p w14:paraId="59DBC00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1.7.1</w:t>
      </w:r>
      <w:r>
        <w:rPr>
          <w:rFonts w:ascii="Times New Roman" w:hAnsi="Times New Roman"/>
          <w:color w:val="auto"/>
          <w:sz w:val="21"/>
          <w:szCs w:val="21"/>
          <w:highlight w:val="none"/>
          <w:u w:val="single"/>
        </w:rPr>
        <w:t>发包人和承包人应当在7天内将与合同有关的通知、批准、证明、证书、指示、指令、要求、请求、同意、意见、确定和决定等</w:t>
      </w:r>
      <w:r>
        <w:rPr>
          <w:rFonts w:hint="eastAsia" w:ascii="Times New Roman" w:hAnsi="Times New Roman"/>
          <w:color w:val="auto"/>
          <w:sz w:val="21"/>
          <w:szCs w:val="21"/>
          <w:highlight w:val="none"/>
          <w:u w:val="single"/>
          <w:lang w:val="en-US" w:eastAsia="zh-CN"/>
        </w:rPr>
        <w:t>有关的</w:t>
      </w:r>
      <w:r>
        <w:rPr>
          <w:rFonts w:ascii="Times New Roman" w:hAnsi="Times New Roman"/>
          <w:color w:val="auto"/>
          <w:sz w:val="21"/>
          <w:szCs w:val="21"/>
          <w:highlight w:val="none"/>
          <w:u w:val="single"/>
        </w:rPr>
        <w:t>书面函件送达</w:t>
      </w:r>
      <w:r>
        <w:rPr>
          <w:rFonts w:hint="eastAsia" w:ascii="Times New Roman" w:hAnsi="Times New Roman"/>
          <w:color w:val="auto"/>
          <w:sz w:val="21"/>
          <w:szCs w:val="21"/>
          <w:highlight w:val="none"/>
          <w:u w:val="single"/>
          <w:lang w:val="en-US" w:eastAsia="zh-CN"/>
        </w:rPr>
        <w:t>接收</w:t>
      </w:r>
      <w:r>
        <w:rPr>
          <w:rFonts w:ascii="Times New Roman" w:hAnsi="Times New Roman"/>
          <w:color w:val="auto"/>
          <w:sz w:val="21"/>
          <w:szCs w:val="21"/>
          <w:highlight w:val="none"/>
          <w:u w:val="single"/>
        </w:rPr>
        <w:t>人</w:t>
      </w:r>
      <w:r>
        <w:rPr>
          <w:rFonts w:ascii="Times New Roman" w:hAnsi="Times New Roman"/>
          <w:color w:val="auto"/>
          <w:sz w:val="21"/>
          <w:szCs w:val="21"/>
          <w:highlight w:val="none"/>
        </w:rPr>
        <w:t>。</w:t>
      </w:r>
    </w:p>
    <w:p w14:paraId="1D10008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1.7.2 发包人接收文件的地点：</w:t>
      </w:r>
      <w:r>
        <w:rPr>
          <w:rFonts w:hint="eastAsia"/>
          <w:color w:val="auto"/>
          <w:sz w:val="21"/>
          <w:szCs w:val="21"/>
          <w:highlight w:val="none"/>
          <w:u w:val="single"/>
          <w:lang w:val="en-US" w:eastAsia="zh-CN"/>
        </w:rPr>
        <w:t>陕西省人民医院总务处基建办公室</w:t>
      </w:r>
      <w:r>
        <w:rPr>
          <w:rFonts w:hint="eastAsia" w:ascii="Times New Roman" w:hAnsi="Times New Roman"/>
          <w:color w:val="auto"/>
          <w:sz w:val="21"/>
          <w:szCs w:val="21"/>
          <w:highlight w:val="none"/>
          <w:u w:val="single"/>
          <w:lang w:val="en-US" w:eastAsia="zh-CN"/>
        </w:rPr>
        <w:t xml:space="preserve"> </w:t>
      </w:r>
      <w:r>
        <w:rPr>
          <w:rFonts w:ascii="Times New Roman" w:hAnsi="Times New Roman"/>
          <w:color w:val="auto"/>
          <w:sz w:val="21"/>
          <w:szCs w:val="21"/>
          <w:highlight w:val="none"/>
          <w:u w:val="single"/>
        </w:rPr>
        <w:t>；</w:t>
      </w:r>
    </w:p>
    <w:p w14:paraId="1EC82D63">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发包人指定的接收人为：</w:t>
      </w:r>
      <w:r>
        <w:rPr>
          <w:rFonts w:ascii="Times New Roman" w:hAnsi="Times New Roman"/>
          <w:color w:val="auto"/>
          <w:sz w:val="21"/>
          <w:szCs w:val="21"/>
          <w:highlight w:val="none"/>
          <w:u w:val="single"/>
        </w:rPr>
        <w:t>发包人代表</w:t>
      </w:r>
      <w:r>
        <w:rPr>
          <w:rFonts w:hint="eastAsia" w:ascii="Times New Roman" w:hAnsi="Times New Roman"/>
          <w:color w:val="auto"/>
          <w:sz w:val="21"/>
          <w:szCs w:val="21"/>
          <w:highlight w:val="none"/>
          <w:u w:val="single"/>
          <w:lang w:val="en-US" w:eastAsia="zh-CN"/>
        </w:rPr>
        <w:t xml:space="preserve"> </w:t>
      </w:r>
      <w:r>
        <w:rPr>
          <w:rFonts w:ascii="Times New Roman" w:hAnsi="Times New Roman"/>
          <w:color w:val="auto"/>
          <w:sz w:val="21"/>
          <w:szCs w:val="21"/>
          <w:highlight w:val="none"/>
          <w:u w:val="single"/>
        </w:rPr>
        <w:t>。</w:t>
      </w:r>
    </w:p>
    <w:p w14:paraId="1BBDA9C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承包人接收文件的地点：</w:t>
      </w:r>
      <w:r>
        <w:rPr>
          <w:rFonts w:ascii="Times New Roman" w:hAnsi="Times New Roman"/>
          <w:color w:val="auto"/>
          <w:sz w:val="21"/>
          <w:szCs w:val="21"/>
          <w:highlight w:val="none"/>
          <w:u w:val="single"/>
        </w:rPr>
        <w:t xml:space="preserve"> 项目所在地 ；</w:t>
      </w:r>
    </w:p>
    <w:p w14:paraId="43E76A7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承包人指定的接收人为：</w:t>
      </w:r>
      <w:r>
        <w:rPr>
          <w:rFonts w:ascii="Times New Roman" w:hAnsi="Times New Roman"/>
          <w:color w:val="auto"/>
          <w:sz w:val="21"/>
          <w:szCs w:val="21"/>
          <w:highlight w:val="none"/>
          <w:u w:val="single"/>
        </w:rPr>
        <w:t xml:space="preserve"> 承包人代表 。</w:t>
      </w:r>
    </w:p>
    <w:p w14:paraId="5170560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监理人接收文件的地点：</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监理项目部</w:t>
      </w:r>
      <w:r>
        <w:rPr>
          <w:rFonts w:hint="eastAsia" w:ascii="Times New Roman" w:hAnsi="Times New Roman"/>
          <w:color w:val="auto"/>
          <w:sz w:val="21"/>
          <w:szCs w:val="21"/>
          <w:highlight w:val="none"/>
          <w:u w:val="single"/>
          <w:lang w:val="en-US" w:eastAsia="zh-CN"/>
        </w:rPr>
        <w:t xml:space="preserve"> </w:t>
      </w:r>
      <w:r>
        <w:rPr>
          <w:rFonts w:ascii="Times New Roman" w:hAnsi="Times New Roman"/>
          <w:color w:val="auto"/>
          <w:sz w:val="21"/>
          <w:szCs w:val="21"/>
          <w:highlight w:val="none"/>
          <w:u w:val="single"/>
        </w:rPr>
        <w:t>；</w:t>
      </w:r>
    </w:p>
    <w:p w14:paraId="4E0411B1">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 xml:space="preserve">监理人指定的接收人为： </w:t>
      </w:r>
      <w:r>
        <w:rPr>
          <w:rFonts w:ascii="Times New Roman" w:hAnsi="Times New Roman"/>
          <w:color w:val="auto"/>
          <w:sz w:val="21"/>
          <w:szCs w:val="21"/>
          <w:highlight w:val="none"/>
          <w:u w:val="single"/>
        </w:rPr>
        <w:t>总监理工程师 。</w:t>
      </w:r>
    </w:p>
    <w:p w14:paraId="0FD8E524">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1.10 交通运输</w:t>
      </w:r>
    </w:p>
    <w:p w14:paraId="7DBAD6D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1.10.1 出入现场的权利</w:t>
      </w:r>
    </w:p>
    <w:p w14:paraId="5FFE99D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关于出入现场的权利的约定：</w:t>
      </w:r>
      <w:r>
        <w:rPr>
          <w:rFonts w:ascii="Times New Roman" w:hAnsi="Times New Roman"/>
          <w:color w:val="auto"/>
          <w:sz w:val="21"/>
          <w:szCs w:val="21"/>
          <w:highlight w:val="none"/>
          <w:u w:val="single"/>
        </w:rPr>
        <w:t>承包人负责出入现场的管理。</w:t>
      </w:r>
    </w:p>
    <w:p w14:paraId="5B2D62CD">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1.10.3 场内交通</w:t>
      </w:r>
    </w:p>
    <w:p w14:paraId="0C3A130B">
      <w:pPr>
        <w:spacing w:line="360" w:lineRule="auto"/>
        <w:ind w:firstLine="210" w:firstLineChars="100"/>
        <w:rPr>
          <w:rFonts w:hint="eastAsia" w:ascii="Times New Roman" w:hAnsi="Times New Roman"/>
          <w:color w:val="auto"/>
          <w:sz w:val="21"/>
          <w:szCs w:val="21"/>
          <w:highlight w:val="none"/>
        </w:rPr>
      </w:pPr>
      <w:r>
        <w:rPr>
          <w:rFonts w:ascii="Times New Roman" w:hAnsi="Times New Roman"/>
          <w:color w:val="auto"/>
          <w:sz w:val="21"/>
          <w:szCs w:val="21"/>
          <w:highlight w:val="none"/>
        </w:rPr>
        <w:t>关于场外交通和场内交通的边界的约定：</w:t>
      </w:r>
      <w:r>
        <w:rPr>
          <w:rFonts w:hint="eastAsia" w:ascii="Times New Roman" w:hAnsi="Times New Roman"/>
          <w:color w:val="auto"/>
          <w:sz w:val="21"/>
          <w:szCs w:val="21"/>
          <w:highlight w:val="none"/>
          <w:u w:val="single"/>
        </w:rPr>
        <w:t>以施工场地内为界；</w:t>
      </w:r>
    </w:p>
    <w:p w14:paraId="2E62E29A">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关于发包人向承包人提供场内道路和交通设施的约定：</w:t>
      </w:r>
      <w:r>
        <w:rPr>
          <w:rFonts w:ascii="Times New Roman" w:hAnsi="Times New Roman"/>
          <w:color w:val="auto"/>
          <w:sz w:val="21"/>
          <w:szCs w:val="21"/>
          <w:highlight w:val="none"/>
          <w:u w:val="single"/>
        </w:rPr>
        <w:t>由承包人按场地规划、文明工地施工要求自行解决场内道路和交通设施，其费用包含在合同价款内。承包人应确保满足施工运输的需要，保证施工期间的畅通。</w:t>
      </w:r>
    </w:p>
    <w:p w14:paraId="0E76D5C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1.10.4超大件和超重件的运输</w:t>
      </w:r>
    </w:p>
    <w:p w14:paraId="27153D8E">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运输超大件或超重件所需的道路和桥梁临时加固改造费用和其他有关费用</w:t>
      </w:r>
      <w:r>
        <w:rPr>
          <w:rFonts w:ascii="Times New Roman" w:hAnsi="Times New Roman"/>
          <w:color w:val="auto"/>
          <w:sz w:val="21"/>
          <w:szCs w:val="21"/>
          <w:highlight w:val="none"/>
          <w:u w:val="single"/>
        </w:rPr>
        <w:t>由承包人自行承担。</w:t>
      </w:r>
    </w:p>
    <w:p w14:paraId="785F12D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1.11 知识产权</w:t>
      </w:r>
    </w:p>
    <w:p w14:paraId="14681923">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1.11.1关于发包人</w:t>
      </w:r>
      <w:r>
        <w:rPr>
          <w:rFonts w:hint="eastAsia" w:ascii="Times New Roman" w:hAnsi="Times New Roman"/>
          <w:color w:val="auto"/>
          <w:sz w:val="21"/>
          <w:szCs w:val="21"/>
          <w:highlight w:val="none"/>
        </w:rPr>
        <w:t>及项目单位</w:t>
      </w:r>
      <w:r>
        <w:rPr>
          <w:rFonts w:ascii="Times New Roman" w:hAnsi="Times New Roman"/>
          <w:color w:val="auto"/>
          <w:sz w:val="21"/>
          <w:szCs w:val="21"/>
          <w:highlight w:val="none"/>
        </w:rPr>
        <w:t>提供给承包人的图纸、</w:t>
      </w:r>
      <w:r>
        <w:rPr>
          <w:rFonts w:hint="eastAsia" w:ascii="Times New Roman" w:hAnsi="Times New Roman"/>
          <w:color w:val="auto"/>
          <w:sz w:val="21"/>
          <w:szCs w:val="21"/>
          <w:highlight w:val="none"/>
        </w:rPr>
        <w:t>编制文件、</w:t>
      </w:r>
      <w:r>
        <w:rPr>
          <w:rFonts w:ascii="Times New Roman" w:hAnsi="Times New Roman"/>
          <w:color w:val="auto"/>
          <w:sz w:val="21"/>
          <w:szCs w:val="21"/>
          <w:highlight w:val="none"/>
        </w:rPr>
        <w:t>技术规范以及类似性质的文件的著作权的归属：</w:t>
      </w:r>
      <w:r>
        <w:rPr>
          <w:rFonts w:ascii="Times New Roman" w:hAnsi="Times New Roman"/>
          <w:color w:val="auto"/>
          <w:sz w:val="21"/>
          <w:szCs w:val="21"/>
          <w:highlight w:val="none"/>
          <w:u w:val="single"/>
        </w:rPr>
        <w:t>归</w:t>
      </w:r>
      <w:r>
        <w:rPr>
          <w:rFonts w:hint="eastAsia"/>
          <w:color w:val="auto"/>
          <w:sz w:val="21"/>
          <w:szCs w:val="21"/>
          <w:highlight w:val="none"/>
          <w:u w:val="single"/>
          <w:lang w:val="en-US" w:eastAsia="zh-CN"/>
        </w:rPr>
        <w:t>发包人</w:t>
      </w:r>
      <w:r>
        <w:rPr>
          <w:rFonts w:ascii="Times New Roman" w:hAnsi="Times New Roman"/>
          <w:color w:val="auto"/>
          <w:sz w:val="21"/>
          <w:szCs w:val="21"/>
          <w:highlight w:val="none"/>
          <w:u w:val="single"/>
        </w:rPr>
        <w:t>所有。</w:t>
      </w:r>
    </w:p>
    <w:p w14:paraId="77D3C94E">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关于发包人提供的上述文件的使用限制的要求：</w:t>
      </w:r>
      <w:r>
        <w:rPr>
          <w:rFonts w:ascii="Times New Roman" w:hAnsi="Times New Roman"/>
          <w:color w:val="auto"/>
          <w:sz w:val="21"/>
          <w:szCs w:val="21"/>
          <w:highlight w:val="none"/>
          <w:u w:val="single"/>
        </w:rPr>
        <w:t>要求对全部工程文件保密。承包人对发包人</w:t>
      </w:r>
      <w:r>
        <w:rPr>
          <w:rFonts w:hint="eastAsia" w:ascii="Times New Roman" w:hAnsi="Times New Roman"/>
          <w:color w:val="auto"/>
          <w:sz w:val="21"/>
          <w:szCs w:val="21"/>
          <w:highlight w:val="none"/>
          <w:u w:val="single"/>
        </w:rPr>
        <w:t>及项目单位</w:t>
      </w:r>
      <w:r>
        <w:rPr>
          <w:rFonts w:ascii="Times New Roman" w:hAnsi="Times New Roman"/>
          <w:color w:val="auto"/>
          <w:sz w:val="21"/>
          <w:szCs w:val="21"/>
          <w:highlight w:val="none"/>
          <w:u w:val="single"/>
        </w:rPr>
        <w:t>提供的所有图纸和工程文件负有保密义务，不得任意扩大图纸的接触范围，不得泄露给与本工程无关的其他人。</w:t>
      </w:r>
      <w:r>
        <w:rPr>
          <w:rFonts w:hint="eastAsia" w:ascii="Times New Roman" w:hAnsi="Times New Roman"/>
          <w:color w:val="auto"/>
          <w:sz w:val="21"/>
          <w:szCs w:val="21"/>
          <w:highlight w:val="none"/>
          <w:u w:val="single"/>
        </w:rPr>
        <w:t>如发生以上情况并给</w:t>
      </w:r>
      <w:r>
        <w:rPr>
          <w:rFonts w:ascii="Times New Roman" w:hAnsi="Times New Roman"/>
          <w:color w:val="auto"/>
          <w:sz w:val="21"/>
          <w:szCs w:val="21"/>
          <w:highlight w:val="none"/>
          <w:u w:val="single"/>
        </w:rPr>
        <w:t>发包人</w:t>
      </w:r>
      <w:r>
        <w:rPr>
          <w:rFonts w:hint="eastAsia" w:ascii="Times New Roman" w:hAnsi="Times New Roman"/>
          <w:color w:val="auto"/>
          <w:sz w:val="21"/>
          <w:szCs w:val="21"/>
          <w:highlight w:val="none"/>
          <w:u w:val="single"/>
        </w:rPr>
        <w:t>及项目单位造成经济损失，</w:t>
      </w:r>
      <w:r>
        <w:rPr>
          <w:rFonts w:ascii="Times New Roman" w:hAnsi="Times New Roman"/>
          <w:color w:val="auto"/>
          <w:sz w:val="21"/>
          <w:szCs w:val="21"/>
          <w:highlight w:val="none"/>
          <w:u w:val="single"/>
        </w:rPr>
        <w:t>发包人</w:t>
      </w:r>
      <w:r>
        <w:rPr>
          <w:rFonts w:hint="eastAsia" w:ascii="Times New Roman" w:hAnsi="Times New Roman"/>
          <w:color w:val="auto"/>
          <w:sz w:val="21"/>
          <w:szCs w:val="21"/>
          <w:highlight w:val="none"/>
          <w:u w:val="single"/>
        </w:rPr>
        <w:t>及项目单位有权向承包人索赔全部损失。</w:t>
      </w:r>
    </w:p>
    <w:p w14:paraId="3466900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1.11.2 关于承包人为实施工程所编制文件的著作权的归属：</w:t>
      </w:r>
      <w:r>
        <w:rPr>
          <w:rFonts w:ascii="Times New Roman" w:hAnsi="Times New Roman"/>
          <w:color w:val="auto"/>
          <w:sz w:val="21"/>
          <w:szCs w:val="21"/>
          <w:highlight w:val="none"/>
          <w:u w:val="single"/>
        </w:rPr>
        <w:t>归</w:t>
      </w:r>
      <w:r>
        <w:rPr>
          <w:rFonts w:hint="eastAsia"/>
          <w:color w:val="auto"/>
          <w:sz w:val="21"/>
          <w:szCs w:val="21"/>
          <w:highlight w:val="none"/>
          <w:u w:val="single"/>
          <w:lang w:val="en-US" w:eastAsia="zh-CN"/>
        </w:rPr>
        <w:t>发包人</w:t>
      </w:r>
      <w:r>
        <w:rPr>
          <w:rFonts w:ascii="Times New Roman" w:hAnsi="Times New Roman"/>
          <w:color w:val="auto"/>
          <w:sz w:val="21"/>
          <w:szCs w:val="21"/>
          <w:highlight w:val="none"/>
          <w:u w:val="single"/>
        </w:rPr>
        <w:t>所有。</w:t>
      </w:r>
    </w:p>
    <w:p w14:paraId="023CDD7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关于承包人提供的上述文件的使用限制的要求：</w:t>
      </w:r>
      <w:r>
        <w:rPr>
          <w:rFonts w:ascii="Times New Roman" w:hAnsi="Times New Roman"/>
          <w:color w:val="auto"/>
          <w:sz w:val="21"/>
          <w:szCs w:val="21"/>
          <w:highlight w:val="none"/>
          <w:u w:val="single"/>
        </w:rPr>
        <w:t>承包人对上述文件复制应经发包人</w:t>
      </w:r>
      <w:r>
        <w:rPr>
          <w:rFonts w:hint="eastAsia" w:ascii="Times New Roman" w:hAnsi="Times New Roman"/>
          <w:color w:val="auto"/>
          <w:sz w:val="21"/>
          <w:szCs w:val="21"/>
          <w:highlight w:val="none"/>
          <w:u w:val="single"/>
        </w:rPr>
        <w:t>及项目单位</w:t>
      </w:r>
      <w:r>
        <w:rPr>
          <w:rFonts w:ascii="Times New Roman" w:hAnsi="Times New Roman"/>
          <w:color w:val="auto"/>
          <w:sz w:val="21"/>
          <w:szCs w:val="21"/>
          <w:highlight w:val="none"/>
          <w:u w:val="single"/>
        </w:rPr>
        <w:t>同意并记录，按受控文件要求进行管理，不得外传、外借。</w:t>
      </w:r>
    </w:p>
    <w:p w14:paraId="7BA50EA6">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rPr>
        <w:t>1.11.4 承包人在施工过程中所采用的专利、专有技术、技术秘密的使用费的承担方式：</w:t>
      </w:r>
      <w:r>
        <w:rPr>
          <w:rFonts w:ascii="Times New Roman" w:hAnsi="Times New Roman"/>
          <w:color w:val="auto"/>
          <w:sz w:val="21"/>
          <w:szCs w:val="21"/>
          <w:highlight w:val="none"/>
          <w:u w:val="single"/>
        </w:rPr>
        <w:t>由承包人承担。</w:t>
      </w:r>
    </w:p>
    <w:p w14:paraId="26E766B4">
      <w:pPr>
        <w:spacing w:line="360" w:lineRule="auto"/>
        <w:ind w:firstLine="210" w:firstLineChars="100"/>
        <w:rPr>
          <w:rFonts w:hint="eastAsia" w:ascii="Times New Roman" w:hAnsi="Times New Roman"/>
          <w:color w:val="auto"/>
          <w:sz w:val="21"/>
          <w:szCs w:val="21"/>
          <w:highlight w:val="none"/>
          <w:u w:val="single"/>
        </w:rPr>
      </w:pPr>
      <w:r>
        <w:rPr>
          <w:rFonts w:ascii="Times New Roman" w:hAnsi="Times New Roman"/>
          <w:color w:val="auto"/>
          <w:sz w:val="21"/>
          <w:szCs w:val="21"/>
          <w:highlight w:val="none"/>
        </w:rPr>
        <w:t>1.13工程量清单错误的修正：</w:t>
      </w:r>
      <w:r>
        <w:rPr>
          <w:rFonts w:hint="eastAsia" w:ascii="Times New Roman" w:hAnsi="Times New Roman"/>
          <w:color w:val="auto"/>
          <w:sz w:val="21"/>
          <w:szCs w:val="21"/>
          <w:highlight w:val="none"/>
          <w:u w:val="single"/>
        </w:rPr>
        <w:t>执行通用条款</w:t>
      </w:r>
      <w:r>
        <w:rPr>
          <w:rFonts w:ascii="Times New Roman" w:hAnsi="Times New Roman"/>
          <w:color w:val="auto"/>
          <w:sz w:val="21"/>
          <w:szCs w:val="21"/>
          <w:highlight w:val="none"/>
          <w:u w:val="single"/>
        </w:rPr>
        <w:t>。</w:t>
      </w:r>
    </w:p>
    <w:p w14:paraId="695DF0EC">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2. 发包人</w:t>
      </w:r>
    </w:p>
    <w:p w14:paraId="50CA42F8">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2.2 发包人代表</w:t>
      </w:r>
    </w:p>
    <w:p w14:paraId="7A12265B">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发包人代表：</w:t>
      </w:r>
    </w:p>
    <w:p w14:paraId="6D0C7FD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姓    名：</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09545E5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职    务：</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13BB8E9E">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联系电话：</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7923A728">
      <w:pPr>
        <w:spacing w:line="360" w:lineRule="auto"/>
        <w:ind w:firstLine="210" w:firstLineChars="100"/>
        <w:rPr>
          <w:rFonts w:hint="default"/>
          <w:color w:val="auto"/>
          <w:sz w:val="21"/>
          <w:szCs w:val="21"/>
          <w:highlight w:val="none"/>
          <w:u w:val="single"/>
          <w:lang w:val="en-US" w:eastAsia="zh-CN"/>
        </w:rPr>
      </w:pPr>
      <w:r>
        <w:rPr>
          <w:color w:val="auto"/>
          <w:sz w:val="21"/>
          <w:szCs w:val="21"/>
          <w:highlight w:val="none"/>
        </w:rPr>
        <w:t>发包人对发包人代表的授权范围如下：</w:t>
      </w:r>
      <w:r>
        <w:rPr>
          <w:rFonts w:hint="eastAsia"/>
          <w:color w:val="auto"/>
          <w:sz w:val="21"/>
          <w:szCs w:val="21"/>
          <w:highlight w:val="none"/>
          <w:u w:val="single"/>
          <w:lang w:val="en-US" w:eastAsia="zh-CN"/>
        </w:rPr>
        <w:t>发包人代表在发包人授权范围内，负责提出合同履行过程中与工程有关事宜的意见，报发包单位审核。</w:t>
      </w:r>
    </w:p>
    <w:p w14:paraId="163E74B2">
      <w:pPr>
        <w:spacing w:line="360" w:lineRule="auto"/>
        <w:ind w:firstLine="210" w:firstLineChars="100"/>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none"/>
          <w:lang w:val="en-US" w:eastAsia="zh-CN"/>
        </w:rPr>
        <w:t>2.2.1 发包人擅自更换发包人代表的违约责任：</w:t>
      </w:r>
      <w:r>
        <w:rPr>
          <w:rFonts w:hint="eastAsia" w:ascii="Times New Roman" w:hAnsi="Times New Roman" w:eastAsia="宋体" w:cs="Times New Roman"/>
          <w:color w:val="auto"/>
          <w:sz w:val="21"/>
          <w:szCs w:val="21"/>
          <w:highlight w:val="none"/>
          <w:u w:val="single"/>
          <w:lang w:val="en-US" w:eastAsia="zh-CN"/>
        </w:rPr>
        <w:t>执行通用条款。</w:t>
      </w:r>
    </w:p>
    <w:p w14:paraId="6E994F1F">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2.4 施工现场、施工条件和基础资料的提供</w:t>
      </w:r>
    </w:p>
    <w:p w14:paraId="3DC44D49">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2.4.1 提供施工现场</w:t>
      </w:r>
    </w:p>
    <w:p w14:paraId="5E01BC27">
      <w:pPr>
        <w:spacing w:line="360" w:lineRule="auto"/>
        <w:ind w:firstLine="210" w:firstLineChars="100"/>
        <w:rPr>
          <w:rFonts w:hint="eastAsia" w:ascii="Times New Roman" w:hAnsi="Times New Roman"/>
          <w:color w:val="auto"/>
          <w:sz w:val="21"/>
          <w:szCs w:val="21"/>
          <w:highlight w:val="none"/>
          <w:u w:val="single"/>
        </w:rPr>
      </w:pPr>
      <w:r>
        <w:rPr>
          <w:rFonts w:ascii="Times New Roman" w:hAnsi="Times New Roman"/>
          <w:color w:val="auto"/>
          <w:sz w:val="21"/>
          <w:szCs w:val="21"/>
          <w:highlight w:val="none"/>
        </w:rPr>
        <w:t>关于发包人移交施工现场的期</w:t>
      </w:r>
      <w:r>
        <w:rPr>
          <w:rFonts w:ascii="Times New Roman" w:hAnsi="Times New Roman"/>
          <w:b w:val="0"/>
          <w:bCs w:val="0"/>
          <w:color w:val="auto"/>
          <w:sz w:val="21"/>
          <w:szCs w:val="21"/>
          <w:highlight w:val="none"/>
        </w:rPr>
        <w:t>限要求：</w:t>
      </w:r>
      <w:r>
        <w:rPr>
          <w:rFonts w:hint="eastAsia" w:ascii="Times New Roman" w:hAnsi="Times New Roman"/>
          <w:b w:val="0"/>
          <w:bCs w:val="0"/>
          <w:color w:val="auto"/>
          <w:sz w:val="21"/>
          <w:szCs w:val="21"/>
          <w:highlight w:val="none"/>
          <w:u w:val="single"/>
          <w:lang w:val="en-US" w:eastAsia="zh-CN"/>
        </w:rPr>
        <w:t>承包人进场后14天内</w:t>
      </w:r>
      <w:r>
        <w:rPr>
          <w:rFonts w:hint="eastAsia" w:ascii="Times New Roman" w:hAnsi="Times New Roman"/>
          <w:b w:val="0"/>
          <w:bCs w:val="0"/>
          <w:color w:val="auto"/>
          <w:sz w:val="21"/>
          <w:szCs w:val="21"/>
          <w:highlight w:val="none"/>
          <w:u w:val="single"/>
        </w:rPr>
        <w:t>。</w:t>
      </w:r>
    </w:p>
    <w:p w14:paraId="1AF08409">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2.4.2 提供施工条件</w:t>
      </w:r>
    </w:p>
    <w:p w14:paraId="47120D38">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关于发包人应负责提供施工所需要的条件，包括：</w:t>
      </w:r>
    </w:p>
    <w:p w14:paraId="61EC200B">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（1）施工所需的水、电由发包人负责</w:t>
      </w:r>
      <w:r>
        <w:rPr>
          <w:rFonts w:hint="eastAsia" w:ascii="Times New Roman" w:hAnsi="Times New Roman"/>
          <w:color w:val="auto"/>
          <w:sz w:val="21"/>
          <w:szCs w:val="21"/>
          <w:highlight w:val="none"/>
          <w:u w:val="single"/>
          <w:lang w:val="en-US" w:eastAsia="zh-CN"/>
        </w:rPr>
        <w:t>提供至施工现场边界处</w:t>
      </w:r>
      <w:r>
        <w:rPr>
          <w:rFonts w:hint="eastAsia" w:ascii="Times New Roman" w:hAnsi="Times New Roman"/>
          <w:color w:val="auto"/>
          <w:sz w:val="21"/>
          <w:szCs w:val="21"/>
          <w:highlight w:val="none"/>
          <w:u w:val="single"/>
        </w:rPr>
        <w:t>，承包人自行安装水、电表及</w:t>
      </w:r>
      <w:r>
        <w:rPr>
          <w:rFonts w:hint="eastAsia" w:ascii="Times New Roman" w:hAnsi="Times New Roman"/>
          <w:color w:val="auto"/>
          <w:sz w:val="21"/>
          <w:szCs w:val="21"/>
          <w:highlight w:val="none"/>
          <w:u w:val="single"/>
          <w:lang w:val="en-US" w:eastAsia="zh-CN"/>
        </w:rPr>
        <w:t>施工场内管线</w:t>
      </w:r>
      <w:r>
        <w:rPr>
          <w:rFonts w:hint="eastAsia" w:ascii="Times New Roman" w:hAnsi="Times New Roman"/>
          <w:color w:val="auto"/>
          <w:sz w:val="21"/>
          <w:szCs w:val="21"/>
          <w:highlight w:val="none"/>
          <w:u w:val="single"/>
        </w:rPr>
        <w:t>，并承担相应费用，承包人安装水、电表时，应在发包人的见证下，经权威机构检定合格后，共同记录初始值确认后使用。施工</w:t>
      </w:r>
      <w:r>
        <w:rPr>
          <w:rFonts w:hint="eastAsia" w:ascii="Times New Roman" w:hAnsi="Times New Roman"/>
          <w:color w:val="auto"/>
          <w:sz w:val="21"/>
          <w:szCs w:val="21"/>
          <w:highlight w:val="none"/>
          <w:u w:val="single"/>
          <w:lang w:val="en-US" w:eastAsia="zh-CN"/>
        </w:rPr>
        <w:t>场地内的</w:t>
      </w:r>
      <w:r>
        <w:rPr>
          <w:rFonts w:hint="eastAsia" w:ascii="Times New Roman" w:hAnsi="Times New Roman"/>
          <w:color w:val="auto"/>
          <w:sz w:val="21"/>
          <w:szCs w:val="21"/>
          <w:highlight w:val="none"/>
          <w:u w:val="single"/>
        </w:rPr>
        <w:t>临时用电设施设备由承包单位自</w:t>
      </w:r>
      <w:r>
        <w:rPr>
          <w:rFonts w:hint="eastAsia" w:ascii="Times New Roman" w:hAnsi="Times New Roman"/>
          <w:color w:val="auto"/>
          <w:sz w:val="21"/>
          <w:szCs w:val="21"/>
          <w:highlight w:val="none"/>
          <w:u w:val="single"/>
          <w:lang w:val="en-US" w:eastAsia="zh-CN"/>
        </w:rPr>
        <w:t>行</w:t>
      </w:r>
      <w:r>
        <w:rPr>
          <w:rFonts w:hint="eastAsia" w:ascii="Times New Roman" w:hAnsi="Times New Roman"/>
          <w:color w:val="auto"/>
          <w:sz w:val="21"/>
          <w:szCs w:val="21"/>
          <w:highlight w:val="none"/>
          <w:u w:val="single"/>
        </w:rPr>
        <w:t>解决，发包人和项目单位可协调有关单位办理。通讯线路和</w:t>
      </w:r>
      <w:r>
        <w:rPr>
          <w:rFonts w:hint="eastAsia" w:ascii="Times New Roman" w:hAnsi="Times New Roman"/>
          <w:color w:val="auto"/>
          <w:sz w:val="21"/>
          <w:szCs w:val="21"/>
          <w:highlight w:val="none"/>
          <w:u w:val="single"/>
          <w:lang w:eastAsia="zh-CN"/>
        </w:rPr>
        <w:t>工程</w:t>
      </w:r>
      <w:r>
        <w:rPr>
          <w:rFonts w:hint="eastAsia" w:ascii="Times New Roman" w:hAnsi="Times New Roman"/>
          <w:color w:val="auto"/>
          <w:sz w:val="21"/>
          <w:szCs w:val="21"/>
          <w:highlight w:val="none"/>
          <w:u w:val="single"/>
        </w:rPr>
        <w:t>设备由承包人自行解决。</w:t>
      </w:r>
    </w:p>
    <w:p w14:paraId="565D5E96">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（2）本合同签订后，由发包人向承包单位移交施工场地，场地平整工作由承包人负责，费用已包含在投标报价中。</w:t>
      </w:r>
    </w:p>
    <w:p w14:paraId="40E456BE">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none"/>
        </w:rPr>
        <w:t>（3）工程地质和地下管线资料的提供时间：</w:t>
      </w:r>
      <w:r>
        <w:rPr>
          <w:rFonts w:hint="eastAsia" w:ascii="Times New Roman" w:hAnsi="Times New Roman"/>
          <w:color w:val="auto"/>
          <w:sz w:val="21"/>
          <w:szCs w:val="21"/>
          <w:highlight w:val="none"/>
          <w:u w:val="single"/>
        </w:rPr>
        <w:t>开工前书面提供。</w:t>
      </w:r>
    </w:p>
    <w:p w14:paraId="38536214">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none"/>
        </w:rPr>
        <w:t>（4）水准点与座标控制点交验要求：</w:t>
      </w:r>
      <w:r>
        <w:rPr>
          <w:rFonts w:hint="eastAsia" w:ascii="Times New Roman" w:hAnsi="Times New Roman"/>
          <w:color w:val="auto"/>
          <w:sz w:val="21"/>
          <w:szCs w:val="21"/>
          <w:highlight w:val="none"/>
          <w:u w:val="single"/>
        </w:rPr>
        <w:t>开工前将水准点与坐标控制点以书面形式交给承包人并进行现场交验。</w:t>
      </w:r>
    </w:p>
    <w:p w14:paraId="5285DE52">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none"/>
        </w:rPr>
        <w:t>（5）图纸会审和设计交底时间：</w:t>
      </w:r>
      <w:r>
        <w:rPr>
          <w:rFonts w:hint="eastAsia" w:ascii="Times New Roman" w:hAnsi="Times New Roman"/>
          <w:color w:val="auto"/>
          <w:sz w:val="21"/>
          <w:szCs w:val="21"/>
          <w:highlight w:val="none"/>
          <w:u w:val="single"/>
          <w:lang w:val="en-US" w:eastAsia="zh-CN"/>
        </w:rPr>
        <w:t>发放中标通知书后14</w:t>
      </w:r>
      <w:r>
        <w:rPr>
          <w:rFonts w:hint="eastAsia" w:ascii="Times New Roman" w:hAnsi="Times New Roman"/>
          <w:color w:val="auto"/>
          <w:sz w:val="21"/>
          <w:szCs w:val="21"/>
          <w:highlight w:val="none"/>
          <w:u w:val="single"/>
        </w:rPr>
        <w:t>日内组织承包人和设计单位进行图纸会审，向承包人进行设计交底，及时签发交底会议纪要。</w:t>
      </w:r>
    </w:p>
    <w:p w14:paraId="4AE36C34">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2.5 资金来源证明及支付担保</w:t>
      </w:r>
    </w:p>
    <w:p w14:paraId="5274B191">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发包人提供资金来源证明的期限要求：</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lang w:val="en-US" w:eastAsia="zh-CN"/>
        </w:rPr>
        <w:t>项目开工后7天内</w:t>
      </w:r>
      <w:r>
        <w:rPr>
          <w:rFonts w:ascii="Times New Roman" w:hAnsi="Times New Roman"/>
          <w:color w:val="auto"/>
          <w:sz w:val="21"/>
          <w:szCs w:val="21"/>
          <w:highlight w:val="none"/>
          <w:u w:val="single"/>
        </w:rPr>
        <w:t>。</w:t>
      </w:r>
    </w:p>
    <w:p w14:paraId="070FE8EE">
      <w:pPr>
        <w:spacing w:line="360" w:lineRule="auto"/>
        <w:ind w:firstLine="210" w:firstLineChars="100"/>
        <w:rPr>
          <w:rFonts w:hint="eastAsia" w:ascii="Times New Roman" w:hAnsi="Times New Roman" w:eastAsia="宋体"/>
          <w:color w:val="auto"/>
          <w:sz w:val="21"/>
          <w:szCs w:val="21"/>
          <w:highlight w:val="none"/>
          <w:u w:val="single"/>
          <w:lang w:val="en-US" w:eastAsia="zh-CN"/>
        </w:rPr>
      </w:pPr>
      <w:r>
        <w:rPr>
          <w:rFonts w:ascii="Times New Roman" w:hAnsi="Times New Roman"/>
          <w:color w:val="auto"/>
          <w:sz w:val="21"/>
          <w:szCs w:val="21"/>
          <w:highlight w:val="none"/>
        </w:rPr>
        <w:t>发包人是否提供支付担保：</w:t>
      </w:r>
      <w:r>
        <w:rPr>
          <w:rFonts w:hint="eastAsia"/>
          <w:color w:val="auto"/>
          <w:sz w:val="21"/>
          <w:szCs w:val="21"/>
          <w:highlight w:val="none"/>
          <w:u w:val="single"/>
          <w:lang w:val="en-US" w:eastAsia="zh-CN"/>
        </w:rPr>
        <w:t>/。</w:t>
      </w:r>
    </w:p>
    <w:p w14:paraId="2F65E3AB">
      <w:pPr>
        <w:spacing w:line="360" w:lineRule="auto"/>
        <w:ind w:firstLine="211" w:firstLineChars="100"/>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val="en-US" w:eastAsia="zh-CN"/>
        </w:rPr>
        <w:t xml:space="preserve">2.9 </w:t>
      </w:r>
      <w:r>
        <w:rPr>
          <w:rFonts w:hint="eastAsia" w:ascii="Times New Roman" w:hAnsi="Times New Roman" w:eastAsia="宋体" w:cs="Times New Roman"/>
          <w:b/>
          <w:bCs/>
          <w:color w:val="auto"/>
          <w:sz w:val="21"/>
          <w:szCs w:val="21"/>
          <w:highlight w:val="none"/>
        </w:rPr>
        <w:t>分包的确定</w:t>
      </w:r>
    </w:p>
    <w:p w14:paraId="68BEB5BF">
      <w:pPr>
        <w:spacing w:line="360" w:lineRule="auto"/>
        <w:ind w:firstLine="210" w:firstLineChars="100"/>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发包人单独发</w:t>
      </w:r>
      <w:r>
        <w:rPr>
          <w:rFonts w:hint="eastAsia" w:ascii="Times New Roman" w:hAnsi="Times New Roman"/>
          <w:color w:val="auto"/>
          <w:sz w:val="21"/>
          <w:szCs w:val="21"/>
          <w:highlight w:val="none"/>
        </w:rPr>
        <w:t>包的专业工程包括：</w:t>
      </w:r>
      <w:r>
        <w:rPr>
          <w:rFonts w:hint="eastAsia"/>
          <w:color w:val="auto"/>
          <w:sz w:val="21"/>
          <w:szCs w:val="21"/>
          <w:highlight w:val="none"/>
          <w:u w:val="single"/>
          <w:lang w:val="en-US" w:eastAsia="zh-CN"/>
        </w:rPr>
        <w:t>/。</w:t>
      </w:r>
      <w:r>
        <w:rPr>
          <w:rFonts w:hint="eastAsia" w:ascii="Times New Roman" w:hAnsi="Times New Roman"/>
          <w:color w:val="auto"/>
          <w:sz w:val="21"/>
          <w:szCs w:val="21"/>
          <w:highlight w:val="none"/>
        </w:rPr>
        <w:t>关于</w:t>
      </w:r>
      <w:r>
        <w:rPr>
          <w:rFonts w:hint="eastAsia" w:ascii="Times New Roman" w:hAnsi="Times New Roman"/>
          <w:color w:val="auto"/>
          <w:sz w:val="21"/>
          <w:szCs w:val="21"/>
          <w:highlight w:val="none"/>
          <w:lang w:val="en-US" w:eastAsia="zh-CN"/>
        </w:rPr>
        <w:t>发包人单独发</w:t>
      </w:r>
      <w:r>
        <w:rPr>
          <w:rFonts w:hint="eastAsia" w:ascii="Times New Roman" w:hAnsi="Times New Roman"/>
          <w:color w:val="auto"/>
          <w:sz w:val="21"/>
          <w:szCs w:val="21"/>
          <w:highlight w:val="none"/>
        </w:rPr>
        <w:t>包的约定：</w:t>
      </w:r>
    </w:p>
    <w:p w14:paraId="1FFF9EF2">
      <w:pPr>
        <w:spacing w:line="360" w:lineRule="auto"/>
        <w:ind w:firstLine="210" w:firstLineChars="100"/>
        <w:rPr>
          <w:rFonts w:hint="eastAsia" w:ascii="Times New Roman" w:hAnsi="Times New Roman" w:eastAsia="宋体" w:cs="Times New Roman"/>
          <w:b/>
          <w:bCs/>
          <w:color w:val="auto"/>
          <w:sz w:val="21"/>
          <w:szCs w:val="21"/>
          <w:highlight w:val="none"/>
        </w:rPr>
      </w:pPr>
      <w:r>
        <w:rPr>
          <w:rFonts w:hint="eastAsia" w:ascii="Times New Roman" w:hAnsi="Times New Roman"/>
          <w:color w:val="auto"/>
          <w:sz w:val="21"/>
          <w:szCs w:val="21"/>
          <w:highlight w:val="none"/>
          <w:u w:val="single"/>
        </w:rPr>
        <w:t>（1）</w:t>
      </w:r>
      <w:r>
        <w:rPr>
          <w:rFonts w:hint="eastAsia" w:ascii="Times New Roman" w:hAnsi="Times New Roman"/>
          <w:color w:val="auto"/>
          <w:sz w:val="21"/>
          <w:szCs w:val="21"/>
          <w:highlight w:val="none"/>
          <w:u w:val="single"/>
          <w:lang w:val="en-US" w:eastAsia="zh-CN"/>
        </w:rPr>
        <w:t>发包人单独发包的工程如需承包人配合时，</w:t>
      </w:r>
      <w:r>
        <w:rPr>
          <w:rFonts w:hint="eastAsia"/>
          <w:color w:val="auto"/>
          <w:sz w:val="21"/>
          <w:szCs w:val="21"/>
          <w:highlight w:val="none"/>
          <w:u w:val="single"/>
          <w:lang w:val="en-US" w:eastAsia="zh-CN"/>
        </w:rPr>
        <w:t>与其他分包协调配合费</w:t>
      </w:r>
      <w:r>
        <w:rPr>
          <w:rFonts w:hint="eastAsia" w:ascii="Times New Roman" w:hAnsi="Times New Roman"/>
          <w:color w:val="auto"/>
          <w:sz w:val="21"/>
          <w:szCs w:val="21"/>
          <w:highlight w:val="none"/>
          <w:u w:val="single"/>
          <w:lang w:val="en-US" w:eastAsia="zh-CN"/>
        </w:rPr>
        <w:t>（除分包工程产生的水电费和垃圾清运费以外的其他所有管理及配合费用）：</w:t>
      </w:r>
      <w:r>
        <w:rPr>
          <w:rFonts w:hint="eastAsia" w:ascii="Times New Roman" w:hAnsi="Times New Roman"/>
          <w:color w:val="auto"/>
          <w:sz w:val="21"/>
          <w:szCs w:val="21"/>
          <w:highlight w:val="none"/>
          <w:u w:val="single"/>
        </w:rPr>
        <w:t>此费用</w:t>
      </w:r>
      <w:r>
        <w:rPr>
          <w:rFonts w:hint="eastAsia" w:ascii="Times New Roman" w:hAnsi="Times New Roman"/>
          <w:color w:val="auto"/>
          <w:sz w:val="21"/>
          <w:szCs w:val="21"/>
          <w:highlight w:val="none"/>
          <w:u w:val="single"/>
          <w:lang w:val="en-US" w:eastAsia="zh-CN"/>
        </w:rPr>
        <w:t>已包含在合同内</w:t>
      </w:r>
      <w:r>
        <w:rPr>
          <w:rFonts w:hint="eastAsia"/>
          <w:color w:val="auto"/>
          <w:sz w:val="21"/>
          <w:szCs w:val="21"/>
          <w:highlight w:val="none"/>
          <w:u w:val="single"/>
          <w:lang w:val="en-US" w:eastAsia="zh-CN"/>
        </w:rPr>
        <w:t>。</w:t>
      </w:r>
    </w:p>
    <w:p w14:paraId="650B9B2C">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3. 承包人</w:t>
      </w:r>
    </w:p>
    <w:p w14:paraId="6291136B">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3.1 承包人的一般义务</w:t>
      </w:r>
    </w:p>
    <w:p w14:paraId="2024CCDE">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（9）承包人提交的竣工资料的内容：</w:t>
      </w:r>
      <w:r>
        <w:rPr>
          <w:rFonts w:ascii="Times New Roman" w:hAnsi="Times New Roman"/>
          <w:color w:val="auto"/>
          <w:sz w:val="21"/>
          <w:szCs w:val="21"/>
          <w:highlight w:val="none"/>
          <w:u w:val="single"/>
        </w:rPr>
        <w:t>依据现行法律法规及发包人要求。</w:t>
      </w:r>
    </w:p>
    <w:p w14:paraId="7271BB5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承包人需要提交的竣工资料套数：</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u w:val="single"/>
        </w:rPr>
        <w:t>发包人要求。</w:t>
      </w:r>
    </w:p>
    <w:p w14:paraId="19EC4BF2">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承包人提交的竣工资料的费用承担：</w:t>
      </w:r>
      <w:r>
        <w:rPr>
          <w:rFonts w:ascii="Times New Roman" w:hAnsi="Times New Roman"/>
          <w:color w:val="auto"/>
          <w:sz w:val="21"/>
          <w:szCs w:val="21"/>
          <w:highlight w:val="none"/>
          <w:u w:val="single"/>
        </w:rPr>
        <w:t>承包人自行承担。</w:t>
      </w:r>
    </w:p>
    <w:p w14:paraId="08047013">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承包人提交的竣工资料移交时间：</w:t>
      </w:r>
      <w:r>
        <w:rPr>
          <w:rFonts w:ascii="Times New Roman" w:hAnsi="Times New Roman"/>
          <w:color w:val="auto"/>
          <w:sz w:val="21"/>
          <w:szCs w:val="21"/>
          <w:highlight w:val="none"/>
          <w:u w:val="single"/>
        </w:rPr>
        <w:t>发包人要求。</w:t>
      </w:r>
    </w:p>
    <w:p w14:paraId="779C3808">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承包人提交的竣工资料形式要求：</w:t>
      </w:r>
      <w:r>
        <w:rPr>
          <w:rFonts w:ascii="Times New Roman" w:hAnsi="Times New Roman"/>
          <w:color w:val="auto"/>
          <w:sz w:val="21"/>
          <w:szCs w:val="21"/>
          <w:highlight w:val="none"/>
          <w:u w:val="single"/>
        </w:rPr>
        <w:t>依据现行法律法规及发包人要求。</w:t>
      </w:r>
    </w:p>
    <w:p w14:paraId="45EE2D2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承包人应履行的其他义务：</w:t>
      </w:r>
    </w:p>
    <w:p w14:paraId="58C13D5B">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（10.1）应提供计划、报表的名称及完成时间：</w:t>
      </w:r>
    </w:p>
    <w:p w14:paraId="229C1A7C">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①</w:t>
      </w:r>
      <w:r>
        <w:rPr>
          <w:rFonts w:hint="eastAsia" w:ascii="Times New Roman" w:hAnsi="Times New Roman"/>
          <w:color w:val="auto"/>
          <w:sz w:val="21"/>
          <w:szCs w:val="21"/>
          <w:highlight w:val="none"/>
          <w:u w:val="single"/>
          <w:lang w:val="en-US" w:eastAsia="zh-CN"/>
        </w:rPr>
        <w:t>按发包人要求</w:t>
      </w:r>
      <w:r>
        <w:rPr>
          <w:rFonts w:hint="eastAsia" w:ascii="Times New Roman" w:hAnsi="Times New Roman"/>
          <w:color w:val="auto"/>
          <w:sz w:val="21"/>
          <w:szCs w:val="21"/>
          <w:highlight w:val="none"/>
          <w:u w:val="single"/>
        </w:rPr>
        <w:t>向发包人代表、总监理工程师提交施工组织设计和施工总进度计划，并根据工程进度至少每一个月，或按照工程师的指令进行总进度计划的修订；②每月25日前提交下月详细工程进度计划（内容包括施工进度安排、材料及劳动力安排等），以上计划必须经过监理工程师签字确认后报发包人；③进场前</w:t>
      </w:r>
      <w:r>
        <w:rPr>
          <w:rFonts w:hint="eastAsia" w:ascii="Times New Roman" w:hAnsi="Times New Roman"/>
          <w:color w:val="auto"/>
          <w:sz w:val="21"/>
          <w:szCs w:val="21"/>
          <w:highlight w:val="none"/>
          <w:u w:val="single"/>
          <w:lang w:val="en-US" w:eastAsia="zh-CN"/>
        </w:rPr>
        <w:t>7</w:t>
      </w:r>
      <w:r>
        <w:rPr>
          <w:rFonts w:hint="eastAsia" w:ascii="Times New Roman" w:hAnsi="Times New Roman"/>
          <w:color w:val="auto"/>
          <w:sz w:val="21"/>
          <w:szCs w:val="21"/>
          <w:highlight w:val="none"/>
          <w:u w:val="single"/>
        </w:rPr>
        <w:t>天内提供施工用电、用水计划。</w:t>
      </w:r>
    </w:p>
    <w:p w14:paraId="559BDA5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（10.2）承担施工安全保卫工作及非夜间施工照明的责任和要求：</w:t>
      </w:r>
    </w:p>
    <w:p w14:paraId="4B4A2708">
      <w:pPr>
        <w:spacing w:line="360" w:lineRule="auto"/>
        <w:ind w:firstLine="420" w:firstLineChars="2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承包人应提供施工现场安全保卫及施工、交通、巡查等必要的照明、危险物的警示、围栏设施等，并负责施工现场的防火、防盗等施工安全保卫工作。</w:t>
      </w:r>
    </w:p>
    <w:p w14:paraId="455BE917">
      <w:pPr>
        <w:spacing w:line="360" w:lineRule="auto"/>
        <w:ind w:firstLine="420" w:firstLineChars="2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承包人应严格按照《施工现场临时用电安全技术规范》和《建设工程施工现场供用电安全规范》组织施工，相关费用已包含在合同价款中。</w:t>
      </w:r>
    </w:p>
    <w:p w14:paraId="2917A97F">
      <w:pPr>
        <w:spacing w:line="360" w:lineRule="auto"/>
        <w:ind w:firstLine="420" w:firstLineChars="200"/>
        <w:rPr>
          <w:rFonts w:hint="eastAsia" w:ascii="Times New Roman" w:hAnsi="Times New Roman" w:eastAsia="宋体"/>
          <w:color w:val="auto"/>
          <w:sz w:val="21"/>
          <w:szCs w:val="21"/>
          <w:highlight w:val="none"/>
          <w:u w:val="single"/>
          <w:lang w:eastAsia="zh-CN"/>
        </w:rPr>
      </w:pPr>
      <w:r>
        <w:rPr>
          <w:rFonts w:ascii="Times New Roman" w:hAnsi="Times New Roman"/>
          <w:color w:val="auto"/>
          <w:sz w:val="21"/>
          <w:szCs w:val="21"/>
          <w:highlight w:val="none"/>
          <w:u w:val="single"/>
        </w:rPr>
        <w:t>因施工单位未能按照上述要求及规范组织施工，应自行承担责任；发包人代表提出整改要求，承包人</w:t>
      </w:r>
      <w:r>
        <w:rPr>
          <w:rFonts w:hint="eastAsia" w:ascii="Times New Roman" w:hAnsi="Times New Roman"/>
          <w:color w:val="auto"/>
          <w:sz w:val="21"/>
          <w:szCs w:val="21"/>
          <w:highlight w:val="none"/>
          <w:u w:val="single"/>
        </w:rPr>
        <w:t>应</w:t>
      </w:r>
      <w:r>
        <w:rPr>
          <w:rFonts w:ascii="Times New Roman" w:hAnsi="Times New Roman"/>
          <w:color w:val="auto"/>
          <w:sz w:val="21"/>
          <w:szCs w:val="21"/>
          <w:highlight w:val="none"/>
          <w:u w:val="single"/>
        </w:rPr>
        <w:t>及时整改；</w:t>
      </w:r>
      <w:r>
        <w:rPr>
          <w:rFonts w:hint="eastAsia" w:ascii="Times New Roman" w:hAnsi="Times New Roman"/>
          <w:color w:val="auto"/>
          <w:sz w:val="21"/>
          <w:szCs w:val="21"/>
          <w:highlight w:val="none"/>
          <w:u w:val="single"/>
        </w:rPr>
        <w:t>如拒绝整改，发包人代表有权根据现场实际情况在工程付款时每次扣除</w:t>
      </w:r>
      <w:r>
        <w:rPr>
          <w:rFonts w:hint="eastAsia"/>
          <w:color w:val="auto"/>
          <w:sz w:val="21"/>
          <w:szCs w:val="21"/>
          <w:highlight w:val="none"/>
          <w:u w:val="single"/>
          <w:shd w:val="clear" w:color="FFFFFF" w:fill="D9D9D9"/>
          <w:lang w:val="en-US" w:eastAsia="zh-CN"/>
        </w:rPr>
        <w:t>2000-5000</w:t>
      </w:r>
      <w:r>
        <w:rPr>
          <w:rFonts w:hint="eastAsia" w:ascii="Times New Roman" w:hAnsi="Times New Roman"/>
          <w:color w:val="auto"/>
          <w:sz w:val="21"/>
          <w:szCs w:val="21"/>
          <w:highlight w:val="none"/>
          <w:u w:val="single"/>
          <w:shd w:val="clear" w:color="FFFFFF" w:fill="D9D9D9"/>
        </w:rPr>
        <w:t>元</w:t>
      </w:r>
      <w:r>
        <w:rPr>
          <w:rFonts w:hint="eastAsia" w:ascii="Times New Roman" w:hAnsi="Times New Roman"/>
          <w:color w:val="auto"/>
          <w:sz w:val="21"/>
          <w:szCs w:val="21"/>
          <w:highlight w:val="none"/>
          <w:u w:val="single"/>
        </w:rPr>
        <w:t>违约金</w:t>
      </w:r>
      <w:r>
        <w:rPr>
          <w:rFonts w:hint="eastAsia" w:ascii="Times New Roman" w:hAnsi="Times New Roman"/>
          <w:color w:val="auto"/>
          <w:sz w:val="21"/>
          <w:szCs w:val="21"/>
          <w:highlight w:val="none"/>
          <w:u w:val="single"/>
          <w:lang w:eastAsia="zh-CN"/>
        </w:rPr>
        <w:t>。</w:t>
      </w:r>
    </w:p>
    <w:p w14:paraId="3DD4647A">
      <w:pPr>
        <w:spacing w:line="360" w:lineRule="auto"/>
        <w:ind w:firstLine="210" w:firstLineChars="100"/>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（10.3）向发包人提供的办公及设施的要求：</w:t>
      </w:r>
      <w:r>
        <w:rPr>
          <w:rFonts w:hint="eastAsia"/>
          <w:color w:val="auto"/>
          <w:sz w:val="21"/>
          <w:szCs w:val="21"/>
          <w:highlight w:val="none"/>
          <w:u w:val="single"/>
          <w:lang w:val="en-US" w:eastAsia="zh-CN"/>
        </w:rPr>
        <w:t>/</w:t>
      </w:r>
    </w:p>
    <w:p w14:paraId="207F23A9">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（10.4）需承包人办理的有关施工场地交通、环卫和施工噪音管理等手续：</w:t>
      </w:r>
      <w:r>
        <w:rPr>
          <w:rFonts w:ascii="Times New Roman" w:hAnsi="Times New Roman"/>
          <w:color w:val="auto"/>
          <w:sz w:val="21"/>
          <w:szCs w:val="21"/>
          <w:highlight w:val="none"/>
          <w:u w:val="single"/>
        </w:rPr>
        <w:t>上述手续由承包人办理，并承担由此产生的相关费用。承包人协助发包人办理施工许可证、质量安全监督备案</w:t>
      </w:r>
      <w:r>
        <w:rPr>
          <w:rFonts w:hint="eastAsia" w:ascii="Times New Roman" w:hAnsi="Times New Roman"/>
          <w:color w:val="auto"/>
          <w:sz w:val="21"/>
          <w:szCs w:val="21"/>
          <w:highlight w:val="none"/>
          <w:u w:val="single"/>
        </w:rPr>
        <w:t>、人防工程监督质量备案、专项验收、竣工备案</w:t>
      </w:r>
      <w:r>
        <w:rPr>
          <w:rFonts w:hint="eastAsia" w:ascii="Times New Roman" w:hAnsi="Times New Roman"/>
          <w:color w:val="auto"/>
          <w:sz w:val="21"/>
          <w:szCs w:val="21"/>
          <w:highlight w:val="none"/>
          <w:u w:val="single"/>
          <w:lang w:val="en-US" w:eastAsia="zh-CN"/>
        </w:rPr>
        <w:t>等</w:t>
      </w:r>
      <w:r>
        <w:rPr>
          <w:rFonts w:ascii="Times New Roman" w:hAnsi="Times New Roman"/>
          <w:color w:val="auto"/>
          <w:sz w:val="21"/>
          <w:szCs w:val="21"/>
          <w:highlight w:val="none"/>
          <w:u w:val="single"/>
        </w:rPr>
        <w:t>。</w:t>
      </w:r>
    </w:p>
    <w:p w14:paraId="0D837B24">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（10.5）已完合格工程成品保护的特殊要求及费用承担：</w:t>
      </w:r>
      <w:r>
        <w:rPr>
          <w:rFonts w:ascii="Times New Roman" w:hAnsi="Times New Roman"/>
          <w:color w:val="auto"/>
          <w:sz w:val="21"/>
          <w:szCs w:val="21"/>
          <w:highlight w:val="none"/>
          <w:u w:val="single"/>
        </w:rPr>
        <w:t>已竣工工程未交付发包人之前，承包人负责已完合格工程的成品保护工作，并承担相关费用，保护期间发生损坏，承包人自费予以修复。</w:t>
      </w:r>
    </w:p>
    <w:p w14:paraId="6BB607BA">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（10.6）施工场地周围地下管线和邻近建筑物、构筑物（含文物保护建筑）、古树名木的保护要求及费用承担：</w:t>
      </w:r>
      <w:r>
        <w:rPr>
          <w:rFonts w:ascii="Times New Roman" w:hAnsi="Times New Roman"/>
          <w:color w:val="auto"/>
          <w:sz w:val="21"/>
          <w:szCs w:val="21"/>
          <w:highlight w:val="none"/>
          <w:u w:val="single"/>
        </w:rPr>
        <w:t>承包人应按发包人指令或按操作规程做好施工场地周围地下管线和邻近建筑物、道路、构筑物（含文物保护建筑）、古树名木的保护工作，并承担相关费用。因保护不力造成的相关罚款、经济损失及法律责任由承包人承担。</w:t>
      </w:r>
    </w:p>
    <w:p w14:paraId="3A4F29AA">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rPr>
        <w:t>（10.7）施工场地</w:t>
      </w:r>
      <w:r>
        <w:rPr>
          <w:rFonts w:hint="eastAsia" w:ascii="Times New Roman" w:hAnsi="Times New Roman"/>
          <w:color w:val="auto"/>
          <w:sz w:val="21"/>
          <w:szCs w:val="21"/>
          <w:highlight w:val="none"/>
        </w:rPr>
        <w:t>文明施工</w:t>
      </w:r>
      <w:r>
        <w:rPr>
          <w:rFonts w:ascii="Times New Roman" w:hAnsi="Times New Roman"/>
          <w:color w:val="auto"/>
          <w:sz w:val="21"/>
          <w:szCs w:val="21"/>
          <w:highlight w:val="none"/>
        </w:rPr>
        <w:t>的要求：</w:t>
      </w:r>
      <w:r>
        <w:rPr>
          <w:rFonts w:ascii="Times New Roman" w:hAnsi="Times New Roman"/>
          <w:color w:val="auto"/>
          <w:sz w:val="21"/>
          <w:szCs w:val="21"/>
          <w:highlight w:val="none"/>
          <w:u w:val="single"/>
        </w:rPr>
        <w:t>保证场地符合文明施工现场要求。按照环境卫生管理的有关规定，现场必须采取必要的防护措施；建筑垃圾的堆放清除、现场材料、工程设备的存放均应有序并明确标识；交工前清理现场达到建筑物无污染，现场无建筑垃圾。相关费用已包含在合同价款中。</w:t>
      </w:r>
      <w:r>
        <w:rPr>
          <w:rFonts w:hint="eastAsia" w:ascii="Times New Roman" w:hAnsi="Times New Roman"/>
          <w:color w:val="auto"/>
          <w:sz w:val="21"/>
          <w:szCs w:val="21"/>
          <w:highlight w:val="none"/>
          <w:u w:val="single"/>
        </w:rPr>
        <w:t>本工程需按省级文明工地标准实施管理</w:t>
      </w:r>
      <w:r>
        <w:rPr>
          <w:rFonts w:ascii="Times New Roman" w:hAnsi="Times New Roman"/>
          <w:color w:val="auto"/>
          <w:sz w:val="21"/>
          <w:szCs w:val="21"/>
          <w:highlight w:val="none"/>
          <w:u w:val="single"/>
        </w:rPr>
        <w:t>，承包人未按要求执行的，承担因此造成的损失和罚款；发包人代表提出整改要求，承包人应于接到整改要求后24小时内予以整改，如未整改，根据现场实际情况在工程付款时</w:t>
      </w:r>
      <w:r>
        <w:rPr>
          <w:rFonts w:hint="eastAsia" w:ascii="Times New Roman" w:hAnsi="Times New Roman"/>
          <w:color w:val="auto"/>
          <w:sz w:val="21"/>
          <w:szCs w:val="21"/>
          <w:highlight w:val="none"/>
          <w:u w:val="single"/>
        </w:rPr>
        <w:t>每次</w:t>
      </w:r>
      <w:r>
        <w:rPr>
          <w:rFonts w:ascii="Times New Roman" w:hAnsi="Times New Roman"/>
          <w:color w:val="auto"/>
          <w:sz w:val="21"/>
          <w:szCs w:val="21"/>
          <w:highlight w:val="none"/>
          <w:u w:val="single"/>
        </w:rPr>
        <w:t>扣除</w:t>
      </w:r>
      <w:r>
        <w:rPr>
          <w:rFonts w:hint="eastAsia" w:ascii="Times New Roman" w:hAnsi="Times New Roman"/>
          <w:color w:val="auto"/>
          <w:sz w:val="21"/>
          <w:szCs w:val="21"/>
          <w:highlight w:val="none"/>
          <w:u w:val="single"/>
          <w:lang w:val="en-US" w:eastAsia="zh-CN"/>
        </w:rPr>
        <w:t>5000~</w:t>
      </w:r>
      <w:r>
        <w:rPr>
          <w:rFonts w:hint="eastAsia" w:ascii="Times New Roman" w:hAnsi="Times New Roman"/>
          <w:color w:val="auto"/>
          <w:sz w:val="21"/>
          <w:szCs w:val="21"/>
          <w:highlight w:val="none"/>
          <w:u w:val="single"/>
        </w:rPr>
        <w:t>10000元</w:t>
      </w:r>
      <w:r>
        <w:rPr>
          <w:rFonts w:ascii="Times New Roman" w:hAnsi="Times New Roman"/>
          <w:color w:val="auto"/>
          <w:sz w:val="21"/>
          <w:szCs w:val="21"/>
          <w:highlight w:val="none"/>
          <w:u w:val="single"/>
        </w:rPr>
        <w:t>违约金。</w:t>
      </w:r>
    </w:p>
    <w:p w14:paraId="307163F3">
      <w:pPr>
        <w:spacing w:line="360" w:lineRule="auto"/>
        <w:ind w:firstLine="210" w:firstLineChars="100"/>
        <w:rPr>
          <w:rFonts w:hint="eastAsia" w:ascii="Times New Roman" w:hAnsi="Times New Roman"/>
          <w:color w:val="auto"/>
          <w:sz w:val="21"/>
          <w:szCs w:val="21"/>
          <w:highlight w:val="none"/>
          <w:u w:val="single"/>
        </w:rPr>
      </w:pPr>
      <w:r>
        <w:rPr>
          <w:rFonts w:hint="eastAsia"/>
          <w:color w:val="auto"/>
          <w:highlight w:val="none"/>
        </w:rPr>
        <w:t>（</w:t>
      </w:r>
      <w:r>
        <w:rPr>
          <w:rFonts w:hint="eastAsia" w:ascii="Times New Roman" w:hAnsi="Times New Roman"/>
          <w:color w:val="auto"/>
          <w:sz w:val="21"/>
          <w:szCs w:val="21"/>
          <w:highlight w:val="none"/>
          <w:u w:val="single"/>
        </w:rPr>
        <w:t>10.8）施工场地以及承包人原因引起周边市政道路卫生清洁等文明施工的要求：满足西安市和西咸新区、治污减霾和文明工地有关要求，保证场地符合文明施工现场要求。按照环境卫生管理的有关规定，现场必须采取必要的防护措施；建筑垃圾的堆放清除、现场材料、工程设备的存放均应有序并明确标识；交工前清理现场达到建筑物无污染，现场无建筑垃圾。</w:t>
      </w:r>
    </w:p>
    <w:p w14:paraId="1CA4DE21">
      <w:pPr>
        <w:spacing w:line="360" w:lineRule="auto"/>
        <w:ind w:firstLine="420" w:firstLineChars="2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以上要求产生的相关费用已包含在合同价款中。承包人未按要求执行的，承担因此造成的损失、罚款和相关法律责任；发包人或监理人提出整改要求，承包人应于接到整改要求后 24 小时内予以整改，如未整改，发包人可安排第三方实施，费用从承包人结算款中直接予以扣除，同时因承包人未履行本条约定，由此引发的费用、罚款及法律责任均由承包人承担。</w:t>
      </w:r>
    </w:p>
    <w:p w14:paraId="3672F866">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（10.9）承包人对屋面、外墙、外窗、卫生间、露台、地下室（墙、板、地）等有防水要求的分部分项工程，专项施工方案须经监理人、发包人审核； 在分项施工前施工单位应按照已批准的专项方案，制作样板，并进行结构自防水实验；施工过程中，除按规范进行防水层施工及验收外，还应遵照发包人制订的各项相关施工标准及验收流程进行施工。</w:t>
      </w:r>
    </w:p>
    <w:p w14:paraId="1089CF34">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（10.10）其他工作：须配合专业分包单位施工，事前协商施工配合事宜和费用（此费用</w:t>
      </w:r>
      <w:r>
        <w:rPr>
          <w:rFonts w:hint="eastAsia" w:ascii="Times New Roman" w:hAnsi="Times New Roman"/>
          <w:color w:val="auto"/>
          <w:sz w:val="21"/>
          <w:szCs w:val="21"/>
          <w:highlight w:val="none"/>
          <w:u w:val="single"/>
          <w:lang w:val="en-US" w:eastAsia="zh-CN"/>
        </w:rPr>
        <w:t>已包含在合同内</w:t>
      </w:r>
      <w:r>
        <w:rPr>
          <w:rFonts w:hint="eastAsia" w:ascii="Times New Roman" w:hAnsi="Times New Roman"/>
          <w:color w:val="auto"/>
          <w:sz w:val="21"/>
          <w:szCs w:val="21"/>
          <w:highlight w:val="none"/>
          <w:u w:val="single"/>
        </w:rPr>
        <w:t>），施工过程中配合解决交叉作业遇到的问题，处理好相邻单位之间的关系。如引起的延期及额外费用，由承包人承担。</w:t>
      </w:r>
    </w:p>
    <w:p w14:paraId="33D22D62">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（10.11）配合发包人办理相关手续。</w:t>
      </w:r>
    </w:p>
    <w:p w14:paraId="5D06C626">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（10.12）工程竣工验收交付使用前，现场建筑垃圾及其临建房需全部拆除、做到工完场清（包括分包单位遗留废弃物），并交付完备工程资料，若承包人在工程竣工验收交付前14 日仍未做到工完场清，发包人有权委托第三方进行清理，所产生的费用由承包人承担。</w:t>
      </w:r>
    </w:p>
    <w:p w14:paraId="1D5B47E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（10.</w:t>
      </w:r>
      <w:r>
        <w:rPr>
          <w:rFonts w:hint="eastAsia" w:ascii="Times New Roman" w:hAnsi="Times New Roman"/>
          <w:color w:val="auto"/>
          <w:sz w:val="21"/>
          <w:szCs w:val="21"/>
          <w:highlight w:val="none"/>
        </w:rPr>
        <w:t>13</w:t>
      </w:r>
      <w:r>
        <w:rPr>
          <w:rFonts w:ascii="Times New Roman" w:hAnsi="Times New Roman"/>
          <w:color w:val="auto"/>
          <w:sz w:val="21"/>
          <w:szCs w:val="21"/>
          <w:highlight w:val="none"/>
        </w:rPr>
        <w:t>）双方约定承包人应做的其他工作：</w:t>
      </w:r>
    </w:p>
    <w:p w14:paraId="224AB462">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①</w:t>
      </w:r>
      <w:r>
        <w:rPr>
          <w:rFonts w:ascii="Times New Roman" w:hAnsi="Times New Roman"/>
          <w:color w:val="auto"/>
          <w:sz w:val="21"/>
          <w:szCs w:val="21"/>
          <w:highlight w:val="none"/>
          <w:u w:val="single"/>
        </w:rPr>
        <w:t>承包人在投标书中填写的资料，属于合同文本的组成部分，承包人应全面履行其所作的承诺，否则属于承包人违约。</w:t>
      </w:r>
    </w:p>
    <w:p w14:paraId="70604703">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②</w:t>
      </w:r>
      <w:r>
        <w:rPr>
          <w:rFonts w:ascii="Times New Roman" w:hAnsi="Times New Roman"/>
          <w:color w:val="auto"/>
          <w:sz w:val="21"/>
          <w:szCs w:val="21"/>
          <w:highlight w:val="none"/>
          <w:u w:val="single"/>
        </w:rPr>
        <w:t>承包人主要机械设备（或监理工程师要求的</w:t>
      </w:r>
      <w:r>
        <w:rPr>
          <w:rFonts w:hint="eastAsia" w:ascii="Times New Roman" w:hAnsi="Times New Roman"/>
          <w:color w:val="auto"/>
          <w:sz w:val="21"/>
          <w:szCs w:val="21"/>
          <w:highlight w:val="none"/>
          <w:u w:val="single"/>
          <w:lang w:eastAsia="zh-CN"/>
        </w:rPr>
        <w:t>机械</w:t>
      </w:r>
      <w:r>
        <w:rPr>
          <w:rFonts w:ascii="Times New Roman" w:hAnsi="Times New Roman"/>
          <w:color w:val="auto"/>
          <w:sz w:val="21"/>
          <w:szCs w:val="21"/>
          <w:highlight w:val="none"/>
          <w:u w:val="single"/>
        </w:rPr>
        <w:t>设备）未能按工程计划及时到场或到场工程设备不能正常运转以及擅自调走已进场的机械设备，应按2000元/天·台（套）标准支付违约金；迟到或调离超过10天时，发包人可自行组织采购，费用直接在向承包人支付时予以扣除，同时对到场时限的延迟仍旧计算违约金。</w:t>
      </w:r>
      <w:r>
        <w:rPr>
          <w:rFonts w:hint="eastAsia" w:ascii="Times New Roman" w:hAnsi="Times New Roman"/>
          <w:color w:val="auto"/>
          <w:sz w:val="21"/>
          <w:szCs w:val="21"/>
          <w:highlight w:val="none"/>
          <w:u w:val="single"/>
          <w:lang w:val="en-US" w:eastAsia="zh-CN"/>
        </w:rPr>
        <w:t>如承包人因前述行为给</w:t>
      </w:r>
      <w:r>
        <w:rPr>
          <w:rFonts w:hint="eastAsia" w:ascii="Times New Roman" w:hAnsi="Times New Roman"/>
          <w:color w:val="auto"/>
          <w:sz w:val="21"/>
          <w:szCs w:val="21"/>
          <w:highlight w:val="none"/>
          <w:u w:val="single"/>
        </w:rPr>
        <w:t>发包人</w:t>
      </w:r>
      <w:r>
        <w:rPr>
          <w:rFonts w:hint="eastAsia" w:ascii="Times New Roman" w:hAnsi="Times New Roman"/>
          <w:color w:val="auto"/>
          <w:sz w:val="21"/>
          <w:szCs w:val="21"/>
          <w:highlight w:val="none"/>
          <w:u w:val="single"/>
          <w:lang w:val="en-US" w:eastAsia="zh-CN"/>
        </w:rPr>
        <w:t>造成其他损失,则承包人除承担违约责任外,还应向</w:t>
      </w:r>
      <w:r>
        <w:rPr>
          <w:rFonts w:hint="eastAsia" w:ascii="Times New Roman" w:hAnsi="Times New Roman"/>
          <w:color w:val="auto"/>
          <w:sz w:val="21"/>
          <w:szCs w:val="21"/>
          <w:highlight w:val="none"/>
          <w:u w:val="single"/>
        </w:rPr>
        <w:t>发包人</w:t>
      </w:r>
      <w:r>
        <w:rPr>
          <w:rFonts w:hint="eastAsia" w:ascii="Times New Roman" w:hAnsi="Times New Roman"/>
          <w:color w:val="auto"/>
          <w:sz w:val="21"/>
          <w:szCs w:val="21"/>
          <w:highlight w:val="none"/>
          <w:u w:val="single"/>
          <w:lang w:val="en-US" w:eastAsia="zh-CN"/>
        </w:rPr>
        <w:t>赔偿损失。</w:t>
      </w:r>
    </w:p>
    <w:p w14:paraId="06B64070">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③</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严格落实施工现场管理</w:t>
      </w:r>
      <w:r>
        <w:rPr>
          <w:rFonts w:ascii="Times New Roman" w:hAnsi="Times New Roman"/>
          <w:color w:val="auto"/>
          <w:sz w:val="21"/>
          <w:szCs w:val="21"/>
          <w:highlight w:val="none"/>
          <w:u w:val="single"/>
        </w:rPr>
        <w:t>制度，人员、车辆、材料等出入</w:t>
      </w:r>
      <w:r>
        <w:rPr>
          <w:rFonts w:hint="eastAsia" w:ascii="Times New Roman" w:hAnsi="Times New Roman"/>
          <w:color w:val="auto"/>
          <w:sz w:val="21"/>
          <w:szCs w:val="21"/>
          <w:highlight w:val="none"/>
          <w:u w:val="single"/>
        </w:rPr>
        <w:t>按照相关管理规定和要求执行</w:t>
      </w: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lang w:val="en-US" w:eastAsia="zh-CN"/>
        </w:rPr>
        <w:t>因施工造成现院区内部道路、周界防范、地下管线、消防等设施设备损坏的需承担赔偿责任。</w:t>
      </w:r>
    </w:p>
    <w:p w14:paraId="198D6D7A">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④ 严格</w:t>
      </w:r>
      <w:r>
        <w:rPr>
          <w:rFonts w:ascii="Times New Roman" w:hAnsi="Times New Roman"/>
          <w:color w:val="auto"/>
          <w:sz w:val="21"/>
          <w:szCs w:val="21"/>
          <w:highlight w:val="none"/>
          <w:u w:val="single"/>
        </w:rPr>
        <w:t>遵守发包人制定的各类项目管理制度及办法。</w:t>
      </w:r>
    </w:p>
    <w:p w14:paraId="3EC96EDD">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⑤</w:t>
      </w:r>
      <w:r>
        <w:rPr>
          <w:rFonts w:ascii="Times New Roman" w:hAnsi="Times New Roman"/>
          <w:color w:val="auto"/>
          <w:sz w:val="21"/>
          <w:szCs w:val="21"/>
          <w:highlight w:val="none"/>
          <w:u w:val="single"/>
        </w:rPr>
        <w:t xml:space="preserve"> 从合同生效之日起</w:t>
      </w:r>
      <w:r>
        <w:rPr>
          <w:rFonts w:hint="eastAsia" w:ascii="Times New Roman" w:hAnsi="Times New Roman"/>
          <w:color w:val="auto"/>
          <w:sz w:val="21"/>
          <w:szCs w:val="21"/>
          <w:highlight w:val="none"/>
          <w:u w:val="single"/>
        </w:rPr>
        <w:t>至</w:t>
      </w:r>
      <w:r>
        <w:rPr>
          <w:rFonts w:ascii="Times New Roman" w:hAnsi="Times New Roman"/>
          <w:color w:val="auto"/>
          <w:sz w:val="21"/>
          <w:szCs w:val="21"/>
          <w:highlight w:val="none"/>
          <w:u w:val="single"/>
        </w:rPr>
        <w:t>合同终止的时间内，承包人应承担合同规定的现场各项临时房屋、设施、工程设备的修建、购置、安装、管理、保养和维修，并提供必要的设施保洁服务。至合同终止发包人及监理工程师撤出工地后，上述各项工程设备和设施均由承包人自行收回和拆除</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发包人负责监督实施</w:t>
      </w:r>
      <w:r>
        <w:rPr>
          <w:rFonts w:ascii="Times New Roman" w:hAnsi="Times New Roman"/>
          <w:color w:val="auto"/>
          <w:sz w:val="21"/>
          <w:szCs w:val="21"/>
          <w:highlight w:val="none"/>
          <w:u w:val="single"/>
        </w:rPr>
        <w:t>。</w:t>
      </w:r>
    </w:p>
    <w:p w14:paraId="657AA0A5">
      <w:pPr>
        <w:spacing w:line="360" w:lineRule="auto"/>
        <w:ind w:firstLine="210" w:firstLineChars="100"/>
        <w:rPr>
          <w:rFonts w:hint="eastAsia" w:ascii="Times New Roman" w:hAnsi="Times New Roman"/>
          <w:color w:val="auto"/>
          <w:sz w:val="21"/>
          <w:szCs w:val="21"/>
          <w:highlight w:val="none"/>
          <w:u w:val="single"/>
        </w:rPr>
      </w:pPr>
      <w:r>
        <w:rPr>
          <w:rFonts w:hint="eastAsia" w:cs="宋体"/>
          <w:color w:val="auto"/>
          <w:sz w:val="21"/>
          <w:szCs w:val="21"/>
          <w:highlight w:val="none"/>
          <w:u w:val="single"/>
        </w:rPr>
        <w:t>⑥</w:t>
      </w:r>
      <w:r>
        <w:rPr>
          <w:rFonts w:ascii="Times New Roman" w:hAnsi="Times New Roman"/>
          <w:color w:val="auto"/>
          <w:sz w:val="21"/>
          <w:szCs w:val="21"/>
          <w:highlight w:val="none"/>
          <w:u w:val="single"/>
        </w:rPr>
        <w:t>承包人产生建筑垃圾和生活垃圾清运工作由承包人负责</w:t>
      </w:r>
      <w:r>
        <w:rPr>
          <w:rFonts w:hint="eastAsia" w:ascii="Times New Roman" w:hAnsi="Times New Roman"/>
          <w:color w:val="auto"/>
          <w:sz w:val="21"/>
          <w:szCs w:val="21"/>
          <w:highlight w:val="none"/>
          <w:u w:val="single"/>
        </w:rPr>
        <w:t>当天清理</w:t>
      </w:r>
      <w:r>
        <w:rPr>
          <w:rFonts w:ascii="Times New Roman" w:hAnsi="Times New Roman"/>
          <w:color w:val="auto"/>
          <w:sz w:val="21"/>
          <w:szCs w:val="21"/>
          <w:highlight w:val="none"/>
          <w:u w:val="single"/>
        </w:rPr>
        <w:t>，费用由承包人承担。</w:t>
      </w:r>
    </w:p>
    <w:p w14:paraId="01B8FC33">
      <w:pPr>
        <w:spacing w:line="360" w:lineRule="auto"/>
        <w:ind w:firstLine="210" w:firstLineChars="100"/>
        <w:rPr>
          <w:rFonts w:hint="default" w:ascii="Times New Roman" w:hAnsi="Times New Roman"/>
          <w:color w:val="auto"/>
          <w:sz w:val="21"/>
          <w:szCs w:val="21"/>
          <w:highlight w:val="none"/>
          <w:u w:val="single"/>
          <w:lang w:val="en-US"/>
        </w:rPr>
      </w:pPr>
      <w:r>
        <w:rPr>
          <w:rFonts w:hint="eastAsia" w:ascii="Times New Roman" w:hAnsi="Times New Roman"/>
          <w:color w:val="auto"/>
          <w:sz w:val="21"/>
          <w:szCs w:val="21"/>
          <w:highlight w:val="none"/>
          <w:u w:val="single"/>
        </w:rPr>
        <w:t>⑦</w:t>
      </w:r>
      <w:r>
        <w:rPr>
          <w:rFonts w:hint="eastAsia" w:ascii="Times New Roman" w:hAnsi="Times New Roman"/>
          <w:color w:val="auto"/>
          <w:sz w:val="21"/>
          <w:szCs w:val="21"/>
          <w:highlight w:val="none"/>
          <w:u w:val="single"/>
          <w:lang w:val="en-US" w:eastAsia="zh-CN"/>
        </w:rPr>
        <w:t>承包人工程款</w:t>
      </w:r>
      <w:r>
        <w:rPr>
          <w:rFonts w:hint="eastAsia" w:ascii="Times New Roman" w:hAnsi="Times New Roman"/>
          <w:color w:val="auto"/>
          <w:sz w:val="21"/>
          <w:szCs w:val="21"/>
          <w:highlight w:val="none"/>
          <w:u w:val="single"/>
        </w:rPr>
        <w:t>专用账户的开立和管理</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w:t>
      </w:r>
    </w:p>
    <w:p w14:paraId="3E0B1C0F">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⑧</w:t>
      </w:r>
      <w:r>
        <w:rPr>
          <w:rFonts w:ascii="Times New Roman" w:hAnsi="Times New Roman"/>
          <w:color w:val="auto"/>
          <w:sz w:val="21"/>
          <w:szCs w:val="21"/>
          <w:highlight w:val="none"/>
          <w:u w:val="single"/>
        </w:rPr>
        <w:t>承包人必须充分考虑施工区域内的各种外界干扰因素，包括</w:t>
      </w:r>
      <w:r>
        <w:rPr>
          <w:rFonts w:hint="eastAsia" w:ascii="Times New Roman" w:hAnsi="Times New Roman"/>
          <w:color w:val="auto"/>
          <w:sz w:val="21"/>
          <w:szCs w:val="21"/>
          <w:highlight w:val="none"/>
          <w:u w:val="single"/>
        </w:rPr>
        <w:t>但不限于</w:t>
      </w:r>
      <w:r>
        <w:rPr>
          <w:rFonts w:ascii="Times New Roman" w:hAnsi="Times New Roman"/>
          <w:color w:val="auto"/>
          <w:sz w:val="21"/>
          <w:szCs w:val="21"/>
          <w:highlight w:val="none"/>
          <w:u w:val="single"/>
        </w:rPr>
        <w:t>负责协调解决与</w:t>
      </w:r>
      <w:r>
        <w:rPr>
          <w:rFonts w:hint="eastAsia" w:ascii="Times New Roman" w:hAnsi="Times New Roman"/>
          <w:color w:val="auto"/>
          <w:sz w:val="21"/>
          <w:szCs w:val="21"/>
          <w:highlight w:val="none"/>
          <w:u w:val="single"/>
        </w:rPr>
        <w:t>四邻及</w:t>
      </w:r>
      <w:r>
        <w:rPr>
          <w:rFonts w:ascii="Times New Roman" w:hAnsi="Times New Roman"/>
          <w:color w:val="auto"/>
          <w:sz w:val="21"/>
          <w:szCs w:val="21"/>
          <w:highlight w:val="none"/>
          <w:u w:val="single"/>
        </w:rPr>
        <w:t>当地村民的关系，不得以</w:t>
      </w:r>
      <w:r>
        <w:rPr>
          <w:rFonts w:hint="eastAsia" w:ascii="Times New Roman" w:hAnsi="Times New Roman"/>
          <w:color w:val="auto"/>
          <w:sz w:val="21"/>
          <w:szCs w:val="21"/>
          <w:highlight w:val="none"/>
          <w:u w:val="single"/>
        </w:rPr>
        <w:t>四邻及</w:t>
      </w:r>
      <w:r>
        <w:rPr>
          <w:rFonts w:ascii="Times New Roman" w:hAnsi="Times New Roman"/>
          <w:color w:val="auto"/>
          <w:sz w:val="21"/>
          <w:szCs w:val="21"/>
          <w:highlight w:val="none"/>
          <w:u w:val="single"/>
        </w:rPr>
        <w:t>村民阻挠影响施工为由要求顺延工期或增加工程费用，如若出现此类问题则承包人应承担相关责任并承担由此产生的相应费用。</w:t>
      </w:r>
      <w:r>
        <w:rPr>
          <w:rFonts w:hint="eastAsia" w:ascii="Times New Roman" w:hAnsi="Times New Roman"/>
          <w:color w:val="auto"/>
          <w:sz w:val="21"/>
          <w:szCs w:val="21"/>
          <w:highlight w:val="none"/>
          <w:u w:val="single"/>
          <w:lang w:val="en-US" w:eastAsia="zh-CN"/>
        </w:rPr>
        <w:t>发包人积极配合协助承包人开展工作。</w:t>
      </w:r>
    </w:p>
    <w:p w14:paraId="6DEC2DCB">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⑨承包人须配齐专业人员仔细阅读图纸，对各专业图纸进行核对，对图纸中存在尺寸、专业配合、施工做法、施工规范、管线综合排布等不明确、不详尽、相互矛盾、不符合现行相关规范或标准、违背常规、无法满足使用要求或明显影响使用功能等显著问题应及时向发包人或监理人书面提出，经发包人或监理人书面答复后方可施工，否则因此返工而造成的一切费用均由承包人承担，工期不予顺延。</w:t>
      </w:r>
    </w:p>
    <w:p w14:paraId="73BE39F7">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⑩承包人应对整个现场操作和施工方法的完备性、稳定性和安全性负全责。承包人自行承担施工过程中发生的一切人身、财产纠纷、损失和法律责任，本合同金额中已包含安全措施费，承包人在施工过程中造成的项目单位、发包人、承包人、监理人或任何第三方的人身、财产损失均由承包人承担全部责任。</w:t>
      </w:r>
    </w:p>
    <w:p w14:paraId="3B5EA33F">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（10.</w:t>
      </w:r>
      <w:r>
        <w:rPr>
          <w:rFonts w:hint="eastAsia" w:ascii="Times New Roman" w:hAnsi="Times New Roman"/>
          <w:color w:val="auto"/>
          <w:sz w:val="21"/>
          <w:szCs w:val="21"/>
          <w:highlight w:val="none"/>
          <w:u w:val="single"/>
        </w:rPr>
        <w:t>14</w:t>
      </w:r>
      <w:r>
        <w:rPr>
          <w:rFonts w:ascii="Times New Roman" w:hAnsi="Times New Roman"/>
          <w:color w:val="auto"/>
          <w:sz w:val="21"/>
          <w:szCs w:val="21"/>
          <w:highlight w:val="none"/>
          <w:u w:val="single"/>
        </w:rPr>
        <w:t>）承包人按照《建筑工人实名制管理办法》（建市【2019】18号）规定，落实建筑工人实名制管理的各项措施。如承包人不重视、弄虚作假、不按规定执行，承包人承担全部责任，造成不良影响的按承包人违约处理。</w:t>
      </w:r>
    </w:p>
    <w:p w14:paraId="678B9A1F">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（10.</w:t>
      </w:r>
      <w:r>
        <w:rPr>
          <w:rFonts w:hint="eastAsia" w:ascii="Times New Roman" w:hAnsi="Times New Roman"/>
          <w:color w:val="auto"/>
          <w:sz w:val="21"/>
          <w:szCs w:val="21"/>
          <w:highlight w:val="none"/>
          <w:u w:val="single"/>
        </w:rPr>
        <w:t>15</w:t>
      </w:r>
      <w:r>
        <w:rPr>
          <w:rFonts w:ascii="Times New Roman" w:hAnsi="Times New Roman"/>
          <w:color w:val="auto"/>
          <w:sz w:val="21"/>
          <w:szCs w:val="21"/>
          <w:highlight w:val="none"/>
          <w:u w:val="single"/>
        </w:rPr>
        <w:t>）承包人应严格执行政府的相关规定</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做好</w:t>
      </w:r>
      <w:r>
        <w:rPr>
          <w:rFonts w:hint="eastAsia" w:ascii="Times New Roman" w:hAnsi="Times New Roman"/>
          <w:color w:val="auto"/>
          <w:sz w:val="21"/>
          <w:szCs w:val="21"/>
          <w:highlight w:val="none"/>
          <w:u w:val="single"/>
        </w:rPr>
        <w:t>公共安全突发事件应急</w:t>
      </w:r>
      <w:r>
        <w:rPr>
          <w:rFonts w:ascii="Times New Roman" w:hAnsi="Times New Roman"/>
          <w:color w:val="auto"/>
          <w:sz w:val="21"/>
          <w:szCs w:val="21"/>
          <w:highlight w:val="none"/>
          <w:u w:val="single"/>
        </w:rPr>
        <w:t>预案。</w:t>
      </w:r>
    </w:p>
    <w:p w14:paraId="3DF00FFC">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（10.</w:t>
      </w:r>
      <w:r>
        <w:rPr>
          <w:rFonts w:hint="eastAsia" w:ascii="Times New Roman" w:hAnsi="Times New Roman"/>
          <w:color w:val="auto"/>
          <w:sz w:val="21"/>
          <w:szCs w:val="21"/>
          <w:highlight w:val="none"/>
          <w:u w:val="single"/>
        </w:rPr>
        <w:t>16</w:t>
      </w: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rPr>
        <w:t>承包人因安全文明施工需要对现有场地围墙进行改造、</w:t>
      </w:r>
      <w:r>
        <w:rPr>
          <w:rFonts w:ascii="Times New Roman" w:hAnsi="Times New Roman"/>
          <w:color w:val="auto"/>
          <w:sz w:val="21"/>
          <w:szCs w:val="21"/>
          <w:highlight w:val="none"/>
          <w:u w:val="single"/>
        </w:rPr>
        <w:t>拆除</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重建</w:t>
      </w:r>
      <w:r>
        <w:rPr>
          <w:rFonts w:hint="eastAsia" w:ascii="Times New Roman" w:hAnsi="Times New Roman"/>
          <w:color w:val="auto"/>
          <w:sz w:val="21"/>
          <w:szCs w:val="21"/>
          <w:highlight w:val="none"/>
          <w:u w:val="single"/>
        </w:rPr>
        <w:t>的</w:t>
      </w:r>
      <w:r>
        <w:rPr>
          <w:rFonts w:ascii="Times New Roman" w:hAnsi="Times New Roman"/>
          <w:color w:val="auto"/>
          <w:sz w:val="21"/>
          <w:szCs w:val="21"/>
          <w:highlight w:val="none"/>
          <w:u w:val="single"/>
        </w:rPr>
        <w:t>质量须达到政府相关部门要求，此费用已经包含在</w:t>
      </w:r>
      <w:r>
        <w:rPr>
          <w:rFonts w:hint="eastAsia" w:ascii="Times New Roman" w:hAnsi="Times New Roman"/>
          <w:color w:val="auto"/>
          <w:sz w:val="21"/>
          <w:szCs w:val="21"/>
          <w:highlight w:val="none"/>
          <w:u w:val="single"/>
        </w:rPr>
        <w:t>安全文明施工措施费及</w:t>
      </w:r>
      <w:r>
        <w:rPr>
          <w:rFonts w:ascii="Times New Roman" w:hAnsi="Times New Roman"/>
          <w:color w:val="auto"/>
          <w:sz w:val="21"/>
          <w:szCs w:val="21"/>
          <w:highlight w:val="none"/>
          <w:u w:val="single"/>
        </w:rPr>
        <w:t>临时设施费中，发包人不再另行支付。</w:t>
      </w:r>
    </w:p>
    <w:p w14:paraId="0E82E712">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3.2 项目经理</w:t>
      </w:r>
    </w:p>
    <w:p w14:paraId="22E9D4E3">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3.2.1 项目经理：</w:t>
      </w:r>
    </w:p>
    <w:p w14:paraId="4A51C591">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姓    名：</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 xml:space="preserve"> ；</w:t>
      </w:r>
    </w:p>
    <w:p w14:paraId="40663DA0">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身份证号：</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219BB09B">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建造师执业资格等级</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01CB0861">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建造师注册证书号</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 xml:space="preserve"> ；</w:t>
      </w:r>
    </w:p>
    <w:p w14:paraId="2309980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建造师执业印章号</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 xml:space="preserve"> ；</w:t>
      </w:r>
    </w:p>
    <w:p w14:paraId="6DF3FE60">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安全生产考核合格证书号</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72E7D80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联系电话：</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355C3495">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电子信箱：</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50886FAB">
      <w:pPr>
        <w:spacing w:line="360" w:lineRule="auto"/>
        <w:ind w:firstLine="210" w:firstLineChars="100"/>
        <w:rPr>
          <w:rFonts w:hint="eastAsia" w:ascii="Times New Roman" w:hAnsi="Times New Roman"/>
          <w:color w:val="auto"/>
          <w:sz w:val="21"/>
          <w:szCs w:val="21"/>
          <w:highlight w:val="none"/>
          <w:u w:val="single"/>
        </w:rPr>
      </w:pPr>
      <w:r>
        <w:rPr>
          <w:rFonts w:ascii="Times New Roman" w:hAnsi="Times New Roman"/>
          <w:color w:val="auto"/>
          <w:sz w:val="21"/>
          <w:szCs w:val="21"/>
          <w:highlight w:val="none"/>
        </w:rPr>
        <w:t>承包人对项目经理的授权范围包含：</w:t>
      </w:r>
      <w:r>
        <w:rPr>
          <w:rFonts w:hint="eastAsia" w:ascii="Times New Roman" w:hAnsi="Times New Roman"/>
          <w:color w:val="auto"/>
          <w:sz w:val="21"/>
          <w:szCs w:val="21"/>
          <w:highlight w:val="none"/>
          <w:u w:val="single"/>
        </w:rPr>
        <w:t>行使合同约定的承包人权利，负责履行合同约定的承包人的义务。承包人施工阶段全过程工程总管理，依据发包人指示负责指挥并协调各分包方完成本工程项目。</w:t>
      </w:r>
    </w:p>
    <w:p w14:paraId="603472FB">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关于项目经理每月在施工现场的时间要求：</w:t>
      </w:r>
      <w:r>
        <w:rPr>
          <w:rFonts w:ascii="Times New Roman" w:hAnsi="Times New Roman"/>
          <w:color w:val="auto"/>
          <w:sz w:val="21"/>
          <w:szCs w:val="21"/>
          <w:highlight w:val="none"/>
          <w:u w:val="single"/>
        </w:rPr>
        <w:t>每月坚守工地时间不得少于26天。</w:t>
      </w:r>
    </w:p>
    <w:p w14:paraId="14146794">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项目经理未经批准，擅自离开施工现场的违约责任：</w:t>
      </w:r>
      <w:r>
        <w:rPr>
          <w:rFonts w:ascii="Times New Roman" w:hAnsi="Times New Roman"/>
          <w:color w:val="auto"/>
          <w:sz w:val="21"/>
          <w:szCs w:val="21"/>
          <w:highlight w:val="none"/>
          <w:u w:val="single"/>
        </w:rPr>
        <w:t>按</w:t>
      </w:r>
      <w:r>
        <w:rPr>
          <w:rFonts w:hint="eastAsia" w:ascii="Times New Roman" w:hAnsi="Times New Roman"/>
          <w:color w:val="auto"/>
          <w:sz w:val="21"/>
          <w:szCs w:val="21"/>
          <w:highlight w:val="none"/>
          <w:u w:val="single"/>
        </w:rPr>
        <w:t>5</w:t>
      </w:r>
      <w:r>
        <w:rPr>
          <w:rFonts w:ascii="Times New Roman" w:hAnsi="Times New Roman"/>
          <w:color w:val="auto"/>
          <w:sz w:val="21"/>
          <w:szCs w:val="21"/>
          <w:highlight w:val="none"/>
          <w:u w:val="single"/>
        </w:rPr>
        <w:t>000元/天支付违约金。</w:t>
      </w:r>
    </w:p>
    <w:p w14:paraId="4260916B">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3.2.3承包人擅自更换项目经理的违约责任：</w:t>
      </w:r>
      <w:r>
        <w:rPr>
          <w:rFonts w:ascii="Times New Roman" w:hAnsi="Times New Roman"/>
          <w:color w:val="auto"/>
          <w:sz w:val="21"/>
          <w:szCs w:val="21"/>
          <w:highlight w:val="none"/>
          <w:u w:val="single"/>
        </w:rPr>
        <w:t>（1）承包人未经发包人同意不得擅自更换项目经理，必须常驻现场，按时参加项目例会，项目经理不得兼职，因其他事务需要离开施工现场时，应向项目的总监理工程师及发包人现场代表</w:t>
      </w:r>
      <w:r>
        <w:rPr>
          <w:rFonts w:hint="eastAsia" w:ascii="Times New Roman" w:hAnsi="Times New Roman"/>
          <w:color w:val="auto"/>
          <w:sz w:val="21"/>
          <w:szCs w:val="21"/>
          <w:highlight w:val="none"/>
          <w:u w:val="single"/>
        </w:rPr>
        <w:t>书面</w:t>
      </w:r>
      <w:r>
        <w:rPr>
          <w:rFonts w:ascii="Times New Roman" w:hAnsi="Times New Roman"/>
          <w:color w:val="auto"/>
          <w:sz w:val="21"/>
          <w:szCs w:val="21"/>
          <w:highlight w:val="none"/>
          <w:u w:val="single"/>
        </w:rPr>
        <w:t>请假</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离开期间应委托项目相关负责人负责其外出时的日常工作。</w:t>
      </w:r>
      <w:r>
        <w:rPr>
          <w:rFonts w:hint="eastAsia" w:ascii="Times New Roman" w:hAnsi="Times New Roman"/>
          <w:color w:val="auto"/>
          <w:sz w:val="21"/>
          <w:szCs w:val="21"/>
          <w:highlight w:val="none"/>
          <w:u w:val="single"/>
        </w:rPr>
        <w:t>承包人</w:t>
      </w:r>
      <w:r>
        <w:rPr>
          <w:rFonts w:ascii="Times New Roman" w:hAnsi="Times New Roman"/>
          <w:color w:val="auto"/>
          <w:sz w:val="21"/>
          <w:szCs w:val="21"/>
          <w:highlight w:val="none"/>
          <w:u w:val="single"/>
        </w:rPr>
        <w:t>擅自更换项目经理自愿承担</w:t>
      </w:r>
      <w:r>
        <w:rPr>
          <w:rFonts w:hint="eastAsia"/>
          <w:color w:val="auto"/>
          <w:sz w:val="21"/>
          <w:szCs w:val="21"/>
          <w:highlight w:val="none"/>
          <w:u w:val="single"/>
          <w:lang w:val="en-US" w:eastAsia="zh-CN"/>
        </w:rPr>
        <w:t>5</w:t>
      </w:r>
      <w:r>
        <w:rPr>
          <w:rFonts w:ascii="Times New Roman" w:hAnsi="Times New Roman"/>
          <w:color w:val="auto"/>
          <w:sz w:val="21"/>
          <w:szCs w:val="21"/>
          <w:highlight w:val="none"/>
          <w:u w:val="single"/>
        </w:rPr>
        <w:t>万元违约金。（2）若确实需要更换，承包人必须在更换前30日提出申请，拟派</w:t>
      </w:r>
      <w:r>
        <w:rPr>
          <w:rFonts w:hint="eastAsia" w:ascii="Times New Roman" w:hAnsi="Times New Roman"/>
          <w:color w:val="auto"/>
          <w:sz w:val="21"/>
          <w:szCs w:val="21"/>
          <w:highlight w:val="none"/>
          <w:u w:val="single"/>
        </w:rPr>
        <w:t>项目经理</w:t>
      </w:r>
      <w:r>
        <w:rPr>
          <w:rFonts w:ascii="Times New Roman" w:hAnsi="Times New Roman"/>
          <w:color w:val="auto"/>
          <w:sz w:val="21"/>
          <w:szCs w:val="21"/>
          <w:highlight w:val="none"/>
          <w:u w:val="single"/>
        </w:rPr>
        <w:t>不应低于原人员的资质及业绩并附相关资料报发包人。若更换项目经理需</w:t>
      </w:r>
      <w:r>
        <w:rPr>
          <w:rFonts w:hint="eastAsia" w:ascii="Times New Roman" w:hAnsi="Times New Roman"/>
          <w:color w:val="auto"/>
          <w:sz w:val="21"/>
          <w:szCs w:val="21"/>
          <w:highlight w:val="none"/>
          <w:u w:val="single"/>
        </w:rPr>
        <w:t>支付</w:t>
      </w:r>
      <w:r>
        <w:rPr>
          <w:rFonts w:hint="eastAsia"/>
          <w:color w:val="auto"/>
          <w:sz w:val="21"/>
          <w:szCs w:val="21"/>
          <w:highlight w:val="none"/>
          <w:u w:val="single"/>
          <w:lang w:val="en-US" w:eastAsia="zh-CN"/>
        </w:rPr>
        <w:t>2</w:t>
      </w:r>
      <w:r>
        <w:rPr>
          <w:rFonts w:ascii="Times New Roman" w:hAnsi="Times New Roman"/>
          <w:color w:val="auto"/>
          <w:sz w:val="21"/>
          <w:szCs w:val="21"/>
          <w:highlight w:val="none"/>
          <w:u w:val="single"/>
        </w:rPr>
        <w:t>万元</w:t>
      </w:r>
      <w:r>
        <w:rPr>
          <w:rFonts w:hint="eastAsia" w:ascii="Times New Roman" w:hAnsi="Times New Roman"/>
          <w:color w:val="auto"/>
          <w:sz w:val="21"/>
          <w:szCs w:val="21"/>
          <w:highlight w:val="none"/>
          <w:u w:val="single"/>
        </w:rPr>
        <w:t>违约金</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rPr>
        <w:t>如因此延误工期或增加费用</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rPr>
        <w:t>该费用由承包人承担。</w:t>
      </w:r>
    </w:p>
    <w:p w14:paraId="423D26B3">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 xml:space="preserve">3.2.4 </w:t>
      </w:r>
      <w:r>
        <w:rPr>
          <w:rFonts w:hint="eastAsia" w:ascii="Times New Roman" w:hAnsi="Times New Roman"/>
          <w:color w:val="auto"/>
          <w:sz w:val="21"/>
          <w:szCs w:val="21"/>
          <w:highlight w:val="none"/>
          <w:lang w:val="en-US" w:eastAsia="zh-CN"/>
        </w:rPr>
        <w:t>发包人有权书面通知承包人更换其认为不称职的项目经理，</w:t>
      </w:r>
      <w:r>
        <w:rPr>
          <w:rFonts w:ascii="Times New Roman" w:hAnsi="Times New Roman"/>
          <w:color w:val="auto"/>
          <w:sz w:val="21"/>
          <w:szCs w:val="21"/>
          <w:highlight w:val="none"/>
        </w:rPr>
        <w:t>承包人无正当理由拒绝更换项目经理的违约责任：</w:t>
      </w:r>
      <w:r>
        <w:rPr>
          <w:rFonts w:ascii="Times New Roman" w:hAnsi="Times New Roman"/>
          <w:color w:val="auto"/>
          <w:sz w:val="21"/>
          <w:szCs w:val="21"/>
          <w:highlight w:val="none"/>
          <w:u w:val="single"/>
        </w:rPr>
        <w:t>支付违约金</w:t>
      </w:r>
      <w:r>
        <w:rPr>
          <w:rFonts w:hint="eastAsia" w:ascii="Times New Roman" w:hAnsi="Times New Roman"/>
          <w:color w:val="auto"/>
          <w:sz w:val="21"/>
          <w:szCs w:val="21"/>
          <w:highlight w:val="none"/>
          <w:u w:val="single"/>
        </w:rPr>
        <w:t>1</w:t>
      </w:r>
      <w:r>
        <w:rPr>
          <w:rFonts w:ascii="Times New Roman" w:hAnsi="Times New Roman"/>
          <w:color w:val="auto"/>
          <w:sz w:val="21"/>
          <w:szCs w:val="21"/>
          <w:highlight w:val="none"/>
          <w:u w:val="single"/>
        </w:rPr>
        <w:t>0万元</w:t>
      </w:r>
      <w:r>
        <w:rPr>
          <w:rFonts w:hint="eastAsia" w:ascii="Times New Roman" w:hAnsi="Times New Roman"/>
          <w:color w:val="auto"/>
          <w:sz w:val="21"/>
          <w:szCs w:val="21"/>
          <w:highlight w:val="none"/>
          <w:u w:val="single"/>
          <w:lang w:val="en-US" w:eastAsia="zh-CN"/>
        </w:rPr>
        <w:t>；</w:t>
      </w:r>
      <w:r>
        <w:rPr>
          <w:rFonts w:hint="eastAsia" w:ascii="Times New Roman" w:hAnsi="Times New Roman"/>
          <w:color w:val="auto"/>
          <w:sz w:val="21"/>
          <w:szCs w:val="21"/>
          <w:highlight w:val="none"/>
          <w:u w:val="single"/>
        </w:rPr>
        <w:t>由此增加的费用和（或）延误的工期由承包人承担。</w:t>
      </w:r>
    </w:p>
    <w:p w14:paraId="0CEE18C7">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3.3 承包人人员</w:t>
      </w:r>
    </w:p>
    <w:p w14:paraId="4C6AC9D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3.3.1 承包人提交项目管理机构及施工现场管理人员安排报告的期限：</w:t>
      </w:r>
      <w:r>
        <w:rPr>
          <w:rFonts w:ascii="Times New Roman" w:hAnsi="Times New Roman"/>
          <w:color w:val="auto"/>
          <w:sz w:val="21"/>
          <w:szCs w:val="21"/>
          <w:highlight w:val="none"/>
          <w:u w:val="single"/>
        </w:rPr>
        <w:t>按通用条款3.3.1的要求提供相应报告内容。</w:t>
      </w:r>
      <w:r>
        <w:rPr>
          <w:rFonts w:hint="eastAsia" w:ascii="Times New Roman" w:hAnsi="Times New Roman"/>
          <w:color w:val="auto"/>
          <w:sz w:val="21"/>
          <w:szCs w:val="21"/>
          <w:highlight w:val="none"/>
          <w:u w:val="single"/>
          <w:lang w:val="en-US" w:eastAsia="zh-CN"/>
        </w:rPr>
        <w:t>在发放中标通知书后7天内。</w:t>
      </w:r>
    </w:p>
    <w:p w14:paraId="7ADFAFC3">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3.3.2 承包人无正当理由拒绝撤换主要施工管理人员的违约责任：</w:t>
      </w:r>
      <w:r>
        <w:rPr>
          <w:rFonts w:ascii="Times New Roman" w:hAnsi="Times New Roman"/>
          <w:color w:val="auto"/>
          <w:sz w:val="21"/>
          <w:szCs w:val="21"/>
          <w:highlight w:val="none"/>
          <w:u w:val="single"/>
        </w:rPr>
        <w:t>承包人主要施工管理人员不称职，发包人和总监理工程师以书面形式通知承包人更换合格的人员</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人员的更换应在</w:t>
      </w:r>
      <w:r>
        <w:rPr>
          <w:rFonts w:hint="eastAsia" w:ascii="Times New Roman" w:hAnsi="Times New Roman"/>
          <w:color w:val="auto"/>
          <w:sz w:val="21"/>
          <w:szCs w:val="21"/>
          <w:highlight w:val="none"/>
          <w:u w:val="single"/>
        </w:rPr>
        <w:t>接到书面通知</w:t>
      </w:r>
      <w:r>
        <w:rPr>
          <w:rFonts w:ascii="Times New Roman" w:hAnsi="Times New Roman"/>
          <w:color w:val="auto"/>
          <w:sz w:val="21"/>
          <w:szCs w:val="21"/>
          <w:highlight w:val="none"/>
          <w:u w:val="single"/>
        </w:rPr>
        <w:t>3日内更换完毕。</w:t>
      </w:r>
      <w:r>
        <w:rPr>
          <w:rFonts w:hint="eastAsia" w:ascii="Times New Roman" w:hAnsi="Times New Roman"/>
          <w:color w:val="auto"/>
          <w:sz w:val="21"/>
          <w:szCs w:val="21"/>
          <w:highlight w:val="none"/>
          <w:u w:val="single"/>
        </w:rPr>
        <w:t>否则</w:t>
      </w:r>
      <w:r>
        <w:rPr>
          <w:rFonts w:ascii="Times New Roman" w:hAnsi="Times New Roman"/>
          <w:color w:val="auto"/>
          <w:sz w:val="21"/>
          <w:szCs w:val="21"/>
          <w:highlight w:val="none"/>
          <w:u w:val="single"/>
        </w:rPr>
        <w:t>承包人按照2万元/人/天支付违约金，直至</w:t>
      </w:r>
      <w:r>
        <w:rPr>
          <w:rFonts w:hint="eastAsia" w:ascii="Times New Roman" w:hAnsi="Times New Roman"/>
          <w:color w:val="auto"/>
          <w:sz w:val="21"/>
          <w:szCs w:val="21"/>
          <w:highlight w:val="none"/>
          <w:u w:val="single"/>
        </w:rPr>
        <w:t>人员更换到位</w:t>
      </w: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lang w:val="en-US" w:eastAsia="zh-CN"/>
        </w:rPr>
        <w:t>如因此延误工期或增加费用，该费用由承包人承担。</w:t>
      </w:r>
    </w:p>
    <w:p w14:paraId="2E1F1E43">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3.3.3 承包人主要施工管理人员离开施工现场的批准要求：</w:t>
      </w:r>
      <w:r>
        <w:rPr>
          <w:rFonts w:hint="eastAsia" w:ascii="Times New Roman" w:hAnsi="Times New Roman"/>
          <w:color w:val="auto"/>
          <w:sz w:val="21"/>
          <w:szCs w:val="21"/>
          <w:highlight w:val="none"/>
          <w:u w:val="single"/>
          <w:lang w:val="en-US" w:eastAsia="zh-CN"/>
        </w:rPr>
        <w:t>执行通用条款</w:t>
      </w:r>
      <w:r>
        <w:rPr>
          <w:rFonts w:ascii="Times New Roman" w:hAnsi="Times New Roman"/>
          <w:color w:val="auto"/>
          <w:sz w:val="21"/>
          <w:szCs w:val="21"/>
          <w:highlight w:val="none"/>
          <w:u w:val="single"/>
        </w:rPr>
        <w:t>。</w:t>
      </w:r>
    </w:p>
    <w:p w14:paraId="33240451">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3.3.4承包人擅自更换主要施工管理人员的违约责任：</w:t>
      </w:r>
      <w:r>
        <w:rPr>
          <w:rFonts w:hint="eastAsia" w:ascii="Times New Roman" w:hAnsi="Times New Roman"/>
          <w:color w:val="auto"/>
          <w:sz w:val="21"/>
          <w:szCs w:val="21"/>
          <w:highlight w:val="none"/>
          <w:u w:val="single"/>
        </w:rPr>
        <w:t>主要施工管理</w:t>
      </w:r>
      <w:r>
        <w:rPr>
          <w:rFonts w:ascii="Times New Roman" w:hAnsi="Times New Roman"/>
          <w:color w:val="auto"/>
          <w:sz w:val="21"/>
          <w:szCs w:val="21"/>
          <w:highlight w:val="none"/>
          <w:u w:val="single"/>
        </w:rPr>
        <w:t>人员应按投标文件承诺和相关标准到位，</w:t>
      </w:r>
      <w:r>
        <w:rPr>
          <w:rFonts w:hint="eastAsia" w:ascii="Times New Roman" w:hAnsi="Times New Roman"/>
          <w:color w:val="auto"/>
          <w:sz w:val="21"/>
          <w:szCs w:val="21"/>
          <w:highlight w:val="none"/>
          <w:u w:val="single"/>
        </w:rPr>
        <w:t>持证上岗。擅自更换</w:t>
      </w:r>
      <w:r>
        <w:rPr>
          <w:rFonts w:ascii="Times New Roman" w:hAnsi="Times New Roman"/>
          <w:color w:val="auto"/>
          <w:sz w:val="21"/>
          <w:szCs w:val="21"/>
          <w:highlight w:val="none"/>
          <w:u w:val="single"/>
        </w:rPr>
        <w:t>或配备不足，按照1000元/人/天扣除违约金</w:t>
      </w:r>
      <w:r>
        <w:rPr>
          <w:rFonts w:hint="eastAsia" w:ascii="Times New Roman" w:hAnsi="Times New Roman"/>
          <w:color w:val="auto"/>
          <w:sz w:val="21"/>
          <w:szCs w:val="21"/>
          <w:highlight w:val="none"/>
          <w:u w:val="single"/>
          <w:lang w:val="en-US" w:eastAsia="zh-CN"/>
        </w:rPr>
        <w:t>直至符合要求的主要管理人员到岗</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并承担3.2.3相关违约责任</w:t>
      </w:r>
      <w:r>
        <w:rPr>
          <w:rFonts w:ascii="Times New Roman" w:hAnsi="Times New Roman"/>
          <w:color w:val="auto"/>
          <w:sz w:val="21"/>
          <w:szCs w:val="21"/>
          <w:highlight w:val="none"/>
          <w:u w:val="single"/>
        </w:rPr>
        <w:t>。</w:t>
      </w:r>
    </w:p>
    <w:p w14:paraId="020C064D">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3</w:t>
      </w:r>
      <w:bookmarkStart w:id="592" w:name="_Toc304295523"/>
      <w:bookmarkStart w:id="593" w:name="_Toc297216151"/>
      <w:bookmarkStart w:id="594" w:name="_Toc297123492"/>
      <w:bookmarkStart w:id="595" w:name="_Toc296503159"/>
      <w:bookmarkStart w:id="596" w:name="_Toc292559869"/>
      <w:bookmarkStart w:id="597" w:name="_Toc292559364"/>
      <w:bookmarkStart w:id="598" w:name="_Toc296890987"/>
      <w:bookmarkStart w:id="599" w:name="_Toc297120459"/>
      <w:bookmarkStart w:id="600" w:name="_Toc312677988"/>
      <w:bookmarkStart w:id="601" w:name="_Toc296347158"/>
      <w:bookmarkStart w:id="602" w:name="_Toc297048345"/>
      <w:bookmarkStart w:id="603" w:name="_Toc303539102"/>
      <w:bookmarkStart w:id="604" w:name="_Toc296891199"/>
      <w:bookmarkStart w:id="605" w:name="_Toc300934945"/>
      <w:bookmarkStart w:id="606" w:name="_Toc296346660"/>
      <w:bookmarkStart w:id="607" w:name="_Toc296944498"/>
      <w:r>
        <w:rPr>
          <w:rFonts w:ascii="Times New Roman" w:hAnsi="Times New Roman"/>
          <w:b/>
          <w:bCs/>
          <w:color w:val="auto"/>
          <w:sz w:val="21"/>
          <w:szCs w:val="21"/>
          <w:highlight w:val="none"/>
        </w:rPr>
        <w:t>.5 分包</w:t>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14:paraId="6207A09E">
      <w:pPr>
        <w:spacing w:line="360" w:lineRule="auto"/>
        <w:ind w:firstLine="210" w:firstLineChars="100"/>
        <w:rPr>
          <w:rFonts w:hint="eastAsia" w:ascii="Times New Roman" w:hAnsi="Times New Roman"/>
          <w:color w:val="auto"/>
          <w:sz w:val="21"/>
          <w:szCs w:val="21"/>
          <w:highlight w:val="none"/>
        </w:rPr>
      </w:pPr>
      <w:bookmarkStart w:id="608" w:name="_Toc312677990"/>
      <w:bookmarkStart w:id="609" w:name="_Toc318581159"/>
      <w:r>
        <w:rPr>
          <w:rFonts w:hint="eastAsia" w:ascii="Times New Roman" w:hAnsi="Times New Roman"/>
          <w:color w:val="auto"/>
          <w:sz w:val="21"/>
          <w:szCs w:val="21"/>
          <w:highlight w:val="none"/>
        </w:rPr>
        <w:t>3.5.1 分包的一般约定</w:t>
      </w:r>
    </w:p>
    <w:p w14:paraId="250DBCEA">
      <w:pPr>
        <w:spacing w:line="360" w:lineRule="auto"/>
        <w:ind w:firstLine="210" w:firstLineChars="10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禁止分包的工程包括：</w:t>
      </w:r>
      <w:r>
        <w:rPr>
          <w:rFonts w:hint="eastAsia" w:ascii="宋体" w:hAnsi="宋体" w:eastAsia="宋体" w:cs="宋体"/>
          <w:b w:val="0"/>
          <w:bCs/>
          <w:color w:val="auto"/>
          <w:sz w:val="21"/>
          <w:szCs w:val="21"/>
          <w:highlight w:val="none"/>
          <w:u w:val="single"/>
        </w:rPr>
        <w:t>基础、主体工程、关键性工作等国家法律、法规所禁止分包的工程内容</w:t>
      </w:r>
      <w:r>
        <w:rPr>
          <w:rFonts w:hint="eastAsia" w:ascii="Times New Roman" w:hAnsi="Times New Roman"/>
          <w:color w:val="auto"/>
          <w:sz w:val="21"/>
          <w:szCs w:val="21"/>
          <w:highlight w:val="none"/>
        </w:rPr>
        <w:t>。</w:t>
      </w:r>
    </w:p>
    <w:p w14:paraId="7AB11127">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lang w:val="en-US" w:eastAsia="zh-CN"/>
        </w:rPr>
        <w:t>1</w:t>
      </w:r>
      <w:r>
        <w:rPr>
          <w:rFonts w:hint="eastAsia" w:ascii="Times New Roman" w:hAnsi="Times New Roman"/>
          <w:color w:val="auto"/>
          <w:sz w:val="21"/>
          <w:szCs w:val="21"/>
          <w:highlight w:val="none"/>
          <w:u w:val="single"/>
        </w:rPr>
        <w:t>）承包人可以将其他非主体、非关键性工作分包给具备相应资质的第三人。</w:t>
      </w:r>
    </w:p>
    <w:p w14:paraId="297194DE">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lang w:val="en-US" w:eastAsia="zh-CN"/>
        </w:rPr>
        <w:t>2</w:t>
      </w:r>
      <w:r>
        <w:rPr>
          <w:rFonts w:hint="eastAsia" w:ascii="Times New Roman" w:hAnsi="Times New Roman"/>
          <w:color w:val="auto"/>
          <w:sz w:val="21"/>
          <w:szCs w:val="21"/>
          <w:highlight w:val="none"/>
          <w:u w:val="single"/>
        </w:rPr>
        <w:t>）承包人分包的非主体、非关键性工作不能减轻和解除承包人的责任与义务。承包人应在分包场地派驻相应管理人员。承包人的分包商任何违约行为或故意、疏忽导致工程损害或给发包人造成其他损失，承包人应承担全部责任。承包人的任何分包商、分包商代理人、雇员或工人的行为、违约、故意或疏忽完全视为承包人的自身行为、违约、故意或疏忽，承包人应承担全部责任。</w:t>
      </w:r>
    </w:p>
    <w:p w14:paraId="4F9FFF63">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lang w:val="en-US" w:eastAsia="zh-CN"/>
        </w:rPr>
        <w:t>3</w:t>
      </w:r>
      <w:r>
        <w:rPr>
          <w:rFonts w:hint="eastAsia" w:ascii="Times New Roman" w:hAnsi="Times New Roman"/>
          <w:color w:val="auto"/>
          <w:sz w:val="21"/>
          <w:szCs w:val="21"/>
          <w:highlight w:val="none"/>
          <w:u w:val="single"/>
        </w:rPr>
        <w:t>）承包人应与其分包商签订分包合同并在分包合同签订后7天内将合同副本相关资料分别送</w:t>
      </w:r>
      <w:r>
        <w:rPr>
          <w:rFonts w:hint="eastAsia" w:ascii="Times New Roman" w:hAnsi="Times New Roman"/>
          <w:color w:val="auto"/>
          <w:sz w:val="21"/>
          <w:szCs w:val="21"/>
          <w:highlight w:val="none"/>
          <w:u w:val="single"/>
          <w:lang w:val="en-US" w:eastAsia="zh-CN"/>
        </w:rPr>
        <w:t>项目单位、</w:t>
      </w:r>
      <w:r>
        <w:rPr>
          <w:rFonts w:hint="eastAsia" w:ascii="Times New Roman" w:hAnsi="Times New Roman"/>
          <w:color w:val="auto"/>
          <w:sz w:val="21"/>
          <w:szCs w:val="21"/>
          <w:highlight w:val="none"/>
          <w:u w:val="single"/>
        </w:rPr>
        <w:t>发包人</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监理人审核并</w:t>
      </w:r>
      <w:r>
        <w:rPr>
          <w:rFonts w:hint="eastAsia" w:ascii="Times New Roman" w:hAnsi="Times New Roman"/>
          <w:color w:val="auto"/>
          <w:sz w:val="21"/>
          <w:szCs w:val="21"/>
          <w:highlight w:val="none"/>
          <w:u w:val="single"/>
        </w:rPr>
        <w:t>备案，分包合同不应与本合同有任何抵触或矛盾之处。</w:t>
      </w:r>
    </w:p>
    <w:p w14:paraId="0385B16B">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lang w:val="en-US" w:eastAsia="zh-CN"/>
        </w:rPr>
        <w:t>4</w:t>
      </w:r>
      <w:r>
        <w:rPr>
          <w:rFonts w:hint="eastAsia" w:ascii="Times New Roman" w:hAnsi="Times New Roman"/>
          <w:color w:val="auto"/>
          <w:sz w:val="21"/>
          <w:szCs w:val="21"/>
          <w:highlight w:val="none"/>
          <w:u w:val="single"/>
        </w:rPr>
        <w:t>）发包人在工程量清单中给定暂估价的专业工程，执行专用合同条款第10.7款。</w:t>
      </w:r>
    </w:p>
    <w:p w14:paraId="06D0E21C">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lang w:val="en-US" w:eastAsia="zh-CN"/>
        </w:rPr>
        <w:t>5</w:t>
      </w:r>
      <w:r>
        <w:rPr>
          <w:rFonts w:hint="eastAsia" w:ascii="Times New Roman" w:hAnsi="Times New Roman"/>
          <w:color w:val="auto"/>
          <w:sz w:val="21"/>
          <w:szCs w:val="21"/>
          <w:highlight w:val="none"/>
          <w:u w:val="single"/>
        </w:rPr>
        <w:t>）发包人在工程量清单中给定暂估价的材料和工程设备，执行专用合同条款第10.7款。</w:t>
      </w:r>
    </w:p>
    <w:p w14:paraId="4354F49A">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none"/>
        </w:rPr>
        <w:t>3.5.5 分包合同权益的转让</w:t>
      </w:r>
    </w:p>
    <w:p w14:paraId="301595EE">
      <w:pPr>
        <w:spacing w:line="360" w:lineRule="auto"/>
        <w:ind w:firstLine="210" w:firstLineChars="100"/>
        <w:rPr>
          <w:rFonts w:hint="eastAsia" w:ascii="Times New Roman" w:hAnsi="Times New Roman" w:eastAsia="宋体"/>
          <w:color w:val="auto"/>
          <w:sz w:val="21"/>
          <w:szCs w:val="21"/>
          <w:highlight w:val="none"/>
          <w:u w:val="single"/>
          <w:lang w:eastAsia="zh-CN"/>
        </w:rPr>
      </w:pPr>
      <w:r>
        <w:rPr>
          <w:rFonts w:hint="eastAsia" w:ascii="Times New Roman" w:hAnsi="Times New Roman"/>
          <w:color w:val="auto"/>
          <w:sz w:val="21"/>
          <w:szCs w:val="21"/>
          <w:highlight w:val="none"/>
          <w:u w:val="single"/>
          <w:lang w:val="en-US" w:eastAsia="zh-CN"/>
        </w:rPr>
        <w:t>承包人实施分包的专项工程，</w:t>
      </w:r>
      <w:r>
        <w:rPr>
          <w:rFonts w:hint="eastAsia" w:ascii="Times New Roman" w:hAnsi="Times New Roman"/>
          <w:color w:val="auto"/>
          <w:sz w:val="21"/>
          <w:szCs w:val="21"/>
          <w:highlight w:val="none"/>
          <w:u w:val="single"/>
        </w:rPr>
        <w:t>分包人在分包合同项下的义务持续到缺陷责任期届满以后，</w:t>
      </w:r>
      <w:r>
        <w:rPr>
          <w:rFonts w:hint="eastAsia" w:ascii="Times New Roman" w:hAnsi="Times New Roman"/>
          <w:color w:val="auto"/>
          <w:sz w:val="21"/>
          <w:szCs w:val="21"/>
          <w:highlight w:val="none"/>
          <w:u w:val="single"/>
          <w:lang w:val="en-US" w:eastAsia="zh-CN"/>
        </w:rPr>
        <w:t>发包人有权</w:t>
      </w:r>
      <w:r>
        <w:rPr>
          <w:rFonts w:hint="eastAsia" w:ascii="Times New Roman" w:hAnsi="Times New Roman"/>
          <w:color w:val="auto"/>
          <w:sz w:val="21"/>
          <w:szCs w:val="21"/>
          <w:highlight w:val="none"/>
          <w:u w:val="single"/>
        </w:rPr>
        <w:t>在缺陷责任期届满前，要求承包人将其在分包合同项下的权益</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办理书面移交手续</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rPr>
        <w:t>转让给</w:t>
      </w:r>
      <w:r>
        <w:rPr>
          <w:rFonts w:hint="eastAsia"/>
          <w:color w:val="auto"/>
          <w:sz w:val="21"/>
          <w:szCs w:val="21"/>
          <w:highlight w:val="none"/>
          <w:u w:val="single"/>
          <w:lang w:val="en-US" w:eastAsia="zh-CN"/>
        </w:rPr>
        <w:t>发包人</w:t>
      </w:r>
      <w:r>
        <w:rPr>
          <w:rFonts w:hint="eastAsia" w:ascii="Times New Roman" w:hAnsi="Times New Roman"/>
          <w:color w:val="auto"/>
          <w:sz w:val="21"/>
          <w:szCs w:val="21"/>
          <w:highlight w:val="none"/>
          <w:u w:val="single"/>
        </w:rPr>
        <w:t>，承包人应当转让</w:t>
      </w:r>
      <w:r>
        <w:rPr>
          <w:rFonts w:hint="eastAsia" w:ascii="Times New Roman" w:hAnsi="Times New Roman"/>
          <w:color w:val="auto"/>
          <w:sz w:val="21"/>
          <w:szCs w:val="21"/>
          <w:highlight w:val="none"/>
          <w:u w:val="single"/>
          <w:lang w:eastAsia="zh-CN"/>
        </w:rPr>
        <w:t>。</w:t>
      </w:r>
    </w:p>
    <w:bookmarkEnd w:id="608"/>
    <w:bookmarkEnd w:id="609"/>
    <w:p w14:paraId="23492860">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3.6 工程照管与成品、半成品保护</w:t>
      </w:r>
    </w:p>
    <w:p w14:paraId="138E4B4D">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承包人负责照管工程及工程相关的材料、工程设备的起始时间：</w:t>
      </w:r>
      <w:r>
        <w:rPr>
          <w:rFonts w:ascii="Times New Roman" w:hAnsi="Times New Roman"/>
          <w:color w:val="auto"/>
          <w:sz w:val="21"/>
          <w:szCs w:val="21"/>
          <w:highlight w:val="none"/>
          <w:u w:val="single"/>
        </w:rPr>
        <w:t>执行通用条款。</w:t>
      </w:r>
    </w:p>
    <w:p w14:paraId="5149FD16">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3.7 履约担保</w:t>
      </w:r>
    </w:p>
    <w:p w14:paraId="10E1067F">
      <w:pPr>
        <w:spacing w:line="360" w:lineRule="auto"/>
        <w:ind w:firstLine="210" w:firstLineChars="100"/>
        <w:rPr>
          <w:rFonts w:hint="eastAsia" w:ascii="Times New Roman" w:hAnsi="Times New Roman"/>
          <w:color w:val="auto"/>
          <w:sz w:val="21"/>
          <w:szCs w:val="21"/>
          <w:highlight w:val="none"/>
        </w:rPr>
      </w:pPr>
      <w:r>
        <w:rPr>
          <w:rFonts w:ascii="Times New Roman" w:hAnsi="Times New Roman"/>
          <w:color w:val="auto"/>
          <w:sz w:val="21"/>
          <w:szCs w:val="21"/>
          <w:highlight w:val="none"/>
        </w:rPr>
        <w:t>承包人是否提供履约担保：是</w:t>
      </w:r>
      <w:r>
        <w:rPr>
          <w:rFonts w:hint="eastAsia" w:ascii="Times New Roman" w:hAnsi="Times New Roman"/>
          <w:color w:val="auto"/>
          <w:sz w:val="21"/>
          <w:szCs w:val="21"/>
          <w:highlight w:val="none"/>
          <w:lang w:val="en-US" w:eastAsia="zh-CN"/>
        </w:rPr>
        <w:t xml:space="preserve">  </w:t>
      </w:r>
      <w:r>
        <w:rPr>
          <w:rFonts w:ascii="Times New Roman" w:hAnsi="Times New Roman"/>
          <w:color w:val="auto"/>
          <w:sz w:val="21"/>
          <w:szCs w:val="21"/>
          <w:highlight w:val="none"/>
        </w:rPr>
        <w:t>。</w:t>
      </w:r>
    </w:p>
    <w:p w14:paraId="14CE88BB">
      <w:pPr>
        <w:spacing w:line="360" w:lineRule="auto"/>
        <w:ind w:firstLine="210" w:firstLineChars="10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履约担保的金额</w:t>
      </w:r>
      <w:r>
        <w:rPr>
          <w:rFonts w:hint="eastAsia" w:ascii="Times New Roman" w:hAnsi="Times New Roman"/>
          <w:color w:val="auto"/>
          <w:sz w:val="21"/>
          <w:szCs w:val="21"/>
          <w:highlight w:val="none"/>
          <w:lang w:val="en-US" w:eastAsia="zh-CN"/>
        </w:rPr>
        <w:t>履约保证金为合同金额的5%</w:t>
      </w:r>
      <w:r>
        <w:rPr>
          <w:rFonts w:hint="eastAsia" w:ascii="Times New Roman" w:hAnsi="Times New Roman"/>
          <w:color w:val="auto"/>
          <w:sz w:val="21"/>
          <w:szCs w:val="21"/>
          <w:highlight w:val="none"/>
        </w:rPr>
        <w:t>；</w:t>
      </w:r>
    </w:p>
    <w:p w14:paraId="224FDA5B">
      <w:pPr>
        <w:spacing w:line="360" w:lineRule="auto"/>
        <w:ind w:firstLine="210" w:firstLineChars="100"/>
        <w:rPr>
          <w:rFonts w:ascii="Times New Roman" w:hAnsi="Times New Roman"/>
          <w:color w:val="auto"/>
          <w:sz w:val="21"/>
          <w:szCs w:val="21"/>
          <w:highlight w:val="none"/>
        </w:rPr>
      </w:pPr>
      <w:r>
        <w:rPr>
          <w:rFonts w:hint="eastAsia" w:ascii="Times New Roman" w:hAnsi="Times New Roman"/>
          <w:color w:val="auto"/>
          <w:sz w:val="21"/>
          <w:szCs w:val="21"/>
          <w:highlight w:val="none"/>
        </w:rPr>
        <w:t>履约担保的期限：</w:t>
      </w:r>
      <w:r>
        <w:rPr>
          <w:rFonts w:hint="eastAsia" w:ascii="Times New Roman" w:hAnsi="Times New Roman"/>
          <w:color w:val="auto"/>
          <w:sz w:val="21"/>
          <w:szCs w:val="21"/>
          <w:highlight w:val="none"/>
          <w:lang w:val="en-US" w:eastAsia="zh-CN"/>
        </w:rPr>
        <w:t>8个月</w:t>
      </w:r>
      <w:r>
        <w:rPr>
          <w:rFonts w:hint="eastAsia" w:ascii="Times New Roman" w:hAnsi="Times New Roman"/>
          <w:color w:val="auto"/>
          <w:sz w:val="21"/>
          <w:szCs w:val="21"/>
          <w:highlight w:val="none"/>
        </w:rPr>
        <w:t>；</w:t>
      </w:r>
    </w:p>
    <w:p w14:paraId="49C399BF">
      <w:pPr>
        <w:spacing w:line="360" w:lineRule="auto"/>
        <w:ind w:firstLine="210" w:firstLineChars="100"/>
        <w:rPr>
          <w:rFonts w:hint="eastAsia" w:ascii="Times New Roman" w:hAnsi="Times New Roman"/>
          <w:color w:val="auto"/>
          <w:sz w:val="21"/>
          <w:szCs w:val="21"/>
          <w:highlight w:val="none"/>
          <w:lang w:val="en-US" w:eastAsia="zh-CN"/>
        </w:rPr>
      </w:pPr>
      <w:r>
        <w:rPr>
          <w:rFonts w:ascii="Times New Roman" w:hAnsi="Times New Roman"/>
          <w:color w:val="auto"/>
          <w:sz w:val="21"/>
          <w:szCs w:val="21"/>
          <w:highlight w:val="none"/>
        </w:rPr>
        <w:t>承包人向发包人提供履约担保，担保方式为：</w:t>
      </w:r>
      <w:r>
        <w:rPr>
          <w:rFonts w:hint="eastAsia" w:ascii="Times New Roman" w:hAnsi="Times New Roman"/>
          <w:color w:val="auto"/>
          <w:sz w:val="21"/>
          <w:szCs w:val="21"/>
          <w:highlight w:val="none"/>
          <w:lang w:val="en-US" w:eastAsia="zh-CN"/>
        </w:rPr>
        <w:t>保函</w:t>
      </w:r>
    </w:p>
    <w:p w14:paraId="48A3E1D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（3）双方约定的其他担保事项：</w:t>
      </w:r>
      <w:r>
        <w:rPr>
          <w:rFonts w:hint="eastAsia" w:ascii="Times New Roman" w:hAnsi="Times New Roman"/>
          <w:color w:val="auto"/>
          <w:sz w:val="21"/>
          <w:szCs w:val="21"/>
          <w:highlight w:val="none"/>
          <w:lang w:val="en-US" w:eastAsia="zh-CN"/>
        </w:rPr>
        <w:t>供应商应在合同签订后10天内向采购人提交在中国注册的银行或保险公司开具的担保金额为合同价款的5%的《项目实施履约保函》原件。包含期限以施工及验收期限（8个月）为期限。</w:t>
      </w:r>
    </w:p>
    <w:p w14:paraId="31E5D1A4">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4. 监理人</w:t>
      </w:r>
    </w:p>
    <w:p w14:paraId="6071B90D">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4.1监理人的一般规定</w:t>
      </w:r>
    </w:p>
    <w:p w14:paraId="6489DB60">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rPr>
        <w:t>关于监理人的监理内容：</w:t>
      </w:r>
      <w:r>
        <w:rPr>
          <w:rFonts w:ascii="Times New Roman" w:hAnsi="Times New Roman"/>
          <w:color w:val="auto"/>
          <w:sz w:val="21"/>
          <w:szCs w:val="21"/>
          <w:highlight w:val="none"/>
          <w:u w:val="single"/>
        </w:rPr>
        <w:t>包括但不限于施工阶段的质量、进度、费用控制管理和安全生产监督管理等方面的协调管理服务</w:t>
      </w:r>
      <w:r>
        <w:rPr>
          <w:rFonts w:ascii="Times New Roman" w:hAnsi="Times New Roman" w:eastAsia="宋体" w:cs="Times New Roman"/>
          <w:color w:val="auto"/>
          <w:sz w:val="21"/>
          <w:szCs w:val="21"/>
          <w:highlight w:val="none"/>
          <w:u w:val="single"/>
        </w:rPr>
        <w:t>及</w:t>
      </w:r>
      <w:r>
        <w:rPr>
          <w:rFonts w:hint="eastAsia" w:ascii="Times New Roman" w:hAnsi="Times New Roman" w:eastAsia="宋体" w:cs="Times New Roman"/>
          <w:color w:val="auto"/>
          <w:sz w:val="21"/>
          <w:szCs w:val="21"/>
          <w:highlight w:val="none"/>
          <w:u w:val="single"/>
          <w:lang w:val="en-US" w:eastAsia="zh-CN"/>
        </w:rPr>
        <w:t>项目单位、</w:t>
      </w:r>
      <w:r>
        <w:rPr>
          <w:rFonts w:hint="eastAsia" w:ascii="Times New Roman" w:hAnsi="Times New Roman" w:eastAsia="宋体" w:cs="Times New Roman"/>
          <w:color w:val="auto"/>
          <w:sz w:val="21"/>
          <w:szCs w:val="21"/>
          <w:highlight w:val="none"/>
          <w:u w:val="single"/>
        </w:rPr>
        <w:t>发包人与监理</w:t>
      </w:r>
      <w:r>
        <w:rPr>
          <w:rFonts w:hint="eastAsia" w:ascii="宋体" w:hAnsi="宋体" w:eastAsia="宋体" w:cs="宋体"/>
          <w:b w:val="0"/>
          <w:bCs/>
          <w:color w:val="auto"/>
          <w:sz w:val="24"/>
          <w:szCs w:val="24"/>
          <w:highlight w:val="none"/>
          <w:u w:val="single"/>
        </w:rPr>
        <w:t>人</w:t>
      </w:r>
      <w:r>
        <w:rPr>
          <w:rFonts w:ascii="Times New Roman" w:hAnsi="Times New Roman"/>
          <w:color w:val="auto"/>
          <w:sz w:val="21"/>
          <w:szCs w:val="21"/>
          <w:highlight w:val="none"/>
          <w:u w:val="single"/>
        </w:rPr>
        <w:t>签订的《监理合同》条款中约定的各项责任。</w:t>
      </w:r>
    </w:p>
    <w:p w14:paraId="2BE42EF3">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u w:val="none"/>
        </w:rPr>
        <w:t>关于监理人的监理权限：</w:t>
      </w:r>
      <w:r>
        <w:rPr>
          <w:rFonts w:ascii="Times New Roman" w:hAnsi="Times New Roman"/>
          <w:color w:val="auto"/>
          <w:sz w:val="21"/>
          <w:szCs w:val="21"/>
          <w:highlight w:val="none"/>
          <w:u w:val="single"/>
        </w:rPr>
        <w:t>施工过程的</w:t>
      </w:r>
      <w:r>
        <w:rPr>
          <w:rFonts w:hint="eastAsia" w:ascii="Times New Roman" w:hAnsi="Times New Roman"/>
          <w:color w:val="auto"/>
          <w:sz w:val="21"/>
          <w:szCs w:val="21"/>
          <w:highlight w:val="none"/>
          <w:u w:val="single"/>
        </w:rPr>
        <w:t>安全、</w:t>
      </w:r>
      <w:r>
        <w:rPr>
          <w:rFonts w:ascii="Times New Roman" w:hAnsi="Times New Roman"/>
          <w:color w:val="auto"/>
          <w:sz w:val="21"/>
          <w:szCs w:val="21"/>
          <w:highlight w:val="none"/>
          <w:u w:val="single"/>
        </w:rPr>
        <w:t>质量、进度</w:t>
      </w:r>
      <w:r>
        <w:rPr>
          <w:rFonts w:hint="eastAsia" w:ascii="Times New Roman" w:hAnsi="Times New Roman"/>
          <w:color w:val="auto"/>
          <w:sz w:val="21"/>
          <w:szCs w:val="21"/>
          <w:highlight w:val="none"/>
          <w:u w:val="single"/>
        </w:rPr>
        <w:t>、投资</w:t>
      </w:r>
      <w:r>
        <w:rPr>
          <w:rFonts w:ascii="Times New Roman" w:hAnsi="Times New Roman"/>
          <w:color w:val="auto"/>
          <w:sz w:val="21"/>
          <w:szCs w:val="21"/>
          <w:highlight w:val="none"/>
          <w:u w:val="single"/>
        </w:rPr>
        <w:t>控制、合同管理和信息管理，施工中组织协调及全</w:t>
      </w:r>
      <w:r>
        <w:rPr>
          <w:rFonts w:hint="eastAsia" w:ascii="Times New Roman" w:hAnsi="Times New Roman"/>
          <w:color w:val="auto"/>
          <w:sz w:val="21"/>
          <w:szCs w:val="21"/>
          <w:highlight w:val="none"/>
          <w:u w:val="single"/>
        </w:rPr>
        <w:t>过</w:t>
      </w:r>
      <w:r>
        <w:rPr>
          <w:rFonts w:ascii="Times New Roman" w:hAnsi="Times New Roman"/>
          <w:color w:val="auto"/>
          <w:sz w:val="21"/>
          <w:szCs w:val="21"/>
          <w:highlight w:val="none"/>
          <w:u w:val="single"/>
        </w:rPr>
        <w:t>程监理。</w:t>
      </w:r>
    </w:p>
    <w:p w14:paraId="5F1D0B73">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4.2 监理人员</w:t>
      </w:r>
    </w:p>
    <w:p w14:paraId="0E8605CB">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总监理工程师：</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u w:val="single"/>
        </w:rPr>
        <w:t xml:space="preserve">            </w:t>
      </w:r>
    </w:p>
    <w:p w14:paraId="6CBF1B19">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姓    名：</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69D099BE">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职    务：</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65F644D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监理工程师执业资格证书号</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p>
    <w:p w14:paraId="08C691E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联系电话：</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 xml:space="preserve"> ；</w:t>
      </w:r>
    </w:p>
    <w:p w14:paraId="2D82BE0B">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关于监理人的其他约定：</w:t>
      </w:r>
      <w:r>
        <w:rPr>
          <w:rFonts w:ascii="Times New Roman" w:hAnsi="Times New Roman"/>
          <w:color w:val="auto"/>
          <w:sz w:val="21"/>
          <w:szCs w:val="21"/>
          <w:highlight w:val="none"/>
          <w:u w:val="single"/>
        </w:rPr>
        <w:t xml:space="preserve">  执行通用条款   。 </w:t>
      </w:r>
    </w:p>
    <w:p w14:paraId="479BD9D6">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4.4 商定或确定</w:t>
      </w:r>
    </w:p>
    <w:p w14:paraId="5C1C8153">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在发包人和承包人不能通过协商达成一致意见时：</w:t>
      </w:r>
      <w:r>
        <w:rPr>
          <w:rFonts w:hint="eastAsia" w:ascii="Times New Roman" w:hAnsi="Times New Roman"/>
          <w:color w:val="auto"/>
          <w:sz w:val="21"/>
          <w:szCs w:val="21"/>
          <w:highlight w:val="none"/>
          <w:u w:val="single"/>
        </w:rPr>
        <w:t xml:space="preserve"> 执行通用条款4.4条规定 </w:t>
      </w:r>
      <w:r>
        <w:rPr>
          <w:rFonts w:ascii="Times New Roman" w:hAnsi="Times New Roman"/>
          <w:color w:val="auto"/>
          <w:sz w:val="21"/>
          <w:szCs w:val="21"/>
          <w:highlight w:val="none"/>
          <w:u w:val="single"/>
        </w:rPr>
        <w:t>。</w:t>
      </w:r>
    </w:p>
    <w:p w14:paraId="3378D2E3">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5. 工程质量</w:t>
      </w:r>
    </w:p>
    <w:p w14:paraId="265975AA">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5.1 质量要求</w:t>
      </w:r>
    </w:p>
    <w:p w14:paraId="613A4818">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5.1.1本工程质量等级为合格。</w:t>
      </w:r>
    </w:p>
    <w:p w14:paraId="27FFC020">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关于工程奖项的约定：</w:t>
      </w:r>
      <w:r>
        <w:rPr>
          <w:rFonts w:hint="eastAsia" w:ascii="Times New Roman" w:hAnsi="Times New Roman"/>
          <w:color w:val="auto"/>
          <w:sz w:val="21"/>
          <w:szCs w:val="21"/>
          <w:highlight w:val="none"/>
          <w:u w:val="single"/>
        </w:rPr>
        <w:t xml:space="preserve">  / 。</w:t>
      </w:r>
    </w:p>
    <w:p w14:paraId="008AF1AA">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5.3 隐蔽工程检查</w:t>
      </w:r>
    </w:p>
    <w:p w14:paraId="681EB120">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rPr>
        <w:t>5.3.2承包人提前通知监理人隐蔽工程检查的期限的约定：</w:t>
      </w:r>
      <w:r>
        <w:rPr>
          <w:rFonts w:ascii="Times New Roman" w:hAnsi="Times New Roman"/>
          <w:color w:val="auto"/>
          <w:sz w:val="21"/>
          <w:szCs w:val="21"/>
          <w:highlight w:val="none"/>
          <w:u w:val="single"/>
        </w:rPr>
        <w:t xml:space="preserve"> 24小时 。</w:t>
      </w:r>
    </w:p>
    <w:p w14:paraId="332C373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监理人不能按时进行检查时，应提前24小时提交书面延期要求。</w:t>
      </w:r>
    </w:p>
    <w:p w14:paraId="4A0172C6">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rPr>
        <w:t>关于延期最长不得超过：</w:t>
      </w:r>
      <w:r>
        <w:rPr>
          <w:rFonts w:ascii="Times New Roman" w:hAnsi="Times New Roman"/>
          <w:color w:val="auto"/>
          <w:sz w:val="21"/>
          <w:szCs w:val="21"/>
          <w:highlight w:val="none"/>
          <w:u w:val="single"/>
        </w:rPr>
        <w:t>24小时。</w:t>
      </w:r>
    </w:p>
    <w:p w14:paraId="37E19E4D">
      <w:pPr>
        <w:spacing w:line="360" w:lineRule="auto"/>
        <w:rPr>
          <w:rFonts w:hint="eastAsia" w:ascii="Times New Roman" w:hAnsi="Times New Roman"/>
          <w:color w:val="auto"/>
          <w:sz w:val="21"/>
          <w:szCs w:val="21"/>
          <w:highlight w:val="none"/>
          <w:u w:val="single"/>
          <w:lang w:val="en-US" w:eastAsia="zh-CN"/>
        </w:rPr>
      </w:pPr>
      <w:r>
        <w:rPr>
          <w:rFonts w:hint="eastAsia" w:ascii="Times New Roman" w:hAnsi="Times New Roman"/>
          <w:color w:val="auto"/>
          <w:sz w:val="21"/>
          <w:szCs w:val="21"/>
          <w:highlight w:val="none"/>
          <w:u w:val="single"/>
          <w:lang w:val="en-US" w:eastAsia="zh-CN"/>
        </w:rPr>
        <w:t>隐蔽工程检验必须建立同步影像资料，该部分专项资料档案需单独组卷（电子版），在项目移交时按规定随建设工程竣工资料档案一并移交给发包人、监理单位。</w:t>
      </w:r>
    </w:p>
    <w:p w14:paraId="08497CEC">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其他执行通用条款。</w:t>
      </w:r>
    </w:p>
    <w:p w14:paraId="77F8ABD2">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6. 安全文明施工与环境保护</w:t>
      </w:r>
    </w:p>
    <w:p w14:paraId="25067451">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6.1安全文明施工</w:t>
      </w:r>
    </w:p>
    <w:p w14:paraId="1BBE1A12">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rPr>
        <w:t>6.1.1 项目安全生产的达标目标及相应事项的约定：</w:t>
      </w:r>
      <w:r>
        <w:rPr>
          <w:rFonts w:ascii="Times New Roman" w:hAnsi="Times New Roman"/>
          <w:color w:val="auto"/>
          <w:sz w:val="21"/>
          <w:szCs w:val="21"/>
          <w:highlight w:val="none"/>
          <w:u w:val="single"/>
        </w:rPr>
        <w:t>执行通用条款。</w:t>
      </w:r>
    </w:p>
    <w:p w14:paraId="6A655B6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6.1.4 关于治安保卫的特别约定：</w:t>
      </w:r>
    </w:p>
    <w:p w14:paraId="6FA14341">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①</w:t>
      </w:r>
      <w:r>
        <w:rPr>
          <w:rFonts w:ascii="Times New Roman" w:hAnsi="Times New Roman"/>
          <w:color w:val="auto"/>
          <w:sz w:val="21"/>
          <w:szCs w:val="21"/>
          <w:highlight w:val="none"/>
          <w:u w:val="single"/>
        </w:rPr>
        <w:t>承包人负责统一管理施工场地的治安保卫事项，对施工现场实行封闭管理，履行治安保卫职责。</w:t>
      </w:r>
    </w:p>
    <w:p w14:paraId="4C19B400">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②</w:t>
      </w:r>
      <w:r>
        <w:rPr>
          <w:rFonts w:ascii="Times New Roman" w:hAnsi="Times New Roman"/>
          <w:color w:val="auto"/>
          <w:sz w:val="21"/>
          <w:szCs w:val="21"/>
          <w:highlight w:val="none"/>
          <w:u w:val="single"/>
        </w:rPr>
        <w:t>承包人为施工场地治安管理计划和突发治安事件紧急预案的编制责任人。</w:t>
      </w:r>
    </w:p>
    <w:p w14:paraId="0F253202">
      <w:pPr>
        <w:spacing w:line="360" w:lineRule="auto"/>
        <w:ind w:firstLine="210" w:firstLineChars="100"/>
        <w:rPr>
          <w:rFonts w:ascii="Times New Roman" w:hAnsi="Times New Roman"/>
          <w:color w:val="auto"/>
          <w:sz w:val="21"/>
          <w:szCs w:val="21"/>
          <w:highlight w:val="none"/>
        </w:rPr>
      </w:pPr>
      <w:r>
        <w:rPr>
          <w:rFonts w:hint="eastAsia" w:cs="宋体"/>
          <w:color w:val="auto"/>
          <w:sz w:val="21"/>
          <w:szCs w:val="21"/>
          <w:highlight w:val="none"/>
          <w:u w:val="single"/>
        </w:rPr>
        <w:t>③</w:t>
      </w:r>
      <w:r>
        <w:rPr>
          <w:rFonts w:ascii="Times New Roman" w:hAnsi="Times New Roman"/>
          <w:color w:val="auto"/>
          <w:sz w:val="21"/>
          <w:szCs w:val="21"/>
          <w:highlight w:val="none"/>
          <w:u w:val="single"/>
        </w:rPr>
        <w:t>承包人的保安人员应是训练有素的专业保安人员，承包人可以雇佣专业保安公司负责现场保安和保卫；保安保卫制度除规范现场出入大门控制外，还应规定定时和不定时的施工场地</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现场</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周边和全现场的保安巡逻。</w:t>
      </w:r>
    </w:p>
    <w:p w14:paraId="50BAF012">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④</w:t>
      </w:r>
      <w:r>
        <w:rPr>
          <w:rFonts w:ascii="Times New Roman" w:hAnsi="Times New Roman"/>
          <w:color w:val="auto"/>
          <w:sz w:val="21"/>
          <w:szCs w:val="21"/>
          <w:highlight w:val="none"/>
          <w:u w:val="single"/>
        </w:rPr>
        <w:t>承包人应制定并实施严格的施工场地（现场）出入制度并报监理人审批；车辆的出入须有出入审批制度，并有指定的专人负责管理；</w:t>
      </w:r>
      <w:r>
        <w:rPr>
          <w:rFonts w:hint="eastAsia" w:ascii="Times New Roman" w:hAnsi="Times New Roman"/>
          <w:color w:val="auto"/>
          <w:sz w:val="21"/>
          <w:szCs w:val="21"/>
          <w:highlight w:val="none"/>
          <w:u w:val="single"/>
        </w:rPr>
        <w:t>人员出入实行实名制管理，非实名制相关工作人员实施实名制登记（薄）许可制度，严禁非工作人员及闲散人员进场</w:t>
      </w:r>
      <w:r>
        <w:rPr>
          <w:rFonts w:ascii="Times New Roman" w:hAnsi="Times New Roman"/>
          <w:color w:val="auto"/>
          <w:sz w:val="21"/>
          <w:szCs w:val="21"/>
          <w:highlight w:val="none"/>
          <w:u w:val="single"/>
        </w:rPr>
        <w:t>。</w:t>
      </w:r>
    </w:p>
    <w:p w14:paraId="28A4A5B4">
      <w:pPr>
        <w:spacing w:line="360" w:lineRule="auto"/>
        <w:ind w:firstLine="210" w:firstLineChars="100"/>
        <w:rPr>
          <w:rFonts w:hint="eastAsia" w:cs="宋体"/>
          <w:color w:val="auto"/>
          <w:sz w:val="21"/>
          <w:szCs w:val="21"/>
          <w:highlight w:val="none"/>
          <w:u w:val="single"/>
        </w:rPr>
      </w:pPr>
      <w:r>
        <w:rPr>
          <w:rFonts w:hint="eastAsia" w:cs="宋体"/>
          <w:color w:val="auto"/>
          <w:sz w:val="21"/>
          <w:szCs w:val="21"/>
          <w:highlight w:val="none"/>
          <w:u w:val="single"/>
        </w:rPr>
        <w:t>⑤</w:t>
      </w:r>
      <w:r>
        <w:rPr>
          <w:rFonts w:ascii="Times New Roman" w:hAnsi="Times New Roman"/>
          <w:color w:val="auto"/>
          <w:sz w:val="21"/>
          <w:szCs w:val="21"/>
          <w:highlight w:val="none"/>
          <w:u w:val="single"/>
        </w:rPr>
        <w:t>承包人应准备足够数量的专门用于</w:t>
      </w:r>
      <w:r>
        <w:rPr>
          <w:rFonts w:hint="eastAsia" w:ascii="Times New Roman" w:hAnsi="Times New Roman"/>
          <w:color w:val="auto"/>
          <w:sz w:val="21"/>
          <w:szCs w:val="21"/>
          <w:highlight w:val="none"/>
          <w:u w:val="single"/>
        </w:rPr>
        <w:t>来访</w:t>
      </w:r>
      <w:r>
        <w:rPr>
          <w:rFonts w:ascii="Times New Roman" w:hAnsi="Times New Roman"/>
          <w:color w:val="auto"/>
          <w:sz w:val="21"/>
          <w:szCs w:val="21"/>
          <w:highlight w:val="none"/>
          <w:u w:val="single"/>
        </w:rPr>
        <w:t>人员的安全帽并带明显标志，承包人同时应准备</w:t>
      </w:r>
      <w:r>
        <w:rPr>
          <w:rFonts w:hint="eastAsia" w:ascii="Times New Roman" w:hAnsi="Times New Roman"/>
          <w:color w:val="auto"/>
          <w:sz w:val="21"/>
          <w:szCs w:val="21"/>
          <w:highlight w:val="none"/>
          <w:u w:val="single"/>
        </w:rPr>
        <w:t>来访</w:t>
      </w:r>
      <w:r>
        <w:rPr>
          <w:rFonts w:ascii="Times New Roman" w:hAnsi="Times New Roman"/>
          <w:color w:val="auto"/>
          <w:sz w:val="21"/>
          <w:szCs w:val="21"/>
          <w:highlight w:val="none"/>
          <w:u w:val="single"/>
        </w:rPr>
        <w:t>人员登记簿用于记录所有</w:t>
      </w:r>
      <w:r>
        <w:rPr>
          <w:rFonts w:hint="eastAsia" w:ascii="Times New Roman" w:hAnsi="Times New Roman"/>
          <w:color w:val="auto"/>
          <w:sz w:val="21"/>
          <w:szCs w:val="21"/>
          <w:highlight w:val="none"/>
          <w:u w:val="single"/>
        </w:rPr>
        <w:t>来访</w:t>
      </w:r>
      <w:r>
        <w:rPr>
          <w:rFonts w:ascii="Times New Roman" w:hAnsi="Times New Roman"/>
          <w:color w:val="auto"/>
          <w:sz w:val="21"/>
          <w:szCs w:val="21"/>
          <w:highlight w:val="none"/>
          <w:u w:val="single"/>
        </w:rPr>
        <w:t>现场人员的姓名、</w:t>
      </w:r>
      <w:r>
        <w:rPr>
          <w:rFonts w:hint="eastAsia" w:ascii="Times New Roman" w:hAnsi="Times New Roman"/>
          <w:color w:val="auto"/>
          <w:sz w:val="21"/>
          <w:szCs w:val="21"/>
          <w:highlight w:val="none"/>
          <w:u w:val="single"/>
        </w:rPr>
        <w:t>来访</w:t>
      </w:r>
      <w:r>
        <w:rPr>
          <w:rFonts w:ascii="Times New Roman" w:hAnsi="Times New Roman"/>
          <w:color w:val="auto"/>
          <w:sz w:val="21"/>
          <w:szCs w:val="21"/>
          <w:highlight w:val="none"/>
          <w:u w:val="single"/>
        </w:rPr>
        <w:t>目的和</w:t>
      </w:r>
      <w:r>
        <w:rPr>
          <w:rFonts w:hint="eastAsia" w:ascii="Times New Roman" w:hAnsi="Times New Roman"/>
          <w:color w:val="auto"/>
          <w:sz w:val="21"/>
          <w:szCs w:val="21"/>
          <w:highlight w:val="none"/>
          <w:u w:val="single"/>
        </w:rPr>
        <w:t>来访</w:t>
      </w:r>
      <w:r>
        <w:rPr>
          <w:rFonts w:ascii="Times New Roman" w:hAnsi="Times New Roman"/>
          <w:color w:val="auto"/>
          <w:sz w:val="21"/>
          <w:szCs w:val="21"/>
          <w:highlight w:val="none"/>
          <w:u w:val="single"/>
        </w:rPr>
        <w:t>时间等内容；承包人应确保每个</w:t>
      </w:r>
      <w:r>
        <w:rPr>
          <w:rFonts w:hint="eastAsia" w:ascii="Times New Roman" w:hAnsi="Times New Roman"/>
          <w:color w:val="auto"/>
          <w:sz w:val="21"/>
          <w:szCs w:val="21"/>
          <w:highlight w:val="none"/>
          <w:u w:val="single"/>
        </w:rPr>
        <w:t>来访</w:t>
      </w:r>
      <w:r>
        <w:rPr>
          <w:rFonts w:ascii="Times New Roman" w:hAnsi="Times New Roman"/>
          <w:color w:val="auto"/>
          <w:sz w:val="21"/>
          <w:szCs w:val="21"/>
          <w:highlight w:val="none"/>
          <w:u w:val="single"/>
        </w:rPr>
        <w:t>人员了解和遵守现场的安全管理规章制度，佩带安全帽。</w:t>
      </w:r>
    </w:p>
    <w:p w14:paraId="0C110356">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⑥</w:t>
      </w:r>
      <w:r>
        <w:rPr>
          <w:rFonts w:ascii="Times New Roman" w:hAnsi="Times New Roman"/>
          <w:b/>
          <w:bCs/>
          <w:color w:val="auto"/>
          <w:sz w:val="21"/>
          <w:szCs w:val="21"/>
          <w:highlight w:val="none"/>
          <w:u w:val="single"/>
        </w:rPr>
        <w:t>承包人应当保证</w:t>
      </w:r>
      <w:r>
        <w:rPr>
          <w:rFonts w:hint="eastAsia" w:ascii="Times New Roman" w:hAnsi="Times New Roman"/>
          <w:b/>
          <w:bCs/>
          <w:color w:val="auto"/>
          <w:sz w:val="21"/>
          <w:szCs w:val="21"/>
          <w:highlight w:val="none"/>
          <w:u w:val="single"/>
          <w:lang w:val="en-US" w:eastAsia="zh-CN"/>
        </w:rPr>
        <w:t>项目单位</w:t>
      </w:r>
      <w:r>
        <w:rPr>
          <w:rFonts w:hint="eastAsia" w:ascii="Times New Roman" w:hAnsi="Times New Roman"/>
          <w:b/>
          <w:bCs/>
          <w:color w:val="auto"/>
          <w:sz w:val="21"/>
          <w:szCs w:val="21"/>
          <w:highlight w:val="none"/>
          <w:u w:val="single"/>
        </w:rPr>
        <w:t>支付</w:t>
      </w:r>
      <w:r>
        <w:rPr>
          <w:rFonts w:ascii="Times New Roman" w:hAnsi="Times New Roman"/>
          <w:b/>
          <w:bCs/>
          <w:color w:val="auto"/>
          <w:sz w:val="21"/>
          <w:szCs w:val="21"/>
          <w:highlight w:val="none"/>
          <w:u w:val="single"/>
        </w:rPr>
        <w:t>的工程款项仅用于本合同目的</w:t>
      </w:r>
      <w:r>
        <w:rPr>
          <w:rFonts w:ascii="Times New Roman" w:hAnsi="Times New Roman"/>
          <w:color w:val="auto"/>
          <w:sz w:val="21"/>
          <w:szCs w:val="21"/>
          <w:highlight w:val="none"/>
          <w:u w:val="single"/>
        </w:rPr>
        <w:t>，及时和足额地向所雇佣的人员支付劳动报酬，并制定严格的工人工资支付保障措施，</w:t>
      </w:r>
      <w:r>
        <w:rPr>
          <w:rFonts w:hint="eastAsia" w:ascii="Times New Roman" w:hAnsi="Times New Roman"/>
          <w:color w:val="auto"/>
          <w:sz w:val="21"/>
          <w:szCs w:val="21"/>
          <w:highlight w:val="none"/>
          <w:u w:val="single"/>
        </w:rPr>
        <w:t>按要求设置农民工工资专用账户，</w:t>
      </w:r>
      <w:r>
        <w:rPr>
          <w:rFonts w:ascii="Times New Roman" w:hAnsi="Times New Roman"/>
          <w:color w:val="auto"/>
          <w:sz w:val="21"/>
          <w:szCs w:val="21"/>
          <w:highlight w:val="none"/>
          <w:u w:val="single"/>
        </w:rPr>
        <w:t>确保所有分包人及时支付所雇佣工人的工资，有效防止影响社会安定的群体事件发生，</w:t>
      </w:r>
      <w:r>
        <w:rPr>
          <w:rFonts w:hint="eastAsia" w:ascii="Times New Roman" w:hAnsi="Times New Roman"/>
          <w:color w:val="auto"/>
          <w:sz w:val="21"/>
          <w:szCs w:val="21"/>
          <w:highlight w:val="none"/>
          <w:u w:val="single"/>
        </w:rPr>
        <w:t>并保障</w:t>
      </w:r>
      <w:r>
        <w:rPr>
          <w:rFonts w:hint="eastAsia" w:ascii="Times New Roman" w:hAnsi="Times New Roman"/>
          <w:color w:val="auto"/>
          <w:sz w:val="21"/>
          <w:szCs w:val="21"/>
          <w:highlight w:val="none"/>
          <w:u w:val="single"/>
          <w:lang w:val="en-US" w:eastAsia="zh-CN"/>
        </w:rPr>
        <w:t>项目单位、</w:t>
      </w:r>
      <w:r>
        <w:rPr>
          <w:rFonts w:hint="eastAsia" w:ascii="Times New Roman" w:hAnsi="Times New Roman"/>
          <w:color w:val="auto"/>
          <w:sz w:val="21"/>
          <w:szCs w:val="21"/>
          <w:highlight w:val="none"/>
          <w:u w:val="single"/>
        </w:rPr>
        <w:t>发包人</w:t>
      </w:r>
      <w:r>
        <w:rPr>
          <w:rFonts w:ascii="Times New Roman" w:hAnsi="Times New Roman"/>
          <w:color w:val="auto"/>
          <w:sz w:val="21"/>
          <w:szCs w:val="21"/>
          <w:highlight w:val="none"/>
          <w:u w:val="single"/>
        </w:rPr>
        <w:t>免于因承包人（包括其分包人）拖欠工人工资而可能遭受的任何处罚、索赔、损失和损害等。</w:t>
      </w:r>
    </w:p>
    <w:p w14:paraId="74F58221">
      <w:pPr>
        <w:spacing w:line="360" w:lineRule="auto"/>
        <w:ind w:firstLine="210" w:firstLineChars="100"/>
        <w:rPr>
          <w:rFonts w:hint="eastAsia" w:cs="宋体"/>
          <w:color w:val="auto"/>
          <w:sz w:val="21"/>
          <w:szCs w:val="21"/>
          <w:highlight w:val="none"/>
          <w:u w:val="single"/>
        </w:rPr>
      </w:pPr>
      <w:r>
        <w:rPr>
          <w:rFonts w:hint="eastAsia" w:cs="宋体"/>
          <w:color w:val="auto"/>
          <w:sz w:val="21"/>
          <w:szCs w:val="21"/>
          <w:highlight w:val="none"/>
          <w:u w:val="single"/>
        </w:rPr>
        <w:t>⑦</w:t>
      </w:r>
      <w:r>
        <w:rPr>
          <w:rFonts w:ascii="Times New Roman" w:hAnsi="Times New Roman"/>
          <w:color w:val="auto"/>
          <w:sz w:val="21"/>
          <w:szCs w:val="21"/>
          <w:highlight w:val="none"/>
          <w:u w:val="single"/>
        </w:rPr>
        <w:t>关于编制施工场地治安管理计划的约定：由承包人在工程开工后7天内编制施工场地治安管理计划及紧急预案，并上报给</w:t>
      </w:r>
      <w:r>
        <w:rPr>
          <w:rFonts w:hint="eastAsia" w:ascii="Times New Roman" w:hAnsi="Times New Roman"/>
          <w:color w:val="auto"/>
          <w:sz w:val="21"/>
          <w:szCs w:val="21"/>
          <w:highlight w:val="none"/>
          <w:u w:val="single"/>
        </w:rPr>
        <w:t>监理人</w:t>
      </w:r>
      <w:r>
        <w:rPr>
          <w:rFonts w:ascii="Times New Roman" w:hAnsi="Times New Roman"/>
          <w:color w:val="auto"/>
          <w:sz w:val="21"/>
          <w:szCs w:val="21"/>
          <w:highlight w:val="none"/>
          <w:u w:val="single"/>
        </w:rPr>
        <w:t>及发包人。</w:t>
      </w:r>
    </w:p>
    <w:p w14:paraId="1CA380DB">
      <w:pPr>
        <w:spacing w:line="360" w:lineRule="auto"/>
        <w:ind w:firstLine="210" w:firstLineChars="100"/>
        <w:rPr>
          <w:rFonts w:hint="eastAsia" w:cs="宋体"/>
          <w:color w:val="auto"/>
          <w:sz w:val="21"/>
          <w:szCs w:val="21"/>
          <w:highlight w:val="none"/>
          <w:u w:val="single"/>
        </w:rPr>
      </w:pPr>
      <w:r>
        <w:rPr>
          <w:rFonts w:hint="eastAsia" w:cs="宋体"/>
          <w:color w:val="auto"/>
          <w:sz w:val="21"/>
          <w:szCs w:val="21"/>
          <w:highlight w:val="none"/>
          <w:u w:val="single"/>
        </w:rPr>
        <w:t>⑧</w:t>
      </w:r>
      <w:r>
        <w:rPr>
          <w:rFonts w:ascii="Times New Roman" w:hAnsi="Times New Roman"/>
          <w:color w:val="auto"/>
          <w:sz w:val="21"/>
          <w:szCs w:val="21"/>
          <w:highlight w:val="none"/>
          <w:u w:val="single"/>
        </w:rPr>
        <w:t>承包人应为施工场地（现场）提供24小时的保安保卫服务，配备足够的保安人员和保安设备，防止未经批准的任何人进入现场，严格控制人员、材料和工程设备等的进出场，防止现场材料、工程设备或其他任何物品的失窃</w:t>
      </w:r>
      <w:r>
        <w:rPr>
          <w:rFonts w:hint="eastAsia" w:ascii="Times New Roman" w:hAnsi="Times New Roman"/>
          <w:color w:val="auto"/>
          <w:sz w:val="21"/>
          <w:szCs w:val="21"/>
          <w:highlight w:val="none"/>
          <w:u w:val="single"/>
        </w:rPr>
        <w:t>，因此产生的损失由承包人承担</w:t>
      </w:r>
      <w:r>
        <w:rPr>
          <w:rFonts w:ascii="Times New Roman" w:hAnsi="Times New Roman"/>
          <w:color w:val="auto"/>
          <w:sz w:val="21"/>
          <w:szCs w:val="21"/>
          <w:highlight w:val="none"/>
          <w:u w:val="single"/>
        </w:rPr>
        <w:t>。</w:t>
      </w:r>
    </w:p>
    <w:p w14:paraId="764AB81F">
      <w:pPr>
        <w:spacing w:line="360" w:lineRule="auto"/>
        <w:ind w:firstLine="210" w:firstLineChars="100"/>
        <w:rPr>
          <w:rFonts w:hint="eastAsia" w:cs="宋体"/>
          <w:color w:val="auto"/>
          <w:sz w:val="21"/>
          <w:szCs w:val="21"/>
          <w:highlight w:val="none"/>
          <w:u w:val="single"/>
        </w:rPr>
      </w:pPr>
      <w:r>
        <w:rPr>
          <w:rFonts w:hint="eastAsia" w:cs="宋体"/>
          <w:color w:val="auto"/>
          <w:sz w:val="21"/>
          <w:szCs w:val="21"/>
          <w:highlight w:val="none"/>
          <w:u w:val="single"/>
        </w:rPr>
        <w:t>⑨</w:t>
      </w:r>
      <w:r>
        <w:rPr>
          <w:rFonts w:ascii="Times New Roman" w:hAnsi="Times New Roman"/>
          <w:color w:val="auto"/>
          <w:sz w:val="21"/>
          <w:szCs w:val="21"/>
          <w:highlight w:val="none"/>
          <w:u w:val="single"/>
        </w:rPr>
        <w:t>承包人为施工场地（现场）提供和维护符合建设行政主管部门和市容管理部门规定的临时围墙和其他安全维护，在工程进度需要时，进行必要</w:t>
      </w:r>
      <w:r>
        <w:rPr>
          <w:rFonts w:hint="eastAsia" w:ascii="Times New Roman" w:hAnsi="Times New Roman"/>
          <w:color w:val="auto"/>
          <w:sz w:val="21"/>
          <w:szCs w:val="21"/>
          <w:highlight w:val="none"/>
          <w:u w:val="single"/>
        </w:rPr>
        <w:t>的改造，因此产生的费用由承包人承担。</w:t>
      </w:r>
    </w:p>
    <w:p w14:paraId="76E5A5E0">
      <w:pPr>
        <w:spacing w:line="360" w:lineRule="auto"/>
        <w:ind w:firstLine="210" w:firstLineChars="100"/>
        <w:rPr>
          <w:rFonts w:hint="eastAsia" w:cs="宋体"/>
          <w:color w:val="auto"/>
          <w:sz w:val="21"/>
          <w:szCs w:val="21"/>
          <w:highlight w:val="none"/>
          <w:u w:val="single"/>
        </w:rPr>
      </w:pPr>
      <w:r>
        <w:rPr>
          <w:rFonts w:hint="eastAsia" w:ascii="Times New Roman" w:hAnsi="Times New Roman"/>
          <w:color w:val="auto"/>
          <w:sz w:val="21"/>
          <w:szCs w:val="21"/>
          <w:highlight w:val="none"/>
          <w:u w:val="single"/>
        </w:rPr>
        <w:t>⑩</w:t>
      </w:r>
      <w:r>
        <w:rPr>
          <w:rFonts w:hint="eastAsia" w:cs="宋体"/>
          <w:color w:val="auto"/>
          <w:sz w:val="21"/>
          <w:szCs w:val="21"/>
          <w:highlight w:val="none"/>
          <w:u w:val="single"/>
        </w:rPr>
        <w:t>施工场地</w:t>
      </w:r>
      <w:r>
        <w:rPr>
          <w:rFonts w:ascii="Times New Roman" w:hAnsi="Times New Roman"/>
          <w:color w:val="auto"/>
          <w:sz w:val="21"/>
          <w:szCs w:val="21"/>
          <w:highlight w:val="none"/>
          <w:u w:val="single"/>
        </w:rPr>
        <w:t>区域内若发生群殴、械斗等群体性治安事件的，每发生一起承包人支付违约金10万元。</w:t>
      </w:r>
    </w:p>
    <w:p w14:paraId="5248CB8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6.1.5 文明施工</w:t>
      </w:r>
    </w:p>
    <w:p w14:paraId="7E423685">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合同当事人对文明施工的要求：</w:t>
      </w:r>
    </w:p>
    <w:p w14:paraId="3FDE634A">
      <w:pPr>
        <w:spacing w:line="360" w:lineRule="auto"/>
        <w:ind w:firstLine="210" w:firstLineChars="100"/>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u w:val="single"/>
        </w:rPr>
        <w:t>施工现场</w:t>
      </w:r>
      <w:r>
        <w:rPr>
          <w:rFonts w:ascii="Times New Roman" w:hAnsi="Times New Roman"/>
          <w:color w:val="auto"/>
          <w:sz w:val="21"/>
          <w:szCs w:val="21"/>
          <w:highlight w:val="none"/>
          <w:u w:val="single"/>
        </w:rPr>
        <w:t>严格按陕西省文明工地检查标准实施，规范施工。承包人按照国家和当地政府有关规定应采取的任何必要安全防护措施已包含在承包人的合同价款当中，发包人不另行支付。承包人承担由于自身措施不力造成事故的责任和因此发生的费用。</w:t>
      </w:r>
    </w:p>
    <w:p w14:paraId="6D8F9C28">
      <w:pPr>
        <w:spacing w:line="360" w:lineRule="auto"/>
        <w:ind w:firstLine="210" w:firstLineChars="100"/>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2</w:t>
      </w:r>
      <w:r>
        <w:rPr>
          <w:rFonts w:hint="eastAsia" w:ascii="Times New Roman" w:hAnsi="Times New Roman"/>
          <w:color w:val="auto"/>
          <w:sz w:val="21"/>
          <w:szCs w:val="21"/>
          <w:highlight w:val="none"/>
        </w:rPr>
        <w:t>）</w:t>
      </w:r>
      <w:r>
        <w:rPr>
          <w:rFonts w:ascii="Times New Roman" w:hAnsi="Times New Roman"/>
          <w:color w:val="auto"/>
          <w:sz w:val="21"/>
          <w:szCs w:val="21"/>
          <w:highlight w:val="none"/>
          <w:u w:val="single"/>
        </w:rPr>
        <w:t>承包人应认真履行安全施工与检查职责及做好施工中的安全防护工作外，还应认真执行国务院颁布的《建设工程安全生产管理条例》《陕西省建设工程质量和安全生产管理条例》及国家和地方制定的有关安全生产法律、法规的规定，制定切实可行的安全施工措施和安全管理制度，确保本工程施工安全；承包人应做好施工现场安全文明施工管理，随时接受监理工程师、发包人</w:t>
      </w:r>
      <w:r>
        <w:rPr>
          <w:rFonts w:hint="eastAsia" w:ascii="Times New Roman" w:hAnsi="Times New Roman"/>
          <w:color w:val="auto"/>
          <w:sz w:val="21"/>
          <w:szCs w:val="21"/>
          <w:highlight w:val="none"/>
          <w:u w:val="single"/>
        </w:rPr>
        <w:t>及项目单位、职能部门</w:t>
      </w:r>
      <w:r>
        <w:rPr>
          <w:rFonts w:ascii="Times New Roman" w:hAnsi="Times New Roman"/>
          <w:color w:val="auto"/>
          <w:sz w:val="21"/>
          <w:szCs w:val="21"/>
          <w:highlight w:val="none"/>
          <w:u w:val="single"/>
        </w:rPr>
        <w:t>的专项检查；承包人依法承担本工程的施工安全责任。</w:t>
      </w:r>
    </w:p>
    <w:p w14:paraId="5718F928">
      <w:pPr>
        <w:spacing w:line="360" w:lineRule="auto"/>
        <w:ind w:firstLine="210" w:firstLineChars="100"/>
        <w:rPr>
          <w:rFonts w:ascii="Times New Roman" w:hAnsi="Times New Roman"/>
          <w:b/>
          <w:bCs/>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3</w:t>
      </w:r>
      <w:r>
        <w:rPr>
          <w:rFonts w:hint="eastAsia" w:ascii="Times New Roman" w:hAnsi="Times New Roman"/>
          <w:color w:val="auto"/>
          <w:sz w:val="21"/>
          <w:szCs w:val="21"/>
          <w:highlight w:val="none"/>
        </w:rPr>
        <w:t>）</w:t>
      </w:r>
      <w:r>
        <w:rPr>
          <w:rFonts w:ascii="Times New Roman" w:hAnsi="Times New Roman"/>
          <w:b/>
          <w:bCs/>
          <w:color w:val="auto"/>
          <w:sz w:val="21"/>
          <w:szCs w:val="21"/>
          <w:highlight w:val="none"/>
          <w:u w:val="single"/>
        </w:rPr>
        <w:t>承包人按照建设行政主管部门和相关部门的规定制定扬尘治理专项措施并予以实施，所需费用由承包人承担，且承包人在投标报价时已充分考虑并计入合同价款内。承包人应建立施工扬尘治理责任制，针对工程项目特点制定具体的扬尘治理实施方案，并在工地公示治理措施、责任人、主管部门等信息。其中扬尘污染控制措施至少应包括：施工现场周边设置硬质围挡；主要道路、场地要硬化、绿化并保证清洁；建筑土方、建筑垃圾、渣土要及时清运；施工土方要覆盖；工地出口要设置自动冲洗设施及监控设施；运输车辆驶出施工现场要将车轮和槽帮冲洗干净；水泥、石灰等可能产生扬尘污染的建材必须在库房存放或严密遮盖；严禁凌空抛洒垃圾、渣土；严禁现场焚烧各类废弃物；严格遵守</w:t>
      </w:r>
      <w:r>
        <w:rPr>
          <w:rFonts w:hint="eastAsia" w:ascii="Times New Roman" w:hAnsi="Times New Roman"/>
          <w:b/>
          <w:bCs/>
          <w:color w:val="auto"/>
          <w:sz w:val="21"/>
          <w:szCs w:val="21"/>
          <w:highlight w:val="none"/>
          <w:u w:val="single"/>
        </w:rPr>
        <w:t>陕西省</w:t>
      </w:r>
      <w:r>
        <w:rPr>
          <w:rFonts w:ascii="Times New Roman" w:hAnsi="Times New Roman"/>
          <w:b/>
          <w:bCs/>
          <w:color w:val="auto"/>
          <w:sz w:val="21"/>
          <w:szCs w:val="21"/>
          <w:highlight w:val="none"/>
          <w:u w:val="single"/>
        </w:rPr>
        <w:t>有关</w:t>
      </w:r>
      <w:r>
        <w:rPr>
          <w:rFonts w:hint="eastAsia" w:ascii="Times New Roman" w:hAnsi="Times New Roman"/>
          <w:b/>
          <w:bCs/>
          <w:color w:val="auto"/>
          <w:sz w:val="21"/>
          <w:szCs w:val="21"/>
          <w:highlight w:val="none"/>
          <w:u w:val="single"/>
        </w:rPr>
        <w:t>“</w:t>
      </w:r>
      <w:r>
        <w:rPr>
          <w:rFonts w:ascii="Times New Roman" w:hAnsi="Times New Roman"/>
          <w:b/>
          <w:bCs/>
          <w:color w:val="auto"/>
          <w:sz w:val="21"/>
          <w:szCs w:val="21"/>
          <w:highlight w:val="none"/>
          <w:u w:val="single"/>
        </w:rPr>
        <w:t>治污减霾</w:t>
      </w:r>
      <w:r>
        <w:rPr>
          <w:rFonts w:hint="eastAsia" w:ascii="Times New Roman" w:hAnsi="Times New Roman"/>
          <w:b/>
          <w:bCs/>
          <w:color w:val="auto"/>
          <w:sz w:val="21"/>
          <w:szCs w:val="21"/>
          <w:highlight w:val="none"/>
          <w:u w:val="single"/>
        </w:rPr>
        <w:t>”</w:t>
      </w:r>
      <w:r>
        <w:rPr>
          <w:rFonts w:ascii="Times New Roman" w:hAnsi="Times New Roman"/>
          <w:b/>
          <w:bCs/>
          <w:color w:val="auto"/>
          <w:sz w:val="21"/>
          <w:szCs w:val="21"/>
          <w:highlight w:val="none"/>
          <w:u w:val="single"/>
        </w:rPr>
        <w:t>和城市管理的相关要求。承包人若对该事项处理不当，则应自行承担相应的行政处罚和法律责任。</w:t>
      </w:r>
    </w:p>
    <w:p w14:paraId="262B9847">
      <w:pPr>
        <w:spacing w:line="360" w:lineRule="auto"/>
        <w:ind w:firstLine="210" w:firstLineChars="100"/>
        <w:rPr>
          <w:rFonts w:hint="eastAsia" w:ascii="Times New Roman" w:hAnsi="Times New Roman"/>
          <w:color w:val="auto"/>
          <w:sz w:val="21"/>
          <w:szCs w:val="21"/>
          <w:highlight w:val="none"/>
        </w:rPr>
      </w:pPr>
      <w:r>
        <w:rPr>
          <w:rFonts w:ascii="Times New Roman" w:hAnsi="Times New Roman"/>
          <w:color w:val="auto"/>
          <w:sz w:val="21"/>
          <w:szCs w:val="21"/>
          <w:highlight w:val="none"/>
        </w:rPr>
        <w:t xml:space="preserve">6.1.6 </w:t>
      </w:r>
      <w:bookmarkStart w:id="610" w:name="OLE_LINK7"/>
      <w:bookmarkStart w:id="611" w:name="OLE_LINK6"/>
      <w:r>
        <w:rPr>
          <w:rFonts w:ascii="Times New Roman" w:hAnsi="Times New Roman"/>
          <w:b/>
          <w:bCs/>
          <w:color w:val="auto"/>
          <w:sz w:val="21"/>
          <w:szCs w:val="21"/>
          <w:highlight w:val="none"/>
        </w:rPr>
        <w:t>关于安全文明施工措施费支付比例和支付期限的约定</w:t>
      </w:r>
      <w:bookmarkEnd w:id="610"/>
      <w:bookmarkEnd w:id="611"/>
      <w:r>
        <w:rPr>
          <w:rFonts w:ascii="Times New Roman" w:hAnsi="Times New Roman"/>
          <w:b/>
          <w:bCs/>
          <w:color w:val="auto"/>
          <w:sz w:val="21"/>
          <w:szCs w:val="21"/>
          <w:highlight w:val="none"/>
        </w:rPr>
        <w:t>：</w:t>
      </w:r>
      <w:r>
        <w:rPr>
          <w:rFonts w:hint="eastAsia" w:ascii="Times New Roman" w:hAnsi="Times New Roman"/>
          <w:b w:val="0"/>
          <w:bCs w:val="0"/>
          <w:color w:val="auto"/>
          <w:sz w:val="21"/>
          <w:szCs w:val="21"/>
          <w:highlight w:val="none"/>
          <w:u w:val="single"/>
          <w:lang w:val="en-US" w:eastAsia="zh-CN"/>
        </w:rPr>
        <w:t>约定本项目安全文明施工措施费款项按合同价安全文明施工措施费的100%在承包人进场后28天内一次性支付。该费用由发包人监管，确保用于本项目。承包人应当确保安全文明施工措施费专款专用，安全文明施工措施项目费用清单需在开工后一个月内报项目单位、发包人、监理人，承包人不得挪用安全文明施工措施项目费，项目单位、发包人、监理人保留检查专款专用的权利</w:t>
      </w:r>
      <w:r>
        <w:rPr>
          <w:rFonts w:ascii="Times New Roman" w:hAnsi="Times New Roman"/>
          <w:b w:val="0"/>
          <w:bCs w:val="0"/>
          <w:color w:val="auto"/>
          <w:sz w:val="21"/>
          <w:szCs w:val="21"/>
          <w:highlight w:val="none"/>
          <w:u w:val="single"/>
        </w:rPr>
        <w:t>。</w:t>
      </w:r>
    </w:p>
    <w:p w14:paraId="7900BD93">
      <w:pPr>
        <w:spacing w:line="360" w:lineRule="auto"/>
        <w:ind w:firstLine="210" w:firstLineChars="100"/>
        <w:rPr>
          <w:rFonts w:hint="eastAsia" w:ascii="Times New Roman" w:hAnsi="Times New Roman"/>
          <w:b/>
          <w:bCs/>
          <w:color w:val="auto"/>
          <w:sz w:val="21"/>
          <w:szCs w:val="21"/>
          <w:highlight w:val="none"/>
        </w:rPr>
      </w:pPr>
      <w:r>
        <w:rPr>
          <w:rFonts w:ascii="Times New Roman" w:hAnsi="Times New Roman"/>
          <w:b/>
          <w:bCs/>
          <w:color w:val="auto"/>
          <w:sz w:val="21"/>
          <w:szCs w:val="21"/>
          <w:highlight w:val="none"/>
        </w:rPr>
        <w:t>7. 工期和进度</w:t>
      </w:r>
    </w:p>
    <w:p w14:paraId="09C6F7CA">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7.1 施工组织设计</w:t>
      </w:r>
    </w:p>
    <w:p w14:paraId="01E3F432">
      <w:pPr>
        <w:spacing w:line="360" w:lineRule="auto"/>
        <w:ind w:left="210" w:leftChars="100"/>
        <w:rPr>
          <w:rFonts w:ascii="Times New Roman" w:hAnsi="Times New Roman"/>
          <w:color w:val="auto"/>
          <w:sz w:val="21"/>
          <w:szCs w:val="21"/>
          <w:highlight w:val="none"/>
        </w:rPr>
      </w:pPr>
      <w:r>
        <w:rPr>
          <w:rFonts w:ascii="Times New Roman" w:hAnsi="Times New Roman"/>
          <w:color w:val="auto"/>
          <w:sz w:val="21"/>
          <w:szCs w:val="21"/>
          <w:highlight w:val="none"/>
        </w:rPr>
        <w:t>7.1.1 合同当事人约定的施工组织设计应包括的其他内容：</w:t>
      </w:r>
      <w:r>
        <w:rPr>
          <w:rFonts w:ascii="Times New Roman" w:hAnsi="Times New Roman"/>
          <w:color w:val="auto"/>
          <w:sz w:val="21"/>
          <w:szCs w:val="21"/>
          <w:highlight w:val="none"/>
          <w:u w:val="single"/>
        </w:rPr>
        <w:t>测量放线方案、专业分包计划、总承包管理方案、质量检查计划、专业工程管理措施、工程材料及已完合格工程的保护方案、创优方案及保证措施。</w:t>
      </w:r>
    </w:p>
    <w:p w14:paraId="2139D14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7.1.2 施工组织设计的提交和修改</w:t>
      </w:r>
    </w:p>
    <w:p w14:paraId="44A2E31D">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ascii="Times New Roman" w:hAnsi="Times New Roman"/>
          <w:color w:val="auto"/>
          <w:sz w:val="21"/>
          <w:szCs w:val="21"/>
          <w:highlight w:val="none"/>
          <w:u w:val="single"/>
        </w:rPr>
        <w:t>承包人于签订合同后7天内，在不低于中标施工组织设计标准的约束条件下，结合发包人的进一步要求，编制详细的施工组织设计（施工方案）和进度计划；承包人提供的进度计划中应综合考虑全部拟分包项目、中间验收、材料和工程设备的供货时间和数量等，并对全过程负总包责任。</w:t>
      </w:r>
    </w:p>
    <w:p w14:paraId="1F27501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（2）</w:t>
      </w:r>
      <w:r>
        <w:rPr>
          <w:rFonts w:ascii="Times New Roman" w:hAnsi="Times New Roman"/>
          <w:color w:val="auto"/>
          <w:sz w:val="21"/>
          <w:szCs w:val="21"/>
          <w:highlight w:val="none"/>
          <w:u w:val="single"/>
        </w:rPr>
        <w:t>承包人应按照经监理工程师批准的上述施工组织设计和进度计划进行施工，但在任何情况下，监理工程师对上述施工组织设计、进度计划的批准不应免除承包人对工程应负的各种责任。</w:t>
      </w:r>
    </w:p>
    <w:p w14:paraId="4F5D0E70">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（3）</w:t>
      </w:r>
      <w:r>
        <w:rPr>
          <w:rFonts w:ascii="Times New Roman" w:hAnsi="Times New Roman"/>
          <w:color w:val="auto"/>
          <w:sz w:val="21"/>
          <w:szCs w:val="21"/>
          <w:highlight w:val="none"/>
          <w:u w:val="single"/>
        </w:rPr>
        <w:t>本合同工期应是完成本合同约定的全部内容并充分考虑气候等诸多影响因素后的工期。</w:t>
      </w:r>
    </w:p>
    <w:p w14:paraId="6F60D052">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7.2 施工进度计划</w:t>
      </w:r>
    </w:p>
    <w:p w14:paraId="2649393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7.2.2 施工进度计划的修订</w:t>
      </w:r>
    </w:p>
    <w:p w14:paraId="5DD61DF9">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发包人和监理人在收到修订的施工进度计划后确认或提出修改意见的期限：</w:t>
      </w:r>
      <w:r>
        <w:rPr>
          <w:rFonts w:ascii="Times New Roman" w:hAnsi="Times New Roman"/>
          <w:color w:val="auto"/>
          <w:sz w:val="21"/>
          <w:szCs w:val="21"/>
          <w:highlight w:val="none"/>
          <w:u w:val="single"/>
        </w:rPr>
        <w:t>执行通用条款。</w:t>
      </w:r>
    </w:p>
    <w:p w14:paraId="2E96B174">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7.3 开工</w:t>
      </w:r>
    </w:p>
    <w:p w14:paraId="021D54E1">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7.3.1 开工准备</w:t>
      </w:r>
    </w:p>
    <w:p w14:paraId="09CDEB24">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关于承包人提交工程开工报审表的期限：</w:t>
      </w:r>
      <w:r>
        <w:rPr>
          <w:rFonts w:ascii="Times New Roman" w:hAnsi="Times New Roman"/>
          <w:color w:val="auto"/>
          <w:sz w:val="21"/>
          <w:szCs w:val="21"/>
          <w:highlight w:val="none"/>
          <w:u w:val="single"/>
        </w:rPr>
        <w:t>合同签订后</w:t>
      </w:r>
      <w:r>
        <w:rPr>
          <w:rFonts w:hint="eastAsia" w:ascii="Times New Roman" w:hAnsi="Times New Roman"/>
          <w:color w:val="auto"/>
          <w:sz w:val="21"/>
          <w:szCs w:val="21"/>
          <w:highlight w:val="none"/>
          <w:u w:val="single"/>
          <w:lang w:val="en-US" w:eastAsia="zh-CN"/>
        </w:rPr>
        <w:t>7</w:t>
      </w:r>
      <w:r>
        <w:rPr>
          <w:rFonts w:ascii="Times New Roman" w:hAnsi="Times New Roman"/>
          <w:color w:val="auto"/>
          <w:sz w:val="21"/>
          <w:szCs w:val="21"/>
          <w:highlight w:val="none"/>
          <w:u w:val="single"/>
        </w:rPr>
        <w:t>天内。</w:t>
      </w:r>
    </w:p>
    <w:p w14:paraId="15FDA3E4">
      <w:pPr>
        <w:spacing w:line="360" w:lineRule="auto"/>
        <w:ind w:firstLine="210" w:firstLineChars="100"/>
        <w:rPr>
          <w:rFonts w:hint="eastAsia" w:ascii="Times New Roman" w:hAnsi="Times New Roman"/>
          <w:color w:val="auto"/>
          <w:sz w:val="21"/>
          <w:szCs w:val="21"/>
          <w:highlight w:val="none"/>
          <w:u w:val="single"/>
          <w:lang w:val="en-US" w:eastAsia="zh-CN"/>
        </w:rPr>
      </w:pPr>
      <w:r>
        <w:rPr>
          <w:rFonts w:ascii="Times New Roman" w:hAnsi="Times New Roman"/>
          <w:color w:val="auto"/>
          <w:sz w:val="21"/>
          <w:szCs w:val="21"/>
          <w:highlight w:val="none"/>
        </w:rPr>
        <w:t>关于发包人应完成的其他开工准备工作及期限：</w:t>
      </w:r>
      <w:r>
        <w:rPr>
          <w:rFonts w:hint="eastAsia" w:ascii="Times New Roman" w:hAnsi="Times New Roman"/>
          <w:color w:val="auto"/>
          <w:sz w:val="21"/>
          <w:szCs w:val="21"/>
          <w:highlight w:val="none"/>
          <w:u w:val="single"/>
          <w:lang w:val="en-US" w:eastAsia="zh-CN"/>
        </w:rPr>
        <w:t>提供现场场地、组织设计交底、提供测量基准、场地内地下管线资料等，开工前7天内。</w:t>
      </w:r>
    </w:p>
    <w:p w14:paraId="23AF4C3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关于承包人应完成的其他开工准备工作及期限：</w:t>
      </w:r>
      <w:r>
        <w:rPr>
          <w:rFonts w:hint="eastAsia" w:ascii="Times New Roman" w:hAnsi="Times New Roman"/>
          <w:color w:val="auto"/>
          <w:sz w:val="21"/>
          <w:szCs w:val="21"/>
          <w:highlight w:val="none"/>
          <w:u w:val="single"/>
          <w:lang w:val="en-US" w:eastAsia="zh-CN"/>
        </w:rPr>
        <w:t>施工组织设计、施工总进度计划、质量</w:t>
      </w:r>
      <w:r>
        <w:rPr>
          <w:rFonts w:ascii="Times New Roman" w:hAnsi="Times New Roman"/>
          <w:color w:val="auto"/>
          <w:sz w:val="21"/>
          <w:szCs w:val="21"/>
          <w:highlight w:val="none"/>
          <w:u w:val="single"/>
        </w:rPr>
        <w:t>安全管理</w:t>
      </w:r>
      <w:r>
        <w:rPr>
          <w:rFonts w:hint="eastAsia" w:ascii="Times New Roman" w:hAnsi="Times New Roman"/>
          <w:color w:val="auto"/>
          <w:sz w:val="21"/>
          <w:szCs w:val="21"/>
          <w:highlight w:val="none"/>
          <w:u w:val="single"/>
          <w:lang w:val="en-US" w:eastAsia="zh-CN"/>
        </w:rPr>
        <w:t>体系及制度</w:t>
      </w: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lang w:val="en-US" w:eastAsia="zh-CN"/>
        </w:rPr>
        <w:t>重大</w:t>
      </w:r>
      <w:r>
        <w:rPr>
          <w:rFonts w:ascii="Times New Roman" w:hAnsi="Times New Roman"/>
          <w:color w:val="auto"/>
          <w:sz w:val="21"/>
          <w:szCs w:val="21"/>
          <w:highlight w:val="none"/>
          <w:u w:val="single"/>
        </w:rPr>
        <w:t>危险源辨识及控制、扬尘治理专项方案</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工程款专用账户、农民工工资支付专用账户、项目人员组织架构、项目经理授权书</w:t>
      </w:r>
      <w:r>
        <w:rPr>
          <w:rFonts w:ascii="Times New Roman" w:hAnsi="Times New Roman"/>
          <w:color w:val="auto"/>
          <w:sz w:val="21"/>
          <w:szCs w:val="21"/>
          <w:highlight w:val="none"/>
          <w:u w:val="single"/>
        </w:rPr>
        <w:t>，合同签订后</w:t>
      </w:r>
      <w:r>
        <w:rPr>
          <w:rFonts w:hint="eastAsia" w:ascii="Times New Roman" w:hAnsi="Times New Roman"/>
          <w:color w:val="auto"/>
          <w:sz w:val="21"/>
          <w:szCs w:val="21"/>
          <w:highlight w:val="none"/>
          <w:u w:val="single"/>
          <w:lang w:val="en-US" w:eastAsia="zh-CN"/>
        </w:rPr>
        <w:t>7</w:t>
      </w:r>
      <w:r>
        <w:rPr>
          <w:rFonts w:ascii="Times New Roman" w:hAnsi="Times New Roman"/>
          <w:color w:val="auto"/>
          <w:sz w:val="21"/>
          <w:szCs w:val="21"/>
          <w:highlight w:val="none"/>
          <w:u w:val="single"/>
        </w:rPr>
        <w:t>天内上报监理人</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发包人、项目单位</w:t>
      </w:r>
      <w:r>
        <w:rPr>
          <w:rFonts w:ascii="Times New Roman" w:hAnsi="Times New Roman"/>
          <w:color w:val="auto"/>
          <w:sz w:val="21"/>
          <w:szCs w:val="21"/>
          <w:highlight w:val="none"/>
          <w:u w:val="single"/>
        </w:rPr>
        <w:t>。</w:t>
      </w:r>
    </w:p>
    <w:p w14:paraId="2AB39F1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7.3.2开工通知</w:t>
      </w:r>
    </w:p>
    <w:p w14:paraId="50F9B50A">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监理人应在获得工程施工所需许可手续并经</w:t>
      </w:r>
      <w:r>
        <w:rPr>
          <w:rFonts w:ascii="Times New Roman" w:hAnsi="Times New Roman"/>
          <w:color w:val="auto"/>
          <w:sz w:val="21"/>
          <w:szCs w:val="21"/>
          <w:highlight w:val="none"/>
          <w:u w:val="single"/>
        </w:rPr>
        <w:t>发包人</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项目单位</w:t>
      </w:r>
      <w:r>
        <w:rPr>
          <w:rFonts w:hint="eastAsia" w:ascii="Times New Roman" w:hAnsi="Times New Roman"/>
          <w:color w:val="auto"/>
          <w:sz w:val="21"/>
          <w:szCs w:val="21"/>
          <w:highlight w:val="none"/>
          <w:u w:val="single"/>
        </w:rPr>
        <w:t>同意后，向承包人发出开工通知。</w:t>
      </w:r>
      <w:r>
        <w:rPr>
          <w:rFonts w:ascii="Times New Roman" w:hAnsi="Times New Roman"/>
          <w:color w:val="auto"/>
          <w:sz w:val="21"/>
          <w:szCs w:val="21"/>
          <w:highlight w:val="none"/>
          <w:u w:val="single"/>
        </w:rPr>
        <w:t>工期自</w:t>
      </w:r>
      <w:r>
        <w:rPr>
          <w:rFonts w:hint="eastAsia" w:ascii="Times New Roman" w:hAnsi="Times New Roman"/>
          <w:color w:val="auto"/>
          <w:sz w:val="21"/>
          <w:szCs w:val="21"/>
          <w:highlight w:val="none"/>
          <w:u w:val="single"/>
          <w:lang w:val="en-US" w:eastAsia="zh-CN"/>
        </w:rPr>
        <w:t>监理人下发开工令之</w:t>
      </w:r>
      <w:r>
        <w:rPr>
          <w:rFonts w:ascii="Times New Roman" w:hAnsi="Times New Roman"/>
          <w:color w:val="auto"/>
          <w:sz w:val="21"/>
          <w:szCs w:val="21"/>
          <w:highlight w:val="none"/>
          <w:u w:val="single"/>
        </w:rPr>
        <w:t>日起算。</w:t>
      </w:r>
    </w:p>
    <w:p w14:paraId="182D61C1">
      <w:pPr>
        <w:spacing w:line="360" w:lineRule="auto"/>
        <w:ind w:firstLine="210" w:firstLineChars="100"/>
        <w:rPr>
          <w:rFonts w:hint="eastAsia"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val="en-US" w:eastAsia="zh-CN"/>
        </w:rPr>
        <w:t>因</w:t>
      </w:r>
      <w:r>
        <w:rPr>
          <w:rFonts w:hint="eastAsia" w:ascii="Times New Roman" w:hAnsi="Times New Roman" w:eastAsia="宋体" w:cs="Times New Roman"/>
          <w:color w:val="auto"/>
          <w:sz w:val="21"/>
          <w:szCs w:val="21"/>
          <w:highlight w:val="none"/>
          <w:u w:val="single"/>
        </w:rPr>
        <w:t>发包人</w:t>
      </w:r>
      <w:r>
        <w:rPr>
          <w:rFonts w:hint="eastAsia" w:ascii="Times New Roman" w:hAnsi="Times New Roman" w:eastAsia="宋体" w:cs="Times New Roman"/>
          <w:color w:val="auto"/>
          <w:sz w:val="21"/>
          <w:szCs w:val="21"/>
          <w:highlight w:val="none"/>
          <w:u w:val="single"/>
          <w:lang w:val="en-US" w:eastAsia="zh-CN"/>
        </w:rPr>
        <w:t>原因或</w:t>
      </w:r>
      <w:r>
        <w:rPr>
          <w:rFonts w:hint="eastAsia" w:ascii="Times New Roman" w:hAnsi="Times New Roman" w:eastAsia="宋体" w:cs="Times New Roman"/>
          <w:color w:val="auto"/>
          <w:sz w:val="21"/>
          <w:szCs w:val="21"/>
          <w:highlight w:val="none"/>
          <w:u w:val="single"/>
        </w:rPr>
        <w:t>监理人</w:t>
      </w:r>
      <w:r>
        <w:rPr>
          <w:rFonts w:hint="eastAsia" w:ascii="Times New Roman" w:hAnsi="Times New Roman" w:eastAsia="宋体" w:cs="Times New Roman"/>
          <w:color w:val="auto"/>
          <w:sz w:val="21"/>
          <w:szCs w:val="21"/>
          <w:highlight w:val="none"/>
          <w:u w:val="single"/>
          <w:lang w:val="en-US" w:eastAsia="zh-CN"/>
        </w:rPr>
        <w:t>原因</w:t>
      </w:r>
      <w:r>
        <w:rPr>
          <w:rFonts w:hint="eastAsia" w:ascii="Times New Roman" w:hAnsi="Times New Roman" w:eastAsia="宋体" w:cs="Times New Roman"/>
          <w:color w:val="auto"/>
          <w:sz w:val="21"/>
          <w:szCs w:val="21"/>
          <w:highlight w:val="none"/>
          <w:u w:val="single"/>
        </w:rPr>
        <w:t>不</w:t>
      </w:r>
      <w:r>
        <w:rPr>
          <w:rFonts w:hint="eastAsia" w:ascii="Times New Roman" w:hAnsi="Times New Roman" w:eastAsia="宋体" w:cs="Times New Roman"/>
          <w:color w:val="auto"/>
          <w:sz w:val="21"/>
          <w:szCs w:val="21"/>
          <w:highlight w:val="none"/>
          <w:u w:val="single"/>
          <w:lang w:val="en-US" w:eastAsia="zh-CN"/>
        </w:rPr>
        <w:t>能按时</w:t>
      </w:r>
      <w:r>
        <w:rPr>
          <w:rFonts w:hint="eastAsia" w:ascii="Times New Roman" w:hAnsi="Times New Roman" w:eastAsia="宋体" w:cs="Times New Roman"/>
          <w:color w:val="auto"/>
          <w:sz w:val="21"/>
          <w:szCs w:val="21"/>
          <w:highlight w:val="none"/>
          <w:u w:val="single"/>
        </w:rPr>
        <w:t>签发开工通知的违约责任： 发包人</w:t>
      </w:r>
      <w:r>
        <w:rPr>
          <w:rFonts w:hint="eastAsia" w:ascii="Times New Roman" w:hAnsi="Times New Roman" w:eastAsia="宋体" w:cs="Times New Roman"/>
          <w:color w:val="auto"/>
          <w:sz w:val="21"/>
          <w:szCs w:val="21"/>
          <w:highlight w:val="none"/>
          <w:u w:val="single"/>
          <w:lang w:eastAsia="zh-CN"/>
        </w:rPr>
        <w:t>、</w:t>
      </w:r>
      <w:r>
        <w:rPr>
          <w:rFonts w:hint="eastAsia" w:ascii="Times New Roman" w:hAnsi="Times New Roman" w:eastAsia="宋体" w:cs="Times New Roman"/>
          <w:color w:val="auto"/>
          <w:sz w:val="21"/>
          <w:szCs w:val="21"/>
          <w:highlight w:val="none"/>
          <w:u w:val="single"/>
          <w:lang w:val="en-US" w:eastAsia="zh-CN"/>
        </w:rPr>
        <w:t>监理人</w:t>
      </w:r>
      <w:r>
        <w:rPr>
          <w:rFonts w:hint="eastAsia" w:ascii="Times New Roman" w:hAnsi="Times New Roman" w:eastAsia="宋体" w:cs="Times New Roman"/>
          <w:color w:val="auto"/>
          <w:sz w:val="21"/>
          <w:szCs w:val="21"/>
          <w:highlight w:val="none"/>
          <w:u w:val="single"/>
        </w:rPr>
        <w:t>应当承担由此增加的费用和（或）延误的工期，并向承包人支付合理利润。</w:t>
      </w:r>
    </w:p>
    <w:p w14:paraId="25BC2D3B">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7.4 测量放线</w:t>
      </w:r>
    </w:p>
    <w:p w14:paraId="215919DD">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7.4.1</w:t>
      </w:r>
      <w:r>
        <w:rPr>
          <w:rFonts w:hint="eastAsia" w:ascii="Times New Roman" w:hAnsi="Times New Roman"/>
          <w:color w:val="auto"/>
          <w:sz w:val="21"/>
          <w:szCs w:val="21"/>
          <w:highlight w:val="none"/>
        </w:rPr>
        <w:t>发包人</w:t>
      </w:r>
      <w:r>
        <w:rPr>
          <w:rFonts w:ascii="Times New Roman" w:hAnsi="Times New Roman"/>
          <w:color w:val="auto"/>
          <w:sz w:val="21"/>
          <w:szCs w:val="21"/>
          <w:highlight w:val="none"/>
        </w:rPr>
        <w:t>向承包人提供测量基准点、基准线和水准点及其书面资料的期限：</w:t>
      </w:r>
      <w:r>
        <w:rPr>
          <w:rFonts w:ascii="Times New Roman" w:hAnsi="Times New Roman"/>
          <w:color w:val="auto"/>
          <w:sz w:val="21"/>
          <w:szCs w:val="21"/>
          <w:highlight w:val="none"/>
          <w:u w:val="single"/>
        </w:rPr>
        <w:t>工程正式开工前7日。</w:t>
      </w:r>
    </w:p>
    <w:p w14:paraId="27E7FA2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7.5 工期延误</w:t>
      </w:r>
    </w:p>
    <w:p w14:paraId="47332FEB">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7.5.1 因发包人原因导致工期延误：</w:t>
      </w:r>
    </w:p>
    <w:p w14:paraId="319B5F6D">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（1）发包人未能按合同约定提供施工现场、施工条件、基础资料、批准等开工条件的；</w:t>
      </w:r>
    </w:p>
    <w:p w14:paraId="233BDBC4">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（2）发包人提供的测量基准点、基准线和水准点存在错误或疏漏的。</w:t>
      </w:r>
    </w:p>
    <w:p w14:paraId="128D365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7</w:t>
      </w:r>
      <w:bookmarkStart w:id="612" w:name="_Toc304295548"/>
      <w:bookmarkStart w:id="613" w:name="_Toc300934970"/>
      <w:bookmarkStart w:id="614" w:name="_Toc303539127"/>
      <w:bookmarkStart w:id="615" w:name="_Toc312678012"/>
      <w:bookmarkStart w:id="616" w:name="_Toc297216177"/>
      <w:bookmarkStart w:id="617" w:name="_Toc297123518"/>
      <w:bookmarkStart w:id="618" w:name="_Toc318581169"/>
      <w:bookmarkStart w:id="619" w:name="_Toc312677486"/>
      <w:r>
        <w:rPr>
          <w:rFonts w:ascii="Times New Roman" w:hAnsi="Times New Roman"/>
          <w:color w:val="auto"/>
          <w:sz w:val="21"/>
          <w:szCs w:val="21"/>
          <w:highlight w:val="none"/>
        </w:rPr>
        <w:t>.5.2 因承包人原因导致工期延误</w:t>
      </w:r>
    </w:p>
    <w:bookmarkEnd w:id="612"/>
    <w:bookmarkEnd w:id="613"/>
    <w:bookmarkEnd w:id="614"/>
    <w:bookmarkEnd w:id="615"/>
    <w:bookmarkEnd w:id="616"/>
    <w:bookmarkEnd w:id="617"/>
    <w:bookmarkEnd w:id="618"/>
    <w:bookmarkEnd w:id="619"/>
    <w:p w14:paraId="24A42445">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因</w:t>
      </w:r>
      <w:bookmarkStart w:id="620" w:name="_Toc312677487"/>
      <w:bookmarkStart w:id="621" w:name="_Toc312678013"/>
      <w:r>
        <w:rPr>
          <w:rFonts w:ascii="Times New Roman" w:hAnsi="Times New Roman"/>
          <w:color w:val="auto"/>
          <w:sz w:val="21"/>
          <w:szCs w:val="21"/>
          <w:highlight w:val="none"/>
        </w:rPr>
        <w:t>承包人原因造成工期延误，逾期竣工违约金的计算方法为：</w:t>
      </w:r>
      <w:bookmarkEnd w:id="620"/>
      <w:bookmarkEnd w:id="621"/>
      <w:r>
        <w:rPr>
          <w:rFonts w:hint="eastAsia" w:ascii="Times New Roman" w:hAnsi="Times New Roman"/>
          <w:color w:val="auto"/>
          <w:sz w:val="21"/>
          <w:szCs w:val="21"/>
          <w:highlight w:val="none"/>
          <w:u w:val="single"/>
        </w:rPr>
        <w:t>因承包人原因延误工期逾期竣工的，每逾期一日，承包人应承担合同中标价</w:t>
      </w:r>
      <w:r>
        <w:rPr>
          <w:rFonts w:hint="eastAsia" w:ascii="Times New Roman" w:hAnsi="Times New Roman"/>
          <w:color w:val="auto"/>
          <w:sz w:val="21"/>
          <w:szCs w:val="21"/>
          <w:highlight w:val="none"/>
          <w:u w:val="single"/>
          <w:lang w:val="en-US" w:eastAsia="zh-CN"/>
        </w:rPr>
        <w:t>1</w:t>
      </w:r>
      <w:r>
        <w:rPr>
          <w:rFonts w:hint="eastAsia" w:ascii="Times New Roman" w:hAnsi="Times New Roman"/>
          <w:color w:val="auto"/>
          <w:sz w:val="21"/>
          <w:szCs w:val="21"/>
          <w:highlight w:val="none"/>
          <w:u w:val="single"/>
        </w:rPr>
        <w:t>‰的违约金，若因承包人逾期延误超过20天（含）</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rPr>
        <w:t>承包人应按合同总价的10%向</w:t>
      </w:r>
      <w:r>
        <w:rPr>
          <w:rFonts w:hint="eastAsia" w:ascii="Times New Roman" w:hAnsi="Times New Roman"/>
          <w:color w:val="auto"/>
          <w:sz w:val="21"/>
          <w:szCs w:val="21"/>
          <w:highlight w:val="none"/>
          <w:u w:val="single"/>
          <w:lang w:val="en-US" w:eastAsia="zh-CN"/>
        </w:rPr>
        <w:t>项目单位</w:t>
      </w:r>
      <w:r>
        <w:rPr>
          <w:rFonts w:hint="eastAsia" w:ascii="Times New Roman" w:hAnsi="Times New Roman"/>
          <w:color w:val="auto"/>
          <w:sz w:val="21"/>
          <w:szCs w:val="21"/>
          <w:highlight w:val="none"/>
          <w:u w:val="single"/>
        </w:rPr>
        <w:t>支付违约金</w:t>
      </w:r>
      <w:r>
        <w:rPr>
          <w:rFonts w:hint="eastAsia" w:ascii="Times New Roman" w:hAnsi="Times New Roman"/>
          <w:color w:val="auto"/>
          <w:sz w:val="21"/>
          <w:szCs w:val="21"/>
          <w:highlight w:val="none"/>
          <w:u w:val="single"/>
          <w:lang w:val="en-US" w:eastAsia="zh-CN"/>
        </w:rPr>
        <w:t>，</w:t>
      </w:r>
      <w:r>
        <w:rPr>
          <w:rFonts w:hint="eastAsia" w:ascii="Times New Roman" w:hAnsi="Times New Roman"/>
          <w:color w:val="auto"/>
          <w:sz w:val="21"/>
          <w:szCs w:val="21"/>
          <w:highlight w:val="none"/>
          <w:u w:val="single"/>
        </w:rPr>
        <w:t>不免除承包人继续完成工程及修补缺陷的义务</w:t>
      </w:r>
      <w:r>
        <w:rPr>
          <w:rFonts w:hint="eastAsia" w:ascii="Times New Roman" w:hAnsi="Times New Roman"/>
          <w:color w:val="auto"/>
          <w:sz w:val="21"/>
          <w:szCs w:val="21"/>
          <w:highlight w:val="none"/>
          <w:u w:val="single"/>
          <w:lang w:val="en-US" w:eastAsia="zh-CN"/>
        </w:rPr>
        <w:t>。</w:t>
      </w:r>
      <w:r>
        <w:rPr>
          <w:rFonts w:hint="eastAsia" w:ascii="Times New Roman" w:hAnsi="Times New Roman"/>
          <w:color w:val="auto"/>
          <w:sz w:val="21"/>
          <w:szCs w:val="21"/>
          <w:highlight w:val="none"/>
          <w:u w:val="single"/>
        </w:rPr>
        <w:t>若该违约金不足以弥补发包人损失的，承包人应另行补足</w:t>
      </w:r>
      <w:r>
        <w:rPr>
          <w:rFonts w:ascii="Times New Roman" w:hAnsi="Times New Roman"/>
          <w:color w:val="auto"/>
          <w:sz w:val="21"/>
          <w:szCs w:val="21"/>
          <w:highlight w:val="none"/>
          <w:u w:val="single"/>
        </w:rPr>
        <w:t>。</w:t>
      </w:r>
    </w:p>
    <w:p w14:paraId="531C6648">
      <w:pPr>
        <w:spacing w:line="360" w:lineRule="auto"/>
        <w:ind w:firstLine="420" w:firstLineChars="2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当承包人在规定工期内未完成本项目承包范围内施工内容，</w:t>
      </w:r>
      <w:r>
        <w:rPr>
          <w:rFonts w:hint="eastAsia" w:ascii="Times New Roman" w:hAnsi="Times New Roman"/>
          <w:color w:val="auto"/>
          <w:sz w:val="21"/>
          <w:szCs w:val="21"/>
          <w:highlight w:val="none"/>
          <w:u w:val="single"/>
          <w:lang w:val="en-US" w:eastAsia="zh-CN"/>
        </w:rPr>
        <w:t>经监理人上报发包人，发包人在征得项目单位同意后</w:t>
      </w:r>
      <w:r>
        <w:rPr>
          <w:rFonts w:ascii="Times New Roman" w:hAnsi="Times New Roman"/>
          <w:color w:val="auto"/>
          <w:sz w:val="21"/>
          <w:szCs w:val="21"/>
          <w:highlight w:val="none"/>
          <w:u w:val="single"/>
        </w:rPr>
        <w:t>有权对分项工程进行单独</w:t>
      </w:r>
      <w:r>
        <w:rPr>
          <w:rFonts w:hint="eastAsia" w:ascii="Times New Roman" w:hAnsi="Times New Roman"/>
          <w:color w:val="auto"/>
          <w:sz w:val="21"/>
          <w:szCs w:val="21"/>
          <w:highlight w:val="none"/>
          <w:u w:val="single"/>
          <w:lang w:val="en-US" w:eastAsia="zh-CN"/>
        </w:rPr>
        <w:t>分</w:t>
      </w:r>
      <w:r>
        <w:rPr>
          <w:rFonts w:ascii="Times New Roman" w:hAnsi="Times New Roman"/>
          <w:color w:val="auto"/>
          <w:sz w:val="21"/>
          <w:szCs w:val="21"/>
          <w:highlight w:val="none"/>
          <w:u w:val="single"/>
        </w:rPr>
        <w:t>包，由</w:t>
      </w:r>
      <w:r>
        <w:rPr>
          <w:rFonts w:hint="eastAsia" w:ascii="Times New Roman" w:hAnsi="Times New Roman"/>
          <w:color w:val="auto"/>
          <w:sz w:val="21"/>
          <w:szCs w:val="21"/>
          <w:highlight w:val="none"/>
          <w:u w:val="single"/>
          <w:lang w:val="en-US" w:eastAsia="zh-CN"/>
        </w:rPr>
        <w:t>项目单位、</w:t>
      </w:r>
      <w:r>
        <w:rPr>
          <w:rFonts w:hint="eastAsia" w:ascii="Times New Roman" w:hAnsi="Times New Roman"/>
          <w:color w:val="auto"/>
          <w:sz w:val="21"/>
          <w:szCs w:val="21"/>
          <w:highlight w:val="none"/>
          <w:u w:val="single"/>
        </w:rPr>
        <w:t>发包人</w:t>
      </w:r>
      <w:r>
        <w:rPr>
          <w:rFonts w:ascii="Times New Roman" w:hAnsi="Times New Roman"/>
          <w:color w:val="auto"/>
          <w:sz w:val="21"/>
          <w:szCs w:val="21"/>
          <w:highlight w:val="none"/>
          <w:u w:val="single"/>
        </w:rPr>
        <w:t>与分包单位另行签订合同并结算，该部分工程费用承包人同意按照</w:t>
      </w:r>
      <w:r>
        <w:rPr>
          <w:rFonts w:hint="eastAsia" w:ascii="Times New Roman" w:hAnsi="Times New Roman"/>
          <w:color w:val="auto"/>
          <w:sz w:val="21"/>
          <w:szCs w:val="21"/>
          <w:highlight w:val="none"/>
          <w:u w:val="single"/>
        </w:rPr>
        <w:t>发包人</w:t>
      </w:r>
      <w:r>
        <w:rPr>
          <w:rFonts w:ascii="Times New Roman" w:hAnsi="Times New Roman"/>
          <w:color w:val="auto"/>
          <w:sz w:val="21"/>
          <w:szCs w:val="21"/>
          <w:highlight w:val="none"/>
          <w:u w:val="single"/>
        </w:rPr>
        <w:t>与分包单位签订的合同价格（最终以实际结算价为准）从承包人的合同价款中直接扣除，同时，</w:t>
      </w:r>
      <w:r>
        <w:rPr>
          <w:rFonts w:hint="eastAsia" w:ascii="Times New Roman" w:hAnsi="Times New Roman"/>
          <w:color w:val="auto"/>
          <w:sz w:val="21"/>
          <w:szCs w:val="21"/>
          <w:highlight w:val="none"/>
          <w:u w:val="single"/>
        </w:rPr>
        <w:t>发包人</w:t>
      </w:r>
      <w:r>
        <w:rPr>
          <w:rFonts w:ascii="Times New Roman" w:hAnsi="Times New Roman"/>
          <w:color w:val="auto"/>
          <w:sz w:val="21"/>
          <w:szCs w:val="21"/>
          <w:highlight w:val="none"/>
          <w:u w:val="single"/>
        </w:rPr>
        <w:t>就工期延误及相关损失具有最终</w:t>
      </w:r>
      <w:r>
        <w:rPr>
          <w:rFonts w:hint="eastAsia" w:ascii="Times New Roman" w:hAnsi="Times New Roman"/>
          <w:color w:val="auto"/>
          <w:sz w:val="21"/>
          <w:szCs w:val="21"/>
          <w:highlight w:val="none"/>
          <w:u w:val="single"/>
        </w:rPr>
        <w:t>索赔</w:t>
      </w:r>
      <w:r>
        <w:rPr>
          <w:rFonts w:ascii="Times New Roman" w:hAnsi="Times New Roman"/>
          <w:color w:val="auto"/>
          <w:sz w:val="21"/>
          <w:szCs w:val="21"/>
          <w:highlight w:val="none"/>
          <w:u w:val="single"/>
        </w:rPr>
        <w:t>权。</w:t>
      </w:r>
    </w:p>
    <w:p w14:paraId="0F4E8C79">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确保工期进度，承包人应自行采取以下措施：（</w:t>
      </w:r>
      <w:r>
        <w:rPr>
          <w:rFonts w:ascii="Times New Roman" w:hAnsi="Times New Roman"/>
          <w:color w:val="auto"/>
          <w:sz w:val="21"/>
          <w:szCs w:val="21"/>
          <w:highlight w:val="none"/>
          <w:u w:val="single"/>
        </w:rPr>
        <w:t>1）严格按批准的项目、采购、施工等计划进度计划管理，一旦达不到计划进度要求或发生进度拖期倾向，应及时向发包人报告并查明原因，提出整改措施。（2）承包人原因使工程实际进度明显落后于项目进度计划时，承包人有义务、发包人也有权利要求承包人自费采取措施，赶上项目进度计划。经发包人考评没有完成项目进度计划的，发包人有权对承包人</w:t>
      </w:r>
      <w:r>
        <w:rPr>
          <w:rFonts w:hint="eastAsia" w:ascii="Times New Roman" w:hAnsi="Times New Roman"/>
          <w:color w:val="auto"/>
          <w:sz w:val="21"/>
          <w:szCs w:val="21"/>
          <w:highlight w:val="none"/>
          <w:u w:val="single"/>
        </w:rPr>
        <w:t>收取</w:t>
      </w:r>
      <w:r>
        <w:rPr>
          <w:rFonts w:ascii="Times New Roman" w:hAnsi="Times New Roman"/>
          <w:color w:val="auto"/>
          <w:sz w:val="21"/>
          <w:szCs w:val="21"/>
          <w:highlight w:val="none"/>
          <w:u w:val="single"/>
        </w:rPr>
        <w:t>1</w:t>
      </w:r>
      <w:r>
        <w:rPr>
          <w:rFonts w:hint="eastAsia" w:ascii="Times New Roman" w:hAnsi="Times New Roman"/>
          <w:color w:val="auto"/>
          <w:sz w:val="21"/>
          <w:szCs w:val="21"/>
          <w:highlight w:val="none"/>
          <w:u w:val="single"/>
        </w:rPr>
        <w:t>万</w:t>
      </w:r>
      <w:r>
        <w:rPr>
          <w:rFonts w:ascii="Times New Roman" w:hAnsi="Times New Roman"/>
          <w:color w:val="auto"/>
          <w:sz w:val="21"/>
          <w:szCs w:val="21"/>
          <w:highlight w:val="none"/>
          <w:u w:val="single"/>
        </w:rPr>
        <w:t>元/天的违约</w:t>
      </w:r>
      <w:r>
        <w:rPr>
          <w:rFonts w:hint="eastAsia" w:ascii="Times New Roman" w:hAnsi="Times New Roman"/>
          <w:color w:val="auto"/>
          <w:sz w:val="21"/>
          <w:szCs w:val="21"/>
          <w:highlight w:val="none"/>
          <w:u w:val="single"/>
        </w:rPr>
        <w:t>金</w:t>
      </w:r>
      <w:r>
        <w:rPr>
          <w:rFonts w:ascii="Times New Roman" w:hAnsi="Times New Roman"/>
          <w:color w:val="auto"/>
          <w:sz w:val="21"/>
          <w:szCs w:val="21"/>
          <w:highlight w:val="none"/>
          <w:u w:val="single"/>
        </w:rPr>
        <w:t>。（3）</w:t>
      </w:r>
      <w:r>
        <w:rPr>
          <w:rFonts w:hint="eastAsia" w:ascii="Times New Roman" w:hAnsi="Times New Roman"/>
          <w:color w:val="auto"/>
          <w:sz w:val="21"/>
          <w:szCs w:val="21"/>
          <w:highlight w:val="none"/>
          <w:u w:val="single"/>
          <w:lang w:val="en-US" w:eastAsia="zh-CN"/>
        </w:rPr>
        <w:t>承包人需</w:t>
      </w:r>
      <w:r>
        <w:rPr>
          <w:rFonts w:ascii="Times New Roman" w:hAnsi="Times New Roman"/>
          <w:color w:val="auto"/>
          <w:sz w:val="21"/>
          <w:szCs w:val="21"/>
          <w:highlight w:val="none"/>
          <w:u w:val="single"/>
        </w:rPr>
        <w:t>定期组织召开工程协调会，及时分析、协调、平衡和调整工程进度，协调安排各劳务作业、专业分包单位及工程设备材料供货单位的施工衔接，组织有序的交叉施工。</w:t>
      </w:r>
    </w:p>
    <w:p w14:paraId="0B9EDE17">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7</w:t>
      </w:r>
      <w:bookmarkStart w:id="622" w:name="_Toc297123519"/>
      <w:bookmarkStart w:id="623" w:name="_Toc303539128"/>
      <w:bookmarkStart w:id="624" w:name="_Toc312678015"/>
      <w:bookmarkStart w:id="625" w:name="_Toc300934971"/>
      <w:bookmarkStart w:id="626" w:name="_Toc297216178"/>
      <w:bookmarkStart w:id="627" w:name="_Toc304295549"/>
      <w:r>
        <w:rPr>
          <w:rFonts w:ascii="Times New Roman" w:hAnsi="Times New Roman"/>
          <w:b/>
          <w:bCs/>
          <w:color w:val="auto"/>
          <w:sz w:val="21"/>
          <w:szCs w:val="21"/>
          <w:highlight w:val="none"/>
        </w:rPr>
        <w:t>.6 不</w:t>
      </w:r>
      <w:bookmarkEnd w:id="622"/>
      <w:bookmarkEnd w:id="623"/>
      <w:bookmarkEnd w:id="624"/>
      <w:bookmarkEnd w:id="625"/>
      <w:bookmarkEnd w:id="626"/>
      <w:bookmarkEnd w:id="627"/>
      <w:r>
        <w:rPr>
          <w:rFonts w:ascii="Times New Roman" w:hAnsi="Times New Roman"/>
          <w:b/>
          <w:bCs/>
          <w:color w:val="auto"/>
          <w:sz w:val="21"/>
          <w:szCs w:val="21"/>
          <w:highlight w:val="none"/>
        </w:rPr>
        <w:t>利物质条件</w:t>
      </w:r>
    </w:p>
    <w:p w14:paraId="1EA1ECF3">
      <w:pPr>
        <w:spacing w:line="360" w:lineRule="auto"/>
        <w:rPr>
          <w:rFonts w:ascii="Times New Roman" w:hAnsi="Times New Roman"/>
          <w:color w:val="auto"/>
          <w:sz w:val="21"/>
          <w:szCs w:val="21"/>
          <w:highlight w:val="none"/>
        </w:rPr>
      </w:pPr>
      <w:bookmarkStart w:id="628" w:name="_Toc297123520"/>
      <w:bookmarkStart w:id="629" w:name="_Toc297216179"/>
      <w:bookmarkStart w:id="630" w:name="_Toc303539129"/>
      <w:bookmarkStart w:id="631" w:name="_Toc318581172"/>
      <w:bookmarkStart w:id="632" w:name="_Toc312678016"/>
      <w:bookmarkStart w:id="633" w:name="_Toc304295550"/>
      <w:bookmarkStart w:id="634" w:name="_Toc300934972"/>
      <w:r>
        <w:rPr>
          <w:rFonts w:ascii="Times New Roman" w:hAnsi="Times New Roman"/>
          <w:color w:val="auto"/>
          <w:sz w:val="21"/>
          <w:szCs w:val="21"/>
          <w:highlight w:val="none"/>
        </w:rPr>
        <w:t>不利物质条件的其他情形和有关约定：</w:t>
      </w:r>
      <w:bookmarkEnd w:id="628"/>
      <w:bookmarkEnd w:id="629"/>
      <w:bookmarkEnd w:id="630"/>
      <w:bookmarkEnd w:id="631"/>
      <w:bookmarkEnd w:id="632"/>
      <w:bookmarkEnd w:id="633"/>
      <w:bookmarkEnd w:id="634"/>
      <w:r>
        <w:rPr>
          <w:rFonts w:ascii="Times New Roman" w:hAnsi="Times New Roman"/>
          <w:color w:val="auto"/>
          <w:sz w:val="21"/>
          <w:szCs w:val="21"/>
          <w:highlight w:val="none"/>
          <w:u w:val="single"/>
        </w:rPr>
        <w:t>执行通用条款。</w:t>
      </w:r>
    </w:p>
    <w:p w14:paraId="0C1B22C8">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7.9 提前竣工</w:t>
      </w:r>
    </w:p>
    <w:p w14:paraId="690F8685">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rPr>
        <w:t xml:space="preserve">7.9.2提前竣工的奖励： </w:t>
      </w:r>
      <w:r>
        <w:rPr>
          <w:rFonts w:ascii="Times New Roman" w:hAnsi="Times New Roman"/>
          <w:color w:val="auto"/>
          <w:sz w:val="21"/>
          <w:szCs w:val="21"/>
          <w:highlight w:val="none"/>
          <w:u w:val="single"/>
        </w:rPr>
        <w:t xml:space="preserve">  /  </w:t>
      </w:r>
    </w:p>
    <w:p w14:paraId="07EED5D6">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8. 材料与工程设备</w:t>
      </w:r>
    </w:p>
    <w:p w14:paraId="2EDEA4B4">
      <w:pPr>
        <w:spacing w:line="360" w:lineRule="auto"/>
        <w:ind w:firstLine="210" w:firstLineChars="100"/>
        <w:rPr>
          <w:rFonts w:ascii="Times New Roman" w:hAnsi="Times New Roman"/>
          <w:b/>
          <w:bCs/>
          <w:color w:val="auto"/>
          <w:sz w:val="21"/>
          <w:szCs w:val="21"/>
          <w:highlight w:val="none"/>
        </w:rPr>
      </w:pPr>
      <w:bookmarkStart w:id="635" w:name="_Toc360107182"/>
      <w:bookmarkStart w:id="636" w:name="_Toc394043957"/>
      <w:r>
        <w:rPr>
          <w:rFonts w:ascii="Times New Roman" w:hAnsi="Times New Roman"/>
          <w:b/>
          <w:bCs/>
          <w:color w:val="auto"/>
          <w:sz w:val="21"/>
          <w:szCs w:val="21"/>
          <w:highlight w:val="none"/>
        </w:rPr>
        <w:t>8.2承包人采购材料与工程设备</w:t>
      </w:r>
    </w:p>
    <w:bookmarkEnd w:id="635"/>
    <w:bookmarkEnd w:id="636"/>
    <w:p w14:paraId="45E5198C">
      <w:pPr>
        <w:spacing w:line="360" w:lineRule="auto"/>
        <w:ind w:firstLine="315" w:firstLineChars="15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本工程的材料和工程设备均由承包人负责采购、运输和保管。</w:t>
      </w:r>
    </w:p>
    <w:p w14:paraId="253F8BC4">
      <w:pPr>
        <w:spacing w:line="360" w:lineRule="auto"/>
        <w:ind w:firstLine="315" w:firstLineChars="15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材料和工程设备采购应根据本合同、设计技术文件和国家有关规定的具体要求进行，所有材料和工程设备应选用具有一定生产规模、市场信誉好、产品质量稳定良好的生产厂和品牌；所有材料和工程设备应有合格证书和质保书，符合国家规定的技术标准；须复试的材料必须经具有相应资质的试验检测机构检验检测合格方可使用；进口材料和工程设备应有报关单、原产地证明、装箱单、商业发票等资料，并报监理人及发包人审验合格后方可使用。监理人及发包人对材料和工程设备的审验合格并不免除承包人对材料和工程设备的质量责任</w:t>
      </w:r>
      <w:r>
        <w:rPr>
          <w:rFonts w:ascii="Times New Roman" w:hAnsi="Times New Roman"/>
          <w:color w:val="auto"/>
          <w:sz w:val="21"/>
          <w:szCs w:val="21"/>
          <w:highlight w:val="none"/>
          <w:u w:val="single"/>
        </w:rPr>
        <w:t>。</w:t>
      </w:r>
    </w:p>
    <w:p w14:paraId="6A7BAB75">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8</w:t>
      </w:r>
      <w:bookmarkStart w:id="637" w:name="_Toc280868654"/>
      <w:bookmarkStart w:id="638" w:name="_Toc312677493"/>
      <w:bookmarkStart w:id="639" w:name="_Toc292559372"/>
      <w:bookmarkStart w:id="640" w:name="_Toc312678019"/>
      <w:bookmarkStart w:id="641" w:name="_Toc296890995"/>
      <w:bookmarkStart w:id="642" w:name="_Toc297120467"/>
      <w:bookmarkStart w:id="643" w:name="_Toc303539136"/>
      <w:bookmarkStart w:id="644" w:name="_Toc292559877"/>
      <w:bookmarkStart w:id="645" w:name="_Toc304295556"/>
      <w:bookmarkStart w:id="646" w:name="_Toc296346668"/>
      <w:bookmarkStart w:id="647" w:name="_Toc296503167"/>
      <w:bookmarkStart w:id="648" w:name="_Toc296944506"/>
      <w:bookmarkStart w:id="649" w:name="_Toc297216186"/>
      <w:bookmarkStart w:id="650" w:name="_Toc297048353"/>
      <w:bookmarkStart w:id="651" w:name="_Toc297123527"/>
      <w:bookmarkStart w:id="652" w:name="_Toc296347166"/>
      <w:bookmarkStart w:id="653" w:name="_Toc300934979"/>
      <w:bookmarkStart w:id="654" w:name="_Toc296891207"/>
      <w:r>
        <w:rPr>
          <w:rFonts w:ascii="Times New Roman" w:hAnsi="Times New Roman"/>
          <w:b/>
          <w:bCs/>
          <w:color w:val="auto"/>
          <w:sz w:val="21"/>
          <w:szCs w:val="21"/>
          <w:highlight w:val="none"/>
        </w:rPr>
        <w:t>.4材料与工程设备的保管与使用</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4065E5B5">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8</w:t>
      </w:r>
      <w:bookmarkStart w:id="655" w:name="_Toc292559878"/>
      <w:bookmarkStart w:id="656" w:name="_Toc292559373"/>
      <w:r>
        <w:rPr>
          <w:rFonts w:ascii="Times New Roman" w:hAnsi="Times New Roman"/>
          <w:color w:val="auto"/>
          <w:sz w:val="21"/>
          <w:szCs w:val="21"/>
          <w:highlight w:val="none"/>
        </w:rPr>
        <w:t>.4.1发包人供应材料工程设备的保管费用的承担：</w:t>
      </w:r>
      <w:r>
        <w:rPr>
          <w:rFonts w:hint="eastAsia" w:ascii="Times New Roman" w:hAnsi="Times New Roman"/>
          <w:color w:val="auto"/>
          <w:sz w:val="21"/>
          <w:szCs w:val="21"/>
          <w:highlight w:val="none"/>
          <w:u w:val="single"/>
        </w:rPr>
        <w:t xml:space="preserve">  / </w:t>
      </w:r>
      <w:bookmarkEnd w:id="655"/>
      <w:bookmarkEnd w:id="656"/>
      <w:r>
        <w:rPr>
          <w:rFonts w:hint="eastAsia" w:ascii="Times New Roman" w:hAnsi="Times New Roman"/>
          <w:color w:val="auto"/>
          <w:sz w:val="21"/>
          <w:szCs w:val="21"/>
          <w:highlight w:val="none"/>
          <w:u w:val="single"/>
        </w:rPr>
        <w:t xml:space="preserve"> </w:t>
      </w:r>
    </w:p>
    <w:p w14:paraId="4D6230F1">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8.6 样品</w:t>
      </w:r>
    </w:p>
    <w:p w14:paraId="1E3D1182">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8.6.1样品的报送与封存</w:t>
      </w:r>
    </w:p>
    <w:p w14:paraId="2FB1ADAA">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rPr>
        <w:t>需要承包人报送样品的材料或工程设备，样品的种类、名称、规格、数量要求：</w:t>
      </w:r>
      <w:r>
        <w:rPr>
          <w:rFonts w:ascii="Times New Roman" w:hAnsi="Times New Roman"/>
          <w:color w:val="auto"/>
          <w:sz w:val="21"/>
          <w:szCs w:val="21"/>
          <w:highlight w:val="none"/>
          <w:u w:val="single"/>
        </w:rPr>
        <w:t>所有采购材料</w:t>
      </w:r>
      <w:r>
        <w:rPr>
          <w:rFonts w:hint="eastAsia" w:ascii="Times New Roman" w:hAnsi="Times New Roman"/>
          <w:color w:val="auto"/>
          <w:sz w:val="21"/>
          <w:szCs w:val="21"/>
          <w:highlight w:val="none"/>
          <w:u w:val="single"/>
          <w:lang w:eastAsia="zh-CN"/>
        </w:rPr>
        <w:t>和工程</w:t>
      </w:r>
      <w:r>
        <w:rPr>
          <w:rFonts w:ascii="Times New Roman" w:hAnsi="Times New Roman"/>
          <w:color w:val="auto"/>
          <w:sz w:val="21"/>
          <w:szCs w:val="21"/>
          <w:highlight w:val="none"/>
          <w:u w:val="single"/>
        </w:rPr>
        <w:t>设备必须样品封存，承包人采购的材料</w:t>
      </w:r>
      <w:r>
        <w:rPr>
          <w:rFonts w:hint="eastAsia" w:ascii="Times New Roman" w:hAnsi="Times New Roman"/>
          <w:color w:val="auto"/>
          <w:sz w:val="21"/>
          <w:szCs w:val="21"/>
          <w:highlight w:val="none"/>
          <w:u w:val="single"/>
          <w:lang w:eastAsia="zh-CN"/>
        </w:rPr>
        <w:t>和工程</w:t>
      </w:r>
      <w:r>
        <w:rPr>
          <w:rFonts w:ascii="Times New Roman" w:hAnsi="Times New Roman"/>
          <w:color w:val="auto"/>
          <w:sz w:val="21"/>
          <w:szCs w:val="21"/>
          <w:highlight w:val="none"/>
          <w:u w:val="single"/>
        </w:rPr>
        <w:t>设备必须与已封样品同牌同质。</w:t>
      </w:r>
      <w:r>
        <w:rPr>
          <w:rFonts w:ascii="Times New Roman" w:hAnsi="Times New Roman"/>
          <w:color w:val="auto"/>
          <w:sz w:val="21"/>
          <w:szCs w:val="21"/>
          <w:highlight w:val="none"/>
          <w:u w:val="single"/>
        </w:rPr>
        <w:fldChar w:fldCharType="begin"/>
      </w:r>
      <w:r>
        <w:rPr>
          <w:rFonts w:ascii="Times New Roman" w:hAnsi="Times New Roman"/>
          <w:color w:val="auto"/>
          <w:sz w:val="21"/>
          <w:szCs w:val="21"/>
          <w:highlight w:val="none"/>
          <w:u w:val="single"/>
        </w:rPr>
        <w:instrText xml:space="preserve">= 1 \* GB3</w:instrText>
      </w:r>
      <w:r>
        <w:rPr>
          <w:rFonts w:ascii="Times New Roman" w:hAnsi="Times New Roman"/>
          <w:color w:val="auto"/>
          <w:sz w:val="21"/>
          <w:szCs w:val="21"/>
          <w:highlight w:val="none"/>
          <w:u w:val="single"/>
        </w:rPr>
        <w:fldChar w:fldCharType="separate"/>
      </w:r>
      <w:r>
        <w:rPr>
          <w:rFonts w:hint="eastAsia" w:cs="宋体"/>
          <w:color w:val="auto"/>
          <w:sz w:val="21"/>
          <w:szCs w:val="21"/>
          <w:highlight w:val="none"/>
          <w:u w:val="single"/>
        </w:rPr>
        <w:t>①</w:t>
      </w:r>
      <w:r>
        <w:rPr>
          <w:rFonts w:ascii="Times New Roman" w:hAnsi="Times New Roman"/>
          <w:color w:val="auto"/>
          <w:sz w:val="21"/>
          <w:szCs w:val="21"/>
          <w:highlight w:val="none"/>
          <w:u w:val="single"/>
        </w:rPr>
        <w:fldChar w:fldCharType="end"/>
      </w:r>
      <w:r>
        <w:rPr>
          <w:rFonts w:hint="eastAsia" w:ascii="Times New Roman" w:hAnsi="Times New Roman"/>
          <w:color w:val="auto"/>
          <w:sz w:val="21"/>
          <w:szCs w:val="21"/>
          <w:highlight w:val="none"/>
          <w:u w:val="single"/>
        </w:rPr>
        <w:t>承包人采购的材料设备应符合设计、规范及认质认价要求，应为合格产品，施工前须经发包人和监理方认质后，可用于本工程;发包人有更换材料设备权</w:t>
      </w:r>
      <w:r>
        <w:rPr>
          <w:rFonts w:ascii="Times New Roman" w:hAnsi="Times New Roman"/>
          <w:color w:val="auto"/>
          <w:sz w:val="21"/>
          <w:szCs w:val="21"/>
          <w:highlight w:val="none"/>
          <w:u w:val="single"/>
        </w:rPr>
        <w:t>。</w:t>
      </w:r>
    </w:p>
    <w:p w14:paraId="44223431">
      <w:pPr>
        <w:spacing w:line="360" w:lineRule="auto"/>
        <w:ind w:firstLine="210" w:firstLineChars="100"/>
        <w:rPr>
          <w:rFonts w:hint="eastAsia" w:ascii="Times New Roman" w:hAnsi="Times New Roman"/>
          <w:color w:val="auto"/>
          <w:sz w:val="21"/>
          <w:szCs w:val="21"/>
          <w:highlight w:val="none"/>
          <w:u w:val="single"/>
        </w:rPr>
      </w:pPr>
      <w:r>
        <w:rPr>
          <w:rFonts w:ascii="Times New Roman" w:hAnsi="Times New Roman"/>
          <w:color w:val="auto"/>
          <w:sz w:val="21"/>
          <w:szCs w:val="21"/>
          <w:highlight w:val="none"/>
          <w:u w:val="single"/>
        </w:rPr>
        <w:fldChar w:fldCharType="begin"/>
      </w:r>
      <w:r>
        <w:rPr>
          <w:rFonts w:ascii="Times New Roman" w:hAnsi="Times New Roman"/>
          <w:color w:val="auto"/>
          <w:sz w:val="21"/>
          <w:szCs w:val="21"/>
          <w:highlight w:val="none"/>
          <w:u w:val="single"/>
        </w:rPr>
        <w:instrText xml:space="preserve">= 2 \* GB3</w:instrText>
      </w:r>
      <w:r>
        <w:rPr>
          <w:rFonts w:ascii="Times New Roman" w:hAnsi="Times New Roman"/>
          <w:color w:val="auto"/>
          <w:sz w:val="21"/>
          <w:szCs w:val="21"/>
          <w:highlight w:val="none"/>
          <w:u w:val="single"/>
        </w:rPr>
        <w:fldChar w:fldCharType="separate"/>
      </w:r>
      <w:r>
        <w:rPr>
          <w:rFonts w:hint="eastAsia" w:cs="宋体"/>
          <w:color w:val="auto"/>
          <w:sz w:val="21"/>
          <w:szCs w:val="21"/>
          <w:highlight w:val="none"/>
          <w:u w:val="single"/>
        </w:rPr>
        <w:t>②</w:t>
      </w:r>
      <w:r>
        <w:rPr>
          <w:rFonts w:ascii="Times New Roman" w:hAnsi="Times New Roman"/>
          <w:color w:val="auto"/>
          <w:sz w:val="21"/>
          <w:szCs w:val="21"/>
          <w:highlight w:val="none"/>
          <w:u w:val="single"/>
        </w:rPr>
        <w:fldChar w:fldCharType="end"/>
      </w:r>
      <w:r>
        <w:rPr>
          <w:rFonts w:hint="eastAsia" w:ascii="Times New Roman" w:hAnsi="Times New Roman"/>
          <w:color w:val="auto"/>
          <w:sz w:val="21"/>
          <w:szCs w:val="21"/>
          <w:highlight w:val="none"/>
          <w:u w:val="single"/>
        </w:rPr>
        <w:t>承包人在施工阶段严格按照所送和封存样本施工，如发现有质量问题导致返工、延误工期，后果由承包人承担。在现场发现不合格材料或假冒伪劣产品，发包人有权进行违约处罚。处罚金额参照已进场材料的市场价值，按照1:1比例予以处罚，且不得低于5万元/次。同时，承包人必须将不合格材料或假冒伪劣产品全部从施工现场清除，更换为合格优质的材料或产品，直到发包人和监理认可为止。</w:t>
      </w:r>
    </w:p>
    <w:p w14:paraId="6D8F75E5">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fldChar w:fldCharType="begin"/>
      </w:r>
      <w:r>
        <w:rPr>
          <w:rFonts w:ascii="Times New Roman" w:hAnsi="Times New Roman"/>
          <w:color w:val="auto"/>
          <w:sz w:val="21"/>
          <w:szCs w:val="21"/>
          <w:highlight w:val="none"/>
          <w:u w:val="single"/>
        </w:rPr>
        <w:instrText xml:space="preserve">= 3 \* GB3</w:instrText>
      </w:r>
      <w:r>
        <w:rPr>
          <w:rFonts w:ascii="Times New Roman" w:hAnsi="Times New Roman"/>
          <w:color w:val="auto"/>
          <w:sz w:val="21"/>
          <w:szCs w:val="21"/>
          <w:highlight w:val="none"/>
          <w:u w:val="single"/>
        </w:rPr>
        <w:fldChar w:fldCharType="separate"/>
      </w:r>
      <w:r>
        <w:rPr>
          <w:rFonts w:hint="eastAsia" w:cs="宋体"/>
          <w:color w:val="auto"/>
          <w:sz w:val="21"/>
          <w:szCs w:val="21"/>
          <w:highlight w:val="none"/>
          <w:u w:val="single"/>
        </w:rPr>
        <w:t>③</w:t>
      </w:r>
      <w:r>
        <w:rPr>
          <w:rFonts w:ascii="Times New Roman" w:hAnsi="Times New Roman"/>
          <w:color w:val="auto"/>
          <w:sz w:val="21"/>
          <w:szCs w:val="21"/>
          <w:highlight w:val="none"/>
          <w:u w:val="single"/>
        </w:rPr>
        <w:fldChar w:fldCharType="end"/>
      </w:r>
      <w:r>
        <w:rPr>
          <w:rFonts w:ascii="Times New Roman" w:hAnsi="Times New Roman"/>
          <w:color w:val="auto"/>
          <w:sz w:val="21"/>
          <w:szCs w:val="21"/>
          <w:highlight w:val="none"/>
          <w:u w:val="single"/>
        </w:rPr>
        <w:t>不论发包人供应或承包人供应的材料，进入施工现场时除供货方提供合格的产品合格证、试验检验报告外，承包人都应按规范规定取样进行试验检验。发包人供应的材料实物进入现场时由承包人按规范取样试验不合格，除承包人及时告知发包人外，由承包人按规范加倍取样试验。</w:t>
      </w:r>
    </w:p>
    <w:p w14:paraId="0C27D1B6">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④</w:t>
      </w:r>
      <w:r>
        <w:rPr>
          <w:rFonts w:hint="eastAsia" w:ascii="Times New Roman" w:hAnsi="Times New Roman"/>
          <w:color w:val="auto"/>
          <w:sz w:val="21"/>
          <w:szCs w:val="21"/>
          <w:highlight w:val="none"/>
          <w:u w:val="single"/>
        </w:rPr>
        <w:t>工程</w:t>
      </w:r>
      <w:r>
        <w:rPr>
          <w:rFonts w:ascii="Times New Roman" w:hAnsi="Times New Roman"/>
          <w:color w:val="auto"/>
          <w:sz w:val="21"/>
          <w:szCs w:val="21"/>
          <w:highlight w:val="none"/>
          <w:u w:val="single"/>
        </w:rPr>
        <w:t>材料的使用，严格按照国家标准及地方有关法规执行；</w:t>
      </w:r>
      <w:r>
        <w:rPr>
          <w:rFonts w:hint="eastAsia" w:ascii="Times New Roman" w:hAnsi="Times New Roman"/>
          <w:color w:val="auto"/>
          <w:sz w:val="21"/>
          <w:szCs w:val="21"/>
          <w:highlight w:val="none"/>
          <w:u w:val="single"/>
        </w:rPr>
        <w:t>不合格的材料，</w:t>
      </w:r>
      <w:r>
        <w:rPr>
          <w:rFonts w:ascii="Times New Roman" w:hAnsi="Times New Roman"/>
          <w:color w:val="auto"/>
          <w:sz w:val="21"/>
          <w:szCs w:val="21"/>
          <w:highlight w:val="none"/>
          <w:u w:val="single"/>
        </w:rPr>
        <w:t>承包人应按其施工工程费用的双倍作为赔偿支付给发包人，同时承包人工期不顺延。</w:t>
      </w:r>
    </w:p>
    <w:p w14:paraId="5509C4CD">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8.8 施工设备和临时设施</w:t>
      </w:r>
    </w:p>
    <w:p w14:paraId="6C68E68D">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8.8.1 承包人提供的施工设备和临时设施</w:t>
      </w:r>
    </w:p>
    <w:p w14:paraId="3C1451A0">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关于修建临时设施费用承担的约定：</w:t>
      </w:r>
      <w:r>
        <w:rPr>
          <w:rFonts w:ascii="Times New Roman" w:hAnsi="Times New Roman"/>
          <w:color w:val="auto"/>
          <w:sz w:val="21"/>
          <w:szCs w:val="21"/>
          <w:highlight w:val="none"/>
          <w:u w:val="single"/>
        </w:rPr>
        <w:t>承包人自主承担。</w:t>
      </w:r>
    </w:p>
    <w:p w14:paraId="7E8E3E2D">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需要发包人办理申请手续和承担相关费用的临时占地：</w:t>
      </w:r>
      <w:r>
        <w:rPr>
          <w:rFonts w:ascii="Times New Roman" w:hAnsi="Times New Roman"/>
          <w:color w:val="auto"/>
          <w:sz w:val="21"/>
          <w:szCs w:val="21"/>
          <w:highlight w:val="none"/>
          <w:u w:val="single"/>
        </w:rPr>
        <w:t xml:space="preserve">  无  </w:t>
      </w:r>
      <w:r>
        <w:rPr>
          <w:rFonts w:ascii="Times New Roman" w:hAnsi="Times New Roman"/>
          <w:color w:val="auto"/>
          <w:sz w:val="21"/>
          <w:szCs w:val="21"/>
          <w:highlight w:val="none"/>
        </w:rPr>
        <w:t xml:space="preserve"> </w:t>
      </w:r>
    </w:p>
    <w:p w14:paraId="6E0C3B4F">
      <w:pPr>
        <w:spacing w:line="360" w:lineRule="auto"/>
        <w:ind w:firstLine="210" w:firstLineChars="100"/>
        <w:rPr>
          <w:rFonts w:ascii="Times New Roman" w:hAnsi="Times New Roman"/>
          <w:b/>
          <w:bCs/>
          <w:color w:val="auto"/>
          <w:sz w:val="21"/>
          <w:szCs w:val="21"/>
          <w:highlight w:val="none"/>
        </w:rPr>
      </w:pPr>
      <w:bookmarkStart w:id="657" w:name="_Toc296891021"/>
      <w:bookmarkStart w:id="658" w:name="_Toc297120493"/>
      <w:bookmarkStart w:id="659" w:name="_Toc292559398"/>
      <w:bookmarkStart w:id="660" w:name="_Toc351203642"/>
      <w:bookmarkStart w:id="661" w:name="_Toc297216199"/>
      <w:bookmarkStart w:id="662" w:name="_Toc296944532"/>
      <w:bookmarkStart w:id="663" w:name="_Toc304295566"/>
      <w:bookmarkStart w:id="664" w:name="_Toc296347192"/>
      <w:bookmarkStart w:id="665" w:name="_Toc297123540"/>
      <w:bookmarkStart w:id="666" w:name="_Toc296346694"/>
      <w:bookmarkStart w:id="667" w:name="_Toc292559903"/>
      <w:bookmarkStart w:id="668" w:name="_Toc296891233"/>
      <w:bookmarkStart w:id="669" w:name="_Toc296503193"/>
      <w:bookmarkStart w:id="670" w:name="_Toc300934989"/>
      <w:bookmarkStart w:id="671" w:name="_Toc297048379"/>
      <w:bookmarkStart w:id="672" w:name="_Toc303539146"/>
      <w:bookmarkStart w:id="673" w:name="_Toc312678025"/>
      <w:bookmarkStart w:id="674" w:name="_Toc312677499"/>
      <w:bookmarkStart w:id="675" w:name="_Toc267251439"/>
      <w:bookmarkStart w:id="676" w:name="_Toc267251440"/>
      <w:bookmarkStart w:id="677" w:name="_Toc267251435"/>
      <w:bookmarkStart w:id="678" w:name="_Toc267251433"/>
      <w:bookmarkStart w:id="679" w:name="_Toc267251442"/>
      <w:bookmarkStart w:id="680" w:name="_Toc267251437"/>
      <w:bookmarkStart w:id="681" w:name="_Toc267251441"/>
      <w:r>
        <w:rPr>
          <w:rFonts w:hint="eastAsia" w:ascii="Times New Roman" w:hAnsi="Times New Roman"/>
          <w:b/>
          <w:bCs/>
          <w:color w:val="auto"/>
          <w:sz w:val="21"/>
          <w:szCs w:val="21"/>
          <w:highlight w:val="none"/>
        </w:rPr>
        <w:t>1</w:t>
      </w:r>
      <w:r>
        <w:rPr>
          <w:rFonts w:ascii="Times New Roman" w:hAnsi="Times New Roman"/>
          <w:b/>
          <w:bCs/>
          <w:color w:val="auto"/>
          <w:sz w:val="21"/>
          <w:szCs w:val="21"/>
          <w:highlight w:val="none"/>
        </w:rPr>
        <w:t>0.变更</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483E4DDF">
      <w:pPr>
        <w:pStyle w:val="13"/>
        <w:ind w:left="420" w:leftChars="100" w:hanging="210" w:hangingChars="100"/>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10.1变更范围</w:t>
      </w:r>
    </w:p>
    <w:p w14:paraId="215ECC7F">
      <w:pPr>
        <w:spacing w:line="360" w:lineRule="auto"/>
        <w:ind w:firstLine="210" w:firstLineChars="100"/>
        <w:rPr>
          <w:rFonts w:hint="eastAsia" w:ascii="Times New Roman" w:hAnsi="Times New Roman"/>
          <w:color w:val="auto"/>
          <w:sz w:val="21"/>
          <w:szCs w:val="21"/>
          <w:highlight w:val="none"/>
          <w:u w:val="single"/>
        </w:rPr>
      </w:pPr>
      <w:r>
        <w:rPr>
          <w:rFonts w:ascii="Times New Roman" w:hAnsi="Times New Roman"/>
          <w:color w:val="auto"/>
          <w:sz w:val="21"/>
          <w:szCs w:val="21"/>
          <w:highlight w:val="none"/>
          <w:u w:val="single"/>
        </w:rPr>
        <w:t>应</w:t>
      </w:r>
      <w:r>
        <w:rPr>
          <w:rFonts w:hint="eastAsia" w:ascii="Times New Roman" w:hAnsi="Times New Roman"/>
          <w:color w:val="auto"/>
          <w:sz w:val="21"/>
          <w:szCs w:val="21"/>
          <w:highlight w:val="none"/>
          <w:u w:val="single"/>
        </w:rPr>
        <w:t>发包人</w:t>
      </w:r>
      <w:r>
        <w:rPr>
          <w:rFonts w:ascii="Times New Roman" w:hAnsi="Times New Roman"/>
          <w:color w:val="auto"/>
          <w:sz w:val="21"/>
          <w:szCs w:val="21"/>
          <w:highlight w:val="none"/>
          <w:u w:val="single"/>
        </w:rPr>
        <w:t>或</w:t>
      </w:r>
      <w:r>
        <w:rPr>
          <w:rFonts w:hint="eastAsia" w:ascii="Times New Roman" w:hAnsi="Times New Roman"/>
          <w:color w:val="auto"/>
          <w:sz w:val="21"/>
          <w:szCs w:val="21"/>
          <w:highlight w:val="none"/>
          <w:u w:val="single"/>
        </w:rPr>
        <w:t>承包人</w:t>
      </w:r>
      <w:r>
        <w:rPr>
          <w:rFonts w:ascii="Times New Roman" w:hAnsi="Times New Roman"/>
          <w:color w:val="auto"/>
          <w:sz w:val="21"/>
          <w:szCs w:val="21"/>
          <w:highlight w:val="none"/>
          <w:u w:val="single"/>
        </w:rPr>
        <w:t>的请求，在不改变项目的主要功能、技术标准、建设规模和使用安全且不超出总概算的前提下，可对项目进行适度的优化变更，另一方应积极配合。经</w:t>
      </w:r>
      <w:r>
        <w:rPr>
          <w:rFonts w:hint="eastAsia" w:ascii="Times New Roman" w:hAnsi="Times New Roman"/>
          <w:color w:val="auto"/>
          <w:sz w:val="21"/>
          <w:szCs w:val="21"/>
          <w:highlight w:val="none"/>
          <w:u w:val="single"/>
        </w:rPr>
        <w:t>承包人、</w:t>
      </w:r>
      <w:r>
        <w:rPr>
          <w:rFonts w:ascii="Times New Roman" w:hAnsi="Times New Roman"/>
          <w:color w:val="auto"/>
          <w:sz w:val="21"/>
          <w:szCs w:val="21"/>
          <w:highlight w:val="none"/>
          <w:u w:val="single"/>
        </w:rPr>
        <w:t>监理</w:t>
      </w:r>
      <w:r>
        <w:rPr>
          <w:rFonts w:hint="eastAsia" w:ascii="Times New Roman" w:hAnsi="Times New Roman"/>
          <w:color w:val="auto"/>
          <w:sz w:val="21"/>
          <w:szCs w:val="21"/>
          <w:highlight w:val="none"/>
          <w:u w:val="single"/>
        </w:rPr>
        <w:t>、发包人、</w:t>
      </w:r>
      <w:r>
        <w:rPr>
          <w:rFonts w:ascii="Times New Roman" w:hAnsi="Times New Roman"/>
          <w:color w:val="auto"/>
          <w:sz w:val="21"/>
          <w:szCs w:val="21"/>
          <w:highlight w:val="none"/>
          <w:u w:val="single"/>
        </w:rPr>
        <w:t>设计</w:t>
      </w:r>
      <w:r>
        <w:rPr>
          <w:rFonts w:hint="eastAsia" w:ascii="Times New Roman" w:hAnsi="Times New Roman"/>
          <w:color w:val="auto"/>
          <w:sz w:val="21"/>
          <w:szCs w:val="21"/>
          <w:highlight w:val="none"/>
          <w:u w:val="single"/>
        </w:rPr>
        <w:t>、项目单位</w:t>
      </w:r>
      <w:r>
        <w:rPr>
          <w:rFonts w:ascii="Times New Roman" w:hAnsi="Times New Roman"/>
          <w:color w:val="auto"/>
          <w:sz w:val="21"/>
          <w:szCs w:val="21"/>
          <w:highlight w:val="none"/>
          <w:u w:val="single"/>
        </w:rPr>
        <w:t>共同签认并按规定报相关部门审核同意后方可实施</w:t>
      </w:r>
      <w:r>
        <w:rPr>
          <w:rFonts w:hint="eastAsia" w:ascii="Times New Roman" w:hAnsi="Times New Roman"/>
          <w:color w:val="auto"/>
          <w:sz w:val="21"/>
          <w:szCs w:val="21"/>
          <w:highlight w:val="none"/>
          <w:u w:val="single"/>
        </w:rPr>
        <w:t>。</w:t>
      </w:r>
    </w:p>
    <w:p w14:paraId="6BD84FE9">
      <w:pPr>
        <w:spacing w:line="360" w:lineRule="auto"/>
        <w:ind w:firstLine="210" w:firstLineChars="100"/>
        <w:rPr>
          <w:rFonts w:hint="eastAsia" w:ascii="Times New Roman" w:hAnsi="Times New Roman"/>
          <w:color w:val="auto"/>
          <w:sz w:val="21"/>
          <w:szCs w:val="21"/>
          <w:highlight w:val="none"/>
          <w:u w:val="single"/>
        </w:rPr>
      </w:pPr>
      <w:r>
        <w:rPr>
          <w:rFonts w:ascii="Times New Roman" w:hAnsi="Times New Roman"/>
          <w:color w:val="auto"/>
          <w:sz w:val="21"/>
          <w:szCs w:val="21"/>
          <w:highlight w:val="none"/>
          <w:u w:val="single"/>
        </w:rPr>
        <w:t>因水文地质等自然条件制约造成重大技术调整，涉及项目技术标准、使用功能、建设规模和投资规模的重大变更，</w:t>
      </w:r>
      <w:r>
        <w:rPr>
          <w:rFonts w:hint="eastAsia" w:ascii="Times New Roman" w:hAnsi="Times New Roman"/>
          <w:color w:val="auto"/>
          <w:sz w:val="21"/>
          <w:szCs w:val="21"/>
          <w:highlight w:val="none"/>
          <w:u w:val="single"/>
        </w:rPr>
        <w:t>需</w:t>
      </w:r>
      <w:r>
        <w:rPr>
          <w:rFonts w:ascii="Times New Roman" w:hAnsi="Times New Roman"/>
          <w:color w:val="auto"/>
          <w:sz w:val="21"/>
          <w:szCs w:val="21"/>
          <w:highlight w:val="none"/>
          <w:u w:val="single"/>
        </w:rPr>
        <w:t>经</w:t>
      </w:r>
      <w:r>
        <w:rPr>
          <w:rFonts w:hint="eastAsia"/>
          <w:color w:val="auto"/>
          <w:sz w:val="21"/>
          <w:szCs w:val="21"/>
          <w:highlight w:val="none"/>
          <w:u w:val="single"/>
          <w:lang w:val="en-US" w:eastAsia="zh-CN"/>
        </w:rPr>
        <w:t>发包人</w:t>
      </w:r>
      <w:r>
        <w:rPr>
          <w:rFonts w:ascii="Times New Roman" w:hAnsi="Times New Roman"/>
          <w:color w:val="auto"/>
          <w:sz w:val="21"/>
          <w:szCs w:val="21"/>
          <w:highlight w:val="none"/>
          <w:u w:val="single"/>
        </w:rPr>
        <w:t>核实并提出意见，报原审批部门复核批准后方可实施。</w:t>
      </w:r>
    </w:p>
    <w:bookmarkEnd w:id="673"/>
    <w:bookmarkEnd w:id="674"/>
    <w:p w14:paraId="32260E94">
      <w:pPr>
        <w:spacing w:line="360" w:lineRule="auto"/>
        <w:ind w:firstLine="210" w:firstLineChars="100"/>
        <w:rPr>
          <w:rFonts w:ascii="Times New Roman" w:hAnsi="Times New Roman"/>
          <w:b/>
          <w:bCs/>
          <w:color w:val="auto"/>
          <w:sz w:val="21"/>
          <w:szCs w:val="21"/>
          <w:highlight w:val="none"/>
        </w:rPr>
      </w:pPr>
      <w:bookmarkStart w:id="682" w:name="_Toc300934990"/>
      <w:bookmarkStart w:id="683" w:name="_Toc292559904"/>
      <w:bookmarkStart w:id="684" w:name="_Toc297216200"/>
      <w:bookmarkStart w:id="685" w:name="_Toc296347193"/>
      <w:bookmarkStart w:id="686" w:name="_Toc312678026"/>
      <w:bookmarkStart w:id="687" w:name="_Toc292559399"/>
      <w:bookmarkStart w:id="688" w:name="_Toc297120494"/>
      <w:bookmarkStart w:id="689" w:name="_Toc296944533"/>
      <w:bookmarkStart w:id="690" w:name="_Toc296503194"/>
      <w:bookmarkStart w:id="691" w:name="_Toc296346695"/>
      <w:bookmarkStart w:id="692" w:name="_Toc303539147"/>
      <w:bookmarkStart w:id="693" w:name="_Toc296891234"/>
      <w:bookmarkStart w:id="694" w:name="_Toc304295567"/>
      <w:bookmarkStart w:id="695" w:name="_Toc312677500"/>
      <w:bookmarkStart w:id="696" w:name="_Toc297048380"/>
      <w:bookmarkStart w:id="697" w:name="_Toc297123541"/>
      <w:bookmarkStart w:id="698" w:name="_Toc296891022"/>
      <w:r>
        <w:rPr>
          <w:rFonts w:ascii="Times New Roman" w:hAnsi="Times New Roman"/>
          <w:b/>
          <w:bCs/>
          <w:color w:val="auto"/>
          <w:sz w:val="21"/>
          <w:szCs w:val="21"/>
          <w:highlight w:val="none"/>
        </w:rPr>
        <w:t>10.4 变更估价</w:t>
      </w:r>
    </w:p>
    <w:p w14:paraId="270FC4C0">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10.4.1 变更估价原则</w:t>
      </w:r>
    </w:p>
    <w:p w14:paraId="49551B3D">
      <w:pPr>
        <w:numPr>
          <w:ilvl w:val="0"/>
          <w:numId w:val="0"/>
        </w:numPr>
        <w:spacing w:line="360" w:lineRule="auto"/>
        <w:ind w:left="210" w:leftChars="0" w:firstLine="420" w:firstLineChars="200"/>
        <w:rPr>
          <w:rFonts w:hint="default" w:ascii="Times New Roman" w:hAnsi="Times New Roman"/>
          <w:strike/>
          <w:dstrike w:val="0"/>
          <w:color w:val="auto"/>
          <w:sz w:val="21"/>
          <w:szCs w:val="21"/>
          <w:highlight w:val="none"/>
          <w:u w:val="single"/>
          <w:lang w:val="en-US"/>
        </w:rPr>
      </w:pPr>
      <w:r>
        <w:rPr>
          <w:rFonts w:hint="eastAsia" w:ascii="Times New Roman" w:hAnsi="Times New Roman"/>
          <w:b/>
          <w:bCs/>
          <w:color w:val="auto"/>
          <w:sz w:val="21"/>
          <w:szCs w:val="21"/>
          <w:highlight w:val="none"/>
          <w:u w:val="none"/>
          <w:lang w:val="en-US" w:eastAsia="zh-CN"/>
        </w:rPr>
        <w:t>工程量变化引起的综合单价的调整：</w:t>
      </w:r>
      <w:r>
        <w:rPr>
          <w:rFonts w:hint="eastAsia"/>
          <w:b/>
          <w:bCs/>
          <w:color w:val="auto"/>
          <w:sz w:val="21"/>
          <w:szCs w:val="21"/>
          <w:highlight w:val="none"/>
          <w:u w:val="none"/>
          <w:lang w:val="en-US" w:eastAsia="zh-CN"/>
        </w:rPr>
        <w:t>执行通用条款。</w:t>
      </w:r>
    </w:p>
    <w:p w14:paraId="63FE6FC5">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10.4.2变更估价程序</w:t>
      </w:r>
    </w:p>
    <w:p w14:paraId="0251B5A0">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因发包人原因引起的工程变更，承包人必须予以执行。承包人除正常计取工程变更费用外不得以变更过多或工程量较大等因素为由向发包人追加索赔、停止工程施工或故意拖延工期，否则，由此给发包人造成的损失由承包人承担。</w:t>
      </w:r>
    </w:p>
    <w:p w14:paraId="253A71C6">
      <w:pPr>
        <w:spacing w:line="360" w:lineRule="auto"/>
        <w:ind w:firstLine="210" w:firstLineChars="100"/>
        <w:rPr>
          <w:rFonts w:ascii="Times New Roman" w:hAnsi="Times New Roman"/>
          <w:color w:val="auto"/>
          <w:sz w:val="21"/>
          <w:szCs w:val="21"/>
          <w:highlight w:val="none"/>
        </w:rPr>
      </w:pPr>
      <w:r>
        <w:rPr>
          <w:rFonts w:hint="eastAsia" w:ascii="Times New Roman" w:hAnsi="Times New Roman"/>
          <w:color w:val="auto"/>
          <w:sz w:val="21"/>
          <w:szCs w:val="21"/>
          <w:highlight w:val="none"/>
        </w:rPr>
        <w:t>（1）</w:t>
      </w:r>
      <w:r>
        <w:rPr>
          <w:rFonts w:ascii="Times New Roman" w:hAnsi="Times New Roman"/>
          <w:color w:val="auto"/>
          <w:sz w:val="21"/>
          <w:szCs w:val="21"/>
          <w:highlight w:val="none"/>
          <w:u w:val="single"/>
        </w:rPr>
        <w:t>承包人提交变更报价书的期限：承包人应在收到监理人变更指示或变更意向书后的7天内，向监理人提交变更报价书 。</w:t>
      </w:r>
    </w:p>
    <w:p w14:paraId="3375E6DC">
      <w:pPr>
        <w:spacing w:line="360" w:lineRule="auto"/>
        <w:ind w:firstLine="210" w:firstLineChars="100"/>
        <w:rPr>
          <w:rFonts w:ascii="Times New Roman" w:hAnsi="Times New Roman"/>
          <w:color w:val="auto"/>
          <w:sz w:val="21"/>
          <w:szCs w:val="21"/>
          <w:highlight w:val="none"/>
        </w:rPr>
      </w:pPr>
      <w:r>
        <w:rPr>
          <w:rFonts w:hint="eastAsia" w:ascii="Times New Roman" w:hAnsi="Times New Roman"/>
          <w:color w:val="auto"/>
          <w:sz w:val="21"/>
          <w:szCs w:val="21"/>
          <w:highlight w:val="none"/>
        </w:rPr>
        <w:t>（2）</w:t>
      </w:r>
      <w:r>
        <w:rPr>
          <w:rFonts w:ascii="Times New Roman" w:hAnsi="Times New Roman"/>
          <w:color w:val="auto"/>
          <w:sz w:val="21"/>
          <w:szCs w:val="21"/>
          <w:highlight w:val="none"/>
          <w:u w:val="single"/>
        </w:rPr>
        <w:t>收到变更指示后，如承包人未在规定的期限内提交变更报价书的，视为承包人自行放弃该项目变更报价</w:t>
      </w:r>
      <w:r>
        <w:rPr>
          <w:rFonts w:hint="eastAsia" w:ascii="Times New Roman" w:hAnsi="Times New Roman"/>
          <w:color w:val="auto"/>
          <w:sz w:val="21"/>
          <w:szCs w:val="21"/>
          <w:highlight w:val="none"/>
          <w:u w:val="single"/>
        </w:rPr>
        <w:t>及主张相应工程款</w:t>
      </w:r>
      <w:r>
        <w:rPr>
          <w:rFonts w:ascii="Times New Roman" w:hAnsi="Times New Roman"/>
          <w:color w:val="auto"/>
          <w:sz w:val="21"/>
          <w:szCs w:val="21"/>
          <w:highlight w:val="none"/>
          <w:u w:val="single"/>
        </w:rPr>
        <w:t>的权利。</w:t>
      </w:r>
    </w:p>
    <w:p w14:paraId="6BB766F8">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（3）</w:t>
      </w:r>
      <w:r>
        <w:rPr>
          <w:rFonts w:ascii="Times New Roman" w:hAnsi="Times New Roman"/>
          <w:color w:val="auto"/>
          <w:sz w:val="21"/>
          <w:szCs w:val="21"/>
          <w:highlight w:val="none"/>
          <w:u w:val="single"/>
        </w:rPr>
        <w:t>未经发包人有关部门（发包人代表、设计负责人、造价管理人员）和监理工程师的签字或签字不全的，发包人将不予认可（结算时必须提供签证单原件）。</w:t>
      </w:r>
    </w:p>
    <w:p w14:paraId="55C6F0E9">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（4）</w:t>
      </w:r>
      <w:r>
        <w:rPr>
          <w:rFonts w:ascii="Times New Roman" w:hAnsi="Times New Roman"/>
          <w:color w:val="auto"/>
          <w:sz w:val="21"/>
          <w:szCs w:val="21"/>
          <w:highlight w:val="none"/>
          <w:u w:val="single"/>
        </w:rPr>
        <w:t>设计变更及签证实施前，必须经发包人和监理人审核并完善相关资料；特殊情况下，经发包人和监理人许可后先行实施，实施完毕20天内承包人必须补齐审核资料；未经发包人和监理人审核批准或未按要求补齐审批手续的设计变更及签证均不予认可</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同时，视为承包人放弃申请该项变更或签证的权利。</w:t>
      </w:r>
    </w:p>
    <w:p w14:paraId="1641BF21">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10.7 暂估价</w:t>
      </w:r>
    </w:p>
    <w:p w14:paraId="7A74D06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暂估价材料和工程设备的明细详见附件4：《暂估价一览表》。</w:t>
      </w:r>
    </w:p>
    <w:p w14:paraId="7B59853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10.7.1依法必须招标的暂估价项目</w:t>
      </w:r>
    </w:p>
    <w:p w14:paraId="6BF36818">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对于依法必须招标的暂估价项目，采取以下第</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种方式确定。</w:t>
      </w:r>
    </w:p>
    <w:p w14:paraId="73DC1AB5">
      <w:pPr>
        <w:spacing w:line="360" w:lineRule="auto"/>
        <w:ind w:left="210" w:leftChars="100"/>
        <w:rPr>
          <w:rFonts w:ascii="Times New Roman" w:hAnsi="Times New Roman"/>
          <w:color w:val="auto"/>
          <w:sz w:val="21"/>
          <w:szCs w:val="21"/>
          <w:highlight w:val="none"/>
        </w:rPr>
      </w:pPr>
      <w:r>
        <w:rPr>
          <w:rFonts w:ascii="Times New Roman" w:hAnsi="Times New Roman"/>
          <w:color w:val="auto"/>
          <w:sz w:val="21"/>
          <w:szCs w:val="21"/>
          <w:highlight w:val="none"/>
        </w:rPr>
        <w:t>第1种方式：对于依法必须招标的暂估价项目，由承包人招标，对该暂估价项目的确认和批准按照以下约定执行：</w:t>
      </w:r>
    </w:p>
    <w:p w14:paraId="15C96F35">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C5014E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（2）承包人应当根据施工进度计划，提前14天将招标文件通过监理人报送发包人审批，发包人应当在收到承包人报送的相关文件后7天内完成审批或提出修改意见。发包人</w:t>
      </w:r>
      <w:r>
        <w:rPr>
          <w:rFonts w:hint="eastAsia" w:ascii="Times New Roman" w:hAnsi="Times New Roman"/>
          <w:color w:val="auto"/>
          <w:sz w:val="21"/>
          <w:szCs w:val="21"/>
          <w:highlight w:val="none"/>
        </w:rPr>
        <w:t>提供</w:t>
      </w:r>
      <w:r>
        <w:rPr>
          <w:rFonts w:ascii="Times New Roman" w:hAnsi="Times New Roman"/>
          <w:color w:val="auto"/>
          <w:sz w:val="21"/>
          <w:szCs w:val="21"/>
          <w:highlight w:val="none"/>
        </w:rPr>
        <w:t>招标控制价，作为承包人招标的依据；</w:t>
      </w:r>
    </w:p>
    <w:p w14:paraId="0795635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A9A5C02">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第2种方式：对于依法必须招标的暂估价项目，由发包人和承包人共同招标确定暂估价供应商或分包人的，承包人应按照施工进度计划，在招标工作启动前14天通知发包人，并提交暂估价招标方案。发包人</w:t>
      </w:r>
      <w:r>
        <w:rPr>
          <w:rFonts w:hint="eastAsia" w:ascii="Times New Roman" w:hAnsi="Times New Roman"/>
          <w:color w:val="auto"/>
          <w:sz w:val="21"/>
          <w:szCs w:val="21"/>
          <w:highlight w:val="none"/>
        </w:rPr>
        <w:t>认可后进行招标</w:t>
      </w:r>
      <w:r>
        <w:rPr>
          <w:rFonts w:ascii="Times New Roman" w:hAnsi="Times New Roman"/>
          <w:color w:val="auto"/>
          <w:sz w:val="21"/>
          <w:szCs w:val="21"/>
          <w:highlight w:val="none"/>
        </w:rPr>
        <w:t>。确定中标人后，由承包人与中标人签订暂估价合同。</w:t>
      </w:r>
    </w:p>
    <w:p w14:paraId="439EA4C5">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10.7.2不属于依法必须招标的暂估价项目</w:t>
      </w:r>
    </w:p>
    <w:p w14:paraId="1585C859">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对于不属于依法必须招标的暂估价项目，采取以下第</w:t>
      </w:r>
      <w:r>
        <w:rPr>
          <w:rFonts w:hint="eastAsia" w:ascii="Times New Roman" w:hAnsi="Times New Roman"/>
          <w:color w:val="auto"/>
          <w:sz w:val="21"/>
          <w:szCs w:val="21"/>
          <w:highlight w:val="none"/>
        </w:rPr>
        <w:t>3</w:t>
      </w:r>
      <w:r>
        <w:rPr>
          <w:rFonts w:ascii="Times New Roman" w:hAnsi="Times New Roman"/>
          <w:color w:val="auto"/>
          <w:sz w:val="21"/>
          <w:szCs w:val="21"/>
          <w:highlight w:val="none"/>
        </w:rPr>
        <w:t xml:space="preserve">种方式确定： </w:t>
      </w:r>
    </w:p>
    <w:p w14:paraId="0669BB7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第1种方式：对于不属于依法必须招标的暂估价项目，按本项约定确认和批准：</w:t>
      </w:r>
    </w:p>
    <w:p w14:paraId="1D82960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承包人应根据施工进度计划，在签订暂估价项目的采购合同、分包合同前28天向监理人提出书面申请，包括认质认价申请表等（不少于3家）。监理人应当在收到申请后3天内报送发包人，发包人应当在收到申请后14天内给予批准或提出修改意见。</w:t>
      </w:r>
    </w:p>
    <w:p w14:paraId="6FEC82BE">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（2）发包人认为承包人确定的供应商、分包人无法满足工程质量或合同要求的，发包人可以要求承包人重新确定暂估价项目的供应商、分包人</w:t>
      </w:r>
      <w:r>
        <w:rPr>
          <w:rFonts w:hint="eastAsia" w:ascii="Times New Roman" w:hAnsi="Times New Roman"/>
          <w:color w:val="auto"/>
          <w:sz w:val="21"/>
          <w:szCs w:val="21"/>
          <w:highlight w:val="none"/>
        </w:rPr>
        <w:t>；</w:t>
      </w:r>
    </w:p>
    <w:p w14:paraId="29713E4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（3）承包人应当在签订暂估价合同后7天内，将暂估价合同副本报送发包人留存。</w:t>
      </w:r>
    </w:p>
    <w:p w14:paraId="69F2C9B2">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第2种方式：承包人按照第10.7.1项〔依法必须招标的暂估价项目〕约定的第</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种方式确定暂估价项目。</w:t>
      </w:r>
    </w:p>
    <w:p w14:paraId="0EC0A25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第3种方式：承包人直接实施的暂估价项目</w:t>
      </w:r>
    </w:p>
    <w:p w14:paraId="1BEBC75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承包人具备实施暂估价项目的资格和条件的，经发包人和承包人协商一致后，可由承包人自行实施暂估价项目，承包人应根据施工进度计划，在工程使用前28天向监理工程师提出材料、</w:t>
      </w:r>
      <w:r>
        <w:rPr>
          <w:rFonts w:hint="eastAsia" w:ascii="Times New Roman" w:hAnsi="Times New Roman"/>
          <w:color w:val="auto"/>
          <w:sz w:val="21"/>
          <w:szCs w:val="21"/>
          <w:highlight w:val="none"/>
          <w:lang w:eastAsia="zh-CN"/>
        </w:rPr>
        <w:t>工程</w:t>
      </w:r>
      <w:r>
        <w:rPr>
          <w:rFonts w:ascii="Times New Roman" w:hAnsi="Times New Roman"/>
          <w:color w:val="auto"/>
          <w:sz w:val="21"/>
          <w:szCs w:val="21"/>
          <w:highlight w:val="none"/>
        </w:rPr>
        <w:t>设备认质认价申请（不少于3家），监理人应当在收到申请后3天内报送发包人，发包人在收到申请后14天内给予批准或提出修改意见。</w:t>
      </w:r>
    </w:p>
    <w:p w14:paraId="0BD79540">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10.8 暂列金额</w:t>
      </w:r>
    </w:p>
    <w:p w14:paraId="1F22254D">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rPr>
        <w:t xml:space="preserve"> </w:t>
      </w:r>
      <w:r>
        <w:rPr>
          <w:rFonts w:ascii="Times New Roman" w:hAnsi="Times New Roman"/>
          <w:color w:val="auto"/>
          <w:sz w:val="21"/>
          <w:szCs w:val="21"/>
          <w:highlight w:val="none"/>
        </w:rPr>
        <w:t>合同当事人关于暂列金额使用的约定：</w:t>
      </w:r>
      <w:r>
        <w:rPr>
          <w:rFonts w:hint="eastAsia" w:ascii="Times New Roman" w:hAnsi="Times New Roman"/>
          <w:color w:val="auto"/>
          <w:sz w:val="21"/>
          <w:szCs w:val="21"/>
          <w:highlight w:val="none"/>
          <w:u w:val="single"/>
        </w:rPr>
        <w:t>暂列金额是发包人为工程实施过程中的不可预见的变更或零星签证等所设，归</w:t>
      </w:r>
      <w:r>
        <w:rPr>
          <w:rFonts w:hint="eastAsia"/>
          <w:color w:val="auto"/>
          <w:sz w:val="21"/>
          <w:szCs w:val="21"/>
          <w:highlight w:val="none"/>
          <w:u w:val="single"/>
          <w:lang w:val="en-US" w:eastAsia="zh-CN"/>
        </w:rPr>
        <w:t>发包单位</w:t>
      </w:r>
      <w:r>
        <w:rPr>
          <w:rFonts w:hint="eastAsia" w:ascii="Times New Roman" w:hAnsi="Times New Roman"/>
          <w:color w:val="auto"/>
          <w:sz w:val="21"/>
          <w:szCs w:val="21"/>
          <w:highlight w:val="none"/>
          <w:u w:val="single"/>
        </w:rPr>
        <w:t>所有。承包人投标报价时按发包人给定的数值计入，工程结算时</w:t>
      </w:r>
      <w:r>
        <w:rPr>
          <w:rFonts w:hint="eastAsia" w:ascii="Times New Roman" w:hAnsi="Times New Roman"/>
          <w:color w:val="auto"/>
          <w:sz w:val="21"/>
          <w:szCs w:val="21"/>
          <w:highlight w:val="none"/>
          <w:u w:val="single"/>
          <w:lang w:val="en-US" w:eastAsia="zh-CN"/>
        </w:rPr>
        <w:t>以实际签证、变更为准</w:t>
      </w:r>
      <w:r>
        <w:rPr>
          <w:rFonts w:ascii="Times New Roman" w:hAnsi="Times New Roman"/>
          <w:color w:val="auto"/>
          <w:sz w:val="21"/>
          <w:szCs w:val="21"/>
          <w:highlight w:val="none"/>
          <w:u w:val="single"/>
        </w:rPr>
        <w:t>。</w:t>
      </w:r>
    </w:p>
    <w:p w14:paraId="6C46AF67">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11. 价格调整</w:t>
      </w:r>
    </w:p>
    <w:p w14:paraId="6D7DFE0B">
      <w:pPr>
        <w:spacing w:line="360" w:lineRule="auto"/>
        <w:ind w:firstLine="210" w:firstLineChars="100"/>
        <w:rPr>
          <w:rFonts w:hint="eastAsia"/>
          <w:b/>
          <w:bCs/>
          <w:color w:val="auto"/>
          <w:sz w:val="21"/>
          <w:szCs w:val="21"/>
          <w:highlight w:val="none"/>
          <w:lang w:val="en-US" w:eastAsia="zh-CN"/>
        </w:rPr>
      </w:pPr>
      <w:r>
        <w:rPr>
          <w:rFonts w:ascii="Times New Roman" w:hAnsi="Times New Roman"/>
          <w:b/>
          <w:bCs/>
          <w:color w:val="auto"/>
          <w:sz w:val="21"/>
          <w:szCs w:val="21"/>
          <w:highlight w:val="none"/>
        </w:rPr>
        <w:t>11.1 市场价格波动引起的调整</w:t>
      </w:r>
      <w:r>
        <w:rPr>
          <w:rFonts w:hint="eastAsia"/>
          <w:b/>
          <w:bCs/>
          <w:color w:val="auto"/>
          <w:sz w:val="21"/>
          <w:szCs w:val="21"/>
          <w:highlight w:val="none"/>
          <w:lang w:eastAsia="zh-CN"/>
        </w:rPr>
        <w:t>：</w:t>
      </w:r>
      <w:r>
        <w:rPr>
          <w:rFonts w:hint="eastAsia"/>
          <w:b/>
          <w:bCs/>
          <w:color w:val="auto"/>
          <w:sz w:val="21"/>
          <w:szCs w:val="21"/>
          <w:highlight w:val="none"/>
          <w:lang w:val="en-US" w:eastAsia="zh-CN"/>
        </w:rPr>
        <w:t>不予调整。</w:t>
      </w:r>
    </w:p>
    <w:p w14:paraId="1A5B3BFC">
      <w:pPr>
        <w:spacing w:line="360" w:lineRule="auto"/>
        <w:ind w:firstLine="211" w:firstLineChars="100"/>
        <w:rPr>
          <w:rFonts w:hint="default" w:ascii="Times New Roman" w:hAnsi="Times New Roman" w:eastAsia="宋体" w:cs="Times New Roman"/>
          <w:b/>
          <w:bCs/>
          <w:color w:val="auto"/>
          <w:sz w:val="21"/>
          <w:szCs w:val="21"/>
          <w:highlight w:val="none"/>
          <w:lang w:val="en-US" w:eastAsia="zh-CN"/>
        </w:rPr>
      </w:pPr>
      <w:r>
        <w:rPr>
          <w:rFonts w:ascii="Times New Roman" w:hAnsi="Times New Roman" w:eastAsia="宋体" w:cs="Times New Roman"/>
          <w:b/>
          <w:bCs/>
          <w:color w:val="auto"/>
          <w:sz w:val="21"/>
          <w:szCs w:val="21"/>
          <w:highlight w:val="none"/>
        </w:rPr>
        <w:t>11.</w:t>
      </w:r>
      <w:r>
        <w:rPr>
          <w:rFonts w:hint="eastAsia" w:ascii="Times New Roman" w:hAnsi="Times New Roman" w:eastAsia="宋体" w:cs="Times New Roman"/>
          <w:b/>
          <w:bCs/>
          <w:color w:val="auto"/>
          <w:sz w:val="21"/>
          <w:szCs w:val="21"/>
          <w:highlight w:val="none"/>
          <w:lang w:val="en-US" w:eastAsia="zh-CN"/>
        </w:rPr>
        <w:t>2</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lang w:eastAsia="zh-CN"/>
        </w:rPr>
        <w:t>其他约定</w:t>
      </w:r>
      <w:r>
        <w:rPr>
          <w:rFonts w:hint="eastAsia" w:cs="Times New Roman"/>
          <w:b/>
          <w:bCs/>
          <w:color w:val="auto"/>
          <w:sz w:val="21"/>
          <w:szCs w:val="21"/>
          <w:highlight w:val="none"/>
          <w:lang w:eastAsia="zh-CN"/>
        </w:rPr>
        <w:t>：</w:t>
      </w:r>
      <w:r>
        <w:rPr>
          <w:rFonts w:hint="eastAsia" w:ascii="仿宋" w:hAnsi="仿宋" w:eastAsia="仿宋" w:cs="仿宋"/>
          <w:color w:val="auto"/>
          <w:spacing w:val="-2"/>
          <w:sz w:val="24"/>
          <w:szCs w:val="24"/>
          <w:highlight w:val="none"/>
          <w:lang w:val="en-US" w:eastAsia="zh-CN"/>
        </w:rPr>
        <w:t>对中标单位的投标文件进行清标，分部分项综合单价偏差率超过±10%予以调整，合同总价不变。</w:t>
      </w:r>
    </w:p>
    <w:p w14:paraId="59669D91">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12. 合同价格、计量与支付</w:t>
      </w:r>
    </w:p>
    <w:p w14:paraId="39BB9EF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12.1</w:t>
      </w:r>
      <w:bookmarkStart w:id="699" w:name="OLE_LINK8"/>
      <w:bookmarkStart w:id="700" w:name="OLE_LINK9"/>
      <w:r>
        <w:rPr>
          <w:rFonts w:ascii="Times New Roman" w:hAnsi="Times New Roman"/>
          <w:color w:val="auto"/>
          <w:sz w:val="21"/>
          <w:szCs w:val="21"/>
          <w:highlight w:val="none"/>
        </w:rPr>
        <w:t xml:space="preserve"> 合同价格形式</w:t>
      </w:r>
      <w:bookmarkEnd w:id="699"/>
      <w:bookmarkEnd w:id="700"/>
    </w:p>
    <w:p w14:paraId="7BA90158">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12.1.1本合同价款采用</w:t>
      </w:r>
      <w:r>
        <w:rPr>
          <w:rFonts w:ascii="Times New Roman" w:hAnsi="Times New Roman"/>
          <w:color w:val="auto"/>
          <w:sz w:val="21"/>
          <w:szCs w:val="21"/>
          <w:highlight w:val="none"/>
          <w:u w:val="single"/>
        </w:rPr>
        <w:t xml:space="preserve">  固定综合单价  </w:t>
      </w:r>
      <w:r>
        <w:rPr>
          <w:rFonts w:ascii="Times New Roman" w:hAnsi="Times New Roman"/>
          <w:color w:val="auto"/>
          <w:sz w:val="21"/>
          <w:szCs w:val="21"/>
          <w:highlight w:val="none"/>
        </w:rPr>
        <w:t>方式确定。</w:t>
      </w:r>
    </w:p>
    <w:p w14:paraId="5CF9229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ascii="Times New Roman" w:hAnsi="Times New Roman"/>
          <w:color w:val="auto"/>
          <w:sz w:val="21"/>
          <w:szCs w:val="21"/>
          <w:highlight w:val="none"/>
          <w:u w:val="none"/>
        </w:rPr>
        <w:t>综合单价中包括下列风险范围，在此风险范围内综合单价不做调整：</w:t>
      </w:r>
      <w:r>
        <w:rPr>
          <w:rFonts w:hint="eastAsia" w:ascii="Times New Roman" w:hAnsi="Times New Roman"/>
          <w:color w:val="auto"/>
          <w:sz w:val="21"/>
          <w:szCs w:val="21"/>
          <w:highlight w:val="none"/>
          <w:u w:val="single"/>
        </w:rPr>
        <w:t>除专用条款11条调整以外的所有风险</w:t>
      </w:r>
    </w:p>
    <w:p w14:paraId="6E11D855">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风险费用的计算方法：</w:t>
      </w:r>
      <w:r>
        <w:rPr>
          <w:rFonts w:ascii="Times New Roman" w:hAnsi="Times New Roman"/>
          <w:color w:val="auto"/>
          <w:sz w:val="21"/>
          <w:szCs w:val="21"/>
          <w:highlight w:val="none"/>
          <w:u w:val="single"/>
        </w:rPr>
        <w:t>中标后不再调整</w:t>
      </w:r>
      <w:r>
        <w:rPr>
          <w:rFonts w:ascii="Times New Roman" w:hAnsi="Times New Roman"/>
          <w:color w:val="auto"/>
          <w:sz w:val="21"/>
          <w:szCs w:val="21"/>
          <w:highlight w:val="none"/>
        </w:rPr>
        <w:t>。</w:t>
      </w:r>
    </w:p>
    <w:p w14:paraId="3419F27B">
      <w:pPr>
        <w:numPr>
          <w:ilvl w:val="0"/>
          <w:numId w:val="4"/>
        </w:numPr>
        <w:spacing w:line="360" w:lineRule="auto"/>
        <w:ind w:left="-1" w:leftChars="0" w:firstLine="211" w:firstLineChars="0"/>
        <w:rPr>
          <w:rFonts w:hint="eastAsia" w:ascii="Times New Roman" w:hAnsi="Times New Roman"/>
          <w:color w:val="auto"/>
          <w:sz w:val="21"/>
          <w:szCs w:val="21"/>
          <w:highlight w:val="none"/>
          <w:u w:val="single"/>
        </w:rPr>
      </w:pPr>
      <w:r>
        <w:rPr>
          <w:rFonts w:ascii="Times New Roman" w:hAnsi="Times New Roman"/>
          <w:b/>
          <w:bCs/>
          <w:color w:val="auto"/>
          <w:sz w:val="21"/>
          <w:szCs w:val="21"/>
          <w:highlight w:val="none"/>
        </w:rPr>
        <w:t>措施项目费、其他项目费风险范围</w:t>
      </w:r>
      <w:r>
        <w:rPr>
          <w:rFonts w:ascii="Times New Roman" w:hAnsi="Times New Roman"/>
          <w:color w:val="auto"/>
          <w:sz w:val="21"/>
          <w:szCs w:val="21"/>
          <w:highlight w:val="none"/>
        </w:rPr>
        <w:t>：</w:t>
      </w:r>
      <w:r>
        <w:rPr>
          <w:rFonts w:hint="eastAsia" w:ascii="Times New Roman" w:hAnsi="Times New Roman"/>
          <w:color w:val="auto"/>
          <w:sz w:val="21"/>
          <w:szCs w:val="21"/>
          <w:highlight w:val="none"/>
          <w:u w:val="single"/>
        </w:rPr>
        <w:t>按照专用条款10.4变更估价执行。</w:t>
      </w:r>
    </w:p>
    <w:p w14:paraId="5DAC270D">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12.2 预付款</w:t>
      </w:r>
    </w:p>
    <w:p w14:paraId="4E82189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12.2.1 预付款的支付</w:t>
      </w:r>
    </w:p>
    <w:p w14:paraId="04DBFBC4">
      <w:pPr>
        <w:spacing w:line="360" w:lineRule="auto"/>
        <w:ind w:firstLine="210" w:firstLineChars="100"/>
        <w:rPr>
          <w:rFonts w:hint="default" w:ascii="Times New Roman" w:hAnsi="Times New Roman"/>
          <w:color w:val="auto"/>
          <w:sz w:val="21"/>
          <w:szCs w:val="21"/>
          <w:highlight w:val="none"/>
          <w:u w:val="single"/>
          <w:lang w:val="en-US" w:eastAsia="zh-CN"/>
        </w:rPr>
      </w:pPr>
      <w:r>
        <w:rPr>
          <w:rFonts w:hint="eastAsia" w:ascii="Times New Roman" w:hAnsi="Times New Roman"/>
          <w:color w:val="auto"/>
          <w:sz w:val="21"/>
          <w:szCs w:val="21"/>
          <w:highlight w:val="none"/>
          <w:u w:val="none"/>
          <w:lang w:val="en-US" w:eastAsia="zh-CN"/>
        </w:rPr>
        <w:t>预付款支付比例、金额：</w:t>
      </w:r>
      <w:r>
        <w:rPr>
          <w:rFonts w:hint="eastAsia" w:ascii="Times New Roman" w:hAnsi="Times New Roman"/>
          <w:color w:val="auto"/>
          <w:sz w:val="21"/>
          <w:szCs w:val="21"/>
          <w:highlight w:val="none"/>
          <w:u w:val="single"/>
          <w:lang w:val="en-US" w:eastAsia="zh-CN"/>
        </w:rPr>
        <w:t>发包人向承包人按合同总价（扣除安全文明施工费、暂列金额、暂估价、总承包服务费及合同中约定的其他项目）的</w:t>
      </w:r>
      <w:r>
        <w:rPr>
          <w:rFonts w:hint="eastAsia"/>
          <w:color w:val="auto"/>
          <w:sz w:val="21"/>
          <w:szCs w:val="21"/>
          <w:highlight w:val="none"/>
          <w:u w:val="single"/>
          <w:lang w:val="en-US" w:eastAsia="zh-CN"/>
        </w:rPr>
        <w:t>10</w:t>
      </w:r>
      <w:r>
        <w:rPr>
          <w:rFonts w:hint="eastAsia" w:ascii="Times New Roman" w:hAnsi="Times New Roman"/>
          <w:color w:val="auto"/>
          <w:sz w:val="21"/>
          <w:szCs w:val="21"/>
          <w:highlight w:val="none"/>
          <w:u w:val="single"/>
          <w:lang w:val="en-US" w:eastAsia="zh-CN"/>
        </w:rPr>
        <w:t>%，</w:t>
      </w:r>
      <w:r>
        <w:rPr>
          <w:rFonts w:hint="eastAsia" w:ascii="Times New Roman" w:hAnsi="Times New Roman"/>
          <w:color w:val="auto"/>
          <w:sz w:val="21"/>
          <w:szCs w:val="21"/>
          <w:highlight w:val="none"/>
          <w:u w:val="none"/>
        </w:rPr>
        <w:t>预付款扣回的方式</w:t>
      </w:r>
      <w:r>
        <w:rPr>
          <w:rFonts w:hint="eastAsia" w:ascii="Times New Roman" w:hAnsi="Times New Roman"/>
          <w:color w:val="auto"/>
          <w:sz w:val="21"/>
          <w:szCs w:val="21"/>
          <w:highlight w:val="none"/>
          <w:u w:val="none"/>
          <w:lang w:val="en-US" w:eastAsia="zh-CN"/>
        </w:rPr>
        <w:t>：</w:t>
      </w:r>
      <w:r>
        <w:rPr>
          <w:rFonts w:hint="eastAsia" w:ascii="Times New Roman" w:hAnsi="Times New Roman"/>
          <w:color w:val="auto"/>
          <w:sz w:val="21"/>
          <w:szCs w:val="21"/>
          <w:highlight w:val="none"/>
          <w:u w:val="single"/>
          <w:lang w:val="en-US" w:eastAsia="zh-CN"/>
        </w:rPr>
        <w:t>预付款在工程施工过程中，</w:t>
      </w:r>
      <w:r>
        <w:rPr>
          <w:rFonts w:hint="eastAsia"/>
          <w:color w:val="auto"/>
          <w:sz w:val="21"/>
          <w:szCs w:val="21"/>
          <w:highlight w:val="none"/>
          <w:u w:val="single"/>
          <w:lang w:val="en-US" w:eastAsia="zh-CN"/>
        </w:rPr>
        <w:t>抵扣</w:t>
      </w:r>
      <w:r>
        <w:rPr>
          <w:rFonts w:hint="eastAsia" w:ascii="Times New Roman" w:hAnsi="Times New Roman"/>
          <w:color w:val="auto"/>
          <w:sz w:val="21"/>
          <w:szCs w:val="21"/>
          <w:highlight w:val="none"/>
          <w:u w:val="single"/>
          <w:lang w:val="en-US" w:eastAsia="zh-CN"/>
        </w:rPr>
        <w:t>工程进度款</w:t>
      </w:r>
      <w:r>
        <w:rPr>
          <w:rFonts w:hint="eastAsia"/>
          <w:color w:val="auto"/>
          <w:sz w:val="21"/>
          <w:szCs w:val="21"/>
          <w:highlight w:val="none"/>
          <w:u w:val="single"/>
          <w:lang w:val="en-US" w:eastAsia="zh-CN"/>
        </w:rPr>
        <w:t>，前两个月分别</w:t>
      </w:r>
      <w:r>
        <w:rPr>
          <w:rFonts w:hint="eastAsia" w:ascii="Times New Roman" w:hAnsi="Times New Roman"/>
          <w:color w:val="auto"/>
          <w:sz w:val="21"/>
          <w:szCs w:val="21"/>
          <w:highlight w:val="none"/>
          <w:u w:val="single"/>
          <w:lang w:val="en-US" w:eastAsia="zh-CN"/>
        </w:rPr>
        <w:t>抵扣预付款的50%，若未扣完，剩余进度款一次性扣除。</w:t>
      </w:r>
    </w:p>
    <w:p w14:paraId="4444F5C8">
      <w:pPr>
        <w:spacing w:line="360" w:lineRule="auto"/>
        <w:ind w:firstLine="210" w:firstLineChars="100"/>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12.2.2 预付款担保</w:t>
      </w:r>
      <w:r>
        <w:rPr>
          <w:rFonts w:hint="eastAsia" w:ascii="Times New Roman" w:hAnsi="Times New Roman"/>
          <w:color w:val="auto"/>
          <w:sz w:val="21"/>
          <w:szCs w:val="21"/>
          <w:highlight w:val="none"/>
          <w:lang w:eastAsia="zh-CN"/>
        </w:rPr>
        <w:t>：</w:t>
      </w:r>
      <w:r>
        <w:rPr>
          <w:rFonts w:hint="eastAsia" w:ascii="Times New Roman" w:hAnsi="Times New Roman" w:eastAsia="宋体" w:cs="Times New Roman"/>
          <w:color w:val="auto"/>
          <w:sz w:val="21"/>
          <w:szCs w:val="21"/>
          <w:highlight w:val="none"/>
          <w:u w:val="single"/>
          <w:lang w:val="en-US" w:eastAsia="zh-CN"/>
        </w:rPr>
        <w:t>预付款担保额等同预付款额。</w:t>
      </w:r>
    </w:p>
    <w:p w14:paraId="6A765479">
      <w:pPr>
        <w:spacing w:line="360" w:lineRule="auto"/>
        <w:ind w:firstLine="210" w:firstLineChars="100"/>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承包人提交预付款担保的期限</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u w:val="single"/>
          <w:lang w:val="en-US" w:eastAsia="zh-CN"/>
        </w:rPr>
        <w:t>一年。</w:t>
      </w:r>
    </w:p>
    <w:p w14:paraId="4C295B7A">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rPr>
        <w:t>预付款担保的形式为：</w:t>
      </w:r>
      <w:r>
        <w:rPr>
          <w:rFonts w:hint="eastAsia" w:ascii="Times New Roman" w:hAnsi="Times New Roman"/>
          <w:color w:val="auto"/>
          <w:sz w:val="21"/>
          <w:szCs w:val="21"/>
          <w:highlight w:val="none"/>
          <w:u w:val="single"/>
          <w:lang w:val="en-US" w:eastAsia="zh-CN"/>
        </w:rPr>
        <w:t>银行保函</w:t>
      </w:r>
      <w:r>
        <w:rPr>
          <w:rFonts w:ascii="Times New Roman" w:hAnsi="Times New Roman"/>
          <w:color w:val="auto"/>
          <w:sz w:val="21"/>
          <w:szCs w:val="21"/>
          <w:highlight w:val="none"/>
          <w:u w:val="single"/>
        </w:rPr>
        <w:t>。</w:t>
      </w:r>
    </w:p>
    <w:p w14:paraId="68C30E1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12.3 计量</w:t>
      </w:r>
    </w:p>
    <w:p w14:paraId="18DAB0D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12.3.1 计量原则</w:t>
      </w:r>
    </w:p>
    <w:p w14:paraId="211B751F">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eastAsia="Arial" w:cs="Arial"/>
          <w:snapToGrid w:val="0"/>
          <w:color w:val="auto"/>
          <w:sz w:val="21"/>
          <w:szCs w:val="21"/>
          <w:highlight w:val="none"/>
          <w:u w:val="single"/>
          <w:lang w:val="en-US" w:eastAsia="zh-CN" w:bidi="ar-SA"/>
        </w:rPr>
      </w:pPr>
      <w:r>
        <w:rPr>
          <w:rFonts w:hint="eastAsia" w:ascii="Times New Roman" w:hAnsi="Times New Roman" w:eastAsia="Arial" w:cs="Arial"/>
          <w:snapToGrid w:val="0"/>
          <w:color w:val="auto"/>
          <w:sz w:val="21"/>
          <w:szCs w:val="21"/>
          <w:highlight w:val="none"/>
          <w:u w:val="single"/>
          <w:lang w:val="en-US" w:eastAsia="en-US" w:bidi="ar-SA"/>
        </w:rPr>
        <w:t>工程量计算规则：</w:t>
      </w:r>
      <w:r>
        <w:rPr>
          <w:rFonts w:hint="eastAsia" w:ascii="Times New Roman" w:hAnsi="Times New Roman" w:eastAsia="Arial" w:cs="Arial"/>
          <w:snapToGrid w:val="0"/>
          <w:color w:val="auto"/>
          <w:sz w:val="21"/>
          <w:szCs w:val="21"/>
          <w:highlight w:val="none"/>
          <w:u w:val="single"/>
          <w:lang w:val="en-US" w:eastAsia="zh-CN" w:bidi="ar-SA"/>
        </w:rPr>
        <w:t>按《建设工程工程量清单计价标准（2024）》及《陕西省建设工程费用规则(2025)》计价；执行2025年新版专业配套基价表、《陕西省房屋建筑与装饰工程消耗量定额》等6个专业消耗量定额、施工机械台班费用定额、仪器仪表台班费用定额。</w:t>
      </w:r>
    </w:p>
    <w:p w14:paraId="121BC305">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ascii="Times New Roman" w:hAnsi="Times New Roman"/>
          <w:color w:val="auto"/>
          <w:sz w:val="21"/>
          <w:szCs w:val="21"/>
          <w:highlight w:val="none"/>
          <w:u w:val="single"/>
        </w:rPr>
      </w:pPr>
      <w:r>
        <w:rPr>
          <w:rFonts w:ascii="Times New Roman" w:hAnsi="Times New Roman"/>
          <w:color w:val="auto"/>
          <w:sz w:val="21"/>
          <w:szCs w:val="21"/>
          <w:highlight w:val="none"/>
        </w:rPr>
        <w:t>12.3.7已完合格工程量确认：</w:t>
      </w:r>
      <w:r>
        <w:rPr>
          <w:rFonts w:hint="eastAsia" w:ascii="Times New Roman" w:hAnsi="Times New Roman"/>
          <w:color w:val="auto"/>
          <w:sz w:val="21"/>
          <w:szCs w:val="21"/>
          <w:highlight w:val="none"/>
          <w:u w:val="single"/>
        </w:rPr>
        <w:t>承包人向发包人代表提交已完合格工程量报告的时间：承包人每月25日前向</w:t>
      </w:r>
      <w:r>
        <w:rPr>
          <w:rFonts w:hint="eastAsia" w:ascii="Times New Roman" w:hAnsi="Times New Roman"/>
          <w:color w:val="auto"/>
          <w:sz w:val="21"/>
          <w:szCs w:val="21"/>
          <w:highlight w:val="none"/>
          <w:u w:val="single"/>
          <w:lang w:eastAsia="zh-CN"/>
        </w:rPr>
        <w:t>监理人</w:t>
      </w:r>
      <w:r>
        <w:rPr>
          <w:rFonts w:hint="eastAsia" w:ascii="Times New Roman" w:hAnsi="Times New Roman"/>
          <w:color w:val="auto"/>
          <w:sz w:val="21"/>
          <w:szCs w:val="21"/>
          <w:highlight w:val="none"/>
          <w:u w:val="single"/>
        </w:rPr>
        <w:t>和发包人报送上月25日至当月24日期间经发包人和监理人验收合格的已完合格工程量进度表，一式伍份</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分别报送监理人1份、发包人</w:t>
      </w:r>
      <w:r>
        <w:rPr>
          <w:rFonts w:hint="eastAsia"/>
          <w:color w:val="auto"/>
          <w:sz w:val="21"/>
          <w:szCs w:val="21"/>
          <w:highlight w:val="none"/>
          <w:u w:val="single"/>
          <w:lang w:val="en-US" w:eastAsia="zh-CN"/>
        </w:rPr>
        <w:t>2</w:t>
      </w:r>
      <w:r>
        <w:rPr>
          <w:rFonts w:hint="eastAsia" w:ascii="Times New Roman" w:hAnsi="Times New Roman"/>
          <w:color w:val="auto"/>
          <w:sz w:val="21"/>
          <w:szCs w:val="21"/>
          <w:highlight w:val="none"/>
          <w:u w:val="single"/>
          <w:lang w:val="en-US" w:eastAsia="zh-CN"/>
        </w:rPr>
        <w:t>份</w:t>
      </w:r>
      <w:r>
        <w:rPr>
          <w:rFonts w:hint="eastAsia"/>
          <w:color w:val="auto"/>
          <w:sz w:val="21"/>
          <w:szCs w:val="21"/>
          <w:highlight w:val="none"/>
          <w:u w:val="single"/>
          <w:lang w:val="en-US" w:eastAsia="zh-CN"/>
        </w:rPr>
        <w:t>。</w:t>
      </w:r>
    </w:p>
    <w:p w14:paraId="24D3909D">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12.4 工程进度款支付</w:t>
      </w:r>
    </w:p>
    <w:p w14:paraId="0E59B2E5">
      <w:pPr>
        <w:pStyle w:val="13"/>
        <w:ind w:left="0" w:leftChars="0"/>
        <w:rPr>
          <w:color w:val="auto"/>
          <w:highlight w:val="none"/>
          <w:lang w:val="en-US" w:eastAsia="zh-CN"/>
        </w:rPr>
      </w:pPr>
      <w:r>
        <w:rPr>
          <w:snapToGrid w:val="0"/>
          <w:color w:val="auto"/>
          <w:kern w:val="0"/>
          <w:sz w:val="21"/>
          <w:szCs w:val="21"/>
          <w:highlight w:val="none"/>
        </w:rPr>
        <w:t>本项目</w:t>
      </w:r>
      <w:r>
        <w:rPr>
          <w:rFonts w:hint="eastAsia"/>
          <w:snapToGrid w:val="0"/>
          <w:color w:val="auto"/>
          <w:kern w:val="0"/>
          <w:sz w:val="21"/>
          <w:szCs w:val="21"/>
          <w:highlight w:val="none"/>
          <w:lang w:val="en-US" w:eastAsia="zh-CN"/>
        </w:rPr>
        <w:t>进度付款</w:t>
      </w:r>
      <w:r>
        <w:rPr>
          <w:snapToGrid w:val="0"/>
          <w:color w:val="auto"/>
          <w:kern w:val="0"/>
          <w:sz w:val="21"/>
          <w:szCs w:val="21"/>
          <w:highlight w:val="none"/>
        </w:rPr>
        <w:t>在财政资金到项目单位账户后</w:t>
      </w:r>
      <w:r>
        <w:rPr>
          <w:rFonts w:hint="eastAsia"/>
          <w:snapToGrid w:val="0"/>
          <w:color w:val="auto"/>
          <w:kern w:val="0"/>
          <w:sz w:val="21"/>
          <w:szCs w:val="21"/>
          <w:highlight w:val="none"/>
          <w:lang w:val="en-US" w:eastAsia="zh-CN"/>
        </w:rPr>
        <w:t>按约定支付。</w:t>
      </w:r>
    </w:p>
    <w:p w14:paraId="26271FDB">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12.4.1付款周期</w:t>
      </w:r>
    </w:p>
    <w:p w14:paraId="7E7DD7CF">
      <w:pPr>
        <w:spacing w:line="360" w:lineRule="auto"/>
        <w:ind w:firstLine="210" w:firstLineChars="100"/>
        <w:rPr>
          <w:rFonts w:hint="eastAsia" w:ascii="Times New Roman" w:hAnsi="Times New Roman" w:eastAsia="Arial" w:cs="Arial"/>
          <w:snapToGrid w:val="0"/>
          <w:color w:val="auto"/>
          <w:sz w:val="21"/>
          <w:szCs w:val="21"/>
          <w:highlight w:val="none"/>
          <w:u w:val="single"/>
          <w:lang w:val="en-US" w:eastAsia="zh-CN" w:bidi="ar-SA"/>
        </w:rPr>
      </w:pPr>
      <w:r>
        <w:rPr>
          <w:rFonts w:hint="eastAsia" w:ascii="Times New Roman" w:hAnsi="Times New Roman" w:eastAsia="Arial" w:cs="Arial"/>
          <w:snapToGrid w:val="0"/>
          <w:color w:val="auto"/>
          <w:sz w:val="21"/>
          <w:szCs w:val="21"/>
          <w:highlight w:val="none"/>
          <w:u w:val="single"/>
          <w:lang w:val="en-US" w:eastAsia="zh-CN" w:bidi="ar-SA"/>
        </w:rPr>
        <w:t>（1）合同签订、承包人进场施工后，支付合同金额的10%作为预付款；按月支付进度款，承包人应当每月25日前向发包人提交已完工程量的报告，发包人接到报告后14天内核实已完工程量，据确定的工程计量结果，承包人向发包人提出支付工程进度款申请，发包人按合同已完工程量工程价款的60%，向承包人支付工程进度款；工程价款支付至合同总价 (扣除安全文明施工措施费、暂列金额费用后)的80%时，暂停支付；待施工完毕验收合格，审计完毕后支付至审定价款的97%；剩余审定价款的3%作为质保金，待质保期结束后项目无质量问题一次性无息支付。预付款在工程施工过程中，抵扣工程进度款，前两个月分别抵扣预付款的50%，若未扣完，剩余进度款一次性扣除。</w:t>
      </w:r>
    </w:p>
    <w:p w14:paraId="0BD48C9A">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rPr>
        <w:t>2</w:t>
      </w: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rPr>
        <w:t>合同各方</w:t>
      </w:r>
      <w:r>
        <w:rPr>
          <w:rFonts w:ascii="Times New Roman" w:hAnsi="Times New Roman"/>
          <w:color w:val="auto"/>
          <w:sz w:val="21"/>
          <w:szCs w:val="21"/>
          <w:highlight w:val="none"/>
          <w:u w:val="single"/>
        </w:rPr>
        <w:t>同意</w:t>
      </w:r>
      <w:r>
        <w:rPr>
          <w:rFonts w:hint="eastAsia" w:ascii="Times New Roman" w:hAnsi="Times New Roman"/>
          <w:color w:val="auto"/>
          <w:sz w:val="21"/>
          <w:szCs w:val="21"/>
          <w:highlight w:val="none"/>
          <w:u w:val="single"/>
        </w:rPr>
        <w:t>以</w:t>
      </w:r>
      <w:r>
        <w:rPr>
          <w:rFonts w:ascii="Times New Roman" w:hAnsi="Times New Roman"/>
          <w:color w:val="auto"/>
          <w:sz w:val="21"/>
          <w:szCs w:val="21"/>
          <w:highlight w:val="none"/>
          <w:u w:val="single"/>
        </w:rPr>
        <w:t>人民币</w:t>
      </w:r>
      <w:r>
        <w:rPr>
          <w:rFonts w:hint="eastAsia" w:ascii="Times New Roman" w:hAnsi="Times New Roman"/>
          <w:color w:val="auto"/>
          <w:sz w:val="21"/>
          <w:szCs w:val="21"/>
          <w:highlight w:val="none"/>
          <w:u w:val="single"/>
        </w:rPr>
        <w:t>结算</w:t>
      </w:r>
      <w:r>
        <w:rPr>
          <w:rFonts w:ascii="Times New Roman" w:hAnsi="Times New Roman"/>
          <w:color w:val="auto"/>
          <w:sz w:val="21"/>
          <w:szCs w:val="21"/>
          <w:highlight w:val="none"/>
          <w:u w:val="single"/>
        </w:rPr>
        <w:t>工程款</w:t>
      </w:r>
      <w:r>
        <w:rPr>
          <w:rFonts w:hint="eastAsia" w:ascii="Times New Roman" w:hAnsi="Times New Roman"/>
          <w:color w:val="auto"/>
          <w:sz w:val="21"/>
          <w:szCs w:val="21"/>
          <w:highlight w:val="none"/>
          <w:u w:val="single"/>
        </w:rPr>
        <w:t>，</w:t>
      </w:r>
      <w:r>
        <w:rPr>
          <w:rFonts w:ascii="Times New Roman" w:hAnsi="Times New Roman"/>
          <w:b/>
          <w:color w:val="auto"/>
          <w:sz w:val="21"/>
          <w:szCs w:val="21"/>
          <w:highlight w:val="none"/>
          <w:u w:val="single"/>
        </w:rPr>
        <w:t>支</w:t>
      </w:r>
      <w:r>
        <w:rPr>
          <w:rFonts w:ascii="Times New Roman" w:hAnsi="Times New Roman"/>
          <w:color w:val="auto"/>
          <w:sz w:val="21"/>
          <w:szCs w:val="21"/>
          <w:highlight w:val="none"/>
          <w:u w:val="single"/>
        </w:rPr>
        <w:t>付方式为银行转账。</w:t>
      </w:r>
    </w:p>
    <w:p w14:paraId="2D534800">
      <w:pPr>
        <w:spacing w:line="360" w:lineRule="auto"/>
        <w:ind w:firstLine="210" w:firstLineChars="100"/>
        <w:rPr>
          <w:rFonts w:ascii="Times New Roman" w:hAnsi="Times New Roman"/>
          <w:color w:val="auto"/>
          <w:sz w:val="21"/>
          <w:szCs w:val="21"/>
          <w:highlight w:val="none"/>
        </w:rPr>
      </w:pPr>
      <w:r>
        <w:rPr>
          <w:rFonts w:hint="eastAsia"/>
          <w:color w:val="auto"/>
          <w:sz w:val="21"/>
          <w:szCs w:val="21"/>
          <w:highlight w:val="none"/>
          <w:u w:val="single"/>
        </w:rPr>
        <w:t>（3）项目单位向承包人付款前，承包人应向项目单位提供其认可的发票。因承包人原因导致无法付款的，不视为发包人违约。</w:t>
      </w:r>
      <w:r>
        <w:rPr>
          <w:rFonts w:ascii="Times New Roman" w:hAnsi="Times New Roman"/>
          <w:color w:val="auto"/>
          <w:sz w:val="21"/>
          <w:szCs w:val="21"/>
          <w:highlight w:val="none"/>
          <w:u w:val="single"/>
        </w:rPr>
        <w:t>承包人同意按照发包人的管理制度和付款程序要求付款</w:t>
      </w:r>
      <w:r>
        <w:rPr>
          <w:rFonts w:hint="eastAsia" w:ascii="Times New Roman" w:hAnsi="Times New Roman"/>
          <w:color w:val="auto"/>
          <w:sz w:val="21"/>
          <w:szCs w:val="21"/>
          <w:highlight w:val="none"/>
          <w:u w:val="single"/>
        </w:rPr>
        <w:t>，承包人应设立本工程工程款专用银行账户，确保本项目款不挪作它用，否则发包人有权延期付款且无需承担违约责任</w:t>
      </w:r>
      <w:r>
        <w:rPr>
          <w:rFonts w:ascii="Times New Roman" w:hAnsi="Times New Roman"/>
          <w:color w:val="auto"/>
          <w:sz w:val="21"/>
          <w:szCs w:val="21"/>
          <w:highlight w:val="none"/>
        </w:rPr>
        <w:t>。</w:t>
      </w:r>
    </w:p>
    <w:p w14:paraId="347ABC93">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rPr>
        <w:t>4</w:t>
      </w:r>
      <w:r>
        <w:rPr>
          <w:rFonts w:ascii="Times New Roman" w:hAnsi="Times New Roman"/>
          <w:color w:val="auto"/>
          <w:sz w:val="21"/>
          <w:szCs w:val="21"/>
          <w:highlight w:val="none"/>
          <w:u w:val="single"/>
        </w:rPr>
        <w:t>）发包人在每次支付工程进度款时，可扣除由合同约定的应当由承包人承担的违约金、罚款或其他费用。</w:t>
      </w:r>
    </w:p>
    <w:p w14:paraId="7BAE4FC7">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rPr>
        <w:t>5</w:t>
      </w:r>
      <w:r>
        <w:rPr>
          <w:rFonts w:ascii="Times New Roman" w:hAnsi="Times New Roman"/>
          <w:color w:val="auto"/>
          <w:sz w:val="21"/>
          <w:szCs w:val="21"/>
          <w:highlight w:val="none"/>
          <w:u w:val="single"/>
        </w:rPr>
        <w:t>）工程签证、工程变更费用不在进度款中计算并支付，竣工结算时统一计算。承包人应在签证项完工并验收合格后的14天（含）内申报工程签证，超过此期限发包人有权拒绝接受和签认工程签证。</w:t>
      </w:r>
    </w:p>
    <w:p w14:paraId="19BFCA04">
      <w:pPr>
        <w:spacing w:line="360" w:lineRule="auto"/>
        <w:ind w:firstLine="210" w:firstLineChars="100"/>
        <w:rPr>
          <w:rFonts w:hint="eastAsia"/>
          <w:color w:val="auto"/>
          <w:sz w:val="21"/>
          <w:szCs w:val="21"/>
          <w:highlight w:val="none"/>
          <w:u w:val="single"/>
        </w:rPr>
      </w:pPr>
      <w:r>
        <w:rPr>
          <w:color w:val="auto"/>
          <w:sz w:val="21"/>
          <w:szCs w:val="21"/>
          <w:highlight w:val="none"/>
          <w:u w:val="single"/>
        </w:rPr>
        <w:t>（</w:t>
      </w:r>
      <w:r>
        <w:rPr>
          <w:rFonts w:hint="eastAsia"/>
          <w:color w:val="auto"/>
          <w:sz w:val="21"/>
          <w:szCs w:val="21"/>
          <w:highlight w:val="none"/>
          <w:u w:val="single"/>
        </w:rPr>
        <w:t>6</w:t>
      </w:r>
      <w:r>
        <w:rPr>
          <w:color w:val="auto"/>
          <w:sz w:val="21"/>
          <w:szCs w:val="21"/>
          <w:highlight w:val="none"/>
          <w:u w:val="single"/>
        </w:rPr>
        <w:t>）</w:t>
      </w:r>
      <w:r>
        <w:rPr>
          <w:rFonts w:hint="eastAsia"/>
          <w:color w:val="auto"/>
          <w:sz w:val="21"/>
          <w:szCs w:val="21"/>
          <w:highlight w:val="none"/>
          <w:u w:val="single"/>
        </w:rPr>
        <w:t>人工、材料差价</w:t>
      </w:r>
      <w:r>
        <w:rPr>
          <w:color w:val="auto"/>
          <w:sz w:val="21"/>
          <w:szCs w:val="21"/>
          <w:highlight w:val="none"/>
          <w:u w:val="single"/>
        </w:rPr>
        <w:t>不在进度款中支付，</w:t>
      </w:r>
      <w:r>
        <w:rPr>
          <w:rFonts w:hint="eastAsia"/>
          <w:color w:val="auto"/>
          <w:sz w:val="21"/>
          <w:szCs w:val="21"/>
          <w:highlight w:val="none"/>
          <w:u w:val="single"/>
        </w:rPr>
        <w:t>以当期审核完成的工程进度作为调整依据，最终以结算审核为准并支付。</w:t>
      </w:r>
    </w:p>
    <w:p w14:paraId="50F1E406">
      <w:pPr>
        <w:spacing w:line="360" w:lineRule="auto"/>
        <w:ind w:firstLine="210" w:firstLineChars="100"/>
        <w:rPr>
          <w:rFonts w:hint="eastAsia"/>
          <w:color w:val="auto"/>
          <w:sz w:val="21"/>
          <w:szCs w:val="21"/>
          <w:highlight w:val="none"/>
          <w:u w:val="single"/>
        </w:rPr>
      </w:pPr>
      <w:r>
        <w:rPr>
          <w:rFonts w:hint="eastAsia"/>
          <w:color w:val="auto"/>
          <w:sz w:val="21"/>
          <w:szCs w:val="21"/>
          <w:highlight w:val="none"/>
          <w:u w:val="single"/>
        </w:rPr>
        <w:t>（7）承包人需严格按照《陕西省工程建设领域农民工工资专用账户管理暂行办法实施细则》(陕人社发(2022)5号)及《陕西省工程建设领域农民工工资保证金规定实施办法》(陕人社发(2022)6号)文件之规定执行，承包人应开立农民工工资专用账户并与发包人、开户银行签订资金管理三方协议，否则按承包人违约执行。</w:t>
      </w:r>
    </w:p>
    <w:p w14:paraId="58FDA1C8">
      <w:pPr>
        <w:spacing w:line="360" w:lineRule="auto"/>
        <w:ind w:firstLine="210" w:firstLineChars="100"/>
        <w:rPr>
          <w:color w:val="auto"/>
          <w:sz w:val="21"/>
          <w:szCs w:val="21"/>
          <w:highlight w:val="none"/>
          <w:u w:val="single"/>
        </w:rPr>
      </w:pPr>
      <w:r>
        <w:rPr>
          <w:rFonts w:hint="eastAsia"/>
          <w:color w:val="auto"/>
          <w:sz w:val="21"/>
          <w:szCs w:val="21"/>
          <w:highlight w:val="none"/>
          <w:u w:val="single"/>
        </w:rPr>
        <w:t>（8）本项目的所增减的费用(包括设计变更、现场签证、政策性调整费用及材料差价),在竣工时结算。变更签证三方现场实测实量，上报发包人认定后方可进入结算。</w:t>
      </w:r>
    </w:p>
    <w:p w14:paraId="0F8BF4C4">
      <w:pPr>
        <w:spacing w:line="360" w:lineRule="auto"/>
        <w:ind w:firstLine="210" w:firstLineChars="100"/>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12.4.2</w:t>
      </w:r>
      <w:r>
        <w:rPr>
          <w:rFonts w:ascii="Times New Roman" w:hAnsi="Times New Roman"/>
          <w:color w:val="auto"/>
          <w:sz w:val="21"/>
          <w:szCs w:val="21"/>
          <w:highlight w:val="none"/>
        </w:rPr>
        <w:t>发包人要求报送施工月进度报表，如承包人未按要求报送的，发包人将不支付当月工程进度款，由此造成的工期延误由承包人承担全部责任。</w:t>
      </w:r>
    </w:p>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14:paraId="0E42BAD9">
      <w:pPr>
        <w:spacing w:line="360" w:lineRule="auto"/>
        <w:ind w:firstLine="210" w:firstLineChars="100"/>
        <w:rPr>
          <w:rFonts w:ascii="Times New Roman" w:hAnsi="Times New Roman"/>
          <w:b/>
          <w:bCs/>
          <w:color w:val="auto"/>
          <w:sz w:val="21"/>
          <w:szCs w:val="21"/>
          <w:highlight w:val="none"/>
        </w:rPr>
      </w:pPr>
      <w:bookmarkStart w:id="701" w:name="_Toc280868708"/>
      <w:bookmarkStart w:id="702" w:name="_Toc267251474"/>
      <w:bookmarkStart w:id="703" w:name="_Toc267251470"/>
      <w:bookmarkStart w:id="704" w:name="_Toc267251473"/>
      <w:bookmarkStart w:id="705" w:name="_Toc267251472"/>
      <w:bookmarkStart w:id="706" w:name="_Toc280868709"/>
      <w:bookmarkStart w:id="707" w:name="_Toc267251471"/>
      <w:bookmarkStart w:id="708" w:name="_Toc267251476"/>
      <w:bookmarkStart w:id="709" w:name="_Toc267251475"/>
      <w:r>
        <w:rPr>
          <w:rFonts w:ascii="Times New Roman" w:hAnsi="Times New Roman"/>
          <w:b/>
          <w:bCs/>
          <w:color w:val="auto"/>
          <w:sz w:val="21"/>
          <w:szCs w:val="21"/>
          <w:highlight w:val="none"/>
        </w:rPr>
        <w:t>13.3 工程试车</w:t>
      </w:r>
    </w:p>
    <w:bookmarkEnd w:id="701"/>
    <w:p w14:paraId="06BEDCF4">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13.3.1 试车程序</w:t>
      </w:r>
    </w:p>
    <w:p w14:paraId="69A03C5E">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工程试车内容：</w:t>
      </w:r>
      <w:r>
        <w:rPr>
          <w:rFonts w:ascii="Times New Roman" w:hAnsi="Times New Roman"/>
          <w:color w:val="auto"/>
          <w:sz w:val="21"/>
          <w:szCs w:val="21"/>
          <w:highlight w:val="none"/>
          <w:u w:val="single"/>
        </w:rPr>
        <w:t>与本工程承包人承包范围相一致。</w:t>
      </w:r>
    </w:p>
    <w:p w14:paraId="3F6A71C5">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（1）单机无负荷试车费用由</w:t>
      </w:r>
      <w:r>
        <w:rPr>
          <w:rFonts w:ascii="Times New Roman" w:hAnsi="Times New Roman"/>
          <w:color w:val="auto"/>
          <w:sz w:val="21"/>
          <w:szCs w:val="21"/>
          <w:highlight w:val="none"/>
          <w:u w:val="single"/>
        </w:rPr>
        <w:t>承包人</w:t>
      </w:r>
      <w:r>
        <w:rPr>
          <w:rFonts w:ascii="Times New Roman" w:hAnsi="Times New Roman"/>
          <w:color w:val="auto"/>
          <w:sz w:val="21"/>
          <w:szCs w:val="21"/>
          <w:highlight w:val="none"/>
        </w:rPr>
        <w:t>承担；</w:t>
      </w:r>
    </w:p>
    <w:p w14:paraId="11CB43EB">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（2）无负荷联动试车费用由</w:t>
      </w:r>
      <w:r>
        <w:rPr>
          <w:rFonts w:ascii="Times New Roman" w:hAnsi="Times New Roman"/>
          <w:color w:val="auto"/>
          <w:sz w:val="21"/>
          <w:szCs w:val="21"/>
          <w:highlight w:val="none"/>
          <w:u w:val="single"/>
        </w:rPr>
        <w:t>承包人</w:t>
      </w:r>
      <w:r>
        <w:rPr>
          <w:rFonts w:ascii="Times New Roman" w:hAnsi="Times New Roman"/>
          <w:color w:val="auto"/>
          <w:sz w:val="21"/>
          <w:szCs w:val="21"/>
          <w:highlight w:val="none"/>
        </w:rPr>
        <w:t>承担。</w:t>
      </w:r>
    </w:p>
    <w:p w14:paraId="59A1155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13.3.3 投料试车</w:t>
      </w:r>
    </w:p>
    <w:p w14:paraId="69F33572">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关于投料试车相关事项的约定：</w:t>
      </w:r>
      <w:r>
        <w:rPr>
          <w:rFonts w:ascii="Times New Roman" w:hAnsi="Times New Roman"/>
          <w:color w:val="auto"/>
          <w:sz w:val="21"/>
          <w:szCs w:val="21"/>
          <w:highlight w:val="none"/>
          <w:u w:val="single"/>
        </w:rPr>
        <w:t>执行《通用条款》</w:t>
      </w:r>
      <w:r>
        <w:rPr>
          <w:rFonts w:ascii="Times New Roman" w:hAnsi="Times New Roman"/>
          <w:color w:val="auto"/>
          <w:sz w:val="21"/>
          <w:szCs w:val="21"/>
          <w:highlight w:val="none"/>
        </w:rPr>
        <w:t>。</w:t>
      </w:r>
    </w:p>
    <w:p w14:paraId="49D69DAD">
      <w:pPr>
        <w:spacing w:line="360" w:lineRule="auto"/>
        <w:ind w:firstLine="210" w:firstLineChars="100"/>
        <w:rPr>
          <w:rFonts w:ascii="Times New Roman" w:hAnsi="Times New Roman"/>
          <w:b/>
          <w:bCs/>
          <w:color w:val="auto"/>
          <w:szCs w:val="21"/>
          <w:highlight w:val="none"/>
        </w:rPr>
      </w:pPr>
      <w:bookmarkStart w:id="710" w:name="_Toc351203646"/>
      <w:r>
        <w:rPr>
          <w:rFonts w:ascii="Times New Roman" w:hAnsi="Times New Roman"/>
          <w:b/>
          <w:bCs/>
          <w:color w:val="auto"/>
          <w:sz w:val="21"/>
          <w:szCs w:val="21"/>
          <w:highlight w:val="none"/>
        </w:rPr>
        <w:t>14. 竣工结算</w:t>
      </w:r>
      <w:bookmarkEnd w:id="710"/>
    </w:p>
    <w:bookmarkEnd w:id="702"/>
    <w:bookmarkEnd w:id="703"/>
    <w:bookmarkEnd w:id="704"/>
    <w:bookmarkEnd w:id="705"/>
    <w:bookmarkEnd w:id="706"/>
    <w:bookmarkEnd w:id="707"/>
    <w:bookmarkEnd w:id="708"/>
    <w:bookmarkEnd w:id="709"/>
    <w:p w14:paraId="4BF40955">
      <w:pPr>
        <w:spacing w:line="360" w:lineRule="auto"/>
        <w:ind w:firstLine="210" w:firstLineChars="100"/>
        <w:rPr>
          <w:rFonts w:hint="eastAsia" w:ascii="Times New Roman" w:hAnsi="Times New Roman"/>
          <w:b/>
          <w:bCs/>
          <w:color w:val="auto"/>
          <w:sz w:val="21"/>
          <w:szCs w:val="21"/>
          <w:highlight w:val="none"/>
        </w:rPr>
      </w:pPr>
      <w:bookmarkStart w:id="711" w:name="_Toc267251482"/>
      <w:bookmarkStart w:id="712" w:name="_Toc267251484"/>
      <w:bookmarkStart w:id="713" w:name="_Toc267251485"/>
      <w:bookmarkStart w:id="714" w:name="_Toc267251488"/>
      <w:bookmarkStart w:id="715" w:name="_Toc267251486"/>
      <w:bookmarkStart w:id="716" w:name="_Toc267251489"/>
      <w:bookmarkStart w:id="717" w:name="_Toc267251490"/>
      <w:bookmarkStart w:id="718" w:name="_Toc267251498"/>
      <w:bookmarkStart w:id="719" w:name="_Toc267251499"/>
      <w:bookmarkStart w:id="720" w:name="_Toc267251496"/>
      <w:bookmarkStart w:id="721" w:name="_Toc267251495"/>
      <w:bookmarkStart w:id="722" w:name="_Toc267251492"/>
      <w:bookmarkStart w:id="723" w:name="_Toc267251501"/>
      <w:bookmarkStart w:id="724" w:name="_Toc267251493"/>
      <w:bookmarkStart w:id="725" w:name="_Toc267251497"/>
      <w:bookmarkStart w:id="726" w:name="_Toc267251494"/>
      <w:bookmarkStart w:id="727" w:name="_Toc267251491"/>
      <w:bookmarkStart w:id="728" w:name="_Toc267251503"/>
      <w:bookmarkStart w:id="729" w:name="_Toc267251502"/>
      <w:bookmarkStart w:id="730" w:name="_Toc267251507"/>
      <w:bookmarkStart w:id="731" w:name="_Toc267251504"/>
      <w:bookmarkStart w:id="732" w:name="_Toc267251506"/>
      <w:bookmarkStart w:id="733" w:name="_Toc267251508"/>
      <w:bookmarkStart w:id="734" w:name="_Toc267251509"/>
      <w:bookmarkStart w:id="735" w:name="_Toc267251510"/>
      <w:bookmarkStart w:id="736" w:name="_Toc267251514"/>
      <w:bookmarkStart w:id="737" w:name="_Toc267251515"/>
      <w:bookmarkStart w:id="738" w:name="_Toc267251513"/>
      <w:bookmarkStart w:id="739" w:name="_Toc267251511"/>
      <w:r>
        <w:rPr>
          <w:rFonts w:hint="eastAsia" w:ascii="Times New Roman" w:hAnsi="Times New Roman"/>
          <w:b/>
          <w:bCs/>
          <w:color w:val="auto"/>
          <w:sz w:val="21"/>
          <w:szCs w:val="21"/>
          <w:highlight w:val="none"/>
        </w:rPr>
        <w:t>14.1竣工结算申请</w:t>
      </w:r>
    </w:p>
    <w:p w14:paraId="656BE9C4">
      <w:pPr>
        <w:ind w:firstLine="420" w:firstLineChars="200"/>
        <w:rPr>
          <w:color w:val="auto"/>
          <w:highlight w:val="none"/>
        </w:rPr>
      </w:pPr>
      <w:r>
        <w:rPr>
          <w:rFonts w:hint="eastAsia"/>
          <w:color w:val="auto"/>
          <w:sz w:val="21"/>
          <w:szCs w:val="21"/>
          <w:highlight w:val="none"/>
        </w:rPr>
        <w:t>承包人提交竣工结算申请单的期限：</w:t>
      </w:r>
      <w:r>
        <w:rPr>
          <w:rFonts w:hint="eastAsia"/>
          <w:color w:val="auto"/>
          <w:sz w:val="21"/>
          <w:szCs w:val="21"/>
          <w:highlight w:val="none"/>
          <w:u w:val="single"/>
        </w:rPr>
        <w:t>工程项目通过正式竣工验收并达到合同约定的质量标准，已取得《竣工验收证书》或已通过验收并经相关部门确认；且全部竣工技术资料已按要求办理了相关备案，移交手续后28天内承包人提交竣工结算申请单及完整的竣工结算资料6套。</w:t>
      </w:r>
      <w:r>
        <w:rPr>
          <w:rFonts w:hint="eastAsia"/>
          <w:color w:val="auto"/>
          <w:sz w:val="21"/>
          <w:szCs w:val="21"/>
          <w:highlight w:val="none"/>
        </w:rPr>
        <w:t xml:space="preserve"> </w:t>
      </w:r>
    </w:p>
    <w:p w14:paraId="7199DFFF">
      <w:pPr>
        <w:ind w:firstLine="420" w:firstLineChars="200"/>
        <w:rPr>
          <w:color w:val="auto"/>
          <w:highlight w:val="none"/>
        </w:rPr>
      </w:pPr>
      <w:r>
        <w:rPr>
          <w:rFonts w:hint="eastAsia"/>
          <w:color w:val="auto"/>
          <w:sz w:val="21"/>
          <w:szCs w:val="21"/>
          <w:highlight w:val="none"/>
        </w:rPr>
        <w:t xml:space="preserve">竣工结算申请单应包括的内容： </w:t>
      </w:r>
    </w:p>
    <w:p w14:paraId="4E58DBA9">
      <w:pPr>
        <w:ind w:firstLine="420" w:firstLineChars="200"/>
        <w:rPr>
          <w:color w:val="auto"/>
          <w:highlight w:val="none"/>
          <w:u w:val="single"/>
        </w:rPr>
      </w:pPr>
      <w:r>
        <w:rPr>
          <w:rFonts w:hint="eastAsia"/>
          <w:color w:val="auto"/>
          <w:sz w:val="21"/>
          <w:szCs w:val="21"/>
          <w:highlight w:val="none"/>
          <w:u w:val="single"/>
        </w:rPr>
        <w:t>（1）竣工结算合同价格；</w:t>
      </w:r>
    </w:p>
    <w:p w14:paraId="0F752EEE">
      <w:pPr>
        <w:ind w:firstLine="420" w:firstLineChars="200"/>
        <w:rPr>
          <w:color w:val="auto"/>
          <w:highlight w:val="none"/>
          <w:u w:val="single"/>
        </w:rPr>
      </w:pPr>
      <w:r>
        <w:rPr>
          <w:rFonts w:hint="eastAsia"/>
          <w:color w:val="auto"/>
          <w:sz w:val="21"/>
          <w:szCs w:val="21"/>
          <w:highlight w:val="none"/>
          <w:u w:val="single"/>
        </w:rPr>
        <w:t>（2）承包人的款项已支付；</w:t>
      </w:r>
    </w:p>
    <w:p w14:paraId="340FBA87">
      <w:pPr>
        <w:ind w:firstLine="420" w:firstLineChars="200"/>
        <w:rPr>
          <w:rFonts w:hint="eastAsia"/>
          <w:color w:val="auto"/>
          <w:sz w:val="21"/>
          <w:szCs w:val="21"/>
          <w:highlight w:val="none"/>
          <w:u w:val="single"/>
        </w:rPr>
      </w:pPr>
      <w:r>
        <w:rPr>
          <w:rFonts w:hint="eastAsia"/>
          <w:color w:val="auto"/>
          <w:sz w:val="21"/>
          <w:szCs w:val="21"/>
          <w:highlight w:val="none"/>
          <w:u w:val="single"/>
        </w:rPr>
        <w:t>（3）应扣留的质量保证金；</w:t>
      </w:r>
    </w:p>
    <w:p w14:paraId="2DC30EC7">
      <w:pPr>
        <w:ind w:firstLine="420" w:firstLineChars="200"/>
        <w:rPr>
          <w:color w:val="auto"/>
          <w:sz w:val="21"/>
          <w:szCs w:val="21"/>
          <w:highlight w:val="none"/>
          <w:u w:val="single"/>
        </w:rPr>
      </w:pPr>
      <w:r>
        <w:rPr>
          <w:rFonts w:hint="eastAsia"/>
          <w:color w:val="auto"/>
          <w:sz w:val="21"/>
          <w:szCs w:val="21"/>
          <w:highlight w:val="none"/>
          <w:u w:val="single"/>
        </w:rPr>
        <w:t>（4）发包人应支付承包人的合同价款；</w:t>
      </w:r>
    </w:p>
    <w:p w14:paraId="4C405983">
      <w:pPr>
        <w:pStyle w:val="13"/>
        <w:ind w:left="0" w:leftChars="0"/>
        <w:rPr>
          <w:rFonts w:hint="eastAsia"/>
          <w:color w:val="auto"/>
          <w:highlight w:val="none"/>
          <w:u w:val="single"/>
          <w:lang w:val="en-US" w:eastAsia="zh-CN"/>
        </w:rPr>
      </w:pPr>
      <w:r>
        <w:rPr>
          <w:rFonts w:hint="eastAsia"/>
          <w:color w:val="auto"/>
          <w:sz w:val="21"/>
          <w:szCs w:val="21"/>
          <w:highlight w:val="none"/>
          <w:u w:val="single"/>
        </w:rPr>
        <w:t>（5）是否全部完成合同内容，如有甩项（或增加范围）如实说明。</w:t>
      </w:r>
    </w:p>
    <w:p w14:paraId="574D7799">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14.2 竣工结算审核</w:t>
      </w:r>
    </w:p>
    <w:p w14:paraId="5D57595D">
      <w:pPr>
        <w:spacing w:line="360" w:lineRule="auto"/>
        <w:ind w:firstLine="210" w:firstLineChars="100"/>
        <w:rPr>
          <w:rFonts w:hint="eastAsia" w:ascii="Times New Roman" w:hAnsi="Times New Roman"/>
          <w:color w:val="auto"/>
          <w:sz w:val="21"/>
          <w:szCs w:val="21"/>
          <w:highlight w:val="none"/>
        </w:rPr>
      </w:pPr>
      <w:r>
        <w:rPr>
          <w:rFonts w:ascii="Times New Roman" w:hAnsi="Times New Roman"/>
          <w:color w:val="auto"/>
          <w:sz w:val="21"/>
          <w:szCs w:val="21"/>
          <w:highlight w:val="none"/>
        </w:rPr>
        <w:t>14.2.1</w:t>
      </w:r>
      <w:r>
        <w:rPr>
          <w:rFonts w:hint="eastAsia" w:ascii="Times New Roman" w:hAnsi="Times New Roman"/>
          <w:color w:val="auto"/>
          <w:sz w:val="21"/>
          <w:szCs w:val="21"/>
          <w:highlight w:val="none"/>
          <w:u w:val="single"/>
        </w:rPr>
        <w:t>以最终审计结果为准。</w:t>
      </w:r>
    </w:p>
    <w:p w14:paraId="66B64385">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none"/>
        </w:rPr>
        <w:t>14.2.2</w:t>
      </w:r>
      <w:r>
        <w:rPr>
          <w:rFonts w:ascii="Times New Roman" w:hAnsi="Times New Roman"/>
          <w:color w:val="auto"/>
          <w:sz w:val="21"/>
          <w:szCs w:val="21"/>
          <w:highlight w:val="none"/>
          <w:u w:val="single"/>
        </w:rPr>
        <w:t>工程竣工验收合格，承包人应在28天内将完整的工程结算资料报送监理单位，监理单位应在14日内对所收到的结算资料的完整性、准确性、规范性进行审核并对造价进行初审后报送</w:t>
      </w:r>
      <w:r>
        <w:rPr>
          <w:rFonts w:hint="eastAsia" w:ascii="Times New Roman" w:hAnsi="Times New Roman"/>
          <w:color w:val="auto"/>
          <w:sz w:val="21"/>
          <w:szCs w:val="21"/>
          <w:highlight w:val="none"/>
          <w:u w:val="single"/>
          <w:lang w:val="en-US" w:eastAsia="zh-CN"/>
        </w:rPr>
        <w:t>项目</w:t>
      </w:r>
      <w:r>
        <w:rPr>
          <w:rFonts w:ascii="Times New Roman" w:hAnsi="Times New Roman"/>
          <w:color w:val="auto"/>
          <w:sz w:val="21"/>
          <w:szCs w:val="21"/>
          <w:highlight w:val="none"/>
          <w:u w:val="single"/>
        </w:rPr>
        <w:t>发包人。</w:t>
      </w:r>
    </w:p>
    <w:p w14:paraId="532325EE">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14.2.</w:t>
      </w:r>
      <w:r>
        <w:rPr>
          <w:rFonts w:hint="eastAsia" w:ascii="Times New Roman" w:hAnsi="Times New Roman"/>
          <w:color w:val="auto"/>
          <w:sz w:val="21"/>
          <w:szCs w:val="21"/>
          <w:highlight w:val="none"/>
        </w:rPr>
        <w:t>3</w:t>
      </w:r>
      <w:r>
        <w:rPr>
          <w:rFonts w:ascii="Times New Roman" w:hAnsi="Times New Roman"/>
          <w:color w:val="auto"/>
          <w:sz w:val="21"/>
          <w:szCs w:val="21"/>
          <w:highlight w:val="none"/>
        </w:rPr>
        <w:t xml:space="preserve"> </w:t>
      </w:r>
      <w:r>
        <w:rPr>
          <w:rFonts w:ascii="Times New Roman" w:hAnsi="Times New Roman"/>
          <w:color w:val="auto"/>
          <w:sz w:val="21"/>
          <w:szCs w:val="21"/>
          <w:highlight w:val="none"/>
          <w:u w:val="single"/>
        </w:rPr>
        <w:t>承包人在竣工后28天内不报送结算资料，延误监理单位、</w:t>
      </w:r>
      <w:r>
        <w:rPr>
          <w:rFonts w:hint="eastAsia" w:ascii="Times New Roman" w:hAnsi="Times New Roman"/>
          <w:color w:val="auto"/>
          <w:sz w:val="21"/>
          <w:szCs w:val="21"/>
          <w:highlight w:val="none"/>
          <w:u w:val="single"/>
          <w:lang w:val="en-US" w:eastAsia="zh-CN"/>
        </w:rPr>
        <w:t>项目单位、</w:t>
      </w:r>
      <w:r>
        <w:rPr>
          <w:rFonts w:ascii="Times New Roman" w:hAnsi="Times New Roman"/>
          <w:color w:val="auto"/>
          <w:sz w:val="21"/>
          <w:szCs w:val="21"/>
          <w:highlight w:val="none"/>
          <w:u w:val="single"/>
        </w:rPr>
        <w:t>发包人审核时间，造成工程款不能及时支付，责任由承包人自负。</w:t>
      </w:r>
    </w:p>
    <w:p w14:paraId="57DAAFB0">
      <w:pPr>
        <w:spacing w:line="360" w:lineRule="auto"/>
        <w:ind w:firstLine="210" w:firstLineChars="100"/>
        <w:rPr>
          <w:rFonts w:hint="eastAsia" w:ascii="Times New Roman" w:hAnsi="Times New Roman"/>
          <w:color w:val="auto"/>
          <w:sz w:val="21"/>
          <w:szCs w:val="21"/>
          <w:highlight w:val="none"/>
        </w:rPr>
      </w:pPr>
      <w:r>
        <w:rPr>
          <w:rFonts w:ascii="Times New Roman" w:hAnsi="Times New Roman"/>
          <w:color w:val="auto"/>
          <w:sz w:val="21"/>
          <w:szCs w:val="21"/>
          <w:highlight w:val="none"/>
        </w:rPr>
        <w:t>14.2.</w:t>
      </w:r>
      <w:r>
        <w:rPr>
          <w:rFonts w:hint="eastAsia" w:ascii="Times New Roman" w:hAnsi="Times New Roman"/>
          <w:color w:val="auto"/>
          <w:sz w:val="21"/>
          <w:szCs w:val="21"/>
          <w:highlight w:val="none"/>
        </w:rPr>
        <w:t>4</w:t>
      </w:r>
      <w:r>
        <w:rPr>
          <w:rFonts w:ascii="Times New Roman" w:hAnsi="Times New Roman"/>
          <w:color w:val="auto"/>
          <w:sz w:val="21"/>
          <w:szCs w:val="21"/>
          <w:highlight w:val="none"/>
        </w:rPr>
        <w:t xml:space="preserve"> 竣工结算办法：</w:t>
      </w:r>
    </w:p>
    <w:p w14:paraId="5700CC23">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1）分部分项工程费和措施费依据实际工程量与承包人的投标清单综合单价结算。（2）安全文明施工费按有关规定结算。（3）其他项目应按下列规定计价：①计日工应按发包人实际签证确认计算；②索赔费用应依据发承包双方认可的索赔事项和金额计算；③变更签证费用应以发包人认定结果计；④暂列金额据实结算。（4）税金按有关规定计</w:t>
      </w:r>
      <w:r>
        <w:rPr>
          <w:rFonts w:ascii="Times New Roman" w:hAnsi="Times New Roman"/>
          <w:color w:val="auto"/>
          <w:sz w:val="21"/>
          <w:szCs w:val="21"/>
          <w:highlight w:val="none"/>
          <w:u w:val="single"/>
        </w:rPr>
        <w:t>。</w:t>
      </w:r>
    </w:p>
    <w:p w14:paraId="66596A27">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承</w:t>
      </w:r>
      <w:bookmarkStart w:id="740" w:name="OLE_LINK11"/>
      <w:bookmarkStart w:id="741" w:name="OLE_LINK10"/>
      <w:r>
        <w:rPr>
          <w:rFonts w:hint="eastAsia" w:ascii="Times New Roman" w:hAnsi="Times New Roman"/>
          <w:color w:val="auto"/>
          <w:sz w:val="21"/>
          <w:szCs w:val="21"/>
          <w:highlight w:val="none"/>
          <w:u w:val="single"/>
        </w:rPr>
        <w:t>包人应对工程结算送审资料的真实性、准确性负责并承担责任。若承包人上报的送审价超过审结价的</w:t>
      </w:r>
      <w:r>
        <w:rPr>
          <w:rFonts w:hint="eastAsia"/>
          <w:color w:val="auto"/>
          <w:sz w:val="21"/>
          <w:szCs w:val="21"/>
          <w:highlight w:val="none"/>
          <w:u w:val="single"/>
          <w:lang w:val="en-US" w:eastAsia="zh-CN"/>
        </w:rPr>
        <w:t>10</w:t>
      </w:r>
      <w:r>
        <w:rPr>
          <w:rFonts w:hint="eastAsia" w:ascii="Times New Roman" w:hAnsi="Times New Roman"/>
          <w:color w:val="auto"/>
          <w:sz w:val="21"/>
          <w:szCs w:val="21"/>
          <w:highlight w:val="none"/>
          <w:u w:val="single"/>
        </w:rPr>
        <w:t>%时，超出部分</w:t>
      </w:r>
      <w:bookmarkEnd w:id="740"/>
      <w:bookmarkEnd w:id="741"/>
      <w:r>
        <w:rPr>
          <w:rFonts w:hint="eastAsia" w:ascii="Times New Roman" w:hAnsi="Times New Roman"/>
          <w:color w:val="auto"/>
          <w:sz w:val="21"/>
          <w:szCs w:val="21"/>
          <w:highlight w:val="none"/>
          <w:u w:val="single"/>
        </w:rPr>
        <w:t>的审减费</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rPr>
        <w:t>包含跟踪审计费用</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rPr>
        <w:t>由承包人全部承担，在工程总价款中予以扣除。</w:t>
      </w:r>
    </w:p>
    <w:p w14:paraId="5BD0A787">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15. 缺陷责任与保修</w:t>
      </w:r>
    </w:p>
    <w:p w14:paraId="033C4D8D">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15.3 质量保证金</w:t>
      </w:r>
    </w:p>
    <w:p w14:paraId="1C42637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15.3.1 承包人提供质量保证金的方式</w:t>
      </w:r>
    </w:p>
    <w:bookmarkEnd w:id="711"/>
    <w:bookmarkEnd w:id="712"/>
    <w:p w14:paraId="2B048FE4">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质量保证金采用以下第</w:t>
      </w:r>
      <w:r>
        <w:rPr>
          <w:rFonts w:ascii="Times New Roman" w:hAnsi="Times New Roman"/>
          <w:color w:val="auto"/>
          <w:sz w:val="21"/>
          <w:szCs w:val="21"/>
          <w:highlight w:val="none"/>
          <w:u w:val="single"/>
        </w:rPr>
        <w:t xml:space="preserve">（2） </w:t>
      </w:r>
      <w:r>
        <w:rPr>
          <w:rFonts w:ascii="Times New Roman" w:hAnsi="Times New Roman"/>
          <w:color w:val="auto"/>
          <w:sz w:val="21"/>
          <w:szCs w:val="21"/>
          <w:highlight w:val="none"/>
        </w:rPr>
        <w:t>种方式：</w:t>
      </w:r>
    </w:p>
    <w:p w14:paraId="24077FEA">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（1）质量保证金保函，保证金额为</w:t>
      </w:r>
      <w:r>
        <w:rPr>
          <w:rFonts w:ascii="Times New Roman" w:hAnsi="Times New Roman"/>
          <w:color w:val="auto"/>
          <w:sz w:val="21"/>
          <w:szCs w:val="21"/>
          <w:highlight w:val="none"/>
          <w:u w:val="single"/>
        </w:rPr>
        <w:t xml:space="preserve">：      /      </w:t>
      </w:r>
      <w:r>
        <w:rPr>
          <w:rFonts w:ascii="Times New Roman" w:hAnsi="Times New Roman"/>
          <w:color w:val="auto"/>
          <w:sz w:val="21"/>
          <w:szCs w:val="21"/>
          <w:highlight w:val="none"/>
        </w:rPr>
        <w:t xml:space="preserve">； </w:t>
      </w:r>
    </w:p>
    <w:p w14:paraId="489BB805">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（2）</w:t>
      </w:r>
      <w:r>
        <w:rPr>
          <w:rFonts w:ascii="Times New Roman" w:hAnsi="Times New Roman"/>
          <w:color w:val="auto"/>
          <w:sz w:val="21"/>
          <w:szCs w:val="21"/>
          <w:highlight w:val="none"/>
          <w:u w:val="single"/>
        </w:rPr>
        <w:t>3%</w:t>
      </w:r>
      <w:r>
        <w:rPr>
          <w:rFonts w:ascii="Times New Roman" w:hAnsi="Times New Roman"/>
          <w:color w:val="auto"/>
          <w:sz w:val="21"/>
          <w:szCs w:val="21"/>
          <w:highlight w:val="none"/>
        </w:rPr>
        <w:t>的竣工结算</w:t>
      </w:r>
      <w:r>
        <w:rPr>
          <w:rFonts w:hint="eastAsia" w:ascii="Times New Roman" w:hAnsi="Times New Roman"/>
          <w:color w:val="auto"/>
          <w:sz w:val="21"/>
          <w:szCs w:val="21"/>
          <w:highlight w:val="none"/>
        </w:rPr>
        <w:t>（审定）</w:t>
      </w:r>
      <w:r>
        <w:rPr>
          <w:rFonts w:ascii="Times New Roman" w:hAnsi="Times New Roman"/>
          <w:color w:val="auto"/>
          <w:sz w:val="21"/>
          <w:szCs w:val="21"/>
          <w:highlight w:val="none"/>
        </w:rPr>
        <w:t>造价</w:t>
      </w: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u w:val="single"/>
        </w:rPr>
        <w:t>/</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w:t>
      </w:r>
    </w:p>
    <w:p w14:paraId="3B8F4BB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 xml:space="preserve">（3）其他方式: </w:t>
      </w:r>
      <w:r>
        <w:rPr>
          <w:rFonts w:ascii="Times New Roman" w:hAnsi="Times New Roman"/>
          <w:color w:val="auto"/>
          <w:sz w:val="21"/>
          <w:szCs w:val="21"/>
          <w:highlight w:val="none"/>
          <w:u w:val="single"/>
        </w:rPr>
        <w:t xml:space="preserve">       /         </w:t>
      </w:r>
      <w:r>
        <w:rPr>
          <w:rFonts w:ascii="Times New Roman" w:hAnsi="Times New Roman"/>
          <w:color w:val="auto"/>
          <w:sz w:val="21"/>
          <w:szCs w:val="21"/>
          <w:highlight w:val="none"/>
        </w:rPr>
        <w:t>。</w:t>
      </w:r>
    </w:p>
    <w:p w14:paraId="27E312DA">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 xml:space="preserve">15.3.2 质量保证金的扣留 </w:t>
      </w:r>
    </w:p>
    <w:p w14:paraId="22B8059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质量保证金的扣留采取以下第</w:t>
      </w:r>
      <w:r>
        <w:rPr>
          <w:rFonts w:ascii="Times New Roman" w:hAnsi="Times New Roman"/>
          <w:color w:val="auto"/>
          <w:sz w:val="21"/>
          <w:szCs w:val="21"/>
          <w:highlight w:val="none"/>
          <w:u w:val="single"/>
        </w:rPr>
        <w:t xml:space="preserve"> （2）</w:t>
      </w:r>
      <w:r>
        <w:rPr>
          <w:rFonts w:ascii="Times New Roman" w:hAnsi="Times New Roman"/>
          <w:color w:val="auto"/>
          <w:sz w:val="21"/>
          <w:szCs w:val="21"/>
          <w:highlight w:val="none"/>
        </w:rPr>
        <w:t>种方式：</w:t>
      </w:r>
    </w:p>
    <w:p w14:paraId="733E1301">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（1）在支付工程进度款时逐次扣留，在此情形下，质量保证金的计算基数不包括预付款的支付、扣回以及价格调整的金额；</w:t>
      </w:r>
    </w:p>
    <w:p w14:paraId="77028010">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（2）工程竣工结算时一次性扣留质量保证金；</w:t>
      </w:r>
    </w:p>
    <w:p w14:paraId="3CE27996">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 xml:space="preserve">（3）其他扣留方式: </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u w:val="single"/>
        </w:rPr>
        <w:t>/   。</w:t>
      </w:r>
    </w:p>
    <w:p w14:paraId="7E292A64">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15.4保修</w:t>
      </w:r>
    </w:p>
    <w:bookmarkEnd w:id="713"/>
    <w:p w14:paraId="361CC040">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15.4.1 保修责任</w:t>
      </w:r>
    </w:p>
    <w:p w14:paraId="231268BD">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（1）本工程的保修范围和期限按</w:t>
      </w:r>
      <w:r>
        <w:rPr>
          <w:rFonts w:hint="eastAsia" w:ascii="Times New Roman" w:hAnsi="Times New Roman"/>
          <w:color w:val="auto"/>
          <w:sz w:val="21"/>
          <w:szCs w:val="21"/>
          <w:highlight w:val="none"/>
          <w:u w:val="single"/>
        </w:rPr>
        <w:t>《建设工程质量管理条例》</w:t>
      </w:r>
      <w:r>
        <w:rPr>
          <w:rFonts w:ascii="Times New Roman" w:hAnsi="Times New Roman"/>
          <w:color w:val="auto"/>
          <w:sz w:val="21"/>
          <w:szCs w:val="21"/>
          <w:highlight w:val="none"/>
          <w:u w:val="single"/>
        </w:rPr>
        <w:t>执行。</w:t>
      </w:r>
    </w:p>
    <w:p w14:paraId="36B78A9F">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2）在工程保修阶段，如工程质量出现问题时，发包人将通知承包人进行保修。在通知发出后次日起3日内如不进行保修，发包人将另行安排其他队伍进行维修，相关费用从质量保证金中扣除。如质量保证金不足，不足部分由承包人承担。</w:t>
      </w:r>
    </w:p>
    <w:p w14:paraId="26CC27F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u w:val="single"/>
        </w:rPr>
        <w:t>（3）其他内容详见附件2</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工程质量保修书</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rPr>
        <w:t>。</w:t>
      </w:r>
    </w:p>
    <w:p w14:paraId="6C7832D3">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15.4.3 修复通知</w:t>
      </w:r>
    </w:p>
    <w:p w14:paraId="1BB47D27">
      <w:pPr>
        <w:spacing w:line="360" w:lineRule="auto"/>
        <w:ind w:firstLine="210" w:firstLineChars="100"/>
        <w:rPr>
          <w:rFonts w:hint="eastAsia" w:ascii="Times New Roman" w:hAnsi="Times New Roman"/>
          <w:color w:val="auto"/>
          <w:sz w:val="21"/>
          <w:szCs w:val="21"/>
          <w:highlight w:val="none"/>
        </w:rPr>
      </w:pPr>
      <w:r>
        <w:rPr>
          <w:rFonts w:ascii="Times New Roman" w:hAnsi="Times New Roman"/>
          <w:color w:val="auto"/>
          <w:sz w:val="21"/>
          <w:szCs w:val="21"/>
          <w:highlight w:val="none"/>
        </w:rPr>
        <w:t>承包人收到保修通知并到达工程现场的合理时间：</w:t>
      </w:r>
      <w:r>
        <w:rPr>
          <w:rFonts w:ascii="Times New Roman" w:hAnsi="Times New Roman"/>
          <w:color w:val="auto"/>
          <w:sz w:val="21"/>
          <w:szCs w:val="21"/>
          <w:highlight w:val="none"/>
          <w:u w:val="single"/>
        </w:rPr>
        <w:t>24小时内</w:t>
      </w:r>
      <w:r>
        <w:rPr>
          <w:rFonts w:ascii="Times New Roman" w:hAnsi="Times New Roman"/>
          <w:color w:val="auto"/>
          <w:sz w:val="21"/>
          <w:szCs w:val="21"/>
          <w:highlight w:val="none"/>
        </w:rPr>
        <w:t>。</w:t>
      </w:r>
    </w:p>
    <w:p w14:paraId="66D22194">
      <w:pPr>
        <w:pStyle w:val="13"/>
        <w:ind w:left="0" w:leftChars="0" w:firstLine="210" w:firstLineChars="100"/>
        <w:rPr>
          <w:rFonts w:ascii="Times New Roman" w:hAnsi="Times New Roman"/>
          <w:color w:val="auto"/>
          <w:sz w:val="21"/>
          <w:szCs w:val="21"/>
          <w:highlight w:val="none"/>
          <w:u w:val="single"/>
          <w:lang w:val="en-US" w:eastAsia="zh-CN"/>
        </w:rPr>
      </w:pPr>
      <w:r>
        <w:rPr>
          <w:rFonts w:hint="eastAsia" w:ascii="Times New Roman" w:hAnsi="Times New Roman"/>
          <w:color w:val="auto"/>
          <w:sz w:val="21"/>
          <w:szCs w:val="21"/>
          <w:highlight w:val="none"/>
          <w:lang w:val="en-US" w:eastAsia="zh-CN"/>
        </w:rPr>
        <w:t>15.4.5</w:t>
      </w:r>
      <w:r>
        <w:rPr>
          <w:rFonts w:hint="eastAsia" w:ascii="Times New Roman" w:hAnsi="Times New Roman"/>
          <w:color w:val="auto"/>
          <w:sz w:val="21"/>
          <w:szCs w:val="21"/>
          <w:highlight w:val="none"/>
          <w:u w:val="single"/>
          <w:lang w:val="en-US" w:eastAsia="zh-CN"/>
        </w:rPr>
        <w:t>本工程缺陷责任期为2年，期限自保修期开始。缺陷责任期结束，经发包人确认后，一次性无息结清3%质量保证金。</w:t>
      </w:r>
    </w:p>
    <w:bookmarkEnd w:id="714"/>
    <w:bookmarkEnd w:id="715"/>
    <w:bookmarkEnd w:id="716"/>
    <w:bookmarkEnd w:id="717"/>
    <w:p w14:paraId="2E572C6B">
      <w:pPr>
        <w:spacing w:line="360" w:lineRule="auto"/>
        <w:ind w:firstLine="210" w:firstLineChars="100"/>
        <w:rPr>
          <w:rFonts w:ascii="Times New Roman" w:hAnsi="Times New Roman"/>
          <w:color w:val="auto"/>
          <w:sz w:val="21"/>
          <w:szCs w:val="21"/>
          <w:highlight w:val="none"/>
        </w:rPr>
      </w:pPr>
      <w:bookmarkStart w:id="742" w:name="_Toc351203648"/>
      <w:bookmarkStart w:id="743" w:name="_Toc280868717"/>
      <w:bookmarkStart w:id="744" w:name="_Toc280868718"/>
      <w:r>
        <w:rPr>
          <w:rFonts w:ascii="Times New Roman" w:hAnsi="Times New Roman"/>
          <w:color w:val="auto"/>
          <w:sz w:val="21"/>
          <w:szCs w:val="21"/>
          <w:highlight w:val="none"/>
        </w:rPr>
        <w:t>16. 违约</w:t>
      </w:r>
      <w:bookmarkEnd w:id="742"/>
    </w:p>
    <w:p w14:paraId="7781CC2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16.1 发包人违约</w:t>
      </w:r>
    </w:p>
    <w:p w14:paraId="6D613791">
      <w:pPr>
        <w:spacing w:line="360" w:lineRule="auto"/>
        <w:ind w:firstLine="210" w:firstLineChars="100"/>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本合同通用条款第16.1条约定发包人违约应承担的违约责任：</w:t>
      </w:r>
      <w:r>
        <w:rPr>
          <w:rFonts w:ascii="Times New Roman" w:hAnsi="Times New Roman"/>
          <w:color w:val="auto"/>
          <w:sz w:val="21"/>
          <w:szCs w:val="21"/>
          <w:highlight w:val="none"/>
          <w:u w:val="single"/>
        </w:rPr>
        <w:t>执行通用条款</w:t>
      </w:r>
      <w:r>
        <w:rPr>
          <w:rFonts w:hint="eastAsia" w:ascii="Times New Roman" w:hAnsi="Times New Roman"/>
          <w:color w:val="auto"/>
          <w:sz w:val="21"/>
          <w:szCs w:val="21"/>
          <w:highlight w:val="none"/>
          <w:u w:val="single"/>
          <w:lang w:eastAsia="zh-CN"/>
        </w:rPr>
        <w:t>。</w:t>
      </w:r>
    </w:p>
    <w:p w14:paraId="710A84E1">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  16.1.2 发包人违约的责任</w:t>
      </w:r>
    </w:p>
    <w:p w14:paraId="460A815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发包人违约责任的承担方式和计算方法：</w:t>
      </w:r>
    </w:p>
    <w:p w14:paraId="64C2685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（1）因发包人原因未能在计划开工日期前7天内下达开工通知的违约责任：</w:t>
      </w:r>
      <w:r>
        <w:rPr>
          <w:rFonts w:ascii="Times New Roman" w:hAnsi="Times New Roman"/>
          <w:color w:val="auto"/>
          <w:sz w:val="21"/>
          <w:szCs w:val="21"/>
          <w:highlight w:val="none"/>
          <w:u w:val="single"/>
        </w:rPr>
        <w:t>竣工日期相应推迟。</w:t>
      </w:r>
    </w:p>
    <w:p w14:paraId="745BFF03">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（2）发包人提供的材料、工程设备的规格、数量或质量不符合合同约定，或因发包人原因导致交货日期延误或交货地点变更等情况的违约责任：</w:t>
      </w:r>
      <w:r>
        <w:rPr>
          <w:rFonts w:ascii="Times New Roman" w:hAnsi="Times New Roman"/>
          <w:color w:val="auto"/>
          <w:sz w:val="21"/>
          <w:szCs w:val="21"/>
          <w:highlight w:val="none"/>
          <w:u w:val="single"/>
        </w:rPr>
        <w:t>因此造成工期延误的，免除承包人相应的工期延误的违约责任。</w:t>
      </w:r>
    </w:p>
    <w:p w14:paraId="2B03734C">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（3）其他：</w:t>
      </w:r>
      <w:r>
        <w:rPr>
          <w:rFonts w:ascii="Times New Roman" w:hAnsi="Times New Roman"/>
          <w:color w:val="auto"/>
          <w:sz w:val="21"/>
          <w:szCs w:val="21"/>
          <w:highlight w:val="none"/>
          <w:u w:val="single"/>
        </w:rPr>
        <w:t>无。</w:t>
      </w:r>
    </w:p>
    <w:p w14:paraId="2AA9CA39">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16.2 承包人违约</w:t>
      </w:r>
    </w:p>
    <w:p w14:paraId="1540B49A">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16.2.1 承包人违约的情形</w:t>
      </w:r>
    </w:p>
    <w:p w14:paraId="7ABED6E1">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承包人违约的其他情形：</w:t>
      </w:r>
      <w:r>
        <w:rPr>
          <w:rFonts w:ascii="Times New Roman" w:hAnsi="Times New Roman"/>
          <w:color w:val="auto"/>
          <w:sz w:val="21"/>
          <w:szCs w:val="21"/>
          <w:highlight w:val="none"/>
          <w:u w:val="single"/>
        </w:rPr>
        <w:t>承包人违法</w:t>
      </w:r>
      <w:r>
        <w:rPr>
          <w:rFonts w:hint="eastAsia" w:ascii="Times New Roman" w:hAnsi="Times New Roman"/>
          <w:color w:val="auto"/>
          <w:sz w:val="21"/>
          <w:szCs w:val="21"/>
          <w:highlight w:val="none"/>
          <w:u w:val="single"/>
        </w:rPr>
        <w:t>分包</w:t>
      </w:r>
      <w:r>
        <w:rPr>
          <w:rFonts w:ascii="Times New Roman" w:hAnsi="Times New Roman"/>
          <w:color w:val="auto"/>
          <w:sz w:val="21"/>
          <w:szCs w:val="21"/>
          <w:highlight w:val="none"/>
          <w:u w:val="single"/>
        </w:rPr>
        <w:t>或违反本合同将工程转包的，发包人有权解除本合同，承包人应赔偿因此给发包人造成的一切损失。</w:t>
      </w:r>
    </w:p>
    <w:p w14:paraId="25816061">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16.2.2承包人违约的责任</w:t>
      </w:r>
    </w:p>
    <w:p w14:paraId="445D96B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承包人违约责任的承担方式和计算方法：</w:t>
      </w:r>
    </w:p>
    <w:p w14:paraId="4B1F1A39">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（1）承包人</w:t>
      </w:r>
      <w:r>
        <w:rPr>
          <w:rFonts w:ascii="Times New Roman" w:hAnsi="Times New Roman"/>
          <w:color w:val="auto"/>
          <w:sz w:val="21"/>
          <w:szCs w:val="21"/>
          <w:highlight w:val="none"/>
          <w:u w:val="single"/>
        </w:rPr>
        <w:t>必须按照周进度计划完成工作，凡因自身原因未按照审批的计划完成工作，处以1～3万元违约金。</w:t>
      </w:r>
    </w:p>
    <w:p w14:paraId="455726BD">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（2）承包人</w:t>
      </w:r>
      <w:r>
        <w:rPr>
          <w:rFonts w:ascii="Times New Roman" w:hAnsi="Times New Roman"/>
          <w:color w:val="auto"/>
          <w:sz w:val="21"/>
          <w:szCs w:val="21"/>
          <w:highlight w:val="none"/>
          <w:u w:val="single"/>
        </w:rPr>
        <w:t>必须按照月进度计划完成工作，凡因自身原因未按照审批的计划完成工作，处以5～10万元违约金，并且发包人有权拒绝支付当月工程进度款。</w:t>
      </w:r>
    </w:p>
    <w:p w14:paraId="3A62A6DF">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（3）</w:t>
      </w:r>
      <w:r>
        <w:rPr>
          <w:rFonts w:ascii="Times New Roman" w:hAnsi="Times New Roman"/>
          <w:color w:val="auto"/>
          <w:sz w:val="21"/>
          <w:szCs w:val="21"/>
          <w:highlight w:val="none"/>
          <w:u w:val="single"/>
        </w:rPr>
        <w:t>因承包人原因延误工期逾期</w:t>
      </w:r>
      <w:r>
        <w:rPr>
          <w:rFonts w:hint="eastAsia" w:ascii="Times New Roman" w:hAnsi="Times New Roman"/>
          <w:color w:val="auto"/>
          <w:sz w:val="21"/>
          <w:szCs w:val="21"/>
          <w:highlight w:val="none"/>
          <w:u w:val="single"/>
        </w:rPr>
        <w:t>竣工</w:t>
      </w:r>
      <w:r>
        <w:rPr>
          <w:rFonts w:ascii="Times New Roman" w:hAnsi="Times New Roman"/>
          <w:color w:val="auto"/>
          <w:sz w:val="21"/>
          <w:szCs w:val="21"/>
          <w:highlight w:val="none"/>
          <w:u w:val="single"/>
        </w:rPr>
        <w:t>的，每逾期一日，承包人应承担合同中标价1‰的违约金</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若因承包人逾期延误超过20天（含）发包人有权单方面解除合同，承包人应按合同总价的10%向发包人支付违约金。若该违约金不足以弥补发包人损失的，承包人应另行补足（包括但不限于发包人重新招标的费用和损失；无需招标的，按照发包人自行施工的费用及损失进行补足）。</w:t>
      </w:r>
    </w:p>
    <w:p w14:paraId="2F9FD963">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（4）承包人的施工</w:t>
      </w:r>
      <w:r>
        <w:rPr>
          <w:rFonts w:ascii="Times New Roman" w:hAnsi="Times New Roman"/>
          <w:color w:val="auto"/>
          <w:sz w:val="21"/>
          <w:szCs w:val="21"/>
          <w:highlight w:val="none"/>
          <w:u w:val="single"/>
        </w:rPr>
        <w:t>工序验收严格按监理程序履行报验手续，违反者处以1000～5000元违约</w:t>
      </w:r>
      <w:r>
        <w:rPr>
          <w:rFonts w:hint="eastAsia" w:ascii="Times New Roman" w:hAnsi="Times New Roman"/>
          <w:color w:val="auto"/>
          <w:sz w:val="21"/>
          <w:szCs w:val="21"/>
          <w:highlight w:val="none"/>
          <w:u w:val="single"/>
        </w:rPr>
        <w:t>金，未验收的工序质量视为不合格，并承担全部责任。</w:t>
      </w:r>
    </w:p>
    <w:p w14:paraId="3459A0C8">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5）承包人应严格把好材料质量关，不合格的材料不得使用，不合格的产品不准进入施工现场。工程施工前及时做好工程所需的材料检验、试验，材料没有检验证明，不得使用，否则处以5000元以上违约金，并承担全部责任、赔偿损失。</w:t>
      </w:r>
    </w:p>
    <w:p w14:paraId="08106B0B">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6）承包人商品混凝土私自加水，整车混凝土料全部退场。发现一次支付500元违约金，二次支付1000元违约金，三次以上清除混凝土班组出场。混凝土养护不到位出现裂缝一处支付500元违约金，模板拆除过早出现质量缺陷一处支付500元违约金，雨季施工措施不到位出现质量缺陷一处支付500元违约金，冬季砼保温措施不到位出现质量缺陷一处支付500元违约金。</w:t>
      </w:r>
    </w:p>
    <w:p w14:paraId="5C3EC5B7">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（7）承包人因自身原因出现的质量事故，应采取有效措施整改、确保工程质量。并根据严重性</w:t>
      </w:r>
      <w:r>
        <w:rPr>
          <w:rFonts w:ascii="Times New Roman" w:hAnsi="Times New Roman"/>
          <w:color w:val="auto"/>
          <w:sz w:val="21"/>
          <w:szCs w:val="21"/>
          <w:highlight w:val="none"/>
          <w:u w:val="single"/>
        </w:rPr>
        <w:t>承担违约责任：</w:t>
      </w:r>
    </w:p>
    <w:p w14:paraId="486A76DC">
      <w:pPr>
        <w:spacing w:line="360" w:lineRule="auto"/>
        <w:ind w:firstLine="210" w:firstLineChars="100"/>
        <w:rPr>
          <w:rFonts w:ascii="Times New Roman" w:hAnsi="Times New Roman"/>
          <w:bCs/>
          <w:color w:val="auto"/>
          <w:sz w:val="21"/>
          <w:szCs w:val="21"/>
          <w:highlight w:val="none"/>
          <w:u w:val="single"/>
        </w:rPr>
      </w:pPr>
      <w:r>
        <w:rPr>
          <w:rFonts w:hint="eastAsia" w:cs="宋体"/>
          <w:bCs/>
          <w:color w:val="auto"/>
          <w:sz w:val="21"/>
          <w:szCs w:val="21"/>
          <w:highlight w:val="none"/>
          <w:u w:val="single"/>
        </w:rPr>
        <w:t>①</w:t>
      </w:r>
      <w:r>
        <w:rPr>
          <w:rFonts w:ascii="Times New Roman" w:hAnsi="Times New Roman"/>
          <w:bCs/>
          <w:color w:val="auto"/>
          <w:sz w:val="21"/>
          <w:szCs w:val="21"/>
          <w:highlight w:val="none"/>
          <w:u w:val="single"/>
        </w:rPr>
        <w:t>一般质量事故（直接经济损失在5千元～5万元或造成工程永久质量缺陷的）：扣除违约金1万元～10万元；</w:t>
      </w:r>
    </w:p>
    <w:p w14:paraId="74076CD6">
      <w:pPr>
        <w:spacing w:line="360" w:lineRule="auto"/>
        <w:ind w:firstLine="210" w:firstLineChars="100"/>
        <w:rPr>
          <w:rFonts w:ascii="Times New Roman" w:hAnsi="Times New Roman"/>
          <w:bCs/>
          <w:color w:val="auto"/>
          <w:sz w:val="21"/>
          <w:szCs w:val="21"/>
          <w:highlight w:val="none"/>
          <w:u w:val="single"/>
        </w:rPr>
      </w:pPr>
      <w:r>
        <w:rPr>
          <w:rFonts w:hint="eastAsia" w:cs="宋体"/>
          <w:bCs/>
          <w:color w:val="auto"/>
          <w:sz w:val="21"/>
          <w:szCs w:val="21"/>
          <w:highlight w:val="none"/>
          <w:u w:val="single"/>
        </w:rPr>
        <w:t>②</w:t>
      </w:r>
      <w:r>
        <w:rPr>
          <w:rFonts w:ascii="Times New Roman" w:hAnsi="Times New Roman"/>
          <w:bCs/>
          <w:color w:val="auto"/>
          <w:sz w:val="21"/>
          <w:szCs w:val="21"/>
          <w:highlight w:val="none"/>
          <w:u w:val="single"/>
        </w:rPr>
        <w:t>严重质量事故（直接经济损失在5万元～10万元或影响使用功能或工程结构安全的）：扣除违约金10万元～</w:t>
      </w:r>
      <w:r>
        <w:rPr>
          <w:rFonts w:hint="eastAsia" w:ascii="Times New Roman" w:hAnsi="Times New Roman"/>
          <w:bCs/>
          <w:color w:val="auto"/>
          <w:sz w:val="21"/>
          <w:szCs w:val="21"/>
          <w:highlight w:val="none"/>
          <w:u w:val="single"/>
        </w:rPr>
        <w:t>3</w:t>
      </w:r>
      <w:r>
        <w:rPr>
          <w:rFonts w:ascii="Times New Roman" w:hAnsi="Times New Roman"/>
          <w:bCs/>
          <w:color w:val="auto"/>
          <w:sz w:val="21"/>
          <w:szCs w:val="21"/>
          <w:highlight w:val="none"/>
          <w:u w:val="single"/>
        </w:rPr>
        <w:t>0万元；</w:t>
      </w:r>
    </w:p>
    <w:p w14:paraId="6FD6C43E">
      <w:pPr>
        <w:spacing w:line="360" w:lineRule="auto"/>
        <w:ind w:firstLine="210" w:firstLineChars="100"/>
        <w:rPr>
          <w:rFonts w:ascii="Times New Roman" w:hAnsi="Times New Roman"/>
          <w:color w:val="auto"/>
          <w:sz w:val="21"/>
          <w:szCs w:val="21"/>
          <w:highlight w:val="none"/>
          <w:u w:val="single"/>
        </w:rPr>
      </w:pPr>
      <w:r>
        <w:rPr>
          <w:rFonts w:hint="eastAsia" w:cs="宋体"/>
          <w:bCs/>
          <w:color w:val="auto"/>
          <w:sz w:val="21"/>
          <w:szCs w:val="21"/>
          <w:highlight w:val="none"/>
          <w:u w:val="single"/>
        </w:rPr>
        <w:t>③</w:t>
      </w:r>
      <w:r>
        <w:rPr>
          <w:rFonts w:ascii="Times New Roman" w:hAnsi="Times New Roman"/>
          <w:bCs/>
          <w:color w:val="auto"/>
          <w:sz w:val="21"/>
          <w:szCs w:val="21"/>
          <w:highlight w:val="none"/>
          <w:u w:val="single"/>
        </w:rPr>
        <w:t>重大质量事故（工程报废、直接经济损失在10</w:t>
      </w:r>
      <w:r>
        <w:rPr>
          <w:rFonts w:hint="eastAsia" w:ascii="Times New Roman" w:hAnsi="Times New Roman"/>
          <w:bCs/>
          <w:color w:val="auto"/>
          <w:sz w:val="21"/>
          <w:szCs w:val="21"/>
          <w:highlight w:val="none"/>
          <w:u w:val="single"/>
        </w:rPr>
        <w:t>万</w:t>
      </w:r>
      <w:r>
        <w:rPr>
          <w:rFonts w:ascii="Times New Roman" w:hAnsi="Times New Roman"/>
          <w:bCs/>
          <w:color w:val="auto"/>
          <w:sz w:val="21"/>
          <w:szCs w:val="21"/>
          <w:highlight w:val="none"/>
          <w:u w:val="single"/>
        </w:rPr>
        <w:t>元以上、造成人员死亡或重伤3人以上）：扣除违约金</w:t>
      </w:r>
      <w:r>
        <w:rPr>
          <w:rFonts w:hint="eastAsia" w:ascii="Times New Roman" w:hAnsi="Times New Roman"/>
          <w:bCs/>
          <w:color w:val="auto"/>
          <w:sz w:val="21"/>
          <w:szCs w:val="21"/>
          <w:highlight w:val="none"/>
          <w:u w:val="single"/>
        </w:rPr>
        <w:t>3</w:t>
      </w:r>
      <w:r>
        <w:rPr>
          <w:rFonts w:ascii="Times New Roman" w:hAnsi="Times New Roman"/>
          <w:bCs/>
          <w:color w:val="auto"/>
          <w:sz w:val="21"/>
          <w:szCs w:val="21"/>
          <w:highlight w:val="none"/>
          <w:u w:val="single"/>
        </w:rPr>
        <w:t>0</w:t>
      </w:r>
      <w:r>
        <w:rPr>
          <w:rFonts w:hint="eastAsia" w:ascii="Times New Roman" w:hAnsi="Times New Roman"/>
          <w:bCs/>
          <w:color w:val="auto"/>
          <w:sz w:val="21"/>
          <w:szCs w:val="21"/>
          <w:highlight w:val="none"/>
          <w:u w:val="single"/>
        </w:rPr>
        <w:t>万</w:t>
      </w:r>
      <w:r>
        <w:rPr>
          <w:rFonts w:ascii="Times New Roman" w:hAnsi="Times New Roman"/>
          <w:bCs/>
          <w:color w:val="auto"/>
          <w:sz w:val="21"/>
          <w:szCs w:val="21"/>
          <w:highlight w:val="none"/>
          <w:u w:val="single"/>
        </w:rPr>
        <w:t>元</w:t>
      </w:r>
      <w:r>
        <w:rPr>
          <w:rFonts w:hint="eastAsia" w:ascii="Times New Roman" w:hAnsi="Times New Roman"/>
          <w:bCs/>
          <w:color w:val="auto"/>
          <w:sz w:val="21"/>
          <w:szCs w:val="21"/>
          <w:highlight w:val="none"/>
          <w:u w:val="single"/>
        </w:rPr>
        <w:t>，</w:t>
      </w:r>
      <w:r>
        <w:rPr>
          <w:rFonts w:ascii="Times New Roman" w:hAnsi="Times New Roman"/>
          <w:bCs/>
          <w:color w:val="auto"/>
          <w:sz w:val="21"/>
          <w:szCs w:val="21"/>
          <w:highlight w:val="none"/>
          <w:u w:val="single"/>
        </w:rPr>
        <w:t>人员伤亡</w:t>
      </w:r>
      <w:r>
        <w:rPr>
          <w:rFonts w:hint="eastAsia" w:ascii="Times New Roman" w:hAnsi="Times New Roman"/>
          <w:bCs/>
          <w:color w:val="auto"/>
          <w:sz w:val="21"/>
          <w:szCs w:val="21"/>
          <w:highlight w:val="none"/>
          <w:u w:val="single"/>
        </w:rPr>
        <w:t>的违约责任按照签订的《</w:t>
      </w:r>
      <w:r>
        <w:rPr>
          <w:rFonts w:ascii="Times New Roman" w:hAnsi="Times New Roman"/>
          <w:bCs/>
          <w:color w:val="auto"/>
          <w:sz w:val="21"/>
          <w:szCs w:val="21"/>
          <w:highlight w:val="none"/>
          <w:u w:val="single"/>
        </w:rPr>
        <w:t>安全生产协议</w:t>
      </w:r>
      <w:r>
        <w:rPr>
          <w:rFonts w:hint="eastAsia" w:ascii="Times New Roman" w:hAnsi="Times New Roman"/>
          <w:bCs/>
          <w:color w:val="auto"/>
          <w:sz w:val="21"/>
          <w:szCs w:val="21"/>
          <w:highlight w:val="none"/>
          <w:u w:val="single"/>
        </w:rPr>
        <w:t>》规定执行</w:t>
      </w:r>
      <w:r>
        <w:rPr>
          <w:rFonts w:ascii="Times New Roman" w:hAnsi="Times New Roman"/>
          <w:bCs/>
          <w:color w:val="auto"/>
          <w:sz w:val="21"/>
          <w:szCs w:val="21"/>
          <w:highlight w:val="none"/>
          <w:u w:val="single"/>
        </w:rPr>
        <w:t>。</w:t>
      </w:r>
    </w:p>
    <w:p w14:paraId="224CE772">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（8）</w:t>
      </w:r>
      <w:r>
        <w:rPr>
          <w:rFonts w:ascii="Times New Roman" w:hAnsi="Times New Roman"/>
          <w:color w:val="auto"/>
          <w:sz w:val="21"/>
          <w:szCs w:val="21"/>
          <w:highlight w:val="none"/>
          <w:u w:val="single"/>
        </w:rPr>
        <w:t>工程</w:t>
      </w:r>
      <w:r>
        <w:rPr>
          <w:rFonts w:hint="eastAsia" w:ascii="Times New Roman" w:hAnsi="Times New Roman"/>
          <w:color w:val="auto"/>
          <w:sz w:val="21"/>
          <w:szCs w:val="21"/>
          <w:highlight w:val="none"/>
          <w:u w:val="single"/>
        </w:rPr>
        <w:t>竣工验收</w:t>
      </w:r>
      <w:r>
        <w:rPr>
          <w:rFonts w:ascii="Times New Roman" w:hAnsi="Times New Roman"/>
          <w:color w:val="auto"/>
          <w:sz w:val="21"/>
          <w:szCs w:val="21"/>
          <w:highlight w:val="none"/>
          <w:u w:val="single"/>
        </w:rPr>
        <w:t>质量达不到合格标准，除免费整改至合格外，承包人还应按合同总价的10%承担违约金，如该违约金不足以弥补因此而给发包人造成的全部损失，承包人还应予以补足。</w:t>
      </w:r>
    </w:p>
    <w:p w14:paraId="3AC9D906">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（9）</w:t>
      </w:r>
      <w:r>
        <w:rPr>
          <w:rFonts w:ascii="Times New Roman" w:hAnsi="Times New Roman"/>
          <w:color w:val="auto"/>
          <w:sz w:val="21"/>
          <w:szCs w:val="21"/>
          <w:highlight w:val="none"/>
          <w:u w:val="single"/>
        </w:rPr>
        <w:t>当发包人认为质量问题严重需要终止合同更换承包人，或承包人未能按发包人要求采取弥补质量</w:t>
      </w:r>
      <w:r>
        <w:rPr>
          <w:rFonts w:hint="eastAsia" w:ascii="Times New Roman" w:hAnsi="Times New Roman"/>
          <w:color w:val="auto"/>
          <w:sz w:val="21"/>
          <w:szCs w:val="21"/>
          <w:highlight w:val="none"/>
          <w:u w:val="single"/>
        </w:rPr>
        <w:t>问题时</w:t>
      </w:r>
      <w:r>
        <w:rPr>
          <w:rFonts w:ascii="Times New Roman" w:hAnsi="Times New Roman"/>
          <w:color w:val="auto"/>
          <w:sz w:val="21"/>
          <w:szCs w:val="21"/>
          <w:highlight w:val="none"/>
          <w:u w:val="single"/>
        </w:rPr>
        <w:t>，发包人有权单方解除合同更换承包人，承包人应承担发包人单方解除合同更换承包人而产生的全部费用，并向发包人支付合同总价10%</w:t>
      </w:r>
      <w:r>
        <w:rPr>
          <w:rFonts w:hint="eastAsia" w:ascii="Times New Roman" w:hAnsi="Times New Roman"/>
          <w:color w:val="auto"/>
          <w:sz w:val="21"/>
          <w:szCs w:val="21"/>
          <w:highlight w:val="none"/>
          <w:u w:val="single"/>
        </w:rPr>
        <w:t>的</w:t>
      </w:r>
      <w:r>
        <w:rPr>
          <w:rFonts w:ascii="Times New Roman" w:hAnsi="Times New Roman"/>
          <w:color w:val="auto"/>
          <w:sz w:val="21"/>
          <w:szCs w:val="21"/>
          <w:highlight w:val="none"/>
          <w:u w:val="single"/>
        </w:rPr>
        <w:t>违约金。发包人解除合同后，承包人应于</w:t>
      </w:r>
      <w:r>
        <w:rPr>
          <w:rFonts w:hint="eastAsia" w:ascii="Times New Roman" w:hAnsi="Times New Roman"/>
          <w:color w:val="auto"/>
          <w:sz w:val="21"/>
          <w:szCs w:val="21"/>
          <w:highlight w:val="none"/>
          <w:u w:val="single"/>
        </w:rPr>
        <w:t>30</w:t>
      </w:r>
      <w:r>
        <w:rPr>
          <w:rFonts w:ascii="Times New Roman" w:hAnsi="Times New Roman"/>
          <w:color w:val="auto"/>
          <w:sz w:val="21"/>
          <w:szCs w:val="21"/>
          <w:highlight w:val="none"/>
          <w:u w:val="single"/>
        </w:rPr>
        <w:t>天内撤离场地并完成技术资料移交并配合发包人对已完合格工程的结算。承包人不得因结算未完成拒不清场，承包人拒绝为后续承包单位提供工作界面的，发包人有权在结算时直接扣除因此导致的相关损失。</w:t>
      </w:r>
    </w:p>
    <w:p w14:paraId="23A2BBB4">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（1</w:t>
      </w:r>
      <w:r>
        <w:rPr>
          <w:rFonts w:hint="eastAsia" w:ascii="Times New Roman" w:hAnsi="Times New Roman"/>
          <w:color w:val="auto"/>
          <w:sz w:val="21"/>
          <w:szCs w:val="21"/>
          <w:highlight w:val="none"/>
          <w:u w:val="single"/>
        </w:rPr>
        <w:t>0</w:t>
      </w:r>
      <w:r>
        <w:rPr>
          <w:rFonts w:ascii="Times New Roman" w:hAnsi="Times New Roman"/>
          <w:color w:val="auto"/>
          <w:sz w:val="21"/>
          <w:szCs w:val="21"/>
          <w:highlight w:val="none"/>
          <w:u w:val="single"/>
        </w:rPr>
        <w:t>）双方约定的承包人其他违约责任：</w:t>
      </w:r>
    </w:p>
    <w:p w14:paraId="388B7B46">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①</w:t>
      </w:r>
      <w:r>
        <w:rPr>
          <w:rFonts w:ascii="Times New Roman" w:hAnsi="Times New Roman"/>
          <w:color w:val="auto"/>
          <w:sz w:val="21"/>
          <w:szCs w:val="21"/>
          <w:highlight w:val="none"/>
          <w:u w:val="single"/>
        </w:rPr>
        <w:t>承包</w:t>
      </w:r>
      <w:r>
        <w:rPr>
          <w:rFonts w:hint="eastAsia" w:ascii="Times New Roman" w:hAnsi="Times New Roman"/>
          <w:color w:val="auto"/>
          <w:sz w:val="21"/>
          <w:szCs w:val="21"/>
          <w:highlight w:val="none"/>
          <w:u w:val="single"/>
        </w:rPr>
        <w:t>人的</w:t>
      </w:r>
      <w:r>
        <w:rPr>
          <w:rFonts w:ascii="Times New Roman" w:hAnsi="Times New Roman"/>
          <w:color w:val="auto"/>
          <w:sz w:val="21"/>
          <w:szCs w:val="21"/>
          <w:highlight w:val="none"/>
          <w:u w:val="single"/>
        </w:rPr>
        <w:t>现场</w:t>
      </w:r>
      <w:r>
        <w:rPr>
          <w:rFonts w:hint="eastAsia" w:ascii="Times New Roman" w:hAnsi="Times New Roman"/>
          <w:color w:val="auto"/>
          <w:sz w:val="21"/>
          <w:szCs w:val="21"/>
          <w:highlight w:val="none"/>
          <w:u w:val="single"/>
        </w:rPr>
        <w:t>工作</w:t>
      </w:r>
      <w:r>
        <w:rPr>
          <w:rFonts w:ascii="Times New Roman" w:hAnsi="Times New Roman"/>
          <w:color w:val="auto"/>
          <w:sz w:val="21"/>
          <w:szCs w:val="21"/>
          <w:highlight w:val="none"/>
          <w:u w:val="single"/>
        </w:rPr>
        <w:t>人员，必须遵守劳动纪律</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履行岗位职责，对于任何不服从</w:t>
      </w:r>
      <w:r>
        <w:rPr>
          <w:rFonts w:hint="eastAsia" w:ascii="Times New Roman" w:hAnsi="Times New Roman"/>
          <w:color w:val="auto"/>
          <w:sz w:val="21"/>
          <w:szCs w:val="21"/>
          <w:highlight w:val="none"/>
          <w:u w:val="single"/>
        </w:rPr>
        <w:t>发包人和监理人的</w:t>
      </w:r>
      <w:r>
        <w:rPr>
          <w:rFonts w:ascii="Times New Roman" w:hAnsi="Times New Roman"/>
          <w:color w:val="auto"/>
          <w:sz w:val="21"/>
          <w:szCs w:val="21"/>
          <w:highlight w:val="none"/>
          <w:u w:val="single"/>
        </w:rPr>
        <w:t>管理和监督，出现上班时间酗酒</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无理取闹</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寻衅滋事的，处以2000元/人</w:t>
      </w:r>
      <w:r>
        <w:rPr>
          <w:rFonts w:hint="eastAsia" w:ascii="Times New Roman" w:hAnsi="Times New Roman"/>
          <w:color w:val="auto"/>
          <w:sz w:val="21"/>
          <w:szCs w:val="21"/>
          <w:highlight w:val="none"/>
          <w:u w:val="single"/>
        </w:rPr>
        <w:t>的</w:t>
      </w:r>
      <w:r>
        <w:rPr>
          <w:rFonts w:ascii="Times New Roman" w:hAnsi="Times New Roman"/>
          <w:color w:val="auto"/>
          <w:sz w:val="21"/>
          <w:szCs w:val="21"/>
          <w:highlight w:val="none"/>
          <w:u w:val="single"/>
        </w:rPr>
        <w:t>违约金，情节严重的清退离场。</w:t>
      </w:r>
      <w:r>
        <w:rPr>
          <w:rFonts w:hint="eastAsia" w:ascii="Times New Roman" w:hAnsi="Times New Roman"/>
          <w:color w:val="auto"/>
          <w:sz w:val="21"/>
          <w:szCs w:val="21"/>
          <w:highlight w:val="none"/>
          <w:u w:val="single"/>
        </w:rPr>
        <w:t>引发</w:t>
      </w:r>
      <w:r>
        <w:rPr>
          <w:rFonts w:ascii="Times New Roman" w:hAnsi="Times New Roman"/>
          <w:color w:val="auto"/>
          <w:sz w:val="21"/>
          <w:szCs w:val="21"/>
          <w:highlight w:val="none"/>
          <w:u w:val="single"/>
        </w:rPr>
        <w:t>上访、堵门、堵路等不良影响事件的，处以10万元</w:t>
      </w:r>
      <w:r>
        <w:rPr>
          <w:rFonts w:hint="eastAsia" w:ascii="Times New Roman" w:hAnsi="Times New Roman"/>
          <w:color w:val="auto"/>
          <w:sz w:val="21"/>
          <w:szCs w:val="21"/>
          <w:highlight w:val="none"/>
          <w:u w:val="single"/>
        </w:rPr>
        <w:t>以上</w:t>
      </w:r>
      <w:r>
        <w:rPr>
          <w:rFonts w:ascii="Times New Roman" w:hAnsi="Times New Roman"/>
          <w:color w:val="auto"/>
          <w:sz w:val="21"/>
          <w:szCs w:val="21"/>
          <w:highlight w:val="none"/>
          <w:u w:val="single"/>
        </w:rPr>
        <w:t>的违约金，构成犯罪的移交司法相关部门处理。</w:t>
      </w:r>
    </w:p>
    <w:p w14:paraId="4AE2A8BB">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②</w:t>
      </w:r>
      <w:r>
        <w:rPr>
          <w:rFonts w:ascii="Times New Roman" w:hAnsi="Times New Roman"/>
          <w:color w:val="auto"/>
          <w:sz w:val="21"/>
          <w:szCs w:val="21"/>
          <w:highlight w:val="none"/>
          <w:u w:val="single"/>
        </w:rPr>
        <w:t>承包人参加现场例会</w:t>
      </w:r>
      <w:r>
        <w:rPr>
          <w:rFonts w:hint="eastAsia" w:ascii="Times New Roman" w:hAnsi="Times New Roman"/>
          <w:color w:val="auto"/>
          <w:sz w:val="21"/>
          <w:szCs w:val="21"/>
          <w:highlight w:val="none"/>
          <w:u w:val="single"/>
        </w:rPr>
        <w:t>应</w:t>
      </w:r>
      <w:r>
        <w:rPr>
          <w:rFonts w:ascii="Times New Roman" w:hAnsi="Times New Roman"/>
          <w:color w:val="auto"/>
          <w:sz w:val="21"/>
          <w:szCs w:val="21"/>
          <w:highlight w:val="none"/>
          <w:u w:val="single"/>
        </w:rPr>
        <w:t>有以下人员：项目经理、</w:t>
      </w:r>
      <w:r>
        <w:rPr>
          <w:rFonts w:hint="eastAsia" w:ascii="Times New Roman" w:hAnsi="Times New Roman"/>
          <w:color w:val="auto"/>
          <w:sz w:val="21"/>
          <w:szCs w:val="21"/>
          <w:highlight w:val="none"/>
          <w:u w:val="single"/>
        </w:rPr>
        <w:t>生产经理</w:t>
      </w:r>
      <w:r>
        <w:rPr>
          <w:rFonts w:ascii="Times New Roman" w:hAnsi="Times New Roman"/>
          <w:color w:val="auto"/>
          <w:sz w:val="21"/>
          <w:szCs w:val="21"/>
          <w:highlight w:val="none"/>
          <w:u w:val="single"/>
        </w:rPr>
        <w:t>、技术负责人、质量员</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安全员</w:t>
      </w:r>
      <w:r>
        <w:rPr>
          <w:rFonts w:hint="eastAsia" w:ascii="Times New Roman" w:hAnsi="Times New Roman"/>
          <w:color w:val="auto"/>
          <w:sz w:val="21"/>
          <w:szCs w:val="21"/>
          <w:highlight w:val="none"/>
          <w:u w:val="single"/>
        </w:rPr>
        <w:t>及资料员</w:t>
      </w:r>
      <w:r>
        <w:rPr>
          <w:rFonts w:ascii="Times New Roman" w:hAnsi="Times New Roman"/>
          <w:color w:val="auto"/>
          <w:sz w:val="21"/>
          <w:szCs w:val="21"/>
          <w:highlight w:val="none"/>
          <w:u w:val="single"/>
        </w:rPr>
        <w:t>等。参会人员不得迟到，有事必须</w:t>
      </w:r>
      <w:r>
        <w:rPr>
          <w:rFonts w:hint="eastAsia" w:ascii="Times New Roman" w:hAnsi="Times New Roman"/>
          <w:color w:val="auto"/>
          <w:sz w:val="21"/>
          <w:szCs w:val="21"/>
          <w:highlight w:val="none"/>
          <w:u w:val="single"/>
        </w:rPr>
        <w:t>书面</w:t>
      </w:r>
      <w:r>
        <w:rPr>
          <w:rFonts w:ascii="Times New Roman" w:hAnsi="Times New Roman"/>
          <w:color w:val="auto"/>
          <w:sz w:val="21"/>
          <w:szCs w:val="21"/>
          <w:highlight w:val="none"/>
          <w:u w:val="single"/>
        </w:rPr>
        <w:t>请假，迟到一次</w:t>
      </w:r>
      <w:r>
        <w:rPr>
          <w:rFonts w:hint="eastAsia" w:ascii="Times New Roman" w:hAnsi="Times New Roman"/>
          <w:color w:val="auto"/>
          <w:sz w:val="21"/>
          <w:szCs w:val="21"/>
          <w:highlight w:val="none"/>
          <w:u w:val="single"/>
        </w:rPr>
        <w:t>应支付</w:t>
      </w:r>
      <w:r>
        <w:rPr>
          <w:rFonts w:ascii="Times New Roman" w:hAnsi="Times New Roman"/>
          <w:color w:val="auto"/>
          <w:sz w:val="21"/>
          <w:szCs w:val="21"/>
          <w:highlight w:val="none"/>
          <w:u w:val="single"/>
        </w:rPr>
        <w:t>违约金200元，无故缺席一次</w:t>
      </w:r>
      <w:r>
        <w:rPr>
          <w:rFonts w:hint="eastAsia" w:ascii="Times New Roman" w:hAnsi="Times New Roman"/>
          <w:color w:val="auto"/>
          <w:sz w:val="21"/>
          <w:szCs w:val="21"/>
          <w:highlight w:val="none"/>
          <w:u w:val="single"/>
        </w:rPr>
        <w:t>应支付</w:t>
      </w:r>
      <w:r>
        <w:rPr>
          <w:rFonts w:ascii="Times New Roman" w:hAnsi="Times New Roman"/>
          <w:color w:val="auto"/>
          <w:sz w:val="21"/>
          <w:szCs w:val="21"/>
          <w:highlight w:val="none"/>
          <w:u w:val="single"/>
        </w:rPr>
        <w:t>违约金500元。</w:t>
      </w:r>
    </w:p>
    <w:p w14:paraId="19ED96BE">
      <w:pPr>
        <w:spacing w:line="360" w:lineRule="auto"/>
        <w:ind w:firstLine="210" w:firstLineChars="100"/>
        <w:rPr>
          <w:rFonts w:ascii="Times New Roman" w:hAnsi="Times New Roman"/>
          <w:color w:val="auto"/>
          <w:sz w:val="21"/>
          <w:szCs w:val="21"/>
          <w:highlight w:val="none"/>
          <w:u w:val="single"/>
        </w:rPr>
      </w:pPr>
      <w:r>
        <w:rPr>
          <w:rFonts w:hint="eastAsia" w:cs="宋体"/>
          <w:color w:val="auto"/>
          <w:sz w:val="21"/>
          <w:szCs w:val="21"/>
          <w:highlight w:val="none"/>
          <w:u w:val="single"/>
        </w:rPr>
        <w:t>③</w:t>
      </w:r>
      <w:r>
        <w:rPr>
          <w:rFonts w:ascii="Times New Roman" w:hAnsi="Times New Roman"/>
          <w:color w:val="auto"/>
          <w:sz w:val="21"/>
          <w:szCs w:val="21"/>
          <w:highlight w:val="none"/>
          <w:u w:val="single"/>
        </w:rPr>
        <w:t>承包人</w:t>
      </w:r>
      <w:r>
        <w:rPr>
          <w:rFonts w:hint="eastAsia" w:ascii="Times New Roman" w:hAnsi="Times New Roman"/>
          <w:color w:val="auto"/>
          <w:sz w:val="21"/>
          <w:szCs w:val="21"/>
          <w:highlight w:val="none"/>
          <w:u w:val="single"/>
        </w:rPr>
        <w:t>的</w:t>
      </w:r>
      <w:r>
        <w:rPr>
          <w:rFonts w:ascii="Times New Roman" w:hAnsi="Times New Roman"/>
          <w:color w:val="auto"/>
          <w:sz w:val="21"/>
          <w:szCs w:val="21"/>
          <w:highlight w:val="none"/>
          <w:u w:val="single"/>
        </w:rPr>
        <w:t>安全管理人员必须</w:t>
      </w:r>
      <w:r>
        <w:rPr>
          <w:rFonts w:hint="eastAsia" w:ascii="Times New Roman" w:hAnsi="Times New Roman"/>
          <w:color w:val="auto"/>
          <w:sz w:val="21"/>
          <w:szCs w:val="21"/>
          <w:highlight w:val="none"/>
          <w:u w:val="single"/>
        </w:rPr>
        <w:t>足额配备并</w:t>
      </w:r>
      <w:r>
        <w:rPr>
          <w:rFonts w:ascii="Times New Roman" w:hAnsi="Times New Roman"/>
          <w:color w:val="auto"/>
          <w:sz w:val="21"/>
          <w:szCs w:val="21"/>
          <w:highlight w:val="none"/>
          <w:u w:val="single"/>
        </w:rPr>
        <w:t>持证上岗</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如监理</w:t>
      </w:r>
      <w:r>
        <w:rPr>
          <w:rFonts w:hint="eastAsia" w:ascii="Times New Roman" w:hAnsi="Times New Roman"/>
          <w:color w:val="auto"/>
          <w:sz w:val="21"/>
          <w:szCs w:val="21"/>
          <w:highlight w:val="none"/>
          <w:u w:val="single"/>
        </w:rPr>
        <w:t>人</w:t>
      </w:r>
      <w:r>
        <w:rPr>
          <w:rFonts w:ascii="Times New Roman" w:hAnsi="Times New Roman"/>
          <w:color w:val="auto"/>
          <w:sz w:val="21"/>
          <w:szCs w:val="21"/>
          <w:highlight w:val="none"/>
          <w:u w:val="single"/>
        </w:rPr>
        <w:t>和发包</w:t>
      </w:r>
      <w:r>
        <w:rPr>
          <w:rFonts w:hint="eastAsia" w:ascii="Times New Roman" w:hAnsi="Times New Roman"/>
          <w:color w:val="auto"/>
          <w:sz w:val="21"/>
          <w:szCs w:val="21"/>
          <w:highlight w:val="none"/>
          <w:u w:val="single"/>
        </w:rPr>
        <w:t>人</w:t>
      </w:r>
      <w:r>
        <w:rPr>
          <w:rFonts w:ascii="Times New Roman" w:hAnsi="Times New Roman"/>
          <w:color w:val="auto"/>
          <w:sz w:val="21"/>
          <w:szCs w:val="21"/>
          <w:highlight w:val="none"/>
          <w:u w:val="single"/>
        </w:rPr>
        <w:t>发现有</w:t>
      </w:r>
      <w:r>
        <w:rPr>
          <w:rFonts w:hint="eastAsia" w:ascii="Times New Roman" w:hAnsi="Times New Roman"/>
          <w:color w:val="auto"/>
          <w:sz w:val="21"/>
          <w:szCs w:val="21"/>
          <w:highlight w:val="none"/>
          <w:u w:val="single"/>
        </w:rPr>
        <w:t>安全隐患</w:t>
      </w:r>
      <w:r>
        <w:rPr>
          <w:rFonts w:ascii="Times New Roman" w:hAnsi="Times New Roman"/>
          <w:color w:val="auto"/>
          <w:sz w:val="21"/>
          <w:szCs w:val="21"/>
          <w:highlight w:val="none"/>
          <w:u w:val="single"/>
        </w:rPr>
        <w:t>，经告知仍不</w:t>
      </w:r>
      <w:r>
        <w:rPr>
          <w:rFonts w:hint="eastAsia" w:ascii="Times New Roman" w:hAnsi="Times New Roman"/>
          <w:color w:val="auto"/>
          <w:sz w:val="21"/>
          <w:szCs w:val="21"/>
          <w:highlight w:val="none"/>
          <w:u w:val="single"/>
        </w:rPr>
        <w:t>及时</w:t>
      </w:r>
      <w:r>
        <w:rPr>
          <w:rFonts w:ascii="Times New Roman" w:hAnsi="Times New Roman"/>
          <w:color w:val="auto"/>
          <w:sz w:val="21"/>
          <w:szCs w:val="21"/>
          <w:highlight w:val="none"/>
          <w:u w:val="single"/>
        </w:rPr>
        <w:t>改正时，</w:t>
      </w:r>
      <w:r>
        <w:rPr>
          <w:rFonts w:hint="eastAsia" w:ascii="Times New Roman" w:hAnsi="Times New Roman"/>
          <w:color w:val="auto"/>
          <w:sz w:val="21"/>
          <w:szCs w:val="21"/>
          <w:highlight w:val="none"/>
          <w:u w:val="single"/>
        </w:rPr>
        <w:t>支付50</w:t>
      </w:r>
      <w:r>
        <w:rPr>
          <w:rFonts w:ascii="Times New Roman" w:hAnsi="Times New Roman"/>
          <w:color w:val="auto"/>
          <w:sz w:val="21"/>
          <w:szCs w:val="21"/>
          <w:highlight w:val="none"/>
          <w:u w:val="single"/>
        </w:rPr>
        <w:t>00元</w:t>
      </w:r>
      <w:r>
        <w:rPr>
          <w:rFonts w:hint="eastAsia" w:ascii="Times New Roman" w:hAnsi="Times New Roman"/>
          <w:color w:val="auto"/>
          <w:sz w:val="21"/>
          <w:szCs w:val="21"/>
          <w:highlight w:val="none"/>
          <w:u w:val="single"/>
        </w:rPr>
        <w:t>/次</w:t>
      </w:r>
      <w:r>
        <w:rPr>
          <w:rFonts w:ascii="Times New Roman" w:hAnsi="Times New Roman"/>
          <w:color w:val="auto"/>
          <w:sz w:val="21"/>
          <w:szCs w:val="21"/>
          <w:highlight w:val="none"/>
          <w:u w:val="single"/>
        </w:rPr>
        <w:t>违约金</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出现安全事故，承包人承担一切责任。</w:t>
      </w:r>
    </w:p>
    <w:p w14:paraId="26CE366F">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④</w:t>
      </w:r>
      <w:r>
        <w:rPr>
          <w:rFonts w:ascii="Times New Roman" w:hAnsi="Times New Roman"/>
          <w:color w:val="auto"/>
          <w:sz w:val="21"/>
          <w:szCs w:val="21"/>
          <w:highlight w:val="none"/>
          <w:u w:val="single"/>
        </w:rPr>
        <w:t>施工现场人员自身的安全防护措施不到位，如：不带安全帽、穿拖鞋、酒后上岗作业、光膀子及穿短裤、高处作业不系安全带等，</w:t>
      </w:r>
      <w:r>
        <w:rPr>
          <w:rFonts w:hint="eastAsia" w:ascii="Times New Roman" w:hAnsi="Times New Roman"/>
          <w:color w:val="auto"/>
          <w:sz w:val="21"/>
          <w:szCs w:val="21"/>
          <w:highlight w:val="none"/>
          <w:u w:val="single"/>
        </w:rPr>
        <w:t>支付2</w:t>
      </w:r>
      <w:r>
        <w:rPr>
          <w:rFonts w:ascii="Times New Roman" w:hAnsi="Times New Roman"/>
          <w:color w:val="auto"/>
          <w:sz w:val="21"/>
          <w:szCs w:val="21"/>
          <w:highlight w:val="none"/>
          <w:u w:val="single"/>
        </w:rPr>
        <w:t>00元/人</w:t>
      </w:r>
      <w:r>
        <w:rPr>
          <w:rFonts w:hint="eastAsia" w:ascii="Times New Roman" w:hAnsi="Times New Roman"/>
          <w:color w:val="auto"/>
          <w:sz w:val="21"/>
          <w:szCs w:val="21"/>
          <w:highlight w:val="none"/>
          <w:u w:val="single"/>
        </w:rPr>
        <w:t>/次</w:t>
      </w:r>
      <w:r>
        <w:rPr>
          <w:rFonts w:ascii="Times New Roman" w:hAnsi="Times New Roman"/>
          <w:color w:val="auto"/>
          <w:sz w:val="21"/>
          <w:szCs w:val="21"/>
          <w:highlight w:val="none"/>
          <w:u w:val="single"/>
        </w:rPr>
        <w:t>违约金。</w:t>
      </w:r>
    </w:p>
    <w:p w14:paraId="7518CA2E">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⑤</w:t>
      </w:r>
      <w:r>
        <w:rPr>
          <w:rFonts w:ascii="Times New Roman" w:hAnsi="Times New Roman"/>
          <w:color w:val="auto"/>
          <w:sz w:val="21"/>
          <w:szCs w:val="21"/>
          <w:highlight w:val="none"/>
          <w:u w:val="single"/>
        </w:rPr>
        <w:t>对于</w:t>
      </w:r>
      <w:r>
        <w:rPr>
          <w:rFonts w:hint="eastAsia" w:ascii="Times New Roman" w:hAnsi="Times New Roman"/>
          <w:color w:val="auto"/>
          <w:sz w:val="21"/>
          <w:szCs w:val="21"/>
          <w:highlight w:val="none"/>
          <w:u w:val="single"/>
        </w:rPr>
        <w:t>承包人</w:t>
      </w:r>
      <w:r>
        <w:rPr>
          <w:rFonts w:ascii="Times New Roman" w:hAnsi="Times New Roman"/>
          <w:color w:val="auto"/>
          <w:sz w:val="21"/>
          <w:szCs w:val="21"/>
          <w:highlight w:val="none"/>
          <w:u w:val="single"/>
        </w:rPr>
        <w:t>拒接工程处罚通知单的行为，进行加倍处罚。</w:t>
      </w:r>
    </w:p>
    <w:p w14:paraId="59997559">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⑥</w:t>
      </w:r>
      <w:r>
        <w:rPr>
          <w:rFonts w:ascii="Times New Roman" w:hAnsi="Times New Roman"/>
          <w:color w:val="auto"/>
          <w:sz w:val="21"/>
          <w:szCs w:val="21"/>
          <w:highlight w:val="none"/>
          <w:u w:val="single"/>
        </w:rPr>
        <w:t>合同及本管理制度中其他未提及的违规事宜，按现场情节给予相应处罚。</w:t>
      </w:r>
    </w:p>
    <w:p w14:paraId="6E883A99">
      <w:pPr>
        <w:spacing w:line="360" w:lineRule="auto"/>
        <w:ind w:firstLine="210" w:firstLineChars="100"/>
        <w:rPr>
          <w:rFonts w:ascii="Times New Roman" w:hAnsi="Times New Roman"/>
          <w:b/>
          <w:bCs/>
          <w:color w:val="auto"/>
          <w:sz w:val="21"/>
          <w:szCs w:val="21"/>
          <w:highlight w:val="none"/>
        </w:rPr>
      </w:pPr>
      <w:bookmarkStart w:id="745" w:name="_Toc351203649"/>
      <w:r>
        <w:rPr>
          <w:rFonts w:ascii="Times New Roman" w:hAnsi="Times New Roman"/>
          <w:b/>
          <w:bCs/>
          <w:color w:val="auto"/>
          <w:sz w:val="21"/>
          <w:szCs w:val="21"/>
          <w:highlight w:val="none"/>
        </w:rPr>
        <w:t>17. 不可抗力</w:t>
      </w:r>
      <w:bookmarkEnd w:id="743"/>
      <w:bookmarkEnd w:id="745"/>
    </w:p>
    <w:p w14:paraId="320FFCAE">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17.1 不可抗力的确认</w:t>
      </w:r>
    </w:p>
    <w:p w14:paraId="7F244FE0">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除通用合同条款约定的不可抗力事件之外，视为不可抗力的其他情形：</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lang w:val="en-US" w:eastAsia="zh-CN"/>
        </w:rPr>
        <w:t>特殊天气、环保政策、其他政策</w:t>
      </w:r>
      <w:r>
        <w:rPr>
          <w:rFonts w:ascii="Times New Roman" w:hAnsi="Times New Roman"/>
          <w:color w:val="auto"/>
          <w:sz w:val="21"/>
          <w:szCs w:val="21"/>
          <w:highlight w:val="none"/>
          <w:u w:val="single"/>
        </w:rPr>
        <w:t>。</w:t>
      </w:r>
    </w:p>
    <w:p w14:paraId="1B3EA15E">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17.4 因不可抗力解除合同</w:t>
      </w:r>
    </w:p>
    <w:p w14:paraId="0C031ED7">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合同解除后，发包人应在商定或确定发包人应支付款项后</w:t>
      </w:r>
      <w:r>
        <w:rPr>
          <w:rFonts w:ascii="Times New Roman" w:hAnsi="Times New Roman"/>
          <w:color w:val="auto"/>
          <w:sz w:val="21"/>
          <w:szCs w:val="21"/>
          <w:highlight w:val="none"/>
          <w:u w:val="single"/>
        </w:rPr>
        <w:t>28天</w:t>
      </w:r>
      <w:r>
        <w:rPr>
          <w:rFonts w:ascii="Times New Roman" w:hAnsi="Times New Roman"/>
          <w:color w:val="auto"/>
          <w:sz w:val="21"/>
          <w:szCs w:val="21"/>
          <w:highlight w:val="none"/>
        </w:rPr>
        <w:t>内完成款项的支付。</w:t>
      </w:r>
    </w:p>
    <w:p w14:paraId="652E353A">
      <w:pPr>
        <w:spacing w:line="360" w:lineRule="auto"/>
        <w:ind w:firstLine="210" w:firstLineChars="100"/>
        <w:rPr>
          <w:rFonts w:ascii="Times New Roman" w:hAnsi="Times New Roman"/>
          <w:b/>
          <w:bCs/>
          <w:color w:val="auto"/>
          <w:sz w:val="21"/>
          <w:szCs w:val="21"/>
          <w:highlight w:val="none"/>
        </w:rPr>
      </w:pPr>
      <w:bookmarkStart w:id="746" w:name="_Toc351203650"/>
      <w:r>
        <w:rPr>
          <w:rFonts w:ascii="Times New Roman" w:hAnsi="Times New Roman"/>
          <w:b/>
          <w:bCs/>
          <w:color w:val="auto"/>
          <w:sz w:val="21"/>
          <w:szCs w:val="21"/>
          <w:highlight w:val="none"/>
        </w:rPr>
        <w:t>18. 保险</w:t>
      </w:r>
      <w:bookmarkEnd w:id="746"/>
    </w:p>
    <w:bookmarkEnd w:id="744"/>
    <w:p w14:paraId="0889E6A8">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18.1 工程保险</w:t>
      </w:r>
    </w:p>
    <w:p w14:paraId="37BCB22F">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关于工程保险的特别约定：</w:t>
      </w:r>
      <w:r>
        <w:rPr>
          <w:rFonts w:ascii="Times New Roman" w:hAnsi="Times New Roman"/>
          <w:color w:val="auto"/>
          <w:sz w:val="21"/>
          <w:szCs w:val="21"/>
          <w:highlight w:val="none"/>
          <w:u w:val="single"/>
        </w:rPr>
        <w:t>执行《通用条款》</w:t>
      </w:r>
      <w:r>
        <w:rPr>
          <w:rFonts w:hint="eastAsia" w:ascii="Times New Roman" w:hAnsi="Times New Roman"/>
          <w:color w:val="auto"/>
          <w:sz w:val="21"/>
          <w:szCs w:val="21"/>
          <w:highlight w:val="none"/>
          <w:u w:val="single"/>
        </w:rPr>
        <w:t>，并执行《陕西省建筑施工安全生产责任保险实施方案》（陕建发〔2020〕177号）的要求</w:t>
      </w:r>
      <w:r>
        <w:rPr>
          <w:rFonts w:ascii="Times New Roman" w:hAnsi="Times New Roman"/>
          <w:color w:val="auto"/>
          <w:sz w:val="21"/>
          <w:szCs w:val="21"/>
          <w:highlight w:val="none"/>
          <w:u w:val="single"/>
        </w:rPr>
        <w:t>。</w:t>
      </w:r>
    </w:p>
    <w:p w14:paraId="17222189">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18.3 其他保险</w:t>
      </w:r>
    </w:p>
    <w:p w14:paraId="12EEFA01">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关于其他保险的约定：</w:t>
      </w:r>
      <w:r>
        <w:rPr>
          <w:rFonts w:ascii="Times New Roman" w:hAnsi="Times New Roman"/>
          <w:color w:val="auto"/>
          <w:sz w:val="21"/>
          <w:szCs w:val="21"/>
          <w:highlight w:val="none"/>
          <w:u w:val="single"/>
        </w:rPr>
        <w:t>执行《通用条款》。</w:t>
      </w:r>
    </w:p>
    <w:p w14:paraId="1ECC01F2">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承包人是否应为其施工设备等办理财产保险：</w:t>
      </w:r>
      <w:r>
        <w:rPr>
          <w:rFonts w:ascii="Times New Roman" w:hAnsi="Times New Roman"/>
          <w:color w:val="auto"/>
          <w:sz w:val="21"/>
          <w:szCs w:val="21"/>
          <w:highlight w:val="none"/>
          <w:u w:val="single"/>
        </w:rPr>
        <w:t>是 。</w:t>
      </w:r>
    </w:p>
    <w:p w14:paraId="1BD373D4">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18.7 通知义务</w:t>
      </w:r>
    </w:p>
    <w:p w14:paraId="51289E53">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关于变更保险合同时的通知义务的约定：</w:t>
      </w:r>
      <w:r>
        <w:rPr>
          <w:rFonts w:ascii="Times New Roman" w:hAnsi="Times New Roman"/>
          <w:color w:val="auto"/>
          <w:sz w:val="21"/>
          <w:szCs w:val="21"/>
          <w:highlight w:val="none"/>
          <w:u w:val="single"/>
        </w:rPr>
        <w:t>执行《通用条款》。</w:t>
      </w:r>
    </w:p>
    <w:bookmarkEnd w:id="718"/>
    <w:bookmarkEnd w:id="719"/>
    <w:bookmarkEnd w:id="720"/>
    <w:bookmarkEnd w:id="721"/>
    <w:bookmarkEnd w:id="722"/>
    <w:bookmarkEnd w:id="723"/>
    <w:bookmarkEnd w:id="724"/>
    <w:bookmarkEnd w:id="725"/>
    <w:bookmarkEnd w:id="726"/>
    <w:bookmarkEnd w:id="727"/>
    <w:bookmarkEnd w:id="728"/>
    <w:bookmarkEnd w:id="729"/>
    <w:p w14:paraId="5CF7F5BE">
      <w:pPr>
        <w:spacing w:line="360" w:lineRule="auto"/>
        <w:ind w:firstLine="210" w:firstLineChars="100"/>
        <w:rPr>
          <w:rFonts w:ascii="Times New Roman" w:hAnsi="Times New Roman"/>
          <w:b/>
          <w:bCs/>
          <w:color w:val="auto"/>
          <w:sz w:val="21"/>
          <w:szCs w:val="21"/>
          <w:highlight w:val="none"/>
        </w:rPr>
      </w:pPr>
      <w:bookmarkStart w:id="747" w:name="_Toc351203651"/>
      <w:r>
        <w:rPr>
          <w:rFonts w:ascii="Times New Roman" w:hAnsi="Times New Roman"/>
          <w:b/>
          <w:bCs/>
          <w:color w:val="auto"/>
          <w:sz w:val="21"/>
          <w:szCs w:val="21"/>
          <w:highlight w:val="none"/>
        </w:rPr>
        <w:t>20. 争议解决</w:t>
      </w:r>
      <w:bookmarkEnd w:id="747"/>
    </w:p>
    <w:bookmarkEnd w:id="730"/>
    <w:bookmarkEnd w:id="731"/>
    <w:bookmarkEnd w:id="732"/>
    <w:p w14:paraId="7898C106">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20.2调解</w:t>
      </w:r>
    </w:p>
    <w:p w14:paraId="684B7005">
      <w:pPr>
        <w:spacing w:line="360" w:lineRule="auto"/>
        <w:ind w:firstLine="210" w:firstLineChars="100"/>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双方当事人约定，在履行合同过程中产生争议时：</w:t>
      </w:r>
      <w:r>
        <w:rPr>
          <w:rFonts w:hint="eastAsia" w:ascii="Times New Roman" w:hAnsi="Times New Roman"/>
          <w:color w:val="auto"/>
          <w:sz w:val="21"/>
          <w:szCs w:val="21"/>
          <w:highlight w:val="none"/>
          <w:u w:val="single"/>
          <w:lang w:val="en-US" w:eastAsia="zh-CN"/>
        </w:rPr>
        <w:t>项目单位、发包人、承包人协商解决</w:t>
      </w:r>
    </w:p>
    <w:p w14:paraId="04753E00">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20.4仲裁或诉讼</w:t>
      </w:r>
      <w:bookmarkEnd w:id="733"/>
    </w:p>
    <w:p w14:paraId="09D6D15E">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因合同及合同有关事项发生的争议，按下列第</w:t>
      </w:r>
      <w:r>
        <w:rPr>
          <w:rFonts w:ascii="Times New Roman" w:hAnsi="Times New Roman"/>
          <w:color w:val="auto"/>
          <w:sz w:val="21"/>
          <w:szCs w:val="21"/>
          <w:highlight w:val="none"/>
          <w:u w:val="single"/>
        </w:rPr>
        <w:t>（2）</w:t>
      </w:r>
      <w:r>
        <w:rPr>
          <w:rFonts w:ascii="Times New Roman" w:hAnsi="Times New Roman"/>
          <w:color w:val="auto"/>
          <w:sz w:val="21"/>
          <w:szCs w:val="21"/>
          <w:highlight w:val="none"/>
        </w:rPr>
        <w:t>种方式解决：</w:t>
      </w:r>
    </w:p>
    <w:p w14:paraId="418D73D0">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（1）向/仲裁委员会申请仲裁；</w:t>
      </w:r>
    </w:p>
    <w:p w14:paraId="0D06453E">
      <w:pPr>
        <w:spacing w:line="360" w:lineRule="auto"/>
        <w:ind w:firstLine="210" w:firstLineChars="100"/>
        <w:rPr>
          <w:rFonts w:ascii="Times New Roman" w:hAnsi="Times New Roman"/>
          <w:color w:val="auto"/>
          <w:sz w:val="21"/>
          <w:szCs w:val="21"/>
          <w:highlight w:val="none"/>
        </w:rPr>
      </w:pPr>
      <w:r>
        <w:rPr>
          <w:rFonts w:ascii="Times New Roman" w:hAnsi="Times New Roman"/>
          <w:color w:val="auto"/>
          <w:sz w:val="21"/>
          <w:szCs w:val="21"/>
          <w:highlight w:val="none"/>
        </w:rPr>
        <w:t>（2）向</w:t>
      </w:r>
      <w:r>
        <w:rPr>
          <w:rFonts w:hint="eastAsia" w:ascii="Times New Roman" w:hAnsi="Times New Roman"/>
          <w:color w:val="auto"/>
          <w:sz w:val="21"/>
          <w:szCs w:val="21"/>
          <w:highlight w:val="none"/>
          <w:u w:val="single"/>
        </w:rPr>
        <w:t>项目所在地人民法院</w:t>
      </w:r>
      <w:r>
        <w:rPr>
          <w:rFonts w:ascii="Times New Roman" w:hAnsi="Times New Roman"/>
          <w:color w:val="auto"/>
          <w:sz w:val="21"/>
          <w:szCs w:val="21"/>
          <w:highlight w:val="none"/>
        </w:rPr>
        <w:t>起诉。</w:t>
      </w:r>
      <w:bookmarkEnd w:id="734"/>
      <w:bookmarkEnd w:id="735"/>
      <w:bookmarkEnd w:id="736"/>
      <w:bookmarkEnd w:id="737"/>
      <w:bookmarkEnd w:id="738"/>
      <w:bookmarkEnd w:id="739"/>
    </w:p>
    <w:p w14:paraId="1D0CAC74">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21．合同解除</w:t>
      </w:r>
    </w:p>
    <w:p w14:paraId="022787E5">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rPr>
        <w:t>21.1 承包人在工程进度、质量、安全等方面出现下列情况时，发包人有权终止与承包人的施工合同：</w:t>
      </w:r>
      <w:r>
        <w:rPr>
          <w:rFonts w:hint="eastAsia" w:cs="宋体"/>
          <w:color w:val="auto"/>
          <w:sz w:val="21"/>
          <w:szCs w:val="21"/>
          <w:highlight w:val="none"/>
          <w:u w:val="single"/>
        </w:rPr>
        <w:t>①</w:t>
      </w:r>
      <w:r>
        <w:rPr>
          <w:rFonts w:ascii="Times New Roman" w:hAnsi="Times New Roman"/>
          <w:color w:val="auto"/>
          <w:sz w:val="21"/>
          <w:szCs w:val="21"/>
          <w:highlight w:val="none"/>
          <w:u w:val="single"/>
        </w:rPr>
        <w:t>进度方面：工程关键节点进度不能按计划完成，延误工期超过该节点计划工期20天时，并且不能采取令</w:t>
      </w:r>
      <w:r>
        <w:rPr>
          <w:rFonts w:hint="eastAsia" w:ascii="Times New Roman" w:hAnsi="Times New Roman"/>
          <w:color w:val="auto"/>
          <w:sz w:val="21"/>
          <w:szCs w:val="21"/>
          <w:highlight w:val="none"/>
          <w:u w:val="single"/>
          <w:lang w:val="en-US" w:eastAsia="zh-CN"/>
        </w:rPr>
        <w:t>项目单位、</w:t>
      </w:r>
      <w:r>
        <w:rPr>
          <w:rFonts w:ascii="Times New Roman" w:hAnsi="Times New Roman"/>
          <w:color w:val="auto"/>
          <w:sz w:val="21"/>
          <w:szCs w:val="21"/>
          <w:highlight w:val="none"/>
          <w:u w:val="single"/>
        </w:rPr>
        <w:t>发包人信服的赶工补救措施。</w:t>
      </w:r>
      <w:r>
        <w:rPr>
          <w:rFonts w:hint="eastAsia" w:cs="宋体"/>
          <w:color w:val="auto"/>
          <w:sz w:val="21"/>
          <w:szCs w:val="21"/>
          <w:highlight w:val="none"/>
          <w:u w:val="single"/>
        </w:rPr>
        <w:t>②</w:t>
      </w:r>
      <w:r>
        <w:rPr>
          <w:rFonts w:ascii="Times New Roman" w:hAnsi="Times New Roman"/>
          <w:color w:val="auto"/>
          <w:sz w:val="21"/>
          <w:szCs w:val="21"/>
          <w:highlight w:val="none"/>
          <w:u w:val="single"/>
        </w:rPr>
        <w:t>质量方面：a.出现重大质量问题，经</w:t>
      </w:r>
      <w:r>
        <w:rPr>
          <w:rFonts w:hint="eastAsia" w:ascii="Times New Roman" w:hAnsi="Times New Roman"/>
          <w:color w:val="auto"/>
          <w:sz w:val="21"/>
          <w:szCs w:val="21"/>
          <w:highlight w:val="none"/>
          <w:u w:val="single"/>
          <w:lang w:val="en-US" w:eastAsia="zh-CN"/>
        </w:rPr>
        <w:t>项目单位、</w:t>
      </w:r>
      <w:r>
        <w:rPr>
          <w:rFonts w:ascii="Times New Roman" w:hAnsi="Times New Roman"/>
          <w:color w:val="auto"/>
          <w:sz w:val="21"/>
          <w:szCs w:val="21"/>
          <w:highlight w:val="none"/>
          <w:u w:val="single"/>
        </w:rPr>
        <w:t>发包人、监理单位提出，没有采取有效措施进行补救。b.被建设行政主管部门因为质量问题通报两次者。</w:t>
      </w:r>
      <w:r>
        <w:rPr>
          <w:rFonts w:hint="eastAsia" w:cs="宋体"/>
          <w:color w:val="auto"/>
          <w:sz w:val="21"/>
          <w:szCs w:val="21"/>
          <w:highlight w:val="none"/>
          <w:u w:val="single"/>
        </w:rPr>
        <w:t>③</w:t>
      </w:r>
      <w:r>
        <w:rPr>
          <w:rFonts w:ascii="Times New Roman" w:hAnsi="Times New Roman"/>
          <w:color w:val="auto"/>
          <w:sz w:val="21"/>
          <w:szCs w:val="21"/>
          <w:highlight w:val="none"/>
          <w:u w:val="single"/>
        </w:rPr>
        <w:t>安全问题：a.出现重大安全隐患，经</w:t>
      </w:r>
      <w:r>
        <w:rPr>
          <w:rFonts w:hint="eastAsia" w:ascii="Times New Roman" w:hAnsi="Times New Roman"/>
          <w:color w:val="auto"/>
          <w:sz w:val="21"/>
          <w:szCs w:val="21"/>
          <w:highlight w:val="none"/>
          <w:u w:val="single"/>
          <w:lang w:val="en-US" w:eastAsia="zh-CN"/>
        </w:rPr>
        <w:t>项目单位、</w:t>
      </w:r>
      <w:r>
        <w:rPr>
          <w:rFonts w:ascii="Times New Roman" w:hAnsi="Times New Roman"/>
          <w:color w:val="auto"/>
          <w:sz w:val="21"/>
          <w:szCs w:val="21"/>
          <w:highlight w:val="none"/>
          <w:u w:val="single"/>
        </w:rPr>
        <w:t>发包人</w:t>
      </w:r>
      <w:r>
        <w:rPr>
          <w:rFonts w:hint="eastAsia" w:ascii="Times New Roman" w:hAnsi="Times New Roman"/>
          <w:color w:val="auto"/>
          <w:sz w:val="21"/>
          <w:szCs w:val="21"/>
          <w:highlight w:val="none"/>
          <w:u w:val="single"/>
          <w:lang w:eastAsia="zh-CN"/>
        </w:rPr>
        <w:t>、监理人</w:t>
      </w:r>
      <w:r>
        <w:rPr>
          <w:rFonts w:ascii="Times New Roman" w:hAnsi="Times New Roman"/>
          <w:color w:val="auto"/>
          <w:sz w:val="21"/>
          <w:szCs w:val="21"/>
          <w:highlight w:val="none"/>
          <w:u w:val="single"/>
        </w:rPr>
        <w:t>提出，</w:t>
      </w:r>
      <w:r>
        <w:rPr>
          <w:rFonts w:hint="eastAsia" w:ascii="Times New Roman" w:hAnsi="Times New Roman"/>
          <w:color w:val="auto"/>
          <w:sz w:val="21"/>
          <w:szCs w:val="21"/>
          <w:highlight w:val="none"/>
          <w:u w:val="single"/>
        </w:rPr>
        <w:t>在</w:t>
      </w:r>
      <w:r>
        <w:rPr>
          <w:rFonts w:ascii="Times New Roman" w:hAnsi="Times New Roman"/>
          <w:color w:val="auto"/>
          <w:sz w:val="21"/>
          <w:szCs w:val="21"/>
          <w:highlight w:val="none"/>
          <w:u w:val="single"/>
        </w:rPr>
        <w:t>限期内没有得到整改。b.因为安全问题被建设行政主管部门因为安全问题进行通报两次者。</w:t>
      </w:r>
    </w:p>
    <w:p w14:paraId="5B530BA7">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因以上原因，</w:t>
      </w:r>
      <w:r>
        <w:rPr>
          <w:rFonts w:hint="eastAsia" w:ascii="Times New Roman" w:hAnsi="Times New Roman"/>
          <w:color w:val="auto"/>
          <w:sz w:val="21"/>
          <w:szCs w:val="21"/>
          <w:highlight w:val="none"/>
          <w:u w:val="single"/>
        </w:rPr>
        <w:t>除解除或终止施工合同外，承包人还应承担合同总价款5%的违约金。另由于解除或终止合同对发包人造成的损失由承包人承担。</w:t>
      </w:r>
    </w:p>
    <w:p w14:paraId="09796415">
      <w:pPr>
        <w:spacing w:line="360" w:lineRule="auto"/>
        <w:ind w:firstLine="210" w:firstLineChars="100"/>
        <w:rPr>
          <w:rFonts w:ascii="Times New Roman" w:hAnsi="Times New Roman"/>
          <w:b/>
          <w:bCs/>
          <w:color w:val="auto"/>
          <w:sz w:val="21"/>
          <w:szCs w:val="21"/>
          <w:highlight w:val="none"/>
        </w:rPr>
      </w:pPr>
      <w:r>
        <w:rPr>
          <w:rFonts w:ascii="Times New Roman" w:hAnsi="Times New Roman"/>
          <w:b/>
          <w:bCs/>
          <w:color w:val="auto"/>
          <w:sz w:val="21"/>
          <w:szCs w:val="21"/>
          <w:highlight w:val="none"/>
        </w:rPr>
        <w:t>22. 补充条款</w:t>
      </w:r>
    </w:p>
    <w:p w14:paraId="759F01B2">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lang w:val="en-US" w:eastAsia="zh-CN"/>
        </w:rPr>
        <w:t>1</w:t>
      </w:r>
      <w:r>
        <w:rPr>
          <w:rFonts w:ascii="Times New Roman" w:hAnsi="Times New Roman"/>
          <w:color w:val="auto"/>
          <w:sz w:val="21"/>
          <w:szCs w:val="21"/>
          <w:highlight w:val="none"/>
          <w:u w:val="single"/>
        </w:rPr>
        <w:t>单价分析表中的材料单价与投标文件中投标人采购供应主要材料设备价格表中的报价不符，则以低者为准，并调整其综合单价。</w:t>
      </w:r>
    </w:p>
    <w:p w14:paraId="56F13699">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lang w:val="en-US" w:eastAsia="zh-CN"/>
        </w:rPr>
        <w:t>2</w:t>
      </w:r>
      <w:r>
        <w:rPr>
          <w:rFonts w:ascii="Times New Roman" w:hAnsi="Times New Roman"/>
          <w:color w:val="auto"/>
          <w:sz w:val="21"/>
          <w:szCs w:val="21"/>
          <w:highlight w:val="none"/>
          <w:u w:val="single"/>
        </w:rPr>
        <w:t>承包人应当及时并按发包人管理制度办理现场工程签证单、材料认质认价单，未经发包人签字或签字不全者结算时将不予认可</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工程变更单、工程签证单和材料认质认价单必须是原件</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。工作联系单不作为竣工结算的依据。变更单、签证单和认质认价单的附件支持性资料应原始、完整，描述清楚变更和签证的原因、过程、内容</w:t>
      </w:r>
      <w:r>
        <w:rPr>
          <w:rFonts w:hint="eastAsia" w:ascii="Times New Roman" w:hAnsi="Times New Roman"/>
          <w:color w:val="auto"/>
          <w:sz w:val="21"/>
          <w:szCs w:val="21"/>
          <w:highlight w:val="none"/>
          <w:u w:val="single"/>
        </w:rPr>
        <w:t>与</w:t>
      </w:r>
      <w:r>
        <w:rPr>
          <w:rFonts w:ascii="Times New Roman" w:hAnsi="Times New Roman"/>
          <w:color w:val="auto"/>
          <w:sz w:val="21"/>
          <w:szCs w:val="21"/>
          <w:highlight w:val="none"/>
          <w:u w:val="single"/>
        </w:rPr>
        <w:t>合同对应关系</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明确费用出处与合同以及结算的关系，否则</w:t>
      </w:r>
      <w:r>
        <w:rPr>
          <w:rFonts w:hint="eastAsia" w:ascii="Times New Roman" w:hAnsi="Times New Roman"/>
          <w:color w:val="auto"/>
          <w:sz w:val="21"/>
          <w:szCs w:val="21"/>
          <w:highlight w:val="none"/>
          <w:u w:val="single"/>
        </w:rPr>
        <w:t>不予</w:t>
      </w:r>
      <w:r>
        <w:rPr>
          <w:rFonts w:ascii="Times New Roman" w:hAnsi="Times New Roman"/>
          <w:color w:val="auto"/>
          <w:sz w:val="21"/>
          <w:szCs w:val="21"/>
          <w:highlight w:val="none"/>
          <w:u w:val="single"/>
        </w:rPr>
        <w:t>结算。本工程发生的变更、签证工作量，按照合同条款的约定计价。</w:t>
      </w:r>
    </w:p>
    <w:p w14:paraId="79755929">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lang w:val="en-US" w:eastAsia="zh-CN"/>
        </w:rPr>
        <w:t>3</w:t>
      </w:r>
      <w:r>
        <w:rPr>
          <w:rFonts w:ascii="Times New Roman" w:hAnsi="Times New Roman"/>
          <w:color w:val="auto"/>
          <w:sz w:val="21"/>
          <w:szCs w:val="21"/>
          <w:highlight w:val="none"/>
          <w:u w:val="single"/>
        </w:rPr>
        <w:t>承包人需建立安全保证体系、制定安全保证措施</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设安全员</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确保施工人员、管理人员</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施工现场、施工过程、办公区域的安全，承担</w:t>
      </w:r>
      <w:r>
        <w:rPr>
          <w:rFonts w:hint="eastAsia" w:ascii="Times New Roman" w:hAnsi="Times New Roman"/>
          <w:color w:val="auto"/>
          <w:sz w:val="21"/>
          <w:szCs w:val="21"/>
          <w:highlight w:val="none"/>
          <w:u w:val="single"/>
        </w:rPr>
        <w:t>因</w:t>
      </w:r>
      <w:r>
        <w:rPr>
          <w:rFonts w:ascii="Times New Roman" w:hAnsi="Times New Roman"/>
          <w:color w:val="auto"/>
          <w:sz w:val="21"/>
          <w:szCs w:val="21"/>
          <w:highlight w:val="none"/>
          <w:u w:val="single"/>
        </w:rPr>
        <w:t>自身安全措施不力造成事故的责任和</w:t>
      </w:r>
      <w:r>
        <w:rPr>
          <w:rFonts w:hint="eastAsia" w:ascii="Times New Roman" w:hAnsi="Times New Roman"/>
          <w:color w:val="auto"/>
          <w:sz w:val="21"/>
          <w:szCs w:val="21"/>
          <w:highlight w:val="none"/>
          <w:u w:val="single"/>
        </w:rPr>
        <w:t>由</w:t>
      </w:r>
      <w:r>
        <w:rPr>
          <w:rFonts w:ascii="Times New Roman" w:hAnsi="Times New Roman"/>
          <w:color w:val="auto"/>
          <w:sz w:val="21"/>
          <w:szCs w:val="21"/>
          <w:highlight w:val="none"/>
          <w:u w:val="single"/>
        </w:rPr>
        <w:t>此发生的费用。</w:t>
      </w:r>
    </w:p>
    <w:p w14:paraId="74E1468A">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lang w:val="en-US" w:eastAsia="zh-CN"/>
        </w:rPr>
        <w:t>4</w:t>
      </w:r>
      <w:r>
        <w:rPr>
          <w:rFonts w:ascii="Times New Roman" w:hAnsi="Times New Roman"/>
          <w:color w:val="auto"/>
          <w:sz w:val="21"/>
          <w:szCs w:val="21"/>
          <w:highlight w:val="none"/>
          <w:u w:val="single"/>
        </w:rPr>
        <w:t>承包人应把农民工工资发放工作纳入施工管理中，保证农民工工资按时发放。承包人在获得发包人支付的工程款时应优先保障用于农民工工资支付，并将支付情况报发包人审查，发包人有权监督承包人在支付的当期进度款中发放农民工工资，承包人按照有关规定开设农民工工资专用账户，专项用于支付该工程建设项目农民工工资。</w:t>
      </w:r>
    </w:p>
    <w:p w14:paraId="07E6F44B">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lang w:val="en-US" w:eastAsia="zh-CN"/>
        </w:rPr>
        <w:t>5</w:t>
      </w:r>
      <w:r>
        <w:rPr>
          <w:rFonts w:ascii="Times New Roman" w:hAnsi="Times New Roman"/>
          <w:color w:val="auto"/>
          <w:sz w:val="21"/>
          <w:szCs w:val="21"/>
          <w:highlight w:val="none"/>
          <w:u w:val="single"/>
        </w:rPr>
        <w:t>承包人应将工资直接支付给农民工，严禁经由其他不具备用工主体资格的组织和个人等中间环节代发，否则由承包人负责解决由此带来的农民工工资拖欠问题。当出现投诉、上访等特殊情况时，承包人均应配合劳动保障行政主管部门解决工资拖欠问题。</w:t>
      </w:r>
    </w:p>
    <w:p w14:paraId="351F74D5">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lang w:val="en-US" w:eastAsia="zh-CN"/>
        </w:rPr>
        <w:t>6</w:t>
      </w:r>
      <w:r>
        <w:rPr>
          <w:rFonts w:ascii="Times New Roman" w:hAnsi="Times New Roman"/>
          <w:color w:val="auto"/>
          <w:sz w:val="21"/>
          <w:szCs w:val="21"/>
          <w:highlight w:val="none"/>
          <w:u w:val="single"/>
        </w:rPr>
        <w:t>承包人必须及时为每位农民工办理参加工伤保险、人身意外伤害保险。</w:t>
      </w:r>
    </w:p>
    <w:p w14:paraId="64E41D8E">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lang w:val="en-US" w:eastAsia="zh-CN"/>
        </w:rPr>
        <w:t>7</w:t>
      </w:r>
      <w:r>
        <w:rPr>
          <w:rFonts w:ascii="Times New Roman" w:hAnsi="Times New Roman"/>
          <w:color w:val="auto"/>
          <w:sz w:val="21"/>
          <w:szCs w:val="21"/>
          <w:highlight w:val="none"/>
          <w:u w:val="single"/>
        </w:rPr>
        <w:t>本工程竣工后，承包人应</w:t>
      </w:r>
      <w:r>
        <w:rPr>
          <w:rFonts w:hint="eastAsia" w:ascii="Times New Roman" w:hAnsi="Times New Roman"/>
          <w:color w:val="auto"/>
          <w:sz w:val="21"/>
          <w:szCs w:val="21"/>
          <w:highlight w:val="none"/>
          <w:u w:val="single"/>
        </w:rPr>
        <w:t>做</w:t>
      </w:r>
      <w:r>
        <w:rPr>
          <w:rFonts w:ascii="Times New Roman" w:hAnsi="Times New Roman"/>
          <w:color w:val="auto"/>
          <w:sz w:val="21"/>
          <w:szCs w:val="21"/>
          <w:highlight w:val="none"/>
          <w:u w:val="single"/>
        </w:rPr>
        <w:t>到工完、料净、场地清。将施工现场周围和生活区周围清除干净；无建筑材料、无建筑设备、无临时垃圾、无坑池渠沟、无掩埋的硬化道路和垃圾，场地整洁。否则发包人有权在工程款中扣除双倍的清运费。</w:t>
      </w:r>
    </w:p>
    <w:p w14:paraId="3F60D72C">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lang w:val="en-US" w:eastAsia="zh-CN"/>
        </w:rPr>
        <w:t>8</w:t>
      </w:r>
      <w:r>
        <w:rPr>
          <w:rFonts w:ascii="Times New Roman" w:hAnsi="Times New Roman"/>
          <w:color w:val="auto"/>
          <w:sz w:val="21"/>
          <w:szCs w:val="21"/>
          <w:highlight w:val="none"/>
          <w:u w:val="single"/>
        </w:rPr>
        <w:t>施工过程中，资料和工程进度必须同步。每月发包人对施工进度和资料进行检查，出现问题限期整改，未整改或整改不合格的，每发生一次，发包人扣除进度款中2000元违约金。在工程竣工验收前，承包人要按规定将竣工资料交监理验收，由监理出具相应证明后，发包人方可组织验收。</w:t>
      </w:r>
    </w:p>
    <w:p w14:paraId="05AF46B5">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lang w:val="en-US" w:eastAsia="zh-CN"/>
        </w:rPr>
        <w:t>9</w:t>
      </w:r>
      <w:r>
        <w:rPr>
          <w:rFonts w:ascii="Times New Roman" w:hAnsi="Times New Roman"/>
          <w:color w:val="auto"/>
          <w:sz w:val="21"/>
          <w:szCs w:val="21"/>
          <w:highlight w:val="none"/>
          <w:u w:val="single"/>
        </w:rPr>
        <w:t>承包人所用水、电由承包人装表（装表费用由承包人支付）。承包人按表计量据实缴纳有关费用。现场用电必须按照发包人要求，三相五线制，一机一闸必须带漏电保护，不许用电炉。如施工现场出现用电漏电或短路跳闸，造成停电或影响发包人用电，承包人承担由此给发包人造成的一切损失。</w:t>
      </w:r>
    </w:p>
    <w:p w14:paraId="7F344FE0">
      <w:pPr>
        <w:spacing w:line="360" w:lineRule="auto"/>
        <w:ind w:firstLine="210" w:firstLineChars="100"/>
        <w:rPr>
          <w:rFonts w:hint="eastAsia"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ascii="Times New Roman" w:hAnsi="Times New Roman"/>
          <w:color w:val="auto"/>
          <w:sz w:val="21"/>
          <w:szCs w:val="21"/>
          <w:highlight w:val="none"/>
          <w:u w:val="single"/>
        </w:rPr>
        <w:t>1</w:t>
      </w:r>
      <w:r>
        <w:rPr>
          <w:rFonts w:hint="eastAsia" w:ascii="Times New Roman" w:hAnsi="Times New Roman"/>
          <w:color w:val="auto"/>
          <w:sz w:val="21"/>
          <w:szCs w:val="21"/>
          <w:highlight w:val="none"/>
          <w:u w:val="single"/>
          <w:lang w:val="en-US" w:eastAsia="zh-CN"/>
        </w:rPr>
        <w:t>0</w:t>
      </w:r>
      <w:r>
        <w:rPr>
          <w:rFonts w:ascii="Times New Roman" w:hAnsi="Times New Roman"/>
          <w:color w:val="auto"/>
          <w:sz w:val="21"/>
          <w:szCs w:val="21"/>
          <w:highlight w:val="none"/>
          <w:u w:val="single"/>
        </w:rPr>
        <w:t>对于由发包人另行分包的工程，由承包人完成相应预留、预埋的，承包人应保证预留管路通畅、预留洞口符合设计要求。若不符合要求的，应无条件返修，并保证返修后符合要求。</w:t>
      </w:r>
    </w:p>
    <w:p w14:paraId="7DA4A392">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ascii="Times New Roman" w:hAnsi="Times New Roman"/>
          <w:color w:val="auto"/>
          <w:sz w:val="21"/>
          <w:szCs w:val="21"/>
          <w:highlight w:val="none"/>
          <w:u w:val="single"/>
        </w:rPr>
        <w:t>1</w:t>
      </w:r>
      <w:r>
        <w:rPr>
          <w:rFonts w:hint="eastAsia" w:ascii="Times New Roman" w:hAnsi="Times New Roman"/>
          <w:color w:val="auto"/>
          <w:sz w:val="21"/>
          <w:szCs w:val="21"/>
          <w:highlight w:val="none"/>
          <w:u w:val="single"/>
          <w:lang w:val="en-US" w:eastAsia="zh-CN"/>
        </w:rPr>
        <w:t>1</w:t>
      </w:r>
      <w:r>
        <w:rPr>
          <w:rFonts w:ascii="Times New Roman" w:hAnsi="Times New Roman"/>
          <w:color w:val="auto"/>
          <w:sz w:val="21"/>
          <w:szCs w:val="21"/>
          <w:highlight w:val="none"/>
          <w:u w:val="single"/>
        </w:rPr>
        <w:t>对于发包人分包的项目，承包人根据发包人需要协助发包人对有关技术、</w:t>
      </w:r>
      <w:r>
        <w:rPr>
          <w:rFonts w:hint="eastAsia" w:ascii="Times New Roman" w:hAnsi="Times New Roman"/>
          <w:color w:val="auto"/>
          <w:sz w:val="21"/>
          <w:szCs w:val="21"/>
          <w:highlight w:val="none"/>
          <w:u w:val="single"/>
          <w:lang w:eastAsia="zh-CN"/>
        </w:rPr>
        <w:t>工程</w:t>
      </w:r>
      <w:r>
        <w:rPr>
          <w:rFonts w:ascii="Times New Roman" w:hAnsi="Times New Roman"/>
          <w:color w:val="auto"/>
          <w:sz w:val="21"/>
          <w:szCs w:val="21"/>
          <w:highlight w:val="none"/>
          <w:u w:val="single"/>
        </w:rPr>
        <w:t>设备进行选择，在施工时承包人要积极配合，并会同发包人进行质量验收和现场协调配合和管理，提供招标文件中规定的配合服务管理内容及脚手架、提升</w:t>
      </w:r>
      <w:r>
        <w:rPr>
          <w:rFonts w:hint="eastAsia" w:ascii="Times New Roman" w:hAnsi="Times New Roman"/>
          <w:color w:val="auto"/>
          <w:sz w:val="21"/>
          <w:szCs w:val="21"/>
          <w:highlight w:val="none"/>
          <w:u w:val="single"/>
          <w:lang w:eastAsia="zh-CN"/>
        </w:rPr>
        <w:t>工程</w:t>
      </w:r>
      <w:r>
        <w:rPr>
          <w:rFonts w:ascii="Times New Roman" w:hAnsi="Times New Roman"/>
          <w:color w:val="auto"/>
          <w:sz w:val="21"/>
          <w:szCs w:val="21"/>
          <w:highlight w:val="none"/>
          <w:u w:val="single"/>
        </w:rPr>
        <w:t>设备等设备的使用。</w:t>
      </w:r>
    </w:p>
    <w:p w14:paraId="5337C0A7">
      <w:pPr>
        <w:spacing w:line="360" w:lineRule="auto"/>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承包人按规范规定向分包人</w:t>
      </w:r>
      <w:r>
        <w:rPr>
          <w:rFonts w:hint="eastAsia" w:ascii="Times New Roman" w:hAnsi="Times New Roman"/>
          <w:color w:val="auto"/>
          <w:sz w:val="21"/>
          <w:szCs w:val="21"/>
          <w:highlight w:val="none"/>
          <w:u w:val="single"/>
        </w:rPr>
        <w:t>收取</w:t>
      </w:r>
      <w:r>
        <w:rPr>
          <w:rFonts w:ascii="Times New Roman" w:hAnsi="Times New Roman"/>
          <w:color w:val="auto"/>
          <w:sz w:val="21"/>
          <w:szCs w:val="21"/>
          <w:highlight w:val="none"/>
          <w:u w:val="single"/>
        </w:rPr>
        <w:t>分包工程技术资料，承包人对各个分包人承担管理责任，承包人负责向发包人提供工程竣工资料，并配合发包人对分包工程进行竣工验收。</w:t>
      </w:r>
    </w:p>
    <w:p w14:paraId="6A8BB6BD">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ascii="Times New Roman" w:hAnsi="Times New Roman"/>
          <w:color w:val="auto"/>
          <w:sz w:val="21"/>
          <w:szCs w:val="21"/>
          <w:highlight w:val="none"/>
          <w:u w:val="single"/>
        </w:rPr>
        <w:t>1</w:t>
      </w:r>
      <w:r>
        <w:rPr>
          <w:rFonts w:hint="eastAsia" w:ascii="Times New Roman" w:hAnsi="Times New Roman"/>
          <w:color w:val="auto"/>
          <w:sz w:val="21"/>
          <w:szCs w:val="21"/>
          <w:highlight w:val="none"/>
          <w:u w:val="single"/>
          <w:lang w:val="en-US" w:eastAsia="zh-CN"/>
        </w:rPr>
        <w:t>2</w:t>
      </w:r>
      <w:r>
        <w:rPr>
          <w:rFonts w:ascii="Times New Roman" w:hAnsi="Times New Roman"/>
          <w:color w:val="auto"/>
          <w:sz w:val="21"/>
          <w:szCs w:val="21"/>
          <w:highlight w:val="none"/>
          <w:u w:val="single"/>
        </w:rPr>
        <w:t>发包人收到经监理人确认的竣工报告及结算资料后，在约定的期限内对竣工报告和结算资料提出意见后，双方重新计算审核期限。</w:t>
      </w:r>
    </w:p>
    <w:p w14:paraId="54A51BF2">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ascii="Times New Roman" w:hAnsi="Times New Roman"/>
          <w:color w:val="auto"/>
          <w:sz w:val="21"/>
          <w:szCs w:val="21"/>
          <w:highlight w:val="none"/>
          <w:u w:val="single"/>
        </w:rPr>
        <w:t>1</w:t>
      </w:r>
      <w:r>
        <w:rPr>
          <w:rFonts w:hint="eastAsia" w:ascii="Times New Roman" w:hAnsi="Times New Roman"/>
          <w:color w:val="auto"/>
          <w:sz w:val="21"/>
          <w:szCs w:val="21"/>
          <w:highlight w:val="none"/>
          <w:u w:val="single"/>
          <w:lang w:val="en-US" w:eastAsia="zh-CN"/>
        </w:rPr>
        <w:t>3</w:t>
      </w:r>
      <w:r>
        <w:rPr>
          <w:rFonts w:ascii="Times New Roman" w:hAnsi="Times New Roman"/>
          <w:color w:val="auto"/>
          <w:sz w:val="21"/>
          <w:szCs w:val="21"/>
          <w:highlight w:val="none"/>
          <w:u w:val="single"/>
        </w:rPr>
        <w:t>发包人按照法律规定或合同约定解除或终止合同后，承包人接到发包人退场通知后，承包人应当在30日内退场，不得影响发包人工程施工。否则，每逾期一日发包人有权扣除承包人工程款总额千分之一的违约金，且承包人在现场的设施、</w:t>
      </w:r>
      <w:r>
        <w:rPr>
          <w:rFonts w:hint="eastAsia" w:ascii="Times New Roman" w:hAnsi="Times New Roman"/>
          <w:color w:val="auto"/>
          <w:sz w:val="21"/>
          <w:szCs w:val="21"/>
          <w:highlight w:val="none"/>
          <w:u w:val="single"/>
          <w:lang w:eastAsia="zh-CN"/>
        </w:rPr>
        <w:t>工程</w:t>
      </w:r>
      <w:r>
        <w:rPr>
          <w:rFonts w:ascii="Times New Roman" w:hAnsi="Times New Roman"/>
          <w:color w:val="auto"/>
          <w:sz w:val="21"/>
          <w:szCs w:val="21"/>
          <w:highlight w:val="none"/>
          <w:u w:val="single"/>
        </w:rPr>
        <w:t>设备视为放弃，发包人有权任意处置。</w:t>
      </w:r>
    </w:p>
    <w:p w14:paraId="79E99400">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ascii="Times New Roman" w:hAnsi="Times New Roman"/>
          <w:color w:val="auto"/>
          <w:sz w:val="21"/>
          <w:szCs w:val="21"/>
          <w:highlight w:val="none"/>
          <w:u w:val="single"/>
        </w:rPr>
        <w:t>1</w:t>
      </w:r>
      <w:r>
        <w:rPr>
          <w:rFonts w:hint="eastAsia" w:ascii="Times New Roman" w:hAnsi="Times New Roman"/>
          <w:color w:val="auto"/>
          <w:sz w:val="21"/>
          <w:szCs w:val="21"/>
          <w:highlight w:val="none"/>
          <w:u w:val="single"/>
          <w:lang w:val="en-US" w:eastAsia="zh-CN"/>
        </w:rPr>
        <w:t>4</w:t>
      </w:r>
      <w:r>
        <w:rPr>
          <w:rFonts w:ascii="Times New Roman" w:hAnsi="Times New Roman"/>
          <w:color w:val="auto"/>
          <w:sz w:val="21"/>
          <w:szCs w:val="21"/>
          <w:highlight w:val="none"/>
          <w:u w:val="single"/>
        </w:rPr>
        <w:t xml:space="preserve"> 本合同所载明的双方通讯地址为双方合法有效的送达地址，任何一方按照该地址发出的传真或邮件具有法律效力，自到达对方或发出五日后即视为送达（以时间在先者为准）。任何一方通讯地址发生变化，应当及时书面通知对方，否则不影响通知生效，因地址变化而造成的全部责任由其自行承担。</w:t>
      </w:r>
    </w:p>
    <w:p w14:paraId="48012857">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ascii="Times New Roman" w:hAnsi="Times New Roman"/>
          <w:color w:val="auto"/>
          <w:sz w:val="21"/>
          <w:szCs w:val="21"/>
          <w:highlight w:val="none"/>
          <w:u w:val="single"/>
        </w:rPr>
        <w:t>1</w:t>
      </w:r>
      <w:r>
        <w:rPr>
          <w:rFonts w:hint="eastAsia" w:ascii="Times New Roman" w:hAnsi="Times New Roman"/>
          <w:color w:val="auto"/>
          <w:sz w:val="21"/>
          <w:szCs w:val="21"/>
          <w:highlight w:val="none"/>
          <w:u w:val="single"/>
          <w:lang w:val="en-US" w:eastAsia="zh-CN"/>
        </w:rPr>
        <w:t>5</w:t>
      </w:r>
      <w:r>
        <w:rPr>
          <w:rFonts w:ascii="Times New Roman" w:hAnsi="Times New Roman"/>
          <w:color w:val="auto"/>
          <w:sz w:val="21"/>
          <w:szCs w:val="21"/>
          <w:highlight w:val="none"/>
          <w:u w:val="single"/>
        </w:rPr>
        <w:t>在工程施工过程中以及保修期内，由于承包人责任出现质量问题、安全事故或者其他原因，受到报纸、电视等媒体曝光或政府有关主管部门的通报批评，均会给本工程的社会形象造成损失，每次从承包人工程进度款或质保金中扣除</w:t>
      </w:r>
      <w:r>
        <w:rPr>
          <w:rFonts w:hint="eastAsia" w:ascii="Times New Roman" w:hAnsi="Times New Roman"/>
          <w:color w:val="auto"/>
          <w:sz w:val="21"/>
          <w:szCs w:val="21"/>
          <w:highlight w:val="none"/>
          <w:u w:val="single"/>
        </w:rPr>
        <w:t>5</w:t>
      </w:r>
      <w:r>
        <w:rPr>
          <w:rFonts w:ascii="Times New Roman" w:hAnsi="Times New Roman"/>
          <w:color w:val="auto"/>
          <w:sz w:val="21"/>
          <w:szCs w:val="21"/>
          <w:highlight w:val="none"/>
          <w:u w:val="single"/>
        </w:rPr>
        <w:t>万元违约金。</w:t>
      </w:r>
    </w:p>
    <w:p w14:paraId="48D79C26">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22.1</w:t>
      </w:r>
      <w:r>
        <w:rPr>
          <w:rFonts w:hint="eastAsia" w:ascii="Times New Roman" w:hAnsi="Times New Roman"/>
          <w:color w:val="auto"/>
          <w:sz w:val="21"/>
          <w:szCs w:val="21"/>
          <w:highlight w:val="none"/>
          <w:u w:val="single"/>
          <w:lang w:val="en-US" w:eastAsia="zh-CN"/>
        </w:rPr>
        <w:t>6</w:t>
      </w:r>
      <w:r>
        <w:rPr>
          <w:rFonts w:ascii="Times New Roman" w:hAnsi="Times New Roman"/>
          <w:color w:val="auto"/>
          <w:sz w:val="21"/>
          <w:szCs w:val="21"/>
          <w:highlight w:val="none"/>
          <w:u w:val="single"/>
        </w:rPr>
        <w:t xml:space="preserve"> 涉及人防、节能、消防、环保等专业规范要求的产品须经当地人防、节能、消防、环保等部门同意认可。</w:t>
      </w:r>
    </w:p>
    <w:p w14:paraId="626A6169">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22.1</w:t>
      </w:r>
      <w:r>
        <w:rPr>
          <w:rFonts w:hint="eastAsia" w:ascii="Times New Roman" w:hAnsi="Times New Roman"/>
          <w:color w:val="auto"/>
          <w:sz w:val="21"/>
          <w:szCs w:val="21"/>
          <w:highlight w:val="none"/>
          <w:u w:val="single"/>
          <w:lang w:val="en-US" w:eastAsia="zh-CN"/>
        </w:rPr>
        <w:t>7</w:t>
      </w:r>
      <w:r>
        <w:rPr>
          <w:rFonts w:ascii="Times New Roman" w:hAnsi="Times New Roman"/>
          <w:color w:val="auto"/>
          <w:sz w:val="21"/>
          <w:szCs w:val="21"/>
          <w:highlight w:val="none"/>
          <w:u w:val="single"/>
        </w:rPr>
        <w:t>承包人</w:t>
      </w:r>
      <w:r>
        <w:rPr>
          <w:rFonts w:hint="eastAsia" w:ascii="Times New Roman" w:hAnsi="Times New Roman"/>
          <w:color w:val="auto"/>
          <w:sz w:val="21"/>
          <w:szCs w:val="21"/>
          <w:highlight w:val="none"/>
          <w:u w:val="single"/>
        </w:rPr>
        <w:t>负责、配合、协助办理</w:t>
      </w:r>
      <w:r>
        <w:rPr>
          <w:rFonts w:ascii="Times New Roman" w:hAnsi="Times New Roman"/>
          <w:color w:val="auto"/>
          <w:sz w:val="21"/>
          <w:szCs w:val="21"/>
          <w:highlight w:val="none"/>
          <w:u w:val="single"/>
        </w:rPr>
        <w:t>人防、节能、消防、环保、</w:t>
      </w:r>
      <w:r>
        <w:rPr>
          <w:rFonts w:hint="eastAsia" w:ascii="Times New Roman" w:hAnsi="Times New Roman"/>
          <w:color w:val="auto"/>
          <w:sz w:val="21"/>
          <w:szCs w:val="21"/>
          <w:highlight w:val="none"/>
          <w:u w:val="single"/>
        </w:rPr>
        <w:t>室内环境检测、</w:t>
      </w:r>
      <w:r>
        <w:rPr>
          <w:rFonts w:ascii="Times New Roman" w:hAnsi="Times New Roman"/>
          <w:color w:val="auto"/>
          <w:sz w:val="21"/>
          <w:szCs w:val="21"/>
          <w:highlight w:val="none"/>
          <w:u w:val="single"/>
        </w:rPr>
        <w:t>质监、规划</w:t>
      </w:r>
      <w:r>
        <w:rPr>
          <w:rFonts w:hint="eastAsia" w:ascii="Times New Roman" w:hAnsi="Times New Roman"/>
          <w:color w:val="auto"/>
          <w:sz w:val="21"/>
          <w:szCs w:val="21"/>
          <w:highlight w:val="none"/>
          <w:u w:val="single"/>
        </w:rPr>
        <w:t>、档案</w:t>
      </w:r>
      <w:r>
        <w:rPr>
          <w:rFonts w:ascii="Times New Roman" w:hAnsi="Times New Roman"/>
          <w:color w:val="auto"/>
          <w:sz w:val="21"/>
          <w:szCs w:val="21"/>
          <w:highlight w:val="none"/>
          <w:u w:val="single"/>
        </w:rPr>
        <w:t>等所有单项验收和最终的综合验收及资料归档。</w:t>
      </w:r>
    </w:p>
    <w:p w14:paraId="0C556DC2">
      <w:pPr>
        <w:spacing w:line="360" w:lineRule="auto"/>
        <w:ind w:firstLine="210" w:firstLineChars="100"/>
        <w:rPr>
          <w:rFonts w:ascii="Times New Roman" w:hAnsi="Times New Roman"/>
          <w:color w:val="auto"/>
          <w:sz w:val="21"/>
          <w:szCs w:val="21"/>
          <w:highlight w:val="none"/>
          <w:u w:val="single"/>
        </w:rPr>
      </w:pPr>
      <w:r>
        <w:rPr>
          <w:rFonts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rPr>
        <w:t>1</w:t>
      </w:r>
      <w:r>
        <w:rPr>
          <w:rFonts w:hint="eastAsia" w:ascii="Times New Roman" w:hAnsi="Times New Roman"/>
          <w:color w:val="auto"/>
          <w:sz w:val="21"/>
          <w:szCs w:val="21"/>
          <w:highlight w:val="none"/>
          <w:u w:val="single"/>
          <w:lang w:val="en-US" w:eastAsia="zh-CN"/>
        </w:rPr>
        <w:t>8</w:t>
      </w:r>
      <w:r>
        <w:rPr>
          <w:rFonts w:ascii="Times New Roman" w:hAnsi="Times New Roman"/>
          <w:color w:val="auto"/>
          <w:sz w:val="21"/>
          <w:szCs w:val="21"/>
          <w:highlight w:val="none"/>
          <w:u w:val="single"/>
        </w:rPr>
        <w:t>本合同所称处罚或罚款均属于违约金性质，违约金不足以弥补发包人损失的，发包人有权选择适用侵权责任赔偿相关规定进行索赔。</w:t>
      </w:r>
    </w:p>
    <w:p w14:paraId="7A92321A">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lang w:val="en-US" w:eastAsia="zh-CN"/>
        </w:rPr>
        <w:t>19</w:t>
      </w:r>
      <w:r>
        <w:rPr>
          <w:rFonts w:ascii="Times New Roman" w:hAnsi="Times New Roman"/>
          <w:color w:val="auto"/>
          <w:sz w:val="21"/>
          <w:szCs w:val="21"/>
          <w:highlight w:val="none"/>
          <w:u w:val="single"/>
        </w:rPr>
        <w:t>承包人必须按照操作规程施工，因违规操作发生安全事故，造成发包人、承包人或第三方人身伤害或财产损失，全部责任和所发生的一切费用均由承包人承担。</w:t>
      </w:r>
    </w:p>
    <w:p w14:paraId="41CCF148">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ascii="Times New Roman" w:hAnsi="Times New Roman"/>
          <w:color w:val="auto"/>
          <w:sz w:val="21"/>
          <w:szCs w:val="21"/>
          <w:highlight w:val="none"/>
          <w:u w:val="single"/>
        </w:rPr>
        <w:t>2</w:t>
      </w:r>
      <w:r>
        <w:rPr>
          <w:rFonts w:hint="eastAsia" w:ascii="Times New Roman" w:hAnsi="Times New Roman"/>
          <w:color w:val="auto"/>
          <w:sz w:val="21"/>
          <w:szCs w:val="21"/>
          <w:highlight w:val="none"/>
          <w:u w:val="single"/>
          <w:lang w:val="en-US" w:eastAsia="zh-CN"/>
        </w:rPr>
        <w:t>0</w:t>
      </w:r>
      <w:r>
        <w:rPr>
          <w:rFonts w:ascii="Times New Roman" w:hAnsi="Times New Roman"/>
          <w:color w:val="auto"/>
          <w:sz w:val="21"/>
          <w:szCs w:val="21"/>
          <w:highlight w:val="none"/>
          <w:u w:val="single"/>
        </w:rPr>
        <w:t>承包人应当进行图纸审查</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分部分项工程施工前应进行技术交底及图纸会审，施工时各专业图纸核对无误后方可施工。对于图纸的相互矛盾或缺陷</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例如：相关尺寸规格、标高、数量、洞口位置、技术参数等的不一致</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各专业图纸之间可能存在的对同一空间部位、同一事项的表述存在不一致乃至漏项</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承包人应当在收到图纸后七日内或施工过程中提前七日向发包人及监理</w:t>
      </w:r>
      <w:r>
        <w:rPr>
          <w:rFonts w:hint="eastAsia" w:ascii="Times New Roman" w:hAnsi="Times New Roman"/>
          <w:color w:val="auto"/>
          <w:sz w:val="21"/>
          <w:szCs w:val="21"/>
          <w:highlight w:val="none"/>
          <w:u w:val="single"/>
        </w:rPr>
        <w:t>人</w:t>
      </w:r>
      <w:r>
        <w:rPr>
          <w:rFonts w:ascii="Times New Roman" w:hAnsi="Times New Roman"/>
          <w:color w:val="auto"/>
          <w:sz w:val="21"/>
          <w:szCs w:val="21"/>
          <w:highlight w:val="none"/>
          <w:u w:val="single"/>
        </w:rPr>
        <w:t>书面报告</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并根据发包人的指令执行。因承包人未及时向发包人及监理方报告而造成损失，由承包人承担。</w:t>
      </w:r>
    </w:p>
    <w:p w14:paraId="01023A25">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w:t>
      </w:r>
      <w:r>
        <w:rPr>
          <w:rFonts w:ascii="Times New Roman" w:hAnsi="Times New Roman"/>
          <w:color w:val="auto"/>
          <w:sz w:val="21"/>
          <w:szCs w:val="21"/>
          <w:highlight w:val="none"/>
          <w:u w:val="single"/>
        </w:rPr>
        <w:t>2</w:t>
      </w:r>
      <w:r>
        <w:rPr>
          <w:rFonts w:hint="eastAsia" w:ascii="Times New Roman" w:hAnsi="Times New Roman"/>
          <w:color w:val="auto"/>
          <w:sz w:val="21"/>
          <w:szCs w:val="21"/>
          <w:highlight w:val="none"/>
          <w:u w:val="single"/>
          <w:lang w:val="en-US" w:eastAsia="zh-CN"/>
        </w:rPr>
        <w:t>1</w:t>
      </w:r>
      <w:r>
        <w:rPr>
          <w:rFonts w:ascii="Times New Roman" w:hAnsi="Times New Roman"/>
          <w:color w:val="auto"/>
          <w:sz w:val="21"/>
          <w:szCs w:val="21"/>
          <w:highlight w:val="none"/>
          <w:u w:val="single"/>
        </w:rPr>
        <w:t>施工中发包人如需对原工程设计变更</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提前以书面形式向承包人发出变更通知。发包人书面通知时</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承包人应当及时调整进度计划</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对于承包人按双方确认的进度计划等文件而采购的材料、工程设备</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承包人应当及时处理</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已运入施工现场的</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双方协商处理；未运入施工现场的材料、工程设备</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由承包人自行处理</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发包人不承担赔偿或补偿。</w:t>
      </w:r>
    </w:p>
    <w:p w14:paraId="60FECD23">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22.2</w:t>
      </w:r>
      <w:r>
        <w:rPr>
          <w:rFonts w:hint="eastAsia" w:ascii="Times New Roman" w:hAnsi="Times New Roman"/>
          <w:color w:val="auto"/>
          <w:sz w:val="21"/>
          <w:szCs w:val="21"/>
          <w:highlight w:val="none"/>
          <w:u w:val="single"/>
          <w:lang w:val="en-US" w:eastAsia="zh-CN"/>
        </w:rPr>
        <w:t>2</w:t>
      </w:r>
      <w:r>
        <w:rPr>
          <w:rFonts w:ascii="Times New Roman" w:hAnsi="Times New Roman"/>
          <w:color w:val="auto"/>
          <w:sz w:val="21"/>
          <w:szCs w:val="21"/>
          <w:highlight w:val="none"/>
          <w:u w:val="single"/>
        </w:rPr>
        <w:t xml:space="preserve"> 承包人不得以发包人未按时签证而停工或延误工期</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否则视为承包人擅自停工。承包人须按本协议所约定的违反进度的相关责任承担相应的违约责任。</w:t>
      </w:r>
    </w:p>
    <w:p w14:paraId="20FD2F02">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w:t>
      </w:r>
      <w:r>
        <w:rPr>
          <w:rFonts w:ascii="Times New Roman" w:hAnsi="Times New Roman"/>
          <w:color w:val="auto"/>
          <w:sz w:val="21"/>
          <w:szCs w:val="21"/>
          <w:highlight w:val="none"/>
          <w:u w:val="single"/>
        </w:rPr>
        <w:t>2.2</w:t>
      </w:r>
      <w:r>
        <w:rPr>
          <w:rFonts w:hint="eastAsia" w:ascii="Times New Roman" w:hAnsi="Times New Roman"/>
          <w:color w:val="auto"/>
          <w:sz w:val="21"/>
          <w:szCs w:val="21"/>
          <w:highlight w:val="none"/>
          <w:u w:val="single"/>
          <w:lang w:val="en-US" w:eastAsia="zh-CN"/>
        </w:rPr>
        <w:t>3</w:t>
      </w:r>
      <w:r>
        <w:rPr>
          <w:rFonts w:ascii="Times New Roman" w:hAnsi="Times New Roman"/>
          <w:color w:val="auto"/>
          <w:sz w:val="21"/>
          <w:szCs w:val="21"/>
          <w:highlight w:val="none"/>
          <w:u w:val="single"/>
        </w:rPr>
        <w:t>合同未尽事宜，双方另行签订补充协议</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补充协议是合同的组成部分。</w:t>
      </w:r>
    </w:p>
    <w:p w14:paraId="6D29AA0E">
      <w:pPr>
        <w:spacing w:line="360" w:lineRule="auto"/>
        <w:ind w:firstLine="210" w:firstLineChars="100"/>
        <w:rPr>
          <w:rFonts w:hint="eastAsia" w:ascii="Times New Roman" w:hAnsi="Times New Roman"/>
          <w:color w:val="auto"/>
          <w:sz w:val="21"/>
          <w:szCs w:val="21"/>
          <w:highlight w:val="none"/>
          <w:u w:val="single"/>
          <w:lang w:val="en-US" w:eastAsia="zh-CN"/>
        </w:rPr>
      </w:pPr>
      <w:r>
        <w:rPr>
          <w:rFonts w:hint="eastAsia" w:ascii="Times New Roman" w:hAnsi="Times New Roman"/>
          <w:color w:val="auto"/>
          <w:sz w:val="21"/>
          <w:szCs w:val="21"/>
          <w:highlight w:val="none"/>
          <w:u w:val="single"/>
          <w:lang w:val="en-US" w:eastAsia="zh-CN"/>
        </w:rPr>
        <w:t>22.24特殊天气、环保政策、其他政策只计工期补偿不给予费用补偿。</w:t>
      </w:r>
    </w:p>
    <w:p w14:paraId="65CAF4B1">
      <w:pPr>
        <w:spacing w:line="360" w:lineRule="auto"/>
        <w:ind w:firstLine="210" w:firstLineChars="1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22.2</w:t>
      </w:r>
      <w:r>
        <w:rPr>
          <w:rFonts w:hint="eastAsia" w:ascii="Times New Roman" w:hAnsi="Times New Roman"/>
          <w:color w:val="auto"/>
          <w:sz w:val="21"/>
          <w:szCs w:val="21"/>
          <w:highlight w:val="none"/>
          <w:u w:val="single"/>
          <w:lang w:val="en-US" w:eastAsia="zh-CN"/>
        </w:rPr>
        <w:t>5</w:t>
      </w:r>
      <w:r>
        <w:rPr>
          <w:rFonts w:ascii="Times New Roman" w:hAnsi="Times New Roman"/>
          <w:color w:val="auto"/>
          <w:sz w:val="21"/>
          <w:szCs w:val="21"/>
          <w:highlight w:val="none"/>
          <w:u w:val="single"/>
        </w:rPr>
        <w:t>本合同的所有附件为本合同的组成部分，与本合同具有同等法律效力。</w:t>
      </w:r>
    </w:p>
    <w:p w14:paraId="297B22AF">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附件</w:t>
      </w:r>
    </w:p>
    <w:p w14:paraId="5E51101A">
      <w:pPr>
        <w:pStyle w:val="13"/>
        <w:ind w:left="0" w:leftChars="0" w:firstLine="0" w:firstLineChars="0"/>
        <w:rPr>
          <w:rFonts w:hint="eastAsia" w:ascii="Times New Roman" w:hAnsi="Times New Roman" w:eastAsia="宋体"/>
          <w:color w:val="auto"/>
          <w:sz w:val="21"/>
          <w:szCs w:val="21"/>
          <w:highlight w:val="none"/>
          <w:lang w:val="en-US" w:eastAsia="zh-CN"/>
        </w:rPr>
      </w:pPr>
      <w:bookmarkStart w:id="748" w:name="OLE_LINK12"/>
      <w:bookmarkStart w:id="749" w:name="OLE_LINK13"/>
      <w:r>
        <w:rPr>
          <w:rFonts w:ascii="Times New Roman" w:hAnsi="Times New Roman"/>
          <w:color w:val="auto"/>
          <w:sz w:val="21"/>
          <w:szCs w:val="21"/>
          <w:highlight w:val="none"/>
        </w:rPr>
        <w:t>附件1：</w:t>
      </w:r>
    </w:p>
    <w:bookmarkEnd w:id="748"/>
    <w:bookmarkEnd w:id="749"/>
    <w:p w14:paraId="5483B5F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附件2：工程质量保修书</w:t>
      </w:r>
    </w:p>
    <w:p w14:paraId="5A31573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附件3：承包人主要施工管理人员表</w:t>
      </w:r>
    </w:p>
    <w:p w14:paraId="45D7575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附件4：</w:t>
      </w:r>
    </w:p>
    <w:p w14:paraId="3E5B8355">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附件5：工程维修承诺书</w:t>
      </w:r>
    </w:p>
    <w:p w14:paraId="673ABCB0">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附件6：</w:t>
      </w:r>
      <w:r>
        <w:rPr>
          <w:rFonts w:hint="eastAsia" w:ascii="Times New Roman" w:hAnsi="Times New Roman"/>
          <w:color w:val="auto"/>
          <w:sz w:val="21"/>
          <w:szCs w:val="21"/>
          <w:highlight w:val="none"/>
        </w:rPr>
        <w:t>建设工程</w:t>
      </w:r>
      <w:r>
        <w:rPr>
          <w:rFonts w:ascii="Times New Roman" w:hAnsi="Times New Roman"/>
          <w:color w:val="auto"/>
          <w:sz w:val="21"/>
          <w:szCs w:val="21"/>
          <w:highlight w:val="none"/>
        </w:rPr>
        <w:t>廉政责任书</w:t>
      </w:r>
    </w:p>
    <w:p w14:paraId="12ABC0CD">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附件7：不拖欠民工工资保证书</w:t>
      </w:r>
    </w:p>
    <w:p w14:paraId="4304B6E7">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附件8：</w:t>
      </w:r>
      <w:r>
        <w:rPr>
          <w:rFonts w:hint="eastAsia" w:ascii="Times New Roman" w:hAnsi="Times New Roman"/>
          <w:color w:val="auto"/>
          <w:sz w:val="21"/>
          <w:szCs w:val="21"/>
          <w:highlight w:val="none"/>
        </w:rPr>
        <w:t>治安保卫责任保证书</w:t>
      </w:r>
    </w:p>
    <w:p w14:paraId="3915A2FC">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附件9：安全生产协议</w:t>
      </w:r>
    </w:p>
    <w:p w14:paraId="6FF2A11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附件10：工程质量保证责任书</w:t>
      </w:r>
    </w:p>
    <w:p w14:paraId="4E543763">
      <w:pPr>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附件11：现场施工环境综合整治及扬尘污染治理承诺书</w:t>
      </w:r>
    </w:p>
    <w:p w14:paraId="70D36AF0">
      <w:pPr>
        <w:spacing w:line="360" w:lineRule="auto"/>
        <w:rPr>
          <w:rFonts w:ascii="Times New Roman" w:hAnsi="Times New Roman"/>
          <w:color w:val="auto"/>
          <w:sz w:val="21"/>
          <w:szCs w:val="21"/>
          <w:highlight w:val="none"/>
        </w:rPr>
      </w:pPr>
      <w:r>
        <w:rPr>
          <w:rFonts w:hint="eastAsia" w:ascii="Times New Roman" w:hAnsi="Times New Roman"/>
          <w:color w:val="auto"/>
          <w:sz w:val="21"/>
          <w:szCs w:val="21"/>
          <w:highlight w:val="none"/>
        </w:rPr>
        <w:t>附件12：分包专业工程一览表</w:t>
      </w:r>
    </w:p>
    <w:p w14:paraId="737974E1">
      <w:pPr>
        <w:spacing w:line="360" w:lineRule="auto"/>
        <w:rPr>
          <w:rFonts w:ascii="Times New Roman" w:hAnsi="Times New Roman"/>
          <w:color w:val="auto"/>
          <w:szCs w:val="21"/>
          <w:highlight w:val="none"/>
        </w:rPr>
      </w:pPr>
    </w:p>
    <w:p w14:paraId="4E9B7B94">
      <w:pPr>
        <w:spacing w:line="360" w:lineRule="auto"/>
        <w:rPr>
          <w:rFonts w:ascii="Times New Roman" w:hAnsi="Times New Roman"/>
          <w:color w:val="auto"/>
          <w:szCs w:val="21"/>
          <w:highlight w:val="none"/>
        </w:rPr>
      </w:pPr>
    </w:p>
    <w:p w14:paraId="67C96017">
      <w:pPr>
        <w:rPr>
          <w:rFonts w:hint="eastAsia" w:cs="仿宋"/>
          <w:color w:val="auto"/>
          <w:sz w:val="21"/>
          <w:szCs w:val="21"/>
          <w:highlight w:val="none"/>
        </w:rPr>
      </w:pPr>
    </w:p>
    <w:p w14:paraId="49F6BAFB">
      <w:pPr>
        <w:rPr>
          <w:rFonts w:hint="eastAsia" w:cs="仿宋"/>
          <w:color w:val="auto"/>
          <w:sz w:val="21"/>
          <w:szCs w:val="21"/>
          <w:highlight w:val="none"/>
        </w:rPr>
      </w:pPr>
    </w:p>
    <w:p w14:paraId="147B17ED">
      <w:pPr>
        <w:rPr>
          <w:rFonts w:hint="eastAsia" w:cs="仿宋"/>
          <w:color w:val="auto"/>
          <w:sz w:val="21"/>
          <w:szCs w:val="21"/>
          <w:highlight w:val="none"/>
        </w:rPr>
      </w:pPr>
    </w:p>
    <w:p w14:paraId="3D827294">
      <w:pPr>
        <w:rPr>
          <w:rFonts w:hint="eastAsia" w:cs="仿宋"/>
          <w:color w:val="auto"/>
          <w:sz w:val="21"/>
          <w:szCs w:val="21"/>
          <w:highlight w:val="none"/>
        </w:rPr>
      </w:pPr>
    </w:p>
    <w:p w14:paraId="409462F6">
      <w:pPr>
        <w:rPr>
          <w:rFonts w:hint="eastAsia" w:cs="仿宋"/>
          <w:color w:val="auto"/>
          <w:sz w:val="21"/>
          <w:szCs w:val="21"/>
          <w:highlight w:val="none"/>
        </w:rPr>
      </w:pPr>
    </w:p>
    <w:p w14:paraId="245747D2">
      <w:pPr>
        <w:pStyle w:val="13"/>
        <w:ind w:left="480" w:firstLine="480"/>
        <w:rPr>
          <w:rFonts w:hint="eastAsia"/>
          <w:color w:val="auto"/>
          <w:highlight w:val="none"/>
          <w:lang w:val="en-US" w:eastAsia="zh-CN"/>
        </w:rPr>
      </w:pPr>
    </w:p>
    <w:p w14:paraId="657F6596">
      <w:pPr>
        <w:pStyle w:val="13"/>
        <w:ind w:left="480" w:firstLine="480"/>
        <w:rPr>
          <w:rFonts w:hint="eastAsia"/>
          <w:color w:val="auto"/>
          <w:highlight w:val="none"/>
          <w:lang w:val="en-US" w:eastAsia="zh-CN"/>
        </w:rPr>
      </w:pPr>
    </w:p>
    <w:p w14:paraId="7056C6CF">
      <w:pPr>
        <w:pStyle w:val="13"/>
        <w:ind w:left="480" w:firstLine="480"/>
        <w:rPr>
          <w:rFonts w:hint="eastAsia"/>
          <w:color w:val="auto"/>
          <w:highlight w:val="none"/>
          <w:lang w:val="en-US" w:eastAsia="zh-CN"/>
        </w:rPr>
      </w:pPr>
    </w:p>
    <w:p w14:paraId="040BDA84">
      <w:pPr>
        <w:rPr>
          <w:rFonts w:hint="eastAsia" w:cs="仿宋"/>
          <w:color w:val="auto"/>
          <w:sz w:val="21"/>
          <w:szCs w:val="21"/>
          <w:highlight w:val="none"/>
        </w:rPr>
      </w:pPr>
    </w:p>
    <w:p w14:paraId="12417416">
      <w:pPr>
        <w:pStyle w:val="13"/>
        <w:ind w:left="480" w:firstLine="480"/>
        <w:rPr>
          <w:rFonts w:hint="eastAsia"/>
          <w:color w:val="auto"/>
          <w:highlight w:val="none"/>
          <w:lang w:val="en-US" w:eastAsia="zh-CN"/>
        </w:rPr>
      </w:pPr>
    </w:p>
    <w:p w14:paraId="578751ED">
      <w:pPr>
        <w:rPr>
          <w:rFonts w:hint="eastAsia" w:cs="仿宋"/>
          <w:color w:val="auto"/>
          <w:sz w:val="21"/>
          <w:szCs w:val="21"/>
          <w:highlight w:val="none"/>
        </w:rPr>
      </w:pPr>
    </w:p>
    <w:p w14:paraId="00A30DC0">
      <w:pPr>
        <w:rPr>
          <w:rFonts w:hint="eastAsia" w:cs="仿宋"/>
          <w:color w:val="auto"/>
          <w:sz w:val="21"/>
          <w:szCs w:val="21"/>
          <w:highlight w:val="none"/>
        </w:rPr>
      </w:pPr>
    </w:p>
    <w:p w14:paraId="5C2FC5EA">
      <w:pPr>
        <w:rPr>
          <w:rFonts w:hint="eastAsia" w:cs="仿宋"/>
          <w:color w:val="auto"/>
          <w:sz w:val="21"/>
          <w:szCs w:val="21"/>
          <w:highlight w:val="none"/>
        </w:rPr>
      </w:pPr>
    </w:p>
    <w:p w14:paraId="66A91E8A">
      <w:pPr>
        <w:rPr>
          <w:rFonts w:hint="eastAsia" w:cs="仿宋"/>
          <w:color w:val="auto"/>
          <w:sz w:val="21"/>
          <w:szCs w:val="21"/>
          <w:highlight w:val="none"/>
        </w:rPr>
      </w:pPr>
    </w:p>
    <w:p w14:paraId="0DC83092">
      <w:pPr>
        <w:rPr>
          <w:rFonts w:hint="eastAsia" w:cs="仿宋"/>
          <w:color w:val="auto"/>
          <w:sz w:val="21"/>
          <w:szCs w:val="21"/>
          <w:highlight w:val="none"/>
        </w:rPr>
      </w:pPr>
    </w:p>
    <w:p w14:paraId="4E744B13">
      <w:pPr>
        <w:rPr>
          <w:rFonts w:hint="eastAsia" w:cs="仿宋"/>
          <w:color w:val="auto"/>
          <w:sz w:val="21"/>
          <w:szCs w:val="21"/>
          <w:highlight w:val="none"/>
        </w:rPr>
      </w:pPr>
    </w:p>
    <w:p w14:paraId="31DE6D32">
      <w:pPr>
        <w:pStyle w:val="2"/>
        <w:rPr>
          <w:rFonts w:hint="eastAsia"/>
          <w:color w:val="auto"/>
          <w:highlight w:val="none"/>
        </w:rPr>
      </w:pPr>
    </w:p>
    <w:p w14:paraId="0E16283E">
      <w:pPr>
        <w:rPr>
          <w:rFonts w:ascii="Times New Roman" w:hAnsi="Times New Roman"/>
          <w:b/>
          <w:color w:val="auto"/>
          <w:sz w:val="21"/>
          <w:szCs w:val="21"/>
          <w:highlight w:val="none"/>
        </w:rPr>
      </w:pPr>
      <w:r>
        <w:rPr>
          <w:rFonts w:ascii="Times New Roman" w:hAnsi="Times New Roman"/>
          <w:b/>
          <w:color w:val="auto"/>
          <w:sz w:val="21"/>
          <w:szCs w:val="21"/>
          <w:highlight w:val="none"/>
        </w:rPr>
        <w:br w:type="page"/>
      </w:r>
    </w:p>
    <w:p w14:paraId="4B271EC6">
      <w:pPr>
        <w:rPr>
          <w:b/>
          <w:color w:val="auto"/>
          <w:highlight w:val="none"/>
        </w:rPr>
      </w:pPr>
      <w:r>
        <w:rPr>
          <w:rFonts w:ascii="Times New Roman" w:hAnsi="Times New Roman"/>
          <w:b/>
          <w:color w:val="auto"/>
          <w:sz w:val="21"/>
          <w:szCs w:val="21"/>
          <w:highlight w:val="none"/>
        </w:rPr>
        <w:t>附件2：</w:t>
      </w:r>
      <w:r>
        <w:rPr>
          <w:b/>
          <w:color w:val="auto"/>
          <w:highlight w:val="none"/>
        </w:rPr>
        <w:t xml:space="preserve">    </w:t>
      </w:r>
    </w:p>
    <w:p w14:paraId="5F94115E">
      <w:pPr>
        <w:spacing w:line="500" w:lineRule="exact"/>
        <w:ind w:firstLine="562"/>
        <w:jc w:val="center"/>
        <w:rPr>
          <w:color w:val="auto"/>
          <w:highlight w:val="none"/>
        </w:rPr>
      </w:pPr>
      <w:r>
        <w:rPr>
          <w:rFonts w:ascii="Times New Roman" w:hAnsi="Times New Roman"/>
          <w:b/>
          <w:bCs/>
          <w:color w:val="auto"/>
          <w:szCs w:val="21"/>
          <w:highlight w:val="none"/>
        </w:rPr>
        <w:t>工程质量保修书</w:t>
      </w:r>
    </w:p>
    <w:p w14:paraId="0C564A35">
      <w:pPr>
        <w:spacing w:line="360" w:lineRule="auto"/>
        <w:rPr>
          <w:color w:val="auto"/>
          <w:sz w:val="21"/>
          <w:szCs w:val="21"/>
          <w:highlight w:val="none"/>
          <w:u w:val="single"/>
        </w:rPr>
      </w:pPr>
      <w:r>
        <w:rPr>
          <w:rFonts w:hint="eastAsia"/>
          <w:b/>
          <w:color w:val="auto"/>
          <w:sz w:val="21"/>
          <w:szCs w:val="21"/>
          <w:highlight w:val="none"/>
        </w:rPr>
        <w:t>项目单位（建设单位）（全称）：</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14:paraId="376D92B3">
      <w:pPr>
        <w:spacing w:line="500" w:lineRule="exact"/>
        <w:rPr>
          <w:color w:val="auto"/>
          <w:sz w:val="21"/>
          <w:szCs w:val="21"/>
          <w:highlight w:val="none"/>
        </w:rPr>
      </w:pPr>
      <w:r>
        <w:rPr>
          <w:rFonts w:hint="eastAsia"/>
          <w:b/>
          <w:color w:val="auto"/>
          <w:sz w:val="21"/>
          <w:szCs w:val="21"/>
          <w:highlight w:val="none"/>
        </w:rPr>
        <w:t>承包人</w:t>
      </w:r>
      <w:r>
        <w:rPr>
          <w:b/>
          <w:color w:val="auto"/>
          <w:sz w:val="21"/>
          <w:szCs w:val="21"/>
          <w:highlight w:val="none"/>
        </w:rPr>
        <w:t>（全称）：</w:t>
      </w:r>
      <w:r>
        <w:rPr>
          <w:rFonts w:hint="eastAsia"/>
          <w:b/>
          <w:color w:val="auto"/>
          <w:sz w:val="21"/>
          <w:szCs w:val="21"/>
          <w:highlight w:val="none"/>
          <w:u w:val="single"/>
        </w:rPr>
        <w:t xml:space="preserve"> </w:t>
      </w:r>
      <w:r>
        <w:rPr>
          <w:b/>
          <w:color w:val="auto"/>
          <w:sz w:val="21"/>
          <w:szCs w:val="21"/>
          <w:highlight w:val="none"/>
          <w:u w:val="single"/>
        </w:rPr>
        <w:t xml:space="preserve">    </w:t>
      </w:r>
      <w:r>
        <w:rPr>
          <w:rFonts w:hint="eastAsia"/>
          <w:b/>
          <w:color w:val="auto"/>
          <w:sz w:val="21"/>
          <w:szCs w:val="21"/>
          <w:highlight w:val="none"/>
          <w:u w:val="single"/>
          <w:lang w:val="en-US" w:eastAsia="zh-CN"/>
        </w:rPr>
        <w:t xml:space="preserve">                        </w:t>
      </w:r>
      <w:r>
        <w:rPr>
          <w:b/>
          <w:color w:val="auto"/>
          <w:sz w:val="21"/>
          <w:szCs w:val="21"/>
          <w:highlight w:val="none"/>
          <w:u w:val="single"/>
        </w:rPr>
        <w:t xml:space="preserve">   </w:t>
      </w:r>
      <w:r>
        <w:rPr>
          <w:rFonts w:hint="eastAsia"/>
          <w:b/>
          <w:color w:val="auto"/>
          <w:sz w:val="21"/>
          <w:szCs w:val="21"/>
          <w:highlight w:val="none"/>
          <w:u w:val="single"/>
        </w:rPr>
        <w:t xml:space="preserve"> </w:t>
      </w:r>
      <w:r>
        <w:rPr>
          <w:b/>
          <w:color w:val="auto"/>
          <w:sz w:val="21"/>
          <w:szCs w:val="21"/>
          <w:highlight w:val="none"/>
          <w:u w:val="single"/>
        </w:rPr>
        <w:t xml:space="preserve">  </w:t>
      </w:r>
      <w:r>
        <w:rPr>
          <w:rFonts w:ascii="Times New Roman" w:hAnsi="Times New Roman"/>
          <w:color w:val="auto"/>
          <w:sz w:val="21"/>
          <w:szCs w:val="21"/>
          <w:highlight w:val="none"/>
        </w:rPr>
        <w:t xml:space="preserve"> </w:t>
      </w:r>
    </w:p>
    <w:p w14:paraId="1974DE42">
      <w:pPr>
        <w:rPr>
          <w:color w:val="auto"/>
          <w:sz w:val="21"/>
          <w:szCs w:val="21"/>
          <w:highlight w:val="none"/>
        </w:rPr>
      </w:pPr>
    </w:p>
    <w:p w14:paraId="2CFB9423">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发包人和承包人根据《中华人民共和国建筑法》和《建设工程质量管理条例》，经协商一致就（工程全称）签订工程质量保修书。</w:t>
      </w:r>
    </w:p>
    <w:p w14:paraId="6578D161">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一、工程质量保修范围和内容</w:t>
      </w:r>
    </w:p>
    <w:p w14:paraId="53A6AC6A">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承包人在质量保修期内，按照有关法律规定和合同约定，承担工程质量保修责任。</w:t>
      </w:r>
    </w:p>
    <w:p w14:paraId="1C198414">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质量保修范围包括地基基础工程、主体结构工程，屋面防水工程、有防水要求的卫生间、房间和外墙面的防渗漏，供热与供冷系统，电气管线、给排水管道、工程设备安装和装修工程，以及双方约定的其他项目。具体保修的内容，双方约定如下：保修责任范围包括本工程承包范围内的全部工程内容。</w:t>
      </w:r>
    </w:p>
    <w:p w14:paraId="319945E6">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二、质量保修期</w:t>
      </w:r>
    </w:p>
    <w:p w14:paraId="7D148BFC">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根据《建设工程质量管理条例》及有关规定，工程的质量保修期如下：</w:t>
      </w:r>
    </w:p>
    <w:p w14:paraId="0F1719FA">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1．地基基础工程和主体结构工程为设计文件规定的工程合理使用年限；</w:t>
      </w:r>
    </w:p>
    <w:p w14:paraId="0D8D892D">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2．屋面防水工程、有防水要求的卫生间、房间和外墙面的防渗为5年；</w:t>
      </w:r>
    </w:p>
    <w:p w14:paraId="34A5190D">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3．装修工程为2年；</w:t>
      </w:r>
    </w:p>
    <w:p w14:paraId="0C1AAD73">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4．电气管线、给排水管道、工程设备安装工程为2年；</w:t>
      </w:r>
    </w:p>
    <w:p w14:paraId="52E8C885">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5．供热与供冷系统为2个采暖期、供冷期；</w:t>
      </w:r>
    </w:p>
    <w:p w14:paraId="55312D4D">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6．住宅小区内的给排水设施、道路等配套工程为2年；</w:t>
      </w:r>
    </w:p>
    <w:p w14:paraId="7FACA07A">
      <w:pPr>
        <w:spacing w:line="500" w:lineRule="exact"/>
        <w:ind w:firstLine="420"/>
        <w:rPr>
          <w:rFonts w:hint="eastAsia" w:ascii="Times New Roman" w:hAnsi="Times New Roman"/>
          <w:color w:val="auto"/>
          <w:sz w:val="21"/>
          <w:szCs w:val="21"/>
          <w:highlight w:val="none"/>
        </w:rPr>
      </w:pPr>
      <w:r>
        <w:rPr>
          <w:rFonts w:ascii="Times New Roman" w:hAnsi="Times New Roman"/>
          <w:color w:val="auto"/>
          <w:sz w:val="21"/>
          <w:szCs w:val="21"/>
          <w:highlight w:val="none"/>
        </w:rPr>
        <w:t>7．</w:t>
      </w:r>
      <w:r>
        <w:rPr>
          <w:rFonts w:hint="eastAsia" w:ascii="Times New Roman" w:hAnsi="Times New Roman"/>
          <w:color w:val="auto"/>
          <w:sz w:val="21"/>
          <w:szCs w:val="21"/>
          <w:highlight w:val="none"/>
        </w:rPr>
        <w:t>绿化保修养护期2年；</w:t>
      </w:r>
    </w:p>
    <w:p w14:paraId="2A1F6D35">
      <w:pPr>
        <w:spacing w:line="500" w:lineRule="exact"/>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8. 室外总体保修期限为2年；</w:t>
      </w:r>
    </w:p>
    <w:p w14:paraId="22059C01">
      <w:pPr>
        <w:spacing w:line="500" w:lineRule="exact"/>
        <w:ind w:firstLine="478" w:firstLineChars="22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9. </w:t>
      </w:r>
      <w:r>
        <w:rPr>
          <w:rFonts w:ascii="Times New Roman" w:hAnsi="Times New Roman"/>
          <w:color w:val="auto"/>
          <w:sz w:val="21"/>
          <w:szCs w:val="21"/>
          <w:highlight w:val="none"/>
        </w:rPr>
        <w:t>其他项目保修期限约定如下： /</w:t>
      </w:r>
      <w:r>
        <w:rPr>
          <w:rFonts w:hint="eastAsia" w:ascii="Times New Roman" w:hAnsi="Times New Roman"/>
          <w:color w:val="auto"/>
          <w:sz w:val="21"/>
          <w:szCs w:val="21"/>
          <w:highlight w:val="none"/>
        </w:rPr>
        <w:t xml:space="preserve"> </w:t>
      </w:r>
      <w:r>
        <w:rPr>
          <w:rFonts w:ascii="Times New Roman" w:hAnsi="Times New Roman"/>
          <w:color w:val="auto"/>
          <w:sz w:val="21"/>
          <w:szCs w:val="21"/>
          <w:highlight w:val="none"/>
        </w:rPr>
        <w:t>。</w:t>
      </w:r>
    </w:p>
    <w:p w14:paraId="6356601D">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质量保修期自工程竣工验收合格之日起计算。</w:t>
      </w:r>
    </w:p>
    <w:p w14:paraId="40AC17FA">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三、缺陷责任期</w:t>
      </w:r>
    </w:p>
    <w:p w14:paraId="1A929528">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工程缺陷责任期为24个月，缺陷责任期自工程通过竣工验收之日起计算。单位工程先于全部工程进行验收，单位工程缺陷责任期自单位工程验收合格之日起算。</w:t>
      </w:r>
    </w:p>
    <w:p w14:paraId="7CE64C1D">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缺陷责任期终止后，发包人应退还剩余的质量保证金。</w:t>
      </w:r>
    </w:p>
    <w:p w14:paraId="6709C77C">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四、质量保修责任</w:t>
      </w:r>
    </w:p>
    <w:p w14:paraId="34DCFC8E">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1．属于保修范围、内容的项目，承包人应当在接到保修通知之日起</w:t>
      </w:r>
      <w:r>
        <w:rPr>
          <w:rFonts w:hint="eastAsia" w:ascii="Times New Roman" w:hAnsi="Times New Roman"/>
          <w:color w:val="auto"/>
          <w:sz w:val="21"/>
          <w:szCs w:val="21"/>
          <w:highlight w:val="none"/>
        </w:rPr>
        <w:t>3</w:t>
      </w:r>
      <w:r>
        <w:rPr>
          <w:rFonts w:ascii="Times New Roman" w:hAnsi="Times New Roman"/>
          <w:color w:val="auto"/>
          <w:sz w:val="21"/>
          <w:szCs w:val="21"/>
          <w:highlight w:val="none"/>
        </w:rPr>
        <w:t>天内派人保修。承包人不在约定期限内派人保修的，发包人可以委托他人修理。</w:t>
      </w:r>
      <w:r>
        <w:rPr>
          <w:rFonts w:hint="eastAsia" w:ascii="Times New Roman" w:hAnsi="Times New Roman"/>
          <w:color w:val="auto"/>
          <w:sz w:val="21"/>
          <w:szCs w:val="21"/>
          <w:highlight w:val="none"/>
        </w:rPr>
        <w:t>修理的费用直接从质保金中予以扣减。</w:t>
      </w:r>
    </w:p>
    <w:p w14:paraId="0A8583CD">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2．发生紧急事故需抢修的，承包人在接到事故通知后，应当立即到达事故现场抢修。</w:t>
      </w:r>
    </w:p>
    <w:p w14:paraId="2EEFDFF9">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B18D7CD">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4．质量保修完成后，由发包人组织验收。</w:t>
      </w:r>
    </w:p>
    <w:p w14:paraId="1D31D44F">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五、保修费用</w:t>
      </w:r>
    </w:p>
    <w:p w14:paraId="5F446A67">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 xml:space="preserve"> 保修费用由造成质量缺陷的责任方承担。</w:t>
      </w:r>
    </w:p>
    <w:p w14:paraId="03FCE57B">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六、双方约定的其他工程质量保修事项：。</w:t>
      </w:r>
    </w:p>
    <w:p w14:paraId="05EF681E">
      <w:pPr>
        <w:spacing w:line="500" w:lineRule="exact"/>
        <w:ind w:firstLine="420"/>
        <w:rPr>
          <w:rFonts w:ascii="Times New Roman" w:hAnsi="Times New Roman"/>
          <w:color w:val="auto"/>
          <w:sz w:val="21"/>
          <w:szCs w:val="21"/>
          <w:highlight w:val="none"/>
        </w:rPr>
      </w:pPr>
      <w:r>
        <w:rPr>
          <w:rFonts w:ascii="Times New Roman" w:hAnsi="Times New Roman"/>
          <w:color w:val="auto"/>
          <w:sz w:val="21"/>
          <w:szCs w:val="21"/>
          <w:highlight w:val="none"/>
        </w:rPr>
        <w:t>工程质量保修书由</w:t>
      </w:r>
      <w:r>
        <w:rPr>
          <w:rFonts w:hint="eastAsia" w:ascii="Times New Roman" w:hAnsi="Times New Roman"/>
          <w:color w:val="auto"/>
          <w:sz w:val="21"/>
          <w:szCs w:val="21"/>
          <w:highlight w:val="none"/>
        </w:rPr>
        <w:t>项目单位、</w:t>
      </w:r>
      <w:r>
        <w:rPr>
          <w:rFonts w:ascii="Times New Roman" w:hAnsi="Times New Roman"/>
          <w:color w:val="auto"/>
          <w:sz w:val="21"/>
          <w:szCs w:val="21"/>
          <w:highlight w:val="none"/>
        </w:rPr>
        <w:t>发包人、承包人在工程竣工验收前共同签署，作为施工合同附件，其有效期限至保修期满。</w:t>
      </w:r>
    </w:p>
    <w:tbl>
      <w:tblPr>
        <w:tblStyle w:val="14"/>
        <w:tblpPr w:leftFromText="180" w:rightFromText="180" w:vertAnchor="text" w:horzAnchor="margin" w:tblpXSpec="center" w:tblpY="259"/>
        <w:tblW w:w="4988" w:type="pct"/>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4772"/>
      </w:tblGrid>
      <w:tr w14:paraId="6BED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193" w:type="pct"/>
            <w:noWrap w:val="0"/>
            <w:vAlign w:val="top"/>
          </w:tcPr>
          <w:p w14:paraId="18C1BB85">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(此页为签署页)</w:t>
            </w:r>
          </w:p>
          <w:p w14:paraId="4EF20432">
            <w:pPr>
              <w:tabs>
                <w:tab w:val="left" w:pos="180"/>
              </w:tabs>
              <w:spacing w:line="400" w:lineRule="exact"/>
              <w:rPr>
                <w:rFonts w:hint="eastAsia" w:cs="宋体"/>
                <w:color w:val="auto"/>
                <w:sz w:val="21"/>
                <w:szCs w:val="21"/>
                <w:highlight w:val="none"/>
              </w:rPr>
            </w:pPr>
            <w:r>
              <w:rPr>
                <w:rFonts w:hint="eastAsia"/>
                <w:color w:val="auto"/>
                <w:sz w:val="21"/>
                <w:szCs w:val="21"/>
                <w:highlight w:val="none"/>
              </w:rPr>
              <w:t>项目单位</w:t>
            </w:r>
            <w:r>
              <w:rPr>
                <w:rFonts w:hint="eastAsia" w:cs="宋体"/>
                <w:color w:val="auto"/>
                <w:sz w:val="21"/>
                <w:szCs w:val="21"/>
                <w:highlight w:val="none"/>
              </w:rPr>
              <w:t xml:space="preserve">：       </w:t>
            </w:r>
            <w:r>
              <w:rPr>
                <w:rFonts w:hint="eastAsia"/>
                <w:color w:val="auto"/>
                <w:sz w:val="21"/>
                <w:szCs w:val="21"/>
                <w:highlight w:val="none"/>
              </w:rPr>
              <w:t>（盖章）</w:t>
            </w:r>
            <w:r>
              <w:rPr>
                <w:rFonts w:hint="eastAsia" w:cs="宋体"/>
                <w:color w:val="auto"/>
                <w:sz w:val="21"/>
                <w:szCs w:val="21"/>
                <w:highlight w:val="none"/>
              </w:rPr>
              <w:t xml:space="preserve"> </w:t>
            </w:r>
          </w:p>
          <w:p w14:paraId="60252E68">
            <w:pPr>
              <w:tabs>
                <w:tab w:val="left" w:pos="180"/>
              </w:tabs>
              <w:spacing w:line="400" w:lineRule="exact"/>
              <w:rPr>
                <w:rFonts w:hint="eastAsia" w:cs="宋体"/>
                <w:color w:val="auto"/>
                <w:sz w:val="21"/>
                <w:szCs w:val="21"/>
                <w:highlight w:val="none"/>
              </w:rPr>
            </w:pPr>
            <w:r>
              <w:rPr>
                <w:rFonts w:hint="eastAsia"/>
                <w:color w:val="auto"/>
                <w:sz w:val="21"/>
                <w:szCs w:val="21"/>
                <w:highlight w:val="none"/>
              </w:rPr>
              <w:t>法定代表人或其委托代理人</w:t>
            </w:r>
            <w:r>
              <w:rPr>
                <w:rFonts w:hint="eastAsia" w:cs="宋体"/>
                <w:color w:val="auto"/>
                <w:sz w:val="21"/>
                <w:szCs w:val="21"/>
                <w:highlight w:val="none"/>
              </w:rPr>
              <w:t xml:space="preserve">： </w:t>
            </w:r>
          </w:p>
          <w:p w14:paraId="5319133D">
            <w:pPr>
              <w:tabs>
                <w:tab w:val="left" w:pos="180"/>
              </w:tabs>
              <w:spacing w:line="400" w:lineRule="exact"/>
              <w:rPr>
                <w:rFonts w:hint="eastAsia" w:cs="宋体"/>
                <w:color w:val="auto"/>
                <w:sz w:val="21"/>
                <w:szCs w:val="21"/>
                <w:highlight w:val="none"/>
              </w:rPr>
            </w:pPr>
            <w:r>
              <w:rPr>
                <w:rFonts w:hint="eastAsia" w:cs="宋体"/>
                <w:color w:val="auto"/>
                <w:sz w:val="21"/>
                <w:szCs w:val="21"/>
                <w:highlight w:val="none"/>
              </w:rPr>
              <w:t>（签字或盖章）</w:t>
            </w:r>
          </w:p>
          <w:p w14:paraId="40D5D473">
            <w:pPr>
              <w:spacing w:line="400" w:lineRule="exact"/>
              <w:rPr>
                <w:rFonts w:hint="eastAsia" w:cs="宋体"/>
                <w:color w:val="auto"/>
                <w:sz w:val="21"/>
                <w:szCs w:val="21"/>
                <w:highlight w:val="none"/>
              </w:rPr>
            </w:pPr>
            <w:r>
              <w:rPr>
                <w:rFonts w:hint="eastAsia" w:cs="宋体"/>
                <w:color w:val="auto"/>
                <w:sz w:val="21"/>
                <w:szCs w:val="21"/>
                <w:highlight w:val="none"/>
              </w:rPr>
              <w:t xml:space="preserve">统一社会信用代码： </w:t>
            </w:r>
          </w:p>
          <w:p w14:paraId="613667A9">
            <w:pPr>
              <w:tabs>
                <w:tab w:val="left" w:pos="180"/>
              </w:tabs>
              <w:spacing w:line="400" w:lineRule="exact"/>
              <w:rPr>
                <w:rFonts w:hint="eastAsia"/>
                <w:color w:val="auto"/>
                <w:sz w:val="21"/>
                <w:szCs w:val="21"/>
                <w:highlight w:val="none"/>
              </w:rPr>
            </w:pPr>
            <w:r>
              <w:rPr>
                <w:rFonts w:hint="eastAsia"/>
                <w:color w:val="auto"/>
                <w:sz w:val="21"/>
                <w:szCs w:val="21"/>
                <w:highlight w:val="none"/>
              </w:rPr>
              <w:t xml:space="preserve">地址： </w:t>
            </w:r>
          </w:p>
          <w:p w14:paraId="2CC266D6">
            <w:pPr>
              <w:tabs>
                <w:tab w:val="left" w:pos="180"/>
              </w:tabs>
              <w:spacing w:line="400" w:lineRule="exact"/>
              <w:rPr>
                <w:rFonts w:hint="eastAsia"/>
                <w:color w:val="auto"/>
                <w:sz w:val="21"/>
                <w:szCs w:val="21"/>
                <w:highlight w:val="none"/>
              </w:rPr>
            </w:pPr>
            <w:r>
              <w:rPr>
                <w:rFonts w:hint="eastAsia"/>
                <w:color w:val="auto"/>
                <w:sz w:val="21"/>
                <w:szCs w:val="21"/>
                <w:highlight w:val="none"/>
              </w:rPr>
              <w:t>邮编：</w:t>
            </w:r>
          </w:p>
          <w:p w14:paraId="33AB2EC6">
            <w:pPr>
              <w:tabs>
                <w:tab w:val="left" w:pos="180"/>
              </w:tabs>
              <w:spacing w:line="400" w:lineRule="exact"/>
              <w:rPr>
                <w:rFonts w:hint="eastAsia"/>
                <w:color w:val="auto"/>
                <w:sz w:val="21"/>
                <w:szCs w:val="21"/>
                <w:highlight w:val="none"/>
              </w:rPr>
            </w:pPr>
            <w:r>
              <w:rPr>
                <w:color w:val="auto"/>
                <w:sz w:val="21"/>
                <w:szCs w:val="21"/>
                <w:highlight w:val="none"/>
              </w:rPr>
              <w:t>法定代表人：</w:t>
            </w:r>
          </w:p>
          <w:p w14:paraId="1919F99E">
            <w:pPr>
              <w:tabs>
                <w:tab w:val="left" w:pos="180"/>
              </w:tabs>
              <w:spacing w:line="400" w:lineRule="exact"/>
              <w:rPr>
                <w:rFonts w:hint="eastAsia"/>
                <w:color w:val="auto"/>
                <w:sz w:val="21"/>
                <w:szCs w:val="21"/>
                <w:highlight w:val="none"/>
              </w:rPr>
            </w:pPr>
            <w:r>
              <w:rPr>
                <w:color w:val="auto"/>
                <w:sz w:val="21"/>
                <w:szCs w:val="21"/>
                <w:highlight w:val="none"/>
              </w:rPr>
              <w:t>委托代理人：</w:t>
            </w:r>
          </w:p>
          <w:p w14:paraId="57E71CE7">
            <w:pPr>
              <w:tabs>
                <w:tab w:val="left" w:pos="180"/>
              </w:tabs>
              <w:spacing w:line="400" w:lineRule="exact"/>
              <w:rPr>
                <w:rFonts w:hint="eastAsia"/>
                <w:color w:val="auto"/>
                <w:sz w:val="21"/>
                <w:szCs w:val="21"/>
                <w:highlight w:val="none"/>
              </w:rPr>
            </w:pPr>
            <w:r>
              <w:rPr>
                <w:rFonts w:hint="eastAsia"/>
                <w:color w:val="auto"/>
                <w:sz w:val="21"/>
                <w:szCs w:val="21"/>
                <w:highlight w:val="none"/>
              </w:rPr>
              <w:t>电话：</w:t>
            </w:r>
          </w:p>
          <w:p w14:paraId="647A2147">
            <w:pPr>
              <w:tabs>
                <w:tab w:val="left" w:pos="180"/>
              </w:tabs>
              <w:spacing w:line="400" w:lineRule="exact"/>
              <w:rPr>
                <w:rFonts w:hint="eastAsia"/>
                <w:color w:val="auto"/>
                <w:sz w:val="21"/>
                <w:szCs w:val="21"/>
                <w:highlight w:val="none"/>
              </w:rPr>
            </w:pPr>
            <w:r>
              <w:rPr>
                <w:rFonts w:hint="eastAsia"/>
                <w:color w:val="auto"/>
                <w:sz w:val="21"/>
                <w:szCs w:val="21"/>
                <w:highlight w:val="none"/>
              </w:rPr>
              <w:t>传真：</w:t>
            </w:r>
          </w:p>
          <w:p w14:paraId="3B11D8C6">
            <w:pPr>
              <w:tabs>
                <w:tab w:val="left" w:pos="180"/>
              </w:tabs>
              <w:spacing w:line="400" w:lineRule="exact"/>
              <w:rPr>
                <w:rFonts w:hint="eastAsia"/>
                <w:color w:val="auto"/>
                <w:sz w:val="21"/>
                <w:szCs w:val="21"/>
                <w:highlight w:val="none"/>
              </w:rPr>
            </w:pPr>
            <w:r>
              <w:rPr>
                <w:color w:val="auto"/>
                <w:sz w:val="21"/>
                <w:szCs w:val="21"/>
                <w:highlight w:val="none"/>
              </w:rPr>
              <w:t>电子信箱：</w:t>
            </w:r>
          </w:p>
          <w:p w14:paraId="718CD557">
            <w:pPr>
              <w:tabs>
                <w:tab w:val="left" w:pos="180"/>
              </w:tabs>
              <w:spacing w:line="400" w:lineRule="exact"/>
              <w:rPr>
                <w:rFonts w:hint="eastAsia"/>
                <w:color w:val="auto"/>
                <w:sz w:val="21"/>
                <w:szCs w:val="21"/>
                <w:highlight w:val="none"/>
              </w:rPr>
            </w:pPr>
            <w:r>
              <w:rPr>
                <w:rFonts w:hint="eastAsia"/>
                <w:color w:val="auto"/>
                <w:sz w:val="21"/>
                <w:szCs w:val="21"/>
                <w:highlight w:val="none"/>
              </w:rPr>
              <w:t xml:space="preserve">开户银行： </w:t>
            </w:r>
          </w:p>
          <w:p w14:paraId="679AFD07">
            <w:pPr>
              <w:tabs>
                <w:tab w:val="left" w:pos="180"/>
              </w:tabs>
              <w:spacing w:line="400" w:lineRule="exact"/>
              <w:rPr>
                <w:rFonts w:hint="eastAsia"/>
                <w:color w:val="auto"/>
                <w:sz w:val="21"/>
                <w:szCs w:val="21"/>
                <w:highlight w:val="none"/>
              </w:rPr>
            </w:pPr>
            <w:r>
              <w:rPr>
                <w:rFonts w:hint="eastAsia"/>
                <w:color w:val="auto"/>
                <w:sz w:val="21"/>
                <w:szCs w:val="21"/>
                <w:highlight w:val="none"/>
              </w:rPr>
              <w:t>银行账号：</w:t>
            </w:r>
          </w:p>
          <w:p w14:paraId="4080FE1C">
            <w:pPr>
              <w:tabs>
                <w:tab w:val="left" w:pos="180"/>
              </w:tabs>
              <w:spacing w:line="400" w:lineRule="exact"/>
              <w:rPr>
                <w:rFonts w:hint="eastAsia"/>
                <w:color w:val="auto"/>
                <w:sz w:val="21"/>
                <w:szCs w:val="21"/>
                <w:highlight w:val="none"/>
              </w:rPr>
            </w:pPr>
            <w:r>
              <w:rPr>
                <w:rFonts w:hint="eastAsia"/>
                <w:color w:val="auto"/>
                <w:sz w:val="21"/>
                <w:szCs w:val="21"/>
                <w:highlight w:val="none"/>
              </w:rPr>
              <w:t>时  间：</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tc>
        <w:tc>
          <w:tcPr>
            <w:tcW w:w="2806" w:type="pct"/>
            <w:noWrap w:val="0"/>
            <w:vAlign w:val="top"/>
          </w:tcPr>
          <w:p w14:paraId="41607221">
            <w:pPr>
              <w:spacing w:line="400" w:lineRule="exact"/>
              <w:ind w:right="-86" w:rightChars="-41"/>
              <w:rPr>
                <w:rFonts w:hint="eastAsia"/>
                <w:color w:val="auto"/>
                <w:sz w:val="21"/>
                <w:szCs w:val="21"/>
                <w:highlight w:val="none"/>
              </w:rPr>
            </w:pPr>
          </w:p>
          <w:p w14:paraId="2E358FF7">
            <w:pPr>
              <w:spacing w:line="400" w:lineRule="exact"/>
              <w:ind w:right="-86" w:rightChars="-41"/>
              <w:rPr>
                <w:rFonts w:hint="eastAsia" w:cs="宋体"/>
                <w:color w:val="auto"/>
                <w:sz w:val="21"/>
                <w:szCs w:val="21"/>
                <w:highlight w:val="none"/>
              </w:rPr>
            </w:pPr>
            <w:r>
              <w:rPr>
                <w:rFonts w:hint="eastAsia"/>
                <w:color w:val="auto"/>
                <w:sz w:val="21"/>
                <w:szCs w:val="21"/>
                <w:highlight w:val="none"/>
              </w:rPr>
              <w:t>承包人</w:t>
            </w:r>
            <w:r>
              <w:rPr>
                <w:rFonts w:hint="eastAsia" w:cs="宋体"/>
                <w:color w:val="auto"/>
                <w:sz w:val="21"/>
                <w:szCs w:val="21"/>
                <w:highlight w:val="none"/>
              </w:rPr>
              <w:t xml:space="preserve">：       </w:t>
            </w:r>
            <w:r>
              <w:rPr>
                <w:rFonts w:hint="eastAsia"/>
                <w:color w:val="auto"/>
                <w:sz w:val="21"/>
                <w:szCs w:val="21"/>
                <w:highlight w:val="none"/>
              </w:rPr>
              <w:t>（盖章）</w:t>
            </w:r>
          </w:p>
          <w:p w14:paraId="49AB54A0">
            <w:pPr>
              <w:spacing w:line="400" w:lineRule="exact"/>
              <w:ind w:right="-86" w:rightChars="-41"/>
              <w:rPr>
                <w:rFonts w:hint="eastAsia" w:cs="宋体"/>
                <w:color w:val="auto"/>
                <w:sz w:val="21"/>
                <w:szCs w:val="21"/>
                <w:highlight w:val="none"/>
              </w:rPr>
            </w:pPr>
            <w:r>
              <w:rPr>
                <w:rFonts w:hint="eastAsia"/>
                <w:color w:val="auto"/>
                <w:sz w:val="21"/>
                <w:szCs w:val="21"/>
                <w:highlight w:val="none"/>
              </w:rPr>
              <w:t>法定代表人或其委托代理人</w:t>
            </w:r>
            <w:r>
              <w:rPr>
                <w:rFonts w:hint="eastAsia" w:cs="宋体"/>
                <w:color w:val="auto"/>
                <w:sz w:val="21"/>
                <w:szCs w:val="21"/>
                <w:highlight w:val="none"/>
              </w:rPr>
              <w:t>：</w:t>
            </w:r>
          </w:p>
          <w:p w14:paraId="376DAF13">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（签字或盖章）</w:t>
            </w:r>
          </w:p>
          <w:p w14:paraId="03445A3E">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统一社会信用代码：</w:t>
            </w:r>
          </w:p>
          <w:p w14:paraId="6D771052">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 xml:space="preserve">地址： </w:t>
            </w:r>
          </w:p>
          <w:p w14:paraId="39F2DCEA">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邮编：</w:t>
            </w:r>
          </w:p>
          <w:p w14:paraId="570E25C6">
            <w:pPr>
              <w:tabs>
                <w:tab w:val="left" w:pos="180"/>
              </w:tabs>
              <w:spacing w:line="400" w:lineRule="exact"/>
              <w:rPr>
                <w:rFonts w:hint="eastAsia"/>
                <w:color w:val="auto"/>
                <w:sz w:val="21"/>
                <w:szCs w:val="21"/>
                <w:highlight w:val="none"/>
              </w:rPr>
            </w:pPr>
            <w:r>
              <w:rPr>
                <w:color w:val="auto"/>
                <w:sz w:val="21"/>
                <w:szCs w:val="21"/>
                <w:highlight w:val="none"/>
              </w:rPr>
              <w:t>法定代表人：</w:t>
            </w:r>
          </w:p>
          <w:p w14:paraId="2F0F0B32">
            <w:pPr>
              <w:tabs>
                <w:tab w:val="left" w:pos="180"/>
              </w:tabs>
              <w:spacing w:line="400" w:lineRule="exact"/>
              <w:rPr>
                <w:rFonts w:hint="eastAsia"/>
                <w:color w:val="auto"/>
                <w:sz w:val="21"/>
                <w:szCs w:val="21"/>
                <w:highlight w:val="none"/>
              </w:rPr>
            </w:pPr>
            <w:r>
              <w:rPr>
                <w:color w:val="auto"/>
                <w:sz w:val="21"/>
                <w:szCs w:val="21"/>
                <w:highlight w:val="none"/>
              </w:rPr>
              <w:t>委托代理人：</w:t>
            </w:r>
          </w:p>
          <w:p w14:paraId="1748FB45">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电话：</w:t>
            </w:r>
          </w:p>
          <w:p w14:paraId="58843291">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传真：</w:t>
            </w:r>
          </w:p>
          <w:p w14:paraId="69508BD1">
            <w:pPr>
              <w:tabs>
                <w:tab w:val="left" w:pos="180"/>
              </w:tabs>
              <w:spacing w:line="400" w:lineRule="exact"/>
              <w:rPr>
                <w:rFonts w:hint="eastAsia"/>
                <w:color w:val="auto"/>
                <w:sz w:val="21"/>
                <w:szCs w:val="21"/>
                <w:highlight w:val="none"/>
              </w:rPr>
            </w:pPr>
            <w:r>
              <w:rPr>
                <w:color w:val="auto"/>
                <w:sz w:val="21"/>
                <w:szCs w:val="21"/>
                <w:highlight w:val="none"/>
              </w:rPr>
              <w:t>电子信箱：</w:t>
            </w:r>
          </w:p>
          <w:p w14:paraId="2F552929">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开户银行：</w:t>
            </w:r>
          </w:p>
          <w:p w14:paraId="1F8C4699">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银行账号：</w:t>
            </w:r>
          </w:p>
          <w:p w14:paraId="0EAED345">
            <w:pPr>
              <w:spacing w:line="320" w:lineRule="exact"/>
              <w:ind w:left="-6" w:leftChars="-3" w:right="-86" w:rightChars="-41" w:firstLine="343" w:firstLineChars="0"/>
              <w:rPr>
                <w:rFonts w:hint="eastAsia"/>
                <w:color w:val="auto"/>
                <w:sz w:val="21"/>
                <w:szCs w:val="21"/>
                <w:highlight w:val="none"/>
              </w:rPr>
            </w:pPr>
            <w:r>
              <w:rPr>
                <w:rFonts w:hint="eastAsia"/>
                <w:color w:val="auto"/>
                <w:sz w:val="21"/>
                <w:szCs w:val="21"/>
                <w:highlight w:val="none"/>
              </w:rPr>
              <w:t>时  间：</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tc>
      </w:tr>
    </w:tbl>
    <w:p w14:paraId="120B2526">
      <w:pPr>
        <w:spacing w:line="500" w:lineRule="exact"/>
        <w:rPr>
          <w:rFonts w:hint="eastAsia" w:ascii="Times New Roman" w:hAnsi="Times New Roman"/>
          <w:b/>
          <w:bCs/>
          <w:color w:val="auto"/>
          <w:szCs w:val="21"/>
          <w:highlight w:val="none"/>
        </w:rPr>
      </w:pPr>
    </w:p>
    <w:p w14:paraId="24A7FF96">
      <w:pPr>
        <w:spacing w:line="500" w:lineRule="exact"/>
        <w:ind w:firstLine="420"/>
        <w:rPr>
          <w:rFonts w:hint="eastAsia" w:ascii="Times New Roman" w:hAnsi="Times New Roman"/>
          <w:b/>
          <w:bCs/>
          <w:color w:val="auto"/>
          <w:szCs w:val="21"/>
          <w:highlight w:val="none"/>
        </w:rPr>
      </w:pPr>
    </w:p>
    <w:p w14:paraId="01F92531">
      <w:pPr>
        <w:spacing w:line="500" w:lineRule="exact"/>
        <w:rPr>
          <w:b/>
          <w:color w:val="auto"/>
          <w:sz w:val="21"/>
          <w:szCs w:val="21"/>
          <w:highlight w:val="none"/>
        </w:rPr>
      </w:pPr>
      <w:r>
        <w:rPr>
          <w:rFonts w:ascii="Times New Roman" w:hAnsi="Times New Roman"/>
          <w:b/>
          <w:bCs/>
          <w:color w:val="auto"/>
          <w:sz w:val="21"/>
          <w:szCs w:val="21"/>
          <w:highlight w:val="none"/>
        </w:rPr>
        <w:t>附件3：承包人主要施工管理人员表</w:t>
      </w:r>
    </w:p>
    <w:tbl>
      <w:tblPr>
        <w:tblStyle w:val="14"/>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6"/>
        <w:gridCol w:w="1498"/>
        <w:gridCol w:w="1498"/>
        <w:gridCol w:w="1498"/>
        <w:gridCol w:w="2530"/>
      </w:tblGrid>
      <w:tr w14:paraId="7C5F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8" w:type="pct"/>
            <w:noWrap w:val="0"/>
            <w:vAlign w:val="top"/>
          </w:tcPr>
          <w:p w14:paraId="0310D8D9">
            <w:pPr>
              <w:spacing w:line="380" w:lineRule="exact"/>
              <w:jc w:val="center"/>
              <w:rPr>
                <w:rFonts w:cs="宋体"/>
                <w:b/>
                <w:color w:val="auto"/>
                <w:sz w:val="21"/>
                <w:szCs w:val="21"/>
                <w:highlight w:val="none"/>
              </w:rPr>
            </w:pPr>
            <w:r>
              <w:rPr>
                <w:rFonts w:hint="eastAsia" w:cs="宋体"/>
                <w:b/>
                <w:color w:val="auto"/>
                <w:sz w:val="21"/>
                <w:szCs w:val="21"/>
                <w:highlight w:val="none"/>
              </w:rPr>
              <w:t>序号</w:t>
            </w:r>
          </w:p>
        </w:tc>
        <w:tc>
          <w:tcPr>
            <w:tcW w:w="879" w:type="pct"/>
            <w:noWrap w:val="0"/>
            <w:vAlign w:val="top"/>
          </w:tcPr>
          <w:p w14:paraId="5B8D1F4D">
            <w:pPr>
              <w:spacing w:line="380" w:lineRule="exact"/>
              <w:jc w:val="center"/>
              <w:rPr>
                <w:rFonts w:cs="宋体"/>
                <w:color w:val="auto"/>
                <w:sz w:val="21"/>
                <w:szCs w:val="21"/>
                <w:highlight w:val="none"/>
              </w:rPr>
            </w:pPr>
            <w:r>
              <w:rPr>
                <w:rFonts w:hint="eastAsia" w:cs="宋体"/>
                <w:color w:val="auto"/>
                <w:sz w:val="21"/>
                <w:szCs w:val="21"/>
                <w:highlight w:val="none"/>
              </w:rPr>
              <w:t>姓名</w:t>
            </w:r>
          </w:p>
        </w:tc>
        <w:tc>
          <w:tcPr>
            <w:tcW w:w="879" w:type="pct"/>
            <w:noWrap w:val="0"/>
            <w:vAlign w:val="top"/>
          </w:tcPr>
          <w:p w14:paraId="7AEA5517">
            <w:pPr>
              <w:spacing w:line="380" w:lineRule="exact"/>
              <w:jc w:val="center"/>
              <w:rPr>
                <w:rFonts w:cs="宋体"/>
                <w:color w:val="auto"/>
                <w:sz w:val="21"/>
                <w:szCs w:val="21"/>
                <w:highlight w:val="none"/>
              </w:rPr>
            </w:pPr>
            <w:r>
              <w:rPr>
                <w:rFonts w:hint="eastAsia" w:cs="宋体"/>
                <w:color w:val="auto"/>
                <w:sz w:val="21"/>
                <w:szCs w:val="21"/>
                <w:highlight w:val="none"/>
              </w:rPr>
              <w:t>职务</w:t>
            </w:r>
          </w:p>
        </w:tc>
        <w:tc>
          <w:tcPr>
            <w:tcW w:w="879" w:type="pct"/>
            <w:noWrap w:val="0"/>
            <w:vAlign w:val="top"/>
          </w:tcPr>
          <w:p w14:paraId="390BD6DA">
            <w:pPr>
              <w:spacing w:line="380" w:lineRule="exact"/>
              <w:jc w:val="center"/>
              <w:rPr>
                <w:rFonts w:cs="宋体"/>
                <w:color w:val="auto"/>
                <w:sz w:val="21"/>
                <w:szCs w:val="21"/>
                <w:highlight w:val="none"/>
              </w:rPr>
            </w:pPr>
            <w:r>
              <w:rPr>
                <w:rFonts w:hint="eastAsia" w:cs="宋体"/>
                <w:color w:val="auto"/>
                <w:sz w:val="21"/>
                <w:szCs w:val="21"/>
                <w:highlight w:val="none"/>
              </w:rPr>
              <w:t>职称</w:t>
            </w:r>
          </w:p>
        </w:tc>
        <w:tc>
          <w:tcPr>
            <w:tcW w:w="1485" w:type="pct"/>
            <w:noWrap w:val="0"/>
            <w:vAlign w:val="top"/>
          </w:tcPr>
          <w:p w14:paraId="32992B99">
            <w:pPr>
              <w:spacing w:line="380" w:lineRule="exact"/>
              <w:jc w:val="center"/>
              <w:rPr>
                <w:rFonts w:cs="宋体"/>
                <w:color w:val="auto"/>
                <w:sz w:val="21"/>
                <w:szCs w:val="21"/>
                <w:highlight w:val="none"/>
              </w:rPr>
            </w:pPr>
            <w:r>
              <w:rPr>
                <w:rFonts w:hint="eastAsia" w:cs="宋体"/>
                <w:color w:val="auto"/>
                <w:sz w:val="21"/>
                <w:szCs w:val="21"/>
                <w:highlight w:val="none"/>
              </w:rPr>
              <w:t>资格证书</w:t>
            </w:r>
          </w:p>
        </w:tc>
      </w:tr>
      <w:tr w14:paraId="43A4B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8" w:type="pct"/>
            <w:noWrap w:val="0"/>
            <w:vAlign w:val="top"/>
          </w:tcPr>
          <w:p w14:paraId="7E9F7664">
            <w:pPr>
              <w:spacing w:line="380" w:lineRule="exact"/>
              <w:jc w:val="center"/>
              <w:rPr>
                <w:rFonts w:cs="宋体"/>
                <w:b/>
                <w:color w:val="auto"/>
                <w:sz w:val="21"/>
                <w:szCs w:val="21"/>
                <w:highlight w:val="none"/>
              </w:rPr>
            </w:pPr>
          </w:p>
        </w:tc>
        <w:tc>
          <w:tcPr>
            <w:tcW w:w="879" w:type="pct"/>
            <w:noWrap w:val="0"/>
            <w:vAlign w:val="top"/>
          </w:tcPr>
          <w:p w14:paraId="09AB94D0">
            <w:pPr>
              <w:spacing w:line="380" w:lineRule="exact"/>
              <w:jc w:val="center"/>
              <w:rPr>
                <w:rFonts w:cs="宋体"/>
                <w:color w:val="auto"/>
                <w:sz w:val="21"/>
                <w:szCs w:val="21"/>
                <w:highlight w:val="none"/>
              </w:rPr>
            </w:pPr>
          </w:p>
        </w:tc>
        <w:tc>
          <w:tcPr>
            <w:tcW w:w="879" w:type="pct"/>
            <w:noWrap w:val="0"/>
            <w:vAlign w:val="top"/>
          </w:tcPr>
          <w:p w14:paraId="69C46EB7">
            <w:pPr>
              <w:spacing w:line="380" w:lineRule="exact"/>
              <w:jc w:val="center"/>
              <w:rPr>
                <w:rFonts w:cs="宋体"/>
                <w:color w:val="auto"/>
                <w:sz w:val="21"/>
                <w:szCs w:val="21"/>
                <w:highlight w:val="none"/>
              </w:rPr>
            </w:pPr>
          </w:p>
        </w:tc>
        <w:tc>
          <w:tcPr>
            <w:tcW w:w="879" w:type="pct"/>
            <w:noWrap w:val="0"/>
            <w:vAlign w:val="top"/>
          </w:tcPr>
          <w:p w14:paraId="3C4E4F54">
            <w:pPr>
              <w:spacing w:line="380" w:lineRule="exact"/>
              <w:jc w:val="center"/>
              <w:rPr>
                <w:rFonts w:cs="宋体"/>
                <w:color w:val="auto"/>
                <w:sz w:val="21"/>
                <w:szCs w:val="21"/>
                <w:highlight w:val="none"/>
              </w:rPr>
            </w:pPr>
          </w:p>
        </w:tc>
        <w:tc>
          <w:tcPr>
            <w:tcW w:w="1485" w:type="pct"/>
            <w:noWrap w:val="0"/>
            <w:vAlign w:val="top"/>
          </w:tcPr>
          <w:p w14:paraId="6F15A7B3">
            <w:pPr>
              <w:spacing w:line="380" w:lineRule="exact"/>
              <w:jc w:val="center"/>
              <w:rPr>
                <w:rFonts w:cs="宋体"/>
                <w:color w:val="auto"/>
                <w:sz w:val="21"/>
                <w:szCs w:val="21"/>
                <w:highlight w:val="none"/>
              </w:rPr>
            </w:pPr>
          </w:p>
        </w:tc>
      </w:tr>
      <w:tr w14:paraId="6770B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8" w:type="pct"/>
            <w:noWrap w:val="0"/>
            <w:vAlign w:val="top"/>
          </w:tcPr>
          <w:p w14:paraId="1DE602DA">
            <w:pPr>
              <w:spacing w:line="380" w:lineRule="exact"/>
              <w:jc w:val="center"/>
              <w:rPr>
                <w:rFonts w:cs="宋体"/>
                <w:b/>
                <w:color w:val="auto"/>
                <w:sz w:val="21"/>
                <w:szCs w:val="21"/>
                <w:highlight w:val="none"/>
              </w:rPr>
            </w:pPr>
          </w:p>
        </w:tc>
        <w:tc>
          <w:tcPr>
            <w:tcW w:w="879" w:type="pct"/>
            <w:noWrap w:val="0"/>
            <w:vAlign w:val="top"/>
          </w:tcPr>
          <w:p w14:paraId="63D1C9C3">
            <w:pPr>
              <w:spacing w:line="380" w:lineRule="exact"/>
              <w:jc w:val="center"/>
              <w:rPr>
                <w:rFonts w:cs="宋体"/>
                <w:color w:val="auto"/>
                <w:sz w:val="21"/>
                <w:szCs w:val="21"/>
                <w:highlight w:val="none"/>
              </w:rPr>
            </w:pPr>
          </w:p>
        </w:tc>
        <w:tc>
          <w:tcPr>
            <w:tcW w:w="879" w:type="pct"/>
            <w:noWrap w:val="0"/>
            <w:vAlign w:val="top"/>
          </w:tcPr>
          <w:p w14:paraId="35EA9BDB">
            <w:pPr>
              <w:spacing w:line="380" w:lineRule="exact"/>
              <w:jc w:val="center"/>
              <w:rPr>
                <w:rFonts w:cs="宋体"/>
                <w:color w:val="auto"/>
                <w:sz w:val="21"/>
                <w:szCs w:val="21"/>
                <w:highlight w:val="none"/>
              </w:rPr>
            </w:pPr>
          </w:p>
        </w:tc>
        <w:tc>
          <w:tcPr>
            <w:tcW w:w="879" w:type="pct"/>
            <w:noWrap w:val="0"/>
            <w:vAlign w:val="top"/>
          </w:tcPr>
          <w:p w14:paraId="34BA2C1B">
            <w:pPr>
              <w:spacing w:line="380" w:lineRule="exact"/>
              <w:jc w:val="center"/>
              <w:rPr>
                <w:rFonts w:cs="宋体"/>
                <w:color w:val="auto"/>
                <w:sz w:val="21"/>
                <w:szCs w:val="21"/>
                <w:highlight w:val="none"/>
              </w:rPr>
            </w:pPr>
          </w:p>
        </w:tc>
        <w:tc>
          <w:tcPr>
            <w:tcW w:w="1485" w:type="pct"/>
            <w:noWrap w:val="0"/>
            <w:vAlign w:val="top"/>
          </w:tcPr>
          <w:p w14:paraId="79C8CE0A">
            <w:pPr>
              <w:spacing w:line="380" w:lineRule="exact"/>
              <w:jc w:val="center"/>
              <w:rPr>
                <w:rFonts w:cs="宋体"/>
                <w:color w:val="auto"/>
                <w:sz w:val="21"/>
                <w:szCs w:val="21"/>
                <w:highlight w:val="none"/>
              </w:rPr>
            </w:pPr>
          </w:p>
        </w:tc>
      </w:tr>
      <w:tr w14:paraId="6B73E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8" w:type="pct"/>
            <w:noWrap w:val="0"/>
            <w:vAlign w:val="top"/>
          </w:tcPr>
          <w:p w14:paraId="63DAA4A6">
            <w:pPr>
              <w:spacing w:line="380" w:lineRule="exact"/>
              <w:jc w:val="center"/>
              <w:rPr>
                <w:rFonts w:cs="宋体"/>
                <w:b/>
                <w:color w:val="auto"/>
                <w:sz w:val="21"/>
                <w:szCs w:val="21"/>
                <w:highlight w:val="none"/>
              </w:rPr>
            </w:pPr>
          </w:p>
        </w:tc>
        <w:tc>
          <w:tcPr>
            <w:tcW w:w="879" w:type="pct"/>
            <w:noWrap w:val="0"/>
            <w:vAlign w:val="top"/>
          </w:tcPr>
          <w:p w14:paraId="2E2ED9D5">
            <w:pPr>
              <w:spacing w:line="380" w:lineRule="exact"/>
              <w:jc w:val="center"/>
              <w:rPr>
                <w:rFonts w:cs="宋体"/>
                <w:color w:val="auto"/>
                <w:sz w:val="21"/>
                <w:szCs w:val="21"/>
                <w:highlight w:val="none"/>
              </w:rPr>
            </w:pPr>
          </w:p>
        </w:tc>
        <w:tc>
          <w:tcPr>
            <w:tcW w:w="879" w:type="pct"/>
            <w:noWrap w:val="0"/>
            <w:vAlign w:val="top"/>
          </w:tcPr>
          <w:p w14:paraId="7C5E687C">
            <w:pPr>
              <w:spacing w:line="380" w:lineRule="exact"/>
              <w:jc w:val="center"/>
              <w:rPr>
                <w:rFonts w:cs="宋体"/>
                <w:color w:val="auto"/>
                <w:sz w:val="21"/>
                <w:szCs w:val="21"/>
                <w:highlight w:val="none"/>
              </w:rPr>
            </w:pPr>
          </w:p>
        </w:tc>
        <w:tc>
          <w:tcPr>
            <w:tcW w:w="879" w:type="pct"/>
            <w:noWrap w:val="0"/>
            <w:vAlign w:val="top"/>
          </w:tcPr>
          <w:p w14:paraId="0C4D1270">
            <w:pPr>
              <w:spacing w:line="380" w:lineRule="exact"/>
              <w:jc w:val="center"/>
              <w:rPr>
                <w:rFonts w:cs="宋体"/>
                <w:color w:val="auto"/>
                <w:sz w:val="21"/>
                <w:szCs w:val="21"/>
                <w:highlight w:val="none"/>
              </w:rPr>
            </w:pPr>
          </w:p>
        </w:tc>
        <w:tc>
          <w:tcPr>
            <w:tcW w:w="1485" w:type="pct"/>
            <w:noWrap w:val="0"/>
            <w:vAlign w:val="top"/>
          </w:tcPr>
          <w:p w14:paraId="347DE79B">
            <w:pPr>
              <w:spacing w:line="380" w:lineRule="exact"/>
              <w:jc w:val="center"/>
              <w:rPr>
                <w:rFonts w:cs="宋体"/>
                <w:color w:val="auto"/>
                <w:sz w:val="21"/>
                <w:szCs w:val="21"/>
                <w:highlight w:val="none"/>
              </w:rPr>
            </w:pPr>
          </w:p>
        </w:tc>
      </w:tr>
      <w:tr w14:paraId="703DC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8" w:type="pct"/>
            <w:noWrap w:val="0"/>
            <w:vAlign w:val="top"/>
          </w:tcPr>
          <w:p w14:paraId="40EFBCA1">
            <w:pPr>
              <w:spacing w:line="380" w:lineRule="exact"/>
              <w:jc w:val="center"/>
              <w:rPr>
                <w:rFonts w:cs="宋体"/>
                <w:b/>
                <w:color w:val="auto"/>
                <w:sz w:val="21"/>
                <w:szCs w:val="21"/>
                <w:highlight w:val="none"/>
              </w:rPr>
            </w:pPr>
          </w:p>
        </w:tc>
        <w:tc>
          <w:tcPr>
            <w:tcW w:w="879" w:type="pct"/>
            <w:noWrap w:val="0"/>
            <w:vAlign w:val="top"/>
          </w:tcPr>
          <w:p w14:paraId="7C73A09B">
            <w:pPr>
              <w:spacing w:line="380" w:lineRule="exact"/>
              <w:jc w:val="center"/>
              <w:rPr>
                <w:rFonts w:cs="宋体"/>
                <w:color w:val="auto"/>
                <w:sz w:val="21"/>
                <w:szCs w:val="21"/>
                <w:highlight w:val="none"/>
              </w:rPr>
            </w:pPr>
          </w:p>
        </w:tc>
        <w:tc>
          <w:tcPr>
            <w:tcW w:w="879" w:type="pct"/>
            <w:noWrap w:val="0"/>
            <w:vAlign w:val="top"/>
          </w:tcPr>
          <w:p w14:paraId="4506715C">
            <w:pPr>
              <w:spacing w:line="380" w:lineRule="exact"/>
              <w:jc w:val="center"/>
              <w:rPr>
                <w:rFonts w:cs="宋体"/>
                <w:color w:val="auto"/>
                <w:sz w:val="21"/>
                <w:szCs w:val="21"/>
                <w:highlight w:val="none"/>
              </w:rPr>
            </w:pPr>
          </w:p>
        </w:tc>
        <w:tc>
          <w:tcPr>
            <w:tcW w:w="879" w:type="pct"/>
            <w:noWrap w:val="0"/>
            <w:vAlign w:val="top"/>
          </w:tcPr>
          <w:p w14:paraId="048820DA">
            <w:pPr>
              <w:spacing w:line="380" w:lineRule="exact"/>
              <w:jc w:val="center"/>
              <w:rPr>
                <w:rFonts w:cs="宋体"/>
                <w:color w:val="auto"/>
                <w:sz w:val="21"/>
                <w:szCs w:val="21"/>
                <w:highlight w:val="none"/>
              </w:rPr>
            </w:pPr>
          </w:p>
        </w:tc>
        <w:tc>
          <w:tcPr>
            <w:tcW w:w="1485" w:type="pct"/>
            <w:noWrap w:val="0"/>
            <w:vAlign w:val="top"/>
          </w:tcPr>
          <w:p w14:paraId="3A03974F">
            <w:pPr>
              <w:spacing w:line="380" w:lineRule="exact"/>
              <w:jc w:val="center"/>
              <w:rPr>
                <w:rFonts w:cs="宋体"/>
                <w:color w:val="auto"/>
                <w:sz w:val="21"/>
                <w:szCs w:val="21"/>
                <w:highlight w:val="none"/>
              </w:rPr>
            </w:pPr>
          </w:p>
        </w:tc>
      </w:tr>
      <w:tr w14:paraId="3EF78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8" w:type="pct"/>
            <w:noWrap w:val="0"/>
            <w:vAlign w:val="top"/>
          </w:tcPr>
          <w:p w14:paraId="593F360A">
            <w:pPr>
              <w:spacing w:line="380" w:lineRule="exact"/>
              <w:jc w:val="center"/>
              <w:rPr>
                <w:rFonts w:cs="宋体"/>
                <w:b/>
                <w:color w:val="auto"/>
                <w:sz w:val="21"/>
                <w:szCs w:val="21"/>
                <w:highlight w:val="none"/>
              </w:rPr>
            </w:pPr>
          </w:p>
        </w:tc>
        <w:tc>
          <w:tcPr>
            <w:tcW w:w="879" w:type="pct"/>
            <w:noWrap w:val="0"/>
            <w:vAlign w:val="top"/>
          </w:tcPr>
          <w:p w14:paraId="3E3DA989">
            <w:pPr>
              <w:spacing w:line="380" w:lineRule="exact"/>
              <w:jc w:val="center"/>
              <w:rPr>
                <w:rFonts w:cs="宋体"/>
                <w:color w:val="auto"/>
                <w:sz w:val="21"/>
                <w:szCs w:val="21"/>
                <w:highlight w:val="none"/>
              </w:rPr>
            </w:pPr>
          </w:p>
        </w:tc>
        <w:tc>
          <w:tcPr>
            <w:tcW w:w="879" w:type="pct"/>
            <w:noWrap w:val="0"/>
            <w:vAlign w:val="top"/>
          </w:tcPr>
          <w:p w14:paraId="742D2B79">
            <w:pPr>
              <w:spacing w:line="380" w:lineRule="exact"/>
              <w:jc w:val="center"/>
              <w:rPr>
                <w:rFonts w:cs="宋体"/>
                <w:color w:val="auto"/>
                <w:sz w:val="21"/>
                <w:szCs w:val="21"/>
                <w:highlight w:val="none"/>
              </w:rPr>
            </w:pPr>
          </w:p>
        </w:tc>
        <w:tc>
          <w:tcPr>
            <w:tcW w:w="879" w:type="pct"/>
            <w:noWrap w:val="0"/>
            <w:vAlign w:val="top"/>
          </w:tcPr>
          <w:p w14:paraId="2067E27A">
            <w:pPr>
              <w:spacing w:line="380" w:lineRule="exact"/>
              <w:jc w:val="center"/>
              <w:rPr>
                <w:rFonts w:cs="宋体"/>
                <w:color w:val="auto"/>
                <w:sz w:val="21"/>
                <w:szCs w:val="21"/>
                <w:highlight w:val="none"/>
              </w:rPr>
            </w:pPr>
          </w:p>
        </w:tc>
        <w:tc>
          <w:tcPr>
            <w:tcW w:w="1485" w:type="pct"/>
            <w:noWrap w:val="0"/>
            <w:vAlign w:val="top"/>
          </w:tcPr>
          <w:p w14:paraId="7E2FF153">
            <w:pPr>
              <w:spacing w:line="380" w:lineRule="exact"/>
              <w:jc w:val="center"/>
              <w:rPr>
                <w:rFonts w:cs="宋体"/>
                <w:color w:val="auto"/>
                <w:sz w:val="21"/>
                <w:szCs w:val="21"/>
                <w:highlight w:val="none"/>
              </w:rPr>
            </w:pPr>
          </w:p>
        </w:tc>
      </w:tr>
      <w:tr w14:paraId="55559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8" w:type="pct"/>
            <w:noWrap w:val="0"/>
            <w:vAlign w:val="top"/>
          </w:tcPr>
          <w:p w14:paraId="661E888B">
            <w:pPr>
              <w:spacing w:line="380" w:lineRule="exact"/>
              <w:jc w:val="center"/>
              <w:rPr>
                <w:rFonts w:cs="宋体"/>
                <w:b/>
                <w:color w:val="auto"/>
                <w:sz w:val="21"/>
                <w:szCs w:val="21"/>
                <w:highlight w:val="none"/>
              </w:rPr>
            </w:pPr>
          </w:p>
        </w:tc>
        <w:tc>
          <w:tcPr>
            <w:tcW w:w="879" w:type="pct"/>
            <w:noWrap w:val="0"/>
            <w:vAlign w:val="top"/>
          </w:tcPr>
          <w:p w14:paraId="6AA2E04F">
            <w:pPr>
              <w:spacing w:line="380" w:lineRule="exact"/>
              <w:jc w:val="center"/>
              <w:rPr>
                <w:rFonts w:cs="宋体"/>
                <w:color w:val="auto"/>
                <w:sz w:val="21"/>
                <w:szCs w:val="21"/>
                <w:highlight w:val="none"/>
              </w:rPr>
            </w:pPr>
          </w:p>
        </w:tc>
        <w:tc>
          <w:tcPr>
            <w:tcW w:w="879" w:type="pct"/>
            <w:noWrap w:val="0"/>
            <w:vAlign w:val="top"/>
          </w:tcPr>
          <w:p w14:paraId="7FC28A67">
            <w:pPr>
              <w:spacing w:line="380" w:lineRule="exact"/>
              <w:jc w:val="center"/>
              <w:rPr>
                <w:rFonts w:cs="宋体"/>
                <w:color w:val="auto"/>
                <w:sz w:val="21"/>
                <w:szCs w:val="21"/>
                <w:highlight w:val="none"/>
              </w:rPr>
            </w:pPr>
          </w:p>
        </w:tc>
        <w:tc>
          <w:tcPr>
            <w:tcW w:w="879" w:type="pct"/>
            <w:noWrap w:val="0"/>
            <w:vAlign w:val="top"/>
          </w:tcPr>
          <w:p w14:paraId="0EBA2FE2">
            <w:pPr>
              <w:spacing w:line="380" w:lineRule="exact"/>
              <w:jc w:val="center"/>
              <w:rPr>
                <w:rFonts w:cs="宋体"/>
                <w:color w:val="auto"/>
                <w:sz w:val="21"/>
                <w:szCs w:val="21"/>
                <w:highlight w:val="none"/>
              </w:rPr>
            </w:pPr>
          </w:p>
        </w:tc>
        <w:tc>
          <w:tcPr>
            <w:tcW w:w="1485" w:type="pct"/>
            <w:noWrap w:val="0"/>
            <w:vAlign w:val="top"/>
          </w:tcPr>
          <w:p w14:paraId="10A798B1">
            <w:pPr>
              <w:spacing w:line="380" w:lineRule="exact"/>
              <w:jc w:val="center"/>
              <w:rPr>
                <w:rFonts w:cs="宋体"/>
                <w:color w:val="auto"/>
                <w:sz w:val="21"/>
                <w:szCs w:val="21"/>
                <w:highlight w:val="none"/>
              </w:rPr>
            </w:pPr>
          </w:p>
        </w:tc>
      </w:tr>
      <w:tr w14:paraId="71798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8" w:type="pct"/>
            <w:noWrap w:val="0"/>
            <w:vAlign w:val="top"/>
          </w:tcPr>
          <w:p w14:paraId="4CA3E2B4">
            <w:pPr>
              <w:spacing w:line="380" w:lineRule="exact"/>
              <w:jc w:val="center"/>
              <w:rPr>
                <w:rFonts w:cs="宋体"/>
                <w:b/>
                <w:color w:val="auto"/>
                <w:sz w:val="21"/>
                <w:szCs w:val="21"/>
                <w:highlight w:val="none"/>
              </w:rPr>
            </w:pPr>
          </w:p>
        </w:tc>
        <w:tc>
          <w:tcPr>
            <w:tcW w:w="879" w:type="pct"/>
            <w:noWrap w:val="0"/>
            <w:vAlign w:val="top"/>
          </w:tcPr>
          <w:p w14:paraId="2BA280A0">
            <w:pPr>
              <w:spacing w:line="380" w:lineRule="exact"/>
              <w:jc w:val="center"/>
              <w:rPr>
                <w:rFonts w:cs="宋体"/>
                <w:color w:val="auto"/>
                <w:sz w:val="21"/>
                <w:szCs w:val="21"/>
                <w:highlight w:val="none"/>
              </w:rPr>
            </w:pPr>
          </w:p>
        </w:tc>
        <w:tc>
          <w:tcPr>
            <w:tcW w:w="879" w:type="pct"/>
            <w:noWrap w:val="0"/>
            <w:vAlign w:val="top"/>
          </w:tcPr>
          <w:p w14:paraId="59F2A3D1">
            <w:pPr>
              <w:spacing w:line="380" w:lineRule="exact"/>
              <w:jc w:val="center"/>
              <w:rPr>
                <w:rFonts w:cs="宋体"/>
                <w:color w:val="auto"/>
                <w:sz w:val="21"/>
                <w:szCs w:val="21"/>
                <w:highlight w:val="none"/>
              </w:rPr>
            </w:pPr>
          </w:p>
        </w:tc>
        <w:tc>
          <w:tcPr>
            <w:tcW w:w="879" w:type="pct"/>
            <w:noWrap w:val="0"/>
            <w:vAlign w:val="top"/>
          </w:tcPr>
          <w:p w14:paraId="0A3177BC">
            <w:pPr>
              <w:spacing w:line="380" w:lineRule="exact"/>
              <w:jc w:val="center"/>
              <w:rPr>
                <w:rFonts w:cs="宋体"/>
                <w:color w:val="auto"/>
                <w:sz w:val="21"/>
                <w:szCs w:val="21"/>
                <w:highlight w:val="none"/>
              </w:rPr>
            </w:pPr>
          </w:p>
        </w:tc>
        <w:tc>
          <w:tcPr>
            <w:tcW w:w="1485" w:type="pct"/>
            <w:noWrap w:val="0"/>
            <w:vAlign w:val="top"/>
          </w:tcPr>
          <w:p w14:paraId="0B5896BD">
            <w:pPr>
              <w:spacing w:line="380" w:lineRule="exact"/>
              <w:jc w:val="center"/>
              <w:rPr>
                <w:rFonts w:cs="宋体"/>
                <w:color w:val="auto"/>
                <w:sz w:val="21"/>
                <w:szCs w:val="21"/>
                <w:highlight w:val="none"/>
              </w:rPr>
            </w:pPr>
          </w:p>
        </w:tc>
      </w:tr>
      <w:tr w14:paraId="0F7D4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8" w:type="pct"/>
            <w:noWrap w:val="0"/>
            <w:vAlign w:val="top"/>
          </w:tcPr>
          <w:p w14:paraId="44B9B0BF">
            <w:pPr>
              <w:spacing w:line="380" w:lineRule="exact"/>
              <w:jc w:val="center"/>
              <w:rPr>
                <w:rFonts w:cs="宋体"/>
                <w:b/>
                <w:color w:val="auto"/>
                <w:sz w:val="21"/>
                <w:szCs w:val="21"/>
                <w:highlight w:val="none"/>
              </w:rPr>
            </w:pPr>
          </w:p>
        </w:tc>
        <w:tc>
          <w:tcPr>
            <w:tcW w:w="879" w:type="pct"/>
            <w:noWrap w:val="0"/>
            <w:vAlign w:val="top"/>
          </w:tcPr>
          <w:p w14:paraId="7E90601B">
            <w:pPr>
              <w:spacing w:line="380" w:lineRule="exact"/>
              <w:jc w:val="center"/>
              <w:rPr>
                <w:rFonts w:cs="宋体"/>
                <w:color w:val="auto"/>
                <w:sz w:val="21"/>
                <w:szCs w:val="21"/>
                <w:highlight w:val="none"/>
              </w:rPr>
            </w:pPr>
          </w:p>
        </w:tc>
        <w:tc>
          <w:tcPr>
            <w:tcW w:w="879" w:type="pct"/>
            <w:noWrap w:val="0"/>
            <w:vAlign w:val="top"/>
          </w:tcPr>
          <w:p w14:paraId="4568125A">
            <w:pPr>
              <w:spacing w:line="380" w:lineRule="exact"/>
              <w:jc w:val="center"/>
              <w:rPr>
                <w:rFonts w:cs="宋体"/>
                <w:color w:val="auto"/>
                <w:sz w:val="21"/>
                <w:szCs w:val="21"/>
                <w:highlight w:val="none"/>
              </w:rPr>
            </w:pPr>
          </w:p>
        </w:tc>
        <w:tc>
          <w:tcPr>
            <w:tcW w:w="879" w:type="pct"/>
            <w:noWrap w:val="0"/>
            <w:vAlign w:val="top"/>
          </w:tcPr>
          <w:p w14:paraId="2E3E91B3">
            <w:pPr>
              <w:spacing w:line="380" w:lineRule="exact"/>
              <w:jc w:val="center"/>
              <w:rPr>
                <w:rFonts w:cs="宋体"/>
                <w:color w:val="auto"/>
                <w:sz w:val="21"/>
                <w:szCs w:val="21"/>
                <w:highlight w:val="none"/>
              </w:rPr>
            </w:pPr>
          </w:p>
        </w:tc>
        <w:tc>
          <w:tcPr>
            <w:tcW w:w="1485" w:type="pct"/>
            <w:noWrap w:val="0"/>
            <w:vAlign w:val="top"/>
          </w:tcPr>
          <w:p w14:paraId="77D08646">
            <w:pPr>
              <w:spacing w:line="380" w:lineRule="exact"/>
              <w:jc w:val="center"/>
              <w:rPr>
                <w:rFonts w:cs="宋体"/>
                <w:color w:val="auto"/>
                <w:sz w:val="21"/>
                <w:szCs w:val="21"/>
                <w:highlight w:val="none"/>
              </w:rPr>
            </w:pPr>
          </w:p>
        </w:tc>
      </w:tr>
    </w:tbl>
    <w:p w14:paraId="308FE4CB">
      <w:pPr>
        <w:spacing w:line="500" w:lineRule="exact"/>
        <w:rPr>
          <w:b/>
          <w:color w:val="auto"/>
          <w:sz w:val="21"/>
          <w:szCs w:val="21"/>
          <w:highlight w:val="none"/>
        </w:rPr>
      </w:pPr>
      <w:r>
        <w:rPr>
          <w:color w:val="auto"/>
          <w:highlight w:val="none"/>
        </w:rPr>
        <w:t xml:space="preserve"> </w:t>
      </w:r>
      <w:r>
        <w:rPr>
          <w:color w:val="auto"/>
          <w:highlight w:val="none"/>
        </w:rPr>
        <w:br w:type="page"/>
      </w:r>
      <w:r>
        <w:rPr>
          <w:rFonts w:ascii="Times New Roman" w:hAnsi="Times New Roman"/>
          <w:b/>
          <w:bCs/>
          <w:snapToGrid w:val="0"/>
          <w:color w:val="auto"/>
          <w:kern w:val="0"/>
          <w:sz w:val="21"/>
          <w:szCs w:val="21"/>
          <w:highlight w:val="none"/>
        </w:rPr>
        <w:t>附件5：工程维修承诺书</w:t>
      </w:r>
    </w:p>
    <w:p w14:paraId="3201E9B6">
      <w:pPr>
        <w:spacing w:line="500" w:lineRule="exact"/>
        <w:jc w:val="center"/>
        <w:rPr>
          <w:color w:val="auto"/>
          <w:sz w:val="21"/>
          <w:szCs w:val="21"/>
          <w:highlight w:val="none"/>
        </w:rPr>
      </w:pPr>
      <w:r>
        <w:rPr>
          <w:rFonts w:ascii="Times New Roman" w:hAnsi="Times New Roman"/>
          <w:b/>
          <w:bCs/>
          <w:snapToGrid w:val="0"/>
          <w:color w:val="auto"/>
          <w:kern w:val="0"/>
          <w:sz w:val="21"/>
          <w:szCs w:val="21"/>
          <w:highlight w:val="none"/>
        </w:rPr>
        <w:t>工程维修承诺书</w:t>
      </w:r>
    </w:p>
    <w:p w14:paraId="24850AA8">
      <w:pPr>
        <w:spacing w:line="500" w:lineRule="exact"/>
        <w:rPr>
          <w:color w:val="auto"/>
          <w:sz w:val="21"/>
          <w:szCs w:val="21"/>
          <w:highlight w:val="none"/>
        </w:rPr>
      </w:pPr>
      <w:r>
        <w:rPr>
          <w:color w:val="auto"/>
          <w:sz w:val="21"/>
          <w:szCs w:val="21"/>
          <w:highlight w:val="none"/>
        </w:rPr>
        <w:t xml:space="preserve"> </w:t>
      </w:r>
      <w:r>
        <w:rPr>
          <w:rFonts w:ascii="Times New Roman" w:hAnsi="Times New Roman"/>
          <w:b/>
          <w:bCs/>
          <w:snapToGrid w:val="0"/>
          <w:color w:val="auto"/>
          <w:kern w:val="0"/>
          <w:sz w:val="21"/>
          <w:szCs w:val="21"/>
          <w:highlight w:val="none"/>
          <w:u w:val="single"/>
        </w:rPr>
        <w:t xml:space="preserve">                               ：</w:t>
      </w:r>
    </w:p>
    <w:p w14:paraId="1FFD434A">
      <w:pPr>
        <w:rPr>
          <w:color w:val="auto"/>
          <w:sz w:val="21"/>
          <w:szCs w:val="21"/>
          <w:highlight w:val="none"/>
        </w:rPr>
      </w:pPr>
    </w:p>
    <w:p w14:paraId="34953994">
      <w:pPr>
        <w:spacing w:line="360" w:lineRule="auto"/>
        <w:ind w:firstLine="420" w:firstLineChars="200"/>
        <w:rPr>
          <w:color w:val="auto"/>
          <w:sz w:val="21"/>
          <w:szCs w:val="21"/>
          <w:highlight w:val="none"/>
        </w:rPr>
      </w:pPr>
      <w:r>
        <w:rPr>
          <w:rFonts w:ascii="Times New Roman" w:hAnsi="Times New Roman"/>
          <w:snapToGrid w:val="0"/>
          <w:color w:val="auto"/>
          <w:kern w:val="0"/>
          <w:sz w:val="21"/>
          <w:szCs w:val="21"/>
          <w:highlight w:val="none"/>
        </w:rPr>
        <w:t>我们依据与贵公司签订的</w:t>
      </w:r>
      <w:r>
        <w:rPr>
          <w:rFonts w:ascii="Times New Roman" w:hAnsi="Times New Roman"/>
          <w:snapToGrid w:val="0"/>
          <w:color w:val="auto"/>
          <w:kern w:val="0"/>
          <w:sz w:val="21"/>
          <w:szCs w:val="21"/>
          <w:highlight w:val="none"/>
          <w:u w:val="single"/>
        </w:rPr>
        <w:t xml:space="preserve"> </w:t>
      </w:r>
      <w:r>
        <w:rPr>
          <w:rFonts w:hint="eastAsia"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rPr>
        <w:t>合同相关要求，特成立专业维修小组，委派_________同志任组长，代表我公司负责处理工程质量保修期内的质量保修事宜，维修小组设组长1名，副组长1名，维修代表2～3名，联系方式如下表所示：</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2380"/>
        <w:gridCol w:w="1467"/>
        <w:gridCol w:w="2927"/>
      </w:tblGrid>
      <w:tr w14:paraId="26458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5" w:type="dxa"/>
            <w:noWrap w:val="0"/>
            <w:vAlign w:val="center"/>
          </w:tcPr>
          <w:p w14:paraId="5D7E3A17">
            <w:pPr>
              <w:spacing w:line="500" w:lineRule="exact"/>
              <w:jc w:val="center"/>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公司通迅地址</w:t>
            </w:r>
          </w:p>
        </w:tc>
        <w:tc>
          <w:tcPr>
            <w:tcW w:w="6774" w:type="dxa"/>
            <w:gridSpan w:val="3"/>
            <w:noWrap w:val="0"/>
            <w:vAlign w:val="center"/>
          </w:tcPr>
          <w:p w14:paraId="2C3A40A9">
            <w:pPr>
              <w:spacing w:line="500" w:lineRule="exact"/>
              <w:jc w:val="center"/>
              <w:rPr>
                <w:rFonts w:ascii="Times New Roman" w:hAnsi="Times New Roman"/>
                <w:snapToGrid w:val="0"/>
                <w:color w:val="auto"/>
                <w:kern w:val="0"/>
                <w:sz w:val="21"/>
                <w:szCs w:val="21"/>
                <w:highlight w:val="none"/>
              </w:rPr>
            </w:pPr>
          </w:p>
        </w:tc>
      </w:tr>
      <w:tr w14:paraId="45B12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015" w:type="dxa"/>
            <w:noWrap w:val="0"/>
            <w:vAlign w:val="center"/>
          </w:tcPr>
          <w:p w14:paraId="7C6FB699">
            <w:pPr>
              <w:spacing w:line="500" w:lineRule="exact"/>
              <w:jc w:val="center"/>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法人代表</w:t>
            </w:r>
          </w:p>
        </w:tc>
        <w:tc>
          <w:tcPr>
            <w:tcW w:w="2380" w:type="dxa"/>
            <w:noWrap w:val="0"/>
            <w:vAlign w:val="center"/>
          </w:tcPr>
          <w:p w14:paraId="39F26521">
            <w:pPr>
              <w:spacing w:line="500" w:lineRule="exact"/>
              <w:jc w:val="center"/>
              <w:rPr>
                <w:rFonts w:ascii="Times New Roman" w:hAnsi="Times New Roman"/>
                <w:snapToGrid w:val="0"/>
                <w:color w:val="auto"/>
                <w:kern w:val="0"/>
                <w:sz w:val="21"/>
                <w:szCs w:val="21"/>
                <w:highlight w:val="none"/>
              </w:rPr>
            </w:pPr>
          </w:p>
        </w:tc>
        <w:tc>
          <w:tcPr>
            <w:tcW w:w="1467" w:type="dxa"/>
            <w:noWrap w:val="0"/>
            <w:vAlign w:val="center"/>
          </w:tcPr>
          <w:p w14:paraId="32EAFDF1">
            <w:pPr>
              <w:spacing w:line="500" w:lineRule="exact"/>
              <w:jc w:val="center"/>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联系电话</w:t>
            </w:r>
          </w:p>
        </w:tc>
        <w:tc>
          <w:tcPr>
            <w:tcW w:w="2927" w:type="dxa"/>
            <w:noWrap w:val="0"/>
            <w:vAlign w:val="center"/>
          </w:tcPr>
          <w:p w14:paraId="7E32DA67">
            <w:pPr>
              <w:spacing w:line="500" w:lineRule="exact"/>
              <w:jc w:val="center"/>
              <w:rPr>
                <w:rFonts w:ascii="Times New Roman" w:hAnsi="Times New Roman"/>
                <w:snapToGrid w:val="0"/>
                <w:color w:val="auto"/>
                <w:kern w:val="0"/>
                <w:sz w:val="21"/>
                <w:szCs w:val="21"/>
                <w:highlight w:val="none"/>
              </w:rPr>
            </w:pPr>
          </w:p>
        </w:tc>
      </w:tr>
      <w:tr w14:paraId="41145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5" w:type="dxa"/>
            <w:noWrap w:val="0"/>
            <w:vAlign w:val="center"/>
          </w:tcPr>
          <w:p w14:paraId="0B6F706E">
            <w:pPr>
              <w:spacing w:line="500" w:lineRule="exact"/>
              <w:jc w:val="center"/>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公司电话</w:t>
            </w:r>
          </w:p>
        </w:tc>
        <w:tc>
          <w:tcPr>
            <w:tcW w:w="2380" w:type="dxa"/>
            <w:noWrap w:val="0"/>
            <w:vAlign w:val="center"/>
          </w:tcPr>
          <w:p w14:paraId="304B0934">
            <w:pPr>
              <w:spacing w:line="500" w:lineRule="exact"/>
              <w:jc w:val="center"/>
              <w:rPr>
                <w:rFonts w:ascii="Times New Roman" w:hAnsi="Times New Roman"/>
                <w:snapToGrid w:val="0"/>
                <w:color w:val="auto"/>
                <w:kern w:val="0"/>
                <w:sz w:val="21"/>
                <w:szCs w:val="21"/>
                <w:highlight w:val="none"/>
              </w:rPr>
            </w:pPr>
          </w:p>
        </w:tc>
        <w:tc>
          <w:tcPr>
            <w:tcW w:w="1467" w:type="dxa"/>
            <w:noWrap w:val="0"/>
            <w:vAlign w:val="center"/>
          </w:tcPr>
          <w:p w14:paraId="02D45B9A">
            <w:pPr>
              <w:spacing w:line="500" w:lineRule="exact"/>
              <w:jc w:val="center"/>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传    真</w:t>
            </w:r>
          </w:p>
        </w:tc>
        <w:tc>
          <w:tcPr>
            <w:tcW w:w="2927" w:type="dxa"/>
            <w:noWrap w:val="0"/>
            <w:vAlign w:val="center"/>
          </w:tcPr>
          <w:p w14:paraId="6A51FB2E">
            <w:pPr>
              <w:spacing w:line="500" w:lineRule="exact"/>
              <w:jc w:val="center"/>
              <w:rPr>
                <w:rFonts w:ascii="Times New Roman" w:hAnsi="Times New Roman"/>
                <w:snapToGrid w:val="0"/>
                <w:color w:val="auto"/>
                <w:kern w:val="0"/>
                <w:sz w:val="21"/>
                <w:szCs w:val="21"/>
                <w:highlight w:val="none"/>
              </w:rPr>
            </w:pPr>
          </w:p>
        </w:tc>
      </w:tr>
      <w:tr w14:paraId="7EFC7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4"/>
            <w:noWrap w:val="0"/>
            <w:vAlign w:val="center"/>
          </w:tcPr>
          <w:p w14:paraId="0CD4A884">
            <w:pPr>
              <w:spacing w:line="500" w:lineRule="exact"/>
              <w:jc w:val="center"/>
              <w:rPr>
                <w:rFonts w:ascii="Times New Roman" w:hAnsi="Times New Roman"/>
                <w:snapToGrid w:val="0"/>
                <w:color w:val="auto"/>
                <w:kern w:val="0"/>
                <w:sz w:val="21"/>
                <w:szCs w:val="21"/>
                <w:highlight w:val="none"/>
              </w:rPr>
            </w:pPr>
          </w:p>
        </w:tc>
      </w:tr>
      <w:tr w14:paraId="2EF0F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015" w:type="dxa"/>
            <w:noWrap w:val="0"/>
            <w:vAlign w:val="center"/>
          </w:tcPr>
          <w:p w14:paraId="07BA7761">
            <w:pPr>
              <w:spacing w:line="500" w:lineRule="exact"/>
              <w:jc w:val="center"/>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姓    名</w:t>
            </w:r>
          </w:p>
        </w:tc>
        <w:tc>
          <w:tcPr>
            <w:tcW w:w="2380" w:type="dxa"/>
            <w:noWrap w:val="0"/>
            <w:vAlign w:val="center"/>
          </w:tcPr>
          <w:p w14:paraId="05C8747D">
            <w:pPr>
              <w:spacing w:line="500" w:lineRule="exact"/>
              <w:jc w:val="center"/>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职    务</w:t>
            </w:r>
          </w:p>
        </w:tc>
        <w:tc>
          <w:tcPr>
            <w:tcW w:w="1467" w:type="dxa"/>
            <w:noWrap w:val="0"/>
            <w:vAlign w:val="center"/>
          </w:tcPr>
          <w:p w14:paraId="46E63794">
            <w:pPr>
              <w:spacing w:line="500" w:lineRule="exact"/>
              <w:jc w:val="center"/>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专    业</w:t>
            </w:r>
          </w:p>
        </w:tc>
        <w:tc>
          <w:tcPr>
            <w:tcW w:w="2927" w:type="dxa"/>
            <w:noWrap w:val="0"/>
            <w:vAlign w:val="center"/>
          </w:tcPr>
          <w:p w14:paraId="46360EC1">
            <w:pPr>
              <w:spacing w:line="500" w:lineRule="exact"/>
              <w:jc w:val="center"/>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联系电话</w:t>
            </w:r>
          </w:p>
        </w:tc>
      </w:tr>
      <w:tr w14:paraId="23284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5" w:type="dxa"/>
            <w:noWrap w:val="0"/>
            <w:vAlign w:val="top"/>
          </w:tcPr>
          <w:p w14:paraId="75CB0B87">
            <w:pPr>
              <w:spacing w:line="500" w:lineRule="exact"/>
              <w:jc w:val="center"/>
              <w:rPr>
                <w:rFonts w:ascii="Times New Roman" w:hAnsi="Times New Roman"/>
                <w:snapToGrid w:val="0"/>
                <w:color w:val="auto"/>
                <w:kern w:val="0"/>
                <w:sz w:val="21"/>
                <w:szCs w:val="21"/>
                <w:highlight w:val="none"/>
              </w:rPr>
            </w:pPr>
          </w:p>
        </w:tc>
        <w:tc>
          <w:tcPr>
            <w:tcW w:w="2380" w:type="dxa"/>
            <w:noWrap w:val="0"/>
            <w:vAlign w:val="center"/>
          </w:tcPr>
          <w:p w14:paraId="75CDC2BE">
            <w:pPr>
              <w:spacing w:line="500" w:lineRule="exact"/>
              <w:jc w:val="center"/>
              <w:rPr>
                <w:rFonts w:ascii="Times New Roman" w:hAnsi="Times New Roman"/>
                <w:snapToGrid w:val="0"/>
                <w:color w:val="auto"/>
                <w:kern w:val="0"/>
                <w:sz w:val="21"/>
                <w:szCs w:val="21"/>
                <w:highlight w:val="none"/>
              </w:rPr>
            </w:pPr>
          </w:p>
        </w:tc>
        <w:tc>
          <w:tcPr>
            <w:tcW w:w="1467" w:type="dxa"/>
            <w:noWrap w:val="0"/>
            <w:vAlign w:val="center"/>
          </w:tcPr>
          <w:p w14:paraId="2D66C8C3">
            <w:pPr>
              <w:spacing w:line="500" w:lineRule="exact"/>
              <w:jc w:val="center"/>
              <w:rPr>
                <w:rFonts w:ascii="Times New Roman" w:hAnsi="Times New Roman"/>
                <w:snapToGrid w:val="0"/>
                <w:color w:val="auto"/>
                <w:kern w:val="0"/>
                <w:sz w:val="21"/>
                <w:szCs w:val="21"/>
                <w:highlight w:val="none"/>
              </w:rPr>
            </w:pPr>
          </w:p>
        </w:tc>
        <w:tc>
          <w:tcPr>
            <w:tcW w:w="2927" w:type="dxa"/>
            <w:noWrap w:val="0"/>
            <w:vAlign w:val="center"/>
          </w:tcPr>
          <w:p w14:paraId="189D5828">
            <w:pPr>
              <w:spacing w:line="500" w:lineRule="exact"/>
              <w:jc w:val="center"/>
              <w:rPr>
                <w:rFonts w:ascii="Times New Roman" w:hAnsi="Times New Roman"/>
                <w:snapToGrid w:val="0"/>
                <w:color w:val="auto"/>
                <w:kern w:val="0"/>
                <w:sz w:val="21"/>
                <w:szCs w:val="21"/>
                <w:highlight w:val="none"/>
              </w:rPr>
            </w:pPr>
          </w:p>
        </w:tc>
      </w:tr>
      <w:tr w14:paraId="0DFB3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015" w:type="dxa"/>
            <w:noWrap w:val="0"/>
            <w:vAlign w:val="top"/>
          </w:tcPr>
          <w:p w14:paraId="42350DCC">
            <w:pPr>
              <w:spacing w:line="500" w:lineRule="exact"/>
              <w:jc w:val="center"/>
              <w:rPr>
                <w:rFonts w:ascii="Times New Roman" w:hAnsi="Times New Roman"/>
                <w:snapToGrid w:val="0"/>
                <w:color w:val="auto"/>
                <w:kern w:val="0"/>
                <w:sz w:val="21"/>
                <w:szCs w:val="21"/>
                <w:highlight w:val="none"/>
              </w:rPr>
            </w:pPr>
          </w:p>
        </w:tc>
        <w:tc>
          <w:tcPr>
            <w:tcW w:w="2380" w:type="dxa"/>
            <w:noWrap w:val="0"/>
            <w:vAlign w:val="center"/>
          </w:tcPr>
          <w:p w14:paraId="285F1D19">
            <w:pPr>
              <w:spacing w:line="500" w:lineRule="exact"/>
              <w:jc w:val="center"/>
              <w:rPr>
                <w:rFonts w:ascii="Times New Roman" w:hAnsi="Times New Roman"/>
                <w:snapToGrid w:val="0"/>
                <w:color w:val="auto"/>
                <w:kern w:val="0"/>
                <w:sz w:val="21"/>
                <w:szCs w:val="21"/>
                <w:highlight w:val="none"/>
              </w:rPr>
            </w:pPr>
          </w:p>
        </w:tc>
        <w:tc>
          <w:tcPr>
            <w:tcW w:w="1467" w:type="dxa"/>
            <w:noWrap w:val="0"/>
            <w:vAlign w:val="center"/>
          </w:tcPr>
          <w:p w14:paraId="4AF303F3">
            <w:pPr>
              <w:spacing w:line="500" w:lineRule="exact"/>
              <w:jc w:val="center"/>
              <w:rPr>
                <w:rFonts w:ascii="Times New Roman" w:hAnsi="Times New Roman"/>
                <w:snapToGrid w:val="0"/>
                <w:color w:val="auto"/>
                <w:kern w:val="0"/>
                <w:sz w:val="21"/>
                <w:szCs w:val="21"/>
                <w:highlight w:val="none"/>
              </w:rPr>
            </w:pPr>
          </w:p>
        </w:tc>
        <w:tc>
          <w:tcPr>
            <w:tcW w:w="2927" w:type="dxa"/>
            <w:noWrap w:val="0"/>
            <w:vAlign w:val="center"/>
          </w:tcPr>
          <w:p w14:paraId="48EBB267">
            <w:pPr>
              <w:spacing w:line="500" w:lineRule="exact"/>
              <w:jc w:val="center"/>
              <w:rPr>
                <w:rFonts w:ascii="Times New Roman" w:hAnsi="Times New Roman"/>
                <w:snapToGrid w:val="0"/>
                <w:color w:val="auto"/>
                <w:kern w:val="0"/>
                <w:sz w:val="21"/>
                <w:szCs w:val="21"/>
                <w:highlight w:val="none"/>
              </w:rPr>
            </w:pPr>
          </w:p>
        </w:tc>
      </w:tr>
      <w:tr w14:paraId="3B1DC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015" w:type="dxa"/>
            <w:noWrap w:val="0"/>
            <w:vAlign w:val="top"/>
          </w:tcPr>
          <w:p w14:paraId="5CE2FE06">
            <w:pPr>
              <w:spacing w:line="500" w:lineRule="exact"/>
              <w:jc w:val="center"/>
              <w:rPr>
                <w:rFonts w:ascii="Times New Roman" w:hAnsi="Times New Roman"/>
                <w:snapToGrid w:val="0"/>
                <w:color w:val="auto"/>
                <w:kern w:val="0"/>
                <w:sz w:val="21"/>
                <w:szCs w:val="21"/>
                <w:highlight w:val="none"/>
              </w:rPr>
            </w:pPr>
          </w:p>
        </w:tc>
        <w:tc>
          <w:tcPr>
            <w:tcW w:w="2380" w:type="dxa"/>
            <w:noWrap w:val="0"/>
            <w:vAlign w:val="center"/>
          </w:tcPr>
          <w:p w14:paraId="056840CF">
            <w:pPr>
              <w:spacing w:line="500" w:lineRule="exact"/>
              <w:jc w:val="center"/>
              <w:rPr>
                <w:rFonts w:ascii="Times New Roman" w:hAnsi="Times New Roman"/>
                <w:snapToGrid w:val="0"/>
                <w:color w:val="auto"/>
                <w:kern w:val="0"/>
                <w:sz w:val="21"/>
                <w:szCs w:val="21"/>
                <w:highlight w:val="none"/>
              </w:rPr>
            </w:pPr>
          </w:p>
        </w:tc>
        <w:tc>
          <w:tcPr>
            <w:tcW w:w="1467" w:type="dxa"/>
            <w:noWrap w:val="0"/>
            <w:vAlign w:val="center"/>
          </w:tcPr>
          <w:p w14:paraId="0954702E">
            <w:pPr>
              <w:spacing w:line="500" w:lineRule="exact"/>
              <w:jc w:val="center"/>
              <w:rPr>
                <w:rFonts w:ascii="Times New Roman" w:hAnsi="Times New Roman"/>
                <w:snapToGrid w:val="0"/>
                <w:color w:val="auto"/>
                <w:kern w:val="0"/>
                <w:sz w:val="21"/>
                <w:szCs w:val="21"/>
                <w:highlight w:val="none"/>
              </w:rPr>
            </w:pPr>
          </w:p>
        </w:tc>
        <w:tc>
          <w:tcPr>
            <w:tcW w:w="2927" w:type="dxa"/>
            <w:noWrap w:val="0"/>
            <w:vAlign w:val="center"/>
          </w:tcPr>
          <w:p w14:paraId="4A12E778">
            <w:pPr>
              <w:spacing w:line="500" w:lineRule="exact"/>
              <w:jc w:val="center"/>
              <w:rPr>
                <w:rFonts w:ascii="Times New Roman" w:hAnsi="Times New Roman"/>
                <w:snapToGrid w:val="0"/>
                <w:color w:val="auto"/>
                <w:kern w:val="0"/>
                <w:sz w:val="21"/>
                <w:szCs w:val="21"/>
                <w:highlight w:val="none"/>
              </w:rPr>
            </w:pPr>
          </w:p>
        </w:tc>
      </w:tr>
      <w:tr w14:paraId="34258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5" w:type="dxa"/>
            <w:noWrap w:val="0"/>
            <w:vAlign w:val="center"/>
          </w:tcPr>
          <w:p w14:paraId="7EDC32BF">
            <w:pPr>
              <w:spacing w:line="500" w:lineRule="exact"/>
              <w:jc w:val="center"/>
              <w:rPr>
                <w:rFonts w:ascii="Times New Roman" w:hAnsi="Times New Roman"/>
                <w:snapToGrid w:val="0"/>
                <w:color w:val="auto"/>
                <w:kern w:val="0"/>
                <w:sz w:val="21"/>
                <w:szCs w:val="21"/>
                <w:highlight w:val="none"/>
              </w:rPr>
            </w:pPr>
          </w:p>
        </w:tc>
        <w:tc>
          <w:tcPr>
            <w:tcW w:w="2380" w:type="dxa"/>
            <w:noWrap w:val="0"/>
            <w:vAlign w:val="center"/>
          </w:tcPr>
          <w:p w14:paraId="47187C73">
            <w:pPr>
              <w:spacing w:line="500" w:lineRule="exact"/>
              <w:jc w:val="center"/>
              <w:rPr>
                <w:rFonts w:ascii="Times New Roman" w:hAnsi="Times New Roman"/>
                <w:snapToGrid w:val="0"/>
                <w:color w:val="auto"/>
                <w:kern w:val="0"/>
                <w:sz w:val="21"/>
                <w:szCs w:val="21"/>
                <w:highlight w:val="none"/>
              </w:rPr>
            </w:pPr>
          </w:p>
        </w:tc>
        <w:tc>
          <w:tcPr>
            <w:tcW w:w="1467" w:type="dxa"/>
            <w:noWrap w:val="0"/>
            <w:vAlign w:val="center"/>
          </w:tcPr>
          <w:p w14:paraId="3B694858">
            <w:pPr>
              <w:spacing w:line="500" w:lineRule="exact"/>
              <w:jc w:val="center"/>
              <w:rPr>
                <w:rFonts w:ascii="Times New Roman" w:hAnsi="Times New Roman"/>
                <w:snapToGrid w:val="0"/>
                <w:color w:val="auto"/>
                <w:kern w:val="0"/>
                <w:sz w:val="21"/>
                <w:szCs w:val="21"/>
                <w:highlight w:val="none"/>
              </w:rPr>
            </w:pPr>
          </w:p>
        </w:tc>
        <w:tc>
          <w:tcPr>
            <w:tcW w:w="2927" w:type="dxa"/>
            <w:noWrap w:val="0"/>
            <w:vAlign w:val="center"/>
          </w:tcPr>
          <w:p w14:paraId="246C4445">
            <w:pPr>
              <w:spacing w:line="500" w:lineRule="exact"/>
              <w:jc w:val="center"/>
              <w:rPr>
                <w:rFonts w:ascii="Times New Roman" w:hAnsi="Times New Roman"/>
                <w:snapToGrid w:val="0"/>
                <w:color w:val="auto"/>
                <w:kern w:val="0"/>
                <w:sz w:val="21"/>
                <w:szCs w:val="21"/>
                <w:highlight w:val="none"/>
              </w:rPr>
            </w:pPr>
          </w:p>
        </w:tc>
      </w:tr>
      <w:tr w14:paraId="7F771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5" w:type="dxa"/>
            <w:noWrap w:val="0"/>
            <w:vAlign w:val="center"/>
          </w:tcPr>
          <w:p w14:paraId="0D770E51">
            <w:pPr>
              <w:spacing w:line="500" w:lineRule="exact"/>
              <w:jc w:val="center"/>
              <w:rPr>
                <w:rFonts w:ascii="Times New Roman" w:hAnsi="Times New Roman"/>
                <w:snapToGrid w:val="0"/>
                <w:color w:val="auto"/>
                <w:kern w:val="0"/>
                <w:sz w:val="21"/>
                <w:szCs w:val="21"/>
                <w:highlight w:val="none"/>
              </w:rPr>
            </w:pPr>
          </w:p>
        </w:tc>
        <w:tc>
          <w:tcPr>
            <w:tcW w:w="2380" w:type="dxa"/>
            <w:noWrap w:val="0"/>
            <w:vAlign w:val="center"/>
          </w:tcPr>
          <w:p w14:paraId="2C16E51E">
            <w:pPr>
              <w:spacing w:line="500" w:lineRule="exact"/>
              <w:jc w:val="center"/>
              <w:rPr>
                <w:rFonts w:ascii="Times New Roman" w:hAnsi="Times New Roman"/>
                <w:snapToGrid w:val="0"/>
                <w:color w:val="auto"/>
                <w:kern w:val="0"/>
                <w:sz w:val="21"/>
                <w:szCs w:val="21"/>
                <w:highlight w:val="none"/>
              </w:rPr>
            </w:pPr>
          </w:p>
        </w:tc>
        <w:tc>
          <w:tcPr>
            <w:tcW w:w="1467" w:type="dxa"/>
            <w:noWrap w:val="0"/>
            <w:vAlign w:val="center"/>
          </w:tcPr>
          <w:p w14:paraId="769A1E79">
            <w:pPr>
              <w:spacing w:line="500" w:lineRule="exact"/>
              <w:jc w:val="center"/>
              <w:rPr>
                <w:rFonts w:ascii="Times New Roman" w:hAnsi="Times New Roman"/>
                <w:snapToGrid w:val="0"/>
                <w:color w:val="auto"/>
                <w:kern w:val="0"/>
                <w:sz w:val="21"/>
                <w:szCs w:val="21"/>
                <w:highlight w:val="none"/>
              </w:rPr>
            </w:pPr>
          </w:p>
        </w:tc>
        <w:tc>
          <w:tcPr>
            <w:tcW w:w="2927" w:type="dxa"/>
            <w:noWrap w:val="0"/>
            <w:vAlign w:val="center"/>
          </w:tcPr>
          <w:p w14:paraId="54FF1FDA">
            <w:pPr>
              <w:spacing w:line="500" w:lineRule="exact"/>
              <w:jc w:val="center"/>
              <w:rPr>
                <w:rFonts w:ascii="Times New Roman" w:hAnsi="Times New Roman"/>
                <w:snapToGrid w:val="0"/>
                <w:color w:val="auto"/>
                <w:kern w:val="0"/>
                <w:sz w:val="21"/>
                <w:szCs w:val="21"/>
                <w:highlight w:val="none"/>
              </w:rPr>
            </w:pPr>
          </w:p>
        </w:tc>
      </w:tr>
      <w:tr w14:paraId="26536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5" w:type="dxa"/>
            <w:noWrap w:val="0"/>
            <w:vAlign w:val="center"/>
          </w:tcPr>
          <w:p w14:paraId="3380D2C4">
            <w:pPr>
              <w:spacing w:line="500" w:lineRule="exact"/>
              <w:jc w:val="center"/>
              <w:rPr>
                <w:rFonts w:ascii="Times New Roman" w:hAnsi="Times New Roman"/>
                <w:snapToGrid w:val="0"/>
                <w:color w:val="auto"/>
                <w:kern w:val="0"/>
                <w:sz w:val="21"/>
                <w:szCs w:val="21"/>
                <w:highlight w:val="none"/>
              </w:rPr>
            </w:pPr>
          </w:p>
        </w:tc>
        <w:tc>
          <w:tcPr>
            <w:tcW w:w="6774" w:type="dxa"/>
            <w:gridSpan w:val="3"/>
            <w:noWrap w:val="0"/>
            <w:vAlign w:val="center"/>
          </w:tcPr>
          <w:p w14:paraId="6D64CBCB">
            <w:pPr>
              <w:spacing w:line="500" w:lineRule="exact"/>
              <w:jc w:val="center"/>
              <w:rPr>
                <w:rFonts w:ascii="Times New Roman" w:hAnsi="Times New Roman"/>
                <w:snapToGrid w:val="0"/>
                <w:color w:val="auto"/>
                <w:kern w:val="0"/>
                <w:sz w:val="21"/>
                <w:szCs w:val="21"/>
                <w:highlight w:val="none"/>
              </w:rPr>
            </w:pPr>
          </w:p>
        </w:tc>
      </w:tr>
    </w:tbl>
    <w:p w14:paraId="593E57EB">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如因我公司内部人员变更造成维修人员更替，我公司将在48小时之内以书面形式告知贵公司，否则造成的一切损失由我公司承担。</w:t>
      </w:r>
    </w:p>
    <w:p w14:paraId="03675648">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同时，我公司向贵公司郑重承诺如下：</w:t>
      </w:r>
    </w:p>
    <w:p w14:paraId="5991643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严格履行相关合同文本中所约定的质量保修责任，维修小组成员接受贵公司维修主管的管理，并进一步约定如下事宜：</w:t>
      </w:r>
    </w:p>
    <w:p w14:paraId="19AF284A">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1．在质量保修期内，我方的保修投诉电话保证24小时开通。如因我方电话不通或推诿扯皮而影响投诉维修，我方愿承担由此引起的一切责任。</w:t>
      </w:r>
    </w:p>
    <w:p w14:paraId="52151AC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因我方施工质量而导致发生紧急抢修事故（如停电、停水、燃烧、爆炸、倒塌等），请贵公司派人紧急处理并第一时间电话通知我方，我方将在4小时内到达现场解决。如我方不能在4小时内到达现场，请贵公司全权处理，费用从我方工程质量质保金中扣除。</w:t>
      </w:r>
    </w:p>
    <w:p w14:paraId="65394E29">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发生一般性质量投诉事件，我方自接到贵公司任何形式的通知后4小时内，与贵公司相关部门的有关负责人取得联系，并将在48小时内将一般性质量问题按规定的要求处理到位。如属于涉及结构安全等质量问题，按《房屋建筑工程质量保修书》中有关规定处理。</w:t>
      </w:r>
    </w:p>
    <w:p w14:paraId="50A4DA39">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4．通知后48小时内未有实质性的维修行动，以及我方已维修过的问题被再次投诉，请贵公司自行处理，费用从我公司质量质保金中扣除，无须征得我方同意。</w:t>
      </w:r>
    </w:p>
    <w:p w14:paraId="06B1F8AA">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5. 因我方施工质量而产生的投诉，我方除高效的进行维修之外，仍将积极处理因质量而造成的其他损失及索赔，以避免矛盾升级。否则请贵公司自行处理，费用从我公司质量质保金中扣除，无须征得我方同意。</w:t>
      </w:r>
    </w:p>
    <w:p w14:paraId="746DE24D">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6．如果我们在接到通知后未派人处理或未在规定的时间内完成保修任务，视实际发生情况，愿意根据合同约定承担相关责任，并接受如下处罚：</w:t>
      </w:r>
    </w:p>
    <w:p w14:paraId="5BD8F215">
      <w:pPr>
        <w:spacing w:line="360" w:lineRule="auto"/>
        <w:ind w:firstLine="420" w:firstLineChars="200"/>
        <w:rPr>
          <w:rFonts w:ascii="Times New Roman" w:hAnsi="Times New Roman"/>
          <w:snapToGrid w:val="0"/>
          <w:color w:val="auto"/>
          <w:kern w:val="0"/>
          <w:sz w:val="21"/>
          <w:szCs w:val="21"/>
          <w:highlight w:val="none"/>
        </w:rPr>
      </w:pPr>
      <w:r>
        <w:rPr>
          <w:rFonts w:hint="eastAsia" w:cs="宋体"/>
          <w:snapToGrid w:val="0"/>
          <w:color w:val="auto"/>
          <w:kern w:val="0"/>
          <w:sz w:val="21"/>
          <w:szCs w:val="21"/>
          <w:highlight w:val="none"/>
        </w:rPr>
        <w:t>①</w:t>
      </w:r>
      <w:r>
        <w:rPr>
          <w:rFonts w:ascii="Times New Roman" w:hAnsi="Times New Roman"/>
          <w:snapToGrid w:val="0"/>
          <w:color w:val="auto"/>
          <w:kern w:val="0"/>
          <w:sz w:val="21"/>
          <w:szCs w:val="21"/>
          <w:highlight w:val="none"/>
        </w:rPr>
        <w:t>已维修过的问题二次维修，每次处罚</w:t>
      </w:r>
      <w:r>
        <w:rPr>
          <w:rFonts w:hint="eastAsia" w:ascii="Times New Roman" w:hAnsi="Times New Roman"/>
          <w:snapToGrid w:val="0"/>
          <w:color w:val="auto"/>
          <w:kern w:val="0"/>
          <w:sz w:val="21"/>
          <w:szCs w:val="21"/>
          <w:highlight w:val="none"/>
        </w:rPr>
        <w:t>2</w:t>
      </w:r>
      <w:r>
        <w:rPr>
          <w:rFonts w:ascii="Times New Roman" w:hAnsi="Times New Roman"/>
          <w:snapToGrid w:val="0"/>
          <w:color w:val="auto"/>
          <w:kern w:val="0"/>
          <w:sz w:val="21"/>
          <w:szCs w:val="21"/>
          <w:highlight w:val="none"/>
        </w:rPr>
        <w:t>000元；</w:t>
      </w:r>
    </w:p>
    <w:p w14:paraId="284B0FF0">
      <w:pPr>
        <w:spacing w:line="360" w:lineRule="auto"/>
        <w:ind w:firstLine="420" w:firstLineChars="200"/>
        <w:rPr>
          <w:rFonts w:ascii="Times New Roman" w:hAnsi="Times New Roman"/>
          <w:snapToGrid w:val="0"/>
          <w:color w:val="auto"/>
          <w:kern w:val="0"/>
          <w:sz w:val="21"/>
          <w:szCs w:val="21"/>
          <w:highlight w:val="none"/>
        </w:rPr>
      </w:pPr>
      <w:r>
        <w:rPr>
          <w:rFonts w:hint="eastAsia" w:cs="宋体"/>
          <w:snapToGrid w:val="0"/>
          <w:color w:val="auto"/>
          <w:kern w:val="0"/>
          <w:sz w:val="21"/>
          <w:szCs w:val="21"/>
          <w:highlight w:val="none"/>
        </w:rPr>
        <w:t>②</w:t>
      </w:r>
      <w:r>
        <w:rPr>
          <w:rFonts w:ascii="Times New Roman" w:hAnsi="Times New Roman"/>
          <w:snapToGrid w:val="0"/>
          <w:color w:val="auto"/>
          <w:kern w:val="0"/>
          <w:sz w:val="21"/>
          <w:szCs w:val="21"/>
          <w:highlight w:val="none"/>
        </w:rPr>
        <w:t>如未按期完成保修任务，每延迟一天罚款</w:t>
      </w:r>
      <w:r>
        <w:rPr>
          <w:rFonts w:hint="eastAsia" w:ascii="Times New Roman" w:hAnsi="Times New Roman"/>
          <w:snapToGrid w:val="0"/>
          <w:color w:val="auto"/>
          <w:kern w:val="0"/>
          <w:sz w:val="21"/>
          <w:szCs w:val="21"/>
          <w:highlight w:val="none"/>
        </w:rPr>
        <w:t>10</w:t>
      </w:r>
      <w:r>
        <w:rPr>
          <w:rFonts w:ascii="Times New Roman" w:hAnsi="Times New Roman"/>
          <w:snapToGrid w:val="0"/>
          <w:color w:val="auto"/>
          <w:kern w:val="0"/>
          <w:sz w:val="21"/>
          <w:szCs w:val="21"/>
          <w:highlight w:val="none"/>
        </w:rPr>
        <w:t>00元。</w:t>
      </w:r>
    </w:p>
    <w:p w14:paraId="47D6888B">
      <w:pPr>
        <w:spacing w:line="360" w:lineRule="auto"/>
        <w:ind w:firstLine="420" w:firstLineChars="200"/>
        <w:rPr>
          <w:color w:val="auto"/>
          <w:sz w:val="21"/>
          <w:szCs w:val="21"/>
          <w:highlight w:val="none"/>
        </w:rPr>
      </w:pPr>
      <w:r>
        <w:rPr>
          <w:rFonts w:ascii="Times New Roman" w:hAnsi="Times New Roman"/>
          <w:snapToGrid w:val="0"/>
          <w:color w:val="auto"/>
          <w:kern w:val="0"/>
          <w:sz w:val="21"/>
          <w:szCs w:val="21"/>
          <w:highlight w:val="none"/>
        </w:rPr>
        <w:t>特此承诺。</w:t>
      </w:r>
    </w:p>
    <w:p w14:paraId="79B298CB">
      <w:pPr>
        <w:rPr>
          <w:color w:val="auto"/>
          <w:sz w:val="21"/>
          <w:szCs w:val="21"/>
          <w:highlight w:val="none"/>
        </w:rPr>
      </w:pPr>
    </w:p>
    <w:p w14:paraId="7DF93436">
      <w:pPr>
        <w:rPr>
          <w:color w:val="auto"/>
          <w:sz w:val="21"/>
          <w:szCs w:val="21"/>
          <w:highlight w:val="none"/>
        </w:rPr>
      </w:pPr>
      <w:r>
        <w:rPr>
          <w:color w:val="auto"/>
          <w:sz w:val="21"/>
          <w:szCs w:val="21"/>
          <w:highlight w:val="none"/>
        </w:rPr>
        <w:t>保证人（承包人）：                                   （公章或合同专用章）</w:t>
      </w:r>
    </w:p>
    <w:p w14:paraId="0C39D253">
      <w:pPr>
        <w:rPr>
          <w:color w:val="auto"/>
          <w:sz w:val="21"/>
          <w:szCs w:val="21"/>
          <w:highlight w:val="none"/>
        </w:rPr>
      </w:pPr>
    </w:p>
    <w:p w14:paraId="090EAFF6">
      <w:pPr>
        <w:rPr>
          <w:color w:val="auto"/>
          <w:sz w:val="21"/>
          <w:szCs w:val="21"/>
          <w:highlight w:val="none"/>
        </w:rPr>
      </w:pPr>
      <w:r>
        <w:rPr>
          <w:color w:val="auto"/>
          <w:sz w:val="21"/>
          <w:szCs w:val="21"/>
          <w:highlight w:val="none"/>
        </w:rPr>
        <w:t>法定代表人或其委托代理人：__________________________（签字或盖章）</w:t>
      </w:r>
    </w:p>
    <w:p w14:paraId="1919BFE8">
      <w:pPr>
        <w:rPr>
          <w:color w:val="auto"/>
          <w:sz w:val="21"/>
          <w:szCs w:val="21"/>
          <w:highlight w:val="none"/>
        </w:rPr>
      </w:pPr>
    </w:p>
    <w:p w14:paraId="1C6D6E14">
      <w:pPr>
        <w:rPr>
          <w:color w:val="auto"/>
          <w:sz w:val="21"/>
          <w:szCs w:val="21"/>
          <w:highlight w:val="none"/>
        </w:rPr>
      </w:pPr>
      <w:r>
        <w:rPr>
          <w:color w:val="auto"/>
          <w:sz w:val="21"/>
          <w:szCs w:val="21"/>
          <w:highlight w:val="none"/>
        </w:rPr>
        <w:t xml:space="preserve">地  址：                                    </w:t>
      </w:r>
    </w:p>
    <w:p w14:paraId="6DE75877">
      <w:pPr>
        <w:rPr>
          <w:color w:val="auto"/>
          <w:sz w:val="21"/>
          <w:szCs w:val="21"/>
          <w:highlight w:val="none"/>
        </w:rPr>
      </w:pPr>
    </w:p>
    <w:p w14:paraId="3DB7835A">
      <w:pPr>
        <w:rPr>
          <w:color w:val="auto"/>
          <w:sz w:val="21"/>
          <w:szCs w:val="21"/>
          <w:highlight w:val="none"/>
        </w:rPr>
      </w:pPr>
      <w:r>
        <w:rPr>
          <w:color w:val="auto"/>
          <w:sz w:val="21"/>
          <w:szCs w:val="21"/>
          <w:highlight w:val="none"/>
        </w:rPr>
        <w:t xml:space="preserve">邮编：           电  话：             传真：             </w:t>
      </w:r>
    </w:p>
    <w:p w14:paraId="286867A4">
      <w:pPr>
        <w:rPr>
          <w:color w:val="auto"/>
          <w:sz w:val="21"/>
          <w:szCs w:val="21"/>
          <w:highlight w:val="none"/>
        </w:rPr>
      </w:pPr>
    </w:p>
    <w:p w14:paraId="56EEF0F4">
      <w:pPr>
        <w:rPr>
          <w:color w:val="auto"/>
          <w:highlight w:val="none"/>
        </w:rPr>
      </w:pPr>
      <w:r>
        <w:rPr>
          <w:color w:val="auto"/>
          <w:highlight w:val="none"/>
        </w:rPr>
        <w:t>________年________月________日</w:t>
      </w:r>
    </w:p>
    <w:p w14:paraId="472C44BC">
      <w:pPr>
        <w:spacing w:line="500" w:lineRule="exact"/>
        <w:rPr>
          <w:rFonts w:ascii="Times New Roman" w:hAnsi="Times New Roman"/>
          <w:b/>
          <w:bCs/>
          <w:snapToGrid w:val="0"/>
          <w:color w:val="auto"/>
          <w:kern w:val="0"/>
          <w:sz w:val="21"/>
          <w:szCs w:val="21"/>
          <w:highlight w:val="none"/>
        </w:rPr>
      </w:pPr>
      <w:r>
        <w:rPr>
          <w:color w:val="auto"/>
          <w:highlight w:val="none"/>
        </w:rPr>
        <w:br w:type="page"/>
      </w:r>
      <w:r>
        <w:rPr>
          <w:rFonts w:ascii="Times New Roman" w:hAnsi="Times New Roman"/>
          <w:b/>
          <w:bCs/>
          <w:snapToGrid w:val="0"/>
          <w:color w:val="auto"/>
          <w:kern w:val="0"/>
          <w:sz w:val="21"/>
          <w:szCs w:val="21"/>
          <w:highlight w:val="none"/>
        </w:rPr>
        <w:t>附件6：廉政责任书</w:t>
      </w:r>
    </w:p>
    <w:p w14:paraId="0390139B">
      <w:pPr>
        <w:spacing w:line="500" w:lineRule="exact"/>
        <w:jc w:val="center"/>
        <w:rPr>
          <w:rFonts w:ascii="Times New Roman" w:hAnsi="Times New Roman"/>
          <w:b/>
          <w:bCs/>
          <w:snapToGrid w:val="0"/>
          <w:color w:val="auto"/>
          <w:kern w:val="0"/>
          <w:szCs w:val="21"/>
          <w:highlight w:val="none"/>
        </w:rPr>
      </w:pPr>
      <w:r>
        <w:rPr>
          <w:rFonts w:ascii="Times New Roman" w:hAnsi="Times New Roman"/>
          <w:b/>
          <w:bCs/>
          <w:snapToGrid w:val="0"/>
          <w:color w:val="auto"/>
          <w:kern w:val="0"/>
          <w:szCs w:val="21"/>
          <w:highlight w:val="none"/>
        </w:rPr>
        <w:t>建设工程廉政责任书</w:t>
      </w:r>
    </w:p>
    <w:p w14:paraId="0BCE2482">
      <w:pPr>
        <w:spacing w:line="360" w:lineRule="auto"/>
        <w:rPr>
          <w:rFonts w:hint="eastAsia"/>
          <w:b/>
          <w:color w:val="auto"/>
          <w:sz w:val="21"/>
          <w:szCs w:val="21"/>
          <w:highlight w:val="none"/>
          <w:u w:val="single"/>
        </w:rPr>
      </w:pPr>
      <w:r>
        <w:rPr>
          <w:rFonts w:hint="eastAsia"/>
          <w:b/>
          <w:color w:val="auto"/>
          <w:sz w:val="21"/>
          <w:szCs w:val="21"/>
          <w:highlight w:val="none"/>
        </w:rPr>
        <w:t>项目单位（建设单位）（全称）：</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14:paraId="74BF6A48">
      <w:pPr>
        <w:spacing w:line="360" w:lineRule="auto"/>
        <w:rPr>
          <w:rFonts w:ascii="Times New Roman" w:hAnsi="Times New Roman"/>
          <w:snapToGrid w:val="0"/>
          <w:color w:val="auto"/>
          <w:kern w:val="0"/>
          <w:sz w:val="21"/>
          <w:szCs w:val="21"/>
          <w:highlight w:val="none"/>
        </w:rPr>
      </w:pPr>
      <w:r>
        <w:rPr>
          <w:rFonts w:hint="eastAsia"/>
          <w:b/>
          <w:color w:val="auto"/>
          <w:sz w:val="21"/>
          <w:szCs w:val="21"/>
          <w:highlight w:val="none"/>
        </w:rPr>
        <w:t>承包人</w:t>
      </w:r>
      <w:r>
        <w:rPr>
          <w:b/>
          <w:color w:val="auto"/>
          <w:sz w:val="21"/>
          <w:szCs w:val="21"/>
          <w:highlight w:val="none"/>
        </w:rPr>
        <w:t>（全称）：</w:t>
      </w:r>
      <w:r>
        <w:rPr>
          <w:rFonts w:hint="eastAsia" w:ascii="MingLiU_HKSCS" w:hAnsi="MingLiU_HKSCS" w:cs="MingLiU_HKSCS"/>
          <w:b/>
          <w:color w:val="auto"/>
          <w:sz w:val="21"/>
          <w:szCs w:val="21"/>
          <w:highlight w:val="none"/>
          <w:u w:val="single"/>
        </w:rPr>
        <w:t xml:space="preserve"> </w:t>
      </w:r>
      <w:r>
        <w:rPr>
          <w:rFonts w:hint="eastAsia"/>
          <w:b/>
          <w:color w:val="auto"/>
          <w:sz w:val="21"/>
          <w:szCs w:val="21"/>
          <w:highlight w:val="none"/>
          <w:u w:val="single"/>
        </w:rPr>
        <w:t xml:space="preserve"> </w:t>
      </w:r>
      <w:r>
        <w:rPr>
          <w:b/>
          <w:color w:val="auto"/>
          <w:sz w:val="21"/>
          <w:szCs w:val="21"/>
          <w:highlight w:val="none"/>
          <w:u w:val="single"/>
        </w:rPr>
        <w:t xml:space="preserve">  </w:t>
      </w:r>
      <w:r>
        <w:rPr>
          <w:rFonts w:hint="eastAsia"/>
          <w:b/>
          <w:color w:val="auto"/>
          <w:sz w:val="21"/>
          <w:szCs w:val="21"/>
          <w:highlight w:val="none"/>
          <w:u w:val="single"/>
          <w:lang w:val="en-US" w:eastAsia="zh-CN"/>
        </w:rPr>
        <w:t xml:space="preserve">            </w:t>
      </w:r>
      <w:r>
        <w:rPr>
          <w:b/>
          <w:color w:val="auto"/>
          <w:sz w:val="21"/>
          <w:szCs w:val="21"/>
          <w:highlight w:val="none"/>
          <w:u w:val="single"/>
        </w:rPr>
        <w:t xml:space="preserve">     </w:t>
      </w:r>
      <w:r>
        <w:rPr>
          <w:rFonts w:hint="eastAsia"/>
          <w:b/>
          <w:color w:val="auto"/>
          <w:sz w:val="21"/>
          <w:szCs w:val="21"/>
          <w:highlight w:val="none"/>
          <w:u w:val="single"/>
        </w:rPr>
        <w:t xml:space="preserve"> </w:t>
      </w:r>
      <w:r>
        <w:rPr>
          <w:b/>
          <w:color w:val="auto"/>
          <w:sz w:val="21"/>
          <w:szCs w:val="21"/>
          <w:highlight w:val="none"/>
          <w:u w:val="single"/>
        </w:rPr>
        <w:t xml:space="preserve">  </w:t>
      </w:r>
      <w:r>
        <w:rPr>
          <w:rFonts w:ascii="Times New Roman" w:hAnsi="Times New Roman"/>
          <w:snapToGrid w:val="0"/>
          <w:color w:val="auto"/>
          <w:kern w:val="0"/>
          <w:sz w:val="21"/>
          <w:szCs w:val="21"/>
          <w:highlight w:val="none"/>
        </w:rPr>
        <w:t xml:space="preserve"> </w:t>
      </w:r>
    </w:p>
    <w:p w14:paraId="70FD8467">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E1D87B3">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一、双方的责任</w:t>
      </w:r>
    </w:p>
    <w:p w14:paraId="36098209">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1.1 应严格遵守国家关于建设工程的有关法律、法规，相关政策，以及廉政建设的各项规定。</w:t>
      </w:r>
    </w:p>
    <w:p w14:paraId="4114A36C">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1.2 严格执行建设工程合同文件，自觉按合同办事。</w:t>
      </w:r>
    </w:p>
    <w:p w14:paraId="638AA377">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1.3 各项活动必须坚持公开、公平、公正、诚信、透明的原则（除法律法规另有规定者外），不得为获取不正当的利益，损害国家、集体和对方利益，不得违反建设工程管理的规章制度。</w:t>
      </w:r>
    </w:p>
    <w:p w14:paraId="276DD4CD">
      <w:pPr>
        <w:spacing w:line="360" w:lineRule="auto"/>
        <w:ind w:firstLine="420" w:firstLineChars="200"/>
        <w:rPr>
          <w:rFonts w:hint="eastAsia"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1.4 发现对方在业务活动中有违规、违纪、违法行为的，应及时提醒对方，情节严重的，应向其上级主管部门或纪检监察、司法等有关机关举报。</w:t>
      </w:r>
    </w:p>
    <w:p w14:paraId="47BD8B2F">
      <w:pPr>
        <w:pStyle w:val="13"/>
        <w:ind w:left="0" w:leftChars="0"/>
        <w:rPr>
          <w:rFonts w:ascii="Times New Roman" w:hAnsi="Times New Roman"/>
          <w:snapToGrid w:val="0"/>
          <w:color w:val="auto"/>
          <w:kern w:val="0"/>
          <w:sz w:val="21"/>
          <w:szCs w:val="21"/>
          <w:highlight w:val="none"/>
          <w:lang w:val="en-US" w:eastAsia="zh-CN"/>
        </w:rPr>
      </w:pPr>
      <w:r>
        <w:rPr>
          <w:rFonts w:hint="eastAsia" w:ascii="Times New Roman" w:hAnsi="Times New Roman"/>
          <w:snapToGrid w:val="0"/>
          <w:color w:val="auto"/>
          <w:kern w:val="0"/>
          <w:sz w:val="21"/>
          <w:szCs w:val="21"/>
          <w:highlight w:val="none"/>
          <w:lang w:val="en-US" w:eastAsia="zh-CN"/>
        </w:rPr>
        <w:t>1.5建立健全廉政制度，开展廉政教育，设立廉政告示牌，公布举报电话，监督并认真查处违法违纪行为。</w:t>
      </w:r>
    </w:p>
    <w:p w14:paraId="1BB51F1F">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二、发包人责任</w:t>
      </w:r>
    </w:p>
    <w:p w14:paraId="616910A2">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发包人的领导和从事该建设工程项目的工作人员，在工程建设的事前、事中、事后应遵守以下规定：</w:t>
      </w:r>
    </w:p>
    <w:p w14:paraId="4DB1DC17">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2.1 不得向承包人和相关单位索要或接受回扣、礼金、有价证券、贵重物品和好处费、感谢费等。</w:t>
      </w:r>
    </w:p>
    <w:p w14:paraId="2B3874BC">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2.2 不得在承包人和相关单位报销任何应由发包人或个人支付的费用。</w:t>
      </w:r>
    </w:p>
    <w:p w14:paraId="7A38B83C">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2.3 不得要求、暗示或接受承包人和相关单位为个人装修住房、婚丧嫁娶、配偶子女的工作安排以及出国（境）、旅游等提供方便。</w:t>
      </w:r>
    </w:p>
    <w:p w14:paraId="2000B349">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2.4 不得参加有可能影响公正执行公务的承包人和相关单位的宴请、健身、娱乐等活动。</w:t>
      </w:r>
    </w:p>
    <w:p w14:paraId="4DA64AFB">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2.5 不得向承包人和相关单位介绍或为配偶、子女、亲属参与同发包人工程建设管理合同有关的业务活动；不得以任何理由要求承包人和相关单位使用某种产品、材料和工程设备。</w:t>
      </w:r>
    </w:p>
    <w:p w14:paraId="52775036">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三、承包人责任</w:t>
      </w:r>
    </w:p>
    <w:p w14:paraId="2F71E020">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应与发包人保持正常的业务交往，按照有关法律法规和程序开展业务工作，严格执行工程建设的有关方针、政策，执行工程建设强制性标准，并遵守以下规定：</w:t>
      </w:r>
    </w:p>
    <w:p w14:paraId="05DFA980">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3.1 不得以任何理由向发包人及其工作人员索要、接受或赠送礼金、有价证券、贵重物品及回扣、好处费、感谢费等。</w:t>
      </w:r>
    </w:p>
    <w:p w14:paraId="03021453">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3.2 不得以任何理由为发包人和相关单位报销应由对方或个人支付的费用。</w:t>
      </w:r>
    </w:p>
    <w:p w14:paraId="5ED74EC4">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3.3 不得接受或暗示为发包人、相关单位或个人装修住房、婚丧嫁娶、配偶子女的工作安排以及出国（境）、旅游等提供方便。</w:t>
      </w:r>
    </w:p>
    <w:p w14:paraId="621C1330">
      <w:pPr>
        <w:spacing w:line="360" w:lineRule="auto"/>
        <w:ind w:firstLine="420" w:firstLineChars="200"/>
        <w:rPr>
          <w:rFonts w:hint="eastAsia"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3.4 不得以任何理由为发包人、相关单位或个人组织有可能影响公正执行公务的宴请、健身、娱乐等活动。</w:t>
      </w:r>
    </w:p>
    <w:p w14:paraId="7A590697">
      <w:pPr>
        <w:spacing w:line="360" w:lineRule="auto"/>
        <w:ind w:firstLine="420" w:firstLineChars="200"/>
        <w:rPr>
          <w:rFonts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3.5承包人不得为发包人和个人购置或提供通讯工具、交通工具和高档办公用品等。</w:t>
      </w:r>
    </w:p>
    <w:p w14:paraId="460337A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四、违约责任</w:t>
      </w:r>
    </w:p>
    <w:p w14:paraId="5F5095E9">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4.1 发包人工作人员有违反本责任书第一、二条责任行为的，依据有关法律、法规给予处理；涉嫌犯罪的，移交司法机关追究刑事责任；给承包人单位造成经济损失的，应予以赔偿。</w:t>
      </w:r>
    </w:p>
    <w:p w14:paraId="5E5E3918">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4.2 承包人工作人员有违反本责任书第一、三条责任行为的，依据有关法律法规处理；涉嫌犯罪的，移交司法机关追究刑事责任；给发包人单位</w:t>
      </w:r>
      <w:r>
        <w:rPr>
          <w:rFonts w:hint="eastAsia" w:ascii="Times New Roman" w:hAnsi="Times New Roman"/>
          <w:snapToGrid w:val="0"/>
          <w:color w:val="auto"/>
          <w:kern w:val="0"/>
          <w:sz w:val="21"/>
          <w:szCs w:val="21"/>
          <w:highlight w:val="none"/>
        </w:rPr>
        <w:t>、项目单位</w:t>
      </w:r>
      <w:r>
        <w:rPr>
          <w:rFonts w:ascii="Times New Roman" w:hAnsi="Times New Roman"/>
          <w:snapToGrid w:val="0"/>
          <w:color w:val="auto"/>
          <w:kern w:val="0"/>
          <w:sz w:val="21"/>
          <w:szCs w:val="21"/>
          <w:highlight w:val="none"/>
        </w:rPr>
        <w:t>造成经济损失的，应予以赔偿。</w:t>
      </w:r>
    </w:p>
    <w:p w14:paraId="6005BCF7">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4.3 本责任书作为建设工程合同的组成部分，与建设工程合同具有同等法律效力。经双方签署后立即生效。</w:t>
      </w:r>
    </w:p>
    <w:p w14:paraId="2D049DB9">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五、责任书有效期</w:t>
      </w:r>
    </w:p>
    <w:p w14:paraId="643FB06E">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本责任书的有效期为</w:t>
      </w:r>
      <w:r>
        <w:rPr>
          <w:rFonts w:hint="eastAsia" w:ascii="Times New Roman" w:hAnsi="Times New Roman"/>
          <w:color w:val="auto"/>
          <w:sz w:val="21"/>
          <w:szCs w:val="21"/>
          <w:highlight w:val="none"/>
        </w:rPr>
        <w:t>项目单位、</w:t>
      </w:r>
      <w:r>
        <w:rPr>
          <w:rFonts w:ascii="Times New Roman" w:hAnsi="Times New Roman"/>
          <w:color w:val="auto"/>
          <w:sz w:val="21"/>
          <w:szCs w:val="21"/>
          <w:highlight w:val="none"/>
        </w:rPr>
        <w:t>发包人、承包人</w:t>
      </w:r>
      <w:r>
        <w:rPr>
          <w:rFonts w:hint="eastAsia" w:ascii="Times New Roman" w:hAnsi="Times New Roman"/>
          <w:snapToGrid w:val="0"/>
          <w:color w:val="auto"/>
          <w:kern w:val="0"/>
          <w:sz w:val="21"/>
          <w:szCs w:val="21"/>
          <w:highlight w:val="none"/>
        </w:rPr>
        <w:t>三</w:t>
      </w:r>
      <w:r>
        <w:rPr>
          <w:rFonts w:ascii="Times New Roman" w:hAnsi="Times New Roman"/>
          <w:snapToGrid w:val="0"/>
          <w:color w:val="auto"/>
          <w:kern w:val="0"/>
          <w:sz w:val="21"/>
          <w:szCs w:val="21"/>
          <w:highlight w:val="none"/>
        </w:rPr>
        <w:t>方签署之日起至该工程项目竣工验收合格时止。</w:t>
      </w:r>
    </w:p>
    <w:tbl>
      <w:tblPr>
        <w:tblStyle w:val="14"/>
        <w:tblpPr w:leftFromText="180" w:rightFromText="180" w:vertAnchor="text" w:horzAnchor="margin" w:tblpXSpec="center" w:tblpY="2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0"/>
        <w:gridCol w:w="4772"/>
      </w:tblGrid>
      <w:tr w14:paraId="3BC0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0" w:hRule="atLeast"/>
        </w:trPr>
        <w:tc>
          <w:tcPr>
            <w:tcW w:w="2200" w:type="pct"/>
            <w:noWrap w:val="0"/>
            <w:vAlign w:val="top"/>
          </w:tcPr>
          <w:p w14:paraId="5B565B7A">
            <w:pPr>
              <w:spacing w:line="400" w:lineRule="exact"/>
              <w:ind w:right="-86" w:rightChars="-41"/>
              <w:rPr>
                <w:rFonts w:hint="eastAsia" w:cs="宋体"/>
                <w:color w:val="auto"/>
                <w:sz w:val="21"/>
                <w:szCs w:val="21"/>
                <w:highlight w:val="none"/>
              </w:rPr>
            </w:pPr>
            <w:bookmarkStart w:id="750" w:name="_Toc11519"/>
            <w:bookmarkStart w:id="751" w:name="_Toc14433"/>
            <w:bookmarkStart w:id="752" w:name="_Toc1712"/>
            <w:bookmarkStart w:id="753" w:name="_Toc28286"/>
            <w:bookmarkStart w:id="754" w:name="_Toc316486458"/>
            <w:bookmarkStart w:id="755" w:name="_Toc3854"/>
            <w:bookmarkStart w:id="756" w:name="_Toc30111"/>
            <w:bookmarkStart w:id="757" w:name="_Toc32667"/>
            <w:bookmarkStart w:id="758" w:name="_Toc24576"/>
            <w:r>
              <w:rPr>
                <w:rFonts w:hint="eastAsia"/>
                <w:color w:val="auto"/>
                <w:sz w:val="21"/>
                <w:szCs w:val="21"/>
                <w:highlight w:val="none"/>
              </w:rPr>
              <w:t>承包人</w:t>
            </w:r>
            <w:r>
              <w:rPr>
                <w:rFonts w:hint="eastAsia" w:cs="宋体"/>
                <w:color w:val="auto"/>
                <w:sz w:val="21"/>
                <w:szCs w:val="21"/>
                <w:highlight w:val="none"/>
              </w:rPr>
              <w:t xml:space="preserve">：       </w:t>
            </w:r>
            <w:r>
              <w:rPr>
                <w:rFonts w:hint="eastAsia"/>
                <w:color w:val="auto"/>
                <w:sz w:val="21"/>
                <w:szCs w:val="21"/>
                <w:highlight w:val="none"/>
              </w:rPr>
              <w:t>（盖章）</w:t>
            </w:r>
          </w:p>
          <w:p w14:paraId="46533E76">
            <w:pPr>
              <w:spacing w:line="400" w:lineRule="exact"/>
              <w:ind w:right="-86" w:rightChars="-41"/>
              <w:rPr>
                <w:rFonts w:hint="eastAsia" w:cs="宋体"/>
                <w:color w:val="auto"/>
                <w:sz w:val="21"/>
                <w:szCs w:val="21"/>
                <w:highlight w:val="none"/>
              </w:rPr>
            </w:pPr>
            <w:r>
              <w:rPr>
                <w:rFonts w:hint="eastAsia"/>
                <w:color w:val="auto"/>
                <w:sz w:val="21"/>
                <w:szCs w:val="21"/>
                <w:highlight w:val="none"/>
              </w:rPr>
              <w:t>法定代表人或其委托代理人</w:t>
            </w:r>
            <w:r>
              <w:rPr>
                <w:rFonts w:hint="eastAsia" w:cs="宋体"/>
                <w:color w:val="auto"/>
                <w:sz w:val="21"/>
                <w:szCs w:val="21"/>
                <w:highlight w:val="none"/>
              </w:rPr>
              <w:t>：</w:t>
            </w:r>
          </w:p>
          <w:p w14:paraId="48835BA1">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（签字或盖章）</w:t>
            </w:r>
          </w:p>
          <w:p w14:paraId="06C48EB0">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统一社会信用代码：</w:t>
            </w:r>
          </w:p>
          <w:p w14:paraId="584316EC">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 xml:space="preserve">地址： </w:t>
            </w:r>
          </w:p>
          <w:p w14:paraId="2A8F0191">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邮编：</w:t>
            </w:r>
          </w:p>
          <w:p w14:paraId="73D7830F">
            <w:pPr>
              <w:tabs>
                <w:tab w:val="left" w:pos="180"/>
              </w:tabs>
              <w:spacing w:line="400" w:lineRule="exact"/>
              <w:rPr>
                <w:rFonts w:hint="eastAsia"/>
                <w:color w:val="auto"/>
                <w:sz w:val="21"/>
                <w:szCs w:val="21"/>
                <w:highlight w:val="none"/>
              </w:rPr>
            </w:pPr>
            <w:r>
              <w:rPr>
                <w:color w:val="auto"/>
                <w:sz w:val="21"/>
                <w:szCs w:val="21"/>
                <w:highlight w:val="none"/>
              </w:rPr>
              <w:t>法定代表人：</w:t>
            </w:r>
          </w:p>
          <w:p w14:paraId="22A2AD37">
            <w:pPr>
              <w:tabs>
                <w:tab w:val="left" w:pos="180"/>
              </w:tabs>
              <w:spacing w:line="400" w:lineRule="exact"/>
              <w:rPr>
                <w:rFonts w:hint="eastAsia"/>
                <w:color w:val="auto"/>
                <w:sz w:val="21"/>
                <w:szCs w:val="21"/>
                <w:highlight w:val="none"/>
              </w:rPr>
            </w:pPr>
            <w:r>
              <w:rPr>
                <w:color w:val="auto"/>
                <w:sz w:val="21"/>
                <w:szCs w:val="21"/>
                <w:highlight w:val="none"/>
              </w:rPr>
              <w:t>委托代理人：</w:t>
            </w:r>
          </w:p>
          <w:p w14:paraId="59A7107F">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电话：</w:t>
            </w:r>
          </w:p>
          <w:p w14:paraId="375E9AF8">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传真：</w:t>
            </w:r>
          </w:p>
          <w:p w14:paraId="3AD01264">
            <w:pPr>
              <w:tabs>
                <w:tab w:val="left" w:pos="180"/>
              </w:tabs>
              <w:spacing w:line="400" w:lineRule="exact"/>
              <w:rPr>
                <w:rFonts w:hint="eastAsia"/>
                <w:color w:val="auto"/>
                <w:sz w:val="21"/>
                <w:szCs w:val="21"/>
                <w:highlight w:val="none"/>
              </w:rPr>
            </w:pPr>
            <w:r>
              <w:rPr>
                <w:color w:val="auto"/>
                <w:sz w:val="21"/>
                <w:szCs w:val="21"/>
                <w:highlight w:val="none"/>
              </w:rPr>
              <w:t>电子信箱：</w:t>
            </w:r>
          </w:p>
          <w:p w14:paraId="1AE3FCF9">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开户银行：</w:t>
            </w:r>
          </w:p>
          <w:p w14:paraId="369754C9">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银行账号：</w:t>
            </w:r>
          </w:p>
          <w:p w14:paraId="6342F07F">
            <w:pPr>
              <w:spacing w:line="400" w:lineRule="exact"/>
              <w:ind w:right="-86" w:rightChars="-41"/>
              <w:rPr>
                <w:rFonts w:hint="eastAsia" w:cs="宋体"/>
                <w:color w:val="auto"/>
                <w:sz w:val="21"/>
                <w:szCs w:val="21"/>
                <w:highlight w:val="none"/>
              </w:rPr>
            </w:pPr>
            <w:r>
              <w:rPr>
                <w:rFonts w:hint="eastAsia"/>
                <w:color w:val="auto"/>
                <w:sz w:val="21"/>
                <w:szCs w:val="21"/>
                <w:highlight w:val="none"/>
              </w:rPr>
              <w:t>时  间：</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tc>
        <w:tc>
          <w:tcPr>
            <w:tcW w:w="2799" w:type="pct"/>
            <w:noWrap w:val="0"/>
            <w:vAlign w:val="top"/>
          </w:tcPr>
          <w:p w14:paraId="2E3E4BB1">
            <w:pPr>
              <w:spacing w:line="320" w:lineRule="exact"/>
              <w:ind w:left="-2" w:leftChars="-3" w:right="-86" w:rightChars="-41" w:hanging="4" w:hangingChars="2"/>
              <w:rPr>
                <w:rFonts w:hint="eastAsia"/>
                <w:color w:val="auto"/>
                <w:sz w:val="21"/>
                <w:szCs w:val="21"/>
                <w:highlight w:val="none"/>
              </w:rPr>
            </w:pPr>
            <w:r>
              <w:rPr>
                <w:color w:val="auto"/>
                <w:sz w:val="21"/>
                <w:szCs w:val="21"/>
                <w:highlight w:val="none"/>
              </w:rPr>
              <w:t>发包人</w:t>
            </w:r>
            <w:r>
              <w:rPr>
                <w:rFonts w:hint="eastAsia"/>
                <w:color w:val="auto"/>
                <w:sz w:val="21"/>
                <w:szCs w:val="21"/>
                <w:highlight w:val="none"/>
              </w:rPr>
              <w:t>：  （盖章）</w:t>
            </w:r>
          </w:p>
          <w:p w14:paraId="5D4EFCA3">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法定代表人或其委托代理人： （签字或盖章）</w:t>
            </w:r>
          </w:p>
          <w:p w14:paraId="48A238EE">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统一社会信用代码：</w:t>
            </w:r>
          </w:p>
          <w:p w14:paraId="211203DE">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地址：</w:t>
            </w:r>
          </w:p>
          <w:p w14:paraId="2CDFE69A">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邮编：</w:t>
            </w:r>
          </w:p>
          <w:p w14:paraId="4BEBE318">
            <w:pPr>
              <w:spacing w:line="320" w:lineRule="exact"/>
              <w:ind w:left="-2" w:leftChars="-3" w:right="-86" w:rightChars="-41" w:hanging="4" w:hangingChars="2"/>
              <w:rPr>
                <w:rFonts w:hint="eastAsia"/>
                <w:color w:val="auto"/>
                <w:sz w:val="21"/>
                <w:szCs w:val="21"/>
                <w:highlight w:val="none"/>
              </w:rPr>
            </w:pPr>
            <w:r>
              <w:rPr>
                <w:color w:val="auto"/>
                <w:sz w:val="21"/>
                <w:szCs w:val="21"/>
                <w:highlight w:val="none"/>
              </w:rPr>
              <w:t>法定代表人：</w:t>
            </w:r>
          </w:p>
          <w:p w14:paraId="372E176C">
            <w:pPr>
              <w:spacing w:line="320" w:lineRule="exact"/>
              <w:ind w:left="-2" w:leftChars="-3" w:right="-86" w:rightChars="-41" w:hanging="4" w:hangingChars="2"/>
              <w:rPr>
                <w:rFonts w:hint="eastAsia"/>
                <w:color w:val="auto"/>
                <w:sz w:val="21"/>
                <w:szCs w:val="21"/>
                <w:highlight w:val="none"/>
              </w:rPr>
            </w:pPr>
            <w:r>
              <w:rPr>
                <w:color w:val="auto"/>
                <w:sz w:val="21"/>
                <w:szCs w:val="21"/>
                <w:highlight w:val="none"/>
              </w:rPr>
              <w:t>委托代理人：</w:t>
            </w:r>
          </w:p>
          <w:p w14:paraId="261A1AF6">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电话：</w:t>
            </w:r>
          </w:p>
          <w:p w14:paraId="0704D5D8">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传真：</w:t>
            </w:r>
          </w:p>
          <w:p w14:paraId="354613D6">
            <w:pPr>
              <w:spacing w:line="320" w:lineRule="exact"/>
              <w:ind w:left="-2" w:leftChars="-3" w:right="-86" w:rightChars="-41" w:hanging="4" w:hangingChars="2"/>
              <w:rPr>
                <w:rFonts w:hint="eastAsia"/>
                <w:color w:val="auto"/>
                <w:sz w:val="21"/>
                <w:szCs w:val="21"/>
                <w:highlight w:val="none"/>
              </w:rPr>
            </w:pPr>
            <w:r>
              <w:rPr>
                <w:color w:val="auto"/>
                <w:sz w:val="21"/>
                <w:szCs w:val="21"/>
                <w:highlight w:val="none"/>
              </w:rPr>
              <w:t>电子信箱：</w:t>
            </w:r>
          </w:p>
          <w:p w14:paraId="339DF11B">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开户银行：</w:t>
            </w:r>
          </w:p>
          <w:p w14:paraId="6C7F0988">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银行账号：</w:t>
            </w:r>
          </w:p>
          <w:p w14:paraId="2BD78ABE">
            <w:pPr>
              <w:spacing w:line="400" w:lineRule="exact"/>
              <w:ind w:right="-86" w:rightChars="-41"/>
              <w:rPr>
                <w:rFonts w:hint="eastAsia"/>
                <w:color w:val="auto"/>
                <w:sz w:val="21"/>
                <w:szCs w:val="21"/>
                <w:highlight w:val="none"/>
              </w:rPr>
            </w:pPr>
            <w:r>
              <w:rPr>
                <w:rFonts w:hint="eastAsia"/>
                <w:color w:val="auto"/>
                <w:sz w:val="21"/>
                <w:szCs w:val="21"/>
                <w:highlight w:val="none"/>
              </w:rPr>
              <w:t>时  间：</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p w14:paraId="2040CC6E">
            <w:pPr>
              <w:pStyle w:val="2"/>
              <w:rPr>
                <w:rFonts w:hint="eastAsia"/>
                <w:color w:val="auto"/>
                <w:highlight w:val="none"/>
              </w:rPr>
            </w:pPr>
          </w:p>
          <w:p w14:paraId="3FA08851">
            <w:pPr>
              <w:pStyle w:val="12"/>
              <w:spacing w:line="320" w:lineRule="exact"/>
              <w:ind w:left="-2" w:leftChars="-3" w:right="-86" w:rightChars="-41" w:hanging="4" w:hangingChars="2"/>
              <w:rPr>
                <w:rFonts w:ascii="宋体" w:hAnsi="宋体"/>
                <w:color w:val="auto"/>
                <w:sz w:val="21"/>
                <w:szCs w:val="21"/>
                <w:highlight w:val="none"/>
                <w:lang w:val="en-US" w:eastAsia="zh-CN"/>
              </w:rPr>
            </w:pPr>
          </w:p>
          <w:p w14:paraId="53F8B78D">
            <w:pPr>
              <w:spacing w:line="320" w:lineRule="exact"/>
              <w:ind w:left="-2" w:leftChars="-3" w:right="-86" w:rightChars="-41" w:hanging="4" w:hangingChars="2"/>
              <w:rPr>
                <w:rFonts w:hint="eastAsia"/>
                <w:color w:val="auto"/>
                <w:sz w:val="21"/>
                <w:szCs w:val="21"/>
                <w:highlight w:val="none"/>
              </w:rPr>
            </w:pPr>
          </w:p>
        </w:tc>
      </w:tr>
    </w:tbl>
    <w:p w14:paraId="45F05BFB">
      <w:pPr>
        <w:rPr>
          <w:rFonts w:ascii="Times New Roman" w:hAnsi="Times New Roman"/>
          <w:b/>
          <w:bCs/>
          <w:snapToGrid w:val="0"/>
          <w:color w:val="auto"/>
          <w:kern w:val="0"/>
          <w:sz w:val="21"/>
          <w:szCs w:val="21"/>
          <w:highlight w:val="none"/>
        </w:rPr>
      </w:pPr>
      <w:r>
        <w:rPr>
          <w:rFonts w:ascii="Times New Roman" w:hAnsi="Times New Roman"/>
          <w:b/>
          <w:bCs/>
          <w:snapToGrid w:val="0"/>
          <w:color w:val="auto"/>
          <w:kern w:val="0"/>
          <w:sz w:val="21"/>
          <w:szCs w:val="21"/>
          <w:highlight w:val="none"/>
        </w:rPr>
        <w:t>附件7：不拖欠民工工资保证书</w:t>
      </w:r>
      <w:bookmarkEnd w:id="750"/>
      <w:bookmarkEnd w:id="751"/>
      <w:bookmarkEnd w:id="752"/>
      <w:bookmarkEnd w:id="753"/>
      <w:bookmarkEnd w:id="754"/>
      <w:bookmarkEnd w:id="755"/>
      <w:bookmarkEnd w:id="756"/>
      <w:bookmarkEnd w:id="757"/>
      <w:bookmarkEnd w:id="758"/>
    </w:p>
    <w:p w14:paraId="3F4AEA3E">
      <w:pPr>
        <w:jc w:val="center"/>
        <w:rPr>
          <w:rFonts w:ascii="Times New Roman" w:hAnsi="Times New Roman"/>
          <w:b/>
          <w:bCs/>
          <w:snapToGrid w:val="0"/>
          <w:color w:val="auto"/>
          <w:kern w:val="0"/>
          <w:szCs w:val="21"/>
          <w:highlight w:val="none"/>
        </w:rPr>
      </w:pPr>
      <w:r>
        <w:rPr>
          <w:rFonts w:ascii="Times New Roman" w:hAnsi="Times New Roman"/>
          <w:b/>
          <w:bCs/>
          <w:snapToGrid w:val="0"/>
          <w:color w:val="auto"/>
          <w:kern w:val="0"/>
          <w:szCs w:val="21"/>
          <w:highlight w:val="none"/>
        </w:rPr>
        <w:t>不拖欠民工工资保证书</w:t>
      </w:r>
    </w:p>
    <w:p w14:paraId="0D3075DE">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致：</w:t>
      </w:r>
    </w:p>
    <w:p w14:paraId="0626A953">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为了保证农民工工资按时发放，避免拖欠或克扣农民工工资的现象发生。我公司对我们投标的</w:t>
      </w:r>
      <w:r>
        <w:rPr>
          <w:rFonts w:hint="eastAsia"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u w:val="single"/>
        </w:rPr>
        <w:t xml:space="preserve">       </w:t>
      </w:r>
      <w:r>
        <w:rPr>
          <w:rFonts w:hint="eastAsia"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rPr>
        <w:t>施工总承包就农民工工资发放问题特向贵公司郑重承诺如下：</w:t>
      </w:r>
    </w:p>
    <w:p w14:paraId="17AF4671">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一、我公司已充分认识到农民工工资发放的重要性，中标后在组建项目领导班子的同时组建以（项目经理）</w:t>
      </w:r>
      <w:r>
        <w:rPr>
          <w:rFonts w:ascii="Times New Roman" w:hAnsi="Times New Roman"/>
          <w:snapToGrid w:val="0"/>
          <w:color w:val="auto"/>
          <w:kern w:val="0"/>
          <w:sz w:val="21"/>
          <w:szCs w:val="21"/>
          <w:highlight w:val="none"/>
          <w:u w:val="single"/>
        </w:rPr>
        <w:t xml:space="preserve"> </w:t>
      </w:r>
      <w:r>
        <w:rPr>
          <w:rFonts w:hint="eastAsia"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u w:val="single"/>
        </w:rPr>
        <w:t xml:space="preserve">  </w:t>
      </w:r>
      <w:r>
        <w:rPr>
          <w:rFonts w:hint="eastAsia"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rPr>
        <w:t xml:space="preserve"> 为组长的农民工工资及相关问题专项解决工作组（联系电话：手机</w:t>
      </w:r>
      <w:r>
        <w:rPr>
          <w:rFonts w:ascii="Times New Roman" w:hAnsi="Times New Roman"/>
          <w:snapToGrid w:val="0"/>
          <w:color w:val="auto"/>
          <w:kern w:val="0"/>
          <w:sz w:val="21"/>
          <w:szCs w:val="21"/>
          <w:highlight w:val="none"/>
          <w:u w:val="single"/>
        </w:rPr>
        <w:t xml:space="preserve">  </w:t>
      </w:r>
      <w:r>
        <w:rPr>
          <w:rFonts w:hint="eastAsia"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u w:val="single"/>
        </w:rPr>
        <w:t xml:space="preserve">     </w:t>
      </w:r>
      <w:r>
        <w:rPr>
          <w:rFonts w:hint="eastAsia"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u w:val="single"/>
        </w:rPr>
        <w:t xml:space="preserve">  </w:t>
      </w:r>
      <w:r>
        <w:rPr>
          <w:rFonts w:hint="eastAsia"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rPr>
        <w:t>固定电话</w:t>
      </w:r>
      <w:r>
        <w:rPr>
          <w:rFonts w:hint="eastAsia"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u w:val="single"/>
        </w:rPr>
        <w:t xml:space="preserve">     </w:t>
      </w:r>
      <w:r>
        <w:rPr>
          <w:rFonts w:hint="eastAsia"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rPr>
        <w:t>），该工作组为常设机构，随时负责解决与农民工有关的所有事宜。</w:t>
      </w:r>
    </w:p>
    <w:p w14:paraId="76351A1C">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二、我公司获得工程款后，优先支付农民工工资，并将工资直接发放给农民工本人。</w:t>
      </w:r>
    </w:p>
    <w:p w14:paraId="0F5D3FC9">
      <w:pPr>
        <w:spacing w:line="360" w:lineRule="auto"/>
        <w:ind w:right="-197" w:rightChars="-94"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三、在支付农民工工资时，编制工资支付表，如实记录工资支付情况，并将有关记录保存备查。</w:t>
      </w:r>
    </w:p>
    <w:p w14:paraId="79920582">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四、我们保证绝不违反规定将工程分包给不具备用工主体资格的组织或个人，否则，贵公司有权要求其无条件退场；我公司负责处理善后事宜，如出现滋事事件的发生，我公司负全部责任，并接受贵公司每次</w:t>
      </w:r>
      <w:r>
        <w:rPr>
          <w:rFonts w:hint="eastAsia" w:ascii="Times New Roman" w:hAnsi="Times New Roman"/>
          <w:snapToGrid w:val="0"/>
          <w:color w:val="auto"/>
          <w:kern w:val="0"/>
          <w:sz w:val="21"/>
          <w:szCs w:val="21"/>
          <w:highlight w:val="none"/>
        </w:rPr>
        <w:t>10万</w:t>
      </w:r>
      <w:r>
        <w:rPr>
          <w:rFonts w:ascii="Times New Roman" w:hAnsi="Times New Roman"/>
          <w:snapToGrid w:val="0"/>
          <w:color w:val="auto"/>
          <w:kern w:val="0"/>
          <w:sz w:val="21"/>
          <w:szCs w:val="21"/>
          <w:highlight w:val="none"/>
        </w:rPr>
        <w:t>元的经济处罚。</w:t>
      </w:r>
    </w:p>
    <w:p w14:paraId="75C3315C">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五、我们保证对劳务分包企业的工资支付情况及有关事宜，进行全方位监督，确保农民工及时足额领到工资。</w:t>
      </w:r>
    </w:p>
    <w:p w14:paraId="75874514">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六、我公司为避免出现拖欠或克扣农民工工资等现象，建立了农民工工资储备金应急机制，防止出现因拖欠农民工工资而引发群体性上访事件。</w:t>
      </w:r>
    </w:p>
    <w:p w14:paraId="09F79053">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七、我公司在支付农民工工资时，随时接受贵公司及贵公司委托的监理公司的监督检查，并对提出的质疑做合理解释。</w:t>
      </w:r>
    </w:p>
    <w:p w14:paraId="1C2810DA">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八、若由于我们公司未处理好农民工工资及与农民工有关的所有事宜而产生纠纷（如投诉、打架、上访、堵门、堵路等不良影响事件），由此给贵公司造成恶劣影响或干扰贵公司正常工作，我公司愿接受每次</w:t>
      </w:r>
      <w:r>
        <w:rPr>
          <w:rFonts w:hint="eastAsia" w:ascii="Times New Roman" w:hAnsi="Times New Roman"/>
          <w:snapToGrid w:val="0"/>
          <w:color w:val="auto"/>
          <w:kern w:val="0"/>
          <w:sz w:val="21"/>
          <w:szCs w:val="21"/>
          <w:highlight w:val="none"/>
        </w:rPr>
        <w:t>10万元</w:t>
      </w:r>
      <w:r>
        <w:rPr>
          <w:rFonts w:ascii="Times New Roman" w:hAnsi="Times New Roman"/>
          <w:snapToGrid w:val="0"/>
          <w:color w:val="auto"/>
          <w:kern w:val="0"/>
          <w:sz w:val="21"/>
          <w:szCs w:val="21"/>
          <w:highlight w:val="none"/>
        </w:rPr>
        <w:t>的违约处罚；贵公司还有权对导致纠纷的事件进行处理，所发生费用从支付我公司工程款中扣减，无需征得我公司同意。</w:t>
      </w:r>
    </w:p>
    <w:p w14:paraId="3E4E23DC">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特此承诺。</w:t>
      </w:r>
    </w:p>
    <w:p w14:paraId="7DB1019C">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本保证书自承包人代表签字并加盖公章后予以生效，在本合同有效期满结束。</w:t>
      </w:r>
    </w:p>
    <w:p w14:paraId="718E991F">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保证人（承包人）：</w:t>
      </w:r>
      <w:r>
        <w:rPr>
          <w:rFonts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rPr>
        <w:t>（公章或合同专用章）</w:t>
      </w:r>
    </w:p>
    <w:p w14:paraId="600706AA">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法定代表人或其委托代理人：__________________________（签字或盖章）</w:t>
      </w:r>
    </w:p>
    <w:p w14:paraId="3C3E485B">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 xml:space="preserve">地  址：                                     邮编： </w:t>
      </w:r>
    </w:p>
    <w:p w14:paraId="4ADC324B">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电  话：                                      传真：</w:t>
      </w:r>
    </w:p>
    <w:p w14:paraId="1DCB356A">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 xml:space="preserve">     年    月    日              年    月    日</w:t>
      </w:r>
    </w:p>
    <w:p w14:paraId="736CB2EB">
      <w:pPr>
        <w:spacing w:line="360" w:lineRule="auto"/>
        <w:rPr>
          <w:b/>
          <w:color w:val="auto"/>
          <w:sz w:val="21"/>
          <w:szCs w:val="21"/>
          <w:highlight w:val="none"/>
        </w:rPr>
      </w:pPr>
      <w:r>
        <w:rPr>
          <w:rFonts w:ascii="Times New Roman" w:hAnsi="Times New Roman"/>
          <w:snapToGrid w:val="0"/>
          <w:color w:val="auto"/>
          <w:kern w:val="0"/>
          <w:szCs w:val="21"/>
          <w:highlight w:val="none"/>
        </w:rPr>
        <w:br w:type="column"/>
      </w:r>
      <w:bookmarkStart w:id="759" w:name="_Toc8954"/>
      <w:bookmarkStart w:id="760" w:name="_Toc7085"/>
      <w:bookmarkStart w:id="761" w:name="_Toc27611"/>
      <w:bookmarkStart w:id="762" w:name="_Toc22408"/>
      <w:bookmarkStart w:id="763" w:name="_Toc316486459"/>
      <w:bookmarkStart w:id="764" w:name="_Toc12070"/>
      <w:bookmarkStart w:id="765" w:name="_Toc18836"/>
      <w:bookmarkStart w:id="766" w:name="_Toc9632"/>
      <w:bookmarkStart w:id="767" w:name="_Toc20904"/>
      <w:r>
        <w:rPr>
          <w:rFonts w:ascii="Times New Roman" w:hAnsi="Times New Roman"/>
          <w:b/>
          <w:bCs/>
          <w:snapToGrid w:val="0"/>
          <w:color w:val="auto"/>
          <w:kern w:val="0"/>
          <w:sz w:val="21"/>
          <w:szCs w:val="21"/>
          <w:highlight w:val="none"/>
        </w:rPr>
        <w:t>附件8：治安保卫责任保证书</w:t>
      </w:r>
      <w:bookmarkEnd w:id="759"/>
      <w:bookmarkEnd w:id="760"/>
      <w:bookmarkEnd w:id="761"/>
      <w:bookmarkEnd w:id="762"/>
      <w:bookmarkEnd w:id="763"/>
      <w:bookmarkEnd w:id="764"/>
      <w:bookmarkEnd w:id="765"/>
      <w:bookmarkEnd w:id="766"/>
      <w:bookmarkEnd w:id="767"/>
    </w:p>
    <w:p w14:paraId="0E8BC42D">
      <w:pPr>
        <w:spacing w:line="500" w:lineRule="exact"/>
        <w:jc w:val="center"/>
        <w:rPr>
          <w:color w:val="auto"/>
          <w:highlight w:val="none"/>
        </w:rPr>
      </w:pPr>
      <w:r>
        <w:rPr>
          <w:rFonts w:ascii="Times New Roman" w:hAnsi="Times New Roman"/>
          <w:b/>
          <w:bCs/>
          <w:snapToGrid w:val="0"/>
          <w:color w:val="auto"/>
          <w:kern w:val="0"/>
          <w:szCs w:val="21"/>
          <w:highlight w:val="none"/>
        </w:rPr>
        <w:t>治安保卫责任保证书</w:t>
      </w:r>
    </w:p>
    <w:p w14:paraId="06340E6F">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致：</w:t>
      </w:r>
    </w:p>
    <w:p w14:paraId="49494991">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为明确工程建设过程中施工单位的治安保卫责任，确保工程建设能安全顺利进行，我公司向贵公司承诺：</w:t>
      </w:r>
    </w:p>
    <w:p w14:paraId="13571911">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我公司对工程责任范围内的治安保卫工作及可能出现的后果负全部责任。</w:t>
      </w:r>
    </w:p>
    <w:p w14:paraId="55AB198F">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我公司要加强社会治安综合治理工作，保持本单位人员思想稳定，定期组织遵纪守法教育，对周边社会治安和内部人员的思想状况要认真分析，并制定相应的管理教育措施。我公司所有人员严禁赌博、卖淫嫖娼。施工人员严守劳动纪律 ，如发生违法乱纪、打架斗殴等事件，我公司自行处理，情节严重触犯法律的，我公司承担法律责任；</w:t>
      </w:r>
    </w:p>
    <w:p w14:paraId="44983A6C">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我公司保证按期、按约定的金额足额向本工程项目的施工人员发放工资及其他薪酬。由于我公司拖欠工资造成工人和民工静坐上访、游行、示威、聚众闹事的，一切责任由我公司承担。因我公司在社会治安方面出现失误给贵公司企业形象及工程进展造成重大影响时，贵公司有权要求我公司赔偿由此造成的损失，并在征得政府有关部门同意后，停止我公司参与</w:t>
      </w:r>
      <w:r>
        <w:rPr>
          <w:rFonts w:hint="eastAsia" w:ascii="Times New Roman" w:hAnsi="Times New Roman"/>
          <w:snapToGrid w:val="0"/>
          <w:color w:val="auto"/>
          <w:kern w:val="0"/>
          <w:sz w:val="21"/>
          <w:szCs w:val="21"/>
          <w:highlight w:val="none"/>
        </w:rPr>
        <w:t>西安市</w:t>
      </w:r>
      <w:r>
        <w:rPr>
          <w:rFonts w:ascii="Times New Roman" w:hAnsi="Times New Roman"/>
          <w:snapToGrid w:val="0"/>
          <w:color w:val="auto"/>
          <w:kern w:val="0"/>
          <w:sz w:val="21"/>
          <w:szCs w:val="21"/>
          <w:highlight w:val="none"/>
        </w:rPr>
        <w:t>其他新建工程的投标；</w:t>
      </w:r>
    </w:p>
    <w:p w14:paraId="763FC544">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我公司加强对施工人员的管理和教育，按要求及时到当地派出所办理人员暂住IC卡并登记造册，并对施工人员的身份情况、婚姻证明、失业证（外地人员的劳动力介绍信）进行登记造册；</w:t>
      </w:r>
    </w:p>
    <w:p w14:paraId="44C4D749">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根据《消防法》的规定，我公司建立和完善消防责任人，项目经理为第一责任人，做好本单位的防护工作，建立安全保卫岗位责任制，成立义务消防队，制定和落实日常防火检查制度，建立消防档案，施工场所有易燃易爆物品的，我公司应按省、市公安消防局有关消防安全管理的规定严格库房管理，加强对</w:t>
      </w:r>
      <w:r>
        <w:rPr>
          <w:rFonts w:hint="eastAsia" w:ascii="Times New Roman" w:hAnsi="Times New Roman"/>
          <w:snapToGrid w:val="0"/>
          <w:color w:val="auto"/>
          <w:kern w:val="0"/>
          <w:sz w:val="21"/>
          <w:szCs w:val="21"/>
          <w:highlight w:val="none"/>
        </w:rPr>
        <w:t>相关人员</w:t>
      </w:r>
      <w:r>
        <w:rPr>
          <w:rFonts w:ascii="Times New Roman" w:hAnsi="Times New Roman"/>
          <w:snapToGrid w:val="0"/>
          <w:color w:val="auto"/>
          <w:kern w:val="0"/>
          <w:sz w:val="21"/>
          <w:szCs w:val="21"/>
          <w:highlight w:val="none"/>
        </w:rPr>
        <w:t>的专业技术和安全操作的培训工作；</w:t>
      </w:r>
    </w:p>
    <w:p w14:paraId="18F721E6">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我公司的生产、生活和办公区域按消防的有关规定，须配置消防设施，民工宿舍内严禁乱接电源线、使用气化炉、电炉、电热器具、生火，通道内不准堆放物品，确保畅通；</w:t>
      </w:r>
    </w:p>
    <w:p w14:paraId="4A36320A">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我公司应严格执行门卫制度，门卫应实行24小时值班，对出入施工现场、生活、办公区域的外来人员进行盘问，检查证件及时登记，节假日要加强重点目标，重要部位的安全检查，及时发现处理不安全因素；</w:t>
      </w:r>
    </w:p>
    <w:p w14:paraId="25FC9E33">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我公司应积极组织消防安全知识和治安保卫管理条例学习培训，通过板报、墙报、张帖标语等形式进行宣传教育，不断提高全员的消防安全意识和自防自救能力，我公司的特种工人员应持证上岗并积极参加市有关部门组织的专业培训和安全教育。</w:t>
      </w:r>
    </w:p>
    <w:p w14:paraId="29905CEA">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我公司要做好维护社会稳定工作，确保本单位员工（含外来工）不参加敌对势力或敌对分子煽动、组织的闹事事件；不参加</w:t>
      </w:r>
      <w:r>
        <w:rPr>
          <w:rFonts w:hint="eastAsia" w:ascii="Times New Roman" w:hAnsi="Times New Roman"/>
          <w:snapToGrid w:val="0"/>
          <w:color w:val="auto"/>
          <w:kern w:val="0"/>
          <w:sz w:val="21"/>
          <w:szCs w:val="21"/>
          <w:highlight w:val="none"/>
        </w:rPr>
        <w:t>“</w:t>
      </w:r>
      <w:r>
        <w:rPr>
          <w:rFonts w:ascii="Times New Roman" w:hAnsi="Times New Roman"/>
          <w:snapToGrid w:val="0"/>
          <w:color w:val="auto"/>
          <w:kern w:val="0"/>
          <w:sz w:val="21"/>
          <w:szCs w:val="21"/>
          <w:highlight w:val="none"/>
        </w:rPr>
        <w:t>法轮功</w:t>
      </w:r>
      <w:r>
        <w:rPr>
          <w:rFonts w:hint="eastAsia" w:ascii="Times New Roman" w:hAnsi="Times New Roman"/>
          <w:snapToGrid w:val="0"/>
          <w:color w:val="auto"/>
          <w:kern w:val="0"/>
          <w:sz w:val="21"/>
          <w:szCs w:val="21"/>
          <w:highlight w:val="none"/>
        </w:rPr>
        <w:t>”</w:t>
      </w:r>
      <w:r>
        <w:rPr>
          <w:rFonts w:ascii="Times New Roman" w:hAnsi="Times New Roman"/>
          <w:snapToGrid w:val="0"/>
          <w:color w:val="auto"/>
          <w:kern w:val="0"/>
          <w:sz w:val="21"/>
          <w:szCs w:val="21"/>
          <w:highlight w:val="none"/>
        </w:rPr>
        <w:t>等非法组织和非法活动；</w:t>
      </w:r>
    </w:p>
    <w:p w14:paraId="4043E81D">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贵公司可根据国家、省、市有关治安保卫的政策、法规，结合工程建设实际，对我公司施工现场的治安保卫工作进行指导和监督，确保安全。</w:t>
      </w:r>
    </w:p>
    <w:p w14:paraId="7B16B96B">
      <w:pPr>
        <w:spacing w:line="360" w:lineRule="auto"/>
        <w:ind w:firstLine="567" w:firstLineChars="27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 xml:space="preserve">本保证书自承包人代表签字并加盖公章后予以生效。 </w:t>
      </w:r>
    </w:p>
    <w:p w14:paraId="27073C89">
      <w:pPr>
        <w:spacing w:line="360" w:lineRule="auto"/>
        <w:rPr>
          <w:rFonts w:ascii="Times New Roman" w:hAnsi="Times New Roman"/>
          <w:snapToGrid w:val="0"/>
          <w:color w:val="auto"/>
          <w:kern w:val="0"/>
          <w:sz w:val="21"/>
          <w:szCs w:val="21"/>
          <w:highlight w:val="none"/>
        </w:rPr>
      </w:pPr>
    </w:p>
    <w:p w14:paraId="4E9C3478">
      <w:pPr>
        <w:spacing w:line="360" w:lineRule="auto"/>
        <w:rPr>
          <w:rFonts w:ascii="Times New Roman" w:hAnsi="Times New Roman"/>
          <w:snapToGrid w:val="0"/>
          <w:color w:val="auto"/>
          <w:kern w:val="0"/>
          <w:sz w:val="21"/>
          <w:szCs w:val="21"/>
          <w:highlight w:val="none"/>
        </w:rPr>
      </w:pPr>
    </w:p>
    <w:p w14:paraId="10892152">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保证人（承包人）：</w:t>
      </w:r>
      <w:r>
        <w:rPr>
          <w:rFonts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rPr>
        <w:t>（公章或合同专用章）</w:t>
      </w:r>
    </w:p>
    <w:p w14:paraId="6FB973BC">
      <w:pPr>
        <w:spacing w:line="360" w:lineRule="auto"/>
        <w:rPr>
          <w:rFonts w:ascii="Times New Roman" w:hAnsi="Times New Roman"/>
          <w:snapToGrid w:val="0"/>
          <w:color w:val="auto"/>
          <w:kern w:val="0"/>
          <w:sz w:val="21"/>
          <w:szCs w:val="21"/>
          <w:highlight w:val="none"/>
        </w:rPr>
      </w:pPr>
    </w:p>
    <w:p w14:paraId="18CD1548">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法定代表人或其委托代理人：__________________________（签字或盖章）</w:t>
      </w:r>
    </w:p>
    <w:p w14:paraId="2CC18C04">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地  址：                             邮编：</w:t>
      </w:r>
    </w:p>
    <w:p w14:paraId="2E56C88E">
      <w:pPr>
        <w:spacing w:line="360" w:lineRule="auto"/>
        <w:rPr>
          <w:rFonts w:ascii="Times New Roman" w:hAnsi="Times New Roman"/>
          <w:snapToGrid w:val="0"/>
          <w:color w:val="auto"/>
          <w:kern w:val="0"/>
          <w:sz w:val="21"/>
          <w:szCs w:val="21"/>
          <w:highlight w:val="none"/>
        </w:rPr>
      </w:pPr>
    </w:p>
    <w:p w14:paraId="03F70AD7">
      <w:pPr>
        <w:rPr>
          <w:color w:val="auto"/>
          <w:sz w:val="21"/>
          <w:szCs w:val="21"/>
          <w:highlight w:val="none"/>
        </w:rPr>
      </w:pPr>
      <w:r>
        <w:rPr>
          <w:color w:val="auto"/>
          <w:sz w:val="21"/>
          <w:szCs w:val="21"/>
          <w:highlight w:val="none"/>
        </w:rPr>
        <w:t>电  话：                             传真：</w:t>
      </w:r>
    </w:p>
    <w:p w14:paraId="2F07538F">
      <w:pPr>
        <w:rPr>
          <w:color w:val="auto"/>
          <w:sz w:val="21"/>
          <w:szCs w:val="21"/>
          <w:highlight w:val="none"/>
        </w:rPr>
      </w:pPr>
      <w:r>
        <w:rPr>
          <w:color w:val="auto"/>
          <w:sz w:val="21"/>
          <w:szCs w:val="21"/>
          <w:highlight w:val="none"/>
        </w:rPr>
        <w:t>________年________月________日</w:t>
      </w:r>
    </w:p>
    <w:p w14:paraId="4048BA7E">
      <w:pPr>
        <w:rPr>
          <w:color w:val="auto"/>
          <w:sz w:val="21"/>
          <w:szCs w:val="21"/>
          <w:highlight w:val="none"/>
        </w:rPr>
      </w:pPr>
      <w:bookmarkStart w:id="768" w:name="_Toc316486460"/>
      <w:bookmarkStart w:id="769" w:name="_Toc1007"/>
      <w:bookmarkStart w:id="770" w:name="_Toc1482"/>
      <w:bookmarkStart w:id="771" w:name="_Toc18669"/>
      <w:bookmarkStart w:id="772" w:name="_Toc23624"/>
      <w:bookmarkStart w:id="773" w:name="_Toc10926"/>
      <w:bookmarkStart w:id="774" w:name="_Toc12941"/>
      <w:bookmarkStart w:id="775" w:name="_Toc8834"/>
      <w:bookmarkStart w:id="776" w:name="_Toc6026"/>
      <w:bookmarkStart w:id="777" w:name="_Toc9388"/>
      <w:bookmarkStart w:id="778" w:name="_Toc26515"/>
      <w:bookmarkStart w:id="779" w:name="_Toc27877"/>
      <w:bookmarkStart w:id="780" w:name="_Toc24482"/>
      <w:bookmarkStart w:id="781" w:name="_Toc17090"/>
      <w:bookmarkStart w:id="782" w:name="_Toc4502"/>
    </w:p>
    <w:p w14:paraId="61E947A0">
      <w:pPr>
        <w:spacing w:line="500" w:lineRule="exact"/>
        <w:outlineLvl w:val="3"/>
        <w:rPr>
          <w:b/>
          <w:color w:val="auto"/>
          <w:sz w:val="21"/>
          <w:szCs w:val="21"/>
          <w:highlight w:val="none"/>
        </w:rPr>
      </w:pPr>
      <w:r>
        <w:rPr>
          <w:color w:val="auto"/>
          <w:highlight w:val="none"/>
        </w:rPr>
        <w:br w:type="page"/>
      </w:r>
      <w:r>
        <w:rPr>
          <w:rFonts w:ascii="Times New Roman" w:hAnsi="Times New Roman"/>
          <w:b/>
          <w:bCs/>
          <w:snapToGrid w:val="0"/>
          <w:color w:val="auto"/>
          <w:kern w:val="0"/>
          <w:sz w:val="21"/>
          <w:szCs w:val="21"/>
          <w:highlight w:val="none"/>
        </w:rPr>
        <w:t>附件9：</w:t>
      </w:r>
      <w:bookmarkEnd w:id="768"/>
      <w:r>
        <w:rPr>
          <w:rFonts w:ascii="Times New Roman" w:hAnsi="Times New Roman"/>
          <w:b/>
          <w:bCs/>
          <w:snapToGrid w:val="0"/>
          <w:color w:val="auto"/>
          <w:kern w:val="0"/>
          <w:sz w:val="21"/>
          <w:szCs w:val="21"/>
          <w:highlight w:val="none"/>
        </w:rPr>
        <w:t>安全生产协议</w:t>
      </w:r>
      <w:bookmarkEnd w:id="769"/>
      <w:bookmarkEnd w:id="770"/>
      <w:bookmarkEnd w:id="771"/>
      <w:bookmarkEnd w:id="772"/>
      <w:bookmarkEnd w:id="773"/>
      <w:bookmarkEnd w:id="774"/>
      <w:bookmarkEnd w:id="775"/>
      <w:bookmarkEnd w:id="776"/>
      <w:bookmarkEnd w:id="777"/>
    </w:p>
    <w:p w14:paraId="60A5D582">
      <w:pPr>
        <w:spacing w:line="500" w:lineRule="exact"/>
        <w:jc w:val="center"/>
        <w:rPr>
          <w:rFonts w:ascii="Times New Roman" w:hAnsi="Times New Roman"/>
          <w:b/>
          <w:bCs/>
          <w:snapToGrid w:val="0"/>
          <w:color w:val="auto"/>
          <w:kern w:val="0"/>
          <w:szCs w:val="21"/>
          <w:highlight w:val="none"/>
        </w:rPr>
      </w:pPr>
      <w:r>
        <w:rPr>
          <w:rFonts w:ascii="Times New Roman" w:hAnsi="Times New Roman"/>
          <w:b/>
          <w:bCs/>
          <w:snapToGrid w:val="0"/>
          <w:color w:val="auto"/>
          <w:kern w:val="0"/>
          <w:szCs w:val="21"/>
          <w:highlight w:val="none"/>
        </w:rPr>
        <w:t>安全生产协议</w:t>
      </w:r>
    </w:p>
    <w:p w14:paraId="68C30162">
      <w:pPr>
        <w:spacing w:line="360" w:lineRule="auto"/>
        <w:ind w:left="370" w:leftChars="176"/>
        <w:rPr>
          <w:rFonts w:hint="eastAsia"/>
          <w:b/>
          <w:color w:val="auto"/>
          <w:sz w:val="21"/>
          <w:szCs w:val="21"/>
          <w:highlight w:val="none"/>
          <w:u w:val="single"/>
        </w:rPr>
      </w:pPr>
      <w:r>
        <w:rPr>
          <w:rFonts w:hint="eastAsia"/>
          <w:b/>
          <w:color w:val="auto"/>
          <w:sz w:val="21"/>
          <w:szCs w:val="21"/>
          <w:highlight w:val="none"/>
        </w:rPr>
        <w:t>项目单位（建设单位）（全称）：</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14:paraId="63CBCB13">
      <w:pPr>
        <w:spacing w:line="360" w:lineRule="auto"/>
        <w:ind w:firstLine="420" w:firstLineChars="200"/>
        <w:rPr>
          <w:rFonts w:hint="eastAsia"/>
          <w:b/>
          <w:color w:val="auto"/>
          <w:sz w:val="21"/>
          <w:szCs w:val="21"/>
          <w:highlight w:val="none"/>
          <w:u w:val="single"/>
        </w:rPr>
      </w:pPr>
      <w:r>
        <w:rPr>
          <w:rFonts w:hint="eastAsia"/>
          <w:b/>
          <w:color w:val="auto"/>
          <w:sz w:val="21"/>
          <w:szCs w:val="21"/>
          <w:highlight w:val="none"/>
        </w:rPr>
        <w:t>承包人</w:t>
      </w:r>
      <w:r>
        <w:rPr>
          <w:b/>
          <w:color w:val="auto"/>
          <w:sz w:val="21"/>
          <w:szCs w:val="21"/>
          <w:highlight w:val="none"/>
        </w:rPr>
        <w:t>（全称）：</w:t>
      </w:r>
      <w:r>
        <w:rPr>
          <w:rFonts w:hint="eastAsia" w:cs="宋体"/>
          <w:b/>
          <w:color w:val="auto"/>
          <w:sz w:val="21"/>
          <w:szCs w:val="21"/>
          <w:highlight w:val="none"/>
          <w:u w:val="single"/>
        </w:rPr>
        <w:t xml:space="preserve"> </w:t>
      </w:r>
      <w:r>
        <w:rPr>
          <w:rFonts w:hint="eastAsia"/>
          <w:b/>
          <w:color w:val="auto"/>
          <w:sz w:val="21"/>
          <w:szCs w:val="21"/>
          <w:highlight w:val="none"/>
          <w:u w:val="single"/>
        </w:rPr>
        <w:t xml:space="preserve"> </w:t>
      </w:r>
      <w:r>
        <w:rPr>
          <w:b/>
          <w:color w:val="auto"/>
          <w:sz w:val="21"/>
          <w:szCs w:val="21"/>
          <w:highlight w:val="none"/>
          <w:u w:val="single"/>
        </w:rPr>
        <w:t xml:space="preserve">     </w:t>
      </w:r>
      <w:r>
        <w:rPr>
          <w:rFonts w:hint="eastAsia"/>
          <w:b/>
          <w:color w:val="auto"/>
          <w:sz w:val="21"/>
          <w:szCs w:val="21"/>
          <w:highlight w:val="none"/>
          <w:u w:val="single"/>
          <w:lang w:val="en-US" w:eastAsia="zh-CN"/>
        </w:rPr>
        <w:t xml:space="preserve">                          </w:t>
      </w:r>
      <w:r>
        <w:rPr>
          <w:b/>
          <w:color w:val="auto"/>
          <w:sz w:val="21"/>
          <w:szCs w:val="21"/>
          <w:highlight w:val="none"/>
          <w:u w:val="single"/>
        </w:rPr>
        <w:t xml:space="preserve">  </w:t>
      </w:r>
      <w:r>
        <w:rPr>
          <w:rFonts w:hint="eastAsia"/>
          <w:b/>
          <w:color w:val="auto"/>
          <w:sz w:val="21"/>
          <w:szCs w:val="21"/>
          <w:highlight w:val="none"/>
          <w:u w:val="single"/>
        </w:rPr>
        <w:t xml:space="preserve"> </w:t>
      </w:r>
      <w:r>
        <w:rPr>
          <w:b/>
          <w:color w:val="auto"/>
          <w:sz w:val="21"/>
          <w:szCs w:val="21"/>
          <w:highlight w:val="none"/>
          <w:u w:val="single"/>
        </w:rPr>
        <w:t xml:space="preserve">  </w:t>
      </w:r>
    </w:p>
    <w:p w14:paraId="2A055DBB">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为加强建设工程安全生产管理，落实安全生产责任，防止和减少生产安全事故，经承、发包人双方在平等、自愿的基础上协商一致，根据《中华人民共和国安全生产法》、《建设工程安全生产管理条例》及相关法律、法规的规定，达成《安全生产协议》如下：</w:t>
      </w:r>
    </w:p>
    <w:p w14:paraId="6AAF2238">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一、建设工程安全生产管理目标及必须达到安全事故控制指标</w:t>
      </w:r>
    </w:p>
    <w:p w14:paraId="098878FF">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遵守《建设工程安全生产管理条例》的规定，实现安全生产管理目标：无重伤、无死亡、无施工坍塌、无高处坠落、无滑坡、无火灾、无用电事故、无重大机械事故等各类安全生产事故。即：</w:t>
      </w:r>
    </w:p>
    <w:p w14:paraId="0C4BB776">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1．因工死亡率为零；</w:t>
      </w:r>
    </w:p>
    <w:p w14:paraId="1571C7D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2．因工重伤率为零；</w:t>
      </w:r>
    </w:p>
    <w:p w14:paraId="5806721C">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3．年因工轻伤事故频率不高于1.5‰；</w:t>
      </w:r>
    </w:p>
    <w:p w14:paraId="162C6235">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4．不发生2万元以上的机械、工程设备、交通和火灾事故。</w:t>
      </w:r>
    </w:p>
    <w:p w14:paraId="683813FD">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二、本协议有效期限</w:t>
      </w:r>
    </w:p>
    <w:p w14:paraId="5188882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自承包人入驻施工场地之日起，至工程竣工验收合格交付发包人使用时止（同施工合同期限）。</w:t>
      </w:r>
    </w:p>
    <w:p w14:paraId="70C5EB39">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三、发包人的安全生产管理权利</w:t>
      </w:r>
    </w:p>
    <w:p w14:paraId="626479A4">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1．监督检查</w:t>
      </w:r>
      <w:r>
        <w:rPr>
          <w:rFonts w:hint="eastAsia" w:ascii="Times New Roman" w:hAnsi="Times New Roman"/>
          <w:snapToGrid w:val="0"/>
          <w:color w:val="auto"/>
          <w:kern w:val="0"/>
          <w:sz w:val="21"/>
          <w:szCs w:val="21"/>
          <w:highlight w:val="none"/>
        </w:rPr>
        <w:t>承包</w:t>
      </w:r>
      <w:r>
        <w:rPr>
          <w:rFonts w:ascii="Times New Roman" w:hAnsi="Times New Roman"/>
          <w:snapToGrid w:val="0"/>
          <w:color w:val="auto"/>
          <w:kern w:val="0"/>
          <w:sz w:val="21"/>
          <w:szCs w:val="21"/>
          <w:highlight w:val="none"/>
        </w:rPr>
        <w:t>人各项安全生产工作，对建筑工地现场实施日常检查和定期、不定期的巡查。</w:t>
      </w:r>
    </w:p>
    <w:p w14:paraId="4CFF613A">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2．在实施检查、巡查过程中，发现建设工程存在安全事故隐患的，有权要求承包人暂时停止施工进行整改，直至消除安全事故隐患。</w:t>
      </w:r>
    </w:p>
    <w:p w14:paraId="155B328A">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3．根据本协议约定，发包人享有对承包人违反安全生产约定的经济处罚权。</w:t>
      </w:r>
    </w:p>
    <w:p w14:paraId="64E50528">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4．查阅与检查、巡查事项有关的文件、资料。并可根据实际情况，对施工现场进行检测、拍照、录音、摄像等。</w:t>
      </w:r>
    </w:p>
    <w:p w14:paraId="0F1B6C23">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四、发包人的安全生产管理义务</w:t>
      </w:r>
    </w:p>
    <w:p w14:paraId="05D8C812">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1．发包人不得对承包人提出不符合建设工程安全生产法律、法规和强制性标准的要求。</w:t>
      </w:r>
    </w:p>
    <w:p w14:paraId="2AC2A177">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2．发包人不得明示或暗示承包人购买、租赁、使用不符合安全施工要求的安全防护用具、机械设备、施工机具及配件、消防设施和器材。</w:t>
      </w:r>
    </w:p>
    <w:p w14:paraId="2C3655DA">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3．对承包人施工现场采取的安全施工技术措施，根据承包人的请求，提供必要的协助。</w:t>
      </w:r>
    </w:p>
    <w:p w14:paraId="162B65E5">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五、承包人的安全生产责任与义务</w:t>
      </w:r>
    </w:p>
    <w:p w14:paraId="20AB194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1．承包人应当在其资质等级许可范围内，并具备安全生产许可证的条件下承揽工程。</w:t>
      </w:r>
    </w:p>
    <w:p w14:paraId="428B82A6">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承包人应当严格按照建设工程安全生产的法律、法规、规章及安全生产的标准、规程的有关规定，组织工程施工，并对工程建设施工的安全生产工作全面负责。因承包人安全生产措施不力造成事故的责任和因此而发生的费用由承包人承担。</w:t>
      </w:r>
    </w:p>
    <w:p w14:paraId="18455A32">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3．建立、健全与落实安全生产责任制度、安全生产教育培训制度、安全生产规章制度和操作规程。</w:t>
      </w:r>
    </w:p>
    <w:p w14:paraId="4832273E">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4．设立安全生产管理机构，配备专职安全生产管理人员。</w:t>
      </w:r>
    </w:p>
    <w:p w14:paraId="7BE8E95A">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5．根据工程特点组织制定安全施工措施，消除安全事故隐患。强化对基坑开挖、起重吊装、模板工程等危险性较大的工程施工的监控和安全防护措施的落实，严防高空坠落、施工坍塌等安全事故的发生。</w:t>
      </w:r>
    </w:p>
    <w:p w14:paraId="484FB878">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6．随时接受发包人实施的安全检查、巡查、并按照发包人的要求进行整改，消除安全事故隐患，确保安全生产。</w:t>
      </w:r>
    </w:p>
    <w:p w14:paraId="49FC8B22">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7．承包人应当在施工现场入口处、施工起重机械、临时用电设施、脚手架、出入通道口、基坑边沿等危险部位，设置明显的安全警示标志，安全警示标志必须符合国家标准。</w:t>
      </w:r>
    </w:p>
    <w:p w14:paraId="4A07EC47">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8．承包人应根据不同施工阶段和周围环境及季节、气候气象的变化，在施工现场采取相应的安全施工措施。确保雨季等特殊气候气象情况下的施工安全。</w:t>
      </w:r>
    </w:p>
    <w:p w14:paraId="49CEF08A">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9．对建设工程施工进行定期和专项安全自检，并做好安全检查记录，及时发现并消除安全生产事故隐患。</w:t>
      </w:r>
    </w:p>
    <w:p w14:paraId="42C5398F">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10．在施工现场建立消防安全责任制度，确定消防安全责任人，制定用火、用电等各项消防安全管理制度和操作规程。</w:t>
      </w:r>
    </w:p>
    <w:p w14:paraId="105847E4">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11．制定实施工程现场生产安全事故应急救援预案，并定期组织演练。</w:t>
      </w:r>
    </w:p>
    <w:p w14:paraId="1C980C0A">
      <w:pPr>
        <w:spacing w:line="360" w:lineRule="auto"/>
        <w:ind w:right="-197" w:rightChars="-94"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12．根据安全生产法律、法规规章，标准、规程的规定，承包人应承担的其它责任与义务。</w:t>
      </w:r>
    </w:p>
    <w:p w14:paraId="72BAB7E8">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六、现场停工整改约定</w:t>
      </w:r>
    </w:p>
    <w:p w14:paraId="41FA51F5">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发包人在承包人施工现场检查、巡查过程中，发现存在安全事故隐患，认为必须暂停施工的，应以书面形式下达停工整改通知。承包人对发包人的停工整改通知应予以执行，并按照发包人要求停止施工进行整改，妥善保护已完合格工程。</w:t>
      </w:r>
    </w:p>
    <w:p w14:paraId="5FB6AEA2">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2．承包人进行整改后，经发包人检查已消除安全事故隐患的，可以进行复工。</w:t>
      </w:r>
    </w:p>
    <w:p w14:paraId="3F099EAB">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3．若在一个月内由于承包人出现安全事故隐患，被发包人下达停工整改通知累计两次的，则承包人同意发包人暂停支付其当月的工程进度款，该扣款延期至工程竣工验收合格后再行支付。</w:t>
      </w:r>
    </w:p>
    <w:p w14:paraId="0317EE06">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七、安全生产处罚约定</w:t>
      </w:r>
    </w:p>
    <w:p w14:paraId="0AF84965">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1．若承包人未能实现本协议约定的安全生产管理目标，发生安全生产事故的，承包人同意，发包人将予以罚金。具体处罚办法由下款约定。承包人对此不持异议。</w:t>
      </w:r>
    </w:p>
    <w:p w14:paraId="38A0FC83">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发包人在进行安全生产检查与巡查过程中，若承包人违反本协议约定，发包人有权给承包人经济处罚。发包人可根据承包人违约的事实、性质、情节，就安全生产的危害程度对承包人给予一定金额的经济处罚。</w:t>
      </w:r>
    </w:p>
    <w:p w14:paraId="125BC919">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3．发包人实施经济处罚，应当以书面形式通知承包人。其中：</w:t>
      </w:r>
    </w:p>
    <w:p w14:paraId="3275118C">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（1）承包人有下列行为之一的，处罚金额为签约合同价的1%。</w:t>
      </w:r>
    </w:p>
    <w:p w14:paraId="6FA22E81">
      <w:pPr>
        <w:spacing w:line="360" w:lineRule="auto"/>
        <w:ind w:firstLine="420" w:firstLineChars="200"/>
        <w:rPr>
          <w:rFonts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①</w:t>
      </w:r>
      <w:r>
        <w:rPr>
          <w:rFonts w:ascii="Times New Roman" w:hAnsi="Times New Roman"/>
          <w:snapToGrid w:val="0"/>
          <w:color w:val="auto"/>
          <w:kern w:val="0"/>
          <w:sz w:val="21"/>
          <w:szCs w:val="21"/>
          <w:highlight w:val="none"/>
        </w:rPr>
        <w:t xml:space="preserve"> 发生人员死亡的生产安全事故；</w:t>
      </w:r>
    </w:p>
    <w:p w14:paraId="4D5FACC9">
      <w:pPr>
        <w:spacing w:line="360" w:lineRule="auto"/>
        <w:ind w:firstLine="420" w:firstLineChars="200"/>
        <w:rPr>
          <w:rFonts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②</w:t>
      </w:r>
      <w:r>
        <w:rPr>
          <w:rFonts w:ascii="Times New Roman" w:hAnsi="Times New Roman"/>
          <w:snapToGrid w:val="0"/>
          <w:color w:val="auto"/>
          <w:kern w:val="0"/>
          <w:sz w:val="21"/>
          <w:szCs w:val="21"/>
          <w:highlight w:val="none"/>
        </w:rPr>
        <w:t xml:space="preserve"> 发生人员重伤的生产安全事故。</w:t>
      </w:r>
    </w:p>
    <w:p w14:paraId="7BA0982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（2）承包人有下列行为之一的，处罚金额为签约合同价的1‰。</w:t>
      </w:r>
    </w:p>
    <w:p w14:paraId="6127967B">
      <w:pPr>
        <w:spacing w:line="360" w:lineRule="auto"/>
        <w:ind w:firstLine="420" w:firstLineChars="200"/>
        <w:rPr>
          <w:rFonts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①</w:t>
      </w:r>
      <w:r>
        <w:rPr>
          <w:rFonts w:ascii="Times New Roman" w:hAnsi="Times New Roman"/>
          <w:snapToGrid w:val="0"/>
          <w:color w:val="auto"/>
          <w:kern w:val="0"/>
          <w:sz w:val="21"/>
          <w:szCs w:val="21"/>
          <w:highlight w:val="none"/>
        </w:rPr>
        <w:t xml:space="preserve"> 发生人员轻伤的生产安全事故超过三次或一个月内连续发生两次；</w:t>
      </w:r>
    </w:p>
    <w:p w14:paraId="1900881F">
      <w:pPr>
        <w:spacing w:line="360" w:lineRule="auto"/>
        <w:ind w:firstLine="420" w:firstLineChars="200"/>
        <w:rPr>
          <w:rFonts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②</w:t>
      </w:r>
      <w:r>
        <w:rPr>
          <w:rFonts w:ascii="Times New Roman" w:hAnsi="Times New Roman"/>
          <w:snapToGrid w:val="0"/>
          <w:color w:val="auto"/>
          <w:kern w:val="0"/>
          <w:sz w:val="21"/>
          <w:szCs w:val="21"/>
          <w:highlight w:val="none"/>
        </w:rPr>
        <w:t xml:space="preserve"> 发生2万元以上的机械、工程设备、交通和火灾生产安全事故一次的。</w:t>
      </w:r>
    </w:p>
    <w:p w14:paraId="3140D2E3">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4．发包人按本协议约定对承包人进行的经济处罚，并不能免除承包人应承担的有关国家机关行政处罚与民事赔偿责任，以及应负的其他法律责任。</w:t>
      </w:r>
    </w:p>
    <w:p w14:paraId="100E381D">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八、附则</w:t>
      </w:r>
    </w:p>
    <w:p w14:paraId="190B7D09">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1．本协议与</w:t>
      </w:r>
      <w:r>
        <w:rPr>
          <w:rFonts w:hint="eastAsia" w:ascii="Times New Roman" w:hAnsi="Times New Roman"/>
          <w:color w:val="auto"/>
          <w:sz w:val="21"/>
          <w:szCs w:val="21"/>
          <w:highlight w:val="none"/>
        </w:rPr>
        <w:t>项目单位、</w:t>
      </w:r>
      <w:r>
        <w:rPr>
          <w:rFonts w:ascii="Times New Roman" w:hAnsi="Times New Roman"/>
          <w:color w:val="auto"/>
          <w:sz w:val="21"/>
          <w:szCs w:val="21"/>
          <w:highlight w:val="none"/>
        </w:rPr>
        <w:t>发包人、承包人</w:t>
      </w:r>
      <w:r>
        <w:rPr>
          <w:rFonts w:hint="eastAsia" w:ascii="Times New Roman" w:hAnsi="Times New Roman"/>
          <w:color w:val="auto"/>
          <w:sz w:val="21"/>
          <w:szCs w:val="21"/>
          <w:highlight w:val="none"/>
        </w:rPr>
        <w:t>三</w:t>
      </w:r>
      <w:r>
        <w:rPr>
          <w:rFonts w:ascii="Times New Roman" w:hAnsi="Times New Roman"/>
          <w:snapToGrid w:val="0"/>
          <w:color w:val="auto"/>
          <w:kern w:val="0"/>
          <w:sz w:val="21"/>
          <w:szCs w:val="21"/>
          <w:highlight w:val="none"/>
        </w:rPr>
        <w:t>方签订的施工总承包合同具有同等法律效力</w:t>
      </w:r>
    </w:p>
    <w:p w14:paraId="589AC6F6">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2．本协议自</w:t>
      </w:r>
      <w:r>
        <w:rPr>
          <w:rFonts w:hint="eastAsia" w:ascii="Times New Roman" w:hAnsi="Times New Roman"/>
          <w:color w:val="auto"/>
          <w:sz w:val="21"/>
          <w:szCs w:val="21"/>
          <w:highlight w:val="none"/>
        </w:rPr>
        <w:t>项目单位、</w:t>
      </w:r>
      <w:r>
        <w:rPr>
          <w:rFonts w:ascii="Times New Roman" w:hAnsi="Times New Roman"/>
          <w:color w:val="auto"/>
          <w:sz w:val="21"/>
          <w:szCs w:val="21"/>
          <w:highlight w:val="none"/>
        </w:rPr>
        <w:t>发包人、承包人</w:t>
      </w:r>
      <w:r>
        <w:rPr>
          <w:rFonts w:hint="eastAsia" w:ascii="Times New Roman" w:hAnsi="Times New Roman"/>
          <w:snapToGrid w:val="0"/>
          <w:color w:val="auto"/>
          <w:kern w:val="0"/>
          <w:sz w:val="21"/>
          <w:szCs w:val="21"/>
          <w:highlight w:val="none"/>
        </w:rPr>
        <w:t>三</w:t>
      </w:r>
      <w:r>
        <w:rPr>
          <w:rFonts w:ascii="Times New Roman" w:hAnsi="Times New Roman"/>
          <w:snapToGrid w:val="0"/>
          <w:color w:val="auto"/>
          <w:kern w:val="0"/>
          <w:sz w:val="21"/>
          <w:szCs w:val="21"/>
          <w:highlight w:val="none"/>
        </w:rPr>
        <w:t>方签字盖章或盖章后生效。</w:t>
      </w:r>
    </w:p>
    <w:tbl>
      <w:tblPr>
        <w:tblStyle w:val="14"/>
        <w:tblpPr w:leftFromText="180" w:rightFromText="180" w:vertAnchor="text" w:horzAnchor="margin" w:tblpXSpec="center" w:tblpY="2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9"/>
        <w:gridCol w:w="4213"/>
      </w:tblGrid>
      <w:tr w14:paraId="60C7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8" w:type="pct"/>
            <w:noWrap w:val="0"/>
            <w:vAlign w:val="top"/>
          </w:tcPr>
          <w:p w14:paraId="6AE12960">
            <w:pPr>
              <w:spacing w:line="400" w:lineRule="exact"/>
              <w:ind w:right="-86" w:rightChars="-41"/>
              <w:rPr>
                <w:rFonts w:hint="eastAsia" w:cs="宋体"/>
                <w:color w:val="auto"/>
                <w:sz w:val="21"/>
                <w:szCs w:val="21"/>
                <w:highlight w:val="none"/>
              </w:rPr>
            </w:pPr>
            <w:bookmarkStart w:id="783" w:name="_Toc11721"/>
            <w:bookmarkStart w:id="784" w:name="_Toc31966"/>
            <w:bookmarkStart w:id="785" w:name="_Toc3473"/>
            <w:r>
              <w:rPr>
                <w:rFonts w:hint="eastAsia"/>
                <w:color w:val="auto"/>
                <w:sz w:val="21"/>
                <w:szCs w:val="21"/>
                <w:highlight w:val="none"/>
              </w:rPr>
              <w:t>承包人</w:t>
            </w:r>
            <w:r>
              <w:rPr>
                <w:rFonts w:hint="eastAsia" w:cs="宋体"/>
                <w:color w:val="auto"/>
                <w:sz w:val="21"/>
                <w:szCs w:val="21"/>
                <w:highlight w:val="none"/>
              </w:rPr>
              <w:t xml:space="preserve">：       </w:t>
            </w:r>
            <w:r>
              <w:rPr>
                <w:rFonts w:hint="eastAsia"/>
                <w:color w:val="auto"/>
                <w:sz w:val="21"/>
                <w:szCs w:val="21"/>
                <w:highlight w:val="none"/>
              </w:rPr>
              <w:t>（盖章）</w:t>
            </w:r>
          </w:p>
          <w:p w14:paraId="7A4DDDDD">
            <w:pPr>
              <w:spacing w:line="400" w:lineRule="exact"/>
              <w:ind w:right="-86" w:rightChars="-41"/>
              <w:rPr>
                <w:rFonts w:hint="eastAsia" w:cs="宋体"/>
                <w:color w:val="auto"/>
                <w:sz w:val="21"/>
                <w:szCs w:val="21"/>
                <w:highlight w:val="none"/>
              </w:rPr>
            </w:pPr>
            <w:r>
              <w:rPr>
                <w:rFonts w:hint="eastAsia"/>
                <w:color w:val="auto"/>
                <w:sz w:val="21"/>
                <w:szCs w:val="21"/>
                <w:highlight w:val="none"/>
              </w:rPr>
              <w:t>法定代表人或其委托代理人</w:t>
            </w:r>
            <w:r>
              <w:rPr>
                <w:rFonts w:hint="eastAsia" w:cs="宋体"/>
                <w:color w:val="auto"/>
                <w:sz w:val="21"/>
                <w:szCs w:val="21"/>
                <w:highlight w:val="none"/>
              </w:rPr>
              <w:t>：</w:t>
            </w:r>
          </w:p>
          <w:p w14:paraId="6C776234">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（签字或盖章）</w:t>
            </w:r>
          </w:p>
          <w:p w14:paraId="472E7672">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统一社会信用代码：</w:t>
            </w:r>
          </w:p>
          <w:p w14:paraId="236DD684">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 xml:space="preserve">地址： </w:t>
            </w:r>
          </w:p>
          <w:p w14:paraId="2E838712">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邮编：</w:t>
            </w:r>
          </w:p>
          <w:p w14:paraId="5B5904CA">
            <w:pPr>
              <w:tabs>
                <w:tab w:val="left" w:pos="180"/>
              </w:tabs>
              <w:spacing w:line="400" w:lineRule="exact"/>
              <w:rPr>
                <w:rFonts w:hint="eastAsia"/>
                <w:color w:val="auto"/>
                <w:sz w:val="21"/>
                <w:szCs w:val="21"/>
                <w:highlight w:val="none"/>
              </w:rPr>
            </w:pPr>
            <w:r>
              <w:rPr>
                <w:color w:val="auto"/>
                <w:sz w:val="21"/>
                <w:szCs w:val="21"/>
                <w:highlight w:val="none"/>
              </w:rPr>
              <w:t>法定代表人：</w:t>
            </w:r>
          </w:p>
          <w:p w14:paraId="62FDF729">
            <w:pPr>
              <w:tabs>
                <w:tab w:val="left" w:pos="180"/>
              </w:tabs>
              <w:spacing w:line="400" w:lineRule="exact"/>
              <w:rPr>
                <w:rFonts w:hint="eastAsia"/>
                <w:color w:val="auto"/>
                <w:sz w:val="21"/>
                <w:szCs w:val="21"/>
                <w:highlight w:val="none"/>
              </w:rPr>
            </w:pPr>
            <w:r>
              <w:rPr>
                <w:color w:val="auto"/>
                <w:sz w:val="21"/>
                <w:szCs w:val="21"/>
                <w:highlight w:val="none"/>
              </w:rPr>
              <w:t>委托代理人：</w:t>
            </w:r>
          </w:p>
          <w:p w14:paraId="3C836662">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电话：</w:t>
            </w:r>
          </w:p>
          <w:p w14:paraId="2CE364AA">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传真：</w:t>
            </w:r>
          </w:p>
          <w:p w14:paraId="35489F6F">
            <w:pPr>
              <w:tabs>
                <w:tab w:val="left" w:pos="180"/>
              </w:tabs>
              <w:spacing w:line="400" w:lineRule="exact"/>
              <w:rPr>
                <w:rFonts w:hint="eastAsia"/>
                <w:color w:val="auto"/>
                <w:sz w:val="21"/>
                <w:szCs w:val="21"/>
                <w:highlight w:val="none"/>
              </w:rPr>
            </w:pPr>
            <w:r>
              <w:rPr>
                <w:color w:val="auto"/>
                <w:sz w:val="21"/>
                <w:szCs w:val="21"/>
                <w:highlight w:val="none"/>
              </w:rPr>
              <w:t>电子信箱：</w:t>
            </w:r>
          </w:p>
          <w:p w14:paraId="6AB02442">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开户银行：</w:t>
            </w:r>
          </w:p>
          <w:p w14:paraId="214E0721">
            <w:pPr>
              <w:spacing w:line="400" w:lineRule="exact"/>
              <w:ind w:right="-86" w:rightChars="-41"/>
              <w:rPr>
                <w:rFonts w:hint="eastAsia" w:cs="宋体"/>
                <w:color w:val="auto"/>
                <w:sz w:val="21"/>
                <w:szCs w:val="21"/>
                <w:highlight w:val="none"/>
              </w:rPr>
            </w:pPr>
            <w:r>
              <w:rPr>
                <w:rFonts w:hint="eastAsia" w:cs="宋体"/>
                <w:color w:val="auto"/>
                <w:sz w:val="21"/>
                <w:szCs w:val="21"/>
                <w:highlight w:val="none"/>
              </w:rPr>
              <w:t>银行账号：</w:t>
            </w:r>
          </w:p>
          <w:p w14:paraId="38AA4EFC">
            <w:pPr>
              <w:spacing w:line="400" w:lineRule="exact"/>
              <w:ind w:right="-86" w:rightChars="-41"/>
              <w:rPr>
                <w:rFonts w:hint="eastAsia" w:cs="宋体"/>
                <w:color w:val="auto"/>
                <w:sz w:val="21"/>
                <w:szCs w:val="21"/>
                <w:highlight w:val="none"/>
              </w:rPr>
            </w:pPr>
            <w:r>
              <w:rPr>
                <w:rFonts w:hint="eastAsia"/>
                <w:color w:val="auto"/>
                <w:sz w:val="21"/>
                <w:szCs w:val="21"/>
                <w:highlight w:val="none"/>
              </w:rPr>
              <w:t>时  间：</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tc>
        <w:tc>
          <w:tcPr>
            <w:tcW w:w="2471" w:type="pct"/>
            <w:noWrap w:val="0"/>
            <w:vAlign w:val="top"/>
          </w:tcPr>
          <w:p w14:paraId="3C58460E">
            <w:pPr>
              <w:spacing w:line="320" w:lineRule="exact"/>
              <w:ind w:left="-2" w:leftChars="-3" w:right="-86" w:rightChars="-41" w:hanging="4" w:hangingChars="2"/>
              <w:rPr>
                <w:rFonts w:hint="eastAsia"/>
                <w:color w:val="auto"/>
                <w:sz w:val="21"/>
                <w:szCs w:val="21"/>
                <w:highlight w:val="none"/>
              </w:rPr>
            </w:pPr>
            <w:r>
              <w:rPr>
                <w:color w:val="auto"/>
                <w:sz w:val="21"/>
                <w:szCs w:val="21"/>
                <w:highlight w:val="none"/>
              </w:rPr>
              <w:t>发包人</w:t>
            </w:r>
            <w:r>
              <w:rPr>
                <w:rFonts w:hint="eastAsia"/>
                <w:color w:val="auto"/>
                <w:sz w:val="21"/>
                <w:szCs w:val="21"/>
                <w:highlight w:val="none"/>
              </w:rPr>
              <w:t>：  （盖章）</w:t>
            </w:r>
          </w:p>
          <w:p w14:paraId="18D27DB8">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法定代表人或其委托代理人： （签字或盖章）</w:t>
            </w:r>
          </w:p>
          <w:p w14:paraId="36FF25AD">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统一社会信用代码：</w:t>
            </w:r>
          </w:p>
          <w:p w14:paraId="55B33F3B">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地址：</w:t>
            </w:r>
          </w:p>
          <w:p w14:paraId="176024F5">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邮编：</w:t>
            </w:r>
          </w:p>
          <w:p w14:paraId="0756A9C3">
            <w:pPr>
              <w:spacing w:line="320" w:lineRule="exact"/>
              <w:ind w:left="-2" w:leftChars="-3" w:right="-86" w:rightChars="-41" w:hanging="4" w:hangingChars="2"/>
              <w:rPr>
                <w:rFonts w:hint="eastAsia"/>
                <w:color w:val="auto"/>
                <w:sz w:val="21"/>
                <w:szCs w:val="21"/>
                <w:highlight w:val="none"/>
              </w:rPr>
            </w:pPr>
            <w:r>
              <w:rPr>
                <w:color w:val="auto"/>
                <w:sz w:val="21"/>
                <w:szCs w:val="21"/>
                <w:highlight w:val="none"/>
              </w:rPr>
              <w:t>法定代表人：</w:t>
            </w:r>
          </w:p>
          <w:p w14:paraId="1D06D47F">
            <w:pPr>
              <w:spacing w:line="320" w:lineRule="exact"/>
              <w:ind w:left="-2" w:leftChars="-3" w:right="-86" w:rightChars="-41" w:hanging="4" w:hangingChars="2"/>
              <w:rPr>
                <w:rFonts w:hint="eastAsia"/>
                <w:color w:val="auto"/>
                <w:sz w:val="21"/>
                <w:szCs w:val="21"/>
                <w:highlight w:val="none"/>
              </w:rPr>
            </w:pPr>
            <w:r>
              <w:rPr>
                <w:color w:val="auto"/>
                <w:sz w:val="21"/>
                <w:szCs w:val="21"/>
                <w:highlight w:val="none"/>
              </w:rPr>
              <w:t>委托代理人：</w:t>
            </w:r>
          </w:p>
          <w:p w14:paraId="4D535A74">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电话：</w:t>
            </w:r>
          </w:p>
          <w:p w14:paraId="1B48F19F">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传真：</w:t>
            </w:r>
          </w:p>
          <w:p w14:paraId="56CE86A0">
            <w:pPr>
              <w:spacing w:line="320" w:lineRule="exact"/>
              <w:ind w:left="-2" w:leftChars="-3" w:right="-86" w:rightChars="-41" w:hanging="4" w:hangingChars="2"/>
              <w:rPr>
                <w:rFonts w:hint="eastAsia"/>
                <w:color w:val="auto"/>
                <w:sz w:val="21"/>
                <w:szCs w:val="21"/>
                <w:highlight w:val="none"/>
              </w:rPr>
            </w:pPr>
            <w:r>
              <w:rPr>
                <w:color w:val="auto"/>
                <w:sz w:val="21"/>
                <w:szCs w:val="21"/>
                <w:highlight w:val="none"/>
              </w:rPr>
              <w:t>电子信箱：</w:t>
            </w:r>
          </w:p>
          <w:p w14:paraId="42DCA327">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开户银行：</w:t>
            </w:r>
          </w:p>
          <w:p w14:paraId="25858FDA">
            <w:pPr>
              <w:spacing w:line="320" w:lineRule="exact"/>
              <w:ind w:left="-2" w:leftChars="-3" w:right="-86" w:rightChars="-41" w:hanging="4" w:hangingChars="2"/>
              <w:rPr>
                <w:rFonts w:hint="eastAsia"/>
                <w:color w:val="auto"/>
                <w:sz w:val="21"/>
                <w:szCs w:val="21"/>
                <w:highlight w:val="none"/>
              </w:rPr>
            </w:pPr>
            <w:r>
              <w:rPr>
                <w:rFonts w:hint="eastAsia"/>
                <w:color w:val="auto"/>
                <w:sz w:val="21"/>
                <w:szCs w:val="21"/>
                <w:highlight w:val="none"/>
              </w:rPr>
              <w:t>银行账号：</w:t>
            </w:r>
          </w:p>
          <w:p w14:paraId="347BBB80">
            <w:pPr>
              <w:spacing w:line="400" w:lineRule="exact"/>
              <w:ind w:right="-86" w:rightChars="-41"/>
              <w:rPr>
                <w:rFonts w:hint="eastAsia"/>
                <w:color w:val="auto"/>
                <w:sz w:val="21"/>
                <w:szCs w:val="21"/>
                <w:highlight w:val="none"/>
              </w:rPr>
            </w:pPr>
            <w:r>
              <w:rPr>
                <w:rFonts w:hint="eastAsia"/>
                <w:color w:val="auto"/>
                <w:sz w:val="21"/>
                <w:szCs w:val="21"/>
                <w:highlight w:val="none"/>
              </w:rPr>
              <w:t>时  间：</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p w14:paraId="74E1C15B">
            <w:pPr>
              <w:pStyle w:val="2"/>
              <w:rPr>
                <w:rFonts w:hint="eastAsia"/>
                <w:color w:val="auto"/>
                <w:highlight w:val="none"/>
              </w:rPr>
            </w:pPr>
          </w:p>
          <w:p w14:paraId="5E828A8F">
            <w:pPr>
              <w:pStyle w:val="12"/>
              <w:spacing w:line="320" w:lineRule="exact"/>
              <w:ind w:left="-2" w:leftChars="-3" w:right="-86" w:rightChars="-41" w:hanging="4" w:hangingChars="2"/>
              <w:rPr>
                <w:rFonts w:ascii="宋体" w:hAnsi="宋体"/>
                <w:color w:val="auto"/>
                <w:sz w:val="21"/>
                <w:szCs w:val="21"/>
                <w:highlight w:val="none"/>
                <w:lang w:val="en-US" w:eastAsia="zh-CN"/>
              </w:rPr>
            </w:pPr>
          </w:p>
          <w:p w14:paraId="410B9083">
            <w:pPr>
              <w:spacing w:line="320" w:lineRule="exact"/>
              <w:ind w:left="-2" w:leftChars="-3" w:right="-86" w:rightChars="-41" w:hanging="4" w:hangingChars="2"/>
              <w:rPr>
                <w:rFonts w:hint="eastAsia"/>
                <w:color w:val="auto"/>
                <w:sz w:val="21"/>
                <w:szCs w:val="21"/>
                <w:highlight w:val="none"/>
              </w:rPr>
            </w:pPr>
          </w:p>
        </w:tc>
      </w:tr>
    </w:tbl>
    <w:p w14:paraId="70210C2A">
      <w:pPr>
        <w:rPr>
          <w:rFonts w:hint="eastAsia" w:ascii="Times New Roman" w:hAnsi="Times New Roman"/>
          <w:snapToGrid w:val="0"/>
          <w:color w:val="auto"/>
          <w:kern w:val="0"/>
          <w:sz w:val="21"/>
          <w:szCs w:val="21"/>
          <w:highlight w:val="none"/>
        </w:rPr>
      </w:pPr>
    </w:p>
    <w:p w14:paraId="110D5DF5">
      <w:pPr>
        <w:rPr>
          <w:rFonts w:hint="eastAsia" w:ascii="Times New Roman" w:hAnsi="Times New Roman"/>
          <w:snapToGrid w:val="0"/>
          <w:color w:val="auto"/>
          <w:kern w:val="0"/>
          <w:sz w:val="21"/>
          <w:szCs w:val="21"/>
          <w:highlight w:val="none"/>
        </w:rPr>
      </w:pPr>
    </w:p>
    <w:p w14:paraId="7E5DC2F5">
      <w:pPr>
        <w:pStyle w:val="13"/>
        <w:ind w:left="480" w:firstLine="480"/>
        <w:rPr>
          <w:rFonts w:hint="eastAsia"/>
          <w:color w:val="auto"/>
          <w:highlight w:val="none"/>
          <w:lang w:val="en-US" w:eastAsia="zh-CN"/>
        </w:rPr>
      </w:pPr>
    </w:p>
    <w:p w14:paraId="07A04293">
      <w:pPr>
        <w:pStyle w:val="13"/>
        <w:ind w:left="480" w:firstLine="480"/>
        <w:rPr>
          <w:rFonts w:hint="eastAsia"/>
          <w:color w:val="auto"/>
          <w:highlight w:val="none"/>
          <w:lang w:val="en-US" w:eastAsia="zh-CN"/>
        </w:rPr>
      </w:pPr>
    </w:p>
    <w:p w14:paraId="344C2607">
      <w:pPr>
        <w:rPr>
          <w:color w:val="auto"/>
          <w:sz w:val="21"/>
          <w:szCs w:val="21"/>
          <w:highlight w:val="none"/>
        </w:rPr>
      </w:pPr>
      <w:r>
        <w:rPr>
          <w:rFonts w:ascii="Times New Roman" w:hAnsi="Times New Roman"/>
          <w:b/>
          <w:bCs/>
          <w:snapToGrid w:val="0"/>
          <w:color w:val="auto"/>
          <w:kern w:val="0"/>
          <w:sz w:val="21"/>
          <w:szCs w:val="21"/>
          <w:highlight w:val="none"/>
        </w:rPr>
        <w:t>附件10：工程质量保证责任书</w:t>
      </w:r>
      <w:bookmarkEnd w:id="783"/>
    </w:p>
    <w:p w14:paraId="74A95119">
      <w:pPr>
        <w:jc w:val="center"/>
        <w:rPr>
          <w:rFonts w:ascii="Times New Roman" w:hAnsi="Times New Roman"/>
          <w:b/>
          <w:bCs/>
          <w:snapToGrid w:val="0"/>
          <w:color w:val="auto"/>
          <w:kern w:val="0"/>
          <w:szCs w:val="21"/>
          <w:highlight w:val="none"/>
        </w:rPr>
      </w:pPr>
      <w:r>
        <w:rPr>
          <w:rFonts w:ascii="Times New Roman" w:hAnsi="Times New Roman"/>
          <w:b/>
          <w:bCs/>
          <w:snapToGrid w:val="0"/>
          <w:color w:val="auto"/>
          <w:kern w:val="0"/>
          <w:szCs w:val="21"/>
          <w:highlight w:val="none"/>
        </w:rPr>
        <w:t>工程质量保证责任书</w:t>
      </w:r>
    </w:p>
    <w:p w14:paraId="59C7D437">
      <w:pPr>
        <w:rPr>
          <w:color w:val="auto"/>
          <w:highlight w:val="none"/>
        </w:rPr>
      </w:pPr>
    </w:p>
    <w:p w14:paraId="39F56E68">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致：</w:t>
      </w:r>
      <w:r>
        <w:rPr>
          <w:rFonts w:ascii="Times New Roman" w:hAnsi="Times New Roman"/>
          <w:snapToGrid w:val="0"/>
          <w:color w:val="auto"/>
          <w:kern w:val="0"/>
          <w:sz w:val="21"/>
          <w:szCs w:val="21"/>
          <w:highlight w:val="none"/>
          <w:u w:val="single"/>
        </w:rPr>
        <w:t xml:space="preserve">                                           </w:t>
      </w:r>
      <w:r>
        <w:rPr>
          <w:rFonts w:ascii="Times New Roman" w:hAnsi="Times New Roman"/>
          <w:snapToGrid w:val="0"/>
          <w:color w:val="auto"/>
          <w:kern w:val="0"/>
          <w:sz w:val="21"/>
          <w:szCs w:val="21"/>
          <w:highlight w:val="none"/>
        </w:rPr>
        <w:t xml:space="preserve"> </w:t>
      </w:r>
    </w:p>
    <w:p w14:paraId="146DBBC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根据国家、省（市）颁布的有关工程质量方面法律、法规、规范和行业质量标准以及合同文件规定的质量目标要求，保证工程项目施工的顺利进行，确保工程建设质量和进度，我单位向发包人承诺：</w:t>
      </w:r>
    </w:p>
    <w:p w14:paraId="6741D9E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（1）我方保证工程质量验收严格按照合同约定验收标准执行，因我方原因造成工程质量达不到合同约定验收标准的，我方将无偿返工直至符合合同要求为止，并承担由此造成的一切费用增加和工期延误责任。</w:t>
      </w:r>
    </w:p>
    <w:p w14:paraId="53B2069E">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我方保证将在施工场地设置专门的质量检查机构，配备专职质量检查人员，建立完善的质量检查制度。在合同约定的期限内，提交工程质量保证措施文件，包括质量检查机构的组织和岗位责任、质检人员的组成、质量检查程序和实施细则等，报送监理人审批。</w:t>
      </w:r>
    </w:p>
    <w:p w14:paraId="6ABB4157">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（3）我方保证将加强对施工人员的质量教育和技术培训，定期考核施工人员的劳动技能，严格执行规范和操作规程。</w:t>
      </w:r>
    </w:p>
    <w:p w14:paraId="3AD0D55A">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（4）我方保证将严格按照工程设计图纸和施工技术规范施工，不擅自修改工程设计，不偷工减料。施工过程中发现设计文件有差错的及时向发包人提出。</w:t>
      </w:r>
    </w:p>
    <w:p w14:paraId="228425E4">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5）我方保证将建立、健全施工质量的检验制度，严格工序管理，工程施工过程中的每一工序必须有完善的质量自检、互检、交接检制度和记录；作好隐蔽工程的质量检查和记录；隐蔽前及时通知监理人。未经总监理工程师签字，建筑材料、建筑构配件和工程设备不在工程上使用或者安装，且不进行下一道工序的施工。监理人检查确认质量不合格的，我方应在监理人指示的时间内修整返工后，由监理人重新检查。</w:t>
      </w:r>
    </w:p>
    <w:p w14:paraId="55798B9A">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6）我方保证将积极参加工程质量隐患、质量事故的调查处理，提供真实情况、事故分析报告、整改意见，并经监理人审查认可后，在监理人监督下进行整改工作。完整的质量事故报告及时上报有关部门，同时抄报发包人。</w:t>
      </w:r>
    </w:p>
    <w:p w14:paraId="7DA6040D">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（7）我方保证将积极参加监理人组织的分部、分项工程质量验收和评定，并根据验收意见进行整改。</w:t>
      </w:r>
    </w:p>
    <w:p w14:paraId="349DF6CB">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（8）我方保证将按合同约定对材料、工程设备以及工程的所有部位及其施工工艺进行全过程的质量检查和检验，并作详细记录，编制工程质量报表，报送监理人审查。</w:t>
      </w:r>
    </w:p>
    <w:p w14:paraId="741C014C">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9）我方将接受监理人对工程的所有部位及其施工工艺、材料和工程设备进行检查和检验，为监理人的检查和检验提供方便，并按监理人指示，进行施工场地取样试验、工程复核测量和工程设备性能检测，提供真实试验样品、试验报告和测量成果以及监理人要求进行的其他工作。</w:t>
      </w:r>
    </w:p>
    <w:p w14:paraId="1325684D">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10）如我方使用不合格材料、工程设备，或采用不适当的施工工艺，或施工不当，造成工程不合格的，监理人可以随时发出指示，要求我方立即采取措施进行补救，直至达到合同要求的质量标准，由此增加的费用和工期延误由我方承担。如果我方未在规定时间内执行监理人的指示，我方同意发包人雇用他人执行，由此增加的费用和工期延误由我方承担。</w:t>
      </w:r>
    </w:p>
    <w:p w14:paraId="65C527EE">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（11）我方保证严格按投标文件中的人员、机械设备的要求进场，确保项目按期完工。</w:t>
      </w:r>
    </w:p>
    <w:p w14:paraId="4D9F2EF5">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（12）我方保证承包范围内的项目由我公司自行施工，绝无转包、挂靠等违法行为，专业工程的合法分包应征得发包人的同意。</w:t>
      </w:r>
    </w:p>
    <w:p w14:paraId="573A576D">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（13）因我方原因造成的任何安全质量责任事故，责任由我公司承担，给贵方造成的损失（含直接经济损失、诉讼费、公证费、律师费、差旅费及其他任何可期待损失），我公司及时、足额地进行赔偿。</w:t>
      </w:r>
    </w:p>
    <w:p w14:paraId="424308C7">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（14）我方保证将精心组织、科学管理，保证按期、保质、保量完成工程施工，建造精品工程。</w:t>
      </w:r>
    </w:p>
    <w:p w14:paraId="11BBE820">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15）如我方违反以上任何一项承诺，我方将赔偿发包人的各种经济损失；因我方原因造成任何安全质量事故的，贵方可立即与我方终止本工程建设合同，我方接到贵方发出的终止函件（可通过电子邮件、传真、信函方式发送）之日起7日内不附加任何条件地退出工程现场，且不向贵方主张任何费用，并接受发包人或行政机构对我方的处罚。若承包人未能实现本协议约定的安全生产管理目标，发生安全生产事故的，接受发包人对此进行的经济处罚。具体处罚标准如下：</w:t>
      </w:r>
    </w:p>
    <w:p w14:paraId="25B9778A">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1）一般质量事故（直接经济损失在5</w:t>
      </w:r>
      <w:r>
        <w:rPr>
          <w:rFonts w:hint="eastAsia" w:ascii="Times New Roman" w:hAnsi="Times New Roman"/>
          <w:snapToGrid w:val="0"/>
          <w:color w:val="auto"/>
          <w:kern w:val="0"/>
          <w:sz w:val="21"/>
          <w:szCs w:val="21"/>
          <w:highlight w:val="none"/>
        </w:rPr>
        <w:t>千</w:t>
      </w:r>
      <w:r>
        <w:rPr>
          <w:rFonts w:ascii="Times New Roman" w:hAnsi="Times New Roman"/>
          <w:snapToGrid w:val="0"/>
          <w:color w:val="auto"/>
          <w:kern w:val="0"/>
          <w:sz w:val="21"/>
          <w:szCs w:val="21"/>
          <w:highlight w:val="none"/>
        </w:rPr>
        <w:t>元～5</w:t>
      </w:r>
      <w:r>
        <w:rPr>
          <w:rFonts w:hint="eastAsia" w:ascii="Times New Roman" w:hAnsi="Times New Roman"/>
          <w:snapToGrid w:val="0"/>
          <w:color w:val="auto"/>
          <w:kern w:val="0"/>
          <w:sz w:val="21"/>
          <w:szCs w:val="21"/>
          <w:highlight w:val="none"/>
        </w:rPr>
        <w:t>万</w:t>
      </w:r>
      <w:r>
        <w:rPr>
          <w:rFonts w:ascii="Times New Roman" w:hAnsi="Times New Roman"/>
          <w:snapToGrid w:val="0"/>
          <w:color w:val="auto"/>
          <w:kern w:val="0"/>
          <w:sz w:val="21"/>
          <w:szCs w:val="21"/>
          <w:highlight w:val="none"/>
        </w:rPr>
        <w:t>元或造成工程永久质量缺陷的）：扣除违约金1</w:t>
      </w:r>
      <w:r>
        <w:rPr>
          <w:rFonts w:hint="eastAsia" w:ascii="Times New Roman" w:hAnsi="Times New Roman"/>
          <w:snapToGrid w:val="0"/>
          <w:color w:val="auto"/>
          <w:kern w:val="0"/>
          <w:sz w:val="21"/>
          <w:szCs w:val="21"/>
          <w:highlight w:val="none"/>
        </w:rPr>
        <w:t>万</w:t>
      </w:r>
      <w:r>
        <w:rPr>
          <w:rFonts w:ascii="Times New Roman" w:hAnsi="Times New Roman"/>
          <w:snapToGrid w:val="0"/>
          <w:color w:val="auto"/>
          <w:kern w:val="0"/>
          <w:sz w:val="21"/>
          <w:szCs w:val="21"/>
          <w:highlight w:val="none"/>
        </w:rPr>
        <w:t>元～10</w:t>
      </w:r>
      <w:r>
        <w:rPr>
          <w:rFonts w:hint="eastAsia" w:ascii="Times New Roman" w:hAnsi="Times New Roman"/>
          <w:snapToGrid w:val="0"/>
          <w:color w:val="auto"/>
          <w:kern w:val="0"/>
          <w:sz w:val="21"/>
          <w:szCs w:val="21"/>
          <w:highlight w:val="none"/>
        </w:rPr>
        <w:t>万</w:t>
      </w:r>
      <w:r>
        <w:rPr>
          <w:rFonts w:ascii="Times New Roman" w:hAnsi="Times New Roman"/>
          <w:snapToGrid w:val="0"/>
          <w:color w:val="auto"/>
          <w:kern w:val="0"/>
          <w:sz w:val="21"/>
          <w:szCs w:val="21"/>
          <w:highlight w:val="none"/>
        </w:rPr>
        <w:t>元；</w:t>
      </w:r>
    </w:p>
    <w:p w14:paraId="01A08CF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2）严重质量事故（直接经济损失在5</w:t>
      </w:r>
      <w:r>
        <w:rPr>
          <w:rFonts w:hint="eastAsia" w:ascii="Times New Roman" w:hAnsi="Times New Roman"/>
          <w:snapToGrid w:val="0"/>
          <w:color w:val="auto"/>
          <w:kern w:val="0"/>
          <w:sz w:val="21"/>
          <w:szCs w:val="21"/>
          <w:highlight w:val="none"/>
        </w:rPr>
        <w:t>万</w:t>
      </w:r>
      <w:r>
        <w:rPr>
          <w:rFonts w:ascii="Times New Roman" w:hAnsi="Times New Roman"/>
          <w:snapToGrid w:val="0"/>
          <w:color w:val="auto"/>
          <w:kern w:val="0"/>
          <w:sz w:val="21"/>
          <w:szCs w:val="21"/>
          <w:highlight w:val="none"/>
        </w:rPr>
        <w:t>元～10</w:t>
      </w:r>
      <w:r>
        <w:rPr>
          <w:rFonts w:hint="eastAsia" w:ascii="Times New Roman" w:hAnsi="Times New Roman"/>
          <w:snapToGrid w:val="0"/>
          <w:color w:val="auto"/>
          <w:kern w:val="0"/>
          <w:sz w:val="21"/>
          <w:szCs w:val="21"/>
          <w:highlight w:val="none"/>
        </w:rPr>
        <w:t>万</w:t>
      </w:r>
      <w:r>
        <w:rPr>
          <w:rFonts w:ascii="Times New Roman" w:hAnsi="Times New Roman"/>
          <w:snapToGrid w:val="0"/>
          <w:color w:val="auto"/>
          <w:kern w:val="0"/>
          <w:sz w:val="21"/>
          <w:szCs w:val="21"/>
          <w:highlight w:val="none"/>
        </w:rPr>
        <w:t>元或影响使用功能或工程结构安全的）：扣除违约金10</w:t>
      </w:r>
      <w:r>
        <w:rPr>
          <w:rFonts w:hint="eastAsia" w:ascii="Times New Roman" w:hAnsi="Times New Roman"/>
          <w:snapToGrid w:val="0"/>
          <w:color w:val="auto"/>
          <w:kern w:val="0"/>
          <w:sz w:val="21"/>
          <w:szCs w:val="21"/>
          <w:highlight w:val="none"/>
        </w:rPr>
        <w:t>万</w:t>
      </w:r>
      <w:r>
        <w:rPr>
          <w:rFonts w:ascii="Times New Roman" w:hAnsi="Times New Roman"/>
          <w:snapToGrid w:val="0"/>
          <w:color w:val="auto"/>
          <w:kern w:val="0"/>
          <w:sz w:val="21"/>
          <w:szCs w:val="21"/>
          <w:highlight w:val="none"/>
        </w:rPr>
        <w:t>元～20</w:t>
      </w:r>
      <w:r>
        <w:rPr>
          <w:rFonts w:hint="eastAsia" w:ascii="Times New Roman" w:hAnsi="Times New Roman"/>
          <w:snapToGrid w:val="0"/>
          <w:color w:val="auto"/>
          <w:kern w:val="0"/>
          <w:sz w:val="21"/>
          <w:szCs w:val="21"/>
          <w:highlight w:val="none"/>
        </w:rPr>
        <w:t>万</w:t>
      </w:r>
      <w:r>
        <w:rPr>
          <w:rFonts w:ascii="Times New Roman" w:hAnsi="Times New Roman"/>
          <w:snapToGrid w:val="0"/>
          <w:color w:val="auto"/>
          <w:kern w:val="0"/>
          <w:sz w:val="21"/>
          <w:szCs w:val="21"/>
          <w:highlight w:val="none"/>
        </w:rPr>
        <w:t>元；</w:t>
      </w:r>
    </w:p>
    <w:p w14:paraId="32B94716">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3）重大质量事故（工程报废、直接经济损失在10</w:t>
      </w:r>
      <w:r>
        <w:rPr>
          <w:rFonts w:hint="eastAsia" w:ascii="Times New Roman" w:hAnsi="Times New Roman"/>
          <w:snapToGrid w:val="0"/>
          <w:color w:val="auto"/>
          <w:kern w:val="0"/>
          <w:sz w:val="21"/>
          <w:szCs w:val="21"/>
          <w:highlight w:val="none"/>
        </w:rPr>
        <w:t>万</w:t>
      </w:r>
      <w:r>
        <w:rPr>
          <w:rFonts w:ascii="Times New Roman" w:hAnsi="Times New Roman"/>
          <w:snapToGrid w:val="0"/>
          <w:color w:val="auto"/>
          <w:kern w:val="0"/>
          <w:sz w:val="21"/>
          <w:szCs w:val="21"/>
          <w:highlight w:val="none"/>
        </w:rPr>
        <w:t>元以上、造成人员死亡或重伤3人以上）：扣除违约金</w:t>
      </w:r>
      <w:r>
        <w:rPr>
          <w:rFonts w:hint="eastAsia" w:ascii="Times New Roman" w:hAnsi="Times New Roman"/>
          <w:snapToGrid w:val="0"/>
          <w:color w:val="auto"/>
          <w:kern w:val="0"/>
          <w:sz w:val="21"/>
          <w:szCs w:val="21"/>
          <w:highlight w:val="none"/>
        </w:rPr>
        <w:t>3</w:t>
      </w:r>
      <w:r>
        <w:rPr>
          <w:rFonts w:ascii="Times New Roman" w:hAnsi="Times New Roman"/>
          <w:snapToGrid w:val="0"/>
          <w:color w:val="auto"/>
          <w:kern w:val="0"/>
          <w:sz w:val="21"/>
          <w:szCs w:val="21"/>
          <w:highlight w:val="none"/>
        </w:rPr>
        <w:t>0</w:t>
      </w:r>
      <w:r>
        <w:rPr>
          <w:rFonts w:hint="eastAsia" w:ascii="Times New Roman" w:hAnsi="Times New Roman"/>
          <w:snapToGrid w:val="0"/>
          <w:color w:val="auto"/>
          <w:kern w:val="0"/>
          <w:sz w:val="21"/>
          <w:szCs w:val="21"/>
          <w:highlight w:val="none"/>
        </w:rPr>
        <w:t>万</w:t>
      </w:r>
      <w:r>
        <w:rPr>
          <w:rFonts w:ascii="Times New Roman" w:hAnsi="Times New Roman"/>
          <w:snapToGrid w:val="0"/>
          <w:color w:val="auto"/>
          <w:kern w:val="0"/>
          <w:sz w:val="21"/>
          <w:szCs w:val="21"/>
          <w:highlight w:val="none"/>
        </w:rPr>
        <w:t>元</w:t>
      </w:r>
      <w:r>
        <w:rPr>
          <w:rFonts w:hint="eastAsia" w:ascii="Times New Roman" w:hAnsi="Times New Roman"/>
          <w:snapToGrid w:val="0"/>
          <w:color w:val="auto"/>
          <w:kern w:val="0"/>
          <w:sz w:val="21"/>
          <w:szCs w:val="21"/>
          <w:highlight w:val="none"/>
        </w:rPr>
        <w:t>，</w:t>
      </w:r>
      <w:r>
        <w:rPr>
          <w:rFonts w:ascii="Times New Roman" w:hAnsi="Times New Roman"/>
          <w:snapToGrid w:val="0"/>
          <w:color w:val="auto"/>
          <w:kern w:val="0"/>
          <w:sz w:val="21"/>
          <w:szCs w:val="21"/>
          <w:highlight w:val="none"/>
        </w:rPr>
        <w:t>人员伤亡</w:t>
      </w:r>
      <w:r>
        <w:rPr>
          <w:rFonts w:hint="eastAsia" w:ascii="Times New Roman" w:hAnsi="Times New Roman"/>
          <w:snapToGrid w:val="0"/>
          <w:color w:val="auto"/>
          <w:kern w:val="0"/>
          <w:sz w:val="21"/>
          <w:szCs w:val="21"/>
          <w:highlight w:val="none"/>
        </w:rPr>
        <w:t>违约金按照签订的《</w:t>
      </w:r>
      <w:r>
        <w:rPr>
          <w:rFonts w:ascii="Times New Roman" w:hAnsi="Times New Roman"/>
          <w:snapToGrid w:val="0"/>
          <w:color w:val="auto"/>
          <w:kern w:val="0"/>
          <w:sz w:val="21"/>
          <w:szCs w:val="21"/>
          <w:highlight w:val="none"/>
        </w:rPr>
        <w:t>安全生产协议</w:t>
      </w:r>
      <w:r>
        <w:rPr>
          <w:rFonts w:hint="eastAsia" w:ascii="Times New Roman" w:hAnsi="Times New Roman"/>
          <w:snapToGrid w:val="0"/>
          <w:color w:val="auto"/>
          <w:kern w:val="0"/>
          <w:sz w:val="21"/>
          <w:szCs w:val="21"/>
          <w:highlight w:val="none"/>
        </w:rPr>
        <w:t>》规定执行</w:t>
      </w:r>
      <w:r>
        <w:rPr>
          <w:rFonts w:ascii="Times New Roman" w:hAnsi="Times New Roman"/>
          <w:snapToGrid w:val="0"/>
          <w:color w:val="auto"/>
          <w:kern w:val="0"/>
          <w:sz w:val="21"/>
          <w:szCs w:val="21"/>
          <w:highlight w:val="none"/>
        </w:rPr>
        <w:t>。</w:t>
      </w:r>
    </w:p>
    <w:p w14:paraId="3ADBFDB0">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保证人（承包人）：                                  （公章或合同专用章）</w:t>
      </w:r>
    </w:p>
    <w:p w14:paraId="671CCB5D">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法定代表人或其委托代理人：__________________________（签字或盖章）</w:t>
      </w:r>
    </w:p>
    <w:p w14:paraId="10D62015">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 xml:space="preserve">地  址：          </w:t>
      </w:r>
      <w:r>
        <w:rPr>
          <w:rFonts w:hint="eastAsia" w:ascii="Times New Roman" w:hAnsi="Times New Roman"/>
          <w:snapToGrid w:val="0"/>
          <w:color w:val="auto"/>
          <w:kern w:val="0"/>
          <w:sz w:val="21"/>
          <w:szCs w:val="21"/>
          <w:highlight w:val="none"/>
        </w:rPr>
        <w:t xml:space="preserve">                         </w:t>
      </w:r>
      <w:r>
        <w:rPr>
          <w:rFonts w:ascii="Times New Roman" w:hAnsi="Times New Roman"/>
          <w:snapToGrid w:val="0"/>
          <w:color w:val="auto"/>
          <w:kern w:val="0"/>
          <w:sz w:val="21"/>
          <w:szCs w:val="21"/>
          <w:highlight w:val="none"/>
        </w:rPr>
        <w:t xml:space="preserve">  邮编：</w:t>
      </w:r>
    </w:p>
    <w:p w14:paraId="26D7957C">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 xml:space="preserve">电  话：           </w:t>
      </w:r>
      <w:r>
        <w:rPr>
          <w:rFonts w:hint="eastAsia" w:ascii="Times New Roman" w:hAnsi="Times New Roman"/>
          <w:snapToGrid w:val="0"/>
          <w:color w:val="auto"/>
          <w:kern w:val="0"/>
          <w:sz w:val="21"/>
          <w:szCs w:val="21"/>
          <w:highlight w:val="none"/>
        </w:rPr>
        <w:t xml:space="preserve">                    </w:t>
      </w:r>
      <w:r>
        <w:rPr>
          <w:rFonts w:ascii="Times New Roman" w:hAnsi="Times New Roman"/>
          <w:snapToGrid w:val="0"/>
          <w:color w:val="auto"/>
          <w:kern w:val="0"/>
          <w:sz w:val="21"/>
          <w:szCs w:val="21"/>
          <w:highlight w:val="none"/>
        </w:rPr>
        <w:t xml:space="preserve">     传真：</w:t>
      </w:r>
    </w:p>
    <w:p w14:paraId="1FBDCC5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 xml:space="preserve">     年    月    日</w:t>
      </w:r>
    </w:p>
    <w:p w14:paraId="51E440F1">
      <w:pPr>
        <w:spacing w:line="360" w:lineRule="auto"/>
        <w:rPr>
          <w:rFonts w:ascii="Times New Roman" w:hAnsi="Times New Roman"/>
          <w:b/>
          <w:bCs/>
          <w:snapToGrid w:val="0"/>
          <w:color w:val="auto"/>
          <w:kern w:val="0"/>
          <w:sz w:val="21"/>
          <w:szCs w:val="21"/>
          <w:highlight w:val="none"/>
        </w:rPr>
      </w:pPr>
      <w:r>
        <w:rPr>
          <w:rFonts w:ascii="Times New Roman" w:hAnsi="Times New Roman"/>
          <w:snapToGrid w:val="0"/>
          <w:color w:val="auto"/>
          <w:kern w:val="0"/>
          <w:szCs w:val="21"/>
          <w:highlight w:val="none"/>
        </w:rPr>
        <w:br w:type="page"/>
      </w:r>
      <w:r>
        <w:rPr>
          <w:rFonts w:ascii="Times New Roman" w:hAnsi="Times New Roman"/>
          <w:b/>
          <w:bCs/>
          <w:snapToGrid w:val="0"/>
          <w:color w:val="auto"/>
          <w:kern w:val="0"/>
          <w:sz w:val="21"/>
          <w:szCs w:val="21"/>
          <w:highlight w:val="none"/>
        </w:rPr>
        <w:t>附件11：现场施工环境综合整治及扬尘污染治理承诺书</w:t>
      </w:r>
      <w:bookmarkEnd w:id="778"/>
      <w:bookmarkEnd w:id="779"/>
      <w:bookmarkEnd w:id="780"/>
      <w:bookmarkEnd w:id="781"/>
      <w:bookmarkEnd w:id="782"/>
      <w:bookmarkEnd w:id="784"/>
      <w:bookmarkEnd w:id="785"/>
    </w:p>
    <w:p w14:paraId="4D1EA498">
      <w:pPr>
        <w:jc w:val="center"/>
        <w:rPr>
          <w:rFonts w:ascii="Times New Roman" w:hAnsi="Times New Roman"/>
          <w:b/>
          <w:bCs/>
          <w:snapToGrid w:val="0"/>
          <w:color w:val="auto"/>
          <w:kern w:val="0"/>
          <w:szCs w:val="21"/>
          <w:highlight w:val="none"/>
        </w:rPr>
      </w:pPr>
      <w:r>
        <w:rPr>
          <w:rFonts w:ascii="Times New Roman" w:hAnsi="Times New Roman"/>
          <w:b/>
          <w:bCs/>
          <w:snapToGrid w:val="0"/>
          <w:color w:val="auto"/>
          <w:kern w:val="0"/>
          <w:szCs w:val="21"/>
          <w:highlight w:val="none"/>
        </w:rPr>
        <w:t>现场施工环境综合整治及扬尘污染治理承诺书</w:t>
      </w:r>
    </w:p>
    <w:p w14:paraId="6CE18C3A">
      <w:pPr>
        <w:rPr>
          <w:color w:val="auto"/>
          <w:highlight w:val="none"/>
        </w:rPr>
      </w:pPr>
    </w:p>
    <w:p w14:paraId="534E2DD1">
      <w:pPr>
        <w:spacing w:line="360" w:lineRule="auto"/>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致：</w:t>
      </w:r>
      <w:r>
        <w:rPr>
          <w:rFonts w:ascii="Times New Roman" w:hAnsi="Times New Roman"/>
          <w:snapToGrid w:val="0"/>
          <w:color w:val="auto"/>
          <w:kern w:val="0"/>
          <w:sz w:val="21"/>
          <w:szCs w:val="21"/>
          <w:highlight w:val="none"/>
          <w:u w:val="single"/>
        </w:rPr>
        <w:t xml:space="preserve">                                     </w:t>
      </w:r>
    </w:p>
    <w:p w14:paraId="39ABA28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我公司对本项目就施工现场环境卫生综合整治及扬尘污染治理工作郑重做出以下承诺：</w:t>
      </w:r>
    </w:p>
    <w:p w14:paraId="08D1239E">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一、我公司自进场施工之日起，将在施工现场积极开展以</w:t>
      </w:r>
      <w:r>
        <w:rPr>
          <w:rFonts w:hint="eastAsia" w:ascii="Times New Roman" w:hAnsi="Times New Roman"/>
          <w:snapToGrid w:val="0"/>
          <w:color w:val="auto"/>
          <w:kern w:val="0"/>
          <w:sz w:val="21"/>
          <w:szCs w:val="21"/>
          <w:highlight w:val="none"/>
        </w:rPr>
        <w:t>“</w:t>
      </w:r>
      <w:r>
        <w:rPr>
          <w:rFonts w:ascii="Times New Roman" w:hAnsi="Times New Roman"/>
          <w:snapToGrid w:val="0"/>
          <w:color w:val="auto"/>
          <w:kern w:val="0"/>
          <w:sz w:val="21"/>
          <w:szCs w:val="21"/>
          <w:highlight w:val="none"/>
        </w:rPr>
        <w:t>整顿、整理、清扫、清洁和素养</w:t>
      </w:r>
      <w:r>
        <w:rPr>
          <w:rFonts w:hint="eastAsia" w:ascii="Times New Roman" w:hAnsi="Times New Roman"/>
          <w:snapToGrid w:val="0"/>
          <w:color w:val="auto"/>
          <w:kern w:val="0"/>
          <w:sz w:val="21"/>
          <w:szCs w:val="21"/>
          <w:highlight w:val="none"/>
        </w:rPr>
        <w:t>”</w:t>
      </w:r>
      <w:r>
        <w:rPr>
          <w:rFonts w:ascii="Times New Roman" w:hAnsi="Times New Roman"/>
          <w:snapToGrid w:val="0"/>
          <w:color w:val="auto"/>
          <w:kern w:val="0"/>
          <w:sz w:val="21"/>
          <w:szCs w:val="21"/>
          <w:highlight w:val="none"/>
        </w:rPr>
        <w:t>为主题的</w:t>
      </w:r>
      <w:r>
        <w:rPr>
          <w:rFonts w:hint="eastAsia" w:ascii="Times New Roman" w:hAnsi="Times New Roman"/>
          <w:snapToGrid w:val="0"/>
          <w:color w:val="auto"/>
          <w:kern w:val="0"/>
          <w:sz w:val="21"/>
          <w:szCs w:val="21"/>
          <w:highlight w:val="none"/>
        </w:rPr>
        <w:t>“</w:t>
      </w:r>
      <w:r>
        <w:rPr>
          <w:rFonts w:ascii="Times New Roman" w:hAnsi="Times New Roman"/>
          <w:snapToGrid w:val="0"/>
          <w:color w:val="auto"/>
          <w:kern w:val="0"/>
          <w:sz w:val="21"/>
          <w:szCs w:val="21"/>
          <w:highlight w:val="none"/>
        </w:rPr>
        <w:t>5S</w:t>
      </w:r>
      <w:r>
        <w:rPr>
          <w:rFonts w:hint="eastAsia" w:ascii="Times New Roman" w:hAnsi="Times New Roman"/>
          <w:snapToGrid w:val="0"/>
          <w:color w:val="auto"/>
          <w:kern w:val="0"/>
          <w:sz w:val="21"/>
          <w:szCs w:val="21"/>
          <w:highlight w:val="none"/>
        </w:rPr>
        <w:t>”</w:t>
      </w:r>
      <w:r>
        <w:rPr>
          <w:rFonts w:ascii="Times New Roman" w:hAnsi="Times New Roman"/>
          <w:snapToGrid w:val="0"/>
          <w:color w:val="auto"/>
          <w:kern w:val="0"/>
          <w:sz w:val="21"/>
          <w:szCs w:val="21"/>
          <w:highlight w:val="none"/>
        </w:rPr>
        <w:t>活动；积极行动，组织有关人员对施工场地、通行道路及责任区的环境卫生、扬尘污染进行综合整治，完善和加强各项清洁、保洁及扬尘污染治理措施，落实责任人，建立相关管理制度。</w:t>
      </w:r>
    </w:p>
    <w:p w14:paraId="0959DE2C">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二、对施工场地的大门、临时围墙等进行清洁、加固并采取相应的美化措施，做到整洁美观。按照建筑工地门前及责任区</w:t>
      </w:r>
      <w:r>
        <w:rPr>
          <w:rFonts w:hint="eastAsia" w:ascii="Times New Roman" w:hAnsi="Times New Roman"/>
          <w:snapToGrid w:val="0"/>
          <w:color w:val="auto"/>
          <w:kern w:val="0"/>
          <w:sz w:val="21"/>
          <w:szCs w:val="21"/>
          <w:highlight w:val="none"/>
        </w:rPr>
        <w:t>“</w:t>
      </w:r>
      <w:r>
        <w:rPr>
          <w:rFonts w:ascii="Times New Roman" w:hAnsi="Times New Roman"/>
          <w:snapToGrid w:val="0"/>
          <w:color w:val="auto"/>
          <w:kern w:val="0"/>
          <w:sz w:val="21"/>
          <w:szCs w:val="21"/>
          <w:highlight w:val="none"/>
        </w:rPr>
        <w:t>三保</w:t>
      </w:r>
      <w:r>
        <w:rPr>
          <w:rFonts w:hint="eastAsia" w:ascii="Times New Roman" w:hAnsi="Times New Roman"/>
          <w:snapToGrid w:val="0"/>
          <w:color w:val="auto"/>
          <w:kern w:val="0"/>
          <w:sz w:val="21"/>
          <w:szCs w:val="21"/>
          <w:highlight w:val="none"/>
        </w:rPr>
        <w:t>”</w:t>
      </w:r>
      <w:r>
        <w:rPr>
          <w:rFonts w:ascii="Times New Roman" w:hAnsi="Times New Roman"/>
          <w:snapToGrid w:val="0"/>
          <w:color w:val="auto"/>
          <w:kern w:val="0"/>
          <w:sz w:val="21"/>
          <w:szCs w:val="21"/>
          <w:highlight w:val="none"/>
        </w:rPr>
        <w:t>的要求，清扫和保持工地现场、道路及责任区卫生。硬化工地出入口道路，建立并完善车辆冲洗设施。</w:t>
      </w:r>
    </w:p>
    <w:p w14:paraId="50BA547F">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三、全面及时清理工地内的建筑垃圾和废弃物；合理、整齐的摆放各类建筑材料和工程设备；确保排水系统畅通，杜绝场内积水和废水横流的现象发生。</w:t>
      </w:r>
    </w:p>
    <w:p w14:paraId="5D929CCE">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四、加强各类车辆管理，车辆驶出工地及责任区前对车轮、车厢侧帮进行清扫冲洗除尘，严密封闭拉运渣土的车辆，各类运输车辆场内行驶速度不得超过每小时20公里。</w:t>
      </w:r>
    </w:p>
    <w:p w14:paraId="7C59077B">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五、对产生扬尘污染的渣土、煤堆、沙堆、灰土、粉煤灰等易飞颗粒物料，我们将用高效防尘网进行覆盖并安排专人看管，严格控制施工过程中土、灰等的飞扬。</w:t>
      </w:r>
    </w:p>
    <w:p w14:paraId="53802CA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六、对行车行人道路、施工现场及责任区等进行定时清扫、洒水，清除地面浮土避免二次扬尘。</w:t>
      </w:r>
    </w:p>
    <w:p w14:paraId="399A5FD5">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七、我们将对施工现场环境整治和扬尘污染治理工作常抓不懈；自觉接受贵方及贵方委托的监理单位的检查管理，对查出的问题及时进行整改。经贵方及监理单位指正未及时进行有效整改，我们愿意每次支付1000元/次的违约金，并按贵方要求承担其它违约责任。</w:t>
      </w:r>
    </w:p>
    <w:p w14:paraId="0E8EE722">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八、在施工过程中我们若被质监站、规划局、防治扬尘污染联合检查办公室等相关部门点名批评、通报时，除接受相关部门的处理（包括罚款）外，愿意每次支付</w:t>
      </w:r>
      <w:r>
        <w:rPr>
          <w:rFonts w:hint="eastAsia" w:ascii="Times New Roman" w:hAnsi="Times New Roman"/>
          <w:snapToGrid w:val="0"/>
          <w:color w:val="auto"/>
          <w:kern w:val="0"/>
          <w:sz w:val="21"/>
          <w:szCs w:val="21"/>
          <w:highlight w:val="none"/>
        </w:rPr>
        <w:t>5万</w:t>
      </w:r>
      <w:r>
        <w:rPr>
          <w:rFonts w:ascii="Times New Roman" w:hAnsi="Times New Roman"/>
          <w:snapToGrid w:val="0"/>
          <w:color w:val="auto"/>
          <w:kern w:val="0"/>
          <w:sz w:val="21"/>
          <w:szCs w:val="21"/>
          <w:highlight w:val="none"/>
        </w:rPr>
        <w:t>元/次的违约金，违约金不足以弥补贵方损失的，我方承担剩余损失赔偿责任，并按贵方要求承担其它违约责任。</w:t>
      </w:r>
    </w:p>
    <w:p w14:paraId="3C89C987">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特此承诺</w:t>
      </w:r>
    </w:p>
    <w:p w14:paraId="676A58E1">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承包人：                                            （盖章）</w:t>
      </w:r>
    </w:p>
    <w:p w14:paraId="14CCE12F">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法定代表人或</w:t>
      </w:r>
    </w:p>
    <w:p w14:paraId="21B58BF7">
      <w:pPr>
        <w:spacing w:line="360" w:lineRule="auto"/>
        <w:ind w:firstLine="420" w:firstLineChars="200"/>
        <w:rPr>
          <w:rFonts w:ascii="Times New Roman" w:hAnsi="Times New Roman"/>
          <w:snapToGrid w:val="0"/>
          <w:color w:val="auto"/>
          <w:kern w:val="0"/>
          <w:sz w:val="21"/>
          <w:szCs w:val="21"/>
          <w:highlight w:val="none"/>
        </w:rPr>
      </w:pPr>
      <w:r>
        <w:rPr>
          <w:rFonts w:ascii="Times New Roman" w:hAnsi="Times New Roman"/>
          <w:snapToGrid w:val="0"/>
          <w:color w:val="auto"/>
          <w:kern w:val="0"/>
          <w:sz w:val="21"/>
          <w:szCs w:val="21"/>
          <w:highlight w:val="none"/>
        </w:rPr>
        <w:t>其委托代理人：____________________________________（签字）</w:t>
      </w:r>
    </w:p>
    <w:p w14:paraId="4512040C">
      <w:pPr>
        <w:spacing w:line="500" w:lineRule="exact"/>
        <w:rPr>
          <w:rFonts w:ascii="Times New Roman" w:hAnsi="Times New Roman"/>
          <w:snapToGrid w:val="0"/>
          <w:color w:val="auto"/>
          <w:kern w:val="0"/>
          <w:szCs w:val="21"/>
          <w:highlight w:val="none"/>
        </w:rPr>
      </w:pPr>
      <w:r>
        <w:rPr>
          <w:rFonts w:ascii="Times New Roman" w:hAnsi="Times New Roman"/>
          <w:snapToGrid w:val="0"/>
          <w:color w:val="auto"/>
          <w:kern w:val="0"/>
          <w:sz w:val="21"/>
          <w:szCs w:val="21"/>
          <w:highlight w:val="none"/>
        </w:rPr>
        <w:t>______年______月______日</w:t>
      </w:r>
    </w:p>
    <w:p w14:paraId="4B191933">
      <w:pPr>
        <w:spacing w:line="500" w:lineRule="exact"/>
        <w:rPr>
          <w:rFonts w:ascii="Times New Roman" w:hAnsi="Times New Roman"/>
          <w:b/>
          <w:bCs/>
          <w:snapToGrid w:val="0"/>
          <w:color w:val="auto"/>
          <w:kern w:val="0"/>
          <w:szCs w:val="21"/>
          <w:highlight w:val="none"/>
        </w:rPr>
      </w:pPr>
      <w:r>
        <w:rPr>
          <w:rFonts w:hint="eastAsia" w:ascii="Times New Roman" w:hAnsi="Times New Roman"/>
          <w:b/>
          <w:bCs/>
          <w:color w:val="auto"/>
          <w:sz w:val="21"/>
          <w:szCs w:val="21"/>
          <w:highlight w:val="none"/>
        </w:rPr>
        <w:t>附件12：分包专业工程一览表</w:t>
      </w:r>
    </w:p>
    <w:p w14:paraId="3B03C8D9">
      <w:pPr>
        <w:numPr>
          <w:ilvl w:val="0"/>
          <w:numId w:val="0"/>
        </w:numPr>
        <w:spacing w:before="138" w:line="224" w:lineRule="auto"/>
        <w:outlineLvl w:val="2"/>
        <w:rPr>
          <w:rFonts w:hint="eastAsia"/>
          <w:highlight w:val="none"/>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1"/>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4016"/>
  <w:p w14:paraId="2472435D">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4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304800"/>
                      </a:xfrm>
                      <a:prstGeom prst="rect">
                        <a:avLst/>
                      </a:prstGeom>
                      <a:noFill/>
                      <a:ln>
                        <a:noFill/>
                      </a:ln>
                    </wps:spPr>
                    <wps:txbx>
                      <w:txbxContent>
                        <w:p w14:paraId="68BAFE53">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4pt;width:9.05pt;mso-position-horizontal:center;mso-position-horizontal-relative:margin;mso-wrap-style:none;z-index:251659264;mso-width-relative:page;mso-height-relative:page;" filled="f" stroked="f" coordsize="21600,21600" o:gfxdata="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8vaZo0AAAAAMBAAAPAAAAAAAAAAEAIAAAACIAAABkcnMvZG93&#10;bnJldi54bWxQSwECFAAUAAAACACHTuJARd6Ayc8BAACXAwAADgAAAAAAAAABACAAAAAfAQAAZHJz&#10;L2Uyb0RvYy54bWxQSwUGAAAAAAYABgBZAQAAYAUAAAAA&#10;">
              <v:fill on="f" focussize="0,0"/>
              <v:stroke on="f"/>
              <v:imagedata o:title=""/>
              <o:lock v:ext="edit" aspectratio="f"/>
              <v:textbox inset="0mm,0mm,0mm,0mm" style="mso-fit-shape-to-text:t;">
                <w:txbxContent>
                  <w:p w14:paraId="68BAFE53">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2E8DA">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304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304800"/>
                      </a:xfrm>
                      <a:prstGeom prst="rect">
                        <a:avLst/>
                      </a:prstGeom>
                      <a:noFill/>
                      <a:ln>
                        <a:noFill/>
                      </a:ln>
                    </wps:spPr>
                    <wps:txbx>
                      <w:txbxContent>
                        <w:p w14:paraId="25372290">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4pt;width:9.05pt;mso-position-horizontal:center;mso-position-horizontal-relative:margin;mso-wrap-style:none;z-index:251660288;mso-width-relative:page;mso-height-relative:page;" filled="f" stroked="f" coordsize="21600,21600" o:gfxdata="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y9pmjQAAAAAwEAAA8AAAAAAAAAAQAgAAAAIgAAAGRycy9kb3du&#10;cmV2LnhtbFBLAQIUABQAAAAIAIdO4kCozR/IzgEAAJcDAAAOAAAAAAAAAAEAIAAAAB8BAABkcnMv&#10;ZTJvRG9jLnhtbFBLBQYAAAAABgAGAFkBAABfBQAAAAA=&#10;">
              <v:fill on="f" focussize="0,0"/>
              <v:stroke on="f"/>
              <v:imagedata o:title=""/>
              <o:lock v:ext="edit" aspectratio="f"/>
              <v:textbox inset="0mm,0mm,0mm,0mm" style="mso-fit-shape-to-text:t;">
                <w:txbxContent>
                  <w:p w14:paraId="25372290">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B563F"/>
  <w:p w14:paraId="42F849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4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304800"/>
                      </a:xfrm>
                      <a:prstGeom prst="rect">
                        <a:avLst/>
                      </a:prstGeom>
                      <a:noFill/>
                      <a:ln>
                        <a:noFill/>
                      </a:ln>
                    </wps:spPr>
                    <wps:txbx>
                      <w:txbxContent>
                        <w:p w14:paraId="44990481">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4pt;width:9.05pt;mso-position-horizontal:center;mso-position-horizontal-relative:margin;mso-wrap-style:none;z-index:251659264;mso-width-relative:page;mso-height-relative:page;" filled="f" stroked="f" coordsize="21600,21600" o:gfxdata="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8vaZo0AAAAAMBAAAPAAAAAAAAAAEAIAAAACIAAABkcnMvZG93&#10;bnJldi54bWxQSwECFAAUAAAACACHTuJAk9T3JM8BAACXAwAADgAAAAAAAAABACAAAAAfAQAAZHJz&#10;L2Uyb0RvYy54bWxQSwUGAAAAAAYABgBZAQAAYAUAAAAA&#10;">
              <v:fill on="f" focussize="0,0"/>
              <v:stroke on="f"/>
              <v:imagedata o:title=""/>
              <o:lock v:ext="edit" aspectratio="f"/>
              <v:textbox inset="0mm,0mm,0mm,0mm" style="mso-fit-shape-to-text:t;">
                <w:txbxContent>
                  <w:p w14:paraId="44990481">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3A18">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C17A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6319B"/>
    <w:multiLevelType w:val="singleLevel"/>
    <w:tmpl w:val="8146319B"/>
    <w:lvl w:ilvl="0" w:tentative="0">
      <w:start w:val="4"/>
      <w:numFmt w:val="decimal"/>
      <w:suff w:val="nothing"/>
      <w:lvlText w:val="（%1）"/>
      <w:lvlJc w:val="left"/>
    </w:lvl>
  </w:abstractNum>
  <w:abstractNum w:abstractNumId="1">
    <w:nsid w:val="9CAE38FE"/>
    <w:multiLevelType w:val="singleLevel"/>
    <w:tmpl w:val="9CAE38FE"/>
    <w:lvl w:ilvl="0" w:tentative="0">
      <w:start w:val="2"/>
      <w:numFmt w:val="decimal"/>
      <w:suff w:val="nothing"/>
      <w:lvlText w:val="（%1）"/>
      <w:lvlJc w:val="left"/>
      <w:pPr>
        <w:ind w:left="-1"/>
      </w:pPr>
    </w:lvl>
  </w:abstractNum>
  <w:abstractNum w:abstractNumId="2">
    <w:nsid w:val="F4B3A4E6"/>
    <w:multiLevelType w:val="singleLevel"/>
    <w:tmpl w:val="F4B3A4E6"/>
    <w:lvl w:ilvl="0" w:tentative="0">
      <w:start w:val="6"/>
      <w:numFmt w:val="chineseCounting"/>
      <w:suff w:val="nothing"/>
      <w:lvlText w:val="%1、"/>
      <w:lvlJc w:val="left"/>
      <w:rPr>
        <w:rFonts w:hint="eastAsia"/>
      </w:rPr>
    </w:lvl>
  </w:abstractNum>
  <w:abstractNum w:abstractNumId="3">
    <w:nsid w:val="00D45021"/>
    <w:multiLevelType w:val="singleLevel"/>
    <w:tmpl w:val="00D45021"/>
    <w:lvl w:ilvl="0" w:tentative="0">
      <w:start w:val="7"/>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YmM4ZDQ3NmU1ZTQwYTc1ZTQ2OTk5ODQzMTVmOTUifQ=="/>
  </w:docVars>
  <w:rsids>
    <w:rsidRoot w:val="00000000"/>
    <w:rsid w:val="00775092"/>
    <w:rsid w:val="007D6A53"/>
    <w:rsid w:val="00C603FA"/>
    <w:rsid w:val="00EE2F57"/>
    <w:rsid w:val="01DC10F7"/>
    <w:rsid w:val="022E269E"/>
    <w:rsid w:val="02753E85"/>
    <w:rsid w:val="03CA6453"/>
    <w:rsid w:val="04D23811"/>
    <w:rsid w:val="06A04C65"/>
    <w:rsid w:val="07D50775"/>
    <w:rsid w:val="085D2543"/>
    <w:rsid w:val="08F301FA"/>
    <w:rsid w:val="0A222B45"/>
    <w:rsid w:val="0A5F22FA"/>
    <w:rsid w:val="0AFC55D9"/>
    <w:rsid w:val="0B1C0C77"/>
    <w:rsid w:val="0BA74BDD"/>
    <w:rsid w:val="0BE7776B"/>
    <w:rsid w:val="0C2956DB"/>
    <w:rsid w:val="0D1D5392"/>
    <w:rsid w:val="0E8A0CB9"/>
    <w:rsid w:val="0ED168E7"/>
    <w:rsid w:val="0FD61CDB"/>
    <w:rsid w:val="10EF12A7"/>
    <w:rsid w:val="11A025A1"/>
    <w:rsid w:val="11EE5A02"/>
    <w:rsid w:val="12374CB3"/>
    <w:rsid w:val="1298794C"/>
    <w:rsid w:val="1326458A"/>
    <w:rsid w:val="139E4A43"/>
    <w:rsid w:val="13A03EF5"/>
    <w:rsid w:val="13A91BE1"/>
    <w:rsid w:val="1690403D"/>
    <w:rsid w:val="16BD4245"/>
    <w:rsid w:val="17326B23"/>
    <w:rsid w:val="17A27073"/>
    <w:rsid w:val="18371EB1"/>
    <w:rsid w:val="19340287"/>
    <w:rsid w:val="198C1D89"/>
    <w:rsid w:val="1A002777"/>
    <w:rsid w:val="1A077F1A"/>
    <w:rsid w:val="1A0E5A2C"/>
    <w:rsid w:val="1A2B5D5F"/>
    <w:rsid w:val="1A8D5661"/>
    <w:rsid w:val="1B666609"/>
    <w:rsid w:val="1CED66E7"/>
    <w:rsid w:val="1CFD4D4B"/>
    <w:rsid w:val="1DC046F7"/>
    <w:rsid w:val="1FBB6AA6"/>
    <w:rsid w:val="20514D5B"/>
    <w:rsid w:val="213C1752"/>
    <w:rsid w:val="21DD2FE6"/>
    <w:rsid w:val="220964A4"/>
    <w:rsid w:val="22BA1169"/>
    <w:rsid w:val="22FA4207"/>
    <w:rsid w:val="23CA0463"/>
    <w:rsid w:val="24AC4A8D"/>
    <w:rsid w:val="252437BD"/>
    <w:rsid w:val="264B6E49"/>
    <w:rsid w:val="26A115D6"/>
    <w:rsid w:val="26FC195E"/>
    <w:rsid w:val="274C2085"/>
    <w:rsid w:val="27AE3812"/>
    <w:rsid w:val="28292197"/>
    <w:rsid w:val="285F68BA"/>
    <w:rsid w:val="28BC5ABB"/>
    <w:rsid w:val="28F416F8"/>
    <w:rsid w:val="292E73B7"/>
    <w:rsid w:val="29CB590F"/>
    <w:rsid w:val="29D01473"/>
    <w:rsid w:val="2ACD0453"/>
    <w:rsid w:val="2B305FE6"/>
    <w:rsid w:val="2BA32F62"/>
    <w:rsid w:val="2C195441"/>
    <w:rsid w:val="2C800AFF"/>
    <w:rsid w:val="2DF75720"/>
    <w:rsid w:val="2E6703FE"/>
    <w:rsid w:val="2E6C0D55"/>
    <w:rsid w:val="2F3A1B4C"/>
    <w:rsid w:val="304E099E"/>
    <w:rsid w:val="33C46C09"/>
    <w:rsid w:val="346A0AC1"/>
    <w:rsid w:val="34801125"/>
    <w:rsid w:val="353A0493"/>
    <w:rsid w:val="353F71F4"/>
    <w:rsid w:val="365064F4"/>
    <w:rsid w:val="39946E50"/>
    <w:rsid w:val="39E22DD1"/>
    <w:rsid w:val="3A667F7C"/>
    <w:rsid w:val="3C062418"/>
    <w:rsid w:val="3CBF2DBA"/>
    <w:rsid w:val="3CF67395"/>
    <w:rsid w:val="3DE73182"/>
    <w:rsid w:val="3F220BE8"/>
    <w:rsid w:val="3F555F40"/>
    <w:rsid w:val="3F984734"/>
    <w:rsid w:val="3FF41212"/>
    <w:rsid w:val="40503261"/>
    <w:rsid w:val="40644767"/>
    <w:rsid w:val="41CD6CF7"/>
    <w:rsid w:val="41E06866"/>
    <w:rsid w:val="42321EFA"/>
    <w:rsid w:val="43AD0B79"/>
    <w:rsid w:val="44187FD3"/>
    <w:rsid w:val="4691012F"/>
    <w:rsid w:val="46A95479"/>
    <w:rsid w:val="491E2A22"/>
    <w:rsid w:val="4952599B"/>
    <w:rsid w:val="49995FA2"/>
    <w:rsid w:val="4CDC382B"/>
    <w:rsid w:val="4E204980"/>
    <w:rsid w:val="4E8D2461"/>
    <w:rsid w:val="4F6D136B"/>
    <w:rsid w:val="503D1ADA"/>
    <w:rsid w:val="51502C40"/>
    <w:rsid w:val="51E43ECB"/>
    <w:rsid w:val="52367AD9"/>
    <w:rsid w:val="527A572D"/>
    <w:rsid w:val="528254FE"/>
    <w:rsid w:val="53206AC2"/>
    <w:rsid w:val="53636588"/>
    <w:rsid w:val="537137C2"/>
    <w:rsid w:val="54337860"/>
    <w:rsid w:val="543F527C"/>
    <w:rsid w:val="547D6A4F"/>
    <w:rsid w:val="54ED7B5C"/>
    <w:rsid w:val="54F1040F"/>
    <w:rsid w:val="562F7AA7"/>
    <w:rsid w:val="568D1D72"/>
    <w:rsid w:val="569A68FB"/>
    <w:rsid w:val="56FF2D86"/>
    <w:rsid w:val="57802226"/>
    <w:rsid w:val="578D3555"/>
    <w:rsid w:val="58D31010"/>
    <w:rsid w:val="5A196CA5"/>
    <w:rsid w:val="5AC24903"/>
    <w:rsid w:val="5AFA409D"/>
    <w:rsid w:val="5BE07737"/>
    <w:rsid w:val="5C8021B4"/>
    <w:rsid w:val="5C9A1A6A"/>
    <w:rsid w:val="5CAD4DC9"/>
    <w:rsid w:val="5D2323CF"/>
    <w:rsid w:val="5D6B0E19"/>
    <w:rsid w:val="5FE8367E"/>
    <w:rsid w:val="5FF74AC9"/>
    <w:rsid w:val="607A33C1"/>
    <w:rsid w:val="608C2C7D"/>
    <w:rsid w:val="61AD0E18"/>
    <w:rsid w:val="61E15FB7"/>
    <w:rsid w:val="6433190D"/>
    <w:rsid w:val="643416FF"/>
    <w:rsid w:val="64511759"/>
    <w:rsid w:val="64A70DF2"/>
    <w:rsid w:val="6512348D"/>
    <w:rsid w:val="664F63B4"/>
    <w:rsid w:val="670A2121"/>
    <w:rsid w:val="67FA7EE3"/>
    <w:rsid w:val="6852376A"/>
    <w:rsid w:val="6AA264DC"/>
    <w:rsid w:val="6B2313EE"/>
    <w:rsid w:val="6D1948A3"/>
    <w:rsid w:val="6D273A8A"/>
    <w:rsid w:val="6D721EED"/>
    <w:rsid w:val="6DD738CA"/>
    <w:rsid w:val="6EBF17FE"/>
    <w:rsid w:val="6EF300F7"/>
    <w:rsid w:val="72AE7D4E"/>
    <w:rsid w:val="74032D39"/>
    <w:rsid w:val="74487D2A"/>
    <w:rsid w:val="74750768"/>
    <w:rsid w:val="74786307"/>
    <w:rsid w:val="74B3579F"/>
    <w:rsid w:val="75DF4163"/>
    <w:rsid w:val="77593758"/>
    <w:rsid w:val="77F008AA"/>
    <w:rsid w:val="78A551F0"/>
    <w:rsid w:val="79A47B9E"/>
    <w:rsid w:val="7A2111EE"/>
    <w:rsid w:val="7CB72434"/>
    <w:rsid w:val="7D441CBC"/>
    <w:rsid w:val="7E0D3F64"/>
    <w:rsid w:val="7E13782B"/>
    <w:rsid w:val="7E5B3D9A"/>
    <w:rsid w:val="7FAF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5"/>
    <w:qFormat/>
    <w:uiPriority w:val="0"/>
    <w:pPr>
      <w:keepNext/>
      <w:keepLines/>
      <w:adjustRightInd w:val="0"/>
      <w:spacing w:line="500" w:lineRule="exact"/>
      <w:jc w:val="center"/>
      <w:outlineLvl w:val="2"/>
    </w:pPr>
    <w:rPr>
      <w:b/>
      <w:bCs/>
      <w:szCs w:val="32"/>
    </w:rPr>
  </w:style>
  <w:style w:type="paragraph" w:styleId="7">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9">
    <w:name w:val="Body Text Indent"/>
    <w:basedOn w:val="1"/>
    <w:next w:val="1"/>
    <w:qFormat/>
    <w:uiPriority w:val="99"/>
    <w:pPr>
      <w:spacing w:after="120"/>
      <w:ind w:left="420" w:leftChars="200"/>
    </w:pPr>
    <w:rPr>
      <w:rFonts w:ascii="Times New Roman" w:hAnsi="Times New Roman"/>
      <w:kern w:val="0"/>
    </w:rPr>
  </w:style>
  <w:style w:type="paragraph" w:styleId="10">
    <w:name w:val="Plain Text"/>
    <w:basedOn w:val="1"/>
    <w:qFormat/>
    <w:uiPriority w:val="0"/>
    <w:rPr>
      <w:rFonts w:ascii="宋体" w:hAnsi="Courier New"/>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2"/>
    <w:qFormat/>
    <w:uiPriority w:val="0"/>
    <w:pPr>
      <w:ind w:firstLine="420" w:firstLineChars="100"/>
    </w:pPr>
    <w:rPr>
      <w:sz w:val="18"/>
      <w:szCs w:val="18"/>
    </w:rPr>
  </w:style>
  <w:style w:type="paragraph" w:styleId="13">
    <w:name w:val="Body Text First Indent 2"/>
    <w:basedOn w:val="9"/>
    <w:unhideWhenUsed/>
    <w:qFormat/>
    <w:uiPriority w:val="99"/>
    <w:pPr>
      <w:ind w:firstLine="420" w:firstLineChars="200"/>
    </w:pPr>
    <w:rPr>
      <w:rFonts w:ascii="宋体" w:hAnsi="宋体"/>
      <w:kern w:val="2"/>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Table Text"/>
    <w:basedOn w:val="1"/>
    <w:semiHidden/>
    <w:qFormat/>
    <w:uiPriority w:val="0"/>
    <w:rPr>
      <w:rFonts w:ascii="宋体" w:hAnsi="宋体" w:eastAsia="宋体" w:cs="宋体"/>
      <w:sz w:val="24"/>
      <w:szCs w:val="24"/>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subcontract-othercontent"/>
    <w:basedOn w:val="15"/>
    <w:autoRedefine/>
    <w:qFormat/>
    <w:uiPriority w:val="0"/>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g7-text"/>
    <w:qFormat/>
    <w:uiPriority w:val="0"/>
  </w:style>
  <w:style w:type="character" w:customStyle="1" w:styleId="23">
    <w:name w:val="apple-converted-space"/>
    <w:qFormat/>
    <w:uiPriority w:val="0"/>
  </w:style>
  <w:style w:type="paragraph" w:customStyle="1" w:styleId="24">
    <w:name w:val="NormalIndent"/>
    <w:basedOn w:val="1"/>
    <w:qFormat/>
    <w:uiPriority w:val="0"/>
    <w:pPr>
      <w:widowControl w:val="0"/>
      <w:ind w:firstLine="420" w:firstLineChars="200"/>
      <w:jc w:val="both"/>
      <w:textAlignment w:val="baseline"/>
    </w:pPr>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160</Pages>
  <Words>15832</Words>
  <Characters>16643</Characters>
  <Lines>0</Lines>
  <Paragraphs>0</Paragraphs>
  <TotalTime>6</TotalTime>
  <ScaleCrop>false</ScaleCrop>
  <LinksUpToDate>false</LinksUpToDate>
  <CharactersWithSpaces>16998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2024-08-28T07:54:00Z</dcterms:created>
  <dc:creator>Administrator</dc:creator>
  <cp:lastModifiedBy>乐乐</cp:lastModifiedBy>
  <dcterms:modified xsi:type="dcterms:W3CDTF">2025-11-05T11:37:02Z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E582B0C4B0AA444EAC65E75764D2D8A5_13</vt:lpwstr>
  </property>
  <property fmtid="{D5CDD505-2E9C-101B-9397-08002B2CF9AE}" pid="4" name="KSOTemplateDocerSaveRecord">
    <vt:lpwstr>eyJoZGlkIjoiNmJhODJlNDRmZTc2ZWYzMmQ0MzhhZTU0MDkyMDcyOWUiLCJ1c2VySWQiOiIyODI4NjAyODQifQ==</vt:lpwstr>
  </property>
</Properties>
</file>