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9F8CC">
      <w:pPr>
        <w:pStyle w:val="23"/>
        <w:rPr>
          <w:highlight w:val="none"/>
        </w:rPr>
      </w:pPr>
      <w:r>
        <w:rPr>
          <w:rFonts w:hint="eastAsia" w:ascii="仿宋_GB2312" w:hAnsi="仿宋_GB2312" w:eastAsia="仿宋_GB2312" w:cs="仿宋_GB2312"/>
          <w:b/>
          <w:highlight w:val="none"/>
          <w:lang w:eastAsia="zh-CN"/>
        </w:rPr>
        <w:t>一</w:t>
      </w:r>
      <w:r>
        <w:rPr>
          <w:rFonts w:ascii="仿宋_GB2312" w:hAnsi="仿宋_GB2312" w:eastAsia="仿宋_GB2312" w:cs="仿宋_GB2312"/>
          <w:b/>
          <w:highlight w:val="none"/>
        </w:rPr>
        <w:t>、服务内容</w:t>
      </w:r>
    </w:p>
    <w:p w14:paraId="0D69716A">
      <w:pPr>
        <w:pStyle w:val="23"/>
        <w:ind w:firstLine="400"/>
        <w:rPr>
          <w:rFonts w:ascii="仿宋_GB2312" w:hAnsi="仿宋_GB2312" w:eastAsia="仿宋_GB2312" w:cs="仿宋_GB2312"/>
          <w:highlight w:val="none"/>
        </w:rPr>
      </w:pPr>
      <w:r>
        <w:rPr>
          <w:rFonts w:hint="eastAsia" w:ascii="仿宋_GB2312" w:hAnsi="仿宋_GB2312" w:eastAsia="仿宋_GB2312" w:cs="仿宋_GB2312"/>
          <w:highlight w:val="none"/>
        </w:rPr>
        <w:t>需要采购内容：循证医学临床顾问知识库2年服务（含医院固定IP及医生个人账号）。</w:t>
      </w:r>
    </w:p>
    <w:p w14:paraId="74EFE081">
      <w:pPr>
        <w:pStyle w:val="23"/>
        <w:ind w:firstLine="400"/>
        <w:rPr>
          <w:rFonts w:ascii="仿宋_GB2312" w:hAnsi="仿宋_GB2312" w:eastAsia="仿宋_GB2312" w:cs="仿宋_GB2312"/>
          <w:highlight w:val="none"/>
        </w:rPr>
      </w:pPr>
      <w:r>
        <w:rPr>
          <w:rFonts w:hint="eastAsia" w:ascii="仿宋_GB2312" w:hAnsi="仿宋_GB2312" w:eastAsia="仿宋_GB2312" w:cs="仿宋_GB2312"/>
          <w:highlight w:val="none"/>
        </w:rPr>
        <w:t>目前国内外医院针对医务人员对临床决策支持知识库的需求，采用通过连接互联网的方式，使用综述类循证医学资源，实施检索所需医学信息，进而让医务人员不断更新拓展自己的知识储备，并且及时查询到更新医学知识。</w:t>
      </w:r>
    </w:p>
    <w:p w14:paraId="021C57DF">
      <w:pPr>
        <w:pStyle w:val="23"/>
        <w:ind w:firstLine="400"/>
        <w:rPr>
          <w:rFonts w:ascii="仿宋_GB2312" w:hAnsi="仿宋_GB2312" w:eastAsia="仿宋_GB2312" w:cs="仿宋_GB2312"/>
          <w:highlight w:val="none"/>
        </w:rPr>
      </w:pPr>
      <w:r>
        <w:rPr>
          <w:rFonts w:hint="eastAsia" w:ascii="仿宋_GB2312" w:hAnsi="仿宋_GB2312" w:eastAsia="仿宋_GB2312" w:cs="仿宋_GB2312"/>
          <w:highlight w:val="none"/>
        </w:rPr>
        <w:t>基于以上现状，我院参考通过购买全球知名循证医学知识数据库，通过互联网方式，以全院IP和个人账号的形式进行访问登录，解决医务人员对综述类临床决策数据库的需求。</w:t>
      </w:r>
    </w:p>
    <w:p w14:paraId="3757C2C4">
      <w:pPr>
        <w:pStyle w:val="23"/>
        <w:ind w:firstLine="400"/>
        <w:rPr>
          <w:highlight w:val="none"/>
        </w:rPr>
      </w:pPr>
      <w:r>
        <w:rPr>
          <w:rFonts w:hint="eastAsia" w:ascii="仿宋_GB2312" w:hAnsi="仿宋_GB2312" w:eastAsia="仿宋_GB2312" w:cs="仿宋_GB2312"/>
          <w:highlight w:val="none"/>
        </w:rPr>
        <w:t>适用范围：全院的临床科室以及医技科室</w:t>
      </w:r>
      <w:r>
        <w:rPr>
          <w:rFonts w:ascii="仿宋_GB2312" w:hAnsi="仿宋_GB2312" w:eastAsia="仿宋_GB2312" w:cs="仿宋_GB2312"/>
          <w:highlight w:val="none"/>
        </w:rPr>
        <w:t>。</w:t>
      </w:r>
    </w:p>
    <w:p w14:paraId="11691E5E">
      <w:pPr>
        <w:pStyle w:val="23"/>
        <w:rPr>
          <w:highlight w:val="none"/>
        </w:rPr>
      </w:pPr>
      <w:r>
        <w:rPr>
          <w:rFonts w:hint="eastAsia" w:ascii="仿宋_GB2312" w:hAnsi="仿宋_GB2312" w:eastAsia="仿宋_GB2312" w:cs="仿宋_GB2312"/>
          <w:b/>
          <w:highlight w:val="none"/>
          <w:lang w:eastAsia="zh-CN"/>
        </w:rPr>
        <w:t>二</w:t>
      </w:r>
      <w:r>
        <w:rPr>
          <w:rFonts w:ascii="仿宋_GB2312" w:hAnsi="仿宋_GB2312" w:eastAsia="仿宋_GB2312" w:cs="仿宋_GB2312"/>
          <w:b/>
          <w:highlight w:val="none"/>
        </w:rPr>
        <w:t>、技术要求</w:t>
      </w:r>
    </w:p>
    <w:p w14:paraId="376ECF3E">
      <w:pPr>
        <w:pStyle w:val="23"/>
        <w:ind w:firstLine="40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完善的循证医学临床顾问知识库，可以通过个人账号的形式访问互联网检索使用。</w:t>
      </w:r>
    </w:p>
    <w:p w14:paraId="12906FB5">
      <w:pPr>
        <w:pStyle w:val="23"/>
        <w:ind w:firstLine="40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循证医学临床顾问知识库，接入方式简便，可通过不同方式在不同地点接入，无需院方单独维知识库。</w:t>
      </w:r>
    </w:p>
    <w:p w14:paraId="53CC48FF">
      <w:pPr>
        <w:pStyle w:val="23"/>
        <w:ind w:firstLine="40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循证医学临床顾问知识库的内容，访问稳定，并且内容及时更新</w:t>
      </w:r>
      <w:r>
        <w:rPr>
          <w:rFonts w:ascii="仿宋_GB2312" w:hAnsi="仿宋_GB2312" w:eastAsia="仿宋_GB2312" w:cs="仿宋_GB2312"/>
          <w:highlight w:val="none"/>
        </w:rPr>
        <w:t>。</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277"/>
        <w:gridCol w:w="6153"/>
      </w:tblGrid>
      <w:tr w14:paraId="728A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0" w:type="pct"/>
            <w:tcBorders>
              <w:top w:val="single" w:color="auto" w:sz="4" w:space="0"/>
              <w:left w:val="single" w:color="auto" w:sz="4" w:space="0"/>
              <w:bottom w:val="single" w:color="auto" w:sz="4" w:space="0"/>
              <w:right w:val="single" w:color="auto" w:sz="4" w:space="0"/>
            </w:tcBorders>
            <w:vAlign w:val="center"/>
          </w:tcPr>
          <w:p w14:paraId="7101DF6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序号</w:t>
            </w:r>
          </w:p>
        </w:tc>
        <w:tc>
          <w:tcPr>
            <w:tcW w:w="749" w:type="pct"/>
            <w:tcBorders>
              <w:top w:val="single" w:color="auto" w:sz="4" w:space="0"/>
              <w:left w:val="single" w:color="auto" w:sz="4" w:space="0"/>
              <w:bottom w:val="single" w:color="auto" w:sz="4" w:space="0"/>
              <w:right w:val="single" w:color="auto" w:sz="4" w:space="0"/>
            </w:tcBorders>
            <w:vAlign w:val="center"/>
          </w:tcPr>
          <w:p w14:paraId="3408D9B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产品采购参数</w:t>
            </w:r>
          </w:p>
        </w:tc>
        <w:tc>
          <w:tcPr>
            <w:tcW w:w="3610" w:type="pct"/>
            <w:tcBorders>
              <w:top w:val="single" w:color="auto" w:sz="4" w:space="0"/>
              <w:left w:val="single" w:color="auto" w:sz="4" w:space="0"/>
              <w:bottom w:val="single" w:color="auto" w:sz="4" w:space="0"/>
              <w:right w:val="single" w:color="auto" w:sz="4" w:space="0"/>
            </w:tcBorders>
            <w:vAlign w:val="center"/>
          </w:tcPr>
          <w:p w14:paraId="12085D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具体内容</w:t>
            </w:r>
          </w:p>
        </w:tc>
      </w:tr>
      <w:tr w14:paraId="5011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0" w:type="pct"/>
            <w:tcBorders>
              <w:top w:val="single" w:color="auto" w:sz="4" w:space="0"/>
              <w:left w:val="single" w:color="auto" w:sz="4" w:space="0"/>
              <w:bottom w:val="single" w:color="auto" w:sz="4" w:space="0"/>
              <w:right w:val="single" w:color="auto" w:sz="4" w:space="0"/>
            </w:tcBorders>
            <w:vAlign w:val="center"/>
          </w:tcPr>
          <w:p w14:paraId="37328D30">
            <w:pPr>
              <w:pStyle w:val="24"/>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749" w:type="pct"/>
            <w:tcBorders>
              <w:top w:val="single" w:color="auto" w:sz="4" w:space="0"/>
              <w:left w:val="single" w:color="auto" w:sz="4" w:space="0"/>
              <w:bottom w:val="single" w:color="auto" w:sz="4" w:space="0"/>
              <w:right w:val="single" w:color="auto" w:sz="4" w:space="0"/>
            </w:tcBorders>
            <w:vAlign w:val="center"/>
          </w:tcPr>
          <w:p w14:paraId="169F9424">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功能方面</w:t>
            </w:r>
          </w:p>
        </w:tc>
        <w:tc>
          <w:tcPr>
            <w:tcW w:w="3610" w:type="pct"/>
            <w:tcBorders>
              <w:top w:val="single" w:color="auto" w:sz="4" w:space="0"/>
              <w:left w:val="single" w:color="auto" w:sz="4" w:space="0"/>
              <w:bottom w:val="single" w:color="auto" w:sz="4" w:space="0"/>
              <w:right w:val="single" w:color="auto" w:sz="4" w:space="0"/>
            </w:tcBorders>
            <w:vAlign w:val="center"/>
          </w:tcPr>
          <w:p w14:paraId="284769AA">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1.1 有人性化的中文操作界面，布局应简洁合理；</w:t>
            </w:r>
          </w:p>
          <w:p w14:paraId="2BD86DE3">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1.2支持检索疾病名称、症状、检验检查、药品商品名和通用名、英文缩略语，支持多关键词查询，支持中英文检索；</w:t>
            </w:r>
          </w:p>
          <w:p w14:paraId="322C1E9B">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1.3支持根据输入的关键词进行自动联想；</w:t>
            </w:r>
          </w:p>
          <w:p w14:paraId="575B5878">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1.4支持对检索结果按照规则进行筛选和重新排序；</w:t>
            </w:r>
          </w:p>
          <w:p w14:paraId="700EBDA4">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1.5支持直接检索与关键词相关的图表；</w:t>
            </w:r>
          </w:p>
          <w:p w14:paraId="500D6C14">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1.6支持图表下载；</w:t>
            </w:r>
          </w:p>
          <w:p w14:paraId="2E3F613A">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1.7支持医务人员提交反馈意见。</w:t>
            </w:r>
          </w:p>
        </w:tc>
      </w:tr>
      <w:tr w14:paraId="3B46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0" w:type="pct"/>
            <w:tcBorders>
              <w:top w:val="single" w:color="auto" w:sz="4" w:space="0"/>
              <w:left w:val="single" w:color="auto" w:sz="4" w:space="0"/>
              <w:bottom w:val="single" w:color="auto" w:sz="4" w:space="0"/>
              <w:right w:val="single" w:color="auto" w:sz="4" w:space="0"/>
            </w:tcBorders>
            <w:vAlign w:val="center"/>
          </w:tcPr>
          <w:p w14:paraId="7A8D24B1">
            <w:pPr>
              <w:pStyle w:val="24"/>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749" w:type="pct"/>
            <w:tcBorders>
              <w:top w:val="single" w:color="auto" w:sz="4" w:space="0"/>
              <w:left w:val="single" w:color="auto" w:sz="4" w:space="0"/>
              <w:bottom w:val="single" w:color="auto" w:sz="4" w:space="0"/>
              <w:right w:val="single" w:color="auto" w:sz="4" w:space="0"/>
            </w:tcBorders>
            <w:vAlign w:val="center"/>
          </w:tcPr>
          <w:p w14:paraId="1A47C18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内容方面</w:t>
            </w:r>
          </w:p>
        </w:tc>
        <w:tc>
          <w:tcPr>
            <w:tcW w:w="3610" w:type="pct"/>
            <w:tcBorders>
              <w:top w:val="single" w:color="auto" w:sz="4" w:space="0"/>
              <w:left w:val="single" w:color="auto" w:sz="4" w:space="0"/>
              <w:bottom w:val="single" w:color="auto" w:sz="4" w:space="0"/>
              <w:right w:val="single" w:color="auto" w:sz="4" w:space="0"/>
            </w:tcBorders>
            <w:vAlign w:val="center"/>
          </w:tcPr>
          <w:p w14:paraId="3EBF030D">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2.1覆盖的临床专科不少于25个</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lang w:val="en-US" w:eastAsia="zh-CN"/>
              </w:rPr>
              <w:t>医院核心科室需求）</w:t>
            </w:r>
            <w:r>
              <w:rPr>
                <w:rFonts w:hint="eastAsia" w:ascii="仿宋_GB2312" w:hAnsi="仿宋_GB2312" w:eastAsia="仿宋_GB2312" w:cs="仿宋_GB2312"/>
                <w:color w:val="000000"/>
                <w:kern w:val="0"/>
                <w:sz w:val="20"/>
                <w:szCs w:val="20"/>
              </w:rPr>
              <w:t>；</w:t>
            </w:r>
          </w:p>
          <w:p w14:paraId="3DDF7223">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lang w:val="en-US" w:eastAsia="zh-CN"/>
              </w:rPr>
              <w:t>2</w:t>
            </w:r>
            <w:r>
              <w:rPr>
                <w:rFonts w:hint="eastAsia" w:ascii="仿宋_GB2312" w:hAnsi="仿宋_GB2312" w:eastAsia="仿宋_GB2312" w:cs="仿宋_GB2312"/>
                <w:color w:val="000000"/>
                <w:kern w:val="0"/>
                <w:sz w:val="20"/>
                <w:szCs w:val="20"/>
              </w:rPr>
              <w:t>临床专题应包含疾病的病因、发病机制、诊断、治疗、预后、预防等方面；</w:t>
            </w:r>
          </w:p>
          <w:p w14:paraId="1E26AC45">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专题应提供简明扼要的提纲，便于快速定位至相关章节；</w:t>
            </w:r>
          </w:p>
          <w:p w14:paraId="6260468E">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临床专题应以医学为基础，并提供基于医学原则的诊疗推荐意见；</w:t>
            </w:r>
          </w:p>
          <w:p w14:paraId="35EF96F4">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2.6</w:t>
            </w:r>
            <w:r>
              <w:rPr>
                <w:rFonts w:hint="eastAsia" w:ascii="仿宋_GB2312" w:hAnsi="仿宋_GB2312" w:eastAsia="仿宋_GB2312" w:cs="仿宋_GB2312"/>
                <w:color w:val="000000"/>
                <w:kern w:val="0"/>
                <w:sz w:val="20"/>
                <w:szCs w:val="20"/>
                <w:lang w:val="en-US" w:eastAsia="zh-CN"/>
              </w:rPr>
              <w:t>要有</w:t>
            </w:r>
            <w:r>
              <w:rPr>
                <w:rFonts w:hint="eastAsia" w:ascii="仿宋_GB2312" w:hAnsi="仿宋_GB2312" w:eastAsia="仿宋_GB2312" w:cs="仿宋_GB2312"/>
                <w:color w:val="000000"/>
                <w:kern w:val="0"/>
                <w:sz w:val="20"/>
                <w:szCs w:val="20"/>
              </w:rPr>
              <w:t>图片、诊断流程图、影像、视频；</w:t>
            </w:r>
          </w:p>
          <w:p w14:paraId="594293A9">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2.7应提供医学计算器；</w:t>
            </w:r>
          </w:p>
          <w:p w14:paraId="2E837918">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2.8应提供药物信息参考，英文药物信息参考不少于2000篇，中文药物信息参考不少于1000篇；</w:t>
            </w:r>
          </w:p>
          <w:p w14:paraId="7684A408">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2.9应提供药物相互作用工具，提供风险评级、总结、严重程度等信息；</w:t>
            </w:r>
          </w:p>
          <w:p w14:paraId="77C2A84E">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2.10应包含用简单平实语言撰写的患者教育内容，便于专业人员与患者进行有效沟通；</w:t>
            </w:r>
          </w:p>
        </w:tc>
      </w:tr>
      <w:tr w14:paraId="2225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0" w:type="pct"/>
            <w:tcBorders>
              <w:top w:val="single" w:color="auto" w:sz="4" w:space="0"/>
              <w:left w:val="single" w:color="auto" w:sz="4" w:space="0"/>
              <w:bottom w:val="single" w:color="auto" w:sz="4" w:space="0"/>
              <w:right w:val="single" w:color="auto" w:sz="4" w:space="0"/>
            </w:tcBorders>
            <w:vAlign w:val="center"/>
          </w:tcPr>
          <w:p w14:paraId="0E5F27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749" w:type="pct"/>
            <w:tcBorders>
              <w:top w:val="single" w:color="auto" w:sz="4" w:space="0"/>
              <w:left w:val="single" w:color="auto" w:sz="4" w:space="0"/>
              <w:bottom w:val="single" w:color="auto" w:sz="4" w:space="0"/>
              <w:right w:val="single" w:color="auto" w:sz="4" w:space="0"/>
            </w:tcBorders>
            <w:vAlign w:val="center"/>
          </w:tcPr>
          <w:p w14:paraId="3C06E0F8">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内容权威性和严谨性</w:t>
            </w:r>
          </w:p>
        </w:tc>
        <w:tc>
          <w:tcPr>
            <w:tcW w:w="3610" w:type="pct"/>
            <w:tcBorders>
              <w:top w:val="single" w:color="auto" w:sz="4" w:space="0"/>
              <w:left w:val="single" w:color="auto" w:sz="4" w:space="0"/>
              <w:bottom w:val="single" w:color="auto" w:sz="4" w:space="0"/>
              <w:right w:val="single" w:color="auto" w:sz="4" w:space="0"/>
            </w:tcBorders>
            <w:vAlign w:val="center"/>
          </w:tcPr>
          <w:p w14:paraId="564F42B1">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3.1数据来源包括但不限于专业期刊、主要临床指南、学术会议共识；</w:t>
            </w:r>
          </w:p>
          <w:p w14:paraId="28DCD723">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3.2所有专题应有参考文献并提供其摘要原文，在专题中还应提供相应的原文链接；</w:t>
            </w:r>
          </w:p>
          <w:p w14:paraId="093ACC93">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3.3所有专题由知名专家遵循严格的流程进行撰写，并都经过同行评议；</w:t>
            </w:r>
          </w:p>
          <w:p w14:paraId="2E60F0AE">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3.4所有专题均详细列出所有与专题相关的人名、职称以及供职机构；</w:t>
            </w:r>
          </w:p>
        </w:tc>
      </w:tr>
      <w:tr w14:paraId="4043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40" w:type="pct"/>
            <w:tcBorders>
              <w:top w:val="single" w:color="auto" w:sz="4" w:space="0"/>
              <w:left w:val="single" w:color="auto" w:sz="4" w:space="0"/>
              <w:bottom w:val="single" w:color="auto" w:sz="4" w:space="0"/>
              <w:right w:val="single" w:color="auto" w:sz="4" w:space="0"/>
            </w:tcBorders>
            <w:vAlign w:val="center"/>
          </w:tcPr>
          <w:p w14:paraId="0EDAB984">
            <w:pPr>
              <w:pStyle w:val="24"/>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749" w:type="pct"/>
            <w:tcBorders>
              <w:top w:val="single" w:color="auto" w:sz="4" w:space="0"/>
              <w:left w:val="single" w:color="auto" w:sz="4" w:space="0"/>
              <w:bottom w:val="single" w:color="auto" w:sz="4" w:space="0"/>
              <w:right w:val="single" w:color="auto" w:sz="4" w:space="0"/>
            </w:tcBorders>
            <w:vAlign w:val="center"/>
          </w:tcPr>
          <w:p w14:paraId="3C2FF4A0">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内容更新方面</w:t>
            </w:r>
          </w:p>
        </w:tc>
        <w:tc>
          <w:tcPr>
            <w:tcW w:w="3610" w:type="pct"/>
            <w:tcBorders>
              <w:top w:val="single" w:color="auto" w:sz="4" w:space="0"/>
              <w:left w:val="single" w:color="auto" w:sz="4" w:space="0"/>
              <w:bottom w:val="single" w:color="auto" w:sz="4" w:space="0"/>
              <w:right w:val="single" w:color="auto" w:sz="4" w:space="0"/>
            </w:tcBorders>
            <w:vAlign w:val="center"/>
          </w:tcPr>
          <w:p w14:paraId="6246E895">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4.1内容应保证随时更新；</w:t>
            </w:r>
          </w:p>
          <w:p w14:paraId="5E2F15C4">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4.2做到自动更新，不应增加维护人员的工作负担；</w:t>
            </w:r>
          </w:p>
          <w:p w14:paraId="3AB892B1">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4.3临床知识库技术服务应清晰列出专题相关参考文献的评阅时间以及专题最后更新的时间；</w:t>
            </w:r>
          </w:p>
          <w:p w14:paraId="7A570A25">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4.4临床知识库技术服务应按照不同的临床专科，将不同疾病专题的更新内容，清晰列出；</w:t>
            </w:r>
          </w:p>
          <w:p w14:paraId="61725D3E">
            <w:pPr>
              <w:pStyle w:val="2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4.5对于临床专题中非常重要的更新，临床知识库技术服务应在非常明显之处予以说明。</w:t>
            </w:r>
          </w:p>
        </w:tc>
      </w:tr>
    </w:tbl>
    <w:p w14:paraId="40BC736C">
      <w:pPr>
        <w:pStyle w:val="23"/>
        <w:ind w:firstLine="400"/>
        <w:rPr>
          <w:rFonts w:hint="eastAsia" w:ascii="仿宋_GB2312" w:hAnsi="仿宋_GB2312" w:eastAsia="仿宋_GB2312" w:cs="仿宋_GB2312"/>
          <w:highlight w:val="none"/>
        </w:rPr>
      </w:pPr>
      <w:r>
        <w:rPr>
          <w:rFonts w:hint="eastAsia" w:ascii="仿宋_GB2312" w:hAnsi="仿宋_GB2312" w:eastAsia="仿宋_GB2312" w:cs="仿宋_GB2312"/>
          <w:highlight w:val="none"/>
        </w:rPr>
        <w:t>产品配置清单：</w:t>
      </w:r>
    </w:p>
    <w:p w14:paraId="2CE47989">
      <w:pPr>
        <w:pStyle w:val="23"/>
        <w:ind w:firstLine="400"/>
        <w:rPr>
          <w:rFonts w:hint="eastAsia" w:ascii="仿宋_GB2312" w:hAnsi="仿宋_GB2312" w:eastAsia="仿宋_GB2312" w:cs="仿宋_GB2312"/>
          <w:highlight w:val="none"/>
        </w:rPr>
      </w:pPr>
      <w:r>
        <w:rPr>
          <w:rFonts w:hint="eastAsia" w:ascii="仿宋_GB2312" w:hAnsi="仿宋_GB2312" w:eastAsia="仿宋_GB2312" w:cs="仿宋_GB2312"/>
          <w:highlight w:val="none"/>
        </w:rPr>
        <w:t>1、中英文临床专题综述</w:t>
      </w:r>
    </w:p>
    <w:p w14:paraId="3CFE6AFD">
      <w:pPr>
        <w:pStyle w:val="23"/>
        <w:ind w:firstLine="400"/>
        <w:rPr>
          <w:rFonts w:hint="eastAsia" w:ascii="仿宋_GB2312" w:hAnsi="仿宋_GB2312" w:eastAsia="仿宋_GB2312" w:cs="仿宋_GB2312"/>
          <w:highlight w:val="none"/>
        </w:rPr>
      </w:pPr>
      <w:r>
        <w:rPr>
          <w:rFonts w:hint="eastAsia" w:ascii="仿宋_GB2312" w:hAnsi="仿宋_GB2312" w:eastAsia="仿宋_GB2312" w:cs="仿宋_GB2312"/>
          <w:highlight w:val="none"/>
        </w:rPr>
        <w:t>2、医学信息重要更新</w:t>
      </w:r>
    </w:p>
    <w:p w14:paraId="1F8640F8">
      <w:pPr>
        <w:pStyle w:val="23"/>
        <w:ind w:firstLine="400"/>
        <w:rPr>
          <w:rFonts w:hint="eastAsia" w:ascii="仿宋_GB2312" w:hAnsi="仿宋_GB2312" w:eastAsia="仿宋_GB2312" w:cs="仿宋_GB2312"/>
          <w:highlight w:val="none"/>
        </w:rPr>
      </w:pPr>
      <w:r>
        <w:rPr>
          <w:rFonts w:hint="eastAsia" w:ascii="仿宋_GB2312" w:hAnsi="仿宋_GB2312" w:eastAsia="仿宋_GB2312" w:cs="仿宋_GB2312"/>
          <w:highlight w:val="none"/>
        </w:rPr>
        <w:t>3、药物信息</w:t>
      </w:r>
    </w:p>
    <w:p w14:paraId="26A474C7">
      <w:pPr>
        <w:pStyle w:val="23"/>
        <w:ind w:firstLine="400"/>
        <w:rPr>
          <w:rFonts w:hint="eastAsia" w:ascii="仿宋_GB2312" w:hAnsi="仿宋_GB2312" w:eastAsia="仿宋_GB2312" w:cs="仿宋_GB2312"/>
          <w:highlight w:val="none"/>
        </w:rPr>
      </w:pPr>
      <w:r>
        <w:rPr>
          <w:rFonts w:hint="eastAsia" w:ascii="仿宋_GB2312" w:hAnsi="仿宋_GB2312" w:eastAsia="仿宋_GB2312" w:cs="仿宋_GB2312"/>
          <w:highlight w:val="none"/>
        </w:rPr>
        <w:t>4、医学图片及视频</w:t>
      </w:r>
    </w:p>
    <w:p w14:paraId="60C48642">
      <w:pPr>
        <w:pStyle w:val="23"/>
        <w:ind w:firstLine="400"/>
        <w:rPr>
          <w:rFonts w:hint="eastAsia" w:ascii="仿宋_GB2312" w:hAnsi="仿宋_GB2312" w:eastAsia="仿宋_GB2312" w:cs="仿宋_GB2312"/>
          <w:highlight w:val="none"/>
        </w:rPr>
      </w:pPr>
      <w:r>
        <w:rPr>
          <w:rFonts w:hint="eastAsia" w:ascii="仿宋_GB2312" w:hAnsi="仿宋_GB2312" w:eastAsia="仿宋_GB2312" w:cs="仿宋_GB2312"/>
          <w:highlight w:val="none"/>
        </w:rPr>
        <w:t>5、医学计算器</w:t>
      </w:r>
    </w:p>
    <w:p w14:paraId="5D88E5FC">
      <w:pPr>
        <w:pStyle w:val="23"/>
        <w:ind w:firstLine="400"/>
        <w:rPr>
          <w:rFonts w:hint="eastAsia" w:ascii="仿宋_GB2312" w:hAnsi="仿宋_GB2312" w:eastAsia="仿宋_GB2312" w:cs="仿宋_GB2312"/>
          <w:highlight w:val="none"/>
        </w:rPr>
      </w:pPr>
      <w:r>
        <w:rPr>
          <w:rFonts w:hint="eastAsia" w:ascii="仿宋_GB2312" w:hAnsi="仿宋_GB2312" w:eastAsia="仿宋_GB2312" w:cs="仿宋_GB2312"/>
          <w:highlight w:val="none"/>
        </w:rPr>
        <w:t>6、患者教育</w:t>
      </w:r>
    </w:p>
    <w:p w14:paraId="5F7FA2B3">
      <w:pPr>
        <w:pStyle w:val="23"/>
        <w:ind w:firstLine="400"/>
        <w:rPr>
          <w:rFonts w:ascii="仿宋_GB2312" w:hAnsi="仿宋_GB2312" w:eastAsia="仿宋_GB2312" w:cs="仿宋_GB2312"/>
          <w:highlight w:val="none"/>
        </w:rPr>
      </w:pPr>
      <w:r>
        <w:rPr>
          <w:rFonts w:hint="eastAsia" w:ascii="仿宋_GB2312" w:hAnsi="仿宋_GB2312" w:eastAsia="仿宋_GB2312" w:cs="仿宋_GB2312"/>
          <w:highlight w:val="none"/>
        </w:rPr>
        <w:t>7、中外指南链接</w:t>
      </w:r>
    </w:p>
    <w:p w14:paraId="256402DA">
      <w:pPr>
        <w:pStyle w:val="23"/>
        <w:rPr>
          <w:highlight w:val="none"/>
        </w:rPr>
      </w:pPr>
      <w:r>
        <w:rPr>
          <w:rFonts w:hint="eastAsia" w:ascii="仿宋_GB2312" w:hAnsi="仿宋_GB2312" w:eastAsia="仿宋_GB2312" w:cs="仿宋_GB2312"/>
          <w:b/>
          <w:highlight w:val="none"/>
          <w:lang w:eastAsia="zh-CN"/>
        </w:rPr>
        <w:t>三</w:t>
      </w:r>
      <w:r>
        <w:rPr>
          <w:rFonts w:ascii="仿宋_GB2312" w:hAnsi="仿宋_GB2312" w:eastAsia="仿宋_GB2312" w:cs="仿宋_GB2312"/>
          <w:b/>
          <w:highlight w:val="none"/>
        </w:rPr>
        <w:t>、服务要求</w:t>
      </w:r>
    </w:p>
    <w:p w14:paraId="6C84621F">
      <w:pPr>
        <w:pStyle w:val="23"/>
        <w:ind w:firstLine="400" w:firstLineChars="200"/>
        <w:rPr>
          <w:rFonts w:ascii="仿宋_GB2312" w:hAnsi="仿宋_GB2312" w:eastAsia="仿宋_GB2312" w:cs="仿宋_GB2312"/>
          <w:highlight w:val="none"/>
        </w:rPr>
      </w:pPr>
      <w:bookmarkStart w:id="0" w:name="_Toc82596459"/>
      <w:r>
        <w:rPr>
          <w:rFonts w:hint="eastAsia" w:ascii="仿宋_GB2312" w:hAnsi="仿宋_GB2312" w:eastAsia="仿宋_GB2312" w:cs="仿宋_GB2312"/>
          <w:highlight w:val="none"/>
        </w:rPr>
        <w:t>1. 保修年限、范围、保修条件</w:t>
      </w:r>
      <w:bookmarkEnd w:id="0"/>
    </w:p>
    <w:p w14:paraId="235E3856">
      <w:pPr>
        <w:pStyle w:val="23"/>
        <w:ind w:firstLine="40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质量保证期：自账号开通之日算起，所有产品质保</w:t>
      </w:r>
      <w:r>
        <w:rPr>
          <w:rFonts w:ascii="仿宋_GB2312" w:hAnsi="仿宋_GB2312" w:eastAsia="仿宋_GB2312" w:cs="仿宋_GB2312"/>
          <w:highlight w:val="none"/>
        </w:rPr>
        <w:t>24</w:t>
      </w:r>
      <w:r>
        <w:rPr>
          <w:rFonts w:hint="eastAsia" w:ascii="仿宋_GB2312" w:hAnsi="仿宋_GB2312" w:eastAsia="仿宋_GB2312" w:cs="仿宋_GB2312"/>
          <w:highlight w:val="none"/>
        </w:rPr>
        <w:t>个月。对提供的服务在质保期内，因质量而导致的缺陷，提供包修、包换、包退服务，费用包含在投标报价中，因此导致的损失采购人有权向中标人追偿。</w:t>
      </w:r>
    </w:p>
    <w:p w14:paraId="14EA07F3">
      <w:pPr>
        <w:pStyle w:val="23"/>
        <w:ind w:firstLine="400" w:firstLineChars="200"/>
        <w:rPr>
          <w:rFonts w:ascii="仿宋_GB2312" w:hAnsi="仿宋_GB2312" w:eastAsia="仿宋_GB2312" w:cs="仿宋_GB2312"/>
          <w:highlight w:val="none"/>
        </w:rPr>
      </w:pPr>
      <w:bookmarkStart w:id="1" w:name="_Toc82596460"/>
      <w:r>
        <w:rPr>
          <w:rFonts w:hint="eastAsia" w:ascii="仿宋_GB2312" w:hAnsi="仿宋_GB2312" w:eastAsia="仿宋_GB2312" w:cs="仿宋_GB2312"/>
          <w:highlight w:val="none"/>
        </w:rPr>
        <w:t>2. 解决问题、排除故障的响应时间</w:t>
      </w:r>
      <w:bookmarkEnd w:id="1"/>
    </w:p>
    <w:p w14:paraId="439BDDB8">
      <w:pPr>
        <w:pStyle w:val="23"/>
        <w:ind w:firstLine="40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（1）中标人需提供该货物的技术培训、技术支持和维修巡检服务。</w:t>
      </w:r>
    </w:p>
    <w:p w14:paraId="69B64434">
      <w:pPr>
        <w:pStyle w:val="23"/>
        <w:ind w:firstLine="40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（2）售后服务响应时间要求响应：一小时内响应，二十四小时解决问题。中标人设立售后服务团队，建立售后服务微信群，专人负责处理日常问题。</w:t>
      </w:r>
    </w:p>
    <w:p w14:paraId="4589E1B0">
      <w:pPr>
        <w:pStyle w:val="23"/>
        <w:ind w:firstLine="40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（3） 中标人需提供知识库扩充、升级、更新等方面的技术支持服务。</w:t>
      </w:r>
    </w:p>
    <w:p w14:paraId="76232E22">
      <w:pPr>
        <w:pStyle w:val="23"/>
        <w:ind w:firstLine="400" w:firstLineChars="200"/>
        <w:rPr>
          <w:rFonts w:ascii="仿宋_GB2312" w:hAnsi="仿宋_GB2312" w:eastAsia="仿宋_GB2312" w:cs="仿宋_GB2312"/>
          <w:highlight w:val="none"/>
        </w:rPr>
      </w:pPr>
      <w:bookmarkStart w:id="2" w:name="_Toc82596462"/>
      <w:bookmarkStart w:id="3" w:name="_Toc527883128"/>
      <w:r>
        <w:rPr>
          <w:rFonts w:hint="eastAsia" w:ascii="仿宋_GB2312" w:hAnsi="仿宋_GB2312" w:eastAsia="仿宋_GB2312" w:cs="仿宋_GB2312"/>
          <w:highlight w:val="none"/>
        </w:rPr>
        <w:t>3. 培训</w:t>
      </w:r>
      <w:bookmarkEnd w:id="2"/>
      <w:bookmarkEnd w:id="3"/>
      <w:r>
        <w:rPr>
          <w:rFonts w:hint="eastAsia" w:ascii="仿宋_GB2312" w:hAnsi="仿宋_GB2312" w:eastAsia="仿宋_GB2312" w:cs="仿宋_GB2312"/>
          <w:highlight w:val="none"/>
        </w:rPr>
        <w:t>安排</w:t>
      </w:r>
    </w:p>
    <w:p w14:paraId="67D4FC5A">
      <w:pPr>
        <w:pStyle w:val="23"/>
        <w:ind w:firstLine="40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中标人需要提供技术培训，保证用户能够学会使用该系统，开通服务后，提供培训服务，具体配合医院实际情况，提供每年不少于2次的线下使用培训。</w:t>
      </w:r>
    </w:p>
    <w:p w14:paraId="199B714E">
      <w:pPr>
        <w:pStyle w:val="23"/>
        <w:ind w:firstLine="40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提供产品相关使用的资料及其它服务</w:t>
      </w:r>
    </w:p>
    <w:p w14:paraId="56483EC2">
      <w:pPr>
        <w:pStyle w:val="23"/>
        <w:ind w:firstLine="400" w:firstLineChars="200"/>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包括但不限于提供口袋使用手册及线下产品使用活动（案例比赛）支持等。</w:t>
      </w:r>
    </w:p>
    <w:p w14:paraId="5B1FAD61">
      <w:pPr>
        <w:pStyle w:val="23"/>
        <w:rPr>
          <w:rFonts w:hint="eastAsia" w:ascii="仿宋_GB2312" w:hAnsi="仿宋_GB2312" w:eastAsia="仿宋_GB2312" w:cs="仿宋_GB2312"/>
          <w:sz w:val="20"/>
          <w:szCs w:val="20"/>
          <w:highlight w:val="none"/>
        </w:rPr>
      </w:pPr>
      <w:r>
        <w:rPr>
          <w:rFonts w:hint="eastAsia" w:ascii="仿宋_GB2312" w:hAnsi="仿宋_GB2312" w:eastAsia="仿宋_GB2312" w:cs="仿宋_GB2312"/>
          <w:b/>
          <w:sz w:val="20"/>
          <w:szCs w:val="20"/>
          <w:highlight w:val="none"/>
          <w:lang w:eastAsia="zh-CN"/>
        </w:rPr>
        <w:t>四</w:t>
      </w:r>
      <w:r>
        <w:rPr>
          <w:rFonts w:hint="eastAsia" w:ascii="仿宋_GB2312" w:hAnsi="仿宋_GB2312" w:eastAsia="仿宋_GB2312" w:cs="仿宋_GB2312"/>
          <w:b/>
          <w:sz w:val="20"/>
          <w:szCs w:val="20"/>
          <w:highlight w:val="none"/>
        </w:rPr>
        <w:t>、商务要求</w:t>
      </w:r>
    </w:p>
    <w:p w14:paraId="22C2A244">
      <w:pPr>
        <w:pStyle w:val="23"/>
        <w:ind w:firstLine="400" w:firstLineChars="200"/>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（一）服务期限</w:t>
      </w:r>
    </w:p>
    <w:p w14:paraId="3F0024D1">
      <w:pPr>
        <w:pStyle w:val="23"/>
        <w:ind w:firstLine="400" w:firstLineChars="200"/>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自合同签订之日起24个月内。</w:t>
      </w:r>
    </w:p>
    <w:p w14:paraId="205C6079">
      <w:pPr>
        <w:pStyle w:val="23"/>
        <w:ind w:firstLine="400" w:firstLineChars="200"/>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（二）款项结算</w:t>
      </w:r>
    </w:p>
    <w:p w14:paraId="02FBF2D3">
      <w:pPr>
        <w:pStyle w:val="23"/>
        <w:ind w:firstLine="400" w:firstLineChars="200"/>
        <w:rPr>
          <w:rFonts w:hint="eastAsia" w:ascii="仿宋_GB2312" w:hAnsi="仿宋_GB2312" w:eastAsia="仿宋_GB2312" w:cs="仿宋_GB2312"/>
          <w:sz w:val="20"/>
          <w:szCs w:val="20"/>
          <w:highlight w:val="yellow"/>
        </w:rPr>
      </w:pPr>
      <w:r>
        <w:rPr>
          <w:rFonts w:hint="eastAsia" w:ascii="仿宋_GB2312" w:hAnsi="仿宋_GB2312" w:eastAsia="仿宋_GB2312" w:cs="仿宋_GB2312"/>
          <w:sz w:val="20"/>
          <w:szCs w:val="20"/>
          <w:highlight w:val="none"/>
        </w:rPr>
        <w:t>逐年签订合同</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合同签订后，服务供应商须按其响应文件中响应的功能及质量标准提供相关服务，正常使用1个月后，提供全额合规发票30日内，甲方支付</w:t>
      </w:r>
      <w:r>
        <w:rPr>
          <w:rFonts w:hint="eastAsia" w:ascii="仿宋_GB2312" w:hAnsi="仿宋_GB2312" w:eastAsia="仿宋_GB2312" w:cs="仿宋_GB2312"/>
          <w:sz w:val="20"/>
          <w:szCs w:val="20"/>
          <w:highlight w:val="none"/>
          <w:lang w:eastAsia="zh-CN"/>
        </w:rPr>
        <w:t>第一年度</w:t>
      </w:r>
      <w:r>
        <w:rPr>
          <w:rFonts w:hint="eastAsia" w:ascii="仿宋_GB2312" w:hAnsi="仿宋_GB2312" w:eastAsia="仿宋_GB2312" w:cs="仿宋_GB2312"/>
          <w:sz w:val="20"/>
          <w:szCs w:val="20"/>
          <w:highlight w:val="none"/>
        </w:rPr>
        <w:t>合同总价款的90%</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留</w:t>
      </w:r>
      <w:r>
        <w:rPr>
          <w:rFonts w:hint="eastAsia" w:ascii="仿宋_GB2312" w:hAnsi="仿宋_GB2312" w:eastAsia="仿宋_GB2312" w:cs="仿宋_GB2312"/>
          <w:sz w:val="20"/>
          <w:szCs w:val="20"/>
          <w:highlight w:val="none"/>
          <w:lang w:eastAsia="zh-CN"/>
        </w:rPr>
        <w:t>第一年度</w:t>
      </w:r>
      <w:r>
        <w:rPr>
          <w:rFonts w:hint="eastAsia" w:ascii="仿宋_GB2312" w:hAnsi="仿宋_GB2312" w:eastAsia="仿宋_GB2312" w:cs="仿宋_GB2312"/>
          <w:sz w:val="20"/>
          <w:szCs w:val="20"/>
          <w:highlight w:val="none"/>
        </w:rPr>
        <w:t>合同总价的10%作为尾款。合同执行结束，甲方30日内一次性无息支付。</w:t>
      </w:r>
    </w:p>
    <w:p w14:paraId="68B2FE64">
      <w:pPr>
        <w:pStyle w:val="23"/>
        <w:rPr>
          <w:rFonts w:hint="eastAsia" w:ascii="仿宋_GB2312" w:hAnsi="仿宋_GB2312" w:eastAsia="仿宋_GB2312" w:cs="仿宋_GB2312"/>
          <w:sz w:val="20"/>
          <w:szCs w:val="20"/>
          <w:highlight w:val="none"/>
        </w:rPr>
      </w:pPr>
      <w:r>
        <w:rPr>
          <w:rFonts w:hint="eastAsia" w:ascii="仿宋_GB2312" w:hAnsi="仿宋_GB2312" w:eastAsia="仿宋_GB2312" w:cs="仿宋_GB2312"/>
          <w:b/>
          <w:sz w:val="20"/>
          <w:szCs w:val="20"/>
          <w:highlight w:val="none"/>
          <w:lang w:eastAsia="zh-CN"/>
        </w:rPr>
        <w:t>五</w:t>
      </w:r>
      <w:r>
        <w:rPr>
          <w:rFonts w:hint="eastAsia" w:ascii="仿宋_GB2312" w:hAnsi="仿宋_GB2312" w:eastAsia="仿宋_GB2312" w:cs="仿宋_GB2312"/>
          <w:b/>
          <w:sz w:val="20"/>
          <w:szCs w:val="20"/>
          <w:highlight w:val="none"/>
        </w:rPr>
        <w:t>、其他</w:t>
      </w:r>
    </w:p>
    <w:p w14:paraId="0DC327B1">
      <w:pPr>
        <w:pStyle w:val="23"/>
        <w:ind w:firstLine="40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一</w:t>
      </w:r>
      <w:r>
        <w:rPr>
          <w:rFonts w:hint="eastAsia" w:ascii="仿宋_GB2312" w:hAnsi="仿宋_GB2312" w:eastAsia="仿宋_GB2312" w:cs="仿宋_GB2312"/>
          <w:highlight w:val="none"/>
        </w:rPr>
        <w:t>）进度要求</w:t>
      </w:r>
    </w:p>
    <w:p w14:paraId="60ED1EBC">
      <w:pPr>
        <w:pStyle w:val="23"/>
        <w:ind w:firstLine="40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合同签订后10个工作日内完成账号开通</w:t>
      </w:r>
      <w:r>
        <w:rPr>
          <w:rFonts w:hint="eastAsia" w:ascii="仿宋_GB2312" w:hAnsi="仿宋_GB2312" w:eastAsia="仿宋_GB2312" w:cs="仿宋_GB2312"/>
          <w:highlight w:val="none"/>
          <w:lang w:eastAsia="zh-CN"/>
        </w:rPr>
        <w:t>。</w:t>
      </w:r>
    </w:p>
    <w:p w14:paraId="238BC5A4">
      <w:pPr>
        <w:pStyle w:val="23"/>
        <w:ind w:firstLine="40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二</w:t>
      </w:r>
      <w:r>
        <w:rPr>
          <w:rFonts w:hint="eastAsia" w:ascii="仿宋_GB2312" w:hAnsi="仿宋_GB2312" w:eastAsia="仿宋_GB2312" w:cs="仿宋_GB2312"/>
          <w:highlight w:val="none"/>
        </w:rPr>
        <w:t>）成果交付要求</w:t>
      </w:r>
    </w:p>
    <w:p w14:paraId="270B12C7">
      <w:pPr>
        <w:pStyle w:val="23"/>
        <w:ind w:firstLine="400"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1.提供全院访问固定IP</w:t>
      </w:r>
      <w:r>
        <w:rPr>
          <w:rFonts w:hint="eastAsia" w:ascii="仿宋_GB2312" w:hAnsi="仿宋_GB2312" w:eastAsia="仿宋_GB2312" w:cs="仿宋_GB2312"/>
          <w:highlight w:val="none"/>
          <w:lang w:eastAsia="zh-CN"/>
        </w:rPr>
        <w:t>；</w:t>
      </w:r>
    </w:p>
    <w:p w14:paraId="296A6B85">
      <w:pPr>
        <w:ind w:firstLine="420" w:firstLineChars="200"/>
      </w:pPr>
      <w:bookmarkStart w:id="4" w:name="_GoBack"/>
      <w:bookmarkEnd w:id="4"/>
      <w:r>
        <w:rPr>
          <w:rFonts w:hint="eastAsia" w:ascii="仿宋_GB2312" w:hAnsi="仿宋_GB2312" w:eastAsia="仿宋_GB2312" w:cs="仿宋_GB2312"/>
          <w:highlight w:val="none"/>
        </w:rPr>
        <w:t>2.开通</w:t>
      </w:r>
      <w:r>
        <w:rPr>
          <w:rFonts w:hint="eastAsia" w:ascii="仿宋_GB2312" w:hAnsi="仿宋_GB2312" w:eastAsia="仿宋_GB2312" w:cs="仿宋_GB2312"/>
          <w:highlight w:val="none"/>
          <w:lang w:val="en-US" w:eastAsia="zh-CN"/>
        </w:rPr>
        <w:t>300个</w:t>
      </w:r>
      <w:r>
        <w:rPr>
          <w:rFonts w:hint="eastAsia" w:ascii="仿宋_GB2312" w:hAnsi="仿宋_GB2312" w:eastAsia="仿宋_GB2312" w:cs="仿宋_GB2312"/>
          <w:highlight w:val="none"/>
        </w:rPr>
        <w:t>医生个人账号。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1D5D"/>
    <w:rsid w:val="05306AF9"/>
    <w:rsid w:val="07001599"/>
    <w:rsid w:val="07851442"/>
    <w:rsid w:val="07A55852"/>
    <w:rsid w:val="091E1297"/>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4543459"/>
    <w:rsid w:val="14861F02"/>
    <w:rsid w:val="14E52192"/>
    <w:rsid w:val="154A6DF0"/>
    <w:rsid w:val="16FE6557"/>
    <w:rsid w:val="176F6BB0"/>
    <w:rsid w:val="17D64044"/>
    <w:rsid w:val="18094FCA"/>
    <w:rsid w:val="18F64E36"/>
    <w:rsid w:val="1A02767A"/>
    <w:rsid w:val="1B9D385D"/>
    <w:rsid w:val="1BA32D63"/>
    <w:rsid w:val="1C252119"/>
    <w:rsid w:val="1CF1774B"/>
    <w:rsid w:val="1DFB7631"/>
    <w:rsid w:val="1E1E29C9"/>
    <w:rsid w:val="1EF8338A"/>
    <w:rsid w:val="1FA938F9"/>
    <w:rsid w:val="20425FFC"/>
    <w:rsid w:val="20E81997"/>
    <w:rsid w:val="21F45999"/>
    <w:rsid w:val="229A5420"/>
    <w:rsid w:val="22BD1D2C"/>
    <w:rsid w:val="22FB3A94"/>
    <w:rsid w:val="23204BF7"/>
    <w:rsid w:val="23FC12D4"/>
    <w:rsid w:val="24095576"/>
    <w:rsid w:val="24626FA6"/>
    <w:rsid w:val="249D1FF2"/>
    <w:rsid w:val="25DE2DDA"/>
    <w:rsid w:val="25E95F17"/>
    <w:rsid w:val="28C96216"/>
    <w:rsid w:val="2A15141A"/>
    <w:rsid w:val="2A230D5A"/>
    <w:rsid w:val="2B370F4B"/>
    <w:rsid w:val="2C046B0D"/>
    <w:rsid w:val="2C8E2CA3"/>
    <w:rsid w:val="2D576387"/>
    <w:rsid w:val="2D810546"/>
    <w:rsid w:val="2D9D4A5A"/>
    <w:rsid w:val="2E8C2BEA"/>
    <w:rsid w:val="2F2B785B"/>
    <w:rsid w:val="30C528D7"/>
    <w:rsid w:val="3107144D"/>
    <w:rsid w:val="32863B5F"/>
    <w:rsid w:val="33E14065"/>
    <w:rsid w:val="34F44E31"/>
    <w:rsid w:val="35181061"/>
    <w:rsid w:val="36363D90"/>
    <w:rsid w:val="36C472C0"/>
    <w:rsid w:val="37011161"/>
    <w:rsid w:val="37BD6053"/>
    <w:rsid w:val="37DC5E4F"/>
    <w:rsid w:val="37F007B5"/>
    <w:rsid w:val="380C7C67"/>
    <w:rsid w:val="381713E6"/>
    <w:rsid w:val="38257707"/>
    <w:rsid w:val="38296E28"/>
    <w:rsid w:val="38561033"/>
    <w:rsid w:val="390708FB"/>
    <w:rsid w:val="391B46C0"/>
    <w:rsid w:val="39572F51"/>
    <w:rsid w:val="3A051401"/>
    <w:rsid w:val="3A311F3D"/>
    <w:rsid w:val="3A3962CE"/>
    <w:rsid w:val="3B057F4C"/>
    <w:rsid w:val="3B0770A9"/>
    <w:rsid w:val="3B292F36"/>
    <w:rsid w:val="3BF302F3"/>
    <w:rsid w:val="3C4F0C38"/>
    <w:rsid w:val="3C7A4E02"/>
    <w:rsid w:val="3C8D26A4"/>
    <w:rsid w:val="3CA904FC"/>
    <w:rsid w:val="3D2E5B71"/>
    <w:rsid w:val="3D3F603E"/>
    <w:rsid w:val="3D8F53D3"/>
    <w:rsid w:val="3E9058F4"/>
    <w:rsid w:val="3E963D77"/>
    <w:rsid w:val="3FB33E37"/>
    <w:rsid w:val="42D46393"/>
    <w:rsid w:val="44A02E0E"/>
    <w:rsid w:val="45760938"/>
    <w:rsid w:val="474B43DC"/>
    <w:rsid w:val="48273FDF"/>
    <w:rsid w:val="49740F2E"/>
    <w:rsid w:val="49DE3241"/>
    <w:rsid w:val="4A33479D"/>
    <w:rsid w:val="4B616ED2"/>
    <w:rsid w:val="4BB95F3E"/>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9B4C2B"/>
    <w:rsid w:val="56E04626"/>
    <w:rsid w:val="57DC64E0"/>
    <w:rsid w:val="581A515D"/>
    <w:rsid w:val="584125D2"/>
    <w:rsid w:val="58AE1A31"/>
    <w:rsid w:val="58B053E8"/>
    <w:rsid w:val="58CB3CE0"/>
    <w:rsid w:val="595A5E33"/>
    <w:rsid w:val="59EA7F4F"/>
    <w:rsid w:val="5ADC54F0"/>
    <w:rsid w:val="5C741667"/>
    <w:rsid w:val="5CAB1AAC"/>
    <w:rsid w:val="5D186F18"/>
    <w:rsid w:val="5D9341C4"/>
    <w:rsid w:val="5F0745CE"/>
    <w:rsid w:val="5FCC6BAB"/>
    <w:rsid w:val="60886A5A"/>
    <w:rsid w:val="610464A6"/>
    <w:rsid w:val="61DF614B"/>
    <w:rsid w:val="629B3C5A"/>
    <w:rsid w:val="62A35618"/>
    <w:rsid w:val="62FC4118"/>
    <w:rsid w:val="636C5BCF"/>
    <w:rsid w:val="63D24027"/>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1"/>
    <w:qFormat/>
    <w:uiPriority w:val="0"/>
    <w:pPr>
      <w:keepNext/>
      <w:spacing w:line="360" w:lineRule="auto"/>
      <w:jc w:val="center"/>
      <w:outlineLvl w:val="0"/>
    </w:pPr>
    <w:rPr>
      <w:rFonts w:ascii="黑体" w:hAnsi="黑体" w:eastAsia="宋体" w:cs="Times New Roman"/>
      <w:b/>
      <w:sz w:val="36"/>
      <w:szCs w:val="24"/>
    </w:rPr>
  </w:style>
  <w:style w:type="paragraph" w:styleId="5">
    <w:name w:val="heading 2"/>
    <w:basedOn w:val="1"/>
    <w:next w:val="1"/>
    <w:link w:val="19"/>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6">
    <w:name w:val="heading 3"/>
    <w:basedOn w:val="1"/>
    <w:next w:val="1"/>
    <w:link w:val="20"/>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7">
    <w:name w:val="heading 4"/>
    <w:basedOn w:val="1"/>
    <w:next w:val="1"/>
    <w:link w:val="22"/>
    <w:semiHidden/>
    <w:unhideWhenUsed/>
    <w:qFormat/>
    <w:uiPriority w:val="0"/>
    <w:pPr>
      <w:spacing w:line="360" w:lineRule="auto"/>
      <w:jc w:val="both"/>
      <w:outlineLvl w:val="3"/>
    </w:pPr>
    <w:rPr>
      <w:rFonts w:ascii="仿宋" w:hAnsi="仿宋" w:cs="Arial"/>
      <w:b/>
      <w:snapToGrid w:val="0"/>
      <w:color w:val="000000"/>
      <w:szCs w:val="21"/>
    </w:rPr>
  </w:style>
  <w:style w:type="paragraph" w:styleId="8">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9">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afterLines="0" w:afterAutospacing="0"/>
      <w:ind w:left="420" w:leftChars="200"/>
    </w:pPr>
    <w:rPr>
      <w:rFonts w:ascii="Times New Roman" w:hAnsi="Times New Roman" w:eastAsia="宋体" w:cs="Times New Roman"/>
    </w:rPr>
  </w:style>
  <w:style w:type="paragraph" w:styleId="13">
    <w:name w:val="Normal Indent"/>
    <w:basedOn w:val="1"/>
    <w:qFormat/>
    <w:uiPriority w:val="0"/>
    <w:pPr>
      <w:ind w:firstLine="420" w:firstLineChars="200"/>
    </w:pPr>
  </w:style>
  <w:style w:type="paragraph" w:styleId="14">
    <w:name w:val="toa heading"/>
    <w:basedOn w:val="1"/>
    <w:next w:val="1"/>
    <w:qFormat/>
    <w:uiPriority w:val="0"/>
    <w:pPr>
      <w:spacing w:before="120" w:beforeLines="0" w:beforeAutospacing="0"/>
    </w:pPr>
    <w:rPr>
      <w:rFonts w:ascii="Arial" w:hAnsi="Arial"/>
      <w:sz w:val="24"/>
    </w:rPr>
  </w:style>
  <w:style w:type="paragraph" w:styleId="15">
    <w:name w:val="Body Text"/>
    <w:basedOn w:val="1"/>
    <w:qFormat/>
    <w:uiPriority w:val="0"/>
    <w:pPr>
      <w:spacing w:after="120" w:afterLines="0" w:afterAutospacing="0"/>
    </w:pPr>
  </w:style>
  <w:style w:type="paragraph" w:styleId="16">
    <w:name w:val="toc 1"/>
    <w:basedOn w:val="1"/>
    <w:next w:val="1"/>
    <w:qFormat/>
    <w:uiPriority w:val="0"/>
    <w:pPr>
      <w:spacing w:before="120" w:after="120"/>
    </w:pPr>
    <w:rPr>
      <w:rFonts w:ascii="仿宋" w:hAnsi="仿宋" w:eastAsia="仿宋" w:cs="Arial"/>
      <w:snapToGrid w:val="0"/>
      <w:color w:val="000000"/>
      <w:kern w:val="0"/>
      <w:sz w:val="24"/>
      <w:szCs w:val="21"/>
      <w:lang w:eastAsia="en-US"/>
    </w:rPr>
  </w:style>
  <w:style w:type="character" w:customStyle="1" w:styleId="19">
    <w:name w:val="标题 2 Char1"/>
    <w:link w:val="5"/>
    <w:qFormat/>
    <w:uiPriority w:val="0"/>
    <w:rPr>
      <w:rFonts w:ascii="Arial" w:hAnsi="Arial" w:eastAsia="宋体" w:cs="Times New Roman"/>
      <w:b/>
      <w:bCs/>
      <w:kern w:val="0"/>
      <w:sz w:val="36"/>
      <w:szCs w:val="22"/>
      <w:lang w:val="zh-CN" w:bidi="zh-CN"/>
    </w:rPr>
  </w:style>
  <w:style w:type="character" w:customStyle="1" w:styleId="20">
    <w:name w:val="标题 3 Char"/>
    <w:basedOn w:val="18"/>
    <w:link w:val="6"/>
    <w:qFormat/>
    <w:uiPriority w:val="0"/>
    <w:rPr>
      <w:rFonts w:ascii="Times New Roman" w:hAnsi="Times New Roman" w:eastAsia="宋体" w:cs="Times New Roman"/>
      <w:b/>
      <w:bCs/>
      <w:kern w:val="2"/>
      <w:sz w:val="32"/>
      <w:szCs w:val="32"/>
    </w:rPr>
  </w:style>
  <w:style w:type="character" w:customStyle="1" w:styleId="21">
    <w:name w:val="标题 1 Char"/>
    <w:basedOn w:val="18"/>
    <w:link w:val="4"/>
    <w:qFormat/>
    <w:uiPriority w:val="0"/>
    <w:rPr>
      <w:rFonts w:ascii="黑体" w:hAnsi="黑体" w:eastAsia="宋体" w:cs="Times New Roman"/>
      <w:b/>
      <w:kern w:val="2"/>
      <w:sz w:val="36"/>
      <w:szCs w:val="24"/>
    </w:rPr>
  </w:style>
  <w:style w:type="character" w:customStyle="1" w:styleId="22">
    <w:name w:val="标题 4 Char"/>
    <w:basedOn w:val="18"/>
    <w:link w:val="7"/>
    <w:qFormat/>
    <w:uiPriority w:val="0"/>
    <w:rPr>
      <w:rFonts w:ascii="宋体" w:hAnsi="宋体" w:eastAsia="宋体" w:cs="Arial"/>
      <w:b/>
      <w:snapToGrid w:val="0"/>
      <w:color w:val="000000"/>
      <w:kern w:val="0"/>
      <w:sz w:val="30"/>
      <w:szCs w:val="21"/>
      <w:u w:val="none"/>
      <w:lang w:val="zh-CN" w:bidi="zh-CN"/>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列出段落1"/>
    <w:basedOn w:val="1"/>
    <w:qFormat/>
    <w:uiPriority w:val="1"/>
    <w:pPr>
      <w:ind w:firstLine="420" w:firstLineChars="200"/>
    </w:pPr>
    <w:rPr>
      <w:szCs w:val="22"/>
    </w:rPr>
  </w:style>
  <w:style w:type="paragraph" w:customStyle="1" w:styleId="25">
    <w:name w:val="中等深浅网格 1 - 着色 21"/>
    <w:basedOn w:val="1"/>
    <w:qFormat/>
    <w:uiPriority w:val="0"/>
    <w:pPr>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2025-11-14T07:45:26Z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CC53DDA9B2814F3D9A54F2FFF46D679A</vt:lpwstr>
  </property>
  <property fmtid="{D5CDD505-2E9C-101B-9397-08002B2CF9AE}" pid="4" name="KSOTemplateDocerSaveRecord">
    <vt:lpwstr>eyJoZGlkIjoiMTIzYjBkMDE0MDUwZWU1MDYzY2M0YTJiMmIyMWQyNDYiLCJ1c2VySWQiOiI5MTQ3Njg1NjkifQ==</vt:lpwstr>
  </property>
</Properties>
</file>