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8BA31">
      <w:pPr>
        <w:spacing w:line="360" w:lineRule="auto"/>
        <w:rPr>
          <w:rFonts w:hint="eastAsia" w:ascii="仿宋" w:hAnsi="仿宋" w:eastAsia="仿宋" w:cs="仿宋"/>
          <w:color w:val="auto"/>
        </w:rPr>
      </w:pPr>
    </w:p>
    <w:p w14:paraId="00EAB6C2">
      <w:pPr>
        <w:spacing w:line="360" w:lineRule="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采购</w:t>
      </w:r>
      <w:r>
        <w:rPr>
          <w:rFonts w:hint="eastAsia" w:ascii="仿宋" w:hAnsi="仿宋" w:eastAsia="仿宋" w:cs="仿宋"/>
          <w:b/>
          <w:color w:val="auto"/>
          <w:sz w:val="28"/>
          <w:szCs w:val="28"/>
          <w:highlight w:val="none"/>
          <w:lang w:eastAsia="zh-CN"/>
        </w:rPr>
        <w:t>项目</w:t>
      </w:r>
      <w:r>
        <w:rPr>
          <w:rFonts w:hint="eastAsia" w:ascii="仿宋" w:hAnsi="仿宋" w:eastAsia="仿宋" w:cs="仿宋"/>
          <w:b/>
          <w:color w:val="auto"/>
          <w:sz w:val="28"/>
          <w:szCs w:val="28"/>
          <w:highlight w:val="none"/>
        </w:rPr>
        <w:t>编号：</w:t>
      </w:r>
      <w:r>
        <w:rPr>
          <w:rFonts w:hint="eastAsia" w:ascii="仿宋" w:hAnsi="仿宋" w:eastAsia="仿宋" w:cs="仿宋"/>
          <w:b/>
          <w:color w:val="auto"/>
          <w:sz w:val="28"/>
          <w:szCs w:val="28"/>
          <w:highlight w:val="none"/>
          <w:lang w:eastAsia="zh-CN"/>
        </w:rPr>
        <w:t>BDC202501XX</w:t>
      </w:r>
    </w:p>
    <w:p w14:paraId="22757E96">
      <w:pPr>
        <w:bidi w:val="0"/>
        <w:spacing w:line="360" w:lineRule="auto"/>
        <w:rPr>
          <w:rFonts w:hint="eastAsia" w:ascii="仿宋" w:hAnsi="仿宋" w:eastAsia="仿宋" w:cs="仿宋"/>
          <w:color w:val="auto"/>
        </w:rPr>
      </w:pPr>
    </w:p>
    <w:p w14:paraId="2200E4B3">
      <w:pPr>
        <w:bidi w:val="0"/>
        <w:spacing w:line="360" w:lineRule="auto"/>
        <w:rPr>
          <w:rFonts w:hint="eastAsia" w:ascii="仿宋" w:hAnsi="仿宋" w:eastAsia="仿宋" w:cs="仿宋"/>
          <w:color w:val="auto"/>
        </w:rPr>
      </w:pPr>
    </w:p>
    <w:p w14:paraId="76A87F96">
      <w:pPr>
        <w:pStyle w:val="17"/>
        <w:spacing w:line="360" w:lineRule="auto"/>
        <w:rPr>
          <w:rFonts w:hint="eastAsia" w:ascii="仿宋" w:hAnsi="仿宋" w:eastAsia="仿宋" w:cs="仿宋"/>
          <w:color w:val="auto"/>
        </w:rPr>
      </w:pPr>
    </w:p>
    <w:p w14:paraId="25875DD6">
      <w:pPr>
        <w:pStyle w:val="17"/>
        <w:spacing w:line="360" w:lineRule="auto"/>
        <w:rPr>
          <w:rFonts w:hint="eastAsia" w:ascii="仿宋" w:hAnsi="仿宋" w:eastAsia="仿宋" w:cs="仿宋"/>
          <w:color w:val="auto"/>
        </w:rPr>
      </w:pPr>
    </w:p>
    <w:p w14:paraId="1A21573D">
      <w:pPr>
        <w:pStyle w:val="17"/>
        <w:spacing w:line="360" w:lineRule="auto"/>
        <w:rPr>
          <w:rFonts w:hint="eastAsia" w:ascii="仿宋" w:hAnsi="仿宋" w:eastAsia="仿宋" w:cs="仿宋"/>
          <w:color w:val="auto"/>
        </w:rPr>
      </w:pPr>
    </w:p>
    <w:p w14:paraId="043B0B46">
      <w:pPr>
        <w:pStyle w:val="17"/>
        <w:spacing w:line="360" w:lineRule="auto"/>
        <w:rPr>
          <w:rFonts w:hint="eastAsia" w:ascii="仿宋" w:hAnsi="仿宋" w:eastAsia="仿宋" w:cs="仿宋"/>
          <w:color w:val="auto"/>
        </w:rPr>
      </w:pPr>
    </w:p>
    <w:p w14:paraId="0EB16AF4">
      <w:pPr>
        <w:pStyle w:val="46"/>
        <w:spacing w:line="360" w:lineRule="auto"/>
        <w:ind w:left="0" w:leftChars="0" w:firstLine="0" w:firstLineChars="0"/>
        <w:jc w:val="center"/>
        <w:rPr>
          <w:rFonts w:hint="eastAsia" w:ascii="仿宋" w:hAnsi="仿宋" w:eastAsia="仿宋" w:cs="仿宋"/>
          <w:b/>
          <w:bCs/>
          <w:color w:val="auto"/>
          <w:sz w:val="44"/>
          <w:szCs w:val="44"/>
        </w:rPr>
      </w:pPr>
      <w:r>
        <w:rPr>
          <w:rFonts w:hint="eastAsia" w:ascii="仿宋" w:hAnsi="仿宋" w:eastAsia="仿宋" w:cs="仿宋"/>
          <w:b/>
          <w:color w:val="auto"/>
          <w:sz w:val="44"/>
          <w:szCs w:val="44"/>
          <w:lang w:val="en-US" w:eastAsia="zh-CN"/>
        </w:rPr>
        <w:t>榆林市不动产登记中心2025年不动产登记责任保险服务</w:t>
      </w:r>
    </w:p>
    <w:p w14:paraId="381152DB">
      <w:pPr>
        <w:pStyle w:val="46"/>
        <w:spacing w:line="360" w:lineRule="auto"/>
        <w:rPr>
          <w:rFonts w:hint="eastAsia" w:ascii="仿宋" w:hAnsi="仿宋" w:eastAsia="仿宋" w:cs="仿宋"/>
          <w:b/>
          <w:bCs/>
          <w:color w:val="auto"/>
          <w:sz w:val="28"/>
          <w:szCs w:val="28"/>
        </w:rPr>
      </w:pPr>
    </w:p>
    <w:p w14:paraId="5DBF89D3">
      <w:pPr>
        <w:pStyle w:val="46"/>
        <w:spacing w:line="360" w:lineRule="auto"/>
        <w:rPr>
          <w:rFonts w:hint="eastAsia" w:ascii="仿宋" w:hAnsi="仿宋" w:eastAsia="仿宋" w:cs="仿宋"/>
          <w:b/>
          <w:bCs/>
          <w:color w:val="auto"/>
          <w:sz w:val="28"/>
          <w:szCs w:val="28"/>
        </w:rPr>
      </w:pPr>
    </w:p>
    <w:p w14:paraId="4DD7A138">
      <w:pPr>
        <w:pStyle w:val="46"/>
        <w:spacing w:line="360" w:lineRule="auto"/>
        <w:ind w:left="0" w:leftChars="0" w:firstLine="0" w:firstLineChars="0"/>
        <w:rPr>
          <w:rFonts w:hint="eastAsia" w:ascii="仿宋" w:hAnsi="仿宋" w:eastAsia="仿宋" w:cs="仿宋"/>
          <w:b/>
          <w:bCs/>
          <w:color w:val="auto"/>
          <w:sz w:val="36"/>
          <w:szCs w:val="36"/>
        </w:rPr>
      </w:pPr>
    </w:p>
    <w:p w14:paraId="5CC52065">
      <w:pPr>
        <w:spacing w:line="360" w:lineRule="auto"/>
        <w:jc w:val="center"/>
        <w:rPr>
          <w:rFonts w:hint="eastAsia" w:ascii="仿宋" w:hAnsi="仿宋" w:eastAsia="仿宋" w:cs="仿宋"/>
          <w:b/>
          <w:color w:val="auto"/>
        </w:rPr>
      </w:pPr>
      <w:r>
        <w:rPr>
          <w:rFonts w:hint="eastAsia" w:ascii="仿宋" w:hAnsi="仿宋" w:eastAsia="仿宋" w:cs="仿宋"/>
          <w:b/>
          <w:color w:val="auto"/>
          <w:sz w:val="96"/>
          <w:szCs w:val="96"/>
        </w:rPr>
        <w:t>竞争性磋商文件</w:t>
      </w:r>
    </w:p>
    <w:p w14:paraId="34F6D4D0">
      <w:pPr>
        <w:pStyle w:val="6"/>
        <w:spacing w:line="360" w:lineRule="auto"/>
        <w:rPr>
          <w:rFonts w:hint="eastAsia" w:ascii="仿宋" w:hAnsi="仿宋" w:eastAsia="仿宋" w:cs="仿宋"/>
          <w:color w:val="auto"/>
          <w:sz w:val="18"/>
          <w:szCs w:val="18"/>
        </w:rPr>
      </w:pPr>
    </w:p>
    <w:p w14:paraId="247800F2">
      <w:pPr>
        <w:spacing w:line="360" w:lineRule="auto"/>
        <w:rPr>
          <w:rFonts w:hint="eastAsia" w:ascii="仿宋" w:hAnsi="仿宋" w:eastAsia="仿宋" w:cs="仿宋"/>
          <w:color w:val="auto"/>
        </w:rPr>
      </w:pPr>
    </w:p>
    <w:p w14:paraId="3F1F9DC4">
      <w:pPr>
        <w:spacing w:line="360" w:lineRule="auto"/>
        <w:rPr>
          <w:rFonts w:hint="eastAsia" w:ascii="仿宋" w:hAnsi="仿宋" w:eastAsia="仿宋" w:cs="仿宋"/>
          <w:b/>
          <w:color w:val="auto"/>
          <w:sz w:val="16"/>
          <w:szCs w:val="11"/>
          <w:lang w:val="en-ZA"/>
        </w:rPr>
      </w:pPr>
    </w:p>
    <w:p w14:paraId="0C50E506">
      <w:pPr>
        <w:spacing w:line="360" w:lineRule="auto"/>
        <w:rPr>
          <w:rFonts w:hint="eastAsia" w:ascii="仿宋" w:hAnsi="仿宋" w:eastAsia="仿宋" w:cs="仿宋"/>
          <w:b/>
          <w:color w:val="auto"/>
          <w:lang w:val="en-ZA"/>
        </w:rPr>
      </w:pPr>
    </w:p>
    <w:p w14:paraId="1F419FA3">
      <w:pPr>
        <w:spacing w:line="360" w:lineRule="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rPr>
        <w:t>采   购   人：</w:t>
      </w:r>
      <w:r>
        <w:rPr>
          <w:rFonts w:hint="eastAsia" w:ascii="仿宋" w:hAnsi="仿宋" w:eastAsia="仿宋" w:cs="仿宋"/>
          <w:b/>
          <w:color w:val="auto"/>
          <w:sz w:val="32"/>
          <w:szCs w:val="32"/>
          <w:lang w:val="en-US" w:eastAsia="zh-CN"/>
        </w:rPr>
        <w:t>榆林市不动产登记中心</w:t>
      </w:r>
    </w:p>
    <w:p w14:paraId="7F976F1A">
      <w:pPr>
        <w:spacing w:line="360" w:lineRule="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rPr>
        <w:t>采购代理机构：</w:t>
      </w:r>
      <w:r>
        <w:rPr>
          <w:rFonts w:hint="eastAsia" w:ascii="仿宋" w:hAnsi="仿宋" w:eastAsia="仿宋" w:cs="仿宋"/>
          <w:b/>
          <w:color w:val="auto"/>
          <w:sz w:val="32"/>
          <w:szCs w:val="32"/>
          <w:lang w:eastAsia="zh-CN"/>
        </w:rPr>
        <w:t>榆林市不动产登记中心</w:t>
      </w:r>
    </w:p>
    <w:p w14:paraId="331A93E6">
      <w:pPr>
        <w:pStyle w:val="17"/>
        <w:spacing w:line="360" w:lineRule="auto"/>
        <w:rPr>
          <w:rFonts w:hint="eastAsia" w:ascii="仿宋" w:hAnsi="仿宋" w:eastAsia="仿宋" w:cs="仿宋"/>
          <w:color w:val="auto"/>
          <w:sz w:val="32"/>
          <w:szCs w:val="32"/>
        </w:rPr>
      </w:pPr>
    </w:p>
    <w:p w14:paraId="40F63EB7">
      <w:pPr>
        <w:spacing w:line="360" w:lineRule="auto"/>
        <w:ind w:firstLine="2891" w:firstLineChars="900"/>
        <w:rPr>
          <w:rFonts w:hint="eastAsia" w:ascii="仿宋" w:hAnsi="仿宋" w:eastAsia="仿宋" w:cs="仿宋"/>
          <w:b/>
          <w:color w:val="auto"/>
          <w:sz w:val="32"/>
          <w:szCs w:val="32"/>
        </w:rPr>
      </w:pPr>
      <w:r>
        <w:rPr>
          <w:rFonts w:hint="eastAsia" w:ascii="仿宋" w:hAnsi="仿宋" w:eastAsia="仿宋" w:cs="仿宋"/>
          <w:b/>
          <w:color w:val="auto"/>
          <w:sz w:val="32"/>
          <w:szCs w:val="32"/>
        </w:rPr>
        <w:t>二〇二</w:t>
      </w:r>
      <w:r>
        <w:rPr>
          <w:rFonts w:hint="eastAsia" w:ascii="仿宋" w:hAnsi="仿宋" w:eastAsia="仿宋" w:cs="仿宋"/>
          <w:b/>
          <w:color w:val="auto"/>
          <w:sz w:val="32"/>
          <w:szCs w:val="32"/>
          <w:lang w:val="en-US" w:eastAsia="zh-CN"/>
        </w:rPr>
        <w:t>五</w:t>
      </w:r>
      <w:r>
        <w:rPr>
          <w:rFonts w:hint="eastAsia" w:ascii="仿宋" w:hAnsi="仿宋" w:eastAsia="仿宋" w:cs="仿宋"/>
          <w:b/>
          <w:color w:val="auto"/>
          <w:sz w:val="32"/>
          <w:szCs w:val="32"/>
          <w:lang w:eastAsia="zh-CN"/>
        </w:rPr>
        <w:t>年</w:t>
      </w:r>
      <w:r>
        <w:rPr>
          <w:rFonts w:hint="eastAsia" w:ascii="仿宋" w:hAnsi="仿宋" w:eastAsia="仿宋" w:cs="仿宋"/>
          <w:b/>
          <w:color w:val="auto"/>
          <w:sz w:val="32"/>
          <w:szCs w:val="32"/>
          <w:lang w:val="en-US" w:eastAsia="zh-CN"/>
        </w:rPr>
        <w:t>十</w:t>
      </w:r>
      <w:r>
        <w:rPr>
          <w:rFonts w:hint="eastAsia" w:ascii="仿宋" w:hAnsi="仿宋" w:eastAsia="仿宋" w:cs="仿宋"/>
          <w:b/>
          <w:color w:val="auto"/>
          <w:sz w:val="32"/>
          <w:szCs w:val="32"/>
        </w:rPr>
        <w:t>月</w:t>
      </w:r>
    </w:p>
    <w:p w14:paraId="6C7B45A6">
      <w:pPr>
        <w:spacing w:line="360" w:lineRule="auto"/>
        <w:rPr>
          <w:rFonts w:hint="eastAsia" w:ascii="仿宋" w:hAnsi="仿宋" w:eastAsia="仿宋" w:cs="仿宋"/>
          <w:color w:val="auto"/>
          <w:sz w:val="32"/>
          <w:szCs w:val="32"/>
        </w:rPr>
        <w:sectPr>
          <w:headerReference r:id="rId3" w:type="first"/>
          <w:footerReference r:id="rId4" w:type="default"/>
          <w:pgSz w:w="11905" w:h="16838"/>
          <w:pgMar w:top="1440" w:right="1080" w:bottom="1440" w:left="1080" w:header="850" w:footer="1134" w:gutter="567"/>
          <w:pgBorders>
            <w:top w:val="none" w:sz="0" w:space="0"/>
            <w:left w:val="none" w:sz="0" w:space="0"/>
            <w:bottom w:val="none" w:sz="0" w:space="0"/>
            <w:right w:val="none" w:sz="0" w:space="0"/>
          </w:pgBorders>
          <w:pgNumType w:start="1"/>
          <w:cols w:space="0" w:num="1"/>
          <w:titlePg/>
          <w:rtlGutter w:val="0"/>
          <w:docGrid w:linePitch="312" w:charSpace="0"/>
        </w:sectPr>
      </w:pPr>
    </w:p>
    <w:p w14:paraId="39DDD440">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bCs/>
          <w:color w:val="auto"/>
          <w:sz w:val="40"/>
          <w:szCs w:val="28"/>
          <w:lang w:eastAsia="zh-CN"/>
        </w:rPr>
      </w:pPr>
      <w:bookmarkStart w:id="0" w:name="_Toc31341_WPSOffice_Level1"/>
      <w:bookmarkStart w:id="1" w:name="_Toc30185"/>
      <w:bookmarkStart w:id="2" w:name="_Toc29080"/>
      <w:bookmarkStart w:id="3" w:name="_Toc458617729"/>
      <w:bookmarkStart w:id="4" w:name="_Toc19866"/>
      <w:bookmarkStart w:id="5" w:name="_Toc21123"/>
      <w:bookmarkStart w:id="6" w:name="_Toc458617452"/>
      <w:r>
        <w:rPr>
          <w:rFonts w:hint="eastAsia" w:ascii="仿宋" w:hAnsi="仿宋" w:eastAsia="仿宋" w:cs="仿宋"/>
          <w:b/>
          <w:bCs/>
          <w:color w:val="auto"/>
          <w:sz w:val="40"/>
          <w:szCs w:val="28"/>
          <w:lang w:eastAsia="zh-CN"/>
        </w:rPr>
        <w:t>目</w:t>
      </w:r>
      <w:r>
        <w:rPr>
          <w:rFonts w:hint="eastAsia" w:ascii="仿宋" w:hAnsi="仿宋" w:eastAsia="仿宋" w:cs="仿宋"/>
          <w:b/>
          <w:bCs/>
          <w:color w:val="auto"/>
          <w:sz w:val="40"/>
          <w:szCs w:val="28"/>
          <w:lang w:val="en-US" w:eastAsia="zh-CN"/>
        </w:rPr>
        <w:t xml:space="preserve">  </w:t>
      </w:r>
      <w:r>
        <w:rPr>
          <w:rFonts w:hint="eastAsia" w:ascii="仿宋" w:hAnsi="仿宋" w:eastAsia="仿宋" w:cs="仿宋"/>
          <w:b/>
          <w:bCs/>
          <w:color w:val="auto"/>
          <w:sz w:val="40"/>
          <w:szCs w:val="28"/>
          <w:lang w:eastAsia="zh-CN"/>
        </w:rPr>
        <w:t>录</w:t>
      </w:r>
    </w:p>
    <w:p w14:paraId="4F124CE8">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TOC \o "1-3" \h \u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_Toc23729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第一章  竞争性磋商公告</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_Toc23729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61DDDF75">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_Toc27752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kern w:val="44"/>
          <w:sz w:val="24"/>
          <w:szCs w:val="24"/>
          <w:lang w:val="en-US" w:eastAsia="zh-CN" w:bidi="ar-SA"/>
        </w:rPr>
        <w:t>第二章 供应商须知</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_Toc27752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169EA1B6">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_Toc17535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供应商须知前附表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_Toc17535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5D5EBE53">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_Toc18485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 xml:space="preserve">第三章  </w:t>
      </w:r>
      <w:r>
        <w:rPr>
          <w:rFonts w:hint="eastAsia" w:ascii="仿宋" w:hAnsi="仿宋" w:eastAsia="仿宋" w:cs="仿宋"/>
          <w:color w:val="auto"/>
          <w:sz w:val="24"/>
          <w:szCs w:val="24"/>
        </w:rPr>
        <w:t>采购内容及技术要求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_Toc18485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19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3B407EDE">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_Toc31458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lang w:val="en-US" w:eastAsia="zh-CN"/>
        </w:rPr>
        <w:t xml:space="preserve">第四章 </w:t>
      </w:r>
      <w:r>
        <w:rPr>
          <w:rFonts w:hint="eastAsia" w:ascii="仿宋" w:hAnsi="仿宋" w:eastAsia="仿宋" w:cs="仿宋"/>
          <w:bCs/>
          <w:color w:val="auto"/>
          <w:sz w:val="24"/>
          <w:szCs w:val="24"/>
        </w:rPr>
        <w:t xml:space="preserve"> 商务要求</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_Toc31458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7FFD7B14">
      <w:pPr>
        <w:pStyle w:val="20"/>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_Toc8712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 xml:space="preserve">第五章  </w:t>
      </w:r>
      <w:r>
        <w:rPr>
          <w:rFonts w:hint="eastAsia" w:ascii="仿宋" w:hAnsi="仿宋" w:eastAsia="仿宋" w:cs="仿宋"/>
          <w:color w:val="auto"/>
          <w:sz w:val="24"/>
          <w:szCs w:val="24"/>
        </w:rPr>
        <w:t>响应文件格式</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_Toc8712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5A9FC48D">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_Toc24822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磋商函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_Toc24822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28</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01B6FD3B">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_Toc18847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kern w:val="2"/>
          <w:sz w:val="24"/>
          <w:szCs w:val="24"/>
          <w:lang w:val="en-US" w:eastAsia="zh-CN" w:bidi="ar-SA"/>
        </w:rPr>
        <w:t>二、法定代表人证明书及法定代表人授权书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_Toc18847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70C854F8">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_Toc32505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-1、法定代表人证明书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_Toc32505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29</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7952A77C">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_Toc12768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lang w:val="en-US" w:eastAsia="zh-CN"/>
        </w:rPr>
        <w:t>2</w:t>
      </w:r>
      <w:r>
        <w:rPr>
          <w:rFonts w:hint="eastAsia" w:ascii="仿宋" w:hAnsi="仿宋" w:eastAsia="仿宋" w:cs="仿宋"/>
          <w:bCs/>
          <w:color w:val="auto"/>
          <w:sz w:val="24"/>
          <w:szCs w:val="24"/>
        </w:rPr>
        <w:t>-2、法定代表人授权书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_Toc12768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2A923D17">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_Toc32123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、磋商一览表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_Toc32123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1591194D">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_Toc5675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rPr>
        <w:t>分项报价表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_Toc5675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32</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575BCE4C">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_Toc8261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kern w:val="2"/>
          <w:sz w:val="24"/>
          <w:szCs w:val="24"/>
          <w:lang w:val="en-US" w:eastAsia="zh-CN" w:bidi="ar-SA"/>
        </w:rPr>
        <w:t>四、商务条款响应偏离表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_Toc8261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554F249E">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_Toc29033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kern w:val="2"/>
          <w:sz w:val="24"/>
          <w:szCs w:val="24"/>
          <w:lang w:val="en-US" w:eastAsia="zh-CN" w:bidi="ar-SA"/>
        </w:rPr>
        <w:t>五、技术规格响应偏离表</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_Toc29033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34</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02DA6B9F">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_Toc11224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、供应商资质证明文件</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_Toc11224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35</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675970C5">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_Toc15973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七、服务方案</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_Toc15973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36</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47FD447B">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_Toc7899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、投标人承诺书</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_Toc7899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37</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3F2F6F91">
      <w:pPr>
        <w:pStyle w:val="22"/>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_Toc23571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z w:val="24"/>
          <w:szCs w:val="24"/>
          <w:lang w:val="en-US" w:eastAsia="zh-CN"/>
        </w:rPr>
        <w:t>九、中小</w:t>
      </w:r>
      <w:r>
        <w:rPr>
          <w:rFonts w:hint="eastAsia" w:ascii="仿宋" w:hAnsi="仿宋" w:eastAsia="仿宋" w:cs="仿宋"/>
          <w:color w:val="auto"/>
          <w:sz w:val="24"/>
          <w:szCs w:val="24"/>
        </w:rPr>
        <w:t>企业、监狱企业、残疾人福利单位声明函或证明</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_Toc23571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18EC8E41">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_Toc21457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pacing w:val="6"/>
          <w:sz w:val="24"/>
          <w:szCs w:val="24"/>
        </w:rPr>
        <w:t xml:space="preserve">1. </w:t>
      </w:r>
      <w:r>
        <w:rPr>
          <w:rFonts w:hint="eastAsia" w:ascii="仿宋" w:hAnsi="仿宋" w:eastAsia="仿宋" w:cs="仿宋"/>
          <w:color w:val="auto"/>
          <w:spacing w:val="6"/>
          <w:sz w:val="24"/>
          <w:szCs w:val="24"/>
          <w:lang w:val="en-US" w:eastAsia="zh-CN"/>
        </w:rPr>
        <w:t>中小</w:t>
      </w:r>
      <w:r>
        <w:rPr>
          <w:rFonts w:hint="eastAsia" w:ascii="仿宋" w:hAnsi="仿宋" w:eastAsia="仿宋" w:cs="仿宋"/>
          <w:color w:val="auto"/>
          <w:spacing w:val="6"/>
          <w:sz w:val="24"/>
          <w:szCs w:val="24"/>
        </w:rPr>
        <w:t>企业声明函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_Toc21457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55895738">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_Toc15575 </w:instrText>
      </w:r>
      <w:r>
        <w:rPr>
          <w:rFonts w:hint="eastAsia" w:ascii="仿宋" w:hAnsi="仿宋" w:eastAsia="仿宋" w:cs="仿宋"/>
          <w:color w:val="auto"/>
          <w:sz w:val="24"/>
          <w:szCs w:val="24"/>
          <w:lang w:eastAsia="zh-CN"/>
        </w:rPr>
        <w:fldChar w:fldCharType="separate"/>
      </w:r>
      <w:r>
        <w:rPr>
          <w:rFonts w:hint="eastAsia" w:ascii="仿宋" w:hAnsi="仿宋" w:eastAsia="仿宋" w:cs="仿宋"/>
          <w:color w:val="auto"/>
          <w:spacing w:val="6"/>
          <w:sz w:val="24"/>
          <w:szCs w:val="24"/>
        </w:rPr>
        <w:t>2. 残疾人福利性单位声明函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_Toc15575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41</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0BAAB193">
      <w:pPr>
        <w:pStyle w:val="14"/>
        <w:keepNext w:val="0"/>
        <w:keepLines w:val="0"/>
        <w:pageBreakBefore w:val="0"/>
        <w:widowControl w:val="0"/>
        <w:tabs>
          <w:tab w:val="right" w:leader="dot" w:pos="8997"/>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fldChar w:fldCharType="begin"/>
      </w:r>
      <w:r>
        <w:rPr>
          <w:rFonts w:hint="eastAsia" w:ascii="仿宋" w:hAnsi="仿宋" w:eastAsia="仿宋" w:cs="仿宋"/>
          <w:color w:val="auto"/>
          <w:sz w:val="24"/>
          <w:szCs w:val="24"/>
          <w:lang w:eastAsia="zh-CN"/>
        </w:rPr>
        <w:instrText xml:space="preserve"> HYPERLINK \l _Toc13745 </w:instrText>
      </w:r>
      <w:r>
        <w:rPr>
          <w:rFonts w:hint="eastAsia" w:ascii="仿宋" w:hAnsi="仿宋" w:eastAsia="仿宋" w:cs="仿宋"/>
          <w:color w:val="auto"/>
          <w:sz w:val="24"/>
          <w:szCs w:val="24"/>
          <w:lang w:eastAsia="zh-CN"/>
        </w:rPr>
        <w:fldChar w:fldCharType="separate"/>
      </w:r>
      <w:r>
        <w:rPr>
          <w:rFonts w:hint="eastAsia" w:ascii="仿宋" w:hAnsi="仿宋" w:eastAsia="仿宋" w:cs="仿宋"/>
          <w:bCs/>
          <w:color w:val="auto"/>
          <w:sz w:val="24"/>
          <w:szCs w:val="24"/>
        </w:rPr>
        <w:t>3.</w:t>
      </w:r>
      <w:r>
        <w:rPr>
          <w:rFonts w:hint="eastAsia" w:ascii="仿宋" w:hAnsi="仿宋" w:eastAsia="仿宋" w:cs="仿宋"/>
          <w:color w:val="auto"/>
          <w:spacing w:val="6"/>
          <w:sz w:val="24"/>
          <w:szCs w:val="24"/>
        </w:rPr>
        <w:t>监狱企业证明函</w:t>
      </w:r>
      <w:r>
        <w:rPr>
          <w:rFonts w:hint="eastAsia" w:ascii="仿宋" w:hAnsi="仿宋" w:eastAsia="仿宋" w:cs="仿宋"/>
          <w:color w:val="auto"/>
          <w:sz w:val="24"/>
          <w:szCs w:val="24"/>
        </w:rPr>
        <w:tab/>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PAGEREF _Toc13745 \h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43</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eastAsia="zh-CN"/>
        </w:rPr>
        <w:fldChar w:fldCharType="end"/>
      </w:r>
    </w:p>
    <w:p w14:paraId="1EFBF6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fldChar w:fldCharType="end"/>
      </w:r>
    </w:p>
    <w:p w14:paraId="17F43E0C">
      <w:pPr>
        <w:pStyle w:val="3"/>
        <w:spacing w:line="360" w:lineRule="auto"/>
        <w:jc w:val="both"/>
        <w:rPr>
          <w:rFonts w:hint="eastAsia" w:ascii="仿宋" w:hAnsi="仿宋" w:eastAsia="仿宋" w:cs="仿宋"/>
          <w:color w:val="auto"/>
        </w:rPr>
      </w:pPr>
      <w:bookmarkStart w:id="7" w:name="_Toc13919"/>
    </w:p>
    <w:p w14:paraId="2AC2FFC3">
      <w:pPr>
        <w:spacing w:line="360" w:lineRule="auto"/>
        <w:rPr>
          <w:rFonts w:hint="eastAsia" w:ascii="仿宋" w:hAnsi="仿宋" w:eastAsia="仿宋" w:cs="仿宋"/>
          <w:color w:val="auto"/>
        </w:rPr>
      </w:pPr>
    </w:p>
    <w:p w14:paraId="6F5AA95C">
      <w:pPr>
        <w:pStyle w:val="17"/>
        <w:spacing w:line="360" w:lineRule="auto"/>
        <w:rPr>
          <w:rFonts w:hint="eastAsia" w:ascii="仿宋" w:hAnsi="仿宋" w:eastAsia="仿宋" w:cs="仿宋"/>
          <w:color w:val="auto"/>
        </w:rPr>
      </w:pPr>
    </w:p>
    <w:p w14:paraId="5C938192">
      <w:pPr>
        <w:pStyle w:val="17"/>
        <w:spacing w:line="360" w:lineRule="auto"/>
        <w:rPr>
          <w:rFonts w:hint="eastAsia" w:ascii="仿宋" w:hAnsi="仿宋" w:eastAsia="仿宋" w:cs="仿宋"/>
          <w:color w:val="auto"/>
        </w:rPr>
      </w:pPr>
    </w:p>
    <w:p w14:paraId="7D4EA8E7">
      <w:pPr>
        <w:pStyle w:val="3"/>
        <w:bidi w:val="0"/>
        <w:spacing w:line="360" w:lineRule="auto"/>
        <w:rPr>
          <w:rFonts w:hint="eastAsia" w:ascii="仿宋" w:hAnsi="仿宋" w:eastAsia="仿宋" w:cs="仿宋"/>
          <w:color w:val="auto"/>
        </w:rPr>
        <w:sectPr>
          <w:footerReference r:id="rId5" w:type="default"/>
          <w:pgSz w:w="11900" w:h="16838"/>
          <w:pgMar w:top="1440" w:right="1080" w:bottom="1440" w:left="1080" w:header="850" w:footer="850" w:gutter="0"/>
          <w:pgNumType w:fmt="decimal"/>
          <w:cols w:space="720" w:num="1"/>
          <w:docGrid w:linePitch="326" w:charSpace="0"/>
        </w:sectPr>
      </w:pPr>
      <w:bookmarkStart w:id="8" w:name="_Toc23729"/>
    </w:p>
    <w:p w14:paraId="47CFE130">
      <w:pPr>
        <w:pStyle w:val="3"/>
        <w:bidi w:val="0"/>
        <w:spacing w:line="360" w:lineRule="auto"/>
        <w:rPr>
          <w:rFonts w:hint="eastAsia" w:ascii="仿宋" w:hAnsi="仿宋" w:eastAsia="仿宋" w:cs="仿宋"/>
          <w:color w:val="auto"/>
        </w:rPr>
      </w:pPr>
      <w:r>
        <w:rPr>
          <w:rFonts w:hint="eastAsia" w:ascii="仿宋" w:hAnsi="仿宋" w:eastAsia="仿宋" w:cs="仿宋"/>
          <w:color w:val="auto"/>
        </w:rPr>
        <w:t>第一章  竞争性磋商公告</w:t>
      </w:r>
      <w:bookmarkEnd w:id="0"/>
      <w:bookmarkEnd w:id="1"/>
      <w:bookmarkEnd w:id="2"/>
      <w:bookmarkEnd w:id="3"/>
      <w:bookmarkEnd w:id="4"/>
      <w:bookmarkEnd w:id="5"/>
      <w:bookmarkEnd w:id="6"/>
      <w:bookmarkEnd w:id="7"/>
      <w:bookmarkEnd w:id="8"/>
    </w:p>
    <w:p w14:paraId="3A494E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仿宋" w:hAnsi="仿宋" w:eastAsia="仿宋" w:cs="仿宋"/>
          <w:b w:val="0"/>
          <w:bCs w:val="0"/>
          <w:sz w:val="24"/>
          <w:szCs w:val="24"/>
        </w:rPr>
      </w:pPr>
      <w:bookmarkStart w:id="9" w:name="_Toc28595"/>
      <w:bookmarkStart w:id="10" w:name="_Toc27526"/>
      <w:bookmarkStart w:id="11" w:name="_Toc12217"/>
      <w:bookmarkStart w:id="12" w:name="_Toc3"/>
      <w:bookmarkStart w:id="13" w:name="_Toc6954_WPSOffice_Level1"/>
      <w:r>
        <w:rPr>
          <w:rStyle w:val="31"/>
          <w:rFonts w:hint="eastAsia" w:ascii="仿宋" w:hAnsi="仿宋" w:eastAsia="仿宋" w:cs="仿宋"/>
          <w:b/>
          <w:bCs/>
          <w:i w:val="0"/>
          <w:iCs w:val="0"/>
          <w:caps w:val="0"/>
          <w:color w:val="333333"/>
          <w:spacing w:val="0"/>
          <w:sz w:val="24"/>
          <w:szCs w:val="24"/>
          <w:shd w:val="clear" w:fill="FFFFFF"/>
          <w:vertAlign w:val="baseline"/>
        </w:rPr>
        <w:t>项目概况</w:t>
      </w:r>
    </w:p>
    <w:p w14:paraId="5F0E6025">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2025年不动产登记责任保险服务采购项目的潜在供应商应在市民大厦9楼908获取采购文件，并于 2025年11月03日 09时30分 （北京时间）前提交响应文件。</w:t>
      </w:r>
    </w:p>
    <w:p w14:paraId="0FD4F7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一、项目基本情况</w:t>
      </w:r>
    </w:p>
    <w:p w14:paraId="1C378E0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项目编号：BDC202501XX</w:t>
      </w:r>
    </w:p>
    <w:p w14:paraId="061FAA9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项目名称：2025年不动产登记责任保险服务</w:t>
      </w:r>
    </w:p>
    <w:p w14:paraId="75AE78F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采购方式：竞争性磋商</w:t>
      </w:r>
    </w:p>
    <w:p w14:paraId="6EA3A14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预算金额：150,000.00元</w:t>
      </w:r>
    </w:p>
    <w:p w14:paraId="69547AA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采购需求：</w:t>
      </w:r>
    </w:p>
    <w:p w14:paraId="7704505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合同包1(不动产登记责任险):</w:t>
      </w:r>
    </w:p>
    <w:p w14:paraId="3918143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合同包预算金额：150,000.00元</w:t>
      </w:r>
    </w:p>
    <w:p w14:paraId="3FF13D0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合同包最高限价：150,000.00元</w:t>
      </w:r>
    </w:p>
    <w:tbl>
      <w:tblPr>
        <w:tblStyle w:val="2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26"/>
        <w:gridCol w:w="2482"/>
        <w:gridCol w:w="2249"/>
        <w:gridCol w:w="910"/>
        <w:gridCol w:w="1762"/>
        <w:gridCol w:w="1441"/>
      </w:tblGrid>
      <w:tr w14:paraId="6D98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5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612BDF">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品目号</w:t>
            </w:r>
          </w:p>
        </w:tc>
        <w:tc>
          <w:tcPr>
            <w:tcW w:w="12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733D73">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品目名称</w:t>
            </w:r>
          </w:p>
        </w:tc>
        <w:tc>
          <w:tcPr>
            <w:tcW w:w="11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64E7C3">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采购标的</w:t>
            </w:r>
          </w:p>
        </w:tc>
        <w:tc>
          <w:tcPr>
            <w:tcW w:w="4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1C82372">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数量（单位）</w:t>
            </w:r>
          </w:p>
        </w:tc>
        <w:tc>
          <w:tcPr>
            <w:tcW w:w="8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2B18DD">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技术规格、参数及要求</w:t>
            </w:r>
          </w:p>
        </w:tc>
        <w:tc>
          <w:tcPr>
            <w:tcW w:w="7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8D1DB9">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val="en-US" w:eastAsia="zh-CN" w:bidi="ar"/>
              </w:rPr>
              <w:t>品目预算(元)</w:t>
            </w:r>
          </w:p>
        </w:tc>
      </w:tr>
      <w:tr w14:paraId="01BD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5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F07544">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1-1</w:t>
            </w:r>
          </w:p>
        </w:tc>
        <w:tc>
          <w:tcPr>
            <w:tcW w:w="12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646810">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其他商业保险服务</w:t>
            </w:r>
          </w:p>
        </w:tc>
        <w:tc>
          <w:tcPr>
            <w:tcW w:w="11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8A3576">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保险服务</w:t>
            </w:r>
          </w:p>
        </w:tc>
        <w:tc>
          <w:tcPr>
            <w:tcW w:w="45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46BB4F">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1(项)</w:t>
            </w:r>
          </w:p>
        </w:tc>
        <w:tc>
          <w:tcPr>
            <w:tcW w:w="8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741BF6">
            <w:pPr>
              <w:keepNext w:val="0"/>
              <w:keepLines w:val="0"/>
              <w:widowControl/>
              <w:suppressLineNumbers w:val="0"/>
              <w:wordWrap w:val="0"/>
              <w:spacing w:before="0" w:beforeAutospacing="0" w:after="0" w:afterAutospacing="0" w:line="360" w:lineRule="auto"/>
              <w:ind w:left="0" w:right="0"/>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详见采购文件</w:t>
            </w:r>
          </w:p>
        </w:tc>
        <w:tc>
          <w:tcPr>
            <w:tcW w:w="7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DDEE9A">
            <w:pPr>
              <w:keepNext w:val="0"/>
              <w:keepLines w:val="0"/>
              <w:widowControl/>
              <w:suppressLineNumbers w:val="0"/>
              <w:wordWrap/>
              <w:spacing w:before="0" w:beforeAutospacing="0" w:after="0" w:afterAutospacing="0" w:line="360" w:lineRule="auto"/>
              <w:ind w:left="0" w:right="0"/>
              <w:jc w:val="right"/>
              <w:textAlignment w:val="center"/>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bidi="ar"/>
              </w:rPr>
              <w:t>150,000.00</w:t>
            </w:r>
          </w:p>
        </w:tc>
      </w:tr>
    </w:tbl>
    <w:p w14:paraId="571759F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本合同包不接受联合体投标</w:t>
      </w:r>
    </w:p>
    <w:p w14:paraId="5CA0BC9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合同履行期限：一年</w:t>
      </w:r>
    </w:p>
    <w:p w14:paraId="35F64CB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二、申请人的资格要求：</w:t>
      </w:r>
    </w:p>
    <w:p w14:paraId="4E00C4B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1.满足《中华人民共和国政府采购法》第二十二条规定;</w:t>
      </w:r>
    </w:p>
    <w:p w14:paraId="18F0DF0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2.落实政府采购政策需满足的资格要求： 无。</w:t>
      </w:r>
    </w:p>
    <w:p w14:paraId="3EA958B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3.本项目的特定资格要求：</w:t>
      </w:r>
    </w:p>
    <w:p w14:paraId="6D6E4DC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合同包1(不动产登记责任险)特定资格要求如下:</w:t>
      </w:r>
    </w:p>
    <w:p w14:paraId="02A56C5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无</w:t>
      </w:r>
    </w:p>
    <w:p w14:paraId="26F158C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三、获取采购文件</w:t>
      </w:r>
    </w:p>
    <w:p w14:paraId="71C93E6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时间： 2025年10月22日 至 2025年10月29日 ，每天上午 08:00:00 至 12:00:00 ，下午 12:00:00 至 18:00:00 （北京时间）</w:t>
      </w:r>
    </w:p>
    <w:p w14:paraId="18A4456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途径：市民大厦9楼908</w:t>
      </w:r>
    </w:p>
    <w:p w14:paraId="4424C5F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方式：现场获取</w:t>
      </w:r>
    </w:p>
    <w:p w14:paraId="48D3E37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售价： 0元</w:t>
      </w:r>
    </w:p>
    <w:p w14:paraId="736E4C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四、响应文件提交</w:t>
      </w:r>
    </w:p>
    <w:p w14:paraId="0157F973">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截止时间： 2025年11月03日 09时30分00秒 （北京时间）</w:t>
      </w:r>
    </w:p>
    <w:p w14:paraId="7258C0A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地点：市民大厦9楼902</w:t>
      </w:r>
    </w:p>
    <w:p w14:paraId="331E70F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五、开启</w:t>
      </w:r>
    </w:p>
    <w:p w14:paraId="1534631D">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时间： 2025年11月03日 09时30分00秒 （北京时间）</w:t>
      </w:r>
    </w:p>
    <w:p w14:paraId="7448FCD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地点：市民大厦9楼902</w:t>
      </w:r>
    </w:p>
    <w:p w14:paraId="681AEF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六、公告期限</w:t>
      </w:r>
    </w:p>
    <w:p w14:paraId="583D5F8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shd w:val="clear" w:fill="FFFFFF"/>
          <w:vertAlign w:val="baseline"/>
        </w:rPr>
        <w:t>自本公告发布之日起3个工作日。</w:t>
      </w:r>
    </w:p>
    <w:p w14:paraId="2B1345D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七、其他补充事宜</w:t>
      </w:r>
    </w:p>
    <w:p w14:paraId="44905E3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无</w:t>
      </w:r>
    </w:p>
    <w:p w14:paraId="752005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仿宋" w:hAnsi="仿宋" w:eastAsia="仿宋" w:cs="仿宋"/>
          <w:b w:val="0"/>
          <w:bCs w:val="0"/>
          <w:i w:val="0"/>
          <w:iCs w:val="0"/>
          <w:caps w:val="0"/>
          <w:color w:val="333333"/>
          <w:spacing w:val="0"/>
          <w:sz w:val="24"/>
          <w:szCs w:val="24"/>
        </w:rPr>
      </w:pPr>
      <w:r>
        <w:rPr>
          <w:rStyle w:val="31"/>
          <w:rFonts w:hint="eastAsia" w:ascii="仿宋" w:hAnsi="仿宋" w:eastAsia="仿宋" w:cs="仿宋"/>
          <w:b/>
          <w:bCs/>
          <w:i w:val="0"/>
          <w:iCs w:val="0"/>
          <w:caps w:val="0"/>
          <w:color w:val="333333"/>
          <w:spacing w:val="0"/>
          <w:sz w:val="24"/>
          <w:szCs w:val="24"/>
          <w:shd w:val="clear" w:fill="FFFFFF"/>
          <w:vertAlign w:val="baseline"/>
        </w:rPr>
        <w:t>八、对本次招标提出询问，请按以下方式联系。</w:t>
      </w:r>
    </w:p>
    <w:p w14:paraId="32B6A4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1.采购人信息</w:t>
      </w:r>
    </w:p>
    <w:p w14:paraId="234BF7F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名称：榆林市不动产登记中心</w:t>
      </w:r>
    </w:p>
    <w:p w14:paraId="7E61071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地址：市民大厦九楼</w:t>
      </w:r>
    </w:p>
    <w:p w14:paraId="42413E9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联系方式：0912-3858979</w:t>
      </w:r>
    </w:p>
    <w:p w14:paraId="6B7721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2.采购代理机构信息</w:t>
      </w:r>
    </w:p>
    <w:p w14:paraId="6834A5D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名称：榆林市不动产登记中心</w:t>
      </w:r>
    </w:p>
    <w:p w14:paraId="4040158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地址：市民大厦九楼</w:t>
      </w:r>
    </w:p>
    <w:p w14:paraId="05C945E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联系方式：0912-3858979</w:t>
      </w:r>
    </w:p>
    <w:p w14:paraId="487174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shd w:val="clear" w:fill="FFFFFF"/>
          <w:vertAlign w:val="baseline"/>
        </w:rPr>
        <w:t>3.项目联系方式</w:t>
      </w:r>
    </w:p>
    <w:p w14:paraId="4CF1884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项目联系人：榆林市不动产登记中心经办</w:t>
      </w:r>
    </w:p>
    <w:p w14:paraId="648CBAB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vertAlign w:val="baseline"/>
        </w:rPr>
        <w:t>电话：0912-3858979</w:t>
      </w:r>
    </w:p>
    <w:p w14:paraId="596E910F">
      <w:pPr>
        <w:spacing w:line="360" w:lineRule="auto"/>
        <w:rPr>
          <w:rFonts w:hint="eastAsia" w:ascii="仿宋" w:hAnsi="仿宋" w:eastAsia="仿宋" w:cs="仿宋"/>
          <w:b/>
          <w:bCs/>
          <w:color w:val="auto"/>
          <w:kern w:val="44"/>
          <w:sz w:val="24"/>
          <w:szCs w:val="24"/>
          <w:lang w:val="en-US" w:eastAsia="zh-CN" w:bidi="ar-SA"/>
        </w:rPr>
      </w:pPr>
      <w:r>
        <w:rPr>
          <w:rFonts w:hint="eastAsia" w:ascii="仿宋" w:hAnsi="仿宋" w:eastAsia="仿宋" w:cs="仿宋"/>
          <w:b/>
          <w:bCs/>
          <w:color w:val="auto"/>
          <w:kern w:val="44"/>
          <w:sz w:val="24"/>
          <w:szCs w:val="24"/>
          <w:lang w:val="en-US" w:eastAsia="zh-CN" w:bidi="ar-SA"/>
        </w:rPr>
        <w:br w:type="page"/>
      </w:r>
    </w:p>
    <w:p w14:paraId="14697857">
      <w:pPr>
        <w:numPr>
          <w:ilvl w:val="0"/>
          <w:numId w:val="0"/>
        </w:numPr>
        <w:spacing w:line="360" w:lineRule="auto"/>
        <w:ind w:firstLine="2891" w:firstLineChars="800"/>
        <w:outlineLvl w:val="0"/>
        <w:rPr>
          <w:rFonts w:hint="eastAsia" w:ascii="仿宋" w:hAnsi="仿宋" w:eastAsia="仿宋" w:cs="仿宋"/>
          <w:b/>
          <w:bCs/>
          <w:color w:val="auto"/>
          <w:kern w:val="44"/>
          <w:sz w:val="36"/>
          <w:szCs w:val="44"/>
          <w:lang w:val="en-US" w:eastAsia="zh-CN" w:bidi="ar-SA"/>
        </w:rPr>
      </w:pPr>
      <w:r>
        <w:rPr>
          <w:rFonts w:hint="eastAsia" w:ascii="仿宋" w:hAnsi="仿宋" w:eastAsia="仿宋" w:cs="仿宋"/>
          <w:b/>
          <w:bCs/>
          <w:color w:val="auto"/>
          <w:kern w:val="44"/>
          <w:sz w:val="36"/>
          <w:szCs w:val="44"/>
          <w:lang w:val="en-US" w:eastAsia="zh-CN" w:bidi="ar-SA"/>
        </w:rPr>
        <w:t xml:space="preserve">第二章  </w:t>
      </w:r>
      <w:bookmarkStart w:id="14" w:name="_Toc27752"/>
      <w:r>
        <w:rPr>
          <w:rFonts w:hint="eastAsia" w:ascii="仿宋" w:hAnsi="仿宋" w:eastAsia="仿宋" w:cs="仿宋"/>
          <w:b/>
          <w:bCs/>
          <w:color w:val="auto"/>
          <w:kern w:val="44"/>
          <w:sz w:val="36"/>
          <w:szCs w:val="44"/>
          <w:lang w:val="en-US" w:eastAsia="zh-CN" w:bidi="ar-SA"/>
        </w:rPr>
        <w:t>供应商须知</w:t>
      </w:r>
      <w:bookmarkEnd w:id="9"/>
      <w:bookmarkEnd w:id="10"/>
      <w:bookmarkEnd w:id="11"/>
      <w:bookmarkEnd w:id="12"/>
      <w:bookmarkEnd w:id="13"/>
      <w:bookmarkEnd w:id="14"/>
    </w:p>
    <w:p w14:paraId="6EA03F37">
      <w:pPr>
        <w:pStyle w:val="4"/>
        <w:keepNext/>
        <w:keepLines/>
        <w:pageBreakBefore w:val="0"/>
        <w:widowControl w:val="0"/>
        <w:kinsoku/>
        <w:wordWrap/>
        <w:overflowPunct/>
        <w:topLinePunct w:val="0"/>
        <w:autoSpaceDE/>
        <w:autoSpaceDN/>
        <w:bidi w:val="0"/>
        <w:adjustRightInd/>
        <w:snapToGrid/>
        <w:spacing w:before="0" w:after="0" w:line="360" w:lineRule="auto"/>
        <w:ind w:firstLine="3654" w:firstLineChars="1300"/>
        <w:jc w:val="both"/>
        <w:textAlignment w:val="auto"/>
        <w:rPr>
          <w:rFonts w:hint="eastAsia" w:ascii="仿宋" w:hAnsi="仿宋" w:eastAsia="仿宋" w:cs="仿宋"/>
          <w:b/>
          <w:color w:val="auto"/>
          <w:sz w:val="15"/>
          <w:szCs w:val="15"/>
        </w:rPr>
      </w:pPr>
      <w:bookmarkStart w:id="15" w:name="_Toc30624"/>
      <w:bookmarkStart w:id="16" w:name="_Toc7032"/>
      <w:bookmarkStart w:id="17" w:name="_Toc26603"/>
      <w:bookmarkStart w:id="18" w:name="_Toc17535"/>
      <w:bookmarkStart w:id="19" w:name="_Toc18614"/>
      <w:bookmarkStart w:id="20" w:name="_Toc909"/>
      <w:r>
        <w:rPr>
          <w:rFonts w:hint="eastAsia" w:ascii="仿宋" w:hAnsi="仿宋" w:eastAsia="仿宋" w:cs="仿宋"/>
          <w:color w:val="auto"/>
          <w:sz w:val="28"/>
          <w:szCs w:val="28"/>
        </w:rPr>
        <w:t>供应商须知前附表</w:t>
      </w:r>
      <w:bookmarkEnd w:id="15"/>
      <w:bookmarkEnd w:id="16"/>
      <w:bookmarkEnd w:id="17"/>
      <w:bookmarkEnd w:id="18"/>
      <w:bookmarkEnd w:id="19"/>
      <w:bookmarkEnd w:id="20"/>
    </w:p>
    <w:tbl>
      <w:tblPr>
        <w:tblStyle w:val="27"/>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14"/>
        <w:gridCol w:w="7200"/>
      </w:tblGrid>
      <w:tr w14:paraId="5011C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bottom"/>
          </w:tcPr>
          <w:p w14:paraId="46B1C2E7">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序号</w:t>
            </w:r>
          </w:p>
        </w:tc>
        <w:tc>
          <w:tcPr>
            <w:tcW w:w="2014" w:type="dxa"/>
            <w:vAlign w:val="bottom"/>
          </w:tcPr>
          <w:p w14:paraId="16A669B5">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条款名称</w:t>
            </w:r>
          </w:p>
        </w:tc>
        <w:tc>
          <w:tcPr>
            <w:tcW w:w="7200" w:type="dxa"/>
            <w:vAlign w:val="bottom"/>
          </w:tcPr>
          <w:p w14:paraId="166B50B9">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说明和要求</w:t>
            </w:r>
          </w:p>
        </w:tc>
      </w:tr>
      <w:tr w14:paraId="0D83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09" w:type="dxa"/>
            <w:vAlign w:val="center"/>
          </w:tcPr>
          <w:p w14:paraId="74473C5E">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w:t>
            </w:r>
          </w:p>
        </w:tc>
        <w:tc>
          <w:tcPr>
            <w:tcW w:w="2014" w:type="dxa"/>
            <w:vAlign w:val="center"/>
          </w:tcPr>
          <w:p w14:paraId="163B459F">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采购人</w:t>
            </w:r>
          </w:p>
        </w:tc>
        <w:tc>
          <w:tcPr>
            <w:tcW w:w="7200" w:type="dxa"/>
          </w:tcPr>
          <w:p w14:paraId="271F6B61">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采购人名称：榆林市不动产登记中心</w:t>
            </w:r>
          </w:p>
          <w:p w14:paraId="106E05EC">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地    址：市民大厦九楼</w:t>
            </w:r>
          </w:p>
        </w:tc>
      </w:tr>
      <w:tr w14:paraId="61CF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09" w:type="dxa"/>
            <w:vAlign w:val="center"/>
          </w:tcPr>
          <w:p w14:paraId="72FFB092">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2</w:t>
            </w:r>
          </w:p>
        </w:tc>
        <w:tc>
          <w:tcPr>
            <w:tcW w:w="2014" w:type="dxa"/>
            <w:vAlign w:val="center"/>
          </w:tcPr>
          <w:p w14:paraId="0F39988F">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采购代理机构</w:t>
            </w:r>
          </w:p>
        </w:tc>
        <w:tc>
          <w:tcPr>
            <w:tcW w:w="7200" w:type="dxa"/>
          </w:tcPr>
          <w:p w14:paraId="2314CE30">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采购代理机构名称：榆林市不动产登记中心 </w:t>
            </w:r>
          </w:p>
          <w:p w14:paraId="2F6A48AD">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地址：市民大厦九楼</w:t>
            </w:r>
          </w:p>
          <w:p w14:paraId="34DFA755">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联系人：榆林市不动产登记中心</w:t>
            </w:r>
            <w:r>
              <w:rPr>
                <w:rFonts w:hint="eastAsia" w:ascii="仿宋" w:hAnsi="仿宋" w:eastAsia="仿宋" w:cs="仿宋"/>
                <w:color w:val="auto"/>
                <w:sz w:val="24"/>
                <w:szCs w:val="24"/>
                <w:lang w:val="en-US" w:eastAsia="zh-CN"/>
              </w:rPr>
              <w:t>经办</w:t>
            </w:r>
          </w:p>
          <w:p w14:paraId="2A0DC7B2">
            <w:pPr>
              <w:spacing w:line="360" w:lineRule="auto"/>
              <w:rPr>
                <w:rFonts w:hint="eastAsia" w:ascii="仿宋" w:hAnsi="仿宋" w:eastAsia="仿宋" w:cs="仿宋"/>
                <w:color w:val="auto"/>
                <w:szCs w:val="24"/>
                <w:lang w:val="en-US" w:eastAsia="zh-CN"/>
              </w:rPr>
            </w:pPr>
            <w:r>
              <w:rPr>
                <w:rFonts w:hint="eastAsia" w:ascii="仿宋" w:hAnsi="仿宋" w:eastAsia="仿宋" w:cs="仿宋"/>
                <w:color w:val="auto"/>
                <w:sz w:val="24"/>
                <w:szCs w:val="24"/>
                <w:lang w:val="zh-CN"/>
              </w:rPr>
              <w:t>电话：0912-3858979</w:t>
            </w:r>
          </w:p>
        </w:tc>
      </w:tr>
      <w:tr w14:paraId="14F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9" w:type="dxa"/>
            <w:vAlign w:val="center"/>
          </w:tcPr>
          <w:p w14:paraId="4A422060">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3</w:t>
            </w:r>
          </w:p>
        </w:tc>
        <w:tc>
          <w:tcPr>
            <w:tcW w:w="2014" w:type="dxa"/>
            <w:vAlign w:val="center"/>
          </w:tcPr>
          <w:p w14:paraId="1ADA8970">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监督管理机构</w:t>
            </w:r>
          </w:p>
        </w:tc>
        <w:tc>
          <w:tcPr>
            <w:tcW w:w="7200" w:type="dxa"/>
          </w:tcPr>
          <w:p w14:paraId="16B38BFF">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榆林市</w:t>
            </w:r>
            <w:r>
              <w:rPr>
                <w:rFonts w:hint="eastAsia" w:ascii="仿宋" w:hAnsi="仿宋" w:eastAsia="仿宋" w:cs="仿宋"/>
                <w:color w:val="auto"/>
                <w:sz w:val="24"/>
                <w:szCs w:val="24"/>
                <w:lang w:val="en-US" w:eastAsia="zh-CN"/>
              </w:rPr>
              <w:t>财政局</w:t>
            </w:r>
          </w:p>
        </w:tc>
      </w:tr>
      <w:tr w14:paraId="0804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66D0D6AC">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4</w:t>
            </w:r>
          </w:p>
        </w:tc>
        <w:tc>
          <w:tcPr>
            <w:tcW w:w="2014" w:type="dxa"/>
            <w:vAlign w:val="center"/>
          </w:tcPr>
          <w:p w14:paraId="30192A62">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项目名称</w:t>
            </w:r>
          </w:p>
        </w:tc>
        <w:tc>
          <w:tcPr>
            <w:tcW w:w="7200" w:type="dxa"/>
            <w:vAlign w:val="center"/>
          </w:tcPr>
          <w:p w14:paraId="09162E0C">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zh-CN" w:eastAsia="zh-CN"/>
              </w:rPr>
              <w:t>榆林市不动产登记中心2025年不动产登记责任保险服务</w:t>
            </w:r>
          </w:p>
        </w:tc>
      </w:tr>
      <w:tr w14:paraId="713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D1CC8D">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5</w:t>
            </w:r>
          </w:p>
        </w:tc>
        <w:tc>
          <w:tcPr>
            <w:tcW w:w="2014" w:type="dxa"/>
            <w:vAlign w:val="center"/>
          </w:tcPr>
          <w:p w14:paraId="39D30D35">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项目编号</w:t>
            </w:r>
          </w:p>
        </w:tc>
        <w:tc>
          <w:tcPr>
            <w:tcW w:w="7200" w:type="dxa"/>
          </w:tcPr>
          <w:p w14:paraId="63B81430">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BDC202501XX</w:t>
            </w:r>
          </w:p>
        </w:tc>
      </w:tr>
      <w:tr w14:paraId="3EC3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619BA63">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6</w:t>
            </w:r>
          </w:p>
        </w:tc>
        <w:tc>
          <w:tcPr>
            <w:tcW w:w="2014" w:type="dxa"/>
            <w:vAlign w:val="center"/>
          </w:tcPr>
          <w:p w14:paraId="1FD5D45F">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资金性质</w:t>
            </w:r>
          </w:p>
        </w:tc>
        <w:tc>
          <w:tcPr>
            <w:tcW w:w="7200" w:type="dxa"/>
          </w:tcPr>
          <w:p w14:paraId="054F8051">
            <w:pPr>
              <w:spacing w:line="360" w:lineRule="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财政资金</w:t>
            </w:r>
          </w:p>
        </w:tc>
      </w:tr>
      <w:tr w14:paraId="3374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9" w:type="dxa"/>
            <w:vAlign w:val="center"/>
          </w:tcPr>
          <w:p w14:paraId="7A53FFE7">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7</w:t>
            </w:r>
          </w:p>
        </w:tc>
        <w:tc>
          <w:tcPr>
            <w:tcW w:w="2014" w:type="dxa"/>
            <w:vAlign w:val="center"/>
          </w:tcPr>
          <w:p w14:paraId="58B14B06">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项目预算</w:t>
            </w:r>
          </w:p>
        </w:tc>
        <w:tc>
          <w:tcPr>
            <w:tcW w:w="7200" w:type="dxa"/>
          </w:tcPr>
          <w:p w14:paraId="6272A292">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人民币</w:t>
            </w:r>
            <w:r>
              <w:rPr>
                <w:rFonts w:hint="eastAsia" w:ascii="仿宋" w:hAnsi="仿宋" w:eastAsia="仿宋" w:cs="仿宋"/>
                <w:color w:val="auto"/>
                <w:sz w:val="24"/>
                <w:szCs w:val="24"/>
                <w:lang w:val="en-US" w:eastAsia="zh-CN"/>
              </w:rPr>
              <w:t>壹拾伍万元整</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150000</w:t>
            </w:r>
            <w:r>
              <w:rPr>
                <w:rFonts w:hint="eastAsia" w:ascii="仿宋" w:hAnsi="仿宋" w:eastAsia="仿宋" w:cs="仿宋"/>
                <w:color w:val="auto"/>
                <w:sz w:val="24"/>
                <w:szCs w:val="24"/>
                <w:lang w:val="zh-CN"/>
              </w:rPr>
              <w:t>.00</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lang w:val="zh-CN"/>
              </w:rPr>
              <w:t>）</w:t>
            </w:r>
          </w:p>
        </w:tc>
      </w:tr>
      <w:tr w14:paraId="16D4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500BD7E8">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9</w:t>
            </w:r>
          </w:p>
        </w:tc>
        <w:tc>
          <w:tcPr>
            <w:tcW w:w="2014" w:type="dxa"/>
            <w:vAlign w:val="center"/>
          </w:tcPr>
          <w:p w14:paraId="7FEF25DC">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项目用途</w:t>
            </w:r>
          </w:p>
        </w:tc>
        <w:tc>
          <w:tcPr>
            <w:tcW w:w="7200" w:type="dxa"/>
          </w:tcPr>
          <w:p w14:paraId="54318218">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自用</w:t>
            </w:r>
          </w:p>
        </w:tc>
      </w:tr>
      <w:tr w14:paraId="5357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3DC67A5">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10</w:t>
            </w:r>
          </w:p>
        </w:tc>
        <w:tc>
          <w:tcPr>
            <w:tcW w:w="2014" w:type="dxa"/>
            <w:vAlign w:val="center"/>
          </w:tcPr>
          <w:p w14:paraId="46A6F9F0">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采购内容和要求</w:t>
            </w:r>
          </w:p>
        </w:tc>
        <w:tc>
          <w:tcPr>
            <w:tcW w:w="7200" w:type="dxa"/>
            <w:vAlign w:val="center"/>
          </w:tcPr>
          <w:p w14:paraId="07F3B0F2">
            <w:pPr>
              <w:spacing w:line="360" w:lineRule="auto"/>
              <w:jc w:val="both"/>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详见竞争性磋商文件第</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zh-CN" w:eastAsia="zh-CN"/>
              </w:rPr>
              <w:t>章</w:t>
            </w:r>
            <w:r>
              <w:rPr>
                <w:rFonts w:hint="eastAsia" w:ascii="仿宋" w:hAnsi="仿宋" w:eastAsia="仿宋" w:cs="仿宋"/>
                <w:color w:val="auto"/>
                <w:sz w:val="24"/>
                <w:szCs w:val="24"/>
              </w:rPr>
              <w:t>采购内容及技术要求</w:t>
            </w:r>
          </w:p>
        </w:tc>
      </w:tr>
      <w:tr w14:paraId="1C3F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C7AE281">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11</w:t>
            </w:r>
          </w:p>
        </w:tc>
        <w:tc>
          <w:tcPr>
            <w:tcW w:w="2014" w:type="dxa"/>
            <w:vAlign w:val="center"/>
          </w:tcPr>
          <w:p w14:paraId="72CE39D5">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w:t>
            </w:r>
          </w:p>
        </w:tc>
        <w:tc>
          <w:tcPr>
            <w:tcW w:w="7200" w:type="dxa"/>
          </w:tcPr>
          <w:p w14:paraId="41BDBDAE">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w:t>
            </w:r>
            <w:r>
              <w:rPr>
                <w:rFonts w:hint="eastAsia" w:ascii="仿宋" w:hAnsi="仿宋" w:eastAsia="仿宋" w:cs="仿宋"/>
                <w:color w:val="auto"/>
                <w:sz w:val="24"/>
                <w:szCs w:val="24"/>
                <w:lang w:val="zh-CN"/>
              </w:rPr>
              <w:fldChar w:fldCharType="begin"/>
            </w:r>
            <w:r>
              <w:rPr>
                <w:rFonts w:hint="eastAsia" w:ascii="仿宋" w:hAnsi="仿宋" w:eastAsia="仿宋" w:cs="仿宋"/>
                <w:color w:val="auto"/>
                <w:sz w:val="24"/>
                <w:szCs w:val="24"/>
                <w:lang w:val="zh-CN"/>
              </w:rPr>
              <w:instrText xml:space="preserve"> HYPERLINK "http://baike.baidu.com/view/8707.htm" \t "_blank" </w:instrText>
            </w:r>
            <w:r>
              <w:rPr>
                <w:rFonts w:hint="eastAsia" w:ascii="仿宋" w:hAnsi="仿宋" w:eastAsia="仿宋" w:cs="仿宋"/>
                <w:color w:val="auto"/>
                <w:sz w:val="24"/>
                <w:szCs w:val="24"/>
                <w:lang w:val="zh-CN"/>
              </w:rPr>
              <w:fldChar w:fldCharType="separate"/>
            </w:r>
            <w:r>
              <w:rPr>
                <w:rFonts w:hint="eastAsia" w:ascii="仿宋" w:hAnsi="仿宋" w:eastAsia="仿宋" w:cs="仿宋"/>
                <w:color w:val="auto"/>
                <w:sz w:val="24"/>
                <w:szCs w:val="24"/>
                <w:lang w:val="zh-CN"/>
              </w:rPr>
              <w:t>招标</w:t>
            </w:r>
            <w:r>
              <w:rPr>
                <w:rFonts w:hint="eastAsia" w:ascii="仿宋" w:hAnsi="仿宋" w:eastAsia="仿宋" w:cs="仿宋"/>
                <w:color w:val="auto"/>
                <w:sz w:val="24"/>
                <w:szCs w:val="24"/>
                <w:lang w:val="zh-CN"/>
              </w:rPr>
              <w:fldChar w:fldCharType="end"/>
            </w:r>
            <w:r>
              <w:rPr>
                <w:rFonts w:hint="eastAsia" w:ascii="仿宋" w:hAnsi="仿宋" w:eastAsia="仿宋" w:cs="仿宋"/>
                <w:color w:val="auto"/>
                <w:sz w:val="24"/>
                <w:szCs w:val="24"/>
                <w:lang w:val="zh-CN"/>
              </w:rPr>
              <w:t>并且符合竞争性磋商文件规定资格条件和参加投标竞争的法人或其他组织。</w:t>
            </w:r>
          </w:p>
        </w:tc>
      </w:tr>
      <w:tr w14:paraId="3225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34A2F56D">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12</w:t>
            </w:r>
          </w:p>
        </w:tc>
        <w:tc>
          <w:tcPr>
            <w:tcW w:w="2014" w:type="dxa"/>
            <w:vAlign w:val="center"/>
          </w:tcPr>
          <w:p w14:paraId="77A76E90">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供应商资格要求</w:t>
            </w:r>
          </w:p>
        </w:tc>
        <w:tc>
          <w:tcPr>
            <w:tcW w:w="7200" w:type="dxa"/>
          </w:tcPr>
          <w:p w14:paraId="1B689E0D">
            <w:pPr>
              <w:spacing w:line="360" w:lineRule="auto"/>
              <w:ind w:firstLine="240" w:firstLineChars="1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eastAsia="zh-CN"/>
              </w:rPr>
              <w:t>供应商</w:t>
            </w:r>
            <w:r>
              <w:rPr>
                <w:rFonts w:hint="eastAsia" w:ascii="仿宋" w:hAnsi="仿宋" w:eastAsia="仿宋" w:cs="仿宋"/>
                <w:color w:val="auto"/>
                <w:sz w:val="24"/>
                <w:szCs w:val="24"/>
                <w:lang w:val="zh-CN"/>
              </w:rPr>
              <w:t>应具备《中华人民共和国政府采购法》第二十二条规定的条件；并提供以下资格证明文件：</w:t>
            </w:r>
          </w:p>
          <w:p w14:paraId="055029F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仿宋" w:hAnsi="仿宋" w:eastAsia="仿宋" w:cs="仿宋"/>
                <w:color w:val="auto"/>
                <w:sz w:val="24"/>
                <w:szCs w:val="24"/>
                <w:lang w:val="zh-CN"/>
              </w:rPr>
            </w:pPr>
            <w:r>
              <w:rPr>
                <w:rFonts w:hint="eastAsia" w:ascii="仿宋" w:hAnsi="仿宋" w:eastAsia="仿宋" w:cs="仿宋"/>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(2)财务状况报告：财务状况良好，提供2024年财务审计报告，成立时间至提交投标文件截止时间不足一年的提供银行资信证明。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(3)社会保障资金缴纳证明：提供2025年01月01日至今已缴纳的至少一个月的社会保障资金银行缴费单据或社保机构开具的社会保险参保缴费情况证明，依法不需要缴纳社会保障资金的单位应提供相关证明材料。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(4)税收缴纳证明：提供2025年01月01日至今已缴纳的至少一个月的纳税证明（银行缴费凭证）或完税证明（时间以税款所属日期为准、税种须包含增值税或企业所得税），依法免税的单位应提供相关证明材料。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(5)参加政府采购活动前三年内，在经营活动中没有重大违法记录的书面声明。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(6)提供具有履行合同所必需的设备和专业技术能力的证明资料或承诺书。</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(7)对列入“信用中国”网站(www.creditchina.gov.cn)“失信被执行人、税收违法黑名单、异常经营名录”记录名单；“中国政府采购网”(www.ccgp.gov.cn)“政府采购严重违法失信行为信息记录”的单位，应当拒绝参与政府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rPr>
              <w:t>)本项目不接受联合体投标；不允许分包、转包，单位负责人为同一人或者存在直接控股、管理关系的不同投标人，不得参加同一合同项下的政府采购活动（提供非联合体书面声明材料）。</w:t>
            </w:r>
          </w:p>
        </w:tc>
      </w:tr>
      <w:tr w14:paraId="0DBC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14:paraId="58BF9B48">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13</w:t>
            </w:r>
          </w:p>
        </w:tc>
        <w:tc>
          <w:tcPr>
            <w:tcW w:w="2014" w:type="dxa"/>
            <w:vAlign w:val="center"/>
          </w:tcPr>
          <w:p w14:paraId="04D21BEB">
            <w:pPr>
              <w:spacing w:line="360" w:lineRule="auto"/>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Cs w:val="24"/>
                <w:lang w:val="en-US" w:eastAsia="zh-CN"/>
              </w:rPr>
              <w:t>服务期</w:t>
            </w:r>
          </w:p>
        </w:tc>
        <w:tc>
          <w:tcPr>
            <w:tcW w:w="7200" w:type="dxa"/>
          </w:tcPr>
          <w:p w14:paraId="2494034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1年。</w:t>
            </w:r>
          </w:p>
        </w:tc>
      </w:tr>
      <w:tr w14:paraId="6570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E2D6C6F">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14</w:t>
            </w:r>
          </w:p>
        </w:tc>
        <w:tc>
          <w:tcPr>
            <w:tcW w:w="2014" w:type="dxa"/>
            <w:vAlign w:val="center"/>
          </w:tcPr>
          <w:p w14:paraId="72452458">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zh-CN"/>
              </w:rPr>
              <w:t>竞争性磋商文件发售</w:t>
            </w:r>
          </w:p>
        </w:tc>
        <w:tc>
          <w:tcPr>
            <w:tcW w:w="7200" w:type="dxa"/>
          </w:tcPr>
          <w:p w14:paraId="14BE3EA0">
            <w:pPr>
              <w:pStyle w:val="23"/>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获取时间：2025年10月22日 至 2025年10月29日 ，每天上午 08:00:00 至 12:00:00 ，下午 12:00:00 至 18:00:00 （北京时间）</w:t>
            </w:r>
            <w:r>
              <w:rPr>
                <w:rFonts w:hint="eastAsia" w:ascii="仿宋" w:hAnsi="仿宋" w:eastAsia="仿宋" w:cs="仿宋"/>
                <w:b w:val="0"/>
                <w:bCs w:val="0"/>
                <w:color w:val="auto"/>
                <w:sz w:val="24"/>
                <w:szCs w:val="24"/>
                <w:lang w:val="zh-CN"/>
              </w:rPr>
              <w:t>发售地点：市民大厦9楼908</w:t>
            </w:r>
          </w:p>
        </w:tc>
      </w:tr>
      <w:tr w14:paraId="0C35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5758208">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15</w:t>
            </w:r>
          </w:p>
        </w:tc>
        <w:tc>
          <w:tcPr>
            <w:tcW w:w="2014" w:type="dxa"/>
            <w:vAlign w:val="center"/>
          </w:tcPr>
          <w:p w14:paraId="6759E6E5">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联合体投标</w:t>
            </w:r>
          </w:p>
        </w:tc>
        <w:tc>
          <w:tcPr>
            <w:tcW w:w="7200" w:type="dxa"/>
          </w:tcPr>
          <w:p w14:paraId="7089E27F">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不接受。</w:t>
            </w:r>
          </w:p>
        </w:tc>
      </w:tr>
      <w:tr w14:paraId="0772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8102EEC">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16</w:t>
            </w:r>
          </w:p>
        </w:tc>
        <w:tc>
          <w:tcPr>
            <w:tcW w:w="2014" w:type="dxa"/>
            <w:vAlign w:val="center"/>
          </w:tcPr>
          <w:p w14:paraId="6DB4DCF3">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现场勘查、标前答疑会</w:t>
            </w:r>
          </w:p>
        </w:tc>
        <w:tc>
          <w:tcPr>
            <w:tcW w:w="7200" w:type="dxa"/>
            <w:vAlign w:val="center"/>
          </w:tcPr>
          <w:p w14:paraId="5F6A2043">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不组织。</w:t>
            </w:r>
          </w:p>
        </w:tc>
      </w:tr>
      <w:tr w14:paraId="5729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236414B">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18</w:t>
            </w:r>
          </w:p>
        </w:tc>
        <w:tc>
          <w:tcPr>
            <w:tcW w:w="2014" w:type="dxa"/>
            <w:vAlign w:val="center"/>
          </w:tcPr>
          <w:p w14:paraId="5613FA63">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构成竞争性磋商文件的其他文件</w:t>
            </w:r>
          </w:p>
        </w:tc>
        <w:tc>
          <w:tcPr>
            <w:tcW w:w="7200" w:type="dxa"/>
          </w:tcPr>
          <w:p w14:paraId="4D1AC923">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竞争性磋商文件的澄清、修改书及有关补充通知为竞争性磋商文件的有效组成部分。</w:t>
            </w:r>
          </w:p>
        </w:tc>
      </w:tr>
      <w:tr w14:paraId="1B66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8062F0C">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19</w:t>
            </w:r>
          </w:p>
        </w:tc>
        <w:tc>
          <w:tcPr>
            <w:tcW w:w="2014" w:type="dxa"/>
            <w:vAlign w:val="center"/>
          </w:tcPr>
          <w:p w14:paraId="593D75AC">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highlight w:val="none"/>
                <w:lang w:val="zh-CN"/>
              </w:rPr>
              <w:t>响应文件提交截止时间、开标时间和地点</w:t>
            </w:r>
          </w:p>
        </w:tc>
        <w:tc>
          <w:tcPr>
            <w:tcW w:w="7200" w:type="dxa"/>
          </w:tcPr>
          <w:p w14:paraId="5C50DF70">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响应文件提交截止时间： 2025年11月03日 09时30分00秒</w:t>
            </w:r>
          </w:p>
          <w:p w14:paraId="1BE4CA5D">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开标时间：2025年11月03日 09时30分00秒</w:t>
            </w:r>
          </w:p>
          <w:p w14:paraId="39B798A2">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投标、开标地点：市民大厦9楼902</w:t>
            </w:r>
          </w:p>
        </w:tc>
      </w:tr>
      <w:tr w14:paraId="55075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09" w:type="dxa"/>
            <w:vAlign w:val="center"/>
          </w:tcPr>
          <w:p w14:paraId="5F3472E9">
            <w:pPr>
              <w:spacing w:line="360" w:lineRule="auto"/>
              <w:jc w:val="center"/>
              <w:rPr>
                <w:rFonts w:hint="eastAsia" w:ascii="仿宋" w:hAnsi="仿宋" w:eastAsia="仿宋" w:cs="仿宋"/>
                <w:color w:val="auto"/>
                <w:szCs w:val="24"/>
              </w:rPr>
            </w:pPr>
            <w:r>
              <w:rPr>
                <w:rFonts w:hint="eastAsia" w:ascii="仿宋" w:hAnsi="仿宋" w:eastAsia="仿宋" w:cs="仿宋"/>
                <w:color w:val="auto"/>
                <w:szCs w:val="24"/>
              </w:rPr>
              <w:t>20</w:t>
            </w:r>
          </w:p>
        </w:tc>
        <w:tc>
          <w:tcPr>
            <w:tcW w:w="2014" w:type="dxa"/>
            <w:vAlign w:val="center"/>
          </w:tcPr>
          <w:p w14:paraId="0DC8EAE3">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投标有效期</w:t>
            </w:r>
          </w:p>
        </w:tc>
        <w:tc>
          <w:tcPr>
            <w:tcW w:w="7200" w:type="dxa"/>
          </w:tcPr>
          <w:p w14:paraId="623E02D9">
            <w:pPr>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自提交</w:t>
            </w:r>
            <w:r>
              <w:rPr>
                <w:rFonts w:hint="eastAsia" w:ascii="仿宋" w:hAnsi="仿宋" w:eastAsia="仿宋" w:cs="仿宋"/>
                <w:color w:val="auto"/>
                <w:sz w:val="24"/>
                <w:szCs w:val="24"/>
                <w:lang w:val="zh-CN" w:eastAsia="zh-CN"/>
              </w:rPr>
              <w:t>竞争性磋商响应文件</w:t>
            </w:r>
            <w:r>
              <w:rPr>
                <w:rFonts w:hint="eastAsia" w:ascii="仿宋" w:hAnsi="仿宋" w:eastAsia="仿宋" w:cs="仿宋"/>
                <w:color w:val="auto"/>
                <w:sz w:val="24"/>
                <w:szCs w:val="24"/>
                <w:lang w:val="zh-CN"/>
              </w:rPr>
              <w:t>的截止之日起90个日历日</w:t>
            </w:r>
          </w:p>
        </w:tc>
      </w:tr>
      <w:tr w14:paraId="36EF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71E9883">
            <w:pPr>
              <w:spacing w:line="36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rPr>
              <w:t>2</w:t>
            </w:r>
            <w:r>
              <w:rPr>
                <w:rFonts w:hint="eastAsia" w:ascii="仿宋" w:hAnsi="仿宋" w:eastAsia="仿宋" w:cs="仿宋"/>
                <w:color w:val="auto"/>
                <w:szCs w:val="24"/>
                <w:lang w:val="en-US" w:eastAsia="zh-CN"/>
              </w:rPr>
              <w:t>1</w:t>
            </w:r>
          </w:p>
        </w:tc>
        <w:tc>
          <w:tcPr>
            <w:tcW w:w="2014" w:type="dxa"/>
            <w:vAlign w:val="center"/>
          </w:tcPr>
          <w:p w14:paraId="38F33FA5">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备选投标方案</w:t>
            </w:r>
          </w:p>
        </w:tc>
        <w:tc>
          <w:tcPr>
            <w:tcW w:w="7200" w:type="dxa"/>
            <w:vAlign w:val="center"/>
          </w:tcPr>
          <w:p w14:paraId="533B7A28">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不接受备选投标方案。</w:t>
            </w:r>
          </w:p>
        </w:tc>
      </w:tr>
      <w:tr w14:paraId="7F2A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939EA27">
            <w:pPr>
              <w:spacing w:line="36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rPr>
              <w:t>2</w:t>
            </w:r>
            <w:r>
              <w:rPr>
                <w:rFonts w:hint="eastAsia" w:ascii="仿宋" w:hAnsi="仿宋" w:eastAsia="仿宋" w:cs="仿宋"/>
                <w:color w:val="auto"/>
                <w:szCs w:val="24"/>
                <w:lang w:val="en-US" w:eastAsia="zh-CN"/>
              </w:rPr>
              <w:t>2</w:t>
            </w:r>
          </w:p>
        </w:tc>
        <w:tc>
          <w:tcPr>
            <w:tcW w:w="2014" w:type="dxa"/>
            <w:vAlign w:val="center"/>
          </w:tcPr>
          <w:p w14:paraId="23546F22">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盖章签字</w:t>
            </w:r>
          </w:p>
        </w:tc>
        <w:tc>
          <w:tcPr>
            <w:tcW w:w="7200" w:type="dxa"/>
            <w:vAlign w:val="center"/>
          </w:tcPr>
          <w:p w14:paraId="4EAA553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供应商必须按照竞争性磋商文件的规定和要求</w:t>
            </w:r>
            <w:bookmarkStart w:id="21" w:name="OLE_LINK5"/>
            <w:r>
              <w:rPr>
                <w:rFonts w:hint="eastAsia" w:ascii="仿宋" w:hAnsi="仿宋" w:eastAsia="仿宋" w:cs="仿宋"/>
                <w:color w:val="auto"/>
                <w:sz w:val="24"/>
                <w:szCs w:val="24"/>
                <w:lang w:val="zh-CN" w:eastAsia="zh-CN"/>
              </w:rPr>
              <w:t>由法定代表人或被授权人签字（或盖章）。</w:t>
            </w:r>
            <w:bookmarkEnd w:id="21"/>
          </w:p>
        </w:tc>
      </w:tr>
      <w:tr w14:paraId="7092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09" w:type="dxa"/>
            <w:vAlign w:val="center"/>
          </w:tcPr>
          <w:p w14:paraId="0B15CAB6">
            <w:pPr>
              <w:spacing w:line="360" w:lineRule="auto"/>
              <w:jc w:val="center"/>
              <w:rPr>
                <w:rFonts w:hint="eastAsia" w:ascii="仿宋" w:hAnsi="仿宋" w:eastAsia="仿宋" w:cs="仿宋"/>
                <w:color w:val="auto"/>
                <w:szCs w:val="24"/>
                <w:lang w:eastAsia="zh-CN"/>
              </w:rPr>
            </w:pPr>
            <w:r>
              <w:rPr>
                <w:rFonts w:hint="eastAsia" w:ascii="仿宋" w:hAnsi="仿宋" w:eastAsia="仿宋" w:cs="仿宋"/>
                <w:color w:val="auto"/>
                <w:szCs w:val="24"/>
              </w:rPr>
              <w:t>2</w:t>
            </w:r>
            <w:r>
              <w:rPr>
                <w:rFonts w:hint="eastAsia" w:ascii="仿宋" w:hAnsi="仿宋" w:eastAsia="仿宋" w:cs="仿宋"/>
                <w:color w:val="auto"/>
                <w:szCs w:val="24"/>
                <w:lang w:val="en-US" w:eastAsia="zh-CN"/>
              </w:rPr>
              <w:t>3</w:t>
            </w:r>
          </w:p>
        </w:tc>
        <w:tc>
          <w:tcPr>
            <w:tcW w:w="2014" w:type="dxa"/>
            <w:vAlign w:val="center"/>
          </w:tcPr>
          <w:p w14:paraId="6E5D904E">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响应文件数量、装订</w:t>
            </w:r>
          </w:p>
        </w:tc>
        <w:tc>
          <w:tcPr>
            <w:tcW w:w="7200" w:type="dxa"/>
            <w:vAlign w:val="center"/>
          </w:tcPr>
          <w:p w14:paraId="4AA1A6B8">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rPr>
              <w:t>投标供应商需提交纸质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文件一正</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副纸质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及电子版</w:t>
            </w:r>
            <w:r>
              <w:rPr>
                <w:rFonts w:hint="eastAsia" w:ascii="仿宋" w:hAnsi="仿宋" w:eastAsia="仿宋" w:cs="仿宋"/>
                <w:color w:val="auto"/>
                <w:spacing w:val="-3"/>
                <w:sz w:val="24"/>
                <w:szCs w:val="24"/>
              </w:rPr>
              <w:t>（光盘或</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rPr>
              <w:t>U</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盘</w:t>
            </w:r>
            <w:r>
              <w:rPr>
                <w:rFonts w:hint="eastAsia" w:ascii="仿宋" w:hAnsi="仿宋" w:eastAsia="仿宋" w:cs="仿宋"/>
                <w:color w:val="auto"/>
                <w:spacing w:val="-3"/>
                <w:sz w:val="24"/>
                <w:szCs w:val="24"/>
                <w:lang w:eastAsia="zh-CN"/>
              </w:rPr>
              <w:t>，包含可编辑 word 版，签字盖章后的扫描件 1 份</w:t>
            </w:r>
            <w:r>
              <w:rPr>
                <w:rFonts w:hint="eastAsia" w:ascii="仿宋" w:hAnsi="仿宋" w:eastAsia="仿宋" w:cs="仿宋"/>
                <w:color w:val="auto"/>
                <w:spacing w:val="-3"/>
                <w:sz w:val="24"/>
                <w:szCs w:val="24"/>
              </w:rPr>
              <w:t>）</w:t>
            </w:r>
            <w:r>
              <w:rPr>
                <w:rFonts w:hint="eastAsia" w:ascii="仿宋" w:hAnsi="仿宋" w:eastAsia="仿宋" w:cs="仿宋"/>
                <w:color w:val="auto"/>
                <w:sz w:val="24"/>
                <w:szCs w:val="24"/>
                <w:lang w:eastAsia="zh-CN"/>
              </w:rPr>
              <w:t>响应文件一份</w:t>
            </w:r>
          </w:p>
        </w:tc>
      </w:tr>
      <w:tr w14:paraId="2522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09" w:type="dxa"/>
            <w:vAlign w:val="center"/>
          </w:tcPr>
          <w:p w14:paraId="696FED57">
            <w:pPr>
              <w:spacing w:line="360" w:lineRule="auto"/>
              <w:jc w:val="center"/>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24</w:t>
            </w:r>
          </w:p>
        </w:tc>
        <w:tc>
          <w:tcPr>
            <w:tcW w:w="2014" w:type="dxa"/>
            <w:vAlign w:val="center"/>
          </w:tcPr>
          <w:p w14:paraId="3439B7CE">
            <w:pPr>
              <w:spacing w:line="360" w:lineRule="auto"/>
              <w:jc w:val="center"/>
              <w:rPr>
                <w:rFonts w:hint="eastAsia" w:ascii="仿宋" w:hAnsi="仿宋" w:eastAsia="仿宋" w:cs="仿宋"/>
                <w:color w:val="auto"/>
                <w:sz w:val="24"/>
                <w:szCs w:val="24"/>
                <w:lang w:val="zh-CN" w:eastAsia="zh-CN"/>
              </w:rPr>
            </w:pPr>
            <w:r>
              <w:rPr>
                <w:rFonts w:hint="eastAsia" w:ascii="仿宋" w:hAnsi="仿宋" w:eastAsia="仿宋" w:cs="仿宋"/>
                <w:b w:val="0"/>
                <w:bCs w:val="0"/>
                <w:color w:val="auto"/>
                <w:sz w:val="24"/>
                <w:szCs w:val="24"/>
                <w:lang w:eastAsia="zh-CN"/>
              </w:rPr>
              <w:t>签到</w:t>
            </w:r>
          </w:p>
        </w:tc>
        <w:tc>
          <w:tcPr>
            <w:tcW w:w="7200" w:type="dxa"/>
            <w:vAlign w:val="center"/>
          </w:tcPr>
          <w:p w14:paraId="2C38E464">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kern w:val="2"/>
                <w:sz w:val="24"/>
                <w:szCs w:val="24"/>
                <w:lang w:val="en-US" w:eastAsia="zh-CN"/>
              </w:rPr>
              <w:t>供应商应</w:t>
            </w:r>
            <w:r>
              <w:rPr>
                <w:rFonts w:hint="eastAsia" w:ascii="仿宋" w:hAnsi="仿宋" w:eastAsia="仿宋" w:cs="仿宋"/>
                <w:color w:val="auto"/>
                <w:kern w:val="2"/>
                <w:sz w:val="24"/>
                <w:szCs w:val="24"/>
              </w:rPr>
              <w:t>按要求及时签到；</w:t>
            </w:r>
          </w:p>
        </w:tc>
      </w:tr>
      <w:tr w14:paraId="707A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14:paraId="2021B911">
            <w:pPr>
              <w:spacing w:line="360" w:lineRule="auto"/>
              <w:jc w:val="center"/>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25</w:t>
            </w:r>
          </w:p>
        </w:tc>
        <w:tc>
          <w:tcPr>
            <w:tcW w:w="2014" w:type="dxa"/>
            <w:vAlign w:val="center"/>
          </w:tcPr>
          <w:p w14:paraId="14FD02AF">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投标报价</w:t>
            </w:r>
          </w:p>
        </w:tc>
        <w:tc>
          <w:tcPr>
            <w:tcW w:w="7200" w:type="dxa"/>
            <w:vAlign w:val="center"/>
          </w:tcPr>
          <w:p w14:paraId="31D9FFF7">
            <w:pPr>
              <w:pStyle w:val="49"/>
              <w:spacing w:line="360" w:lineRule="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合同价即成交价，供应商应在投标报价表明成交完成本次招标所要求的</w:t>
            </w:r>
            <w:r>
              <w:rPr>
                <w:rFonts w:hint="eastAsia" w:ascii="仿宋" w:hAnsi="仿宋" w:eastAsia="仿宋" w:cs="仿宋"/>
                <w:color w:val="auto"/>
                <w:kern w:val="2"/>
                <w:sz w:val="24"/>
                <w:szCs w:val="24"/>
                <w:lang w:val="en-US" w:eastAsia="zh-CN" w:bidi="ar-SA"/>
              </w:rPr>
              <w:t>一切费用</w:t>
            </w:r>
            <w:r>
              <w:rPr>
                <w:rFonts w:hint="eastAsia" w:ascii="仿宋" w:hAnsi="仿宋" w:eastAsia="仿宋" w:cs="仿宋"/>
                <w:color w:val="auto"/>
                <w:kern w:val="2"/>
                <w:sz w:val="24"/>
                <w:szCs w:val="24"/>
                <w:lang w:val="zh-CN" w:eastAsia="zh-CN" w:bidi="ar-SA"/>
              </w:rPr>
              <w:t>，任何有选择的报价将不予接受，按无效投标处理。</w:t>
            </w:r>
          </w:p>
        </w:tc>
      </w:tr>
      <w:tr w14:paraId="61A8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14:paraId="356CDA69">
            <w:pPr>
              <w:spacing w:line="360" w:lineRule="auto"/>
              <w:jc w:val="center"/>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26</w:t>
            </w:r>
          </w:p>
        </w:tc>
        <w:tc>
          <w:tcPr>
            <w:tcW w:w="2014" w:type="dxa"/>
            <w:vAlign w:val="center"/>
          </w:tcPr>
          <w:p w14:paraId="24B3EA94">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评标办法及标准</w:t>
            </w:r>
          </w:p>
        </w:tc>
        <w:tc>
          <w:tcPr>
            <w:tcW w:w="7200" w:type="dxa"/>
            <w:vAlign w:val="center"/>
          </w:tcPr>
          <w:p w14:paraId="5E74F566">
            <w:pPr>
              <w:pStyle w:val="49"/>
              <w:spacing w:line="360" w:lineRule="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详见本章第（七）项评分内容和评分方式。</w:t>
            </w:r>
          </w:p>
        </w:tc>
      </w:tr>
      <w:tr w14:paraId="2959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09" w:type="dxa"/>
            <w:vAlign w:val="center"/>
          </w:tcPr>
          <w:p w14:paraId="496C0965">
            <w:pPr>
              <w:spacing w:line="360" w:lineRule="auto"/>
              <w:jc w:val="center"/>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27</w:t>
            </w:r>
          </w:p>
        </w:tc>
        <w:tc>
          <w:tcPr>
            <w:tcW w:w="2014" w:type="dxa"/>
            <w:vAlign w:val="center"/>
          </w:tcPr>
          <w:p w14:paraId="059FD334">
            <w:pPr>
              <w:spacing w:line="360" w:lineRule="auto"/>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其它事项</w:t>
            </w:r>
          </w:p>
        </w:tc>
        <w:tc>
          <w:tcPr>
            <w:tcW w:w="7200" w:type="dxa"/>
            <w:vAlign w:val="center"/>
          </w:tcPr>
          <w:p w14:paraId="5F4971B6">
            <w:pPr>
              <w:pStyle w:val="49"/>
              <w:spacing w:line="360" w:lineRule="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本次采购、投标报价、评审和合同授予均以项目为单位，投标供应商必须就一个完整项目进行响应。成交供应商与采购人在成交通知书发出</w:t>
            </w:r>
            <w:r>
              <w:rPr>
                <w:rFonts w:hint="eastAsia" w:ascii="仿宋" w:hAnsi="仿宋" w:eastAsia="仿宋" w:cs="仿宋"/>
                <w:color w:val="auto"/>
                <w:kern w:val="2"/>
                <w:sz w:val="24"/>
                <w:szCs w:val="24"/>
                <w:lang w:val="en-US" w:eastAsia="zh-CN" w:bidi="ar-SA"/>
              </w:rPr>
              <w:t>10</w:t>
            </w:r>
            <w:r>
              <w:rPr>
                <w:rFonts w:hint="eastAsia" w:ascii="仿宋" w:hAnsi="仿宋" w:eastAsia="仿宋" w:cs="仿宋"/>
                <w:color w:val="auto"/>
                <w:kern w:val="2"/>
                <w:sz w:val="24"/>
                <w:szCs w:val="24"/>
                <w:lang w:val="zh-CN" w:eastAsia="zh-CN" w:bidi="ar-SA"/>
              </w:rPr>
              <w:t>天内签订合同，不及时签订视为自动放弃。非经采购人同意，本项目不允许成交后另行转包或者分包。成交人无正当理由不得放弃成交。因自身原因拒绝签订政府采购合同的或者未按合同约定进行履约的，成交人不得参加对该项目重新开展的招标活动。</w:t>
            </w:r>
          </w:p>
        </w:tc>
      </w:tr>
      <w:tr w14:paraId="308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13C5E59D">
            <w:pPr>
              <w:spacing w:line="360" w:lineRule="auto"/>
              <w:jc w:val="center"/>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28</w:t>
            </w:r>
          </w:p>
        </w:tc>
        <w:tc>
          <w:tcPr>
            <w:tcW w:w="2014" w:type="dxa"/>
            <w:vAlign w:val="center"/>
          </w:tcPr>
          <w:p w14:paraId="6352803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同义</w:t>
            </w:r>
          </w:p>
          <w:p w14:paraId="1E71D29D">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词语</w:t>
            </w:r>
          </w:p>
        </w:tc>
        <w:tc>
          <w:tcPr>
            <w:tcW w:w="7200" w:type="dxa"/>
            <w:vAlign w:val="center"/>
          </w:tcPr>
          <w:p w14:paraId="434E9CB6">
            <w:pPr>
              <w:spacing w:line="360" w:lineRule="auto"/>
              <w:rPr>
                <w:rFonts w:hint="eastAsia" w:ascii="仿宋" w:hAnsi="仿宋" w:eastAsia="仿宋" w:cs="仿宋"/>
                <w:color w:val="auto"/>
                <w:sz w:val="24"/>
                <w:szCs w:val="24"/>
              </w:rPr>
            </w:pPr>
            <w:r>
              <w:rPr>
                <w:rFonts w:hint="eastAsia" w:ascii="仿宋" w:hAnsi="仿宋" w:eastAsia="仿宋" w:cs="仿宋"/>
                <w:color w:val="auto"/>
                <w:sz w:val="24"/>
              </w:rPr>
              <w:t>构成</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组成部分的各章节中出现的措辞“委托人”、“发包人“和“</w:t>
            </w:r>
            <w:r>
              <w:rPr>
                <w:rFonts w:hint="eastAsia" w:ascii="仿宋" w:hAnsi="仿宋" w:eastAsia="仿宋" w:cs="仿宋"/>
                <w:color w:val="auto"/>
                <w:sz w:val="24"/>
                <w:lang w:eastAsia="zh-CN"/>
              </w:rPr>
              <w:t>供应商</w:t>
            </w:r>
            <w:r>
              <w:rPr>
                <w:rFonts w:hint="eastAsia" w:ascii="仿宋" w:hAnsi="仿宋" w:eastAsia="仿宋" w:cs="仿宋"/>
                <w:color w:val="auto"/>
                <w:sz w:val="24"/>
              </w:rPr>
              <w:t>”、“承包人”，在招标投标阶段应当分别按“采购人”和“</w:t>
            </w:r>
            <w:r>
              <w:rPr>
                <w:rFonts w:hint="eastAsia" w:ascii="仿宋" w:hAnsi="仿宋" w:eastAsia="仿宋" w:cs="仿宋"/>
                <w:color w:val="auto"/>
                <w:sz w:val="24"/>
                <w:lang w:eastAsia="zh-CN"/>
              </w:rPr>
              <w:t>供应商</w:t>
            </w:r>
            <w:r>
              <w:rPr>
                <w:rFonts w:hint="eastAsia" w:ascii="仿宋" w:hAnsi="仿宋" w:eastAsia="仿宋" w:cs="仿宋"/>
                <w:color w:val="auto"/>
                <w:sz w:val="24"/>
              </w:rPr>
              <w:t>”进行理解。</w:t>
            </w:r>
          </w:p>
        </w:tc>
      </w:tr>
      <w:tr w14:paraId="7474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41C36F7">
            <w:pPr>
              <w:spacing w:line="360" w:lineRule="auto"/>
              <w:jc w:val="center"/>
              <w:rPr>
                <w:rFonts w:hint="default" w:ascii="仿宋" w:hAnsi="仿宋" w:eastAsia="仿宋" w:cs="仿宋"/>
                <w:color w:val="auto"/>
                <w:szCs w:val="24"/>
                <w:lang w:val="en-US" w:eastAsia="zh-CN"/>
              </w:rPr>
            </w:pPr>
            <w:r>
              <w:rPr>
                <w:rFonts w:hint="eastAsia" w:ascii="仿宋" w:hAnsi="仿宋" w:eastAsia="仿宋" w:cs="仿宋"/>
                <w:color w:val="auto"/>
                <w:szCs w:val="24"/>
                <w:lang w:val="en-US" w:eastAsia="zh-CN"/>
              </w:rPr>
              <w:t>29</w:t>
            </w:r>
          </w:p>
        </w:tc>
        <w:tc>
          <w:tcPr>
            <w:tcW w:w="2014" w:type="dxa"/>
            <w:vAlign w:val="center"/>
          </w:tcPr>
          <w:p w14:paraId="244C91CB">
            <w:pPr>
              <w:spacing w:line="36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Cs w:val="24"/>
              </w:rPr>
              <w:t>支持中小企业</w:t>
            </w:r>
          </w:p>
        </w:tc>
        <w:tc>
          <w:tcPr>
            <w:tcW w:w="7200" w:type="dxa"/>
            <w:vAlign w:val="center"/>
          </w:tcPr>
          <w:p w14:paraId="5649ED32">
            <w:pPr>
              <w:spacing w:line="360" w:lineRule="auto"/>
              <w:rPr>
                <w:rFonts w:hint="eastAsia" w:ascii="仿宋" w:hAnsi="仿宋" w:eastAsia="仿宋" w:cs="仿宋"/>
                <w:color w:val="auto"/>
              </w:rPr>
            </w:pPr>
            <w:r>
              <w:rPr>
                <w:rFonts w:hint="eastAsia" w:ascii="仿宋" w:hAnsi="仿宋" w:eastAsia="仿宋" w:cs="仿宋"/>
                <w:color w:val="auto"/>
                <w:szCs w:val="24"/>
              </w:rPr>
              <w:sym w:font="Wingdings" w:char="00A8"/>
            </w:r>
            <w:r>
              <w:rPr>
                <w:rFonts w:hint="eastAsia" w:ascii="仿宋" w:hAnsi="仿宋" w:eastAsia="仿宋" w:cs="仿宋"/>
                <w:color w:val="auto"/>
                <w:szCs w:val="24"/>
              </w:rPr>
              <w:t>专门面向中小企业采购项目。</w:t>
            </w:r>
          </w:p>
          <w:p w14:paraId="27035815">
            <w:pPr>
              <w:spacing w:line="360" w:lineRule="auto"/>
              <w:rPr>
                <w:rFonts w:hint="eastAsia" w:ascii="仿宋" w:hAnsi="仿宋" w:eastAsia="仿宋" w:cs="仿宋"/>
                <w:color w:val="auto"/>
                <w:szCs w:val="24"/>
              </w:rPr>
            </w:pPr>
            <w:r>
              <w:rPr>
                <w:rFonts w:hint="eastAsia" w:ascii="仿宋" w:hAnsi="仿宋" w:eastAsia="仿宋" w:cs="仿宋"/>
                <w:color w:val="auto"/>
                <w:szCs w:val="24"/>
              </w:rPr>
              <w:sym w:font="Wingdings" w:char="00FE"/>
            </w:r>
            <w:r>
              <w:rPr>
                <w:rFonts w:hint="eastAsia" w:ascii="仿宋" w:hAnsi="仿宋" w:eastAsia="仿宋" w:cs="仿宋"/>
                <w:color w:val="auto"/>
                <w:szCs w:val="24"/>
              </w:rPr>
              <w:t>非专门面向中小企业采购项目(价格扣除)：用扣除后的价格参与评审。小微企业的价格扣除比例为20%。</w:t>
            </w:r>
          </w:p>
          <w:p w14:paraId="43209953">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Cs w:val="24"/>
              </w:rPr>
              <w:t>采购标的对应的中小企业划分标准所属行业：其他未列明行业</w:t>
            </w:r>
          </w:p>
        </w:tc>
      </w:tr>
      <w:tr w14:paraId="13AE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F2D6C7D">
            <w:pPr>
              <w:spacing w:line="360" w:lineRule="auto"/>
              <w:jc w:val="center"/>
              <w:rPr>
                <w:rFonts w:hint="eastAsia" w:ascii="仿宋" w:hAnsi="仿宋" w:eastAsia="仿宋" w:cs="仿宋"/>
                <w:color w:val="auto"/>
                <w:szCs w:val="24"/>
                <w:lang w:val="en-US" w:eastAsia="zh-CN"/>
              </w:rPr>
            </w:pPr>
            <w:r>
              <w:rPr>
                <w:rFonts w:hint="eastAsia" w:ascii="仿宋" w:hAnsi="仿宋" w:eastAsia="仿宋" w:cs="仿宋"/>
                <w:color w:val="auto"/>
                <w:szCs w:val="24"/>
                <w:lang w:val="en-US" w:eastAsia="zh-CN"/>
              </w:rPr>
              <w:t>30</w:t>
            </w:r>
          </w:p>
        </w:tc>
        <w:tc>
          <w:tcPr>
            <w:tcW w:w="2014" w:type="dxa"/>
            <w:vAlign w:val="center"/>
          </w:tcPr>
          <w:p w14:paraId="5397A8C0">
            <w:pPr>
              <w:spacing w:line="360" w:lineRule="auto"/>
              <w:jc w:val="center"/>
              <w:rPr>
                <w:rFonts w:hint="eastAsia" w:ascii="仿宋" w:hAnsi="仿宋" w:eastAsia="仿宋" w:cs="仿宋"/>
                <w:color w:val="auto"/>
                <w:szCs w:val="24"/>
              </w:rPr>
            </w:pPr>
            <w:r>
              <w:rPr>
                <w:rFonts w:hint="eastAsia" w:ascii="仿宋" w:hAnsi="仿宋" w:eastAsia="仿宋" w:cs="仿宋"/>
                <w:b/>
                <w:bCs/>
                <w:color w:val="auto"/>
                <w:sz w:val="24"/>
                <w:highlight w:val="none"/>
              </w:rPr>
              <w:t>各行业划分标准</w:t>
            </w:r>
          </w:p>
        </w:tc>
        <w:tc>
          <w:tcPr>
            <w:tcW w:w="7200" w:type="dxa"/>
            <w:vAlign w:val="center"/>
          </w:tcPr>
          <w:p w14:paraId="0EC0742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1、农、林、牧、渔业。营业收入20000万元以下的为中小微型企业。其中，营业收入500万元及以上的为中型企业,营业收入50万元及以上的为小型企业，营业收入50万元以下的为微型企业。</w:t>
            </w:r>
          </w:p>
          <w:p w14:paraId="6132C7E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CB515F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8E505C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4F060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0155D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7CBFCD2E">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B2D6A7E">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A14589">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2D0AA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0D22AA">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745ED9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7843DDB">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D0513A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p>
          <w:p w14:paraId="078B474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33F69F9B">
            <w:pPr>
              <w:adjustRightInd w:val="0"/>
              <w:snapToGrid w:val="0"/>
              <w:spacing w:line="360" w:lineRule="auto"/>
              <w:rPr>
                <w:rFonts w:hint="eastAsia" w:ascii="仿宋" w:hAnsi="仿宋" w:eastAsia="仿宋" w:cs="仿宋"/>
                <w:color w:val="auto"/>
                <w:szCs w:val="24"/>
              </w:rPr>
            </w:pPr>
            <w:r>
              <w:rPr>
                <w:rFonts w:hint="eastAsia" w:ascii="仿宋" w:hAnsi="仿宋" w:eastAsia="仿宋" w:cs="仿宋"/>
                <w:b/>
                <w:bCs/>
                <w:color w:val="auto"/>
                <w:sz w:val="24"/>
                <w:highlight w:val="none"/>
                <w:lang w:val="en-US" w:eastAsia="zh-CN"/>
              </w:rPr>
              <w:t>16、其他未列明行业.从业人员300人以下的为中小微型企业。其中，从业人员100人及以上的为中型企业;从业人员10人及以上的为小型企业；从业人员10人以下的为微型企业。</w:t>
            </w:r>
          </w:p>
        </w:tc>
      </w:tr>
      <w:tr w14:paraId="3ADD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gridSpan w:val="3"/>
            <w:vAlign w:val="center"/>
          </w:tcPr>
          <w:p w14:paraId="773C02F2">
            <w:pPr>
              <w:adjustRightInd w:val="0"/>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szCs w:val="24"/>
                <w:lang w:val="en-US" w:eastAsia="zh-CN"/>
              </w:rPr>
              <w:t>磋商</w:t>
            </w:r>
            <w:r>
              <w:rPr>
                <w:rFonts w:hint="eastAsia" w:ascii="仿宋" w:hAnsi="仿宋" w:eastAsia="仿宋" w:cs="仿宋"/>
                <w:bCs/>
                <w:color w:val="auto"/>
                <w:sz w:val="24"/>
                <w:szCs w:val="24"/>
              </w:rPr>
              <w:t>文件与媒体发布的采购公告不一致时，以采购公告为准；正文与</w:t>
            </w:r>
            <w:r>
              <w:rPr>
                <w:rFonts w:hint="eastAsia" w:ascii="仿宋" w:hAnsi="仿宋" w:eastAsia="仿宋" w:cs="仿宋"/>
                <w:bCs/>
                <w:color w:val="auto"/>
                <w:sz w:val="24"/>
                <w:szCs w:val="24"/>
                <w:lang w:val="en-US" w:eastAsia="zh-CN"/>
              </w:rPr>
              <w:t>供应商</w:t>
            </w:r>
            <w:r>
              <w:rPr>
                <w:rFonts w:hint="eastAsia" w:ascii="仿宋" w:hAnsi="仿宋" w:eastAsia="仿宋" w:cs="仿宋"/>
                <w:bCs/>
                <w:color w:val="auto"/>
                <w:sz w:val="24"/>
                <w:szCs w:val="24"/>
              </w:rPr>
              <w:t>须知前附表表述不一致时，以</w:t>
            </w:r>
            <w:r>
              <w:rPr>
                <w:rFonts w:hint="eastAsia" w:ascii="仿宋" w:hAnsi="仿宋" w:eastAsia="仿宋" w:cs="仿宋"/>
                <w:bCs/>
                <w:color w:val="auto"/>
                <w:sz w:val="24"/>
                <w:szCs w:val="24"/>
                <w:lang w:val="en-US" w:eastAsia="zh-CN"/>
              </w:rPr>
              <w:t>供应商</w:t>
            </w:r>
            <w:r>
              <w:rPr>
                <w:rFonts w:hint="eastAsia" w:ascii="仿宋" w:hAnsi="仿宋" w:eastAsia="仿宋" w:cs="仿宋"/>
                <w:bCs/>
                <w:color w:val="auto"/>
                <w:sz w:val="24"/>
                <w:szCs w:val="24"/>
              </w:rPr>
              <w:t>须知前附表为准。</w:t>
            </w:r>
          </w:p>
        </w:tc>
      </w:tr>
    </w:tbl>
    <w:p w14:paraId="7EBD4F2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Cs w:val="24"/>
        </w:rPr>
      </w:pPr>
    </w:p>
    <w:p w14:paraId="23CC21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Cs w:val="24"/>
        </w:rPr>
      </w:pPr>
      <w:r>
        <w:rPr>
          <w:rFonts w:hint="eastAsia" w:ascii="仿宋" w:hAnsi="仿宋" w:eastAsia="仿宋" w:cs="仿宋"/>
          <w:color w:val="auto"/>
          <w:szCs w:val="24"/>
        </w:rPr>
        <w:t>本项目招标依据《中华人民共和国政府采购法》</w:t>
      </w: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《政府采购竞争性磋商采购方式管理暂行办法》</w:t>
      </w:r>
      <w:r>
        <w:rPr>
          <w:rFonts w:hint="eastAsia" w:ascii="仿宋" w:hAnsi="仿宋" w:eastAsia="仿宋" w:cs="仿宋"/>
          <w:color w:val="auto"/>
          <w:szCs w:val="24"/>
        </w:rPr>
        <w:t>等有关法律法规及规定。</w:t>
      </w:r>
    </w:p>
    <w:p w14:paraId="1AEBE8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Cs w:val="24"/>
        </w:rPr>
      </w:pPr>
      <w:r>
        <w:rPr>
          <w:rFonts w:hint="eastAsia" w:ascii="仿宋" w:hAnsi="仿宋" w:eastAsia="仿宋" w:cs="仿宋"/>
          <w:b/>
          <w:color w:val="auto"/>
          <w:szCs w:val="24"/>
        </w:rPr>
        <w:t>（一）总则</w:t>
      </w:r>
    </w:p>
    <w:p w14:paraId="4E8C53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1、适用范围：本竞争性磋商文件仅适用于本项目的招标。</w:t>
      </w:r>
    </w:p>
    <w:p w14:paraId="69DE93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2、名词解释：</w:t>
      </w:r>
    </w:p>
    <w:p w14:paraId="0269E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2.1采购人：榆林市不动产登记中心</w:t>
      </w:r>
    </w:p>
    <w:p w14:paraId="5CCB2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2.2采购代理机构：榆林市不动产登记中心</w:t>
      </w:r>
    </w:p>
    <w:p w14:paraId="554E3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2.3供应商：响应招标并且符合磋商文件规定资格条件和参加竞争的供应商</w:t>
      </w:r>
    </w:p>
    <w:p w14:paraId="2F0ED3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2.4项目：指磋商文件规定供应商须承担的榆林市不动产登记中心2025年不动产登记责任保险服务的相关工作。</w:t>
      </w:r>
    </w:p>
    <w:p w14:paraId="63E9CD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3、合格的供应商</w:t>
      </w:r>
    </w:p>
    <w:p w14:paraId="5129B9ED">
      <w:pPr>
        <w:spacing w:line="360" w:lineRule="auto"/>
        <w:ind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3.1满足磋商中对供应商所提出的全部要求。</w:t>
      </w:r>
    </w:p>
    <w:p w14:paraId="44788AC9">
      <w:pPr>
        <w:spacing w:line="360" w:lineRule="auto"/>
        <w:ind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3.2供应商应从采购代理机构获取磋商文件，其他未获取磋商文件的潜在供应商均无资格参加本次磋商。</w:t>
      </w:r>
    </w:p>
    <w:p w14:paraId="4E1AC759">
      <w:pPr>
        <w:spacing w:line="360" w:lineRule="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4、保密</w:t>
      </w:r>
    </w:p>
    <w:p w14:paraId="2A07868C">
      <w:pPr>
        <w:spacing w:line="360" w:lineRule="auto"/>
        <w:ind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 xml:space="preserve">参与磋商活动的各方应对磋商文件和响应文件中的商业和技术等秘密保密，违者应对由此造成的后果承担法律责任。 </w:t>
      </w:r>
    </w:p>
    <w:p w14:paraId="1FD5753D">
      <w:pPr>
        <w:spacing w:line="360" w:lineRule="auto"/>
        <w:rPr>
          <w:rFonts w:hint="eastAsia" w:ascii="仿宋" w:hAnsi="仿宋" w:eastAsia="仿宋" w:cs="仿宋"/>
          <w:color w:val="auto"/>
          <w:kern w:val="2"/>
          <w:sz w:val="24"/>
          <w:szCs w:val="24"/>
          <w:lang w:val="zh-CN" w:eastAsia="zh-CN" w:bidi="ar-SA"/>
        </w:rPr>
      </w:pPr>
      <w:bookmarkStart w:id="22" w:name="_Toc246928899"/>
      <w:bookmarkStart w:id="23" w:name="_Toc394934414"/>
      <w:r>
        <w:rPr>
          <w:rFonts w:hint="eastAsia" w:ascii="仿宋" w:hAnsi="仿宋" w:eastAsia="仿宋" w:cs="仿宋"/>
          <w:color w:val="auto"/>
          <w:kern w:val="2"/>
          <w:sz w:val="24"/>
          <w:szCs w:val="24"/>
          <w:lang w:val="zh-CN" w:eastAsia="zh-CN" w:bidi="ar-SA"/>
        </w:rPr>
        <w:t>5、费用</w:t>
      </w:r>
      <w:bookmarkEnd w:id="22"/>
      <w:bookmarkEnd w:id="23"/>
    </w:p>
    <w:p w14:paraId="0EE7C6E3">
      <w:pPr>
        <w:spacing w:line="360" w:lineRule="auto"/>
        <w:ind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供应商应承担所有与编写和提交响应文件有关的费用，无论磋商过程中的做法和结果如何，采购人在任何情况下均无义务和责任承担这些费用。</w:t>
      </w:r>
    </w:p>
    <w:p w14:paraId="595AA479">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（二）磋商文件说明</w:t>
      </w:r>
    </w:p>
    <w:p w14:paraId="24E767E0">
      <w:pPr>
        <w:spacing w:line="360" w:lineRule="auto"/>
        <w:rPr>
          <w:rFonts w:hint="eastAsia" w:ascii="仿宋" w:hAnsi="仿宋" w:eastAsia="仿宋" w:cs="仿宋"/>
          <w:color w:val="auto"/>
          <w:szCs w:val="24"/>
        </w:rPr>
      </w:pPr>
      <w:r>
        <w:rPr>
          <w:rFonts w:hint="eastAsia" w:ascii="仿宋" w:hAnsi="仿宋" w:eastAsia="仿宋" w:cs="仿宋"/>
          <w:color w:val="auto"/>
          <w:szCs w:val="24"/>
        </w:rPr>
        <w:t>6、磋商文件的组成</w:t>
      </w:r>
    </w:p>
    <w:p w14:paraId="19C3023C">
      <w:pPr>
        <w:spacing w:line="360" w:lineRule="auto"/>
        <w:rPr>
          <w:rFonts w:hint="eastAsia" w:ascii="仿宋" w:hAnsi="仿宋" w:eastAsia="仿宋" w:cs="仿宋"/>
          <w:color w:val="auto"/>
          <w:szCs w:val="24"/>
        </w:rPr>
      </w:pPr>
      <w:r>
        <w:rPr>
          <w:rFonts w:hint="eastAsia" w:ascii="仿宋" w:hAnsi="仿宋" w:eastAsia="仿宋" w:cs="仿宋"/>
          <w:color w:val="auto"/>
          <w:szCs w:val="24"/>
        </w:rPr>
        <w:t>6.1磋商文件依据本项目的特点及需求编制，具体包括以下内容：</w:t>
      </w:r>
    </w:p>
    <w:p w14:paraId="6A6F921E">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（1）竞争性磋商公告</w:t>
      </w:r>
    </w:p>
    <w:p w14:paraId="58039662">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（2）供应商须知</w:t>
      </w:r>
    </w:p>
    <w:p w14:paraId="36E099BE">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（3）合同范本</w:t>
      </w:r>
    </w:p>
    <w:p w14:paraId="0FFAE32D">
      <w:pPr>
        <w:spacing w:line="360" w:lineRule="auto"/>
        <w:ind w:firstLine="480" w:firstLineChars="200"/>
        <w:rPr>
          <w:rFonts w:hint="eastAsia" w:ascii="仿宋" w:hAnsi="仿宋" w:eastAsia="仿宋" w:cs="仿宋"/>
          <w:color w:val="auto"/>
          <w:szCs w:val="24"/>
          <w:lang w:eastAsia="zh-CN"/>
        </w:rPr>
      </w:pPr>
      <w:r>
        <w:rPr>
          <w:rFonts w:hint="eastAsia" w:ascii="仿宋" w:hAnsi="仿宋" w:eastAsia="仿宋" w:cs="仿宋"/>
          <w:color w:val="auto"/>
          <w:szCs w:val="24"/>
        </w:rPr>
        <w:t>（4）</w:t>
      </w:r>
      <w:r>
        <w:rPr>
          <w:rFonts w:hint="eastAsia" w:ascii="仿宋" w:hAnsi="仿宋" w:eastAsia="仿宋" w:cs="仿宋"/>
          <w:color w:val="auto"/>
          <w:szCs w:val="32"/>
          <w:lang w:eastAsia="zh-CN"/>
        </w:rPr>
        <w:t>采购内容及技术要求</w:t>
      </w:r>
    </w:p>
    <w:p w14:paraId="6D41A532">
      <w:pPr>
        <w:spacing w:line="360" w:lineRule="auto"/>
        <w:ind w:firstLine="480" w:firstLineChars="200"/>
        <w:rPr>
          <w:rFonts w:hint="eastAsia" w:ascii="仿宋" w:hAnsi="仿宋" w:eastAsia="仿宋" w:cs="仿宋"/>
          <w:color w:val="auto"/>
          <w:szCs w:val="24"/>
          <w:lang w:eastAsia="zh-CN"/>
        </w:rPr>
      </w:pPr>
      <w:r>
        <w:rPr>
          <w:rFonts w:hint="eastAsia" w:ascii="仿宋" w:hAnsi="仿宋" w:eastAsia="仿宋" w:cs="仿宋"/>
          <w:color w:val="auto"/>
          <w:szCs w:val="24"/>
        </w:rPr>
        <w:t>（5）</w:t>
      </w:r>
      <w:r>
        <w:rPr>
          <w:rFonts w:hint="eastAsia" w:ascii="仿宋" w:hAnsi="仿宋" w:eastAsia="仿宋" w:cs="仿宋"/>
          <w:color w:val="auto"/>
          <w:szCs w:val="24"/>
          <w:lang w:eastAsia="zh-CN"/>
        </w:rPr>
        <w:t>商务要求</w:t>
      </w:r>
    </w:p>
    <w:p w14:paraId="60C67D7D">
      <w:pPr>
        <w:pStyle w:val="2"/>
        <w:spacing w:line="360" w:lineRule="auto"/>
        <w:rPr>
          <w:rFonts w:hint="eastAsia" w:ascii="仿宋" w:hAnsi="仿宋" w:eastAsia="仿宋" w:cs="仿宋"/>
          <w:color w:val="auto"/>
          <w:lang w:val="en-US" w:eastAsia="zh-CN"/>
        </w:rPr>
      </w:pPr>
      <w:r>
        <w:rPr>
          <w:rFonts w:hint="eastAsia" w:ascii="仿宋" w:hAnsi="仿宋" w:eastAsia="仿宋" w:cs="仿宋"/>
          <w:color w:val="auto"/>
          <w:szCs w:val="24"/>
          <w:lang w:val="en-US" w:eastAsia="zh-CN"/>
        </w:rPr>
        <w:t xml:space="preserve">    （6）合同条款</w:t>
      </w:r>
    </w:p>
    <w:p w14:paraId="53F7DA1E">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7</w:t>
      </w:r>
      <w:r>
        <w:rPr>
          <w:rFonts w:hint="eastAsia" w:ascii="仿宋" w:hAnsi="仿宋" w:eastAsia="仿宋" w:cs="仿宋"/>
          <w:color w:val="auto"/>
          <w:szCs w:val="24"/>
          <w:lang w:eastAsia="zh-CN"/>
        </w:rPr>
        <w:t>）</w:t>
      </w:r>
      <w:r>
        <w:rPr>
          <w:rFonts w:hint="eastAsia" w:ascii="仿宋" w:hAnsi="仿宋" w:eastAsia="仿宋" w:cs="仿宋"/>
          <w:color w:val="auto"/>
          <w:szCs w:val="24"/>
        </w:rPr>
        <w:t>响应文件格式</w:t>
      </w:r>
    </w:p>
    <w:p w14:paraId="01CB7219">
      <w:pPr>
        <w:spacing w:line="360" w:lineRule="auto"/>
        <w:rPr>
          <w:rFonts w:hint="eastAsia" w:ascii="仿宋" w:hAnsi="仿宋" w:eastAsia="仿宋" w:cs="仿宋"/>
          <w:color w:val="auto"/>
          <w:szCs w:val="24"/>
        </w:rPr>
      </w:pPr>
      <w:r>
        <w:rPr>
          <w:rFonts w:hint="eastAsia" w:ascii="仿宋" w:hAnsi="仿宋" w:eastAsia="仿宋" w:cs="仿宋"/>
          <w:color w:val="auto"/>
          <w:szCs w:val="24"/>
        </w:rPr>
        <w:t>7、磋商文件的澄清及修改</w:t>
      </w:r>
    </w:p>
    <w:p w14:paraId="470BDE63">
      <w:pPr>
        <w:spacing w:line="360" w:lineRule="auto"/>
        <w:ind w:firstLine="480" w:firstLineChars="200"/>
        <w:rPr>
          <w:rFonts w:hint="eastAsia" w:ascii="仿宋" w:hAnsi="仿宋" w:eastAsia="仿宋" w:cs="仿宋"/>
          <w:b/>
          <w:color w:val="auto"/>
          <w:szCs w:val="24"/>
          <w:bdr w:val="single" w:color="auto" w:sz="4" w:space="0"/>
        </w:rPr>
      </w:pPr>
      <w:r>
        <w:rPr>
          <w:rFonts w:hint="eastAsia" w:ascii="仿宋" w:hAnsi="仿宋" w:eastAsia="仿宋" w:cs="仿宋"/>
          <w:color w:val="auto"/>
          <w:szCs w:val="24"/>
        </w:rPr>
        <w:t>7.1任何要求对磋商文件进行澄清的</w:t>
      </w:r>
      <w:r>
        <w:rPr>
          <w:rFonts w:hint="eastAsia" w:ascii="仿宋" w:hAnsi="仿宋" w:eastAsia="仿宋" w:cs="仿宋"/>
          <w:color w:val="auto"/>
          <w:szCs w:val="24"/>
          <w:lang w:eastAsia="zh-CN"/>
        </w:rPr>
        <w:t>供应商</w:t>
      </w:r>
      <w:r>
        <w:rPr>
          <w:rFonts w:hint="eastAsia" w:ascii="仿宋" w:hAnsi="仿宋" w:eastAsia="仿宋" w:cs="仿宋"/>
          <w:color w:val="auto"/>
          <w:szCs w:val="24"/>
        </w:rPr>
        <w:t>，均应在投标截止期</w:t>
      </w:r>
      <w:r>
        <w:rPr>
          <w:rFonts w:hint="eastAsia" w:ascii="仿宋" w:hAnsi="仿宋" w:eastAsia="仿宋" w:cs="仿宋"/>
          <w:color w:val="auto"/>
          <w:szCs w:val="24"/>
          <w:lang w:eastAsia="zh-CN"/>
        </w:rPr>
        <w:t>七</w:t>
      </w:r>
      <w:r>
        <w:rPr>
          <w:rFonts w:hint="eastAsia" w:ascii="仿宋" w:hAnsi="仿宋" w:eastAsia="仿宋" w:cs="仿宋"/>
          <w:color w:val="auto"/>
          <w:szCs w:val="24"/>
        </w:rPr>
        <w:t>日前按磋商文件中的通讯地址以书面形式通知采购代理机构，采购代理机构对收到的书面澄清将以书面形式在投标截止期三日前予以答复，并通知其它</w:t>
      </w:r>
      <w:r>
        <w:rPr>
          <w:rFonts w:hint="eastAsia" w:ascii="仿宋" w:hAnsi="仿宋" w:eastAsia="仿宋" w:cs="仿宋"/>
          <w:color w:val="auto"/>
          <w:szCs w:val="24"/>
          <w:lang w:eastAsia="zh-CN"/>
        </w:rPr>
        <w:t>获取</w:t>
      </w:r>
      <w:r>
        <w:rPr>
          <w:rFonts w:hint="eastAsia" w:ascii="仿宋" w:hAnsi="仿宋" w:eastAsia="仿宋" w:cs="仿宋"/>
          <w:color w:val="auto"/>
          <w:szCs w:val="24"/>
        </w:rPr>
        <w:t>磋商文件的</w:t>
      </w:r>
      <w:r>
        <w:rPr>
          <w:rFonts w:hint="eastAsia" w:ascii="仿宋" w:hAnsi="仿宋" w:eastAsia="仿宋" w:cs="仿宋"/>
          <w:color w:val="auto"/>
          <w:szCs w:val="24"/>
          <w:lang w:eastAsia="zh-CN"/>
        </w:rPr>
        <w:t>供应商</w:t>
      </w:r>
      <w:r>
        <w:rPr>
          <w:rFonts w:hint="eastAsia" w:ascii="仿宋" w:hAnsi="仿宋" w:eastAsia="仿宋" w:cs="仿宋"/>
          <w:color w:val="auto"/>
          <w:szCs w:val="24"/>
        </w:rPr>
        <w:t>。</w:t>
      </w:r>
      <w:r>
        <w:rPr>
          <w:rFonts w:hint="eastAsia" w:ascii="仿宋" w:hAnsi="仿宋" w:eastAsia="仿宋" w:cs="仿宋"/>
          <w:b/>
          <w:color w:val="auto"/>
          <w:szCs w:val="24"/>
          <w:bdr w:val="single" w:color="auto" w:sz="4" w:space="0"/>
        </w:rPr>
        <w:t>对磋商文件中有难以理解或参数有疑义的内容，须在规定时间内提交书面资料，否则视为对磋商文件再无疑义，因此带来的一切不利后果由</w:t>
      </w:r>
      <w:r>
        <w:rPr>
          <w:rFonts w:hint="eastAsia" w:ascii="仿宋" w:hAnsi="仿宋" w:eastAsia="仿宋" w:cs="仿宋"/>
          <w:b/>
          <w:color w:val="auto"/>
          <w:szCs w:val="24"/>
          <w:bdr w:val="single" w:color="auto" w:sz="4" w:space="0"/>
          <w:lang w:eastAsia="zh-CN"/>
        </w:rPr>
        <w:t>供应商</w:t>
      </w:r>
      <w:r>
        <w:rPr>
          <w:rFonts w:hint="eastAsia" w:ascii="仿宋" w:hAnsi="仿宋" w:eastAsia="仿宋" w:cs="仿宋"/>
          <w:b/>
          <w:color w:val="auto"/>
          <w:szCs w:val="24"/>
          <w:bdr w:val="single" w:color="auto" w:sz="4" w:space="0"/>
        </w:rPr>
        <w:t>自负。</w:t>
      </w:r>
    </w:p>
    <w:p w14:paraId="27FD53D7">
      <w:pPr>
        <w:spacing w:line="360" w:lineRule="auto"/>
        <w:ind w:firstLine="480" w:firstLineChars="200"/>
        <w:rPr>
          <w:rFonts w:hint="eastAsia" w:ascii="仿宋" w:hAnsi="仿宋" w:eastAsia="仿宋" w:cs="仿宋"/>
          <w:color w:val="auto"/>
          <w:szCs w:val="24"/>
          <w:lang w:eastAsia="zh-CN"/>
        </w:rPr>
      </w:pPr>
      <w:r>
        <w:rPr>
          <w:rFonts w:hint="eastAsia" w:ascii="仿宋" w:hAnsi="仿宋" w:eastAsia="仿宋" w:cs="仿宋"/>
          <w:color w:val="auto"/>
          <w:szCs w:val="24"/>
        </w:rPr>
        <w:t>7.2</w:t>
      </w:r>
      <w:r>
        <w:rPr>
          <w:rFonts w:hint="eastAsia" w:ascii="仿宋" w:hAnsi="仿宋" w:eastAsia="仿宋" w:cs="仿宋"/>
          <w:color w:val="auto"/>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r>
        <w:rPr>
          <w:rFonts w:hint="eastAsia" w:ascii="仿宋" w:hAnsi="仿宋" w:eastAsia="仿宋" w:cs="仿宋"/>
          <w:color w:val="auto"/>
          <w:szCs w:val="24"/>
          <w:lang w:eastAsia="zh-CN"/>
        </w:rPr>
        <w:t>。</w:t>
      </w:r>
    </w:p>
    <w:p w14:paraId="473840E1">
      <w:pPr>
        <w:spacing w:line="360" w:lineRule="auto"/>
        <w:rPr>
          <w:rFonts w:hint="eastAsia" w:ascii="仿宋" w:hAnsi="仿宋" w:eastAsia="仿宋" w:cs="仿宋"/>
          <w:color w:val="auto"/>
          <w:szCs w:val="24"/>
        </w:rPr>
      </w:pPr>
      <w:r>
        <w:rPr>
          <w:rFonts w:hint="eastAsia" w:ascii="仿宋" w:hAnsi="仿宋" w:eastAsia="仿宋" w:cs="仿宋"/>
          <w:color w:val="auto"/>
          <w:szCs w:val="24"/>
        </w:rPr>
        <w:t>8、</w:t>
      </w:r>
      <w:r>
        <w:rPr>
          <w:rFonts w:hint="eastAsia" w:ascii="仿宋" w:hAnsi="仿宋" w:eastAsia="仿宋" w:cs="仿宋"/>
          <w:color w:val="auto"/>
          <w:szCs w:val="24"/>
          <w:lang w:eastAsia="zh-CN"/>
        </w:rPr>
        <w:t>供应商</w:t>
      </w:r>
      <w:r>
        <w:rPr>
          <w:rFonts w:hint="eastAsia" w:ascii="仿宋" w:hAnsi="仿宋" w:eastAsia="仿宋" w:cs="仿宋"/>
          <w:color w:val="auto"/>
          <w:szCs w:val="24"/>
        </w:rPr>
        <w:t>信用记录查询及政府采购项目需要落实的政策</w:t>
      </w:r>
    </w:p>
    <w:p w14:paraId="47AF7F3C">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8.1对列入“信用中国”网站(www.creditchina.gov.cn)</w:t>
      </w:r>
      <w:r>
        <w:rPr>
          <w:rFonts w:hint="eastAsia" w:ascii="仿宋" w:hAnsi="仿宋" w:eastAsia="仿宋" w:cs="仿宋"/>
          <w:i w:val="0"/>
          <w:iCs w:val="0"/>
          <w:caps w:val="0"/>
          <w:color w:val="auto"/>
          <w:spacing w:val="0"/>
          <w:sz w:val="24"/>
          <w:szCs w:val="24"/>
          <w:shd w:val="clear" w:fill="FFFFFF"/>
          <w:lang w:eastAsia="zh-CN"/>
        </w:rPr>
        <w:t>“记录失信被执行人、税收违法黑名单、企业经营异常名录”</w:t>
      </w:r>
      <w:r>
        <w:rPr>
          <w:rFonts w:hint="eastAsia" w:ascii="仿宋" w:hAnsi="仿宋" w:eastAsia="仿宋" w:cs="仿宋"/>
          <w:color w:val="auto"/>
          <w:szCs w:val="24"/>
        </w:rPr>
        <w:t>记录名单；中国政府采购网(www.ccgp.gov.cn)“政府采购严重违法失信行为信息记录”的单位，应当拒绝参与政府采购活动，采购代理机构于投标截止日当天在“信用中国”网站（www.creditchina.gov.cn）查询结果为准，如相关失信记录已失效，需提供相关证明资料；</w:t>
      </w:r>
    </w:p>
    <w:p w14:paraId="2EBC16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 w:hAnsi="仿宋" w:eastAsia="仿宋" w:cs="仿宋"/>
          <w:b w:val="0"/>
          <w:bCs/>
          <w:color w:val="auto"/>
          <w:spacing w:val="4"/>
          <w:sz w:val="24"/>
          <w:lang w:eastAsia="zh-CN"/>
        </w:rPr>
      </w:pPr>
      <w:bookmarkStart w:id="24" w:name="_Toc31339"/>
      <w:bookmarkStart w:id="25" w:name="_Toc25485"/>
      <w:bookmarkStart w:id="26" w:name="_Toc4189"/>
      <w:bookmarkStart w:id="27" w:name="_Toc3390"/>
      <w:r>
        <w:rPr>
          <w:rFonts w:hint="eastAsia" w:ascii="仿宋" w:hAnsi="仿宋" w:eastAsia="仿宋" w:cs="仿宋"/>
          <w:color w:val="auto"/>
          <w:szCs w:val="24"/>
        </w:rPr>
        <w:t>8.2</w:t>
      </w:r>
      <w:bookmarkStart w:id="28" w:name="_Toc13885"/>
      <w:bookmarkStart w:id="29" w:name="_Toc11560"/>
      <w:bookmarkStart w:id="30" w:name="_Toc20097"/>
      <w:bookmarkStart w:id="31" w:name="_Toc18307"/>
      <w:bookmarkStart w:id="32" w:name="_Toc15111"/>
      <w:bookmarkStart w:id="33" w:name="_Toc30752"/>
      <w:bookmarkStart w:id="34" w:name="_Toc21818"/>
      <w:bookmarkStart w:id="35" w:name="_Toc28576"/>
      <w:bookmarkStart w:id="36" w:name="_Toc5823"/>
      <w:bookmarkStart w:id="37" w:name="_Toc20184"/>
      <w:bookmarkStart w:id="38" w:name="_Toc6716"/>
      <w:r>
        <w:rPr>
          <w:rFonts w:hint="eastAsia" w:ascii="仿宋" w:hAnsi="仿宋" w:eastAsia="仿宋" w:cs="仿宋"/>
          <w:b w:val="0"/>
          <w:bCs/>
          <w:color w:val="auto"/>
          <w:spacing w:val="4"/>
          <w:sz w:val="24"/>
        </w:rPr>
        <w:t>政策性扣减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0525536B">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 xml:space="preserve">采购项目需要落实的政府采购政策：依据《中华人民共和国政府采购法》和《中华人民共和国政府采购实施条例》的有关规定，落实政府采购政策。 </w:t>
      </w:r>
    </w:p>
    <w:p w14:paraId="2CDF86F1">
      <w:pPr>
        <w:overflowPunct w:val="0"/>
        <w:topLinePunct/>
        <w:adjustRightInd w:val="0"/>
        <w:snapToGrid w:val="0"/>
        <w:spacing w:line="360" w:lineRule="auto"/>
        <w:ind w:firstLine="480" w:firstLineChars="200"/>
        <w:textAlignment w:val="bottom"/>
        <w:rPr>
          <w:rFonts w:hint="eastAsia" w:ascii="仿宋" w:hAnsi="仿宋" w:eastAsia="仿宋" w:cs="仿宋"/>
          <w:color w:val="auto"/>
          <w:kern w:val="2"/>
          <w:sz w:val="24"/>
          <w:szCs w:val="24"/>
          <w:highlight w:val="none"/>
          <w:lang w:val="zh-CN"/>
        </w:rPr>
      </w:pPr>
      <w:r>
        <w:rPr>
          <w:rFonts w:hint="eastAsia" w:ascii="仿宋" w:hAnsi="仿宋" w:eastAsia="仿宋" w:cs="仿宋"/>
          <w:color w:val="auto"/>
          <w:sz w:val="24"/>
          <w:szCs w:val="24"/>
          <w:highlight w:val="none"/>
          <w:lang w:val="en-US" w:eastAsia="zh-CN"/>
        </w:rPr>
        <w:t>8.1</w:t>
      </w:r>
      <w:r>
        <w:rPr>
          <w:rFonts w:hint="eastAsia" w:ascii="仿宋" w:hAnsi="仿宋" w:eastAsia="仿宋" w:cs="仿宋"/>
          <w:color w:val="auto"/>
          <w:sz w:val="24"/>
          <w:szCs w:val="24"/>
          <w:highlight w:val="none"/>
        </w:rPr>
        <w:t>对参与磋商且符合《政府采购促进中小企业发展管理办法》（财库〔2020〕46号）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rPr>
        <w:t>财政部关于进一步加大政府采购支持中小企业力度的通知</w:t>
      </w:r>
      <w:r>
        <w:rPr>
          <w:rFonts w:hint="eastAsia" w:ascii="仿宋" w:hAnsi="仿宋" w:eastAsia="仿宋" w:cs="仿宋"/>
          <w:color w:val="auto"/>
          <w:sz w:val="24"/>
          <w:szCs w:val="24"/>
          <w:highlight w:val="none"/>
        </w:rPr>
        <w:t>》（财库〔202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rPr>
        <w:t>陕西省财政厅关于进一步加大政府采购支持中小企业力度的通知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陕财办采</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rPr>
        <w:t>榆林市财政局关于进一步加大政府采购支持中小企业力度的通知</w:t>
      </w:r>
      <w:r>
        <w:rPr>
          <w:rFonts w:hint="eastAsia" w:ascii="仿宋" w:hAnsi="仿宋" w:eastAsia="仿宋" w:cs="仿宋"/>
          <w:color w:val="auto"/>
          <w:sz w:val="24"/>
          <w:szCs w:val="24"/>
          <w:highlight w:val="none"/>
        </w:rPr>
        <w:t>》</w:t>
      </w:r>
      <w:r>
        <w:rPr>
          <w:rFonts w:hint="eastAsia" w:ascii="仿宋" w:hAnsi="仿宋" w:eastAsia="仿宋" w:cs="仿宋"/>
          <w:color w:val="auto"/>
        </w:rPr>
        <w:t>榆政财采发〔2022〕10号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的小型和微型企业的报价给予</w:t>
      </w:r>
      <w:r>
        <w:rPr>
          <w:rFonts w:hint="eastAsia" w:ascii="仿宋" w:hAnsi="仿宋" w:eastAsia="仿宋" w:cs="仿宋"/>
          <w:color w:val="auto"/>
          <w:sz w:val="24"/>
          <w:szCs w:val="24"/>
          <w:highlight w:val="none"/>
          <w:u w:val="none"/>
          <w:lang w:val="en-US" w:eastAsia="zh-CN"/>
        </w:rPr>
        <w:t>20</w:t>
      </w:r>
      <w:r>
        <w:rPr>
          <w:rFonts w:hint="eastAsia" w:ascii="仿宋" w:hAnsi="仿宋" w:eastAsia="仿宋" w:cs="仿宋"/>
          <w:color w:val="auto"/>
          <w:sz w:val="24"/>
          <w:szCs w:val="24"/>
          <w:highlight w:val="none"/>
          <w:u w:val="none"/>
        </w:rPr>
        <w:t>%</w:t>
      </w:r>
      <w:r>
        <w:rPr>
          <w:rFonts w:hint="eastAsia" w:ascii="仿宋" w:hAnsi="仿宋" w:eastAsia="仿宋" w:cs="仿宋"/>
          <w:color w:val="auto"/>
          <w:sz w:val="24"/>
          <w:szCs w:val="24"/>
          <w:highlight w:val="none"/>
        </w:rPr>
        <w:t>的扣除，用扣除后的价格评审。</w:t>
      </w:r>
    </w:p>
    <w:p w14:paraId="74A534F3">
      <w:pPr>
        <w:pStyle w:val="11"/>
        <w:overflowPunct w:val="0"/>
        <w:topLinePunct/>
        <w:adjustRightInd w:val="0"/>
        <w:snapToGrid w:val="0"/>
        <w:spacing w:after="0"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8.2</w:t>
      </w:r>
      <w:r>
        <w:rPr>
          <w:rFonts w:hint="eastAsia" w:ascii="仿宋" w:hAnsi="仿宋" w:eastAsia="仿宋" w:cs="仿宋"/>
          <w:color w:val="auto"/>
          <w:sz w:val="24"/>
          <w:highlight w:val="none"/>
        </w:rPr>
        <w:t>对符合《财政部司法部关于政府采购支持监狱企业发展有关问题的通知》（财库〔2014〕68号）的监狱和戒毒企业视同小型、微型企业享受</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%的价格扣除。</w:t>
      </w:r>
    </w:p>
    <w:p w14:paraId="630E041B">
      <w:pPr>
        <w:overflowPunct w:val="0"/>
        <w:topLinePunct/>
        <w:adjustRightInd w:val="0"/>
        <w:snapToGrid w:val="0"/>
        <w:spacing w:line="360" w:lineRule="auto"/>
        <w:ind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8.3</w:t>
      </w:r>
      <w:r>
        <w:rPr>
          <w:rFonts w:hint="eastAsia" w:ascii="仿宋" w:hAnsi="仿宋" w:eastAsia="仿宋" w:cs="仿宋"/>
          <w:color w:val="auto"/>
          <w:sz w:val="24"/>
          <w:szCs w:val="24"/>
          <w:highlight w:val="none"/>
        </w:rPr>
        <w:t>对符合财政部、民政部、中国残疾人联合会下发的《关于促进残疾人就业政府采购政策的通知》（财库〔2017〕141号）并提供本单位制造的货物、承担的工程或者服务（以下简称产品），或者提供其他残疾人福利性单位制造的货物（不包括使用非残疾人福利性单位注册商标的货物）的供应商视同小型、微型企业，享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%的价格扣除。</w:t>
      </w:r>
    </w:p>
    <w:p w14:paraId="38B85FE2">
      <w:pPr>
        <w:overflowPunct w:val="0"/>
        <w:topLinePunct/>
        <w:adjustRightInd w:val="0"/>
        <w:snapToGrid w:val="0"/>
        <w:spacing w:line="360" w:lineRule="auto"/>
        <w:ind w:firstLine="480" w:firstLineChars="200"/>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注：本专门专门面向中小企业采购，小微企业不予价格折扣。</w:t>
      </w:r>
    </w:p>
    <w:p w14:paraId="6AA46353">
      <w:pPr>
        <w:spacing w:line="360" w:lineRule="auto"/>
        <w:ind w:firstLine="597" w:firstLineChars="24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8.4</w:t>
      </w:r>
      <w:r>
        <w:rPr>
          <w:rFonts w:hint="eastAsia" w:ascii="仿宋" w:hAnsi="仿宋" w:eastAsia="仿宋" w:cs="仿宋"/>
          <w:color w:val="auto"/>
          <w:sz w:val="24"/>
          <w:highlight w:val="none"/>
        </w:rPr>
        <w:t>、节能产品、环境标志产品政策</w:t>
      </w:r>
    </w:p>
    <w:p w14:paraId="5B42DC91">
      <w:pPr>
        <w:spacing w:line="360" w:lineRule="auto"/>
        <w:ind w:firstLine="597" w:firstLineChars="249"/>
        <w:rPr>
          <w:rFonts w:hint="eastAsia" w:ascii="仿宋" w:hAnsi="仿宋" w:eastAsia="仿宋" w:cs="仿宋"/>
          <w:color w:val="auto"/>
          <w:sz w:val="24"/>
          <w:highlight w:val="none"/>
        </w:rPr>
      </w:pPr>
      <w:r>
        <w:rPr>
          <w:rFonts w:hint="eastAsia" w:ascii="仿宋" w:hAnsi="仿宋" w:eastAsia="仿宋" w:cs="仿宋"/>
          <w:color w:val="auto"/>
          <w:sz w:val="24"/>
          <w:highlight w:val="none"/>
        </w:rPr>
        <w:t>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17CD6665">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（三）竞争性磋商响应文件的编写</w:t>
      </w:r>
    </w:p>
    <w:p w14:paraId="59F2613F">
      <w:pPr>
        <w:spacing w:line="360" w:lineRule="auto"/>
        <w:rPr>
          <w:rFonts w:hint="eastAsia" w:ascii="仿宋" w:hAnsi="仿宋" w:eastAsia="仿宋" w:cs="仿宋"/>
          <w:color w:val="auto"/>
          <w:szCs w:val="24"/>
        </w:rPr>
      </w:pPr>
      <w:r>
        <w:rPr>
          <w:rFonts w:hint="eastAsia" w:ascii="仿宋" w:hAnsi="仿宋" w:eastAsia="仿宋" w:cs="仿宋"/>
          <w:color w:val="auto"/>
          <w:szCs w:val="24"/>
        </w:rPr>
        <w:t>9、响应文件的构成</w:t>
      </w:r>
    </w:p>
    <w:p w14:paraId="5491074F">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详见磋商文件中第六章“响应文件格式”。</w:t>
      </w:r>
    </w:p>
    <w:p w14:paraId="6B5455D3">
      <w:pPr>
        <w:spacing w:line="360" w:lineRule="auto"/>
        <w:rPr>
          <w:rFonts w:hint="eastAsia" w:ascii="仿宋" w:hAnsi="仿宋" w:eastAsia="仿宋" w:cs="仿宋"/>
          <w:color w:val="auto"/>
          <w:szCs w:val="24"/>
        </w:rPr>
      </w:pPr>
      <w:r>
        <w:rPr>
          <w:rFonts w:hint="eastAsia" w:ascii="仿宋" w:hAnsi="仿宋" w:eastAsia="仿宋" w:cs="仿宋"/>
          <w:color w:val="auto"/>
          <w:szCs w:val="24"/>
        </w:rPr>
        <w:t>10、磋商报价</w:t>
      </w:r>
    </w:p>
    <w:p w14:paraId="1838BE97">
      <w:pPr>
        <w:spacing w:line="360" w:lineRule="auto"/>
        <w:ind w:firstLine="480" w:firstLineChars="200"/>
        <w:rPr>
          <w:rFonts w:hint="eastAsia" w:ascii="仿宋" w:hAnsi="仿宋" w:eastAsia="仿宋" w:cs="仿宋"/>
          <w:b/>
          <w:color w:val="auto"/>
          <w:szCs w:val="24"/>
        </w:rPr>
      </w:pPr>
      <w:r>
        <w:rPr>
          <w:rFonts w:hint="eastAsia" w:ascii="仿宋" w:hAnsi="仿宋" w:eastAsia="仿宋" w:cs="仿宋"/>
          <w:color w:val="auto"/>
          <w:szCs w:val="24"/>
        </w:rPr>
        <w:t>10.1 所有磋商报价均以人民币报价。单位为元，精确到分。</w:t>
      </w:r>
      <w:r>
        <w:rPr>
          <w:rFonts w:hint="eastAsia" w:ascii="仿宋" w:hAnsi="仿宋" w:eastAsia="仿宋" w:cs="仿宋"/>
          <w:b/>
          <w:color w:val="auto"/>
          <w:szCs w:val="24"/>
        </w:rPr>
        <w:t>报价大于预算价时，按无效报价处理，且不进第二轮报价。本项目不公开唱价。</w:t>
      </w:r>
    </w:p>
    <w:p w14:paraId="61706795">
      <w:pPr>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color w:val="auto"/>
          <w:szCs w:val="24"/>
        </w:rPr>
        <w:t>10.2供应商依据磋商文件提供的招标要求等资料并自行考虑风险因素计算磋商报价，磋商</w:t>
      </w:r>
      <w:r>
        <w:rPr>
          <w:rFonts w:hint="eastAsia" w:ascii="仿宋" w:hAnsi="仿宋" w:eastAsia="仿宋" w:cs="仿宋"/>
          <w:b w:val="0"/>
          <w:bCs w:val="0"/>
          <w:color w:val="auto"/>
          <w:sz w:val="24"/>
          <w:szCs w:val="24"/>
        </w:rPr>
        <w:t>报价应包括完成本项目服务的一切费用包括但不限于材料费、人员工资社保福利、管理费以及各项直接间接费用、其他费、税费、突发事故保险费、服务期内服务合同与政策性文件规定的所有风险、责任等的全部费用。应计未计部分视为全部计入。</w:t>
      </w:r>
    </w:p>
    <w:p w14:paraId="1D3F9B06">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10.3供应商必须就整个项目进行响应，不得将整个项目中的内容拆开响应。拆开响应的，按无效响应文件处理。</w:t>
      </w:r>
    </w:p>
    <w:p w14:paraId="1DDE2674">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10.4凡因供应商对磋商文件阅读不深、理解不透、误解、疏漏、或因市场行情了解不清造成的后果和风险均由磋商供应商自负。磋商响应过程中所产生的一切费用由磋商供应商自行承担。</w:t>
      </w:r>
    </w:p>
    <w:p w14:paraId="05A6B311">
      <w:pPr>
        <w:spacing w:line="360" w:lineRule="auto"/>
        <w:rPr>
          <w:rFonts w:hint="eastAsia" w:ascii="仿宋" w:hAnsi="仿宋" w:eastAsia="仿宋" w:cs="仿宋"/>
          <w:color w:val="auto"/>
          <w:szCs w:val="24"/>
        </w:rPr>
      </w:pPr>
      <w:r>
        <w:rPr>
          <w:rFonts w:hint="eastAsia" w:ascii="仿宋" w:hAnsi="仿宋" w:eastAsia="仿宋" w:cs="仿宋"/>
          <w:color w:val="auto"/>
          <w:szCs w:val="24"/>
        </w:rPr>
        <w:t>11、响应文件的编制</w:t>
      </w:r>
    </w:p>
    <w:p w14:paraId="6614FD56">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11.1响应文件应按第</w:t>
      </w:r>
      <w:r>
        <w:rPr>
          <w:rFonts w:hint="eastAsia" w:ascii="仿宋" w:hAnsi="仿宋" w:eastAsia="仿宋" w:cs="仿宋"/>
          <w:color w:val="auto"/>
          <w:szCs w:val="24"/>
          <w:lang w:eastAsia="zh-CN"/>
        </w:rPr>
        <w:t>六</w:t>
      </w:r>
      <w:r>
        <w:rPr>
          <w:rFonts w:hint="eastAsia" w:ascii="仿宋" w:hAnsi="仿宋" w:eastAsia="仿宋" w:cs="仿宋"/>
          <w:color w:val="auto"/>
          <w:szCs w:val="24"/>
        </w:rPr>
        <w:t>章“响应文件格式”所要求的全部内容编制。</w:t>
      </w:r>
    </w:p>
    <w:p w14:paraId="05026859">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11.2</w:t>
      </w:r>
      <w:r>
        <w:rPr>
          <w:rFonts w:hint="eastAsia" w:ascii="仿宋" w:hAnsi="仿宋" w:eastAsia="仿宋" w:cs="仿宋"/>
          <w:color w:val="auto"/>
          <w:sz w:val="24"/>
          <w:szCs w:val="24"/>
        </w:rPr>
        <w:t>投标供应商需提交纸质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文件一正</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副纸质</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及电子版</w:t>
      </w:r>
      <w:r>
        <w:rPr>
          <w:rFonts w:hint="eastAsia" w:ascii="仿宋" w:hAnsi="仿宋" w:eastAsia="仿宋" w:cs="仿宋"/>
          <w:color w:val="auto"/>
          <w:spacing w:val="-3"/>
          <w:sz w:val="24"/>
          <w:szCs w:val="24"/>
        </w:rPr>
        <w:t>（光盘或</w:t>
      </w:r>
      <w:r>
        <w:rPr>
          <w:rFonts w:hint="eastAsia" w:ascii="仿宋" w:hAnsi="仿宋" w:eastAsia="仿宋" w:cs="仿宋"/>
          <w:color w:val="auto"/>
          <w:spacing w:val="-49"/>
          <w:sz w:val="24"/>
          <w:szCs w:val="24"/>
        </w:rPr>
        <w:t xml:space="preserve"> </w:t>
      </w:r>
      <w:r>
        <w:rPr>
          <w:rFonts w:hint="eastAsia" w:ascii="仿宋" w:hAnsi="仿宋" w:eastAsia="仿宋" w:cs="仿宋"/>
          <w:color w:val="auto"/>
          <w:spacing w:val="-3"/>
          <w:sz w:val="24"/>
          <w:szCs w:val="24"/>
        </w:rPr>
        <w:t>U</w:t>
      </w:r>
      <w:r>
        <w:rPr>
          <w:rFonts w:hint="eastAsia" w:ascii="仿宋" w:hAnsi="仿宋" w:eastAsia="仿宋" w:cs="仿宋"/>
          <w:color w:val="auto"/>
          <w:spacing w:val="-43"/>
          <w:sz w:val="24"/>
          <w:szCs w:val="24"/>
        </w:rPr>
        <w:t xml:space="preserve"> </w:t>
      </w:r>
      <w:r>
        <w:rPr>
          <w:rFonts w:hint="eastAsia" w:ascii="仿宋" w:hAnsi="仿宋" w:eastAsia="仿宋" w:cs="仿宋"/>
          <w:color w:val="auto"/>
          <w:spacing w:val="-3"/>
          <w:sz w:val="24"/>
          <w:szCs w:val="24"/>
        </w:rPr>
        <w:t>盘</w:t>
      </w:r>
      <w:r>
        <w:rPr>
          <w:rFonts w:hint="eastAsia" w:ascii="仿宋" w:hAnsi="仿宋" w:eastAsia="仿宋" w:cs="仿宋"/>
          <w:color w:val="auto"/>
          <w:spacing w:val="-3"/>
          <w:sz w:val="24"/>
          <w:szCs w:val="24"/>
          <w:lang w:eastAsia="zh-CN"/>
        </w:rPr>
        <w:t>，包含可编辑 word 版，签字盖章后的扫描件 1 份</w:t>
      </w:r>
      <w:r>
        <w:rPr>
          <w:rFonts w:hint="eastAsia" w:ascii="仿宋" w:hAnsi="仿宋" w:eastAsia="仿宋" w:cs="仿宋"/>
          <w:color w:val="auto"/>
          <w:spacing w:val="-3"/>
          <w:sz w:val="24"/>
          <w:szCs w:val="24"/>
        </w:rPr>
        <w:t>）</w:t>
      </w:r>
      <w:r>
        <w:rPr>
          <w:rFonts w:hint="eastAsia" w:ascii="仿宋" w:hAnsi="仿宋" w:eastAsia="仿宋" w:cs="仿宋"/>
          <w:color w:val="auto"/>
          <w:sz w:val="24"/>
          <w:szCs w:val="24"/>
          <w:lang w:eastAsia="zh-CN"/>
        </w:rPr>
        <w:t>响应文件一份。</w:t>
      </w:r>
      <w:r>
        <w:rPr>
          <w:rFonts w:hint="eastAsia" w:ascii="仿宋" w:hAnsi="仿宋" w:eastAsia="仿宋" w:cs="仿宋"/>
          <w:color w:val="auto"/>
          <w:szCs w:val="24"/>
        </w:rPr>
        <w:t>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w:t>
      </w:r>
    </w:p>
    <w:p w14:paraId="10975C86">
      <w:pPr>
        <w:spacing w:line="360" w:lineRule="auto"/>
        <w:rPr>
          <w:rFonts w:hint="eastAsia" w:ascii="仿宋" w:hAnsi="仿宋" w:eastAsia="仿宋" w:cs="仿宋"/>
          <w:color w:val="auto"/>
          <w:szCs w:val="24"/>
        </w:rPr>
      </w:pPr>
      <w:bookmarkStart w:id="39" w:name="_Toc246928911"/>
      <w:bookmarkStart w:id="40" w:name="_Toc394934424"/>
      <w:bookmarkStart w:id="41" w:name="_Toc317248152"/>
      <w:r>
        <w:rPr>
          <w:rFonts w:hint="eastAsia" w:ascii="仿宋" w:hAnsi="仿宋" w:eastAsia="仿宋" w:cs="仿宋"/>
          <w:color w:val="auto"/>
          <w:szCs w:val="24"/>
        </w:rPr>
        <w:t>12、供应商资质证明文件</w:t>
      </w:r>
      <w:bookmarkEnd w:id="39"/>
      <w:bookmarkEnd w:id="40"/>
    </w:p>
    <w:bookmarkEnd w:id="41"/>
    <w:p w14:paraId="25B58142">
      <w:pPr>
        <w:spacing w:line="360" w:lineRule="auto"/>
        <w:ind w:firstLine="240" w:firstLineChars="100"/>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(2)财务状况报告：财务状况良好，提供2024年财务审计报告，成立时间至提交投标文件截止时间不足一年的提供银行资信证明。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(3)社会保障资金缴纳证明：提供2025年01月01日至今已缴纳的至少一个月的社会保障资金银行缴费单据或社保机构开具的社会保险参保缴费情况证明，依法不需要缴纳社会保障资金的单位应提供相关证明材料。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(4)税收缴纳证明：提供2025年01月01日至今已缴纳的至少一个月的纳税证明（银行缴费凭证）或完税证明（时间以税款所属日期为准、税种须包含增值税或企业所得税），依法免税的单位应提供相关证明材料。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(5)参加政府采购活动前三年内，在经营活动中没有重大违法记录的书面声明。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(6)提供具有履行合同所必需的设备和专业技术能力的证明资料或承诺书。</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(7)对列入“信用中国”网站(www.creditchina.gov.cn)“失信被执行人、税收违法黑名单、异常经营名录”记录名单；“中国政府采购网”(www.ccgp.gov.cn)“政府采购严重违法失信行为信息记录”的单位，应当拒绝参与政府采购活动。</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8</w:t>
      </w:r>
      <w:r>
        <w:rPr>
          <w:rFonts w:hint="eastAsia" w:ascii="仿宋" w:hAnsi="仿宋" w:eastAsia="仿宋" w:cs="仿宋"/>
          <w:i w:val="0"/>
          <w:iCs w:val="0"/>
          <w:caps w:val="0"/>
          <w:color w:val="auto"/>
          <w:spacing w:val="0"/>
          <w:sz w:val="24"/>
          <w:szCs w:val="24"/>
          <w:shd w:val="clear" w:fill="FFFFFF"/>
        </w:rPr>
        <w:t>)本项目不接受联合体投标；不允许分包、转包，单位负责人为同一人或者存在直接控股、管理关系的不同投标人，不得参加同一合同项下的政府采购活动（提供非联合体书面声明材料）。</w:t>
      </w:r>
    </w:p>
    <w:p w14:paraId="3EE9BB11">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13、磋商有效期</w:t>
      </w:r>
    </w:p>
    <w:p w14:paraId="5334DEB9">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13.1响应文件从磋商之日起，磋商有效期为90日历天。响应文件中所有要求的证明文件的有效期比本须知规定的有效期短的，将被视为非响应磋商，采购人有权拒绝。 </w:t>
      </w:r>
    </w:p>
    <w:p w14:paraId="44CFD939">
      <w:pPr>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p w14:paraId="532B8453">
      <w:pPr>
        <w:spacing w:line="360" w:lineRule="auto"/>
        <w:rPr>
          <w:rFonts w:hint="eastAsia" w:ascii="仿宋" w:hAnsi="仿宋" w:eastAsia="仿宋" w:cs="仿宋"/>
          <w:color w:val="auto"/>
          <w:szCs w:val="24"/>
        </w:rPr>
      </w:pPr>
      <w:r>
        <w:rPr>
          <w:rFonts w:hint="eastAsia" w:ascii="仿宋" w:hAnsi="仿宋" w:eastAsia="仿宋" w:cs="仿宋"/>
          <w:color w:val="auto"/>
          <w:szCs w:val="24"/>
        </w:rPr>
        <w:t>14、磋商保证金：</w:t>
      </w:r>
    </w:p>
    <w:p w14:paraId="0A0F437D">
      <w:pPr>
        <w:pStyle w:val="25"/>
        <w:pageBreakBefore w:val="0"/>
        <w:bidi w:val="0"/>
        <w:spacing w:after="0" w:line="360" w:lineRule="auto"/>
        <w:ind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采用“投标信用承诺书”代替投标保证金。</w:t>
      </w:r>
    </w:p>
    <w:p w14:paraId="524FB01A">
      <w:pPr>
        <w:spacing w:line="360" w:lineRule="auto"/>
        <w:ind w:firstLine="480" w:firstLineChars="200"/>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注：需在网上提交《投标信用承诺》，并将《投标信用承诺》及网上已上报后的网页截图附在投标文件中。</w:t>
      </w:r>
    </w:p>
    <w:p w14:paraId="6B542B2F">
      <w:pPr>
        <w:adjustRightInd w:val="0"/>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15.</w:t>
      </w:r>
      <w:r>
        <w:rPr>
          <w:rFonts w:hint="eastAsia" w:ascii="仿宋" w:hAnsi="仿宋" w:eastAsia="仿宋" w:cs="仿宋"/>
          <w:b/>
          <w:bCs/>
          <w:color w:val="auto"/>
          <w:sz w:val="24"/>
          <w:szCs w:val="24"/>
        </w:rPr>
        <w:t xml:space="preserve"> 竞争性磋商响应文件有下列情况之一者将视为无效：</w:t>
      </w:r>
    </w:p>
    <w:p w14:paraId="6ABF0CB2">
      <w:pPr>
        <w:adjustRightInd w:val="0"/>
        <w:snapToGrid w:val="0"/>
        <w:spacing w:line="360" w:lineRule="auto"/>
        <w:ind w:firstLine="480" w:firstLineChars="200"/>
        <w:rPr>
          <w:rFonts w:hint="eastAsia" w:ascii="仿宋" w:hAnsi="仿宋" w:eastAsia="仿宋" w:cs="仿宋"/>
          <w:color w:val="auto"/>
          <w:sz w:val="24"/>
          <w:szCs w:val="24"/>
        </w:rPr>
      </w:pPr>
      <w:bookmarkStart w:id="42" w:name="_Hlk34387735"/>
      <w:bookmarkEnd w:id="4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）未按要求加盖投标人公章和法定代表人或其授权代表签字或盖章的；</w:t>
      </w:r>
    </w:p>
    <w:p w14:paraId="4128830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）未按竞争性磋商文件要求提交资格证明文件或未通过竞争性磋商响应文件有效性审查的；</w:t>
      </w:r>
    </w:p>
    <w:p w14:paraId="2E7888D4">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）提交的竞争性磋商响应文件有效期短于竞争性磋商文件规定有效期的；</w:t>
      </w:r>
    </w:p>
    <w:p w14:paraId="0359063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）未按磋商小组要求对竞争性磋商响应文件进行澄清（说明或者更正）的；</w:t>
      </w:r>
    </w:p>
    <w:p w14:paraId="23E6599D">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）磋商小组对竞争性磋商响应文件评审后，认为在有效性、完整性和响应程度方面没有实质性响应竞争性磋商文件的或有重大缺项漏项,明显不符合技术规格、技术标准的要求的；</w:t>
      </w:r>
    </w:p>
    <w:p w14:paraId="2776A6EB">
      <w:pPr>
        <w:adjustRightInd w:val="0"/>
        <w:snapToGrid w:val="0"/>
        <w:spacing w:line="360" w:lineRule="auto"/>
        <w:ind w:firstLine="480" w:firstLineChars="200"/>
        <w:rPr>
          <w:rFonts w:hint="eastAsia" w:ascii="仿宋" w:hAnsi="仿宋" w:eastAsia="仿宋" w:cs="仿宋"/>
          <w:color w:val="auto"/>
          <w:kern w:val="2"/>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）重新提交的竞争性磋商响应文件没有实质性响应竞争性磋商文件的。</w:t>
      </w:r>
      <w:bookmarkStart w:id="43" w:name="_Toc453917526"/>
      <w:bookmarkEnd w:id="43"/>
      <w:bookmarkStart w:id="44" w:name="_Toc453858063"/>
      <w:bookmarkEnd w:id="44"/>
      <w:bookmarkStart w:id="45" w:name="_Toc385234434"/>
      <w:bookmarkEnd w:id="45"/>
      <w:bookmarkStart w:id="46" w:name="_Toc453917619"/>
      <w:bookmarkEnd w:id="46"/>
    </w:p>
    <w:p w14:paraId="442F2DB5">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）投标单位针对同一项目递交两份或多份内容不同的竞争性磋商响应文件，未书面声明哪一份是有效的或出现选择性报价的；</w:t>
      </w:r>
    </w:p>
    <w:p w14:paraId="16D1DF80">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）磋商评审小组一致认为某投标人磋商最终报价明显不合理或者低于成本，无法保证服务质量和不能诚信履约的；</w:t>
      </w:r>
    </w:p>
    <w:p w14:paraId="2113D0CF">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）在“信用中国”网站(www.creditchina.gov.cn)和中国政府采购网(www.ccgp.gov.cn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84F7597">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）不符合现行法律法规和竞争性磋商文件规定的其他实质性要求的。</w:t>
      </w:r>
    </w:p>
    <w:p w14:paraId="356D0AA5">
      <w:pPr>
        <w:adjustRightInd w:val="0"/>
        <w:snapToGrid w:val="0"/>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16.1</w:t>
      </w:r>
      <w:r>
        <w:rPr>
          <w:rFonts w:hint="eastAsia" w:ascii="仿宋" w:hAnsi="仿宋" w:eastAsia="仿宋" w:cs="仿宋"/>
          <w:b/>
          <w:color w:val="auto"/>
          <w:sz w:val="24"/>
          <w:szCs w:val="24"/>
        </w:rPr>
        <w:t xml:space="preserve"> 有下列情形之一的，视为投标人串通投标，其投标无效：</w:t>
      </w:r>
    </w:p>
    <w:p w14:paraId="1C1782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bookmarkStart w:id="47" w:name="_Hlk34387752"/>
      <w:bookmarkEnd w:id="47"/>
      <w:r>
        <w:rPr>
          <w:rFonts w:hint="eastAsia" w:ascii="仿宋" w:hAnsi="仿宋" w:eastAsia="仿宋" w:cs="仿宋"/>
          <w:color w:val="auto"/>
          <w:sz w:val="24"/>
          <w:szCs w:val="24"/>
        </w:rPr>
        <w:t>（1）不同投标人的竞争性磋商响应文件由同一单位或者个人编制；</w:t>
      </w:r>
    </w:p>
    <w:p w14:paraId="0B748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（2）不同投标人委托同一单位或个人办理磋商事宜；</w:t>
      </w:r>
    </w:p>
    <w:p w14:paraId="0A487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（3）不同投标人的竞争性磋商响应文件载明的项目管理成员或者联系人员为同一人；</w:t>
      </w:r>
    </w:p>
    <w:p w14:paraId="0A6114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（4）不同投标人的竞争性磋商响应文件异常一致或者磋商报价呈规律性差异；</w:t>
      </w:r>
    </w:p>
    <w:p w14:paraId="4DBB21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（5）不同投标人的竞争性磋商响应文件互相混装；</w:t>
      </w:r>
    </w:p>
    <w:p w14:paraId="6BF0D5E3">
      <w:pPr>
        <w:keepNext w:val="0"/>
        <w:keepLines w:val="0"/>
        <w:pageBreakBefore w:val="0"/>
        <w:widowControl w:val="0"/>
        <w:kinsoku/>
        <w:wordWrap/>
        <w:overflowPunct/>
        <w:topLinePunct w:val="0"/>
        <w:autoSpaceDE/>
        <w:autoSpaceDN/>
        <w:bidi w:val="0"/>
        <w:spacing w:line="360" w:lineRule="auto"/>
        <w:jc w:val="center"/>
        <w:textAlignment w:val="auto"/>
        <w:rPr>
          <w:rFonts w:hint="eastAsia" w:ascii="仿宋" w:hAnsi="仿宋" w:eastAsia="仿宋" w:cs="仿宋"/>
          <w:b/>
          <w:color w:val="auto"/>
          <w:szCs w:val="24"/>
        </w:rPr>
      </w:pPr>
      <w:r>
        <w:rPr>
          <w:rFonts w:hint="eastAsia" w:ascii="仿宋" w:hAnsi="仿宋" w:eastAsia="仿宋" w:cs="仿宋"/>
          <w:b/>
          <w:color w:val="auto"/>
          <w:szCs w:val="24"/>
        </w:rPr>
        <w:t>（五）开 标</w:t>
      </w:r>
    </w:p>
    <w:p w14:paraId="18611E8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Cs w:val="24"/>
        </w:rPr>
      </w:pPr>
      <w:bookmarkStart w:id="48" w:name="_Toc394934434"/>
      <w:r>
        <w:rPr>
          <w:rFonts w:hint="eastAsia" w:ascii="仿宋" w:hAnsi="仿宋" w:eastAsia="仿宋" w:cs="仿宋"/>
          <w:color w:val="auto"/>
          <w:szCs w:val="24"/>
        </w:rPr>
        <w:t>17、</w:t>
      </w:r>
      <w:bookmarkEnd w:id="48"/>
      <w:r>
        <w:rPr>
          <w:rFonts w:hint="eastAsia" w:ascii="仿宋" w:hAnsi="仿宋" w:eastAsia="仿宋" w:cs="仿宋"/>
          <w:color w:val="auto"/>
          <w:szCs w:val="24"/>
        </w:rPr>
        <w:t>磋商</w:t>
      </w:r>
    </w:p>
    <w:p w14:paraId="6B2D31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bookmarkStart w:id="49" w:name="_Toc394934435"/>
      <w:bookmarkStart w:id="50" w:name="_Toc246928921"/>
      <w:r>
        <w:rPr>
          <w:rFonts w:hint="eastAsia" w:ascii="仿宋" w:hAnsi="仿宋" w:eastAsia="仿宋" w:cs="仿宋"/>
          <w:color w:val="auto"/>
          <w:sz w:val="24"/>
          <w:szCs w:val="24"/>
          <w:lang w:val="en-US" w:eastAsia="zh-CN"/>
        </w:rPr>
        <w:t>17.招标代理机构</w:t>
      </w:r>
      <w:r>
        <w:rPr>
          <w:rFonts w:hint="eastAsia" w:ascii="仿宋" w:hAnsi="仿宋" w:eastAsia="仿宋" w:cs="仿宋"/>
          <w:color w:val="auto"/>
          <w:sz w:val="24"/>
          <w:szCs w:val="24"/>
        </w:rPr>
        <w:t>组织招标、开标、评标工作，整个过程受政府采购监管机构的监督、管理。</w:t>
      </w:r>
    </w:p>
    <w:p w14:paraId="3954D6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17.2招标代理机构</w:t>
      </w:r>
      <w:r>
        <w:rPr>
          <w:rFonts w:hint="eastAsia" w:ascii="仿宋" w:hAnsi="仿宋" w:eastAsia="仿宋" w:cs="仿宋"/>
          <w:color w:val="auto"/>
          <w:sz w:val="24"/>
          <w:szCs w:val="24"/>
        </w:rPr>
        <w:t>在磋商文件规定的时间和地点组织开标，供应商必须在</w:t>
      </w:r>
      <w:r>
        <w:rPr>
          <w:rFonts w:hint="eastAsia" w:ascii="仿宋" w:hAnsi="仿宋" w:eastAsia="仿宋" w:cs="仿宋"/>
          <w:color w:val="auto"/>
          <w:sz w:val="24"/>
          <w:szCs w:val="24"/>
          <w:lang w:eastAsia="zh-CN"/>
        </w:rPr>
        <w:t>市民大厦9楼902</w:t>
      </w:r>
      <w:r>
        <w:rPr>
          <w:rFonts w:hint="eastAsia" w:ascii="仿宋" w:hAnsi="仿宋" w:eastAsia="仿宋" w:cs="仿宋"/>
          <w:color w:val="auto"/>
          <w:sz w:val="24"/>
          <w:szCs w:val="24"/>
        </w:rPr>
        <w:t>系统签名报到。</w:t>
      </w:r>
    </w:p>
    <w:p w14:paraId="6F901E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供应商不足3家的，不得开标。</w:t>
      </w:r>
    </w:p>
    <w:p w14:paraId="575BC44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18、磋商小组</w:t>
      </w:r>
      <w:bookmarkEnd w:id="49"/>
      <w:bookmarkEnd w:id="50"/>
    </w:p>
    <w:p w14:paraId="73CD663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18.1 根据本次招标项目的特点，参照《中华人民共和国政府采购法》等有关规定组建磋商小组。</w:t>
      </w:r>
    </w:p>
    <w:p w14:paraId="642F45B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18.2本项目磋商小组专家的产生方式符合国家和地方有关评审专家产生方式的规定。</w:t>
      </w:r>
    </w:p>
    <w:p w14:paraId="38163B3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18.3 磋商小组成员对各供应商磋商响应文件进行审查、质疑、评估和比较，并推荐成交候选供应商。</w:t>
      </w:r>
    </w:p>
    <w:p w14:paraId="01E75B38">
      <w:pPr>
        <w:spacing w:line="360" w:lineRule="auto"/>
        <w:jc w:val="center"/>
        <w:rPr>
          <w:rFonts w:hint="eastAsia" w:ascii="仿宋" w:hAnsi="仿宋" w:eastAsia="仿宋" w:cs="仿宋"/>
          <w:b/>
          <w:color w:val="auto"/>
          <w:szCs w:val="24"/>
        </w:rPr>
      </w:pPr>
      <w:bookmarkStart w:id="51" w:name="_Toc394934436"/>
      <w:bookmarkStart w:id="52" w:name="_Toc246928924"/>
      <w:r>
        <w:rPr>
          <w:rFonts w:hint="eastAsia" w:ascii="仿宋" w:hAnsi="仿宋" w:eastAsia="仿宋" w:cs="仿宋"/>
          <w:b/>
          <w:color w:val="auto"/>
          <w:szCs w:val="24"/>
        </w:rPr>
        <w:t>（六）评 审</w:t>
      </w:r>
    </w:p>
    <w:p w14:paraId="1B1533FC">
      <w:pPr>
        <w:spacing w:line="360" w:lineRule="auto"/>
        <w:rPr>
          <w:rFonts w:hint="eastAsia" w:ascii="仿宋" w:hAnsi="仿宋" w:eastAsia="仿宋" w:cs="仿宋"/>
          <w:color w:val="auto"/>
          <w:szCs w:val="24"/>
        </w:rPr>
      </w:pPr>
      <w:r>
        <w:rPr>
          <w:rFonts w:hint="eastAsia" w:ascii="仿宋" w:hAnsi="仿宋" w:eastAsia="仿宋" w:cs="仿宋"/>
          <w:color w:val="auto"/>
          <w:szCs w:val="24"/>
        </w:rPr>
        <w:t>19、评审</w:t>
      </w:r>
      <w:bookmarkEnd w:id="51"/>
      <w:bookmarkEnd w:id="52"/>
    </w:p>
    <w:p w14:paraId="07C4F952">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19.1 磋商小组将遵循公开、公平、公正和择优的原则，对所有供应商的磋商响应文件评审，都采用相同的程序和标准。</w:t>
      </w:r>
    </w:p>
    <w:p w14:paraId="0B8202A4">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19.2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14:paraId="78B34417">
      <w:pPr>
        <w:spacing w:line="360" w:lineRule="auto"/>
        <w:rPr>
          <w:rFonts w:hint="eastAsia" w:ascii="仿宋" w:hAnsi="仿宋" w:eastAsia="仿宋" w:cs="仿宋"/>
          <w:color w:val="auto"/>
          <w:szCs w:val="24"/>
        </w:rPr>
      </w:pPr>
      <w:bookmarkStart w:id="53" w:name="_Toc394934437"/>
      <w:r>
        <w:rPr>
          <w:rFonts w:hint="eastAsia" w:ascii="仿宋" w:hAnsi="仿宋" w:eastAsia="仿宋" w:cs="仿宋"/>
          <w:color w:val="auto"/>
          <w:szCs w:val="24"/>
        </w:rPr>
        <w:t>20、评审</w:t>
      </w:r>
      <w:bookmarkEnd w:id="53"/>
      <w:r>
        <w:rPr>
          <w:rFonts w:hint="eastAsia" w:ascii="仿宋" w:hAnsi="仿宋" w:eastAsia="仿宋" w:cs="仿宋"/>
          <w:color w:val="auto"/>
          <w:szCs w:val="24"/>
        </w:rPr>
        <w:t>程序及办法</w:t>
      </w:r>
    </w:p>
    <w:p w14:paraId="07FBA0FD">
      <w:pPr>
        <w:spacing w:line="360" w:lineRule="auto"/>
        <w:ind w:firstLine="480" w:firstLineChars="200"/>
        <w:rPr>
          <w:rFonts w:hint="eastAsia" w:ascii="仿宋" w:hAnsi="仿宋" w:eastAsia="仿宋" w:cs="仿宋"/>
          <w:color w:val="auto"/>
          <w:szCs w:val="24"/>
          <w:lang w:eastAsia="zh-CN"/>
        </w:rPr>
      </w:pPr>
      <w:r>
        <w:rPr>
          <w:rFonts w:hint="eastAsia" w:ascii="仿宋" w:hAnsi="仿宋" w:eastAsia="仿宋" w:cs="仿宋"/>
          <w:color w:val="auto"/>
          <w:szCs w:val="24"/>
        </w:rPr>
        <w:t>20.1磋商小组对于各个供应商的响应文件先进行资格审查，一项不合格</w:t>
      </w:r>
      <w:r>
        <w:rPr>
          <w:rFonts w:hint="eastAsia" w:ascii="仿宋" w:hAnsi="仿宋" w:eastAsia="仿宋" w:cs="仿宋"/>
          <w:color w:val="auto"/>
          <w:szCs w:val="24"/>
          <w:lang w:eastAsia="zh-CN"/>
        </w:rPr>
        <w:t>不</w:t>
      </w:r>
      <w:r>
        <w:rPr>
          <w:rFonts w:hint="eastAsia" w:ascii="仿宋" w:hAnsi="仿宋" w:eastAsia="仿宋" w:cs="仿宋"/>
          <w:color w:val="auto"/>
          <w:szCs w:val="24"/>
        </w:rPr>
        <w:t>再进行符合性审查，审查全都合格的供应商才有参加磋商与承诺的资格</w:t>
      </w:r>
      <w:r>
        <w:rPr>
          <w:rFonts w:hint="eastAsia" w:ascii="仿宋" w:hAnsi="仿宋" w:eastAsia="仿宋" w:cs="仿宋"/>
          <w:color w:val="auto"/>
          <w:szCs w:val="24"/>
          <w:lang w:eastAsia="zh-CN"/>
        </w:rPr>
        <w:t>。</w:t>
      </w:r>
    </w:p>
    <w:p w14:paraId="28C2899A">
      <w:pPr>
        <w:spacing w:line="360" w:lineRule="auto"/>
        <w:ind w:firstLine="480" w:firstLineChars="200"/>
        <w:rPr>
          <w:rFonts w:hint="eastAsia" w:ascii="仿宋" w:hAnsi="仿宋" w:eastAsia="仿宋" w:cs="仿宋"/>
          <w:color w:val="auto"/>
          <w:szCs w:val="24"/>
          <w:lang w:eastAsia="zh-CN"/>
        </w:rPr>
      </w:pPr>
      <w:r>
        <w:rPr>
          <w:rFonts w:hint="eastAsia" w:ascii="仿宋" w:hAnsi="仿宋" w:eastAsia="仿宋" w:cs="仿宋"/>
          <w:color w:val="auto"/>
          <w:szCs w:val="24"/>
        </w:rPr>
        <w:t>20.1.1资格审查内容为：</w:t>
      </w:r>
      <w:r>
        <w:rPr>
          <w:rFonts w:hint="eastAsia" w:ascii="仿宋" w:hAnsi="仿宋" w:eastAsia="仿宋" w:cs="仿宋"/>
          <w:color w:val="auto"/>
          <w:szCs w:val="24"/>
          <w:lang w:eastAsia="zh-CN"/>
        </w:rPr>
        <w:t>供应商须知前附表（供应商资质证明文件）</w:t>
      </w:r>
    </w:p>
    <w:p w14:paraId="7348F693">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20.1.2符合性审查内容为：</w:t>
      </w:r>
    </w:p>
    <w:p w14:paraId="6116360D">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20.1.2.1</w:t>
      </w:r>
      <w:r>
        <w:rPr>
          <w:rFonts w:hint="eastAsia" w:ascii="仿宋" w:hAnsi="仿宋" w:eastAsia="仿宋" w:cs="仿宋"/>
          <w:color w:val="auto"/>
          <w:szCs w:val="24"/>
          <w:lang w:val="en-US" w:eastAsia="zh-CN"/>
        </w:rPr>
        <w:t>服务期</w:t>
      </w:r>
      <w:r>
        <w:rPr>
          <w:rFonts w:hint="eastAsia" w:ascii="仿宋" w:hAnsi="仿宋" w:eastAsia="仿宋" w:cs="仿宋"/>
          <w:color w:val="auto"/>
          <w:szCs w:val="24"/>
        </w:rPr>
        <w:t>是否完全响应；</w:t>
      </w:r>
    </w:p>
    <w:p w14:paraId="64C97CB3">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20.1.2.</w:t>
      </w:r>
      <w:r>
        <w:rPr>
          <w:rFonts w:hint="eastAsia" w:ascii="仿宋" w:hAnsi="仿宋" w:eastAsia="仿宋" w:cs="仿宋"/>
          <w:color w:val="auto"/>
          <w:szCs w:val="24"/>
          <w:lang w:val="en-US" w:eastAsia="zh-CN"/>
        </w:rPr>
        <w:t>2</w:t>
      </w:r>
      <w:r>
        <w:rPr>
          <w:rFonts w:hint="eastAsia" w:ascii="仿宋" w:hAnsi="仿宋" w:eastAsia="仿宋" w:cs="仿宋"/>
          <w:color w:val="auto"/>
          <w:szCs w:val="24"/>
        </w:rPr>
        <w:t>响应文件有效期是否合格；</w:t>
      </w:r>
    </w:p>
    <w:p w14:paraId="0336825C">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20.1.2.</w:t>
      </w:r>
      <w:r>
        <w:rPr>
          <w:rFonts w:hint="eastAsia" w:ascii="仿宋" w:hAnsi="仿宋" w:eastAsia="仿宋" w:cs="仿宋"/>
          <w:color w:val="auto"/>
          <w:szCs w:val="24"/>
          <w:lang w:val="en-US" w:eastAsia="zh-CN"/>
        </w:rPr>
        <w:t>3</w:t>
      </w:r>
      <w:r>
        <w:rPr>
          <w:rFonts w:hint="eastAsia" w:ascii="仿宋" w:hAnsi="仿宋" w:eastAsia="仿宋" w:cs="仿宋"/>
          <w:color w:val="auto"/>
          <w:szCs w:val="24"/>
        </w:rPr>
        <w:t>响应文件内容是否齐全，字迹是否清晰可辨，格式是否符合磋商文件规定的格式要求；</w:t>
      </w:r>
    </w:p>
    <w:p w14:paraId="6801FFA5">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20.1.2.</w:t>
      </w:r>
      <w:r>
        <w:rPr>
          <w:rFonts w:hint="eastAsia" w:ascii="仿宋" w:hAnsi="仿宋" w:eastAsia="仿宋" w:cs="仿宋"/>
          <w:color w:val="auto"/>
          <w:szCs w:val="24"/>
          <w:lang w:val="en-US" w:eastAsia="zh-CN"/>
        </w:rPr>
        <w:t>4</w:t>
      </w:r>
      <w:r>
        <w:rPr>
          <w:rFonts w:hint="eastAsia" w:ascii="仿宋" w:hAnsi="仿宋" w:eastAsia="仿宋" w:cs="仿宋"/>
          <w:color w:val="auto"/>
          <w:szCs w:val="24"/>
        </w:rPr>
        <w:t>报价</w:t>
      </w:r>
      <w:r>
        <w:rPr>
          <w:rFonts w:hint="eastAsia" w:ascii="仿宋" w:hAnsi="仿宋" w:eastAsia="仿宋" w:cs="仿宋"/>
          <w:color w:val="auto"/>
          <w:szCs w:val="24"/>
          <w:lang w:eastAsia="zh-CN"/>
        </w:rPr>
        <w:t>是否</w:t>
      </w:r>
      <w:r>
        <w:rPr>
          <w:rFonts w:hint="eastAsia" w:ascii="仿宋" w:hAnsi="仿宋" w:eastAsia="仿宋" w:cs="仿宋"/>
          <w:color w:val="auto"/>
          <w:szCs w:val="24"/>
        </w:rPr>
        <w:t>超过采购预算；</w:t>
      </w:r>
    </w:p>
    <w:p w14:paraId="7C9DF71D">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20.1.2.</w:t>
      </w:r>
      <w:r>
        <w:rPr>
          <w:rFonts w:hint="eastAsia" w:ascii="仿宋" w:hAnsi="仿宋" w:eastAsia="仿宋" w:cs="仿宋"/>
          <w:color w:val="auto"/>
          <w:szCs w:val="24"/>
          <w:lang w:val="en-US" w:eastAsia="zh-CN"/>
        </w:rPr>
        <w:t>5</w:t>
      </w:r>
      <w:r>
        <w:rPr>
          <w:rFonts w:hint="eastAsia" w:ascii="仿宋" w:hAnsi="仿宋" w:eastAsia="仿宋" w:cs="仿宋"/>
          <w:color w:val="auto"/>
          <w:szCs w:val="24"/>
        </w:rPr>
        <w:t>磋商文件要求条款</w:t>
      </w:r>
      <w:r>
        <w:rPr>
          <w:rFonts w:hint="eastAsia" w:ascii="仿宋" w:hAnsi="仿宋" w:eastAsia="仿宋" w:cs="仿宋"/>
          <w:color w:val="auto"/>
          <w:szCs w:val="24"/>
          <w:lang w:val="en-US" w:eastAsia="zh-CN"/>
        </w:rPr>
        <w:t>是否</w:t>
      </w:r>
      <w:r>
        <w:rPr>
          <w:rFonts w:hint="eastAsia" w:ascii="仿宋" w:hAnsi="仿宋" w:eastAsia="仿宋" w:cs="仿宋"/>
          <w:color w:val="auto"/>
          <w:szCs w:val="24"/>
        </w:rPr>
        <w:t>有重大偏离；</w:t>
      </w:r>
    </w:p>
    <w:p w14:paraId="0E54E85D">
      <w:pPr>
        <w:spacing w:line="360" w:lineRule="auto"/>
        <w:ind w:firstLine="480" w:firstLineChars="200"/>
        <w:rPr>
          <w:rFonts w:hint="eastAsia" w:ascii="仿宋" w:hAnsi="仿宋" w:eastAsia="仿宋" w:cs="仿宋"/>
          <w:color w:val="auto"/>
        </w:rPr>
      </w:pPr>
      <w:r>
        <w:rPr>
          <w:rFonts w:hint="eastAsia" w:ascii="仿宋" w:hAnsi="仿宋" w:eastAsia="仿宋" w:cs="仿宋"/>
          <w:color w:val="auto"/>
          <w:szCs w:val="24"/>
        </w:rPr>
        <w:t>20.1.2.</w:t>
      </w:r>
      <w:r>
        <w:rPr>
          <w:rFonts w:hint="eastAsia" w:ascii="仿宋" w:hAnsi="仿宋" w:eastAsia="仿宋" w:cs="仿宋"/>
          <w:color w:val="auto"/>
          <w:szCs w:val="24"/>
          <w:lang w:val="en-US" w:eastAsia="zh-CN"/>
        </w:rPr>
        <w:t>6</w:t>
      </w:r>
      <w:r>
        <w:rPr>
          <w:rFonts w:hint="eastAsia" w:ascii="仿宋" w:hAnsi="仿宋" w:eastAsia="仿宋" w:cs="仿宋"/>
          <w:color w:val="auto"/>
          <w:szCs w:val="24"/>
        </w:rPr>
        <w:t xml:space="preserve"> 符合法律、法规和磋商文件中规定的其他实质性要求。</w:t>
      </w:r>
    </w:p>
    <w:p w14:paraId="4129C330">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14:paraId="344ABECC">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20.2.1 澄清文件将作为响应文件的一部分。</w:t>
      </w:r>
    </w:p>
    <w:p w14:paraId="18C5AE07">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20.2.2 算术错误将按以下方法更正：</w:t>
      </w:r>
    </w:p>
    <w:p w14:paraId="68B042D9">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20.2.2.1响应文件的大写金额和小写金额不一致的，以大写金额为准；</w:t>
      </w:r>
    </w:p>
    <w:p w14:paraId="1740131C">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20.2.2.2 总价金额与按单价汇总金额不一致的，以单价金额计算结果为准；</w:t>
      </w:r>
    </w:p>
    <w:p w14:paraId="1C7C7CA1">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20.2.2.3 单价金额小数点有明显错位的，应当以总价为准，并修改单价；</w:t>
      </w:r>
    </w:p>
    <w:p w14:paraId="5C8867AB">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20.2.2.4 对不同文字文本磋商响应文件的解释发生异议的，以中文文本为准；</w:t>
      </w:r>
    </w:p>
    <w:p w14:paraId="653C4EC5">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20.2.2.5 对于供应商不接受对其错误的更改，其磋商属于无效磋商情形。</w:t>
      </w:r>
    </w:p>
    <w:p w14:paraId="3F72E085">
      <w:pPr>
        <w:spacing w:line="360" w:lineRule="auto"/>
        <w:rPr>
          <w:rFonts w:hint="eastAsia" w:ascii="仿宋" w:hAnsi="仿宋" w:eastAsia="仿宋" w:cs="仿宋"/>
          <w:color w:val="auto"/>
          <w:szCs w:val="24"/>
        </w:rPr>
      </w:pPr>
      <w:bookmarkStart w:id="54" w:name="_Toc394934438"/>
      <w:r>
        <w:rPr>
          <w:rFonts w:hint="eastAsia" w:ascii="仿宋" w:hAnsi="仿宋" w:eastAsia="仿宋" w:cs="仿宋"/>
          <w:color w:val="auto"/>
          <w:szCs w:val="24"/>
        </w:rPr>
        <w:t>21、</w:t>
      </w:r>
      <w:bookmarkEnd w:id="54"/>
      <w:r>
        <w:rPr>
          <w:rFonts w:hint="eastAsia" w:ascii="仿宋" w:hAnsi="仿宋" w:eastAsia="仿宋" w:cs="仿宋"/>
          <w:color w:val="auto"/>
          <w:szCs w:val="24"/>
        </w:rPr>
        <w:t>磋商</w:t>
      </w:r>
    </w:p>
    <w:p w14:paraId="24070E03">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21.1磋商小组根据各磋商供应商响应文件响应情况决定是否与各供应商进行磋商，磋商方式为磋商小组所有成员集中与单一供应商分别进行磋商，并给与参加磋商的供应商平等的磋商机会。</w:t>
      </w:r>
    </w:p>
    <w:p w14:paraId="25C9B8D5">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21.2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14:paraId="194F018E">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21.3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14:paraId="53676ABF">
      <w:pPr>
        <w:spacing w:line="360" w:lineRule="auto"/>
        <w:rPr>
          <w:rFonts w:hint="eastAsia" w:ascii="仿宋" w:hAnsi="仿宋" w:eastAsia="仿宋" w:cs="仿宋"/>
          <w:b/>
          <w:bCs/>
          <w:color w:val="auto"/>
          <w:szCs w:val="24"/>
        </w:rPr>
      </w:pPr>
      <w:bookmarkStart w:id="55" w:name="_Toc394934439"/>
      <w:r>
        <w:rPr>
          <w:rFonts w:hint="eastAsia" w:ascii="仿宋" w:hAnsi="仿宋" w:eastAsia="仿宋" w:cs="仿宋"/>
          <w:b/>
          <w:bCs/>
          <w:color w:val="auto"/>
          <w:szCs w:val="24"/>
        </w:rPr>
        <w:t>22、评审方法</w:t>
      </w:r>
      <w:bookmarkEnd w:id="55"/>
    </w:p>
    <w:p w14:paraId="60F0EBA0">
      <w:pPr>
        <w:spacing w:line="360" w:lineRule="auto"/>
        <w:ind w:firstLine="480" w:firstLineChars="200"/>
        <w:jc w:val="left"/>
        <w:rPr>
          <w:rFonts w:hint="eastAsia" w:ascii="仿宋" w:hAnsi="仿宋" w:eastAsia="仿宋" w:cs="仿宋"/>
          <w:color w:val="auto"/>
          <w:szCs w:val="24"/>
        </w:rPr>
      </w:pPr>
      <w:r>
        <w:rPr>
          <w:rFonts w:hint="eastAsia" w:ascii="仿宋" w:hAnsi="仿宋" w:eastAsia="仿宋" w:cs="仿宋"/>
          <w:color w:val="auto"/>
          <w:szCs w:val="24"/>
        </w:rPr>
        <w:t>22.1评审方法：磋商小组从质量和服务均能满足磋商文件实质性响应要求的供应商中，按照最后得分由高到低的顺序提出成交候选人。</w:t>
      </w:r>
    </w:p>
    <w:p w14:paraId="42337A65">
      <w:pPr>
        <w:spacing w:line="360" w:lineRule="auto"/>
        <w:jc w:val="center"/>
        <w:rPr>
          <w:rFonts w:hint="eastAsia" w:ascii="仿宋" w:hAnsi="仿宋" w:eastAsia="仿宋" w:cs="仿宋"/>
          <w:b/>
          <w:snapToGrid w:val="0"/>
          <w:color w:val="auto"/>
          <w:szCs w:val="24"/>
        </w:rPr>
      </w:pPr>
      <w:r>
        <w:rPr>
          <w:rFonts w:hint="eastAsia" w:ascii="仿宋" w:hAnsi="仿宋" w:eastAsia="仿宋" w:cs="仿宋"/>
          <w:b/>
          <w:snapToGrid w:val="0"/>
          <w:color w:val="auto"/>
          <w:szCs w:val="24"/>
        </w:rPr>
        <w:t>（七）评分内容和评分方式</w:t>
      </w:r>
    </w:p>
    <w:p w14:paraId="5FAB496C">
      <w:pPr>
        <w:spacing w:line="360" w:lineRule="auto"/>
        <w:ind w:firstLine="240" w:firstLineChars="100"/>
        <w:rPr>
          <w:rFonts w:hint="eastAsia" w:ascii="仿宋" w:hAnsi="仿宋" w:eastAsia="仿宋" w:cs="仿宋"/>
          <w:color w:val="auto"/>
          <w:szCs w:val="24"/>
        </w:rPr>
      </w:pPr>
      <w:r>
        <w:rPr>
          <w:rFonts w:hint="eastAsia" w:ascii="仿宋" w:hAnsi="仿宋" w:eastAsia="仿宋" w:cs="仿宋"/>
          <w:color w:val="auto"/>
          <w:szCs w:val="24"/>
        </w:rPr>
        <w:t>总分100分，每个供应商每项评分因素得分汇总即为最后得分，各项评分因素具体内容及打分标准如下：</w:t>
      </w:r>
    </w:p>
    <w:p w14:paraId="7FEC973D">
      <w:pPr>
        <w:rPr>
          <w:rFonts w:hint="eastAsia" w:ascii="仿宋" w:hAnsi="仿宋" w:eastAsia="仿宋" w:cs="仿宋"/>
          <w:b/>
          <w:bCs/>
          <w:color w:val="auto"/>
          <w:szCs w:val="24"/>
        </w:rPr>
      </w:pPr>
      <w:r>
        <w:rPr>
          <w:rFonts w:hint="eastAsia" w:ascii="仿宋" w:hAnsi="仿宋" w:eastAsia="仿宋" w:cs="仿宋"/>
          <w:b/>
          <w:bCs/>
          <w:color w:val="auto"/>
          <w:szCs w:val="24"/>
        </w:rPr>
        <w:br w:type="page"/>
      </w:r>
    </w:p>
    <w:p w14:paraId="631002F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szCs w:val="24"/>
        </w:rPr>
      </w:pPr>
      <w:r>
        <w:rPr>
          <w:rFonts w:hint="eastAsia" w:ascii="仿宋" w:hAnsi="仿宋" w:eastAsia="仿宋" w:cs="仿宋"/>
          <w:b/>
          <w:bCs/>
          <w:color w:val="auto"/>
          <w:szCs w:val="24"/>
        </w:rPr>
        <w:t>《评审要素和分值分解表》</w:t>
      </w:r>
    </w:p>
    <w:tbl>
      <w:tblPr>
        <w:tblStyle w:val="27"/>
        <w:tblpPr w:leftFromText="180" w:rightFromText="180" w:vertAnchor="text" w:horzAnchor="page" w:tblpX="1566" w:tblpY="228"/>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962"/>
        <w:gridCol w:w="6558"/>
      </w:tblGrid>
      <w:tr w14:paraId="1CCA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752" w:type="dxa"/>
            <w:tcBorders>
              <w:top w:val="single" w:color="auto" w:sz="4" w:space="0"/>
              <w:left w:val="single" w:color="auto" w:sz="4" w:space="0"/>
              <w:bottom w:val="single" w:color="auto" w:sz="4" w:space="0"/>
              <w:right w:val="single" w:color="auto" w:sz="4" w:space="0"/>
            </w:tcBorders>
            <w:noWrap w:val="0"/>
            <w:vAlign w:val="center"/>
          </w:tcPr>
          <w:p w14:paraId="73FF2A25">
            <w:pPr>
              <w:snapToGrid w:val="0"/>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rPr>
              <w:t>评标因素</w:t>
            </w:r>
          </w:p>
        </w:tc>
        <w:tc>
          <w:tcPr>
            <w:tcW w:w="962" w:type="dxa"/>
            <w:tcBorders>
              <w:top w:val="single" w:color="auto" w:sz="4" w:space="0"/>
              <w:left w:val="single" w:color="auto" w:sz="4" w:space="0"/>
              <w:right w:val="single" w:color="auto" w:sz="4" w:space="0"/>
            </w:tcBorders>
            <w:noWrap w:val="0"/>
            <w:vAlign w:val="center"/>
          </w:tcPr>
          <w:p w14:paraId="40383886">
            <w:pPr>
              <w:snapToGrid w:val="0"/>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rPr>
              <w:t>权值%</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7CCBE900">
            <w:pPr>
              <w:snapToGrid w:val="0"/>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rPr>
              <w:t>评价要素</w:t>
            </w:r>
          </w:p>
        </w:tc>
      </w:tr>
      <w:tr w14:paraId="50F1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52" w:type="dxa"/>
            <w:tcBorders>
              <w:top w:val="single" w:color="auto" w:sz="4" w:space="0"/>
              <w:left w:val="single" w:color="auto" w:sz="4" w:space="0"/>
              <w:bottom w:val="single" w:color="auto" w:sz="4" w:space="0"/>
              <w:right w:val="single" w:color="auto" w:sz="4" w:space="0"/>
            </w:tcBorders>
            <w:noWrap w:val="0"/>
            <w:vAlign w:val="center"/>
          </w:tcPr>
          <w:p w14:paraId="08AB2285">
            <w:pPr>
              <w:snapToGrid w:val="0"/>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rPr>
              <w:t>价格（</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6A58A0C4">
            <w:pPr>
              <w:snapToGrid w:val="0"/>
              <w:spacing w:line="36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59B61A00">
            <w:pPr>
              <w:snapToGrid w:val="0"/>
              <w:spacing w:line="360" w:lineRule="auto"/>
              <w:outlineLvl w:val="9"/>
              <w:rPr>
                <w:rFonts w:hint="eastAsia" w:ascii="仿宋" w:hAnsi="仿宋" w:eastAsia="仿宋" w:cs="仿宋"/>
                <w:sz w:val="24"/>
                <w:szCs w:val="24"/>
              </w:rPr>
            </w:pPr>
            <w:r>
              <w:rPr>
                <w:rFonts w:hint="eastAsia" w:ascii="仿宋" w:hAnsi="仿宋" w:eastAsia="仿宋" w:cs="仿宋"/>
                <w:sz w:val="24"/>
                <w:szCs w:val="24"/>
              </w:rPr>
              <w:t>满足招标文件要求且投标价格最低的投标报价为评标基准价，其价格分为满分。其他投标供应商的价格分统一按照下列公式计算：投标报价得分=（评标基准价/投标报价）×</w:t>
            </w:r>
            <w:r>
              <w:rPr>
                <w:rFonts w:hint="eastAsia" w:ascii="仿宋" w:hAnsi="仿宋" w:eastAsia="仿宋" w:cs="仿宋"/>
                <w:sz w:val="24"/>
                <w:szCs w:val="24"/>
                <w:lang w:val="zh-CN"/>
              </w:rPr>
              <w:t>价格权值%×100</w:t>
            </w:r>
          </w:p>
        </w:tc>
      </w:tr>
      <w:tr w14:paraId="2475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top w:val="single" w:color="auto" w:sz="4" w:space="0"/>
              <w:left w:val="single" w:color="auto" w:sz="4" w:space="0"/>
              <w:right w:val="single" w:color="auto" w:sz="4" w:space="0"/>
            </w:tcBorders>
            <w:noWrap w:val="0"/>
            <w:vAlign w:val="center"/>
          </w:tcPr>
          <w:p w14:paraId="18E0F5AF">
            <w:pPr>
              <w:snapToGrid w:val="0"/>
              <w:spacing w:line="360" w:lineRule="auto"/>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技术方案</w:t>
            </w:r>
            <w:r>
              <w:rPr>
                <w:rFonts w:hint="eastAsia" w:ascii="仿宋" w:hAnsi="仿宋" w:eastAsia="仿宋" w:cs="仿宋"/>
                <w:sz w:val="24"/>
                <w:szCs w:val="24"/>
              </w:rPr>
              <w:t>（</w:t>
            </w:r>
            <w:r>
              <w:rPr>
                <w:rFonts w:hint="eastAsia" w:ascii="仿宋" w:hAnsi="仿宋" w:eastAsia="仿宋" w:cs="仿宋"/>
                <w:sz w:val="24"/>
                <w:szCs w:val="24"/>
                <w:lang w:val="en-US" w:eastAsia="zh-CN"/>
              </w:rPr>
              <w:t>80</w:t>
            </w:r>
            <w:r>
              <w:rPr>
                <w:rFonts w:hint="eastAsia" w:ascii="仿宋" w:hAnsi="仿宋" w:eastAsia="仿宋" w:cs="仿宋"/>
                <w:sz w:val="24"/>
                <w:szCs w:val="24"/>
              </w:rPr>
              <w:t>分）</w:t>
            </w:r>
          </w:p>
          <w:p w14:paraId="1B82A6D9">
            <w:pPr>
              <w:snapToGrid w:val="0"/>
              <w:spacing w:line="360" w:lineRule="auto"/>
              <w:jc w:val="center"/>
              <w:outlineLvl w:val="9"/>
              <w:rPr>
                <w:rFonts w:hint="eastAsia" w:ascii="仿宋" w:hAnsi="仿宋" w:eastAsia="仿宋" w:cs="仿宋"/>
                <w:sz w:val="24"/>
                <w:szCs w:val="24"/>
                <w:lang w:val="zh-CN"/>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4CAB4DC7">
            <w:pPr>
              <w:snapToGrid w:val="0"/>
              <w:spacing w:line="36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33718218">
            <w:pPr>
              <w:numPr>
                <w:ilvl w:val="0"/>
                <w:numId w:val="1"/>
              </w:numPr>
              <w:snapToGrid w:val="0"/>
              <w:spacing w:line="360" w:lineRule="auto"/>
              <w:jc w:val="left"/>
              <w:outlineLvl w:val="9"/>
              <w:rPr>
                <w:rFonts w:hint="eastAsia" w:ascii="仿宋" w:hAnsi="仿宋" w:eastAsia="仿宋" w:cs="仿宋"/>
                <w:sz w:val="24"/>
                <w:szCs w:val="24"/>
                <w:lang w:val="en-US" w:eastAsia="zh-CN"/>
              </w:rPr>
            </w:pPr>
            <w:r>
              <w:rPr>
                <w:rFonts w:hint="eastAsia" w:ascii="仿宋" w:hAnsi="仿宋" w:eastAsia="仿宋" w:cs="仿宋"/>
                <w:b w:val="0"/>
                <w:bCs w:val="0"/>
                <w:color w:val="auto"/>
                <w:kern w:val="0"/>
                <w:sz w:val="24"/>
                <w:szCs w:val="24"/>
                <w:highlight w:val="none"/>
                <w:lang w:val="en-US" w:eastAsia="zh-CN" w:bidi="ar"/>
              </w:rPr>
              <w:t>供应商根据项目特点，提供针对本项目的准备工作及服务组织管理方案，10分；</w:t>
            </w:r>
          </w:p>
          <w:p w14:paraId="7F608FF8">
            <w:pPr>
              <w:numPr>
                <w:ilvl w:val="0"/>
                <w:numId w:val="1"/>
              </w:numPr>
              <w:snapToGrid w:val="0"/>
              <w:spacing w:line="360" w:lineRule="auto"/>
              <w:jc w:val="left"/>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供应商根据项目特点，提供针对本项目的鉴定方案及分步实施计划方案，10分；</w:t>
            </w:r>
          </w:p>
          <w:p w14:paraId="584387F5">
            <w:pPr>
              <w:numPr>
                <w:ilvl w:val="0"/>
                <w:numId w:val="1"/>
              </w:numPr>
              <w:snapToGrid w:val="0"/>
              <w:spacing w:line="360" w:lineRule="auto"/>
              <w:jc w:val="left"/>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供应商根据本项目所投入的</w:t>
            </w:r>
            <w:r>
              <w:rPr>
                <w:rFonts w:hint="eastAsia" w:ascii="仿宋" w:hAnsi="仿宋" w:eastAsia="仿宋" w:cs="仿宋"/>
                <w:b w:val="0"/>
                <w:bCs w:val="0"/>
                <w:color w:val="auto"/>
                <w:sz w:val="24"/>
                <w:szCs w:val="24"/>
                <w:lang w:val="en-US" w:eastAsia="zh-CN"/>
              </w:rPr>
              <w:t>人员，每提供1位专职人员得1.5分</w:t>
            </w:r>
            <w:r>
              <w:rPr>
                <w:rFonts w:hint="eastAsia" w:ascii="仿宋" w:hAnsi="仿宋" w:eastAsia="仿宋" w:cs="仿宋"/>
                <w:lang w:eastAsia="zh-CN"/>
              </w:rPr>
              <w:t>（</w:t>
            </w:r>
            <w:r>
              <w:rPr>
                <w:rFonts w:hint="eastAsia" w:ascii="仿宋" w:hAnsi="仿宋" w:eastAsia="仿宋" w:cs="仿宋"/>
                <w:b w:val="0"/>
                <w:bCs w:val="0"/>
                <w:color w:val="auto"/>
                <w:sz w:val="24"/>
                <w:szCs w:val="24"/>
                <w:lang w:val="en-US" w:eastAsia="zh-CN"/>
              </w:rPr>
              <w:t>提供人员身份证、毕业证、执业资格证</w:t>
            </w:r>
            <w:r>
              <w:rPr>
                <w:rFonts w:hint="eastAsia" w:ascii="仿宋" w:hAnsi="仿宋" w:eastAsia="仿宋" w:cs="仿宋"/>
                <w:lang w:eastAsia="zh-CN"/>
              </w:rPr>
              <w:t>）</w:t>
            </w:r>
            <w:r>
              <w:rPr>
                <w:rFonts w:hint="eastAsia" w:ascii="仿宋" w:hAnsi="仿宋" w:eastAsia="仿宋" w:cs="仿宋"/>
                <w:b w:val="0"/>
                <w:bCs w:val="0"/>
                <w:color w:val="auto"/>
                <w:kern w:val="0"/>
                <w:sz w:val="24"/>
                <w:szCs w:val="24"/>
                <w:highlight w:val="none"/>
                <w:lang w:val="en-US" w:eastAsia="zh-CN" w:bidi="ar"/>
              </w:rPr>
              <w:t>，10分；</w:t>
            </w:r>
          </w:p>
          <w:p w14:paraId="43AC1604">
            <w:pPr>
              <w:numPr>
                <w:ilvl w:val="0"/>
                <w:numId w:val="1"/>
              </w:numPr>
              <w:snapToGrid w:val="0"/>
              <w:spacing w:line="360" w:lineRule="auto"/>
              <w:jc w:val="left"/>
              <w:outlineLvl w:val="9"/>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供应商根据项目特点，提供针对本项目的的设施设备情况，10分；</w:t>
            </w:r>
          </w:p>
          <w:p w14:paraId="42F94FCC">
            <w:pPr>
              <w:numPr>
                <w:ilvl w:val="0"/>
                <w:numId w:val="1"/>
              </w:numPr>
              <w:snapToGrid w:val="0"/>
              <w:spacing w:line="360" w:lineRule="auto"/>
              <w:jc w:val="left"/>
              <w:outlineLvl w:val="9"/>
              <w:rPr>
                <w:rFonts w:hint="eastAsia" w:ascii="仿宋" w:hAnsi="仿宋" w:eastAsia="仿宋" w:cs="仿宋"/>
                <w:sz w:val="24"/>
                <w:szCs w:val="24"/>
                <w:lang w:val="zh-CN" w:eastAsia="zh-CN"/>
              </w:rPr>
            </w:pPr>
            <w:r>
              <w:rPr>
                <w:rFonts w:hint="eastAsia" w:ascii="仿宋" w:hAnsi="仿宋" w:eastAsia="仿宋" w:cs="仿宋"/>
                <w:b w:val="0"/>
                <w:bCs w:val="0"/>
                <w:color w:val="auto"/>
                <w:kern w:val="0"/>
                <w:sz w:val="24"/>
                <w:szCs w:val="24"/>
                <w:highlight w:val="none"/>
                <w:lang w:val="en-US" w:eastAsia="zh-CN" w:bidi="ar"/>
              </w:rPr>
              <w:t>供应商根据对项目的理解，分析项目实施过程中的潜在重难点工作，并提出解决方案，10分；</w:t>
            </w:r>
          </w:p>
          <w:p w14:paraId="24DB00F7">
            <w:pPr>
              <w:numPr>
                <w:ilvl w:val="0"/>
                <w:numId w:val="1"/>
              </w:numPr>
              <w:snapToGrid w:val="0"/>
              <w:spacing w:line="360" w:lineRule="auto"/>
              <w:jc w:val="left"/>
              <w:outlineLvl w:val="9"/>
              <w:rPr>
                <w:rFonts w:hint="eastAsia" w:ascii="仿宋" w:hAnsi="仿宋" w:eastAsia="仿宋" w:cs="仿宋"/>
                <w:sz w:val="24"/>
                <w:szCs w:val="24"/>
                <w:lang w:val="zh-CN" w:eastAsia="zh-CN"/>
              </w:rPr>
            </w:pPr>
            <w:r>
              <w:rPr>
                <w:rFonts w:hint="eastAsia" w:ascii="仿宋" w:hAnsi="仿宋" w:eastAsia="仿宋" w:cs="仿宋"/>
                <w:b w:val="0"/>
                <w:bCs w:val="0"/>
                <w:color w:val="auto"/>
                <w:kern w:val="0"/>
                <w:sz w:val="24"/>
                <w:szCs w:val="24"/>
                <w:highlight w:val="none"/>
                <w:lang w:val="en-US" w:eastAsia="zh-CN" w:bidi="ar"/>
              </w:rPr>
              <w:t>供应商根据项目特点，提供项目实施的进度保证措施，确保项目高效、高质量完成本项目实施，10分；</w:t>
            </w:r>
          </w:p>
          <w:p w14:paraId="48BADAF2">
            <w:pPr>
              <w:numPr>
                <w:ilvl w:val="0"/>
                <w:numId w:val="1"/>
              </w:numPr>
              <w:snapToGrid w:val="0"/>
              <w:spacing w:line="360" w:lineRule="auto"/>
              <w:jc w:val="left"/>
              <w:outlineLvl w:val="9"/>
              <w:rPr>
                <w:rFonts w:hint="eastAsia" w:ascii="仿宋" w:hAnsi="仿宋" w:eastAsia="仿宋" w:cs="仿宋"/>
                <w:sz w:val="24"/>
                <w:szCs w:val="24"/>
                <w:lang w:val="zh-CN" w:eastAsia="zh-CN"/>
              </w:rPr>
            </w:pPr>
            <w:r>
              <w:rPr>
                <w:rFonts w:hint="eastAsia" w:ascii="仿宋" w:hAnsi="仿宋" w:eastAsia="仿宋" w:cs="仿宋"/>
                <w:b w:val="0"/>
                <w:bCs w:val="0"/>
                <w:color w:val="auto"/>
                <w:kern w:val="0"/>
                <w:sz w:val="24"/>
                <w:szCs w:val="24"/>
                <w:highlight w:val="none"/>
                <w:lang w:val="en-US" w:eastAsia="zh-CN" w:bidi="ar"/>
              </w:rPr>
              <w:t>供应商根据项目特点，提供项目质量管理措施，内容完整详尽，责任制度明确，人员管理措施完善，10分；</w:t>
            </w:r>
          </w:p>
          <w:p w14:paraId="5E369E4F">
            <w:pPr>
              <w:numPr>
                <w:ilvl w:val="0"/>
                <w:numId w:val="1"/>
              </w:numPr>
              <w:snapToGrid w:val="0"/>
              <w:spacing w:line="360" w:lineRule="auto"/>
              <w:jc w:val="left"/>
              <w:outlineLvl w:val="9"/>
              <w:rPr>
                <w:rFonts w:hint="eastAsia" w:ascii="仿宋" w:hAnsi="仿宋" w:eastAsia="仿宋" w:cs="仿宋"/>
                <w:sz w:val="24"/>
                <w:szCs w:val="24"/>
                <w:lang w:val="zh-CN" w:eastAsia="zh-CN"/>
              </w:rPr>
            </w:pPr>
            <w:r>
              <w:rPr>
                <w:rFonts w:hint="eastAsia" w:ascii="仿宋" w:hAnsi="仿宋" w:eastAsia="仿宋" w:cs="仿宋"/>
                <w:b w:val="0"/>
                <w:bCs w:val="0"/>
                <w:color w:val="auto"/>
                <w:kern w:val="0"/>
                <w:sz w:val="24"/>
                <w:szCs w:val="24"/>
                <w:highlight w:val="none"/>
                <w:lang w:val="en-US" w:eastAsia="zh-CN" w:bidi="ar"/>
              </w:rPr>
              <w:t>供应商根据项目特点，提供针对本项目的服务承诺、合理化建议，10分；</w:t>
            </w:r>
          </w:p>
          <w:p w14:paraId="1D656C39">
            <w:pPr>
              <w:numPr>
                <w:ilvl w:val="0"/>
                <w:numId w:val="0"/>
              </w:numPr>
              <w:snapToGrid w:val="0"/>
              <w:spacing w:line="360" w:lineRule="auto"/>
              <w:jc w:val="left"/>
              <w:outlineLvl w:val="9"/>
              <w:rPr>
                <w:rFonts w:hint="eastAsia" w:ascii="仿宋" w:hAnsi="仿宋" w:eastAsia="仿宋" w:cs="仿宋"/>
                <w:sz w:val="24"/>
                <w:szCs w:val="24"/>
                <w:lang w:val="zh-CN" w:eastAsia="zh-CN"/>
              </w:rPr>
            </w:pPr>
            <w:r>
              <w:rPr>
                <w:rFonts w:hint="eastAsia" w:ascii="仿宋" w:hAnsi="仿宋" w:eastAsia="仿宋" w:cs="仿宋"/>
                <w:b/>
                <w:bCs/>
                <w:color w:val="auto"/>
                <w:kern w:val="0"/>
                <w:sz w:val="24"/>
                <w:szCs w:val="24"/>
                <w:highlight w:val="none"/>
                <w:lang w:val="en-US" w:eastAsia="zh-CN" w:bidi="ar"/>
              </w:rPr>
              <w:t>备注：每有一项内容缺失此项不得分，每有一处存在内容缺陷扣1分，扣完为止。内容缺陷是指：</w:t>
            </w:r>
            <w:r>
              <w:rPr>
                <w:rFonts w:hint="eastAsia" w:ascii="仿宋" w:hAnsi="仿宋" w:eastAsia="仿宋" w:cs="仿宋"/>
                <w:b/>
                <w:bCs/>
                <w:color w:val="auto"/>
                <w:kern w:val="2"/>
                <w:sz w:val="24"/>
                <w:szCs w:val="24"/>
                <w:highlight w:val="none"/>
                <w:lang w:val="en-US" w:eastAsia="zh-CN" w:bidi="ar-SA"/>
              </w:rPr>
              <w:t>非专门针对本项目或不适用项目特性的情形、内容不完整或缺少关键节点、套用其他项目内容、内容前后矛盾、常识性错误、规范及标准性错误、科学原理错误、凭空编造、逻辑漏洞、不利于项目实施、不可能实现的夸大情形等任意一种情形。</w:t>
            </w:r>
          </w:p>
        </w:tc>
      </w:tr>
      <w:tr w14:paraId="1046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52" w:type="dxa"/>
            <w:tcBorders>
              <w:left w:val="single" w:color="auto" w:sz="4" w:space="0"/>
              <w:right w:val="single" w:color="auto" w:sz="4" w:space="0"/>
            </w:tcBorders>
            <w:noWrap w:val="0"/>
            <w:vAlign w:val="center"/>
          </w:tcPr>
          <w:p w14:paraId="4E56C546">
            <w:pPr>
              <w:snapToGrid w:val="0"/>
              <w:spacing w:line="360" w:lineRule="auto"/>
              <w:jc w:val="center"/>
              <w:outlineLvl w:val="9"/>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供应商业绩（10分）</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4AC54459">
            <w:pPr>
              <w:snapToGrid w:val="0"/>
              <w:spacing w:line="36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6558" w:type="dxa"/>
            <w:tcBorders>
              <w:top w:val="single" w:color="auto" w:sz="4" w:space="0"/>
              <w:left w:val="single" w:color="auto" w:sz="4" w:space="0"/>
              <w:bottom w:val="single" w:color="auto" w:sz="4" w:space="0"/>
              <w:right w:val="single" w:color="auto" w:sz="4" w:space="0"/>
            </w:tcBorders>
            <w:noWrap w:val="0"/>
            <w:vAlign w:val="center"/>
          </w:tcPr>
          <w:p w14:paraId="6617B611">
            <w:pPr>
              <w:numPr>
                <w:ilvl w:val="0"/>
                <w:numId w:val="0"/>
              </w:numPr>
              <w:snapToGrid w:val="0"/>
              <w:spacing w:line="360" w:lineRule="auto"/>
              <w:jc w:val="left"/>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供应商近三年（2022年1月至今）以来每承担过一个同类业绩或类似业绩得2.5分，最高得10分。</w:t>
            </w:r>
          </w:p>
        </w:tc>
      </w:tr>
    </w:tbl>
    <w:p w14:paraId="61D73EC0">
      <w:pPr>
        <w:pStyle w:val="2"/>
        <w:outlineLvl w:val="9"/>
        <w:rPr>
          <w:rFonts w:hint="eastAsia" w:ascii="仿宋" w:hAnsi="仿宋" w:eastAsia="仿宋" w:cs="仿宋"/>
        </w:rPr>
      </w:pPr>
    </w:p>
    <w:p w14:paraId="089CBBDE">
      <w:pPr>
        <w:spacing w:line="360" w:lineRule="auto"/>
        <w:jc w:val="center"/>
        <w:rPr>
          <w:rFonts w:hint="eastAsia" w:ascii="仿宋" w:hAnsi="仿宋" w:eastAsia="仿宋" w:cs="仿宋"/>
          <w:b/>
          <w:snapToGrid w:val="0"/>
          <w:color w:val="auto"/>
          <w:szCs w:val="24"/>
        </w:rPr>
      </w:pPr>
      <w:r>
        <w:rPr>
          <w:rFonts w:hint="eastAsia" w:ascii="仿宋" w:hAnsi="仿宋" w:eastAsia="仿宋" w:cs="仿宋"/>
          <w:b/>
          <w:snapToGrid w:val="0"/>
          <w:color w:val="auto"/>
          <w:szCs w:val="24"/>
        </w:rPr>
        <w:t>（八） 授予合同</w:t>
      </w:r>
    </w:p>
    <w:p w14:paraId="2AFC8360">
      <w:pPr>
        <w:spacing w:line="360" w:lineRule="auto"/>
        <w:ind w:firstLine="480" w:firstLineChars="200"/>
        <w:rPr>
          <w:rFonts w:hint="eastAsia" w:ascii="仿宋" w:hAnsi="仿宋" w:eastAsia="仿宋" w:cs="仿宋"/>
          <w:color w:val="auto"/>
          <w:szCs w:val="24"/>
        </w:rPr>
      </w:pPr>
      <w:bookmarkStart w:id="56" w:name="_Toc246928926"/>
      <w:bookmarkStart w:id="57" w:name="_Toc389620200"/>
      <w:bookmarkStart w:id="58" w:name="_Toc385992361"/>
      <w:bookmarkStart w:id="59" w:name="_Toc394934441"/>
      <w:r>
        <w:rPr>
          <w:rFonts w:hint="eastAsia" w:ascii="仿宋" w:hAnsi="仿宋" w:eastAsia="仿宋" w:cs="仿宋"/>
          <w:color w:val="auto"/>
          <w:szCs w:val="24"/>
        </w:rPr>
        <w:t>23、成交准则</w:t>
      </w:r>
      <w:bookmarkEnd w:id="56"/>
      <w:bookmarkEnd w:id="57"/>
      <w:bookmarkEnd w:id="58"/>
      <w:bookmarkEnd w:id="59"/>
    </w:p>
    <w:p w14:paraId="5AC563E2">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23.1合同将授予响应文件符合磋商文件要求、并能圆满地履行合同且总得分最高的供应商。</w:t>
      </w:r>
    </w:p>
    <w:p w14:paraId="3F230973">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23.2磋商小组将根据评审方法推荐成交候选供应商名单。</w:t>
      </w:r>
      <w:bookmarkStart w:id="60" w:name="_Toc385992362"/>
      <w:bookmarkStart w:id="61" w:name="_Toc389620201"/>
    </w:p>
    <w:p w14:paraId="4D7C2ED8">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23.3采购代理机构在评审结束后将评审结论送采购人，采购人在收到评审结论后按照评审报告中推荐的成交候选供应商确定成交人。</w:t>
      </w:r>
    </w:p>
    <w:p w14:paraId="2EB58CC9">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23.4成交人因不可抗力或自身原因不能履行合同的，采购人可以再排位在成交人之后的第一位的成交候选人签订合同，以此类推。</w:t>
      </w:r>
    </w:p>
    <w:bookmarkEnd w:id="60"/>
    <w:bookmarkEnd w:id="61"/>
    <w:p w14:paraId="4D69A936">
      <w:pPr>
        <w:spacing w:line="360" w:lineRule="auto"/>
        <w:ind w:firstLine="480" w:firstLineChars="200"/>
        <w:rPr>
          <w:rFonts w:hint="eastAsia" w:ascii="仿宋" w:hAnsi="仿宋" w:eastAsia="仿宋" w:cs="仿宋"/>
          <w:color w:val="auto"/>
          <w:szCs w:val="24"/>
        </w:rPr>
      </w:pPr>
      <w:bookmarkStart w:id="62" w:name="_Toc385992364"/>
      <w:bookmarkStart w:id="63" w:name="_Toc389620203"/>
      <w:bookmarkStart w:id="64" w:name="_Toc246928927"/>
      <w:bookmarkStart w:id="65" w:name="_Toc394934442"/>
      <w:r>
        <w:rPr>
          <w:rFonts w:hint="eastAsia" w:ascii="仿宋" w:hAnsi="仿宋" w:eastAsia="仿宋" w:cs="仿宋"/>
          <w:color w:val="auto"/>
          <w:szCs w:val="24"/>
        </w:rPr>
        <w:t>24、定标</w:t>
      </w:r>
    </w:p>
    <w:p w14:paraId="79D73306">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24.1采购代理机构应在评审结束后2个工作日内，将评审结论送采购人确认。</w:t>
      </w:r>
    </w:p>
    <w:bookmarkEnd w:id="62"/>
    <w:bookmarkEnd w:id="63"/>
    <w:p w14:paraId="404234FE">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25、成交通知</w:t>
      </w:r>
      <w:bookmarkEnd w:id="64"/>
      <w:r>
        <w:rPr>
          <w:rFonts w:hint="eastAsia" w:ascii="仿宋" w:hAnsi="仿宋" w:eastAsia="仿宋" w:cs="仿宋"/>
          <w:color w:val="auto"/>
          <w:szCs w:val="24"/>
        </w:rPr>
        <w:t>书</w:t>
      </w:r>
      <w:bookmarkEnd w:id="65"/>
    </w:p>
    <w:p w14:paraId="33A4AFCB">
      <w:pPr>
        <w:spacing w:line="360" w:lineRule="auto"/>
        <w:ind w:firstLine="480" w:firstLineChars="200"/>
        <w:rPr>
          <w:rFonts w:hint="eastAsia" w:ascii="仿宋" w:hAnsi="仿宋" w:eastAsia="仿宋" w:cs="仿宋"/>
          <w:color w:val="auto"/>
          <w:szCs w:val="24"/>
        </w:rPr>
      </w:pPr>
      <w:bookmarkStart w:id="66" w:name="_Toc385992366"/>
      <w:bookmarkStart w:id="67" w:name="_Toc389620205"/>
      <w:bookmarkStart w:id="68" w:name="_Toc246928928"/>
      <w:bookmarkStart w:id="69" w:name="_Toc394934443"/>
      <w:r>
        <w:rPr>
          <w:rFonts w:hint="eastAsia" w:ascii="仿宋" w:hAnsi="仿宋" w:eastAsia="仿宋" w:cs="仿宋"/>
          <w:color w:val="auto"/>
          <w:szCs w:val="24"/>
        </w:rPr>
        <w:t>25.1《成交通知书》将作为签订合同的依据。</w:t>
      </w:r>
    </w:p>
    <w:p w14:paraId="11B85F4A">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25.2对未成交者，采购代理机构和采购人不做出解释，亦不退还响应文件。</w:t>
      </w:r>
    </w:p>
    <w:p w14:paraId="3427C23C">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26、签订合同</w:t>
      </w:r>
      <w:bookmarkEnd w:id="66"/>
      <w:bookmarkEnd w:id="67"/>
      <w:bookmarkEnd w:id="68"/>
      <w:bookmarkEnd w:id="69"/>
    </w:p>
    <w:p w14:paraId="772F38FA">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26.1成交人应当自成交通知书发出之日起</w:t>
      </w:r>
      <w:r>
        <w:rPr>
          <w:rFonts w:hint="eastAsia" w:ascii="仿宋" w:hAnsi="仿宋" w:eastAsia="仿宋" w:cs="仿宋"/>
          <w:color w:val="auto"/>
          <w:szCs w:val="24"/>
          <w:lang w:val="en-US" w:eastAsia="zh-CN"/>
        </w:rPr>
        <w:t>10日</w:t>
      </w:r>
      <w:r>
        <w:rPr>
          <w:rFonts w:hint="eastAsia" w:ascii="仿宋" w:hAnsi="仿宋" w:eastAsia="仿宋" w:cs="仿宋"/>
          <w:color w:val="auto"/>
          <w:szCs w:val="24"/>
        </w:rPr>
        <w:t>内，按照磋商文件确定的事项和成交人的响应文件，持成交通知书与采购人签订合同</w:t>
      </w:r>
    </w:p>
    <w:p w14:paraId="0225EFB4">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26.2 磋商文件、成交人的响应文件和补充文件（如澄清、承诺等）等，均为签订合同的依据。所签订的合同不得对磋商文件和成交人响应文件作实质性修改。</w:t>
      </w:r>
    </w:p>
    <w:p w14:paraId="0DCCD429">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26.3采购人需追加与合同标的相同的货物、工程或服务的，在不改变合同其他条款的前提下，可以与</w:t>
      </w:r>
      <w:r>
        <w:rPr>
          <w:rFonts w:hint="eastAsia" w:ascii="仿宋" w:hAnsi="仿宋" w:eastAsia="仿宋" w:cs="仿宋"/>
          <w:color w:val="auto"/>
          <w:szCs w:val="24"/>
          <w:lang w:eastAsia="zh-CN"/>
        </w:rPr>
        <w:t>成交</w:t>
      </w:r>
      <w:r>
        <w:rPr>
          <w:rFonts w:hint="eastAsia" w:ascii="仿宋" w:hAnsi="仿宋" w:eastAsia="仿宋" w:cs="仿宋"/>
          <w:color w:val="auto"/>
          <w:szCs w:val="24"/>
        </w:rPr>
        <w:t>人协商签订补充合同，但所有补充合同的采购金额不得超过原合同采购金额的百分之十。</w:t>
      </w:r>
    </w:p>
    <w:p w14:paraId="427D64D9">
      <w:pPr>
        <w:spacing w:line="360" w:lineRule="auto"/>
        <w:jc w:val="center"/>
        <w:rPr>
          <w:rFonts w:hint="eastAsia" w:ascii="仿宋" w:hAnsi="仿宋" w:eastAsia="仿宋" w:cs="仿宋"/>
          <w:b/>
          <w:snapToGrid w:val="0"/>
          <w:color w:val="auto"/>
          <w:szCs w:val="24"/>
        </w:rPr>
      </w:pPr>
      <w:r>
        <w:rPr>
          <w:rFonts w:hint="eastAsia" w:ascii="仿宋" w:hAnsi="仿宋" w:eastAsia="仿宋" w:cs="仿宋"/>
          <w:b/>
          <w:snapToGrid w:val="0"/>
          <w:color w:val="auto"/>
          <w:szCs w:val="24"/>
        </w:rPr>
        <w:t>（九）其它</w:t>
      </w:r>
    </w:p>
    <w:p w14:paraId="4C783F42">
      <w:pPr>
        <w:spacing w:line="360" w:lineRule="auto"/>
        <w:ind w:firstLine="480" w:firstLineChars="200"/>
        <w:rPr>
          <w:rFonts w:hint="eastAsia" w:ascii="仿宋" w:hAnsi="仿宋" w:eastAsia="仿宋" w:cs="仿宋"/>
          <w:snapToGrid w:val="0"/>
          <w:color w:val="auto"/>
          <w:szCs w:val="24"/>
        </w:rPr>
      </w:pPr>
      <w:r>
        <w:rPr>
          <w:rFonts w:hint="eastAsia" w:ascii="仿宋" w:hAnsi="仿宋" w:eastAsia="仿宋" w:cs="仿宋"/>
          <w:snapToGrid w:val="0"/>
          <w:color w:val="auto"/>
          <w:szCs w:val="24"/>
        </w:rPr>
        <w:t>27、招标代理服务费</w:t>
      </w:r>
    </w:p>
    <w:p w14:paraId="28D72BAB">
      <w:pPr>
        <w:spacing w:line="360" w:lineRule="auto"/>
        <w:ind w:firstLine="480" w:firstLineChars="200"/>
        <w:rPr>
          <w:rFonts w:hint="eastAsia" w:ascii="仿宋" w:hAnsi="仿宋" w:eastAsia="仿宋" w:cs="仿宋"/>
          <w:snapToGrid w:val="0"/>
          <w:color w:val="auto"/>
          <w:szCs w:val="24"/>
        </w:rPr>
      </w:pPr>
      <w:r>
        <w:rPr>
          <w:rFonts w:hint="eastAsia" w:ascii="仿宋" w:hAnsi="仿宋" w:eastAsia="仿宋" w:cs="仿宋"/>
          <w:snapToGrid w:val="0"/>
          <w:color w:val="auto"/>
          <w:szCs w:val="24"/>
        </w:rPr>
        <w:t>27.1按国家计委颁发的《招标代理服务收费管理暂行办法》（计价格[2002]1980号）、（发改价格[2011]534号）规定的收费标准，以</w:t>
      </w:r>
      <w:r>
        <w:rPr>
          <w:rFonts w:hint="eastAsia" w:ascii="仿宋" w:hAnsi="仿宋" w:eastAsia="仿宋" w:cs="仿宋"/>
          <w:snapToGrid w:val="0"/>
          <w:color w:val="auto"/>
          <w:szCs w:val="24"/>
          <w:lang w:eastAsia="zh-CN"/>
        </w:rPr>
        <w:t>成交</w:t>
      </w:r>
      <w:r>
        <w:rPr>
          <w:rFonts w:hint="eastAsia" w:ascii="仿宋" w:hAnsi="仿宋" w:eastAsia="仿宋" w:cs="仿宋"/>
          <w:snapToGrid w:val="0"/>
          <w:color w:val="auto"/>
          <w:szCs w:val="24"/>
        </w:rPr>
        <w:t>价为基数计取。</w:t>
      </w:r>
    </w:p>
    <w:p w14:paraId="2AFC3FE9">
      <w:pPr>
        <w:spacing w:line="360" w:lineRule="auto"/>
        <w:ind w:firstLine="482" w:firstLineChars="200"/>
        <w:jc w:val="center"/>
        <w:rPr>
          <w:rFonts w:hint="eastAsia" w:ascii="仿宋" w:hAnsi="仿宋" w:eastAsia="仿宋" w:cs="仿宋"/>
          <w:b/>
          <w:snapToGrid w:val="0"/>
          <w:color w:val="auto"/>
          <w:szCs w:val="24"/>
        </w:rPr>
      </w:pPr>
      <w:bookmarkStart w:id="70" w:name="_Toc506112136"/>
      <w:r>
        <w:rPr>
          <w:rFonts w:hint="eastAsia" w:ascii="仿宋" w:hAnsi="仿宋" w:eastAsia="仿宋" w:cs="仿宋"/>
          <w:b/>
          <w:bCs/>
          <w:snapToGrid w:val="0"/>
          <w:color w:val="auto"/>
          <w:szCs w:val="24"/>
        </w:rPr>
        <w:t>（</w:t>
      </w:r>
      <w:r>
        <w:rPr>
          <w:rFonts w:hint="eastAsia" w:ascii="仿宋" w:hAnsi="仿宋" w:eastAsia="仿宋" w:cs="仿宋"/>
          <w:b/>
          <w:snapToGrid w:val="0"/>
          <w:color w:val="auto"/>
          <w:szCs w:val="24"/>
        </w:rPr>
        <w:t>十）重新组织采购活动</w:t>
      </w:r>
      <w:bookmarkEnd w:id="70"/>
    </w:p>
    <w:p w14:paraId="3BCC0380">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31、如果发生下列情况之一，采购人和采购代理机构将按《政府采购法》、《政府采购货物和服务招标投标管理办法》（财政部第87号）等有关规定重新组织采购活动：</w:t>
      </w:r>
    </w:p>
    <w:p w14:paraId="7D8FFEEB">
      <w:pPr>
        <w:spacing w:line="360" w:lineRule="auto"/>
        <w:rPr>
          <w:rFonts w:hint="eastAsia" w:ascii="仿宋" w:hAnsi="仿宋" w:eastAsia="仿宋" w:cs="仿宋"/>
          <w:color w:val="auto"/>
          <w:kern w:val="96"/>
          <w:szCs w:val="24"/>
        </w:rPr>
      </w:pPr>
      <w:r>
        <w:rPr>
          <w:rFonts w:hint="eastAsia" w:ascii="仿宋" w:hAnsi="仿宋" w:eastAsia="仿宋" w:cs="仿宋"/>
          <w:color w:val="auto"/>
          <w:kern w:val="96"/>
          <w:szCs w:val="24"/>
        </w:rPr>
        <w:t xml:space="preserve">    （1）因重大变故，采购任务取消的；</w:t>
      </w:r>
    </w:p>
    <w:p w14:paraId="60509D8A">
      <w:pPr>
        <w:spacing w:line="360" w:lineRule="auto"/>
        <w:ind w:firstLine="480" w:firstLineChars="200"/>
        <w:rPr>
          <w:rFonts w:hint="eastAsia" w:ascii="仿宋" w:hAnsi="仿宋" w:eastAsia="仿宋" w:cs="仿宋"/>
          <w:color w:val="auto"/>
          <w:kern w:val="96"/>
          <w:szCs w:val="24"/>
        </w:rPr>
      </w:pPr>
      <w:r>
        <w:rPr>
          <w:rFonts w:hint="eastAsia" w:ascii="仿宋" w:hAnsi="仿宋" w:eastAsia="仿宋" w:cs="仿宋"/>
          <w:color w:val="auto"/>
          <w:kern w:val="96"/>
          <w:szCs w:val="24"/>
        </w:rPr>
        <w:t>（2）</w:t>
      </w:r>
      <w:r>
        <w:rPr>
          <w:rFonts w:hint="eastAsia" w:ascii="仿宋" w:hAnsi="仿宋" w:eastAsia="仿宋" w:cs="仿宋"/>
          <w:color w:val="auto"/>
          <w:kern w:val="96"/>
          <w:szCs w:val="24"/>
          <w:lang w:eastAsia="zh-CN"/>
        </w:rPr>
        <w:t>磋商文件</w:t>
      </w:r>
      <w:r>
        <w:rPr>
          <w:rFonts w:hint="eastAsia" w:ascii="仿宋" w:hAnsi="仿宋" w:eastAsia="仿宋" w:cs="仿宋"/>
          <w:color w:val="auto"/>
          <w:kern w:val="96"/>
          <w:szCs w:val="24"/>
        </w:rPr>
        <w:t>存在不合理条款或者招标程序不符合规定的；</w:t>
      </w:r>
    </w:p>
    <w:p w14:paraId="2D6E165B">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kern w:val="96"/>
          <w:szCs w:val="24"/>
        </w:rPr>
        <w:t>（3）</w:t>
      </w:r>
      <w:r>
        <w:rPr>
          <w:rFonts w:hint="eastAsia" w:ascii="仿宋" w:hAnsi="仿宋" w:eastAsia="仿宋" w:cs="仿宋"/>
          <w:color w:val="auto"/>
          <w:szCs w:val="24"/>
        </w:rPr>
        <w:t>出现影响采购公正的违法、违规行为的；</w:t>
      </w:r>
    </w:p>
    <w:p w14:paraId="31090499">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（4）所有</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的报价均超出采购预算，采购人不能支付的；</w:t>
      </w:r>
    </w:p>
    <w:p w14:paraId="75454FF4">
      <w:pPr>
        <w:spacing w:line="360" w:lineRule="auto"/>
        <w:jc w:val="center"/>
        <w:rPr>
          <w:rFonts w:hint="eastAsia" w:ascii="仿宋" w:hAnsi="仿宋" w:eastAsia="仿宋" w:cs="仿宋"/>
          <w:color w:val="auto"/>
          <w:kern w:val="0"/>
          <w:sz w:val="28"/>
          <w:szCs w:val="28"/>
        </w:rPr>
      </w:pPr>
      <w:bookmarkStart w:id="71" w:name="_Toc506112138"/>
      <w:bookmarkStart w:id="72" w:name="_Toc458617743"/>
      <w:bookmarkStart w:id="73" w:name="_Toc458617466"/>
      <w:bookmarkStart w:id="74" w:name="_Toc506112139"/>
      <w:r>
        <w:rPr>
          <w:rFonts w:hint="eastAsia" w:ascii="仿宋" w:hAnsi="仿宋" w:eastAsia="仿宋" w:cs="仿宋"/>
          <w:b/>
          <w:snapToGrid w:val="0"/>
          <w:color w:val="auto"/>
          <w:szCs w:val="24"/>
        </w:rPr>
        <w:t>（十</w:t>
      </w:r>
      <w:r>
        <w:rPr>
          <w:rFonts w:hint="eastAsia" w:ascii="仿宋" w:hAnsi="仿宋" w:eastAsia="仿宋" w:cs="仿宋"/>
          <w:b/>
          <w:snapToGrid w:val="0"/>
          <w:color w:val="auto"/>
          <w:szCs w:val="24"/>
          <w:lang w:eastAsia="zh-CN"/>
        </w:rPr>
        <w:t>一</w:t>
      </w:r>
      <w:r>
        <w:rPr>
          <w:rFonts w:hint="eastAsia" w:ascii="仿宋" w:hAnsi="仿宋" w:eastAsia="仿宋" w:cs="仿宋"/>
          <w:b/>
          <w:snapToGrid w:val="0"/>
          <w:color w:val="auto"/>
          <w:szCs w:val="24"/>
        </w:rPr>
        <w:t>）询问、质疑与投诉</w:t>
      </w:r>
      <w:bookmarkEnd w:id="71"/>
      <w:r>
        <w:rPr>
          <w:rFonts w:hint="eastAsia" w:ascii="仿宋" w:hAnsi="仿宋" w:eastAsia="仿宋" w:cs="仿宋"/>
          <w:b/>
          <w:snapToGrid w:val="0"/>
          <w:color w:val="auto"/>
          <w:szCs w:val="24"/>
        </w:rPr>
        <w:t>(按照中华人民共和国财政部令第94号执行)</w:t>
      </w:r>
    </w:p>
    <w:p w14:paraId="01F54F97">
      <w:pPr>
        <w:spacing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color w:val="auto"/>
          <w:szCs w:val="24"/>
          <w:lang w:val="en-US" w:eastAsia="zh-CN"/>
        </w:rPr>
        <w:t>2</w:t>
      </w:r>
      <w:r>
        <w:rPr>
          <w:rFonts w:hint="eastAsia" w:ascii="仿宋" w:hAnsi="仿宋" w:eastAsia="仿宋" w:cs="仿宋"/>
          <w:color w:val="auto"/>
          <w:szCs w:val="24"/>
        </w:rPr>
        <w:t>、询问</w:t>
      </w:r>
    </w:p>
    <w:p w14:paraId="3A413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Cs w:val="24"/>
        </w:rPr>
      </w:pPr>
      <w:r>
        <w:rPr>
          <w:rFonts w:hint="eastAsia" w:ascii="仿宋" w:hAnsi="仿宋" w:eastAsia="仿宋" w:cs="仿宋"/>
          <w:color w:val="auto"/>
          <w:kern w:val="0"/>
          <w:szCs w:val="24"/>
          <w:lang w:eastAsia="zh-CN"/>
        </w:rPr>
        <w:t>供应商</w:t>
      </w:r>
      <w:r>
        <w:rPr>
          <w:rFonts w:hint="eastAsia" w:ascii="仿宋" w:hAnsi="仿宋" w:eastAsia="仿宋" w:cs="仿宋"/>
          <w:color w:val="auto"/>
          <w:kern w:val="0"/>
          <w:szCs w:val="24"/>
        </w:rPr>
        <w:t>对政府采购活动事项有疑问的，可以向采购人、采购代理机构提出询问。</w:t>
      </w:r>
    </w:p>
    <w:p w14:paraId="13A21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0"/>
          <w:szCs w:val="24"/>
        </w:rPr>
      </w:pPr>
      <w:r>
        <w:rPr>
          <w:rFonts w:hint="eastAsia" w:ascii="仿宋" w:hAnsi="仿宋" w:eastAsia="仿宋" w:cs="仿宋"/>
          <w:color w:val="auto"/>
          <w:kern w:val="0"/>
          <w:szCs w:val="24"/>
        </w:rPr>
        <w:t>3</w:t>
      </w:r>
      <w:r>
        <w:rPr>
          <w:rFonts w:hint="eastAsia" w:ascii="仿宋" w:hAnsi="仿宋" w:eastAsia="仿宋" w:cs="仿宋"/>
          <w:color w:val="auto"/>
          <w:kern w:val="0"/>
          <w:szCs w:val="24"/>
          <w:lang w:val="en-US" w:eastAsia="zh-CN"/>
        </w:rPr>
        <w:t>3</w:t>
      </w:r>
      <w:r>
        <w:rPr>
          <w:rFonts w:hint="eastAsia" w:ascii="仿宋" w:hAnsi="仿宋" w:eastAsia="仿宋" w:cs="仿宋"/>
          <w:color w:val="auto"/>
          <w:kern w:val="0"/>
          <w:szCs w:val="24"/>
        </w:rPr>
        <w:t>、质疑</w:t>
      </w:r>
    </w:p>
    <w:p w14:paraId="589F0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33.1供应商认为采购文件、采购过程、成交或者成交结果使自己的权益受到损害的，可以在知道或者应知其权益受到损害之日起7个工作日内，以书面形式向采购人、采购代理机构提出质疑；</w:t>
      </w:r>
    </w:p>
    <w:p w14:paraId="042C4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33.2潜在供应商已依法获取其可质疑的采购文件的，可以对该文件提出质疑。对采购文件提出质疑的，应当在获取采购文件或者采购文件公告期限届满之日起7个工作日内提出。</w:t>
      </w:r>
    </w:p>
    <w:p w14:paraId="675A8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33.2.1有异议的应提供以下资料，资料不全的不予受理：</w:t>
      </w:r>
    </w:p>
    <w:p w14:paraId="6C44F4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（1）质疑书（内容包含异议事项的基本事实；相关请求及主张；异议人的名称、地址邮编、联系人、联系电话及有效联系方式）；</w:t>
      </w:r>
    </w:p>
    <w:p w14:paraId="789D7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（2）质疑的项目名称、项目编号；</w:t>
      </w:r>
    </w:p>
    <w:p w14:paraId="56FA7F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（3）具体、明确的质疑事项和与质疑事项相关的请求；</w:t>
      </w:r>
    </w:p>
    <w:p w14:paraId="084BD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（4）事实依据；</w:t>
      </w:r>
    </w:p>
    <w:p w14:paraId="77532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（5）必要的法律依据；</w:t>
      </w:r>
    </w:p>
    <w:p w14:paraId="28F12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（6）提出质疑的日期。</w:t>
      </w:r>
    </w:p>
    <w:p w14:paraId="3326D1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具体有效线索和相关证明材料；</w:t>
      </w:r>
    </w:p>
    <w:p w14:paraId="3F954F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（7）质疑人的法定代表人/单位负责人或负责人的身份证明，或者授权委托人的经公证的授权委托书及有效身份证件；</w:t>
      </w:r>
    </w:p>
    <w:p w14:paraId="71AEB4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（8）供应商为自然人的，应当由本人签字；供应商为法人或者其他组织的，应当由法定代表人/单位负责人、主要负责人，或者其授权代表签字或者盖章，并加盖公章。  </w:t>
      </w:r>
    </w:p>
    <w:p w14:paraId="27AA2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33.3供应商在法定质疑期内必须一次性提出针对同一采购程序环节的质疑，多次提出相同质疑问题的采购人及采购代理机构不接收。</w:t>
      </w:r>
    </w:p>
    <w:p w14:paraId="76D46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33.4质疑供应商对采购人、采购代理机构的答复不满意，认为本次招标活动违反法律、法规和规章规定的，有权向项目所在地财政局提出投诉，质疑是投诉的前置条件；</w:t>
      </w:r>
    </w:p>
    <w:p w14:paraId="562FFE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33.5其他应说明的事项：</w:t>
      </w:r>
    </w:p>
    <w:p w14:paraId="1A4AB5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33.5.1以上材料，质疑人须在每一页上加盖公章原件及电子版送至质疑函递交地址。</w:t>
      </w:r>
    </w:p>
    <w:p w14:paraId="49DA9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33.5.2质疑提出时间：质疑需在有效期内提出，逾期不予受理；</w:t>
      </w:r>
    </w:p>
    <w:p w14:paraId="451FE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33.5.3质疑递交地址：榆林市不动产登记中心</w:t>
      </w:r>
    </w:p>
    <w:p w14:paraId="35B64D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33.5.4联系人：榆林市不动产登记中心经办 </w:t>
      </w:r>
    </w:p>
    <w:p w14:paraId="30D7B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33.5.5联系电话：0912-3858979</w:t>
      </w:r>
    </w:p>
    <w:p w14:paraId="537CE1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color w:val="auto"/>
          <w:szCs w:val="24"/>
          <w:lang w:val="en-US" w:eastAsia="zh-CN"/>
        </w:rPr>
        <w:t>3</w:t>
      </w:r>
      <w:r>
        <w:rPr>
          <w:rFonts w:hint="eastAsia" w:ascii="仿宋" w:hAnsi="仿宋" w:eastAsia="仿宋" w:cs="仿宋"/>
          <w:color w:val="auto"/>
          <w:szCs w:val="24"/>
        </w:rPr>
        <w:t>.6投诉</w:t>
      </w:r>
    </w:p>
    <w:p w14:paraId="37F40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kern w:val="0"/>
          <w:szCs w:val="24"/>
        </w:rPr>
        <w:t>质疑</w:t>
      </w:r>
      <w:r>
        <w:rPr>
          <w:rFonts w:hint="eastAsia" w:ascii="仿宋" w:hAnsi="仿宋" w:eastAsia="仿宋" w:cs="仿宋"/>
          <w:color w:val="auto"/>
          <w:kern w:val="0"/>
          <w:szCs w:val="24"/>
          <w:lang w:eastAsia="zh-CN"/>
        </w:rPr>
        <w:t>供应商</w:t>
      </w:r>
      <w:r>
        <w:rPr>
          <w:rFonts w:hint="eastAsia" w:ascii="仿宋" w:hAnsi="仿宋" w:eastAsia="仿宋" w:cs="仿宋"/>
          <w:color w:val="auto"/>
          <w:kern w:val="0"/>
          <w:szCs w:val="24"/>
        </w:rPr>
        <w:t>对采购人、采购代理机构的答复不满意或者采购人、采购代理机构未在规定的时间内作出答复的，可按《政府采购法》第55条和</w:t>
      </w:r>
      <w:r>
        <w:rPr>
          <w:rFonts w:hint="eastAsia" w:ascii="仿宋" w:hAnsi="仿宋" w:eastAsia="仿宋" w:cs="仿宋"/>
          <w:color w:val="auto"/>
          <w:szCs w:val="24"/>
        </w:rPr>
        <w:t>《政府采购质疑和投诉办法》（财政部令第94号）第17条</w:t>
      </w:r>
      <w:r>
        <w:rPr>
          <w:rFonts w:hint="eastAsia" w:ascii="仿宋" w:hAnsi="仿宋" w:eastAsia="仿宋" w:cs="仿宋"/>
          <w:color w:val="auto"/>
          <w:kern w:val="0"/>
          <w:szCs w:val="24"/>
        </w:rPr>
        <w:t>等有关规定执行。</w:t>
      </w:r>
    </w:p>
    <w:p w14:paraId="73BB4A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snapToGrid w:val="0"/>
          <w:color w:val="auto"/>
          <w:szCs w:val="24"/>
        </w:rPr>
      </w:pPr>
      <w:r>
        <w:rPr>
          <w:rFonts w:hint="eastAsia" w:ascii="仿宋" w:hAnsi="仿宋" w:eastAsia="仿宋" w:cs="仿宋"/>
          <w:b/>
          <w:snapToGrid w:val="0"/>
          <w:color w:val="auto"/>
          <w:szCs w:val="24"/>
        </w:rPr>
        <w:t>（十</w:t>
      </w:r>
      <w:r>
        <w:rPr>
          <w:rFonts w:hint="eastAsia" w:ascii="仿宋" w:hAnsi="仿宋" w:eastAsia="仿宋" w:cs="仿宋"/>
          <w:b/>
          <w:snapToGrid w:val="0"/>
          <w:color w:val="auto"/>
          <w:szCs w:val="24"/>
          <w:lang w:val="en-US" w:eastAsia="zh-CN"/>
        </w:rPr>
        <w:t>二</w:t>
      </w:r>
      <w:r>
        <w:rPr>
          <w:rFonts w:hint="eastAsia" w:ascii="仿宋" w:hAnsi="仿宋" w:eastAsia="仿宋" w:cs="仿宋"/>
          <w:b/>
          <w:snapToGrid w:val="0"/>
          <w:color w:val="auto"/>
          <w:szCs w:val="24"/>
        </w:rPr>
        <w:t>）拒绝商业贿赂</w:t>
      </w:r>
      <w:bookmarkEnd w:id="72"/>
      <w:bookmarkEnd w:id="73"/>
      <w:bookmarkEnd w:id="74"/>
    </w:p>
    <w:p w14:paraId="7BAEC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color w:val="auto"/>
          <w:szCs w:val="24"/>
          <w:lang w:val="en-US" w:eastAsia="zh-CN"/>
        </w:rPr>
        <w:t>4</w:t>
      </w:r>
      <w:r>
        <w:rPr>
          <w:rFonts w:hint="eastAsia" w:ascii="仿宋" w:hAnsi="仿宋" w:eastAsia="仿宋" w:cs="仿宋"/>
          <w:color w:val="auto"/>
          <w:szCs w:val="24"/>
        </w:rPr>
        <w:t>、遵照陕西省财政厅的规定，采购人、采购代理机构、</w:t>
      </w:r>
      <w:r>
        <w:rPr>
          <w:rFonts w:hint="eastAsia" w:ascii="仿宋" w:hAnsi="仿宋" w:eastAsia="仿宋" w:cs="仿宋"/>
          <w:color w:val="auto"/>
          <w:szCs w:val="24"/>
          <w:lang w:eastAsia="zh-CN"/>
        </w:rPr>
        <w:t>供应商</w:t>
      </w:r>
      <w:r>
        <w:rPr>
          <w:rFonts w:hint="eastAsia" w:ascii="仿宋" w:hAnsi="仿宋" w:eastAsia="仿宋" w:cs="仿宋"/>
          <w:color w:val="auto"/>
          <w:szCs w:val="24"/>
        </w:rPr>
        <w:t>和评审专家在招投标活动中，都要签订相应的《拒绝政府采购领域商业贿赂承诺书》，并对违反承诺的行为承担全部责任。</w:t>
      </w:r>
    </w:p>
    <w:p w14:paraId="6D36F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color w:val="auto"/>
          <w:szCs w:val="24"/>
          <w:lang w:val="en-US" w:eastAsia="zh-CN"/>
        </w:rPr>
        <w:t>5</w:t>
      </w:r>
      <w:r>
        <w:rPr>
          <w:rFonts w:hint="eastAsia" w:ascii="仿宋" w:hAnsi="仿宋" w:eastAsia="仿宋" w:cs="仿宋"/>
          <w:color w:val="auto"/>
          <w:szCs w:val="24"/>
        </w:rPr>
        <w:t>、</w:t>
      </w:r>
      <w:r>
        <w:rPr>
          <w:rFonts w:hint="eastAsia" w:ascii="仿宋" w:hAnsi="仿宋" w:eastAsia="仿宋" w:cs="仿宋"/>
          <w:color w:val="auto"/>
          <w:szCs w:val="24"/>
          <w:lang w:eastAsia="zh-CN"/>
        </w:rPr>
        <w:t>供应商</w:t>
      </w:r>
      <w:r>
        <w:rPr>
          <w:rFonts w:hint="eastAsia" w:ascii="仿宋" w:hAnsi="仿宋" w:eastAsia="仿宋" w:cs="仿宋"/>
          <w:color w:val="auto"/>
          <w:szCs w:val="24"/>
        </w:rPr>
        <w:t>必须填写《拒绝政府采购领域商业贿赂承诺书》（附件）并附在</w:t>
      </w:r>
      <w:r>
        <w:rPr>
          <w:rFonts w:hint="eastAsia" w:ascii="仿宋" w:hAnsi="仿宋" w:eastAsia="仿宋" w:cs="仿宋"/>
          <w:color w:val="auto"/>
          <w:szCs w:val="24"/>
          <w:lang w:eastAsia="zh-CN"/>
        </w:rPr>
        <w:t>竞争性磋商响应文件</w:t>
      </w:r>
      <w:r>
        <w:rPr>
          <w:rFonts w:hint="eastAsia" w:ascii="仿宋" w:hAnsi="仿宋" w:eastAsia="仿宋" w:cs="仿宋"/>
          <w:color w:val="auto"/>
          <w:szCs w:val="24"/>
        </w:rPr>
        <w:t>中，同时应保证</w:t>
      </w:r>
      <w:r>
        <w:rPr>
          <w:rFonts w:hint="eastAsia" w:ascii="仿宋" w:hAnsi="仿宋" w:eastAsia="仿宋" w:cs="仿宋"/>
          <w:color w:val="auto"/>
          <w:szCs w:val="24"/>
          <w:lang w:eastAsia="zh-CN"/>
        </w:rPr>
        <w:t>竞争性磋商响应文件</w:t>
      </w:r>
      <w:r>
        <w:rPr>
          <w:rFonts w:hint="eastAsia" w:ascii="仿宋" w:hAnsi="仿宋" w:eastAsia="仿宋" w:cs="仿宋"/>
          <w:color w:val="auto"/>
          <w:szCs w:val="24"/>
        </w:rPr>
        <w:t>正、副本中一致。</w:t>
      </w:r>
    </w:p>
    <w:p w14:paraId="7B3EFB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napToGrid w:val="0"/>
          <w:color w:val="auto"/>
          <w:szCs w:val="24"/>
        </w:rPr>
      </w:pPr>
      <w:r>
        <w:rPr>
          <w:rFonts w:hint="eastAsia" w:ascii="仿宋" w:hAnsi="仿宋" w:eastAsia="仿宋" w:cs="仿宋"/>
          <w:b/>
          <w:snapToGrid w:val="0"/>
          <w:color w:val="auto"/>
          <w:szCs w:val="24"/>
        </w:rPr>
        <w:t>（十</w:t>
      </w:r>
      <w:r>
        <w:rPr>
          <w:rFonts w:hint="eastAsia" w:ascii="仿宋" w:hAnsi="仿宋" w:eastAsia="仿宋" w:cs="仿宋"/>
          <w:b/>
          <w:snapToGrid w:val="0"/>
          <w:color w:val="auto"/>
          <w:szCs w:val="24"/>
          <w:lang w:val="en-US" w:eastAsia="zh-CN"/>
        </w:rPr>
        <w:t>二</w:t>
      </w:r>
      <w:r>
        <w:rPr>
          <w:rFonts w:hint="eastAsia" w:ascii="仿宋" w:hAnsi="仿宋" w:eastAsia="仿宋" w:cs="仿宋"/>
          <w:b/>
          <w:snapToGrid w:val="0"/>
          <w:color w:val="auto"/>
          <w:szCs w:val="24"/>
        </w:rPr>
        <w:t>）其他</w:t>
      </w:r>
    </w:p>
    <w:p w14:paraId="2BB66C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Cs w:val="24"/>
        </w:rPr>
      </w:pPr>
      <w:r>
        <w:rPr>
          <w:rFonts w:hint="eastAsia" w:ascii="仿宋" w:hAnsi="仿宋" w:eastAsia="仿宋" w:cs="仿宋"/>
          <w:color w:val="auto"/>
          <w:szCs w:val="24"/>
        </w:rPr>
        <w:t>3</w:t>
      </w:r>
      <w:r>
        <w:rPr>
          <w:rFonts w:hint="eastAsia" w:ascii="仿宋" w:hAnsi="仿宋" w:eastAsia="仿宋" w:cs="仿宋"/>
          <w:color w:val="auto"/>
          <w:szCs w:val="24"/>
          <w:lang w:val="en-US" w:eastAsia="zh-CN"/>
        </w:rPr>
        <w:t>6</w:t>
      </w:r>
      <w:r>
        <w:rPr>
          <w:rFonts w:hint="eastAsia" w:ascii="仿宋" w:hAnsi="仿宋" w:eastAsia="仿宋" w:cs="仿宋"/>
          <w:color w:val="auto"/>
          <w:szCs w:val="24"/>
        </w:rPr>
        <w:t>、本</w:t>
      </w:r>
      <w:r>
        <w:rPr>
          <w:rFonts w:hint="eastAsia" w:ascii="仿宋" w:hAnsi="仿宋" w:eastAsia="仿宋" w:cs="仿宋"/>
          <w:color w:val="auto"/>
          <w:szCs w:val="24"/>
          <w:lang w:eastAsia="zh-CN"/>
        </w:rPr>
        <w:t>磋商文件</w:t>
      </w:r>
      <w:r>
        <w:rPr>
          <w:rFonts w:hint="eastAsia" w:ascii="仿宋" w:hAnsi="仿宋" w:eastAsia="仿宋" w:cs="仿宋"/>
          <w:color w:val="auto"/>
          <w:szCs w:val="24"/>
        </w:rPr>
        <w:t>的解释权归采购人及采购代理机构所有。</w:t>
      </w:r>
    </w:p>
    <w:p w14:paraId="202DF881">
      <w:pPr>
        <w:spacing w:before="156" w:beforeLines="50" w:after="156" w:afterLines="50" w:line="360" w:lineRule="auto"/>
        <w:jc w:val="center"/>
        <w:outlineLvl w:val="9"/>
        <w:rPr>
          <w:rFonts w:hint="eastAsia" w:ascii="仿宋" w:hAnsi="仿宋" w:eastAsia="仿宋" w:cs="仿宋"/>
          <w:color w:val="auto"/>
          <w:sz w:val="24"/>
          <w:szCs w:val="24"/>
          <w:highlight w:val="none"/>
        </w:rPr>
      </w:pPr>
      <w:bookmarkStart w:id="75" w:name="_Toc18485"/>
      <w:bookmarkStart w:id="76" w:name="_Toc4166"/>
      <w:bookmarkStart w:id="77" w:name="_Toc10411"/>
      <w:r>
        <w:rPr>
          <w:rFonts w:hint="eastAsia" w:ascii="仿宋" w:hAnsi="仿宋" w:eastAsia="仿宋" w:cs="仿宋"/>
          <w:b/>
          <w:snapToGrid w:val="0"/>
          <w:color w:val="auto"/>
          <w:kern w:val="2"/>
          <w:sz w:val="24"/>
          <w:szCs w:val="24"/>
          <w:lang w:val="en-US" w:eastAsia="zh-CN" w:bidi="ar-SA"/>
        </w:rPr>
        <w:t>（十三）</w:t>
      </w:r>
      <w:r>
        <w:rPr>
          <w:rFonts w:hint="eastAsia" w:ascii="仿宋" w:hAnsi="仿宋" w:eastAsia="仿宋" w:cs="仿宋"/>
          <w:b/>
          <w:color w:val="auto"/>
          <w:sz w:val="24"/>
          <w:szCs w:val="24"/>
          <w:highlight w:val="none"/>
        </w:rPr>
        <w:t>政采贷业务</w:t>
      </w:r>
    </w:p>
    <w:p w14:paraId="0C95B5E4">
      <w:pPr>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国办《关于促进中小企业健康发展的指导意见》、财政部</w:t>
      </w: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rPr>
        <w:t>工信部《政府采购促进中小企业发展</w:t>
      </w:r>
      <w:r>
        <w:rPr>
          <w:rFonts w:hint="eastAsia" w:ascii="仿宋" w:hAnsi="仿宋" w:eastAsia="仿宋" w:cs="仿宋"/>
          <w:b w:val="0"/>
          <w:bCs w:val="0"/>
          <w:color w:val="auto"/>
          <w:sz w:val="24"/>
          <w:szCs w:val="24"/>
          <w:lang w:val="en-US" w:eastAsia="zh-CN"/>
        </w:rPr>
        <w:t>管理</w:t>
      </w:r>
      <w:r>
        <w:rPr>
          <w:rFonts w:hint="eastAsia" w:ascii="仿宋" w:hAnsi="仿宋" w:eastAsia="仿宋" w:cs="仿宋"/>
          <w:b w:val="0"/>
          <w:bCs w:val="0"/>
          <w:color w:val="auto"/>
          <w:sz w:val="24"/>
          <w:szCs w:val="24"/>
        </w:rPr>
        <w:t>办法》（财库〔20</w:t>
      </w:r>
      <w:r>
        <w:rPr>
          <w:rFonts w:hint="eastAsia" w:ascii="仿宋" w:hAnsi="仿宋" w:eastAsia="仿宋" w:cs="仿宋"/>
          <w:b w:val="0"/>
          <w:bCs w:val="0"/>
          <w:color w:val="auto"/>
          <w:sz w:val="24"/>
          <w:szCs w:val="24"/>
          <w:lang w:val="en-US" w:eastAsia="zh-CN"/>
        </w:rPr>
        <w:t>20</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46</w:t>
      </w:r>
      <w:r>
        <w:rPr>
          <w:rFonts w:hint="eastAsia" w:ascii="仿宋" w:hAnsi="仿宋" w:eastAsia="仿宋" w:cs="仿宋"/>
          <w:b w:val="0"/>
          <w:bCs w:val="0"/>
          <w:color w:val="auto"/>
          <w:sz w:val="24"/>
          <w:szCs w:val="24"/>
        </w:rPr>
        <w:t>号）、《陕西省中小企业政府采购信用融资办法》（陕财办采〔2018〕23号）、《陕西省财政厅关于加快推进我省中小企业政府采购信用融资工作的通知》（陕财办采〔2020〕15号）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《陕西省财政厅 中国人民银行西安分行关于深入推进政府采购信用融资业务的通知》</w:t>
      </w:r>
      <w:r>
        <w:rPr>
          <w:rFonts w:hint="eastAsia" w:ascii="仿宋" w:hAnsi="仿宋" w:eastAsia="仿宋" w:cs="仿宋"/>
          <w:b w:val="0"/>
          <w:bCs w:val="0"/>
          <w:color w:val="auto"/>
          <w:sz w:val="24"/>
          <w:szCs w:val="24"/>
        </w:rPr>
        <w:t>（陕财办采〔202</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〕5号）等有关规定，按照</w:t>
      </w:r>
      <w:r>
        <w:rPr>
          <w:rFonts w:hint="eastAsia" w:ascii="仿宋" w:hAnsi="仿宋" w:eastAsia="仿宋" w:cs="仿宋"/>
          <w:b w:val="0"/>
          <w:bCs w:val="0"/>
          <w:color w:val="auto"/>
          <w:sz w:val="24"/>
          <w:szCs w:val="24"/>
          <w:lang w:val="en-US" w:eastAsia="zh-CN"/>
        </w:rPr>
        <w:t>政府</w:t>
      </w:r>
      <w:r>
        <w:rPr>
          <w:rFonts w:hint="eastAsia" w:ascii="仿宋" w:hAnsi="仿宋" w:eastAsia="仿宋" w:cs="仿宋"/>
          <w:b w:val="0"/>
          <w:bCs w:val="0"/>
          <w:color w:val="auto"/>
          <w:sz w:val="24"/>
          <w:szCs w:val="24"/>
        </w:rPr>
        <w:t>引导、</w:t>
      </w:r>
      <w:r>
        <w:rPr>
          <w:rFonts w:hint="eastAsia" w:ascii="仿宋" w:hAnsi="仿宋" w:eastAsia="仿宋" w:cs="仿宋"/>
          <w:b w:val="0"/>
          <w:bCs w:val="0"/>
          <w:color w:val="auto"/>
          <w:sz w:val="24"/>
          <w:szCs w:val="24"/>
          <w:lang w:val="en-US" w:eastAsia="zh-CN"/>
        </w:rPr>
        <w:t>市场运作、银企</w:t>
      </w:r>
      <w:r>
        <w:rPr>
          <w:rFonts w:hint="eastAsia" w:ascii="仿宋" w:hAnsi="仿宋" w:eastAsia="仿宋" w:cs="仿宋"/>
          <w:b w:val="0"/>
          <w:bCs w:val="0"/>
          <w:color w:val="auto"/>
          <w:sz w:val="24"/>
          <w:szCs w:val="24"/>
        </w:rPr>
        <w:t>自愿、风险自担的原则，中标（成交）供应商可根据自身资金需求，登录陕西省政府采购信用融资平台</w:t>
      </w:r>
      <w:r>
        <w:rPr>
          <w:rFonts w:hint="eastAsia" w:ascii="仿宋" w:hAnsi="仿宋" w:eastAsia="仿宋" w:cs="仿宋"/>
          <w:b w:val="0"/>
          <w:bCs w:val="0"/>
          <w:color w:val="auto"/>
          <w:spacing w:val="-6"/>
          <w:sz w:val="24"/>
          <w:szCs w:val="24"/>
        </w:rPr>
        <w:t>（http://www.ccgp-shaanxi.gov.cn/zcdservice/zcd/shanxi/）</w:t>
      </w:r>
      <w:r>
        <w:rPr>
          <w:rFonts w:hint="eastAsia" w:ascii="仿宋" w:hAnsi="仿宋" w:eastAsia="仿宋" w:cs="仿宋"/>
          <w:b w:val="0"/>
          <w:bCs w:val="0"/>
          <w:color w:val="auto"/>
          <w:sz w:val="24"/>
          <w:szCs w:val="24"/>
          <w:lang w:val="en-US" w:eastAsia="zh-CN"/>
        </w:rPr>
        <w:t>或中征平台（https://www.crcrfsp.com）</w:t>
      </w:r>
      <w:r>
        <w:rPr>
          <w:rFonts w:hint="eastAsia" w:ascii="仿宋" w:hAnsi="仿宋" w:eastAsia="仿宋" w:cs="仿宋"/>
          <w:b w:val="0"/>
          <w:bCs w:val="0"/>
          <w:color w:val="auto"/>
          <w:sz w:val="24"/>
          <w:szCs w:val="24"/>
        </w:rPr>
        <w:t>在线申请，依法参加政府采购信用融资活动。</w:t>
      </w:r>
    </w:p>
    <w:p w14:paraId="108DBCFD">
      <w:pPr>
        <w:spacing w:line="360" w:lineRule="auto"/>
        <w:rPr>
          <w:rFonts w:hint="eastAsia" w:ascii="仿宋" w:hAnsi="仿宋" w:eastAsia="仿宋" w:cs="仿宋"/>
          <w:color w:val="auto"/>
          <w:sz w:val="24"/>
          <w:szCs w:val="24"/>
          <w:highlight w:val="none"/>
        </w:rPr>
      </w:pPr>
    </w:p>
    <w:tbl>
      <w:tblPr>
        <w:tblStyle w:val="27"/>
        <w:tblpPr w:leftFromText="180" w:rightFromText="180" w:vertAnchor="page" w:horzAnchor="page" w:tblpX="1110" w:tblpY="6177"/>
        <w:tblOverlap w:val="never"/>
        <w:tblW w:w="95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56"/>
        <w:gridCol w:w="1068"/>
        <w:gridCol w:w="1104"/>
        <w:gridCol w:w="1116"/>
        <w:gridCol w:w="1392"/>
        <w:gridCol w:w="1104"/>
        <w:gridCol w:w="2052"/>
      </w:tblGrid>
      <w:tr w14:paraId="284B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96" w:type="dxa"/>
            <w:tcBorders>
              <w:top w:val="nil"/>
              <w:left w:val="nil"/>
              <w:bottom w:val="nil"/>
              <w:right w:val="nil"/>
            </w:tcBorders>
            <w:noWrap/>
            <w:vAlign w:val="center"/>
          </w:tcPr>
          <w:p w14:paraId="3AB6929C">
            <w:pPr>
              <w:keepNext w:val="0"/>
              <w:keepLines w:val="0"/>
              <w:widowControl/>
              <w:suppressLineNumbers w:val="0"/>
              <w:spacing w:line="360" w:lineRule="auto"/>
              <w:jc w:val="both"/>
              <w:textAlignment w:val="center"/>
              <w:rPr>
                <w:rFonts w:hint="eastAsia" w:ascii="仿宋" w:hAnsi="仿宋" w:eastAsia="仿宋" w:cs="仿宋"/>
                <w:i w:val="0"/>
                <w:iCs w:val="0"/>
                <w:color w:val="auto"/>
                <w:kern w:val="0"/>
                <w:sz w:val="21"/>
                <w:szCs w:val="21"/>
                <w:u w:val="none"/>
                <w:lang w:val="en-US" w:eastAsia="zh-CN" w:bidi="ar"/>
              </w:rPr>
            </w:pPr>
          </w:p>
        </w:tc>
        <w:tc>
          <w:tcPr>
            <w:tcW w:w="8892" w:type="dxa"/>
            <w:gridSpan w:val="7"/>
            <w:tcBorders>
              <w:top w:val="nil"/>
              <w:left w:val="nil"/>
              <w:bottom w:val="nil"/>
              <w:right w:val="nil"/>
            </w:tcBorders>
            <w:noWrap/>
            <w:vAlign w:val="center"/>
          </w:tcPr>
          <w:p w14:paraId="2E92AC7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榆林市“政采贷”业务办理银行联系表</w:t>
            </w:r>
          </w:p>
        </w:tc>
      </w:tr>
      <w:tr w14:paraId="5213F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CCCD8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E832E0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银行名称</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211B19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产品名称</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39DD4B3">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贷款额度</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3987D5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贷款期限</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330DD4E">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贷款利率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A0224CE">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办理时效</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0FE628E9">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联系人</w:t>
            </w:r>
          </w:p>
        </w:tc>
      </w:tr>
      <w:tr w14:paraId="63E4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4173193">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1A97D3A">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长安银行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1964251">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5691AAD">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E0B1DE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928354A">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D6CF2CA">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3C11C8CC">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魏  众15109123951</w:t>
            </w:r>
          </w:p>
        </w:tc>
      </w:tr>
      <w:tr w14:paraId="459E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7EA5CEF">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64552A2">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中信银行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C9288E6">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EE83178">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6E42382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DF491FC">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8386994">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EA29CC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高  明18992218795</w:t>
            </w:r>
          </w:p>
        </w:tc>
      </w:tr>
      <w:tr w14:paraId="2146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62B15BC">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BBA1DBE">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光大银行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9881681">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4F374C6">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E3995CC">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D1E0486">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FB3FD36">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D90C9D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艾思宇13509127997</w:t>
            </w:r>
          </w:p>
        </w:tc>
      </w:tr>
      <w:tr w14:paraId="6A9A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30A42C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321F331">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交通银行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12B4FDC">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秦政贷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8BEDD0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05FEC6B">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E265CC7">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71417F6">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476A7119">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张  飞15291296886</w:t>
            </w:r>
          </w:p>
        </w:tc>
      </w:tr>
      <w:tr w14:paraId="035B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14BAE98">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1F11E824">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中国银行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756A743">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1A5D21A">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BB23FD7">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2D54605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7557BE3">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0"/>
            <w:vAlign w:val="center"/>
          </w:tcPr>
          <w:p w14:paraId="5069425F">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李  浩18691230007</w:t>
            </w:r>
          </w:p>
        </w:tc>
      </w:tr>
      <w:tr w14:paraId="06ED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A268F7C">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54D3F027">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招商银行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6723B9E">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755F619">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5D6F6E43">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C3F001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7769299">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5E9DC69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马  烨15596100007</w:t>
            </w:r>
          </w:p>
        </w:tc>
      </w:tr>
      <w:tr w14:paraId="0C53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23F9EC14">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67E6326">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浦发银行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0FC392F">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E8A2750">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80A2D3D">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0D6AD8F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E75AE20">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8C551F4">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朱  君15629169158</w:t>
            </w:r>
          </w:p>
        </w:tc>
      </w:tr>
      <w:tr w14:paraId="1DD4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A426703">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8ABAEB4">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农商银行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6CFFFF9">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F13DEFE">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0FB018DB">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DEF64DC">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3.45%-5.8%</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C86CFF4">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12EFB01A">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王  璐15529875056</w:t>
            </w:r>
          </w:p>
        </w:tc>
      </w:tr>
      <w:tr w14:paraId="4D34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01307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634CDDF0">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农业银行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C38B861">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1D2A366">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1291C98">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666C32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3.45%以上</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9D1FA44">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7E5911B0">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米璐洁18966997666</w:t>
            </w:r>
          </w:p>
        </w:tc>
      </w:tr>
      <w:tr w14:paraId="708A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881B15C">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877290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民生银行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0038EAB">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政采E贷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034C3CBE">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D2B1732">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14BA42E5">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17188EF">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0D42991">
            <w:pPr>
              <w:keepNext w:val="0"/>
              <w:keepLines w:val="0"/>
              <w:widowControl/>
              <w:suppressLineNumbers w:val="0"/>
              <w:spacing w:line="360" w:lineRule="auto"/>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郝双双15991225850</w:t>
            </w:r>
          </w:p>
        </w:tc>
      </w:tr>
      <w:tr w14:paraId="081E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04DBA69">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302A8B2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兴业银行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1209C3F">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政采贷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5609728">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7B46F28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1年期</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552A75A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3.4%</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376E88B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69E02F0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薛万隆18709258523</w:t>
            </w:r>
          </w:p>
        </w:tc>
      </w:tr>
      <w:tr w14:paraId="556E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C287773">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47FD6C43">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广发银行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4334718">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政采通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A21B8AD">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4B1938A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30CDBE6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3.45%起</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156E1F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3053137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李思嘉15191820101</w:t>
            </w:r>
          </w:p>
        </w:tc>
      </w:tr>
      <w:tr w14:paraId="3F1D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B77A760">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C5CD719">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建设银行</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18DAD6C3">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E政通</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6557BE0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1000万元</w:t>
            </w:r>
          </w:p>
        </w:tc>
        <w:tc>
          <w:tcPr>
            <w:tcW w:w="1116" w:type="dxa"/>
            <w:tcBorders>
              <w:top w:val="single" w:color="000000" w:sz="4" w:space="0"/>
              <w:left w:val="single" w:color="000000" w:sz="4" w:space="0"/>
              <w:bottom w:val="single" w:color="000000" w:sz="4" w:space="0"/>
              <w:right w:val="single" w:color="000000" w:sz="4" w:space="0"/>
            </w:tcBorders>
            <w:noWrap/>
            <w:vAlign w:val="center"/>
          </w:tcPr>
          <w:p w14:paraId="2D4D22E9">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1年</w:t>
            </w:r>
          </w:p>
        </w:tc>
        <w:tc>
          <w:tcPr>
            <w:tcW w:w="1392" w:type="dxa"/>
            <w:tcBorders>
              <w:top w:val="single" w:color="000000" w:sz="4" w:space="0"/>
              <w:left w:val="single" w:color="000000" w:sz="4" w:space="0"/>
              <w:bottom w:val="single" w:color="000000" w:sz="4" w:space="0"/>
              <w:right w:val="single" w:color="000000" w:sz="4" w:space="0"/>
            </w:tcBorders>
            <w:noWrap/>
            <w:vAlign w:val="center"/>
          </w:tcPr>
          <w:p w14:paraId="405EFE9B">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3.2%</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25C8A2E5">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72小时</w:t>
            </w:r>
          </w:p>
        </w:tc>
        <w:tc>
          <w:tcPr>
            <w:tcW w:w="2052" w:type="dxa"/>
            <w:tcBorders>
              <w:top w:val="single" w:color="000000" w:sz="4" w:space="0"/>
              <w:left w:val="single" w:color="000000" w:sz="4" w:space="0"/>
              <w:bottom w:val="single" w:color="000000" w:sz="4" w:space="0"/>
              <w:right w:val="single" w:color="000000" w:sz="4" w:space="0"/>
            </w:tcBorders>
            <w:noWrap/>
            <w:vAlign w:val="center"/>
          </w:tcPr>
          <w:p w14:paraId="2255E8B1">
            <w:pPr>
              <w:keepNext w:val="0"/>
              <w:keepLines w:val="0"/>
              <w:widowControl/>
              <w:suppressLineNumbers w:val="0"/>
              <w:spacing w:line="360" w:lineRule="auto"/>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张 宇 15929397838</w:t>
            </w:r>
          </w:p>
        </w:tc>
      </w:tr>
    </w:tbl>
    <w:p w14:paraId="1DC69C4A">
      <w:pPr>
        <w:rPr>
          <w:rFonts w:hint="eastAsia" w:ascii="仿宋" w:hAnsi="仿宋" w:eastAsia="仿宋" w:cs="仿宋"/>
          <w:i w:val="0"/>
          <w:iCs w:val="0"/>
          <w:color w:val="auto"/>
          <w:kern w:val="0"/>
          <w:sz w:val="24"/>
          <w:szCs w:val="24"/>
          <w:u w:val="none"/>
          <w:lang w:val="en-US" w:eastAsia="zh-CN" w:bidi="ar"/>
        </w:rPr>
      </w:pPr>
    </w:p>
    <w:p w14:paraId="2B434C3F">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备注：银行排名不分先后。如产品额度、期限、利率等内容发生改变，以银行解释为准。</w:t>
      </w:r>
    </w:p>
    <w:p w14:paraId="796C4935">
      <w:pPr>
        <w:spacing w:line="360" w:lineRule="auto"/>
        <w:rPr>
          <w:rFonts w:hint="eastAsia" w:ascii="仿宋" w:hAnsi="仿宋" w:eastAsia="仿宋" w:cs="仿宋"/>
          <w:color w:val="auto"/>
          <w:sz w:val="24"/>
          <w:szCs w:val="24"/>
          <w:highlight w:val="none"/>
        </w:rPr>
        <w:sectPr>
          <w:footerReference r:id="rId6" w:type="default"/>
          <w:pgSz w:w="11900" w:h="16838"/>
          <w:pgMar w:top="1440" w:right="1080" w:bottom="1440" w:left="1080" w:header="850" w:footer="850" w:gutter="0"/>
          <w:pgNumType w:fmt="decimal" w:start="1"/>
          <w:cols w:space="720" w:num="1"/>
          <w:docGrid w:linePitch="326" w:charSpace="0"/>
        </w:sectPr>
      </w:pPr>
    </w:p>
    <w:bookmarkEnd w:id="75"/>
    <w:bookmarkEnd w:id="76"/>
    <w:bookmarkEnd w:id="77"/>
    <w:p w14:paraId="25851364">
      <w:pPr>
        <w:pStyle w:val="3"/>
        <w:numPr>
          <w:ilvl w:val="0"/>
          <w:numId w:val="0"/>
        </w:numPr>
        <w:bidi w:val="0"/>
        <w:spacing w:line="360" w:lineRule="auto"/>
        <w:jc w:val="center"/>
        <w:rPr>
          <w:rFonts w:hint="eastAsia" w:ascii="仿宋" w:hAnsi="仿宋" w:eastAsia="仿宋" w:cs="仿宋"/>
          <w:b/>
          <w:bCs/>
          <w:color w:val="auto"/>
          <w:sz w:val="36"/>
          <w:szCs w:val="36"/>
          <w:lang w:val="zh-CN"/>
        </w:rPr>
      </w:pPr>
      <w:r>
        <w:rPr>
          <w:rFonts w:hint="eastAsia" w:ascii="仿宋" w:hAnsi="仿宋" w:eastAsia="仿宋" w:cs="仿宋"/>
          <w:b/>
          <w:bCs/>
          <w:color w:val="auto"/>
          <w:kern w:val="44"/>
          <w:sz w:val="36"/>
          <w:szCs w:val="36"/>
          <w:lang w:val="zh-CN" w:eastAsia="zh-CN" w:bidi="ar-SA"/>
        </w:rPr>
        <w:t>第三章</w:t>
      </w:r>
      <w:r>
        <w:rPr>
          <w:rFonts w:hint="eastAsia" w:ascii="仿宋" w:hAnsi="仿宋" w:eastAsia="仿宋" w:cs="仿宋"/>
          <w:b/>
          <w:bCs/>
          <w:color w:val="auto"/>
          <w:sz w:val="36"/>
          <w:szCs w:val="36"/>
          <w:lang w:val="en-US" w:eastAsia="zh-CN"/>
        </w:rPr>
        <w:t>采购内容及</w:t>
      </w:r>
      <w:r>
        <w:rPr>
          <w:rFonts w:hint="eastAsia" w:ascii="仿宋" w:hAnsi="仿宋" w:eastAsia="仿宋" w:cs="仿宋"/>
          <w:b/>
          <w:bCs/>
          <w:color w:val="auto"/>
          <w:sz w:val="36"/>
          <w:szCs w:val="36"/>
          <w:lang w:val="zh-CN"/>
        </w:rPr>
        <w:t>合同基本条款</w:t>
      </w:r>
    </w:p>
    <w:p w14:paraId="231750EE">
      <w:pPr>
        <w:pStyle w:val="2"/>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rPr>
        <w:t>榆林市“</w:t>
      </w:r>
      <w:r>
        <w:rPr>
          <w:rFonts w:hint="eastAsia" w:ascii="仿宋" w:hAnsi="仿宋" w:eastAsia="仿宋" w:cs="仿宋"/>
          <w:b/>
          <w:sz w:val="28"/>
          <w:szCs w:val="28"/>
          <w:u w:val="single"/>
        </w:rPr>
        <w:t>不动产登记责任保险</w:t>
      </w:r>
      <w:r>
        <w:rPr>
          <w:rFonts w:hint="eastAsia" w:ascii="仿宋" w:hAnsi="仿宋" w:eastAsia="仿宋" w:cs="仿宋"/>
          <w:b/>
          <w:bCs/>
          <w:sz w:val="28"/>
          <w:szCs w:val="28"/>
        </w:rPr>
        <w:t>”服务项目</w:t>
      </w:r>
      <w:r>
        <w:rPr>
          <w:rFonts w:hint="eastAsia" w:ascii="仿宋" w:hAnsi="仿宋" w:eastAsia="仿宋" w:cs="仿宋"/>
          <w:b/>
          <w:bCs/>
          <w:sz w:val="28"/>
          <w:szCs w:val="28"/>
          <w:lang w:val="en-US" w:eastAsia="zh-CN"/>
        </w:rPr>
        <w:t>需求</w:t>
      </w:r>
    </w:p>
    <w:p w14:paraId="04513AD7">
      <w:pPr>
        <w:pStyle w:val="2"/>
        <w:spacing w:line="360" w:lineRule="auto"/>
        <w:jc w:val="center"/>
        <w:rPr>
          <w:rFonts w:hint="eastAsia" w:ascii="仿宋" w:hAnsi="仿宋" w:eastAsia="仿宋" w:cs="仿宋"/>
          <w:sz w:val="24"/>
          <w:szCs w:val="24"/>
          <w:lang w:eastAsia="zh-CN"/>
        </w:rPr>
      </w:pPr>
    </w:p>
    <w:p w14:paraId="4B85E8C7">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lang w:eastAsia="zh-CN"/>
        </w:rPr>
      </w:pPr>
      <w:r>
        <w:rPr>
          <w:rFonts w:hint="eastAsia" w:ascii="仿宋" w:hAnsi="仿宋" w:eastAsia="仿宋" w:cs="仿宋"/>
          <w:sz w:val="24"/>
          <w:szCs w:val="24"/>
          <w:lang w:eastAsia="zh-CN"/>
        </w:rPr>
        <w:t>　　为了</w:t>
      </w:r>
      <w:r>
        <w:rPr>
          <w:rFonts w:hint="eastAsia" w:ascii="仿宋" w:hAnsi="仿宋" w:eastAsia="仿宋" w:cs="仿宋"/>
          <w:sz w:val="24"/>
          <w:szCs w:val="24"/>
        </w:rPr>
        <w:t>进一步发挥商业保险的社会风险管理职能,完善不动产登记保险制度体系</w:t>
      </w:r>
      <w:r>
        <w:rPr>
          <w:rFonts w:hint="eastAsia" w:ascii="仿宋" w:hAnsi="仿宋" w:eastAsia="仿宋" w:cs="仿宋"/>
          <w:sz w:val="24"/>
          <w:szCs w:val="24"/>
          <w:lang w:eastAsia="zh-CN"/>
        </w:rPr>
        <w:t>，</w:t>
      </w:r>
      <w:r>
        <w:rPr>
          <w:rFonts w:hint="eastAsia" w:ascii="仿宋" w:hAnsi="仿宋" w:eastAsia="仿宋" w:cs="仿宋"/>
          <w:sz w:val="24"/>
          <w:szCs w:val="24"/>
        </w:rPr>
        <w:t>降低不动产登记责任风险,为不动产登记人员提供保障</w:t>
      </w:r>
      <w:r>
        <w:rPr>
          <w:rFonts w:hint="eastAsia" w:ascii="仿宋" w:hAnsi="仿宋" w:eastAsia="仿宋" w:cs="仿宋"/>
          <w:sz w:val="24"/>
          <w:szCs w:val="24"/>
          <w:lang w:eastAsia="zh-CN"/>
        </w:rPr>
        <w:t>，现就</w:t>
      </w:r>
      <w:r>
        <w:rPr>
          <w:rFonts w:hint="eastAsia" w:ascii="仿宋" w:hAnsi="仿宋" w:eastAsia="仿宋" w:cs="仿宋"/>
          <w:b w:val="0"/>
          <w:bCs w:val="0"/>
          <w:sz w:val="24"/>
          <w:szCs w:val="24"/>
        </w:rPr>
        <w:t>榆林市“</w:t>
      </w:r>
      <w:r>
        <w:rPr>
          <w:rFonts w:hint="eastAsia" w:ascii="仿宋" w:hAnsi="仿宋" w:eastAsia="仿宋" w:cs="仿宋"/>
          <w:b w:val="0"/>
          <w:bCs w:val="0"/>
          <w:sz w:val="24"/>
          <w:szCs w:val="24"/>
          <w:u w:val="single"/>
        </w:rPr>
        <w:t>不动产登记责任保险</w:t>
      </w:r>
      <w:r>
        <w:rPr>
          <w:rFonts w:hint="eastAsia" w:ascii="仿宋" w:hAnsi="仿宋" w:eastAsia="仿宋" w:cs="仿宋"/>
          <w:b w:val="0"/>
          <w:bCs w:val="0"/>
          <w:sz w:val="24"/>
          <w:szCs w:val="24"/>
        </w:rPr>
        <w:t>”服务项目</w:t>
      </w:r>
      <w:r>
        <w:rPr>
          <w:rFonts w:hint="eastAsia" w:ascii="仿宋" w:hAnsi="仿宋" w:eastAsia="仿宋" w:cs="仿宋"/>
          <w:b w:val="0"/>
          <w:bCs w:val="0"/>
          <w:sz w:val="24"/>
          <w:szCs w:val="24"/>
          <w:lang w:val="en-US" w:eastAsia="zh-CN"/>
        </w:rPr>
        <w:t>需求说明如下：</w:t>
      </w:r>
    </w:p>
    <w:p w14:paraId="3414D69B">
      <w:pPr>
        <w:spacing w:line="360" w:lineRule="auto"/>
        <w:rPr>
          <w:rFonts w:hint="eastAsia" w:ascii="仿宋" w:hAnsi="仿宋" w:eastAsia="仿宋" w:cs="仿宋"/>
          <w:sz w:val="24"/>
          <w:szCs w:val="24"/>
        </w:rPr>
      </w:pPr>
      <w:r>
        <w:rPr>
          <w:rFonts w:hint="eastAsia" w:ascii="仿宋" w:hAnsi="仿宋" w:eastAsia="仿宋" w:cs="仿宋"/>
          <w:b/>
          <w:bCs/>
          <w:sz w:val="24"/>
          <w:szCs w:val="24"/>
          <w:lang w:eastAsia="zh-CN"/>
        </w:rPr>
        <w:t>　　</w:t>
      </w:r>
      <w:r>
        <w:rPr>
          <w:rFonts w:hint="eastAsia" w:ascii="仿宋" w:hAnsi="仿宋" w:eastAsia="仿宋" w:cs="仿宋"/>
          <w:b/>
          <w:bCs/>
          <w:sz w:val="24"/>
          <w:szCs w:val="24"/>
        </w:rPr>
        <w:t>一、项目</w:t>
      </w:r>
      <w:r>
        <w:rPr>
          <w:rFonts w:hint="eastAsia" w:ascii="仿宋" w:hAnsi="仿宋" w:eastAsia="仿宋" w:cs="仿宋"/>
          <w:b/>
          <w:bCs/>
          <w:sz w:val="24"/>
          <w:szCs w:val="24"/>
          <w:lang w:val="en-US" w:eastAsia="zh-CN"/>
        </w:rPr>
        <w:t>需求</w:t>
      </w:r>
      <w:r>
        <w:rPr>
          <w:rFonts w:hint="eastAsia" w:ascii="仿宋" w:hAnsi="仿宋" w:eastAsia="仿宋" w:cs="仿宋"/>
          <w:b/>
          <w:bCs/>
          <w:sz w:val="24"/>
          <w:szCs w:val="24"/>
        </w:rPr>
        <w:t>概况</w:t>
      </w:r>
    </w:p>
    <w:p w14:paraId="27B26160">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eastAsia="zh-CN"/>
        </w:rPr>
        <w:t>　　该保险项目预算费用</w:t>
      </w:r>
      <w:r>
        <w:rPr>
          <w:rFonts w:hint="eastAsia" w:ascii="仿宋" w:hAnsi="仿宋" w:eastAsia="仿宋" w:cs="仿宋"/>
          <w:b/>
          <w:sz w:val="24"/>
          <w:szCs w:val="24"/>
          <w:lang w:val="en-US" w:eastAsia="zh-CN"/>
        </w:rPr>
        <w:t>15万元。为了确保政府采购资金充分合理使用，应标保险公司需拥有普遍的市场诚信认可度和充足的偿付能力，</w:t>
      </w:r>
      <w:r>
        <w:rPr>
          <w:rFonts w:hint="eastAsia" w:ascii="仿宋" w:hAnsi="仿宋" w:eastAsia="仿宋" w:cs="仿宋"/>
          <w:b/>
          <w:bCs/>
          <w:sz w:val="24"/>
          <w:szCs w:val="24"/>
          <w:u w:color="auto"/>
        </w:rPr>
        <w:t>鉴于</w:t>
      </w:r>
      <w:r>
        <w:rPr>
          <w:rFonts w:hint="eastAsia" w:ascii="仿宋" w:hAnsi="仿宋" w:eastAsia="仿宋" w:cs="仿宋"/>
          <w:b/>
          <w:bCs/>
          <w:sz w:val="24"/>
          <w:szCs w:val="24"/>
        </w:rPr>
        <w:t>“</w:t>
      </w:r>
      <w:r>
        <w:rPr>
          <w:rFonts w:hint="eastAsia" w:ascii="仿宋" w:hAnsi="仿宋" w:eastAsia="仿宋" w:cs="仿宋"/>
          <w:b/>
          <w:bCs/>
          <w:sz w:val="24"/>
          <w:szCs w:val="24"/>
          <w:u w:val="single"/>
        </w:rPr>
        <w:t>不动产登记责任保险</w:t>
      </w:r>
      <w:r>
        <w:rPr>
          <w:rFonts w:hint="eastAsia" w:ascii="仿宋" w:hAnsi="仿宋" w:eastAsia="仿宋" w:cs="仿宋"/>
          <w:b/>
          <w:bCs/>
          <w:sz w:val="24"/>
          <w:szCs w:val="24"/>
        </w:rPr>
        <w:t>”服务</w:t>
      </w:r>
      <w:r>
        <w:rPr>
          <w:rFonts w:hint="eastAsia" w:ascii="仿宋" w:hAnsi="仿宋" w:eastAsia="仿宋" w:cs="仿宋"/>
          <w:b/>
          <w:bCs/>
          <w:sz w:val="24"/>
          <w:szCs w:val="24"/>
          <w:lang w:eastAsia="zh-CN"/>
        </w:rPr>
        <w:t>开发承办</w:t>
      </w:r>
      <w:r>
        <w:rPr>
          <w:rFonts w:hint="eastAsia" w:ascii="仿宋" w:hAnsi="仿宋" w:eastAsia="仿宋" w:cs="仿宋"/>
          <w:b/>
          <w:bCs/>
          <w:sz w:val="24"/>
          <w:szCs w:val="24"/>
          <w:u w:color="auto"/>
          <w:lang w:eastAsia="zh-CN"/>
        </w:rPr>
        <w:t>及</w:t>
      </w:r>
      <w:r>
        <w:rPr>
          <w:rFonts w:hint="eastAsia" w:ascii="仿宋" w:hAnsi="仿宋" w:eastAsia="仿宋" w:cs="仿宋"/>
          <w:b/>
          <w:bCs/>
          <w:sz w:val="24"/>
          <w:szCs w:val="24"/>
          <w:u w:color="auto"/>
        </w:rPr>
        <w:t>保险期限（包含追溯期）等具体责任事项</w:t>
      </w:r>
      <w:r>
        <w:rPr>
          <w:rFonts w:hint="eastAsia" w:ascii="仿宋" w:hAnsi="仿宋" w:eastAsia="仿宋" w:cs="仿宋"/>
          <w:b/>
          <w:bCs/>
          <w:sz w:val="24"/>
          <w:szCs w:val="24"/>
          <w:u w:color="auto"/>
          <w:lang w:eastAsia="zh-CN"/>
        </w:rPr>
        <w:t>的</w:t>
      </w:r>
      <w:r>
        <w:rPr>
          <w:rFonts w:hint="eastAsia" w:ascii="仿宋" w:hAnsi="仿宋" w:eastAsia="仿宋" w:cs="仿宋"/>
          <w:b/>
          <w:bCs/>
          <w:sz w:val="24"/>
          <w:szCs w:val="24"/>
          <w:u w:color="auto"/>
        </w:rPr>
        <w:t>特殊性</w:t>
      </w:r>
      <w:r>
        <w:rPr>
          <w:rFonts w:hint="eastAsia" w:ascii="仿宋" w:hAnsi="仿宋" w:eastAsia="仿宋" w:cs="仿宋"/>
          <w:b/>
          <w:bCs/>
          <w:sz w:val="24"/>
          <w:szCs w:val="24"/>
          <w:u w:color="auto"/>
          <w:lang w:eastAsia="zh-CN"/>
        </w:rPr>
        <w:t>，</w:t>
      </w:r>
      <w:r>
        <w:rPr>
          <w:rFonts w:hint="eastAsia" w:ascii="仿宋" w:hAnsi="仿宋" w:eastAsia="仿宋" w:cs="仿宋"/>
          <w:b/>
          <w:sz w:val="24"/>
          <w:szCs w:val="24"/>
          <w:lang w:val="en-US" w:eastAsia="zh-CN"/>
        </w:rPr>
        <w:t>应标保险公司</w:t>
      </w:r>
      <w:r>
        <w:rPr>
          <w:rFonts w:hint="eastAsia" w:ascii="仿宋" w:hAnsi="仿宋" w:eastAsia="仿宋" w:cs="仿宋"/>
          <w:b/>
          <w:bCs/>
          <w:sz w:val="24"/>
          <w:szCs w:val="24"/>
          <w:u w:color="auto"/>
          <w:lang w:eastAsia="zh-CN"/>
        </w:rPr>
        <w:t>需确保其保障的连续性专业性，同时</w:t>
      </w:r>
      <w:r>
        <w:rPr>
          <w:rFonts w:hint="eastAsia" w:ascii="仿宋" w:hAnsi="仿宋" w:eastAsia="仿宋" w:cs="仿宋"/>
          <w:b/>
          <w:bCs/>
          <w:sz w:val="24"/>
          <w:szCs w:val="24"/>
          <w:lang w:val="en-US" w:eastAsia="zh-CN"/>
        </w:rPr>
        <w:t>杜绝个人及中介代理虚增费用。</w:t>
      </w:r>
    </w:p>
    <w:p w14:paraId="037A90CF">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eastAsia="zh-CN"/>
        </w:rPr>
        <w:t>　　（</w:t>
      </w:r>
      <w:r>
        <w:rPr>
          <w:rFonts w:hint="eastAsia" w:ascii="仿宋" w:hAnsi="仿宋" w:eastAsia="仿宋" w:cs="仿宋"/>
          <w:b/>
          <w:sz w:val="24"/>
          <w:szCs w:val="24"/>
        </w:rPr>
        <w:t>一</w:t>
      </w:r>
      <w:r>
        <w:rPr>
          <w:rFonts w:hint="eastAsia" w:ascii="仿宋" w:hAnsi="仿宋" w:eastAsia="仿宋" w:cs="仿宋"/>
          <w:b/>
          <w:sz w:val="24"/>
          <w:szCs w:val="24"/>
          <w:lang w:eastAsia="zh-CN"/>
        </w:rPr>
        <w:t>）</w:t>
      </w:r>
      <w:r>
        <w:rPr>
          <w:rFonts w:hint="eastAsia" w:ascii="仿宋" w:hAnsi="仿宋" w:eastAsia="仿宋" w:cs="仿宋"/>
          <w:b/>
          <w:sz w:val="24"/>
          <w:szCs w:val="24"/>
        </w:rPr>
        <w:t>、保险对象</w:t>
      </w:r>
    </w:p>
    <w:p w14:paraId="14FED629">
      <w:pPr>
        <w:pStyle w:val="2"/>
        <w:keepNext w:val="0"/>
        <w:keepLines w:val="0"/>
        <w:pageBreakBefore w:val="0"/>
        <w:widowControl w:val="0"/>
        <w:kinsoku/>
        <w:wordWrap/>
        <w:overflowPunct/>
        <w:topLinePunct w:val="0"/>
        <w:autoSpaceDE/>
        <w:autoSpaceDN/>
        <w:bidi w:val="0"/>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榆林市不动产登记中心（含榆阳区、横山区、高新区、科创新城、榆林经济开发区等）承办的不动产权籍调查业务、登记业务所涉及的全部区域及所有登记业务等</w:t>
      </w:r>
    </w:p>
    <w:p w14:paraId="1D4D5D1D">
      <w:pPr>
        <w:pStyle w:val="2"/>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sz w:val="24"/>
          <w:szCs w:val="24"/>
        </w:rPr>
      </w:pPr>
      <w:r>
        <w:rPr>
          <w:rFonts w:hint="eastAsia" w:ascii="仿宋" w:hAnsi="仿宋" w:eastAsia="仿宋" w:cs="仿宋"/>
          <w:b/>
          <w:sz w:val="24"/>
          <w:szCs w:val="24"/>
          <w:lang w:eastAsia="zh-CN"/>
        </w:rPr>
        <w:t>　　（</w:t>
      </w:r>
      <w:r>
        <w:rPr>
          <w:rFonts w:hint="eastAsia" w:ascii="仿宋" w:hAnsi="仿宋" w:eastAsia="仿宋" w:cs="仿宋"/>
          <w:b/>
          <w:sz w:val="24"/>
          <w:szCs w:val="24"/>
        </w:rPr>
        <w:t>二</w:t>
      </w:r>
      <w:r>
        <w:rPr>
          <w:rFonts w:hint="eastAsia" w:ascii="仿宋" w:hAnsi="仿宋" w:eastAsia="仿宋" w:cs="仿宋"/>
          <w:b/>
          <w:sz w:val="24"/>
          <w:szCs w:val="24"/>
          <w:lang w:eastAsia="zh-CN"/>
        </w:rPr>
        <w:t>）</w:t>
      </w:r>
      <w:r>
        <w:rPr>
          <w:rFonts w:hint="eastAsia" w:ascii="仿宋" w:hAnsi="仿宋" w:eastAsia="仿宋" w:cs="仿宋"/>
          <w:b/>
          <w:sz w:val="24"/>
          <w:szCs w:val="24"/>
        </w:rPr>
        <w:t>、保险责任</w:t>
      </w:r>
    </w:p>
    <w:p w14:paraId="03BA8D8C">
      <w:pPr>
        <w:pStyle w:val="2"/>
        <w:keepNext w:val="0"/>
        <w:keepLines w:val="0"/>
        <w:pageBreakBefore w:val="0"/>
        <w:widowControl w:val="0"/>
        <w:kinsoku/>
        <w:wordWrap/>
        <w:overflowPunct/>
        <w:topLinePunct w:val="0"/>
        <w:autoSpaceDE/>
        <w:autoSpaceDN/>
        <w:bidi w:val="0"/>
        <w:spacing w:line="360" w:lineRule="auto"/>
        <w:ind w:firstLine="480"/>
        <w:textAlignment w:val="auto"/>
        <w:rPr>
          <w:rFonts w:hint="eastAsia" w:ascii="仿宋" w:hAnsi="仿宋" w:eastAsia="仿宋" w:cs="仿宋"/>
          <w:sz w:val="24"/>
          <w:szCs w:val="24"/>
        </w:rPr>
      </w:pPr>
      <w:r>
        <w:rPr>
          <w:rFonts w:hint="eastAsia" w:ascii="仿宋" w:hAnsi="仿宋" w:eastAsia="仿宋" w:cs="仿宋"/>
          <w:sz w:val="24"/>
          <w:szCs w:val="24"/>
        </w:rPr>
        <w:t>在保险期间内或保险合同载明的追溯期内，被保险人所属的从事不动产登记的工作人员（指被保险人承担权籍调查、登记业务的所有正式人员和劳务派遣人员）在中华人民共和国境内（港、澳、台地区除外）承办不动产权籍调查和登记业务时，由于</w:t>
      </w:r>
      <w:r>
        <w:rPr>
          <w:rFonts w:hint="eastAsia" w:ascii="仿宋" w:hAnsi="仿宋" w:eastAsia="仿宋" w:cs="仿宋"/>
          <w:sz w:val="24"/>
          <w:szCs w:val="24"/>
          <w:u w:val="single"/>
        </w:rPr>
        <w:t>过错、疏忽、遗漏或过失</w:t>
      </w:r>
      <w:r>
        <w:rPr>
          <w:rFonts w:hint="eastAsia" w:ascii="仿宋" w:hAnsi="仿宋" w:eastAsia="仿宋" w:cs="仿宋"/>
          <w:sz w:val="24"/>
          <w:szCs w:val="24"/>
          <w:u w:val="single"/>
          <w:lang w:eastAsia="zh-CN"/>
        </w:rPr>
        <w:t>等</w:t>
      </w:r>
      <w:r>
        <w:rPr>
          <w:rFonts w:hint="eastAsia" w:ascii="仿宋" w:hAnsi="仿宋" w:eastAsia="仿宋" w:cs="仿宋"/>
          <w:sz w:val="24"/>
          <w:szCs w:val="24"/>
        </w:rPr>
        <w:t>原因造成不动产权利人的直接经济损失，由不动产权利人在保险期间内首次向被保险人提出损害赔偿请求，依法应由被保险人承担的经济赔偿责任，保险人按照本保险合同的约定负责赔偿</w:t>
      </w:r>
      <w:r>
        <w:rPr>
          <w:rFonts w:hint="eastAsia" w:ascii="仿宋" w:hAnsi="仿宋" w:eastAsia="仿宋" w:cs="仿宋"/>
          <w:sz w:val="24"/>
          <w:szCs w:val="24"/>
          <w:lang w:eastAsia="zh-CN"/>
        </w:rPr>
        <w:t>，具体如下：</w:t>
      </w:r>
      <w:r>
        <w:rPr>
          <w:rFonts w:hint="eastAsia" w:ascii="仿宋" w:hAnsi="仿宋" w:eastAsia="仿宋" w:cs="仿宋"/>
          <w:sz w:val="24"/>
          <w:szCs w:val="24"/>
        </w:rPr>
        <w:t xml:space="preserve"> </w:t>
      </w:r>
    </w:p>
    <w:p w14:paraId="25B0DEE0">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经协商达成和解的错误登记行为，包括被诉、被申请复议的登记行为和一些涉访登记行为，凭调解书</w:t>
      </w:r>
      <w:r>
        <w:rPr>
          <w:rFonts w:hint="eastAsia" w:ascii="仿宋" w:hAnsi="仿宋" w:eastAsia="仿宋" w:cs="仿宋"/>
          <w:sz w:val="24"/>
          <w:szCs w:val="24"/>
          <w:lang w:eastAsia="zh-CN"/>
        </w:rPr>
        <w:t>、</w:t>
      </w:r>
      <w:r>
        <w:rPr>
          <w:rFonts w:hint="eastAsia" w:ascii="仿宋" w:hAnsi="仿宋" w:eastAsia="仿宋" w:cs="仿宋"/>
          <w:sz w:val="24"/>
          <w:szCs w:val="24"/>
        </w:rPr>
        <w:t xml:space="preserve">和解书等，对因登记造成的损害可获得保险赔偿。 </w:t>
      </w:r>
    </w:p>
    <w:p w14:paraId="4B4FD0B9">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依法谨慎审核，仍未能辨清当事人提交虚假材料，造成的登记错误可获得保险赔偿； </w:t>
      </w:r>
    </w:p>
    <w:p w14:paraId="66E2F8CF">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工作人员依法办理登记业务过程中出现过错、遗漏、疏忽或过失行为，造成的登记错误可获得保险赔偿。</w:t>
      </w:r>
    </w:p>
    <w:p w14:paraId="2883BBA9">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因权籍调查、登记错误等被法院依法撤销或经行政复议确认过错责任的民事判决书、调解书等，因登记造成的损害可获得赔偿。</w:t>
      </w:r>
    </w:p>
    <w:p w14:paraId="5FFEFBDE">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保险事故发生后，被保险人因保险事故而被提起仲裁或者诉讼的，对应由被保险人支付的仲裁或诉讼费用以及事先经保险人书面同意支付的其他必要的、合理的法律费用， 保险人按照本保险合同约定也负责赔偿。</w:t>
      </w:r>
    </w:p>
    <w:p w14:paraId="2B596435">
      <w:pPr>
        <w:pStyle w:val="2"/>
        <w:spacing w:line="360" w:lineRule="auto"/>
        <w:ind w:firstLine="480"/>
        <w:rPr>
          <w:rFonts w:hint="eastAsia" w:ascii="仿宋" w:hAnsi="仿宋" w:eastAsia="仿宋" w:cs="仿宋"/>
          <w:b/>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、赔偿限额及免赔额</w:t>
      </w:r>
    </w:p>
    <w:p w14:paraId="4468F6E4">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累计赔偿限额：5000万元。</w:t>
      </w:r>
    </w:p>
    <w:p w14:paraId="7DE04947">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每次事故赔偿限额：500万元。</w:t>
      </w:r>
    </w:p>
    <w:p w14:paraId="6AF822C5">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每次事故免赔额:400元。</w:t>
      </w:r>
    </w:p>
    <w:p w14:paraId="2479FB9A">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追溯期是指自保险期间开始向前追溯约定的时间期间，投保人连续投保，追溯期可以连续计算，最长五年。</w:t>
      </w:r>
    </w:p>
    <w:p w14:paraId="11089B46">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本保险合同约定从保险责任起始日向前追溯至连续投保保单的首次投保时间，保险人对此追溯期间发生且在保险期限内首次提出索赔的保险事故承担保险责任。</w:t>
      </w:r>
    </w:p>
    <w:p w14:paraId="1F60DE35">
      <w:pPr>
        <w:pStyle w:val="2"/>
        <w:spacing w:line="360" w:lineRule="auto"/>
        <w:rPr>
          <w:rFonts w:hint="eastAsia" w:ascii="仿宋" w:hAnsi="仿宋" w:eastAsia="仿宋" w:cs="仿宋"/>
          <w:b/>
          <w:sz w:val="24"/>
          <w:szCs w:val="24"/>
        </w:rPr>
      </w:pPr>
      <w:r>
        <w:rPr>
          <w:rFonts w:hint="eastAsia" w:ascii="仿宋" w:hAnsi="仿宋" w:eastAsia="仿宋" w:cs="仿宋"/>
          <w:b/>
          <w:sz w:val="24"/>
          <w:szCs w:val="24"/>
          <w:lang w:eastAsia="zh-CN"/>
        </w:rPr>
        <w:t>　　（四）</w:t>
      </w:r>
      <w:r>
        <w:rPr>
          <w:rFonts w:hint="eastAsia" w:ascii="仿宋" w:hAnsi="仿宋" w:eastAsia="仿宋" w:cs="仿宋"/>
          <w:b/>
          <w:sz w:val="24"/>
          <w:szCs w:val="24"/>
        </w:rPr>
        <w:t>、投保方式</w:t>
      </w:r>
    </w:p>
    <w:p w14:paraId="63C72E59">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由</w:t>
      </w:r>
      <w:r>
        <w:rPr>
          <w:rFonts w:hint="eastAsia" w:ascii="仿宋" w:hAnsi="仿宋" w:eastAsia="仿宋" w:cs="仿宋"/>
          <w:sz w:val="24"/>
          <w:szCs w:val="24"/>
          <w:lang w:eastAsia="zh-CN"/>
        </w:rPr>
        <w:t>榆林</w:t>
      </w:r>
      <w:r>
        <w:rPr>
          <w:rFonts w:hint="eastAsia" w:ascii="仿宋" w:hAnsi="仿宋" w:eastAsia="仿宋" w:cs="仿宋"/>
          <w:sz w:val="24"/>
          <w:szCs w:val="24"/>
        </w:rPr>
        <w:t>市不动产登记中心作为投保人办理投保手续,保险费按照双方合同约定金额缴纳。</w:t>
      </w:r>
    </w:p>
    <w:p w14:paraId="02C18F4F">
      <w:pPr>
        <w:pStyle w:val="2"/>
        <w:spacing w:line="360" w:lineRule="auto"/>
        <w:ind w:firstLine="480"/>
        <w:rPr>
          <w:rFonts w:hint="eastAsia" w:ascii="仿宋" w:hAnsi="仿宋" w:eastAsia="仿宋" w:cs="仿宋"/>
          <w:b/>
          <w:sz w:val="24"/>
          <w:szCs w:val="24"/>
          <w:lang w:eastAsia="zh-CN"/>
        </w:rPr>
      </w:pPr>
      <w:r>
        <w:rPr>
          <w:rFonts w:hint="eastAsia" w:ascii="仿宋" w:hAnsi="仿宋" w:eastAsia="仿宋" w:cs="仿宋"/>
          <w:b/>
          <w:sz w:val="24"/>
          <w:szCs w:val="24"/>
          <w:lang w:eastAsia="zh-CN"/>
        </w:rPr>
        <w:t>　（五）</w:t>
      </w:r>
      <w:r>
        <w:rPr>
          <w:rFonts w:hint="eastAsia" w:ascii="仿宋" w:hAnsi="仿宋" w:eastAsia="仿宋" w:cs="仿宋"/>
          <w:b/>
          <w:sz w:val="24"/>
          <w:szCs w:val="24"/>
        </w:rPr>
        <w:t>、</w:t>
      </w:r>
      <w:r>
        <w:rPr>
          <w:rFonts w:hint="eastAsia" w:ascii="仿宋" w:hAnsi="仿宋" w:eastAsia="仿宋" w:cs="仿宋"/>
          <w:b/>
          <w:sz w:val="24"/>
          <w:szCs w:val="24"/>
          <w:lang w:eastAsia="zh-CN"/>
        </w:rPr>
        <w:t>保险赔付</w:t>
      </w:r>
    </w:p>
    <w:p w14:paraId="4FFF16A2">
      <w:pPr>
        <w:pStyle w:val="2"/>
        <w:spacing w:line="360" w:lineRule="auto"/>
        <w:ind w:firstLine="640"/>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申报人或榆林市不动产登记中心报案</w:t>
      </w:r>
      <w:r>
        <w:rPr>
          <w:rFonts w:hint="eastAsia" w:ascii="仿宋" w:hAnsi="仿宋" w:eastAsia="仿宋" w:cs="仿宋"/>
          <w:sz w:val="24"/>
          <w:szCs w:val="24"/>
          <w:lang w:eastAsia="zh-CN"/>
        </w:rPr>
        <w:t>后</w:t>
      </w:r>
      <w:r>
        <w:rPr>
          <w:rFonts w:hint="eastAsia" w:ascii="仿宋" w:hAnsi="仿宋" w:eastAsia="仿宋" w:cs="仿宋"/>
          <w:sz w:val="24"/>
          <w:szCs w:val="24"/>
        </w:rPr>
        <w:t>对发生在我市城区范围内的保险事故保险公司</w:t>
      </w:r>
      <w:r>
        <w:rPr>
          <w:rFonts w:hint="eastAsia" w:ascii="仿宋" w:hAnsi="仿宋" w:eastAsia="仿宋" w:cs="仿宋"/>
          <w:sz w:val="24"/>
          <w:szCs w:val="24"/>
          <w:lang w:eastAsia="zh-CN"/>
        </w:rPr>
        <w:t>应</w:t>
      </w:r>
      <w:r>
        <w:rPr>
          <w:rFonts w:hint="eastAsia" w:ascii="仿宋" w:hAnsi="仿宋" w:eastAsia="仿宋" w:cs="仿宋"/>
          <w:sz w:val="24"/>
          <w:szCs w:val="24"/>
        </w:rPr>
        <w:t>在接到报案2小时内到事故现场进行勘查,并及时将案件有关情况及理赔方案报送榆林市不动产登记中心</w:t>
      </w:r>
      <w:r>
        <w:rPr>
          <w:rFonts w:hint="eastAsia" w:ascii="仿宋" w:hAnsi="仿宋" w:eastAsia="仿宋" w:cs="仿宋"/>
          <w:sz w:val="24"/>
          <w:szCs w:val="24"/>
          <w:lang w:eastAsia="zh-CN"/>
        </w:rPr>
        <w:t>；</w:t>
      </w:r>
    </w:p>
    <w:p w14:paraId="06060E2C">
      <w:pPr>
        <w:pStyle w:val="2"/>
        <w:spacing w:line="360" w:lineRule="auto"/>
        <w:ind w:firstLine="64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保险公司应“一次性”告知申报人应收集的所有理赔资料,并向申报人提供必要的帮助；</w:t>
      </w:r>
    </w:p>
    <w:p w14:paraId="3FCEC81D">
      <w:pPr>
        <w:pStyle w:val="2"/>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　　3</w:t>
      </w:r>
      <w:r>
        <w:rPr>
          <w:rFonts w:hint="eastAsia" w:ascii="仿宋" w:hAnsi="仿宋" w:eastAsia="仿宋" w:cs="仿宋"/>
          <w:sz w:val="24"/>
          <w:szCs w:val="24"/>
        </w:rPr>
        <w:tab/>
      </w:r>
      <w:r>
        <w:rPr>
          <w:rFonts w:hint="eastAsia" w:ascii="仿宋" w:hAnsi="仿宋" w:eastAsia="仿宋" w:cs="仿宋"/>
          <w:sz w:val="24"/>
          <w:szCs w:val="24"/>
          <w:lang w:eastAsia="zh-CN"/>
        </w:rPr>
        <w:t>、</w:t>
      </w:r>
      <w:r>
        <w:rPr>
          <w:rFonts w:hint="eastAsia" w:ascii="仿宋" w:hAnsi="仿宋" w:eastAsia="仿宋" w:cs="仿宋"/>
          <w:sz w:val="24"/>
          <w:szCs w:val="24"/>
        </w:rPr>
        <w:t>保险公司收集齐全必备资料后,应在3个工作日内向榆林市不动产登记中心通报赔案处理情况</w:t>
      </w:r>
      <w:r>
        <w:rPr>
          <w:rFonts w:hint="eastAsia" w:ascii="仿宋" w:hAnsi="仿宋" w:eastAsia="仿宋" w:cs="仿宋"/>
          <w:sz w:val="24"/>
          <w:szCs w:val="24"/>
          <w:lang w:eastAsia="zh-CN"/>
        </w:rPr>
        <w:t>，</w:t>
      </w:r>
      <w:r>
        <w:rPr>
          <w:rFonts w:hint="eastAsia" w:ascii="仿宋" w:hAnsi="仿宋" w:eastAsia="仿宋" w:cs="仿宋"/>
          <w:sz w:val="24"/>
          <w:szCs w:val="24"/>
        </w:rPr>
        <w:t>7个工作日内将赔款拨付到被保险人账户或保险受益人账户</w:t>
      </w:r>
      <w:r>
        <w:rPr>
          <w:rFonts w:hint="eastAsia" w:ascii="仿宋" w:hAnsi="仿宋" w:eastAsia="仿宋" w:cs="仿宋"/>
          <w:sz w:val="24"/>
          <w:szCs w:val="24"/>
          <w:lang w:eastAsia="zh-CN"/>
        </w:rPr>
        <w:t>。</w:t>
      </w:r>
    </w:p>
    <w:p w14:paraId="301EE49F">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二</w:t>
      </w:r>
      <w:r>
        <w:rPr>
          <w:rFonts w:hint="eastAsia" w:ascii="仿宋" w:hAnsi="仿宋" w:eastAsia="仿宋" w:cs="仿宋"/>
          <w:b/>
          <w:bCs/>
          <w:sz w:val="24"/>
          <w:szCs w:val="24"/>
        </w:rPr>
        <w:t>、双方承诺</w:t>
      </w:r>
    </w:p>
    <w:p w14:paraId="37CEE55A">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仿宋" w:hAnsi="仿宋" w:eastAsia="仿宋" w:cs="仿宋"/>
          <w:sz w:val="24"/>
          <w:szCs w:val="24"/>
        </w:rPr>
      </w:pPr>
      <w:r>
        <w:rPr>
          <w:rFonts w:hint="eastAsia" w:ascii="仿宋" w:hAnsi="仿宋" w:eastAsia="仿宋" w:cs="仿宋"/>
          <w:sz w:val="24"/>
          <w:szCs w:val="24"/>
        </w:rPr>
        <w:t>1. 保险人向</w:t>
      </w:r>
      <w:r>
        <w:rPr>
          <w:rFonts w:hint="eastAsia" w:ascii="仿宋" w:hAnsi="仿宋" w:eastAsia="仿宋" w:cs="仿宋"/>
          <w:sz w:val="24"/>
          <w:szCs w:val="24"/>
          <w:lang w:eastAsia="zh-CN"/>
        </w:rPr>
        <w:t>投</w:t>
      </w:r>
      <w:r>
        <w:rPr>
          <w:rFonts w:hint="eastAsia" w:ascii="仿宋" w:hAnsi="仿宋" w:eastAsia="仿宋" w:cs="仿宋"/>
          <w:sz w:val="24"/>
          <w:szCs w:val="24"/>
        </w:rPr>
        <w:t>保人承诺，按照本合同约定提供相关服务。</w:t>
      </w:r>
    </w:p>
    <w:p w14:paraId="21D8D021">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仿宋" w:hAnsi="仿宋" w:eastAsia="仿宋" w:cs="仿宋"/>
          <w:b/>
          <w:sz w:val="24"/>
          <w:szCs w:val="24"/>
          <w:lang w:eastAsia="zh-CN"/>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投</w:t>
      </w:r>
      <w:r>
        <w:rPr>
          <w:rFonts w:hint="eastAsia" w:ascii="仿宋" w:hAnsi="仿宋" w:eastAsia="仿宋" w:cs="仿宋"/>
          <w:sz w:val="24"/>
          <w:szCs w:val="24"/>
        </w:rPr>
        <w:t>保人向保险人承诺，按照本合同约定支付服务款项。</w:t>
      </w:r>
      <w:r>
        <w:rPr>
          <w:rFonts w:hint="eastAsia" w:ascii="仿宋" w:hAnsi="仿宋" w:eastAsia="仿宋" w:cs="仿宋"/>
          <w:sz w:val="24"/>
          <w:szCs w:val="24"/>
          <w:lang w:eastAsia="zh-CN"/>
        </w:rPr>
        <w:t>　</w:t>
      </w:r>
    </w:p>
    <w:p w14:paraId="5FE56C9F">
      <w:pPr>
        <w:spacing w:line="360" w:lineRule="auto"/>
        <w:ind w:firstLine="480" w:firstLineChars="200"/>
        <w:rPr>
          <w:rFonts w:hint="eastAsia"/>
          <w:lang w:val="zh-CN"/>
        </w:rPr>
      </w:pPr>
    </w:p>
    <w:p w14:paraId="7F5BBFBB">
      <w:pPr>
        <w:rPr>
          <w:rFonts w:hint="eastAsia"/>
          <w:lang w:eastAsia="zh-CN"/>
        </w:rPr>
      </w:pPr>
    </w:p>
    <w:p w14:paraId="1C2181EC">
      <w:pPr>
        <w:rPr>
          <w:rFonts w:hint="eastAsia" w:ascii="仿宋" w:hAnsi="仿宋" w:eastAsia="仿宋" w:cs="仿宋"/>
          <w:b/>
          <w:bCs w:val="0"/>
          <w:kern w:val="2"/>
          <w:sz w:val="52"/>
          <w:szCs w:val="52"/>
          <w:u w:val="none"/>
          <w:lang w:eastAsia="zh-CN"/>
        </w:rPr>
      </w:pPr>
      <w:r>
        <w:rPr>
          <w:rFonts w:hint="eastAsia" w:ascii="仿宋" w:hAnsi="仿宋" w:eastAsia="仿宋" w:cs="仿宋"/>
          <w:b/>
          <w:bCs w:val="0"/>
          <w:kern w:val="2"/>
          <w:sz w:val="52"/>
          <w:szCs w:val="52"/>
          <w:u w:val="none"/>
          <w:lang w:eastAsia="zh-CN"/>
        </w:rPr>
        <w:br w:type="page"/>
      </w:r>
    </w:p>
    <w:p w14:paraId="2DBA0CEE">
      <w:pPr>
        <w:pStyle w:val="6"/>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采购合同</w:t>
      </w:r>
    </w:p>
    <w:p w14:paraId="7BB891A9">
      <w:pPr>
        <w:jc w:val="center"/>
        <w:rPr>
          <w:rFonts w:hint="default"/>
          <w:lang w:val="en-US" w:eastAsia="zh-CN"/>
        </w:rPr>
      </w:pPr>
      <w:r>
        <w:rPr>
          <w:rFonts w:hint="eastAsia" w:ascii="仿宋" w:hAnsi="仿宋" w:eastAsia="仿宋" w:cs="仿宋"/>
          <w:b w:val="0"/>
          <w:bCs w:val="0"/>
          <w:sz w:val="32"/>
          <w:szCs w:val="32"/>
          <w:lang w:val="en-US" w:eastAsia="zh-CN"/>
        </w:rPr>
        <w:t>（格式自拟）</w:t>
      </w:r>
    </w:p>
    <w:p w14:paraId="7A709E3D">
      <w:pPr>
        <w:rPr>
          <w:rFonts w:hint="eastAsia" w:ascii="仿宋" w:hAnsi="仿宋" w:eastAsia="仿宋" w:cs="仿宋"/>
          <w:lang w:val="en-US" w:eastAsia="zh-CN"/>
        </w:rPr>
      </w:pPr>
    </w:p>
    <w:p w14:paraId="25C63633">
      <w:pPr>
        <w:rPr>
          <w:rFonts w:hint="eastAsia" w:ascii="仿宋" w:hAnsi="仿宋" w:eastAsia="仿宋" w:cs="仿宋"/>
          <w:b w:val="0"/>
          <w:bCs w:val="0"/>
          <w:sz w:val="32"/>
          <w:szCs w:val="32"/>
        </w:rPr>
      </w:pPr>
    </w:p>
    <w:p w14:paraId="482A2101">
      <w:pPr>
        <w:rPr>
          <w:rFonts w:hint="eastAsia" w:ascii="仿宋" w:hAnsi="仿宋" w:eastAsia="仿宋" w:cs="仿宋"/>
        </w:rPr>
      </w:pPr>
    </w:p>
    <w:p w14:paraId="4FA26871">
      <w:pPr>
        <w:rPr>
          <w:rFonts w:hint="eastAsia" w:ascii="仿宋" w:hAnsi="仿宋" w:eastAsia="仿宋" w:cs="仿宋"/>
        </w:rPr>
      </w:pPr>
    </w:p>
    <w:p w14:paraId="4DF7EE92">
      <w:pPr>
        <w:pStyle w:val="25"/>
        <w:rPr>
          <w:rFonts w:hint="eastAsia" w:ascii="仿宋" w:hAnsi="仿宋" w:eastAsia="仿宋" w:cs="仿宋"/>
        </w:rPr>
      </w:pPr>
    </w:p>
    <w:p w14:paraId="3A33BF71">
      <w:pPr>
        <w:rPr>
          <w:rFonts w:hint="eastAsia" w:ascii="仿宋" w:hAnsi="仿宋" w:eastAsia="仿宋" w:cs="仿宋"/>
        </w:rPr>
      </w:pPr>
    </w:p>
    <w:p w14:paraId="2F97FD1F">
      <w:pPr>
        <w:pStyle w:val="25"/>
        <w:rPr>
          <w:rFonts w:hint="eastAsia" w:ascii="仿宋" w:hAnsi="仿宋" w:eastAsia="仿宋" w:cs="仿宋"/>
        </w:rPr>
      </w:pPr>
    </w:p>
    <w:p w14:paraId="63F466AF">
      <w:pPr>
        <w:rPr>
          <w:rFonts w:hint="eastAsia" w:ascii="仿宋" w:hAnsi="仿宋" w:eastAsia="仿宋" w:cs="仿宋"/>
        </w:rPr>
      </w:pPr>
    </w:p>
    <w:p w14:paraId="37169F1B">
      <w:pPr>
        <w:rPr>
          <w:rFonts w:hint="eastAsia"/>
          <w:lang w:val="zh-CN"/>
        </w:rPr>
      </w:pPr>
    </w:p>
    <w:p w14:paraId="09F03696">
      <w:pPr>
        <w:numPr>
          <w:ilvl w:val="0"/>
          <w:numId w:val="0"/>
        </w:numPr>
        <w:rPr>
          <w:rFonts w:hint="eastAsia"/>
          <w:lang w:val="en-US" w:eastAsia="zh-CN"/>
        </w:rPr>
      </w:pPr>
    </w:p>
    <w:p w14:paraId="000087ED">
      <w:pPr>
        <w:widowControl w:val="0"/>
        <w:numPr>
          <w:ilvl w:val="0"/>
          <w:numId w:val="0"/>
        </w:numPr>
        <w:spacing w:line="360" w:lineRule="auto"/>
        <w:jc w:val="both"/>
        <w:rPr>
          <w:rFonts w:hint="eastAsia" w:ascii="仿宋" w:hAnsi="仿宋" w:eastAsia="仿宋" w:cs="仿宋"/>
          <w:color w:val="auto"/>
          <w:lang w:val="en-US" w:eastAsia="zh-CN"/>
        </w:rPr>
      </w:pPr>
    </w:p>
    <w:p w14:paraId="5E9CB490">
      <w:pPr>
        <w:rPr>
          <w:rFonts w:hint="eastAsia" w:ascii="仿宋" w:hAnsi="仿宋" w:eastAsia="仿宋" w:cs="仿宋"/>
          <w:b/>
          <w:bCs/>
          <w:color w:val="auto"/>
          <w:sz w:val="36"/>
          <w:szCs w:val="36"/>
          <w:lang w:val="en-US" w:eastAsia="zh-CN"/>
        </w:rPr>
      </w:pPr>
      <w:bookmarkStart w:id="78" w:name="_Toc31458"/>
      <w:bookmarkStart w:id="79" w:name="_Toc23302"/>
      <w:bookmarkStart w:id="80" w:name="_Toc12457"/>
      <w:bookmarkStart w:id="81" w:name="_Toc5822"/>
      <w:r>
        <w:rPr>
          <w:rFonts w:hint="eastAsia" w:ascii="仿宋" w:hAnsi="仿宋" w:eastAsia="仿宋" w:cs="仿宋"/>
          <w:b/>
          <w:bCs/>
          <w:color w:val="auto"/>
          <w:sz w:val="36"/>
          <w:szCs w:val="36"/>
          <w:lang w:val="en-US" w:eastAsia="zh-CN"/>
        </w:rPr>
        <w:br w:type="page"/>
      </w:r>
    </w:p>
    <w:p w14:paraId="7BDFC260">
      <w:pPr>
        <w:numPr>
          <w:ilvl w:val="0"/>
          <w:numId w:val="0"/>
        </w:numPr>
        <w:spacing w:line="360" w:lineRule="auto"/>
        <w:ind w:left="2880" w:leftChars="0"/>
        <w:outlineLvl w:val="0"/>
        <w:rPr>
          <w:rFonts w:hint="eastAsia" w:ascii="仿宋" w:hAnsi="仿宋" w:eastAsia="仿宋" w:cs="仿宋"/>
          <w:b/>
          <w:bCs/>
          <w:color w:val="auto"/>
          <w:sz w:val="36"/>
          <w:szCs w:val="36"/>
        </w:rPr>
      </w:pPr>
      <w:r>
        <w:rPr>
          <w:rFonts w:hint="eastAsia" w:ascii="仿宋" w:hAnsi="仿宋" w:eastAsia="仿宋" w:cs="仿宋"/>
          <w:b/>
          <w:bCs/>
          <w:color w:val="auto"/>
          <w:sz w:val="36"/>
          <w:szCs w:val="36"/>
          <w:lang w:val="en-US" w:eastAsia="zh-CN"/>
        </w:rPr>
        <w:t xml:space="preserve">第四章 </w:t>
      </w:r>
      <w:r>
        <w:rPr>
          <w:rFonts w:hint="eastAsia" w:ascii="仿宋" w:hAnsi="仿宋" w:eastAsia="仿宋" w:cs="仿宋"/>
          <w:b/>
          <w:bCs/>
          <w:color w:val="auto"/>
          <w:sz w:val="36"/>
          <w:szCs w:val="36"/>
        </w:rPr>
        <w:t xml:space="preserve"> 商务要求</w:t>
      </w:r>
      <w:bookmarkEnd w:id="78"/>
      <w:bookmarkEnd w:id="79"/>
      <w:bookmarkEnd w:id="80"/>
      <w:bookmarkEnd w:id="81"/>
    </w:p>
    <w:p w14:paraId="47ECEB58">
      <w:pPr>
        <w:pageBreakBefore w:val="0"/>
        <w:kinsoku/>
        <w:bidi w:val="0"/>
        <w:spacing w:line="360" w:lineRule="auto"/>
        <w:outlineLvl w:val="9"/>
        <w:rPr>
          <w:rFonts w:hint="eastAsia" w:ascii="仿宋" w:hAnsi="仿宋" w:eastAsia="仿宋" w:cs="仿宋"/>
          <w:color w:val="auto"/>
          <w:sz w:val="24"/>
          <w:szCs w:val="32"/>
          <w:lang w:eastAsia="zh-CN"/>
        </w:rPr>
      </w:pPr>
      <w:r>
        <w:rPr>
          <w:rFonts w:hint="eastAsia" w:ascii="仿宋" w:hAnsi="仿宋" w:eastAsia="仿宋" w:cs="仿宋"/>
          <w:color w:val="auto"/>
          <w:sz w:val="24"/>
          <w:szCs w:val="32"/>
        </w:rPr>
        <w:t>一、</w:t>
      </w:r>
      <w:r>
        <w:rPr>
          <w:rFonts w:hint="eastAsia" w:ascii="仿宋" w:hAnsi="仿宋" w:eastAsia="仿宋" w:cs="仿宋"/>
          <w:color w:val="auto"/>
          <w:sz w:val="24"/>
          <w:szCs w:val="32"/>
          <w:lang w:val="en-US" w:eastAsia="zh-CN"/>
        </w:rPr>
        <w:t>服务</w:t>
      </w:r>
      <w:r>
        <w:rPr>
          <w:rFonts w:hint="eastAsia" w:ascii="仿宋" w:hAnsi="仿宋" w:eastAsia="仿宋" w:cs="仿宋"/>
          <w:color w:val="auto"/>
          <w:sz w:val="24"/>
          <w:szCs w:val="32"/>
          <w:lang w:eastAsia="zh-CN"/>
        </w:rPr>
        <w:t>期</w:t>
      </w:r>
      <w:r>
        <w:rPr>
          <w:rFonts w:hint="eastAsia" w:ascii="仿宋" w:hAnsi="仿宋" w:eastAsia="仿宋" w:cs="仿宋"/>
          <w:color w:val="auto"/>
          <w:sz w:val="24"/>
          <w:szCs w:val="32"/>
        </w:rPr>
        <w:t>及</w:t>
      </w:r>
      <w:r>
        <w:rPr>
          <w:rFonts w:hint="eastAsia" w:ascii="仿宋" w:hAnsi="仿宋" w:eastAsia="仿宋" w:cs="仿宋"/>
          <w:color w:val="auto"/>
          <w:sz w:val="24"/>
          <w:szCs w:val="32"/>
          <w:lang w:eastAsia="zh-CN"/>
        </w:rPr>
        <w:t>服务地点</w:t>
      </w:r>
    </w:p>
    <w:p w14:paraId="5EFFD87B">
      <w:pPr>
        <w:pageBreakBefore w:val="0"/>
        <w:kinsoku/>
        <w:bidi w:val="0"/>
        <w:spacing w:line="360" w:lineRule="auto"/>
        <w:ind w:firstLine="480" w:firstLineChars="200"/>
        <w:outlineLvl w:val="9"/>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rPr>
        <w:t>1、</w:t>
      </w:r>
      <w:r>
        <w:rPr>
          <w:rFonts w:hint="eastAsia" w:ascii="仿宋" w:hAnsi="仿宋" w:eastAsia="仿宋" w:cs="仿宋"/>
          <w:b w:val="0"/>
          <w:bCs w:val="0"/>
          <w:color w:val="auto"/>
          <w:sz w:val="24"/>
          <w:szCs w:val="32"/>
          <w:highlight w:val="none"/>
          <w:lang w:val="en-US" w:eastAsia="zh-CN"/>
        </w:rPr>
        <w:t>服务</w:t>
      </w:r>
      <w:r>
        <w:rPr>
          <w:rFonts w:hint="eastAsia" w:ascii="仿宋" w:hAnsi="仿宋" w:eastAsia="仿宋" w:cs="仿宋"/>
          <w:b w:val="0"/>
          <w:bCs w:val="0"/>
          <w:color w:val="auto"/>
          <w:sz w:val="24"/>
          <w:szCs w:val="32"/>
          <w:highlight w:val="none"/>
          <w:lang w:eastAsia="zh-CN"/>
        </w:rPr>
        <w:t>期</w:t>
      </w:r>
      <w:r>
        <w:rPr>
          <w:rFonts w:hint="eastAsia" w:ascii="仿宋" w:hAnsi="仿宋" w:eastAsia="仿宋" w:cs="仿宋"/>
          <w:b w:val="0"/>
          <w:bCs w:val="0"/>
          <w:color w:val="auto"/>
          <w:sz w:val="24"/>
          <w:szCs w:val="32"/>
          <w:highlight w:val="none"/>
        </w:rPr>
        <w:t>：</w:t>
      </w:r>
      <w:r>
        <w:rPr>
          <w:rFonts w:hint="eastAsia" w:ascii="仿宋" w:hAnsi="仿宋" w:eastAsia="仿宋" w:cs="仿宋"/>
          <w:b w:val="0"/>
          <w:bCs w:val="0"/>
          <w:color w:val="auto"/>
          <w:sz w:val="24"/>
          <w:szCs w:val="32"/>
          <w:highlight w:val="none"/>
          <w:lang w:val="en-US" w:eastAsia="zh-CN"/>
        </w:rPr>
        <w:t>1年</w:t>
      </w:r>
      <w:r>
        <w:rPr>
          <w:rFonts w:hint="eastAsia" w:ascii="仿宋" w:hAnsi="仿宋" w:eastAsia="仿宋" w:cs="仿宋"/>
          <w:b w:val="0"/>
          <w:bCs w:val="0"/>
          <w:color w:val="auto"/>
          <w:sz w:val="24"/>
          <w:szCs w:val="32"/>
          <w:highlight w:val="none"/>
        </w:rPr>
        <w:t>；</w:t>
      </w:r>
      <w:r>
        <w:rPr>
          <w:rFonts w:hint="eastAsia" w:ascii="仿宋" w:hAnsi="仿宋" w:eastAsia="仿宋" w:cs="仿宋"/>
          <w:b w:val="0"/>
          <w:bCs w:val="0"/>
          <w:color w:val="auto"/>
          <w:sz w:val="24"/>
          <w:szCs w:val="32"/>
          <w:highlight w:val="none"/>
          <w:lang w:val="en-US" w:eastAsia="zh-CN"/>
        </w:rPr>
        <w:t xml:space="preserve">  </w:t>
      </w:r>
    </w:p>
    <w:p w14:paraId="55260597">
      <w:pPr>
        <w:pageBreakBefore w:val="0"/>
        <w:kinsoku/>
        <w:bidi w:val="0"/>
        <w:spacing w:line="360" w:lineRule="auto"/>
        <w:ind w:firstLine="480" w:firstLineChars="200"/>
        <w:outlineLvl w:val="9"/>
        <w:rPr>
          <w:rFonts w:hint="default" w:ascii="仿宋" w:hAnsi="仿宋" w:eastAsia="仿宋" w:cs="仿宋"/>
          <w:color w:val="auto"/>
          <w:sz w:val="24"/>
          <w:szCs w:val="32"/>
          <w:lang w:val="en-US" w:eastAsia="zh-CN"/>
        </w:rPr>
      </w:pPr>
      <w:r>
        <w:rPr>
          <w:rFonts w:hint="eastAsia" w:ascii="仿宋" w:hAnsi="仿宋" w:eastAsia="仿宋" w:cs="仿宋"/>
          <w:color w:val="auto"/>
          <w:sz w:val="24"/>
          <w:szCs w:val="32"/>
        </w:rPr>
        <w:t>2、</w:t>
      </w:r>
      <w:r>
        <w:rPr>
          <w:rFonts w:hint="eastAsia" w:ascii="仿宋" w:hAnsi="仿宋" w:eastAsia="仿宋" w:cs="仿宋"/>
          <w:color w:val="auto"/>
          <w:sz w:val="24"/>
          <w:szCs w:val="32"/>
          <w:lang w:eastAsia="zh-CN"/>
        </w:rPr>
        <w:t>服务地点</w:t>
      </w:r>
      <w:r>
        <w:rPr>
          <w:rFonts w:hint="eastAsia" w:ascii="仿宋" w:hAnsi="仿宋" w:eastAsia="仿宋" w:cs="仿宋"/>
          <w:color w:val="auto"/>
          <w:sz w:val="24"/>
          <w:szCs w:val="32"/>
        </w:rPr>
        <w:t>：</w:t>
      </w:r>
      <w:r>
        <w:rPr>
          <w:rFonts w:hint="eastAsia" w:ascii="仿宋" w:hAnsi="仿宋" w:eastAsia="仿宋" w:cs="仿宋"/>
          <w:color w:val="auto"/>
          <w:sz w:val="24"/>
          <w:szCs w:val="32"/>
          <w:lang w:val="en-US" w:eastAsia="zh-CN"/>
        </w:rPr>
        <w:t>甲方指定地点</w:t>
      </w:r>
    </w:p>
    <w:p w14:paraId="51919651">
      <w:pPr>
        <w:pageBreakBefore w:val="0"/>
        <w:kinsoku/>
        <w:bidi w:val="0"/>
        <w:spacing w:line="360" w:lineRule="auto"/>
        <w:outlineLvl w:val="9"/>
        <w:rPr>
          <w:rFonts w:hint="eastAsia" w:ascii="仿宋" w:hAnsi="仿宋" w:eastAsia="仿宋" w:cs="仿宋"/>
          <w:color w:val="auto"/>
          <w:sz w:val="24"/>
          <w:szCs w:val="32"/>
        </w:rPr>
      </w:pPr>
      <w:r>
        <w:rPr>
          <w:rFonts w:hint="eastAsia" w:ascii="仿宋" w:hAnsi="仿宋" w:eastAsia="仿宋" w:cs="仿宋"/>
          <w:color w:val="auto"/>
          <w:sz w:val="24"/>
          <w:szCs w:val="32"/>
        </w:rPr>
        <w:t>二、合同价款</w:t>
      </w:r>
    </w:p>
    <w:p w14:paraId="1472D55F">
      <w:pPr>
        <w:pageBreakBefore w:val="0"/>
        <w:kinsoku/>
        <w:bidi w:val="0"/>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报价包含完成本次采购所要求的服务且验收合格的所有费用。</w:t>
      </w:r>
    </w:p>
    <w:p w14:paraId="6329FBB8">
      <w:pPr>
        <w:pageBreakBefore w:val="0"/>
        <w:kinsoku/>
        <w:bidi w:val="0"/>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2、合同总价一次包死，不受市场价变化的影响。</w:t>
      </w:r>
    </w:p>
    <w:p w14:paraId="017822FC">
      <w:pPr>
        <w:pageBreakBefore w:val="0"/>
        <w:kinsoku/>
        <w:bidi w:val="0"/>
        <w:spacing w:line="360" w:lineRule="auto"/>
        <w:outlineLvl w:val="9"/>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三、款项结算</w:t>
      </w:r>
    </w:p>
    <w:p w14:paraId="18702DE2">
      <w:pPr>
        <w:pageBreakBefore w:val="0"/>
        <w:kinsoku/>
        <w:bidi w:val="0"/>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rPr>
        <w:t>1、付款方式：</w:t>
      </w:r>
      <w:r>
        <w:rPr>
          <w:rFonts w:hint="eastAsia" w:ascii="仿宋" w:hAnsi="仿宋" w:eastAsia="仿宋" w:cs="仿宋"/>
          <w:color w:val="auto"/>
          <w:kern w:val="2"/>
          <w:sz w:val="24"/>
          <w:szCs w:val="24"/>
          <w:lang w:val="en-US" w:eastAsia="zh-CN" w:bidi="ar-SA"/>
        </w:rPr>
        <w:t>合同约定。</w:t>
      </w:r>
    </w:p>
    <w:p w14:paraId="4E59A423">
      <w:pPr>
        <w:pageBreakBefore w:val="0"/>
        <w:kinsoku/>
        <w:bidi w:val="0"/>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szCs w:val="22"/>
        </w:rPr>
        <w:t>2、结算方式：按照国库集中支付有关规定执</w:t>
      </w:r>
      <w:r>
        <w:rPr>
          <w:rFonts w:hint="eastAsia" w:ascii="仿宋" w:hAnsi="仿宋" w:eastAsia="仿宋" w:cs="仿宋"/>
          <w:color w:val="auto"/>
          <w:sz w:val="24"/>
        </w:rPr>
        <w:t>行，发票开采购人。</w:t>
      </w:r>
    </w:p>
    <w:p w14:paraId="607F9154">
      <w:pPr>
        <w:pageBreakBefore w:val="0"/>
        <w:kinsoku/>
        <w:bidi w:val="0"/>
        <w:spacing w:line="360" w:lineRule="auto"/>
        <w:outlineLvl w:val="9"/>
        <w:rPr>
          <w:rFonts w:hint="eastAsia" w:ascii="仿宋" w:hAnsi="仿宋" w:eastAsia="仿宋" w:cs="仿宋"/>
          <w:color w:val="auto"/>
          <w:sz w:val="24"/>
          <w:szCs w:val="32"/>
        </w:rPr>
      </w:pPr>
      <w:r>
        <w:rPr>
          <w:rFonts w:hint="eastAsia" w:ascii="仿宋" w:hAnsi="仿宋" w:eastAsia="仿宋" w:cs="仿宋"/>
          <w:color w:val="auto"/>
          <w:sz w:val="24"/>
          <w:szCs w:val="32"/>
        </w:rPr>
        <w:t>四、验收</w:t>
      </w:r>
    </w:p>
    <w:p w14:paraId="7F9029EE">
      <w:pPr>
        <w:pageBreakBefore w:val="0"/>
        <w:kinsoku/>
        <w:bidi w:val="0"/>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14:paraId="1BD6388F">
      <w:pPr>
        <w:pageBreakBefore w:val="0"/>
        <w:kinsoku/>
        <w:bidi w:val="0"/>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验收依据：</w:t>
      </w:r>
    </w:p>
    <w:p w14:paraId="03EBA01C">
      <w:pPr>
        <w:pageBreakBefore w:val="0"/>
        <w:kinsoku/>
        <w:bidi w:val="0"/>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竞争性磋商</w:t>
      </w:r>
      <w:r>
        <w:rPr>
          <w:rFonts w:hint="eastAsia" w:ascii="仿宋" w:hAnsi="仿宋" w:eastAsia="仿宋" w:cs="仿宋"/>
          <w:color w:val="auto"/>
          <w:sz w:val="24"/>
        </w:rPr>
        <w:t>文件、</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文件、经济合同；</w:t>
      </w:r>
    </w:p>
    <w:p w14:paraId="356E6077">
      <w:pPr>
        <w:pageBreakBefore w:val="0"/>
        <w:kinsoku/>
        <w:bidi w:val="0"/>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color w:val="auto"/>
          <w:sz w:val="24"/>
        </w:rPr>
        <w:t>2、国内相应的国家标准、行业标准及规范。</w:t>
      </w:r>
    </w:p>
    <w:p w14:paraId="19D563D9">
      <w:pPr>
        <w:pageBreakBefore w:val="0"/>
        <w:kinsoku/>
        <w:bidi w:val="0"/>
        <w:spacing w:line="360" w:lineRule="auto"/>
        <w:outlineLvl w:val="9"/>
        <w:rPr>
          <w:rFonts w:hint="eastAsia" w:ascii="仿宋" w:hAnsi="仿宋" w:eastAsia="仿宋" w:cs="仿宋"/>
          <w:color w:val="auto"/>
          <w:sz w:val="24"/>
          <w:szCs w:val="32"/>
        </w:rPr>
      </w:pPr>
      <w:r>
        <w:rPr>
          <w:rFonts w:hint="eastAsia" w:ascii="仿宋" w:hAnsi="仿宋" w:eastAsia="仿宋" w:cs="仿宋"/>
          <w:color w:val="auto"/>
          <w:sz w:val="24"/>
          <w:szCs w:val="32"/>
          <w:lang w:val="en-US" w:eastAsia="zh-CN"/>
        </w:rPr>
        <w:t>五</w:t>
      </w:r>
      <w:r>
        <w:rPr>
          <w:rFonts w:hint="eastAsia" w:ascii="仿宋" w:hAnsi="仿宋" w:eastAsia="仿宋" w:cs="仿宋"/>
          <w:color w:val="auto"/>
          <w:sz w:val="24"/>
          <w:szCs w:val="32"/>
        </w:rPr>
        <w:t>、违约责任：</w:t>
      </w:r>
    </w:p>
    <w:p w14:paraId="61B7FE12">
      <w:pPr>
        <w:pageBreakBefore w:val="0"/>
        <w:kinsoku/>
        <w:bidi w:val="0"/>
        <w:spacing w:line="360" w:lineRule="auto"/>
        <w:ind w:firstLine="480" w:firstLineChars="200"/>
        <w:outlineLvl w:val="9"/>
        <w:rPr>
          <w:rFonts w:hint="eastAsia" w:ascii="仿宋" w:hAnsi="仿宋" w:eastAsia="仿宋" w:cs="仿宋"/>
          <w:color w:val="auto"/>
          <w:sz w:val="24"/>
          <w:szCs w:val="32"/>
        </w:rPr>
      </w:pPr>
      <w:r>
        <w:rPr>
          <w:rFonts w:hint="eastAsia" w:ascii="仿宋" w:hAnsi="仿宋" w:eastAsia="仿宋" w:cs="仿宋"/>
          <w:color w:val="auto"/>
          <w:sz w:val="24"/>
          <w:szCs w:val="32"/>
        </w:rPr>
        <w:t>1、按《中华人民共和国民法典》中的相关条款执行。</w:t>
      </w:r>
    </w:p>
    <w:p w14:paraId="010A8F0B">
      <w:pPr>
        <w:pageBreakBefore w:val="0"/>
        <w:kinsoku/>
        <w:bidi w:val="0"/>
        <w:spacing w:line="360" w:lineRule="auto"/>
        <w:ind w:firstLine="480" w:firstLineChars="200"/>
        <w:jc w:val="left"/>
        <w:outlineLvl w:val="9"/>
        <w:rPr>
          <w:rFonts w:hint="eastAsia" w:ascii="仿宋" w:hAnsi="仿宋" w:eastAsia="仿宋" w:cs="仿宋"/>
          <w:sz w:val="24"/>
          <w:szCs w:val="24"/>
          <w:lang w:val="en-US"/>
        </w:rPr>
      </w:pPr>
      <w:r>
        <w:rPr>
          <w:rFonts w:hint="eastAsia" w:ascii="仿宋" w:hAnsi="仿宋" w:eastAsia="仿宋" w:cs="仿宋"/>
          <w:color w:val="auto"/>
          <w:sz w:val="24"/>
          <w:szCs w:val="32"/>
        </w:rPr>
        <w:t>2、未按合同要求提供产品质量不能满足技术要求，招标人有权终止合同，并对供方违约行为进行追究，同时按《政府采购法》的有关规定进行处罚。</w:t>
      </w:r>
    </w:p>
    <w:p w14:paraId="723C9744">
      <w:pPr>
        <w:spacing w:line="360" w:lineRule="auto"/>
        <w:ind w:firstLine="470" w:firstLineChars="196"/>
        <w:rPr>
          <w:rFonts w:hint="eastAsia" w:ascii="仿宋" w:hAnsi="仿宋" w:eastAsia="仿宋" w:cs="仿宋"/>
          <w:bCs/>
          <w:color w:val="auto"/>
          <w:sz w:val="24"/>
          <w:szCs w:val="24"/>
          <w:highlight w:val="none"/>
        </w:rPr>
      </w:pPr>
    </w:p>
    <w:p w14:paraId="73E01D0B">
      <w:pPr>
        <w:spacing w:line="360" w:lineRule="auto"/>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kern w:val="2"/>
          <w:sz w:val="36"/>
          <w:szCs w:val="36"/>
          <w:lang w:val="en-US" w:eastAsia="zh-CN" w:bidi="ar-SA"/>
        </w:rPr>
        <w:br w:type="page"/>
      </w:r>
    </w:p>
    <w:p w14:paraId="4DC63085">
      <w:pPr>
        <w:adjustRightInd w:val="0"/>
        <w:spacing w:beforeLines="0" w:afterLines="0" w:line="360" w:lineRule="auto"/>
        <w:ind w:firstLine="480" w:firstLineChars="200"/>
        <w:rPr>
          <w:rFonts w:hint="eastAsia" w:ascii="仿宋" w:hAnsi="仿宋" w:eastAsia="仿宋" w:cs="仿宋"/>
          <w:color w:val="auto"/>
          <w:sz w:val="24"/>
        </w:rPr>
        <w:sectPr>
          <w:headerReference r:id="rId8" w:type="first"/>
          <w:footerReference r:id="rId10" w:type="first"/>
          <w:headerReference r:id="rId7" w:type="default"/>
          <w:footerReference r:id="rId9" w:type="default"/>
          <w:pgSz w:w="11905" w:h="16838"/>
          <w:pgMar w:top="1440" w:right="1080" w:bottom="1440" w:left="1080"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bookmarkStart w:id="82" w:name="_Toc3556"/>
      <w:bookmarkStart w:id="83" w:name="_Toc19045_WPSOffice_Level1"/>
      <w:bookmarkStart w:id="84" w:name="_Toc22043"/>
      <w:bookmarkStart w:id="85" w:name="_Toc547"/>
    </w:p>
    <w:p w14:paraId="5016A8D8">
      <w:pPr>
        <w:pStyle w:val="3"/>
        <w:numPr>
          <w:ilvl w:val="0"/>
          <w:numId w:val="0"/>
        </w:numPr>
        <w:bidi w:val="0"/>
        <w:spacing w:line="360" w:lineRule="auto"/>
        <w:rPr>
          <w:rFonts w:hint="eastAsia" w:ascii="仿宋" w:hAnsi="仿宋" w:eastAsia="仿宋" w:cs="仿宋"/>
          <w:color w:val="auto"/>
        </w:rPr>
      </w:pPr>
      <w:bookmarkStart w:id="86" w:name="_Toc8712"/>
      <w:r>
        <w:rPr>
          <w:rFonts w:hint="eastAsia" w:ascii="仿宋" w:hAnsi="仿宋" w:eastAsia="仿宋" w:cs="仿宋"/>
          <w:color w:val="auto"/>
          <w:lang w:val="en-US" w:eastAsia="zh-CN"/>
        </w:rPr>
        <w:t xml:space="preserve">第五章  </w:t>
      </w:r>
      <w:r>
        <w:rPr>
          <w:rFonts w:hint="eastAsia" w:ascii="仿宋" w:hAnsi="仿宋" w:eastAsia="仿宋" w:cs="仿宋"/>
          <w:color w:val="auto"/>
        </w:rPr>
        <w:t>响应文件格式</w:t>
      </w:r>
      <w:bookmarkEnd w:id="82"/>
      <w:bookmarkEnd w:id="83"/>
      <w:bookmarkEnd w:id="84"/>
      <w:bookmarkEnd w:id="85"/>
      <w:bookmarkEnd w:id="86"/>
    </w:p>
    <w:p w14:paraId="40EA45F2">
      <w:pPr>
        <w:widowControl w:val="0"/>
        <w:numPr>
          <w:ilvl w:val="0"/>
          <w:numId w:val="0"/>
        </w:numPr>
        <w:spacing w:line="360" w:lineRule="auto"/>
        <w:jc w:val="both"/>
        <w:rPr>
          <w:rFonts w:hint="eastAsia" w:ascii="仿宋" w:hAnsi="仿宋" w:eastAsia="仿宋" w:cs="仿宋"/>
          <w:color w:val="auto"/>
        </w:rPr>
      </w:pPr>
    </w:p>
    <w:p w14:paraId="6376491E">
      <w:pPr>
        <w:pStyle w:val="44"/>
        <w:spacing w:line="360" w:lineRule="auto"/>
        <w:rPr>
          <w:rFonts w:hint="eastAsia" w:ascii="仿宋" w:hAnsi="仿宋" w:eastAsia="仿宋" w:cs="仿宋"/>
          <w:color w:val="auto"/>
        </w:rPr>
      </w:pPr>
    </w:p>
    <w:p w14:paraId="6457ABEE">
      <w:pPr>
        <w:spacing w:line="360" w:lineRule="auto"/>
        <w:ind w:left="105"/>
        <w:jc w:val="both"/>
        <w:rPr>
          <w:rFonts w:hint="eastAsia" w:ascii="仿宋" w:hAnsi="仿宋" w:eastAsia="仿宋" w:cs="仿宋"/>
          <w:b/>
          <w:bCs/>
          <w:color w:val="auto"/>
          <w:sz w:val="32"/>
          <w:szCs w:val="32"/>
          <w:lang w:eastAsia="zh-CN"/>
        </w:rPr>
      </w:pPr>
      <w:bookmarkStart w:id="87" w:name="_Toc257126854"/>
      <w:bookmarkStart w:id="88" w:name="_Toc184794035"/>
      <w:r>
        <w:rPr>
          <w:rFonts w:hint="eastAsia" w:ascii="仿宋" w:hAnsi="仿宋" w:eastAsia="仿宋" w:cs="仿宋"/>
          <w:b/>
          <w:bCs/>
          <w:color w:val="auto"/>
          <w:sz w:val="32"/>
          <w:szCs w:val="32"/>
          <w:lang w:eastAsia="zh-CN"/>
        </w:rPr>
        <w:t>采购项目编号：</w:t>
      </w:r>
    </w:p>
    <w:p w14:paraId="5681BF3F">
      <w:pPr>
        <w:pStyle w:val="17"/>
        <w:spacing w:line="360" w:lineRule="auto"/>
        <w:rPr>
          <w:rFonts w:hint="eastAsia" w:ascii="仿宋" w:hAnsi="仿宋" w:eastAsia="仿宋" w:cs="仿宋"/>
          <w:b/>
          <w:bCs/>
          <w:color w:val="auto"/>
          <w:sz w:val="32"/>
          <w:szCs w:val="32"/>
          <w:lang w:eastAsia="zh-CN"/>
        </w:rPr>
      </w:pPr>
    </w:p>
    <w:p w14:paraId="15B37A03">
      <w:pPr>
        <w:pStyle w:val="17"/>
        <w:spacing w:line="360" w:lineRule="auto"/>
        <w:rPr>
          <w:rFonts w:hint="eastAsia" w:ascii="仿宋" w:hAnsi="仿宋" w:eastAsia="仿宋" w:cs="仿宋"/>
          <w:b/>
          <w:bCs/>
          <w:color w:val="auto"/>
          <w:sz w:val="32"/>
          <w:szCs w:val="32"/>
          <w:lang w:eastAsia="zh-CN"/>
        </w:rPr>
      </w:pPr>
    </w:p>
    <w:bookmarkEnd w:id="87"/>
    <w:bookmarkEnd w:id="88"/>
    <w:p w14:paraId="31CED88D">
      <w:pPr>
        <w:spacing w:line="360" w:lineRule="auto"/>
        <w:ind w:left="105"/>
        <w:jc w:val="center"/>
        <w:rPr>
          <w:rFonts w:hint="eastAsia" w:ascii="仿宋" w:hAnsi="仿宋" w:eastAsia="仿宋" w:cs="仿宋"/>
          <w:b/>
          <w:bCs/>
          <w:color w:val="auto"/>
          <w:sz w:val="52"/>
        </w:rPr>
      </w:pPr>
      <w:r>
        <w:rPr>
          <w:rFonts w:hint="eastAsia" w:ascii="仿宋" w:hAnsi="仿宋" w:eastAsia="仿宋" w:cs="仿宋"/>
          <w:b/>
          <w:bCs/>
          <w:color w:val="auto"/>
          <w:sz w:val="40"/>
          <w:szCs w:val="18"/>
          <w:lang w:eastAsia="zh-CN"/>
        </w:rPr>
        <w:t>榆林市不动产登记中心2025年不动产登记责任保险服务</w:t>
      </w:r>
    </w:p>
    <w:p w14:paraId="1FB89151">
      <w:pPr>
        <w:pStyle w:val="17"/>
        <w:spacing w:line="360" w:lineRule="auto"/>
        <w:rPr>
          <w:rFonts w:hint="eastAsia" w:ascii="仿宋" w:hAnsi="仿宋" w:eastAsia="仿宋" w:cs="仿宋"/>
          <w:b/>
          <w:bCs/>
          <w:color w:val="auto"/>
          <w:sz w:val="52"/>
        </w:rPr>
      </w:pPr>
    </w:p>
    <w:p w14:paraId="585ABA02">
      <w:pPr>
        <w:spacing w:line="360" w:lineRule="auto"/>
        <w:ind w:left="105"/>
        <w:jc w:val="center"/>
        <w:rPr>
          <w:rFonts w:hint="eastAsia" w:ascii="仿宋" w:hAnsi="仿宋" w:eastAsia="仿宋" w:cs="仿宋"/>
          <w:b/>
          <w:bCs/>
          <w:color w:val="auto"/>
          <w:sz w:val="52"/>
        </w:rPr>
      </w:pPr>
      <w:r>
        <w:rPr>
          <w:rFonts w:hint="eastAsia" w:ascii="仿宋" w:hAnsi="仿宋" w:eastAsia="仿宋" w:cs="仿宋"/>
          <w:b/>
          <w:bCs/>
          <w:color w:val="auto"/>
          <w:sz w:val="72"/>
          <w:szCs w:val="22"/>
          <w:lang w:eastAsia="zh-CN"/>
        </w:rPr>
        <w:t>竞争性磋商</w:t>
      </w:r>
      <w:r>
        <w:rPr>
          <w:rFonts w:hint="eastAsia" w:ascii="仿宋" w:hAnsi="仿宋" w:eastAsia="仿宋" w:cs="仿宋"/>
          <w:b/>
          <w:bCs/>
          <w:color w:val="auto"/>
          <w:sz w:val="72"/>
          <w:szCs w:val="22"/>
        </w:rPr>
        <w:t>响应文件</w:t>
      </w:r>
    </w:p>
    <w:p w14:paraId="45CF9A39">
      <w:pPr>
        <w:spacing w:line="360" w:lineRule="auto"/>
        <w:jc w:val="left"/>
        <w:rPr>
          <w:rFonts w:hint="eastAsia" w:ascii="仿宋" w:hAnsi="仿宋" w:eastAsia="仿宋" w:cs="仿宋"/>
          <w:b/>
          <w:bCs/>
          <w:color w:val="auto"/>
          <w:sz w:val="28"/>
          <w:szCs w:val="28"/>
        </w:rPr>
      </w:pPr>
    </w:p>
    <w:p w14:paraId="3478B3C9">
      <w:pPr>
        <w:spacing w:line="360" w:lineRule="auto"/>
        <w:jc w:val="left"/>
        <w:rPr>
          <w:rFonts w:hint="eastAsia" w:ascii="仿宋" w:hAnsi="仿宋" w:eastAsia="仿宋" w:cs="仿宋"/>
          <w:b/>
          <w:bCs/>
          <w:color w:val="auto"/>
          <w:sz w:val="28"/>
          <w:szCs w:val="28"/>
        </w:rPr>
      </w:pPr>
    </w:p>
    <w:p w14:paraId="51A3676C">
      <w:pPr>
        <w:spacing w:line="360" w:lineRule="auto"/>
        <w:rPr>
          <w:rFonts w:hint="eastAsia" w:ascii="仿宋" w:hAnsi="仿宋" w:eastAsia="仿宋" w:cs="仿宋"/>
          <w:b/>
          <w:bCs/>
          <w:color w:val="auto"/>
          <w:sz w:val="28"/>
          <w:szCs w:val="28"/>
        </w:rPr>
      </w:pPr>
    </w:p>
    <w:p w14:paraId="2A678CBB">
      <w:pPr>
        <w:spacing w:line="360" w:lineRule="auto"/>
        <w:rPr>
          <w:rFonts w:hint="eastAsia" w:ascii="仿宋" w:hAnsi="仿宋" w:eastAsia="仿宋" w:cs="仿宋"/>
          <w:b/>
          <w:bCs/>
          <w:color w:val="auto"/>
          <w:sz w:val="28"/>
          <w:szCs w:val="28"/>
        </w:rPr>
      </w:pPr>
    </w:p>
    <w:p w14:paraId="21235501">
      <w:pPr>
        <w:spacing w:line="360" w:lineRule="auto"/>
        <w:jc w:val="left"/>
        <w:rPr>
          <w:rFonts w:hint="eastAsia" w:ascii="仿宋" w:hAnsi="仿宋" w:eastAsia="仿宋" w:cs="仿宋"/>
          <w:b/>
          <w:bCs/>
          <w:color w:val="auto"/>
          <w:sz w:val="28"/>
          <w:szCs w:val="28"/>
        </w:rPr>
      </w:pPr>
    </w:p>
    <w:p w14:paraId="0B4EF9C3">
      <w:pPr>
        <w:spacing w:line="360" w:lineRule="auto"/>
        <w:ind w:left="1296" w:leftChars="540"/>
        <w:rPr>
          <w:rFonts w:hint="eastAsia" w:ascii="仿宋" w:hAnsi="仿宋" w:eastAsia="仿宋" w:cs="仿宋"/>
          <w:b/>
          <w:color w:val="auto"/>
          <w:sz w:val="28"/>
        </w:rPr>
      </w:pPr>
      <w:r>
        <w:rPr>
          <w:rFonts w:hint="eastAsia" w:ascii="仿宋" w:hAnsi="仿宋" w:eastAsia="仿宋" w:cs="仿宋"/>
          <w:b/>
          <w:color w:val="auto"/>
          <w:kern w:val="22"/>
          <w:sz w:val="28"/>
        </w:rPr>
        <w:t>供   应   商</w:t>
      </w:r>
      <w:r>
        <w:rPr>
          <w:rFonts w:hint="eastAsia" w:ascii="仿宋" w:hAnsi="仿宋" w:eastAsia="仿宋" w:cs="仿宋"/>
          <w:b/>
          <w:color w:val="auto"/>
          <w:sz w:val="28"/>
        </w:rPr>
        <w:t>：</w:t>
      </w:r>
      <w:r>
        <w:rPr>
          <w:rFonts w:hint="eastAsia" w:ascii="仿宋" w:hAnsi="仿宋" w:eastAsia="仿宋" w:cs="仿宋"/>
          <w:b/>
          <w:color w:val="auto"/>
          <w:sz w:val="28"/>
          <w:u w:val="single"/>
        </w:rPr>
        <w:t xml:space="preserve">                           （盖章）</w:t>
      </w:r>
    </w:p>
    <w:p w14:paraId="089AD20D">
      <w:pPr>
        <w:spacing w:line="360" w:lineRule="auto"/>
        <w:ind w:left="1296" w:leftChars="540"/>
        <w:rPr>
          <w:rFonts w:hint="eastAsia" w:ascii="仿宋" w:hAnsi="仿宋" w:eastAsia="仿宋" w:cs="仿宋"/>
          <w:b/>
          <w:color w:val="auto"/>
          <w:sz w:val="28"/>
        </w:rPr>
      </w:pPr>
      <w:r>
        <w:rPr>
          <w:rFonts w:hint="eastAsia" w:ascii="仿宋" w:hAnsi="仿宋" w:eastAsia="仿宋" w:cs="仿宋"/>
          <w:b/>
          <w:color w:val="auto"/>
          <w:sz w:val="28"/>
        </w:rPr>
        <w:t>法人代表人或</w:t>
      </w:r>
    </w:p>
    <w:p w14:paraId="7FFAEA7C">
      <w:pPr>
        <w:spacing w:line="360" w:lineRule="auto"/>
        <w:ind w:left="1296" w:leftChars="540"/>
        <w:rPr>
          <w:rFonts w:hint="eastAsia" w:ascii="仿宋" w:hAnsi="仿宋" w:eastAsia="仿宋" w:cs="仿宋"/>
          <w:b/>
          <w:color w:val="auto"/>
          <w:sz w:val="28"/>
          <w:u w:val="single"/>
        </w:rPr>
      </w:pPr>
      <w:r>
        <w:rPr>
          <w:rFonts w:hint="eastAsia" w:ascii="仿宋" w:hAnsi="仿宋" w:eastAsia="仿宋" w:cs="仿宋"/>
          <w:b/>
          <w:color w:val="auto"/>
          <w:sz w:val="28"/>
        </w:rPr>
        <w:t>其委托代理人：</w:t>
      </w:r>
      <w:r>
        <w:rPr>
          <w:rFonts w:hint="eastAsia" w:ascii="仿宋" w:hAnsi="仿宋" w:eastAsia="仿宋" w:cs="仿宋"/>
          <w:b/>
          <w:color w:val="auto"/>
          <w:sz w:val="28"/>
          <w:u w:val="single"/>
        </w:rPr>
        <w:t xml:space="preserve">                     （签字或盖章）</w:t>
      </w:r>
    </w:p>
    <w:p w14:paraId="0A42B746">
      <w:pPr>
        <w:pStyle w:val="16"/>
        <w:spacing w:line="360" w:lineRule="auto"/>
        <w:rPr>
          <w:rFonts w:hint="eastAsia" w:ascii="仿宋" w:hAnsi="仿宋" w:eastAsia="仿宋" w:cs="仿宋"/>
          <w:color w:val="auto"/>
        </w:rPr>
      </w:pPr>
    </w:p>
    <w:p w14:paraId="015F5649">
      <w:pPr>
        <w:spacing w:line="360" w:lineRule="auto"/>
        <w:ind w:left="1296" w:leftChars="540"/>
        <w:rPr>
          <w:rFonts w:hint="eastAsia" w:ascii="仿宋" w:hAnsi="仿宋" w:eastAsia="仿宋" w:cs="仿宋"/>
          <w:b/>
          <w:color w:val="auto"/>
          <w:sz w:val="28"/>
        </w:rPr>
      </w:pPr>
      <w:r>
        <w:rPr>
          <w:rFonts w:hint="eastAsia" w:ascii="仿宋" w:hAnsi="仿宋" w:eastAsia="仿宋" w:cs="仿宋"/>
          <w:b/>
          <w:color w:val="auto"/>
          <w:sz w:val="28"/>
        </w:rPr>
        <w:t>日        期：   年   月   日</w:t>
      </w:r>
    </w:p>
    <w:p w14:paraId="11E8DBFE">
      <w:pPr>
        <w:rPr>
          <w:rFonts w:hint="eastAsia" w:ascii="仿宋" w:hAnsi="仿宋" w:eastAsia="仿宋" w:cs="仿宋"/>
          <w:b/>
          <w:color w:val="auto"/>
          <w:sz w:val="36"/>
          <w:szCs w:val="36"/>
        </w:rPr>
      </w:pPr>
      <w:r>
        <w:rPr>
          <w:rFonts w:hint="eastAsia" w:ascii="仿宋" w:hAnsi="仿宋" w:eastAsia="仿宋" w:cs="仿宋"/>
          <w:b/>
          <w:color w:val="auto"/>
          <w:sz w:val="36"/>
          <w:szCs w:val="36"/>
        </w:rPr>
        <w:br w:type="page"/>
      </w:r>
    </w:p>
    <w:p w14:paraId="1DD5BA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36"/>
          <w:szCs w:val="36"/>
        </w:rPr>
      </w:pPr>
      <w:r>
        <w:rPr>
          <w:rFonts w:hint="eastAsia" w:ascii="仿宋" w:hAnsi="仿宋" w:eastAsia="仿宋" w:cs="仿宋"/>
          <w:b/>
          <w:color w:val="auto"/>
          <w:sz w:val="36"/>
          <w:szCs w:val="36"/>
        </w:rPr>
        <w:t>目 录</w:t>
      </w:r>
    </w:p>
    <w:p w14:paraId="2D66B233">
      <w:pPr>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须自动索引</w:t>
      </w:r>
      <w:r>
        <w:rPr>
          <w:rFonts w:hint="eastAsia" w:ascii="仿宋" w:hAnsi="仿宋" w:eastAsia="仿宋" w:cs="仿宋"/>
          <w:color w:val="auto"/>
          <w:sz w:val="32"/>
          <w:szCs w:val="32"/>
          <w:lang w:eastAsia="zh-CN"/>
        </w:rPr>
        <w:t>）</w:t>
      </w:r>
    </w:p>
    <w:p w14:paraId="3112B9C5">
      <w:pPr>
        <w:spacing w:line="360" w:lineRule="auto"/>
        <w:rPr>
          <w:rFonts w:hint="eastAsia" w:ascii="仿宋" w:hAnsi="仿宋" w:eastAsia="仿宋" w:cs="仿宋"/>
          <w:color w:val="auto"/>
          <w:sz w:val="32"/>
          <w:szCs w:val="32"/>
        </w:rPr>
      </w:pPr>
    </w:p>
    <w:p w14:paraId="0DA85775">
      <w:pPr>
        <w:spacing w:line="360" w:lineRule="auto"/>
        <w:rPr>
          <w:rFonts w:hint="eastAsia" w:ascii="仿宋" w:hAnsi="仿宋" w:eastAsia="仿宋" w:cs="仿宋"/>
          <w:color w:val="auto"/>
          <w:sz w:val="32"/>
          <w:szCs w:val="32"/>
        </w:rPr>
      </w:pPr>
    </w:p>
    <w:p w14:paraId="208867DE">
      <w:pPr>
        <w:spacing w:line="360" w:lineRule="auto"/>
        <w:rPr>
          <w:rFonts w:hint="eastAsia" w:ascii="仿宋" w:hAnsi="仿宋" w:eastAsia="仿宋" w:cs="仿宋"/>
          <w:color w:val="auto"/>
          <w:sz w:val="32"/>
          <w:szCs w:val="32"/>
        </w:rPr>
      </w:pPr>
    </w:p>
    <w:p w14:paraId="1B89C210">
      <w:pPr>
        <w:spacing w:line="360" w:lineRule="auto"/>
        <w:rPr>
          <w:rFonts w:hint="eastAsia" w:ascii="仿宋" w:hAnsi="仿宋" w:eastAsia="仿宋" w:cs="仿宋"/>
          <w:color w:val="auto"/>
          <w:sz w:val="32"/>
          <w:szCs w:val="32"/>
        </w:rPr>
      </w:pPr>
    </w:p>
    <w:p w14:paraId="0C79C137">
      <w:pPr>
        <w:spacing w:line="360" w:lineRule="auto"/>
        <w:rPr>
          <w:rFonts w:hint="eastAsia" w:ascii="仿宋" w:hAnsi="仿宋" w:eastAsia="仿宋" w:cs="仿宋"/>
          <w:color w:val="auto"/>
          <w:sz w:val="32"/>
          <w:szCs w:val="32"/>
        </w:rPr>
      </w:pPr>
    </w:p>
    <w:p w14:paraId="029ACD44">
      <w:pPr>
        <w:spacing w:line="360" w:lineRule="auto"/>
        <w:rPr>
          <w:rFonts w:hint="eastAsia" w:ascii="仿宋" w:hAnsi="仿宋" w:eastAsia="仿宋" w:cs="仿宋"/>
          <w:color w:val="auto"/>
          <w:sz w:val="32"/>
          <w:szCs w:val="32"/>
        </w:rPr>
      </w:pPr>
    </w:p>
    <w:p w14:paraId="7B089356">
      <w:pPr>
        <w:spacing w:line="360" w:lineRule="auto"/>
        <w:rPr>
          <w:rFonts w:hint="eastAsia" w:ascii="仿宋" w:hAnsi="仿宋" w:eastAsia="仿宋" w:cs="仿宋"/>
          <w:color w:val="auto"/>
          <w:sz w:val="32"/>
          <w:szCs w:val="32"/>
        </w:rPr>
      </w:pPr>
    </w:p>
    <w:p w14:paraId="2E98883F">
      <w:pPr>
        <w:spacing w:line="360" w:lineRule="auto"/>
        <w:rPr>
          <w:rFonts w:hint="eastAsia" w:ascii="仿宋" w:hAnsi="仿宋" w:eastAsia="仿宋" w:cs="仿宋"/>
          <w:color w:val="auto"/>
          <w:sz w:val="32"/>
          <w:szCs w:val="32"/>
        </w:rPr>
      </w:pPr>
    </w:p>
    <w:p w14:paraId="63AB2576">
      <w:pPr>
        <w:spacing w:line="360" w:lineRule="auto"/>
        <w:rPr>
          <w:rFonts w:hint="eastAsia" w:ascii="仿宋" w:hAnsi="仿宋" w:eastAsia="仿宋" w:cs="仿宋"/>
          <w:color w:val="auto"/>
          <w:sz w:val="32"/>
          <w:szCs w:val="32"/>
        </w:rPr>
      </w:pPr>
    </w:p>
    <w:p w14:paraId="26AE2DD7">
      <w:pPr>
        <w:widowControl/>
        <w:spacing w:line="360" w:lineRule="auto"/>
        <w:jc w:val="left"/>
        <w:rPr>
          <w:rFonts w:hint="eastAsia" w:ascii="仿宋" w:hAnsi="仿宋" w:eastAsia="仿宋" w:cs="仿宋"/>
          <w:b/>
          <w:bCs/>
          <w:color w:val="auto"/>
          <w:sz w:val="28"/>
        </w:rPr>
      </w:pPr>
      <w:bookmarkStart w:id="89" w:name="_Toc184704625"/>
      <w:bookmarkStart w:id="90" w:name="_Toc32675"/>
      <w:bookmarkStart w:id="91" w:name="_Toc184704698"/>
      <w:r>
        <w:rPr>
          <w:rFonts w:hint="eastAsia" w:ascii="仿宋" w:hAnsi="仿宋" w:eastAsia="仿宋" w:cs="仿宋"/>
          <w:b/>
          <w:bCs/>
          <w:color w:val="auto"/>
          <w:sz w:val="28"/>
        </w:rPr>
        <w:br w:type="page"/>
      </w:r>
    </w:p>
    <w:bookmarkEnd w:id="89"/>
    <w:bookmarkEnd w:id="90"/>
    <w:bookmarkEnd w:id="91"/>
    <w:p w14:paraId="5E3F555B">
      <w:pPr>
        <w:pStyle w:val="4"/>
        <w:bidi w:val="0"/>
        <w:spacing w:line="360" w:lineRule="auto"/>
        <w:rPr>
          <w:rFonts w:hint="eastAsia" w:ascii="仿宋" w:hAnsi="仿宋" w:eastAsia="仿宋" w:cs="仿宋"/>
          <w:color w:val="auto"/>
        </w:rPr>
      </w:pPr>
      <w:bookmarkStart w:id="92" w:name="_Toc24822"/>
      <w:r>
        <w:rPr>
          <w:rFonts w:hint="eastAsia" w:ascii="仿宋" w:hAnsi="仿宋" w:eastAsia="仿宋" w:cs="仿宋"/>
          <w:color w:val="auto"/>
          <w:lang w:eastAsia="zh-CN"/>
        </w:rPr>
        <w:t>一、</w:t>
      </w:r>
      <w:r>
        <w:rPr>
          <w:rFonts w:hint="eastAsia" w:ascii="仿宋" w:hAnsi="仿宋" w:eastAsia="仿宋" w:cs="仿宋"/>
          <w:color w:val="auto"/>
        </w:rPr>
        <w:t>磋商</w:t>
      </w:r>
      <w:r>
        <w:rPr>
          <w:rFonts w:hint="eastAsia" w:ascii="仿宋" w:hAnsi="仿宋" w:eastAsia="仿宋" w:cs="仿宋"/>
          <w:color w:val="auto"/>
          <w:lang w:val="en-US" w:eastAsia="zh-CN"/>
        </w:rPr>
        <w:t>响应</w:t>
      </w:r>
      <w:r>
        <w:rPr>
          <w:rFonts w:hint="eastAsia" w:ascii="仿宋" w:hAnsi="仿宋" w:eastAsia="仿宋" w:cs="仿宋"/>
          <w:color w:val="auto"/>
        </w:rPr>
        <w:t>函</w:t>
      </w:r>
      <w:bookmarkEnd w:id="92"/>
    </w:p>
    <w:p w14:paraId="0917BDE1">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（采购人名称） ：</w:t>
      </w:r>
    </w:p>
    <w:p w14:paraId="61B3692C">
      <w:pPr>
        <w:spacing w:line="360" w:lineRule="auto"/>
        <w:ind w:firstLine="504" w:firstLineChars="210"/>
        <w:rPr>
          <w:rFonts w:hint="eastAsia" w:ascii="仿宋" w:hAnsi="仿宋" w:eastAsia="仿宋" w:cs="仿宋"/>
          <w:color w:val="auto"/>
          <w:sz w:val="24"/>
        </w:rPr>
      </w:pPr>
      <w:r>
        <w:rPr>
          <w:rFonts w:hint="eastAsia" w:ascii="仿宋" w:hAnsi="仿宋" w:eastAsia="仿宋" w:cs="仿宋"/>
          <w:color w:val="auto"/>
          <w:sz w:val="24"/>
        </w:rPr>
        <w:t>我单位收到贵公司(文件编号：     )</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文件，经详细研究，我们决定参加本次</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活动。为此，我方郑重声明以下诸点，并负法律责任。</w:t>
      </w:r>
    </w:p>
    <w:p w14:paraId="572253F8">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愿意按照磋商文件中的一切要求，总报价为：</w:t>
      </w:r>
    </w:p>
    <w:p w14:paraId="40E31976">
      <w:pPr>
        <w:spacing w:line="360" w:lineRule="auto"/>
        <w:ind w:firstLine="840" w:firstLineChars="35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人民币（大写）：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元。</w:t>
      </w:r>
    </w:p>
    <w:p w14:paraId="44ABBDB9">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供应商将按磋商文件的规定履行合同责任和义务；</w:t>
      </w:r>
    </w:p>
    <w:p w14:paraId="3C2D4F37">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.供应商已详细审查全部磋商文件，包括修改文件（如有的话）以及全部参考资料和有关附件。我们完全理解并同意放弃对这方面有不明及误解的权利；</w:t>
      </w:r>
    </w:p>
    <w:p w14:paraId="323CA8BC">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.其响应文件自磋商之日起有效期为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个日历日；</w:t>
      </w:r>
    </w:p>
    <w:p w14:paraId="035D855B">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.供应商同意提供按照贵方可能要求的与其磋商有关的一切数据或资料，完全理解贵方不一定要接受最低价的报价或收到的任何其他报价。</w:t>
      </w:r>
    </w:p>
    <w:p w14:paraId="2A8A9121">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.与本项目有关的一切正式往来通讯请寄：</w:t>
      </w:r>
    </w:p>
    <w:p w14:paraId="5FBD2E2C">
      <w:pPr>
        <w:pStyle w:val="2"/>
        <w:spacing w:line="360" w:lineRule="auto"/>
        <w:rPr>
          <w:rFonts w:hint="eastAsia" w:ascii="仿宋" w:hAnsi="仿宋" w:eastAsia="仿宋" w:cs="仿宋"/>
          <w:color w:val="auto"/>
        </w:rPr>
      </w:pPr>
    </w:p>
    <w:p w14:paraId="622B4BB8">
      <w:pPr>
        <w:spacing w:line="360" w:lineRule="auto"/>
        <w:ind w:firstLine="420"/>
        <w:rPr>
          <w:rFonts w:hint="eastAsia" w:ascii="仿宋" w:hAnsi="仿宋" w:eastAsia="仿宋" w:cs="仿宋"/>
          <w:color w:val="auto"/>
          <w:lang w:val="en-US" w:eastAsia="zh-CN"/>
        </w:rPr>
      </w:pPr>
      <w:r>
        <w:rPr>
          <w:rFonts w:hint="eastAsia" w:ascii="仿宋" w:hAnsi="仿宋" w:eastAsia="仿宋" w:cs="仿宋"/>
          <w:color w:val="auto"/>
          <w:szCs w:val="21"/>
          <w:highlight w:val="none"/>
          <w:lang w:val="en-US" w:eastAsia="zh-CN"/>
        </w:rPr>
        <w:t>供应商全称（印章）：</w:t>
      </w:r>
      <w:r>
        <w:rPr>
          <w:rFonts w:hint="eastAsia" w:ascii="仿宋" w:hAnsi="仿宋" w:eastAsia="仿宋" w:cs="仿宋"/>
          <w:color w:val="auto"/>
          <w:szCs w:val="21"/>
          <w:highlight w:val="none"/>
          <w:u w:val="single"/>
        </w:rPr>
        <w:t xml:space="preserve">              </w:t>
      </w:r>
    </w:p>
    <w:p w14:paraId="5AF90EF5">
      <w:pPr>
        <w:spacing w:line="360" w:lineRule="auto"/>
        <w:ind w:firstLine="42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p>
    <w:p w14:paraId="2A96F35E">
      <w:pPr>
        <w:spacing w:line="360" w:lineRule="auto"/>
        <w:ind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35AF048F">
      <w:pPr>
        <w:spacing w:line="360" w:lineRule="auto"/>
        <w:ind w:firstLine="42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 xml:space="preserve">            </w:t>
      </w:r>
    </w:p>
    <w:p w14:paraId="17297B96">
      <w:pPr>
        <w:spacing w:line="360" w:lineRule="auto"/>
        <w:ind w:firstLine="42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传真：</w:t>
      </w:r>
      <w:r>
        <w:rPr>
          <w:rFonts w:hint="eastAsia" w:ascii="仿宋" w:hAnsi="仿宋" w:eastAsia="仿宋" w:cs="仿宋"/>
          <w:color w:val="auto"/>
          <w:szCs w:val="21"/>
          <w:highlight w:val="none"/>
          <w:u w:val="single"/>
        </w:rPr>
        <w:t xml:space="preserve">              </w:t>
      </w:r>
    </w:p>
    <w:p w14:paraId="160E395C">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法定代表人或被授权代表</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（签字或盖章）</w:t>
      </w:r>
    </w:p>
    <w:p w14:paraId="27B47220">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     期：   年   月   日</w:t>
      </w:r>
      <w:bookmarkStart w:id="93" w:name="_Hlt491573407"/>
      <w:bookmarkEnd w:id="93"/>
    </w:p>
    <w:p w14:paraId="70B5CDC0">
      <w:pPr>
        <w:spacing w:line="360" w:lineRule="auto"/>
        <w:rPr>
          <w:rFonts w:hint="eastAsia" w:ascii="仿宋" w:hAnsi="仿宋" w:eastAsia="仿宋" w:cs="仿宋"/>
          <w:color w:val="auto"/>
          <w:sz w:val="32"/>
          <w:szCs w:val="32"/>
          <w:highlight w:val="none"/>
        </w:rPr>
      </w:pPr>
    </w:p>
    <w:p w14:paraId="253B9DE3">
      <w:pPr>
        <w:widowControl/>
        <w:spacing w:line="360" w:lineRule="auto"/>
        <w:jc w:val="left"/>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br w:type="page"/>
      </w:r>
    </w:p>
    <w:p w14:paraId="203E7030">
      <w:pPr>
        <w:spacing w:line="360" w:lineRule="auto"/>
        <w:ind w:left="240" w:leftChars="100"/>
        <w:jc w:val="center"/>
        <w:outlineLvl w:val="1"/>
        <w:rPr>
          <w:rFonts w:hint="eastAsia" w:ascii="仿宋" w:hAnsi="仿宋" w:eastAsia="仿宋" w:cs="仿宋"/>
          <w:b/>
          <w:bCs/>
          <w:color w:val="auto"/>
          <w:sz w:val="24"/>
          <w:lang w:val="en-US" w:eastAsia="zh-CN"/>
        </w:rPr>
      </w:pPr>
      <w:bookmarkStart w:id="94" w:name="_Toc18847"/>
      <w:r>
        <w:rPr>
          <w:rFonts w:hint="eastAsia" w:ascii="仿宋" w:hAnsi="仿宋" w:eastAsia="仿宋" w:cs="仿宋"/>
          <w:b/>
          <w:bCs/>
          <w:color w:val="auto"/>
          <w:kern w:val="2"/>
          <w:sz w:val="32"/>
          <w:szCs w:val="32"/>
          <w:lang w:val="en-US" w:eastAsia="zh-CN" w:bidi="ar-SA"/>
        </w:rPr>
        <w:t>二、法定代表人证明书及法定代表人授权书</w:t>
      </w:r>
      <w:bookmarkEnd w:id="94"/>
      <w:bookmarkStart w:id="95" w:name="_Toc18694"/>
    </w:p>
    <w:p w14:paraId="46438DC0">
      <w:pPr>
        <w:spacing w:line="360" w:lineRule="auto"/>
        <w:ind w:left="240" w:leftChars="100"/>
        <w:jc w:val="center"/>
        <w:outlineLvl w:val="2"/>
        <w:rPr>
          <w:rFonts w:hint="eastAsia" w:ascii="仿宋" w:hAnsi="仿宋" w:eastAsia="仿宋" w:cs="仿宋"/>
          <w:b/>
          <w:bCs/>
          <w:color w:val="auto"/>
          <w:sz w:val="24"/>
        </w:rPr>
      </w:pPr>
      <w:bookmarkStart w:id="96" w:name="_Toc32505"/>
      <w:r>
        <w:rPr>
          <w:rFonts w:hint="eastAsia" w:ascii="仿宋" w:hAnsi="仿宋" w:eastAsia="仿宋" w:cs="仿宋"/>
          <w:b/>
          <w:bCs/>
          <w:color w:val="auto"/>
          <w:sz w:val="24"/>
          <w:lang w:val="en-US" w:eastAsia="zh-CN"/>
        </w:rPr>
        <w:t>2</w:t>
      </w:r>
      <w:r>
        <w:rPr>
          <w:rFonts w:hint="eastAsia" w:ascii="仿宋" w:hAnsi="仿宋" w:eastAsia="仿宋" w:cs="仿宋"/>
          <w:b/>
          <w:bCs/>
          <w:color w:val="auto"/>
          <w:sz w:val="24"/>
        </w:rPr>
        <w:t>-1、法定代表人证明书</w:t>
      </w:r>
      <w:bookmarkEnd w:id="95"/>
      <w:bookmarkEnd w:id="96"/>
    </w:p>
    <w:tbl>
      <w:tblPr>
        <w:tblStyle w:val="2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699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tcPr>
          <w:p w14:paraId="02428D9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 xml:space="preserve">致：    （采购人）     </w:t>
            </w:r>
          </w:p>
        </w:tc>
      </w:tr>
      <w:tr w14:paraId="6835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358D5441">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项目名称</w:t>
            </w:r>
          </w:p>
        </w:tc>
        <w:tc>
          <w:tcPr>
            <w:tcW w:w="7883" w:type="dxa"/>
            <w:gridSpan w:val="5"/>
          </w:tcPr>
          <w:p w14:paraId="64C05635">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3507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Align w:val="center"/>
          </w:tcPr>
          <w:p w14:paraId="154A2FEB">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文件编号</w:t>
            </w:r>
          </w:p>
        </w:tc>
        <w:tc>
          <w:tcPr>
            <w:tcW w:w="7883" w:type="dxa"/>
            <w:gridSpan w:val="5"/>
          </w:tcPr>
          <w:p w14:paraId="260E9E4E">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6903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vAlign w:val="center"/>
          </w:tcPr>
          <w:p w14:paraId="74ECD488">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权   限</w:t>
            </w:r>
          </w:p>
        </w:tc>
        <w:tc>
          <w:tcPr>
            <w:tcW w:w="7883" w:type="dxa"/>
            <w:gridSpan w:val="5"/>
            <w:vAlign w:val="center"/>
          </w:tcPr>
          <w:p w14:paraId="38EB60F4">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办理本次采购项目的磋商、联系、洽谈、签约、执行等具体事务，签署全部有关文件、文书、协议及合同。</w:t>
            </w:r>
          </w:p>
        </w:tc>
      </w:tr>
      <w:tr w14:paraId="56E0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339F832B">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企业</w:t>
            </w:r>
          </w:p>
          <w:p w14:paraId="272C13C4">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信息</w:t>
            </w:r>
          </w:p>
        </w:tc>
        <w:tc>
          <w:tcPr>
            <w:tcW w:w="2281" w:type="dxa"/>
          </w:tcPr>
          <w:p w14:paraId="28D2A5BC">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 xml:space="preserve">企 业 名 称 </w:t>
            </w:r>
          </w:p>
        </w:tc>
        <w:tc>
          <w:tcPr>
            <w:tcW w:w="5602" w:type="dxa"/>
            <w:gridSpan w:val="4"/>
          </w:tcPr>
          <w:p w14:paraId="7D4A285A">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3E82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0FABA05">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7817C31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法 定 地 址</w:t>
            </w:r>
          </w:p>
        </w:tc>
        <w:tc>
          <w:tcPr>
            <w:tcW w:w="5602" w:type="dxa"/>
            <w:gridSpan w:val="4"/>
          </w:tcPr>
          <w:p w14:paraId="13792C36">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7634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099332A4">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1D52C6E0">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统一社会信用代码</w:t>
            </w:r>
          </w:p>
        </w:tc>
        <w:tc>
          <w:tcPr>
            <w:tcW w:w="5602" w:type="dxa"/>
            <w:gridSpan w:val="4"/>
          </w:tcPr>
          <w:p w14:paraId="57F00614">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78EC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66B691E4">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381B8556">
            <w:pPr>
              <w:tabs>
                <w:tab w:val="right" w:leader="dot" w:pos="9022"/>
              </w:tabs>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工商登记机关</w:t>
            </w:r>
          </w:p>
        </w:tc>
        <w:tc>
          <w:tcPr>
            <w:tcW w:w="5602" w:type="dxa"/>
            <w:gridSpan w:val="4"/>
          </w:tcPr>
          <w:p w14:paraId="131689E8">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644B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6EF31674">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39F5AA9D">
            <w:pPr>
              <w:tabs>
                <w:tab w:val="right" w:leader="dot" w:pos="9022"/>
              </w:tabs>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网    址</w:t>
            </w:r>
          </w:p>
        </w:tc>
        <w:tc>
          <w:tcPr>
            <w:tcW w:w="5602" w:type="dxa"/>
            <w:gridSpan w:val="4"/>
          </w:tcPr>
          <w:p w14:paraId="22481441">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7A6C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vAlign w:val="center"/>
          </w:tcPr>
          <w:p w14:paraId="727B96CA">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法定代</w:t>
            </w:r>
          </w:p>
          <w:p w14:paraId="27364BA6">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表人</w:t>
            </w:r>
          </w:p>
        </w:tc>
        <w:tc>
          <w:tcPr>
            <w:tcW w:w="2281" w:type="dxa"/>
          </w:tcPr>
          <w:p w14:paraId="78499F34">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姓    名</w:t>
            </w:r>
          </w:p>
        </w:tc>
        <w:tc>
          <w:tcPr>
            <w:tcW w:w="1814" w:type="dxa"/>
            <w:gridSpan w:val="2"/>
          </w:tcPr>
          <w:p w14:paraId="637BC2D3">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34" w:type="dxa"/>
          </w:tcPr>
          <w:p w14:paraId="1A708555">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性    别</w:t>
            </w:r>
          </w:p>
        </w:tc>
        <w:tc>
          <w:tcPr>
            <w:tcW w:w="2554" w:type="dxa"/>
          </w:tcPr>
          <w:p w14:paraId="20C991CB">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730B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3086C5A7">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147CA22A">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职    务</w:t>
            </w:r>
          </w:p>
        </w:tc>
        <w:tc>
          <w:tcPr>
            <w:tcW w:w="1814" w:type="dxa"/>
            <w:gridSpan w:val="2"/>
          </w:tcPr>
          <w:p w14:paraId="67434A1C">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34" w:type="dxa"/>
          </w:tcPr>
          <w:p w14:paraId="76011D28">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联系电话</w:t>
            </w:r>
          </w:p>
        </w:tc>
        <w:tc>
          <w:tcPr>
            <w:tcW w:w="2554" w:type="dxa"/>
          </w:tcPr>
          <w:p w14:paraId="30E665A2">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058B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5DC7AA62">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6CE21DE5">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传    真</w:t>
            </w:r>
          </w:p>
        </w:tc>
        <w:tc>
          <w:tcPr>
            <w:tcW w:w="5602" w:type="dxa"/>
            <w:gridSpan w:val="4"/>
          </w:tcPr>
          <w:p w14:paraId="3D04943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1926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vAlign w:val="center"/>
          </w:tcPr>
          <w:p w14:paraId="2D6CF195">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2281" w:type="dxa"/>
          </w:tcPr>
          <w:p w14:paraId="03AA97CA">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通讯地址</w:t>
            </w:r>
          </w:p>
        </w:tc>
        <w:tc>
          <w:tcPr>
            <w:tcW w:w="5602" w:type="dxa"/>
            <w:gridSpan w:val="4"/>
          </w:tcPr>
          <w:p w14:paraId="267A153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3BDC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tcPr>
          <w:p w14:paraId="2A421CF5">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p w14:paraId="26A683F7">
            <w:pPr>
              <w:tabs>
                <w:tab w:val="right" w:leader="dot" w:pos="9022"/>
              </w:tabs>
              <w:autoSpaceDE w:val="0"/>
              <w:autoSpaceDN w:val="0"/>
              <w:adjustRightInd w:val="0"/>
              <w:spacing w:line="360" w:lineRule="auto"/>
              <w:jc w:val="center"/>
              <w:rPr>
                <w:rFonts w:hint="eastAsia" w:ascii="仿宋" w:hAnsi="仿宋" w:eastAsia="仿宋" w:cs="仿宋"/>
                <w:color w:val="auto"/>
                <w:spacing w:val="-4"/>
                <w:sz w:val="24"/>
              </w:rPr>
            </w:pPr>
          </w:p>
          <w:p w14:paraId="5B172532">
            <w:pPr>
              <w:tabs>
                <w:tab w:val="right" w:leader="dot" w:pos="9022"/>
              </w:tabs>
              <w:autoSpaceDE w:val="0"/>
              <w:autoSpaceDN w:val="0"/>
              <w:adjustRightInd w:val="0"/>
              <w:spacing w:line="360" w:lineRule="auto"/>
              <w:jc w:val="center"/>
              <w:rPr>
                <w:rFonts w:hint="eastAsia" w:ascii="仿宋" w:hAnsi="仿宋" w:eastAsia="仿宋" w:cs="仿宋"/>
                <w:color w:val="auto"/>
                <w:spacing w:val="-4"/>
                <w:sz w:val="24"/>
              </w:rPr>
            </w:pPr>
          </w:p>
          <w:p w14:paraId="2D364E87">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color w:val="auto"/>
                <w:spacing w:val="-4"/>
                <w:sz w:val="24"/>
              </w:rPr>
              <w:t>法定代表人二代身份证正面复印件或扫描件</w:t>
            </w:r>
          </w:p>
          <w:p w14:paraId="282D9088">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p w14:paraId="0A6E5C36">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4627" w:type="dxa"/>
            <w:gridSpan w:val="3"/>
          </w:tcPr>
          <w:p w14:paraId="37B9F03B">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p w14:paraId="4E96227C">
            <w:pPr>
              <w:tabs>
                <w:tab w:val="right" w:leader="dot" w:pos="9022"/>
              </w:tabs>
              <w:autoSpaceDE w:val="0"/>
              <w:autoSpaceDN w:val="0"/>
              <w:adjustRightInd w:val="0"/>
              <w:spacing w:line="360" w:lineRule="auto"/>
              <w:jc w:val="center"/>
              <w:rPr>
                <w:rFonts w:hint="eastAsia" w:ascii="仿宋" w:hAnsi="仿宋" w:eastAsia="仿宋" w:cs="仿宋"/>
                <w:color w:val="auto"/>
                <w:spacing w:val="-4"/>
                <w:sz w:val="24"/>
              </w:rPr>
            </w:pPr>
          </w:p>
          <w:p w14:paraId="2A0EDDA2">
            <w:pPr>
              <w:tabs>
                <w:tab w:val="right" w:leader="dot" w:pos="9022"/>
              </w:tabs>
              <w:autoSpaceDE w:val="0"/>
              <w:autoSpaceDN w:val="0"/>
              <w:adjustRightInd w:val="0"/>
              <w:spacing w:line="360" w:lineRule="auto"/>
              <w:jc w:val="center"/>
              <w:rPr>
                <w:rFonts w:hint="eastAsia" w:ascii="仿宋" w:hAnsi="仿宋" w:eastAsia="仿宋" w:cs="仿宋"/>
                <w:color w:val="auto"/>
                <w:spacing w:val="-4"/>
                <w:sz w:val="24"/>
              </w:rPr>
            </w:pPr>
          </w:p>
          <w:p w14:paraId="7F536EE1">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color w:val="auto"/>
                <w:spacing w:val="-4"/>
                <w:sz w:val="24"/>
              </w:rPr>
              <w:t>法定代表人二代身份证反面复印件或扫描件</w:t>
            </w:r>
          </w:p>
          <w:p w14:paraId="6EEE8A91">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r>
      <w:tr w14:paraId="469B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tcPr>
          <w:p w14:paraId="48B3F417">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法定代表人签字</w:t>
            </w:r>
            <w:r>
              <w:rPr>
                <w:rFonts w:hint="eastAsia" w:ascii="仿宋" w:hAnsi="仿宋" w:eastAsia="仿宋" w:cs="仿宋"/>
                <w:bCs/>
                <w:caps/>
                <w:color w:val="auto"/>
                <w:sz w:val="24"/>
                <w:lang w:val="en-US" w:eastAsia="zh-CN"/>
              </w:rPr>
              <w:t>或</w:t>
            </w:r>
            <w:r>
              <w:rPr>
                <w:rFonts w:hint="eastAsia" w:ascii="仿宋" w:hAnsi="仿宋" w:eastAsia="仿宋" w:cs="仿宋"/>
                <w:bCs/>
                <w:caps/>
                <w:color w:val="auto"/>
                <w:sz w:val="24"/>
              </w:rPr>
              <w:t>盖章：</w:t>
            </w:r>
          </w:p>
        </w:tc>
      </w:tr>
    </w:tbl>
    <w:p w14:paraId="6EB22D59">
      <w:pPr>
        <w:spacing w:line="360" w:lineRule="auto"/>
        <w:rPr>
          <w:rFonts w:hint="eastAsia" w:ascii="仿宋" w:hAnsi="仿宋" w:eastAsia="仿宋" w:cs="仿宋"/>
          <w:color w:val="auto"/>
          <w:sz w:val="24"/>
        </w:rPr>
      </w:pPr>
    </w:p>
    <w:p w14:paraId="12CF20D3">
      <w:pPr>
        <w:spacing w:line="360" w:lineRule="auto"/>
        <w:rPr>
          <w:rFonts w:hint="eastAsia" w:ascii="仿宋" w:hAnsi="仿宋" w:eastAsia="仿宋" w:cs="仿宋"/>
          <w:color w:val="auto"/>
          <w:sz w:val="24"/>
        </w:rPr>
      </w:pPr>
      <w:r>
        <w:rPr>
          <w:rFonts w:hint="eastAsia" w:ascii="仿宋" w:hAnsi="仿宋" w:eastAsia="仿宋" w:cs="仿宋"/>
          <w:color w:val="auto"/>
          <w:sz w:val="24"/>
        </w:rPr>
        <w:t>供应商名称：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（供应商单位公章） </w:t>
      </w:r>
    </w:p>
    <w:p w14:paraId="2026F147">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日 期：  </w:t>
      </w:r>
    </w:p>
    <w:p w14:paraId="0B6D7D48">
      <w:pPr>
        <w:spacing w:line="360" w:lineRule="auto"/>
        <w:jc w:val="center"/>
        <w:outlineLvl w:val="2"/>
        <w:rPr>
          <w:rFonts w:hint="eastAsia" w:ascii="仿宋" w:hAnsi="仿宋" w:eastAsia="仿宋" w:cs="仿宋"/>
          <w:b/>
          <w:bCs/>
          <w:color w:val="auto"/>
          <w:sz w:val="24"/>
        </w:rPr>
      </w:pPr>
      <w:r>
        <w:rPr>
          <w:rFonts w:hint="eastAsia" w:ascii="仿宋" w:hAnsi="仿宋" w:eastAsia="仿宋" w:cs="仿宋"/>
          <w:b/>
          <w:bCs/>
          <w:color w:val="auto"/>
          <w:sz w:val="24"/>
        </w:rPr>
        <w:br w:type="page"/>
      </w:r>
      <w:bookmarkStart w:id="97" w:name="_Toc12768"/>
      <w:bookmarkStart w:id="98" w:name="_Toc31873"/>
      <w:r>
        <w:rPr>
          <w:rFonts w:hint="eastAsia" w:ascii="仿宋" w:hAnsi="仿宋" w:eastAsia="仿宋" w:cs="仿宋"/>
          <w:b/>
          <w:bCs/>
          <w:color w:val="auto"/>
          <w:sz w:val="24"/>
          <w:lang w:val="en-US" w:eastAsia="zh-CN"/>
        </w:rPr>
        <w:t>2</w:t>
      </w:r>
      <w:r>
        <w:rPr>
          <w:rFonts w:hint="eastAsia" w:ascii="仿宋" w:hAnsi="仿宋" w:eastAsia="仿宋" w:cs="仿宋"/>
          <w:b/>
          <w:bCs/>
          <w:color w:val="auto"/>
          <w:sz w:val="24"/>
        </w:rPr>
        <w:t>-2、法定代表人授权书</w:t>
      </w:r>
      <w:bookmarkEnd w:id="97"/>
      <w:bookmarkEnd w:id="9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152F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tcPr>
          <w:p w14:paraId="0446972C">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 xml:space="preserve">致：     （采购人）     </w:t>
            </w:r>
          </w:p>
        </w:tc>
      </w:tr>
      <w:tr w14:paraId="0B9C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6D7CC69A">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被授</w:t>
            </w:r>
          </w:p>
          <w:p w14:paraId="1261783B">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权项</w:t>
            </w:r>
          </w:p>
          <w:p w14:paraId="4175ED82">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目与</w:t>
            </w:r>
          </w:p>
          <w:p w14:paraId="2A8368ED">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内容</w:t>
            </w:r>
          </w:p>
        </w:tc>
        <w:tc>
          <w:tcPr>
            <w:tcW w:w="1244" w:type="dxa"/>
          </w:tcPr>
          <w:p w14:paraId="2395BCFB">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项目名称</w:t>
            </w:r>
          </w:p>
        </w:tc>
        <w:tc>
          <w:tcPr>
            <w:tcW w:w="6553" w:type="dxa"/>
            <w:gridSpan w:val="5"/>
          </w:tcPr>
          <w:p w14:paraId="3E2BCFD0">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4FC1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C1D8188">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44" w:type="dxa"/>
          </w:tcPr>
          <w:p w14:paraId="15BF04B9">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文件编号</w:t>
            </w:r>
          </w:p>
        </w:tc>
        <w:tc>
          <w:tcPr>
            <w:tcW w:w="6553" w:type="dxa"/>
            <w:gridSpan w:val="5"/>
          </w:tcPr>
          <w:p w14:paraId="36F04AB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3996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tcPr>
          <w:p w14:paraId="4BBF9022">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44" w:type="dxa"/>
            <w:vAlign w:val="center"/>
          </w:tcPr>
          <w:p w14:paraId="0BDDB657">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授权范围</w:t>
            </w:r>
          </w:p>
        </w:tc>
        <w:tc>
          <w:tcPr>
            <w:tcW w:w="6553" w:type="dxa"/>
            <w:gridSpan w:val="5"/>
          </w:tcPr>
          <w:p w14:paraId="604440B7">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全权办理本次采购项目的磋商、联系、洽谈、签约、执行等具体事务，签署全部有关文件、文书、协议及合同。</w:t>
            </w:r>
          </w:p>
        </w:tc>
      </w:tr>
      <w:tr w14:paraId="5B9F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7690A664">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44" w:type="dxa"/>
          </w:tcPr>
          <w:p w14:paraId="57A28CF2">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法律责任</w:t>
            </w:r>
          </w:p>
        </w:tc>
        <w:tc>
          <w:tcPr>
            <w:tcW w:w="6553" w:type="dxa"/>
            <w:gridSpan w:val="5"/>
          </w:tcPr>
          <w:p w14:paraId="750D5E70">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本公司对被授权人在本项目中的签名承担全部法律责任。</w:t>
            </w:r>
          </w:p>
        </w:tc>
      </w:tr>
      <w:tr w14:paraId="6054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17257A96">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44" w:type="dxa"/>
            <w:vAlign w:val="center"/>
          </w:tcPr>
          <w:p w14:paraId="607C36C5">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授权期限</w:t>
            </w:r>
          </w:p>
        </w:tc>
        <w:tc>
          <w:tcPr>
            <w:tcW w:w="6553" w:type="dxa"/>
            <w:gridSpan w:val="5"/>
            <w:vAlign w:val="center"/>
          </w:tcPr>
          <w:p w14:paraId="72A12401">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本授权书自提交磋商响应文件的截止之日起</w:t>
            </w:r>
            <w:r>
              <w:rPr>
                <w:rFonts w:hint="eastAsia" w:ascii="仿宋" w:hAnsi="仿宋" w:eastAsia="仿宋" w:cs="仿宋"/>
                <w:bCs/>
                <w:caps/>
                <w:color w:val="auto"/>
                <w:sz w:val="24"/>
                <w:u w:val="single"/>
              </w:rPr>
              <w:t xml:space="preserve">    </w:t>
            </w:r>
            <w:r>
              <w:rPr>
                <w:rFonts w:hint="eastAsia" w:ascii="仿宋" w:hAnsi="仿宋" w:eastAsia="仿宋" w:cs="仿宋"/>
                <w:bCs/>
                <w:caps/>
                <w:color w:val="auto"/>
                <w:sz w:val="24"/>
              </w:rPr>
              <w:t>个日历日</w:t>
            </w:r>
          </w:p>
        </w:tc>
      </w:tr>
      <w:tr w14:paraId="3EE2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37FB98DF">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企业信息</w:t>
            </w:r>
          </w:p>
        </w:tc>
        <w:tc>
          <w:tcPr>
            <w:tcW w:w="2285" w:type="dxa"/>
            <w:gridSpan w:val="2"/>
          </w:tcPr>
          <w:p w14:paraId="4A9E4BD7">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 xml:space="preserve">企 业 名 称 </w:t>
            </w:r>
          </w:p>
        </w:tc>
        <w:tc>
          <w:tcPr>
            <w:tcW w:w="5512" w:type="dxa"/>
            <w:gridSpan w:val="4"/>
            <w:vAlign w:val="center"/>
          </w:tcPr>
          <w:p w14:paraId="4C435611">
            <w:pPr>
              <w:tabs>
                <w:tab w:val="right" w:leader="dot" w:pos="9022"/>
              </w:tabs>
              <w:autoSpaceDE w:val="0"/>
              <w:autoSpaceDN w:val="0"/>
              <w:adjustRightInd w:val="0"/>
              <w:spacing w:line="360" w:lineRule="auto"/>
              <w:rPr>
                <w:rFonts w:hint="eastAsia" w:ascii="仿宋" w:hAnsi="仿宋" w:eastAsia="仿宋" w:cs="仿宋"/>
                <w:bCs/>
                <w:caps/>
                <w:color w:val="auto"/>
                <w:sz w:val="24"/>
              </w:rPr>
            </w:pPr>
          </w:p>
        </w:tc>
      </w:tr>
      <w:tr w14:paraId="1C16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1F3D74F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2285" w:type="dxa"/>
            <w:gridSpan w:val="2"/>
          </w:tcPr>
          <w:p w14:paraId="26607A7D">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法 定 地 址</w:t>
            </w:r>
          </w:p>
        </w:tc>
        <w:tc>
          <w:tcPr>
            <w:tcW w:w="5512" w:type="dxa"/>
            <w:gridSpan w:val="4"/>
            <w:vAlign w:val="center"/>
          </w:tcPr>
          <w:p w14:paraId="448AF1FD">
            <w:pPr>
              <w:tabs>
                <w:tab w:val="right" w:leader="dot" w:pos="9022"/>
              </w:tabs>
              <w:autoSpaceDE w:val="0"/>
              <w:autoSpaceDN w:val="0"/>
              <w:adjustRightInd w:val="0"/>
              <w:spacing w:line="360" w:lineRule="auto"/>
              <w:rPr>
                <w:rFonts w:hint="eastAsia" w:ascii="仿宋" w:hAnsi="仿宋" w:eastAsia="仿宋" w:cs="仿宋"/>
                <w:bCs/>
                <w:caps/>
                <w:color w:val="auto"/>
                <w:sz w:val="24"/>
              </w:rPr>
            </w:pPr>
          </w:p>
        </w:tc>
      </w:tr>
      <w:tr w14:paraId="51D0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524C89F3">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2285" w:type="dxa"/>
            <w:gridSpan w:val="2"/>
          </w:tcPr>
          <w:p w14:paraId="7AFCA080">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统一社会信用代码</w:t>
            </w:r>
          </w:p>
        </w:tc>
        <w:tc>
          <w:tcPr>
            <w:tcW w:w="5512" w:type="dxa"/>
            <w:gridSpan w:val="4"/>
            <w:vAlign w:val="center"/>
          </w:tcPr>
          <w:p w14:paraId="5301DC79">
            <w:pPr>
              <w:tabs>
                <w:tab w:val="right" w:leader="dot" w:pos="9022"/>
              </w:tabs>
              <w:autoSpaceDE w:val="0"/>
              <w:autoSpaceDN w:val="0"/>
              <w:adjustRightInd w:val="0"/>
              <w:spacing w:line="360" w:lineRule="auto"/>
              <w:rPr>
                <w:rFonts w:hint="eastAsia" w:ascii="仿宋" w:hAnsi="仿宋" w:eastAsia="仿宋" w:cs="仿宋"/>
                <w:bCs/>
                <w:caps/>
                <w:color w:val="auto"/>
                <w:sz w:val="24"/>
              </w:rPr>
            </w:pPr>
          </w:p>
        </w:tc>
      </w:tr>
      <w:tr w14:paraId="46F2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4CE1D158">
            <w:pPr>
              <w:tabs>
                <w:tab w:val="right" w:leader="dot" w:pos="9022"/>
              </w:tabs>
              <w:autoSpaceDE w:val="0"/>
              <w:autoSpaceDN w:val="0"/>
              <w:adjustRightIn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法定代表人</w:t>
            </w:r>
          </w:p>
        </w:tc>
        <w:tc>
          <w:tcPr>
            <w:tcW w:w="1244" w:type="dxa"/>
            <w:vAlign w:val="center"/>
          </w:tcPr>
          <w:p w14:paraId="1CB4BE69">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姓名</w:t>
            </w:r>
          </w:p>
        </w:tc>
        <w:tc>
          <w:tcPr>
            <w:tcW w:w="2472" w:type="dxa"/>
            <w:gridSpan w:val="3"/>
            <w:vAlign w:val="center"/>
          </w:tcPr>
          <w:p w14:paraId="3D516783">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1432" w:type="dxa"/>
            <w:vAlign w:val="center"/>
          </w:tcPr>
          <w:p w14:paraId="4CE1828C">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性    别</w:t>
            </w:r>
          </w:p>
        </w:tc>
        <w:tc>
          <w:tcPr>
            <w:tcW w:w="2649" w:type="dxa"/>
            <w:vAlign w:val="center"/>
          </w:tcPr>
          <w:p w14:paraId="67B61273">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r>
      <w:tr w14:paraId="258D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vAlign w:val="center"/>
          </w:tcPr>
          <w:p w14:paraId="1B8B28F4">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44" w:type="dxa"/>
            <w:vAlign w:val="center"/>
          </w:tcPr>
          <w:p w14:paraId="177E7835">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职务</w:t>
            </w:r>
          </w:p>
        </w:tc>
        <w:tc>
          <w:tcPr>
            <w:tcW w:w="2472" w:type="dxa"/>
            <w:gridSpan w:val="3"/>
            <w:vAlign w:val="center"/>
          </w:tcPr>
          <w:p w14:paraId="790098E9">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1432" w:type="dxa"/>
            <w:vAlign w:val="center"/>
          </w:tcPr>
          <w:p w14:paraId="304BA837">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手机号码</w:t>
            </w:r>
          </w:p>
        </w:tc>
        <w:tc>
          <w:tcPr>
            <w:tcW w:w="2649" w:type="dxa"/>
            <w:vAlign w:val="center"/>
          </w:tcPr>
          <w:p w14:paraId="124D2B6F">
            <w:pPr>
              <w:tabs>
                <w:tab w:val="right" w:leader="dot" w:pos="9022"/>
              </w:tabs>
              <w:autoSpaceDE w:val="0"/>
              <w:autoSpaceDN w:val="0"/>
              <w:adjustRightInd w:val="0"/>
              <w:spacing w:line="360" w:lineRule="auto"/>
              <w:rPr>
                <w:rFonts w:hint="eastAsia" w:ascii="仿宋" w:hAnsi="仿宋" w:eastAsia="仿宋" w:cs="仿宋"/>
                <w:bCs/>
                <w:caps/>
                <w:color w:val="auto"/>
                <w:sz w:val="24"/>
              </w:rPr>
            </w:pPr>
          </w:p>
        </w:tc>
      </w:tr>
      <w:tr w14:paraId="6644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vAlign w:val="center"/>
          </w:tcPr>
          <w:p w14:paraId="4624946A">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被授权人</w:t>
            </w:r>
          </w:p>
        </w:tc>
        <w:tc>
          <w:tcPr>
            <w:tcW w:w="1244" w:type="dxa"/>
            <w:vAlign w:val="center"/>
          </w:tcPr>
          <w:p w14:paraId="5ACD55A3">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姓名</w:t>
            </w:r>
          </w:p>
        </w:tc>
        <w:tc>
          <w:tcPr>
            <w:tcW w:w="2472" w:type="dxa"/>
            <w:gridSpan w:val="3"/>
            <w:vAlign w:val="center"/>
          </w:tcPr>
          <w:p w14:paraId="12E6934A">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1432" w:type="dxa"/>
            <w:vAlign w:val="center"/>
          </w:tcPr>
          <w:p w14:paraId="5ADB4036">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性    别</w:t>
            </w:r>
          </w:p>
        </w:tc>
        <w:tc>
          <w:tcPr>
            <w:tcW w:w="2649" w:type="dxa"/>
            <w:vAlign w:val="center"/>
          </w:tcPr>
          <w:p w14:paraId="2AE8B307">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r>
      <w:tr w14:paraId="48C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tcPr>
          <w:p w14:paraId="65A17746">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1244" w:type="dxa"/>
            <w:vAlign w:val="center"/>
          </w:tcPr>
          <w:p w14:paraId="2CE1B1BB">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职务</w:t>
            </w:r>
          </w:p>
        </w:tc>
        <w:tc>
          <w:tcPr>
            <w:tcW w:w="2472" w:type="dxa"/>
            <w:gridSpan w:val="3"/>
            <w:vAlign w:val="center"/>
          </w:tcPr>
          <w:p w14:paraId="35960459">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1432" w:type="dxa"/>
            <w:vAlign w:val="center"/>
          </w:tcPr>
          <w:p w14:paraId="20EBBE93">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bCs/>
                <w:caps/>
                <w:color w:val="auto"/>
                <w:sz w:val="24"/>
              </w:rPr>
              <w:t>手机号码</w:t>
            </w:r>
          </w:p>
        </w:tc>
        <w:tc>
          <w:tcPr>
            <w:tcW w:w="2649" w:type="dxa"/>
          </w:tcPr>
          <w:p w14:paraId="1D03865C">
            <w:pPr>
              <w:tabs>
                <w:tab w:val="right" w:leader="dot" w:pos="9022"/>
              </w:tabs>
              <w:autoSpaceDE w:val="0"/>
              <w:autoSpaceDN w:val="0"/>
              <w:adjustRightInd w:val="0"/>
              <w:spacing w:line="360" w:lineRule="auto"/>
              <w:rPr>
                <w:rFonts w:hint="eastAsia" w:ascii="仿宋" w:hAnsi="仿宋" w:eastAsia="仿宋" w:cs="仿宋"/>
                <w:bCs/>
                <w:caps/>
                <w:color w:val="auto"/>
                <w:sz w:val="24"/>
              </w:rPr>
            </w:pPr>
          </w:p>
        </w:tc>
      </w:tr>
      <w:tr w14:paraId="1DB7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tcPr>
          <w:p w14:paraId="7898A50C">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通讯地址</w:t>
            </w:r>
          </w:p>
        </w:tc>
        <w:tc>
          <w:tcPr>
            <w:tcW w:w="7797" w:type="dxa"/>
            <w:gridSpan w:val="6"/>
          </w:tcPr>
          <w:p w14:paraId="5AB7A00D">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641B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tcPr>
          <w:p w14:paraId="23505C30">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p w14:paraId="15779C50">
            <w:pPr>
              <w:tabs>
                <w:tab w:val="right" w:leader="dot" w:pos="9022"/>
              </w:tabs>
              <w:autoSpaceDE w:val="0"/>
              <w:autoSpaceDN w:val="0"/>
              <w:adjustRightInd w:val="0"/>
              <w:spacing w:line="360" w:lineRule="auto"/>
              <w:jc w:val="center"/>
              <w:rPr>
                <w:rFonts w:hint="eastAsia" w:ascii="仿宋" w:hAnsi="仿宋" w:eastAsia="仿宋" w:cs="仿宋"/>
                <w:color w:val="auto"/>
                <w:spacing w:val="-4"/>
                <w:sz w:val="24"/>
              </w:rPr>
            </w:pPr>
          </w:p>
          <w:p w14:paraId="2E75B9BE">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color w:val="auto"/>
                <w:spacing w:val="-4"/>
                <w:sz w:val="24"/>
              </w:rPr>
              <w:t>法定代表人二代身份证正面复印件或扫描件</w:t>
            </w:r>
          </w:p>
          <w:p w14:paraId="62C4F351">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p w14:paraId="7B3C410B">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c>
          <w:tcPr>
            <w:tcW w:w="4712" w:type="dxa"/>
            <w:gridSpan w:val="3"/>
          </w:tcPr>
          <w:p w14:paraId="238FB081">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p w14:paraId="6AF481F4">
            <w:pPr>
              <w:tabs>
                <w:tab w:val="right" w:leader="dot" w:pos="9022"/>
              </w:tabs>
              <w:autoSpaceDE w:val="0"/>
              <w:autoSpaceDN w:val="0"/>
              <w:adjustRightInd w:val="0"/>
              <w:spacing w:line="360" w:lineRule="auto"/>
              <w:jc w:val="center"/>
              <w:rPr>
                <w:rFonts w:hint="eastAsia" w:ascii="仿宋" w:hAnsi="仿宋" w:eastAsia="仿宋" w:cs="仿宋"/>
                <w:color w:val="auto"/>
                <w:spacing w:val="-4"/>
                <w:sz w:val="24"/>
              </w:rPr>
            </w:pPr>
          </w:p>
          <w:p w14:paraId="78A2A19C">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color w:val="auto"/>
                <w:spacing w:val="-4"/>
                <w:sz w:val="24"/>
              </w:rPr>
              <w:t>法定代表人二代身份证反面复印件或扫描件</w:t>
            </w:r>
          </w:p>
          <w:p w14:paraId="06A2EC2E">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p>
        </w:tc>
      </w:tr>
      <w:tr w14:paraId="581D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vAlign w:val="center"/>
          </w:tcPr>
          <w:p w14:paraId="21172F7F">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color w:val="auto"/>
                <w:spacing w:val="-4"/>
                <w:sz w:val="24"/>
              </w:rPr>
              <w:t>被授权人二代身份证正面复印件或扫描件</w:t>
            </w:r>
          </w:p>
          <w:p w14:paraId="1B7A230F">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c>
          <w:tcPr>
            <w:tcW w:w="4712" w:type="dxa"/>
            <w:gridSpan w:val="3"/>
            <w:vAlign w:val="center"/>
          </w:tcPr>
          <w:p w14:paraId="3D0E925B">
            <w:pPr>
              <w:tabs>
                <w:tab w:val="right" w:leader="dot" w:pos="9022"/>
              </w:tabs>
              <w:autoSpaceDE w:val="0"/>
              <w:autoSpaceDN w:val="0"/>
              <w:adjustRightInd w:val="0"/>
              <w:spacing w:line="360" w:lineRule="auto"/>
              <w:jc w:val="center"/>
              <w:rPr>
                <w:rFonts w:hint="eastAsia" w:ascii="仿宋" w:hAnsi="仿宋" w:eastAsia="仿宋" w:cs="仿宋"/>
                <w:bCs/>
                <w:caps/>
                <w:color w:val="auto"/>
                <w:sz w:val="24"/>
              </w:rPr>
            </w:pPr>
            <w:r>
              <w:rPr>
                <w:rFonts w:hint="eastAsia" w:ascii="仿宋" w:hAnsi="仿宋" w:eastAsia="仿宋" w:cs="仿宋"/>
                <w:color w:val="auto"/>
                <w:spacing w:val="-4"/>
                <w:sz w:val="24"/>
              </w:rPr>
              <w:t>被授权人二代身份证反面复印件或扫描件</w:t>
            </w:r>
          </w:p>
          <w:p w14:paraId="67A7104F">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p>
        </w:tc>
      </w:tr>
      <w:tr w14:paraId="6721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vAlign w:val="center"/>
          </w:tcPr>
          <w:p w14:paraId="48F564D6">
            <w:pPr>
              <w:tabs>
                <w:tab w:val="right" w:leader="dot" w:pos="9022"/>
              </w:tabs>
              <w:autoSpaceDE w:val="0"/>
              <w:autoSpaceDN w:val="0"/>
              <w:adjustRightInd w:val="0"/>
              <w:spacing w:line="360" w:lineRule="auto"/>
              <w:jc w:val="left"/>
              <w:rPr>
                <w:rFonts w:hint="eastAsia" w:ascii="仿宋" w:hAnsi="仿宋" w:eastAsia="仿宋" w:cs="仿宋"/>
                <w:bCs/>
                <w:caps/>
                <w:color w:val="auto"/>
                <w:sz w:val="24"/>
              </w:rPr>
            </w:pPr>
            <w:r>
              <w:rPr>
                <w:rFonts w:hint="eastAsia" w:ascii="仿宋" w:hAnsi="仿宋" w:eastAsia="仿宋" w:cs="仿宋"/>
                <w:bCs/>
                <w:caps/>
                <w:color w:val="auto"/>
                <w:sz w:val="24"/>
              </w:rPr>
              <w:t>法定代表人及被授权人签字：</w:t>
            </w:r>
          </w:p>
        </w:tc>
      </w:tr>
    </w:tbl>
    <w:p w14:paraId="3B4BCD1C">
      <w:pPr>
        <w:autoSpaceDE w:val="0"/>
        <w:autoSpaceDN w:val="0"/>
        <w:adjustRightInd w:val="0"/>
        <w:snapToGrid w:val="0"/>
        <w:spacing w:line="360" w:lineRule="auto"/>
        <w:rPr>
          <w:rFonts w:hint="eastAsia" w:ascii="仿宋" w:hAnsi="仿宋" w:eastAsia="仿宋" w:cs="仿宋"/>
          <w:bCs/>
          <w:caps/>
          <w:color w:val="auto"/>
          <w:sz w:val="24"/>
        </w:rPr>
      </w:pPr>
      <w:r>
        <w:rPr>
          <w:rFonts w:hint="eastAsia" w:ascii="仿宋" w:hAnsi="仿宋" w:eastAsia="仿宋" w:cs="仿宋"/>
          <w:bCs/>
          <w:caps/>
          <w:color w:val="auto"/>
          <w:sz w:val="24"/>
        </w:rPr>
        <w:t>供应商名称：</w:t>
      </w:r>
      <w:r>
        <w:rPr>
          <w:rFonts w:hint="eastAsia" w:ascii="仿宋" w:hAnsi="仿宋" w:eastAsia="仿宋" w:cs="仿宋"/>
          <w:bCs/>
          <w:caps/>
          <w:color w:val="auto"/>
          <w:sz w:val="24"/>
          <w:u w:val="single"/>
        </w:rPr>
        <w:t xml:space="preserve">             </w:t>
      </w:r>
      <w:r>
        <w:rPr>
          <w:rFonts w:hint="eastAsia" w:ascii="仿宋" w:hAnsi="仿宋" w:eastAsia="仿宋" w:cs="仿宋"/>
          <w:bCs/>
          <w:caps/>
          <w:color w:val="auto"/>
          <w:sz w:val="24"/>
        </w:rPr>
        <w:t xml:space="preserve">（供应商单位公章） </w:t>
      </w:r>
    </w:p>
    <w:p w14:paraId="195E233E">
      <w:pPr>
        <w:autoSpaceDE w:val="0"/>
        <w:autoSpaceDN w:val="0"/>
        <w:adjustRightInd w:val="0"/>
        <w:snapToGrid w:val="0"/>
        <w:spacing w:line="360" w:lineRule="auto"/>
        <w:rPr>
          <w:rFonts w:hint="eastAsia" w:ascii="仿宋" w:hAnsi="仿宋" w:eastAsia="仿宋" w:cs="仿宋"/>
          <w:color w:val="auto"/>
        </w:rPr>
      </w:pPr>
      <w:r>
        <w:rPr>
          <w:rFonts w:hint="eastAsia" w:ascii="仿宋" w:hAnsi="仿宋" w:eastAsia="仿宋" w:cs="仿宋"/>
          <w:bCs/>
          <w:caps/>
          <w:color w:val="auto"/>
          <w:sz w:val="24"/>
        </w:rPr>
        <w:t>日 期</w:t>
      </w:r>
      <w:r>
        <w:rPr>
          <w:rFonts w:hint="eastAsia" w:ascii="仿宋" w:hAnsi="仿宋" w:eastAsia="仿宋" w:cs="仿宋"/>
          <w:bCs/>
          <w:caps/>
          <w:color w:val="auto"/>
          <w:sz w:val="28"/>
          <w:szCs w:val="28"/>
        </w:rPr>
        <w:t xml:space="preserve">：    </w:t>
      </w:r>
    </w:p>
    <w:p w14:paraId="1091A0A6">
      <w:pPr>
        <w:pStyle w:val="4"/>
        <w:bidi w:val="0"/>
        <w:spacing w:line="360" w:lineRule="auto"/>
        <w:ind w:firstLine="3213" w:firstLineChars="1000"/>
        <w:jc w:val="both"/>
        <w:rPr>
          <w:rFonts w:hint="eastAsia" w:ascii="仿宋" w:hAnsi="仿宋" w:eastAsia="仿宋" w:cs="仿宋"/>
          <w:color w:val="auto"/>
        </w:rPr>
      </w:pPr>
      <w:bookmarkStart w:id="99" w:name="_Toc28680"/>
      <w:bookmarkStart w:id="100" w:name="_Toc24912"/>
      <w:bookmarkStart w:id="101" w:name="_Toc3275"/>
      <w:bookmarkStart w:id="102" w:name="_Toc32123"/>
      <w:r>
        <w:rPr>
          <w:rFonts w:hint="eastAsia" w:ascii="仿宋" w:hAnsi="仿宋" w:eastAsia="仿宋" w:cs="仿宋"/>
          <w:color w:val="auto"/>
          <w:lang w:val="en-US" w:eastAsia="zh-CN"/>
        </w:rPr>
        <w:t>三</w:t>
      </w:r>
      <w:r>
        <w:rPr>
          <w:rFonts w:hint="eastAsia" w:ascii="仿宋" w:hAnsi="仿宋" w:eastAsia="仿宋" w:cs="仿宋"/>
          <w:color w:val="auto"/>
        </w:rPr>
        <w:t>、磋商一览表</w:t>
      </w:r>
      <w:bookmarkEnd w:id="99"/>
      <w:bookmarkEnd w:id="100"/>
      <w:bookmarkEnd w:id="101"/>
      <w:bookmarkEnd w:id="102"/>
    </w:p>
    <w:tbl>
      <w:tblPr>
        <w:tblStyle w:val="2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6704"/>
      </w:tblGrid>
      <w:tr w14:paraId="0279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CDC0C17">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项目编号</w:t>
            </w:r>
          </w:p>
        </w:tc>
        <w:tc>
          <w:tcPr>
            <w:tcW w:w="6704" w:type="dxa"/>
            <w:vAlign w:val="center"/>
          </w:tcPr>
          <w:p w14:paraId="2C0475DF">
            <w:pPr>
              <w:spacing w:line="360" w:lineRule="auto"/>
              <w:jc w:val="center"/>
              <w:rPr>
                <w:rFonts w:hint="eastAsia" w:ascii="仿宋" w:hAnsi="仿宋" w:eastAsia="仿宋" w:cs="仿宋"/>
                <w:color w:val="auto"/>
                <w:szCs w:val="21"/>
              </w:rPr>
            </w:pPr>
          </w:p>
        </w:tc>
      </w:tr>
      <w:tr w14:paraId="534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3B1404F2">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6704" w:type="dxa"/>
            <w:vAlign w:val="center"/>
          </w:tcPr>
          <w:p w14:paraId="10A32B5C">
            <w:pPr>
              <w:spacing w:line="360" w:lineRule="auto"/>
              <w:jc w:val="center"/>
              <w:rPr>
                <w:rFonts w:hint="eastAsia" w:ascii="仿宋" w:hAnsi="仿宋" w:eastAsia="仿宋" w:cs="仿宋"/>
                <w:color w:val="auto"/>
                <w:szCs w:val="21"/>
              </w:rPr>
            </w:pPr>
          </w:p>
        </w:tc>
      </w:tr>
      <w:tr w14:paraId="0E44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53254D9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总报价</w:t>
            </w:r>
          </w:p>
          <w:p w14:paraId="2543E95C">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（人民币）</w:t>
            </w:r>
          </w:p>
        </w:tc>
        <w:tc>
          <w:tcPr>
            <w:tcW w:w="6704" w:type="dxa"/>
            <w:vAlign w:val="center"/>
          </w:tcPr>
          <w:p w14:paraId="25AA3B15">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小写金额：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p>
          <w:p w14:paraId="2046B54C">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大写金额：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元。</w:t>
            </w:r>
          </w:p>
        </w:tc>
      </w:tr>
      <w:tr w14:paraId="2BDB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7B51A917">
            <w:pPr>
              <w:spacing w:line="36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服务期</w:t>
            </w:r>
          </w:p>
        </w:tc>
        <w:tc>
          <w:tcPr>
            <w:tcW w:w="6704" w:type="dxa"/>
            <w:vAlign w:val="center"/>
          </w:tcPr>
          <w:p w14:paraId="3F3A6DD6">
            <w:pPr>
              <w:spacing w:line="360" w:lineRule="auto"/>
              <w:jc w:val="center"/>
              <w:rPr>
                <w:rFonts w:hint="eastAsia" w:ascii="仿宋" w:hAnsi="仿宋" w:eastAsia="仿宋" w:cs="仿宋"/>
                <w:color w:val="auto"/>
                <w:szCs w:val="21"/>
              </w:rPr>
            </w:pPr>
          </w:p>
        </w:tc>
      </w:tr>
      <w:tr w14:paraId="1B72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27401581">
            <w:pPr>
              <w:spacing w:line="360" w:lineRule="auto"/>
              <w:jc w:val="cente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其他声明</w:t>
            </w:r>
          </w:p>
        </w:tc>
        <w:tc>
          <w:tcPr>
            <w:tcW w:w="6704" w:type="dxa"/>
            <w:vAlign w:val="center"/>
          </w:tcPr>
          <w:p w14:paraId="7B608AA4">
            <w:pPr>
              <w:spacing w:line="360" w:lineRule="auto"/>
              <w:jc w:val="center"/>
              <w:rPr>
                <w:rFonts w:hint="eastAsia" w:ascii="仿宋" w:hAnsi="仿宋" w:eastAsia="仿宋" w:cs="仿宋"/>
                <w:color w:val="auto"/>
                <w:szCs w:val="21"/>
              </w:rPr>
            </w:pPr>
          </w:p>
        </w:tc>
      </w:tr>
      <w:tr w14:paraId="1E87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044" w:type="dxa"/>
            <w:vAlign w:val="center"/>
          </w:tcPr>
          <w:p w14:paraId="0B38D075">
            <w:pPr>
              <w:spacing w:line="360" w:lineRule="auto"/>
              <w:jc w:val="center"/>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备注</w:t>
            </w:r>
          </w:p>
        </w:tc>
        <w:tc>
          <w:tcPr>
            <w:tcW w:w="6704" w:type="dxa"/>
            <w:vAlign w:val="center"/>
          </w:tcPr>
          <w:p w14:paraId="53D89FCD">
            <w:pPr>
              <w:spacing w:line="360" w:lineRule="auto"/>
              <w:jc w:val="center"/>
              <w:rPr>
                <w:rFonts w:hint="eastAsia" w:ascii="仿宋" w:hAnsi="仿宋" w:eastAsia="仿宋" w:cs="仿宋"/>
                <w:color w:val="auto"/>
                <w:szCs w:val="21"/>
              </w:rPr>
            </w:pPr>
          </w:p>
        </w:tc>
      </w:tr>
      <w:tr w14:paraId="76DD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748" w:type="dxa"/>
            <w:gridSpan w:val="2"/>
            <w:vAlign w:val="center"/>
          </w:tcPr>
          <w:p w14:paraId="64F7EEE5">
            <w:pPr>
              <w:spacing w:line="360" w:lineRule="auto"/>
              <w:jc w:val="left"/>
              <w:rPr>
                <w:rFonts w:hint="eastAsia" w:ascii="仿宋" w:hAnsi="仿宋" w:eastAsia="仿宋" w:cs="仿宋"/>
                <w:color w:val="auto"/>
                <w:szCs w:val="21"/>
                <w:highlight w:val="yellow"/>
              </w:rPr>
            </w:pPr>
            <w:r>
              <w:rPr>
                <w:rFonts w:hint="eastAsia" w:ascii="仿宋" w:hAnsi="仿宋" w:eastAsia="仿宋" w:cs="仿宋"/>
                <w:color w:val="auto"/>
              </w:rPr>
              <w:t>备注：表内报价内容以元为单位，保留小数点后两位。</w:t>
            </w:r>
          </w:p>
        </w:tc>
      </w:tr>
    </w:tbl>
    <w:p w14:paraId="7CCC18EA">
      <w:pPr>
        <w:spacing w:line="360" w:lineRule="auto"/>
        <w:rPr>
          <w:rFonts w:hint="eastAsia" w:ascii="仿宋" w:hAnsi="仿宋" w:eastAsia="仿宋" w:cs="仿宋"/>
          <w:color w:val="auto"/>
          <w:szCs w:val="21"/>
        </w:rPr>
      </w:pPr>
    </w:p>
    <w:p w14:paraId="7ACCAD86">
      <w:pPr>
        <w:snapToGrid w:val="0"/>
        <w:spacing w:beforeLines="150"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szCs w:val="21"/>
          <w:u w:val="single"/>
        </w:rPr>
        <w:t xml:space="preserve">                                      （盖章）</w:t>
      </w:r>
    </w:p>
    <w:p w14:paraId="57720173">
      <w:pPr>
        <w:spacing w:line="360" w:lineRule="auto"/>
        <w:rPr>
          <w:rFonts w:hint="eastAsia" w:ascii="仿宋" w:hAnsi="仿宋" w:eastAsia="仿宋" w:cs="仿宋"/>
          <w:color w:val="auto"/>
          <w:szCs w:val="21"/>
        </w:rPr>
      </w:pPr>
    </w:p>
    <w:p w14:paraId="2B657945">
      <w:pPr>
        <w:spacing w:line="360" w:lineRule="auto"/>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（签字或盖章）</w:t>
      </w:r>
    </w:p>
    <w:p w14:paraId="5758A757">
      <w:pPr>
        <w:spacing w:line="360" w:lineRule="auto"/>
        <w:rPr>
          <w:rFonts w:hint="eastAsia" w:ascii="仿宋" w:hAnsi="仿宋" w:eastAsia="仿宋" w:cs="仿宋"/>
          <w:color w:val="auto"/>
          <w:szCs w:val="21"/>
          <w:u w:val="single"/>
        </w:rPr>
      </w:pPr>
    </w:p>
    <w:p w14:paraId="2343433D">
      <w:pPr>
        <w:spacing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日       期：</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p>
    <w:p w14:paraId="686B8AF7">
      <w:pPr>
        <w:pStyle w:val="2"/>
        <w:spacing w:line="360" w:lineRule="auto"/>
        <w:rPr>
          <w:rFonts w:hint="eastAsia" w:ascii="仿宋" w:hAnsi="仿宋" w:eastAsia="仿宋" w:cs="仿宋"/>
          <w:color w:val="auto"/>
          <w:szCs w:val="21"/>
        </w:rPr>
        <w:sectPr>
          <w:pgSz w:w="11905" w:h="16838"/>
          <w:pgMar w:top="1440" w:right="1080" w:bottom="1440" w:left="1080"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58025A7C">
      <w:pPr>
        <w:pStyle w:val="5"/>
        <w:keepNext/>
        <w:keepLines w:val="0"/>
        <w:pageBreakBefore w:val="0"/>
        <w:widowControl w:val="0"/>
        <w:kinsoku/>
        <w:wordWrap/>
        <w:overflowPunct/>
        <w:topLinePunct w:val="0"/>
        <w:autoSpaceDE/>
        <w:autoSpaceDN/>
        <w:bidi w:val="0"/>
        <w:adjustRightInd/>
        <w:snapToGrid/>
        <w:spacing w:before="0" w:beforeLines="0" w:line="360" w:lineRule="auto"/>
        <w:textAlignment w:val="auto"/>
        <w:rPr>
          <w:rFonts w:hint="eastAsia" w:ascii="仿宋" w:hAnsi="仿宋" w:eastAsia="仿宋" w:cs="仿宋"/>
          <w:color w:val="auto"/>
        </w:rPr>
      </w:pPr>
      <w:bookmarkStart w:id="103" w:name="_Toc5675"/>
      <w:r>
        <w:rPr>
          <w:rFonts w:hint="eastAsia" w:ascii="仿宋" w:hAnsi="仿宋" w:eastAsia="仿宋" w:cs="仿宋"/>
          <w:color w:val="auto"/>
        </w:rPr>
        <w:t>分项报价表</w:t>
      </w:r>
      <w:bookmarkEnd w:id="103"/>
    </w:p>
    <w:p w14:paraId="4222BBA6">
      <w:pPr>
        <w:spacing w:line="360" w:lineRule="auto"/>
        <w:jc w:val="both"/>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highlight w:val="none"/>
          <w:lang w:eastAsia="zh-CN"/>
        </w:rPr>
        <w:t>采购项目</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采购项目编号：</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ab/>
      </w:r>
      <w:r>
        <w:rPr>
          <w:rFonts w:hint="eastAsia" w:ascii="仿宋" w:hAnsi="仿宋" w:eastAsia="仿宋" w:cs="仿宋"/>
          <w:color w:val="auto"/>
          <w:sz w:val="24"/>
          <w:szCs w:val="24"/>
          <w:highlight w:val="none"/>
          <w:u w:val="single"/>
          <w:lang w:val="en-US" w:eastAsia="zh-CN"/>
        </w:rPr>
        <w:t xml:space="preserve">   </w:t>
      </w:r>
    </w:p>
    <w:p w14:paraId="323AE991">
      <w:pPr>
        <w:adjustRightInd w:val="0"/>
        <w:snapToGrid w:val="0"/>
        <w:spacing w:line="360" w:lineRule="auto"/>
        <w:jc w:val="both"/>
        <w:rPr>
          <w:rFonts w:hint="eastAsia" w:ascii="仿宋" w:hAnsi="仿宋" w:eastAsia="仿宋" w:cs="仿宋"/>
          <w:color w:val="auto"/>
          <w:sz w:val="24"/>
          <w:szCs w:val="24"/>
        </w:rPr>
      </w:pPr>
    </w:p>
    <w:p w14:paraId="260E350A">
      <w:pPr>
        <w:adjustRightInd w:val="0"/>
        <w:snapToGrid w:val="0"/>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格式自拟</w:t>
      </w:r>
      <w:r>
        <w:rPr>
          <w:rFonts w:hint="eastAsia" w:ascii="仿宋" w:hAnsi="仿宋" w:eastAsia="仿宋" w:cs="仿宋"/>
          <w:color w:val="auto"/>
          <w:sz w:val="24"/>
          <w:szCs w:val="24"/>
          <w:lang w:eastAsia="zh-CN"/>
        </w:rPr>
        <w:t>）</w:t>
      </w:r>
    </w:p>
    <w:p w14:paraId="1ED07D43">
      <w:pPr>
        <w:pStyle w:val="17"/>
        <w:spacing w:line="360" w:lineRule="auto"/>
        <w:rPr>
          <w:rFonts w:hint="eastAsia" w:ascii="仿宋" w:hAnsi="仿宋" w:eastAsia="仿宋" w:cs="仿宋"/>
          <w:color w:val="auto"/>
          <w:sz w:val="24"/>
          <w:szCs w:val="24"/>
        </w:rPr>
      </w:pPr>
    </w:p>
    <w:p w14:paraId="4CD2ACB2">
      <w:pPr>
        <w:spacing w:line="360" w:lineRule="auto"/>
        <w:rPr>
          <w:rFonts w:hint="eastAsia" w:ascii="仿宋" w:hAnsi="仿宋" w:eastAsia="仿宋" w:cs="仿宋"/>
          <w:color w:val="auto"/>
          <w:sz w:val="24"/>
          <w:szCs w:val="24"/>
        </w:rPr>
      </w:pPr>
    </w:p>
    <w:p w14:paraId="61C5E4A5">
      <w:pPr>
        <w:pStyle w:val="17"/>
        <w:spacing w:line="360" w:lineRule="auto"/>
        <w:rPr>
          <w:rFonts w:hint="eastAsia" w:ascii="仿宋" w:hAnsi="仿宋" w:eastAsia="仿宋" w:cs="仿宋"/>
          <w:color w:val="auto"/>
          <w:sz w:val="24"/>
          <w:szCs w:val="24"/>
        </w:rPr>
      </w:pPr>
    </w:p>
    <w:p w14:paraId="61D1C0B1">
      <w:pPr>
        <w:spacing w:line="360" w:lineRule="auto"/>
        <w:rPr>
          <w:rFonts w:hint="eastAsia" w:ascii="仿宋" w:hAnsi="仿宋" w:eastAsia="仿宋" w:cs="仿宋"/>
          <w:color w:val="auto"/>
          <w:sz w:val="24"/>
          <w:szCs w:val="24"/>
        </w:rPr>
      </w:pPr>
    </w:p>
    <w:p w14:paraId="39B6D8E2">
      <w:pPr>
        <w:pStyle w:val="17"/>
        <w:spacing w:line="360" w:lineRule="auto"/>
        <w:rPr>
          <w:rFonts w:hint="eastAsia" w:ascii="仿宋" w:hAnsi="仿宋" w:eastAsia="仿宋" w:cs="仿宋"/>
          <w:color w:val="auto"/>
          <w:sz w:val="24"/>
          <w:szCs w:val="24"/>
        </w:rPr>
      </w:pPr>
    </w:p>
    <w:p w14:paraId="5692AEE1">
      <w:pPr>
        <w:spacing w:line="360" w:lineRule="auto"/>
        <w:rPr>
          <w:rFonts w:hint="eastAsia" w:ascii="仿宋" w:hAnsi="仿宋" w:eastAsia="仿宋" w:cs="仿宋"/>
          <w:color w:val="auto"/>
          <w:sz w:val="24"/>
          <w:szCs w:val="24"/>
        </w:rPr>
      </w:pPr>
    </w:p>
    <w:p w14:paraId="4C55D5A6">
      <w:pPr>
        <w:pStyle w:val="17"/>
        <w:spacing w:line="360" w:lineRule="auto"/>
        <w:rPr>
          <w:rFonts w:hint="eastAsia" w:ascii="仿宋" w:hAnsi="仿宋" w:eastAsia="仿宋" w:cs="仿宋"/>
          <w:color w:val="auto"/>
          <w:sz w:val="24"/>
          <w:szCs w:val="24"/>
        </w:rPr>
      </w:pPr>
    </w:p>
    <w:p w14:paraId="20E79CD8">
      <w:pPr>
        <w:spacing w:line="360" w:lineRule="auto"/>
        <w:rPr>
          <w:rFonts w:hint="eastAsia" w:ascii="仿宋" w:hAnsi="仿宋" w:eastAsia="仿宋" w:cs="仿宋"/>
          <w:color w:val="auto"/>
          <w:sz w:val="24"/>
          <w:szCs w:val="24"/>
        </w:rPr>
      </w:pPr>
    </w:p>
    <w:p w14:paraId="35B4CAFD">
      <w:pPr>
        <w:pStyle w:val="17"/>
        <w:spacing w:line="360" w:lineRule="auto"/>
        <w:rPr>
          <w:rFonts w:hint="eastAsia" w:ascii="仿宋" w:hAnsi="仿宋" w:eastAsia="仿宋" w:cs="仿宋"/>
          <w:color w:val="auto"/>
          <w:sz w:val="24"/>
          <w:szCs w:val="24"/>
        </w:rPr>
      </w:pPr>
    </w:p>
    <w:p w14:paraId="0EC2F425">
      <w:pPr>
        <w:spacing w:line="360" w:lineRule="auto"/>
        <w:rPr>
          <w:rFonts w:hint="eastAsia" w:ascii="仿宋" w:hAnsi="仿宋" w:eastAsia="仿宋" w:cs="仿宋"/>
          <w:color w:val="auto"/>
          <w:sz w:val="24"/>
          <w:szCs w:val="24"/>
        </w:rPr>
      </w:pPr>
    </w:p>
    <w:p w14:paraId="04DBB7D9">
      <w:pPr>
        <w:pStyle w:val="17"/>
        <w:spacing w:line="360" w:lineRule="auto"/>
        <w:rPr>
          <w:rFonts w:hint="eastAsia" w:ascii="仿宋" w:hAnsi="仿宋" w:eastAsia="仿宋" w:cs="仿宋"/>
          <w:color w:val="auto"/>
          <w:sz w:val="24"/>
          <w:szCs w:val="24"/>
        </w:rPr>
      </w:pPr>
    </w:p>
    <w:p w14:paraId="45E957B8">
      <w:pPr>
        <w:spacing w:line="360" w:lineRule="auto"/>
        <w:rPr>
          <w:rFonts w:hint="eastAsia" w:ascii="仿宋" w:hAnsi="仿宋" w:eastAsia="仿宋" w:cs="仿宋"/>
          <w:color w:val="auto"/>
          <w:sz w:val="24"/>
          <w:szCs w:val="24"/>
        </w:rPr>
      </w:pPr>
    </w:p>
    <w:p w14:paraId="02F6AD79">
      <w:pPr>
        <w:pStyle w:val="17"/>
        <w:spacing w:line="360" w:lineRule="auto"/>
        <w:rPr>
          <w:rFonts w:hint="eastAsia" w:ascii="仿宋" w:hAnsi="仿宋" w:eastAsia="仿宋" w:cs="仿宋"/>
          <w:color w:val="auto"/>
          <w:sz w:val="24"/>
          <w:szCs w:val="24"/>
        </w:rPr>
      </w:pPr>
    </w:p>
    <w:p w14:paraId="28BB3F1D">
      <w:pPr>
        <w:spacing w:line="360" w:lineRule="auto"/>
        <w:rPr>
          <w:rFonts w:hint="eastAsia" w:ascii="仿宋" w:hAnsi="仿宋" w:eastAsia="仿宋" w:cs="仿宋"/>
          <w:color w:val="auto"/>
          <w:sz w:val="24"/>
          <w:szCs w:val="24"/>
        </w:rPr>
      </w:pPr>
    </w:p>
    <w:p w14:paraId="3222C96B">
      <w:pPr>
        <w:pStyle w:val="17"/>
        <w:spacing w:line="360" w:lineRule="auto"/>
        <w:rPr>
          <w:rFonts w:hint="eastAsia" w:ascii="仿宋" w:hAnsi="仿宋" w:eastAsia="仿宋" w:cs="仿宋"/>
          <w:color w:val="auto"/>
          <w:sz w:val="24"/>
          <w:szCs w:val="24"/>
        </w:rPr>
      </w:pPr>
    </w:p>
    <w:p w14:paraId="7037CE14">
      <w:pPr>
        <w:spacing w:line="360" w:lineRule="auto"/>
        <w:rPr>
          <w:rFonts w:hint="eastAsia" w:ascii="仿宋" w:hAnsi="仿宋" w:eastAsia="仿宋" w:cs="仿宋"/>
          <w:color w:val="auto"/>
          <w:sz w:val="24"/>
          <w:szCs w:val="24"/>
        </w:rPr>
      </w:pPr>
    </w:p>
    <w:p w14:paraId="109E5510">
      <w:pPr>
        <w:pStyle w:val="17"/>
        <w:spacing w:line="360" w:lineRule="auto"/>
        <w:rPr>
          <w:rFonts w:hint="eastAsia" w:ascii="仿宋" w:hAnsi="仿宋" w:eastAsia="仿宋" w:cs="仿宋"/>
          <w:color w:val="auto"/>
        </w:rPr>
      </w:pPr>
    </w:p>
    <w:p w14:paraId="55F23FAD">
      <w:pPr>
        <w:spacing w:line="360" w:lineRule="auto"/>
        <w:rPr>
          <w:rFonts w:hint="eastAsia" w:ascii="仿宋" w:hAnsi="仿宋" w:eastAsia="仿宋" w:cs="仿宋"/>
          <w:color w:val="auto"/>
        </w:rPr>
      </w:pPr>
    </w:p>
    <w:p w14:paraId="0BC6A39F">
      <w:pPr>
        <w:pageBreakBefore w:val="0"/>
        <w:kinsoku/>
        <w:bidi w:val="0"/>
        <w:adjustRightInd w:val="0"/>
        <w:snapToGrid w:val="0"/>
        <w:spacing w:line="360"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注：1. 供应商须按照</w:t>
      </w:r>
      <w:r>
        <w:rPr>
          <w:rFonts w:hint="eastAsia" w:ascii="仿宋" w:hAnsi="仿宋" w:eastAsia="仿宋" w:cs="仿宋"/>
          <w:color w:val="auto"/>
          <w:sz w:val="24"/>
          <w:szCs w:val="24"/>
          <w:lang w:val="en-US" w:eastAsia="zh-CN"/>
        </w:rPr>
        <w:t>招标</w:t>
      </w:r>
      <w:r>
        <w:rPr>
          <w:rFonts w:hint="eastAsia" w:ascii="仿宋" w:hAnsi="仿宋" w:eastAsia="仿宋" w:cs="仿宋"/>
          <w:color w:val="auto"/>
          <w:sz w:val="24"/>
          <w:szCs w:val="24"/>
          <w:lang w:eastAsia="zh-CN"/>
        </w:rPr>
        <w:t>文件</w:t>
      </w:r>
      <w:r>
        <w:rPr>
          <w:rFonts w:hint="eastAsia" w:ascii="仿宋" w:hAnsi="仿宋" w:eastAsia="仿宋" w:cs="仿宋"/>
          <w:color w:val="auto"/>
          <w:sz w:val="24"/>
          <w:szCs w:val="24"/>
        </w:rPr>
        <w:t>“</w:t>
      </w:r>
      <w:r>
        <w:rPr>
          <w:rFonts w:hint="eastAsia" w:ascii="仿宋" w:hAnsi="仿宋" w:eastAsia="仿宋" w:cs="仿宋"/>
          <w:bCs/>
          <w:sz w:val="24"/>
          <w:szCs w:val="24"/>
          <w:lang w:val="en-US" w:eastAsia="zh-CN"/>
        </w:rPr>
        <w:t>采购内容及合同基本条款</w:t>
      </w:r>
      <w:r>
        <w:rPr>
          <w:rFonts w:hint="eastAsia" w:ascii="仿宋" w:hAnsi="仿宋" w:eastAsia="仿宋" w:cs="仿宋"/>
          <w:color w:val="auto"/>
          <w:sz w:val="24"/>
          <w:szCs w:val="24"/>
        </w:rPr>
        <w:t>”中涉及的</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清单进行报价</w:t>
      </w:r>
      <w:r>
        <w:rPr>
          <w:rFonts w:hint="eastAsia" w:ascii="仿宋" w:hAnsi="仿宋" w:eastAsia="仿宋" w:cs="仿宋"/>
          <w:color w:val="auto"/>
          <w:sz w:val="24"/>
          <w:szCs w:val="24"/>
          <w:lang w:eastAsia="zh-CN"/>
        </w:rPr>
        <w:t>，</w:t>
      </w:r>
      <w:r>
        <w:rPr>
          <w:rFonts w:hint="eastAsia" w:ascii="仿宋" w:hAnsi="仿宋" w:eastAsia="仿宋" w:cs="仿宋"/>
          <w:bCs/>
          <w:sz w:val="24"/>
          <w:szCs w:val="24"/>
          <w:lang w:val="en-US" w:eastAsia="zh-CN"/>
        </w:rPr>
        <w:t>采购内容及合同基本条款的涉及的各类车辆报价为单项最高限价</w:t>
      </w:r>
      <w:r>
        <w:rPr>
          <w:rFonts w:hint="eastAsia" w:ascii="仿宋" w:hAnsi="仿宋" w:eastAsia="仿宋" w:cs="仿宋"/>
          <w:color w:val="auto"/>
          <w:sz w:val="24"/>
          <w:szCs w:val="24"/>
        </w:rPr>
        <w:t>。</w:t>
      </w:r>
    </w:p>
    <w:p w14:paraId="39E0DBF5">
      <w:pPr>
        <w:pageBreakBefore w:val="0"/>
        <w:kinsoku/>
        <w:bidi w:val="0"/>
        <w:adjustRightInd w:val="0"/>
        <w:snapToGrid w:val="0"/>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2. 如果按单价计算的结果与总价不一致，以单价为准修正总价。</w:t>
      </w:r>
    </w:p>
    <w:p w14:paraId="7732982E">
      <w:pPr>
        <w:spacing w:line="360" w:lineRule="auto"/>
        <w:ind w:right="-161"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3. 上述投标总报价包含了供应商为此项目所支付的的一切费用，在整个合同期内不做调整。</w:t>
      </w:r>
    </w:p>
    <w:p w14:paraId="0A433A9B">
      <w:pPr>
        <w:spacing w:line="360" w:lineRule="auto"/>
        <w:ind w:right="-161" w:firstLine="2640" w:firstLineChars="1100"/>
        <w:jc w:val="both"/>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法定代表人/单位负责人</w:t>
      </w:r>
      <w:r>
        <w:rPr>
          <w:rFonts w:hint="eastAsia" w:ascii="仿宋" w:hAnsi="仿宋" w:eastAsia="仿宋" w:cs="仿宋"/>
          <w:color w:val="auto"/>
          <w:sz w:val="24"/>
          <w:szCs w:val="24"/>
        </w:rPr>
        <w:t>或被授权代表签字：</w:t>
      </w:r>
      <w:r>
        <w:rPr>
          <w:rFonts w:hint="eastAsia" w:ascii="仿宋" w:hAnsi="仿宋" w:eastAsia="仿宋" w:cs="仿宋"/>
          <w:color w:val="auto"/>
          <w:sz w:val="24"/>
          <w:szCs w:val="24"/>
          <w:u w:val="single"/>
        </w:rPr>
        <w:t xml:space="preserve">                      </w:t>
      </w:r>
    </w:p>
    <w:p w14:paraId="38C4CEBA">
      <w:pPr>
        <w:spacing w:line="360" w:lineRule="auto"/>
        <w:ind w:right="-161" w:firstLine="2640" w:firstLineChars="1100"/>
        <w:jc w:val="both"/>
        <w:rPr>
          <w:rFonts w:hint="eastAsia" w:ascii="仿宋" w:hAnsi="仿宋" w:eastAsia="仿宋" w:cs="仿宋"/>
          <w:color w:val="auto"/>
          <w:sz w:val="24"/>
          <w:szCs w:val="24"/>
        </w:rPr>
      </w:pPr>
      <w:r>
        <w:rPr>
          <w:rFonts w:hint="eastAsia" w:ascii="仿宋" w:hAnsi="仿宋" w:eastAsia="仿宋" w:cs="仿宋"/>
          <w:color w:val="auto"/>
          <w:szCs w:val="21"/>
        </w:rPr>
        <w:t>供应商名称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（公章）</w:t>
      </w:r>
    </w:p>
    <w:p w14:paraId="0CA32E0E">
      <w:pPr>
        <w:spacing w:line="360" w:lineRule="auto"/>
        <w:ind w:right="480" w:firstLine="2640" w:firstLineChars="1100"/>
        <w:jc w:val="both"/>
        <w:rPr>
          <w:rFonts w:hint="eastAsia" w:ascii="仿宋" w:hAnsi="仿宋" w:eastAsia="仿宋" w:cs="仿宋"/>
          <w:color w:val="auto"/>
          <w:sz w:val="24"/>
          <w:szCs w:val="24"/>
          <w:u w:val="single"/>
        </w:rPr>
        <w:sectPr>
          <w:pgSz w:w="11906" w:h="16838"/>
          <w:pgMar w:top="1440" w:right="1080" w:bottom="1440" w:left="1080"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 xml:space="preserve">                     </w:t>
      </w:r>
      <w:bookmarkStart w:id="104" w:name="_Toc6560"/>
    </w:p>
    <w:bookmarkEnd w:id="104"/>
    <w:p w14:paraId="078F8397">
      <w:pPr>
        <w:spacing w:line="360" w:lineRule="auto"/>
        <w:ind w:left="240" w:leftChars="100"/>
        <w:jc w:val="center"/>
        <w:outlineLvl w:val="1"/>
        <w:rPr>
          <w:rFonts w:hint="eastAsia" w:ascii="仿宋" w:hAnsi="仿宋" w:eastAsia="仿宋" w:cs="仿宋"/>
          <w:b/>
          <w:bCs/>
          <w:color w:val="auto"/>
          <w:kern w:val="2"/>
          <w:sz w:val="32"/>
          <w:szCs w:val="32"/>
          <w:lang w:val="en-US" w:eastAsia="zh-CN" w:bidi="ar-SA"/>
        </w:rPr>
      </w:pPr>
      <w:bookmarkStart w:id="105" w:name="_Toc8261"/>
      <w:bookmarkStart w:id="106" w:name="_Toc347478747"/>
      <w:bookmarkStart w:id="107" w:name="_Toc19460"/>
      <w:bookmarkStart w:id="108" w:name="_Toc19883"/>
      <w:bookmarkStart w:id="109" w:name="_Toc12268"/>
      <w:bookmarkStart w:id="110" w:name="_Toc356814675"/>
      <w:bookmarkStart w:id="111" w:name="_Toc283240497"/>
      <w:bookmarkStart w:id="112" w:name="_Toc311415658"/>
      <w:bookmarkStart w:id="113" w:name="_Toc312789404"/>
      <w:bookmarkStart w:id="114" w:name="_Toc334522292"/>
      <w:bookmarkStart w:id="115" w:name="_Toc12277"/>
      <w:r>
        <w:rPr>
          <w:rFonts w:hint="eastAsia" w:ascii="仿宋" w:hAnsi="仿宋" w:eastAsia="仿宋" w:cs="仿宋"/>
          <w:b/>
          <w:bCs/>
          <w:color w:val="auto"/>
          <w:kern w:val="2"/>
          <w:sz w:val="32"/>
          <w:szCs w:val="32"/>
          <w:lang w:val="en-US" w:eastAsia="zh-CN" w:bidi="ar-SA"/>
        </w:rPr>
        <w:t>四、商务条款响应偏离表</w:t>
      </w:r>
      <w:bookmarkEnd w:id="105"/>
    </w:p>
    <w:p w14:paraId="431A5796">
      <w:pPr>
        <w:spacing w:line="360" w:lineRule="auto"/>
        <w:rPr>
          <w:rFonts w:hint="eastAsia"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项目编号：</w:t>
      </w:r>
      <w:r>
        <w:rPr>
          <w:rFonts w:hint="eastAsia" w:ascii="仿宋" w:hAnsi="仿宋" w:eastAsia="仿宋" w:cs="仿宋"/>
          <w:color w:val="auto"/>
          <w:sz w:val="24"/>
          <w:u w:val="single"/>
        </w:rPr>
        <w:t xml:space="preserve">             </w:t>
      </w:r>
    </w:p>
    <w:tbl>
      <w:tblPr>
        <w:tblStyle w:val="27"/>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14:paraId="48570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3C3094B">
            <w:pPr>
              <w:spacing w:line="360" w:lineRule="auto"/>
              <w:ind w:left="-110" w:leftChars="-46"/>
              <w:jc w:val="center"/>
              <w:rPr>
                <w:rFonts w:hint="eastAsia" w:ascii="仿宋" w:hAnsi="仿宋" w:eastAsia="仿宋" w:cs="仿宋"/>
                <w:color w:val="auto"/>
                <w:sz w:val="24"/>
              </w:rPr>
            </w:pPr>
            <w:r>
              <w:rPr>
                <w:rFonts w:hint="eastAsia" w:ascii="仿宋" w:hAnsi="仿宋" w:eastAsia="仿宋" w:cs="仿宋"/>
                <w:color w:val="auto"/>
                <w:sz w:val="24"/>
              </w:rPr>
              <w:t xml:space="preserve"> 序号</w:t>
            </w:r>
          </w:p>
        </w:tc>
        <w:tc>
          <w:tcPr>
            <w:tcW w:w="2950" w:type="dxa"/>
            <w:noWrap w:val="0"/>
            <w:tcMar>
              <w:top w:w="57" w:type="dxa"/>
              <w:left w:w="28" w:type="dxa"/>
              <w:bottom w:w="57" w:type="dxa"/>
              <w:right w:w="28" w:type="dxa"/>
            </w:tcMar>
            <w:vAlign w:val="center"/>
          </w:tcPr>
          <w:p w14:paraId="0E9ED6FD">
            <w:pPr>
              <w:spacing w:line="360" w:lineRule="auto"/>
              <w:ind w:left="240" w:leftChars="100"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竞争性磋商文件</w:t>
            </w:r>
          </w:p>
          <w:p w14:paraId="155F6A6E">
            <w:pPr>
              <w:spacing w:line="360" w:lineRule="auto"/>
              <w:ind w:left="240" w:leftChars="100" w:firstLine="240" w:firstLineChars="100"/>
              <w:rPr>
                <w:rFonts w:hint="eastAsia" w:ascii="仿宋" w:hAnsi="仿宋" w:eastAsia="仿宋" w:cs="仿宋"/>
                <w:color w:val="auto"/>
                <w:sz w:val="24"/>
              </w:rPr>
            </w:pPr>
            <w:r>
              <w:rPr>
                <w:rFonts w:hint="eastAsia" w:ascii="仿宋" w:hAnsi="仿宋" w:eastAsia="仿宋" w:cs="仿宋"/>
                <w:color w:val="auto"/>
                <w:sz w:val="24"/>
              </w:rPr>
              <w:t>商务要求条款</w:t>
            </w:r>
          </w:p>
        </w:tc>
        <w:tc>
          <w:tcPr>
            <w:tcW w:w="2379" w:type="dxa"/>
            <w:noWrap w:val="0"/>
            <w:tcMar>
              <w:top w:w="57" w:type="dxa"/>
              <w:left w:w="28" w:type="dxa"/>
              <w:bottom w:w="57" w:type="dxa"/>
              <w:right w:w="28" w:type="dxa"/>
            </w:tcMar>
            <w:vAlign w:val="center"/>
          </w:tcPr>
          <w:p w14:paraId="3103D81A">
            <w:pPr>
              <w:spacing w:line="360" w:lineRule="auto"/>
              <w:ind w:left="240" w:leftChars="100" w:firstLine="360" w:firstLineChars="150"/>
              <w:rPr>
                <w:rFonts w:hint="eastAsia" w:ascii="仿宋" w:hAnsi="仿宋" w:eastAsia="仿宋" w:cs="仿宋"/>
                <w:color w:val="auto"/>
                <w:sz w:val="24"/>
              </w:rPr>
            </w:pPr>
            <w:r>
              <w:rPr>
                <w:rFonts w:hint="eastAsia" w:ascii="仿宋" w:hAnsi="仿宋" w:eastAsia="仿宋" w:cs="仿宋"/>
                <w:color w:val="auto"/>
                <w:sz w:val="24"/>
              </w:rPr>
              <w:t>投标文件</w:t>
            </w:r>
          </w:p>
          <w:p w14:paraId="37DD2ADF">
            <w:pPr>
              <w:spacing w:line="360" w:lineRule="auto"/>
              <w:ind w:left="240" w:leftChars="100" w:firstLine="120" w:firstLineChars="50"/>
              <w:rPr>
                <w:rFonts w:hint="eastAsia" w:ascii="仿宋" w:hAnsi="仿宋" w:eastAsia="仿宋" w:cs="仿宋"/>
                <w:color w:val="auto"/>
                <w:sz w:val="24"/>
              </w:rPr>
            </w:pPr>
            <w:r>
              <w:rPr>
                <w:rFonts w:hint="eastAsia" w:ascii="仿宋" w:hAnsi="仿宋" w:eastAsia="仿宋" w:cs="仿宋"/>
                <w:color w:val="auto"/>
                <w:sz w:val="24"/>
              </w:rPr>
              <w:t>商务响应条款</w:t>
            </w:r>
          </w:p>
        </w:tc>
        <w:tc>
          <w:tcPr>
            <w:tcW w:w="1650" w:type="dxa"/>
            <w:noWrap w:val="0"/>
            <w:tcMar>
              <w:top w:w="57" w:type="dxa"/>
              <w:left w:w="28" w:type="dxa"/>
              <w:bottom w:w="57" w:type="dxa"/>
              <w:right w:w="28" w:type="dxa"/>
            </w:tcMar>
            <w:vAlign w:val="center"/>
          </w:tcPr>
          <w:p w14:paraId="5D3D92ED">
            <w:pPr>
              <w:spacing w:line="360" w:lineRule="auto"/>
              <w:ind w:left="240" w:leftChars="100"/>
              <w:rPr>
                <w:rFonts w:hint="eastAsia" w:ascii="仿宋" w:hAnsi="仿宋" w:eastAsia="仿宋" w:cs="仿宋"/>
                <w:color w:val="auto"/>
                <w:sz w:val="24"/>
              </w:rPr>
            </w:pPr>
            <w:r>
              <w:rPr>
                <w:rFonts w:hint="eastAsia" w:ascii="仿宋" w:hAnsi="仿宋" w:eastAsia="仿宋" w:cs="仿宋"/>
                <w:color w:val="auto"/>
                <w:sz w:val="24"/>
              </w:rPr>
              <w:t>偏离情况</w:t>
            </w:r>
          </w:p>
        </w:tc>
        <w:tc>
          <w:tcPr>
            <w:tcW w:w="1438" w:type="dxa"/>
            <w:noWrap w:val="0"/>
            <w:vAlign w:val="center"/>
          </w:tcPr>
          <w:p w14:paraId="45EC92BB">
            <w:pPr>
              <w:spacing w:line="360" w:lineRule="auto"/>
              <w:ind w:left="240" w:leftChars="100"/>
              <w:rPr>
                <w:rFonts w:hint="eastAsia" w:ascii="仿宋" w:hAnsi="仿宋" w:eastAsia="仿宋" w:cs="仿宋"/>
                <w:color w:val="auto"/>
                <w:sz w:val="24"/>
              </w:rPr>
            </w:pPr>
            <w:r>
              <w:rPr>
                <w:rFonts w:hint="eastAsia" w:ascii="仿宋" w:hAnsi="仿宋" w:eastAsia="仿宋" w:cs="仿宋"/>
                <w:color w:val="auto"/>
                <w:sz w:val="24"/>
              </w:rPr>
              <w:t>说明</w:t>
            </w:r>
          </w:p>
        </w:tc>
      </w:tr>
      <w:tr w14:paraId="6C9BEB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noWrap w:val="0"/>
            <w:tcMar>
              <w:top w:w="57" w:type="dxa"/>
              <w:left w:w="28" w:type="dxa"/>
              <w:bottom w:w="57" w:type="dxa"/>
              <w:right w:w="28" w:type="dxa"/>
            </w:tcMar>
            <w:vAlign w:val="center"/>
          </w:tcPr>
          <w:p w14:paraId="716F604F">
            <w:pPr>
              <w:spacing w:line="360" w:lineRule="auto"/>
              <w:ind w:left="240" w:leftChars="100"/>
              <w:rPr>
                <w:rFonts w:hint="eastAsia" w:ascii="仿宋" w:hAnsi="仿宋" w:eastAsia="仿宋" w:cs="仿宋"/>
                <w:color w:val="auto"/>
                <w:sz w:val="24"/>
              </w:rPr>
            </w:pPr>
          </w:p>
        </w:tc>
        <w:tc>
          <w:tcPr>
            <w:tcW w:w="2950" w:type="dxa"/>
            <w:tcBorders>
              <w:bottom w:val="single" w:color="auto" w:sz="4" w:space="0"/>
            </w:tcBorders>
            <w:noWrap w:val="0"/>
            <w:tcMar>
              <w:top w:w="57" w:type="dxa"/>
              <w:left w:w="28" w:type="dxa"/>
              <w:bottom w:w="57" w:type="dxa"/>
              <w:right w:w="28" w:type="dxa"/>
            </w:tcMar>
            <w:vAlign w:val="center"/>
          </w:tcPr>
          <w:p w14:paraId="5009308B">
            <w:pPr>
              <w:spacing w:line="360" w:lineRule="auto"/>
              <w:ind w:left="240" w:leftChars="100"/>
              <w:rPr>
                <w:rFonts w:hint="eastAsia" w:ascii="仿宋" w:hAnsi="仿宋" w:eastAsia="仿宋" w:cs="仿宋"/>
                <w:color w:val="auto"/>
                <w:sz w:val="24"/>
              </w:rPr>
            </w:pPr>
          </w:p>
        </w:tc>
        <w:tc>
          <w:tcPr>
            <w:tcW w:w="2379" w:type="dxa"/>
            <w:tcBorders>
              <w:bottom w:val="single" w:color="auto" w:sz="4" w:space="0"/>
            </w:tcBorders>
            <w:noWrap w:val="0"/>
            <w:tcMar>
              <w:top w:w="57" w:type="dxa"/>
              <w:left w:w="28" w:type="dxa"/>
              <w:bottom w:w="57" w:type="dxa"/>
              <w:right w:w="28" w:type="dxa"/>
            </w:tcMar>
            <w:vAlign w:val="center"/>
          </w:tcPr>
          <w:p w14:paraId="60722467">
            <w:pPr>
              <w:spacing w:line="360" w:lineRule="auto"/>
              <w:ind w:left="240" w:leftChars="100"/>
              <w:rPr>
                <w:rFonts w:hint="eastAsia" w:ascii="仿宋" w:hAnsi="仿宋" w:eastAsia="仿宋" w:cs="仿宋"/>
                <w:color w:val="auto"/>
                <w:sz w:val="24"/>
              </w:rPr>
            </w:pPr>
          </w:p>
        </w:tc>
        <w:tc>
          <w:tcPr>
            <w:tcW w:w="1650" w:type="dxa"/>
            <w:tcBorders>
              <w:bottom w:val="single" w:color="auto" w:sz="4" w:space="0"/>
            </w:tcBorders>
            <w:noWrap w:val="0"/>
            <w:tcMar>
              <w:top w:w="57" w:type="dxa"/>
              <w:left w:w="28" w:type="dxa"/>
              <w:bottom w:w="57" w:type="dxa"/>
              <w:right w:w="28" w:type="dxa"/>
            </w:tcMar>
            <w:vAlign w:val="center"/>
          </w:tcPr>
          <w:p w14:paraId="46BE3183">
            <w:pPr>
              <w:spacing w:line="360" w:lineRule="auto"/>
              <w:ind w:left="240" w:leftChars="100"/>
              <w:rPr>
                <w:rFonts w:hint="eastAsia" w:ascii="仿宋" w:hAnsi="仿宋" w:eastAsia="仿宋" w:cs="仿宋"/>
                <w:color w:val="auto"/>
                <w:sz w:val="24"/>
              </w:rPr>
            </w:pPr>
          </w:p>
        </w:tc>
        <w:tc>
          <w:tcPr>
            <w:tcW w:w="1438" w:type="dxa"/>
            <w:tcBorders>
              <w:bottom w:val="single" w:color="auto" w:sz="4" w:space="0"/>
            </w:tcBorders>
            <w:noWrap w:val="0"/>
            <w:vAlign w:val="center"/>
          </w:tcPr>
          <w:p w14:paraId="6B8B7F5F">
            <w:pPr>
              <w:spacing w:line="360" w:lineRule="auto"/>
              <w:ind w:left="240" w:leftChars="100"/>
              <w:rPr>
                <w:rFonts w:hint="eastAsia" w:ascii="仿宋" w:hAnsi="仿宋" w:eastAsia="仿宋" w:cs="仿宋"/>
                <w:color w:val="auto"/>
                <w:sz w:val="24"/>
              </w:rPr>
            </w:pPr>
          </w:p>
        </w:tc>
      </w:tr>
      <w:tr w14:paraId="17AD1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noWrap w:val="0"/>
            <w:tcMar>
              <w:top w:w="57" w:type="dxa"/>
              <w:left w:w="28" w:type="dxa"/>
              <w:bottom w:w="57" w:type="dxa"/>
              <w:right w:w="28" w:type="dxa"/>
            </w:tcMar>
            <w:vAlign w:val="center"/>
          </w:tcPr>
          <w:p w14:paraId="085A52D8">
            <w:pPr>
              <w:spacing w:line="360" w:lineRule="auto"/>
              <w:ind w:left="240" w:leftChars="100"/>
              <w:rPr>
                <w:rFonts w:hint="eastAsia" w:ascii="仿宋" w:hAnsi="仿宋" w:eastAsia="仿宋" w:cs="仿宋"/>
                <w:color w:val="auto"/>
                <w:sz w:val="24"/>
              </w:rPr>
            </w:pPr>
          </w:p>
        </w:tc>
        <w:tc>
          <w:tcPr>
            <w:tcW w:w="2950" w:type="dxa"/>
            <w:tcBorders>
              <w:bottom w:val="single" w:color="auto" w:sz="4" w:space="0"/>
            </w:tcBorders>
            <w:noWrap w:val="0"/>
            <w:tcMar>
              <w:top w:w="57" w:type="dxa"/>
              <w:left w:w="28" w:type="dxa"/>
              <w:bottom w:w="57" w:type="dxa"/>
              <w:right w:w="28" w:type="dxa"/>
            </w:tcMar>
            <w:vAlign w:val="center"/>
          </w:tcPr>
          <w:p w14:paraId="01A6FF2F">
            <w:pPr>
              <w:spacing w:line="360" w:lineRule="auto"/>
              <w:ind w:left="240" w:leftChars="100"/>
              <w:rPr>
                <w:rFonts w:hint="eastAsia" w:ascii="仿宋" w:hAnsi="仿宋" w:eastAsia="仿宋" w:cs="仿宋"/>
                <w:color w:val="auto"/>
                <w:sz w:val="24"/>
              </w:rPr>
            </w:pPr>
          </w:p>
        </w:tc>
        <w:tc>
          <w:tcPr>
            <w:tcW w:w="2379" w:type="dxa"/>
            <w:tcBorders>
              <w:bottom w:val="single" w:color="auto" w:sz="4" w:space="0"/>
            </w:tcBorders>
            <w:noWrap w:val="0"/>
            <w:tcMar>
              <w:top w:w="57" w:type="dxa"/>
              <w:left w:w="28" w:type="dxa"/>
              <w:bottom w:w="57" w:type="dxa"/>
              <w:right w:w="28" w:type="dxa"/>
            </w:tcMar>
            <w:vAlign w:val="center"/>
          </w:tcPr>
          <w:p w14:paraId="752A3B80">
            <w:pPr>
              <w:spacing w:line="360" w:lineRule="auto"/>
              <w:ind w:left="240" w:leftChars="100"/>
              <w:rPr>
                <w:rFonts w:hint="eastAsia" w:ascii="仿宋" w:hAnsi="仿宋" w:eastAsia="仿宋" w:cs="仿宋"/>
                <w:color w:val="auto"/>
                <w:sz w:val="24"/>
              </w:rPr>
            </w:pPr>
          </w:p>
        </w:tc>
        <w:tc>
          <w:tcPr>
            <w:tcW w:w="1650" w:type="dxa"/>
            <w:tcBorders>
              <w:bottom w:val="single" w:color="auto" w:sz="4" w:space="0"/>
            </w:tcBorders>
            <w:noWrap w:val="0"/>
            <w:tcMar>
              <w:top w:w="57" w:type="dxa"/>
              <w:left w:w="28" w:type="dxa"/>
              <w:bottom w:w="57" w:type="dxa"/>
              <w:right w:w="28" w:type="dxa"/>
            </w:tcMar>
            <w:vAlign w:val="center"/>
          </w:tcPr>
          <w:p w14:paraId="23727A95">
            <w:pPr>
              <w:spacing w:line="360" w:lineRule="auto"/>
              <w:ind w:left="240" w:leftChars="100"/>
              <w:rPr>
                <w:rFonts w:hint="eastAsia" w:ascii="仿宋" w:hAnsi="仿宋" w:eastAsia="仿宋" w:cs="仿宋"/>
                <w:color w:val="auto"/>
                <w:sz w:val="24"/>
              </w:rPr>
            </w:pPr>
          </w:p>
        </w:tc>
        <w:tc>
          <w:tcPr>
            <w:tcW w:w="1438" w:type="dxa"/>
            <w:tcBorders>
              <w:bottom w:val="single" w:color="auto" w:sz="4" w:space="0"/>
            </w:tcBorders>
            <w:noWrap w:val="0"/>
            <w:vAlign w:val="center"/>
          </w:tcPr>
          <w:p w14:paraId="651D6D58">
            <w:pPr>
              <w:spacing w:line="360" w:lineRule="auto"/>
              <w:ind w:left="240" w:leftChars="100"/>
              <w:rPr>
                <w:rFonts w:hint="eastAsia" w:ascii="仿宋" w:hAnsi="仿宋" w:eastAsia="仿宋" w:cs="仿宋"/>
                <w:color w:val="auto"/>
                <w:sz w:val="24"/>
              </w:rPr>
            </w:pPr>
          </w:p>
        </w:tc>
      </w:tr>
      <w:tr w14:paraId="25DDE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33AEDB">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4C27E83B">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3C15F7BE">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7F972924">
            <w:pPr>
              <w:spacing w:line="360" w:lineRule="auto"/>
              <w:ind w:left="240" w:leftChars="100"/>
              <w:rPr>
                <w:rFonts w:hint="eastAsia" w:ascii="仿宋" w:hAnsi="仿宋" w:eastAsia="仿宋" w:cs="仿宋"/>
                <w:color w:val="auto"/>
                <w:sz w:val="24"/>
              </w:rPr>
            </w:pPr>
          </w:p>
        </w:tc>
        <w:tc>
          <w:tcPr>
            <w:tcW w:w="1438" w:type="dxa"/>
            <w:noWrap w:val="0"/>
            <w:vAlign w:val="center"/>
          </w:tcPr>
          <w:p w14:paraId="68042397">
            <w:pPr>
              <w:spacing w:line="360" w:lineRule="auto"/>
              <w:ind w:left="240" w:leftChars="100"/>
              <w:rPr>
                <w:rFonts w:hint="eastAsia" w:ascii="仿宋" w:hAnsi="仿宋" w:eastAsia="仿宋" w:cs="仿宋"/>
                <w:color w:val="auto"/>
                <w:sz w:val="24"/>
              </w:rPr>
            </w:pPr>
          </w:p>
        </w:tc>
      </w:tr>
      <w:tr w14:paraId="587B4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76051D4">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3D3A6253">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2BF8D436">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1ECFFB5B">
            <w:pPr>
              <w:spacing w:line="360" w:lineRule="auto"/>
              <w:ind w:left="240" w:leftChars="100"/>
              <w:rPr>
                <w:rFonts w:hint="eastAsia" w:ascii="仿宋" w:hAnsi="仿宋" w:eastAsia="仿宋" w:cs="仿宋"/>
                <w:color w:val="auto"/>
                <w:sz w:val="24"/>
              </w:rPr>
            </w:pPr>
          </w:p>
        </w:tc>
        <w:tc>
          <w:tcPr>
            <w:tcW w:w="1438" w:type="dxa"/>
            <w:noWrap w:val="0"/>
            <w:vAlign w:val="center"/>
          </w:tcPr>
          <w:p w14:paraId="12ABD21E">
            <w:pPr>
              <w:spacing w:line="360" w:lineRule="auto"/>
              <w:ind w:left="240" w:leftChars="100"/>
              <w:rPr>
                <w:rFonts w:hint="eastAsia" w:ascii="仿宋" w:hAnsi="仿宋" w:eastAsia="仿宋" w:cs="仿宋"/>
                <w:color w:val="auto"/>
                <w:sz w:val="24"/>
              </w:rPr>
            </w:pPr>
          </w:p>
        </w:tc>
      </w:tr>
      <w:tr w14:paraId="466F2A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AD0BF16">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13B3239A">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440F440D">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6154722B">
            <w:pPr>
              <w:spacing w:line="360" w:lineRule="auto"/>
              <w:ind w:left="240" w:leftChars="100"/>
              <w:rPr>
                <w:rFonts w:hint="eastAsia" w:ascii="仿宋" w:hAnsi="仿宋" w:eastAsia="仿宋" w:cs="仿宋"/>
                <w:color w:val="auto"/>
                <w:sz w:val="24"/>
              </w:rPr>
            </w:pPr>
          </w:p>
        </w:tc>
        <w:tc>
          <w:tcPr>
            <w:tcW w:w="1438" w:type="dxa"/>
            <w:noWrap w:val="0"/>
            <w:vAlign w:val="center"/>
          </w:tcPr>
          <w:p w14:paraId="4772FA02">
            <w:pPr>
              <w:spacing w:line="360" w:lineRule="auto"/>
              <w:ind w:left="240" w:leftChars="100"/>
              <w:rPr>
                <w:rFonts w:hint="eastAsia" w:ascii="仿宋" w:hAnsi="仿宋" w:eastAsia="仿宋" w:cs="仿宋"/>
                <w:color w:val="auto"/>
                <w:sz w:val="24"/>
              </w:rPr>
            </w:pPr>
          </w:p>
        </w:tc>
      </w:tr>
      <w:tr w14:paraId="6C89C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8E3CDCA">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7CD0DCCF">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7C07E557">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7D65F109">
            <w:pPr>
              <w:spacing w:line="360" w:lineRule="auto"/>
              <w:ind w:left="240" w:leftChars="100"/>
              <w:rPr>
                <w:rFonts w:hint="eastAsia" w:ascii="仿宋" w:hAnsi="仿宋" w:eastAsia="仿宋" w:cs="仿宋"/>
                <w:color w:val="auto"/>
                <w:sz w:val="24"/>
              </w:rPr>
            </w:pPr>
          </w:p>
        </w:tc>
        <w:tc>
          <w:tcPr>
            <w:tcW w:w="1438" w:type="dxa"/>
            <w:noWrap w:val="0"/>
            <w:vAlign w:val="center"/>
          </w:tcPr>
          <w:p w14:paraId="79F3E6E3">
            <w:pPr>
              <w:spacing w:line="360" w:lineRule="auto"/>
              <w:ind w:left="240" w:leftChars="100"/>
              <w:rPr>
                <w:rFonts w:hint="eastAsia" w:ascii="仿宋" w:hAnsi="仿宋" w:eastAsia="仿宋" w:cs="仿宋"/>
                <w:color w:val="auto"/>
                <w:sz w:val="24"/>
              </w:rPr>
            </w:pPr>
          </w:p>
        </w:tc>
      </w:tr>
      <w:tr w14:paraId="1A7C6B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EA5CBA1">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7813DBC9">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3650052B">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29C8D20D">
            <w:pPr>
              <w:spacing w:line="360" w:lineRule="auto"/>
              <w:ind w:left="240" w:leftChars="100"/>
              <w:rPr>
                <w:rFonts w:hint="eastAsia" w:ascii="仿宋" w:hAnsi="仿宋" w:eastAsia="仿宋" w:cs="仿宋"/>
                <w:color w:val="auto"/>
                <w:sz w:val="24"/>
              </w:rPr>
            </w:pPr>
          </w:p>
        </w:tc>
        <w:tc>
          <w:tcPr>
            <w:tcW w:w="1438" w:type="dxa"/>
            <w:noWrap w:val="0"/>
            <w:vAlign w:val="center"/>
          </w:tcPr>
          <w:p w14:paraId="32B769AF">
            <w:pPr>
              <w:spacing w:line="360" w:lineRule="auto"/>
              <w:ind w:left="240" w:leftChars="100"/>
              <w:rPr>
                <w:rFonts w:hint="eastAsia" w:ascii="仿宋" w:hAnsi="仿宋" w:eastAsia="仿宋" w:cs="仿宋"/>
                <w:color w:val="auto"/>
                <w:sz w:val="24"/>
              </w:rPr>
            </w:pPr>
          </w:p>
        </w:tc>
      </w:tr>
      <w:tr w14:paraId="04B17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DCCEE1D">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13E8C6E0">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0D56535E">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54C4564D">
            <w:pPr>
              <w:spacing w:line="360" w:lineRule="auto"/>
              <w:ind w:left="240" w:leftChars="100"/>
              <w:rPr>
                <w:rFonts w:hint="eastAsia" w:ascii="仿宋" w:hAnsi="仿宋" w:eastAsia="仿宋" w:cs="仿宋"/>
                <w:color w:val="auto"/>
                <w:sz w:val="24"/>
              </w:rPr>
            </w:pPr>
          </w:p>
        </w:tc>
        <w:tc>
          <w:tcPr>
            <w:tcW w:w="1438" w:type="dxa"/>
            <w:noWrap w:val="0"/>
            <w:vAlign w:val="center"/>
          </w:tcPr>
          <w:p w14:paraId="59EB2325">
            <w:pPr>
              <w:spacing w:line="360" w:lineRule="auto"/>
              <w:ind w:left="240" w:leftChars="100"/>
              <w:rPr>
                <w:rFonts w:hint="eastAsia" w:ascii="仿宋" w:hAnsi="仿宋" w:eastAsia="仿宋" w:cs="仿宋"/>
                <w:color w:val="auto"/>
                <w:sz w:val="24"/>
              </w:rPr>
            </w:pPr>
          </w:p>
        </w:tc>
      </w:tr>
      <w:tr w14:paraId="2E509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D91A594">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20C0A49E">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199CDB15">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3E945CCA">
            <w:pPr>
              <w:spacing w:line="360" w:lineRule="auto"/>
              <w:ind w:left="240" w:leftChars="100"/>
              <w:rPr>
                <w:rFonts w:hint="eastAsia" w:ascii="仿宋" w:hAnsi="仿宋" w:eastAsia="仿宋" w:cs="仿宋"/>
                <w:color w:val="auto"/>
                <w:sz w:val="24"/>
              </w:rPr>
            </w:pPr>
          </w:p>
        </w:tc>
        <w:tc>
          <w:tcPr>
            <w:tcW w:w="1438" w:type="dxa"/>
            <w:noWrap w:val="0"/>
            <w:vAlign w:val="center"/>
          </w:tcPr>
          <w:p w14:paraId="4CB1EEF9">
            <w:pPr>
              <w:spacing w:line="360" w:lineRule="auto"/>
              <w:ind w:left="240" w:leftChars="100"/>
              <w:rPr>
                <w:rFonts w:hint="eastAsia" w:ascii="仿宋" w:hAnsi="仿宋" w:eastAsia="仿宋" w:cs="仿宋"/>
                <w:color w:val="auto"/>
                <w:sz w:val="24"/>
              </w:rPr>
            </w:pPr>
          </w:p>
        </w:tc>
      </w:tr>
      <w:tr w14:paraId="542680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2FC8412">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59879EA3">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5FD2E69A">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56A37CE0">
            <w:pPr>
              <w:spacing w:line="360" w:lineRule="auto"/>
              <w:ind w:left="240" w:leftChars="100"/>
              <w:rPr>
                <w:rFonts w:hint="eastAsia" w:ascii="仿宋" w:hAnsi="仿宋" w:eastAsia="仿宋" w:cs="仿宋"/>
                <w:color w:val="auto"/>
                <w:sz w:val="24"/>
              </w:rPr>
            </w:pPr>
          </w:p>
        </w:tc>
        <w:tc>
          <w:tcPr>
            <w:tcW w:w="1438" w:type="dxa"/>
            <w:noWrap w:val="0"/>
            <w:vAlign w:val="center"/>
          </w:tcPr>
          <w:p w14:paraId="78862BE0">
            <w:pPr>
              <w:spacing w:line="360" w:lineRule="auto"/>
              <w:ind w:left="240" w:leftChars="100"/>
              <w:rPr>
                <w:rFonts w:hint="eastAsia" w:ascii="仿宋" w:hAnsi="仿宋" w:eastAsia="仿宋" w:cs="仿宋"/>
                <w:color w:val="auto"/>
                <w:sz w:val="24"/>
              </w:rPr>
            </w:pPr>
          </w:p>
        </w:tc>
      </w:tr>
      <w:tr w14:paraId="59B8EA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810D1D5">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346D072B">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033E2A6A">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437D2FD2">
            <w:pPr>
              <w:spacing w:line="360" w:lineRule="auto"/>
              <w:ind w:left="240" w:leftChars="100"/>
              <w:rPr>
                <w:rFonts w:hint="eastAsia" w:ascii="仿宋" w:hAnsi="仿宋" w:eastAsia="仿宋" w:cs="仿宋"/>
                <w:color w:val="auto"/>
                <w:sz w:val="24"/>
              </w:rPr>
            </w:pPr>
          </w:p>
        </w:tc>
        <w:tc>
          <w:tcPr>
            <w:tcW w:w="1438" w:type="dxa"/>
            <w:noWrap w:val="0"/>
            <w:vAlign w:val="center"/>
          </w:tcPr>
          <w:p w14:paraId="5D6FFEF1">
            <w:pPr>
              <w:spacing w:line="360" w:lineRule="auto"/>
              <w:ind w:left="240" w:leftChars="100"/>
              <w:rPr>
                <w:rFonts w:hint="eastAsia" w:ascii="仿宋" w:hAnsi="仿宋" w:eastAsia="仿宋" w:cs="仿宋"/>
                <w:color w:val="auto"/>
                <w:sz w:val="24"/>
              </w:rPr>
            </w:pPr>
          </w:p>
        </w:tc>
      </w:tr>
      <w:tr w14:paraId="22112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noWrap w:val="0"/>
            <w:tcMar>
              <w:top w:w="57" w:type="dxa"/>
              <w:left w:w="28" w:type="dxa"/>
              <w:bottom w:w="57" w:type="dxa"/>
              <w:right w:w="28" w:type="dxa"/>
            </w:tcMar>
            <w:vAlign w:val="center"/>
          </w:tcPr>
          <w:p w14:paraId="70456392">
            <w:pPr>
              <w:spacing w:line="360" w:lineRule="auto"/>
              <w:ind w:left="240" w:leftChars="100"/>
              <w:rPr>
                <w:rFonts w:hint="eastAsia" w:ascii="仿宋" w:hAnsi="仿宋" w:eastAsia="仿宋" w:cs="仿宋"/>
                <w:color w:val="auto"/>
                <w:sz w:val="24"/>
              </w:rPr>
            </w:pPr>
          </w:p>
        </w:tc>
        <w:tc>
          <w:tcPr>
            <w:tcW w:w="2950" w:type="dxa"/>
            <w:tcBorders>
              <w:bottom w:val="single" w:color="auto" w:sz="4" w:space="0"/>
            </w:tcBorders>
            <w:noWrap w:val="0"/>
            <w:tcMar>
              <w:top w:w="57" w:type="dxa"/>
              <w:left w:w="28" w:type="dxa"/>
              <w:bottom w:w="57" w:type="dxa"/>
              <w:right w:w="28" w:type="dxa"/>
            </w:tcMar>
            <w:vAlign w:val="center"/>
          </w:tcPr>
          <w:p w14:paraId="5673FDA7">
            <w:pPr>
              <w:spacing w:line="360" w:lineRule="auto"/>
              <w:ind w:left="240" w:leftChars="100"/>
              <w:rPr>
                <w:rFonts w:hint="eastAsia" w:ascii="仿宋" w:hAnsi="仿宋" w:eastAsia="仿宋" w:cs="仿宋"/>
                <w:color w:val="auto"/>
                <w:sz w:val="24"/>
              </w:rPr>
            </w:pPr>
          </w:p>
        </w:tc>
        <w:tc>
          <w:tcPr>
            <w:tcW w:w="2379" w:type="dxa"/>
            <w:tcBorders>
              <w:bottom w:val="single" w:color="auto" w:sz="4" w:space="0"/>
            </w:tcBorders>
            <w:noWrap w:val="0"/>
            <w:tcMar>
              <w:top w:w="57" w:type="dxa"/>
              <w:left w:w="28" w:type="dxa"/>
              <w:bottom w:w="57" w:type="dxa"/>
              <w:right w:w="28" w:type="dxa"/>
            </w:tcMar>
            <w:vAlign w:val="center"/>
          </w:tcPr>
          <w:p w14:paraId="7E246632">
            <w:pPr>
              <w:spacing w:line="360" w:lineRule="auto"/>
              <w:ind w:left="240" w:leftChars="100"/>
              <w:rPr>
                <w:rFonts w:hint="eastAsia" w:ascii="仿宋" w:hAnsi="仿宋" w:eastAsia="仿宋" w:cs="仿宋"/>
                <w:color w:val="auto"/>
                <w:sz w:val="24"/>
              </w:rPr>
            </w:pPr>
          </w:p>
        </w:tc>
        <w:tc>
          <w:tcPr>
            <w:tcW w:w="1650" w:type="dxa"/>
            <w:tcBorders>
              <w:bottom w:val="single" w:color="auto" w:sz="4" w:space="0"/>
            </w:tcBorders>
            <w:noWrap w:val="0"/>
            <w:tcMar>
              <w:top w:w="57" w:type="dxa"/>
              <w:left w:w="28" w:type="dxa"/>
              <w:bottom w:w="57" w:type="dxa"/>
              <w:right w:w="28" w:type="dxa"/>
            </w:tcMar>
            <w:vAlign w:val="center"/>
          </w:tcPr>
          <w:p w14:paraId="785392A0">
            <w:pPr>
              <w:spacing w:line="360" w:lineRule="auto"/>
              <w:ind w:left="240" w:leftChars="100"/>
              <w:rPr>
                <w:rFonts w:hint="eastAsia" w:ascii="仿宋" w:hAnsi="仿宋" w:eastAsia="仿宋" w:cs="仿宋"/>
                <w:color w:val="auto"/>
                <w:sz w:val="24"/>
              </w:rPr>
            </w:pPr>
          </w:p>
        </w:tc>
        <w:tc>
          <w:tcPr>
            <w:tcW w:w="1438" w:type="dxa"/>
            <w:tcBorders>
              <w:bottom w:val="single" w:color="auto" w:sz="4" w:space="0"/>
            </w:tcBorders>
            <w:noWrap w:val="0"/>
            <w:vAlign w:val="center"/>
          </w:tcPr>
          <w:p w14:paraId="7F27F115">
            <w:pPr>
              <w:spacing w:line="360" w:lineRule="auto"/>
              <w:ind w:left="240" w:leftChars="100"/>
              <w:rPr>
                <w:rFonts w:hint="eastAsia" w:ascii="仿宋" w:hAnsi="仿宋" w:eastAsia="仿宋" w:cs="仿宋"/>
                <w:color w:val="auto"/>
                <w:sz w:val="24"/>
              </w:rPr>
            </w:pPr>
          </w:p>
        </w:tc>
      </w:tr>
      <w:tr w14:paraId="0B7A60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6D34D925">
            <w:pPr>
              <w:spacing w:line="360" w:lineRule="auto"/>
              <w:ind w:left="240" w:leftChars="100"/>
              <w:rPr>
                <w:rFonts w:hint="eastAsia" w:ascii="仿宋" w:hAnsi="仿宋" w:eastAsia="仿宋" w:cs="仿宋"/>
                <w:color w:val="auto"/>
                <w:sz w:val="24"/>
              </w:rPr>
            </w:pPr>
          </w:p>
        </w:tc>
        <w:tc>
          <w:tcPr>
            <w:tcW w:w="2950" w:type="dxa"/>
            <w:noWrap w:val="0"/>
            <w:tcMar>
              <w:top w:w="57" w:type="dxa"/>
              <w:left w:w="28" w:type="dxa"/>
              <w:bottom w:w="57" w:type="dxa"/>
              <w:right w:w="28" w:type="dxa"/>
            </w:tcMar>
            <w:vAlign w:val="center"/>
          </w:tcPr>
          <w:p w14:paraId="3A2DD68B">
            <w:pPr>
              <w:spacing w:line="360" w:lineRule="auto"/>
              <w:ind w:left="240" w:leftChars="100"/>
              <w:rPr>
                <w:rFonts w:hint="eastAsia" w:ascii="仿宋" w:hAnsi="仿宋" w:eastAsia="仿宋" w:cs="仿宋"/>
                <w:color w:val="auto"/>
                <w:sz w:val="24"/>
              </w:rPr>
            </w:pPr>
          </w:p>
        </w:tc>
        <w:tc>
          <w:tcPr>
            <w:tcW w:w="2379" w:type="dxa"/>
            <w:noWrap w:val="0"/>
            <w:tcMar>
              <w:top w:w="57" w:type="dxa"/>
              <w:left w:w="28" w:type="dxa"/>
              <w:bottom w:w="57" w:type="dxa"/>
              <w:right w:w="28" w:type="dxa"/>
            </w:tcMar>
            <w:vAlign w:val="center"/>
          </w:tcPr>
          <w:p w14:paraId="16995571">
            <w:pPr>
              <w:spacing w:line="360" w:lineRule="auto"/>
              <w:ind w:left="240" w:leftChars="100"/>
              <w:rPr>
                <w:rFonts w:hint="eastAsia" w:ascii="仿宋" w:hAnsi="仿宋" w:eastAsia="仿宋" w:cs="仿宋"/>
                <w:color w:val="auto"/>
                <w:sz w:val="24"/>
              </w:rPr>
            </w:pPr>
          </w:p>
        </w:tc>
        <w:tc>
          <w:tcPr>
            <w:tcW w:w="1650" w:type="dxa"/>
            <w:noWrap w:val="0"/>
            <w:tcMar>
              <w:top w:w="57" w:type="dxa"/>
              <w:left w:w="28" w:type="dxa"/>
              <w:bottom w:w="57" w:type="dxa"/>
              <w:right w:w="28" w:type="dxa"/>
            </w:tcMar>
            <w:vAlign w:val="center"/>
          </w:tcPr>
          <w:p w14:paraId="65C840CB">
            <w:pPr>
              <w:spacing w:line="360" w:lineRule="auto"/>
              <w:ind w:left="240" w:leftChars="100"/>
              <w:rPr>
                <w:rFonts w:hint="eastAsia" w:ascii="仿宋" w:hAnsi="仿宋" w:eastAsia="仿宋" w:cs="仿宋"/>
                <w:color w:val="auto"/>
                <w:sz w:val="24"/>
              </w:rPr>
            </w:pPr>
          </w:p>
        </w:tc>
        <w:tc>
          <w:tcPr>
            <w:tcW w:w="1438" w:type="dxa"/>
            <w:noWrap w:val="0"/>
            <w:vAlign w:val="center"/>
          </w:tcPr>
          <w:p w14:paraId="2AB1A0FD">
            <w:pPr>
              <w:spacing w:line="360" w:lineRule="auto"/>
              <w:ind w:left="240" w:leftChars="100"/>
              <w:rPr>
                <w:rFonts w:hint="eastAsia" w:ascii="仿宋" w:hAnsi="仿宋" w:eastAsia="仿宋" w:cs="仿宋"/>
                <w:color w:val="auto"/>
                <w:sz w:val="24"/>
              </w:rPr>
            </w:pPr>
          </w:p>
        </w:tc>
      </w:tr>
    </w:tbl>
    <w:p w14:paraId="008D4863">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注：</w:t>
      </w:r>
    </w:p>
    <w:p w14:paraId="3538CE99">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本表只填写投标文件中与</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有偏离的内容，投标文件中商务响应与</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要求完全一致的，不用在此表中列出，但必须提交空白表。如不提供此表，则视为投标人不满足</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的所有商务条款要求，其投标无效</w:t>
      </w:r>
      <w:r>
        <w:rPr>
          <w:rFonts w:hint="eastAsia" w:ascii="仿宋" w:hAnsi="仿宋" w:eastAsia="仿宋" w:cs="仿宋"/>
          <w:color w:val="auto"/>
          <w:sz w:val="24"/>
          <w:lang w:eastAsia="zh-CN"/>
        </w:rPr>
        <w:t>。</w:t>
      </w:r>
    </w:p>
    <w:p w14:paraId="2C19F2C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Cs w:val="21"/>
        </w:rPr>
        <w:t>2.投标人必须据实填写，不得虚假响应，否则，将取消其投标或中标资格。</w:t>
      </w:r>
    </w:p>
    <w:p w14:paraId="620D2980">
      <w:pPr>
        <w:spacing w:line="360" w:lineRule="auto"/>
        <w:ind w:right="-161" w:firstLine="2640" w:firstLineChars="1100"/>
        <w:jc w:val="both"/>
        <w:rPr>
          <w:rFonts w:hint="eastAsia" w:ascii="仿宋" w:hAnsi="仿宋" w:eastAsia="仿宋" w:cs="仿宋"/>
          <w:color w:val="auto"/>
          <w:sz w:val="24"/>
          <w:szCs w:val="24"/>
          <w:u w:val="single"/>
        </w:rPr>
      </w:pPr>
      <w:r>
        <w:rPr>
          <w:rFonts w:hint="eastAsia" w:ascii="仿宋" w:hAnsi="仿宋" w:eastAsia="仿宋" w:cs="仿宋"/>
          <w:color w:val="auto"/>
          <w:sz w:val="24"/>
          <w:szCs w:val="24"/>
          <w:lang w:eastAsia="zh-CN"/>
        </w:rPr>
        <w:t>法定代表人/单位负责人</w:t>
      </w:r>
      <w:r>
        <w:rPr>
          <w:rFonts w:hint="eastAsia" w:ascii="仿宋" w:hAnsi="仿宋" w:eastAsia="仿宋" w:cs="仿宋"/>
          <w:color w:val="auto"/>
          <w:sz w:val="24"/>
          <w:szCs w:val="24"/>
        </w:rPr>
        <w:t>或被授权代表签字：</w:t>
      </w:r>
      <w:r>
        <w:rPr>
          <w:rFonts w:hint="eastAsia" w:ascii="仿宋" w:hAnsi="仿宋" w:eastAsia="仿宋" w:cs="仿宋"/>
          <w:color w:val="auto"/>
          <w:sz w:val="24"/>
          <w:szCs w:val="24"/>
          <w:u w:val="single"/>
        </w:rPr>
        <w:t xml:space="preserve">                      </w:t>
      </w:r>
    </w:p>
    <w:p w14:paraId="66CAC3F0">
      <w:pPr>
        <w:spacing w:line="360" w:lineRule="auto"/>
        <w:ind w:right="-161" w:firstLine="2640" w:firstLineChars="1100"/>
        <w:jc w:val="both"/>
        <w:rPr>
          <w:rFonts w:hint="eastAsia" w:ascii="仿宋" w:hAnsi="仿宋" w:eastAsia="仿宋" w:cs="仿宋"/>
          <w:color w:val="auto"/>
          <w:sz w:val="24"/>
          <w:szCs w:val="24"/>
        </w:rPr>
      </w:pPr>
      <w:r>
        <w:rPr>
          <w:rFonts w:hint="eastAsia" w:ascii="仿宋" w:hAnsi="仿宋" w:eastAsia="仿宋" w:cs="仿宋"/>
          <w:color w:val="auto"/>
          <w:szCs w:val="21"/>
        </w:rPr>
        <w:t>供应商名称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eastAsia="zh-CN"/>
        </w:rPr>
        <w:t>（公章）</w:t>
      </w:r>
    </w:p>
    <w:p w14:paraId="356E2862">
      <w:pPr>
        <w:spacing w:line="360" w:lineRule="auto"/>
        <w:ind w:right="480" w:firstLine="2640" w:firstLineChars="1100"/>
        <w:jc w:val="both"/>
        <w:rPr>
          <w:rFonts w:hint="eastAsia" w:ascii="仿宋" w:hAnsi="仿宋" w:eastAsia="仿宋" w:cs="仿宋"/>
          <w:color w:val="auto"/>
          <w:sz w:val="24"/>
          <w:szCs w:val="24"/>
          <w:u w:val="single"/>
        </w:rPr>
        <w:sectPr>
          <w:pgSz w:w="11906" w:h="16838"/>
          <w:pgMar w:top="1440" w:right="1080" w:bottom="1440" w:left="1080" w:header="1134" w:footer="1134" w:gutter="0"/>
          <w:pgBorders>
            <w:top w:val="none" w:sz="0" w:space="0"/>
            <w:left w:val="none" w:sz="0" w:space="0"/>
            <w:bottom w:val="none" w:sz="0" w:space="0"/>
            <w:right w:val="none" w:sz="0" w:space="0"/>
          </w:pgBorders>
          <w:pgNumType w:fmt="decimal"/>
          <w:cols w:space="720" w:num="1"/>
          <w:titlePg/>
          <w:rtlGutter w:val="0"/>
          <w:docGrid w:type="lines" w:linePitch="312" w:charSpace="0"/>
        </w:sectPr>
      </w:pP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期：</w:t>
      </w:r>
      <w:r>
        <w:rPr>
          <w:rFonts w:hint="eastAsia" w:ascii="仿宋" w:hAnsi="仿宋" w:eastAsia="仿宋" w:cs="仿宋"/>
          <w:color w:val="auto"/>
          <w:sz w:val="24"/>
          <w:szCs w:val="24"/>
          <w:u w:val="single"/>
        </w:rPr>
        <w:t xml:space="preserve">                    </w:t>
      </w:r>
    </w:p>
    <w:bookmarkEnd w:id="106"/>
    <w:bookmarkEnd w:id="107"/>
    <w:bookmarkEnd w:id="108"/>
    <w:bookmarkEnd w:id="109"/>
    <w:bookmarkEnd w:id="110"/>
    <w:bookmarkEnd w:id="111"/>
    <w:bookmarkEnd w:id="112"/>
    <w:bookmarkEnd w:id="113"/>
    <w:bookmarkEnd w:id="114"/>
    <w:bookmarkEnd w:id="115"/>
    <w:p w14:paraId="36CA66B6">
      <w:pPr>
        <w:spacing w:line="360" w:lineRule="auto"/>
        <w:ind w:left="240" w:leftChars="100"/>
        <w:jc w:val="center"/>
        <w:outlineLvl w:val="1"/>
        <w:rPr>
          <w:rFonts w:hint="eastAsia" w:ascii="仿宋" w:hAnsi="仿宋" w:eastAsia="仿宋" w:cs="仿宋"/>
          <w:b/>
          <w:bCs/>
          <w:color w:val="auto"/>
          <w:kern w:val="2"/>
          <w:sz w:val="32"/>
          <w:szCs w:val="32"/>
          <w:lang w:val="en-US" w:eastAsia="zh-CN" w:bidi="ar-SA"/>
        </w:rPr>
      </w:pPr>
      <w:bookmarkStart w:id="116" w:name="_Toc29033"/>
      <w:bookmarkStart w:id="117" w:name="_Toc5817"/>
      <w:bookmarkStart w:id="118" w:name="_Toc492757486"/>
      <w:r>
        <w:rPr>
          <w:rFonts w:hint="eastAsia" w:ascii="仿宋" w:hAnsi="仿宋" w:eastAsia="仿宋" w:cs="仿宋"/>
          <w:b/>
          <w:bCs/>
          <w:color w:val="auto"/>
          <w:kern w:val="2"/>
          <w:sz w:val="32"/>
          <w:szCs w:val="32"/>
          <w:lang w:val="en-US" w:eastAsia="zh-CN" w:bidi="ar-SA"/>
        </w:rPr>
        <w:t>五、技术规格响应偏离表</w:t>
      </w:r>
      <w:bookmarkEnd w:id="116"/>
    </w:p>
    <w:p w14:paraId="6BF9EB16">
      <w:pPr>
        <w:spacing w:line="360" w:lineRule="auto"/>
        <w:jc w:val="left"/>
        <w:rPr>
          <w:rFonts w:hint="eastAsia" w:ascii="仿宋" w:hAnsi="仿宋" w:eastAsia="仿宋" w:cs="仿宋"/>
          <w:color w:val="auto"/>
          <w:szCs w:val="24"/>
          <w:u w:val="single"/>
        </w:rPr>
      </w:pPr>
      <w:r>
        <w:rPr>
          <w:rFonts w:hint="eastAsia" w:ascii="仿宋" w:hAnsi="仿宋" w:eastAsia="仿宋" w:cs="仿宋"/>
          <w:color w:val="auto"/>
          <w:szCs w:val="24"/>
          <w:lang w:eastAsia="zh-CN"/>
        </w:rPr>
        <w:t>项目</w:t>
      </w:r>
      <w:r>
        <w:rPr>
          <w:rFonts w:hint="eastAsia" w:ascii="仿宋" w:hAnsi="仿宋" w:eastAsia="仿宋" w:cs="仿宋"/>
          <w:color w:val="auto"/>
          <w:szCs w:val="24"/>
        </w:rPr>
        <w:t>名称：</w:t>
      </w:r>
      <w:r>
        <w:rPr>
          <w:rFonts w:hint="eastAsia" w:ascii="仿宋" w:hAnsi="仿宋" w:eastAsia="仿宋" w:cs="仿宋"/>
          <w:color w:val="auto"/>
          <w:szCs w:val="24"/>
          <w:u w:val="single"/>
        </w:rPr>
        <w:t xml:space="preserve">                    </w:t>
      </w:r>
      <w:r>
        <w:rPr>
          <w:rFonts w:hint="eastAsia" w:ascii="仿宋" w:hAnsi="仿宋" w:eastAsia="仿宋" w:cs="仿宋"/>
          <w:color w:val="auto"/>
          <w:szCs w:val="24"/>
        </w:rPr>
        <w:t xml:space="preserve">            项目编号：</w:t>
      </w:r>
      <w:r>
        <w:rPr>
          <w:rFonts w:hint="eastAsia" w:ascii="仿宋" w:hAnsi="仿宋" w:eastAsia="仿宋" w:cs="仿宋"/>
          <w:color w:val="auto"/>
          <w:szCs w:val="24"/>
          <w:u w:val="single"/>
        </w:rPr>
        <w:t xml:space="preserve">                  </w:t>
      </w:r>
    </w:p>
    <w:tbl>
      <w:tblPr>
        <w:tblStyle w:val="27"/>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14:paraId="4DFF42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20907BEE">
            <w:pPr>
              <w:spacing w:line="360" w:lineRule="auto"/>
              <w:ind w:left="46" w:leftChars="19"/>
              <w:jc w:val="center"/>
              <w:rPr>
                <w:rFonts w:hint="eastAsia" w:ascii="仿宋" w:hAnsi="仿宋" w:eastAsia="仿宋" w:cs="仿宋"/>
                <w:b/>
                <w:color w:val="auto"/>
                <w:szCs w:val="24"/>
              </w:rPr>
            </w:pPr>
            <w:r>
              <w:rPr>
                <w:rFonts w:hint="eastAsia" w:ascii="仿宋" w:hAnsi="仿宋" w:eastAsia="仿宋" w:cs="仿宋"/>
                <w:b/>
                <w:color w:val="auto"/>
                <w:szCs w:val="24"/>
              </w:rPr>
              <w:t>序号</w:t>
            </w:r>
          </w:p>
        </w:tc>
        <w:tc>
          <w:tcPr>
            <w:tcW w:w="2794" w:type="dxa"/>
            <w:tcMar>
              <w:top w:w="57" w:type="dxa"/>
              <w:left w:w="28" w:type="dxa"/>
              <w:bottom w:w="57" w:type="dxa"/>
              <w:right w:w="28" w:type="dxa"/>
            </w:tcMar>
            <w:vAlign w:val="center"/>
          </w:tcPr>
          <w:p w14:paraId="565EB80F">
            <w:pPr>
              <w:spacing w:line="360" w:lineRule="auto"/>
              <w:ind w:left="240" w:leftChars="100"/>
              <w:jc w:val="center"/>
              <w:rPr>
                <w:rFonts w:hint="eastAsia" w:ascii="仿宋" w:hAnsi="仿宋" w:eastAsia="仿宋" w:cs="仿宋"/>
                <w:b/>
                <w:color w:val="auto"/>
                <w:szCs w:val="24"/>
              </w:rPr>
            </w:pPr>
            <w:r>
              <w:rPr>
                <w:rFonts w:hint="eastAsia" w:ascii="仿宋" w:hAnsi="仿宋" w:eastAsia="仿宋" w:cs="仿宋"/>
                <w:b/>
                <w:color w:val="auto"/>
                <w:szCs w:val="24"/>
              </w:rPr>
              <w:t>磋商文件技术需求</w:t>
            </w:r>
          </w:p>
        </w:tc>
        <w:tc>
          <w:tcPr>
            <w:tcW w:w="2659" w:type="dxa"/>
            <w:tcMar>
              <w:top w:w="57" w:type="dxa"/>
              <w:left w:w="28" w:type="dxa"/>
              <w:bottom w:w="57" w:type="dxa"/>
              <w:right w:w="28" w:type="dxa"/>
            </w:tcMar>
            <w:vAlign w:val="center"/>
          </w:tcPr>
          <w:p w14:paraId="1D90651B">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响应文件技术响应</w:t>
            </w:r>
          </w:p>
        </w:tc>
        <w:tc>
          <w:tcPr>
            <w:tcW w:w="2485" w:type="dxa"/>
            <w:tcMar>
              <w:top w:w="57" w:type="dxa"/>
              <w:left w:w="28" w:type="dxa"/>
              <w:bottom w:w="57" w:type="dxa"/>
              <w:right w:w="28" w:type="dxa"/>
            </w:tcMar>
            <w:vAlign w:val="center"/>
          </w:tcPr>
          <w:p w14:paraId="662BBF44">
            <w:pPr>
              <w:spacing w:line="360" w:lineRule="auto"/>
              <w:jc w:val="center"/>
              <w:rPr>
                <w:rFonts w:hint="eastAsia" w:ascii="仿宋" w:hAnsi="仿宋" w:eastAsia="仿宋" w:cs="仿宋"/>
                <w:b/>
                <w:color w:val="auto"/>
                <w:szCs w:val="24"/>
              </w:rPr>
            </w:pPr>
            <w:r>
              <w:rPr>
                <w:rFonts w:hint="eastAsia" w:ascii="仿宋" w:hAnsi="仿宋" w:eastAsia="仿宋" w:cs="仿宋"/>
                <w:b/>
                <w:color w:val="auto"/>
                <w:szCs w:val="24"/>
              </w:rPr>
              <w:t>偏离情况</w:t>
            </w:r>
          </w:p>
        </w:tc>
      </w:tr>
      <w:tr w14:paraId="35EFD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14:paraId="3C70FE67">
            <w:pPr>
              <w:spacing w:line="360" w:lineRule="auto"/>
              <w:ind w:left="240" w:leftChars="100"/>
              <w:rPr>
                <w:rFonts w:hint="eastAsia" w:ascii="仿宋" w:hAnsi="仿宋" w:eastAsia="仿宋" w:cs="仿宋"/>
                <w:color w:val="auto"/>
                <w:szCs w:val="24"/>
              </w:rPr>
            </w:pPr>
          </w:p>
        </w:tc>
        <w:tc>
          <w:tcPr>
            <w:tcW w:w="2794" w:type="dxa"/>
            <w:tcBorders>
              <w:bottom w:val="single" w:color="auto" w:sz="4" w:space="0"/>
            </w:tcBorders>
            <w:tcMar>
              <w:top w:w="57" w:type="dxa"/>
              <w:left w:w="28" w:type="dxa"/>
              <w:bottom w:w="57" w:type="dxa"/>
              <w:right w:w="28" w:type="dxa"/>
            </w:tcMar>
            <w:vAlign w:val="center"/>
          </w:tcPr>
          <w:p w14:paraId="2A917A31">
            <w:pPr>
              <w:spacing w:line="360" w:lineRule="auto"/>
              <w:ind w:left="240" w:leftChars="100"/>
              <w:rPr>
                <w:rFonts w:hint="eastAsia" w:ascii="仿宋" w:hAnsi="仿宋" w:eastAsia="仿宋" w:cs="仿宋"/>
                <w:color w:val="auto"/>
                <w:szCs w:val="24"/>
              </w:rPr>
            </w:pPr>
          </w:p>
        </w:tc>
        <w:tc>
          <w:tcPr>
            <w:tcW w:w="2659" w:type="dxa"/>
            <w:tcBorders>
              <w:bottom w:val="single" w:color="auto" w:sz="4" w:space="0"/>
            </w:tcBorders>
            <w:tcMar>
              <w:top w:w="57" w:type="dxa"/>
              <w:left w:w="28" w:type="dxa"/>
              <w:bottom w:w="57" w:type="dxa"/>
              <w:right w:w="28" w:type="dxa"/>
            </w:tcMar>
            <w:vAlign w:val="center"/>
          </w:tcPr>
          <w:p w14:paraId="209A7926">
            <w:pPr>
              <w:spacing w:line="360" w:lineRule="auto"/>
              <w:ind w:left="240" w:leftChars="100"/>
              <w:rPr>
                <w:rFonts w:hint="eastAsia" w:ascii="仿宋" w:hAnsi="仿宋" w:eastAsia="仿宋" w:cs="仿宋"/>
                <w:color w:val="auto"/>
                <w:szCs w:val="24"/>
              </w:rPr>
            </w:pPr>
          </w:p>
        </w:tc>
        <w:tc>
          <w:tcPr>
            <w:tcW w:w="2485" w:type="dxa"/>
            <w:tcBorders>
              <w:bottom w:val="single" w:color="auto" w:sz="4" w:space="0"/>
            </w:tcBorders>
            <w:tcMar>
              <w:top w:w="57" w:type="dxa"/>
              <w:left w:w="28" w:type="dxa"/>
              <w:bottom w:w="57" w:type="dxa"/>
              <w:right w:w="28" w:type="dxa"/>
            </w:tcMar>
            <w:vAlign w:val="center"/>
          </w:tcPr>
          <w:p w14:paraId="5A2D73CA">
            <w:pPr>
              <w:spacing w:line="360" w:lineRule="auto"/>
              <w:rPr>
                <w:rFonts w:hint="eastAsia" w:ascii="仿宋" w:hAnsi="仿宋" w:eastAsia="仿宋" w:cs="仿宋"/>
                <w:color w:val="auto"/>
                <w:szCs w:val="24"/>
              </w:rPr>
            </w:pPr>
          </w:p>
        </w:tc>
      </w:tr>
      <w:tr w14:paraId="39F9EF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4E472433">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5676B7F3">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537BA8B1">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67061BDC">
            <w:pPr>
              <w:spacing w:line="360" w:lineRule="auto"/>
              <w:rPr>
                <w:rFonts w:hint="eastAsia" w:ascii="仿宋" w:hAnsi="仿宋" w:eastAsia="仿宋" w:cs="仿宋"/>
                <w:color w:val="auto"/>
                <w:szCs w:val="24"/>
              </w:rPr>
            </w:pPr>
          </w:p>
        </w:tc>
      </w:tr>
      <w:tr w14:paraId="10D82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24EE8491">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467B3FA7">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461A97C6">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1D5C50A7">
            <w:pPr>
              <w:spacing w:line="360" w:lineRule="auto"/>
              <w:rPr>
                <w:rFonts w:hint="eastAsia" w:ascii="仿宋" w:hAnsi="仿宋" w:eastAsia="仿宋" w:cs="仿宋"/>
                <w:color w:val="auto"/>
                <w:szCs w:val="24"/>
              </w:rPr>
            </w:pPr>
          </w:p>
        </w:tc>
      </w:tr>
      <w:tr w14:paraId="7D4C63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2ECFE6A1">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20BBC990">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109B42DA">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0D83D6EF">
            <w:pPr>
              <w:spacing w:line="360" w:lineRule="auto"/>
              <w:rPr>
                <w:rFonts w:hint="eastAsia" w:ascii="仿宋" w:hAnsi="仿宋" w:eastAsia="仿宋" w:cs="仿宋"/>
                <w:color w:val="auto"/>
                <w:szCs w:val="24"/>
              </w:rPr>
            </w:pPr>
          </w:p>
        </w:tc>
      </w:tr>
      <w:tr w14:paraId="2D4290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62F1AD66">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28AF823E">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04EDD6DA">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56E10E18">
            <w:pPr>
              <w:spacing w:line="360" w:lineRule="auto"/>
              <w:rPr>
                <w:rFonts w:hint="eastAsia" w:ascii="仿宋" w:hAnsi="仿宋" w:eastAsia="仿宋" w:cs="仿宋"/>
                <w:color w:val="auto"/>
                <w:szCs w:val="24"/>
              </w:rPr>
            </w:pPr>
          </w:p>
        </w:tc>
      </w:tr>
      <w:tr w14:paraId="7FA1BB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122B6268">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36E4C07A">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3637BB0A">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00AC71A1">
            <w:pPr>
              <w:spacing w:line="360" w:lineRule="auto"/>
              <w:rPr>
                <w:rFonts w:hint="eastAsia" w:ascii="仿宋" w:hAnsi="仿宋" w:eastAsia="仿宋" w:cs="仿宋"/>
                <w:color w:val="auto"/>
                <w:szCs w:val="24"/>
              </w:rPr>
            </w:pPr>
          </w:p>
        </w:tc>
      </w:tr>
      <w:tr w14:paraId="62698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30AACD71">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0C1B7815">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2673AD25">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50F315F4">
            <w:pPr>
              <w:spacing w:line="360" w:lineRule="auto"/>
              <w:rPr>
                <w:rFonts w:hint="eastAsia" w:ascii="仿宋" w:hAnsi="仿宋" w:eastAsia="仿宋" w:cs="仿宋"/>
                <w:color w:val="auto"/>
                <w:szCs w:val="24"/>
              </w:rPr>
            </w:pPr>
          </w:p>
        </w:tc>
      </w:tr>
      <w:tr w14:paraId="505BFC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14:paraId="47B20624">
            <w:pPr>
              <w:spacing w:line="360" w:lineRule="auto"/>
              <w:ind w:left="240" w:leftChars="100"/>
              <w:rPr>
                <w:rFonts w:hint="eastAsia" w:ascii="仿宋" w:hAnsi="仿宋" w:eastAsia="仿宋" w:cs="仿宋"/>
                <w:color w:val="auto"/>
                <w:szCs w:val="24"/>
              </w:rPr>
            </w:pPr>
          </w:p>
        </w:tc>
        <w:tc>
          <w:tcPr>
            <w:tcW w:w="2794" w:type="dxa"/>
            <w:tcBorders>
              <w:bottom w:val="single" w:color="auto" w:sz="4" w:space="0"/>
            </w:tcBorders>
            <w:tcMar>
              <w:top w:w="57" w:type="dxa"/>
              <w:left w:w="28" w:type="dxa"/>
              <w:bottom w:w="57" w:type="dxa"/>
              <w:right w:w="28" w:type="dxa"/>
            </w:tcMar>
            <w:vAlign w:val="center"/>
          </w:tcPr>
          <w:p w14:paraId="0CA89D29">
            <w:pPr>
              <w:spacing w:line="360" w:lineRule="auto"/>
              <w:ind w:left="240" w:leftChars="100"/>
              <w:rPr>
                <w:rFonts w:hint="eastAsia" w:ascii="仿宋" w:hAnsi="仿宋" w:eastAsia="仿宋" w:cs="仿宋"/>
                <w:color w:val="auto"/>
                <w:szCs w:val="24"/>
              </w:rPr>
            </w:pPr>
          </w:p>
        </w:tc>
        <w:tc>
          <w:tcPr>
            <w:tcW w:w="2659" w:type="dxa"/>
            <w:tcBorders>
              <w:bottom w:val="single" w:color="auto" w:sz="4" w:space="0"/>
            </w:tcBorders>
            <w:tcMar>
              <w:top w:w="57" w:type="dxa"/>
              <w:left w:w="28" w:type="dxa"/>
              <w:bottom w:w="57" w:type="dxa"/>
              <w:right w:w="28" w:type="dxa"/>
            </w:tcMar>
            <w:vAlign w:val="center"/>
          </w:tcPr>
          <w:p w14:paraId="7F056129">
            <w:pPr>
              <w:spacing w:line="360" w:lineRule="auto"/>
              <w:ind w:left="240" w:leftChars="100"/>
              <w:rPr>
                <w:rFonts w:hint="eastAsia" w:ascii="仿宋" w:hAnsi="仿宋" w:eastAsia="仿宋" w:cs="仿宋"/>
                <w:color w:val="auto"/>
                <w:szCs w:val="24"/>
              </w:rPr>
            </w:pPr>
          </w:p>
        </w:tc>
        <w:tc>
          <w:tcPr>
            <w:tcW w:w="2485" w:type="dxa"/>
            <w:tcBorders>
              <w:bottom w:val="single" w:color="auto" w:sz="4" w:space="0"/>
            </w:tcBorders>
            <w:tcMar>
              <w:top w:w="57" w:type="dxa"/>
              <w:left w:w="28" w:type="dxa"/>
              <w:bottom w:w="57" w:type="dxa"/>
              <w:right w:w="28" w:type="dxa"/>
            </w:tcMar>
            <w:vAlign w:val="center"/>
          </w:tcPr>
          <w:p w14:paraId="7FD35418">
            <w:pPr>
              <w:spacing w:line="360" w:lineRule="auto"/>
              <w:rPr>
                <w:rFonts w:hint="eastAsia" w:ascii="仿宋" w:hAnsi="仿宋" w:eastAsia="仿宋" w:cs="仿宋"/>
                <w:color w:val="auto"/>
                <w:szCs w:val="24"/>
              </w:rPr>
            </w:pPr>
          </w:p>
        </w:tc>
      </w:tr>
      <w:tr w14:paraId="60B2F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130B8820">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6962E36D">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29A4BD5B">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5D2443D6">
            <w:pPr>
              <w:spacing w:line="360" w:lineRule="auto"/>
              <w:rPr>
                <w:rFonts w:hint="eastAsia" w:ascii="仿宋" w:hAnsi="仿宋" w:eastAsia="仿宋" w:cs="仿宋"/>
                <w:color w:val="auto"/>
                <w:szCs w:val="24"/>
              </w:rPr>
            </w:pPr>
          </w:p>
        </w:tc>
      </w:tr>
      <w:tr w14:paraId="077279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14:paraId="54D748A3">
            <w:pPr>
              <w:spacing w:line="360" w:lineRule="auto"/>
              <w:ind w:left="240" w:leftChars="100"/>
              <w:rPr>
                <w:rFonts w:hint="eastAsia" w:ascii="仿宋" w:hAnsi="仿宋" w:eastAsia="仿宋" w:cs="仿宋"/>
                <w:color w:val="auto"/>
                <w:szCs w:val="24"/>
              </w:rPr>
            </w:pPr>
          </w:p>
        </w:tc>
        <w:tc>
          <w:tcPr>
            <w:tcW w:w="2794" w:type="dxa"/>
            <w:tcMar>
              <w:top w:w="57" w:type="dxa"/>
              <w:left w:w="28" w:type="dxa"/>
              <w:bottom w:w="57" w:type="dxa"/>
              <w:right w:w="28" w:type="dxa"/>
            </w:tcMar>
            <w:vAlign w:val="center"/>
          </w:tcPr>
          <w:p w14:paraId="0C049AF1">
            <w:pPr>
              <w:spacing w:line="360" w:lineRule="auto"/>
              <w:ind w:left="240" w:leftChars="100"/>
              <w:rPr>
                <w:rFonts w:hint="eastAsia" w:ascii="仿宋" w:hAnsi="仿宋" w:eastAsia="仿宋" w:cs="仿宋"/>
                <w:color w:val="auto"/>
                <w:szCs w:val="24"/>
              </w:rPr>
            </w:pPr>
          </w:p>
        </w:tc>
        <w:tc>
          <w:tcPr>
            <w:tcW w:w="2659" w:type="dxa"/>
            <w:tcMar>
              <w:top w:w="57" w:type="dxa"/>
              <w:left w:w="28" w:type="dxa"/>
              <w:bottom w:w="57" w:type="dxa"/>
              <w:right w:w="28" w:type="dxa"/>
            </w:tcMar>
            <w:vAlign w:val="center"/>
          </w:tcPr>
          <w:p w14:paraId="1847B88E">
            <w:pPr>
              <w:spacing w:line="360" w:lineRule="auto"/>
              <w:ind w:left="240" w:leftChars="100"/>
              <w:rPr>
                <w:rFonts w:hint="eastAsia" w:ascii="仿宋" w:hAnsi="仿宋" w:eastAsia="仿宋" w:cs="仿宋"/>
                <w:color w:val="auto"/>
                <w:szCs w:val="24"/>
              </w:rPr>
            </w:pPr>
          </w:p>
        </w:tc>
        <w:tc>
          <w:tcPr>
            <w:tcW w:w="2485" w:type="dxa"/>
            <w:tcMar>
              <w:top w:w="57" w:type="dxa"/>
              <w:left w:w="28" w:type="dxa"/>
              <w:bottom w:w="57" w:type="dxa"/>
              <w:right w:w="28" w:type="dxa"/>
            </w:tcMar>
            <w:vAlign w:val="center"/>
          </w:tcPr>
          <w:p w14:paraId="22BB6737">
            <w:pPr>
              <w:spacing w:line="360" w:lineRule="auto"/>
              <w:rPr>
                <w:rFonts w:hint="eastAsia" w:ascii="仿宋" w:hAnsi="仿宋" w:eastAsia="仿宋" w:cs="仿宋"/>
                <w:color w:val="auto"/>
                <w:szCs w:val="24"/>
              </w:rPr>
            </w:pPr>
          </w:p>
        </w:tc>
      </w:tr>
      <w:tr w14:paraId="08B3D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14:paraId="32FA74F6">
            <w:pPr>
              <w:spacing w:line="360" w:lineRule="auto"/>
              <w:ind w:left="240" w:leftChars="100"/>
              <w:rPr>
                <w:rFonts w:hint="eastAsia" w:ascii="仿宋" w:hAnsi="仿宋" w:eastAsia="仿宋" w:cs="仿宋"/>
                <w:color w:val="auto"/>
                <w:szCs w:val="24"/>
              </w:rPr>
            </w:pPr>
          </w:p>
        </w:tc>
        <w:tc>
          <w:tcPr>
            <w:tcW w:w="2794" w:type="dxa"/>
            <w:tcBorders>
              <w:bottom w:val="single" w:color="auto" w:sz="4" w:space="0"/>
            </w:tcBorders>
            <w:tcMar>
              <w:top w:w="57" w:type="dxa"/>
              <w:left w:w="28" w:type="dxa"/>
              <w:bottom w:w="57" w:type="dxa"/>
              <w:right w:w="28" w:type="dxa"/>
            </w:tcMar>
            <w:vAlign w:val="center"/>
          </w:tcPr>
          <w:p w14:paraId="1356694D">
            <w:pPr>
              <w:spacing w:line="360" w:lineRule="auto"/>
              <w:ind w:left="240" w:leftChars="100"/>
              <w:rPr>
                <w:rFonts w:hint="eastAsia" w:ascii="仿宋" w:hAnsi="仿宋" w:eastAsia="仿宋" w:cs="仿宋"/>
                <w:color w:val="auto"/>
                <w:szCs w:val="24"/>
              </w:rPr>
            </w:pPr>
          </w:p>
        </w:tc>
        <w:tc>
          <w:tcPr>
            <w:tcW w:w="2659" w:type="dxa"/>
            <w:tcBorders>
              <w:bottom w:val="single" w:color="auto" w:sz="4" w:space="0"/>
            </w:tcBorders>
            <w:tcMar>
              <w:top w:w="57" w:type="dxa"/>
              <w:left w:w="28" w:type="dxa"/>
              <w:bottom w:w="57" w:type="dxa"/>
              <w:right w:w="28" w:type="dxa"/>
            </w:tcMar>
            <w:vAlign w:val="center"/>
          </w:tcPr>
          <w:p w14:paraId="3E309AF4">
            <w:pPr>
              <w:spacing w:line="360" w:lineRule="auto"/>
              <w:ind w:left="240" w:leftChars="100"/>
              <w:rPr>
                <w:rFonts w:hint="eastAsia" w:ascii="仿宋" w:hAnsi="仿宋" w:eastAsia="仿宋" w:cs="仿宋"/>
                <w:color w:val="auto"/>
                <w:szCs w:val="24"/>
              </w:rPr>
            </w:pPr>
          </w:p>
        </w:tc>
        <w:tc>
          <w:tcPr>
            <w:tcW w:w="2485" w:type="dxa"/>
            <w:tcBorders>
              <w:bottom w:val="single" w:color="auto" w:sz="4" w:space="0"/>
            </w:tcBorders>
            <w:tcMar>
              <w:top w:w="57" w:type="dxa"/>
              <w:left w:w="28" w:type="dxa"/>
              <w:bottom w:w="57" w:type="dxa"/>
              <w:right w:w="28" w:type="dxa"/>
            </w:tcMar>
            <w:vAlign w:val="center"/>
          </w:tcPr>
          <w:p w14:paraId="75050945">
            <w:pPr>
              <w:spacing w:line="360" w:lineRule="auto"/>
              <w:rPr>
                <w:rFonts w:hint="eastAsia" w:ascii="仿宋" w:hAnsi="仿宋" w:eastAsia="仿宋" w:cs="仿宋"/>
                <w:color w:val="auto"/>
                <w:szCs w:val="24"/>
              </w:rPr>
            </w:pPr>
          </w:p>
        </w:tc>
      </w:tr>
    </w:tbl>
    <w:p w14:paraId="1841EE31">
      <w:pPr>
        <w:spacing w:before="120" w:beforeLines="50" w:line="360" w:lineRule="auto"/>
        <w:ind w:left="-161" w:leftChars="-67" w:firstLine="480" w:firstLineChars="200"/>
        <w:rPr>
          <w:rFonts w:hint="eastAsia" w:ascii="仿宋" w:hAnsi="仿宋" w:eastAsia="仿宋" w:cs="仿宋"/>
          <w:color w:val="auto"/>
          <w:szCs w:val="21"/>
        </w:rPr>
      </w:pPr>
      <w:bookmarkStart w:id="119" w:name="_Toc194663924"/>
      <w:bookmarkStart w:id="120" w:name="_Toc2240"/>
      <w:bookmarkStart w:id="121" w:name="_Toc188808838"/>
      <w:bookmarkStart w:id="122" w:name="_Toc458617476"/>
      <w:bookmarkStart w:id="123" w:name="_Toc11969"/>
      <w:bookmarkStart w:id="124" w:name="_Toc193187103"/>
      <w:bookmarkStart w:id="125" w:name="_Toc193126887"/>
    </w:p>
    <w:p w14:paraId="71C77788">
      <w:pPr>
        <w:spacing w:before="120" w:beforeLines="50" w:line="360" w:lineRule="auto"/>
        <w:ind w:left="-161" w:leftChars="-67" w:firstLine="480" w:firstLineChars="200"/>
        <w:rPr>
          <w:rFonts w:hint="eastAsia" w:ascii="仿宋" w:hAnsi="仿宋" w:eastAsia="仿宋" w:cs="仿宋"/>
          <w:color w:val="auto"/>
          <w:szCs w:val="21"/>
        </w:rPr>
      </w:pPr>
    </w:p>
    <w:p w14:paraId="053B785A">
      <w:pPr>
        <w:spacing w:before="120" w:beforeLines="50" w:line="360" w:lineRule="auto"/>
        <w:ind w:left="-161" w:leftChars="-67" w:firstLine="480" w:firstLineChars="200"/>
        <w:rPr>
          <w:rFonts w:hint="eastAsia" w:ascii="仿宋" w:hAnsi="仿宋" w:eastAsia="仿宋" w:cs="仿宋"/>
          <w:color w:val="auto"/>
          <w:szCs w:val="21"/>
        </w:rPr>
      </w:pPr>
    </w:p>
    <w:p w14:paraId="4D6A6392">
      <w:pPr>
        <w:spacing w:before="120" w:beforeLines="50" w:line="360" w:lineRule="auto"/>
        <w:ind w:left="-161" w:leftChars="-67" w:firstLine="480" w:firstLineChars="200"/>
        <w:rPr>
          <w:rFonts w:hint="eastAsia" w:ascii="仿宋" w:hAnsi="仿宋" w:eastAsia="仿宋" w:cs="仿宋"/>
          <w:color w:val="auto"/>
          <w:szCs w:val="21"/>
        </w:rPr>
      </w:pPr>
    </w:p>
    <w:p w14:paraId="50E835D7">
      <w:pPr>
        <w:spacing w:before="120" w:beforeLines="50" w:line="360" w:lineRule="auto"/>
        <w:ind w:left="-161" w:leftChars="-67" w:firstLine="480" w:firstLineChars="200"/>
        <w:rPr>
          <w:rFonts w:hint="eastAsia" w:ascii="仿宋" w:hAnsi="仿宋" w:eastAsia="仿宋" w:cs="仿宋"/>
          <w:color w:val="auto"/>
          <w:szCs w:val="21"/>
        </w:rPr>
      </w:pPr>
    </w:p>
    <w:p w14:paraId="2C632234">
      <w:pPr>
        <w:spacing w:before="120" w:beforeLines="50" w:line="360" w:lineRule="auto"/>
        <w:ind w:left="-161" w:leftChars="-67" w:firstLine="480" w:firstLineChars="200"/>
        <w:rPr>
          <w:rFonts w:hint="eastAsia" w:ascii="仿宋" w:hAnsi="仿宋" w:eastAsia="仿宋" w:cs="仿宋"/>
          <w:color w:val="auto"/>
          <w:szCs w:val="21"/>
        </w:rPr>
      </w:pPr>
    </w:p>
    <w:p w14:paraId="52EFC235">
      <w:pPr>
        <w:spacing w:before="120" w:beforeLines="50" w:line="360" w:lineRule="auto"/>
        <w:ind w:left="-161" w:leftChars="-67" w:firstLine="480" w:firstLineChars="200"/>
        <w:rPr>
          <w:rFonts w:hint="eastAsia" w:ascii="仿宋" w:hAnsi="仿宋" w:eastAsia="仿宋" w:cs="仿宋"/>
          <w:color w:val="auto"/>
          <w:szCs w:val="21"/>
        </w:rPr>
      </w:pPr>
    </w:p>
    <w:p w14:paraId="2E2D5567">
      <w:pPr>
        <w:spacing w:before="120" w:beforeLines="50" w:line="360" w:lineRule="auto"/>
        <w:ind w:left="-161" w:leftChars="-67" w:firstLine="480" w:firstLineChars="200"/>
        <w:rPr>
          <w:rFonts w:hint="eastAsia" w:ascii="仿宋" w:hAnsi="仿宋" w:eastAsia="仿宋" w:cs="仿宋"/>
          <w:color w:val="auto"/>
          <w:szCs w:val="21"/>
        </w:rPr>
      </w:pPr>
    </w:p>
    <w:p w14:paraId="1AE6985A">
      <w:pPr>
        <w:spacing w:before="120" w:beforeLines="50" w:line="360" w:lineRule="auto"/>
        <w:ind w:left="-161" w:leftChars="-67" w:firstLine="480" w:firstLineChars="200"/>
        <w:rPr>
          <w:rFonts w:hint="eastAsia" w:ascii="仿宋" w:hAnsi="仿宋" w:eastAsia="仿宋" w:cs="仿宋"/>
          <w:color w:val="auto"/>
          <w:szCs w:val="21"/>
        </w:rPr>
      </w:pPr>
    </w:p>
    <w:p w14:paraId="642B3E3B">
      <w:pPr>
        <w:spacing w:before="120" w:beforeLines="50" w:line="360" w:lineRule="auto"/>
        <w:ind w:left="-161" w:leftChars="-67" w:firstLine="480" w:firstLineChars="200"/>
        <w:rPr>
          <w:rFonts w:hint="eastAsia" w:ascii="仿宋" w:hAnsi="仿宋" w:eastAsia="仿宋" w:cs="仿宋"/>
          <w:color w:val="auto"/>
          <w:szCs w:val="21"/>
        </w:rPr>
      </w:pPr>
    </w:p>
    <w:p w14:paraId="57C8470D">
      <w:pPr>
        <w:spacing w:before="120" w:beforeLines="50" w:line="360" w:lineRule="auto"/>
        <w:ind w:left="-161" w:leftChars="-67" w:firstLine="480" w:firstLineChars="200"/>
        <w:rPr>
          <w:rFonts w:hint="eastAsia" w:ascii="仿宋" w:hAnsi="仿宋" w:eastAsia="仿宋" w:cs="仿宋"/>
          <w:color w:val="auto"/>
          <w:szCs w:val="21"/>
        </w:rPr>
      </w:pPr>
    </w:p>
    <w:p w14:paraId="6F106613">
      <w:pPr>
        <w:spacing w:before="120" w:beforeLines="50" w:line="360" w:lineRule="auto"/>
        <w:ind w:left="-161" w:leftChars="-67" w:firstLine="480" w:firstLineChars="200"/>
        <w:rPr>
          <w:rFonts w:hint="eastAsia" w:ascii="仿宋" w:hAnsi="仿宋" w:eastAsia="仿宋" w:cs="仿宋"/>
          <w:color w:val="auto"/>
          <w:szCs w:val="21"/>
        </w:rPr>
      </w:pPr>
    </w:p>
    <w:p w14:paraId="46F4BC56">
      <w:pPr>
        <w:spacing w:before="120" w:beforeLines="50" w:line="360" w:lineRule="auto"/>
        <w:ind w:left="-161" w:leftChars="-67" w:firstLine="480" w:firstLineChars="200"/>
        <w:rPr>
          <w:rFonts w:hint="eastAsia" w:ascii="仿宋" w:hAnsi="仿宋" w:eastAsia="仿宋" w:cs="仿宋"/>
          <w:color w:val="auto"/>
          <w:szCs w:val="21"/>
        </w:rPr>
      </w:pPr>
    </w:p>
    <w:p w14:paraId="2E2F18DB">
      <w:pPr>
        <w:spacing w:before="120" w:beforeLines="50" w:line="360" w:lineRule="auto"/>
        <w:ind w:left="-161" w:leftChars="-67" w:firstLine="480" w:firstLineChars="200"/>
        <w:rPr>
          <w:rFonts w:hint="eastAsia" w:ascii="仿宋" w:hAnsi="仿宋" w:eastAsia="仿宋" w:cs="仿宋"/>
          <w:color w:val="auto"/>
          <w:szCs w:val="21"/>
        </w:rPr>
      </w:pPr>
    </w:p>
    <w:p w14:paraId="0BB1AFA9">
      <w:pPr>
        <w:spacing w:before="120" w:beforeLines="50" w:line="360" w:lineRule="auto"/>
        <w:rPr>
          <w:rFonts w:hint="eastAsia" w:ascii="仿宋" w:hAnsi="仿宋" w:eastAsia="仿宋" w:cs="仿宋"/>
          <w:color w:val="auto"/>
          <w:szCs w:val="21"/>
        </w:rPr>
      </w:pPr>
      <w:r>
        <w:rPr>
          <w:rFonts w:hint="eastAsia" w:ascii="仿宋" w:hAnsi="仿宋" w:eastAsia="仿宋" w:cs="仿宋"/>
          <w:color w:val="auto"/>
          <w:szCs w:val="21"/>
        </w:rPr>
        <w:t>注：1.本表只填写投标文件中与</w:t>
      </w:r>
      <w:r>
        <w:rPr>
          <w:rFonts w:hint="eastAsia" w:ascii="仿宋" w:hAnsi="仿宋" w:eastAsia="仿宋" w:cs="仿宋"/>
          <w:color w:val="auto"/>
          <w:szCs w:val="21"/>
          <w:lang w:eastAsia="zh-CN"/>
        </w:rPr>
        <w:t>竞争性磋商文件</w:t>
      </w:r>
      <w:r>
        <w:rPr>
          <w:rFonts w:hint="eastAsia" w:ascii="仿宋" w:hAnsi="仿宋" w:eastAsia="仿宋" w:cs="仿宋"/>
          <w:color w:val="auto"/>
          <w:szCs w:val="21"/>
        </w:rPr>
        <w:t>有偏离的内容，投标文件中技术规格及指标响应与</w:t>
      </w:r>
      <w:r>
        <w:rPr>
          <w:rFonts w:hint="eastAsia" w:ascii="仿宋" w:hAnsi="仿宋" w:eastAsia="仿宋" w:cs="仿宋"/>
          <w:color w:val="auto"/>
          <w:szCs w:val="21"/>
          <w:lang w:eastAsia="zh-CN"/>
        </w:rPr>
        <w:t>竞争性磋商文件</w:t>
      </w:r>
      <w:r>
        <w:rPr>
          <w:rFonts w:hint="eastAsia" w:ascii="仿宋" w:hAnsi="仿宋" w:eastAsia="仿宋" w:cs="仿宋"/>
          <w:color w:val="auto"/>
          <w:szCs w:val="21"/>
        </w:rPr>
        <w:t>要求完全一致的，不用在此表中列出，但必须提交空白表。如不提供此表，则视为投标人不满足</w:t>
      </w:r>
      <w:r>
        <w:rPr>
          <w:rFonts w:hint="eastAsia" w:ascii="仿宋" w:hAnsi="仿宋" w:eastAsia="仿宋" w:cs="仿宋"/>
          <w:color w:val="auto"/>
          <w:szCs w:val="21"/>
          <w:lang w:eastAsia="zh-CN"/>
        </w:rPr>
        <w:t>竞争性磋商文件</w:t>
      </w:r>
      <w:r>
        <w:rPr>
          <w:rFonts w:hint="eastAsia" w:ascii="仿宋" w:hAnsi="仿宋" w:eastAsia="仿宋" w:cs="仿宋"/>
          <w:color w:val="auto"/>
          <w:szCs w:val="21"/>
        </w:rPr>
        <w:t>的所有技术条款要求，其</w:t>
      </w:r>
      <w:r>
        <w:rPr>
          <w:rFonts w:hint="eastAsia" w:ascii="仿宋" w:hAnsi="仿宋" w:eastAsia="仿宋" w:cs="仿宋"/>
          <w:b/>
          <w:color w:val="auto"/>
          <w:szCs w:val="21"/>
        </w:rPr>
        <w:t>投标无效</w:t>
      </w:r>
      <w:r>
        <w:rPr>
          <w:rFonts w:hint="eastAsia" w:ascii="仿宋" w:hAnsi="仿宋" w:eastAsia="仿宋" w:cs="仿宋"/>
          <w:color w:val="auto"/>
          <w:szCs w:val="21"/>
        </w:rPr>
        <w:t>。</w:t>
      </w:r>
    </w:p>
    <w:p w14:paraId="48888B1C">
      <w:pPr>
        <w:spacing w:line="360" w:lineRule="auto"/>
        <w:ind w:left="-161" w:leftChars="-67" w:firstLine="480" w:firstLineChars="200"/>
        <w:rPr>
          <w:rFonts w:hint="eastAsia" w:ascii="仿宋" w:hAnsi="仿宋" w:eastAsia="仿宋" w:cs="仿宋"/>
          <w:color w:val="auto"/>
          <w:szCs w:val="21"/>
        </w:rPr>
      </w:pPr>
      <w:r>
        <w:rPr>
          <w:rFonts w:hint="eastAsia" w:ascii="仿宋" w:hAnsi="仿宋" w:eastAsia="仿宋" w:cs="仿宋"/>
          <w:color w:val="auto"/>
          <w:szCs w:val="21"/>
        </w:rPr>
        <w:t>2.投标人必须据实填写，不得虚假响应，否则，将取消其投标或中标资格。</w:t>
      </w:r>
    </w:p>
    <w:p w14:paraId="7043588A">
      <w:pPr>
        <w:snapToGrid w:val="0"/>
        <w:spacing w:beforeLines="150"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供应商名称：</w:t>
      </w:r>
      <w:r>
        <w:rPr>
          <w:rFonts w:hint="eastAsia" w:ascii="仿宋" w:hAnsi="仿宋" w:eastAsia="仿宋" w:cs="仿宋"/>
          <w:color w:val="auto"/>
          <w:szCs w:val="21"/>
          <w:u w:val="single"/>
        </w:rPr>
        <w:t xml:space="preserve">                                      （盖章）</w:t>
      </w:r>
    </w:p>
    <w:p w14:paraId="0BB5CD0C">
      <w:pPr>
        <w:spacing w:line="360" w:lineRule="auto"/>
        <w:rPr>
          <w:rFonts w:hint="eastAsia" w:ascii="仿宋" w:hAnsi="仿宋" w:eastAsia="仿宋" w:cs="仿宋"/>
          <w:color w:val="auto"/>
          <w:szCs w:val="21"/>
        </w:rPr>
      </w:pPr>
    </w:p>
    <w:p w14:paraId="69FDBB9A">
      <w:pPr>
        <w:spacing w:line="360" w:lineRule="auto"/>
        <w:ind w:firstLine="480" w:firstLineChars="200"/>
        <w:rPr>
          <w:rFonts w:hint="eastAsia" w:ascii="仿宋" w:hAnsi="仿宋" w:eastAsia="仿宋" w:cs="仿宋"/>
          <w:color w:val="auto"/>
          <w:szCs w:val="21"/>
          <w:u w:val="single"/>
        </w:rPr>
      </w:pPr>
      <w:r>
        <w:rPr>
          <w:rFonts w:hint="eastAsia" w:ascii="仿宋" w:hAnsi="仿宋" w:eastAsia="仿宋" w:cs="仿宋"/>
          <w:color w:val="auto"/>
          <w:szCs w:val="21"/>
        </w:rPr>
        <w:t>法定代表人或其委托代理人：</w:t>
      </w:r>
      <w:r>
        <w:rPr>
          <w:rFonts w:hint="eastAsia" w:ascii="仿宋" w:hAnsi="仿宋" w:eastAsia="仿宋" w:cs="仿宋"/>
          <w:color w:val="auto"/>
          <w:szCs w:val="21"/>
          <w:u w:val="single"/>
        </w:rPr>
        <w:t xml:space="preserve">                （签字或盖章）</w:t>
      </w:r>
    </w:p>
    <w:p w14:paraId="06D5240E">
      <w:pPr>
        <w:spacing w:line="360" w:lineRule="auto"/>
        <w:rPr>
          <w:rFonts w:hint="eastAsia" w:ascii="仿宋" w:hAnsi="仿宋" w:eastAsia="仿宋" w:cs="仿宋"/>
          <w:color w:val="auto"/>
          <w:szCs w:val="21"/>
          <w:u w:val="single"/>
        </w:rPr>
      </w:pPr>
    </w:p>
    <w:p w14:paraId="4AEDC67F">
      <w:pPr>
        <w:spacing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日       期：</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日</w:t>
      </w:r>
    </w:p>
    <w:bookmarkEnd w:id="119"/>
    <w:bookmarkEnd w:id="120"/>
    <w:bookmarkEnd w:id="121"/>
    <w:bookmarkEnd w:id="122"/>
    <w:bookmarkEnd w:id="123"/>
    <w:bookmarkEnd w:id="124"/>
    <w:bookmarkEnd w:id="125"/>
    <w:p w14:paraId="2117866A">
      <w:pPr>
        <w:pStyle w:val="4"/>
        <w:bidi w:val="0"/>
        <w:spacing w:line="360" w:lineRule="auto"/>
        <w:outlineLvl w:val="1"/>
        <w:rPr>
          <w:rFonts w:hint="eastAsia" w:ascii="仿宋" w:hAnsi="仿宋" w:eastAsia="仿宋" w:cs="仿宋"/>
          <w:color w:val="auto"/>
        </w:rPr>
      </w:pPr>
      <w:bookmarkStart w:id="126" w:name="_Toc11224"/>
      <w:bookmarkStart w:id="127" w:name="_Toc32409"/>
      <w:bookmarkStart w:id="128" w:name="_Toc27409"/>
      <w:r>
        <w:rPr>
          <w:rFonts w:hint="eastAsia" w:ascii="仿宋" w:hAnsi="仿宋" w:eastAsia="仿宋" w:cs="仿宋"/>
          <w:color w:val="auto"/>
          <w:lang w:val="en-US" w:eastAsia="zh-CN"/>
        </w:rPr>
        <w:t>六</w:t>
      </w:r>
      <w:r>
        <w:rPr>
          <w:rFonts w:hint="eastAsia" w:ascii="仿宋" w:hAnsi="仿宋" w:eastAsia="仿宋" w:cs="仿宋"/>
          <w:color w:val="auto"/>
        </w:rPr>
        <w:t>、</w:t>
      </w:r>
      <w:bookmarkStart w:id="129" w:name="_Toc356927980"/>
      <w:r>
        <w:rPr>
          <w:rFonts w:hint="eastAsia" w:ascii="仿宋" w:hAnsi="仿宋" w:eastAsia="仿宋" w:cs="仿宋"/>
          <w:color w:val="auto"/>
        </w:rPr>
        <w:t>供应商资质证明文件</w:t>
      </w:r>
      <w:bookmarkEnd w:id="126"/>
    </w:p>
    <w:bookmarkEnd w:id="129"/>
    <w:p w14:paraId="627E0E01">
      <w:pPr>
        <w:spacing w:before="120" w:beforeLines="50" w:line="360" w:lineRule="auto"/>
        <w:ind w:left="-161" w:leftChars="-67" w:firstLine="480" w:firstLineChars="200"/>
        <w:outlineLvl w:val="9"/>
        <w:rPr>
          <w:rFonts w:hint="eastAsia" w:ascii="仿宋" w:hAnsi="仿宋" w:eastAsia="仿宋" w:cs="仿宋"/>
          <w:color w:val="auto"/>
          <w:sz w:val="24"/>
          <w:szCs w:val="24"/>
        </w:rPr>
        <w:sectPr>
          <w:pgSz w:w="11906" w:h="16838"/>
          <w:pgMar w:top="1440" w:right="1080" w:bottom="1440" w:left="1080" w:header="850" w:footer="992" w:gutter="0"/>
          <w:pgNumType w:fmt="decimal"/>
          <w:cols w:space="720" w:num="1"/>
          <w:titlePg/>
          <w:docGrid w:linePitch="360" w:charSpace="0"/>
        </w:sectPr>
      </w:pPr>
      <w:r>
        <w:rPr>
          <w:rFonts w:hint="eastAsia" w:ascii="仿宋" w:hAnsi="仿宋" w:eastAsia="仿宋" w:cs="仿宋"/>
          <w:color w:val="auto"/>
          <w:sz w:val="24"/>
          <w:szCs w:val="24"/>
        </w:rPr>
        <w:t>投标人按“第</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 xml:space="preserve">章 </w:t>
      </w:r>
      <w:r>
        <w:rPr>
          <w:rFonts w:hint="eastAsia" w:ascii="仿宋" w:hAnsi="仿宋" w:eastAsia="仿宋" w:cs="仿宋"/>
          <w:color w:val="auto"/>
          <w:sz w:val="24"/>
          <w:szCs w:val="24"/>
          <w:lang w:val="en-US" w:eastAsia="zh-CN"/>
        </w:rPr>
        <w:t>招标公告 二、申请人的资格要求 3.本项目的特定资格要求</w:t>
      </w:r>
      <w:r>
        <w:rPr>
          <w:rFonts w:hint="eastAsia" w:ascii="仿宋" w:hAnsi="仿宋" w:eastAsia="仿宋" w:cs="仿宋"/>
          <w:color w:val="auto"/>
          <w:sz w:val="24"/>
          <w:szCs w:val="24"/>
        </w:rPr>
        <w:t>”逐一提供全部资料，缺少其中任何一项，其投标文件将被视为无效文件。其中，《</w:t>
      </w:r>
      <w:r>
        <w:rPr>
          <w:rFonts w:hint="eastAsia" w:ascii="仿宋" w:hAnsi="仿宋" w:eastAsia="仿宋" w:cs="仿宋"/>
          <w:color w:val="auto"/>
          <w:sz w:val="24"/>
          <w:szCs w:val="24"/>
          <w:lang w:eastAsia="zh-CN"/>
        </w:rPr>
        <w:t>榆林市政府采购服务类项目供应商信用承诺书</w:t>
      </w:r>
      <w:r>
        <w:rPr>
          <w:rFonts w:hint="eastAsia" w:ascii="仿宋" w:hAnsi="仿宋" w:eastAsia="仿宋" w:cs="仿宋"/>
          <w:color w:val="auto"/>
          <w:sz w:val="24"/>
          <w:szCs w:val="24"/>
        </w:rPr>
        <w:t>》、《投标人信用承诺》、《投标信用承诺》、《投标人委托代理人员信用承诺书》（如有）应按下文给定格式填写，否则</w:t>
      </w:r>
      <w:r>
        <w:rPr>
          <w:rFonts w:hint="eastAsia" w:ascii="仿宋" w:hAnsi="仿宋" w:eastAsia="仿宋" w:cs="仿宋"/>
          <w:b/>
          <w:bCs/>
          <w:color w:val="auto"/>
          <w:sz w:val="24"/>
          <w:szCs w:val="24"/>
        </w:rPr>
        <w:t>按无效处理</w:t>
      </w:r>
      <w:r>
        <w:rPr>
          <w:rFonts w:hint="eastAsia" w:ascii="仿宋" w:hAnsi="仿宋" w:eastAsia="仿宋" w:cs="仿宋"/>
          <w:color w:val="auto"/>
          <w:sz w:val="24"/>
          <w:szCs w:val="24"/>
        </w:rPr>
        <w:t>。</w:t>
      </w:r>
    </w:p>
    <w:p w14:paraId="63115F8B">
      <w:pPr>
        <w:pStyle w:val="4"/>
        <w:numPr>
          <w:ilvl w:val="0"/>
          <w:numId w:val="0"/>
        </w:numPr>
        <w:bidi w:val="0"/>
        <w:spacing w:line="360" w:lineRule="auto"/>
        <w:ind w:leftChars="0"/>
        <w:jc w:val="center"/>
        <w:rPr>
          <w:rFonts w:hint="eastAsia" w:ascii="仿宋" w:hAnsi="仿宋" w:eastAsia="仿宋" w:cs="仿宋"/>
          <w:color w:val="auto"/>
          <w:lang w:val="en-US" w:eastAsia="zh-CN"/>
        </w:rPr>
      </w:pPr>
      <w:bookmarkStart w:id="130" w:name="_Toc15973"/>
      <w:r>
        <w:rPr>
          <w:rFonts w:hint="eastAsia" w:ascii="仿宋" w:hAnsi="仿宋" w:eastAsia="仿宋" w:cs="仿宋"/>
          <w:color w:val="auto"/>
          <w:lang w:val="en-US" w:eastAsia="zh-CN"/>
        </w:rPr>
        <w:t>七、服务方案</w:t>
      </w:r>
      <w:bookmarkEnd w:id="130"/>
    </w:p>
    <w:p w14:paraId="7E4C5402">
      <w:pPr>
        <w:widowControl w:val="0"/>
        <w:numPr>
          <w:ilvl w:val="0"/>
          <w:numId w:val="0"/>
        </w:numPr>
        <w:spacing w:line="360" w:lineRule="auto"/>
        <w:jc w:val="center"/>
        <w:rPr>
          <w:rFonts w:hint="eastAsia" w:ascii="仿宋" w:hAnsi="仿宋" w:eastAsia="仿宋" w:cs="仿宋"/>
          <w:color w:val="auto"/>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格式自拟</w:t>
      </w:r>
      <w:r>
        <w:rPr>
          <w:rFonts w:hint="eastAsia" w:ascii="仿宋" w:hAnsi="仿宋" w:eastAsia="仿宋" w:cs="仿宋"/>
          <w:color w:val="auto"/>
          <w:sz w:val="24"/>
          <w:lang w:eastAsia="zh-CN"/>
        </w:rPr>
        <w:t>）</w:t>
      </w:r>
    </w:p>
    <w:p w14:paraId="6C22DE51">
      <w:pPr>
        <w:pStyle w:val="2"/>
        <w:spacing w:line="360" w:lineRule="auto"/>
        <w:rPr>
          <w:rFonts w:hint="eastAsia" w:ascii="仿宋" w:hAnsi="仿宋" w:eastAsia="仿宋" w:cs="仿宋"/>
          <w:color w:val="auto"/>
          <w:lang w:val="en-US" w:eastAsia="zh-CN"/>
        </w:rPr>
      </w:pPr>
    </w:p>
    <w:p w14:paraId="6A53D683">
      <w:pPr>
        <w:spacing w:line="360" w:lineRule="auto"/>
        <w:rPr>
          <w:rFonts w:hint="eastAsia" w:ascii="仿宋" w:hAnsi="仿宋" w:eastAsia="仿宋" w:cs="仿宋"/>
          <w:color w:val="auto"/>
          <w:lang w:val="en-US" w:eastAsia="zh-CN"/>
        </w:rPr>
      </w:pPr>
    </w:p>
    <w:p w14:paraId="1D680FF4">
      <w:pPr>
        <w:pStyle w:val="2"/>
        <w:spacing w:line="360" w:lineRule="auto"/>
        <w:rPr>
          <w:rFonts w:hint="eastAsia" w:ascii="仿宋" w:hAnsi="仿宋" w:eastAsia="仿宋" w:cs="仿宋"/>
          <w:color w:val="auto"/>
          <w:lang w:val="en-US" w:eastAsia="zh-CN"/>
        </w:rPr>
        <w:sectPr>
          <w:pgSz w:w="11906" w:h="16838"/>
          <w:pgMar w:top="1440" w:right="1080" w:bottom="1440" w:left="1080" w:header="851" w:footer="992" w:gutter="0"/>
          <w:pgNumType w:fmt="decimal"/>
          <w:cols w:space="720" w:num="1"/>
          <w:docGrid w:type="lines" w:linePitch="312" w:charSpace="0"/>
        </w:sectPr>
      </w:pPr>
      <w:bookmarkStart w:id="146" w:name="_GoBack"/>
      <w:bookmarkEnd w:id="146"/>
    </w:p>
    <w:p w14:paraId="210642C2">
      <w:pPr>
        <w:pStyle w:val="4"/>
        <w:bidi w:val="0"/>
        <w:spacing w:line="360" w:lineRule="auto"/>
        <w:rPr>
          <w:rFonts w:hint="eastAsia" w:ascii="仿宋" w:hAnsi="仿宋" w:eastAsia="仿宋" w:cs="仿宋"/>
          <w:color w:val="auto"/>
          <w:lang w:eastAsia="zh-CN"/>
        </w:rPr>
      </w:pPr>
      <w:bookmarkStart w:id="131" w:name="_Toc7899"/>
      <w:r>
        <w:rPr>
          <w:rFonts w:hint="eastAsia" w:ascii="仿宋" w:hAnsi="仿宋" w:eastAsia="仿宋" w:cs="仿宋"/>
          <w:color w:val="auto"/>
          <w:lang w:val="en-US" w:eastAsia="zh-CN"/>
        </w:rPr>
        <w:t>八</w:t>
      </w:r>
      <w:r>
        <w:rPr>
          <w:rFonts w:hint="eastAsia" w:ascii="仿宋" w:hAnsi="仿宋" w:eastAsia="仿宋" w:cs="仿宋"/>
          <w:color w:val="auto"/>
          <w:lang w:eastAsia="zh-CN"/>
        </w:rPr>
        <w:t>、</w:t>
      </w:r>
      <w:bookmarkEnd w:id="117"/>
      <w:bookmarkEnd w:id="118"/>
      <w:bookmarkEnd w:id="127"/>
      <w:bookmarkEnd w:id="128"/>
      <w:r>
        <w:rPr>
          <w:rFonts w:hint="eastAsia" w:ascii="仿宋" w:hAnsi="仿宋" w:eastAsia="仿宋" w:cs="仿宋"/>
          <w:color w:val="auto"/>
          <w:lang w:eastAsia="zh-CN"/>
        </w:rPr>
        <w:t>投标人承诺书</w:t>
      </w:r>
      <w:bookmarkEnd w:id="131"/>
    </w:p>
    <w:p w14:paraId="68BF5728">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9"/>
        <w:rPr>
          <w:rFonts w:hint="eastAsia" w:ascii="仿宋" w:hAnsi="仿宋" w:eastAsia="仿宋" w:cs="仿宋"/>
          <w:b/>
          <w:bCs/>
          <w:color w:val="auto"/>
          <w:sz w:val="32"/>
          <w:szCs w:val="32"/>
        </w:rPr>
      </w:pPr>
      <w:bookmarkStart w:id="132" w:name="_Toc11958"/>
      <w:bookmarkStart w:id="133" w:name="_Toc15657"/>
      <w:bookmarkStart w:id="134" w:name="_Toc1373"/>
      <w:r>
        <w:rPr>
          <w:rFonts w:hint="eastAsia" w:ascii="仿宋" w:hAnsi="仿宋" w:eastAsia="仿宋" w:cs="仿宋"/>
          <w:b/>
          <w:bCs/>
          <w:color w:val="auto"/>
          <w:sz w:val="28"/>
        </w:rPr>
        <w:t>拒绝政府采购领域商业贿赂承诺书</w:t>
      </w:r>
      <w:r>
        <w:rPr>
          <w:rFonts w:hint="eastAsia" w:ascii="仿宋" w:hAnsi="仿宋" w:eastAsia="仿宋" w:cs="仿宋"/>
          <w:b/>
          <w:bCs/>
          <w:color w:val="auto"/>
          <w:sz w:val="32"/>
          <w:szCs w:val="32"/>
        </w:rPr>
        <w:t>（一）</w:t>
      </w:r>
      <w:bookmarkEnd w:id="132"/>
      <w:bookmarkEnd w:id="133"/>
    </w:p>
    <w:p w14:paraId="67621A2E">
      <w:pPr>
        <w:widowControl/>
        <w:spacing w:line="360" w:lineRule="auto"/>
        <w:ind w:left="274" w:leftChars="114" w:firstLine="470" w:firstLineChars="196"/>
        <w:jc w:val="left"/>
        <w:rPr>
          <w:rFonts w:hint="eastAsia" w:ascii="仿宋" w:hAnsi="仿宋" w:eastAsia="仿宋" w:cs="仿宋"/>
          <w:color w:val="auto"/>
          <w:kern w:val="0"/>
          <w:sz w:val="24"/>
        </w:rPr>
      </w:pPr>
      <w:r>
        <w:rPr>
          <w:rFonts w:hint="eastAsia" w:ascii="仿宋" w:hAnsi="仿宋" w:eastAsia="仿宋" w:cs="仿宋"/>
          <w:color w:val="auto"/>
          <w:kern w:val="0"/>
          <w:sz w:val="24"/>
        </w:rPr>
        <w:t>为响应党中央、国务院关于治理政府采购领域商业贿赂行为的号召，我公司在此庄严承诺：</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1、在参与政府采购活动中遵纪守法、诚信经营、公平竞标。</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2、不向政府采购人、采购代理机构和政府采购评审专家进行任何形式的商业贿赂以谋取交易机会。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3、不向政府采购代理机构和采购人提供虚假资质文件或采用虚假应标方式参与政府采购市场竞争并谋取中标、成交。</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4、不采取“围标、陪标”等商业欺诈手段获得政府采购定单。</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5、不采取不正当手段诋毁、排挤其他供应商。</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6、不在提供商品和服务时“偷梁换柱、以次充好”损害采购人的合法权益。</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7、不与采购人、采购代理机构政府采购评审专家或其它供应商恶意串通，进行质疑和投诉，维护政府采购市场秩序。</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8、尊重和接受政府采购监督管理部门的监督和政府采购代理机构招标采购要求，承担因违约行为给采购人造成的损失。</w:t>
      </w:r>
      <w:r>
        <w:rPr>
          <w:rFonts w:hint="eastAsia" w:ascii="仿宋" w:hAnsi="仿宋" w:eastAsia="仿宋" w:cs="仿宋"/>
          <w:color w:val="auto"/>
          <w:kern w:val="0"/>
          <w:sz w:val="24"/>
        </w:rPr>
        <w:br w:type="textWrapping"/>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9、不发生其他有悖于政府采购公开、公平、公正和诚信原则的行为。</w:t>
      </w:r>
      <w:r>
        <w:rPr>
          <w:rFonts w:hint="eastAsia" w:ascii="仿宋" w:hAnsi="仿宋" w:eastAsia="仿宋" w:cs="仿宋"/>
          <w:color w:val="auto"/>
          <w:kern w:val="0"/>
          <w:sz w:val="24"/>
        </w:rPr>
        <w:br w:type="textWrapping"/>
      </w:r>
    </w:p>
    <w:p w14:paraId="7D8433FA">
      <w:pPr>
        <w:widowControl/>
        <w:spacing w:line="360" w:lineRule="auto"/>
        <w:ind w:left="274" w:leftChars="114"/>
        <w:jc w:val="left"/>
        <w:rPr>
          <w:rFonts w:hint="eastAsia" w:ascii="仿宋" w:hAnsi="仿宋" w:eastAsia="仿宋" w:cs="仿宋"/>
          <w:color w:val="auto"/>
          <w:kern w:val="0"/>
          <w:sz w:val="24"/>
        </w:rPr>
      </w:pPr>
      <w:r>
        <w:rPr>
          <w:rFonts w:hint="eastAsia" w:ascii="仿宋" w:hAnsi="仿宋" w:eastAsia="仿宋" w:cs="仿宋"/>
          <w:color w:val="auto"/>
          <w:kern w:val="0"/>
          <w:sz w:val="24"/>
        </w:rPr>
        <w:t>承诺单位名称：</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（盖章）</w:t>
      </w:r>
      <w:r>
        <w:rPr>
          <w:rFonts w:hint="eastAsia" w:ascii="仿宋" w:hAnsi="仿宋" w:eastAsia="仿宋" w:cs="仿宋"/>
          <w:color w:val="auto"/>
          <w:kern w:val="0"/>
          <w:sz w:val="24"/>
        </w:rPr>
        <w:br w:type="textWrapping"/>
      </w:r>
      <w:r>
        <w:rPr>
          <w:rFonts w:hint="eastAsia" w:ascii="仿宋" w:hAnsi="仿宋" w:eastAsia="仿宋" w:cs="仿宋"/>
          <w:color w:val="auto"/>
          <w:sz w:val="24"/>
          <w:szCs w:val="24"/>
        </w:rPr>
        <w:t>法定代表人/单位负责人/或被授权人签字：</w:t>
      </w:r>
      <w:r>
        <w:rPr>
          <w:rFonts w:hint="eastAsia" w:ascii="仿宋" w:hAnsi="仿宋" w:eastAsia="仿宋" w:cs="仿宋"/>
          <w:color w:val="auto"/>
          <w:kern w:val="0"/>
          <w:sz w:val="24"/>
        </w:rPr>
        <w:t>（签字）</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地  址：                        </w:t>
      </w:r>
    </w:p>
    <w:p w14:paraId="4372499D">
      <w:pPr>
        <w:widowControl/>
        <w:spacing w:line="360" w:lineRule="auto"/>
        <w:ind w:left="274" w:leftChars="114"/>
        <w:jc w:val="left"/>
        <w:rPr>
          <w:rFonts w:hint="eastAsia" w:ascii="仿宋" w:hAnsi="仿宋" w:eastAsia="仿宋" w:cs="仿宋"/>
          <w:color w:val="auto"/>
          <w:kern w:val="0"/>
          <w:sz w:val="24"/>
        </w:rPr>
      </w:pPr>
      <w:r>
        <w:rPr>
          <w:rFonts w:hint="eastAsia" w:ascii="仿宋" w:hAnsi="仿宋" w:eastAsia="仿宋" w:cs="仿宋"/>
          <w:color w:val="auto"/>
          <w:kern w:val="0"/>
          <w:sz w:val="24"/>
        </w:rPr>
        <w:t>邮  编：</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电  话：                             </w:t>
      </w:r>
    </w:p>
    <w:p w14:paraId="0702FDB0">
      <w:pPr>
        <w:widowControl/>
        <w:spacing w:line="360" w:lineRule="auto"/>
        <w:ind w:left="274" w:leftChars="114"/>
        <w:jc w:val="left"/>
        <w:rPr>
          <w:rFonts w:hint="eastAsia" w:ascii="仿宋" w:hAnsi="仿宋" w:eastAsia="仿宋" w:cs="仿宋"/>
          <w:color w:val="auto"/>
          <w:kern w:val="0"/>
          <w:sz w:val="24"/>
        </w:rPr>
      </w:pPr>
      <w:r>
        <w:rPr>
          <w:rFonts w:hint="eastAsia" w:ascii="仿宋" w:hAnsi="仿宋" w:eastAsia="仿宋" w:cs="仿宋"/>
          <w:color w:val="auto"/>
          <w:kern w:val="0"/>
          <w:sz w:val="24"/>
        </w:rPr>
        <w:t xml:space="preserve">日    期：                                                                                </w:t>
      </w:r>
    </w:p>
    <w:p w14:paraId="53CEDCDF">
      <w:pPr>
        <w:widowControl/>
        <w:spacing w:line="360" w:lineRule="auto"/>
        <w:ind w:firstLine="3855" w:firstLineChars="1200"/>
        <w:rPr>
          <w:rFonts w:hint="eastAsia" w:ascii="仿宋" w:hAnsi="仿宋" w:eastAsia="仿宋" w:cs="仿宋"/>
          <w:b/>
          <w:color w:val="auto"/>
          <w:sz w:val="32"/>
          <w:szCs w:val="32"/>
        </w:rPr>
      </w:pPr>
    </w:p>
    <w:p w14:paraId="22DB2822">
      <w:pPr>
        <w:pStyle w:val="17"/>
        <w:spacing w:line="360" w:lineRule="auto"/>
        <w:rPr>
          <w:rFonts w:hint="eastAsia" w:ascii="仿宋" w:hAnsi="仿宋" w:eastAsia="仿宋" w:cs="仿宋"/>
          <w:b/>
          <w:color w:val="auto"/>
          <w:sz w:val="32"/>
          <w:szCs w:val="32"/>
        </w:rPr>
      </w:pPr>
    </w:p>
    <w:p w14:paraId="0DA56682">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DB25194">
      <w:pPr>
        <w:widowControl/>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承诺书（二）</w:t>
      </w:r>
    </w:p>
    <w:p w14:paraId="6940A7C7">
      <w:pPr>
        <w:spacing w:line="360" w:lineRule="auto"/>
        <w:jc w:val="center"/>
        <w:rPr>
          <w:rFonts w:hint="eastAsia" w:ascii="仿宋" w:hAnsi="仿宋" w:eastAsia="仿宋" w:cs="仿宋"/>
          <w:b/>
          <w:color w:val="auto"/>
          <w:sz w:val="24"/>
        </w:rPr>
      </w:pPr>
    </w:p>
    <w:tbl>
      <w:tblPr>
        <w:tblStyle w:val="2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14:paraId="38FA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vAlign w:val="center"/>
          </w:tcPr>
          <w:p w14:paraId="62E6EBCB">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榆林市不动产登记中心</w:t>
            </w:r>
          </w:p>
        </w:tc>
      </w:tr>
      <w:tr w14:paraId="695E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vAlign w:val="center"/>
          </w:tcPr>
          <w:p w14:paraId="1ABA18C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作为参加贵公司组织的本次招标项目的供应商，本公司承诺：在参加本项目招标之前不存在被依法禁止经营行为、财产被接管或冻结的情况，如有隐瞒实情，愿承担一切责任及后果。</w:t>
            </w:r>
          </w:p>
        </w:tc>
      </w:tr>
      <w:tr w14:paraId="44D1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vAlign w:val="center"/>
          </w:tcPr>
          <w:p w14:paraId="62A06A1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供应商</w:t>
            </w:r>
          </w:p>
        </w:tc>
        <w:tc>
          <w:tcPr>
            <w:tcW w:w="3465" w:type="dxa"/>
            <w:vAlign w:val="center"/>
          </w:tcPr>
          <w:p w14:paraId="2D46E067">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2371" w:type="dxa"/>
            <w:vAlign w:val="center"/>
          </w:tcPr>
          <w:p w14:paraId="4D0600C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2BDC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vAlign w:val="center"/>
          </w:tcPr>
          <w:p w14:paraId="2493077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（投标人名称）（公章）</w:t>
            </w:r>
          </w:p>
        </w:tc>
        <w:tc>
          <w:tcPr>
            <w:tcW w:w="3465" w:type="dxa"/>
            <w:vAlign w:val="center"/>
          </w:tcPr>
          <w:p w14:paraId="0A3877B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71" w:type="dxa"/>
            <w:vAlign w:val="center"/>
          </w:tcPr>
          <w:p w14:paraId="5A1B739A">
            <w:pPr>
              <w:spacing w:line="360" w:lineRule="auto"/>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1051348C">
      <w:pPr>
        <w:spacing w:line="360" w:lineRule="auto"/>
        <w:jc w:val="center"/>
        <w:rPr>
          <w:rFonts w:hint="eastAsia" w:ascii="仿宋" w:hAnsi="仿宋" w:eastAsia="仿宋" w:cs="仿宋"/>
          <w:b/>
          <w:color w:val="auto"/>
          <w:sz w:val="32"/>
          <w:szCs w:val="32"/>
        </w:rPr>
      </w:pPr>
    </w:p>
    <w:p w14:paraId="115C5986">
      <w:pPr>
        <w:spacing w:line="360" w:lineRule="auto"/>
        <w:jc w:val="center"/>
        <w:rPr>
          <w:rFonts w:hint="eastAsia" w:ascii="仿宋" w:hAnsi="仿宋" w:eastAsia="仿宋" w:cs="仿宋"/>
          <w:b/>
          <w:color w:val="auto"/>
          <w:sz w:val="24"/>
        </w:rPr>
      </w:pPr>
      <w:r>
        <w:rPr>
          <w:rFonts w:hint="eastAsia" w:ascii="仿宋" w:hAnsi="仿宋" w:eastAsia="仿宋" w:cs="仿宋"/>
          <w:b/>
          <w:color w:val="auto"/>
          <w:sz w:val="32"/>
          <w:szCs w:val="32"/>
        </w:rPr>
        <w:t>承诺书（三）</w:t>
      </w:r>
    </w:p>
    <w:tbl>
      <w:tblPr>
        <w:tblStyle w:val="2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14:paraId="0E1D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vAlign w:val="center"/>
          </w:tcPr>
          <w:p w14:paraId="38C5B0A4">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榆林市不动产登记中心</w:t>
            </w:r>
          </w:p>
        </w:tc>
      </w:tr>
      <w:tr w14:paraId="778B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vAlign w:val="center"/>
          </w:tcPr>
          <w:p w14:paraId="3C64E1C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作为参加贵公司组织的本次招标项目的供应商，本公司郑重申告并承诺：近三年受到有关行政主管部门的行政处理、不良行为记录为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tc>
      </w:tr>
      <w:tr w14:paraId="559D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vAlign w:val="center"/>
          </w:tcPr>
          <w:p w14:paraId="143A9C20">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497" w:type="dxa"/>
            <w:vAlign w:val="center"/>
          </w:tcPr>
          <w:p w14:paraId="011983AC">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2392" w:type="dxa"/>
            <w:vAlign w:val="center"/>
          </w:tcPr>
          <w:p w14:paraId="329A1A4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0582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vAlign w:val="center"/>
          </w:tcPr>
          <w:p w14:paraId="6A881B48">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（投标人名称）（公章）</w:t>
            </w:r>
          </w:p>
        </w:tc>
        <w:tc>
          <w:tcPr>
            <w:tcW w:w="3497" w:type="dxa"/>
            <w:vAlign w:val="center"/>
          </w:tcPr>
          <w:p w14:paraId="4D22A339">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92" w:type="dxa"/>
            <w:vAlign w:val="center"/>
          </w:tcPr>
          <w:p w14:paraId="17F0527D">
            <w:pPr>
              <w:spacing w:line="360" w:lineRule="auto"/>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786104E6">
      <w:pPr>
        <w:spacing w:line="360" w:lineRule="auto"/>
        <w:jc w:val="both"/>
        <w:rPr>
          <w:rFonts w:hint="eastAsia" w:ascii="仿宋" w:hAnsi="仿宋" w:eastAsia="仿宋" w:cs="仿宋"/>
          <w:b/>
          <w:color w:val="auto"/>
          <w:sz w:val="32"/>
          <w:szCs w:val="32"/>
        </w:rPr>
      </w:pPr>
    </w:p>
    <w:p w14:paraId="42D07D54">
      <w:pPr>
        <w:spacing w:line="360" w:lineRule="auto"/>
        <w:jc w:val="center"/>
        <w:rPr>
          <w:rFonts w:hint="eastAsia" w:ascii="仿宋" w:hAnsi="仿宋" w:eastAsia="仿宋" w:cs="仿宋"/>
          <w:color w:val="auto"/>
        </w:rPr>
      </w:pPr>
      <w:r>
        <w:rPr>
          <w:rFonts w:hint="eastAsia" w:ascii="仿宋" w:hAnsi="仿宋" w:eastAsia="仿宋" w:cs="仿宋"/>
          <w:b/>
          <w:color w:val="auto"/>
          <w:sz w:val="32"/>
          <w:szCs w:val="32"/>
        </w:rPr>
        <w:t>承诺书（四）</w:t>
      </w:r>
    </w:p>
    <w:tbl>
      <w:tblPr>
        <w:tblStyle w:val="27"/>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14:paraId="4DF2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vAlign w:val="center"/>
          </w:tcPr>
          <w:p w14:paraId="1EA6CA0B">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榆林市不动产登记中心</w:t>
            </w:r>
          </w:p>
        </w:tc>
      </w:tr>
      <w:tr w14:paraId="77F0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vAlign w:val="center"/>
          </w:tcPr>
          <w:p w14:paraId="40DE8E7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作为参加贵公司组织的本次招标项目的供应商，本公司郑重申告：近三年因产品供货问题（水货、替代品、次品、翻新品等）的不法行为记录为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p w14:paraId="1999A30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本公司承诺：本次招标标的物为正品行货。</w:t>
            </w:r>
          </w:p>
        </w:tc>
      </w:tr>
      <w:tr w14:paraId="30C9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vAlign w:val="center"/>
          </w:tcPr>
          <w:p w14:paraId="66399D03">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471" w:type="dxa"/>
            <w:vAlign w:val="center"/>
          </w:tcPr>
          <w:p w14:paraId="0DD17C54">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2376" w:type="dxa"/>
            <w:vAlign w:val="center"/>
          </w:tcPr>
          <w:p w14:paraId="532B8C3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541D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3288" w:type="dxa"/>
            <w:vAlign w:val="center"/>
          </w:tcPr>
          <w:p w14:paraId="7B94039F">
            <w:pPr>
              <w:spacing w:line="360" w:lineRule="auto"/>
              <w:ind w:left="-62" w:leftChars="-26" w:firstLine="52" w:firstLineChars="22"/>
              <w:jc w:val="center"/>
              <w:rPr>
                <w:rFonts w:hint="eastAsia" w:ascii="仿宋" w:hAnsi="仿宋" w:eastAsia="仿宋" w:cs="仿宋"/>
                <w:color w:val="auto"/>
                <w:sz w:val="24"/>
              </w:rPr>
            </w:pPr>
            <w:r>
              <w:rPr>
                <w:rFonts w:hint="eastAsia" w:ascii="仿宋" w:hAnsi="仿宋" w:eastAsia="仿宋" w:cs="仿宋"/>
                <w:color w:val="auto"/>
                <w:sz w:val="24"/>
              </w:rPr>
              <w:t>（投标人名称）（公章）</w:t>
            </w:r>
          </w:p>
        </w:tc>
        <w:tc>
          <w:tcPr>
            <w:tcW w:w="3471" w:type="dxa"/>
            <w:vAlign w:val="center"/>
          </w:tcPr>
          <w:p w14:paraId="083FC03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376" w:type="dxa"/>
            <w:vAlign w:val="center"/>
          </w:tcPr>
          <w:p w14:paraId="6EF19238">
            <w:pPr>
              <w:spacing w:line="360" w:lineRule="auto"/>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475557E8">
      <w:pPr>
        <w:spacing w:line="360" w:lineRule="auto"/>
        <w:ind w:firstLine="3213" w:firstLineChars="1000"/>
        <w:rPr>
          <w:rFonts w:hint="eastAsia" w:ascii="仿宋" w:hAnsi="仿宋" w:eastAsia="仿宋" w:cs="仿宋"/>
          <w:b/>
          <w:color w:val="auto"/>
          <w:sz w:val="32"/>
          <w:szCs w:val="32"/>
        </w:rPr>
      </w:pPr>
    </w:p>
    <w:p w14:paraId="19B629BE">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承诺书（五）</w:t>
      </w:r>
    </w:p>
    <w:tbl>
      <w:tblPr>
        <w:tblStyle w:val="27"/>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14:paraId="3B57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vAlign w:val="center"/>
          </w:tcPr>
          <w:p w14:paraId="2DF62E70">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lang w:eastAsia="zh-CN"/>
              </w:rPr>
              <w:t>榆林市不动产登记中心</w:t>
            </w:r>
          </w:p>
        </w:tc>
      </w:tr>
      <w:tr w14:paraId="1770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vAlign w:val="center"/>
          </w:tcPr>
          <w:p w14:paraId="641D8A4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作为参加贵公司组织的本次招标项目的供应商，本公司承诺：参加本次招标提交的所有资质证明文件及业绩证明文件是真实的、有效的，如有隐瞒实情，愿承担一切责任及后果。</w:t>
            </w:r>
          </w:p>
        </w:tc>
      </w:tr>
      <w:tr w14:paraId="333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vAlign w:val="center"/>
          </w:tcPr>
          <w:p w14:paraId="5B771675">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供应商</w:t>
            </w:r>
          </w:p>
        </w:tc>
        <w:tc>
          <w:tcPr>
            <w:tcW w:w="3524" w:type="dxa"/>
            <w:vAlign w:val="center"/>
          </w:tcPr>
          <w:p w14:paraId="68973F9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2761" w:type="dxa"/>
            <w:vAlign w:val="center"/>
          </w:tcPr>
          <w:p w14:paraId="61D5D73B">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日   期</w:t>
            </w:r>
          </w:p>
        </w:tc>
      </w:tr>
      <w:tr w14:paraId="0F2F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vAlign w:val="center"/>
          </w:tcPr>
          <w:p w14:paraId="18B6498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（投标人名称）（公章）</w:t>
            </w:r>
          </w:p>
        </w:tc>
        <w:tc>
          <w:tcPr>
            <w:tcW w:w="3524" w:type="dxa"/>
            <w:vAlign w:val="center"/>
          </w:tcPr>
          <w:p w14:paraId="476ED7B2">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（签字或盖章）</w:t>
            </w:r>
          </w:p>
        </w:tc>
        <w:tc>
          <w:tcPr>
            <w:tcW w:w="2761" w:type="dxa"/>
            <w:vAlign w:val="center"/>
          </w:tcPr>
          <w:p w14:paraId="4043E158">
            <w:pPr>
              <w:spacing w:line="360" w:lineRule="auto"/>
              <w:ind w:firstLine="240" w:firstLineChars="100"/>
              <w:jc w:val="center"/>
              <w:rPr>
                <w:rFonts w:hint="eastAsia" w:ascii="仿宋" w:hAnsi="仿宋" w:eastAsia="仿宋" w:cs="仿宋"/>
                <w:color w:val="auto"/>
                <w:sz w:val="24"/>
              </w:rPr>
            </w:pPr>
            <w:r>
              <w:rPr>
                <w:rFonts w:hint="eastAsia" w:ascii="仿宋" w:hAnsi="仿宋" w:eastAsia="仿宋" w:cs="仿宋"/>
                <w:color w:val="auto"/>
                <w:sz w:val="24"/>
              </w:rPr>
              <w:t>年  月  日</w:t>
            </w:r>
          </w:p>
        </w:tc>
      </w:tr>
    </w:tbl>
    <w:p w14:paraId="68D14269">
      <w:pPr>
        <w:widowControl/>
        <w:spacing w:line="360" w:lineRule="auto"/>
        <w:jc w:val="left"/>
        <w:rPr>
          <w:rFonts w:hint="eastAsia" w:ascii="仿宋" w:hAnsi="仿宋" w:eastAsia="仿宋" w:cs="仿宋"/>
          <w:b/>
          <w:color w:val="auto"/>
          <w:sz w:val="28"/>
          <w:szCs w:val="28"/>
        </w:rPr>
      </w:pPr>
    </w:p>
    <w:bookmarkEnd w:id="134"/>
    <w:p w14:paraId="7E51D199">
      <w:pPr>
        <w:spacing w:line="360" w:lineRule="auto"/>
        <w:jc w:val="center"/>
        <w:outlineLvl w:val="1"/>
        <w:rPr>
          <w:rFonts w:hint="eastAsia" w:ascii="仿宋" w:hAnsi="仿宋" w:eastAsia="仿宋" w:cs="仿宋"/>
          <w:b/>
          <w:color w:val="auto"/>
          <w:sz w:val="32"/>
          <w:szCs w:val="32"/>
          <w:lang w:val="en-US" w:eastAsia="zh-CN"/>
        </w:rPr>
        <w:sectPr>
          <w:footerReference r:id="rId11" w:type="default"/>
          <w:pgSz w:w="11906" w:h="16838"/>
          <w:pgMar w:top="1440" w:right="1080" w:bottom="1440" w:left="1080" w:header="851" w:footer="992" w:gutter="0"/>
          <w:pgNumType w:fmt="decimal"/>
          <w:cols w:space="720" w:num="1"/>
          <w:docGrid w:type="lines" w:linePitch="312" w:charSpace="0"/>
        </w:sectPr>
      </w:pPr>
      <w:bookmarkStart w:id="135" w:name="_Toc7502"/>
      <w:bookmarkStart w:id="136" w:name="_Toc23571"/>
      <w:bookmarkStart w:id="137" w:name="_Toc23423"/>
      <w:bookmarkStart w:id="138" w:name="_Toc25732"/>
      <w:bookmarkStart w:id="139" w:name="_Toc1084"/>
    </w:p>
    <w:p w14:paraId="2DCCF45F">
      <w:pPr>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九、中小</w:t>
      </w:r>
      <w:r>
        <w:rPr>
          <w:rFonts w:hint="eastAsia" w:ascii="仿宋" w:hAnsi="仿宋" w:eastAsia="仿宋" w:cs="仿宋"/>
          <w:b/>
          <w:color w:val="auto"/>
          <w:sz w:val="32"/>
          <w:szCs w:val="32"/>
        </w:rPr>
        <w:t>企业、监狱企业、残疾人福利单位声明函或证明</w:t>
      </w:r>
      <w:bookmarkEnd w:id="135"/>
      <w:bookmarkEnd w:id="136"/>
    </w:p>
    <w:p w14:paraId="59185912">
      <w:pPr>
        <w:pStyle w:val="2"/>
        <w:spacing w:line="360" w:lineRule="auto"/>
        <w:rPr>
          <w:rFonts w:hint="eastAsia" w:ascii="仿宋" w:hAnsi="仿宋" w:eastAsia="仿宋" w:cs="仿宋"/>
          <w:color w:val="auto"/>
          <w:lang w:val="en-US"/>
        </w:rPr>
      </w:pPr>
    </w:p>
    <w:p w14:paraId="65B3CCF6">
      <w:pPr>
        <w:numPr>
          <w:ilvl w:val="0"/>
          <w:numId w:val="2"/>
        </w:numPr>
        <w:spacing w:line="360" w:lineRule="auto"/>
        <w:jc w:val="center"/>
        <w:outlineLvl w:val="2"/>
        <w:rPr>
          <w:rFonts w:hint="eastAsia" w:ascii="仿宋" w:hAnsi="仿宋" w:eastAsia="仿宋" w:cs="仿宋"/>
          <w:b/>
          <w:color w:val="auto"/>
          <w:spacing w:val="6"/>
          <w:sz w:val="28"/>
          <w:szCs w:val="28"/>
        </w:rPr>
      </w:pPr>
      <w:bookmarkStart w:id="140" w:name="_Toc21457"/>
      <w:bookmarkStart w:id="141" w:name="_Toc25215"/>
      <w:r>
        <w:rPr>
          <w:rFonts w:hint="eastAsia" w:ascii="仿宋" w:hAnsi="仿宋" w:eastAsia="仿宋" w:cs="仿宋"/>
          <w:b/>
          <w:color w:val="auto"/>
          <w:spacing w:val="6"/>
          <w:sz w:val="28"/>
          <w:szCs w:val="28"/>
          <w:lang w:val="en-US" w:eastAsia="zh-CN"/>
        </w:rPr>
        <w:t>中小</w:t>
      </w:r>
      <w:r>
        <w:rPr>
          <w:rFonts w:hint="eastAsia" w:ascii="仿宋" w:hAnsi="仿宋" w:eastAsia="仿宋" w:cs="仿宋"/>
          <w:b/>
          <w:color w:val="auto"/>
          <w:spacing w:val="6"/>
          <w:sz w:val="28"/>
          <w:szCs w:val="28"/>
        </w:rPr>
        <w:t>企业声明函</w:t>
      </w:r>
      <w:bookmarkEnd w:id="140"/>
      <w:bookmarkEnd w:id="141"/>
    </w:p>
    <w:p w14:paraId="712A4D2E">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rPr>
        <w:t xml:space="preserve">  </w:t>
      </w:r>
      <w:r>
        <w:rPr>
          <w:rFonts w:hint="eastAsia" w:ascii="仿宋" w:hAnsi="仿宋" w:eastAsia="仿宋" w:cs="仿宋"/>
          <w:color w:val="auto"/>
          <w:sz w:val="24"/>
        </w:rPr>
        <w:t>本公司（联合体）郑重声明，根据《政府采购促进中小企业发展管理办法》（财库﹝2020﹞46 号）的规定，本公司（联合体）参加</w:t>
      </w:r>
      <w:r>
        <w:rPr>
          <w:rFonts w:hint="eastAsia" w:ascii="仿宋" w:hAnsi="仿宋" w:eastAsia="仿宋" w:cs="仿宋"/>
          <w:color w:val="auto"/>
          <w:sz w:val="24"/>
          <w:u w:val="single"/>
        </w:rPr>
        <w:t>（单位名称）</w:t>
      </w:r>
      <w:r>
        <w:rPr>
          <w:rFonts w:hint="eastAsia" w:ascii="仿宋" w:hAnsi="仿宋" w:eastAsia="仿宋" w:cs="仿宋"/>
          <w:color w:val="auto"/>
          <w:sz w:val="24"/>
        </w:rPr>
        <w:t>的</w:t>
      </w:r>
      <w:r>
        <w:rPr>
          <w:rFonts w:hint="eastAsia" w:ascii="仿宋" w:hAnsi="仿宋" w:eastAsia="仿宋" w:cs="仿宋"/>
          <w:color w:val="auto"/>
          <w:sz w:val="24"/>
          <w:u w:val="single"/>
        </w:rPr>
        <w:t>（项目名称）</w:t>
      </w:r>
      <w:r>
        <w:rPr>
          <w:rFonts w:hint="eastAsia" w:ascii="仿宋" w:hAnsi="仿宋" w:eastAsia="仿宋" w:cs="仿宋"/>
          <w:color w:val="auto"/>
          <w:sz w:val="24"/>
        </w:rPr>
        <w:t>采购活动，服务全部由符合政策要求的小微企业承接。相关企业（含联合体中的</w:t>
      </w:r>
      <w:r>
        <w:rPr>
          <w:rFonts w:hint="eastAsia" w:ascii="仿宋" w:hAnsi="仿宋" w:eastAsia="仿宋" w:cs="仿宋"/>
          <w:color w:val="auto"/>
          <w:sz w:val="24"/>
          <w:lang w:val="en-US" w:eastAsia="zh-CN"/>
        </w:rPr>
        <w:t>中小</w:t>
      </w:r>
      <w:r>
        <w:rPr>
          <w:rFonts w:hint="eastAsia" w:ascii="仿宋" w:hAnsi="仿宋" w:eastAsia="仿宋" w:cs="仿宋"/>
          <w:color w:val="auto"/>
          <w:sz w:val="24"/>
        </w:rPr>
        <w:t>企业、签订分包意向协议的</w:t>
      </w:r>
      <w:r>
        <w:rPr>
          <w:rFonts w:hint="eastAsia" w:ascii="仿宋" w:hAnsi="仿宋" w:eastAsia="仿宋" w:cs="仿宋"/>
          <w:color w:val="auto"/>
          <w:sz w:val="24"/>
          <w:lang w:val="en-US" w:eastAsia="zh-CN"/>
        </w:rPr>
        <w:t>中小</w:t>
      </w:r>
      <w:r>
        <w:rPr>
          <w:rFonts w:hint="eastAsia" w:ascii="仿宋" w:hAnsi="仿宋" w:eastAsia="仿宋" w:cs="仿宋"/>
          <w:color w:val="auto"/>
          <w:sz w:val="24"/>
        </w:rPr>
        <w:t>企业）的具体情况如下：</w:t>
      </w:r>
    </w:p>
    <w:p w14:paraId="7F890295">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1. </w:t>
      </w:r>
      <w:r>
        <w:rPr>
          <w:rFonts w:hint="eastAsia" w:ascii="仿宋" w:hAnsi="仿宋" w:eastAsia="仿宋" w:cs="仿宋"/>
          <w:color w:val="auto"/>
          <w:sz w:val="24"/>
          <w:u w:val="single"/>
        </w:rPr>
        <w:t>（标的名称）</w:t>
      </w:r>
      <w:r>
        <w:rPr>
          <w:rFonts w:hint="eastAsia" w:ascii="仿宋" w:hAnsi="仿宋" w:eastAsia="仿宋" w:cs="仿宋"/>
          <w:color w:val="auto"/>
          <w:sz w:val="24"/>
        </w:rPr>
        <w:t xml:space="preserve"> ，属于（采购文件中明确的所属行业）；承接企业为</w:t>
      </w:r>
      <w:r>
        <w:rPr>
          <w:rFonts w:hint="eastAsia" w:ascii="仿宋" w:hAnsi="仿宋" w:eastAsia="仿宋" w:cs="仿宋"/>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中型企业、</w:t>
      </w:r>
      <w:r>
        <w:rPr>
          <w:rFonts w:hint="eastAsia" w:ascii="仿宋" w:hAnsi="仿宋" w:eastAsia="仿宋" w:cs="仿宋"/>
          <w:color w:val="auto"/>
          <w:sz w:val="24"/>
        </w:rPr>
        <w:t>小型企业、微型企业）；</w:t>
      </w:r>
    </w:p>
    <w:p w14:paraId="6A9C3214">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 </w:t>
      </w:r>
      <w:r>
        <w:rPr>
          <w:rFonts w:hint="eastAsia" w:ascii="仿宋" w:hAnsi="仿宋" w:eastAsia="仿宋" w:cs="仿宋"/>
          <w:color w:val="auto"/>
          <w:sz w:val="24"/>
          <w:u w:val="single"/>
        </w:rPr>
        <w:t>（标的名称）</w:t>
      </w:r>
      <w:r>
        <w:rPr>
          <w:rFonts w:hint="eastAsia" w:ascii="仿宋" w:hAnsi="仿宋" w:eastAsia="仿宋" w:cs="仿宋"/>
          <w:color w:val="auto"/>
          <w:sz w:val="24"/>
        </w:rPr>
        <w:t xml:space="preserve"> ，属于（采购文件中明确的所属行业）；承接企业为</w:t>
      </w:r>
      <w:r>
        <w:rPr>
          <w:rFonts w:hint="eastAsia" w:ascii="仿宋" w:hAnsi="仿宋" w:eastAsia="仿宋" w:cs="仿宋"/>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sz w:val="24"/>
          <w:u w:val="single"/>
        </w:rPr>
        <w:t xml:space="preserve">    </w:t>
      </w:r>
      <w:r>
        <w:rPr>
          <w:rFonts w:hint="eastAsia" w:ascii="仿宋" w:hAnsi="仿宋" w:eastAsia="仿宋" w:cs="仿宋"/>
          <w:color w:val="auto"/>
          <w:sz w:val="24"/>
        </w:rPr>
        <w:t>人，营业收入为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万元，资产总额为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万元，属于</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中型企业、</w:t>
      </w:r>
      <w:r>
        <w:rPr>
          <w:rFonts w:hint="eastAsia" w:ascii="仿宋" w:hAnsi="仿宋" w:eastAsia="仿宋" w:cs="仿宋"/>
          <w:color w:val="auto"/>
          <w:sz w:val="24"/>
        </w:rPr>
        <w:t>小型企业、微型企业）；</w:t>
      </w:r>
    </w:p>
    <w:p w14:paraId="587A550E">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w:t>
      </w:r>
    </w:p>
    <w:p w14:paraId="37FD5D93">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以上企业，不属于大企业的分支机构，不存在控股股东为大企业的情形，也不存在与大企业的负责人为同一人的情形。</w:t>
      </w:r>
    </w:p>
    <w:p w14:paraId="3E96E894">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本企业对上述声明内容的真实性负责。如有虚假，将依法承担相应责任。</w:t>
      </w:r>
    </w:p>
    <w:p w14:paraId="289D00DB">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企业名称（盖章）：</w:t>
      </w:r>
    </w:p>
    <w:p w14:paraId="16F43CC5">
      <w:pPr>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日期：</w:t>
      </w:r>
    </w:p>
    <w:p w14:paraId="43EABC4D">
      <w:pPr>
        <w:tabs>
          <w:tab w:val="left" w:pos="5670"/>
        </w:tabs>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rPr>
        <w:t>备注：</w:t>
      </w:r>
      <w:r>
        <w:rPr>
          <w:rFonts w:hint="eastAsia" w:ascii="仿宋" w:hAnsi="仿宋" w:eastAsia="仿宋" w:cs="仿宋"/>
          <w:color w:val="auto"/>
          <w:sz w:val="24"/>
          <w:lang w:val="en-US" w:eastAsia="zh-CN"/>
        </w:rPr>
        <w:t>本项目非专门面向中小企业。</w:t>
      </w:r>
    </w:p>
    <w:p w14:paraId="0A117703">
      <w:pPr>
        <w:tabs>
          <w:tab w:val="left" w:pos="5670"/>
        </w:tabs>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从业人员、营业收入、资产总额填报上一年度数据，无上一年度数据的新成立企业可不填报。 </w:t>
      </w:r>
    </w:p>
    <w:p w14:paraId="2FAE3F8C">
      <w:pPr>
        <w:spacing w:line="360" w:lineRule="auto"/>
        <w:jc w:val="center"/>
        <w:outlineLvl w:val="2"/>
        <w:rPr>
          <w:rFonts w:hint="eastAsia" w:ascii="仿宋" w:hAnsi="仿宋" w:eastAsia="仿宋" w:cs="仿宋"/>
          <w:b/>
          <w:color w:val="auto"/>
          <w:spacing w:val="6"/>
          <w:sz w:val="28"/>
          <w:szCs w:val="28"/>
        </w:rPr>
        <w:sectPr>
          <w:pgSz w:w="11906" w:h="16838"/>
          <w:pgMar w:top="1440" w:right="1080" w:bottom="1440" w:left="1080" w:header="851" w:footer="992" w:gutter="0"/>
          <w:pgNumType w:fmt="decimal"/>
          <w:cols w:space="720" w:num="1"/>
          <w:docGrid w:type="lines" w:linePitch="312" w:charSpace="0"/>
        </w:sectPr>
      </w:pPr>
      <w:bookmarkStart w:id="142" w:name="_Toc29982"/>
    </w:p>
    <w:p w14:paraId="5A2EE8D6">
      <w:pPr>
        <w:numPr>
          <w:ilvl w:val="0"/>
          <w:numId w:val="3"/>
        </w:numPr>
        <w:spacing w:line="360" w:lineRule="auto"/>
        <w:jc w:val="center"/>
        <w:outlineLvl w:val="2"/>
        <w:rPr>
          <w:rFonts w:hint="eastAsia" w:ascii="仿宋" w:hAnsi="仿宋" w:eastAsia="仿宋" w:cs="仿宋"/>
          <w:b/>
          <w:color w:val="auto"/>
          <w:spacing w:val="6"/>
          <w:sz w:val="28"/>
          <w:szCs w:val="28"/>
        </w:rPr>
      </w:pPr>
      <w:bookmarkStart w:id="143" w:name="_Toc15575"/>
      <w:r>
        <w:rPr>
          <w:rFonts w:hint="eastAsia" w:ascii="仿宋" w:hAnsi="仿宋" w:eastAsia="仿宋" w:cs="仿宋"/>
          <w:b/>
          <w:color w:val="auto"/>
          <w:spacing w:val="6"/>
          <w:sz w:val="28"/>
          <w:szCs w:val="28"/>
        </w:rPr>
        <w:t>残疾人福利性单位声明函</w:t>
      </w:r>
      <w:bookmarkEnd w:id="142"/>
      <w:bookmarkEnd w:id="143"/>
    </w:p>
    <w:p w14:paraId="41FCE34F">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非</w:t>
      </w:r>
      <w:r>
        <w:rPr>
          <w:rFonts w:hint="eastAsia" w:ascii="仿宋" w:hAnsi="仿宋" w:eastAsia="仿宋" w:cs="仿宋"/>
          <w:color w:val="auto"/>
          <w:sz w:val="24"/>
        </w:rPr>
        <w:t>残疾人福利性单位</w:t>
      </w:r>
      <w:r>
        <w:rPr>
          <w:rFonts w:hint="eastAsia" w:ascii="仿宋" w:hAnsi="仿宋" w:eastAsia="仿宋" w:cs="仿宋"/>
          <w:color w:val="auto"/>
          <w:sz w:val="24"/>
          <w:lang w:eastAsia="zh-CN"/>
        </w:rPr>
        <w:t>不填写</w:t>
      </w:r>
      <w:r>
        <w:rPr>
          <w:rFonts w:hint="eastAsia" w:ascii="仿宋" w:hAnsi="仿宋" w:eastAsia="仿宋" w:cs="仿宋"/>
          <w:color w:val="auto"/>
          <w:sz w:val="24"/>
        </w:rPr>
        <w:t>）</w:t>
      </w:r>
    </w:p>
    <w:p w14:paraId="7910AAE5">
      <w:pPr>
        <w:spacing w:line="360" w:lineRule="auto"/>
        <w:rPr>
          <w:rFonts w:hint="eastAsia" w:ascii="仿宋" w:hAnsi="仿宋" w:eastAsia="仿宋" w:cs="仿宋"/>
          <w:b/>
          <w:color w:val="auto"/>
          <w:spacing w:val="6"/>
          <w:sz w:val="30"/>
          <w:szCs w:val="30"/>
        </w:rPr>
      </w:pPr>
    </w:p>
    <w:p w14:paraId="6E2C5E90">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本单位郑重声明，根据《财政部 民政部 中国残疾人联合会关于促进残疾人就业政府采购政策的通知》（财库</w:t>
      </w:r>
      <w:r>
        <w:rPr>
          <w:rFonts w:hint="eastAsia" w:ascii="仿宋" w:hAnsi="仿宋" w:eastAsia="仿宋" w:cs="仿宋"/>
          <w:color w:val="auto"/>
          <w:sz w:val="24"/>
        </w:rPr>
        <w:t>〔2017〕 141</w:t>
      </w:r>
      <w:r>
        <w:rPr>
          <w:rFonts w:hint="eastAsia" w:ascii="仿宋" w:hAnsi="仿宋" w:eastAsia="仿宋" w:cs="仿宋"/>
          <w:color w:val="auto"/>
          <w:spacing w:val="6"/>
          <w:sz w:val="24"/>
        </w:rPr>
        <w:t>号）的规定，本单位为符合条件的残疾人福利性单位，且本单位参加</w:t>
      </w:r>
      <w:r>
        <w:rPr>
          <w:rFonts w:hint="eastAsia" w:ascii="仿宋" w:hAnsi="仿宋" w:eastAsia="仿宋" w:cs="仿宋"/>
          <w:color w:val="auto"/>
          <w:sz w:val="24"/>
          <w:u w:val="single"/>
        </w:rPr>
        <w:t xml:space="preserve">            </w:t>
      </w:r>
      <w:r>
        <w:rPr>
          <w:rFonts w:hint="eastAsia" w:ascii="仿宋" w:hAnsi="仿宋" w:eastAsia="仿宋" w:cs="仿宋"/>
          <w:color w:val="auto"/>
          <w:spacing w:val="6"/>
          <w:sz w:val="24"/>
        </w:rPr>
        <w:t>单位的</w:t>
      </w:r>
      <w:r>
        <w:rPr>
          <w:rFonts w:hint="eastAsia" w:ascii="仿宋" w:hAnsi="仿宋" w:eastAsia="仿宋" w:cs="仿宋"/>
          <w:b/>
          <w:bCs/>
          <w:color w:val="auto"/>
          <w:spacing w:val="6"/>
          <w:sz w:val="24"/>
          <w:u w:val="single"/>
        </w:rPr>
        <w:t xml:space="preserve">         </w:t>
      </w:r>
      <w:r>
        <w:rPr>
          <w:rFonts w:hint="eastAsia" w:ascii="仿宋" w:hAnsi="仿宋" w:eastAsia="仿宋" w:cs="仿宋"/>
          <w:color w:val="auto"/>
          <w:spacing w:val="6"/>
          <w:sz w:val="24"/>
        </w:rPr>
        <w:t>项目采购活动提供本单位制造的货物（由本单位承担工程/提供服务），或者提供其他残疾人福利性单位制造的货物（不包括使用非残疾人福利性单位注册商标的货物）。</w:t>
      </w:r>
    </w:p>
    <w:p w14:paraId="38A23485">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本单位对上述声明的真实性负责。如有虚假，将依法承担相应责任。</w:t>
      </w:r>
    </w:p>
    <w:p w14:paraId="293779B8">
      <w:pPr>
        <w:spacing w:line="360" w:lineRule="auto"/>
        <w:rPr>
          <w:rFonts w:hint="eastAsia" w:ascii="仿宋" w:hAnsi="仿宋" w:eastAsia="仿宋" w:cs="仿宋"/>
          <w:color w:val="auto"/>
          <w:spacing w:val="6"/>
          <w:sz w:val="24"/>
        </w:rPr>
      </w:pPr>
    </w:p>
    <w:p w14:paraId="6CFAA1FE">
      <w:pPr>
        <w:tabs>
          <w:tab w:val="left" w:pos="4860"/>
        </w:tabs>
        <w:spacing w:line="360" w:lineRule="auto"/>
        <w:ind w:right="1560" w:firstLine="504" w:firstLineChars="200"/>
        <w:jc w:val="center"/>
        <w:rPr>
          <w:rFonts w:hint="eastAsia" w:ascii="仿宋" w:hAnsi="仿宋" w:eastAsia="仿宋" w:cs="仿宋"/>
          <w:color w:val="auto"/>
          <w:spacing w:val="6"/>
          <w:sz w:val="24"/>
        </w:rPr>
      </w:pPr>
      <w:r>
        <w:rPr>
          <w:rFonts w:hint="eastAsia" w:ascii="仿宋" w:hAnsi="仿宋" w:eastAsia="仿宋" w:cs="仿宋"/>
          <w:color w:val="auto"/>
          <w:spacing w:val="6"/>
          <w:sz w:val="24"/>
        </w:rPr>
        <w:t xml:space="preserve">                             单位名称（盖章）：</w:t>
      </w:r>
    </w:p>
    <w:p w14:paraId="7084CEDB">
      <w:pPr>
        <w:adjustRightInd w:val="0"/>
        <w:snapToGrid w:val="0"/>
        <w:spacing w:line="360" w:lineRule="auto"/>
        <w:ind w:firstLine="630" w:firstLineChars="250"/>
        <w:rPr>
          <w:rFonts w:hint="eastAsia" w:ascii="仿宋" w:hAnsi="仿宋" w:eastAsia="仿宋" w:cs="仿宋"/>
          <w:color w:val="auto"/>
          <w:szCs w:val="21"/>
        </w:rPr>
      </w:pPr>
      <w:r>
        <w:rPr>
          <w:rFonts w:hint="eastAsia" w:ascii="仿宋" w:hAnsi="仿宋" w:eastAsia="仿宋" w:cs="仿宋"/>
          <w:color w:val="auto"/>
          <w:spacing w:val="6"/>
          <w:sz w:val="24"/>
        </w:rPr>
        <w:t xml:space="preserve">                                </w:t>
      </w:r>
      <w:r>
        <w:rPr>
          <w:rFonts w:hint="eastAsia" w:ascii="仿宋" w:hAnsi="仿宋" w:eastAsia="仿宋" w:cs="仿宋"/>
          <w:color w:val="auto"/>
          <w:spacing w:val="6"/>
          <w:sz w:val="24"/>
          <w:lang w:val="en-US" w:eastAsia="zh-CN"/>
        </w:rPr>
        <w:t xml:space="preserve"> </w:t>
      </w:r>
      <w:r>
        <w:rPr>
          <w:rFonts w:hint="eastAsia" w:ascii="仿宋" w:hAnsi="仿宋" w:eastAsia="仿宋" w:cs="仿宋"/>
          <w:color w:val="auto"/>
          <w:spacing w:val="6"/>
          <w:sz w:val="24"/>
        </w:rPr>
        <w:t xml:space="preserve">     日  期：</w:t>
      </w:r>
    </w:p>
    <w:p w14:paraId="320C7C9A">
      <w:pPr>
        <w:adjustRightInd w:val="0"/>
        <w:snapToGrid w:val="0"/>
        <w:spacing w:line="360" w:lineRule="auto"/>
        <w:rPr>
          <w:rFonts w:hint="eastAsia" w:ascii="仿宋" w:hAnsi="仿宋" w:eastAsia="仿宋" w:cs="仿宋"/>
          <w:color w:val="auto"/>
          <w:szCs w:val="21"/>
        </w:rPr>
      </w:pPr>
    </w:p>
    <w:p w14:paraId="01056FAF">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b/>
          <w:bCs/>
          <w:color w:val="auto"/>
          <w:szCs w:val="21"/>
        </w:rPr>
        <w:t>备注：</w:t>
      </w:r>
      <w:r>
        <w:rPr>
          <w:rFonts w:hint="eastAsia" w:ascii="仿宋" w:hAnsi="仿宋" w:eastAsia="仿宋" w:cs="仿宋"/>
          <w:color w:val="auto"/>
          <w:szCs w:val="21"/>
        </w:rPr>
        <w:t>项目不分标段的，第___标段空白处填写“/”。</w:t>
      </w:r>
    </w:p>
    <w:p w14:paraId="6AA6AF6F">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根据《财政部 民政部 中国残疾人联合会关于促进残疾人就业政府采购政策的通知》（财库〔2017〕141号）的规定：</w:t>
      </w:r>
    </w:p>
    <w:p w14:paraId="12CD0145">
      <w:pPr>
        <w:tabs>
          <w:tab w:val="left" w:pos="5670"/>
        </w:tabs>
        <w:spacing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一、享受政府采购支持政策的残疾人福利性单位应当同时满足以下条件：</w:t>
      </w:r>
    </w:p>
    <w:p w14:paraId="2824D083">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（一）安置的残疾人占本单位在职职工人数的比例不低于25%（含25%），并且安置的残疾人人数不少于10人（含10人）；</w:t>
      </w:r>
    </w:p>
    <w:p w14:paraId="76A29F57">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（二）依法与安置的每位残疾人签订了一年以上（含一年）的劳动合同或服务协议；</w:t>
      </w:r>
    </w:p>
    <w:p w14:paraId="47F7ABF2">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（三）为安置的每位残疾人按月足额缴纳了基本养老保险、基本医疗保险、失业保险、工伤保险和生育保险等社会保险费；</w:t>
      </w:r>
    </w:p>
    <w:p w14:paraId="59999D42">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（四）通过银行等金融机构向安置的每位残疾人，按月支付了不低于单位所在区县适用的经省级人民政府批准的月最低工资标准的工资；</w:t>
      </w:r>
    </w:p>
    <w:p w14:paraId="7DD6F1FD">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（五）提供本单位承担的服务（以下简称产品），或者提供其他残疾人福利性单位提供的服。</w:t>
      </w:r>
    </w:p>
    <w:p w14:paraId="616F39F5">
      <w:pPr>
        <w:tabs>
          <w:tab w:val="left" w:pos="5670"/>
        </w:tabs>
        <w:spacing w:line="360" w:lineRule="auto"/>
        <w:ind w:firstLine="566"/>
        <w:rPr>
          <w:rFonts w:hint="eastAsia" w:ascii="仿宋" w:hAnsi="仿宋" w:eastAsia="仿宋" w:cs="仿宋"/>
          <w:color w:val="auto"/>
          <w:szCs w:val="21"/>
        </w:rPr>
      </w:pPr>
      <w:r>
        <w:rPr>
          <w:rFonts w:hint="eastAsia" w:ascii="仿宋" w:hAnsi="仿宋" w:eastAsia="仿宋" w:cs="仿宋"/>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504AC3E">
      <w:pPr>
        <w:tabs>
          <w:tab w:val="left" w:pos="5670"/>
        </w:tabs>
        <w:spacing w:line="360" w:lineRule="auto"/>
        <w:ind w:firstLine="480" w:firstLineChars="200"/>
        <w:rPr>
          <w:rFonts w:hint="eastAsia" w:ascii="仿宋" w:hAnsi="仿宋" w:eastAsia="仿宋" w:cs="仿宋"/>
          <w:color w:val="auto"/>
          <w:szCs w:val="21"/>
        </w:rPr>
      </w:pPr>
      <w:r>
        <w:rPr>
          <w:rFonts w:hint="eastAsia" w:ascii="仿宋" w:hAnsi="仿宋" w:eastAsia="仿宋" w:cs="仿宋"/>
          <w:color w:val="auto"/>
          <w:szCs w:val="21"/>
        </w:rPr>
        <w:t>二、中标、成交供应商为残疾人福利性单位的，采购人或者其委托的采购代理机构应当随中标、成交结果同时公告其《残疾人福利性单位声明函》，接受社会监督。</w:t>
      </w:r>
    </w:p>
    <w:p w14:paraId="6CE11EEF">
      <w:pPr>
        <w:tabs>
          <w:tab w:val="left" w:pos="5670"/>
        </w:tabs>
        <w:spacing w:line="360" w:lineRule="auto"/>
        <w:jc w:val="center"/>
        <w:outlineLvl w:val="2"/>
        <w:rPr>
          <w:rFonts w:hint="eastAsia" w:ascii="仿宋" w:hAnsi="仿宋" w:eastAsia="仿宋" w:cs="仿宋"/>
          <w:b/>
          <w:color w:val="auto"/>
          <w:spacing w:val="6"/>
          <w:sz w:val="28"/>
          <w:szCs w:val="28"/>
        </w:rPr>
      </w:pPr>
      <w:r>
        <w:rPr>
          <w:rFonts w:hint="eastAsia" w:ascii="仿宋" w:hAnsi="仿宋" w:eastAsia="仿宋" w:cs="仿宋"/>
          <w:b/>
          <w:bCs/>
          <w:color w:val="auto"/>
          <w:sz w:val="36"/>
          <w:szCs w:val="36"/>
        </w:rPr>
        <w:br w:type="page"/>
      </w:r>
      <w:bookmarkStart w:id="144" w:name="_Toc3485"/>
      <w:bookmarkStart w:id="145" w:name="_Toc13745"/>
      <w:r>
        <w:rPr>
          <w:rFonts w:hint="eastAsia" w:ascii="仿宋" w:hAnsi="仿宋" w:eastAsia="仿宋" w:cs="仿宋"/>
          <w:b/>
          <w:bCs/>
          <w:color w:val="auto"/>
          <w:sz w:val="28"/>
          <w:szCs w:val="28"/>
        </w:rPr>
        <w:t>3.</w:t>
      </w:r>
      <w:r>
        <w:rPr>
          <w:rFonts w:hint="eastAsia" w:ascii="仿宋" w:hAnsi="仿宋" w:eastAsia="仿宋" w:cs="仿宋"/>
          <w:b/>
          <w:color w:val="auto"/>
          <w:spacing w:val="6"/>
          <w:sz w:val="28"/>
          <w:szCs w:val="28"/>
        </w:rPr>
        <w:t>监狱企业证明函</w:t>
      </w:r>
      <w:bookmarkEnd w:id="144"/>
      <w:bookmarkEnd w:id="145"/>
    </w:p>
    <w:p w14:paraId="0E5C53E3">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（符合条件的监狱企业请提供本函，不符合的不提供本函）</w:t>
      </w:r>
    </w:p>
    <w:p w14:paraId="395800D6">
      <w:pPr>
        <w:spacing w:line="360" w:lineRule="auto"/>
        <w:rPr>
          <w:rFonts w:hint="eastAsia" w:ascii="仿宋" w:hAnsi="仿宋" w:eastAsia="仿宋" w:cs="仿宋"/>
          <w:color w:val="auto"/>
        </w:rPr>
      </w:pPr>
    </w:p>
    <w:p w14:paraId="45E418C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监狱企业参加政府采购活动，要求享受相关优惠政策的，应当提供由省级以上监狱管理局、戒毒管理局（含新疆生产建设兵团）出具的属于监狱企业的证明文件。</w:t>
      </w:r>
    </w:p>
    <w:p w14:paraId="3B7DF57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E1E7B57">
      <w:pPr>
        <w:pStyle w:val="25"/>
        <w:spacing w:line="360" w:lineRule="auto"/>
        <w:ind w:firstLine="183"/>
        <w:rPr>
          <w:rFonts w:hint="eastAsia" w:ascii="仿宋" w:hAnsi="仿宋" w:eastAsia="仿宋" w:cs="仿宋"/>
          <w:color w:val="auto"/>
        </w:rPr>
      </w:pPr>
    </w:p>
    <w:p w14:paraId="6128CC8A">
      <w:pPr>
        <w:spacing w:line="360" w:lineRule="auto"/>
        <w:rPr>
          <w:rFonts w:hint="eastAsia" w:ascii="仿宋" w:hAnsi="仿宋" w:eastAsia="仿宋" w:cs="仿宋"/>
          <w:color w:val="auto"/>
        </w:rPr>
      </w:pPr>
    </w:p>
    <w:p w14:paraId="631B289C">
      <w:pPr>
        <w:spacing w:line="360" w:lineRule="auto"/>
        <w:rPr>
          <w:rFonts w:hint="eastAsia" w:ascii="仿宋" w:hAnsi="仿宋" w:eastAsia="仿宋" w:cs="仿宋"/>
          <w:color w:val="auto"/>
        </w:rPr>
      </w:pPr>
    </w:p>
    <w:p w14:paraId="386664CE">
      <w:pPr>
        <w:spacing w:line="360" w:lineRule="auto"/>
        <w:rPr>
          <w:rFonts w:hint="eastAsia" w:ascii="仿宋" w:hAnsi="仿宋" w:eastAsia="仿宋" w:cs="仿宋"/>
          <w:color w:val="auto"/>
        </w:rPr>
      </w:pPr>
    </w:p>
    <w:p w14:paraId="2B0436BB">
      <w:pPr>
        <w:spacing w:line="360" w:lineRule="auto"/>
        <w:rPr>
          <w:rFonts w:hint="eastAsia" w:ascii="仿宋" w:hAnsi="仿宋" w:eastAsia="仿宋" w:cs="仿宋"/>
          <w:color w:val="auto"/>
        </w:rPr>
      </w:pPr>
    </w:p>
    <w:p w14:paraId="5A1A817E">
      <w:pPr>
        <w:spacing w:line="360" w:lineRule="auto"/>
        <w:rPr>
          <w:rFonts w:hint="eastAsia" w:ascii="仿宋" w:hAnsi="仿宋" w:eastAsia="仿宋" w:cs="仿宋"/>
          <w:color w:val="auto"/>
        </w:rPr>
      </w:pPr>
    </w:p>
    <w:p w14:paraId="241BB234">
      <w:pPr>
        <w:spacing w:line="360" w:lineRule="auto"/>
        <w:rPr>
          <w:rFonts w:hint="eastAsia" w:ascii="仿宋" w:hAnsi="仿宋" w:eastAsia="仿宋" w:cs="仿宋"/>
          <w:color w:val="auto"/>
        </w:rPr>
      </w:pPr>
    </w:p>
    <w:p w14:paraId="6468005E">
      <w:pPr>
        <w:widowControl/>
        <w:spacing w:line="360" w:lineRule="auto"/>
        <w:jc w:val="left"/>
        <w:rPr>
          <w:rFonts w:hint="eastAsia" w:ascii="仿宋" w:hAnsi="仿宋" w:eastAsia="仿宋" w:cs="仿宋"/>
          <w:color w:val="auto"/>
          <w:kern w:val="0"/>
          <w:sz w:val="24"/>
          <w:u w:val="single"/>
        </w:rPr>
      </w:pPr>
      <w:r>
        <w:rPr>
          <w:rFonts w:hint="eastAsia" w:ascii="仿宋" w:hAnsi="仿宋" w:eastAsia="仿宋" w:cs="仿宋"/>
          <w:color w:val="auto"/>
        </w:rPr>
        <w:tab/>
      </w:r>
      <w:r>
        <w:rPr>
          <w:rFonts w:hint="eastAsia" w:ascii="仿宋" w:hAnsi="仿宋" w:eastAsia="仿宋" w:cs="仿宋"/>
          <w:color w:val="auto"/>
        </w:rPr>
        <w:t xml:space="preserve"> </w:t>
      </w:r>
      <w:r>
        <w:rPr>
          <w:rFonts w:hint="eastAsia" w:ascii="仿宋" w:hAnsi="仿宋" w:eastAsia="仿宋" w:cs="仿宋"/>
          <w:color w:val="auto"/>
          <w:kern w:val="0"/>
          <w:sz w:val="24"/>
        </w:rPr>
        <w:t>供应商（盖章）：</w:t>
      </w:r>
      <w:r>
        <w:rPr>
          <w:rFonts w:hint="eastAsia" w:ascii="仿宋" w:hAnsi="仿宋" w:eastAsia="仿宋" w:cs="仿宋"/>
          <w:color w:val="auto"/>
          <w:kern w:val="0"/>
          <w:sz w:val="24"/>
          <w:u w:val="single"/>
        </w:rPr>
        <w:t xml:space="preserve">                                               </w:t>
      </w:r>
    </w:p>
    <w:p w14:paraId="2C9AA423">
      <w:pPr>
        <w:widowControl/>
        <w:spacing w:line="360" w:lineRule="auto"/>
        <w:ind w:firstLine="482"/>
        <w:jc w:val="left"/>
        <w:rPr>
          <w:rFonts w:hint="eastAsia" w:ascii="仿宋" w:hAnsi="仿宋" w:eastAsia="仿宋" w:cs="仿宋"/>
          <w:color w:val="auto"/>
          <w:kern w:val="0"/>
          <w:sz w:val="24"/>
        </w:rPr>
      </w:pPr>
    </w:p>
    <w:p w14:paraId="783AF5BD">
      <w:pPr>
        <w:widowControl/>
        <w:spacing w:line="360" w:lineRule="auto"/>
        <w:ind w:firstLine="480" w:firstLineChars="200"/>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承诺人（签字）：</w:t>
      </w:r>
      <w:r>
        <w:rPr>
          <w:rFonts w:hint="eastAsia" w:ascii="仿宋" w:hAnsi="仿宋" w:eastAsia="仿宋" w:cs="仿宋"/>
          <w:color w:val="auto"/>
          <w:kern w:val="0"/>
          <w:sz w:val="24"/>
          <w:u w:val="single"/>
        </w:rPr>
        <w:t xml:space="preserve">                 </w:t>
      </w:r>
    </w:p>
    <w:p w14:paraId="4362953E">
      <w:pPr>
        <w:widowControl/>
        <w:spacing w:line="360" w:lineRule="auto"/>
        <w:ind w:firstLine="482"/>
        <w:jc w:val="left"/>
        <w:rPr>
          <w:rFonts w:hint="eastAsia" w:ascii="仿宋" w:hAnsi="仿宋" w:eastAsia="仿宋" w:cs="仿宋"/>
          <w:color w:val="auto"/>
          <w:kern w:val="0"/>
          <w:sz w:val="24"/>
          <w:u w:val="single"/>
        </w:rPr>
      </w:pPr>
    </w:p>
    <w:p w14:paraId="6D396DD5">
      <w:pPr>
        <w:widowControl/>
        <w:spacing w:line="360" w:lineRule="auto"/>
        <w:ind w:firstLine="480" w:firstLineChars="200"/>
        <w:jc w:val="left"/>
        <w:rPr>
          <w:rFonts w:hint="eastAsia" w:ascii="仿宋" w:hAnsi="仿宋" w:eastAsia="仿宋" w:cs="仿宋"/>
          <w:color w:val="auto"/>
        </w:rPr>
      </w:pPr>
      <w:r>
        <w:rPr>
          <w:rFonts w:hint="eastAsia" w:ascii="仿宋" w:hAnsi="仿宋" w:eastAsia="仿宋" w:cs="仿宋"/>
          <w:color w:val="auto"/>
          <w:kern w:val="0"/>
          <w:sz w:val="24"/>
        </w:rPr>
        <w:t>承诺时间：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bookmarkEnd w:id="137"/>
      <w:bookmarkEnd w:id="138"/>
      <w:bookmarkEnd w:id="139"/>
    </w:p>
    <w:sectPr>
      <w:headerReference r:id="rId13" w:type="first"/>
      <w:footerReference r:id="rId15" w:type="first"/>
      <w:headerReference r:id="rId12" w:type="default"/>
      <w:footerReference r:id="rId14" w:type="default"/>
      <w:pgSz w:w="11905" w:h="16838"/>
      <w:pgMar w:top="1440" w:right="1080" w:bottom="1440" w:left="1080" w:header="1134" w:footer="1134"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E75CDBB-050B-4431-AA72-FBA5F35CD80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A039967-1C2D-49C7-9027-BAA2157158ED}"/>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7664">
    <w:pPr>
      <w:pStyle w:val="17"/>
      <w:rPr>
        <w:rFonts w:ascii="宋体" w:hAnsi="宋体"/>
        <w:b/>
        <w:sz w:val="21"/>
        <w:szCs w:val="21"/>
      </w:rPr>
    </w:pPr>
  </w:p>
  <w:p w14:paraId="2429DB84">
    <w:pPr>
      <w:pStyle w:val="17"/>
      <w:jc w:val="center"/>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98CA">
    <w:pPr>
      <w:pStyle w:val="17"/>
      <w:rPr>
        <w:rFonts w:ascii="宋体" w:hAnsi="宋体"/>
        <w:b/>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1D3">
    <w:pPr>
      <w:pStyle w:val="17"/>
      <w:rPr>
        <w:rFonts w:ascii="宋体" w:hAnsi="宋体"/>
        <w:b/>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BEFC7">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6BEFC7">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689B0">
    <w:pPr>
      <w:pStyle w:val="17"/>
      <w:jc w:val="center"/>
      <w:rPr>
        <w:rFonts w:ascii="宋体" w:hAnsi="宋体"/>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B47C8">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3FB47C8">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F7AA">
    <w:pPr>
      <w:pStyle w:val="17"/>
      <w:rPr>
        <w:rStyle w:val="32"/>
        <w:rFonts w:ascii="宋体" w:hAnsi="宋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B0AD">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57B0AD">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AB9F">
    <w:pPr>
      <w:pStyle w:val="17"/>
      <w:ind w:right="360"/>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A78B">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1ABA78B">
                    <w:pPr>
                      <w:pStyle w:val="17"/>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9363A">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AD1CD">
                          <w:pPr>
                            <w:pStyle w:val="17"/>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E4AD1CD">
                    <w:pPr>
                      <w:pStyle w:val="17"/>
                    </w:pPr>
                    <w:r>
                      <w:fldChar w:fldCharType="begin"/>
                    </w:r>
                    <w:r>
                      <w:instrText xml:space="preserve"> PAGE  \* MERGEFORMAT </w:instrText>
                    </w:r>
                    <w:r>
                      <w:fldChar w:fldCharType="separate"/>
                    </w:r>
                    <w:r>
                      <w:t>52</w:t>
                    </w:r>
                    <w:r>
                      <w:fldChar w:fldCharType="end"/>
                    </w:r>
                  </w:p>
                </w:txbxContent>
              </v:textbox>
            </v:shape>
          </w:pict>
        </mc:Fallback>
      </mc:AlternateContent>
    </w:r>
  </w:p>
  <w:p w14:paraId="782B1533">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0433">
    <w:pPr>
      <w:pStyle w:val="17"/>
      <w:rPr>
        <w:rStyle w:val="32"/>
        <w:rFonts w:ascii="宋体" w:hAnsi="宋体"/>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28A17">
                          <w:pPr>
                            <w:pStyle w:val="17"/>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228A17">
                    <w:pPr>
                      <w:pStyle w:val="17"/>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5AA9">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jc w:val="left"/>
      <w:textAlignment w:val="auto"/>
      <w:rPr>
        <w:rFonts w:hint="default" w:eastAsia="宋体"/>
        <w:b w:val="0"/>
        <w:bCs/>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E65F">
    <w:pPr>
      <w:pBdr>
        <w:bottom w:val="none" w:color="auto" w:sz="0" w:space="0"/>
      </w:pBdr>
      <w:jc w:val="center"/>
      <w:rPr>
        <w:rFonts w:ascii="宋体" w:hAnsi="宋体" w:cs="宋体"/>
        <w:bCs/>
        <w:sz w:val="18"/>
        <w:szCs w:val="18"/>
      </w:rPr>
    </w:pPr>
    <w:r>
      <w:rPr>
        <w:rFonts w:hint="eastAsia" w:ascii="宋体" w:hAnsi="宋体" w:cs="宋体"/>
        <w:b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72D5D">
    <w:pPr>
      <w:pBdr>
        <w:bottom w:val="none" w:color="auto" w:sz="0" w:space="0"/>
      </w:pBdr>
      <w:rPr>
        <w:bCs/>
        <w:sz w:val="18"/>
        <w:szCs w:val="18"/>
      </w:rPr>
    </w:pPr>
    <w:r>
      <w:rPr>
        <w:rFonts w:hint="eastAsia" w:ascii="宋体" w:hAnsi="宋体"/>
        <w:bCs/>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15D1">
    <w:pPr>
      <w:pBdr>
        <w:bottom w:val="single" w:color="auto" w:sz="4" w:space="0"/>
      </w:pBdr>
      <w:spacing w:line="360" w:lineRule="auto"/>
      <w:jc w:val="left"/>
      <w:rPr>
        <w:rFonts w:hint="default" w:eastAsia="宋体"/>
        <w:b w:val="0"/>
        <w:bCs/>
        <w:sz w:val="18"/>
        <w:szCs w:val="18"/>
        <w:u w:val="none"/>
        <w:lang w:val="en-US" w:eastAsia="zh-CN"/>
      </w:rPr>
    </w:pPr>
    <w:r>
      <w:rPr>
        <w:rFonts w:hint="eastAsia" w:ascii="宋体" w:hAnsi="宋体"/>
        <w:b w:val="0"/>
        <w:bCs/>
        <w:sz w:val="18"/>
        <w:szCs w:val="18"/>
        <w:u w:val="non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28F85">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A30A48"/>
    <w:multiLevelType w:val="singleLevel"/>
    <w:tmpl w:val="FAA30A48"/>
    <w:lvl w:ilvl="0" w:tentative="0">
      <w:start w:val="1"/>
      <w:numFmt w:val="decimal"/>
      <w:suff w:val="nothing"/>
      <w:lvlText w:val="%1、"/>
      <w:lvlJc w:val="left"/>
    </w:lvl>
  </w:abstractNum>
  <w:abstractNum w:abstractNumId="1">
    <w:nsid w:val="616C0A09"/>
    <w:multiLevelType w:val="singleLevel"/>
    <w:tmpl w:val="616C0A09"/>
    <w:lvl w:ilvl="0" w:tentative="0">
      <w:start w:val="1"/>
      <w:numFmt w:val="decimal"/>
      <w:lvlText w:val="%1."/>
      <w:lvlJc w:val="left"/>
      <w:pPr>
        <w:tabs>
          <w:tab w:val="left" w:pos="312"/>
        </w:tabs>
      </w:pPr>
    </w:lvl>
  </w:abstractNum>
  <w:abstractNum w:abstractNumId="2">
    <w:nsid w:val="6C1EB2E8"/>
    <w:multiLevelType w:val="singleLevel"/>
    <w:tmpl w:val="6C1EB2E8"/>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03C85E33"/>
    <w:rsid w:val="000D6BA6"/>
    <w:rsid w:val="0015393E"/>
    <w:rsid w:val="009A51A9"/>
    <w:rsid w:val="009C15CF"/>
    <w:rsid w:val="00B87A8B"/>
    <w:rsid w:val="00F610B4"/>
    <w:rsid w:val="0174224A"/>
    <w:rsid w:val="01752E1F"/>
    <w:rsid w:val="0181018D"/>
    <w:rsid w:val="01830099"/>
    <w:rsid w:val="019C4EF7"/>
    <w:rsid w:val="01A172B2"/>
    <w:rsid w:val="01AC75B4"/>
    <w:rsid w:val="01D0619D"/>
    <w:rsid w:val="01E20ECB"/>
    <w:rsid w:val="02362F72"/>
    <w:rsid w:val="023A1139"/>
    <w:rsid w:val="025269CD"/>
    <w:rsid w:val="02920BEE"/>
    <w:rsid w:val="02C6246F"/>
    <w:rsid w:val="02D82AD7"/>
    <w:rsid w:val="02FC0103"/>
    <w:rsid w:val="03403149"/>
    <w:rsid w:val="037E4FBC"/>
    <w:rsid w:val="03A013D6"/>
    <w:rsid w:val="03B97233"/>
    <w:rsid w:val="03C85E33"/>
    <w:rsid w:val="03C93689"/>
    <w:rsid w:val="03EE0393"/>
    <w:rsid w:val="040C5AA6"/>
    <w:rsid w:val="04562D3B"/>
    <w:rsid w:val="046046C1"/>
    <w:rsid w:val="04692B74"/>
    <w:rsid w:val="048B112C"/>
    <w:rsid w:val="051E25B2"/>
    <w:rsid w:val="05A51BC8"/>
    <w:rsid w:val="05BE2EA9"/>
    <w:rsid w:val="05CC31B6"/>
    <w:rsid w:val="05E9146B"/>
    <w:rsid w:val="06072174"/>
    <w:rsid w:val="06420D53"/>
    <w:rsid w:val="068655C7"/>
    <w:rsid w:val="06BB26E2"/>
    <w:rsid w:val="06F56E23"/>
    <w:rsid w:val="07037A79"/>
    <w:rsid w:val="0710231E"/>
    <w:rsid w:val="072F7888"/>
    <w:rsid w:val="073A38EF"/>
    <w:rsid w:val="076548E0"/>
    <w:rsid w:val="076646E5"/>
    <w:rsid w:val="07695B4E"/>
    <w:rsid w:val="07716D75"/>
    <w:rsid w:val="077C768E"/>
    <w:rsid w:val="07982650"/>
    <w:rsid w:val="079E29AD"/>
    <w:rsid w:val="07B40FAC"/>
    <w:rsid w:val="07CC1D00"/>
    <w:rsid w:val="07EA70C4"/>
    <w:rsid w:val="07FF00E8"/>
    <w:rsid w:val="088D187E"/>
    <w:rsid w:val="08915791"/>
    <w:rsid w:val="08D63AD4"/>
    <w:rsid w:val="08E21413"/>
    <w:rsid w:val="08F46A88"/>
    <w:rsid w:val="090D1A10"/>
    <w:rsid w:val="091B0E60"/>
    <w:rsid w:val="09AD0A1C"/>
    <w:rsid w:val="09B42929"/>
    <w:rsid w:val="09B75DFA"/>
    <w:rsid w:val="09BC3A71"/>
    <w:rsid w:val="09CF5566"/>
    <w:rsid w:val="09F03980"/>
    <w:rsid w:val="0A087A6D"/>
    <w:rsid w:val="0A4A3E4A"/>
    <w:rsid w:val="0A745D4A"/>
    <w:rsid w:val="0A8729A8"/>
    <w:rsid w:val="0A9B28F7"/>
    <w:rsid w:val="0AA37BF9"/>
    <w:rsid w:val="0AC05EBA"/>
    <w:rsid w:val="0AEF2AC2"/>
    <w:rsid w:val="0B1F52D6"/>
    <w:rsid w:val="0B2B230F"/>
    <w:rsid w:val="0B2D5BE3"/>
    <w:rsid w:val="0BBA0B5B"/>
    <w:rsid w:val="0BD74D1C"/>
    <w:rsid w:val="0BF44613"/>
    <w:rsid w:val="0C0746F1"/>
    <w:rsid w:val="0C0B7DA5"/>
    <w:rsid w:val="0C1C5EAE"/>
    <w:rsid w:val="0C3D5574"/>
    <w:rsid w:val="0C4F3F1D"/>
    <w:rsid w:val="0C5D60B6"/>
    <w:rsid w:val="0CCC28CD"/>
    <w:rsid w:val="0CCF0636"/>
    <w:rsid w:val="0CD11115"/>
    <w:rsid w:val="0CDB6FDB"/>
    <w:rsid w:val="0D084E43"/>
    <w:rsid w:val="0D376061"/>
    <w:rsid w:val="0D3A4F53"/>
    <w:rsid w:val="0D8260B6"/>
    <w:rsid w:val="0DDB08EE"/>
    <w:rsid w:val="0DF02F5A"/>
    <w:rsid w:val="0DF76ECF"/>
    <w:rsid w:val="0E523A8C"/>
    <w:rsid w:val="0E722304"/>
    <w:rsid w:val="0E941B37"/>
    <w:rsid w:val="0EAF7CD8"/>
    <w:rsid w:val="0ECF2DB5"/>
    <w:rsid w:val="0EEA398E"/>
    <w:rsid w:val="0F2C0C4D"/>
    <w:rsid w:val="0F552746"/>
    <w:rsid w:val="0F5578FC"/>
    <w:rsid w:val="0FFB1674"/>
    <w:rsid w:val="100C4D2E"/>
    <w:rsid w:val="103D6C07"/>
    <w:rsid w:val="103F4A55"/>
    <w:rsid w:val="104B772B"/>
    <w:rsid w:val="105869DE"/>
    <w:rsid w:val="106B346E"/>
    <w:rsid w:val="106D71F7"/>
    <w:rsid w:val="10724137"/>
    <w:rsid w:val="108A11CD"/>
    <w:rsid w:val="10D4446D"/>
    <w:rsid w:val="10DF63A6"/>
    <w:rsid w:val="116546C0"/>
    <w:rsid w:val="117C4711"/>
    <w:rsid w:val="11A26319"/>
    <w:rsid w:val="11C97D4A"/>
    <w:rsid w:val="11CD00A3"/>
    <w:rsid w:val="120246D0"/>
    <w:rsid w:val="121918E6"/>
    <w:rsid w:val="1242543B"/>
    <w:rsid w:val="125C6E10"/>
    <w:rsid w:val="126C25A8"/>
    <w:rsid w:val="127F3EB9"/>
    <w:rsid w:val="128D7AAE"/>
    <w:rsid w:val="12B332C9"/>
    <w:rsid w:val="12FC7CAB"/>
    <w:rsid w:val="13145EE0"/>
    <w:rsid w:val="13510A0A"/>
    <w:rsid w:val="136D31E4"/>
    <w:rsid w:val="13960100"/>
    <w:rsid w:val="1399374C"/>
    <w:rsid w:val="13CB4F3C"/>
    <w:rsid w:val="13E10CF5"/>
    <w:rsid w:val="142179C9"/>
    <w:rsid w:val="14326376"/>
    <w:rsid w:val="1452633A"/>
    <w:rsid w:val="14726477"/>
    <w:rsid w:val="149F4D92"/>
    <w:rsid w:val="14D657BC"/>
    <w:rsid w:val="14D913C4"/>
    <w:rsid w:val="15290E10"/>
    <w:rsid w:val="15597637"/>
    <w:rsid w:val="15D078F9"/>
    <w:rsid w:val="15FC6940"/>
    <w:rsid w:val="16144D88"/>
    <w:rsid w:val="163D21BB"/>
    <w:rsid w:val="169F68BE"/>
    <w:rsid w:val="16C70F97"/>
    <w:rsid w:val="16C86822"/>
    <w:rsid w:val="17342303"/>
    <w:rsid w:val="175F7D40"/>
    <w:rsid w:val="176105FC"/>
    <w:rsid w:val="17E47729"/>
    <w:rsid w:val="17E63B3A"/>
    <w:rsid w:val="17E64BE2"/>
    <w:rsid w:val="182757CA"/>
    <w:rsid w:val="18384273"/>
    <w:rsid w:val="183A1895"/>
    <w:rsid w:val="187836E7"/>
    <w:rsid w:val="188C43D5"/>
    <w:rsid w:val="189C03A4"/>
    <w:rsid w:val="18A22D3C"/>
    <w:rsid w:val="18DC06A9"/>
    <w:rsid w:val="18FA2EDF"/>
    <w:rsid w:val="19280E3B"/>
    <w:rsid w:val="19AB6DEB"/>
    <w:rsid w:val="19DE7273"/>
    <w:rsid w:val="19EE2A43"/>
    <w:rsid w:val="1A505FCD"/>
    <w:rsid w:val="1A662D44"/>
    <w:rsid w:val="1A6E208A"/>
    <w:rsid w:val="1A8A5DD4"/>
    <w:rsid w:val="1A994A4F"/>
    <w:rsid w:val="1B2C6499"/>
    <w:rsid w:val="1B440BF5"/>
    <w:rsid w:val="1B552516"/>
    <w:rsid w:val="1B597E44"/>
    <w:rsid w:val="1B944354"/>
    <w:rsid w:val="1BA535D6"/>
    <w:rsid w:val="1BB27AA1"/>
    <w:rsid w:val="1BD34F2E"/>
    <w:rsid w:val="1BD61BBF"/>
    <w:rsid w:val="1C154FB2"/>
    <w:rsid w:val="1C842809"/>
    <w:rsid w:val="1C8B27CB"/>
    <w:rsid w:val="1CC7757C"/>
    <w:rsid w:val="1CCE2C27"/>
    <w:rsid w:val="1D110B21"/>
    <w:rsid w:val="1D5012C9"/>
    <w:rsid w:val="1D61352C"/>
    <w:rsid w:val="1D7F34F5"/>
    <w:rsid w:val="1D8E7C3C"/>
    <w:rsid w:val="1DB827A1"/>
    <w:rsid w:val="1DD87FF2"/>
    <w:rsid w:val="1E2B2C09"/>
    <w:rsid w:val="1E3679F3"/>
    <w:rsid w:val="1E6E26A3"/>
    <w:rsid w:val="1E781391"/>
    <w:rsid w:val="1ED41617"/>
    <w:rsid w:val="1F5F3A9B"/>
    <w:rsid w:val="1F7641FD"/>
    <w:rsid w:val="1FE6715B"/>
    <w:rsid w:val="1FE741BD"/>
    <w:rsid w:val="20470647"/>
    <w:rsid w:val="205B4263"/>
    <w:rsid w:val="20855784"/>
    <w:rsid w:val="20AA494F"/>
    <w:rsid w:val="20B8238B"/>
    <w:rsid w:val="20D62D91"/>
    <w:rsid w:val="20F45A76"/>
    <w:rsid w:val="21701F90"/>
    <w:rsid w:val="21B42DFC"/>
    <w:rsid w:val="21CC3813"/>
    <w:rsid w:val="21D82408"/>
    <w:rsid w:val="21EB72EF"/>
    <w:rsid w:val="21FE5336"/>
    <w:rsid w:val="224A0A33"/>
    <w:rsid w:val="225C42C2"/>
    <w:rsid w:val="225C6A73"/>
    <w:rsid w:val="225E4EFA"/>
    <w:rsid w:val="22610778"/>
    <w:rsid w:val="22B1460E"/>
    <w:rsid w:val="22B56184"/>
    <w:rsid w:val="22C64B2A"/>
    <w:rsid w:val="22D60519"/>
    <w:rsid w:val="22DC0561"/>
    <w:rsid w:val="22DF6D75"/>
    <w:rsid w:val="22E744D4"/>
    <w:rsid w:val="22F004BC"/>
    <w:rsid w:val="23034CC3"/>
    <w:rsid w:val="23082DAA"/>
    <w:rsid w:val="23092D62"/>
    <w:rsid w:val="231177A3"/>
    <w:rsid w:val="23617AC9"/>
    <w:rsid w:val="238721A7"/>
    <w:rsid w:val="23C71C0F"/>
    <w:rsid w:val="2432165A"/>
    <w:rsid w:val="244F735A"/>
    <w:rsid w:val="24554343"/>
    <w:rsid w:val="249D7540"/>
    <w:rsid w:val="24C0668A"/>
    <w:rsid w:val="24C31E12"/>
    <w:rsid w:val="24FD6B05"/>
    <w:rsid w:val="252162EF"/>
    <w:rsid w:val="25432AB8"/>
    <w:rsid w:val="254B0AC9"/>
    <w:rsid w:val="25AD37B3"/>
    <w:rsid w:val="25BB34F5"/>
    <w:rsid w:val="25D44885"/>
    <w:rsid w:val="25D56733"/>
    <w:rsid w:val="25FB178E"/>
    <w:rsid w:val="260528F0"/>
    <w:rsid w:val="260B04D9"/>
    <w:rsid w:val="261A2DE0"/>
    <w:rsid w:val="26423FDC"/>
    <w:rsid w:val="268D0EEE"/>
    <w:rsid w:val="26BE024C"/>
    <w:rsid w:val="26F61BF3"/>
    <w:rsid w:val="27182904"/>
    <w:rsid w:val="273522DD"/>
    <w:rsid w:val="27410F59"/>
    <w:rsid w:val="275D0C9D"/>
    <w:rsid w:val="27B57123"/>
    <w:rsid w:val="27DC5671"/>
    <w:rsid w:val="27DD2C9E"/>
    <w:rsid w:val="27E13EAD"/>
    <w:rsid w:val="281E2F75"/>
    <w:rsid w:val="282B6041"/>
    <w:rsid w:val="28477093"/>
    <w:rsid w:val="286D2BEC"/>
    <w:rsid w:val="28911F26"/>
    <w:rsid w:val="289F0C32"/>
    <w:rsid w:val="28B46C06"/>
    <w:rsid w:val="28B87951"/>
    <w:rsid w:val="28D608DF"/>
    <w:rsid w:val="28F4147B"/>
    <w:rsid w:val="28FC0BE5"/>
    <w:rsid w:val="29076472"/>
    <w:rsid w:val="2920735A"/>
    <w:rsid w:val="299D6A2C"/>
    <w:rsid w:val="29B6252D"/>
    <w:rsid w:val="29BD5F8E"/>
    <w:rsid w:val="2A44220C"/>
    <w:rsid w:val="2A557E22"/>
    <w:rsid w:val="2A5C1BCE"/>
    <w:rsid w:val="2A623C89"/>
    <w:rsid w:val="2A7C3C84"/>
    <w:rsid w:val="2ABB3D7D"/>
    <w:rsid w:val="2B4C581C"/>
    <w:rsid w:val="2B5B1F78"/>
    <w:rsid w:val="2B5D3E88"/>
    <w:rsid w:val="2B6C0A0A"/>
    <w:rsid w:val="2B7F0BF7"/>
    <w:rsid w:val="2B8C789D"/>
    <w:rsid w:val="2BAC05D7"/>
    <w:rsid w:val="2BB43672"/>
    <w:rsid w:val="2BDA4865"/>
    <w:rsid w:val="2C085EDF"/>
    <w:rsid w:val="2C716FB3"/>
    <w:rsid w:val="2CBF2AF3"/>
    <w:rsid w:val="2D387BB0"/>
    <w:rsid w:val="2D633337"/>
    <w:rsid w:val="2D751FC1"/>
    <w:rsid w:val="2D911852"/>
    <w:rsid w:val="2DD14200"/>
    <w:rsid w:val="2DE24947"/>
    <w:rsid w:val="2DE27D71"/>
    <w:rsid w:val="2E085038"/>
    <w:rsid w:val="2E3F3416"/>
    <w:rsid w:val="2E4C168F"/>
    <w:rsid w:val="2E4C34F7"/>
    <w:rsid w:val="2E4D5B4A"/>
    <w:rsid w:val="2E507FAF"/>
    <w:rsid w:val="2E7461ED"/>
    <w:rsid w:val="2E824B29"/>
    <w:rsid w:val="2E864BA1"/>
    <w:rsid w:val="2EB02DBE"/>
    <w:rsid w:val="2EEA2D55"/>
    <w:rsid w:val="2F3928BE"/>
    <w:rsid w:val="2F4C0931"/>
    <w:rsid w:val="2F557280"/>
    <w:rsid w:val="2F647670"/>
    <w:rsid w:val="2F71445F"/>
    <w:rsid w:val="2F735106"/>
    <w:rsid w:val="2FDB7D31"/>
    <w:rsid w:val="2FE72785"/>
    <w:rsid w:val="300356FE"/>
    <w:rsid w:val="300E7534"/>
    <w:rsid w:val="301462E0"/>
    <w:rsid w:val="305F5502"/>
    <w:rsid w:val="309D2BA1"/>
    <w:rsid w:val="30BF1FF1"/>
    <w:rsid w:val="30DC319E"/>
    <w:rsid w:val="3147169A"/>
    <w:rsid w:val="31A537D7"/>
    <w:rsid w:val="31A87524"/>
    <w:rsid w:val="32051165"/>
    <w:rsid w:val="320842AE"/>
    <w:rsid w:val="32372C93"/>
    <w:rsid w:val="32377195"/>
    <w:rsid w:val="32AB6FB4"/>
    <w:rsid w:val="32C9211F"/>
    <w:rsid w:val="32F50547"/>
    <w:rsid w:val="33185518"/>
    <w:rsid w:val="332F1BF4"/>
    <w:rsid w:val="33570700"/>
    <w:rsid w:val="335C05C6"/>
    <w:rsid w:val="337606C2"/>
    <w:rsid w:val="33A10FB6"/>
    <w:rsid w:val="33D7723E"/>
    <w:rsid w:val="33E0322E"/>
    <w:rsid w:val="340546F4"/>
    <w:rsid w:val="342319CA"/>
    <w:rsid w:val="342F1E7F"/>
    <w:rsid w:val="34517787"/>
    <w:rsid w:val="34867846"/>
    <w:rsid w:val="34BB7E3D"/>
    <w:rsid w:val="3508652A"/>
    <w:rsid w:val="353F1F4D"/>
    <w:rsid w:val="35613C72"/>
    <w:rsid w:val="35E328D9"/>
    <w:rsid w:val="35E7139A"/>
    <w:rsid w:val="36010DE8"/>
    <w:rsid w:val="360510B4"/>
    <w:rsid w:val="360673AF"/>
    <w:rsid w:val="360E67AF"/>
    <w:rsid w:val="36280C33"/>
    <w:rsid w:val="364D2D89"/>
    <w:rsid w:val="36940077"/>
    <w:rsid w:val="36AF5A99"/>
    <w:rsid w:val="36BD6A28"/>
    <w:rsid w:val="36C159A7"/>
    <w:rsid w:val="36E030A2"/>
    <w:rsid w:val="36E6096E"/>
    <w:rsid w:val="370E7E29"/>
    <w:rsid w:val="37393425"/>
    <w:rsid w:val="37465845"/>
    <w:rsid w:val="3752247A"/>
    <w:rsid w:val="378E314A"/>
    <w:rsid w:val="37B9114C"/>
    <w:rsid w:val="37DB7F0B"/>
    <w:rsid w:val="381F16B5"/>
    <w:rsid w:val="38480390"/>
    <w:rsid w:val="38544332"/>
    <w:rsid w:val="386B0B3A"/>
    <w:rsid w:val="387C5C56"/>
    <w:rsid w:val="388E037A"/>
    <w:rsid w:val="38AF17EE"/>
    <w:rsid w:val="390124B1"/>
    <w:rsid w:val="39252DBD"/>
    <w:rsid w:val="39335925"/>
    <w:rsid w:val="393671C3"/>
    <w:rsid w:val="39706B79"/>
    <w:rsid w:val="3982666D"/>
    <w:rsid w:val="39960D88"/>
    <w:rsid w:val="39B34AD7"/>
    <w:rsid w:val="39B555D1"/>
    <w:rsid w:val="39DB0423"/>
    <w:rsid w:val="39DF5689"/>
    <w:rsid w:val="3A080B60"/>
    <w:rsid w:val="3A290C7A"/>
    <w:rsid w:val="3A3934CB"/>
    <w:rsid w:val="3A8D37E0"/>
    <w:rsid w:val="3AAD7301"/>
    <w:rsid w:val="3ABE456C"/>
    <w:rsid w:val="3B3F7868"/>
    <w:rsid w:val="3B474BDB"/>
    <w:rsid w:val="3BB35DB9"/>
    <w:rsid w:val="3BCE466E"/>
    <w:rsid w:val="3C1612E4"/>
    <w:rsid w:val="3C2105FF"/>
    <w:rsid w:val="3C8A61A4"/>
    <w:rsid w:val="3CAA7501"/>
    <w:rsid w:val="3CAF3C1D"/>
    <w:rsid w:val="3CB734C7"/>
    <w:rsid w:val="3CCA034E"/>
    <w:rsid w:val="3CEF0EE1"/>
    <w:rsid w:val="3D0A3677"/>
    <w:rsid w:val="3D0F4B03"/>
    <w:rsid w:val="3D136199"/>
    <w:rsid w:val="3D20315F"/>
    <w:rsid w:val="3D4541A5"/>
    <w:rsid w:val="3D826747"/>
    <w:rsid w:val="3D9916BA"/>
    <w:rsid w:val="3DB85F11"/>
    <w:rsid w:val="3DCE4303"/>
    <w:rsid w:val="3DDC47DD"/>
    <w:rsid w:val="3E0642B2"/>
    <w:rsid w:val="3E2D5039"/>
    <w:rsid w:val="3E5F2A0B"/>
    <w:rsid w:val="3E7A0162"/>
    <w:rsid w:val="3E7E612E"/>
    <w:rsid w:val="3E7E7DDE"/>
    <w:rsid w:val="3EE34D14"/>
    <w:rsid w:val="3F0C10F2"/>
    <w:rsid w:val="3F6365B8"/>
    <w:rsid w:val="3F8B1887"/>
    <w:rsid w:val="3FDC63F8"/>
    <w:rsid w:val="400224F5"/>
    <w:rsid w:val="40071C1F"/>
    <w:rsid w:val="4025474B"/>
    <w:rsid w:val="402A43DA"/>
    <w:rsid w:val="409A23EA"/>
    <w:rsid w:val="40A9471F"/>
    <w:rsid w:val="40B357C8"/>
    <w:rsid w:val="40E61E7E"/>
    <w:rsid w:val="411B386E"/>
    <w:rsid w:val="41635B5D"/>
    <w:rsid w:val="418D4C03"/>
    <w:rsid w:val="419F571C"/>
    <w:rsid w:val="41A43D08"/>
    <w:rsid w:val="41B514D2"/>
    <w:rsid w:val="41F97142"/>
    <w:rsid w:val="426052B1"/>
    <w:rsid w:val="4280393A"/>
    <w:rsid w:val="43040F57"/>
    <w:rsid w:val="430D5439"/>
    <w:rsid w:val="431C1B20"/>
    <w:rsid w:val="43707776"/>
    <w:rsid w:val="439C315E"/>
    <w:rsid w:val="43A11CAC"/>
    <w:rsid w:val="43E91C4C"/>
    <w:rsid w:val="44041BAC"/>
    <w:rsid w:val="449A0F4E"/>
    <w:rsid w:val="44E6727B"/>
    <w:rsid w:val="450F2633"/>
    <w:rsid w:val="457B7A33"/>
    <w:rsid w:val="458F113A"/>
    <w:rsid w:val="459A2B79"/>
    <w:rsid w:val="45A85321"/>
    <w:rsid w:val="45D73ADC"/>
    <w:rsid w:val="46240A95"/>
    <w:rsid w:val="46505FB7"/>
    <w:rsid w:val="46781FBF"/>
    <w:rsid w:val="468167B6"/>
    <w:rsid w:val="46963053"/>
    <w:rsid w:val="46B207D1"/>
    <w:rsid w:val="470238B0"/>
    <w:rsid w:val="473D2597"/>
    <w:rsid w:val="47935F13"/>
    <w:rsid w:val="47953C4F"/>
    <w:rsid w:val="48027536"/>
    <w:rsid w:val="48166E8B"/>
    <w:rsid w:val="481C054A"/>
    <w:rsid w:val="483C371B"/>
    <w:rsid w:val="48AB293F"/>
    <w:rsid w:val="48B325DE"/>
    <w:rsid w:val="48DB1B35"/>
    <w:rsid w:val="48F13107"/>
    <w:rsid w:val="49497A84"/>
    <w:rsid w:val="49C418F7"/>
    <w:rsid w:val="4A5B1180"/>
    <w:rsid w:val="4A902FA7"/>
    <w:rsid w:val="4A944108"/>
    <w:rsid w:val="4AA20994"/>
    <w:rsid w:val="4AA41B1E"/>
    <w:rsid w:val="4B520BA4"/>
    <w:rsid w:val="4B5D68DD"/>
    <w:rsid w:val="4BA356D5"/>
    <w:rsid w:val="4BEA3A51"/>
    <w:rsid w:val="4BEE7EF0"/>
    <w:rsid w:val="4C4320C7"/>
    <w:rsid w:val="4C685E41"/>
    <w:rsid w:val="4C793B3F"/>
    <w:rsid w:val="4CD400A0"/>
    <w:rsid w:val="4D082E9D"/>
    <w:rsid w:val="4D17473A"/>
    <w:rsid w:val="4D470C91"/>
    <w:rsid w:val="4D662315"/>
    <w:rsid w:val="4DBE2899"/>
    <w:rsid w:val="4DD21759"/>
    <w:rsid w:val="4DD30641"/>
    <w:rsid w:val="4DEB1A10"/>
    <w:rsid w:val="4E0A733B"/>
    <w:rsid w:val="4E5A5666"/>
    <w:rsid w:val="4E5E353A"/>
    <w:rsid w:val="4E704ACE"/>
    <w:rsid w:val="4EF1052E"/>
    <w:rsid w:val="4F564DCF"/>
    <w:rsid w:val="4F7D7094"/>
    <w:rsid w:val="4F9F4271"/>
    <w:rsid w:val="4FB01626"/>
    <w:rsid w:val="500951FA"/>
    <w:rsid w:val="50412BC6"/>
    <w:rsid w:val="505433CF"/>
    <w:rsid w:val="50680DC7"/>
    <w:rsid w:val="50834F8C"/>
    <w:rsid w:val="509C604E"/>
    <w:rsid w:val="50A4185B"/>
    <w:rsid w:val="50A7548F"/>
    <w:rsid w:val="50C8007F"/>
    <w:rsid w:val="50DB0057"/>
    <w:rsid w:val="5154056C"/>
    <w:rsid w:val="516819E5"/>
    <w:rsid w:val="516E42A6"/>
    <w:rsid w:val="51930398"/>
    <w:rsid w:val="51CD064F"/>
    <w:rsid w:val="51F76503"/>
    <w:rsid w:val="522105FC"/>
    <w:rsid w:val="52291B63"/>
    <w:rsid w:val="52754DA9"/>
    <w:rsid w:val="528B7935"/>
    <w:rsid w:val="52C37C49"/>
    <w:rsid w:val="52D8684D"/>
    <w:rsid w:val="52E57838"/>
    <w:rsid w:val="52E635B0"/>
    <w:rsid w:val="530A739B"/>
    <w:rsid w:val="534E681A"/>
    <w:rsid w:val="53753FE4"/>
    <w:rsid w:val="53A6092B"/>
    <w:rsid w:val="53B5235E"/>
    <w:rsid w:val="540E5AE1"/>
    <w:rsid w:val="549C560C"/>
    <w:rsid w:val="54AF3FDC"/>
    <w:rsid w:val="54B23668"/>
    <w:rsid w:val="54D97871"/>
    <w:rsid w:val="54DC4755"/>
    <w:rsid w:val="54E769AC"/>
    <w:rsid w:val="550852DD"/>
    <w:rsid w:val="55333723"/>
    <w:rsid w:val="555D2250"/>
    <w:rsid w:val="56087A3D"/>
    <w:rsid w:val="561548D9"/>
    <w:rsid w:val="563A42DD"/>
    <w:rsid w:val="563D4A87"/>
    <w:rsid w:val="568822AF"/>
    <w:rsid w:val="572006D7"/>
    <w:rsid w:val="576B1A2E"/>
    <w:rsid w:val="576D604E"/>
    <w:rsid w:val="579540E4"/>
    <w:rsid w:val="57A51C8C"/>
    <w:rsid w:val="57B7635B"/>
    <w:rsid w:val="57D7479F"/>
    <w:rsid w:val="57E827E9"/>
    <w:rsid w:val="58036CED"/>
    <w:rsid w:val="585B5DFB"/>
    <w:rsid w:val="586109FB"/>
    <w:rsid w:val="58683D80"/>
    <w:rsid w:val="58753D21"/>
    <w:rsid w:val="58801BE2"/>
    <w:rsid w:val="58854F91"/>
    <w:rsid w:val="58940A27"/>
    <w:rsid w:val="58C42A65"/>
    <w:rsid w:val="58D71214"/>
    <w:rsid w:val="59355AA7"/>
    <w:rsid w:val="594631F1"/>
    <w:rsid w:val="599B721F"/>
    <w:rsid w:val="59AF61A4"/>
    <w:rsid w:val="59D56DC8"/>
    <w:rsid w:val="59EE4C92"/>
    <w:rsid w:val="5A763F4F"/>
    <w:rsid w:val="5A977C32"/>
    <w:rsid w:val="5A9B04F4"/>
    <w:rsid w:val="5AA45518"/>
    <w:rsid w:val="5AB51FEA"/>
    <w:rsid w:val="5ACE2FD6"/>
    <w:rsid w:val="5B137676"/>
    <w:rsid w:val="5B351579"/>
    <w:rsid w:val="5BB25BEC"/>
    <w:rsid w:val="5BDD4D80"/>
    <w:rsid w:val="5BE82147"/>
    <w:rsid w:val="5BF55D46"/>
    <w:rsid w:val="5C41157E"/>
    <w:rsid w:val="5C7E6007"/>
    <w:rsid w:val="5CFE60C6"/>
    <w:rsid w:val="5D20751D"/>
    <w:rsid w:val="5D4822B9"/>
    <w:rsid w:val="5D485594"/>
    <w:rsid w:val="5D846794"/>
    <w:rsid w:val="5D8926DC"/>
    <w:rsid w:val="5DA67D73"/>
    <w:rsid w:val="5DBE3B21"/>
    <w:rsid w:val="5DC2432B"/>
    <w:rsid w:val="5E066E73"/>
    <w:rsid w:val="5E0718E2"/>
    <w:rsid w:val="5E0A5D33"/>
    <w:rsid w:val="5E111E29"/>
    <w:rsid w:val="5E677792"/>
    <w:rsid w:val="5EA3657F"/>
    <w:rsid w:val="5EB714EC"/>
    <w:rsid w:val="5ED0656F"/>
    <w:rsid w:val="5EF0705C"/>
    <w:rsid w:val="5F555D46"/>
    <w:rsid w:val="5F5702AF"/>
    <w:rsid w:val="5FA2080B"/>
    <w:rsid w:val="5FBE7D8F"/>
    <w:rsid w:val="5FD2383A"/>
    <w:rsid w:val="60414B36"/>
    <w:rsid w:val="60653D95"/>
    <w:rsid w:val="60732927"/>
    <w:rsid w:val="61275661"/>
    <w:rsid w:val="612A67D8"/>
    <w:rsid w:val="6138147B"/>
    <w:rsid w:val="613A3445"/>
    <w:rsid w:val="61846E0D"/>
    <w:rsid w:val="61E95941"/>
    <w:rsid w:val="61FE4473"/>
    <w:rsid w:val="62060C3F"/>
    <w:rsid w:val="62273667"/>
    <w:rsid w:val="62357339"/>
    <w:rsid w:val="6251463D"/>
    <w:rsid w:val="6254589F"/>
    <w:rsid w:val="62EA1EA0"/>
    <w:rsid w:val="62FE53CF"/>
    <w:rsid w:val="63696264"/>
    <w:rsid w:val="63B00EFB"/>
    <w:rsid w:val="6407724D"/>
    <w:rsid w:val="641F34CF"/>
    <w:rsid w:val="64224BFC"/>
    <w:rsid w:val="644C3BBB"/>
    <w:rsid w:val="646B24CF"/>
    <w:rsid w:val="646B3C27"/>
    <w:rsid w:val="646D6788"/>
    <w:rsid w:val="647F57A1"/>
    <w:rsid w:val="648F0A43"/>
    <w:rsid w:val="650A75D2"/>
    <w:rsid w:val="65107E3D"/>
    <w:rsid w:val="651E6BDA"/>
    <w:rsid w:val="65334B02"/>
    <w:rsid w:val="65D35C16"/>
    <w:rsid w:val="65E82BA1"/>
    <w:rsid w:val="66040C0F"/>
    <w:rsid w:val="662C3D04"/>
    <w:rsid w:val="66406B8B"/>
    <w:rsid w:val="664663E8"/>
    <w:rsid w:val="666B1907"/>
    <w:rsid w:val="66787BB4"/>
    <w:rsid w:val="66882C75"/>
    <w:rsid w:val="66A23A61"/>
    <w:rsid w:val="66A81914"/>
    <w:rsid w:val="66AA1AF6"/>
    <w:rsid w:val="66E073B8"/>
    <w:rsid w:val="66E86644"/>
    <w:rsid w:val="672A28A8"/>
    <w:rsid w:val="676034DA"/>
    <w:rsid w:val="67671DF9"/>
    <w:rsid w:val="678E5A5B"/>
    <w:rsid w:val="67D51C4B"/>
    <w:rsid w:val="682D0411"/>
    <w:rsid w:val="68594AF9"/>
    <w:rsid w:val="687D5F74"/>
    <w:rsid w:val="68C40F78"/>
    <w:rsid w:val="68CF51D0"/>
    <w:rsid w:val="6905258B"/>
    <w:rsid w:val="69894F6A"/>
    <w:rsid w:val="699E1706"/>
    <w:rsid w:val="69BA1CF4"/>
    <w:rsid w:val="69E558DF"/>
    <w:rsid w:val="69FD14B4"/>
    <w:rsid w:val="6A14474C"/>
    <w:rsid w:val="6A302FEF"/>
    <w:rsid w:val="6AD36F5E"/>
    <w:rsid w:val="6AF52B6F"/>
    <w:rsid w:val="6AFB3C45"/>
    <w:rsid w:val="6B451364"/>
    <w:rsid w:val="6B464FC6"/>
    <w:rsid w:val="6B7B1E70"/>
    <w:rsid w:val="6B8F7466"/>
    <w:rsid w:val="6BF30DC0"/>
    <w:rsid w:val="6C186A79"/>
    <w:rsid w:val="6C5B35B2"/>
    <w:rsid w:val="6C9A4859"/>
    <w:rsid w:val="6CCC420C"/>
    <w:rsid w:val="6CD20479"/>
    <w:rsid w:val="6CD844A5"/>
    <w:rsid w:val="6CEE568F"/>
    <w:rsid w:val="6E0653F9"/>
    <w:rsid w:val="6E486B7E"/>
    <w:rsid w:val="6EA6211A"/>
    <w:rsid w:val="6EAE6CA8"/>
    <w:rsid w:val="6EAF3ABB"/>
    <w:rsid w:val="6EB342E3"/>
    <w:rsid w:val="6EDD18B4"/>
    <w:rsid w:val="6EFE76E2"/>
    <w:rsid w:val="6F55769C"/>
    <w:rsid w:val="6F5E47A3"/>
    <w:rsid w:val="6F7C0414"/>
    <w:rsid w:val="70015897"/>
    <w:rsid w:val="702415A2"/>
    <w:rsid w:val="70271038"/>
    <w:rsid w:val="702F7EED"/>
    <w:rsid w:val="70B33C2B"/>
    <w:rsid w:val="70D515B6"/>
    <w:rsid w:val="70DA60AB"/>
    <w:rsid w:val="70FD7462"/>
    <w:rsid w:val="711315BD"/>
    <w:rsid w:val="71211F2C"/>
    <w:rsid w:val="714B5BB4"/>
    <w:rsid w:val="71A11F76"/>
    <w:rsid w:val="723E669B"/>
    <w:rsid w:val="724313C1"/>
    <w:rsid w:val="727A78A2"/>
    <w:rsid w:val="72872262"/>
    <w:rsid w:val="728C164C"/>
    <w:rsid w:val="72BF7C4E"/>
    <w:rsid w:val="72E90827"/>
    <w:rsid w:val="73007CC5"/>
    <w:rsid w:val="73155AC0"/>
    <w:rsid w:val="7357430D"/>
    <w:rsid w:val="7362469D"/>
    <w:rsid w:val="74076F92"/>
    <w:rsid w:val="741E6BF6"/>
    <w:rsid w:val="744F2DEB"/>
    <w:rsid w:val="7476433D"/>
    <w:rsid w:val="747F6E36"/>
    <w:rsid w:val="7480721F"/>
    <w:rsid w:val="749A242A"/>
    <w:rsid w:val="75334D95"/>
    <w:rsid w:val="75577984"/>
    <w:rsid w:val="7565477A"/>
    <w:rsid w:val="756A7E5B"/>
    <w:rsid w:val="75C02E5A"/>
    <w:rsid w:val="75FA755F"/>
    <w:rsid w:val="75FF3278"/>
    <w:rsid w:val="76377DFF"/>
    <w:rsid w:val="764D1239"/>
    <w:rsid w:val="764D1A95"/>
    <w:rsid w:val="76A4500F"/>
    <w:rsid w:val="770019DC"/>
    <w:rsid w:val="77170059"/>
    <w:rsid w:val="775C1F10"/>
    <w:rsid w:val="775C569B"/>
    <w:rsid w:val="779D0AEF"/>
    <w:rsid w:val="77B04045"/>
    <w:rsid w:val="77B25EF8"/>
    <w:rsid w:val="77FE4D75"/>
    <w:rsid w:val="781B6A81"/>
    <w:rsid w:val="788B7A62"/>
    <w:rsid w:val="78BF323E"/>
    <w:rsid w:val="78EB4FDD"/>
    <w:rsid w:val="79037982"/>
    <w:rsid w:val="7917377E"/>
    <w:rsid w:val="793D7B1F"/>
    <w:rsid w:val="795803D5"/>
    <w:rsid w:val="797F49C6"/>
    <w:rsid w:val="798477A2"/>
    <w:rsid w:val="79950729"/>
    <w:rsid w:val="79BF6786"/>
    <w:rsid w:val="79C92BA3"/>
    <w:rsid w:val="79D833A4"/>
    <w:rsid w:val="79E93803"/>
    <w:rsid w:val="7A80719E"/>
    <w:rsid w:val="7AAD7D52"/>
    <w:rsid w:val="7AB501B6"/>
    <w:rsid w:val="7AC76018"/>
    <w:rsid w:val="7AD63749"/>
    <w:rsid w:val="7AEF309B"/>
    <w:rsid w:val="7B1D7C08"/>
    <w:rsid w:val="7B585393"/>
    <w:rsid w:val="7B5B0730"/>
    <w:rsid w:val="7B8C2B31"/>
    <w:rsid w:val="7B983F16"/>
    <w:rsid w:val="7B9E2CA6"/>
    <w:rsid w:val="7BC260B9"/>
    <w:rsid w:val="7BD105C2"/>
    <w:rsid w:val="7C0208A6"/>
    <w:rsid w:val="7C0E4525"/>
    <w:rsid w:val="7C326E3C"/>
    <w:rsid w:val="7CEC27EB"/>
    <w:rsid w:val="7D00333D"/>
    <w:rsid w:val="7D187E67"/>
    <w:rsid w:val="7D284642"/>
    <w:rsid w:val="7D6D143E"/>
    <w:rsid w:val="7D9B305C"/>
    <w:rsid w:val="7DE92023"/>
    <w:rsid w:val="7E027275"/>
    <w:rsid w:val="7E1161E3"/>
    <w:rsid w:val="7E5111BD"/>
    <w:rsid w:val="7F1E2AFB"/>
    <w:rsid w:val="7F5D15F3"/>
    <w:rsid w:val="7F7E5346"/>
    <w:rsid w:val="7F800765"/>
    <w:rsid w:val="7F9508AD"/>
    <w:rsid w:val="7F9C66A4"/>
    <w:rsid w:val="7FB76B30"/>
    <w:rsid w:val="7FCA1B6F"/>
    <w:rsid w:val="7FD27150"/>
    <w:rsid w:val="7FFC3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45"/>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qFormat/>
    <w:uiPriority w:val="0"/>
    <w:pPr>
      <w:keepNext/>
      <w:keepLines/>
      <w:spacing w:before="260" w:after="260" w:line="413" w:lineRule="auto"/>
      <w:jc w:val="center"/>
      <w:outlineLvl w:val="1"/>
    </w:pPr>
    <w:rPr>
      <w:rFonts w:ascii="Arial" w:hAnsi="Arial" w:eastAsia="新宋体"/>
      <w:b/>
      <w:bCs/>
      <w:sz w:val="32"/>
      <w:szCs w:val="32"/>
    </w:rPr>
  </w:style>
  <w:style w:type="paragraph" w:styleId="5">
    <w:name w:val="heading 3"/>
    <w:basedOn w:val="1"/>
    <w:next w:val="1"/>
    <w:qFormat/>
    <w:uiPriority w:val="0"/>
    <w:pPr>
      <w:keepNext/>
      <w:spacing w:before="624" w:beforeLines="200" w:line="400" w:lineRule="exact"/>
      <w:jc w:val="center"/>
      <w:outlineLvl w:val="2"/>
    </w:pPr>
    <w:rPr>
      <w:b/>
      <w:bCs/>
      <w:sz w:val="24"/>
      <w:szCs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9">
    <w:name w:val="Default Paragraph Font"/>
    <w:link w:val="30"/>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8">
    <w:name w:val="Normal Indent"/>
    <w:basedOn w:val="1"/>
    <w:qFormat/>
    <w:uiPriority w:val="0"/>
    <w:pPr>
      <w:ind w:firstLine="420"/>
    </w:pPr>
    <w:rPr>
      <w:sz w:val="21"/>
    </w:rPr>
  </w:style>
  <w:style w:type="paragraph" w:styleId="9">
    <w:name w:val="Document Map"/>
    <w:basedOn w:val="1"/>
    <w:unhideWhenUsed/>
    <w:qFormat/>
    <w:uiPriority w:val="99"/>
    <w:rPr>
      <w:rFonts w:ascii="宋体"/>
      <w:sz w:val="18"/>
      <w:szCs w:val="18"/>
    </w:rPr>
  </w:style>
  <w:style w:type="paragraph" w:styleId="10">
    <w:name w:val="toa heading"/>
    <w:basedOn w:val="1"/>
    <w:next w:val="1"/>
    <w:semiHidden/>
    <w:qFormat/>
    <w:uiPriority w:val="0"/>
    <w:pPr>
      <w:spacing w:before="120"/>
    </w:pPr>
    <w:rPr>
      <w:rFonts w:ascii="Arial" w:hAnsi="Arial" w:cs="Arial"/>
      <w:szCs w:val="24"/>
    </w:rPr>
  </w:style>
  <w:style w:type="paragraph" w:styleId="11">
    <w:name w:val="Body Text Indent"/>
    <w:basedOn w:val="1"/>
    <w:qFormat/>
    <w:uiPriority w:val="0"/>
    <w:pPr>
      <w:spacing w:afterLines="50" w:line="360" w:lineRule="exact"/>
      <w:ind w:firstLine="480" w:firstLineChars="200"/>
    </w:pPr>
    <w:rPr>
      <w:rFonts w:ascii="宋体" w:hAnsi="宋体"/>
      <w:szCs w:val="24"/>
    </w:rPr>
  </w:style>
  <w:style w:type="paragraph" w:styleId="12">
    <w:name w:val="List 2"/>
    <w:basedOn w:val="1"/>
    <w:qFormat/>
    <w:uiPriority w:val="0"/>
    <w:pPr>
      <w:ind w:left="100" w:leftChars="200" w:hanging="200" w:hangingChars="200"/>
    </w:pPr>
    <w:rPr>
      <w:szCs w:val="24"/>
    </w:rPr>
  </w:style>
  <w:style w:type="paragraph" w:styleId="13">
    <w:name w:val="Block Text"/>
    <w:basedOn w:val="1"/>
    <w:unhideWhenUsed/>
    <w:qFormat/>
    <w:uiPriority w:val="0"/>
    <w:pPr>
      <w:adjustRightInd w:val="0"/>
      <w:spacing w:line="240" w:lineRule="auto"/>
      <w:ind w:left="420" w:right="33" w:firstLine="0" w:firstLineChars="0"/>
      <w:jc w:val="left"/>
    </w:pPr>
    <w:rPr>
      <w:rFonts w:ascii="Times New Roman" w:hAnsi="Times New Roman" w:eastAsia="宋体" w:cs="Times New Roman"/>
      <w:kern w:val="0"/>
      <w:szCs w:val="20"/>
    </w:rPr>
  </w:style>
  <w:style w:type="paragraph" w:styleId="14">
    <w:name w:val="toc 3"/>
    <w:basedOn w:val="1"/>
    <w:next w:val="1"/>
    <w:qFormat/>
    <w:uiPriority w:val="0"/>
    <w:pPr>
      <w:ind w:left="840" w:leftChars="400"/>
    </w:pPr>
  </w:style>
  <w:style w:type="paragraph" w:styleId="15">
    <w:name w:val="Plain Text"/>
    <w:basedOn w:val="1"/>
    <w:next w:val="1"/>
    <w:unhideWhenUsed/>
    <w:qFormat/>
    <w:uiPriority w:val="0"/>
    <w:rPr>
      <w:rFonts w:ascii="宋体" w:hAnsi="Courier New" w:cstheme="minorBidi"/>
      <w:sz w:val="21"/>
    </w:rPr>
  </w:style>
  <w:style w:type="paragraph" w:styleId="16">
    <w:name w:val="Body Text Indent 2"/>
    <w:basedOn w:val="1"/>
    <w:unhideWhenUsed/>
    <w:qFormat/>
    <w:uiPriority w:val="99"/>
    <w:pPr>
      <w:spacing w:after="120" w:line="480" w:lineRule="auto"/>
      <w:ind w:left="420" w:leftChars="200"/>
    </w:p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rPr>
      <w:sz w:val="21"/>
      <w:szCs w:val="24"/>
    </w:rPr>
  </w:style>
  <w:style w:type="paragraph" w:styleId="21">
    <w:name w:val="toc 4"/>
    <w:basedOn w:val="1"/>
    <w:next w:val="1"/>
    <w:qFormat/>
    <w:uiPriority w:val="0"/>
    <w:pPr>
      <w:ind w:left="630"/>
      <w:jc w:val="left"/>
    </w:pPr>
    <w:rPr>
      <w:rFonts w:ascii="Calibri" w:hAnsi="Calibri" w:cs="Calibri"/>
      <w:sz w:val="18"/>
      <w:szCs w:val="18"/>
    </w:rPr>
  </w:style>
  <w:style w:type="paragraph" w:styleId="22">
    <w:name w:val="toc 2"/>
    <w:basedOn w:val="1"/>
    <w:next w:val="1"/>
    <w:qFormat/>
    <w:uiPriority w:val="39"/>
    <w:pPr>
      <w:ind w:left="420" w:leftChars="200"/>
    </w:pPr>
    <w:rPr>
      <w:sz w:val="21"/>
      <w:szCs w:val="24"/>
    </w:rPr>
  </w:style>
  <w:style w:type="paragraph" w:styleId="23">
    <w:name w:val="Normal (Web)"/>
    <w:basedOn w:val="1"/>
    <w:qFormat/>
    <w:uiPriority w:val="0"/>
    <w:rPr>
      <w:szCs w:val="24"/>
    </w:rPr>
  </w:style>
  <w:style w:type="paragraph" w:styleId="24">
    <w:name w:val="Title"/>
    <w:basedOn w:val="1"/>
    <w:next w:val="1"/>
    <w:qFormat/>
    <w:uiPriority w:val="0"/>
    <w:pPr>
      <w:spacing w:before="240" w:after="60"/>
      <w:jc w:val="center"/>
      <w:outlineLvl w:val="0"/>
    </w:pPr>
    <w:rPr>
      <w:rFonts w:ascii="Cambria" w:hAnsi="Cambria"/>
      <w:b/>
      <w:bCs/>
      <w:sz w:val="32"/>
      <w:szCs w:val="32"/>
    </w:rPr>
  </w:style>
  <w:style w:type="paragraph" w:styleId="25">
    <w:name w:val="Body Text First Indent"/>
    <w:basedOn w:val="2"/>
    <w:next w:val="1"/>
    <w:qFormat/>
    <w:uiPriority w:val="99"/>
    <w:pPr>
      <w:ind w:firstLine="420" w:firstLineChars="100"/>
    </w:pPr>
  </w:style>
  <w:style w:type="paragraph" w:styleId="26">
    <w:name w:val="Body Text First Indent 2"/>
    <w:basedOn w:val="11"/>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 Char Char1 Char"/>
    <w:basedOn w:val="1"/>
    <w:link w:val="29"/>
    <w:qFormat/>
    <w:uiPriority w:val="0"/>
  </w:style>
  <w:style w:type="character" w:styleId="31">
    <w:name w:val="Strong"/>
    <w:basedOn w:val="29"/>
    <w:qFormat/>
    <w:uiPriority w:val="22"/>
    <w:rPr>
      <w:b/>
      <w:bCs/>
    </w:rPr>
  </w:style>
  <w:style w:type="character" w:styleId="32">
    <w:name w:val="page number"/>
    <w:basedOn w:val="29"/>
    <w:qFormat/>
    <w:uiPriority w:val="0"/>
  </w:style>
  <w:style w:type="character" w:styleId="33">
    <w:name w:val="FollowedHyperlink"/>
    <w:basedOn w:val="29"/>
    <w:qFormat/>
    <w:uiPriority w:val="0"/>
    <w:rPr>
      <w:color w:val="800080"/>
      <w:u w:val="none"/>
    </w:rPr>
  </w:style>
  <w:style w:type="character" w:styleId="34">
    <w:name w:val="Emphasis"/>
    <w:basedOn w:val="29"/>
    <w:qFormat/>
    <w:uiPriority w:val="0"/>
    <w:rPr>
      <w:color w:val="CC0000"/>
      <w:sz w:val="24"/>
      <w:szCs w:val="24"/>
    </w:rPr>
  </w:style>
  <w:style w:type="character" w:styleId="35">
    <w:name w:val="HTML Definition"/>
    <w:basedOn w:val="29"/>
    <w:qFormat/>
    <w:uiPriority w:val="0"/>
  </w:style>
  <w:style w:type="character" w:styleId="36">
    <w:name w:val="HTML Typewriter"/>
    <w:basedOn w:val="29"/>
    <w:qFormat/>
    <w:uiPriority w:val="0"/>
    <w:rPr>
      <w:rFonts w:hint="default" w:ascii="monospace" w:hAnsi="monospace" w:eastAsia="monospace" w:cs="monospace"/>
      <w:sz w:val="20"/>
    </w:rPr>
  </w:style>
  <w:style w:type="character" w:styleId="37">
    <w:name w:val="HTML Acronym"/>
    <w:basedOn w:val="29"/>
    <w:qFormat/>
    <w:uiPriority w:val="0"/>
  </w:style>
  <w:style w:type="character" w:styleId="38">
    <w:name w:val="HTML Variable"/>
    <w:basedOn w:val="29"/>
    <w:qFormat/>
    <w:uiPriority w:val="0"/>
  </w:style>
  <w:style w:type="character" w:styleId="39">
    <w:name w:val="Hyperlink"/>
    <w:basedOn w:val="29"/>
    <w:qFormat/>
    <w:uiPriority w:val="0"/>
    <w:rPr>
      <w:color w:val="0000FF"/>
      <w:u w:val="none"/>
    </w:rPr>
  </w:style>
  <w:style w:type="character" w:styleId="40">
    <w:name w:val="HTML Code"/>
    <w:basedOn w:val="29"/>
    <w:qFormat/>
    <w:uiPriority w:val="0"/>
    <w:rPr>
      <w:rFonts w:ascii="微软雅黑" w:hAnsi="微软雅黑" w:eastAsia="微软雅黑" w:cs="微软雅黑"/>
      <w:sz w:val="20"/>
    </w:rPr>
  </w:style>
  <w:style w:type="character" w:styleId="41">
    <w:name w:val="HTML Cite"/>
    <w:basedOn w:val="29"/>
    <w:qFormat/>
    <w:uiPriority w:val="0"/>
    <w:rPr>
      <w:sz w:val="24"/>
      <w:szCs w:val="24"/>
    </w:rPr>
  </w:style>
  <w:style w:type="character" w:styleId="42">
    <w:name w:val="HTML Keyboard"/>
    <w:basedOn w:val="29"/>
    <w:qFormat/>
    <w:uiPriority w:val="0"/>
    <w:rPr>
      <w:rFonts w:ascii="monospace" w:hAnsi="monospace" w:eastAsia="monospace" w:cs="monospace"/>
      <w:sz w:val="20"/>
    </w:rPr>
  </w:style>
  <w:style w:type="character" w:styleId="43">
    <w:name w:val="HTML Sample"/>
    <w:basedOn w:val="29"/>
    <w:qFormat/>
    <w:uiPriority w:val="0"/>
    <w:rPr>
      <w:rFonts w:hint="default" w:ascii="monospace" w:hAnsi="monospace" w:eastAsia="monospace" w:cs="monospace"/>
    </w:rPr>
  </w:style>
  <w:style w:type="paragraph" w:customStyle="1" w:styleId="44">
    <w:name w:val="正文缩进1"/>
    <w:basedOn w:val="1"/>
    <w:qFormat/>
    <w:uiPriority w:val="0"/>
    <w:pPr>
      <w:ind w:firstLine="200" w:firstLineChars="200"/>
    </w:pPr>
  </w:style>
  <w:style w:type="character" w:customStyle="1" w:styleId="45">
    <w:name w:val="标题 1 Char"/>
    <w:basedOn w:val="29"/>
    <w:link w:val="3"/>
    <w:qFormat/>
    <w:uiPriority w:val="0"/>
    <w:rPr>
      <w:b/>
      <w:bCs/>
      <w:kern w:val="44"/>
      <w:sz w:val="36"/>
      <w:szCs w:val="44"/>
    </w:rPr>
  </w:style>
  <w:style w:type="paragraph" w:customStyle="1" w:styleId="46">
    <w:name w:val="首行缩进"/>
    <w:basedOn w:val="1"/>
    <w:qFormat/>
    <w:uiPriority w:val="0"/>
    <w:pPr>
      <w:spacing w:line="360" w:lineRule="auto"/>
      <w:ind w:firstLine="480" w:firstLineChars="200"/>
    </w:pPr>
    <w:rPr>
      <w:sz w:val="24"/>
      <w:szCs w:val="22"/>
      <w:lang w:val="zh-CN"/>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9">
    <w:name w:val="p15"/>
    <w:basedOn w:val="1"/>
    <w:qFormat/>
    <w:uiPriority w:val="99"/>
    <w:pPr>
      <w:widowControl/>
    </w:pPr>
    <w:rPr>
      <w:kern w:val="0"/>
      <w:sz w:val="21"/>
      <w:szCs w:val="21"/>
    </w:rPr>
  </w:style>
  <w:style w:type="character" w:customStyle="1" w:styleId="50">
    <w:name w:val="标题 2 Char Char"/>
    <w:qFormat/>
    <w:uiPriority w:val="0"/>
    <w:rPr>
      <w:rFonts w:hint="default" w:ascii="Arial" w:hAnsi="Arial" w:eastAsia="宋体" w:cs="Arial"/>
      <w:b/>
      <w:kern w:val="2"/>
      <w:sz w:val="30"/>
      <w:lang w:val="en-US" w:eastAsia="zh-CN" w:bidi="ar-SA"/>
    </w:rPr>
  </w:style>
  <w:style w:type="character" w:customStyle="1" w:styleId="51">
    <w:name w:val="font11"/>
    <w:basedOn w:val="29"/>
    <w:qFormat/>
    <w:uiPriority w:val="0"/>
    <w:rPr>
      <w:rFonts w:hint="eastAsia" w:ascii="宋体" w:hAnsi="宋体" w:eastAsia="宋体" w:cs="宋体"/>
      <w:color w:val="000000"/>
      <w:sz w:val="24"/>
      <w:szCs w:val="24"/>
      <w:u w:val="none"/>
    </w:rPr>
  </w:style>
  <w:style w:type="character" w:customStyle="1" w:styleId="52">
    <w:name w:val="font01"/>
    <w:basedOn w:val="29"/>
    <w:qFormat/>
    <w:uiPriority w:val="0"/>
    <w:rPr>
      <w:rFonts w:hint="eastAsia" w:ascii="宋体" w:hAnsi="宋体" w:eastAsia="宋体" w:cs="宋体"/>
      <w:color w:val="FF0000"/>
      <w:sz w:val="24"/>
      <w:szCs w:val="24"/>
      <w:u w:val="none"/>
    </w:rPr>
  </w:style>
  <w:style w:type="paragraph" w:customStyle="1" w:styleId="53">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54">
    <w:name w:val="font41"/>
    <w:basedOn w:val="29"/>
    <w:qFormat/>
    <w:uiPriority w:val="0"/>
    <w:rPr>
      <w:rFonts w:hint="eastAsia" w:ascii="宋体" w:hAnsi="宋体" w:eastAsia="宋体" w:cs="宋体"/>
      <w:color w:val="000000"/>
      <w:sz w:val="24"/>
      <w:szCs w:val="24"/>
      <w:u w:val="none"/>
    </w:rPr>
  </w:style>
  <w:style w:type="paragraph" w:customStyle="1" w:styleId="55">
    <w:name w:val="List Paragraph"/>
    <w:basedOn w:val="1"/>
    <w:qFormat/>
    <w:uiPriority w:val="34"/>
    <w:pPr>
      <w:ind w:firstLine="420" w:firstLineChars="200"/>
    </w:pPr>
  </w:style>
  <w:style w:type="paragraph" w:customStyle="1" w:styleId="56">
    <w:name w:val="Table Paragraph"/>
    <w:basedOn w:val="1"/>
    <w:qFormat/>
    <w:uiPriority w:val="1"/>
    <w:rPr>
      <w:rFonts w:ascii="宋体" w:hAnsi="宋体" w:eastAsia="宋体" w:cs="宋体"/>
      <w:lang w:val="zh-CN" w:eastAsia="zh-CN" w:bidi="zh-CN"/>
    </w:rPr>
  </w:style>
  <w:style w:type="character" w:customStyle="1" w:styleId="57">
    <w:name w:val="stclosebtn"/>
    <w:basedOn w:val="29"/>
    <w:qFormat/>
    <w:uiPriority w:val="0"/>
  </w:style>
  <w:style w:type="character" w:customStyle="1" w:styleId="58">
    <w:name w:val="number"/>
    <w:basedOn w:val="29"/>
    <w:qFormat/>
    <w:uiPriority w:val="0"/>
    <w:rPr>
      <w:color w:val="FF8833"/>
      <w:sz w:val="18"/>
      <w:szCs w:val="18"/>
    </w:rPr>
  </w:style>
  <w:style w:type="character" w:customStyle="1" w:styleId="59">
    <w:name w:val="phone"/>
    <w:basedOn w:val="29"/>
    <w:qFormat/>
    <w:uiPriority w:val="0"/>
    <w:rPr>
      <w:color w:val="FF8833"/>
      <w:sz w:val="18"/>
      <w:szCs w:val="18"/>
    </w:rPr>
  </w:style>
  <w:style w:type="character" w:customStyle="1" w:styleId="60">
    <w:name w:val="proollist"/>
    <w:basedOn w:val="29"/>
    <w:qFormat/>
    <w:uiPriority w:val="0"/>
  </w:style>
  <w:style w:type="character" w:customStyle="1" w:styleId="61">
    <w:name w:val="beforeinfotext"/>
    <w:basedOn w:val="29"/>
    <w:qFormat/>
    <w:uiPriority w:val="0"/>
    <w:rPr>
      <w:color w:val="666666"/>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表格文字"/>
    <w:basedOn w:val="1"/>
    <w:qFormat/>
    <w:uiPriority w:val="0"/>
    <w:pPr>
      <w:keepNext w:val="0"/>
      <w:keepLines w:val="0"/>
      <w:widowControl w:val="0"/>
      <w:suppressLineNumbers w:val="0"/>
      <w:spacing w:before="120" w:beforeAutospacing="0" w:after="120" w:afterAutospacing="0"/>
      <w:ind w:left="0" w:right="0"/>
      <w:jc w:val="both"/>
    </w:pPr>
    <w:rPr>
      <w:rFonts w:hint="eastAsia" w:ascii="新宋体" w:hAnsi="宋体" w:eastAsia="新宋体" w:cs="Times New Roman"/>
      <w:bCs/>
      <w:color w:val="000000"/>
      <w:kern w:val="0"/>
      <w:sz w:val="18"/>
      <w:szCs w:val="18"/>
      <w:lang w:val="en-US" w:eastAsia="zh-CN" w:bidi="ar"/>
    </w:rPr>
  </w:style>
  <w:style w:type="paragraph" w:customStyle="1" w:styleId="64">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5">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66">
    <w:name w:val="edit_class"/>
    <w:basedOn w:val="29"/>
    <w:qFormat/>
    <w:uiPriority w:val="0"/>
  </w:style>
  <w:style w:type="character" w:customStyle="1" w:styleId="67">
    <w:name w:val="hover44"/>
    <w:basedOn w:val="29"/>
    <w:qFormat/>
    <w:uiPriority w:val="0"/>
    <w:rPr>
      <w:color w:val="FFFFFF"/>
    </w:rPr>
  </w:style>
  <w:style w:type="character" w:customStyle="1" w:styleId="68">
    <w:name w:val="active3"/>
    <w:basedOn w:val="29"/>
    <w:qFormat/>
    <w:uiPriority w:val="0"/>
    <w:rPr>
      <w:color w:val="00FF00"/>
      <w:shd w:val="clear" w:fill="111111"/>
    </w:rPr>
  </w:style>
  <w:style w:type="character" w:customStyle="1" w:styleId="69">
    <w:name w:val="cy"/>
    <w:basedOn w:val="29"/>
    <w:qFormat/>
    <w:uiPriority w:val="0"/>
  </w:style>
  <w:style w:type="character" w:customStyle="1" w:styleId="70">
    <w:name w:val="design_class"/>
    <w:basedOn w:val="29"/>
    <w:qFormat/>
    <w:uiPriority w:val="0"/>
  </w:style>
  <w:style w:type="character" w:customStyle="1" w:styleId="71">
    <w:name w:val="cdropright"/>
    <w:basedOn w:val="29"/>
    <w:qFormat/>
    <w:uiPriority w:val="0"/>
  </w:style>
  <w:style w:type="character" w:customStyle="1" w:styleId="72">
    <w:name w:val="w32"/>
    <w:basedOn w:val="29"/>
    <w:qFormat/>
    <w:uiPriority w:val="0"/>
  </w:style>
  <w:style w:type="character" w:customStyle="1" w:styleId="73">
    <w:name w:val="moreaction32"/>
    <w:basedOn w:val="29"/>
    <w:qFormat/>
    <w:uiPriority w:val="0"/>
  </w:style>
  <w:style w:type="character" w:customStyle="1" w:styleId="74">
    <w:name w:val="button"/>
    <w:basedOn w:val="29"/>
    <w:qFormat/>
    <w:uiPriority w:val="0"/>
  </w:style>
  <w:style w:type="character" w:customStyle="1" w:styleId="75">
    <w:name w:val="pagechatarealistclose_box"/>
    <w:basedOn w:val="29"/>
    <w:qFormat/>
    <w:uiPriority w:val="0"/>
  </w:style>
  <w:style w:type="character" w:customStyle="1" w:styleId="76">
    <w:name w:val="pagechatarealistclose_box1"/>
    <w:basedOn w:val="29"/>
    <w:qFormat/>
    <w:uiPriority w:val="0"/>
  </w:style>
  <w:style w:type="character" w:customStyle="1" w:styleId="77">
    <w:name w:val="biggerthanmax"/>
    <w:basedOn w:val="29"/>
    <w:qFormat/>
    <w:uiPriority w:val="0"/>
    <w:rPr>
      <w:shd w:val="clear" w:fill="FFFF00"/>
    </w:rPr>
  </w:style>
  <w:style w:type="character" w:customStyle="1" w:styleId="78">
    <w:name w:val="ico1656"/>
    <w:basedOn w:val="29"/>
    <w:qFormat/>
    <w:uiPriority w:val="0"/>
  </w:style>
  <w:style w:type="character" w:customStyle="1" w:styleId="79">
    <w:name w:val="ico1657"/>
    <w:basedOn w:val="29"/>
    <w:qFormat/>
    <w:uiPriority w:val="0"/>
  </w:style>
  <w:style w:type="character" w:customStyle="1" w:styleId="80">
    <w:name w:val="ico1658"/>
    <w:basedOn w:val="29"/>
    <w:qFormat/>
    <w:uiPriority w:val="0"/>
  </w:style>
  <w:style w:type="character" w:customStyle="1" w:styleId="81">
    <w:name w:val="hilite6"/>
    <w:basedOn w:val="29"/>
    <w:qFormat/>
    <w:uiPriority w:val="0"/>
    <w:rPr>
      <w:color w:val="FFFFFF"/>
      <w:shd w:val="clear" w:fill="666666"/>
    </w:rPr>
  </w:style>
  <w:style w:type="character" w:customStyle="1" w:styleId="82">
    <w:name w:val="cdropleft"/>
    <w:basedOn w:val="29"/>
    <w:qFormat/>
    <w:uiPriority w:val="0"/>
  </w:style>
  <w:style w:type="character" w:customStyle="1" w:styleId="83">
    <w:name w:val="drapbtn"/>
    <w:basedOn w:val="29"/>
    <w:qFormat/>
    <w:uiPriority w:val="0"/>
  </w:style>
  <w:style w:type="character" w:customStyle="1" w:styleId="84">
    <w:name w:val="after"/>
    <w:basedOn w:val="29"/>
    <w:qFormat/>
    <w:uiPriority w:val="0"/>
    <w:rPr>
      <w:sz w:val="0"/>
      <w:szCs w:val="0"/>
    </w:rPr>
  </w:style>
  <w:style w:type="character" w:customStyle="1" w:styleId="85">
    <w:name w:val="tmpztreemove_arrow"/>
    <w:basedOn w:val="29"/>
    <w:qFormat/>
    <w:uiPriority w:val="0"/>
  </w:style>
  <w:style w:type="character" w:customStyle="1" w:styleId="86">
    <w:name w:val="browse_class&gt;span"/>
    <w:basedOn w:val="29"/>
    <w:qFormat/>
    <w:uiPriority w:val="0"/>
  </w:style>
  <w:style w:type="character" w:customStyle="1" w:styleId="87">
    <w:name w:val="estimate_gray"/>
    <w:basedOn w:val="29"/>
    <w:qFormat/>
    <w:uiPriority w:val="0"/>
    <w:rPr>
      <w:color w:val="FFFFFF"/>
    </w:rPr>
  </w:style>
  <w:style w:type="character" w:customStyle="1" w:styleId="88">
    <w:name w:val="liked_gray"/>
    <w:basedOn w:val="29"/>
    <w:qFormat/>
    <w:uiPriority w:val="0"/>
    <w:rPr>
      <w:color w:val="FFFFFF"/>
    </w:rPr>
  </w:style>
  <w:style w:type="character" w:customStyle="1" w:styleId="89">
    <w:name w:val="xdrichtextbox2"/>
    <w:basedOn w:val="29"/>
    <w:qFormat/>
    <w:uiPriority w:val="0"/>
  </w:style>
  <w:style w:type="character" w:customStyle="1" w:styleId="90">
    <w:name w:val="button4"/>
    <w:basedOn w:val="29"/>
    <w:qFormat/>
    <w:uiPriority w:val="0"/>
  </w:style>
  <w:style w:type="character" w:customStyle="1" w:styleId="91">
    <w:name w:val="active7"/>
    <w:basedOn w:val="29"/>
    <w:qFormat/>
    <w:uiPriority w:val="0"/>
    <w:rPr>
      <w:color w:val="00FF00"/>
      <w:shd w:val="clear" w:fill="111111"/>
    </w:rPr>
  </w:style>
  <w:style w:type="character" w:customStyle="1" w:styleId="92">
    <w:name w:val="hilite5"/>
    <w:basedOn w:val="29"/>
    <w:qFormat/>
    <w:uiPriority w:val="0"/>
    <w:rPr>
      <w:color w:val="FFFFFF"/>
      <w:shd w:val="clear" w:fill="666666"/>
    </w:rPr>
  </w:style>
  <w:style w:type="character" w:customStyle="1" w:styleId="93">
    <w:name w:val="xdrichtextbox"/>
    <w:basedOn w:val="29"/>
    <w:qFormat/>
    <w:uiPriority w:val="0"/>
    <w:rPr>
      <w:color w:val="auto"/>
      <w:sz w:val="12"/>
      <w:szCs w:val="12"/>
      <w:u w:val="none"/>
      <w:bdr w:val="single" w:color="DCDCDC" w:sz="8" w:space="0"/>
      <w:shd w:val="clear" w:fill="auto"/>
    </w:rPr>
  </w:style>
  <w:style w:type="character" w:customStyle="1" w:styleId="94">
    <w:name w:val="hover41"/>
    <w:basedOn w:val="29"/>
    <w:qFormat/>
    <w:uiPriority w:val="0"/>
    <w:rPr>
      <w:color w:val="FFFFFF"/>
    </w:rPr>
  </w:style>
  <w:style w:type="character" w:customStyle="1" w:styleId="95">
    <w:name w:val="mini-outputtext1"/>
    <w:basedOn w:val="29"/>
    <w:qFormat/>
    <w:uiPriority w:val="0"/>
  </w:style>
  <w:style w:type="character" w:customStyle="1" w:styleId="96">
    <w:name w:val="正文文本_"/>
    <w:basedOn w:val="29"/>
    <w:link w:val="97"/>
    <w:unhideWhenUsed/>
    <w:qFormat/>
    <w:locked/>
    <w:uiPriority w:val="99"/>
    <w:rPr>
      <w:rFonts w:cs="Times New Roman"/>
      <w:sz w:val="30"/>
    </w:rPr>
  </w:style>
  <w:style w:type="paragraph" w:customStyle="1" w:styleId="97">
    <w:name w:val="正文文本1"/>
    <w:basedOn w:val="1"/>
    <w:link w:val="96"/>
    <w:unhideWhenUsed/>
    <w:qFormat/>
    <w:uiPriority w:val="99"/>
    <w:pPr>
      <w:shd w:val="clear" w:color="auto" w:fill="FFFFFF"/>
      <w:spacing w:before="240" w:after="720" w:line="240" w:lineRule="atLeast"/>
      <w:jc w:val="center"/>
    </w:pPr>
    <w:rPr>
      <w:rFonts w:cs="Times New Roman"/>
      <w:sz w:val="30"/>
    </w:rPr>
  </w:style>
  <w:style w:type="paragraph" w:customStyle="1" w:styleId="98">
    <w:name w:val="正文（缩进 2 字符）"/>
    <w:basedOn w:val="1"/>
    <w:qFormat/>
    <w:uiPriority w:val="0"/>
    <w:pPr>
      <w:ind w:firstLine="200" w:firstLineChars="200"/>
    </w:pPr>
  </w:style>
  <w:style w:type="paragraph" w:customStyle="1" w:styleId="99">
    <w:name w:val="列出段落1"/>
    <w:basedOn w:val="1"/>
    <w:qFormat/>
    <w:uiPriority w:val="0"/>
    <w:pPr>
      <w:ind w:firstLine="420" w:firstLineChars="200"/>
    </w:pPr>
    <w:rPr>
      <w:rFonts w:ascii="Calibri" w:hAnsi="Calibri" w:cs="黑体"/>
      <w:szCs w:val="22"/>
    </w:rPr>
  </w:style>
  <w:style w:type="paragraph" w:customStyle="1" w:styleId="100">
    <w:name w:val="Other|1"/>
    <w:basedOn w:val="1"/>
    <w:qFormat/>
    <w:uiPriority w:val="0"/>
    <w:pPr>
      <w:widowControl w:val="0"/>
      <w:shd w:val="clear" w:color="auto" w:fill="auto"/>
      <w:spacing w:line="360" w:lineRule="auto"/>
      <w:ind w:firstLine="400"/>
    </w:pPr>
    <w:rPr>
      <w:rFonts w:ascii="宋体" w:hAnsi="宋体" w:eastAsia="宋体" w:cs="宋体"/>
      <w:color w:val="231916"/>
      <w:sz w:val="30"/>
      <w:szCs w:val="30"/>
      <w:u w:val="none"/>
      <w:shd w:val="clear" w:color="auto" w:fill="auto"/>
      <w:lang w:val="zh-TW" w:eastAsia="zh-TW" w:bidi="zh-TW"/>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Body text|2"/>
    <w:basedOn w:val="1"/>
    <w:autoRedefine/>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103">
    <w:name w:val="Table caption|1"/>
    <w:basedOn w:val="1"/>
    <w:autoRedefine/>
    <w:qFormat/>
    <w:uiPriority w:val="0"/>
    <w:pPr>
      <w:widowControl w:val="0"/>
      <w:shd w:val="clear" w:color="auto" w:fill="auto"/>
      <w:spacing w:line="474" w:lineRule="exact"/>
    </w:pPr>
    <w:rPr>
      <w:rFonts w:ascii="宋体" w:hAnsi="宋体" w:eastAsia="宋体" w:cs="宋体"/>
      <w:sz w:val="22"/>
      <w:szCs w:val="22"/>
      <w:u w:val="none"/>
      <w:shd w:val="clear" w:color="auto" w:fill="auto"/>
      <w:lang w:val="zh-TW" w:eastAsia="zh-TW" w:bidi="zh-TW"/>
    </w:rPr>
  </w:style>
  <w:style w:type="paragraph" w:customStyle="1" w:styleId="104">
    <w:name w:val="Table Text"/>
    <w:basedOn w:val="1"/>
    <w:semiHidden/>
    <w:qFormat/>
    <w:uiPriority w:val="0"/>
    <w:rPr>
      <w:rFonts w:ascii="宋体" w:hAnsi="宋体" w:eastAsia="宋体" w:cs="宋体"/>
      <w:sz w:val="20"/>
      <w:szCs w:val="20"/>
      <w:lang w:val="en-US" w:eastAsia="en-US" w:bidi="ar-SA"/>
    </w:rPr>
  </w:style>
  <w:style w:type="paragraph" w:customStyle="1" w:styleId="10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544</Words>
  <Characters>648</Characters>
  <Lines>0</Lines>
  <Paragraphs>0</Paragraphs>
  <TotalTime>7</TotalTime>
  <ScaleCrop>false</ScaleCrop>
  <LinksUpToDate>false</LinksUpToDate>
  <CharactersWithSpaces>693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2019-02-25T04:36:00Z</dcterms:created>
  <dc:creator>吃猫的鱼</dc:creator>
  <cp:lastModifiedBy>李明</cp:lastModifiedBy>
  <cp:lastPrinted>2024-09-18T08:36:00Z</cp:lastPrinted>
  <dcterms:modified xsi:type="dcterms:W3CDTF">2025-11-03T01:02:05Z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ADC01F173D0B4FB58DDB73D99DBB675D_13</vt:lpwstr>
  </property>
  <property fmtid="{D5CDD505-2E9C-101B-9397-08002B2CF9AE}" pid="4" name="KSOTemplateDocerSaveRecord">
    <vt:lpwstr>eyJoZGlkIjoiMTE1NTI3OWMxZjdlMjU2MDdmYjUzYzRjMGIzNDU5ZjQiLCJ1c2VySWQiOiIyNTY4MjE2NjkifQ==</vt:lpwstr>
  </property>
</Properties>
</file>