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34CC1">
      <w:pPr>
        <w:jc w:val="both"/>
        <w:rPr>
          <w:rFonts w:hint="eastAsia" w:ascii="仿宋_GB2312" w:hAnsi="仿宋_GB2312" w:eastAsia="仿宋_GB2312" w:cs="仿宋_GB2312"/>
          <w:b/>
          <w:bCs/>
          <w:i w:val="0"/>
          <w:iCs w:val="0"/>
          <w:color w:val="auto"/>
          <w:sz w:val="48"/>
          <w:szCs w:val="48"/>
          <w:highlight w:val="none"/>
          <w:lang w:val="en-US" w:eastAsia="zh-CN"/>
        </w:rPr>
      </w:pPr>
      <w:r>
        <w:rPr>
          <w:rFonts w:hint="eastAsia" w:ascii="仿宋_GB2312" w:hAnsi="仿宋_GB2312" w:eastAsia="仿宋_GB2312" w:cs="仿宋_GB2312"/>
          <w:b/>
          <w:bCs/>
          <w:color w:val="auto"/>
          <w:sz w:val="32"/>
          <w:szCs w:val="40"/>
          <w:highlight w:val="none"/>
          <w:lang w:val="en-US" w:eastAsia="zh-CN"/>
        </w:rPr>
        <w:t>项目编号：SXCY2025-CY-011</w:t>
      </w:r>
    </w:p>
    <w:p w14:paraId="2B5B91B7">
      <w:pPr>
        <w:jc w:val="center"/>
        <w:rPr>
          <w:rFonts w:hint="eastAsia" w:ascii="仿宋_GB2312" w:hAnsi="仿宋_GB2312" w:eastAsia="仿宋_GB2312" w:cs="仿宋_GB2312"/>
          <w:b/>
          <w:bCs/>
          <w:i w:val="0"/>
          <w:iCs w:val="0"/>
          <w:color w:val="auto"/>
          <w:sz w:val="44"/>
          <w:szCs w:val="44"/>
          <w:highlight w:val="none"/>
          <w:lang w:val="en-US" w:eastAsia="zh-CN"/>
        </w:rPr>
      </w:pPr>
    </w:p>
    <w:p w14:paraId="35080104">
      <w:pPr>
        <w:jc w:val="center"/>
        <w:rPr>
          <w:rFonts w:hint="eastAsia" w:ascii="仿宋_GB2312" w:hAnsi="仿宋_GB2312" w:eastAsia="仿宋_GB2312" w:cs="仿宋_GB2312"/>
          <w:b/>
          <w:bCs/>
          <w:i w:val="0"/>
          <w:iCs w:val="0"/>
          <w:color w:val="auto"/>
          <w:sz w:val="44"/>
          <w:szCs w:val="44"/>
          <w:highlight w:val="none"/>
          <w:lang w:val="en-US" w:eastAsia="zh-CN"/>
        </w:rPr>
      </w:pPr>
    </w:p>
    <w:p w14:paraId="3987D441">
      <w:pPr>
        <w:jc w:val="center"/>
        <w:rPr>
          <w:rFonts w:hint="eastAsia" w:ascii="仿宋_GB2312" w:hAnsi="仿宋_GB2312" w:eastAsia="仿宋_GB2312" w:cs="仿宋_GB2312"/>
          <w:b/>
          <w:bCs/>
          <w:i w:val="0"/>
          <w:iCs w:val="0"/>
          <w:color w:val="auto"/>
          <w:sz w:val="44"/>
          <w:szCs w:val="44"/>
          <w:highlight w:val="none"/>
          <w:lang w:val="en-US" w:eastAsia="zh-CN"/>
        </w:rPr>
      </w:pPr>
      <w:bookmarkStart w:id="0" w:name="OLE_LINK1"/>
      <w:r>
        <w:rPr>
          <w:rFonts w:hint="eastAsia" w:ascii="仿宋_GB2312" w:hAnsi="仿宋_GB2312" w:eastAsia="仿宋_GB2312" w:cs="仿宋_GB2312"/>
          <w:b/>
          <w:bCs/>
          <w:i w:val="0"/>
          <w:iCs w:val="0"/>
          <w:color w:val="auto"/>
          <w:sz w:val="44"/>
          <w:szCs w:val="44"/>
          <w:highlight w:val="none"/>
          <w:lang w:val="en-US" w:eastAsia="zh-CN"/>
        </w:rPr>
        <w:t>延安市人民医院高质量发展运营数据</w:t>
      </w:r>
    </w:p>
    <w:p w14:paraId="063BDC68">
      <w:pPr>
        <w:jc w:val="center"/>
        <w:rPr>
          <w:rFonts w:hint="eastAsia" w:ascii="仿宋_GB2312" w:hAnsi="仿宋_GB2312" w:eastAsia="仿宋_GB2312" w:cs="仿宋_GB2312"/>
          <w:b w:val="0"/>
          <w:bCs w:val="0"/>
          <w:i w:val="0"/>
          <w:iCs w:val="0"/>
          <w:color w:val="auto"/>
          <w:sz w:val="44"/>
          <w:szCs w:val="44"/>
          <w:highlight w:val="none"/>
          <w:lang w:val="en-US" w:eastAsia="zh-CN"/>
        </w:rPr>
      </w:pPr>
      <w:r>
        <w:rPr>
          <w:rFonts w:hint="eastAsia" w:ascii="仿宋_GB2312" w:hAnsi="仿宋_GB2312" w:eastAsia="仿宋_GB2312" w:cs="仿宋_GB2312"/>
          <w:b/>
          <w:bCs/>
          <w:i w:val="0"/>
          <w:iCs w:val="0"/>
          <w:color w:val="auto"/>
          <w:sz w:val="44"/>
          <w:szCs w:val="44"/>
          <w:highlight w:val="none"/>
          <w:lang w:val="en-US" w:eastAsia="zh-CN"/>
        </w:rPr>
        <w:t>分析系统软件开发项目</w:t>
      </w:r>
    </w:p>
    <w:bookmarkEnd w:id="0"/>
    <w:p w14:paraId="430FF279">
      <w:pPr>
        <w:jc w:val="center"/>
        <w:rPr>
          <w:rFonts w:hint="eastAsia" w:ascii="仿宋_GB2312" w:hAnsi="仿宋_GB2312" w:eastAsia="仿宋_GB2312" w:cs="仿宋_GB2312"/>
          <w:b/>
          <w:bCs/>
          <w:color w:val="auto"/>
          <w:sz w:val="72"/>
          <w:szCs w:val="144"/>
          <w:highlight w:val="none"/>
          <w:lang w:val="en-US" w:eastAsia="zh-CN"/>
        </w:rPr>
      </w:pPr>
    </w:p>
    <w:p w14:paraId="1D2774EE">
      <w:pPr>
        <w:jc w:val="center"/>
        <w:rPr>
          <w:rFonts w:hint="eastAsia" w:ascii="仿宋_GB2312" w:hAnsi="仿宋_GB2312" w:eastAsia="仿宋_GB2312" w:cs="仿宋_GB2312"/>
          <w:b/>
          <w:bCs/>
          <w:color w:val="auto"/>
          <w:sz w:val="72"/>
          <w:szCs w:val="144"/>
          <w:highlight w:val="none"/>
          <w:lang w:val="en-US" w:eastAsia="zh-CN"/>
        </w:rPr>
      </w:pPr>
    </w:p>
    <w:p w14:paraId="3BFF4B73">
      <w:pPr>
        <w:jc w:val="center"/>
        <w:rPr>
          <w:rFonts w:hint="eastAsia" w:ascii="仿宋_GB2312" w:hAnsi="仿宋_GB2312" w:eastAsia="仿宋_GB2312" w:cs="仿宋_GB2312"/>
          <w:b/>
          <w:bCs/>
          <w:color w:val="auto"/>
          <w:sz w:val="72"/>
          <w:szCs w:val="144"/>
          <w:highlight w:val="none"/>
          <w:lang w:val="en-US" w:eastAsia="zh-CN"/>
        </w:rPr>
      </w:pPr>
    </w:p>
    <w:p w14:paraId="75815D6C">
      <w:pPr>
        <w:jc w:val="center"/>
        <w:rPr>
          <w:rFonts w:hint="eastAsia" w:ascii="仿宋_GB2312" w:hAnsi="仿宋_GB2312" w:eastAsia="仿宋_GB2312" w:cs="仿宋_GB2312"/>
          <w:b/>
          <w:bCs/>
          <w:color w:val="auto"/>
          <w:sz w:val="96"/>
          <w:szCs w:val="160"/>
          <w:highlight w:val="none"/>
          <w:lang w:val="en-US" w:eastAsia="zh-CN"/>
        </w:rPr>
      </w:pPr>
      <w:r>
        <w:rPr>
          <w:rFonts w:hint="eastAsia" w:ascii="仿宋_GB2312" w:hAnsi="仿宋_GB2312" w:eastAsia="仿宋_GB2312" w:cs="仿宋_GB2312"/>
          <w:b/>
          <w:bCs/>
          <w:color w:val="auto"/>
          <w:sz w:val="44"/>
          <w:szCs w:val="44"/>
          <w:highlight w:val="none"/>
          <w:lang w:val="en-US" w:eastAsia="zh-CN"/>
        </w:rPr>
        <w:t>竞争性磋商文件</w:t>
      </w:r>
    </w:p>
    <w:p w14:paraId="699CCF65">
      <w:pPr>
        <w:jc w:val="center"/>
        <w:rPr>
          <w:rFonts w:hint="eastAsia" w:ascii="仿宋_GB2312" w:hAnsi="仿宋_GB2312" w:eastAsia="仿宋_GB2312" w:cs="仿宋_GB2312"/>
          <w:b/>
          <w:bCs/>
          <w:color w:val="auto"/>
          <w:sz w:val="72"/>
          <w:szCs w:val="144"/>
          <w:highlight w:val="none"/>
          <w:lang w:val="en-US" w:eastAsia="zh-CN"/>
        </w:rPr>
      </w:pPr>
    </w:p>
    <w:p w14:paraId="782D49AC">
      <w:pPr>
        <w:jc w:val="center"/>
        <w:rPr>
          <w:rFonts w:hint="eastAsia" w:ascii="仿宋_GB2312" w:hAnsi="仿宋_GB2312" w:eastAsia="仿宋_GB2312" w:cs="仿宋_GB2312"/>
          <w:b/>
          <w:bCs/>
          <w:color w:val="auto"/>
          <w:sz w:val="72"/>
          <w:szCs w:val="144"/>
          <w:highlight w:val="none"/>
          <w:lang w:val="en-US" w:eastAsia="zh-CN"/>
        </w:rPr>
      </w:pPr>
    </w:p>
    <w:p w14:paraId="0617BC55">
      <w:pPr>
        <w:jc w:val="center"/>
        <w:rPr>
          <w:rFonts w:hint="eastAsia" w:ascii="仿宋_GB2312" w:hAnsi="仿宋_GB2312" w:eastAsia="仿宋_GB2312" w:cs="仿宋_GB2312"/>
          <w:b/>
          <w:bCs/>
          <w:color w:val="auto"/>
          <w:sz w:val="72"/>
          <w:szCs w:val="144"/>
          <w:highlight w:val="none"/>
          <w:lang w:val="en-US" w:eastAsia="zh-CN"/>
        </w:rPr>
      </w:pPr>
    </w:p>
    <w:p w14:paraId="145002E6">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采   购   人：延安市人民医院             </w:t>
      </w:r>
    </w:p>
    <w:p w14:paraId="661DE815">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 xml:space="preserve">采购代理机构：陕西辰云项目管理有限公司     </w:t>
      </w:r>
    </w:p>
    <w:p w14:paraId="241FD3A5">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仿宋_GB2312" w:hAnsi="仿宋_GB2312" w:eastAsia="仿宋_GB2312" w:cs="仿宋_GB2312"/>
          <w:color w:val="auto"/>
          <w:u w:val="single"/>
          <w:lang w:val="en-US" w:eastAsia="zh-CN"/>
        </w:rPr>
        <w:sectPr>
          <w:footerReference r:id="rId3" w:type="first"/>
          <w:pgSz w:w="11906" w:h="16838"/>
          <w:pgMar w:top="1417" w:right="1417" w:bottom="1417" w:left="1417" w:header="851" w:footer="850"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auto"/>
          <w:sz w:val="32"/>
          <w:szCs w:val="32"/>
          <w:highlight w:val="none"/>
          <w:u w:val="none"/>
          <w:lang w:val="en-US" w:eastAsia="zh-CN"/>
        </w:rPr>
        <w:t xml:space="preserve">日        期：二〇二五年十月       </w:t>
      </w:r>
      <w:r>
        <w:rPr>
          <w:rFonts w:hint="eastAsia" w:ascii="仿宋_GB2312" w:hAnsi="仿宋_GB2312" w:eastAsia="仿宋_GB2312" w:cs="仿宋_GB2312"/>
          <w:b/>
          <w:bCs/>
          <w:color w:val="auto"/>
          <w:sz w:val="32"/>
          <w:szCs w:val="40"/>
          <w:u w:val="none"/>
          <w:lang w:val="en-US" w:eastAsia="zh-CN"/>
        </w:rPr>
        <w:t xml:space="preserve">        </w:t>
      </w:r>
    </w:p>
    <w:sdt>
      <w:sdtPr>
        <w:rPr>
          <w:rFonts w:hint="eastAsia" w:ascii="仿宋_GB2312" w:hAnsi="仿宋_GB2312" w:eastAsia="仿宋_GB2312" w:cs="仿宋_GB2312"/>
          <w:color w:val="auto"/>
          <w:kern w:val="2"/>
          <w:sz w:val="21"/>
          <w:szCs w:val="24"/>
          <w:lang w:val="en-US" w:eastAsia="zh-CN" w:bidi="ar-SA"/>
        </w:rPr>
        <w:id w:val="147475210"/>
        <w15:color w:val="DBDBDB"/>
        <w:docPartObj>
          <w:docPartGallery w:val="Table of Contents"/>
          <w:docPartUnique/>
        </w:docPartObj>
      </w:sdtPr>
      <w:sdtEndPr>
        <w:rPr>
          <w:rFonts w:hint="eastAsia" w:ascii="仿宋_GB2312" w:hAnsi="仿宋_GB2312" w:eastAsia="仿宋_GB2312" w:cs="仿宋_GB2312"/>
          <w:bCs/>
          <w:color w:val="auto"/>
          <w:kern w:val="2"/>
          <w:sz w:val="21"/>
          <w:szCs w:val="32"/>
          <w:highlight w:val="none"/>
          <w:u w:val="none"/>
          <w:lang w:val="en-US" w:eastAsia="zh-CN" w:bidi="ar-SA"/>
        </w:rPr>
      </w:sdtEndPr>
      <w:sdtContent>
        <w:p w14:paraId="78598722">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b/>
              <w:bCs/>
              <w:color w:val="auto"/>
              <w:sz w:val="28"/>
              <w:szCs w:val="36"/>
            </w:rPr>
            <w:t>目录</w:t>
          </w:r>
        </w:p>
        <w:p w14:paraId="794073AF">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u w:val="none"/>
              <w:lang w:val="en-US" w:eastAsia="zh-CN"/>
            </w:rPr>
            <w:fldChar w:fldCharType="begin"/>
          </w:r>
          <w:r>
            <w:rPr>
              <w:rFonts w:hint="eastAsia" w:ascii="仿宋_GB2312" w:hAnsi="仿宋_GB2312" w:eastAsia="仿宋_GB2312" w:cs="仿宋_GB2312"/>
              <w:b/>
              <w:bCs/>
              <w:color w:val="auto"/>
              <w:sz w:val="21"/>
              <w:szCs w:val="21"/>
              <w:highlight w:val="none"/>
              <w:u w:val="none"/>
              <w:lang w:val="en-US" w:eastAsia="zh-CN"/>
            </w:rPr>
            <w:instrText xml:space="preserve">TOC \o "1-3" \h \u </w:instrText>
          </w:r>
          <w:r>
            <w:rPr>
              <w:rFonts w:hint="eastAsia" w:ascii="仿宋_GB2312" w:hAnsi="仿宋_GB2312" w:eastAsia="仿宋_GB2312" w:cs="仿宋_GB2312"/>
              <w:b/>
              <w:bCs/>
              <w:color w:val="auto"/>
              <w:sz w:val="21"/>
              <w:szCs w:val="21"/>
              <w:highlight w:val="none"/>
              <w:u w:val="none"/>
              <w:lang w:val="en-US" w:eastAsia="zh-CN"/>
            </w:rPr>
            <w:fldChar w:fldCharType="separate"/>
          </w: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_Toc28272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第一部分</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竞争性磋商公告</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_Toc28272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768DE6F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_Toc28380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第</w:t>
          </w:r>
          <w:r>
            <w:rPr>
              <w:rFonts w:hint="eastAsia" w:ascii="仿宋_GB2312" w:hAnsi="仿宋_GB2312" w:eastAsia="仿宋_GB2312" w:cs="仿宋_GB2312"/>
              <w:color w:val="auto"/>
              <w:sz w:val="21"/>
              <w:szCs w:val="21"/>
              <w:highlight w:val="none"/>
              <w:lang w:val="en-US" w:eastAsia="zh-CN"/>
            </w:rPr>
            <w:t>二</w:t>
          </w:r>
          <w:r>
            <w:rPr>
              <w:rFonts w:hint="eastAsia" w:ascii="仿宋_GB2312" w:hAnsi="仿宋_GB2312" w:eastAsia="仿宋_GB2312" w:cs="仿宋_GB2312"/>
              <w:color w:val="auto"/>
              <w:sz w:val="21"/>
              <w:szCs w:val="21"/>
              <w:highlight w:val="none"/>
            </w:rPr>
            <w:t>部分</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磋商须知</w:t>
          </w:r>
          <w:r>
            <w:rPr>
              <w:rFonts w:hint="eastAsia" w:ascii="仿宋_GB2312" w:hAnsi="仿宋_GB2312" w:eastAsia="仿宋_GB2312" w:cs="仿宋_GB2312"/>
              <w:color w:val="auto"/>
              <w:sz w:val="21"/>
              <w:szCs w:val="21"/>
              <w:highlight w:val="none"/>
              <w:lang w:val="en-US" w:eastAsia="zh-CN"/>
            </w:rPr>
            <w:t>前附表</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_Toc28380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127FFFA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_Toc1340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第</w:t>
          </w:r>
          <w:r>
            <w:rPr>
              <w:rFonts w:hint="eastAsia" w:ascii="仿宋_GB2312" w:hAnsi="仿宋_GB2312" w:eastAsia="仿宋_GB2312" w:cs="仿宋_GB2312"/>
              <w:color w:val="auto"/>
              <w:sz w:val="21"/>
              <w:szCs w:val="21"/>
              <w:highlight w:val="none"/>
              <w:lang w:val="en-US" w:eastAsia="zh-CN"/>
            </w:rPr>
            <w:t>三</w:t>
          </w:r>
          <w:r>
            <w:rPr>
              <w:rFonts w:hint="eastAsia" w:ascii="仿宋_GB2312" w:hAnsi="仿宋_GB2312" w:eastAsia="仿宋_GB2312" w:cs="仿宋_GB2312"/>
              <w:color w:val="auto"/>
              <w:sz w:val="21"/>
              <w:szCs w:val="21"/>
              <w:highlight w:val="none"/>
            </w:rPr>
            <w:t>部分</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磋商须知</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_Toc1340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65293FFC">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_Toc8224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1．适用范围</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_Toc8224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041AB46A">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_Toc1693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2．定义</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_Toc1693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53902231">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_Toc31259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3．合格供应商的范围</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_Toc31259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70B7C05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_Toc1388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4．磋商代表</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_Toc1388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3A7FA664">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_Toc25096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5．费用</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_Toc25096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8DD696F">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_Toc186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6．响应文件</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_Toc186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71F1D3FF">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_Toc13957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7．磋商保证金</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_Toc13957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8</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08C1A190">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_Toc4401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8．评审工作程序</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_Toc4401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9</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1EA774AE">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_Toc14323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9．磋商内容</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_Toc14323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9</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61EEB6CE">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_Toc24203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10．评审原则</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_Toc24203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10</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251EF5CD">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_Toc7322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11．评审标准</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_Toc7322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10</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342B646A">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_Toc1434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12．磋商小组</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_Toc1434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15</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5971A561">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_Toc30469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13．磋商评审纪律</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_Toc30469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15</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AAA8E91">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_Toc7094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14．无效响应文件情况说明</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_Toc7094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15</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5CEC470">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_Toc2106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15．对响应文件的修正</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_Toc2106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2987519A">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_Toc8855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16．</w:t>
          </w:r>
          <w:r>
            <w:rPr>
              <w:rFonts w:hint="eastAsia" w:ascii="仿宋_GB2312" w:hAnsi="仿宋_GB2312" w:eastAsia="仿宋_GB2312" w:cs="仿宋_GB2312"/>
              <w:color w:val="auto"/>
              <w:sz w:val="21"/>
              <w:szCs w:val="21"/>
              <w:highlight w:val="none"/>
              <w:lang w:val="en-US" w:eastAsia="zh-CN"/>
            </w:rPr>
            <w:t>确定成交供应商</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_Toc8855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120B41A7">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_Toc9401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17．成交通知</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_Toc9401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14492FB4">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_Toc6101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18．合同授予</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_Toc6101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7C60652A">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_Toc19047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19．磋商有效期</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_Toc19047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A28C825">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_Toc26032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20．签订合同</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_Toc26032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16</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00BD62FB">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_Toc14027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21．</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_Toc14027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2F7A6DB9">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_Toc26314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22．质疑</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_Toc26314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17E4A47">
          <w:pPr>
            <w:pStyle w:val="20"/>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_Toc2124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23．需要落实的政府采购政策</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_Toc2124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17</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585F965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_Toc31990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color w:val="auto"/>
              <w:sz w:val="21"/>
              <w:szCs w:val="21"/>
              <w:highlight w:val="none"/>
            </w:rPr>
            <w:t>第</w:t>
          </w:r>
          <w:r>
            <w:rPr>
              <w:rFonts w:hint="eastAsia" w:ascii="仿宋_GB2312" w:hAnsi="仿宋_GB2312" w:eastAsia="仿宋_GB2312" w:cs="仿宋_GB2312"/>
              <w:color w:val="auto"/>
              <w:sz w:val="21"/>
              <w:szCs w:val="21"/>
              <w:highlight w:val="none"/>
              <w:lang w:val="en-US" w:eastAsia="zh-CN"/>
            </w:rPr>
            <w:t>四</w:t>
          </w:r>
          <w:r>
            <w:rPr>
              <w:rFonts w:hint="eastAsia" w:ascii="仿宋_GB2312" w:hAnsi="仿宋_GB2312" w:eastAsia="仿宋_GB2312" w:cs="仿宋_GB2312"/>
              <w:color w:val="auto"/>
              <w:sz w:val="21"/>
              <w:szCs w:val="21"/>
              <w:highlight w:val="none"/>
            </w:rPr>
            <w:t>部分</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采购</w:t>
          </w:r>
          <w:r>
            <w:rPr>
              <w:rFonts w:hint="eastAsia" w:ascii="仿宋_GB2312" w:hAnsi="仿宋_GB2312" w:eastAsia="仿宋_GB2312" w:cs="仿宋_GB2312"/>
              <w:color w:val="auto"/>
              <w:sz w:val="21"/>
              <w:szCs w:val="21"/>
              <w:highlight w:val="none"/>
              <w:lang w:val="en-US" w:eastAsia="zh-CN"/>
            </w:rPr>
            <w:t>需求</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_Toc31990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20</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4C87B21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_Toc2645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bCs/>
              <w:color w:val="auto"/>
              <w:sz w:val="21"/>
              <w:szCs w:val="21"/>
              <w:highlight w:val="none"/>
              <w:lang w:val="en-US" w:eastAsia="zh-CN"/>
            </w:rPr>
            <w:t>第五部分 拟签订合同文本</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bCs/>
              <w:color w:val="auto"/>
              <w:sz w:val="21"/>
              <w:szCs w:val="21"/>
              <w:highlight w:val="none"/>
              <w:u w:val="none"/>
              <w:lang w:val="en-US" w:eastAsia="zh-CN"/>
            </w:rPr>
            <w:fldChar w:fldCharType="end"/>
          </w:r>
          <w:r>
            <w:rPr>
              <w:rFonts w:hint="eastAsia" w:ascii="仿宋_GB2312" w:hAnsi="仿宋_GB2312" w:eastAsia="仿宋_GB2312" w:cs="仿宋_GB2312"/>
              <w:bCs/>
              <w:color w:val="auto"/>
              <w:sz w:val="21"/>
              <w:szCs w:val="21"/>
              <w:highlight w:val="none"/>
              <w:u w:val="none"/>
              <w:lang w:val="en-US" w:eastAsia="zh-CN"/>
            </w:rPr>
            <w:t>0</w:t>
          </w:r>
        </w:p>
        <w:p w14:paraId="7446ED1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40" w:lineRule="exact"/>
            <w:ind w:left="0" w:leftChars="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highlight w:val="none"/>
              <w:u w:val="none"/>
              <w:lang w:val="en-US" w:eastAsia="zh-CN"/>
            </w:rPr>
            <w:fldChar w:fldCharType="begin"/>
          </w:r>
          <w:r>
            <w:rPr>
              <w:rFonts w:hint="eastAsia" w:ascii="仿宋_GB2312" w:hAnsi="仿宋_GB2312" w:eastAsia="仿宋_GB2312" w:cs="仿宋_GB2312"/>
              <w:bCs/>
              <w:color w:val="auto"/>
              <w:sz w:val="21"/>
              <w:szCs w:val="21"/>
              <w:highlight w:val="none"/>
              <w:lang w:val="en-US" w:eastAsia="zh-CN"/>
            </w:rPr>
            <w:instrText xml:space="preserve"> HYPERLINK \l _Toc31570 </w:instrText>
          </w:r>
          <w:r>
            <w:rPr>
              <w:rFonts w:hint="eastAsia" w:ascii="仿宋_GB2312" w:hAnsi="仿宋_GB2312" w:eastAsia="仿宋_GB2312" w:cs="仿宋_GB2312"/>
              <w:bCs/>
              <w:color w:val="auto"/>
              <w:sz w:val="21"/>
              <w:szCs w:val="21"/>
              <w:highlight w:val="none"/>
              <w:lang w:val="en-US" w:eastAsia="zh-CN"/>
            </w:rPr>
            <w:fldChar w:fldCharType="separate"/>
          </w:r>
          <w:r>
            <w:rPr>
              <w:rFonts w:hint="eastAsia" w:ascii="仿宋_GB2312" w:hAnsi="仿宋_GB2312" w:eastAsia="仿宋_GB2312" w:cs="仿宋_GB2312"/>
              <w:bCs/>
              <w:color w:val="auto"/>
              <w:sz w:val="21"/>
              <w:szCs w:val="21"/>
              <w:highlight w:val="none"/>
              <w:lang w:val="en-US" w:eastAsia="zh-CN"/>
            </w:rPr>
            <w:t>第六部分 磋商响应文件格式</w:t>
          </w:r>
          <w:r>
            <w:rPr>
              <w:rFonts w:hint="eastAsia" w:ascii="仿宋_GB2312" w:hAnsi="仿宋_GB2312" w:eastAsia="仿宋_GB2312" w:cs="仿宋_GB2312"/>
              <w:color w:val="auto"/>
              <w:sz w:val="21"/>
              <w:szCs w:val="21"/>
            </w:rPr>
            <w:tab/>
          </w:r>
          <w:r>
            <w:rPr>
              <w:rFonts w:hint="eastAsia" w:ascii="仿宋_GB2312" w:hAnsi="仿宋_GB2312" w:eastAsia="仿宋_GB2312" w:cs="仿宋_GB2312"/>
              <w:color w:val="auto"/>
              <w:sz w:val="21"/>
              <w:szCs w:val="21"/>
            </w:rPr>
            <w:fldChar w:fldCharType="begin"/>
          </w:r>
          <w:r>
            <w:rPr>
              <w:rFonts w:hint="eastAsia" w:ascii="仿宋_GB2312" w:hAnsi="仿宋_GB2312" w:eastAsia="仿宋_GB2312" w:cs="仿宋_GB2312"/>
              <w:color w:val="auto"/>
              <w:sz w:val="21"/>
              <w:szCs w:val="21"/>
            </w:rPr>
            <w:instrText xml:space="preserve"> PAGEREF _Toc31570 \h </w:instrText>
          </w:r>
          <w:r>
            <w:rPr>
              <w:rFonts w:hint="eastAsia" w:ascii="仿宋_GB2312" w:hAnsi="仿宋_GB2312" w:eastAsia="仿宋_GB2312" w:cs="仿宋_GB2312"/>
              <w:color w:val="auto"/>
              <w:sz w:val="21"/>
              <w:szCs w:val="21"/>
            </w:rPr>
            <w:fldChar w:fldCharType="separate"/>
          </w:r>
          <w:r>
            <w:rPr>
              <w:rFonts w:hint="eastAsia" w:ascii="仿宋_GB2312" w:hAnsi="仿宋_GB2312" w:eastAsia="仿宋_GB2312" w:cs="仿宋_GB2312"/>
              <w:color w:val="auto"/>
              <w:sz w:val="21"/>
              <w:szCs w:val="21"/>
            </w:rPr>
            <w:t>34</w:t>
          </w:r>
          <w:r>
            <w:rPr>
              <w:rFonts w:hint="eastAsia" w:ascii="仿宋_GB2312" w:hAnsi="仿宋_GB2312" w:eastAsia="仿宋_GB2312" w:cs="仿宋_GB2312"/>
              <w:color w:val="auto"/>
              <w:sz w:val="21"/>
              <w:szCs w:val="21"/>
            </w:rPr>
            <w:fldChar w:fldCharType="end"/>
          </w:r>
          <w:r>
            <w:rPr>
              <w:rFonts w:hint="eastAsia" w:ascii="仿宋_GB2312" w:hAnsi="仿宋_GB2312" w:eastAsia="仿宋_GB2312" w:cs="仿宋_GB2312"/>
              <w:bCs/>
              <w:color w:val="auto"/>
              <w:sz w:val="21"/>
              <w:szCs w:val="21"/>
              <w:highlight w:val="none"/>
              <w:u w:val="none"/>
              <w:lang w:val="en-US" w:eastAsia="zh-CN"/>
            </w:rPr>
            <w:fldChar w:fldCharType="end"/>
          </w:r>
        </w:p>
        <w:p w14:paraId="78E4FBED">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Cs/>
              <w:color w:val="auto"/>
              <w:sz w:val="21"/>
              <w:szCs w:val="21"/>
              <w:highlight w:val="none"/>
              <w:u w:val="none"/>
              <w:lang w:val="en-US" w:eastAsia="zh-CN"/>
            </w:rPr>
            <w:fldChar w:fldCharType="end"/>
          </w:r>
        </w:p>
      </w:sdtContent>
    </w:sdt>
    <w:p w14:paraId="03B70A9B">
      <w:pPr>
        <w:pStyle w:val="3"/>
        <w:spacing w:line="240" w:lineRule="auto"/>
        <w:rPr>
          <w:rFonts w:hint="eastAsia" w:ascii="仿宋_GB2312" w:hAnsi="仿宋_GB2312" w:eastAsia="仿宋_GB2312" w:cs="仿宋_GB2312"/>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p w14:paraId="27F985A3">
      <w:pPr>
        <w:keepNext w:val="0"/>
        <w:keepLines w:val="0"/>
        <w:pageBreakBefore w:val="0"/>
        <w:kinsoku/>
        <w:overflowPunct/>
        <w:topLinePunct w:val="0"/>
        <w:autoSpaceDE/>
        <w:autoSpaceDN/>
        <w:bidi w:val="0"/>
        <w:adjustRightInd/>
        <w:snapToGrid/>
        <w:spacing w:line="360" w:lineRule="auto"/>
        <w:ind w:firstLine="0" w:firstLineChars="0"/>
        <w:jc w:val="center"/>
        <w:textAlignment w:val="auto"/>
        <w:outlineLvl w:val="0"/>
        <w:rPr>
          <w:rFonts w:hint="eastAsia" w:ascii="仿宋_GB2312" w:hAnsi="仿宋_GB2312" w:eastAsia="仿宋_GB2312" w:cs="仿宋_GB2312"/>
          <w:b/>
          <w:bCs/>
          <w:i w:val="0"/>
          <w:iCs w:val="0"/>
          <w:caps w:val="0"/>
          <w:color w:val="0A82E5"/>
          <w:spacing w:val="0"/>
          <w:sz w:val="36"/>
          <w:szCs w:val="36"/>
        </w:rPr>
      </w:pPr>
      <w:bookmarkStart w:id="1" w:name="_Toc75259334"/>
      <w:bookmarkStart w:id="2" w:name="_Toc28272"/>
      <w:r>
        <w:rPr>
          <w:rFonts w:hint="eastAsia" w:ascii="仿宋_GB2312" w:hAnsi="仿宋_GB2312" w:eastAsia="仿宋_GB2312" w:cs="仿宋_GB2312"/>
          <w:b/>
          <w:color w:val="auto"/>
          <w:sz w:val="32"/>
          <w:szCs w:val="32"/>
          <w:highlight w:val="none"/>
        </w:rPr>
        <w:t>第一部分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竞争性磋商公告</w:t>
      </w:r>
      <w:bookmarkEnd w:id="1"/>
      <w:bookmarkEnd w:id="2"/>
    </w:p>
    <w:p w14:paraId="47644CB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p>
    <w:p w14:paraId="1F1606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bookmarkStart w:id="3" w:name="_Toc28380"/>
      <w:bookmarkStart w:id="4" w:name="_Toc75259335"/>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项目概况</w:t>
      </w:r>
    </w:p>
    <w:p w14:paraId="06CA528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高质量发展运营数据分析系统软件开发采购项目的潜在供应商应在全国公共资源交易平台（陕西省·延安市）下载获取采购文件，并于2025年11月14日14时30分（北京时间）前提交响应文件。</w:t>
      </w:r>
    </w:p>
    <w:p w14:paraId="2950C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一、项目基本情况</w:t>
      </w:r>
    </w:p>
    <w:p w14:paraId="31899FF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项目编号：SXCY2025-CY-011</w:t>
      </w:r>
    </w:p>
    <w:p w14:paraId="2E080AA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项目名称：高质量发展运营数据分析系统软件开发</w:t>
      </w:r>
    </w:p>
    <w:p w14:paraId="30BD2E0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采购方式：竞争性磋商</w:t>
      </w:r>
    </w:p>
    <w:p w14:paraId="0E30DAC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预算金额：506,400.00元</w:t>
      </w:r>
    </w:p>
    <w:p w14:paraId="0260196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采购需求：</w:t>
      </w:r>
    </w:p>
    <w:p w14:paraId="6ADDFC0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合同包1(延安市人民医院高质量发展运营数据分析系统软件开发项目):</w:t>
      </w:r>
    </w:p>
    <w:p w14:paraId="3C4FB0B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合同包预算金额：506,400.00元</w:t>
      </w:r>
    </w:p>
    <w:p w14:paraId="79649B0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合同包最高限价：506,400.00元</w:t>
      </w:r>
    </w:p>
    <w:tbl>
      <w:tblPr>
        <w:tblStyle w:val="2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5"/>
        <w:gridCol w:w="1810"/>
        <w:gridCol w:w="2112"/>
        <w:gridCol w:w="1268"/>
        <w:gridCol w:w="1876"/>
        <w:gridCol w:w="1445"/>
      </w:tblGrid>
      <w:tr w14:paraId="00737B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925D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C399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E553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D125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61FF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2E1D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bCs/>
                <w:color w:val="000000" w:themeColor="text1"/>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lang w:val="en-US" w:eastAsia="zh-CN" w:bidi="ar"/>
                <w14:textFill>
                  <w14:solidFill>
                    <w14:schemeClr w14:val="tx1"/>
                  </w14:solidFill>
                </w14:textFill>
              </w:rPr>
              <w:t>品目预算(元)</w:t>
            </w:r>
          </w:p>
        </w:tc>
      </w:tr>
      <w:tr w14:paraId="39444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8473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A9DC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行业应用软件开发服务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3A169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运营数据分析系统软件开发</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91B3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10D8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B8F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
                <w14:textFill>
                  <w14:solidFill>
                    <w14:schemeClr w14:val="tx1"/>
                  </w14:solidFill>
                </w14:textFill>
              </w:rPr>
              <w:t>506,400.00</w:t>
            </w:r>
          </w:p>
        </w:tc>
      </w:tr>
    </w:tbl>
    <w:p w14:paraId="57A65AC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本合同包不接受联合体投标</w:t>
      </w:r>
    </w:p>
    <w:p w14:paraId="6BE46B9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合同履行期限：项目实施周期:4个月</w:t>
      </w:r>
    </w:p>
    <w:p w14:paraId="228349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二、申请人的资格要求：</w:t>
      </w:r>
    </w:p>
    <w:p w14:paraId="21A5100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1.满足《中华人民共和国政府采购法》第二十二条规定;</w:t>
      </w:r>
    </w:p>
    <w:p w14:paraId="005B191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2.落实政府采购政策需满足的资格要求：</w:t>
      </w:r>
    </w:p>
    <w:p w14:paraId="2DDAC4F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合同包1(延安市人民医院高质量发展运营数据分析系统软件开发项目)落实政府采购政策需满足的资格要求如下:</w:t>
      </w:r>
    </w:p>
    <w:p w14:paraId="7066658A">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shd w:val="clear" w:fill="FFFFFF"/>
          <w:lang w:val="en-US" w:eastAsia="zh-CN" w:bidi="ar"/>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《财政部、司法部关于政府采购支持监狱企业发展有关问题的通知》（财库〔2014〕68号）；</w:t>
      </w:r>
    </w:p>
    <w:p w14:paraId="5828A8DF">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（2）《财政部、民政部、中国残疾人联合会关于促进残疾人就业政府采购政策的通知》（财库〔2017〕141号）；</w:t>
      </w:r>
    </w:p>
    <w:p w14:paraId="23581139">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（3）《财政部发展改革委生态环境部市场监管总局关于调整优化节能产品、环境标志产品政府采购执行机制的通知》（财库〔2019〕9号）；</w:t>
      </w:r>
    </w:p>
    <w:p w14:paraId="65AC7F0D">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（4）《关于运用政府采购政策支持乡村产业振兴的通知》（财库〔2021〕19号）；</w:t>
      </w:r>
    </w:p>
    <w:p w14:paraId="1C90A534">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（5）《政府采购促进中小企业发展管理办法》（财库〔2020〕46号）；</w:t>
      </w:r>
    </w:p>
    <w:p w14:paraId="2B29EC6C">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（6）陕西省财政厅关于印发《陕西省中小企业政府采购信用融资办法》（陕财办采〔2018〕23号）；</w:t>
      </w:r>
    </w:p>
    <w:p w14:paraId="02EB2552">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（7）陕西省财政厅《关于进一步加强政府绿色采购有关问题的通知》（陕财办采〔2021〕29号）；</w:t>
      </w:r>
    </w:p>
    <w:p w14:paraId="5F4CE4E8">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（8）《关于进一步加大政府采购支持中小企业力度的通知》（财库〔2022〕19号）；</w:t>
      </w:r>
    </w:p>
    <w:p w14:paraId="544410F7">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（9）《财政部 国务院扶贫办关于运用政府采购政策支持脱贫攻坚的通知》（财库〔2019〕27号）；</w:t>
      </w:r>
    </w:p>
    <w:p w14:paraId="1C1D23B9">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（10）其他需要落实的政府采购政策，或如有最新颁布的政府采购政策，按最新的文件执行。</w:t>
      </w:r>
    </w:p>
    <w:p w14:paraId="3FC111D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3.本项目的特定资格要求：</w:t>
      </w:r>
    </w:p>
    <w:p w14:paraId="63DEB44C">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合同包1(延安市人民医院高质量发展运营数据分析系统软件开发项目)特定资格要求如下:</w:t>
      </w:r>
    </w:p>
    <w:p w14:paraId="391F1612">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21"/>
          <w:szCs w:val="21"/>
          <w:shd w:val="clear" w:fill="FFFFFF"/>
          <w:lang w:val="en-US" w:eastAsia="zh-CN" w:bidi="ar"/>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具有独立承担民事责任能力的法人或其他组织，提供合法有效的统一社会信用代码的营业执照（含年度报告）或事业单位法人证书等国家规定的相关证明，自然人参与的提供其身份证明；</w:t>
      </w:r>
    </w:p>
    <w:p w14:paraId="18B77008">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（2）银行开户许可证或开户行基本信息；</w:t>
      </w:r>
    </w:p>
    <w:p w14:paraId="157ABCBF">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（3）法定代表人授权书（委托代理人参加须提供法定代表人授权书、法定代表人身份证复印件及被授权人身份证）或法定代表人身份证（法定代表人直接参加只须提供本人身份证）；</w:t>
      </w:r>
    </w:p>
    <w:p w14:paraId="3D1FDAFE">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（4）供应商应出具参加政府采购活动前3年内在经营活动中没有重大违法记录的书面声明；</w:t>
      </w:r>
    </w:p>
    <w:p w14:paraId="5F1819F1">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（5）税收缴纳证明：提供已缴纳的本年度至今一个月的纳税证明或完税证明，纳税证明或完税证明上应有代收机构或税务机关的公章。依法免税的供应商应提供相关文件证明；</w:t>
      </w:r>
    </w:p>
    <w:p w14:paraId="22526F77">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（6）社会保障资金缴纳证明：提供已缴纳的本年度至今一个月的社会保障资金缴存单据或社保机构开具的社会保险参保缴费情况证明，依法不需要缴纳社会保障资金的供应商应提供相关文件证明；</w:t>
      </w:r>
    </w:p>
    <w:p w14:paraId="00FEC1B5">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0781BC64">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（8）供应商未被列入“信用中国”网站严重失信主体名单和重大税收违法失信主体</w:t>
      </w:r>
      <w:r>
        <w:rPr>
          <w:rFonts w:hint="eastAsia" w:ascii="仿宋_GB2312" w:hAnsi="仿宋_GB2312" w:eastAsia="仿宋_GB2312" w:cs="仿宋_GB2312"/>
          <w:i w:val="0"/>
          <w:iCs w:val="0"/>
          <w:caps w:val="0"/>
          <w:color w:val="000000" w:themeColor="text1"/>
          <w:spacing w:val="0"/>
          <w:sz w:val="21"/>
          <w:szCs w:val="21"/>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中国政府采购网政府采购严重违法失信行为记录名单中被财政部门禁止参加政府采购活动的供应商；</w:t>
      </w:r>
    </w:p>
    <w:p w14:paraId="77BEB343">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（9）供应商须提供《中小企业声明函》；</w:t>
      </w:r>
    </w:p>
    <w:p w14:paraId="5F039066">
      <w:pPr>
        <w:pStyle w:val="2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2" w:leftChars="0" w:right="0" w:rightChars="0" w:firstLine="420" w:firstLineChars="200"/>
        <w:jc w:val="both"/>
        <w:textAlignment w:val="auto"/>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注：单位负责人为同一人或者存在直接控股、管理关系的不同供应商，不得参加同一合同项下的政府采购活动。</w:t>
      </w:r>
    </w:p>
    <w:p w14:paraId="6F949E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三、获取采购文件</w:t>
      </w:r>
    </w:p>
    <w:p w14:paraId="5381A97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时间：2025年10月30日至2025年11月05日，每天上午09:00:00至12:00:00 ，下午14:00:00至17:30:00（北京时间）</w:t>
      </w:r>
    </w:p>
    <w:p w14:paraId="4CCE26C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途径：全国公共资源交易平台（陕西省·延安市）下载</w:t>
      </w:r>
    </w:p>
    <w:p w14:paraId="5C75C68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方式：在线获取</w:t>
      </w:r>
    </w:p>
    <w:p w14:paraId="379780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售价：0元</w:t>
      </w:r>
    </w:p>
    <w:p w14:paraId="59171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四、响应文件提交</w:t>
      </w:r>
    </w:p>
    <w:p w14:paraId="326989D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截止时间：2025年11月14日14时30分00秒（北京时间）</w:t>
      </w:r>
    </w:p>
    <w:p w14:paraId="5BB65CDE">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地点：全国公共资源交易平台（陕西省·延安市）</w:t>
      </w:r>
    </w:p>
    <w:p w14:paraId="3A8A1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五、开启</w:t>
      </w:r>
    </w:p>
    <w:p w14:paraId="3A939FE0">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时间：2025年11月14日14时30分00秒（北京时间）</w:t>
      </w:r>
    </w:p>
    <w:p w14:paraId="0807A29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地点：延安市公共资源交易中心交易二厅</w:t>
      </w:r>
    </w:p>
    <w:p w14:paraId="77602F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六、公告期限</w:t>
      </w:r>
    </w:p>
    <w:p w14:paraId="100900F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自本公告发布之日起3个工作日。</w:t>
      </w:r>
    </w:p>
    <w:p w14:paraId="73584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七、其他补充事宜</w:t>
      </w:r>
    </w:p>
    <w:p w14:paraId="7C5DB18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14:paraId="5D5739A4">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2、请供应商按照陕西省财政厅关于政府采购供应商注册登记有关事项的通知中的要求，通过陕西省政府采购网注册登记加入陕西省政府采购供应商库。</w:t>
      </w:r>
    </w:p>
    <w:p w14:paraId="6553F381">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3、本项目专门面向中小企业采购；本次开标采用线上不见面开标模式，电子文件上传递交；供应商需在开标前登录政府采购不见面开标大厅进行签到、解密。</w:t>
      </w:r>
    </w:p>
    <w:p w14:paraId="009D1856">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4、本次招标公告在《陕西省政府采购网》、《全国公共资源交易平台（陕西省·延安市）》媒介上发布。</w:t>
      </w:r>
    </w:p>
    <w:p w14:paraId="3F7E43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Style w:val="29"/>
          <w:rFonts w:hint="eastAsia" w:ascii="仿宋_GB2312" w:hAnsi="仿宋_GB2312" w:eastAsia="仿宋_GB2312" w:cs="仿宋_GB2312"/>
          <w:b/>
          <w:bCs/>
          <w:i w:val="0"/>
          <w:iCs w:val="0"/>
          <w:caps w:val="0"/>
          <w:color w:val="000000" w:themeColor="text1"/>
          <w:spacing w:val="0"/>
          <w:sz w:val="21"/>
          <w:szCs w:val="21"/>
          <w:shd w:val="clear" w:fill="FFFFFF"/>
          <w14:textFill>
            <w14:solidFill>
              <w14:schemeClr w14:val="tx1"/>
            </w14:solidFill>
          </w14:textFill>
        </w:rPr>
        <w:t>八、对本次招标提出询问，请按以下方式联系。</w:t>
      </w:r>
    </w:p>
    <w:p w14:paraId="5A3634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1"/>
          <w:szCs w:val="21"/>
          <w:shd w:val="clear" w:fill="FFFFFF"/>
          <w14:textFill>
            <w14:solidFill>
              <w14:schemeClr w14:val="tx1"/>
            </w14:solidFill>
          </w14:textFill>
        </w:rPr>
        <w:t>1.采购人信息</w:t>
      </w:r>
    </w:p>
    <w:p w14:paraId="69F158D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名称：延安市人民医院</w:t>
      </w:r>
    </w:p>
    <w:p w14:paraId="3C3BF0F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地址：延安市七里铺</w:t>
      </w:r>
    </w:p>
    <w:p w14:paraId="7A1DF27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联系方式：0911-2888450</w:t>
      </w:r>
    </w:p>
    <w:p w14:paraId="07FD09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1"/>
          <w:szCs w:val="21"/>
          <w:shd w:val="clear" w:fill="FFFFFF"/>
          <w14:textFill>
            <w14:solidFill>
              <w14:schemeClr w14:val="tx1"/>
            </w14:solidFill>
          </w14:textFill>
        </w:rPr>
        <w:t>2.采购代理机构信息</w:t>
      </w:r>
    </w:p>
    <w:p w14:paraId="1588F1A8">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名称：陕西辰云项目管理有限公司</w:t>
      </w:r>
    </w:p>
    <w:p w14:paraId="353CE5C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地址：陕西省延安市宝塔区陕西省延安市宝 塔区枣园路枣园5号小区4-3-702室</w:t>
      </w:r>
    </w:p>
    <w:p w14:paraId="3B91F22F">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联系方式：18700138388</w:t>
      </w:r>
    </w:p>
    <w:p w14:paraId="752C00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outlineLvl w:val="9"/>
        <w:rPr>
          <w:rFonts w:hint="eastAsia" w:ascii="仿宋_GB2312" w:hAnsi="仿宋_GB2312" w:eastAsia="仿宋_GB2312" w:cs="仿宋_GB2312"/>
          <w:b w:val="0"/>
          <w:bCs w:val="0"/>
          <w:color w:val="000000" w:themeColor="text1"/>
          <w:sz w:val="21"/>
          <w:szCs w:val="21"/>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21"/>
          <w:szCs w:val="21"/>
          <w:shd w:val="clear" w:fill="FFFFFF"/>
          <w14:textFill>
            <w14:solidFill>
              <w14:schemeClr w14:val="tx1"/>
            </w14:solidFill>
          </w14:textFill>
        </w:rPr>
        <w:t>3.项目联系方式</w:t>
      </w:r>
    </w:p>
    <w:p w14:paraId="359EA7D5">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项目联系人：冯盼</w:t>
      </w:r>
    </w:p>
    <w:p w14:paraId="09B0E6FB">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1"/>
          <w:szCs w:val="21"/>
          <w:shd w:val="clear" w:fill="FFFFFF"/>
          <w14:textFill>
            <w14:solidFill>
              <w14:schemeClr w14:val="tx1"/>
            </w14:solidFill>
          </w14:textFill>
        </w:rPr>
        <w:t>电话：18700138388</w:t>
      </w:r>
    </w:p>
    <w:p w14:paraId="7A192C2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48C72C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701E91B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2CC3603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2008108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4E51F51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0DA24CC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225C521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7585C1F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147E4A45">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0000963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7615532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2C7FE77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1636CCE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6317285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07DAC110">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仿宋_GB2312" w:hAnsi="仿宋_GB2312" w:eastAsia="仿宋_GB2312" w:cs="仿宋_GB2312"/>
          <w:b w:val="0"/>
          <w:bCs w:val="0"/>
          <w:color w:val="auto"/>
          <w:kern w:val="2"/>
          <w:sz w:val="21"/>
          <w:szCs w:val="21"/>
          <w:highlight w:val="none"/>
          <w:lang w:val="en-US" w:eastAsia="zh-CN" w:bidi="ar-SA"/>
        </w:rPr>
      </w:pPr>
    </w:p>
    <w:p w14:paraId="0B62E09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p>
    <w:p w14:paraId="52927895">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p>
    <w:p w14:paraId="6BB1F38D">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p>
    <w:p w14:paraId="5468BC9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color w:val="auto"/>
          <w:sz w:val="32"/>
          <w:szCs w:val="32"/>
          <w:highlight w:val="none"/>
        </w:rPr>
      </w:pPr>
    </w:p>
    <w:p w14:paraId="765C7988">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color w:val="auto"/>
          <w:sz w:val="32"/>
          <w:szCs w:val="32"/>
          <w:highlight w:val="none"/>
        </w:rPr>
      </w:pPr>
    </w:p>
    <w:p w14:paraId="654BF5B4">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color w:val="auto"/>
          <w:sz w:val="32"/>
          <w:szCs w:val="32"/>
          <w:highlight w:val="none"/>
        </w:rPr>
      </w:pPr>
    </w:p>
    <w:p w14:paraId="20C0B60C">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color w:val="auto"/>
          <w:sz w:val="32"/>
          <w:szCs w:val="32"/>
          <w:highlight w:val="none"/>
        </w:rPr>
      </w:pPr>
    </w:p>
    <w:p w14:paraId="7829EF8E">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rPr>
      </w:pPr>
    </w:p>
    <w:p w14:paraId="79EF4922">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磋商须知</w:t>
      </w:r>
      <w:r>
        <w:rPr>
          <w:rFonts w:hint="eastAsia" w:ascii="仿宋_GB2312" w:hAnsi="仿宋_GB2312" w:eastAsia="仿宋_GB2312" w:cs="仿宋_GB2312"/>
          <w:b/>
          <w:color w:val="auto"/>
          <w:sz w:val="32"/>
          <w:szCs w:val="32"/>
          <w:highlight w:val="none"/>
          <w:lang w:val="en-US" w:eastAsia="zh-CN"/>
        </w:rPr>
        <w:t>前附表</w:t>
      </w:r>
      <w:bookmarkEnd w:id="3"/>
    </w:p>
    <w:tbl>
      <w:tblPr>
        <w:tblStyle w:val="26"/>
        <w:tblW w:w="9107" w:type="dxa"/>
        <w:jc w:val="center"/>
        <w:tblLayout w:type="fixed"/>
        <w:tblCellMar>
          <w:top w:w="0" w:type="dxa"/>
          <w:left w:w="28" w:type="dxa"/>
          <w:bottom w:w="0" w:type="dxa"/>
          <w:right w:w="28" w:type="dxa"/>
        </w:tblCellMar>
      </w:tblPr>
      <w:tblGrid>
        <w:gridCol w:w="809"/>
        <w:gridCol w:w="1527"/>
        <w:gridCol w:w="6771"/>
      </w:tblGrid>
      <w:tr w14:paraId="37726F05">
        <w:tblPrEx>
          <w:tblCellMar>
            <w:top w:w="0" w:type="dxa"/>
            <w:left w:w="28" w:type="dxa"/>
            <w:bottom w:w="0" w:type="dxa"/>
            <w:right w:w="28" w:type="dxa"/>
          </w:tblCellMar>
        </w:tblPrEx>
        <w:trPr>
          <w:trHeight w:val="583"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59255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vAlign w:val="center"/>
          </w:tcPr>
          <w:p w14:paraId="78DC46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vAlign w:val="center"/>
          </w:tcPr>
          <w:p w14:paraId="38A656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编 列 内 容</w:t>
            </w:r>
          </w:p>
        </w:tc>
      </w:tr>
      <w:tr w14:paraId="57867C68">
        <w:tblPrEx>
          <w:tblCellMar>
            <w:top w:w="0" w:type="dxa"/>
            <w:left w:w="28" w:type="dxa"/>
            <w:bottom w:w="0" w:type="dxa"/>
            <w:right w:w="28" w:type="dxa"/>
          </w:tblCellMar>
        </w:tblPrEx>
        <w:trPr>
          <w:trHeight w:val="59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1410B53A">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527" w:type="dxa"/>
            <w:tcBorders>
              <w:top w:val="single" w:color="auto" w:sz="4" w:space="0"/>
              <w:left w:val="nil"/>
              <w:bottom w:val="single" w:color="auto" w:sz="4" w:space="0"/>
              <w:right w:val="single" w:color="auto" w:sz="4" w:space="0"/>
            </w:tcBorders>
            <w:vAlign w:val="center"/>
          </w:tcPr>
          <w:p w14:paraId="2198E6AA">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vAlign w:val="center"/>
          </w:tcPr>
          <w:p w14:paraId="38A6DC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i w:val="0"/>
                <w:iCs w:val="0"/>
                <w:caps w:val="0"/>
                <w:color w:val="333333"/>
                <w:spacing w:val="0"/>
                <w:sz w:val="21"/>
                <w:szCs w:val="21"/>
                <w:shd w:val="clear" w:color="auto" w:fill="FFFFFF"/>
                <w:vertAlign w:val="baseline"/>
                <w:lang w:val="en-US" w:eastAsia="zh-CN"/>
              </w:rPr>
              <w:t>延安市人民医院高质量发展运营数据分析系统软件开发项目</w:t>
            </w:r>
          </w:p>
        </w:tc>
      </w:tr>
      <w:tr w14:paraId="669CA2AD">
        <w:tblPrEx>
          <w:tblCellMar>
            <w:top w:w="0" w:type="dxa"/>
            <w:left w:w="28" w:type="dxa"/>
            <w:bottom w:w="0" w:type="dxa"/>
            <w:right w:w="28" w:type="dxa"/>
          </w:tblCellMar>
        </w:tblPrEx>
        <w:trPr>
          <w:trHeight w:val="1668"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B05282E">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527" w:type="dxa"/>
            <w:tcBorders>
              <w:top w:val="single" w:color="auto" w:sz="4" w:space="0"/>
              <w:left w:val="nil"/>
              <w:bottom w:val="single" w:color="auto" w:sz="4" w:space="0"/>
              <w:right w:val="single" w:color="auto" w:sz="4" w:space="0"/>
            </w:tcBorders>
            <w:vAlign w:val="center"/>
          </w:tcPr>
          <w:p w14:paraId="4EFAF524">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vAlign w:val="center"/>
          </w:tcPr>
          <w:p w14:paraId="1CF9618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采购人名称：</w:t>
            </w:r>
            <w:r>
              <w:rPr>
                <w:rFonts w:hint="eastAsia" w:ascii="仿宋_GB2312" w:hAnsi="仿宋_GB2312" w:eastAsia="仿宋_GB2312" w:cs="仿宋_GB2312"/>
                <w:color w:val="auto"/>
                <w:sz w:val="21"/>
                <w:szCs w:val="21"/>
                <w:highlight w:val="none"/>
                <w:lang w:eastAsia="zh-CN"/>
              </w:rPr>
              <w:t>延安市人民医院</w:t>
            </w:r>
          </w:p>
          <w:p w14:paraId="2F5028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  址：延安市七里铺</w:t>
            </w:r>
          </w:p>
          <w:p w14:paraId="431449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联系人：刘工</w:t>
            </w:r>
          </w:p>
          <w:p w14:paraId="43DE9B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zh-CN" w:eastAsia="zh-CN"/>
              </w:rPr>
              <w:t>电</w:t>
            </w:r>
            <w:r>
              <w:rPr>
                <w:rFonts w:hint="eastAsia" w:ascii="仿宋_GB2312" w:hAnsi="仿宋_GB2312" w:eastAsia="仿宋_GB2312" w:cs="仿宋_GB2312"/>
                <w:color w:val="auto"/>
                <w:sz w:val="21"/>
                <w:szCs w:val="21"/>
                <w:highlight w:val="none"/>
                <w:lang w:eastAsia="zh-CN"/>
              </w:rPr>
              <w:t xml:space="preserve">  </w:t>
            </w:r>
            <w:r>
              <w:rPr>
                <w:rFonts w:hint="eastAsia" w:ascii="仿宋_GB2312" w:hAnsi="仿宋_GB2312" w:eastAsia="仿宋_GB2312" w:cs="仿宋_GB2312"/>
                <w:color w:val="auto"/>
                <w:sz w:val="21"/>
                <w:szCs w:val="21"/>
                <w:highlight w:val="none"/>
                <w:lang w:val="zh-CN" w:eastAsia="zh-CN"/>
              </w:rPr>
              <w:t>话：</w:t>
            </w:r>
            <w:r>
              <w:rPr>
                <w:rFonts w:hint="eastAsia" w:ascii="仿宋_GB2312" w:hAnsi="仿宋_GB2312" w:eastAsia="仿宋_GB2312" w:cs="仿宋_GB2312"/>
                <w:color w:val="auto"/>
                <w:sz w:val="21"/>
                <w:szCs w:val="21"/>
                <w:highlight w:val="none"/>
                <w:lang w:val="en-US" w:eastAsia="zh-CN"/>
              </w:rPr>
              <w:t>0911-2888450</w:t>
            </w:r>
          </w:p>
        </w:tc>
      </w:tr>
      <w:tr w14:paraId="1BA7CE67">
        <w:tblPrEx>
          <w:tblCellMar>
            <w:top w:w="0" w:type="dxa"/>
            <w:left w:w="28" w:type="dxa"/>
            <w:bottom w:w="0" w:type="dxa"/>
            <w:right w:w="28" w:type="dxa"/>
          </w:tblCellMar>
        </w:tblPrEx>
        <w:trPr>
          <w:trHeight w:val="158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B5CAE4D">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527" w:type="dxa"/>
            <w:tcBorders>
              <w:top w:val="single" w:color="auto" w:sz="4" w:space="0"/>
              <w:left w:val="nil"/>
              <w:bottom w:val="single" w:color="auto" w:sz="4" w:space="0"/>
              <w:right w:val="single" w:color="auto" w:sz="4" w:space="0"/>
            </w:tcBorders>
            <w:vAlign w:val="center"/>
          </w:tcPr>
          <w:p w14:paraId="4BCC4079">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采购代理</w:t>
            </w:r>
          </w:p>
          <w:p w14:paraId="711EAE4F">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vAlign w:val="center"/>
          </w:tcPr>
          <w:p w14:paraId="7557E2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采购代理机构：</w:t>
            </w:r>
            <w:r>
              <w:rPr>
                <w:rFonts w:hint="eastAsia" w:ascii="仿宋_GB2312" w:hAnsi="仿宋_GB2312" w:eastAsia="仿宋_GB2312" w:cs="仿宋_GB2312"/>
                <w:color w:val="auto"/>
                <w:sz w:val="21"/>
                <w:szCs w:val="21"/>
                <w:highlight w:val="none"/>
                <w:lang w:eastAsia="zh-CN"/>
              </w:rPr>
              <w:t>陕西辰云项目管理有限公司</w:t>
            </w:r>
          </w:p>
          <w:p w14:paraId="10F10E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rPr>
              <w:t>地   址：</w:t>
            </w:r>
            <w:r>
              <w:rPr>
                <w:rFonts w:hint="eastAsia" w:ascii="仿宋_GB2312" w:hAnsi="仿宋_GB2312" w:eastAsia="仿宋_GB2312" w:cs="仿宋_GB2312"/>
                <w:color w:val="auto"/>
                <w:sz w:val="21"/>
                <w:szCs w:val="21"/>
                <w:highlight w:val="none"/>
                <w:lang w:eastAsia="zh-CN"/>
              </w:rPr>
              <w:t>陕西省延安市宝塔区枣园路枣园5号小区4-3-702室</w:t>
            </w:r>
          </w:p>
          <w:p w14:paraId="39C58F8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联系人：</w:t>
            </w:r>
            <w:r>
              <w:rPr>
                <w:rFonts w:hint="eastAsia" w:ascii="仿宋_GB2312" w:hAnsi="仿宋_GB2312" w:eastAsia="仿宋_GB2312" w:cs="仿宋_GB2312"/>
                <w:color w:val="auto"/>
                <w:sz w:val="21"/>
                <w:szCs w:val="21"/>
                <w:highlight w:val="none"/>
                <w:lang w:val="en-US" w:eastAsia="zh-CN"/>
              </w:rPr>
              <w:t>冯工</w:t>
            </w:r>
          </w:p>
          <w:p w14:paraId="318667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rPr>
            </w:pPr>
            <w:r>
              <w:rPr>
                <w:rFonts w:hint="eastAsia" w:ascii="仿宋_GB2312" w:hAnsi="仿宋_GB2312" w:eastAsia="仿宋_GB2312" w:cs="仿宋_GB2312"/>
                <w:color w:val="auto"/>
                <w:sz w:val="21"/>
                <w:szCs w:val="21"/>
                <w:highlight w:val="none"/>
              </w:rPr>
              <w:t>电  话：</w:t>
            </w:r>
            <w:r>
              <w:rPr>
                <w:rFonts w:hint="eastAsia" w:ascii="仿宋_GB2312" w:hAnsi="仿宋_GB2312" w:eastAsia="仿宋_GB2312" w:cs="仿宋_GB2312"/>
                <w:color w:val="auto"/>
                <w:sz w:val="21"/>
                <w:szCs w:val="21"/>
                <w:highlight w:val="none"/>
                <w:lang w:val="en-US" w:eastAsia="zh-CN"/>
              </w:rPr>
              <w:t>18700138388</w:t>
            </w:r>
          </w:p>
        </w:tc>
      </w:tr>
      <w:tr w14:paraId="72F3941E">
        <w:tblPrEx>
          <w:tblCellMar>
            <w:top w:w="0" w:type="dxa"/>
            <w:left w:w="28" w:type="dxa"/>
            <w:bottom w:w="0" w:type="dxa"/>
            <w:right w:w="28" w:type="dxa"/>
          </w:tblCellMar>
        </w:tblPrEx>
        <w:trPr>
          <w:trHeight w:val="101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3DE33F7">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527" w:type="dxa"/>
            <w:tcBorders>
              <w:top w:val="single" w:color="auto" w:sz="4" w:space="0"/>
              <w:left w:val="nil"/>
              <w:bottom w:val="single" w:color="auto" w:sz="4" w:space="0"/>
              <w:right w:val="single" w:color="auto" w:sz="4" w:space="0"/>
            </w:tcBorders>
            <w:vAlign w:val="center"/>
          </w:tcPr>
          <w:p w14:paraId="2C5EAC1F">
            <w:pPr>
              <w:spacing w:line="360" w:lineRule="auto"/>
              <w:jc w:val="center"/>
              <w:outlineLvl w:val="9"/>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vAlign w:val="center"/>
          </w:tcPr>
          <w:p w14:paraId="4570C5D6">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i w:val="0"/>
                <w:iCs w:val="0"/>
                <w:caps w:val="0"/>
                <w:color w:val="000000"/>
                <w:spacing w:val="0"/>
                <w:sz w:val="21"/>
                <w:szCs w:val="21"/>
                <w:shd w:val="clear" w:fill="FFFFFF"/>
                <w:lang w:eastAsia="zh-CN"/>
              </w:rPr>
              <w:t>软件和信息技术服务业</w:t>
            </w:r>
          </w:p>
        </w:tc>
      </w:tr>
      <w:tr w14:paraId="3D980508">
        <w:tblPrEx>
          <w:tblCellMar>
            <w:top w:w="0" w:type="dxa"/>
            <w:left w:w="28" w:type="dxa"/>
            <w:bottom w:w="0" w:type="dxa"/>
            <w:right w:w="28" w:type="dxa"/>
          </w:tblCellMar>
        </w:tblPrEx>
        <w:trPr>
          <w:trHeight w:val="1026"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D0D2281">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vAlign w:val="center"/>
          </w:tcPr>
          <w:p w14:paraId="3F014A60">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vAlign w:val="center"/>
          </w:tcPr>
          <w:p w14:paraId="4DFBA1D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4"/>
                <w:sz w:val="3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面向中小企业采购</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面向小微企业采购</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不专门面向</w:t>
            </w:r>
          </w:p>
        </w:tc>
      </w:tr>
      <w:tr w14:paraId="2028E030">
        <w:tblPrEx>
          <w:tblCellMar>
            <w:top w:w="0" w:type="dxa"/>
            <w:left w:w="28" w:type="dxa"/>
            <w:bottom w:w="0" w:type="dxa"/>
            <w:right w:w="28" w:type="dxa"/>
          </w:tblCellMar>
        </w:tblPrEx>
        <w:trPr>
          <w:trHeight w:val="734"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387AC04D">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vAlign w:val="center"/>
          </w:tcPr>
          <w:p w14:paraId="6CFACEB6">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vAlign w:val="center"/>
          </w:tcPr>
          <w:p w14:paraId="6EDBE4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lang w:eastAsia="zh-CN"/>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14:paraId="641816DB">
        <w:tblPrEx>
          <w:tblCellMar>
            <w:top w:w="0" w:type="dxa"/>
            <w:left w:w="28" w:type="dxa"/>
            <w:bottom w:w="0" w:type="dxa"/>
            <w:right w:w="28" w:type="dxa"/>
          </w:tblCellMar>
        </w:tblPrEx>
        <w:trPr>
          <w:trHeight w:val="81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03BD517">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vAlign w:val="center"/>
          </w:tcPr>
          <w:p w14:paraId="0AA9E37A">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vAlign w:val="center"/>
          </w:tcPr>
          <w:p w14:paraId="7C0971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14:paraId="6DC6ADB5">
        <w:tblPrEx>
          <w:tblCellMar>
            <w:top w:w="0" w:type="dxa"/>
            <w:left w:w="28" w:type="dxa"/>
            <w:bottom w:w="0" w:type="dxa"/>
            <w:right w:w="28" w:type="dxa"/>
          </w:tblCellMar>
        </w:tblPrEx>
        <w:trPr>
          <w:trHeight w:val="622"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3586CDE">
            <w:pPr>
              <w:spacing w:line="36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vAlign w:val="center"/>
          </w:tcPr>
          <w:p w14:paraId="5F48BC4F">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vAlign w:val="center"/>
          </w:tcPr>
          <w:p w14:paraId="11829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是□      否</w:t>
            </w:r>
            <w:r>
              <w:rPr>
                <w:rFonts w:hint="eastAsia" w:ascii="仿宋_GB2312" w:hAnsi="仿宋_GB2312" w:eastAsia="仿宋_GB2312" w:cs="仿宋_GB2312"/>
                <w:color w:val="auto"/>
                <w:sz w:val="21"/>
                <w:szCs w:val="21"/>
                <w:highlight w:val="none"/>
              </w:rPr>
              <w:fldChar w:fldCharType="begin"/>
            </w:r>
            <w:r>
              <w:rPr>
                <w:rFonts w:hint="eastAsia" w:ascii="仿宋_GB2312" w:hAnsi="仿宋_GB2312" w:eastAsia="仿宋_GB2312" w:cs="仿宋_GB2312"/>
                <w:color w:val="auto"/>
                <w:sz w:val="21"/>
                <w:szCs w:val="21"/>
                <w:highlight w:val="none"/>
              </w:rPr>
              <w:instrText xml:space="preserve"> eq \o\ac(</w:instrText>
            </w:r>
            <w:r>
              <w:rPr>
                <w:rFonts w:hint="eastAsia" w:ascii="仿宋_GB2312" w:hAnsi="仿宋_GB2312" w:eastAsia="仿宋_GB2312" w:cs="仿宋_GB2312"/>
                <w:color w:val="auto"/>
                <w:position w:val="-4"/>
                <w:sz w:val="31"/>
                <w:szCs w:val="21"/>
                <w:highlight w:val="none"/>
              </w:rPr>
              <w:instrText xml:space="preserve">□</w:instrText>
            </w:r>
            <w:r>
              <w:rPr>
                <w:rFonts w:hint="eastAsia" w:ascii="仿宋_GB2312" w:hAnsi="仿宋_GB2312" w:eastAsia="仿宋_GB2312" w:cs="仿宋_GB2312"/>
                <w:color w:val="auto"/>
                <w:position w:val="0"/>
                <w:sz w:val="21"/>
                <w:szCs w:val="21"/>
                <w:highlight w:val="none"/>
              </w:rPr>
              <w:instrText xml:space="preserve">,√)</w:instrText>
            </w:r>
            <w:r>
              <w:rPr>
                <w:rFonts w:hint="eastAsia" w:ascii="仿宋_GB2312" w:hAnsi="仿宋_GB2312" w:eastAsia="仿宋_GB2312" w:cs="仿宋_GB2312"/>
                <w:color w:val="auto"/>
                <w:sz w:val="21"/>
                <w:szCs w:val="21"/>
                <w:highlight w:val="none"/>
              </w:rPr>
              <w:fldChar w:fldCharType="end"/>
            </w:r>
          </w:p>
        </w:tc>
      </w:tr>
      <w:tr w14:paraId="0382A768">
        <w:tblPrEx>
          <w:tblCellMar>
            <w:top w:w="0" w:type="dxa"/>
            <w:left w:w="28" w:type="dxa"/>
            <w:bottom w:w="0" w:type="dxa"/>
            <w:right w:w="28" w:type="dxa"/>
          </w:tblCellMar>
        </w:tblPrEx>
        <w:trPr>
          <w:trHeight w:val="711"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A174E53">
            <w:pPr>
              <w:spacing w:line="360" w:lineRule="auto"/>
              <w:jc w:val="center"/>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vAlign w:val="center"/>
          </w:tcPr>
          <w:p w14:paraId="3D0F61A9">
            <w:pPr>
              <w:spacing w:line="360" w:lineRule="auto"/>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vAlign w:val="center"/>
          </w:tcPr>
          <w:p w14:paraId="15AF22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不允许提供</w:t>
            </w:r>
          </w:p>
        </w:tc>
      </w:tr>
      <w:tr w14:paraId="3DCA9328">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A980735">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vAlign w:val="center"/>
          </w:tcPr>
          <w:p w14:paraId="29C6AA06">
            <w:pPr>
              <w:pStyle w:val="14"/>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color w:val="auto"/>
                <w:kern w:val="2"/>
                <w:sz w:val="21"/>
                <w:szCs w:val="21"/>
                <w:highlight w:val="none"/>
                <w:lang w:val="en-US" w:eastAsia="zh-CN" w:bidi="ar-SA"/>
              </w:rPr>
              <w:t>供应商特定资格要求</w:t>
            </w:r>
          </w:p>
        </w:tc>
        <w:tc>
          <w:tcPr>
            <w:tcW w:w="6771" w:type="dxa"/>
            <w:tcBorders>
              <w:top w:val="single" w:color="auto" w:sz="4" w:space="0"/>
              <w:left w:val="nil"/>
              <w:bottom w:val="single" w:color="auto" w:sz="4" w:space="0"/>
              <w:right w:val="single" w:color="auto" w:sz="4" w:space="0"/>
            </w:tcBorders>
            <w:vAlign w:val="center"/>
          </w:tcPr>
          <w:p w14:paraId="3BEE6FEF">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（1）具有独立承担民事责任能力的法人或其他组织，提供合法有效的统一社会信用代码的营业执照（含年度报告）或事业单位法人证书等国家规定的相关证明，自然人参与的提供其身份证明；</w:t>
            </w:r>
          </w:p>
          <w:p w14:paraId="502D5247">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（2）银行开户许可证或开户行基本信息；</w:t>
            </w:r>
          </w:p>
          <w:p w14:paraId="02F54F9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（3）法定代表人授权书（委托代理人参加须提供法定代表人授权书、法定代表人身份证复印件及被授权人身份证）或法定代表人身份证（法定代表人直接参加只须提供本人身份证）；</w:t>
            </w:r>
          </w:p>
          <w:p w14:paraId="7AF53601">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（4）供应商应出具参加政府采购活动前3年内在经营活动中没有重大违法记录的书面声明；</w:t>
            </w:r>
          </w:p>
          <w:p w14:paraId="35383B24">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5</w:t>
            </w:r>
            <w:r>
              <w:rPr>
                <w:rFonts w:hint="eastAsia" w:ascii="仿宋_GB2312" w:hAnsi="仿宋_GB2312" w:eastAsia="仿宋_GB2312" w:cs="仿宋_GB2312"/>
                <w:i w:val="0"/>
                <w:iCs w:val="0"/>
                <w:caps w:val="0"/>
                <w:color w:val="333333"/>
                <w:spacing w:val="0"/>
                <w:sz w:val="21"/>
                <w:szCs w:val="21"/>
                <w:shd w:val="clear" w:fill="FFFFFF"/>
              </w:rPr>
              <w:t>）税收缴纳证明：提供</w:t>
            </w:r>
            <w:r>
              <w:rPr>
                <w:rFonts w:hint="eastAsia" w:ascii="仿宋_GB2312" w:hAnsi="仿宋_GB2312" w:eastAsia="仿宋_GB2312" w:cs="仿宋_GB2312"/>
                <w:i w:val="0"/>
                <w:iCs w:val="0"/>
                <w:caps w:val="0"/>
                <w:color w:val="333333"/>
                <w:spacing w:val="0"/>
                <w:sz w:val="21"/>
                <w:szCs w:val="21"/>
                <w:shd w:val="clear" w:fill="FFFFFF"/>
                <w:lang w:val="en-US" w:eastAsia="zh-CN"/>
              </w:rPr>
              <w:t>已缴纳的本年度至今一个月</w:t>
            </w:r>
            <w:r>
              <w:rPr>
                <w:rFonts w:hint="eastAsia" w:ascii="仿宋_GB2312" w:hAnsi="仿宋_GB2312" w:eastAsia="仿宋_GB2312" w:cs="仿宋_GB2312"/>
                <w:i w:val="0"/>
                <w:iCs w:val="0"/>
                <w:caps w:val="0"/>
                <w:color w:val="333333"/>
                <w:spacing w:val="0"/>
                <w:sz w:val="21"/>
                <w:szCs w:val="21"/>
                <w:shd w:val="clear" w:fill="FFFFFF"/>
              </w:rPr>
              <w:t>的纳税证明或完税证明，纳税证明或完税证明上应有代收机构或税务机关的公章。依法免税的供应商应提供相关文件证明；</w:t>
            </w:r>
          </w:p>
          <w:p w14:paraId="001304B0">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6</w:t>
            </w:r>
            <w:r>
              <w:rPr>
                <w:rFonts w:hint="eastAsia" w:ascii="仿宋_GB2312" w:hAnsi="仿宋_GB2312" w:eastAsia="仿宋_GB2312" w:cs="仿宋_GB2312"/>
                <w:i w:val="0"/>
                <w:iCs w:val="0"/>
                <w:caps w:val="0"/>
                <w:color w:val="333333"/>
                <w:spacing w:val="0"/>
                <w:sz w:val="21"/>
                <w:szCs w:val="21"/>
                <w:shd w:val="clear" w:fill="FFFFFF"/>
              </w:rPr>
              <w:t>）社会保障资金缴纳证明：提供</w:t>
            </w:r>
            <w:r>
              <w:rPr>
                <w:rFonts w:hint="eastAsia" w:ascii="仿宋_GB2312" w:hAnsi="仿宋_GB2312" w:eastAsia="仿宋_GB2312" w:cs="仿宋_GB2312"/>
                <w:i w:val="0"/>
                <w:iCs w:val="0"/>
                <w:caps w:val="0"/>
                <w:color w:val="333333"/>
                <w:spacing w:val="0"/>
                <w:sz w:val="21"/>
                <w:szCs w:val="21"/>
                <w:shd w:val="clear" w:fill="FFFFFF"/>
                <w:lang w:val="en-US" w:eastAsia="zh-CN"/>
              </w:rPr>
              <w:t>已缴纳的本年度至今一个月</w:t>
            </w:r>
            <w:r>
              <w:rPr>
                <w:rFonts w:hint="eastAsia" w:ascii="仿宋_GB2312" w:hAnsi="仿宋_GB2312" w:eastAsia="仿宋_GB2312" w:cs="仿宋_GB2312"/>
                <w:i w:val="0"/>
                <w:iCs w:val="0"/>
                <w:caps w:val="0"/>
                <w:color w:val="333333"/>
                <w:spacing w:val="0"/>
                <w:sz w:val="21"/>
                <w:szCs w:val="21"/>
                <w:shd w:val="clear" w:fill="FFFFFF"/>
              </w:rPr>
              <w:t>的社会保障资金缴存单据或社保机构开具的社会保险参保缴费情况证明，依法不需要缴纳社会保障资金的供应商应提供相关文件证明；</w:t>
            </w:r>
          </w:p>
          <w:p w14:paraId="43D5EEEB">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7</w:t>
            </w:r>
            <w:r>
              <w:rPr>
                <w:rFonts w:hint="eastAsia" w:ascii="仿宋_GB2312" w:hAnsi="仿宋_GB2312" w:eastAsia="仿宋_GB2312" w:cs="仿宋_GB2312"/>
                <w:i w:val="0"/>
                <w:iCs w:val="0"/>
                <w:caps w:val="0"/>
                <w:color w:val="333333"/>
                <w:spacing w:val="0"/>
                <w:sz w:val="21"/>
                <w:szCs w:val="21"/>
                <w:shd w:val="clear" w:fill="FFFFFF"/>
              </w:rPr>
              <w:t>）财务状况报告：提供</w:t>
            </w:r>
            <w:r>
              <w:rPr>
                <w:rFonts w:hint="eastAsia" w:ascii="仿宋_GB2312" w:hAnsi="仿宋_GB2312" w:eastAsia="仿宋_GB2312" w:cs="仿宋_GB2312"/>
                <w:i w:val="0"/>
                <w:iCs w:val="0"/>
                <w:caps w:val="0"/>
                <w:color w:val="333333"/>
                <w:spacing w:val="0"/>
                <w:sz w:val="21"/>
                <w:szCs w:val="21"/>
                <w:shd w:val="clear" w:fill="FFFFFF"/>
                <w:lang w:val="en-US" w:eastAsia="zh-CN"/>
              </w:rPr>
              <w:t>2024</w:t>
            </w:r>
            <w:r>
              <w:rPr>
                <w:rFonts w:hint="eastAsia" w:ascii="仿宋_GB2312" w:hAnsi="仿宋_GB2312" w:eastAsia="仿宋_GB2312" w:cs="仿宋_GB2312"/>
                <w:i w:val="0"/>
                <w:iCs w:val="0"/>
                <w:caps w:val="0"/>
                <w:color w:val="333333"/>
                <w:spacing w:val="0"/>
                <w:sz w:val="21"/>
                <w:szCs w:val="21"/>
                <w:shd w:val="clear" w:fill="FFFFFF"/>
              </w:rPr>
              <w:t>年度经审计的财务报告（至少包括审计报告、资产负债表和利润表，成立时间至提交投标文件截止时间不足一年的可提供成立后任意时段的资产负债表）或其开标前</w:t>
            </w:r>
            <w:r>
              <w:rPr>
                <w:rFonts w:hint="eastAsia" w:ascii="仿宋_GB2312" w:hAnsi="仿宋_GB2312" w:eastAsia="仿宋_GB2312" w:cs="仿宋_GB2312"/>
                <w:i w:val="0"/>
                <w:iCs w:val="0"/>
                <w:caps w:val="0"/>
                <w:color w:val="333333"/>
                <w:spacing w:val="0"/>
                <w:sz w:val="21"/>
                <w:szCs w:val="21"/>
                <w:shd w:val="clear" w:fill="FFFFFF"/>
                <w:lang w:val="en-US" w:eastAsia="zh-CN"/>
              </w:rPr>
              <w:t>一</w:t>
            </w:r>
            <w:r>
              <w:rPr>
                <w:rFonts w:hint="eastAsia" w:ascii="仿宋_GB2312" w:hAnsi="仿宋_GB2312" w:eastAsia="仿宋_GB2312" w:cs="仿宋_GB2312"/>
                <w:i w:val="0"/>
                <w:iCs w:val="0"/>
                <w:caps w:val="0"/>
                <w:color w:val="333333"/>
                <w:spacing w:val="0"/>
                <w:sz w:val="21"/>
                <w:szCs w:val="21"/>
                <w:shd w:val="clear" w:fill="FFFFFF"/>
              </w:rPr>
              <w:t>个月内基本存款账户开户银行出具的资信证明；</w:t>
            </w:r>
          </w:p>
          <w:p w14:paraId="04E11213">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p w14:paraId="6B4F096E">
            <w:pPr>
              <w:pStyle w:val="14"/>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i w:val="0"/>
                <w:iCs w:val="0"/>
                <w:caps w:val="0"/>
                <w:color w:val="333333"/>
                <w:spacing w:val="0"/>
                <w:sz w:val="21"/>
                <w:szCs w:val="21"/>
                <w:shd w:val="clear" w:fill="FFFFFF"/>
              </w:rPr>
              <w:t>（9）供应商须提供《中小企业声明函》</w:t>
            </w:r>
            <w:r>
              <w:rPr>
                <w:rFonts w:hint="eastAsia" w:ascii="仿宋_GB2312" w:hAnsi="仿宋_GB2312" w:eastAsia="仿宋_GB2312" w:cs="仿宋_GB2312"/>
                <w:i w:val="0"/>
                <w:iCs w:val="0"/>
                <w:caps w:val="0"/>
                <w:color w:val="333333"/>
                <w:spacing w:val="0"/>
                <w:sz w:val="21"/>
                <w:szCs w:val="21"/>
                <w:shd w:val="clear" w:fill="FFFFFF"/>
                <w:lang w:eastAsia="zh-CN"/>
              </w:rPr>
              <w:t>；</w:t>
            </w:r>
          </w:p>
        </w:tc>
      </w:tr>
      <w:tr w14:paraId="5B87FFAC">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63B0A57A">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vAlign w:val="center"/>
          </w:tcPr>
          <w:p w14:paraId="052DD160">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磋商保证金</w:t>
            </w:r>
          </w:p>
        </w:tc>
        <w:tc>
          <w:tcPr>
            <w:tcW w:w="6771" w:type="dxa"/>
            <w:tcBorders>
              <w:top w:val="single" w:color="auto" w:sz="4" w:space="0"/>
              <w:left w:val="nil"/>
              <w:bottom w:val="single" w:color="auto" w:sz="4" w:space="0"/>
              <w:right w:val="single" w:color="auto" w:sz="4" w:space="0"/>
            </w:tcBorders>
            <w:vAlign w:val="center"/>
          </w:tcPr>
          <w:p w14:paraId="72DA70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sz w:val="21"/>
                <w:szCs w:val="21"/>
                <w:highlight w:val="none"/>
              </w:rPr>
              <w:t>磋商保证金金额：</w:t>
            </w:r>
            <w:r>
              <w:rPr>
                <w:rFonts w:hint="eastAsia" w:ascii="仿宋_GB2312" w:hAnsi="仿宋_GB2312" w:eastAsia="仿宋_GB2312" w:cs="仿宋_GB2312"/>
                <w:b/>
                <w:color w:val="auto"/>
                <w:sz w:val="21"/>
                <w:szCs w:val="21"/>
                <w:highlight w:val="none"/>
              </w:rPr>
              <w:t>人民币</w:t>
            </w:r>
            <w:r>
              <w:rPr>
                <w:rFonts w:hint="eastAsia" w:ascii="仿宋_GB2312" w:hAnsi="仿宋_GB2312" w:eastAsia="仿宋_GB2312" w:cs="仿宋_GB2312"/>
                <w:b/>
                <w:color w:val="auto"/>
                <w:sz w:val="21"/>
                <w:szCs w:val="21"/>
                <w:highlight w:val="none"/>
                <w:lang w:val="en-US" w:eastAsia="zh-CN"/>
              </w:rPr>
              <w:t>伍仟元整</w:t>
            </w:r>
            <w:r>
              <w:rPr>
                <w:rFonts w:hint="eastAsia" w:ascii="仿宋_GB2312" w:hAnsi="仿宋_GB2312" w:eastAsia="仿宋_GB2312" w:cs="仿宋_GB2312"/>
                <w:b/>
                <w:color w:val="auto"/>
                <w:sz w:val="21"/>
                <w:szCs w:val="21"/>
                <w:highlight w:val="none"/>
                <w:lang w:eastAsia="zh-CN"/>
              </w:rPr>
              <w:t>（￥</w:t>
            </w:r>
            <w:r>
              <w:rPr>
                <w:rFonts w:hint="eastAsia" w:ascii="仿宋_GB2312" w:hAnsi="仿宋_GB2312" w:eastAsia="仿宋_GB2312" w:cs="仿宋_GB2312"/>
                <w:b/>
                <w:color w:val="auto"/>
                <w:sz w:val="21"/>
                <w:szCs w:val="21"/>
                <w:highlight w:val="none"/>
                <w:lang w:val="en-US" w:eastAsia="zh-CN"/>
              </w:rPr>
              <w:t>5000.00元</w:t>
            </w:r>
            <w:r>
              <w:rPr>
                <w:rFonts w:hint="eastAsia" w:ascii="仿宋_GB2312" w:hAnsi="仿宋_GB2312" w:eastAsia="仿宋_GB2312" w:cs="仿宋_GB2312"/>
                <w:b/>
                <w:color w:val="auto"/>
                <w:sz w:val="21"/>
                <w:szCs w:val="21"/>
                <w:highlight w:val="none"/>
                <w:lang w:eastAsia="zh-CN"/>
              </w:rPr>
              <w:t>）</w:t>
            </w:r>
          </w:p>
          <w:p w14:paraId="1FF439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磋商保证金缴纳账户信息：</w:t>
            </w:r>
          </w:p>
          <w:p w14:paraId="002D3F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收款单位：陕西辰云项目管理有限公司</w:t>
            </w:r>
          </w:p>
          <w:p w14:paraId="12C613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开户银行：中国银行股份有限公司延安枣园路支行</w:t>
            </w:r>
          </w:p>
          <w:p w14:paraId="275E0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账    号：：102511009635</w:t>
            </w:r>
          </w:p>
          <w:p w14:paraId="055D719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注：第三部分 磋商须知7.2保证金缴纳方式，应注明“项目编号”</w:t>
            </w:r>
          </w:p>
        </w:tc>
      </w:tr>
      <w:tr w14:paraId="759768A9">
        <w:tblPrEx>
          <w:tblCellMar>
            <w:top w:w="0" w:type="dxa"/>
            <w:left w:w="28" w:type="dxa"/>
            <w:bottom w:w="0" w:type="dxa"/>
            <w:right w:w="28" w:type="dxa"/>
          </w:tblCellMar>
        </w:tblPrEx>
        <w:trPr>
          <w:trHeight w:val="68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145AFA3">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vAlign w:val="center"/>
          </w:tcPr>
          <w:p w14:paraId="7536D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vAlign w:val="center"/>
          </w:tcPr>
          <w:p w14:paraId="617044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响应文件从</w:t>
            </w:r>
            <w:r>
              <w:rPr>
                <w:rFonts w:hint="eastAsia" w:ascii="仿宋_GB2312" w:hAnsi="仿宋_GB2312" w:eastAsia="仿宋_GB2312" w:cs="仿宋_GB2312"/>
                <w:color w:val="auto"/>
                <w:sz w:val="21"/>
                <w:szCs w:val="21"/>
                <w:highlight w:val="none"/>
                <w:lang w:eastAsia="zh-CN"/>
              </w:rPr>
              <w:t>磋商</w:t>
            </w:r>
            <w:r>
              <w:rPr>
                <w:rFonts w:hint="eastAsia" w:ascii="仿宋_GB2312" w:hAnsi="仿宋_GB2312" w:eastAsia="仿宋_GB2312" w:cs="仿宋_GB2312"/>
                <w:color w:val="auto"/>
                <w:sz w:val="21"/>
                <w:szCs w:val="21"/>
                <w:highlight w:val="none"/>
              </w:rPr>
              <w:t>之日起，有效期为90日历天。</w:t>
            </w:r>
          </w:p>
        </w:tc>
      </w:tr>
      <w:tr w14:paraId="38428593">
        <w:tblPrEx>
          <w:tblCellMar>
            <w:top w:w="0" w:type="dxa"/>
            <w:left w:w="28" w:type="dxa"/>
            <w:bottom w:w="0" w:type="dxa"/>
            <w:right w:w="28" w:type="dxa"/>
          </w:tblCellMar>
        </w:tblPrEx>
        <w:trPr>
          <w:trHeight w:val="104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6B140DD5">
            <w:pPr>
              <w:spacing w:line="360" w:lineRule="auto"/>
              <w:jc w:val="center"/>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vAlign w:val="center"/>
          </w:tcPr>
          <w:p w14:paraId="0D6D390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响应文件递交</w:t>
            </w:r>
          </w:p>
        </w:tc>
        <w:tc>
          <w:tcPr>
            <w:tcW w:w="6771" w:type="dxa"/>
            <w:tcBorders>
              <w:top w:val="single" w:color="auto" w:sz="4" w:space="0"/>
              <w:left w:val="nil"/>
              <w:bottom w:val="single" w:color="auto" w:sz="4" w:space="0"/>
              <w:right w:val="single" w:color="auto" w:sz="4" w:space="0"/>
            </w:tcBorders>
            <w:vAlign w:val="center"/>
          </w:tcPr>
          <w:p w14:paraId="4578C2C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1、本次招标采用不见面开标模式，远程解密，</w:t>
            </w:r>
          </w:p>
          <w:p w14:paraId="00F134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auto"/>
                <w:sz w:val="21"/>
                <w:szCs w:val="21"/>
                <w:highlight w:val="none"/>
                <w:lang w:val="en-US" w:eastAsia="zh-CN"/>
              </w:rPr>
              <w:t>2、加密电子版（SXSTF格式）需在提交投标文件截止时间前上传至全国公共资源交易平台（陕西省.延安市）。</w:t>
            </w:r>
          </w:p>
        </w:tc>
      </w:tr>
      <w:tr w14:paraId="093AB214">
        <w:tblPrEx>
          <w:tblCellMar>
            <w:top w:w="0" w:type="dxa"/>
            <w:left w:w="28" w:type="dxa"/>
            <w:bottom w:w="0" w:type="dxa"/>
            <w:right w:w="28" w:type="dxa"/>
          </w:tblCellMar>
        </w:tblPrEx>
        <w:trPr>
          <w:trHeight w:val="66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F9AE3AC">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vAlign w:val="center"/>
          </w:tcPr>
          <w:p w14:paraId="06C38C98">
            <w:pPr>
              <w:spacing w:line="360" w:lineRule="auto"/>
              <w:jc w:val="center"/>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vAlign w:val="center"/>
          </w:tcPr>
          <w:p w14:paraId="00E384A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综合评分法（详见第三部分）</w:t>
            </w:r>
          </w:p>
        </w:tc>
      </w:tr>
      <w:tr w14:paraId="2C5D099C">
        <w:tblPrEx>
          <w:tblCellMar>
            <w:top w:w="0" w:type="dxa"/>
            <w:left w:w="28" w:type="dxa"/>
            <w:bottom w:w="0" w:type="dxa"/>
            <w:right w:w="28" w:type="dxa"/>
          </w:tblCellMar>
        </w:tblPrEx>
        <w:trPr>
          <w:trHeight w:val="215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6E12E12E">
            <w:pPr>
              <w:spacing w:line="360" w:lineRule="auto"/>
              <w:jc w:val="center"/>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vAlign w:val="center"/>
          </w:tcPr>
          <w:p w14:paraId="2370052A">
            <w:pPr>
              <w:spacing w:line="360" w:lineRule="auto"/>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vAlign w:val="center"/>
          </w:tcPr>
          <w:p w14:paraId="71943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z w:val="21"/>
                <w:szCs w:val="21"/>
                <w:highlight w:val="none"/>
              </w:rPr>
              <w:t>重新采购或转变采购方式情形须按照</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中华人民共和国政府采购法</w:t>
            </w:r>
            <w:r>
              <w:rPr>
                <w:rFonts w:hint="eastAsia" w:ascii="仿宋_GB2312" w:hAnsi="仿宋_GB2312" w:eastAsia="仿宋_GB2312" w:cs="仿宋_GB2312"/>
                <w:sz w:val="21"/>
                <w:szCs w:val="21"/>
                <w:highlight w:val="none"/>
                <w:lang w:eastAsia="zh-CN"/>
              </w:rPr>
              <w:t>》</w:t>
            </w:r>
            <w:r>
              <w:rPr>
                <w:rFonts w:hint="eastAsia" w:ascii="仿宋_GB2312" w:hAnsi="仿宋_GB2312" w:eastAsia="仿宋_GB2312" w:cs="仿宋_GB2312"/>
                <w:sz w:val="21"/>
                <w:szCs w:val="21"/>
                <w:highlight w:val="none"/>
                <w:lang w:val="en-US" w:eastAsia="zh-CN"/>
              </w:rPr>
              <w:t>及其实施条例、</w:t>
            </w:r>
            <w:r>
              <w:rPr>
                <w:rFonts w:hint="eastAsia" w:ascii="仿宋_GB2312" w:hAnsi="仿宋_GB2312" w:eastAsia="仿宋_GB2312" w:cs="仿宋_GB2312"/>
                <w:sz w:val="21"/>
                <w:szCs w:val="21"/>
                <w:highlight w:val="none"/>
              </w:rPr>
              <w:t>《政府采购竞争性磋商采购方式管理暂行办法》（财库[2014]214号）第二十一条、《财政部关于政府采购竞争性磋商采购方式管理暂行办法有关问题的补充通知》（财库[2015]124号）规定的相关原则处理。</w:t>
            </w:r>
          </w:p>
        </w:tc>
      </w:tr>
    </w:tbl>
    <w:p w14:paraId="2706EE85">
      <w:pP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25C315BF">
      <w:pPr>
        <w:pStyle w:val="21"/>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color w:val="auto"/>
          <w:sz w:val="32"/>
          <w:szCs w:val="32"/>
          <w:highlight w:val="none"/>
        </w:rPr>
      </w:pPr>
      <w:bookmarkStart w:id="5" w:name="_Toc1340"/>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部分</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磋商须知</w:t>
      </w:r>
      <w:bookmarkEnd w:id="4"/>
      <w:bookmarkEnd w:id="5"/>
    </w:p>
    <w:p w14:paraId="681A43C3">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6" w:name="_Toc75259336"/>
      <w:bookmarkStart w:id="7" w:name="_Toc8224"/>
      <w:r>
        <w:rPr>
          <w:rFonts w:hint="eastAsia" w:ascii="仿宋_GB2312" w:hAnsi="仿宋_GB2312" w:eastAsia="仿宋_GB2312" w:cs="仿宋_GB2312"/>
          <w:b/>
          <w:color w:val="auto"/>
          <w:sz w:val="21"/>
          <w:szCs w:val="21"/>
          <w:highlight w:val="none"/>
        </w:rPr>
        <w:t>1．适用范围</w:t>
      </w:r>
      <w:bookmarkEnd w:id="6"/>
      <w:bookmarkEnd w:id="7"/>
    </w:p>
    <w:p w14:paraId="41316E05">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1本磋商文件仅适用于本次磋商所叙述的</w:t>
      </w:r>
      <w:r>
        <w:rPr>
          <w:rFonts w:hint="eastAsia" w:ascii="仿宋_GB2312" w:hAnsi="仿宋_GB2312" w:eastAsia="仿宋_GB2312" w:cs="仿宋_GB2312"/>
          <w:color w:val="auto"/>
          <w:sz w:val="21"/>
          <w:szCs w:val="21"/>
          <w:highlight w:val="none"/>
          <w:lang w:val="en-US" w:eastAsia="zh-CN"/>
        </w:rPr>
        <w:t>延安市人民医院高质量发展运营数据分析系统软件开发项目</w:t>
      </w:r>
      <w:r>
        <w:rPr>
          <w:rFonts w:hint="eastAsia" w:ascii="仿宋_GB2312" w:hAnsi="仿宋_GB2312" w:eastAsia="仿宋_GB2312" w:cs="仿宋_GB2312"/>
          <w:color w:val="auto"/>
          <w:sz w:val="21"/>
          <w:szCs w:val="21"/>
          <w:highlight w:val="none"/>
        </w:rPr>
        <w:t>。</w:t>
      </w:r>
    </w:p>
    <w:p w14:paraId="4F42B9B0">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8" w:name="_Toc75259337"/>
      <w:bookmarkStart w:id="9" w:name="_Toc1693"/>
      <w:r>
        <w:rPr>
          <w:rFonts w:hint="eastAsia" w:ascii="仿宋_GB2312" w:hAnsi="仿宋_GB2312" w:eastAsia="仿宋_GB2312" w:cs="仿宋_GB2312"/>
          <w:b/>
          <w:color w:val="auto"/>
          <w:sz w:val="21"/>
          <w:szCs w:val="21"/>
          <w:highlight w:val="none"/>
        </w:rPr>
        <w:t>2．定义</w:t>
      </w:r>
      <w:bookmarkEnd w:id="8"/>
      <w:bookmarkEnd w:id="9"/>
    </w:p>
    <w:p w14:paraId="2D7A81FF">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1“采购人”系指</w:t>
      </w:r>
      <w:r>
        <w:rPr>
          <w:rFonts w:hint="eastAsia" w:ascii="仿宋_GB2312" w:hAnsi="仿宋_GB2312" w:eastAsia="仿宋_GB2312" w:cs="仿宋_GB2312"/>
          <w:color w:val="auto"/>
          <w:sz w:val="21"/>
          <w:szCs w:val="21"/>
          <w:highlight w:val="none"/>
          <w:lang w:val="en-US" w:eastAsia="zh-CN"/>
        </w:rPr>
        <w:t>延安市人民医院</w:t>
      </w:r>
      <w:r>
        <w:rPr>
          <w:rFonts w:hint="eastAsia" w:ascii="仿宋_GB2312" w:hAnsi="仿宋_GB2312" w:eastAsia="仿宋_GB2312" w:cs="仿宋_GB2312"/>
          <w:color w:val="auto"/>
          <w:sz w:val="21"/>
          <w:szCs w:val="21"/>
          <w:highlight w:val="none"/>
        </w:rPr>
        <w:t>。</w:t>
      </w:r>
    </w:p>
    <w:p w14:paraId="4FB803DC">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2“采购代理机构”系指组织本次磋商活动的</w:t>
      </w:r>
      <w:r>
        <w:rPr>
          <w:rFonts w:hint="eastAsia" w:ascii="仿宋_GB2312" w:hAnsi="仿宋_GB2312" w:eastAsia="仿宋_GB2312" w:cs="仿宋_GB2312"/>
          <w:color w:val="auto"/>
          <w:sz w:val="21"/>
          <w:szCs w:val="21"/>
          <w:highlight w:val="none"/>
          <w:lang w:val="en-US" w:eastAsia="zh-CN"/>
        </w:rPr>
        <w:t>陕西辰云项目管理有限公司</w:t>
      </w:r>
      <w:r>
        <w:rPr>
          <w:rFonts w:hint="eastAsia" w:ascii="仿宋_GB2312" w:hAnsi="仿宋_GB2312" w:eastAsia="仿宋_GB2312" w:cs="仿宋_GB2312"/>
          <w:color w:val="auto"/>
          <w:sz w:val="21"/>
          <w:szCs w:val="21"/>
          <w:highlight w:val="none"/>
        </w:rPr>
        <w:t>。</w:t>
      </w:r>
    </w:p>
    <w:p w14:paraId="32C9CFB4">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3“供应商”系指无条件接受磋商文件的各项要求，具备相应履约能力、具有《中华人民共和国政府采购法》第</w:t>
      </w:r>
      <w:r>
        <w:rPr>
          <w:rFonts w:hint="eastAsia" w:ascii="仿宋_GB2312" w:hAnsi="仿宋_GB2312" w:eastAsia="仿宋_GB2312" w:cs="仿宋_GB2312"/>
          <w:color w:val="auto"/>
          <w:sz w:val="21"/>
          <w:szCs w:val="21"/>
          <w:highlight w:val="none"/>
          <w:lang w:val="en-US" w:eastAsia="zh-CN"/>
        </w:rPr>
        <w:t>二十二条</w:t>
      </w:r>
      <w:r>
        <w:rPr>
          <w:rFonts w:hint="eastAsia" w:ascii="仿宋_GB2312" w:hAnsi="仿宋_GB2312" w:eastAsia="仿宋_GB2312" w:cs="仿宋_GB2312"/>
          <w:color w:val="auto"/>
          <w:sz w:val="21"/>
          <w:szCs w:val="21"/>
          <w:highlight w:val="none"/>
        </w:rPr>
        <w:t>规定的相关条件并向磋商小组提交响应文件的供应商。</w:t>
      </w:r>
    </w:p>
    <w:p w14:paraId="040697BD">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2</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color w:val="auto"/>
          <w:sz w:val="21"/>
          <w:szCs w:val="21"/>
          <w:highlight w:val="none"/>
        </w:rPr>
        <w:t>4</w:t>
      </w:r>
      <w:r>
        <w:rPr>
          <w:rFonts w:hint="eastAsia" w:ascii="仿宋_GB2312" w:hAnsi="仿宋_GB2312" w:eastAsia="仿宋_GB2312" w:cs="仿宋_GB2312"/>
          <w:bCs/>
          <w:color w:val="auto"/>
          <w:sz w:val="21"/>
          <w:szCs w:val="21"/>
          <w:highlight w:val="none"/>
        </w:rPr>
        <w:t>供应商在“中国执行信息公开网</w:t>
      </w:r>
      <w:r>
        <w:rPr>
          <w:rFonts w:hint="eastAsia" w:ascii="仿宋_GB2312" w:hAnsi="仿宋_GB2312" w:eastAsia="仿宋_GB2312" w:cs="仿宋_GB2312"/>
          <w:bCs/>
          <w:color w:val="auto"/>
          <w:sz w:val="21"/>
          <w:szCs w:val="21"/>
          <w:highlight w:val="none"/>
          <w:lang w:eastAsia="zh-CN"/>
        </w:rPr>
        <w:t>（http://zxgk.court.gov.cn/）</w:t>
      </w:r>
      <w:r>
        <w:rPr>
          <w:rFonts w:hint="eastAsia" w:ascii="仿宋_GB2312" w:hAnsi="仿宋_GB2312" w:eastAsia="仿宋_GB2312" w:cs="仿宋_GB2312"/>
          <w:bCs/>
          <w:color w:val="auto"/>
          <w:sz w:val="21"/>
          <w:szCs w:val="21"/>
          <w:highlight w:val="none"/>
        </w:rPr>
        <w:t>”未列入失信被执行人，在“信用中国</w:t>
      </w:r>
      <w:r>
        <w:rPr>
          <w:rFonts w:hint="eastAsia" w:ascii="仿宋_GB2312" w:hAnsi="仿宋_GB2312" w:eastAsia="仿宋_GB2312" w:cs="仿宋_GB2312"/>
          <w:bCs/>
          <w:color w:val="auto"/>
          <w:sz w:val="21"/>
          <w:szCs w:val="21"/>
          <w:highlight w:val="none"/>
          <w:lang w:eastAsia="zh-CN"/>
        </w:rPr>
        <w:t>（https://www.creditchina.gov.cn/）</w:t>
      </w:r>
      <w:r>
        <w:rPr>
          <w:rFonts w:hint="eastAsia" w:ascii="仿宋_GB2312" w:hAnsi="仿宋_GB2312" w:eastAsia="仿宋_GB2312" w:cs="仿宋_GB2312"/>
          <w:bCs/>
          <w:color w:val="auto"/>
          <w:sz w:val="21"/>
          <w:szCs w:val="21"/>
          <w:highlight w:val="none"/>
        </w:rPr>
        <w:t>”未列入重大税收违法失信主体，</w:t>
      </w:r>
      <w:r>
        <w:rPr>
          <w:rFonts w:hint="eastAsia" w:ascii="仿宋_GB2312" w:hAnsi="仿宋_GB2312" w:eastAsia="仿宋_GB2312" w:cs="仿宋_GB2312"/>
          <w:bCs/>
          <w:color w:val="auto"/>
          <w:sz w:val="21"/>
          <w:szCs w:val="21"/>
          <w:highlight w:val="none"/>
          <w:lang w:val="en-US" w:eastAsia="zh-CN"/>
        </w:rPr>
        <w:t>在</w:t>
      </w:r>
      <w:r>
        <w:rPr>
          <w:rFonts w:hint="eastAsia" w:ascii="仿宋_GB2312" w:hAnsi="仿宋_GB2312" w:eastAsia="仿宋_GB2312" w:cs="仿宋_GB2312"/>
          <w:bCs/>
          <w:color w:val="auto"/>
          <w:sz w:val="21"/>
          <w:szCs w:val="21"/>
          <w:highlight w:val="none"/>
        </w:rPr>
        <w:t>中国政府采购网</w:t>
      </w:r>
      <w:r>
        <w:rPr>
          <w:rFonts w:hint="eastAsia" w:ascii="仿宋_GB2312" w:hAnsi="仿宋_GB2312" w:eastAsia="仿宋_GB2312" w:cs="仿宋_GB2312"/>
          <w:bCs/>
          <w:color w:val="auto"/>
          <w:sz w:val="21"/>
          <w:szCs w:val="21"/>
          <w:highlight w:val="none"/>
          <w:lang w:eastAsia="zh-CN"/>
        </w:rPr>
        <w:t>（http://www.ccgp.gov.cn/）</w:t>
      </w:r>
      <w:r>
        <w:rPr>
          <w:rFonts w:hint="eastAsia" w:ascii="仿宋_GB2312" w:hAnsi="仿宋_GB2312" w:eastAsia="仿宋_GB2312" w:cs="仿宋_GB2312"/>
          <w:bCs/>
          <w:color w:val="auto"/>
          <w:sz w:val="21"/>
          <w:szCs w:val="21"/>
          <w:highlight w:val="none"/>
          <w:lang w:val="en-US" w:eastAsia="zh-CN"/>
        </w:rPr>
        <w:t>未列入</w:t>
      </w:r>
      <w:r>
        <w:rPr>
          <w:rFonts w:hint="eastAsia" w:ascii="仿宋_GB2312" w:hAnsi="仿宋_GB2312" w:eastAsia="仿宋_GB2312" w:cs="仿宋_GB2312"/>
          <w:bCs/>
          <w:color w:val="auto"/>
          <w:sz w:val="21"/>
          <w:szCs w:val="21"/>
          <w:highlight w:val="none"/>
        </w:rPr>
        <w:t>政府采购严重违法失信行为记录名单</w:t>
      </w:r>
      <w:r>
        <w:rPr>
          <w:rFonts w:hint="eastAsia" w:ascii="仿宋_GB2312" w:hAnsi="仿宋_GB2312" w:eastAsia="仿宋_GB2312" w:cs="仿宋_GB2312"/>
          <w:bCs/>
          <w:color w:val="auto"/>
          <w:sz w:val="21"/>
          <w:szCs w:val="21"/>
          <w:highlight w:val="none"/>
          <w:lang w:val="en-US" w:eastAsia="zh-CN"/>
        </w:rPr>
        <w:t>且未</w:t>
      </w:r>
      <w:r>
        <w:rPr>
          <w:rFonts w:hint="eastAsia" w:ascii="仿宋_GB2312" w:hAnsi="仿宋_GB2312" w:eastAsia="仿宋_GB2312" w:cs="仿宋_GB2312"/>
          <w:bCs/>
          <w:color w:val="auto"/>
          <w:sz w:val="21"/>
          <w:szCs w:val="21"/>
          <w:highlight w:val="none"/>
        </w:rPr>
        <w:t>被财政部门禁止参加政府采购活动（处罚期限届满的除外</w:t>
      </w:r>
      <w:r>
        <w:rPr>
          <w:rFonts w:hint="eastAsia" w:ascii="仿宋_GB2312" w:hAnsi="仿宋_GB2312" w:eastAsia="仿宋_GB2312" w:cs="仿宋_GB2312"/>
          <w:bCs/>
          <w:color w:val="auto"/>
          <w:sz w:val="21"/>
          <w:szCs w:val="21"/>
          <w:highlight w:val="none"/>
          <w:lang w:eastAsia="zh-CN"/>
        </w:rPr>
        <w:t>）</w:t>
      </w:r>
      <w:r>
        <w:rPr>
          <w:rFonts w:hint="eastAsia" w:ascii="仿宋_GB2312" w:hAnsi="仿宋_GB2312" w:eastAsia="仿宋_GB2312" w:cs="仿宋_GB2312"/>
          <w:bCs/>
          <w:color w:val="auto"/>
          <w:sz w:val="21"/>
          <w:szCs w:val="21"/>
          <w:highlight w:val="none"/>
        </w:rPr>
        <w:t>。</w:t>
      </w:r>
    </w:p>
    <w:p w14:paraId="3271C7A3">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2.5政府采购应当采购本国货物、工程和服务。有特殊情形的除外，情形详见《中华人民共和国政府采购法》第十条规定。 </w:t>
      </w:r>
    </w:p>
    <w:p w14:paraId="0D8BE5EB">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10" w:name="_Toc31259"/>
      <w:bookmarkStart w:id="11" w:name="_Toc75259338"/>
      <w:r>
        <w:rPr>
          <w:rFonts w:hint="eastAsia" w:ascii="仿宋_GB2312" w:hAnsi="仿宋_GB2312" w:eastAsia="仿宋_GB2312" w:cs="仿宋_GB2312"/>
          <w:b/>
          <w:color w:val="auto"/>
          <w:sz w:val="21"/>
          <w:szCs w:val="21"/>
          <w:highlight w:val="none"/>
        </w:rPr>
        <w:t>3．合格供应商的范围</w:t>
      </w:r>
      <w:bookmarkEnd w:id="10"/>
      <w:bookmarkEnd w:id="11"/>
    </w:p>
    <w:p w14:paraId="3ACE7F5A">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3.1具有独立承担民事责任的能力；</w:t>
      </w:r>
    </w:p>
    <w:p w14:paraId="31D346EA">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3.2具有良好的商业信誉和健全的财务会计制度；</w:t>
      </w:r>
    </w:p>
    <w:p w14:paraId="1AEC1CD1">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3.3具有履行合同所必需的设备和专业技术能力；</w:t>
      </w:r>
    </w:p>
    <w:p w14:paraId="478C3D9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3.4有依法缴纳税收和社会保障资金的良好记录；</w:t>
      </w:r>
    </w:p>
    <w:p w14:paraId="5EF78EDC">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3.5参加政府采购活动前三年内，在经营活动中没有重大违法记录；</w:t>
      </w:r>
    </w:p>
    <w:p w14:paraId="23702AE9">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3.6 具备法律行政法规规定的其他条件；</w:t>
      </w:r>
    </w:p>
    <w:p w14:paraId="55BFAB75">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3.7完全满足磋商文件的实质性要求；</w:t>
      </w:r>
    </w:p>
    <w:p w14:paraId="303FA434">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3.8凡具备磋商文件要求资格，有服务能力的供应商均可参加。</w:t>
      </w:r>
    </w:p>
    <w:p w14:paraId="4B8C7E43">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12" w:name="_Toc75259339"/>
      <w:bookmarkStart w:id="13" w:name="_Toc1388"/>
      <w:r>
        <w:rPr>
          <w:rFonts w:hint="eastAsia" w:ascii="仿宋_GB2312" w:hAnsi="仿宋_GB2312" w:eastAsia="仿宋_GB2312" w:cs="仿宋_GB2312"/>
          <w:b/>
          <w:color w:val="auto"/>
          <w:sz w:val="21"/>
          <w:szCs w:val="24"/>
          <w:highlight w:val="none"/>
        </w:rPr>
        <w:t>4</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磋商代表</w:t>
      </w:r>
      <w:bookmarkEnd w:id="12"/>
      <w:bookmarkEnd w:id="13"/>
    </w:p>
    <w:p w14:paraId="2D6126F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auto"/>
          <w:sz w:val="21"/>
          <w:szCs w:val="24"/>
          <w:highlight w:val="none"/>
        </w:rPr>
      </w:pPr>
      <w:r>
        <w:rPr>
          <w:rFonts w:hint="eastAsia" w:ascii="仿宋_GB2312" w:hAnsi="仿宋_GB2312" w:eastAsia="仿宋_GB2312" w:cs="仿宋_GB2312"/>
          <w:color w:val="auto"/>
          <w:sz w:val="21"/>
          <w:szCs w:val="24"/>
          <w:highlight w:val="none"/>
        </w:rPr>
        <w:t>磋商代表必须是法定代表人或持有《法定代表人授权委托书》的被授权代表人。</w:t>
      </w:r>
    </w:p>
    <w:p w14:paraId="0A14DA0A">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14" w:name="_Toc75259340"/>
      <w:bookmarkStart w:id="15" w:name="_Toc25096"/>
      <w:r>
        <w:rPr>
          <w:rFonts w:hint="eastAsia" w:ascii="仿宋_GB2312" w:hAnsi="仿宋_GB2312" w:eastAsia="仿宋_GB2312" w:cs="仿宋_GB2312"/>
          <w:b/>
          <w:color w:val="auto"/>
          <w:sz w:val="21"/>
          <w:szCs w:val="24"/>
          <w:highlight w:val="none"/>
        </w:rPr>
        <w:t>5</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费用</w:t>
      </w:r>
      <w:bookmarkEnd w:id="14"/>
      <w:bookmarkEnd w:id="15"/>
    </w:p>
    <w:p w14:paraId="55F1ED67">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auto"/>
          <w:sz w:val="21"/>
          <w:szCs w:val="24"/>
          <w:highlight w:val="none"/>
        </w:rPr>
      </w:pPr>
      <w:r>
        <w:rPr>
          <w:rFonts w:hint="eastAsia" w:ascii="仿宋_GB2312" w:hAnsi="仿宋_GB2312" w:eastAsia="仿宋_GB2312" w:cs="仿宋_GB2312"/>
          <w:color w:val="auto"/>
          <w:sz w:val="21"/>
          <w:szCs w:val="24"/>
          <w:highlight w:val="none"/>
        </w:rPr>
        <w:t>无论磋商结果如何，供应商自行承担所有与参加磋商有关的全部费用。</w:t>
      </w:r>
    </w:p>
    <w:p w14:paraId="38EF6BD3">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16" w:name="_Toc186"/>
      <w:bookmarkStart w:id="17" w:name="_Toc75259341"/>
      <w:r>
        <w:rPr>
          <w:rFonts w:hint="eastAsia" w:ascii="仿宋_GB2312" w:hAnsi="仿宋_GB2312" w:eastAsia="仿宋_GB2312" w:cs="仿宋_GB2312"/>
          <w:b/>
          <w:color w:val="auto"/>
          <w:sz w:val="21"/>
          <w:szCs w:val="24"/>
          <w:highlight w:val="none"/>
        </w:rPr>
        <w:t>6</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响应文件</w:t>
      </w:r>
      <w:bookmarkEnd w:id="16"/>
      <w:bookmarkEnd w:id="17"/>
    </w:p>
    <w:p w14:paraId="7129052A">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6.1响应文件的组成</w:t>
      </w:r>
    </w:p>
    <w:p w14:paraId="0E9E702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bookmarkStart w:id="18" w:name="_Hlk63272456"/>
      <w:r>
        <w:rPr>
          <w:rFonts w:hint="eastAsia" w:ascii="仿宋_GB2312" w:hAnsi="仿宋_GB2312" w:eastAsia="仿宋_GB2312" w:cs="仿宋_GB2312"/>
          <w:color w:val="auto"/>
          <w:sz w:val="21"/>
          <w:szCs w:val="24"/>
          <w:highlight w:val="none"/>
        </w:rPr>
        <w:t>（1）</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rPr>
        <w:t>函；</w:t>
      </w:r>
    </w:p>
    <w:p w14:paraId="7775FF7D">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rPr>
        <w:t>（2）磋商一览表（首次）</w:t>
      </w:r>
      <w:r>
        <w:rPr>
          <w:rFonts w:hint="eastAsia" w:ascii="仿宋_GB2312" w:hAnsi="仿宋_GB2312" w:eastAsia="仿宋_GB2312" w:cs="仿宋_GB2312"/>
          <w:color w:val="auto"/>
          <w:sz w:val="21"/>
          <w:szCs w:val="24"/>
          <w:highlight w:val="none"/>
          <w:lang w:eastAsia="zh-CN"/>
        </w:rPr>
        <w:t>；</w:t>
      </w:r>
    </w:p>
    <w:p w14:paraId="75876564">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（3）法定代表人身份证明；</w:t>
      </w:r>
    </w:p>
    <w:p w14:paraId="3A8FED40">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（4）法定代表人授权委托书；</w:t>
      </w:r>
    </w:p>
    <w:p w14:paraId="12A851C6">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（5）技术部分；</w:t>
      </w:r>
    </w:p>
    <w:p w14:paraId="1BD5B7C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（6）商务部分；</w:t>
      </w:r>
    </w:p>
    <w:p w14:paraId="468A908F">
      <w:pPr>
        <w:spacing w:line="360" w:lineRule="auto"/>
        <w:ind w:firstLine="420" w:firstLineChars="200"/>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bCs/>
          <w:color w:val="auto"/>
          <w:sz w:val="21"/>
          <w:szCs w:val="24"/>
          <w:highlight w:val="none"/>
        </w:rPr>
        <w:t>（</w:t>
      </w:r>
      <w:r>
        <w:rPr>
          <w:rFonts w:hint="eastAsia" w:ascii="仿宋_GB2312" w:hAnsi="仿宋_GB2312" w:eastAsia="仿宋_GB2312" w:cs="仿宋_GB2312"/>
          <w:color w:val="auto"/>
          <w:kern w:val="2"/>
          <w:sz w:val="21"/>
          <w:szCs w:val="24"/>
          <w:highlight w:val="none"/>
          <w:lang w:val="en-US" w:eastAsia="zh-CN" w:bidi="ar-SA"/>
        </w:rPr>
        <w:t>7）供应商承诺书；</w:t>
      </w:r>
    </w:p>
    <w:p w14:paraId="34EBCF5B">
      <w:pPr>
        <w:spacing w:line="360" w:lineRule="auto"/>
        <w:ind w:firstLine="420"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Cs/>
          <w:color w:val="auto"/>
          <w:sz w:val="21"/>
          <w:szCs w:val="24"/>
          <w:highlight w:val="none"/>
          <w:lang w:eastAsia="zh-CN"/>
        </w:rPr>
        <w:t>（</w:t>
      </w:r>
      <w:r>
        <w:rPr>
          <w:rFonts w:hint="eastAsia" w:ascii="仿宋_GB2312" w:hAnsi="仿宋_GB2312" w:eastAsia="仿宋_GB2312" w:cs="仿宋_GB2312"/>
          <w:bCs/>
          <w:color w:val="auto"/>
          <w:sz w:val="21"/>
          <w:szCs w:val="24"/>
          <w:highlight w:val="none"/>
          <w:lang w:val="en-US" w:eastAsia="zh-CN"/>
        </w:rPr>
        <w:t>8</w:t>
      </w:r>
      <w:r>
        <w:rPr>
          <w:rFonts w:hint="eastAsia" w:ascii="仿宋_GB2312" w:hAnsi="仿宋_GB2312" w:eastAsia="仿宋_GB2312" w:cs="仿宋_GB2312"/>
          <w:color w:val="auto"/>
          <w:kern w:val="2"/>
          <w:sz w:val="21"/>
          <w:szCs w:val="24"/>
          <w:highlight w:val="none"/>
          <w:lang w:val="en-US" w:eastAsia="zh-CN" w:bidi="ar-SA"/>
        </w:rPr>
        <w:t>）陕西省政府采购供应商拒绝政府采购领域商业贿赂承诺书；</w:t>
      </w:r>
    </w:p>
    <w:p w14:paraId="57D7D5F9">
      <w:pPr>
        <w:spacing w:line="360" w:lineRule="auto"/>
        <w:ind w:firstLine="420" w:firstLineChars="20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bCs/>
          <w:color w:val="auto"/>
          <w:sz w:val="21"/>
          <w:szCs w:val="24"/>
          <w:highlight w:val="none"/>
          <w:lang w:eastAsia="zh-CN"/>
        </w:rPr>
        <w:t>（</w:t>
      </w:r>
      <w:r>
        <w:rPr>
          <w:rFonts w:hint="eastAsia" w:ascii="仿宋_GB2312" w:hAnsi="仿宋_GB2312" w:eastAsia="仿宋_GB2312" w:cs="仿宋_GB2312"/>
          <w:bCs/>
          <w:color w:val="auto"/>
          <w:sz w:val="21"/>
          <w:szCs w:val="24"/>
          <w:highlight w:val="none"/>
          <w:lang w:val="en-US" w:eastAsia="zh-CN"/>
        </w:rPr>
        <w:t>9</w:t>
      </w:r>
      <w:r>
        <w:rPr>
          <w:rFonts w:hint="eastAsia" w:ascii="仿宋_GB2312" w:hAnsi="仿宋_GB2312" w:eastAsia="仿宋_GB2312" w:cs="仿宋_GB2312"/>
          <w:color w:val="auto"/>
          <w:kern w:val="2"/>
          <w:sz w:val="21"/>
          <w:szCs w:val="24"/>
          <w:highlight w:val="none"/>
          <w:lang w:val="en-US" w:eastAsia="zh-CN" w:bidi="ar-SA"/>
        </w:rPr>
        <w:t>）资格审查资料</w:t>
      </w:r>
    </w:p>
    <w:p w14:paraId="6F67CFDC">
      <w:pPr>
        <w:spacing w:line="360" w:lineRule="auto"/>
        <w:ind w:firstLine="420" w:firstLineChars="200"/>
        <w:rPr>
          <w:rFonts w:hint="eastAsia" w:ascii="仿宋_GB2312" w:hAnsi="仿宋_GB2312" w:eastAsia="仿宋_GB2312" w:cs="仿宋_GB2312"/>
          <w:bCs/>
          <w:color w:val="auto"/>
          <w:sz w:val="21"/>
          <w:szCs w:val="24"/>
          <w:highlight w:val="none"/>
        </w:rPr>
      </w:pPr>
      <w:r>
        <w:rPr>
          <w:rFonts w:hint="eastAsia" w:ascii="仿宋_GB2312" w:hAnsi="仿宋_GB2312" w:eastAsia="仿宋_GB2312" w:cs="仿宋_GB2312"/>
          <w:color w:val="auto"/>
          <w:kern w:val="2"/>
          <w:sz w:val="21"/>
          <w:szCs w:val="24"/>
          <w:highlight w:val="none"/>
          <w:lang w:val="en-US" w:eastAsia="zh-CN" w:bidi="ar-SA"/>
        </w:rPr>
        <w:t>（10）</w:t>
      </w:r>
      <w:r>
        <w:rPr>
          <w:rFonts w:hint="eastAsia" w:ascii="仿宋_GB2312" w:hAnsi="仿宋_GB2312" w:eastAsia="仿宋_GB2312" w:cs="仿宋_GB2312"/>
          <w:bCs/>
          <w:color w:val="auto"/>
          <w:sz w:val="21"/>
          <w:szCs w:val="24"/>
          <w:highlight w:val="none"/>
        </w:rPr>
        <w:t>其</w:t>
      </w:r>
      <w:r>
        <w:rPr>
          <w:rFonts w:hint="eastAsia" w:ascii="仿宋_GB2312" w:hAnsi="仿宋_GB2312" w:eastAsia="仿宋_GB2312" w:cs="仿宋_GB2312"/>
          <w:bCs/>
          <w:color w:val="auto"/>
          <w:sz w:val="21"/>
          <w:szCs w:val="24"/>
          <w:highlight w:val="none"/>
          <w:lang w:eastAsia="zh-CN"/>
        </w:rPr>
        <w:t>它</w:t>
      </w:r>
      <w:r>
        <w:rPr>
          <w:rFonts w:hint="eastAsia" w:ascii="仿宋_GB2312" w:hAnsi="仿宋_GB2312" w:eastAsia="仿宋_GB2312" w:cs="仿宋_GB2312"/>
          <w:bCs/>
          <w:color w:val="auto"/>
          <w:sz w:val="21"/>
          <w:szCs w:val="24"/>
          <w:highlight w:val="none"/>
        </w:rPr>
        <w:t>材料</w:t>
      </w:r>
    </w:p>
    <w:bookmarkEnd w:id="18"/>
    <w:p w14:paraId="5C3987AE">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 xml:space="preserve"> 6.2响应文件编制要求</w:t>
      </w:r>
    </w:p>
    <w:p w14:paraId="31C456B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（1）响应文件按6.1顺序组成，装订成册，</w:t>
      </w:r>
      <w:r>
        <w:rPr>
          <w:rFonts w:hint="eastAsia" w:ascii="仿宋_GB2312" w:hAnsi="仿宋_GB2312" w:eastAsia="仿宋_GB2312" w:cs="仿宋_GB2312"/>
          <w:b/>
          <w:color w:val="auto"/>
          <w:sz w:val="21"/>
          <w:szCs w:val="24"/>
          <w:highlight w:val="none"/>
        </w:rPr>
        <w:t>供应商应</w:t>
      </w:r>
      <w:bookmarkStart w:id="19" w:name="_Hlk74733354"/>
      <w:r>
        <w:rPr>
          <w:rFonts w:hint="eastAsia" w:ascii="仿宋_GB2312" w:hAnsi="仿宋_GB2312" w:eastAsia="仿宋_GB2312" w:cs="仿宋_GB2312"/>
          <w:b/>
          <w:color w:val="auto"/>
          <w:sz w:val="21"/>
          <w:szCs w:val="24"/>
          <w:highlight w:val="none"/>
        </w:rPr>
        <w:t>按标包分别制作响应文件</w:t>
      </w:r>
      <w:bookmarkEnd w:id="19"/>
      <w:r>
        <w:rPr>
          <w:rFonts w:hint="eastAsia" w:ascii="仿宋_GB2312" w:hAnsi="仿宋_GB2312" w:eastAsia="仿宋_GB2312" w:cs="仿宋_GB2312"/>
          <w:color w:val="auto"/>
          <w:sz w:val="21"/>
          <w:szCs w:val="24"/>
          <w:highlight w:val="none"/>
        </w:rPr>
        <w:t>。</w:t>
      </w:r>
    </w:p>
    <w:p w14:paraId="5AD8232A">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（2）响应文件</w:t>
      </w:r>
      <w:r>
        <w:rPr>
          <w:rFonts w:hint="eastAsia" w:ascii="仿宋_GB2312" w:hAnsi="仿宋_GB2312" w:eastAsia="仿宋_GB2312" w:cs="仿宋_GB2312"/>
          <w:b/>
          <w:bCs/>
          <w:color w:val="auto"/>
          <w:sz w:val="21"/>
          <w:szCs w:val="24"/>
          <w:highlight w:val="none"/>
        </w:rPr>
        <w:t>正本一份</w:t>
      </w:r>
      <w:r>
        <w:rPr>
          <w:rFonts w:hint="eastAsia" w:ascii="仿宋_GB2312" w:hAnsi="仿宋_GB2312" w:eastAsia="仿宋_GB2312" w:cs="仿宋_GB2312"/>
          <w:b/>
          <w:bCs/>
          <w:color w:val="auto"/>
          <w:sz w:val="21"/>
          <w:szCs w:val="24"/>
          <w:highlight w:val="none"/>
          <w:lang w:eastAsia="zh-CN"/>
        </w:rPr>
        <w:t>，</w:t>
      </w:r>
      <w:r>
        <w:rPr>
          <w:rFonts w:hint="eastAsia" w:ascii="仿宋_GB2312" w:hAnsi="仿宋_GB2312" w:eastAsia="仿宋_GB2312" w:cs="仿宋_GB2312"/>
          <w:b/>
          <w:bCs/>
          <w:color w:val="auto"/>
          <w:sz w:val="21"/>
          <w:szCs w:val="24"/>
          <w:highlight w:val="none"/>
          <w:lang w:val="en-US" w:eastAsia="zh-CN"/>
        </w:rPr>
        <w:t>副本一份。</w:t>
      </w:r>
      <w:r>
        <w:rPr>
          <w:rFonts w:hint="eastAsia" w:ascii="仿宋_GB2312" w:hAnsi="仿宋_GB2312" w:eastAsia="仿宋_GB2312" w:cs="仿宋_GB2312"/>
          <w:color w:val="auto"/>
          <w:sz w:val="21"/>
          <w:szCs w:val="24"/>
          <w:highlight w:val="none"/>
        </w:rPr>
        <w:t>以正本为准。响应文件应字迹清楚、内容齐全、数字准确、不应有涂改增删处。如修改时，修改处须有法定代表人或授权代表签字</w:t>
      </w:r>
      <w:r>
        <w:rPr>
          <w:rFonts w:hint="eastAsia" w:ascii="仿宋_GB2312" w:hAnsi="仿宋_GB2312" w:eastAsia="仿宋_GB2312" w:cs="仿宋_GB2312"/>
          <w:color w:val="auto"/>
          <w:sz w:val="21"/>
          <w:szCs w:val="24"/>
          <w:highlight w:val="none"/>
          <w:lang w:val="en-US" w:eastAsia="zh-CN"/>
        </w:rPr>
        <w:t>并加盖供应商公章</w:t>
      </w:r>
      <w:r>
        <w:rPr>
          <w:rFonts w:hint="eastAsia" w:ascii="仿宋_GB2312" w:hAnsi="仿宋_GB2312" w:eastAsia="仿宋_GB2312" w:cs="仿宋_GB2312"/>
          <w:color w:val="auto"/>
          <w:sz w:val="21"/>
          <w:szCs w:val="24"/>
          <w:highlight w:val="none"/>
        </w:rPr>
        <w:t>。</w:t>
      </w:r>
    </w:p>
    <w:p w14:paraId="10CB932E">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3</w:t>
      </w:r>
      <w:r>
        <w:rPr>
          <w:rFonts w:hint="eastAsia" w:ascii="仿宋_GB2312" w:hAnsi="仿宋_GB2312" w:eastAsia="仿宋_GB2312" w:cs="仿宋_GB2312"/>
          <w:color w:val="auto"/>
          <w:sz w:val="21"/>
          <w:szCs w:val="24"/>
          <w:highlight w:val="none"/>
        </w:rPr>
        <w:t>）响应文件的正本必须</w:t>
      </w:r>
      <w:r>
        <w:rPr>
          <w:rFonts w:hint="eastAsia" w:ascii="仿宋_GB2312" w:hAnsi="仿宋_GB2312" w:eastAsia="仿宋_GB2312" w:cs="仿宋_GB2312"/>
          <w:color w:val="auto"/>
          <w:sz w:val="21"/>
          <w:szCs w:val="24"/>
          <w:highlight w:val="none"/>
          <w:lang w:eastAsia="zh-CN"/>
        </w:rPr>
        <w:t>逐页加盖</w:t>
      </w:r>
      <w:r>
        <w:rPr>
          <w:rFonts w:hint="eastAsia" w:ascii="仿宋_GB2312" w:hAnsi="仿宋_GB2312" w:eastAsia="仿宋_GB2312" w:cs="仿宋_GB2312"/>
          <w:color w:val="auto"/>
          <w:sz w:val="21"/>
          <w:szCs w:val="24"/>
          <w:highlight w:val="none"/>
        </w:rPr>
        <w:t>供应商</w:t>
      </w:r>
      <w:r>
        <w:rPr>
          <w:rFonts w:hint="eastAsia" w:ascii="仿宋_GB2312" w:hAnsi="仿宋_GB2312" w:eastAsia="仿宋_GB2312" w:cs="仿宋_GB2312"/>
          <w:color w:val="auto"/>
          <w:sz w:val="21"/>
          <w:szCs w:val="24"/>
          <w:highlight w:val="none"/>
          <w:lang w:eastAsia="zh-CN"/>
        </w:rPr>
        <w:t>鲜</w:t>
      </w:r>
      <w:r>
        <w:rPr>
          <w:rFonts w:hint="eastAsia" w:ascii="仿宋_GB2312" w:hAnsi="仿宋_GB2312" w:eastAsia="仿宋_GB2312" w:cs="仿宋_GB2312"/>
          <w:color w:val="auto"/>
          <w:sz w:val="21"/>
          <w:szCs w:val="24"/>
          <w:highlight w:val="none"/>
        </w:rPr>
        <w:t>章</w:t>
      </w:r>
      <w:r>
        <w:rPr>
          <w:rFonts w:hint="eastAsia" w:ascii="仿宋_GB2312" w:hAnsi="仿宋_GB2312" w:eastAsia="仿宋_GB2312" w:cs="仿宋_GB2312"/>
          <w:color w:val="auto"/>
          <w:sz w:val="21"/>
          <w:szCs w:val="24"/>
          <w:highlight w:val="none"/>
          <w:lang w:eastAsia="zh-CN"/>
        </w:rPr>
        <w:t>，并</w:t>
      </w:r>
      <w:r>
        <w:rPr>
          <w:rFonts w:hint="eastAsia" w:ascii="仿宋_GB2312" w:hAnsi="仿宋_GB2312" w:eastAsia="仿宋_GB2312" w:cs="仿宋_GB2312"/>
          <w:color w:val="auto"/>
          <w:sz w:val="21"/>
          <w:szCs w:val="24"/>
          <w:highlight w:val="none"/>
        </w:rPr>
        <w:t>在需要签字处签字及加盖公章处加盖供应商</w:t>
      </w:r>
      <w:r>
        <w:rPr>
          <w:rFonts w:hint="eastAsia" w:ascii="仿宋_GB2312" w:hAnsi="仿宋_GB2312" w:eastAsia="仿宋_GB2312" w:cs="仿宋_GB2312"/>
          <w:color w:val="auto"/>
          <w:sz w:val="21"/>
          <w:szCs w:val="24"/>
          <w:highlight w:val="none"/>
          <w:lang w:eastAsia="zh-CN"/>
        </w:rPr>
        <w:t>鲜</w:t>
      </w:r>
      <w:r>
        <w:rPr>
          <w:rFonts w:hint="eastAsia" w:ascii="仿宋_GB2312" w:hAnsi="仿宋_GB2312" w:eastAsia="仿宋_GB2312" w:cs="仿宋_GB2312"/>
          <w:color w:val="auto"/>
          <w:sz w:val="21"/>
          <w:szCs w:val="24"/>
          <w:highlight w:val="none"/>
        </w:rPr>
        <w:t>章。</w:t>
      </w:r>
    </w:p>
    <w:p w14:paraId="0ECC9EF7">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4</w:t>
      </w:r>
      <w:r>
        <w:rPr>
          <w:rFonts w:hint="eastAsia" w:ascii="仿宋_GB2312" w:hAnsi="仿宋_GB2312" w:eastAsia="仿宋_GB2312" w:cs="仿宋_GB2312"/>
          <w:color w:val="auto"/>
          <w:sz w:val="21"/>
          <w:szCs w:val="24"/>
          <w:highlight w:val="none"/>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0B219C6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6.3响应文件必须在磋商文件规定的时间内送达磋商地点，逾期送达的文件将不被接收。</w:t>
      </w:r>
    </w:p>
    <w:p w14:paraId="72929A4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6.4供应商应按竞争性磋商文件要求制作响应文件，响应文件</w:t>
      </w:r>
      <w:bookmarkStart w:id="20" w:name="_Hlk63417551"/>
      <w:r>
        <w:rPr>
          <w:rFonts w:hint="eastAsia" w:ascii="仿宋_GB2312" w:hAnsi="仿宋_GB2312" w:eastAsia="仿宋_GB2312" w:cs="仿宋_GB2312"/>
          <w:color w:val="auto"/>
          <w:szCs w:val="24"/>
          <w:highlight w:val="none"/>
        </w:rPr>
        <w:t>正本一份</w:t>
      </w:r>
      <w:bookmarkEnd w:id="20"/>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副本一份</w:t>
      </w:r>
      <w:r>
        <w:rPr>
          <w:rFonts w:hint="eastAsia" w:ascii="仿宋_GB2312" w:hAnsi="仿宋_GB2312" w:eastAsia="仿宋_GB2312" w:cs="仿宋_GB2312"/>
          <w:color w:val="auto"/>
          <w:szCs w:val="24"/>
          <w:highlight w:val="none"/>
          <w:lang w:eastAsia="zh-CN"/>
        </w:rPr>
        <w:t>。</w:t>
      </w:r>
    </w:p>
    <w:p w14:paraId="55A0A58F">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6.5磋商时提供的资格证明文件应包括：</w:t>
      </w:r>
    </w:p>
    <w:p w14:paraId="3D2A6983">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 xml:space="preserve">第一部分 竞争性磋商公告 </w:t>
      </w:r>
      <w:r>
        <w:rPr>
          <w:rFonts w:hint="eastAsia" w:ascii="仿宋_GB2312" w:hAnsi="仿宋_GB2312" w:eastAsia="仿宋_GB2312" w:cs="仿宋_GB2312"/>
          <w:i w:val="0"/>
          <w:iCs w:val="0"/>
          <w:caps w:val="0"/>
          <w:color w:val="auto"/>
          <w:spacing w:val="0"/>
          <w:sz w:val="21"/>
          <w:szCs w:val="21"/>
          <w:shd w:val="clear" w:fill="FFFFFF"/>
        </w:rPr>
        <w:t>本项目的特定资格要求</w:t>
      </w:r>
      <w:r>
        <w:rPr>
          <w:rFonts w:hint="eastAsia" w:ascii="仿宋_GB2312" w:hAnsi="仿宋_GB2312" w:eastAsia="仿宋_GB2312" w:cs="仿宋_GB2312"/>
          <w:i w:val="0"/>
          <w:iCs w:val="0"/>
          <w:caps w:val="0"/>
          <w:color w:val="auto"/>
          <w:spacing w:val="0"/>
          <w:sz w:val="21"/>
          <w:szCs w:val="21"/>
          <w:shd w:val="clear" w:fill="FFFFFF"/>
          <w:lang w:eastAsia="zh-CN"/>
        </w:rPr>
        <w:t>，</w:t>
      </w:r>
      <w:r>
        <w:rPr>
          <w:rFonts w:hint="eastAsia" w:ascii="仿宋_GB2312" w:hAnsi="仿宋_GB2312" w:eastAsia="仿宋_GB2312" w:cs="仿宋_GB2312"/>
          <w:b w:val="0"/>
          <w:color w:val="auto"/>
          <w:sz w:val="21"/>
          <w:szCs w:val="21"/>
          <w:highlight w:val="none"/>
          <w:lang w:val="en-US" w:eastAsia="zh-CN"/>
        </w:rPr>
        <w:t>第</w:t>
      </w:r>
      <w:r>
        <w:rPr>
          <w:rFonts w:hint="eastAsia" w:ascii="仿宋_GB2312" w:hAnsi="仿宋_GB2312" w:eastAsia="仿宋_GB2312" w:cs="仿宋_GB2312"/>
          <w:b w:val="0"/>
          <w:color w:val="auto"/>
          <w:sz w:val="21"/>
          <w:szCs w:val="21"/>
          <w:highlight w:val="none"/>
        </w:rPr>
        <w:t>二</w:t>
      </w:r>
      <w:r>
        <w:rPr>
          <w:rFonts w:hint="eastAsia" w:ascii="仿宋_GB2312" w:hAnsi="仿宋_GB2312" w:eastAsia="仿宋_GB2312" w:cs="仿宋_GB2312"/>
          <w:b w:val="0"/>
          <w:color w:val="auto"/>
          <w:sz w:val="21"/>
          <w:szCs w:val="21"/>
          <w:highlight w:val="none"/>
          <w:lang w:val="en-US" w:eastAsia="zh-CN"/>
        </w:rPr>
        <w:t>部分 供应商特定资格要求。</w:t>
      </w:r>
    </w:p>
    <w:p w14:paraId="3987E2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以上资格证明材料需在</w:t>
      </w:r>
      <w:r>
        <w:rPr>
          <w:rFonts w:hint="eastAsia" w:ascii="仿宋_GB2312" w:hAnsi="仿宋_GB2312" w:eastAsia="仿宋_GB2312" w:cs="仿宋_GB2312"/>
          <w:color w:val="auto"/>
          <w:szCs w:val="24"/>
          <w:highlight w:val="none"/>
          <w:lang w:val="en-US" w:eastAsia="zh-CN"/>
        </w:rPr>
        <w:t>开标时提供</w:t>
      </w:r>
      <w:r>
        <w:rPr>
          <w:rFonts w:hint="eastAsia" w:ascii="仿宋_GB2312" w:hAnsi="仿宋_GB2312" w:eastAsia="仿宋_GB2312" w:cs="仿宋_GB2312"/>
          <w:b/>
          <w:color w:val="auto"/>
          <w:szCs w:val="24"/>
          <w:highlight w:val="none"/>
        </w:rPr>
        <w:t>清晰、可见</w:t>
      </w:r>
      <w:r>
        <w:rPr>
          <w:rFonts w:hint="eastAsia" w:ascii="仿宋_GB2312" w:hAnsi="仿宋_GB2312" w:eastAsia="仿宋_GB2312" w:cs="仿宋_GB2312"/>
          <w:b/>
          <w:color w:val="auto"/>
          <w:szCs w:val="24"/>
          <w:highlight w:val="none"/>
          <w:lang w:eastAsia="zh-CN"/>
        </w:rPr>
        <w:t>，</w:t>
      </w:r>
      <w:r>
        <w:rPr>
          <w:rFonts w:hint="eastAsia" w:ascii="仿宋_GB2312" w:hAnsi="仿宋_GB2312" w:eastAsia="仿宋_GB2312" w:cs="仿宋_GB2312"/>
          <w:b/>
          <w:color w:val="auto"/>
          <w:szCs w:val="24"/>
          <w:highlight w:val="none"/>
        </w:rPr>
        <w:t>加盖公章的复印件</w:t>
      </w:r>
      <w:r>
        <w:rPr>
          <w:rFonts w:hint="eastAsia" w:ascii="仿宋_GB2312" w:hAnsi="仿宋_GB2312" w:eastAsia="仿宋_GB2312" w:cs="仿宋_GB2312"/>
          <w:b/>
          <w:color w:val="auto"/>
          <w:szCs w:val="24"/>
          <w:highlight w:val="none"/>
          <w:lang w:val="en-US" w:eastAsia="zh-CN"/>
        </w:rPr>
        <w:t>并胶装以便采购人或评标专家进行资格审查</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b/>
          <w:color w:val="auto"/>
          <w:szCs w:val="24"/>
          <w:highlight w:val="none"/>
          <w:lang w:val="en-US" w:eastAsia="zh-CN"/>
        </w:rPr>
        <w:t>若</w:t>
      </w:r>
      <w:r>
        <w:rPr>
          <w:rFonts w:hint="eastAsia" w:ascii="仿宋_GB2312" w:hAnsi="仿宋_GB2312" w:eastAsia="仿宋_GB2312" w:cs="仿宋_GB2312"/>
          <w:b/>
          <w:color w:val="auto"/>
          <w:szCs w:val="24"/>
          <w:highlight w:val="none"/>
        </w:rPr>
        <w:t>资料内容模糊不清造成对供应商不利的</w:t>
      </w:r>
      <w:r>
        <w:rPr>
          <w:rFonts w:hint="eastAsia" w:ascii="仿宋_GB2312" w:hAnsi="仿宋_GB2312" w:eastAsia="仿宋_GB2312" w:cs="仿宋_GB2312"/>
          <w:b/>
          <w:color w:val="auto"/>
          <w:szCs w:val="24"/>
          <w:highlight w:val="none"/>
          <w:lang w:val="en-US" w:eastAsia="zh-CN"/>
        </w:rPr>
        <w:t>后果</w:t>
      </w:r>
      <w:r>
        <w:rPr>
          <w:rFonts w:hint="eastAsia" w:ascii="仿宋_GB2312" w:hAnsi="仿宋_GB2312" w:eastAsia="仿宋_GB2312" w:cs="仿宋_GB2312"/>
          <w:b/>
          <w:color w:val="auto"/>
          <w:szCs w:val="24"/>
          <w:highlight w:val="none"/>
        </w:rPr>
        <w:t>由供应商自负</w:t>
      </w:r>
      <w:r>
        <w:rPr>
          <w:rFonts w:hint="eastAsia" w:ascii="仿宋_GB2312" w:hAnsi="仿宋_GB2312" w:eastAsia="仿宋_GB2312" w:cs="仿宋_GB2312"/>
          <w:color w:val="auto"/>
          <w:szCs w:val="24"/>
          <w:highlight w:val="none"/>
        </w:rPr>
        <w:t>，若供应商资格证明材料不符合要求，将按无效响应处理，不进入下一评审环节。</w:t>
      </w:r>
    </w:p>
    <w:p w14:paraId="066935E4">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1" w:name="_Toc75259342"/>
      <w:bookmarkStart w:id="22" w:name="_Toc13957"/>
      <w:r>
        <w:rPr>
          <w:rFonts w:hint="eastAsia" w:ascii="仿宋_GB2312" w:hAnsi="仿宋_GB2312" w:eastAsia="仿宋_GB2312" w:cs="仿宋_GB2312"/>
          <w:b/>
          <w:color w:val="auto"/>
          <w:sz w:val="21"/>
          <w:szCs w:val="24"/>
          <w:highlight w:val="none"/>
        </w:rPr>
        <w:t>7</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磋商保证金</w:t>
      </w:r>
      <w:bookmarkEnd w:id="21"/>
      <w:bookmarkEnd w:id="22"/>
    </w:p>
    <w:p w14:paraId="782F63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0"/>
          <w:highlight w:val="none"/>
        </w:rPr>
        <w:t xml:space="preserve">7.1 </w:t>
      </w:r>
      <w:r>
        <w:rPr>
          <w:rFonts w:hint="eastAsia" w:ascii="仿宋_GB2312" w:hAnsi="仿宋_GB2312" w:eastAsia="仿宋_GB2312" w:cs="仿宋_GB2312"/>
          <w:color w:val="auto"/>
          <w:highlight w:val="none"/>
        </w:rPr>
        <w:t>磋商保证金金额：</w:t>
      </w:r>
      <w:r>
        <w:rPr>
          <w:rFonts w:hint="eastAsia" w:ascii="仿宋_GB2312" w:hAnsi="仿宋_GB2312" w:eastAsia="仿宋_GB2312" w:cs="仿宋_GB2312"/>
          <w:b/>
          <w:color w:val="auto"/>
          <w:highlight w:val="none"/>
        </w:rPr>
        <w:t>人民币</w:t>
      </w:r>
      <w:r>
        <w:rPr>
          <w:rFonts w:hint="eastAsia" w:ascii="仿宋_GB2312" w:hAnsi="仿宋_GB2312" w:eastAsia="仿宋_GB2312" w:cs="仿宋_GB2312"/>
          <w:b/>
          <w:color w:val="auto"/>
          <w:highlight w:val="none"/>
          <w:lang w:val="en-US" w:eastAsia="zh-CN"/>
        </w:rPr>
        <w:t>伍仟元整</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b/>
          <w:color w:val="auto"/>
          <w:highlight w:val="none"/>
          <w:lang w:val="en-US" w:eastAsia="zh-CN"/>
        </w:rPr>
        <w:t>5000.00元</w:t>
      </w:r>
      <w:r>
        <w:rPr>
          <w:rFonts w:hint="eastAsia" w:ascii="仿宋_GB2312" w:hAnsi="仿宋_GB2312" w:eastAsia="仿宋_GB2312" w:cs="仿宋_GB2312"/>
          <w:b/>
          <w:color w:val="auto"/>
          <w:highlight w:val="none"/>
          <w:lang w:eastAsia="zh-CN"/>
        </w:rPr>
        <w:t>）</w:t>
      </w:r>
      <w:r>
        <w:rPr>
          <w:rFonts w:hint="eastAsia" w:ascii="仿宋_GB2312" w:hAnsi="仿宋_GB2312" w:eastAsia="仿宋_GB2312" w:cs="仿宋_GB2312"/>
          <w:color w:val="auto"/>
          <w:highlight w:val="none"/>
        </w:rPr>
        <w:t>。</w:t>
      </w:r>
    </w:p>
    <w:p w14:paraId="7CCFAFA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7.2 磋商保证金</w:t>
      </w:r>
      <w:r>
        <w:rPr>
          <w:rFonts w:hint="eastAsia" w:ascii="仿宋_GB2312" w:hAnsi="仿宋_GB2312" w:eastAsia="仿宋_GB2312" w:cs="仿宋_GB2312"/>
          <w:color w:val="auto"/>
          <w:kern w:val="0"/>
          <w:highlight w:val="none"/>
          <w:lang w:val="en-US" w:eastAsia="zh-CN"/>
        </w:rPr>
        <w:t>缴纳方式</w:t>
      </w:r>
      <w:r>
        <w:rPr>
          <w:rFonts w:hint="eastAsia" w:ascii="仿宋_GB2312" w:hAnsi="仿宋_GB2312" w:eastAsia="仿宋_GB2312" w:cs="仿宋_GB2312"/>
          <w:color w:val="auto"/>
          <w:kern w:val="0"/>
          <w:highlight w:val="none"/>
        </w:rPr>
        <w:t>：支票、汇票、本票或者金融机构、担保机构出具的保函等非现金形式提交。除保函外，其他形式提交的磋商保证金应从供应商</w:t>
      </w:r>
      <w:r>
        <w:rPr>
          <w:rFonts w:hint="eastAsia" w:ascii="仿宋_GB2312" w:hAnsi="仿宋_GB2312" w:eastAsia="仿宋_GB2312" w:cs="仿宋_GB2312"/>
          <w:color w:val="auto"/>
          <w:kern w:val="0"/>
          <w:highlight w:val="none"/>
          <w:lang w:eastAsia="zh-CN"/>
        </w:rPr>
        <w:t>账户</w:t>
      </w:r>
      <w:r>
        <w:rPr>
          <w:rFonts w:hint="eastAsia" w:ascii="仿宋_GB2312" w:hAnsi="仿宋_GB2312" w:eastAsia="仿宋_GB2312" w:cs="仿宋_GB2312"/>
          <w:color w:val="auto"/>
          <w:kern w:val="0"/>
          <w:highlight w:val="none"/>
        </w:rPr>
        <w:t>转出，供应商须将</w:t>
      </w:r>
      <w:r>
        <w:rPr>
          <w:rFonts w:hint="eastAsia" w:ascii="仿宋_GB2312" w:hAnsi="仿宋_GB2312" w:eastAsia="仿宋_GB2312" w:cs="仿宋_GB2312"/>
          <w:color w:val="auto"/>
          <w:kern w:val="0"/>
          <w:highlight w:val="none"/>
          <w:lang w:val="en-US" w:eastAsia="zh-CN"/>
        </w:rPr>
        <w:t>缴</w:t>
      </w:r>
      <w:r>
        <w:rPr>
          <w:rFonts w:hint="eastAsia" w:ascii="仿宋_GB2312" w:hAnsi="仿宋_GB2312" w:eastAsia="仿宋_GB2312" w:cs="仿宋_GB2312"/>
          <w:color w:val="auto"/>
          <w:kern w:val="0"/>
          <w:highlight w:val="none"/>
        </w:rPr>
        <w:t>款凭证复印件（电汇或转账回单）装订在响应文件中，以银行保函方式递交保证金的，出具保函的银行须为其账户开户银行（若其账户开户银行没有出具保函的权限，可由该银行的上一级银行出具保函，并做出相应说明）。</w:t>
      </w:r>
    </w:p>
    <w:p w14:paraId="5CF754F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highlight w:val="none"/>
        </w:rPr>
      </w:pPr>
      <w:r>
        <w:rPr>
          <w:rFonts w:hint="eastAsia" w:ascii="仿宋_GB2312" w:hAnsi="仿宋_GB2312" w:eastAsia="仿宋_GB2312" w:cs="仿宋_GB2312"/>
          <w:color w:val="auto"/>
          <w:kern w:val="0"/>
          <w:highlight w:val="none"/>
        </w:rPr>
        <w:t>7.3 磋商保证金缴纳账户信息：</w:t>
      </w:r>
    </w:p>
    <w:p w14:paraId="7C8CF86D">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lang w:eastAsia="zh-CN"/>
        </w:rPr>
      </w:pPr>
      <w:r>
        <w:rPr>
          <w:rFonts w:hint="eastAsia" w:ascii="仿宋_GB2312" w:hAnsi="仿宋_GB2312" w:eastAsia="仿宋_GB2312" w:cs="仿宋_GB2312"/>
          <w:b/>
          <w:bCs/>
          <w:color w:val="auto"/>
          <w:kern w:val="0"/>
          <w:highlight w:val="none"/>
        </w:rPr>
        <w:t>收款单位：</w:t>
      </w:r>
      <w:r>
        <w:rPr>
          <w:rFonts w:hint="eastAsia" w:ascii="仿宋_GB2312" w:hAnsi="仿宋_GB2312" w:eastAsia="仿宋_GB2312" w:cs="仿宋_GB2312"/>
          <w:b/>
          <w:bCs/>
          <w:color w:val="auto"/>
          <w:kern w:val="0"/>
          <w:highlight w:val="none"/>
          <w:lang w:val="en-US" w:eastAsia="zh-CN"/>
        </w:rPr>
        <w:t>陕西辰云项目管理有限公司</w:t>
      </w:r>
    </w:p>
    <w:p w14:paraId="4CD6B61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rPr>
      </w:pPr>
      <w:r>
        <w:rPr>
          <w:rFonts w:hint="eastAsia" w:ascii="仿宋_GB2312" w:hAnsi="仿宋_GB2312" w:eastAsia="仿宋_GB2312" w:cs="仿宋_GB2312"/>
          <w:b/>
          <w:bCs/>
          <w:color w:val="auto"/>
          <w:kern w:val="0"/>
          <w:highlight w:val="none"/>
        </w:rPr>
        <w:t>开户银行：</w:t>
      </w:r>
      <w:r>
        <w:rPr>
          <w:rFonts w:hint="eastAsia" w:ascii="仿宋_GB2312" w:hAnsi="仿宋_GB2312" w:eastAsia="仿宋_GB2312" w:cs="仿宋_GB2312"/>
          <w:b/>
          <w:bCs/>
          <w:color w:val="auto"/>
          <w:kern w:val="0"/>
          <w:highlight w:val="none"/>
          <w:lang w:val="en-US" w:eastAsia="zh-CN"/>
        </w:rPr>
        <w:t>中国银行股份有限公司延安枣园路支行</w:t>
      </w:r>
    </w:p>
    <w:p w14:paraId="591EB800">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bCs/>
          <w:color w:val="auto"/>
          <w:kern w:val="0"/>
          <w:highlight w:val="none"/>
        </w:rPr>
      </w:pPr>
      <w:r>
        <w:rPr>
          <w:rFonts w:hint="eastAsia" w:ascii="仿宋_GB2312" w:hAnsi="仿宋_GB2312" w:eastAsia="仿宋_GB2312" w:cs="仿宋_GB2312"/>
          <w:b/>
          <w:bCs/>
          <w:color w:val="auto"/>
          <w:kern w:val="0"/>
          <w:highlight w:val="none"/>
        </w:rPr>
        <w:t>账    号：102511009635</w:t>
      </w:r>
    </w:p>
    <w:p w14:paraId="5C95E5AE">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7.4 供应商不按要求提交磋商保证金的，按无效</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rPr>
        <w:t>处理。</w:t>
      </w:r>
    </w:p>
    <w:p w14:paraId="6E19EC32">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7.5 自成交通知书发出之日起5个工作日内退还未成交供应商的磋商保证金，自政府采购合同签订之日起5个工作日内退还成交供应商的磋商保证金。</w:t>
      </w:r>
    </w:p>
    <w:p w14:paraId="60B01DA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7.6 有下列情形之一的，磋商保证金将不予退还：</w:t>
      </w:r>
    </w:p>
    <w:p w14:paraId="75248D25">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（1）供应商在提交响应文件截止时间后撤回响应文件的；</w:t>
      </w:r>
    </w:p>
    <w:p w14:paraId="3D41B48E">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（2）供应商在响应文件中提供虚假材料的；</w:t>
      </w:r>
    </w:p>
    <w:p w14:paraId="4535208F">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lang w:eastAsia="zh-CN"/>
        </w:rPr>
        <w:t>（</w:t>
      </w:r>
      <w:r>
        <w:rPr>
          <w:rFonts w:hint="eastAsia" w:ascii="仿宋_GB2312" w:hAnsi="仿宋_GB2312" w:eastAsia="仿宋_GB2312" w:cs="仿宋_GB2312"/>
          <w:color w:val="auto"/>
          <w:sz w:val="21"/>
          <w:szCs w:val="24"/>
          <w:highlight w:val="none"/>
          <w:lang w:val="en-US" w:eastAsia="zh-CN"/>
        </w:rPr>
        <w:t>3</w:t>
      </w:r>
      <w:r>
        <w:rPr>
          <w:rFonts w:hint="eastAsia" w:ascii="仿宋_GB2312" w:hAnsi="仿宋_GB2312" w:eastAsia="仿宋_GB2312" w:cs="仿宋_GB2312"/>
          <w:color w:val="auto"/>
          <w:sz w:val="21"/>
          <w:szCs w:val="24"/>
          <w:highlight w:val="none"/>
          <w:lang w:eastAsia="zh-CN"/>
        </w:rPr>
        <w:t>）成交供应商不与采购人签订合同的，除因不可抗力或</w:t>
      </w:r>
      <w:r>
        <w:rPr>
          <w:rFonts w:hint="eastAsia" w:ascii="仿宋_GB2312" w:hAnsi="仿宋_GB2312" w:eastAsia="仿宋_GB2312" w:cs="仿宋_GB2312"/>
          <w:color w:val="auto"/>
          <w:sz w:val="21"/>
          <w:szCs w:val="24"/>
          <w:highlight w:val="none"/>
          <w:lang w:val="en-US" w:eastAsia="zh-CN"/>
        </w:rPr>
        <w:t>磋商文件</w:t>
      </w:r>
      <w:r>
        <w:rPr>
          <w:rFonts w:hint="eastAsia" w:ascii="仿宋_GB2312" w:hAnsi="仿宋_GB2312" w:eastAsia="仿宋_GB2312" w:cs="仿宋_GB2312"/>
          <w:color w:val="auto"/>
          <w:sz w:val="21"/>
          <w:szCs w:val="24"/>
          <w:highlight w:val="none"/>
          <w:lang w:eastAsia="zh-CN"/>
        </w:rPr>
        <w:t>认可的情形以外；</w:t>
      </w:r>
    </w:p>
    <w:p w14:paraId="1C2D62D9">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eastAsia="zh-CN"/>
        </w:rPr>
      </w:pPr>
      <w:r>
        <w:rPr>
          <w:rFonts w:hint="eastAsia" w:ascii="仿宋_GB2312" w:hAnsi="仿宋_GB2312" w:eastAsia="仿宋_GB2312" w:cs="仿宋_GB2312"/>
          <w:color w:val="auto"/>
          <w:sz w:val="21"/>
          <w:szCs w:val="24"/>
          <w:highlight w:val="none"/>
          <w:lang w:eastAsia="zh-CN"/>
        </w:rPr>
        <w:t>（</w:t>
      </w:r>
      <w:r>
        <w:rPr>
          <w:rFonts w:hint="eastAsia" w:ascii="仿宋_GB2312" w:hAnsi="仿宋_GB2312" w:eastAsia="仿宋_GB2312" w:cs="仿宋_GB2312"/>
          <w:color w:val="auto"/>
          <w:sz w:val="21"/>
          <w:szCs w:val="24"/>
          <w:highlight w:val="none"/>
          <w:lang w:val="en-US" w:eastAsia="zh-CN"/>
        </w:rPr>
        <w:t>4</w:t>
      </w:r>
      <w:r>
        <w:rPr>
          <w:rFonts w:hint="eastAsia" w:ascii="仿宋_GB2312" w:hAnsi="仿宋_GB2312" w:eastAsia="仿宋_GB2312" w:cs="仿宋_GB2312"/>
          <w:color w:val="auto"/>
          <w:sz w:val="21"/>
          <w:szCs w:val="24"/>
          <w:highlight w:val="none"/>
          <w:lang w:eastAsia="zh-CN"/>
        </w:rPr>
        <w:t>）供应商与采购人、其他供应商或者采购代理机构恶意串通的；</w:t>
      </w:r>
    </w:p>
    <w:p w14:paraId="241FEE86">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w:t>
      </w:r>
      <w:r>
        <w:rPr>
          <w:rFonts w:hint="eastAsia" w:ascii="仿宋_GB2312" w:hAnsi="仿宋_GB2312" w:eastAsia="仿宋_GB2312" w:cs="仿宋_GB2312"/>
          <w:color w:val="auto"/>
          <w:sz w:val="21"/>
          <w:szCs w:val="24"/>
          <w:highlight w:val="none"/>
          <w:lang w:val="en-US" w:eastAsia="zh-CN"/>
        </w:rPr>
        <w:t>5</w:t>
      </w:r>
      <w:r>
        <w:rPr>
          <w:rFonts w:hint="eastAsia" w:ascii="仿宋_GB2312" w:hAnsi="仿宋_GB2312" w:eastAsia="仿宋_GB2312" w:cs="仿宋_GB2312"/>
          <w:color w:val="auto"/>
          <w:sz w:val="21"/>
          <w:szCs w:val="24"/>
          <w:highlight w:val="none"/>
        </w:rPr>
        <w:t>）未按竞争性磋商文件规定缴纳</w:t>
      </w:r>
      <w:r>
        <w:rPr>
          <w:rFonts w:hint="eastAsia" w:ascii="仿宋_GB2312" w:hAnsi="仿宋_GB2312" w:eastAsia="仿宋_GB2312" w:cs="仿宋_GB2312"/>
          <w:color w:val="auto"/>
          <w:sz w:val="21"/>
          <w:szCs w:val="24"/>
          <w:highlight w:val="none"/>
          <w:lang w:val="en-US" w:eastAsia="zh-CN"/>
        </w:rPr>
        <w:t>采购</w:t>
      </w:r>
      <w:r>
        <w:rPr>
          <w:rFonts w:hint="eastAsia" w:ascii="仿宋_GB2312" w:hAnsi="仿宋_GB2312" w:eastAsia="仿宋_GB2312" w:cs="仿宋_GB2312"/>
          <w:color w:val="auto"/>
          <w:sz w:val="21"/>
          <w:szCs w:val="24"/>
          <w:highlight w:val="none"/>
        </w:rPr>
        <w:t>代理服务费。</w:t>
      </w:r>
    </w:p>
    <w:p w14:paraId="09F8C44A">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3" w:name="_Toc14323"/>
      <w:bookmarkStart w:id="24" w:name="_Toc75259344"/>
      <w:bookmarkStart w:id="25" w:name="_Toc4401"/>
      <w:bookmarkStart w:id="26" w:name="_Toc75259343"/>
      <w:r>
        <w:rPr>
          <w:rFonts w:hint="eastAsia" w:ascii="仿宋_GB2312" w:hAnsi="仿宋_GB2312" w:eastAsia="仿宋_GB2312" w:cs="仿宋_GB2312"/>
          <w:b/>
          <w:color w:val="auto"/>
          <w:sz w:val="21"/>
          <w:szCs w:val="24"/>
          <w:highlight w:val="none"/>
          <w:lang w:val="en-US" w:eastAsia="zh-CN"/>
        </w:rPr>
        <w:t>8</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磋商内容</w:t>
      </w:r>
      <w:bookmarkEnd w:id="23"/>
      <w:bookmarkEnd w:id="24"/>
    </w:p>
    <w:p w14:paraId="211A7C62">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8</w:t>
      </w:r>
      <w:r>
        <w:rPr>
          <w:rFonts w:hint="eastAsia" w:ascii="仿宋_GB2312" w:hAnsi="仿宋_GB2312" w:eastAsia="仿宋_GB2312" w:cs="仿宋_GB2312"/>
          <w:color w:val="auto"/>
          <w:sz w:val="21"/>
          <w:szCs w:val="24"/>
          <w:highlight w:val="none"/>
        </w:rPr>
        <w:t>.1采购项目的磋商报价、商务部分、技术部分、服务承诺等内容。</w:t>
      </w:r>
    </w:p>
    <w:p w14:paraId="3EB72B60">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r>
        <w:rPr>
          <w:rFonts w:hint="eastAsia" w:ascii="仿宋_GB2312" w:hAnsi="仿宋_GB2312" w:eastAsia="仿宋_GB2312" w:cs="仿宋_GB2312"/>
          <w:b/>
          <w:color w:val="auto"/>
          <w:sz w:val="21"/>
          <w:szCs w:val="24"/>
          <w:highlight w:val="none"/>
          <w:lang w:val="en-US" w:eastAsia="zh-CN"/>
        </w:rPr>
        <w:t>9</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评审工作程序</w:t>
      </w:r>
      <w:bookmarkEnd w:id="25"/>
      <w:bookmarkEnd w:id="26"/>
    </w:p>
    <w:p w14:paraId="6A238DC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9</w:t>
      </w:r>
      <w:r>
        <w:rPr>
          <w:rFonts w:hint="eastAsia" w:ascii="仿宋_GB2312" w:hAnsi="仿宋_GB2312" w:eastAsia="仿宋_GB2312" w:cs="仿宋_GB2312"/>
          <w:color w:val="auto"/>
          <w:szCs w:val="24"/>
          <w:highlight w:val="none"/>
        </w:rPr>
        <w:t>.1主持人按下列程序进行磋商：</w:t>
      </w:r>
    </w:p>
    <w:p w14:paraId="2D6A120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（1）采购代理机构按磋商文件规定的时间、地点组织磋商；</w:t>
      </w:r>
    </w:p>
    <w:p w14:paraId="543262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（2）磋商</w:t>
      </w:r>
      <w:r>
        <w:rPr>
          <w:rFonts w:hint="eastAsia" w:ascii="仿宋_GB2312" w:hAnsi="仿宋_GB2312" w:eastAsia="仿宋_GB2312" w:cs="仿宋_GB2312"/>
          <w:color w:val="auto"/>
          <w:szCs w:val="24"/>
          <w:highlight w:val="none"/>
          <w:lang w:val="en-US" w:eastAsia="zh-CN"/>
        </w:rPr>
        <w:t>会议</w:t>
      </w:r>
      <w:r>
        <w:rPr>
          <w:rFonts w:hint="eastAsia" w:ascii="仿宋_GB2312" w:hAnsi="仿宋_GB2312" w:eastAsia="仿宋_GB2312" w:cs="仿宋_GB2312"/>
          <w:color w:val="auto"/>
          <w:szCs w:val="24"/>
          <w:highlight w:val="none"/>
        </w:rPr>
        <w:t>由采购代理机构主持，采购人代表及有关人员参加；</w:t>
      </w:r>
    </w:p>
    <w:p w14:paraId="41F117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（3）供应商应派法定代表人或其授权代表参加磋商，</w:t>
      </w:r>
      <w:r>
        <w:rPr>
          <w:rFonts w:hint="eastAsia" w:ascii="仿宋_GB2312" w:hAnsi="仿宋_GB2312" w:eastAsia="仿宋_GB2312" w:cs="仿宋_GB2312"/>
          <w:color w:val="auto"/>
          <w:szCs w:val="24"/>
          <w:highlight w:val="none"/>
          <w:lang w:val="en-US" w:eastAsia="zh-CN"/>
        </w:rPr>
        <w:t>供应商</w:t>
      </w:r>
      <w:r>
        <w:rPr>
          <w:rFonts w:hint="eastAsia" w:ascii="仿宋_GB2312" w:hAnsi="仿宋_GB2312" w:eastAsia="仿宋_GB2312" w:cs="仿宋_GB2312"/>
          <w:color w:val="auto"/>
          <w:szCs w:val="24"/>
          <w:highlight w:val="none"/>
        </w:rPr>
        <w:t>应签名报到，以证明其出席；</w:t>
      </w:r>
    </w:p>
    <w:p w14:paraId="2A593C8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（4）磋商时</w:t>
      </w:r>
      <w:r>
        <w:rPr>
          <w:rFonts w:hint="eastAsia" w:ascii="仿宋_GB2312" w:hAnsi="仿宋_GB2312" w:eastAsia="仿宋_GB2312" w:cs="仿宋_GB2312"/>
          <w:color w:val="auto"/>
          <w:szCs w:val="24"/>
          <w:highlight w:val="none"/>
          <w:lang w:val="en-US" w:eastAsia="zh-CN"/>
        </w:rPr>
        <w:t>采购代理机构</w:t>
      </w:r>
      <w:r>
        <w:rPr>
          <w:rFonts w:hint="eastAsia" w:ascii="仿宋_GB2312" w:hAnsi="仿宋_GB2312" w:eastAsia="仿宋_GB2312" w:cs="仿宋_GB2312"/>
          <w:color w:val="auto"/>
          <w:szCs w:val="24"/>
          <w:highlight w:val="none"/>
        </w:rPr>
        <w:t>公布供应商的名称；</w:t>
      </w:r>
    </w:p>
    <w:p w14:paraId="18C491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（5）按本部分第6.5条的内容对供应商进行资格审查，不符合磋商文件规定</w:t>
      </w:r>
      <w:r>
        <w:rPr>
          <w:rFonts w:hint="eastAsia" w:ascii="仿宋_GB2312" w:hAnsi="仿宋_GB2312" w:eastAsia="仿宋_GB2312" w:cs="仿宋_GB2312"/>
          <w:color w:val="auto"/>
          <w:szCs w:val="24"/>
          <w:highlight w:val="none"/>
          <w:lang w:val="en-US" w:eastAsia="zh-CN"/>
        </w:rPr>
        <w:t>资格</w:t>
      </w:r>
      <w:r>
        <w:rPr>
          <w:rFonts w:hint="eastAsia" w:ascii="仿宋_GB2312" w:hAnsi="仿宋_GB2312" w:eastAsia="仿宋_GB2312" w:cs="仿宋_GB2312"/>
          <w:color w:val="auto"/>
          <w:szCs w:val="24"/>
          <w:highlight w:val="none"/>
        </w:rPr>
        <w:t>要求的供应商将不再进入后续评审环节（在评审结束前发现供应商资格不符合要求的作无效响应处理）；</w:t>
      </w:r>
    </w:p>
    <w:p w14:paraId="590A58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 xml:space="preserve">（6）检查响应文件密封情况，并签字确认； </w:t>
      </w:r>
    </w:p>
    <w:p w14:paraId="4123D1E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（7）开启响应文件，宣读响应文件递交情况；</w:t>
      </w:r>
    </w:p>
    <w:p w14:paraId="65A8CD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（8）磋商；</w:t>
      </w:r>
    </w:p>
    <w:p w14:paraId="5026023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（9）评审；</w:t>
      </w:r>
    </w:p>
    <w:p w14:paraId="165E11A4">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（10）会议结束。</w:t>
      </w:r>
    </w:p>
    <w:p w14:paraId="6388E806">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磋商小组依据磋商文件的规定，对响应文件的</w:t>
      </w:r>
      <w:r>
        <w:rPr>
          <w:rFonts w:hint="eastAsia" w:ascii="仿宋_GB2312" w:hAnsi="仿宋_GB2312" w:eastAsia="仿宋_GB2312" w:cs="仿宋_GB2312"/>
          <w:color w:val="auto"/>
          <w:sz w:val="21"/>
          <w:szCs w:val="24"/>
          <w:highlight w:val="none"/>
          <w:lang w:val="en-US" w:eastAsia="zh-CN"/>
        </w:rPr>
        <w:t>符合性</w:t>
      </w:r>
      <w:r>
        <w:rPr>
          <w:rFonts w:hint="eastAsia" w:ascii="仿宋_GB2312" w:hAnsi="仿宋_GB2312" w:eastAsia="仿宋_GB2312" w:cs="仿宋_GB2312"/>
          <w:color w:val="auto"/>
          <w:sz w:val="21"/>
          <w:szCs w:val="24"/>
          <w:highlight w:val="none"/>
          <w:lang w:val="zh-CN"/>
        </w:rPr>
        <w:t>进行审查，以确定是否对磋商文件的要求做出实质性响应。未对磋商文件做实质性响应的供应商，不得进入具体磋商程序。</w:t>
      </w:r>
    </w:p>
    <w:p w14:paraId="22C3BB69">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rPr>
        <w:t>.2磋商开始，与供应商磋商各项内容：</w:t>
      </w:r>
    </w:p>
    <w:p w14:paraId="1164B1B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磋商小组所有成员集中与单一供应商按照</w:t>
      </w:r>
      <w:r>
        <w:rPr>
          <w:rFonts w:hint="eastAsia" w:ascii="仿宋_GB2312" w:hAnsi="仿宋_GB2312" w:eastAsia="仿宋_GB2312" w:cs="仿宋_GB2312"/>
          <w:color w:val="auto"/>
          <w:sz w:val="21"/>
          <w:szCs w:val="24"/>
          <w:highlight w:val="none"/>
        </w:rPr>
        <w:t>顺序</w:t>
      </w:r>
      <w:r>
        <w:rPr>
          <w:rFonts w:hint="eastAsia" w:ascii="仿宋_GB2312" w:hAnsi="仿宋_GB2312" w:eastAsia="仿宋_GB2312" w:cs="仿宋_GB2312"/>
          <w:color w:val="auto"/>
          <w:sz w:val="21"/>
          <w:szCs w:val="24"/>
          <w:highlight w:val="none"/>
          <w:lang w:val="zh-CN"/>
        </w:rPr>
        <w:t>分别进行磋商。磋商小组可根据供应商的报价，响应内容及磋商的情况，给予每个正在参加磋商的供应商相同的机会。</w:t>
      </w:r>
    </w:p>
    <w:p w14:paraId="48A427D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zh-CN"/>
        </w:rPr>
        <w:t>（1）</w:t>
      </w:r>
      <w:r>
        <w:rPr>
          <w:rFonts w:hint="eastAsia" w:ascii="仿宋_GB2312" w:hAnsi="仿宋_GB2312" w:eastAsia="仿宋_GB2312" w:cs="仿宋_GB2312"/>
          <w:color w:val="auto"/>
          <w:sz w:val="21"/>
          <w:szCs w:val="24"/>
          <w:highlight w:val="none"/>
        </w:rPr>
        <w:t xml:space="preserve">在磋商过程中，磋商小组可以根据磋商文件和磋商情况实质性变动采购需求中的技术、采购要求以及合同草案条款，但不得变动磋商文件中的其他内容。实质性变动的内容，须经采购人代表确认。 </w:t>
      </w:r>
    </w:p>
    <w:p w14:paraId="5583F903">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 xml:space="preserve">（2）对磋商文件作出的实质性变动是磋商文件的有效组成部分，磋商小组应当及时以书面形式同时通知所有参加磋商的供应商。 </w:t>
      </w:r>
    </w:p>
    <w:p w14:paraId="0D402C70">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（3）供应商应当按照磋商文件的变动情况和磋商小组的要求重新提交响应文件，并由其</w:t>
      </w:r>
      <w:r>
        <w:rPr>
          <w:rFonts w:hint="eastAsia" w:ascii="仿宋_GB2312" w:hAnsi="仿宋_GB2312" w:eastAsia="仿宋_GB2312" w:cs="仿宋_GB2312"/>
          <w:color w:val="auto"/>
          <w:sz w:val="21"/>
          <w:szCs w:val="24"/>
          <w:highlight w:val="none"/>
          <w:lang w:val="en-US" w:eastAsia="zh-CN"/>
        </w:rPr>
        <w:t>法定代表人或</w:t>
      </w:r>
      <w:r>
        <w:rPr>
          <w:rFonts w:hint="eastAsia" w:ascii="仿宋_GB2312" w:hAnsi="仿宋_GB2312" w:eastAsia="仿宋_GB2312" w:cs="仿宋_GB2312"/>
          <w:color w:val="auto"/>
          <w:sz w:val="21"/>
          <w:szCs w:val="24"/>
          <w:highlight w:val="none"/>
        </w:rPr>
        <w:t>授权代表签字、盖章。</w:t>
      </w:r>
    </w:p>
    <w:p w14:paraId="44432C1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rPr>
        <w:t>.3各供应商进行二次报价：</w:t>
      </w:r>
    </w:p>
    <w:p w14:paraId="17A5FE7C">
      <w:pPr>
        <w:spacing w:line="360" w:lineRule="auto"/>
        <w:ind w:firstLine="42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kern w:val="2"/>
          <w:sz w:val="21"/>
          <w:szCs w:val="24"/>
          <w:highlight w:val="none"/>
          <w:lang w:val="en-US" w:eastAsia="zh-CN" w:bidi="ar-SA"/>
        </w:rPr>
        <w:t xml:space="preserve">进入评审阶段，磋商小组与供应商磋商后，各有效供应商进行第二次报价。此报价作为最终报价评定的依据。以二次报价为最终成交价（二次报价由网上报价或代理公司纸质提供）。 </w:t>
      </w:r>
    </w:p>
    <w:p w14:paraId="3BF14658">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lang w:val="zh-CN"/>
        </w:rPr>
        <w:t>.4</w:t>
      </w:r>
      <w:r>
        <w:rPr>
          <w:rFonts w:hint="eastAsia" w:ascii="仿宋_GB2312" w:hAnsi="仿宋_GB2312" w:eastAsia="仿宋_GB2312" w:cs="仿宋_GB2312"/>
          <w:color w:val="auto"/>
          <w:sz w:val="21"/>
          <w:szCs w:val="24"/>
          <w:highlight w:val="none"/>
        </w:rPr>
        <w:t>由磋商小组采用综合评分法对提交最后报价的供应商的响应文件和最后报价进行综合评分。</w:t>
      </w:r>
    </w:p>
    <w:p w14:paraId="498780E7">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rPr>
        <w:t>.5确定成交供应商。</w:t>
      </w:r>
    </w:p>
    <w:p w14:paraId="1EF2476B">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lang w:val="en-US" w:eastAsia="zh-CN"/>
        </w:rPr>
        <w:t>9</w:t>
      </w:r>
      <w:r>
        <w:rPr>
          <w:rFonts w:hint="eastAsia" w:ascii="仿宋_GB2312" w:hAnsi="仿宋_GB2312" w:eastAsia="仿宋_GB2312" w:cs="仿宋_GB2312"/>
          <w:color w:val="auto"/>
          <w:sz w:val="21"/>
          <w:szCs w:val="24"/>
          <w:highlight w:val="none"/>
        </w:rPr>
        <w:t>.6磋商响应报价说明：</w:t>
      </w:r>
    </w:p>
    <w:p w14:paraId="135F64C5">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 w:val="21"/>
          <w:szCs w:val="24"/>
          <w:highlight w:val="none"/>
          <w:lang w:val="zh-CN"/>
        </w:rPr>
      </w:pPr>
      <w:r>
        <w:rPr>
          <w:rFonts w:hint="eastAsia" w:ascii="仿宋_GB2312" w:hAnsi="仿宋_GB2312" w:eastAsia="仿宋_GB2312" w:cs="仿宋_GB2312"/>
          <w:b/>
          <w:color w:val="auto"/>
          <w:sz w:val="21"/>
          <w:szCs w:val="24"/>
          <w:highlight w:val="none"/>
          <w:lang w:val="zh-CN"/>
        </w:rPr>
        <w:t>（1）本次磋商第二轮报价为最终报价；</w:t>
      </w:r>
    </w:p>
    <w:p w14:paraId="088035B0">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 w:val="21"/>
          <w:szCs w:val="24"/>
          <w:highlight w:val="none"/>
          <w:lang w:val="zh-CN"/>
        </w:rPr>
      </w:pPr>
      <w:r>
        <w:rPr>
          <w:rFonts w:hint="eastAsia" w:ascii="仿宋_GB2312" w:hAnsi="仿宋_GB2312" w:eastAsia="仿宋_GB2312" w:cs="仿宋_GB2312"/>
          <w:b/>
          <w:color w:val="auto"/>
          <w:sz w:val="21"/>
          <w:szCs w:val="24"/>
          <w:highlight w:val="none"/>
          <w:lang w:val="zh-CN"/>
        </w:rPr>
        <w:t>（2）磋商过程中，均不公开各供应商的报价。</w:t>
      </w:r>
    </w:p>
    <w:p w14:paraId="6CAC88A3">
      <w:pPr>
        <w:pStyle w:val="21"/>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27" w:name="_Toc24203"/>
      <w:bookmarkStart w:id="28" w:name="_Toc75259345"/>
      <w:r>
        <w:rPr>
          <w:rFonts w:hint="eastAsia" w:ascii="仿宋_GB2312" w:hAnsi="仿宋_GB2312" w:eastAsia="仿宋_GB2312" w:cs="仿宋_GB2312"/>
          <w:b/>
          <w:color w:val="auto"/>
          <w:sz w:val="21"/>
          <w:szCs w:val="24"/>
          <w:highlight w:val="none"/>
        </w:rPr>
        <w:t>10</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评审原则</w:t>
      </w:r>
      <w:bookmarkEnd w:id="27"/>
      <w:bookmarkEnd w:id="28"/>
    </w:p>
    <w:p w14:paraId="5AF27916">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rPr>
      </w:pPr>
      <w:r>
        <w:rPr>
          <w:rFonts w:hint="eastAsia" w:ascii="仿宋_GB2312" w:hAnsi="仿宋_GB2312" w:eastAsia="仿宋_GB2312" w:cs="仿宋_GB2312"/>
          <w:color w:val="auto"/>
          <w:sz w:val="21"/>
          <w:szCs w:val="24"/>
          <w:highlight w:val="none"/>
        </w:rPr>
        <w:t>（1）本次磋商遵循公开透明、公平竞争、公正和诚实信用的原则。磋商小组成员按照客观、公正、审慎的原则，根据磋商文件规定的评审程序、评审方法和评审标准进行独立评审。未实质性响应磋商文件的响应文件按无效响应处理。</w:t>
      </w:r>
    </w:p>
    <w:p w14:paraId="7F2FDFF5">
      <w:pPr>
        <w:pStyle w:val="21"/>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4"/>
          <w:highlight w:val="none"/>
          <w:lang w:val="zh-CN"/>
        </w:rPr>
      </w:pPr>
      <w:r>
        <w:rPr>
          <w:rFonts w:hint="eastAsia" w:ascii="仿宋_GB2312" w:hAnsi="仿宋_GB2312" w:eastAsia="仿宋_GB2312" w:cs="仿宋_GB2312"/>
          <w:color w:val="auto"/>
          <w:sz w:val="21"/>
          <w:szCs w:val="24"/>
          <w:highlight w:val="none"/>
          <w:lang w:val="zh-CN"/>
        </w:rPr>
        <w:t>（2）磋商小组应当根据综合评分情况，按照评审得分由高到低顺序推荐3名成交候选供应商，并出评审报告或编写评审报告。评审得分相同的，按照最后报价由低到高的顺序推荐。评审得分且最后报价相同的，按照</w:t>
      </w:r>
      <w:r>
        <w:rPr>
          <w:rFonts w:hint="eastAsia" w:ascii="仿宋_GB2312" w:hAnsi="仿宋_GB2312" w:eastAsia="仿宋_GB2312" w:cs="仿宋_GB2312"/>
          <w:color w:val="auto"/>
          <w:sz w:val="21"/>
          <w:szCs w:val="24"/>
          <w:highlight w:val="none"/>
          <w:lang w:val="en-US" w:eastAsia="zh-CN"/>
        </w:rPr>
        <w:t>技术</w:t>
      </w:r>
      <w:r>
        <w:rPr>
          <w:rFonts w:hint="eastAsia" w:ascii="仿宋_GB2312" w:hAnsi="仿宋_GB2312" w:eastAsia="仿宋_GB2312" w:cs="仿宋_GB2312"/>
          <w:color w:val="auto"/>
          <w:sz w:val="21"/>
          <w:szCs w:val="24"/>
          <w:highlight w:val="none"/>
          <w:lang w:val="zh-CN"/>
        </w:rPr>
        <w:t>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w:t>
      </w:r>
      <w:r>
        <w:rPr>
          <w:rFonts w:hint="eastAsia" w:ascii="仿宋_GB2312" w:hAnsi="仿宋_GB2312" w:eastAsia="仿宋_GB2312" w:cs="仿宋_GB2312"/>
          <w:color w:val="auto"/>
          <w:sz w:val="21"/>
          <w:szCs w:val="24"/>
          <w:highlight w:val="none"/>
          <w:lang w:val="en-US" w:eastAsia="zh-CN"/>
        </w:rPr>
        <w:t>响应</w:t>
      </w:r>
      <w:r>
        <w:rPr>
          <w:rFonts w:hint="eastAsia" w:ascii="仿宋_GB2312" w:hAnsi="仿宋_GB2312" w:eastAsia="仿宋_GB2312" w:cs="仿宋_GB2312"/>
          <w:color w:val="auto"/>
          <w:sz w:val="21"/>
          <w:szCs w:val="24"/>
          <w:highlight w:val="none"/>
          <w:lang w:val="zh-CN"/>
        </w:rPr>
        <w:t>文件处理。</w:t>
      </w:r>
    </w:p>
    <w:p w14:paraId="0B76AB19">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bCs/>
          <w:color w:val="auto"/>
          <w:szCs w:val="24"/>
          <w:highlight w:val="none"/>
          <w:lang w:val="zh-CN"/>
        </w:rPr>
      </w:pPr>
      <w:r>
        <w:rPr>
          <w:rFonts w:hint="eastAsia" w:ascii="仿宋_GB2312" w:hAnsi="仿宋_GB2312" w:eastAsia="仿宋_GB2312" w:cs="仿宋_GB2312"/>
          <w:color w:val="auto"/>
          <w:szCs w:val="24"/>
          <w:highlight w:val="none"/>
          <w:lang w:val="zh-CN"/>
        </w:rPr>
        <w:t>（3）</w:t>
      </w:r>
      <w:r>
        <w:rPr>
          <w:rFonts w:hint="eastAsia" w:ascii="仿宋_GB2312" w:hAnsi="仿宋_GB2312" w:eastAsia="仿宋_GB2312" w:cs="仿宋_GB2312"/>
          <w:bCs/>
          <w:color w:val="auto"/>
          <w:szCs w:val="24"/>
          <w:highlight w:val="none"/>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2D001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（4）本次综合评分的主要因素是：</w:t>
      </w:r>
      <w:bookmarkStart w:id="29" w:name="_Hlk74319622"/>
      <w:r>
        <w:rPr>
          <w:rFonts w:hint="eastAsia" w:ascii="仿宋_GB2312" w:hAnsi="仿宋_GB2312" w:eastAsia="仿宋_GB2312" w:cs="仿宋_GB2312"/>
          <w:color w:val="auto"/>
          <w:szCs w:val="24"/>
          <w:highlight w:val="none"/>
        </w:rPr>
        <w:t>磋商报价、商务部分、技术部分、服务承诺</w:t>
      </w:r>
      <w:bookmarkEnd w:id="29"/>
      <w:r>
        <w:rPr>
          <w:rFonts w:hint="eastAsia" w:ascii="仿宋_GB2312" w:hAnsi="仿宋_GB2312" w:eastAsia="仿宋_GB2312" w:cs="仿宋_GB2312"/>
          <w:color w:val="auto"/>
          <w:szCs w:val="24"/>
          <w:highlight w:val="none"/>
        </w:rPr>
        <w:t>等内容。评审过程中，在同等条件下，优先采购具有环境标志、节能的产品。（注：节能产品、环境标志产品是指由财政部、发展改革委、生态环境部、市场监管总局颁布的财库〔2021〕9号 财政部关于调整优化节能产品、环境标志产品政府采购执行机制的通知中品目清单中的的产品。）</w:t>
      </w:r>
    </w:p>
    <w:p w14:paraId="34415D7C">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b/>
          <w:bCs/>
          <w:color w:val="auto"/>
          <w:highlight w:val="none"/>
        </w:rPr>
        <w:t>（5）</w:t>
      </w:r>
      <w:r>
        <w:rPr>
          <w:rFonts w:hint="eastAsia" w:ascii="仿宋_GB2312" w:hAnsi="仿宋_GB2312" w:eastAsia="仿宋_GB2312" w:cs="仿宋_GB2312"/>
          <w:b/>
          <w:bCs/>
          <w:color w:val="auto"/>
          <w:szCs w:val="24"/>
          <w:highlight w:val="none"/>
        </w:rPr>
        <w:t>各</w:t>
      </w:r>
      <w:r>
        <w:rPr>
          <w:rFonts w:hint="eastAsia" w:ascii="仿宋_GB2312" w:hAnsi="仿宋_GB2312" w:eastAsia="仿宋_GB2312" w:cs="仿宋_GB2312"/>
          <w:b/>
          <w:color w:val="auto"/>
          <w:szCs w:val="24"/>
          <w:highlight w:val="none"/>
        </w:rPr>
        <w:t>供应</w:t>
      </w:r>
      <w:r>
        <w:rPr>
          <w:rFonts w:hint="eastAsia" w:ascii="仿宋_GB2312" w:hAnsi="仿宋_GB2312" w:eastAsia="仿宋_GB2312" w:cs="仿宋_GB2312"/>
          <w:b/>
          <w:bCs/>
          <w:color w:val="auto"/>
          <w:szCs w:val="24"/>
          <w:highlight w:val="none"/>
        </w:rPr>
        <w:t>商应按照竞争性磋商文件要求报出磋商总报价，磋商总报价不得超过项目预算和相应的最高限价</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lang w:val="en-US" w:eastAsia="zh-CN"/>
        </w:rPr>
        <w:t>如有</w:t>
      </w:r>
      <w:r>
        <w:rPr>
          <w:rFonts w:hint="eastAsia" w:ascii="仿宋_GB2312" w:hAnsi="仿宋_GB2312" w:eastAsia="仿宋_GB2312" w:cs="仿宋_GB2312"/>
          <w:b/>
          <w:bCs/>
          <w:color w:val="auto"/>
          <w:szCs w:val="24"/>
          <w:highlight w:val="none"/>
          <w:lang w:eastAsia="zh-CN"/>
        </w:rPr>
        <w:t>）</w:t>
      </w:r>
      <w:r>
        <w:rPr>
          <w:rFonts w:hint="eastAsia" w:ascii="仿宋_GB2312" w:hAnsi="仿宋_GB2312" w:eastAsia="仿宋_GB2312" w:cs="仿宋_GB2312"/>
          <w:b/>
          <w:bCs/>
          <w:color w:val="auto"/>
          <w:szCs w:val="24"/>
          <w:highlight w:val="none"/>
        </w:rPr>
        <w:t>。</w:t>
      </w:r>
    </w:p>
    <w:p w14:paraId="5100AA97">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4"/>
          <w:highlight w:val="none"/>
        </w:rPr>
      </w:pPr>
      <w:bookmarkStart w:id="30" w:name="_Toc7322"/>
      <w:bookmarkStart w:id="31" w:name="_Toc75259346"/>
      <w:r>
        <w:rPr>
          <w:rFonts w:hint="eastAsia" w:ascii="仿宋_GB2312" w:hAnsi="仿宋_GB2312" w:eastAsia="仿宋_GB2312" w:cs="仿宋_GB2312"/>
          <w:b/>
          <w:color w:val="auto"/>
          <w:sz w:val="21"/>
          <w:szCs w:val="24"/>
          <w:highlight w:val="none"/>
        </w:rPr>
        <w:t>11</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4"/>
          <w:highlight w:val="none"/>
        </w:rPr>
        <w:t>评审标准</w:t>
      </w:r>
      <w:bookmarkEnd w:id="30"/>
      <w:bookmarkEnd w:id="31"/>
    </w:p>
    <w:p w14:paraId="368610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根据《中华人民共和国政府采购法》、《中华人民共和国政府采购法实施条例》、《政府采购竞争性磋商采购方式暂行办法》及省、市有关规定，磋商小组成员按照客观、公正、谨慎的原则，根据磋商文件规定的评审程序、评审方法和评审标准进行独立评审。根据排名先后确定成交候选供应商。</w:t>
      </w:r>
    </w:p>
    <w:p w14:paraId="05BB79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在磋商文件规定的响应文件递交截止时间后，供应商不足三家或在评</w:t>
      </w:r>
      <w:r>
        <w:rPr>
          <w:rFonts w:hint="eastAsia" w:ascii="仿宋_GB2312" w:hAnsi="仿宋_GB2312" w:eastAsia="仿宋_GB2312" w:cs="仿宋_GB2312"/>
          <w:color w:val="auto"/>
          <w:szCs w:val="24"/>
          <w:highlight w:val="none"/>
          <w:lang w:val="en-US" w:eastAsia="zh-CN"/>
        </w:rPr>
        <w:t>审</w:t>
      </w:r>
      <w:r>
        <w:rPr>
          <w:rFonts w:hint="eastAsia" w:ascii="仿宋_GB2312" w:hAnsi="仿宋_GB2312" w:eastAsia="仿宋_GB2312" w:cs="仿宋_GB2312"/>
          <w:color w:val="auto"/>
          <w:szCs w:val="24"/>
          <w:highlight w:val="none"/>
        </w:rPr>
        <w:t>期间，出现符合条件的供应商不足三家的情形时，按财库〔2015〕124号文及相关制度规定执行。</w:t>
      </w:r>
    </w:p>
    <w:p w14:paraId="4C43661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lang w:val="en-US" w:eastAsia="zh-CN"/>
        </w:rPr>
        <w:t>11.1</w:t>
      </w:r>
      <w:r>
        <w:rPr>
          <w:rFonts w:hint="eastAsia" w:ascii="仿宋_GB2312" w:hAnsi="仿宋_GB2312" w:eastAsia="仿宋_GB2312" w:cs="仿宋_GB2312"/>
          <w:b/>
          <w:color w:val="auto"/>
          <w:szCs w:val="24"/>
          <w:highlight w:val="none"/>
        </w:rPr>
        <w:t>资格审查</w:t>
      </w:r>
    </w:p>
    <w:p w14:paraId="73CC7D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lang w:val="en-US" w:eastAsia="zh-CN"/>
        </w:rPr>
        <w:t>磋商供应商</w:t>
      </w:r>
      <w:r>
        <w:rPr>
          <w:rFonts w:hint="eastAsia" w:ascii="仿宋_GB2312" w:hAnsi="仿宋_GB2312" w:eastAsia="仿宋_GB2312" w:cs="仿宋_GB2312"/>
          <w:color w:val="auto"/>
          <w:szCs w:val="24"/>
          <w:highlight w:val="none"/>
        </w:rPr>
        <w:t>需在</w:t>
      </w:r>
      <w:r>
        <w:rPr>
          <w:rFonts w:hint="eastAsia" w:ascii="仿宋_GB2312" w:hAnsi="仿宋_GB2312" w:eastAsia="仿宋_GB2312" w:cs="仿宋_GB2312"/>
          <w:color w:val="auto"/>
          <w:szCs w:val="24"/>
          <w:highlight w:val="none"/>
          <w:lang w:val="en-US" w:eastAsia="zh-CN"/>
        </w:rPr>
        <w:t>磋商</w:t>
      </w:r>
      <w:r>
        <w:rPr>
          <w:rFonts w:hint="eastAsia" w:ascii="仿宋_GB2312" w:hAnsi="仿宋_GB2312" w:eastAsia="仿宋_GB2312" w:cs="仿宋_GB2312"/>
          <w:color w:val="auto"/>
          <w:szCs w:val="24"/>
          <w:highlight w:val="none"/>
        </w:rPr>
        <w:t>文件中提供清晰、可见的资格证明材料，磋商小组将依据本文件“资格审查标准”对所有提交了投标文件的供应商进行资格审查，若材料内容模糊不清造成对</w:t>
      </w:r>
      <w:r>
        <w:rPr>
          <w:rFonts w:hint="eastAsia" w:ascii="仿宋_GB2312" w:hAnsi="仿宋_GB2312" w:eastAsia="仿宋_GB2312" w:cs="仿宋_GB2312"/>
          <w:color w:val="auto"/>
          <w:szCs w:val="24"/>
          <w:highlight w:val="none"/>
          <w:lang w:val="en-US" w:eastAsia="zh-CN"/>
        </w:rPr>
        <w:t>磋商供应商</w:t>
      </w:r>
      <w:r>
        <w:rPr>
          <w:rFonts w:hint="eastAsia" w:ascii="仿宋_GB2312" w:hAnsi="仿宋_GB2312" w:eastAsia="仿宋_GB2312" w:cs="仿宋_GB2312"/>
          <w:color w:val="auto"/>
          <w:szCs w:val="24"/>
          <w:highlight w:val="none"/>
        </w:rPr>
        <w:t>不利的后果由</w:t>
      </w:r>
      <w:r>
        <w:rPr>
          <w:rFonts w:hint="eastAsia" w:ascii="仿宋_GB2312" w:hAnsi="仿宋_GB2312" w:eastAsia="仿宋_GB2312" w:cs="仿宋_GB2312"/>
          <w:color w:val="auto"/>
          <w:szCs w:val="24"/>
          <w:highlight w:val="none"/>
          <w:lang w:val="en-US" w:eastAsia="zh-CN"/>
        </w:rPr>
        <w:t>磋商供应商</w:t>
      </w:r>
      <w:r>
        <w:rPr>
          <w:rFonts w:hint="eastAsia" w:ascii="仿宋_GB2312" w:hAnsi="仿宋_GB2312" w:eastAsia="仿宋_GB2312" w:cs="仿宋_GB2312"/>
          <w:color w:val="auto"/>
          <w:szCs w:val="24"/>
          <w:highlight w:val="none"/>
        </w:rPr>
        <w:t>自负，若</w:t>
      </w:r>
      <w:r>
        <w:rPr>
          <w:rFonts w:hint="eastAsia" w:ascii="仿宋_GB2312" w:hAnsi="仿宋_GB2312" w:eastAsia="仿宋_GB2312" w:cs="仿宋_GB2312"/>
          <w:color w:val="auto"/>
          <w:szCs w:val="24"/>
          <w:highlight w:val="none"/>
          <w:lang w:val="en-US" w:eastAsia="zh-CN"/>
        </w:rPr>
        <w:t>磋商供应商</w:t>
      </w:r>
      <w:r>
        <w:rPr>
          <w:rFonts w:hint="eastAsia" w:ascii="仿宋_GB2312" w:hAnsi="仿宋_GB2312" w:eastAsia="仿宋_GB2312" w:cs="仿宋_GB2312"/>
          <w:color w:val="auto"/>
          <w:szCs w:val="24"/>
          <w:highlight w:val="none"/>
        </w:rPr>
        <w:t>资格证明材料不符合要求，将按无效</w:t>
      </w:r>
      <w:r>
        <w:rPr>
          <w:rFonts w:hint="eastAsia" w:ascii="仿宋_GB2312" w:hAnsi="仿宋_GB2312" w:eastAsia="仿宋_GB2312" w:cs="仿宋_GB2312"/>
          <w:color w:val="auto"/>
          <w:szCs w:val="24"/>
          <w:highlight w:val="none"/>
          <w:lang w:val="en-US" w:eastAsia="zh-CN"/>
        </w:rPr>
        <w:t>投标</w:t>
      </w:r>
      <w:r>
        <w:rPr>
          <w:rFonts w:hint="eastAsia" w:ascii="仿宋_GB2312" w:hAnsi="仿宋_GB2312" w:eastAsia="仿宋_GB2312" w:cs="仿宋_GB2312"/>
          <w:color w:val="auto"/>
          <w:szCs w:val="24"/>
          <w:highlight w:val="none"/>
        </w:rPr>
        <w:t>处理，不进入下一评审环节。</w:t>
      </w:r>
    </w:p>
    <w:p w14:paraId="0DF6FA8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val="en-US" w:eastAsia="zh-CN"/>
        </w:rPr>
        <w:t>11.</w:t>
      </w:r>
      <w:r>
        <w:rPr>
          <w:rFonts w:hint="eastAsia" w:ascii="仿宋_GB2312" w:hAnsi="仿宋_GB2312" w:eastAsia="仿宋_GB2312" w:cs="仿宋_GB2312"/>
          <w:b/>
          <w:color w:val="auto"/>
          <w:szCs w:val="24"/>
          <w:highlight w:val="none"/>
        </w:rPr>
        <w:t>2符合性</w:t>
      </w:r>
      <w:r>
        <w:rPr>
          <w:rFonts w:hint="eastAsia" w:ascii="仿宋_GB2312" w:hAnsi="仿宋_GB2312" w:eastAsia="仿宋_GB2312" w:cs="仿宋_GB2312"/>
          <w:b/>
          <w:color w:val="auto"/>
          <w:szCs w:val="24"/>
          <w:highlight w:val="none"/>
          <w:lang w:val="en-US" w:eastAsia="zh-CN"/>
        </w:rPr>
        <w:t>审查</w:t>
      </w:r>
    </w:p>
    <w:p w14:paraId="1112C31F">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下述内容凡有一项不合格的响应即作为无效响应处理，不再进入详细评审：</w:t>
      </w:r>
    </w:p>
    <w:tbl>
      <w:tblPr>
        <w:tblStyle w:val="2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14:paraId="377B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4BB5D24C">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序号</w:t>
            </w:r>
          </w:p>
        </w:tc>
        <w:tc>
          <w:tcPr>
            <w:tcW w:w="8072" w:type="dxa"/>
            <w:gridSpan w:val="2"/>
            <w:vAlign w:val="center"/>
          </w:tcPr>
          <w:p w14:paraId="048525E4">
            <w:pPr>
              <w:widowControl/>
              <w:spacing w:line="36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bCs/>
                <w:sz w:val="21"/>
                <w:szCs w:val="21"/>
                <w:highlight w:val="none"/>
                <w:lang w:val="en-US" w:eastAsia="zh-CN"/>
              </w:rPr>
              <w:t>审查</w:t>
            </w:r>
            <w:r>
              <w:rPr>
                <w:rFonts w:hint="eastAsia" w:ascii="仿宋_GB2312" w:hAnsi="仿宋_GB2312" w:eastAsia="仿宋_GB2312" w:cs="仿宋_GB2312"/>
                <w:bCs/>
                <w:sz w:val="21"/>
                <w:szCs w:val="21"/>
                <w:highlight w:val="none"/>
              </w:rPr>
              <w:t>内容</w:t>
            </w:r>
          </w:p>
        </w:tc>
      </w:tr>
      <w:tr w14:paraId="3368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7613E61F">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1</w:t>
            </w:r>
          </w:p>
        </w:tc>
        <w:tc>
          <w:tcPr>
            <w:tcW w:w="1806" w:type="dxa"/>
            <w:vAlign w:val="center"/>
          </w:tcPr>
          <w:p w14:paraId="11C91FE2">
            <w:pPr>
              <w:widowControl/>
              <w:spacing w:line="36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磋商</w:t>
            </w:r>
            <w:r>
              <w:rPr>
                <w:rFonts w:hint="eastAsia" w:ascii="仿宋_GB2312" w:hAnsi="仿宋_GB2312" w:eastAsia="仿宋_GB2312" w:cs="仿宋_GB2312"/>
                <w:kern w:val="0"/>
                <w:sz w:val="21"/>
                <w:szCs w:val="21"/>
                <w:highlight w:val="none"/>
              </w:rPr>
              <w:t>报价</w:t>
            </w:r>
          </w:p>
        </w:tc>
        <w:tc>
          <w:tcPr>
            <w:tcW w:w="6266" w:type="dxa"/>
            <w:vAlign w:val="center"/>
          </w:tcPr>
          <w:p w14:paraId="5A966C46">
            <w:pPr>
              <w:widowControl/>
              <w:spacing w:line="36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rPr>
              <w:t>内容无缺漏项，报价唯一，且没有超过采购预算和相应的最高限价</w:t>
            </w:r>
            <w:r>
              <w:rPr>
                <w:rFonts w:hint="eastAsia" w:ascii="仿宋_GB2312" w:hAnsi="仿宋_GB2312" w:eastAsia="仿宋_GB2312" w:cs="仿宋_GB2312"/>
                <w:kern w:val="0"/>
                <w:sz w:val="21"/>
                <w:szCs w:val="21"/>
                <w:highlight w:val="none"/>
                <w:lang w:eastAsia="zh-CN"/>
              </w:rPr>
              <w:t>；</w:t>
            </w:r>
          </w:p>
        </w:tc>
      </w:tr>
      <w:tr w14:paraId="73E4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4F4EF90A">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2</w:t>
            </w:r>
          </w:p>
        </w:tc>
        <w:tc>
          <w:tcPr>
            <w:tcW w:w="1806" w:type="dxa"/>
            <w:vAlign w:val="center"/>
          </w:tcPr>
          <w:p w14:paraId="2721A5AE">
            <w:pPr>
              <w:widowControl/>
              <w:spacing w:line="36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技术标准和商务要求</w:t>
            </w:r>
          </w:p>
        </w:tc>
        <w:tc>
          <w:tcPr>
            <w:tcW w:w="6266" w:type="dxa"/>
            <w:vAlign w:val="center"/>
          </w:tcPr>
          <w:p w14:paraId="157DCCD9">
            <w:pPr>
              <w:widowControl/>
              <w:spacing w:line="36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磋商文件满足招标文件要求的技术标准和商务要求；</w:t>
            </w:r>
          </w:p>
        </w:tc>
      </w:tr>
      <w:tr w14:paraId="4F2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41DCDDA0">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3</w:t>
            </w:r>
          </w:p>
        </w:tc>
        <w:tc>
          <w:tcPr>
            <w:tcW w:w="1806" w:type="dxa"/>
            <w:vAlign w:val="center"/>
          </w:tcPr>
          <w:p w14:paraId="59ECD88C">
            <w:pPr>
              <w:widowControl/>
              <w:spacing w:line="36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磋商</w:t>
            </w:r>
            <w:r>
              <w:rPr>
                <w:rFonts w:hint="eastAsia" w:ascii="仿宋_GB2312" w:hAnsi="仿宋_GB2312" w:eastAsia="仿宋_GB2312" w:cs="仿宋_GB2312"/>
                <w:kern w:val="0"/>
                <w:sz w:val="21"/>
                <w:szCs w:val="21"/>
                <w:highlight w:val="none"/>
              </w:rPr>
              <w:t>文件有效性</w:t>
            </w:r>
          </w:p>
        </w:tc>
        <w:tc>
          <w:tcPr>
            <w:tcW w:w="6266" w:type="dxa"/>
            <w:vAlign w:val="center"/>
          </w:tcPr>
          <w:p w14:paraId="10AD52AA">
            <w:pPr>
              <w:widowControl/>
              <w:spacing w:line="36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法定代表人或授权代表签字和投标人公章</w:t>
            </w:r>
            <w:r>
              <w:rPr>
                <w:rFonts w:hint="eastAsia" w:ascii="仿宋_GB2312" w:hAnsi="仿宋_GB2312" w:eastAsia="仿宋_GB2312" w:cs="仿宋_GB2312"/>
                <w:kern w:val="0"/>
                <w:sz w:val="21"/>
                <w:szCs w:val="21"/>
                <w:highlight w:val="none"/>
              </w:rPr>
              <w:t>是否齐全、有效</w:t>
            </w:r>
            <w:r>
              <w:rPr>
                <w:rFonts w:hint="eastAsia" w:ascii="仿宋_GB2312" w:hAnsi="仿宋_GB2312" w:eastAsia="仿宋_GB2312" w:cs="仿宋_GB2312"/>
                <w:kern w:val="0"/>
                <w:sz w:val="21"/>
                <w:szCs w:val="21"/>
                <w:highlight w:val="none"/>
                <w:lang w:eastAsia="zh-CN"/>
              </w:rPr>
              <w:t>；</w:t>
            </w:r>
          </w:p>
        </w:tc>
      </w:tr>
      <w:tr w14:paraId="7FBE4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44C61A85">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4</w:t>
            </w:r>
          </w:p>
        </w:tc>
        <w:tc>
          <w:tcPr>
            <w:tcW w:w="1806" w:type="dxa"/>
            <w:vAlign w:val="center"/>
          </w:tcPr>
          <w:p w14:paraId="1200AC21">
            <w:pPr>
              <w:widowControl/>
              <w:spacing w:line="360" w:lineRule="auto"/>
              <w:jc w:val="center"/>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磋商</w:t>
            </w:r>
            <w:r>
              <w:rPr>
                <w:rFonts w:hint="eastAsia" w:ascii="仿宋_GB2312" w:hAnsi="仿宋_GB2312" w:eastAsia="仿宋_GB2312" w:cs="仿宋_GB2312"/>
                <w:kern w:val="0"/>
                <w:sz w:val="21"/>
                <w:szCs w:val="21"/>
                <w:highlight w:val="none"/>
              </w:rPr>
              <w:t>有效期</w:t>
            </w:r>
          </w:p>
        </w:tc>
        <w:tc>
          <w:tcPr>
            <w:tcW w:w="6266" w:type="dxa"/>
            <w:vAlign w:val="center"/>
          </w:tcPr>
          <w:p w14:paraId="2DCB10F8">
            <w:pPr>
              <w:widowControl/>
              <w:spacing w:line="360" w:lineRule="auto"/>
              <w:jc w:val="left"/>
              <w:rPr>
                <w:rFonts w:hint="eastAsia" w:ascii="仿宋_GB2312" w:hAnsi="仿宋_GB2312" w:eastAsia="仿宋_GB2312" w:cs="仿宋_GB2312"/>
                <w:kern w:val="0"/>
                <w:sz w:val="21"/>
                <w:szCs w:val="21"/>
                <w:highlight w:val="none"/>
                <w:lang w:val="en-US" w:eastAsia="zh-CN" w:bidi="ar-SA"/>
              </w:rPr>
            </w:pPr>
            <w:r>
              <w:rPr>
                <w:rFonts w:hint="eastAsia" w:ascii="仿宋_GB2312" w:hAnsi="仿宋_GB2312" w:eastAsia="仿宋_GB2312" w:cs="仿宋_GB2312"/>
                <w:kern w:val="0"/>
                <w:sz w:val="21"/>
                <w:szCs w:val="21"/>
                <w:highlight w:val="none"/>
                <w:lang w:val="en-US" w:eastAsia="zh-CN"/>
              </w:rPr>
              <w:t>自磋商</w:t>
            </w:r>
            <w:r>
              <w:rPr>
                <w:rFonts w:hint="eastAsia" w:ascii="仿宋_GB2312" w:hAnsi="仿宋_GB2312" w:eastAsia="仿宋_GB2312" w:cs="仿宋_GB2312"/>
                <w:kern w:val="0"/>
                <w:sz w:val="21"/>
                <w:szCs w:val="21"/>
                <w:highlight w:val="none"/>
              </w:rPr>
              <w:t>文件递交截止之日</w:t>
            </w:r>
            <w:r>
              <w:rPr>
                <w:rFonts w:hint="eastAsia" w:ascii="仿宋_GB2312" w:hAnsi="仿宋_GB2312" w:eastAsia="仿宋_GB2312" w:cs="仿宋_GB2312"/>
                <w:kern w:val="0"/>
                <w:sz w:val="21"/>
                <w:szCs w:val="21"/>
                <w:highlight w:val="none"/>
                <w:lang w:val="en-US" w:eastAsia="zh-CN"/>
              </w:rPr>
              <w:t>起不少于</w:t>
            </w:r>
            <w:r>
              <w:rPr>
                <w:rFonts w:hint="eastAsia" w:ascii="仿宋_GB2312" w:hAnsi="仿宋_GB2312" w:eastAsia="仿宋_GB2312" w:cs="仿宋_GB2312"/>
                <w:kern w:val="0"/>
                <w:sz w:val="21"/>
                <w:szCs w:val="21"/>
                <w:highlight w:val="none"/>
              </w:rPr>
              <w:t>90日历日</w:t>
            </w:r>
            <w:r>
              <w:rPr>
                <w:rFonts w:hint="eastAsia" w:ascii="仿宋_GB2312" w:hAnsi="仿宋_GB2312" w:eastAsia="仿宋_GB2312" w:cs="仿宋_GB2312"/>
                <w:kern w:val="0"/>
                <w:sz w:val="21"/>
                <w:szCs w:val="21"/>
                <w:highlight w:val="none"/>
                <w:lang w:eastAsia="zh-CN"/>
              </w:rPr>
              <w:t>；</w:t>
            </w:r>
          </w:p>
        </w:tc>
      </w:tr>
      <w:tr w14:paraId="7230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vAlign w:val="center"/>
          </w:tcPr>
          <w:p w14:paraId="5A235F77">
            <w:pPr>
              <w:widowControl/>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5</w:t>
            </w:r>
          </w:p>
        </w:tc>
        <w:tc>
          <w:tcPr>
            <w:tcW w:w="1806" w:type="dxa"/>
            <w:vAlign w:val="center"/>
          </w:tcPr>
          <w:p w14:paraId="0B881AE3">
            <w:pPr>
              <w:widowControl/>
              <w:spacing w:line="360" w:lineRule="auto"/>
              <w:jc w:val="center"/>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保证金</w:t>
            </w:r>
          </w:p>
        </w:tc>
        <w:tc>
          <w:tcPr>
            <w:tcW w:w="6266" w:type="dxa"/>
            <w:vAlign w:val="center"/>
          </w:tcPr>
          <w:p w14:paraId="749D6A90">
            <w:pPr>
              <w:widowControl/>
              <w:spacing w:line="360" w:lineRule="auto"/>
              <w:jc w:val="left"/>
              <w:rPr>
                <w:rFonts w:hint="eastAsia" w:ascii="仿宋_GB2312" w:hAnsi="仿宋_GB2312" w:eastAsia="仿宋_GB2312" w:cs="仿宋_GB2312"/>
                <w:kern w:val="0"/>
                <w:sz w:val="21"/>
                <w:szCs w:val="21"/>
                <w:highlight w:val="none"/>
                <w:lang w:val="en-US" w:eastAsia="zh-CN"/>
              </w:rPr>
            </w:pPr>
            <w:r>
              <w:rPr>
                <w:rFonts w:hint="eastAsia" w:ascii="仿宋_GB2312" w:hAnsi="仿宋_GB2312" w:eastAsia="仿宋_GB2312" w:cs="仿宋_GB2312"/>
                <w:kern w:val="0"/>
                <w:sz w:val="21"/>
                <w:szCs w:val="21"/>
                <w:highlight w:val="none"/>
                <w:lang w:val="en-US" w:eastAsia="zh-CN"/>
              </w:rPr>
              <w:t>缴纳保证金的银行转账或电汇凭证等；</w:t>
            </w:r>
          </w:p>
        </w:tc>
      </w:tr>
    </w:tbl>
    <w:tbl>
      <w:tblPr>
        <w:tblStyle w:val="26"/>
        <w:tblpPr w:leftFromText="180" w:rightFromText="180" w:vertAnchor="text" w:horzAnchor="page" w:tblpX="1525" w:tblpY="399"/>
        <w:tblOverlap w:val="never"/>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655"/>
        <w:gridCol w:w="2006"/>
        <w:gridCol w:w="4674"/>
        <w:gridCol w:w="772"/>
      </w:tblGrid>
      <w:tr w14:paraId="28D8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655" w:type="dxa"/>
            <w:noWrap w:val="0"/>
            <w:vAlign w:val="center"/>
          </w:tcPr>
          <w:p w14:paraId="1AB70755">
            <w:pPr>
              <w:pStyle w:val="15"/>
              <w:snapToGrid w:val="0"/>
              <w:spacing w:line="360" w:lineRule="auto"/>
              <w:jc w:val="center"/>
              <w:rPr>
                <w:rFonts w:hint="eastAsia" w:ascii="仿宋_GB2312" w:hAnsi="仿宋_GB2312" w:eastAsia="仿宋_GB2312" w:cs="仿宋_GB2312"/>
                <w:b/>
                <w:bCs/>
                <w:kern w:val="0"/>
                <w:sz w:val="21"/>
                <w:szCs w:val="21"/>
                <w:highlight w:val="none"/>
                <w:lang w:eastAsia="zh-CN"/>
              </w:rPr>
            </w:pPr>
            <w:r>
              <w:rPr>
                <w:rFonts w:hint="eastAsia" w:ascii="仿宋_GB2312" w:hAnsi="仿宋_GB2312" w:eastAsia="仿宋_GB2312" w:cs="仿宋_GB2312"/>
                <w:b/>
                <w:bCs/>
                <w:kern w:val="0"/>
                <w:sz w:val="21"/>
                <w:szCs w:val="21"/>
                <w:highlight w:val="none"/>
                <w:lang w:eastAsia="zh-CN"/>
              </w:rPr>
              <w:t>类别</w:t>
            </w:r>
          </w:p>
        </w:tc>
        <w:tc>
          <w:tcPr>
            <w:tcW w:w="2006" w:type="dxa"/>
            <w:noWrap w:val="0"/>
            <w:vAlign w:val="center"/>
          </w:tcPr>
          <w:p w14:paraId="5E5C6AB0">
            <w:pPr>
              <w:snapToGrid w:val="0"/>
              <w:spacing w:line="360" w:lineRule="auto"/>
              <w:jc w:val="center"/>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评审项</w:t>
            </w:r>
          </w:p>
        </w:tc>
        <w:tc>
          <w:tcPr>
            <w:tcW w:w="4674" w:type="dxa"/>
            <w:noWrap w:val="0"/>
            <w:vAlign w:val="center"/>
          </w:tcPr>
          <w:p w14:paraId="671B3996">
            <w:pPr>
              <w:snapToGrid w:val="0"/>
              <w:spacing w:line="360" w:lineRule="auto"/>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评审因素</w:t>
            </w:r>
          </w:p>
        </w:tc>
        <w:tc>
          <w:tcPr>
            <w:tcW w:w="772" w:type="dxa"/>
            <w:noWrap w:val="0"/>
            <w:vAlign w:val="center"/>
          </w:tcPr>
          <w:p w14:paraId="5F9F25D6">
            <w:pPr>
              <w:snapToGrid w:val="0"/>
              <w:spacing w:line="360" w:lineRule="auto"/>
              <w:jc w:val="center"/>
              <w:rPr>
                <w:rFonts w:hint="eastAsia" w:ascii="仿宋_GB2312" w:hAnsi="仿宋_GB2312" w:eastAsia="仿宋_GB2312" w:cs="仿宋_GB2312"/>
                <w:b/>
                <w:bCs/>
                <w:sz w:val="21"/>
                <w:szCs w:val="21"/>
                <w:highlight w:val="none"/>
                <w:lang w:eastAsia="zh-CN"/>
              </w:rPr>
            </w:pPr>
            <w:r>
              <w:rPr>
                <w:rFonts w:hint="eastAsia" w:ascii="仿宋_GB2312" w:hAnsi="仿宋_GB2312" w:eastAsia="仿宋_GB2312" w:cs="仿宋_GB2312"/>
                <w:b/>
                <w:bCs/>
                <w:sz w:val="21"/>
                <w:szCs w:val="21"/>
                <w:highlight w:val="none"/>
                <w:lang w:eastAsia="zh-CN"/>
              </w:rPr>
              <w:t>最高得分</w:t>
            </w:r>
          </w:p>
        </w:tc>
      </w:tr>
      <w:tr w14:paraId="76EE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655" w:type="dxa"/>
            <w:noWrap w:val="0"/>
            <w:vAlign w:val="center"/>
          </w:tcPr>
          <w:p w14:paraId="56BA9EC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价格</w:t>
            </w:r>
          </w:p>
          <w:p w14:paraId="03BE87C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评审</w:t>
            </w:r>
          </w:p>
          <w:p w14:paraId="6EEEF0A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c>
          <w:tcPr>
            <w:tcW w:w="2006" w:type="dxa"/>
            <w:noWrap w:val="0"/>
            <w:vAlign w:val="center"/>
          </w:tcPr>
          <w:p w14:paraId="7B12E13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最终报价</w:t>
            </w:r>
          </w:p>
        </w:tc>
        <w:tc>
          <w:tcPr>
            <w:tcW w:w="4674" w:type="dxa"/>
            <w:noWrap w:val="0"/>
            <w:vAlign w:val="center"/>
          </w:tcPr>
          <w:p w14:paraId="3874B29C">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1、本次磋商设最高</w:t>
            </w:r>
            <w:r>
              <w:rPr>
                <w:rFonts w:hint="eastAsia" w:ascii="仿宋_GB2312" w:hAnsi="仿宋_GB2312" w:eastAsia="仿宋_GB2312" w:cs="仿宋_GB2312"/>
                <w:color w:val="000000"/>
                <w:sz w:val="21"/>
                <w:szCs w:val="21"/>
                <w:lang w:eastAsia="zh-CN"/>
              </w:rPr>
              <w:t>磋商</w:t>
            </w:r>
            <w:r>
              <w:rPr>
                <w:rFonts w:hint="eastAsia" w:ascii="仿宋_GB2312" w:hAnsi="仿宋_GB2312" w:eastAsia="仿宋_GB2312" w:cs="仿宋_GB2312"/>
                <w:color w:val="000000"/>
                <w:sz w:val="21"/>
                <w:szCs w:val="21"/>
              </w:rPr>
              <w:t>限价（采购预算）。供应商的磋商报价超过最高</w:t>
            </w:r>
            <w:r>
              <w:rPr>
                <w:rFonts w:hint="eastAsia" w:ascii="仿宋_GB2312" w:hAnsi="仿宋_GB2312" w:eastAsia="仿宋_GB2312" w:cs="仿宋_GB2312"/>
                <w:color w:val="000000"/>
                <w:sz w:val="21"/>
                <w:szCs w:val="21"/>
                <w:lang w:eastAsia="zh-CN"/>
              </w:rPr>
              <w:t>磋商</w:t>
            </w:r>
            <w:r>
              <w:rPr>
                <w:rFonts w:hint="eastAsia" w:ascii="仿宋_GB2312" w:hAnsi="仿宋_GB2312" w:eastAsia="仿宋_GB2312" w:cs="仿宋_GB2312"/>
                <w:color w:val="000000"/>
                <w:sz w:val="21"/>
                <w:szCs w:val="21"/>
              </w:rPr>
              <w:t>限价的视为废标，不再参与下一步评审。</w:t>
            </w:r>
          </w:p>
          <w:p w14:paraId="272EDE21">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000000"/>
                <w:sz w:val="21"/>
                <w:szCs w:val="21"/>
              </w:rPr>
              <w:t>2、未超出财政预算，实质性满足</w:t>
            </w:r>
            <w:r>
              <w:rPr>
                <w:rFonts w:hint="eastAsia" w:ascii="仿宋_GB2312" w:hAnsi="仿宋_GB2312" w:eastAsia="仿宋_GB2312" w:cs="仿宋_GB2312"/>
                <w:color w:val="000000"/>
                <w:sz w:val="21"/>
                <w:szCs w:val="21"/>
                <w:lang w:eastAsia="zh-CN"/>
              </w:rPr>
              <w:t>竞争性</w:t>
            </w:r>
            <w:r>
              <w:rPr>
                <w:rFonts w:hint="eastAsia" w:ascii="仿宋_GB2312" w:hAnsi="仿宋_GB2312" w:eastAsia="仿宋_GB2312" w:cs="仿宋_GB2312"/>
                <w:color w:val="000000"/>
                <w:sz w:val="21"/>
                <w:szCs w:val="21"/>
              </w:rPr>
              <w:t>磋商文件要求且最后报价最低的报价为磋商基准价，其价格分为满分</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0分。其它供应商的价格分统一按照下列公式计算：磋商报价得分=（磋商基准价/最后磋商报价）×价格分值×100%</w:t>
            </w:r>
            <w:r>
              <w:rPr>
                <w:rFonts w:hint="eastAsia" w:ascii="仿宋_GB2312" w:hAnsi="仿宋_GB2312" w:eastAsia="仿宋_GB2312" w:cs="仿宋_GB2312"/>
                <w:color w:val="000000"/>
                <w:sz w:val="21"/>
                <w:szCs w:val="21"/>
                <w:lang w:eastAsia="zh-CN"/>
              </w:rPr>
              <w:t>。</w:t>
            </w:r>
          </w:p>
        </w:tc>
        <w:tc>
          <w:tcPr>
            <w:tcW w:w="772" w:type="dxa"/>
            <w:noWrap w:val="0"/>
            <w:vAlign w:val="center"/>
          </w:tcPr>
          <w:p w14:paraId="30A52FA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分</w:t>
            </w:r>
          </w:p>
        </w:tc>
      </w:tr>
      <w:tr w14:paraId="1630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655" w:type="dxa"/>
            <w:vMerge w:val="restart"/>
            <w:noWrap w:val="0"/>
            <w:vAlign w:val="center"/>
          </w:tcPr>
          <w:p w14:paraId="3FCCEF4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1DCED0E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40C34827">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2129150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1E2AC5A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4149511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6A766BC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3699505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1DEC36E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6164264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4E22C41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082F79E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商务</w:t>
            </w:r>
          </w:p>
          <w:p w14:paraId="03247A2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部分</w:t>
            </w:r>
          </w:p>
          <w:p w14:paraId="5C2A419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(30分）</w:t>
            </w:r>
          </w:p>
          <w:p w14:paraId="18FB98C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tc>
        <w:tc>
          <w:tcPr>
            <w:tcW w:w="2006" w:type="dxa"/>
            <w:noWrap w:val="0"/>
            <w:vAlign w:val="center"/>
          </w:tcPr>
          <w:p w14:paraId="684150F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755D254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412709A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0651F85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7878A7D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6E650E4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14:paraId="538E983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企业综合实力</w:t>
            </w:r>
          </w:p>
        </w:tc>
        <w:tc>
          <w:tcPr>
            <w:tcW w:w="4674" w:type="dxa"/>
            <w:noWrap w:val="0"/>
            <w:vAlign w:val="center"/>
          </w:tcPr>
          <w:p w14:paraId="287EBACE">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 xml:space="preserve">企业资质与认证（6分） </w:t>
            </w:r>
          </w:p>
          <w:p w14:paraId="66B72AEF">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提供与本项目相关的</w:t>
            </w:r>
            <w:r>
              <w:rPr>
                <w:rFonts w:hint="eastAsia" w:ascii="仿宋_GB2312" w:hAnsi="仿宋_GB2312" w:eastAsia="仿宋_GB2312" w:cs="仿宋_GB2312"/>
                <w:color w:val="000000"/>
                <w:sz w:val="21"/>
                <w:szCs w:val="21"/>
              </w:rPr>
              <w:t>ISO9001质量管理体系认证、ISO27001信息安全管理体系认证、CMMI3级（或以上）软件能力成熟度认证</w:t>
            </w:r>
            <w:r>
              <w:rPr>
                <w:rFonts w:hint="eastAsia" w:ascii="仿宋_GB2312" w:hAnsi="仿宋_GB2312" w:eastAsia="仿宋_GB2312" w:cs="仿宋_GB2312"/>
                <w:color w:val="000000"/>
                <w:sz w:val="21"/>
                <w:szCs w:val="21"/>
                <w:lang w:val="en-US" w:eastAsia="zh-CN"/>
              </w:rPr>
              <w:t>等</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提供证明材料，加盖公章。每提供1个得2分，本项最高得6分。</w:t>
            </w:r>
          </w:p>
          <w:p w14:paraId="14A18451">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rPr>
              <w:t>软件著作权（</w:t>
            </w: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分）</w:t>
            </w:r>
          </w:p>
          <w:p w14:paraId="2CFCD7CE">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提供与本项目相关的（如医院运营管理、医疗数据分析等）软件著作权登记证书。提供证明材料，加盖公章。每提供1个得2分，本项最高得4分。</w:t>
            </w:r>
          </w:p>
          <w:p w14:paraId="250DF373">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以上著作权证书的所有者须为投标人，</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必须提供证书等证明材料复印件</w:t>
            </w:r>
            <w:r>
              <w:rPr>
                <w:rFonts w:hint="eastAsia" w:ascii="仿宋_GB2312" w:hAnsi="仿宋_GB2312" w:eastAsia="仿宋_GB2312" w:cs="仿宋_GB2312"/>
                <w:color w:val="000000"/>
                <w:sz w:val="21"/>
                <w:szCs w:val="21"/>
                <w:lang w:eastAsia="zh-CN"/>
              </w:rPr>
              <w:t>）</w:t>
            </w:r>
          </w:p>
        </w:tc>
        <w:tc>
          <w:tcPr>
            <w:tcW w:w="772" w:type="dxa"/>
            <w:noWrap w:val="0"/>
            <w:vAlign w:val="center"/>
          </w:tcPr>
          <w:p w14:paraId="31499DB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10分</w:t>
            </w:r>
          </w:p>
        </w:tc>
      </w:tr>
      <w:tr w14:paraId="7C15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rPr>
        <w:tc>
          <w:tcPr>
            <w:tcW w:w="1655" w:type="dxa"/>
            <w:vMerge w:val="continue"/>
            <w:noWrap w:val="0"/>
            <w:vAlign w:val="center"/>
          </w:tcPr>
          <w:p w14:paraId="075DB72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tc>
        <w:tc>
          <w:tcPr>
            <w:tcW w:w="2006" w:type="dxa"/>
            <w:noWrap w:val="0"/>
            <w:vAlign w:val="center"/>
          </w:tcPr>
          <w:p w14:paraId="7AAD65E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业绩</w:t>
            </w:r>
          </w:p>
        </w:tc>
        <w:tc>
          <w:tcPr>
            <w:tcW w:w="4674" w:type="dxa"/>
            <w:noWrap w:val="0"/>
            <w:vAlign w:val="center"/>
          </w:tcPr>
          <w:p w14:paraId="452AFB22">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提供近3年内承接医院的运营管理</w:t>
            </w:r>
            <w:r>
              <w:rPr>
                <w:rFonts w:hint="eastAsia" w:ascii="仿宋_GB2312" w:hAnsi="仿宋_GB2312" w:eastAsia="仿宋_GB2312" w:cs="仿宋_GB2312"/>
                <w:color w:val="000000"/>
                <w:sz w:val="21"/>
                <w:szCs w:val="21"/>
                <w:lang w:val="en-US" w:eastAsia="zh-CN"/>
              </w:rPr>
              <w:t>或</w:t>
            </w:r>
            <w:r>
              <w:rPr>
                <w:rFonts w:hint="eastAsia" w:ascii="仿宋_GB2312" w:hAnsi="仿宋_GB2312" w:eastAsia="仿宋_GB2312" w:cs="仿宋_GB2312"/>
                <w:color w:val="000000"/>
                <w:sz w:val="21"/>
                <w:szCs w:val="21"/>
                <w:lang w:eastAsia="zh-CN"/>
              </w:rPr>
              <w:t>数据分析类软件项目合同。每提供一个得2分，本项最高</w:t>
            </w:r>
            <w:r>
              <w:rPr>
                <w:rFonts w:hint="eastAsia" w:ascii="仿宋_GB2312" w:hAnsi="仿宋_GB2312" w:eastAsia="仿宋_GB2312" w:cs="仿宋_GB2312"/>
                <w:color w:val="000000"/>
                <w:sz w:val="21"/>
                <w:szCs w:val="21"/>
                <w:lang w:val="en-US" w:eastAsia="zh-CN"/>
              </w:rPr>
              <w:t>得8</w:t>
            </w:r>
            <w:r>
              <w:rPr>
                <w:rFonts w:hint="eastAsia" w:ascii="仿宋_GB2312" w:hAnsi="仿宋_GB2312" w:eastAsia="仿宋_GB2312" w:cs="仿宋_GB2312"/>
                <w:color w:val="000000"/>
                <w:sz w:val="21"/>
                <w:szCs w:val="21"/>
                <w:lang w:eastAsia="zh-CN"/>
              </w:rPr>
              <w:t>分。（须提供合同关键页及验收证明复印件）</w:t>
            </w:r>
          </w:p>
        </w:tc>
        <w:tc>
          <w:tcPr>
            <w:tcW w:w="772" w:type="dxa"/>
            <w:noWrap w:val="0"/>
            <w:vAlign w:val="center"/>
          </w:tcPr>
          <w:p w14:paraId="0ECD776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8分</w:t>
            </w:r>
          </w:p>
        </w:tc>
      </w:tr>
      <w:tr w14:paraId="5D99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90" w:hRule="atLeast"/>
        </w:trPr>
        <w:tc>
          <w:tcPr>
            <w:tcW w:w="1655" w:type="dxa"/>
            <w:vMerge w:val="continue"/>
            <w:noWrap w:val="0"/>
            <w:vAlign w:val="center"/>
          </w:tcPr>
          <w:p w14:paraId="63B72DA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rPr>
            </w:pPr>
          </w:p>
        </w:tc>
        <w:tc>
          <w:tcPr>
            <w:tcW w:w="2006" w:type="dxa"/>
            <w:noWrap w:val="0"/>
            <w:vAlign w:val="center"/>
          </w:tcPr>
          <w:p w14:paraId="2E8D477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项目人员配置及</w:t>
            </w:r>
          </w:p>
          <w:p w14:paraId="3F640AF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人员管理制度</w:t>
            </w:r>
          </w:p>
          <w:p w14:paraId="28FA6085">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tc>
        <w:tc>
          <w:tcPr>
            <w:tcW w:w="4674" w:type="dxa"/>
            <w:noWrap w:val="0"/>
            <w:vAlign w:val="center"/>
          </w:tcPr>
          <w:p w14:paraId="4AF2F4A7">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供应商针对本项目应提供的项目团队人员配备方案进行评审，需包含以下2个方面：</w:t>
            </w:r>
          </w:p>
          <w:p w14:paraId="15C649DB">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1、人员配置及岗位职责</w:t>
            </w:r>
          </w:p>
          <w:p w14:paraId="7CBF49F4">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2、人员管理制度</w:t>
            </w:r>
          </w:p>
          <w:p w14:paraId="19D6D20F">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每条需从以下维度进行综合评价：</w:t>
            </w:r>
          </w:p>
          <w:p w14:paraId="6BCBCA95">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①合理性：方案提出的方法和标准应该是合理的、恰当的。</w:t>
            </w:r>
          </w:p>
          <w:p w14:paraId="71479F02">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②完备性：方案完整，能实现招标件所需的所有要求。</w:t>
            </w:r>
          </w:p>
          <w:p w14:paraId="28F3FDA9">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③针对性：方案必须切合实际情况，根据招标文件的要求提出个性化的解决方案。</w:t>
            </w:r>
          </w:p>
          <w:p w14:paraId="2CF40AA9">
            <w:pPr>
              <w:keepNext w:val="0"/>
              <w:keepLines w:val="0"/>
              <w:pageBreakBefore w:val="0"/>
              <w:kinsoku/>
              <w:wordWrap/>
              <w:overflowPunct/>
              <w:topLinePunct w:val="0"/>
              <w:autoSpaceDE/>
              <w:autoSpaceDN/>
              <w:bidi w:val="0"/>
              <w:adjustRightInd/>
              <w:snapToGrid w:val="0"/>
              <w:spacing w:line="440" w:lineRule="exact"/>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每个方案每满足一个考核点得2分，完全满足上述3个考核要求的得6分；方案</w:t>
            </w:r>
            <w:r>
              <w:rPr>
                <w:rFonts w:hint="eastAsia" w:ascii="仿宋_GB2312" w:hAnsi="仿宋_GB2312" w:eastAsia="仿宋_GB2312" w:cs="仿宋_GB2312"/>
                <w:color w:val="000000"/>
                <w:sz w:val="21"/>
                <w:szCs w:val="21"/>
                <w:lang w:eastAsia="zh-CN"/>
              </w:rPr>
              <w:t>不缺项，描述内容齐全、逻辑合理的得</w:t>
            </w:r>
            <w:r>
              <w:rPr>
                <w:rFonts w:hint="eastAsia" w:ascii="仿宋_GB2312" w:hAnsi="仿宋_GB2312" w:eastAsia="仿宋_GB2312" w:cs="仿宋_GB2312"/>
                <w:color w:val="000000"/>
                <w:sz w:val="21"/>
                <w:szCs w:val="21"/>
                <w:lang w:val="en-US" w:eastAsia="zh-CN"/>
              </w:rPr>
              <w:t>12</w:t>
            </w:r>
            <w:r>
              <w:rPr>
                <w:rFonts w:hint="eastAsia" w:ascii="仿宋_GB2312" w:hAnsi="仿宋_GB2312" w:eastAsia="仿宋_GB2312" w:cs="仿宋_GB2312"/>
                <w:color w:val="000000"/>
                <w:sz w:val="21"/>
                <w:szCs w:val="21"/>
                <w:lang w:eastAsia="zh-CN"/>
              </w:rPr>
              <w:t>分；（</w:t>
            </w: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以上方案内容每缺少一个考核项扣2分；（3）每个方案中考核点有一处存在缺陷或不足、内容不完整或不符合项目实际情况的扣2分，每个方案内容最多扣6分，扣完为止。</w:t>
            </w:r>
          </w:p>
          <w:p w14:paraId="65F4CFB8">
            <w:pPr>
              <w:keepNext w:val="0"/>
              <w:keepLines w:val="0"/>
              <w:pageBreakBefore w:val="0"/>
              <w:kinsoku/>
              <w:wordWrap/>
              <w:overflowPunct/>
              <w:topLinePunct w:val="0"/>
              <w:autoSpaceDE/>
              <w:autoSpaceDN/>
              <w:bidi w:val="0"/>
              <w:adjustRightInd/>
              <w:snapToGrid/>
              <w:spacing w:line="440" w:lineRule="exact"/>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4D3A25F8">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r w14:paraId="65DB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677" w:hRule="atLeast"/>
        </w:trPr>
        <w:tc>
          <w:tcPr>
            <w:tcW w:w="1655" w:type="dxa"/>
            <w:vMerge w:val="restart"/>
            <w:noWrap w:val="0"/>
            <w:vAlign w:val="center"/>
          </w:tcPr>
          <w:p w14:paraId="75D0601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2B828D3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42A8E77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608287CC">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29F80FD0">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p w14:paraId="5ACC551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技术</w:t>
            </w:r>
          </w:p>
          <w:p w14:paraId="5CF66E52">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部分</w:t>
            </w:r>
          </w:p>
          <w:p w14:paraId="4D19584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(60分)</w:t>
            </w:r>
          </w:p>
          <w:p w14:paraId="7FBEEDD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tc>
        <w:tc>
          <w:tcPr>
            <w:tcW w:w="2006" w:type="dxa"/>
            <w:noWrap w:val="0"/>
            <w:vAlign w:val="center"/>
          </w:tcPr>
          <w:p w14:paraId="0BEED80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bCs w:val="0"/>
                <w:sz w:val="21"/>
                <w:szCs w:val="21"/>
                <w:lang w:val="en-US" w:eastAsia="zh-CN"/>
              </w:rPr>
            </w:pPr>
          </w:p>
          <w:p w14:paraId="4B67B2A6">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项目分析</w:t>
            </w:r>
          </w:p>
        </w:tc>
        <w:tc>
          <w:tcPr>
            <w:tcW w:w="4674" w:type="dxa"/>
            <w:noWrap w:val="0"/>
            <w:vAlign w:val="center"/>
          </w:tcPr>
          <w:p w14:paraId="2C13FD59">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评委根据投标人提供的</w:t>
            </w:r>
            <w:r>
              <w:rPr>
                <w:rFonts w:hint="eastAsia" w:ascii="仿宋_GB2312" w:hAnsi="仿宋_GB2312" w:eastAsia="仿宋_GB2312" w:cs="仿宋_GB2312"/>
                <w:color w:val="auto"/>
                <w:sz w:val="21"/>
                <w:szCs w:val="21"/>
                <w:highlight w:val="none"/>
                <w:lang w:val="en-US" w:eastAsia="zh-CN"/>
              </w:rPr>
              <w:t>项目分析</w:t>
            </w:r>
            <w:r>
              <w:rPr>
                <w:rFonts w:hint="eastAsia" w:ascii="仿宋_GB2312" w:hAnsi="仿宋_GB2312" w:eastAsia="仿宋_GB2312" w:cs="仿宋_GB2312"/>
                <w:color w:val="000000"/>
                <w:sz w:val="21"/>
                <w:szCs w:val="21"/>
                <w:lang w:val="en-US" w:eastAsia="zh-CN"/>
              </w:rPr>
              <w:t>材料综合评分，包括:1.采购需求分析;2.建设目标分析;3.建设依据、必要性分析;4.重点难点分析。以上每项内容逐条阐述。</w:t>
            </w:r>
          </w:p>
          <w:p w14:paraId="27E7DCEF">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满足以上四项内容且完整深刻、针对性强、紧贴本项目的，得12分；（2）以上要素内容每缺少一项扣3分；（3）每项中每有一处存在缺陷或不足、内容不完整或不符合项目实际情况的扣1分，每一项要素内容最多扣3分，扣完为止。</w:t>
            </w:r>
          </w:p>
          <w:p w14:paraId="0AFABF75">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33C8103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r w14:paraId="0D50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426" w:hRule="atLeast"/>
        </w:trPr>
        <w:tc>
          <w:tcPr>
            <w:tcW w:w="1655" w:type="dxa"/>
            <w:vMerge w:val="continue"/>
            <w:noWrap w:val="0"/>
            <w:vAlign w:val="center"/>
          </w:tcPr>
          <w:p w14:paraId="732469D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tc>
        <w:tc>
          <w:tcPr>
            <w:tcW w:w="2006" w:type="dxa"/>
            <w:noWrap w:val="0"/>
            <w:vAlign w:val="center"/>
          </w:tcPr>
          <w:p w14:paraId="5CFB0A0F">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总体技术方案</w:t>
            </w:r>
          </w:p>
        </w:tc>
        <w:tc>
          <w:tcPr>
            <w:tcW w:w="4674" w:type="dxa"/>
            <w:noWrap w:val="0"/>
            <w:vAlign w:val="center"/>
          </w:tcPr>
          <w:p w14:paraId="3764F1AC">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评委根据投标人提供的项目总体技术方案综合评分，包括:1.总体架沟和性能设计；2.技术路线和业务逻辑流程设计；3.用户界面和应用功能计；</w:t>
            </w:r>
          </w:p>
          <w:p w14:paraId="41CAED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4.系统部署和安全防护设计。以上每项内容逐条阐述。</w:t>
            </w:r>
          </w:p>
          <w:p w14:paraId="46C4A659">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满足以上四项内容且完整深刻、针对性强、紧贴本项目的，得12分；（2）以上要素内容每缺少一项扣3分；（3）每项中每有一处存在缺陷或不足、内容不完整或不符合项目实际情况的扣1分，每一项要素内容最多扣3分，扣完为止。</w:t>
            </w:r>
          </w:p>
          <w:p w14:paraId="07AFEA98">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08165DB1">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r w14:paraId="1FA8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377" w:hRule="atLeast"/>
        </w:trPr>
        <w:tc>
          <w:tcPr>
            <w:tcW w:w="1655" w:type="dxa"/>
            <w:vMerge w:val="continue"/>
            <w:noWrap w:val="0"/>
            <w:vAlign w:val="center"/>
          </w:tcPr>
          <w:p w14:paraId="608C71B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tc>
        <w:tc>
          <w:tcPr>
            <w:tcW w:w="2006" w:type="dxa"/>
            <w:noWrap w:val="0"/>
            <w:vAlign w:val="center"/>
          </w:tcPr>
          <w:p w14:paraId="38480D08">
            <w:pPr>
              <w:keepNext w:val="0"/>
              <w:keepLines w:val="0"/>
              <w:pageBreakBefore w:val="0"/>
              <w:widowControl w:val="0"/>
              <w:kinsoku/>
              <w:wordWrap/>
              <w:overflowPunct/>
              <w:topLinePunct w:val="0"/>
              <w:autoSpaceDE/>
              <w:autoSpaceDN/>
              <w:bidi w:val="0"/>
              <w:adjustRightInd/>
              <w:snapToGrid w:val="0"/>
              <w:spacing w:line="360" w:lineRule="auto"/>
              <w:ind w:right="0" w:rightChars="0"/>
              <w:jc w:val="center"/>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项目实施方案</w:t>
            </w:r>
          </w:p>
        </w:tc>
        <w:tc>
          <w:tcPr>
            <w:tcW w:w="4674" w:type="dxa"/>
            <w:noWrap w:val="0"/>
            <w:vAlign w:val="center"/>
          </w:tcPr>
          <w:p w14:paraId="48328E36">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评委根据投标人提供的项目实施方案综合评分，包括:1.实施流程..实施进度安排;3.保障措施;4.验收措施。以上每项内容逐条术。</w:t>
            </w:r>
          </w:p>
          <w:p w14:paraId="3EA83A75">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满足以上四项内容且完整深刻、针对性强、紧贴本项目的，得12分；（2）以上要素内容每缺少一项扣3分；（3）每项中每有一处存在缺陷或不足、内容不完整或不符合项目实际情况的扣1分，每一项要素内容最多扣3分，扣完为止。</w:t>
            </w:r>
          </w:p>
          <w:p w14:paraId="734F9B27">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291F8CDE">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r w14:paraId="2842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4907" w:hRule="atLeast"/>
        </w:trPr>
        <w:tc>
          <w:tcPr>
            <w:tcW w:w="1655" w:type="dxa"/>
            <w:vMerge w:val="continue"/>
            <w:noWrap w:val="0"/>
            <w:vAlign w:val="center"/>
          </w:tcPr>
          <w:p w14:paraId="4CCCAB4F">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tc>
        <w:tc>
          <w:tcPr>
            <w:tcW w:w="2006" w:type="dxa"/>
            <w:noWrap w:val="0"/>
            <w:vAlign w:val="center"/>
          </w:tcPr>
          <w:p w14:paraId="55CA801B">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1"/>
                <w:szCs w:val="21"/>
                <w:lang w:val="en-US" w:eastAsia="zh-CN"/>
              </w:rPr>
            </w:pPr>
          </w:p>
          <w:p w14:paraId="4DEDC314">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color w:val="000000"/>
                <w:sz w:val="21"/>
                <w:szCs w:val="21"/>
                <w:lang w:val="en-US" w:eastAsia="zh-CN"/>
              </w:rPr>
              <w:t>系统对接方案</w:t>
            </w:r>
          </w:p>
        </w:tc>
        <w:tc>
          <w:tcPr>
            <w:tcW w:w="4674" w:type="dxa"/>
            <w:noWrap w:val="0"/>
            <w:vAlign w:val="center"/>
          </w:tcPr>
          <w:p w14:paraId="0C7C6213">
            <w:pPr>
              <w:snapToGrid w:val="0"/>
              <w:spacing w:line="360" w:lineRule="auto"/>
              <w:jc w:val="left"/>
              <w:rPr>
                <w:rFonts w:hint="eastAsia" w:ascii="仿宋_GB2312" w:hAnsi="仿宋_GB2312" w:eastAsia="仿宋_GB2312" w:cs="仿宋_GB2312"/>
                <w:color w:val="000000" w:themeColor="text1"/>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评委根据投标人提供的系统对接方案综合评分，包括1.对接实施计划;2.对接重点难点;3.对接保障措施;4.对接效果评估与持续优化。以上每项内容逐条阐述。</w:t>
            </w:r>
          </w:p>
          <w:p w14:paraId="282FB0F2">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满足以上四项内容且完整深刻、针对性强、紧贴本项目的，得12分；（2）以上要素内容每缺少一项扣3分；（3）每项中每有一处存在缺陷或不足、内容不完整或不符合项目实际情况的扣1分，每一项要素内容最多扣3分，扣完为止。</w:t>
            </w:r>
          </w:p>
          <w:p w14:paraId="75AB01D6">
            <w:pPr>
              <w:numPr>
                <w:ilvl w:val="0"/>
                <w:numId w:val="0"/>
              </w:numPr>
              <w:snapToGrid w:val="0"/>
              <w:spacing w:line="360" w:lineRule="auto"/>
              <w:jc w:val="left"/>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2FCC67D9">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r w14:paraId="75BF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228" w:hRule="atLeast"/>
        </w:trPr>
        <w:tc>
          <w:tcPr>
            <w:tcW w:w="1655" w:type="dxa"/>
            <w:vMerge w:val="continue"/>
            <w:noWrap w:val="0"/>
            <w:vAlign w:val="center"/>
          </w:tcPr>
          <w:p w14:paraId="4E6FD5B3">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eastAsia="zh-CN"/>
              </w:rPr>
            </w:pPr>
          </w:p>
        </w:tc>
        <w:tc>
          <w:tcPr>
            <w:tcW w:w="2006" w:type="dxa"/>
            <w:noWrap w:val="0"/>
            <w:vAlign w:val="center"/>
          </w:tcPr>
          <w:p w14:paraId="17B809FA">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1"/>
                <w:szCs w:val="21"/>
                <w:lang w:val="en-US" w:eastAsia="zh-CN"/>
              </w:rPr>
            </w:pPr>
            <w:r>
              <w:rPr>
                <w:rFonts w:hint="eastAsia" w:ascii="仿宋_GB2312" w:hAnsi="仿宋_GB2312" w:eastAsia="仿宋_GB2312" w:cs="仿宋_GB2312"/>
                <w:color w:val="000000"/>
                <w:sz w:val="21"/>
                <w:szCs w:val="21"/>
                <w:lang w:val="en-US" w:eastAsia="zh-CN"/>
              </w:rPr>
              <w:t>项目培训方案</w:t>
            </w:r>
          </w:p>
        </w:tc>
        <w:tc>
          <w:tcPr>
            <w:tcW w:w="4674" w:type="dxa"/>
            <w:noWrap w:val="0"/>
            <w:vAlign w:val="center"/>
          </w:tcPr>
          <w:p w14:paraId="1B4B05D2">
            <w:pPr>
              <w:snapToGrid w:val="0"/>
              <w:spacing w:line="360" w:lineRule="auto"/>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评委根据投标人提供的项目培训方案综合评分，包括 1.培训计划;2.培训内容;3.师资力量;4.培训质量保障措施。以上每项内容逐条阐述。</w:t>
            </w:r>
          </w:p>
          <w:p w14:paraId="26C4AD63">
            <w:pPr>
              <w:keepNext w:val="0"/>
              <w:keepLines w:val="0"/>
              <w:pageBreakBefore w:val="0"/>
              <w:widowControl w:val="0"/>
              <w:kinsoku/>
              <w:wordWrap/>
              <w:overflowPunct/>
              <w:topLinePunct w:val="0"/>
              <w:autoSpaceDE/>
              <w:autoSpaceDN/>
              <w:bidi w:val="0"/>
              <w:adjustRightInd/>
              <w:snapToGrid w:val="0"/>
              <w:spacing w:line="360" w:lineRule="auto"/>
              <w:ind w:right="0" w:rightChars="0"/>
              <w:jc w:val="left"/>
              <w:textAlignment w:val="auto"/>
              <w:outlineLvl w:val="9"/>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满足以上四项内容且完整深刻、针对性强、紧贴本项目的，得12分；（2）以上要素内容每缺少一项扣3分；（3）每项中每有一处存在缺陷或不足、内容不完整或不符合项目实际情况的扣1分，每一项要素内容最多扣3分，扣完为止。</w:t>
            </w:r>
          </w:p>
          <w:p w14:paraId="0DD5F09E">
            <w:pPr>
              <w:snapToGrid w:val="0"/>
              <w:spacing w:line="360" w:lineRule="auto"/>
              <w:jc w:val="left"/>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注:缺陷或不足是指内容逻辑混乱，不符合相关的国家、行业标准；不完整指内容具有明显缺陷，前后内容无法连贯，不符合项目实际情况（内容脱离了实际采购情况）不利于采购人依照方案实施项目。</w:t>
            </w:r>
          </w:p>
        </w:tc>
        <w:tc>
          <w:tcPr>
            <w:tcW w:w="772" w:type="dxa"/>
            <w:noWrap w:val="0"/>
            <w:vAlign w:val="center"/>
          </w:tcPr>
          <w:p w14:paraId="54428F5D">
            <w:pPr>
              <w:keepNext w:val="0"/>
              <w:keepLines w:val="0"/>
              <w:pageBreakBefore w:val="0"/>
              <w:widowControl w:val="0"/>
              <w:kinsoku/>
              <w:wordWrap/>
              <w:overflowPunct/>
              <w:topLinePunct w:val="0"/>
              <w:autoSpaceDE/>
              <w:autoSpaceDN/>
              <w:bidi w:val="0"/>
              <w:snapToGrid w:val="0"/>
              <w:spacing w:line="360" w:lineRule="auto"/>
              <w:ind w:left="0" w:leftChars="0" w:right="0" w:rightChars="0" w:firstLine="0" w:firstLineChars="0"/>
              <w:jc w:val="righ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12分</w:t>
            </w:r>
          </w:p>
        </w:tc>
      </w:tr>
    </w:tbl>
    <w:p w14:paraId="1FBF449A">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9"/>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11.3详细评审标准</w:t>
      </w:r>
    </w:p>
    <w:p w14:paraId="069A23EA">
      <w:pPr>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各评审专家在充分审阅供应商响应文件的基础上，按照评审标准对每个供应商进行打分，评委评议得分算术平均值为各供应商的评审得分（小数点后保留2位有效数字），按评审得分由高到低顺序，推荐前三名为本项目成交候选供应商。</w:t>
      </w:r>
    </w:p>
    <w:p w14:paraId="434CED31">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2" w:name="_Toc1434"/>
      <w:bookmarkStart w:id="33" w:name="_Toc75259347"/>
      <w:r>
        <w:rPr>
          <w:rFonts w:hint="eastAsia" w:ascii="仿宋_GB2312" w:hAnsi="仿宋_GB2312" w:eastAsia="仿宋_GB2312" w:cs="仿宋_GB2312"/>
          <w:b/>
          <w:color w:val="auto"/>
          <w:sz w:val="21"/>
          <w:szCs w:val="21"/>
          <w:highlight w:val="none"/>
        </w:rPr>
        <w:t>12．磋商小组</w:t>
      </w:r>
      <w:bookmarkEnd w:id="32"/>
      <w:bookmarkEnd w:id="33"/>
    </w:p>
    <w:p w14:paraId="66E3C170">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lang w:val="zh-CN"/>
        </w:rPr>
        <w:t>磋商小组由采购人代表和评审专家共同组成。评审专家应当从政府采购评审专家库内相关专业的专家名单中随机抽取。</w:t>
      </w:r>
    </w:p>
    <w:p w14:paraId="73696399">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4" w:name="_Toc30469"/>
      <w:bookmarkStart w:id="35" w:name="_Toc75259348"/>
      <w:r>
        <w:rPr>
          <w:rFonts w:hint="eastAsia" w:ascii="仿宋_GB2312" w:hAnsi="仿宋_GB2312" w:eastAsia="仿宋_GB2312" w:cs="仿宋_GB2312"/>
          <w:b/>
          <w:color w:val="auto"/>
          <w:sz w:val="21"/>
          <w:szCs w:val="21"/>
          <w:highlight w:val="none"/>
        </w:rPr>
        <w:t>13．磋商评审纪律</w:t>
      </w:r>
      <w:bookmarkEnd w:id="34"/>
      <w:bookmarkEnd w:id="35"/>
    </w:p>
    <w:p w14:paraId="339077B7">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13.1磋商小组成员</w:t>
      </w:r>
      <w:r>
        <w:rPr>
          <w:rFonts w:hint="eastAsia" w:ascii="仿宋_GB2312" w:hAnsi="仿宋_GB2312" w:eastAsia="仿宋_GB2312" w:cs="仿宋_GB2312"/>
          <w:color w:val="auto"/>
          <w:sz w:val="21"/>
          <w:szCs w:val="21"/>
          <w:highlight w:val="none"/>
          <w:lang w:val="zh-CN"/>
        </w:rPr>
        <w:t>内部讨论的情况和意见必须保密，任何人不得以任何形式透露给供应商或与供应商有关的单位或个人；</w:t>
      </w:r>
    </w:p>
    <w:p w14:paraId="449A088A">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13.2</w:t>
      </w:r>
      <w:r>
        <w:rPr>
          <w:rFonts w:hint="eastAsia" w:ascii="仿宋_GB2312" w:hAnsi="仿宋_GB2312" w:eastAsia="仿宋_GB2312" w:cs="仿宋_GB2312"/>
          <w:color w:val="auto"/>
          <w:sz w:val="21"/>
          <w:szCs w:val="21"/>
          <w:highlight w:val="none"/>
          <w:lang w:val="zh-CN"/>
        </w:rPr>
        <w:t>在磋商过程中，供应商不得以任何形式对磋商小组成员进行旨在影响磋商结果的私下接触，否则取消其磋商资格；</w:t>
      </w:r>
    </w:p>
    <w:p w14:paraId="032E02A5">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lang w:val="zh-CN"/>
        </w:rPr>
      </w:pPr>
      <w:r>
        <w:rPr>
          <w:rFonts w:hint="eastAsia" w:ascii="仿宋_GB2312" w:hAnsi="仿宋_GB2312" w:eastAsia="仿宋_GB2312" w:cs="仿宋_GB2312"/>
          <w:color w:val="auto"/>
          <w:sz w:val="21"/>
          <w:szCs w:val="21"/>
          <w:highlight w:val="none"/>
        </w:rPr>
        <w:t>13.3</w:t>
      </w:r>
      <w:r>
        <w:rPr>
          <w:rFonts w:hint="eastAsia" w:ascii="仿宋_GB2312" w:hAnsi="仿宋_GB2312" w:eastAsia="仿宋_GB2312" w:cs="仿宋_GB2312"/>
          <w:color w:val="auto"/>
          <w:sz w:val="21"/>
          <w:szCs w:val="21"/>
          <w:highlight w:val="none"/>
          <w:lang w:val="zh-CN"/>
        </w:rPr>
        <w:t>磋商小组以及与磋商有关的人员应当对评审情况和评审过程中获悉的国家秘密、商业秘密予以保密。</w:t>
      </w:r>
    </w:p>
    <w:p w14:paraId="788D4260">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6" w:name="_Toc7094"/>
      <w:bookmarkStart w:id="37" w:name="_Toc75259349"/>
      <w:r>
        <w:rPr>
          <w:rFonts w:hint="eastAsia" w:ascii="仿宋_GB2312" w:hAnsi="仿宋_GB2312" w:eastAsia="仿宋_GB2312" w:cs="仿宋_GB2312"/>
          <w:b/>
          <w:color w:val="auto"/>
          <w:sz w:val="21"/>
          <w:szCs w:val="21"/>
          <w:highlight w:val="none"/>
        </w:rPr>
        <w:t>14．无效响应文件情况说明</w:t>
      </w:r>
      <w:bookmarkEnd w:id="36"/>
      <w:bookmarkEnd w:id="37"/>
    </w:p>
    <w:p w14:paraId="1C9048E6">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 xml:space="preserve">响应文件有下列情形之一的，应当按照无效响应文件处理： </w:t>
      </w:r>
    </w:p>
    <w:p w14:paraId="33A518D2">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Cs/>
          <w:color w:val="auto"/>
          <w:sz w:val="21"/>
          <w:szCs w:val="21"/>
          <w:highlight w:val="none"/>
        </w:rPr>
        <w:t>14.1</w:t>
      </w:r>
      <w:r>
        <w:rPr>
          <w:rFonts w:hint="eastAsia" w:ascii="仿宋_GB2312" w:hAnsi="仿宋_GB2312" w:eastAsia="仿宋_GB2312" w:cs="仿宋_GB2312"/>
          <w:color w:val="auto"/>
          <w:sz w:val="21"/>
          <w:szCs w:val="21"/>
          <w:highlight w:val="none"/>
        </w:rPr>
        <w:t>未按磋商文件规定要求签署、盖章的；</w:t>
      </w:r>
    </w:p>
    <w:p w14:paraId="71EA9C86">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14.2不具备磋商文件中规定的资格要求的；</w:t>
      </w:r>
    </w:p>
    <w:p w14:paraId="44566144">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14.3报价超过采购预算的；</w:t>
      </w:r>
    </w:p>
    <w:p w14:paraId="2A737771">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14.4未完全响应磋商文件规定的实质性要求的；</w:t>
      </w:r>
    </w:p>
    <w:p w14:paraId="5E95234B">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14.5不符合法律、法规规定的其他情形。</w:t>
      </w:r>
    </w:p>
    <w:p w14:paraId="09422E42">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14.6供应商没有经过正常渠道购买磋商文件或供应商的名称与登记领取磋商人的名称不符；</w:t>
      </w:r>
    </w:p>
    <w:p w14:paraId="043F5EA8">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color w:val="auto"/>
          <w:sz w:val="21"/>
          <w:szCs w:val="21"/>
          <w:highlight w:val="none"/>
        </w:rPr>
        <w:t>14.7响应文件</w:t>
      </w:r>
      <w:r>
        <w:rPr>
          <w:rFonts w:hint="eastAsia" w:ascii="仿宋_GB2312" w:hAnsi="仿宋_GB2312" w:eastAsia="仿宋_GB2312" w:cs="仿宋_GB2312"/>
          <w:bCs/>
          <w:color w:val="auto"/>
          <w:sz w:val="21"/>
          <w:szCs w:val="21"/>
          <w:highlight w:val="none"/>
        </w:rPr>
        <w:t>没有盖单位公章</w:t>
      </w:r>
      <w:r>
        <w:rPr>
          <w:rFonts w:hint="eastAsia" w:ascii="仿宋_GB2312" w:hAnsi="仿宋_GB2312" w:eastAsia="仿宋_GB2312" w:cs="仿宋_GB2312"/>
          <w:bCs/>
          <w:color w:val="auto"/>
          <w:sz w:val="21"/>
          <w:szCs w:val="21"/>
          <w:highlight w:val="none"/>
          <w:lang w:eastAsia="zh-CN"/>
        </w:rPr>
        <w:t>的</w:t>
      </w:r>
      <w:r>
        <w:rPr>
          <w:rFonts w:hint="eastAsia" w:ascii="仿宋_GB2312" w:hAnsi="仿宋_GB2312" w:eastAsia="仿宋_GB2312" w:cs="仿宋_GB2312"/>
          <w:bCs/>
          <w:color w:val="auto"/>
          <w:sz w:val="21"/>
          <w:szCs w:val="21"/>
          <w:highlight w:val="none"/>
        </w:rPr>
        <w:t>，无有效期或有效期达不到磋商文件的要求；</w:t>
      </w:r>
    </w:p>
    <w:p w14:paraId="241153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14.8供应商针对同一项目递交两份或多份内容不同的响应文件，未书面声明哪一份是有效的；出现选择性报价的；</w:t>
      </w:r>
    </w:p>
    <w:p w14:paraId="08722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rPr>
        <w:t>14.9提供虚假资质证明，除按无效响应文件处理外，并进行相应的处罚；</w:t>
      </w:r>
    </w:p>
    <w:p w14:paraId="49166F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Cs/>
          <w:color w:val="auto"/>
          <w:kern w:val="0"/>
          <w:sz w:val="21"/>
          <w:szCs w:val="21"/>
          <w:highlight w:val="none"/>
        </w:rPr>
      </w:pPr>
      <w:r>
        <w:rPr>
          <w:rFonts w:hint="eastAsia" w:ascii="仿宋_GB2312" w:hAnsi="仿宋_GB2312" w:eastAsia="仿宋_GB2312" w:cs="仿宋_GB2312"/>
          <w:bCs/>
          <w:color w:val="auto"/>
          <w:sz w:val="21"/>
          <w:szCs w:val="21"/>
          <w:highlight w:val="none"/>
        </w:rPr>
        <w:t>14.10</w:t>
      </w:r>
      <w:r>
        <w:rPr>
          <w:rFonts w:hint="eastAsia" w:ascii="仿宋_GB2312" w:hAnsi="仿宋_GB2312" w:eastAsia="仿宋_GB2312" w:cs="仿宋_GB2312"/>
          <w:bCs/>
          <w:color w:val="auto"/>
          <w:kern w:val="0"/>
          <w:sz w:val="21"/>
          <w:szCs w:val="21"/>
          <w:highlight w:val="none"/>
        </w:rPr>
        <w:t>单位负责人为同一人或者存在直接控股、管理关系的不同单位不得同时磋商。</w:t>
      </w:r>
    </w:p>
    <w:p w14:paraId="6E04BC9D">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38" w:name="_Toc75259350"/>
      <w:bookmarkStart w:id="39" w:name="_Toc2106"/>
      <w:r>
        <w:rPr>
          <w:rFonts w:hint="eastAsia" w:ascii="仿宋_GB2312" w:hAnsi="仿宋_GB2312" w:eastAsia="仿宋_GB2312" w:cs="仿宋_GB2312"/>
          <w:b/>
          <w:color w:val="auto"/>
          <w:sz w:val="21"/>
          <w:szCs w:val="21"/>
          <w:highlight w:val="none"/>
        </w:rPr>
        <w:t>15．对响应文件的修正</w:t>
      </w:r>
      <w:bookmarkEnd w:id="38"/>
      <w:bookmarkEnd w:id="39"/>
    </w:p>
    <w:p w14:paraId="5AD3D0C8">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15．1磋商中，对价格的计算错误按下述原则修正：</w:t>
      </w:r>
    </w:p>
    <w:p w14:paraId="4E548846">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（1）磋商时，响应文件正本与副本不一致的，以正本为准。</w:t>
      </w:r>
    </w:p>
    <w:p w14:paraId="4F34746E">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xml:space="preserve">（2）响应文件的大写金额和小写金额不一致的，以大写金额为准； </w:t>
      </w:r>
    </w:p>
    <w:p w14:paraId="3463EBE8">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（3）总价金额与按单价汇总金额不一致的，以单价金额计算结果为准；</w:t>
      </w:r>
    </w:p>
    <w:p w14:paraId="75CB436E">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（4）单价金额小数点有明显错位的，应以总价为准，并修改单价；</w:t>
      </w:r>
    </w:p>
    <w:p w14:paraId="1BE6B4F4">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（5）对不同文字文本响应文件的解释发生异议的，以中文文本为准；</w:t>
      </w:r>
    </w:p>
    <w:p w14:paraId="5AF42127">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（6）供应商不同意以上修正，则其响应文件将被拒绝。</w:t>
      </w:r>
    </w:p>
    <w:p w14:paraId="0305107F">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lang w:val="en-US" w:eastAsia="zh-CN"/>
        </w:rPr>
      </w:pPr>
      <w:bookmarkStart w:id="40" w:name="_Toc75259351"/>
      <w:bookmarkStart w:id="41" w:name="_Toc8855"/>
      <w:r>
        <w:rPr>
          <w:rFonts w:hint="eastAsia" w:ascii="仿宋_GB2312" w:hAnsi="仿宋_GB2312" w:eastAsia="仿宋_GB2312" w:cs="仿宋_GB2312"/>
          <w:b/>
          <w:color w:val="auto"/>
          <w:sz w:val="21"/>
          <w:szCs w:val="21"/>
          <w:highlight w:val="none"/>
        </w:rPr>
        <w:t>16</w:t>
      </w:r>
      <w:bookmarkEnd w:id="40"/>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b/>
          <w:color w:val="auto"/>
          <w:sz w:val="21"/>
          <w:szCs w:val="21"/>
          <w:highlight w:val="none"/>
          <w:lang w:val="en-US" w:eastAsia="zh-CN"/>
        </w:rPr>
        <w:t>确定成交供应商</w:t>
      </w:r>
      <w:bookmarkEnd w:id="41"/>
    </w:p>
    <w:p w14:paraId="76ECA4D3">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采购代理机构在评审结束后2个工作日内将评审报告送采购人确认。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1C0FBB5">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2" w:name="_Toc9401"/>
      <w:bookmarkStart w:id="43" w:name="_Toc75259352"/>
      <w:r>
        <w:rPr>
          <w:rFonts w:hint="eastAsia" w:ascii="仿宋_GB2312" w:hAnsi="仿宋_GB2312" w:eastAsia="仿宋_GB2312" w:cs="仿宋_GB2312"/>
          <w:b/>
          <w:color w:val="auto"/>
          <w:sz w:val="21"/>
          <w:szCs w:val="21"/>
          <w:highlight w:val="none"/>
        </w:rPr>
        <w:t>17．成交通知</w:t>
      </w:r>
      <w:bookmarkEnd w:id="42"/>
      <w:bookmarkEnd w:id="43"/>
      <w:r>
        <w:rPr>
          <w:rFonts w:hint="eastAsia" w:ascii="仿宋_GB2312" w:hAnsi="仿宋_GB2312" w:eastAsia="仿宋_GB2312" w:cs="仿宋_GB2312"/>
          <w:b/>
          <w:color w:val="auto"/>
          <w:sz w:val="21"/>
          <w:szCs w:val="21"/>
          <w:highlight w:val="none"/>
          <w:lang w:val="en-US" w:eastAsia="zh-CN"/>
        </w:rPr>
        <w:t>书</w:t>
      </w:r>
      <w:r>
        <w:rPr>
          <w:rFonts w:hint="eastAsia" w:ascii="仿宋_GB2312" w:hAnsi="仿宋_GB2312" w:eastAsia="仿宋_GB2312" w:cs="仿宋_GB2312"/>
          <w:b/>
          <w:color w:val="auto"/>
          <w:sz w:val="21"/>
          <w:szCs w:val="21"/>
          <w:highlight w:val="none"/>
        </w:rPr>
        <w:t xml:space="preserve">  </w:t>
      </w:r>
    </w:p>
    <w:p w14:paraId="0C5FA3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14:paraId="67C3BA1A">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17.2成交通知书将是合同的一个组成部分。</w:t>
      </w:r>
    </w:p>
    <w:p w14:paraId="6CD188CF">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4" w:name="_Toc6101"/>
      <w:bookmarkStart w:id="45" w:name="_Toc75259353"/>
      <w:r>
        <w:rPr>
          <w:rFonts w:hint="eastAsia" w:ascii="仿宋_GB2312" w:hAnsi="仿宋_GB2312" w:eastAsia="仿宋_GB2312" w:cs="仿宋_GB2312"/>
          <w:b/>
          <w:color w:val="auto"/>
          <w:sz w:val="21"/>
          <w:szCs w:val="21"/>
          <w:highlight w:val="none"/>
        </w:rPr>
        <w:t>18．合同授予</w:t>
      </w:r>
      <w:bookmarkEnd w:id="44"/>
      <w:bookmarkEnd w:id="45"/>
    </w:p>
    <w:p w14:paraId="1EFD47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18.1 磋商文件、响应文件及磋商过程中有关补充文件均作为合同附件，并与合同具有相同的法律效力。</w:t>
      </w:r>
    </w:p>
    <w:p w14:paraId="0419B5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18.2当按照合同履行义务，完成磋商项目。未经采购人同意，成交供应商不得向他人转让成交项目。</w:t>
      </w:r>
    </w:p>
    <w:p w14:paraId="53ED1742">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6" w:name="_Toc19047"/>
      <w:bookmarkStart w:id="47" w:name="_Toc75259354"/>
      <w:r>
        <w:rPr>
          <w:rFonts w:hint="eastAsia" w:ascii="仿宋_GB2312" w:hAnsi="仿宋_GB2312" w:eastAsia="仿宋_GB2312" w:cs="仿宋_GB2312"/>
          <w:b/>
          <w:color w:val="auto"/>
          <w:sz w:val="21"/>
          <w:szCs w:val="21"/>
          <w:highlight w:val="none"/>
        </w:rPr>
        <w:t>19．磋商有效期</w:t>
      </w:r>
      <w:bookmarkEnd w:id="46"/>
      <w:bookmarkEnd w:id="47"/>
    </w:p>
    <w:p w14:paraId="6B041C68">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本项目</w:t>
      </w:r>
      <w:r>
        <w:rPr>
          <w:rFonts w:hint="eastAsia" w:ascii="仿宋_GB2312" w:hAnsi="仿宋_GB2312" w:eastAsia="仿宋_GB2312" w:cs="仿宋_GB2312"/>
          <w:b/>
          <w:bCs/>
          <w:color w:val="auto"/>
          <w:sz w:val="21"/>
          <w:szCs w:val="21"/>
          <w:highlight w:val="none"/>
        </w:rPr>
        <w:t>磋商</w:t>
      </w:r>
      <w:r>
        <w:rPr>
          <w:rFonts w:hint="eastAsia" w:ascii="仿宋_GB2312" w:hAnsi="仿宋_GB2312" w:eastAsia="仿宋_GB2312" w:cs="仿宋_GB2312"/>
          <w:b/>
          <w:color w:val="auto"/>
          <w:sz w:val="21"/>
          <w:szCs w:val="21"/>
          <w:highlight w:val="none"/>
        </w:rPr>
        <w:t>有效期为</w:t>
      </w:r>
      <w:r>
        <w:rPr>
          <w:rFonts w:hint="eastAsia" w:ascii="仿宋_GB2312" w:hAnsi="仿宋_GB2312" w:eastAsia="仿宋_GB2312" w:cs="仿宋_GB2312"/>
          <w:b/>
          <w:color w:val="auto"/>
          <w:sz w:val="21"/>
          <w:szCs w:val="21"/>
          <w:highlight w:val="none"/>
          <w:u w:val="none"/>
        </w:rPr>
        <w:t>响应文件递交截止之日后90日历日</w:t>
      </w:r>
      <w:r>
        <w:rPr>
          <w:rFonts w:hint="eastAsia" w:ascii="仿宋_GB2312" w:hAnsi="仿宋_GB2312" w:eastAsia="仿宋_GB2312" w:cs="仿宋_GB2312"/>
          <w:b/>
          <w:color w:val="auto"/>
          <w:sz w:val="21"/>
          <w:szCs w:val="21"/>
          <w:highlight w:val="none"/>
        </w:rPr>
        <w:t>。</w:t>
      </w:r>
      <w:r>
        <w:rPr>
          <w:rFonts w:hint="eastAsia" w:ascii="仿宋_GB2312" w:hAnsi="仿宋_GB2312" w:eastAsia="仿宋_GB2312" w:cs="仿宋_GB2312"/>
          <w:color w:val="auto"/>
          <w:sz w:val="21"/>
          <w:szCs w:val="21"/>
          <w:highlight w:val="none"/>
        </w:rPr>
        <w:t>在此期限内，凡符合本磋商文件要求的响应文件均保持有效。</w:t>
      </w:r>
    </w:p>
    <w:p w14:paraId="63FB2CBC">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48" w:name="_Toc75259355"/>
      <w:bookmarkStart w:id="49" w:name="_Toc26032"/>
      <w:r>
        <w:rPr>
          <w:rFonts w:hint="eastAsia" w:ascii="仿宋_GB2312" w:hAnsi="仿宋_GB2312" w:eastAsia="仿宋_GB2312" w:cs="仿宋_GB2312"/>
          <w:b/>
          <w:color w:val="auto"/>
          <w:sz w:val="21"/>
          <w:szCs w:val="21"/>
          <w:highlight w:val="none"/>
        </w:rPr>
        <w:t>20．签订合同</w:t>
      </w:r>
      <w:bookmarkEnd w:id="48"/>
      <w:bookmarkEnd w:id="49"/>
    </w:p>
    <w:p w14:paraId="3EC05C92">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20.1成交</w:t>
      </w:r>
      <w:r>
        <w:rPr>
          <w:rFonts w:hint="eastAsia" w:ascii="仿宋_GB2312" w:hAnsi="仿宋_GB2312" w:eastAsia="仿宋_GB2312" w:cs="仿宋_GB2312"/>
          <w:color w:val="auto"/>
          <w:sz w:val="21"/>
          <w:szCs w:val="21"/>
          <w:highlight w:val="none"/>
          <w:lang w:val="en-US" w:eastAsia="zh-CN"/>
        </w:rPr>
        <w:t>供应商应自收到成交通知书之日起15日内</w:t>
      </w:r>
      <w:r>
        <w:rPr>
          <w:rFonts w:hint="eastAsia" w:ascii="仿宋_GB2312" w:hAnsi="仿宋_GB2312" w:eastAsia="仿宋_GB2312" w:cs="仿宋_GB2312"/>
          <w:color w:val="auto"/>
          <w:sz w:val="21"/>
          <w:szCs w:val="21"/>
          <w:highlight w:val="none"/>
        </w:rPr>
        <w:t>与采购人签订合同。</w:t>
      </w:r>
    </w:p>
    <w:p w14:paraId="2BF965E3">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20.2成交供应商应按成交通知书中规定的时间与采购人签订合同，否则按违约处理，并赔偿本次及再次采购所发生的费用。</w:t>
      </w:r>
    </w:p>
    <w:p w14:paraId="5EF4F2D3">
      <w:pPr>
        <w:pStyle w:val="21"/>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20.3磋商文件、成交供应商的响应报价文件及评审过程中有关澄清文件均应作为合同附件，并与合同具有相同的法律效力。</w:t>
      </w:r>
    </w:p>
    <w:p w14:paraId="4A694D3E">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0" w:name="_Toc14027"/>
      <w:bookmarkStart w:id="51" w:name="_Toc75259356"/>
      <w:r>
        <w:rPr>
          <w:rFonts w:hint="eastAsia" w:ascii="仿宋_GB2312" w:hAnsi="仿宋_GB2312" w:eastAsia="仿宋_GB2312" w:cs="仿宋_GB2312"/>
          <w:b/>
          <w:color w:val="auto"/>
          <w:sz w:val="21"/>
          <w:szCs w:val="21"/>
          <w:highlight w:val="none"/>
        </w:rPr>
        <w:t>21．</w:t>
      </w:r>
      <w:r>
        <w:rPr>
          <w:rFonts w:hint="eastAsia" w:ascii="仿宋_GB2312" w:hAnsi="仿宋_GB2312" w:eastAsia="仿宋_GB2312" w:cs="仿宋_GB2312"/>
          <w:b/>
          <w:color w:val="auto"/>
          <w:sz w:val="21"/>
          <w:szCs w:val="21"/>
          <w:highlight w:val="none"/>
          <w:lang w:val="en-US" w:eastAsia="zh-CN"/>
        </w:rPr>
        <w:t>采购</w:t>
      </w:r>
      <w:r>
        <w:rPr>
          <w:rFonts w:hint="eastAsia" w:ascii="仿宋_GB2312" w:hAnsi="仿宋_GB2312" w:eastAsia="仿宋_GB2312" w:cs="仿宋_GB2312"/>
          <w:b/>
          <w:color w:val="auto"/>
          <w:sz w:val="21"/>
          <w:szCs w:val="21"/>
          <w:highlight w:val="none"/>
        </w:rPr>
        <w:t>代理服务费</w:t>
      </w:r>
      <w:bookmarkEnd w:id="50"/>
      <w:bookmarkEnd w:id="51"/>
    </w:p>
    <w:p w14:paraId="70F2E9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color w:val="auto"/>
          <w:sz w:val="21"/>
          <w:szCs w:val="21"/>
          <w:highlight w:val="none"/>
        </w:rPr>
      </w:pPr>
      <w:bookmarkStart w:id="52" w:name="_Hlk63417944"/>
      <w:r>
        <w:rPr>
          <w:rFonts w:hint="eastAsia" w:ascii="仿宋_GB2312" w:hAnsi="仿宋_GB2312" w:eastAsia="仿宋_GB2312" w:cs="仿宋_GB2312"/>
          <w:color w:val="auto"/>
          <w:sz w:val="21"/>
          <w:szCs w:val="21"/>
          <w:highlight w:val="none"/>
        </w:rPr>
        <w:t>21.1</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代理服务费参照《国家计委关于印发&lt;招标代理服务收费管理暂行办法&gt;的通知》（计价格[2002]1980号）中规定的差额定律累进法计取。</w:t>
      </w:r>
    </w:p>
    <w:p w14:paraId="1821F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21.2成交</w:t>
      </w:r>
      <w:r>
        <w:rPr>
          <w:rFonts w:hint="eastAsia" w:ascii="仿宋_GB2312" w:hAnsi="仿宋_GB2312" w:eastAsia="仿宋_GB2312" w:cs="仿宋_GB2312"/>
          <w:color w:val="auto"/>
          <w:sz w:val="21"/>
          <w:szCs w:val="21"/>
          <w:highlight w:val="none"/>
          <w:lang w:eastAsia="zh-CN"/>
        </w:rPr>
        <w:t>（中标）</w:t>
      </w:r>
      <w:r>
        <w:rPr>
          <w:rFonts w:hint="eastAsia" w:ascii="仿宋_GB2312" w:hAnsi="仿宋_GB2312" w:eastAsia="仿宋_GB2312" w:cs="仿宋_GB2312"/>
          <w:color w:val="auto"/>
          <w:sz w:val="21"/>
          <w:szCs w:val="21"/>
          <w:highlight w:val="none"/>
        </w:rPr>
        <w:t>供应商在取得成交通知书时，向采购代理机构缴付</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w:t>
      </w:r>
    </w:p>
    <w:p w14:paraId="1D6AF6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21.3</w:t>
      </w:r>
      <w:r>
        <w:rPr>
          <w:rFonts w:hint="eastAsia" w:ascii="仿宋_GB2312" w:hAnsi="仿宋_GB2312" w:eastAsia="仿宋_GB2312" w:cs="仿宋_GB2312"/>
          <w:color w:val="auto"/>
          <w:sz w:val="21"/>
          <w:szCs w:val="21"/>
          <w:highlight w:val="none"/>
          <w:lang w:val="en-US" w:eastAsia="zh-CN"/>
        </w:rPr>
        <w:t>采购</w:t>
      </w:r>
      <w:r>
        <w:rPr>
          <w:rFonts w:hint="eastAsia" w:ascii="仿宋_GB2312" w:hAnsi="仿宋_GB2312" w:eastAsia="仿宋_GB2312" w:cs="仿宋_GB2312"/>
          <w:color w:val="auto"/>
          <w:sz w:val="21"/>
          <w:szCs w:val="21"/>
          <w:highlight w:val="none"/>
        </w:rPr>
        <w:t>代理服务费以转账或现金形式缴纳。</w:t>
      </w:r>
    </w:p>
    <w:bookmarkEnd w:id="52"/>
    <w:p w14:paraId="0E662595">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3" w:name="_Toc75259357"/>
      <w:bookmarkStart w:id="54" w:name="_Toc26314"/>
      <w:r>
        <w:rPr>
          <w:rFonts w:hint="eastAsia" w:ascii="仿宋_GB2312" w:hAnsi="仿宋_GB2312" w:eastAsia="仿宋_GB2312" w:cs="仿宋_GB2312"/>
          <w:b/>
          <w:color w:val="auto"/>
          <w:sz w:val="21"/>
          <w:szCs w:val="21"/>
          <w:highlight w:val="none"/>
        </w:rPr>
        <w:t>22．质疑</w:t>
      </w:r>
      <w:bookmarkEnd w:id="53"/>
      <w:bookmarkEnd w:id="54"/>
    </w:p>
    <w:p w14:paraId="12CCEE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22.1 供应商可以在知道或者应知其权益受到损害之日起7个工作日内，以书面形式向采购人、采购代理机构提出质疑。供应商提出质疑应当提交质疑函和必要的证明材料。</w:t>
      </w:r>
    </w:p>
    <w:p w14:paraId="4A548F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22.2 项目联系人：</w:t>
      </w:r>
      <w:r>
        <w:rPr>
          <w:rFonts w:hint="eastAsia" w:ascii="仿宋_GB2312" w:hAnsi="仿宋_GB2312" w:eastAsia="仿宋_GB2312" w:cs="仿宋_GB2312"/>
          <w:color w:val="auto"/>
          <w:sz w:val="21"/>
          <w:szCs w:val="21"/>
          <w:highlight w:val="none"/>
          <w:lang w:val="en-US" w:eastAsia="zh-CN"/>
        </w:rPr>
        <w:t>冯盼</w:t>
      </w:r>
      <w:r>
        <w:rPr>
          <w:rFonts w:hint="eastAsia" w:ascii="仿宋_GB2312" w:hAnsi="仿宋_GB2312" w:eastAsia="仿宋_GB2312" w:cs="仿宋_GB2312"/>
          <w:color w:val="auto"/>
          <w:sz w:val="21"/>
          <w:szCs w:val="21"/>
          <w:highlight w:val="none"/>
        </w:rPr>
        <w:t>；联系电话：</w:t>
      </w:r>
      <w:r>
        <w:rPr>
          <w:rFonts w:hint="eastAsia" w:ascii="仿宋_GB2312" w:hAnsi="仿宋_GB2312" w:eastAsia="仿宋_GB2312" w:cs="仿宋_GB2312"/>
          <w:color w:val="auto"/>
          <w:sz w:val="21"/>
          <w:szCs w:val="21"/>
          <w:highlight w:val="none"/>
          <w:lang w:val="en-US" w:eastAsia="zh-CN"/>
        </w:rPr>
        <w:t>18700138388</w:t>
      </w:r>
      <w:r>
        <w:rPr>
          <w:rFonts w:hint="eastAsia" w:ascii="仿宋_GB2312" w:hAnsi="仿宋_GB2312" w:eastAsia="仿宋_GB2312" w:cs="仿宋_GB2312"/>
          <w:color w:val="auto"/>
          <w:sz w:val="21"/>
          <w:szCs w:val="21"/>
          <w:highlight w:val="none"/>
        </w:rPr>
        <w:t>；地址：陕西省延安市宝塔区枣园路枣园5号小区4-3-702</w:t>
      </w:r>
      <w:r>
        <w:rPr>
          <w:rFonts w:hint="eastAsia" w:ascii="仿宋_GB2312" w:hAnsi="仿宋_GB2312" w:eastAsia="仿宋_GB2312" w:cs="仿宋_GB2312"/>
          <w:color w:val="auto"/>
          <w:sz w:val="21"/>
          <w:szCs w:val="21"/>
          <w:highlight w:val="none"/>
          <w:lang w:val="en-US" w:eastAsia="zh-CN"/>
        </w:rPr>
        <w:t>室</w:t>
      </w:r>
      <w:r>
        <w:rPr>
          <w:rFonts w:hint="eastAsia" w:ascii="仿宋_GB2312" w:hAnsi="仿宋_GB2312" w:eastAsia="仿宋_GB2312" w:cs="仿宋_GB2312"/>
          <w:color w:val="auto"/>
          <w:sz w:val="21"/>
          <w:szCs w:val="21"/>
          <w:highlight w:val="none"/>
        </w:rPr>
        <w:t>。</w:t>
      </w:r>
    </w:p>
    <w:p w14:paraId="26BADD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22.3 质疑函应当包括下列内容：</w:t>
      </w:r>
    </w:p>
    <w:p w14:paraId="357AEC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（一）供应商的姓名或者名称、地址、邮编、联系人及联系电话；</w:t>
      </w:r>
    </w:p>
    <w:p w14:paraId="4585F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（二）质疑项目的名称、编号；</w:t>
      </w:r>
    </w:p>
    <w:p w14:paraId="04A996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（三）具体、明确的质疑事项和与质疑事项相关的请求；</w:t>
      </w:r>
    </w:p>
    <w:p w14:paraId="5F8DB2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（四）事实依据；</w:t>
      </w:r>
    </w:p>
    <w:p w14:paraId="290F3F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（五）必要的法律依据；</w:t>
      </w:r>
    </w:p>
    <w:p w14:paraId="10CA18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（六）提出质疑的日期。</w:t>
      </w:r>
    </w:p>
    <w:p w14:paraId="274D6D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color w:val="auto"/>
          <w:sz w:val="21"/>
          <w:szCs w:val="21"/>
          <w:highlight w:val="none"/>
        </w:rPr>
        <w:t>供应商为自然人的应当由本人签字；供应商为法人或者其他组织的，应当由法定代表人或其授权代表签字</w:t>
      </w:r>
      <w:r>
        <w:rPr>
          <w:rFonts w:hint="eastAsia" w:ascii="仿宋_GB2312" w:hAnsi="仿宋_GB2312" w:eastAsia="仿宋_GB2312" w:cs="仿宋_GB2312"/>
          <w:color w:val="auto"/>
          <w:sz w:val="21"/>
          <w:szCs w:val="21"/>
          <w:highlight w:val="none"/>
          <w:lang w:val="en-US" w:eastAsia="zh-CN"/>
        </w:rPr>
        <w:t>或</w:t>
      </w:r>
      <w:r>
        <w:rPr>
          <w:rFonts w:hint="eastAsia" w:ascii="仿宋_GB2312" w:hAnsi="仿宋_GB2312" w:eastAsia="仿宋_GB2312" w:cs="仿宋_GB2312"/>
          <w:color w:val="auto"/>
          <w:sz w:val="21"/>
          <w:szCs w:val="21"/>
          <w:highlight w:val="none"/>
        </w:rPr>
        <w:t>盖章，并加盖公章。</w:t>
      </w:r>
      <w:r>
        <w:rPr>
          <w:rFonts w:hint="eastAsia" w:ascii="仿宋_GB2312" w:hAnsi="仿宋_GB2312" w:eastAsia="仿宋_GB2312" w:cs="仿宋_GB2312"/>
          <w:b/>
          <w:bCs/>
          <w:color w:val="auto"/>
          <w:sz w:val="21"/>
          <w:szCs w:val="21"/>
          <w:highlight w:val="none"/>
        </w:rPr>
        <w:t>采购文件要求供应商在法定质疑</w:t>
      </w:r>
      <w:r>
        <w:rPr>
          <w:rFonts w:hint="eastAsia" w:ascii="仿宋_GB2312" w:hAnsi="仿宋_GB2312" w:eastAsia="仿宋_GB2312" w:cs="仿宋_GB2312"/>
          <w:b/>
          <w:bCs/>
          <w:color w:val="auto"/>
          <w:sz w:val="21"/>
          <w:szCs w:val="21"/>
          <w:highlight w:val="none"/>
          <w:lang w:val="en-US" w:eastAsia="zh-CN"/>
        </w:rPr>
        <w:t>期</w:t>
      </w:r>
      <w:r>
        <w:rPr>
          <w:rFonts w:hint="eastAsia" w:ascii="仿宋_GB2312" w:hAnsi="仿宋_GB2312" w:eastAsia="仿宋_GB2312" w:cs="仿宋_GB2312"/>
          <w:b/>
          <w:bCs/>
          <w:color w:val="auto"/>
          <w:sz w:val="21"/>
          <w:szCs w:val="21"/>
          <w:highlight w:val="none"/>
        </w:rPr>
        <w:t>内一次性提出针对同一采购程序环节的质疑。</w:t>
      </w:r>
    </w:p>
    <w:p w14:paraId="0B8058E7">
      <w:pPr>
        <w:pStyle w:val="21"/>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仿宋_GB2312" w:hAnsi="仿宋_GB2312" w:eastAsia="仿宋_GB2312" w:cs="仿宋_GB2312"/>
          <w:b/>
          <w:color w:val="auto"/>
          <w:sz w:val="21"/>
          <w:szCs w:val="21"/>
          <w:highlight w:val="none"/>
        </w:rPr>
      </w:pPr>
      <w:bookmarkStart w:id="55" w:name="_Toc75259358"/>
      <w:bookmarkStart w:id="56" w:name="_Toc2124"/>
      <w:r>
        <w:rPr>
          <w:rFonts w:hint="eastAsia" w:ascii="仿宋_GB2312" w:hAnsi="仿宋_GB2312" w:eastAsia="仿宋_GB2312" w:cs="仿宋_GB2312"/>
          <w:b/>
          <w:color w:val="auto"/>
          <w:sz w:val="21"/>
          <w:szCs w:val="21"/>
          <w:highlight w:val="none"/>
        </w:rPr>
        <w:t>23</w:t>
      </w:r>
      <w:bookmarkStart w:id="57" w:name="_Toc44581001"/>
      <w:bookmarkStart w:id="58" w:name="_Toc44581543"/>
      <w:r>
        <w:rPr>
          <w:rFonts w:hint="eastAsia" w:ascii="仿宋_GB2312" w:hAnsi="仿宋_GB2312" w:eastAsia="仿宋_GB2312" w:cs="仿宋_GB2312"/>
          <w:b/>
          <w:color w:val="auto"/>
          <w:sz w:val="21"/>
          <w:szCs w:val="21"/>
          <w:highlight w:val="none"/>
        </w:rPr>
        <w:t>．需要落实的政府采购政策</w:t>
      </w:r>
      <w:bookmarkEnd w:id="55"/>
      <w:bookmarkEnd w:id="56"/>
      <w:bookmarkEnd w:id="57"/>
      <w:bookmarkEnd w:id="58"/>
      <w:bookmarkStart w:id="59" w:name="_Hlk63418170"/>
    </w:p>
    <w:bookmarkEnd w:id="59"/>
    <w:p w14:paraId="67D1D1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23.1、落实促进支持中小企业、监狱企业、残疾人福利性单位发展、脱贫攻坚工作的政策(如专门面向中小企业的采购项目（或采购包），不执行</w:t>
      </w:r>
      <w:r>
        <w:rPr>
          <w:rFonts w:hint="eastAsia" w:ascii="仿宋_GB2312" w:hAnsi="仿宋_GB2312" w:eastAsia="仿宋_GB2312" w:cs="仿宋_GB2312"/>
          <w:color w:val="auto"/>
          <w:sz w:val="21"/>
          <w:szCs w:val="21"/>
          <w:highlight w:val="none"/>
          <w:lang w:val="en-US" w:eastAsia="zh-CN"/>
        </w:rPr>
        <w:t>23.1.1/23.1.2/23.1.3</w:t>
      </w:r>
      <w:r>
        <w:rPr>
          <w:rFonts w:hint="eastAsia" w:ascii="仿宋_GB2312" w:hAnsi="仿宋_GB2312" w:eastAsia="仿宋_GB2312" w:cs="仿宋_GB2312"/>
          <w:color w:val="auto"/>
          <w:sz w:val="21"/>
          <w:szCs w:val="21"/>
          <w:highlight w:val="none"/>
        </w:rPr>
        <w:t>条款)。</w:t>
      </w:r>
    </w:p>
    <w:p w14:paraId="55CB4B7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23.1.1 《政府采购促进中小企业发展管理办法》（财库〔2020〕46号）</w:t>
      </w:r>
    </w:p>
    <w:p w14:paraId="61A1D1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在政府采购活动中，供应商提供的货物、工程或者服务符合下列情形的，享受《办法》规定的中小企业扶持政策:</w:t>
      </w:r>
    </w:p>
    <w:p w14:paraId="376650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(一)在货物采购项目中，货物由中小企业制造，即货物由中小企业生产且使用该中小企业商号或者注册商标；</w:t>
      </w:r>
    </w:p>
    <w:p w14:paraId="0F6456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(二)在工程采购项目中，工程由中小企业承建，即工程施工单位为中小企业；</w:t>
      </w:r>
    </w:p>
    <w:p w14:paraId="32BE07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(三)在服务采购项目中，服务由中小企业承接，即提供服务的人员为中小企业依照《中华人民共和国劳动合同法》订立劳动合同的从业人员。</w:t>
      </w:r>
    </w:p>
    <w:p w14:paraId="3C811B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在货物采购项目中，供应商提供的货物既有中小企业制造货物，也有大型企业制造货物的，不享受《办法》规定的中小企业扶持政策。</w:t>
      </w:r>
    </w:p>
    <w:p w14:paraId="0060854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以联合体形式参加政府采购活动，联合体各方均为中小企业的，联合体视同中小企业。其中，联合体各方均为小微企业的，联合体视同小微企业。</w:t>
      </w:r>
    </w:p>
    <w:p w14:paraId="217291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依据《办法》规定享受扶持政策获得政府采购合同的，小微企业不得将合同分包给大中型企业，中型企业不得将合同分包给大型企业。</w:t>
      </w:r>
    </w:p>
    <w:p w14:paraId="56BFB7F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14:paraId="0423E5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根据</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陕西省财政厅关于落实政府采购支持中小企业政策有关事项的通知</w:t>
      </w:r>
      <w:r>
        <w:rPr>
          <w:rFonts w:hint="eastAsia" w:ascii="仿宋_GB2312" w:hAnsi="仿宋_GB2312" w:eastAsia="仿宋_GB2312" w:cs="仿宋_GB2312"/>
          <w:color w:val="auto"/>
          <w:sz w:val="21"/>
          <w:szCs w:val="21"/>
          <w:highlight w:val="none"/>
          <w:lang w:eastAsia="zh-CN"/>
        </w:rPr>
        <w:t>》（陕财办采函〔2022〕10号）</w:t>
      </w:r>
      <w:r>
        <w:rPr>
          <w:rFonts w:hint="eastAsia" w:ascii="仿宋_GB2312" w:hAnsi="仿宋_GB2312" w:eastAsia="仿宋_GB2312" w:cs="仿宋_GB2312"/>
          <w:color w:val="auto"/>
          <w:sz w:val="21"/>
          <w:szCs w:val="21"/>
          <w:highlight w:val="none"/>
          <w:lang w:val="en-US" w:eastAsia="zh-CN"/>
        </w:rPr>
        <w:t>要求</w:t>
      </w:r>
      <w:r>
        <w:rPr>
          <w:rFonts w:hint="eastAsia" w:ascii="仿宋_GB2312" w:hAnsi="仿宋_GB2312" w:eastAsia="仿宋_GB2312" w:cs="仿宋_GB2312"/>
          <w:color w:val="auto"/>
          <w:sz w:val="21"/>
          <w:szCs w:val="21"/>
          <w:highlight w:val="none"/>
        </w:rPr>
        <w:t>，对符合规定的小微企业报价给予10%的扣除</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14:paraId="55186E3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23.1.2 《财政部 司法部关于政府采购支持监狱企业发展有关问题的通知》（财库〔2014〕68号）</w:t>
      </w:r>
    </w:p>
    <w:p w14:paraId="73E58D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14:paraId="2E6BB38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23.1.3 《三部门联合发布关于促进残疾人就业政府采购政策的通知》（财库〔2017〕141号）；</w:t>
      </w:r>
    </w:p>
    <w:p w14:paraId="67269B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14:paraId="518C1CA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23.2、落实优先采购节能、环保产品的政策</w:t>
      </w:r>
    </w:p>
    <w:p w14:paraId="11CAA3C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23.2.</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 xml:space="preserve">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14:paraId="624D29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23.2.</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 xml:space="preserve">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2B5C1F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所有投标产品进入 “节能产品政府采购品目清单”的，应提供相关证书复印件，相关证书的颁发机构应来自《参与实施政府采购节能产品认证机构名录》。</w:t>
      </w:r>
    </w:p>
    <w:p w14:paraId="11ED97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所有投标产品进入“环境标志产品政府采购品目清单”的，应提供相关证书复印件，相关证书的颁发机构应来自《参与实施政府采购环境标志产品认证机构名录》。</w:t>
      </w:r>
    </w:p>
    <w:p w14:paraId="678A82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23.3、政府采购信用融资政策</w:t>
      </w:r>
    </w:p>
    <w:p w14:paraId="11B6F4A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14:paraId="25F6FA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查询并办理相关业务。</w:t>
      </w:r>
    </w:p>
    <w:p w14:paraId="149D95D2">
      <w:pPr>
        <w:rPr>
          <w:rFonts w:hint="eastAsia" w:ascii="仿宋_GB2312" w:hAnsi="仿宋_GB2312" w:eastAsia="仿宋_GB2312" w:cs="仿宋_GB2312"/>
          <w:b/>
          <w:color w:val="auto"/>
          <w:sz w:val="32"/>
          <w:szCs w:val="36"/>
          <w:highlight w:val="none"/>
        </w:rPr>
      </w:pPr>
      <w:bookmarkStart w:id="60" w:name="__RefHeading___Toc413314952"/>
      <w:bookmarkEnd w:id="60"/>
      <w:bookmarkStart w:id="61" w:name="_Toc75259359"/>
      <w:r>
        <w:rPr>
          <w:rFonts w:hint="eastAsia" w:ascii="仿宋_GB2312" w:hAnsi="仿宋_GB2312" w:eastAsia="仿宋_GB2312" w:cs="仿宋_GB2312"/>
          <w:b/>
          <w:color w:val="auto"/>
          <w:sz w:val="32"/>
          <w:szCs w:val="36"/>
          <w:highlight w:val="none"/>
        </w:rPr>
        <w:br w:type="page"/>
      </w:r>
    </w:p>
    <w:p w14:paraId="1465F9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仿宋_GB2312" w:hAnsi="仿宋_GB2312" w:eastAsia="仿宋_GB2312" w:cs="仿宋_GB2312"/>
          <w:b/>
          <w:color w:val="auto"/>
          <w:sz w:val="32"/>
          <w:szCs w:val="36"/>
          <w:highlight w:val="none"/>
          <w:lang w:val="en-US" w:eastAsia="zh-CN"/>
        </w:rPr>
      </w:pPr>
      <w:bookmarkStart w:id="62" w:name="_Toc31990"/>
      <w:r>
        <w:rPr>
          <w:rFonts w:hint="eastAsia" w:ascii="仿宋_GB2312" w:hAnsi="仿宋_GB2312" w:eastAsia="仿宋_GB2312" w:cs="仿宋_GB2312"/>
          <w:b/>
          <w:color w:val="auto"/>
          <w:sz w:val="32"/>
          <w:szCs w:val="36"/>
          <w:highlight w:val="none"/>
        </w:rPr>
        <w:t>第</w:t>
      </w:r>
      <w:r>
        <w:rPr>
          <w:rFonts w:hint="eastAsia" w:ascii="仿宋_GB2312" w:hAnsi="仿宋_GB2312" w:eastAsia="仿宋_GB2312" w:cs="仿宋_GB2312"/>
          <w:b/>
          <w:color w:val="auto"/>
          <w:sz w:val="32"/>
          <w:szCs w:val="36"/>
          <w:highlight w:val="none"/>
          <w:lang w:val="en-US" w:eastAsia="zh-CN"/>
        </w:rPr>
        <w:t>四</w:t>
      </w:r>
      <w:r>
        <w:rPr>
          <w:rFonts w:hint="eastAsia" w:ascii="仿宋_GB2312" w:hAnsi="仿宋_GB2312" w:eastAsia="仿宋_GB2312" w:cs="仿宋_GB2312"/>
          <w:b/>
          <w:color w:val="auto"/>
          <w:sz w:val="32"/>
          <w:szCs w:val="36"/>
          <w:highlight w:val="none"/>
        </w:rPr>
        <w:t>部分</w:t>
      </w:r>
      <w:bookmarkEnd w:id="61"/>
      <w:r>
        <w:rPr>
          <w:rFonts w:hint="eastAsia" w:ascii="仿宋_GB2312" w:hAnsi="仿宋_GB2312" w:eastAsia="仿宋_GB2312" w:cs="仿宋_GB2312"/>
          <w:b/>
          <w:color w:val="auto"/>
          <w:sz w:val="32"/>
          <w:szCs w:val="36"/>
          <w:highlight w:val="none"/>
          <w:lang w:val="en-US" w:eastAsia="zh-CN"/>
        </w:rPr>
        <w:t xml:space="preserve"> </w:t>
      </w:r>
      <w:r>
        <w:rPr>
          <w:rFonts w:hint="eastAsia" w:ascii="仿宋_GB2312" w:hAnsi="仿宋_GB2312" w:eastAsia="仿宋_GB2312" w:cs="仿宋_GB2312"/>
          <w:b/>
          <w:color w:val="auto"/>
          <w:sz w:val="32"/>
          <w:szCs w:val="36"/>
          <w:highlight w:val="none"/>
        </w:rPr>
        <w:t>采购</w:t>
      </w:r>
      <w:r>
        <w:rPr>
          <w:rFonts w:hint="eastAsia" w:ascii="仿宋_GB2312" w:hAnsi="仿宋_GB2312" w:eastAsia="仿宋_GB2312" w:cs="仿宋_GB2312"/>
          <w:b/>
          <w:color w:val="auto"/>
          <w:sz w:val="32"/>
          <w:szCs w:val="36"/>
          <w:highlight w:val="none"/>
          <w:lang w:val="en-US" w:eastAsia="zh-CN"/>
        </w:rPr>
        <w:t>需求</w:t>
      </w:r>
      <w:bookmarkEnd w:id="62"/>
    </w:p>
    <w:p w14:paraId="7F76E8BD">
      <w:pPr>
        <w:keepLines w:val="0"/>
        <w:pageBreakBefore w:val="0"/>
        <w:widowControl w:val="0"/>
        <w:kinsoku/>
        <w:wordWrap/>
        <w:overflowPunct/>
        <w:topLinePunct w:val="0"/>
        <w:autoSpaceDE/>
        <w:autoSpaceDN/>
        <w:bidi w:val="0"/>
        <w:adjustRightInd/>
        <w:snapToGrid/>
        <w:spacing w:line="480" w:lineRule="auto"/>
        <w:ind w:left="0" w:leftChars="0" w:right="0" w:rightChars="0" w:firstLine="422" w:firstLineChars="200"/>
        <w:textAlignment w:val="auto"/>
        <w:outlineLvl w:val="9"/>
        <w:rPr>
          <w:rFonts w:hint="eastAsia" w:ascii="仿宋_GB2312" w:hAnsi="仿宋_GB2312" w:eastAsia="仿宋_GB2312" w:cs="仿宋_GB2312"/>
          <w:b/>
          <w:bCs/>
          <w:color w:val="auto"/>
          <w:sz w:val="21"/>
          <w:szCs w:val="21"/>
          <w:highlight w:val="none"/>
        </w:rPr>
      </w:pPr>
      <w:bookmarkStart w:id="63" w:name="_Toc15647"/>
      <w:r>
        <w:rPr>
          <w:rFonts w:hint="eastAsia" w:ascii="仿宋_GB2312" w:hAnsi="仿宋_GB2312" w:eastAsia="仿宋_GB2312" w:cs="仿宋_GB2312"/>
          <w:b/>
          <w:bCs/>
          <w:color w:val="auto"/>
          <w:sz w:val="21"/>
          <w:szCs w:val="21"/>
          <w:highlight w:val="none"/>
        </w:rPr>
        <w:t>采购</w:t>
      </w:r>
      <w:r>
        <w:rPr>
          <w:rFonts w:hint="eastAsia" w:ascii="仿宋_GB2312" w:hAnsi="仿宋_GB2312" w:eastAsia="仿宋_GB2312" w:cs="仿宋_GB2312"/>
          <w:b/>
          <w:bCs/>
          <w:color w:val="auto"/>
          <w:sz w:val="21"/>
          <w:szCs w:val="21"/>
          <w:highlight w:val="none"/>
          <w:lang w:eastAsia="zh-CN"/>
        </w:rPr>
        <w:t>要求</w:t>
      </w:r>
    </w:p>
    <w:p w14:paraId="67B781AC">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1.1项目编号：SXCY2025-CY-011</w:t>
      </w:r>
    </w:p>
    <w:p w14:paraId="35B92240">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1.2项目名称:延安市人民医院高质量发展运营数据分析系统软件开发项目</w:t>
      </w:r>
    </w:p>
    <w:p w14:paraId="2CA0DE4A">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1.3预算金额：506400.00元；财政拨款</w:t>
      </w:r>
    </w:p>
    <w:p w14:paraId="00915C5E">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1.4项目实施周期:4个月</w:t>
      </w:r>
    </w:p>
    <w:p w14:paraId="2D7572DD">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1.5服务地点：采购人指定地点</w:t>
      </w:r>
    </w:p>
    <w:p w14:paraId="6D88C2F6">
      <w:pPr>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b w:val="0"/>
          <w:bCs/>
          <w:sz w:val="21"/>
          <w:szCs w:val="21"/>
          <w:lang w:val="en-US" w:eastAsia="zh-CN"/>
        </w:rPr>
        <w:t>1.6质量要求：符合国家相关合格标准</w:t>
      </w:r>
      <w:bookmarkEnd w:id="63"/>
      <w:bookmarkStart w:id="64" w:name="_Toc2645"/>
    </w:p>
    <w:p w14:paraId="3307E4AE">
      <w:pPr>
        <w:keepLines w:val="0"/>
        <w:pageBreakBefore w:val="0"/>
        <w:widowControl w:val="0"/>
        <w:kinsoku/>
        <w:wordWrap/>
        <w:overflowPunct/>
        <w:topLinePunct w:val="0"/>
        <w:autoSpaceDE/>
        <w:autoSpaceDN/>
        <w:bidi w:val="0"/>
        <w:adjustRightInd/>
        <w:snapToGrid/>
        <w:spacing w:line="480" w:lineRule="auto"/>
        <w:ind w:left="0" w:leftChars="0" w:right="0" w:rightChars="0" w:firstLine="422" w:firstLineChars="200"/>
        <w:textAlignment w:val="auto"/>
        <w:outlineLvl w:val="9"/>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采购内容</w:t>
      </w:r>
    </w:p>
    <w:tbl>
      <w:tblPr>
        <w:tblStyle w:val="26"/>
        <w:tblpPr w:leftFromText="180" w:rightFromText="180" w:vertAnchor="text" w:horzAnchor="page" w:tblpXSpec="center" w:tblpY="62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8576"/>
        <w:gridCol w:w="222"/>
        <w:gridCol w:w="222"/>
      </w:tblGrid>
      <w:tr w14:paraId="2454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68D88B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_GB2312" w:hAnsi="仿宋_GB2312" w:eastAsia="仿宋_GB2312" w:cs="仿宋_GB2312"/>
                <w:kern w:val="2"/>
                <w:sz w:val="21"/>
                <w:szCs w:val="21"/>
                <w:vertAlign w:val="baseli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2155FC0">
            <w:pPr>
              <w:pStyle w:val="2"/>
              <w:pageBreakBefore w:val="0"/>
              <w:numPr>
                <w:ilvl w:val="0"/>
                <w:numId w:val="0"/>
              </w:numPr>
              <w:kinsoku/>
              <w:wordWrap/>
              <w:overflowPunct/>
              <w:topLinePunct w:val="0"/>
              <w:autoSpaceDE/>
              <w:autoSpaceDN/>
              <w:bidi w:val="0"/>
              <w:adjustRightInd/>
              <w:snapToGrid/>
              <w:spacing w:line="240" w:lineRule="auto"/>
              <w:ind w:leftChars="0"/>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lang w:val="en-US" w:eastAsia="zh-CN"/>
              </w:rPr>
              <w:t>技术参数</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9689A7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kern w:val="2"/>
                <w:sz w:val="21"/>
                <w:szCs w:val="21"/>
                <w:vertAlign w:val="baseli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F9D68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kern w:val="2"/>
                <w:sz w:val="21"/>
                <w:szCs w:val="21"/>
                <w:vertAlign w:val="baseline"/>
                <w:lang w:val="en-US" w:eastAsia="zh-CN" w:bidi="ar-SA"/>
              </w:rPr>
            </w:pPr>
          </w:p>
        </w:tc>
      </w:tr>
      <w:tr w14:paraId="316FC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14:paraId="14D91C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b/>
                <w:bCs/>
                <w:kern w:val="44"/>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2AEAA64">
            <w:pPr>
              <w:pageBreakBefore w:val="0"/>
              <w:kinsoku/>
              <w:wordWrap/>
              <w:overflowPunct/>
              <w:topLinePunct w:val="0"/>
              <w:autoSpaceDE/>
              <w:autoSpaceDN/>
              <w:bidi w:val="0"/>
              <w:adjustRightInd/>
              <w:snapToGrid/>
              <w:spacing w:line="240" w:lineRule="auto"/>
              <w:ind w:firstLine="420"/>
              <w:jc w:val="center"/>
              <w:rPr>
                <w:rFonts w:hint="eastAsia" w:ascii="仿宋_GB2312" w:hAnsi="仿宋_GB2312" w:eastAsia="仿宋_GB2312" w:cs="仿宋_GB2312"/>
                <w:b/>
                <w:bCs/>
                <w:spacing w:val="14"/>
                <w:position w:val="1"/>
                <w:sz w:val="21"/>
                <w:szCs w:val="21"/>
                <w:lang w:eastAsia="zh-Hans"/>
              </w:rPr>
            </w:pPr>
            <w:r>
              <w:rPr>
                <w:rFonts w:hint="eastAsia" w:ascii="仿宋_GB2312" w:hAnsi="仿宋_GB2312" w:eastAsia="仿宋_GB2312" w:cs="仿宋_GB2312"/>
                <w:b/>
                <w:bCs/>
                <w:sz w:val="21"/>
                <w:szCs w:val="21"/>
                <w:lang w:val="en-US" w:eastAsia="zh-CN"/>
              </w:rPr>
              <w:t>运营数据分析系统</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4A6E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196F1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r>
      <w:tr w14:paraId="2E87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noWrap w:val="0"/>
            <w:vAlign w:val="top"/>
          </w:tcPr>
          <w:p w14:paraId="24BC490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_GB2312" w:hAnsi="仿宋_GB2312" w:eastAsia="仿宋_GB2312" w:cs="仿宋_GB2312"/>
                <w:kern w:val="44"/>
                <w:sz w:val="21"/>
                <w:szCs w:val="21"/>
                <w:lang w:val="en-US" w:eastAsia="zh-CN"/>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D3CC25D">
            <w:pPr>
              <w:pStyle w:val="2"/>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CN"/>
              </w:rPr>
            </w:pPr>
            <w:bookmarkStart w:id="65" w:name="bookmark6"/>
            <w:bookmarkEnd w:id="65"/>
            <w:bookmarkStart w:id="66" w:name="_Toc5755"/>
            <w:bookmarkStart w:id="67" w:name="_Toc12075"/>
            <w:bookmarkStart w:id="68" w:name="_Toc9784"/>
            <w:r>
              <w:rPr>
                <w:rFonts w:hint="eastAsia" w:ascii="仿宋_GB2312" w:hAnsi="仿宋_GB2312" w:eastAsia="仿宋_GB2312" w:cs="仿宋_GB2312"/>
                <w:sz w:val="21"/>
                <w:szCs w:val="21"/>
                <w:lang w:val="en-US" w:eastAsia="zh-CN"/>
              </w:rPr>
              <w:t>总体要求及技术规格</w:t>
            </w:r>
            <w:bookmarkEnd w:id="66"/>
            <w:bookmarkEnd w:id="67"/>
            <w:bookmarkEnd w:id="68"/>
          </w:p>
          <w:p w14:paraId="22443279">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rPr>
            </w:pPr>
            <w:bookmarkStart w:id="69" w:name="_Toc15259"/>
            <w:bookmarkStart w:id="70" w:name="_Toc25940"/>
            <w:bookmarkStart w:id="71" w:name="_Toc10247"/>
            <w:r>
              <w:rPr>
                <w:rFonts w:hint="eastAsia" w:ascii="仿宋_GB2312" w:hAnsi="仿宋_GB2312" w:eastAsia="仿宋_GB2312" w:cs="仿宋_GB2312"/>
                <w:sz w:val="21"/>
                <w:szCs w:val="21"/>
                <w:lang w:val="en-US" w:eastAsia="zh-CN"/>
              </w:rPr>
              <w:t>1.1 总体要求</w:t>
            </w:r>
            <w:bookmarkEnd w:id="69"/>
            <w:bookmarkEnd w:id="70"/>
            <w:bookmarkEnd w:id="71"/>
          </w:p>
          <w:p w14:paraId="4F94A027">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本项目定位于建立符合医院管理特色的现代医院综合运营管理体系，体现现代医院一体化运营管理的流程化、精细化、智能化应用诉求。从医院宏观管理的大局视角出发，基于顶层设计、分步实施的思路对医院综合运营管理业务进行系统性的项目实施建设。</w:t>
            </w:r>
          </w:p>
          <w:p w14:paraId="6B8D252C">
            <w:pPr>
              <w:pStyle w:val="4"/>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bookmarkStart w:id="72" w:name="_Toc12161"/>
            <w:bookmarkStart w:id="73" w:name="_Toc32246"/>
            <w:bookmarkStart w:id="74" w:name="_Toc715"/>
            <w:r>
              <w:rPr>
                <w:rFonts w:hint="eastAsia" w:ascii="仿宋_GB2312" w:hAnsi="仿宋_GB2312" w:eastAsia="仿宋_GB2312" w:cs="仿宋_GB2312"/>
                <w:sz w:val="21"/>
                <w:szCs w:val="21"/>
              </w:rPr>
              <w:t>标准化、规范化</w:t>
            </w:r>
            <w:bookmarkEnd w:id="72"/>
            <w:bookmarkEnd w:id="73"/>
            <w:bookmarkEnd w:id="74"/>
          </w:p>
          <w:p w14:paraId="14B5D422">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标准化是支撑医院信息系统的重要手段，标准化包含基础数据的标准化、部门间业务接口的标准化、系统界面的标准化；规范化包含业务流程的规范化、管理规则的规范化；在标准化和规范化的前提下，建设的信息系统才具有管理价值和使用价值，是医院信息系统建设成功的前提条件。</w:t>
            </w:r>
          </w:p>
          <w:p w14:paraId="7D672308">
            <w:pPr>
              <w:pStyle w:val="4"/>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bookmarkStart w:id="75" w:name="_Toc16611"/>
            <w:bookmarkStart w:id="76" w:name="_Toc13680"/>
            <w:bookmarkStart w:id="77" w:name="_Toc30679"/>
            <w:r>
              <w:rPr>
                <w:rFonts w:hint="eastAsia" w:ascii="仿宋_GB2312" w:hAnsi="仿宋_GB2312" w:eastAsia="仿宋_GB2312" w:cs="仿宋_GB2312"/>
                <w:sz w:val="21"/>
                <w:szCs w:val="21"/>
              </w:rPr>
              <w:t>关键技术路线</w:t>
            </w:r>
            <w:bookmarkEnd w:id="75"/>
            <w:bookmarkEnd w:id="76"/>
            <w:bookmarkEnd w:id="77"/>
          </w:p>
          <w:p w14:paraId="69609485">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的建设要采用最新技术手段，例如基于大型关系型数据库平台，采用PB、JAVA、C++、.NET、XML等技术；层次结构，基于B/S应用结构体系，表示层、业务层、数据库访问层分开；独立于特定的硬件平台和操作系统；支持各种类型的数据库系统；具有分布式事务功能；支持消息服务；支持组件化开发；具有良好的安全性。</w:t>
            </w:r>
          </w:p>
          <w:p w14:paraId="72AB10B4">
            <w:pPr>
              <w:pStyle w:val="4"/>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bookmarkStart w:id="78" w:name="_Toc25999"/>
            <w:bookmarkStart w:id="79" w:name="_Toc9136"/>
            <w:bookmarkStart w:id="80" w:name="_Toc16673"/>
            <w:r>
              <w:rPr>
                <w:rFonts w:hint="eastAsia" w:ascii="仿宋_GB2312" w:hAnsi="仿宋_GB2312" w:eastAsia="仿宋_GB2312" w:cs="仿宋_GB2312"/>
                <w:sz w:val="21"/>
                <w:szCs w:val="21"/>
              </w:rPr>
              <w:t>适用性原则</w:t>
            </w:r>
            <w:bookmarkEnd w:id="78"/>
            <w:bookmarkEnd w:id="79"/>
            <w:bookmarkEnd w:id="80"/>
          </w:p>
          <w:p w14:paraId="37AFF752">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各功能部分按照要求采用不同级别模块组合，每种组合都可以解决医院信息系统中一类问题。各个部分既可以单独运行也可相互配合使用，保证医院信息系统的“整体设计、分步实施”，减少医院的投资压力；满足医院其他系统与本系统的相互关联，并预置接口。</w:t>
            </w:r>
          </w:p>
          <w:p w14:paraId="0F73E9A6">
            <w:pPr>
              <w:pStyle w:val="4"/>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rPr>
            </w:pPr>
            <w:bookmarkStart w:id="81" w:name="_Toc13155"/>
            <w:bookmarkStart w:id="82" w:name="_Toc11745"/>
            <w:bookmarkStart w:id="83" w:name="_Toc32456"/>
            <w:r>
              <w:rPr>
                <w:rFonts w:hint="eastAsia" w:ascii="仿宋_GB2312" w:hAnsi="仿宋_GB2312" w:eastAsia="仿宋_GB2312" w:cs="仿宋_GB2312"/>
                <w:sz w:val="21"/>
                <w:szCs w:val="21"/>
              </w:rPr>
              <w:t>应用技术培训</w:t>
            </w:r>
            <w:bookmarkEnd w:id="81"/>
            <w:bookmarkEnd w:id="82"/>
            <w:bookmarkEnd w:id="83"/>
          </w:p>
          <w:p w14:paraId="19360241">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系统实施的初期，通过在医院搭建的模拟环境对人员进行培训；系统建成后，能否做到方便实用，达到预期的效果，用户应用技术培训是关键，公司提供的培训教材，包括快速入门、操作手册、管理员手册等，每一个应用系统有完整的在线帮助，提供咨询热线，分期分批组织教学实习，做好系统管理人员、科室使用人员特别是各级领导的应用技术培训工作，确保系统发挥最大的使用效益。</w:t>
            </w:r>
          </w:p>
          <w:p w14:paraId="1334DED4">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bookmarkStart w:id="84" w:name="_Toc18951"/>
            <w:bookmarkStart w:id="85" w:name="_Toc2071"/>
            <w:bookmarkStart w:id="86" w:name="_Toc18900"/>
            <w:r>
              <w:rPr>
                <w:rFonts w:hint="eastAsia" w:ascii="仿宋_GB2312" w:hAnsi="仿宋_GB2312" w:eastAsia="仿宋_GB2312" w:cs="仿宋_GB2312"/>
                <w:sz w:val="21"/>
                <w:szCs w:val="21"/>
                <w:lang w:val="en-US" w:eastAsia="zh-CN"/>
              </w:rPr>
              <w:t>1.2 技术平台</w:t>
            </w:r>
            <w:bookmarkEnd w:id="84"/>
            <w:bookmarkEnd w:id="85"/>
            <w:bookmarkEnd w:id="86"/>
          </w:p>
          <w:p w14:paraId="146137F0">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开发工具：Java；</w:t>
            </w:r>
          </w:p>
          <w:p w14:paraId="7A13D69D">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数据库平台：Oracle；</w:t>
            </w:r>
          </w:p>
          <w:p w14:paraId="4A579188">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服务器操作系统：Linux 或Microsoft Windows Server 2016或以上版本； </w:t>
            </w:r>
          </w:p>
          <w:p w14:paraId="22167BA9">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客户端操作系统：Microsoft Windows Win10/或以上版本；</w:t>
            </w:r>
          </w:p>
          <w:p w14:paraId="3477B40D">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跨平台系统设计，支持主流操作系统平台，将来能扩容到 AIX、HP-UX、Linux 等操作系统；</w:t>
            </w:r>
          </w:p>
          <w:p w14:paraId="046284F8">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开放的技术平台，支持Web Services, Java；</w:t>
            </w:r>
          </w:p>
          <w:p w14:paraId="62B4FDA9">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未来扩展能力：数据可以直接在服务器内存中运算，支持行存储与列存储，快速便捷创建实时业务视图，可访问的实时业务分析结果；</w:t>
            </w:r>
          </w:p>
          <w:p w14:paraId="5502EAC9">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rPr>
            </w:pPr>
            <w:bookmarkStart w:id="87" w:name="_Toc10600"/>
            <w:bookmarkStart w:id="88" w:name="_Toc26691"/>
            <w:bookmarkStart w:id="89" w:name="_Toc11366"/>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lang w:val="en-US"/>
              </w:rPr>
              <w:t xml:space="preserve">.3 </w:t>
            </w:r>
            <w:r>
              <w:rPr>
                <w:rFonts w:hint="eastAsia" w:ascii="仿宋_GB2312" w:hAnsi="仿宋_GB2312" w:eastAsia="仿宋_GB2312" w:cs="仿宋_GB2312"/>
                <w:sz w:val="21"/>
                <w:szCs w:val="21"/>
              </w:rPr>
              <w:t>技术要求</w:t>
            </w:r>
            <w:bookmarkEnd w:id="87"/>
            <w:bookmarkEnd w:id="88"/>
            <w:bookmarkEnd w:id="89"/>
          </w:p>
          <w:p w14:paraId="68C3FA31">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标准化</w:t>
            </w:r>
          </w:p>
          <w:p w14:paraId="3F429780">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遵循《全国信息化建设标准与规范（试行）》、《医院信息系统基本功能规范》、《公立医院运营管理信息化功能指引》等。</w:t>
            </w:r>
          </w:p>
          <w:p w14:paraId="41B8C241">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平台化</w:t>
            </w:r>
          </w:p>
          <w:p w14:paraId="5BED79C1">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系统核心平台由多个模块组成，根据用户需要科学合理选择/组合不同模块；支持多种主流开发和应用平台；</w:t>
            </w:r>
          </w:p>
          <w:p w14:paraId="0090E0DF">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智能化</w:t>
            </w:r>
          </w:p>
          <w:p w14:paraId="6F42F651">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支持多维条码、无线移动PC、手机等智能设备的应用；</w:t>
            </w:r>
          </w:p>
          <w:p w14:paraId="62CF7975">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先进性</w:t>
            </w:r>
          </w:p>
          <w:p w14:paraId="39951359">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数据结构设计合理，三层架构和二层结构相结合；</w:t>
            </w:r>
          </w:p>
          <w:p w14:paraId="4960EA9F">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支持二次接口开发，数据转储；</w:t>
            </w:r>
          </w:p>
          <w:p w14:paraId="79359A11">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完善的后台安装与维护工具；</w:t>
            </w:r>
          </w:p>
          <w:p w14:paraId="6CDD4575">
            <w:pPr>
              <w:pageBreakBefore w:val="0"/>
              <w:kinsoku/>
              <w:wordWrap/>
              <w:overflowPunct/>
              <w:topLinePunct w:val="0"/>
              <w:autoSpaceDE/>
              <w:autoSpaceDN/>
              <w:bidi w:val="0"/>
              <w:adjustRightInd/>
              <w:snapToGrid/>
              <w:spacing w:line="240" w:lineRule="auto"/>
              <w:ind w:left="425"/>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系统采用平台化开发模式或者支持其他自主开发，可以由医院在平台上做二次开发，并方便的挂接到运营管理系统；</w:t>
            </w:r>
          </w:p>
          <w:p w14:paraId="5FC7FE12">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一致性</w:t>
            </w:r>
          </w:p>
          <w:p w14:paraId="385EEDC2">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保证数据采集、存储、整理、分析、提取、应用的一致性；</w:t>
            </w:r>
          </w:p>
          <w:p w14:paraId="7F390866">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实用性</w:t>
            </w:r>
          </w:p>
          <w:p w14:paraId="0B5E2425">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符合行业操作和使用习惯；自主知识产权，系统性价比较高；满足医院信息管理的需要；整体设计、分步实施，无缝联接；开放式系统设计，便于医院维护，避免重复投资；</w:t>
            </w:r>
          </w:p>
          <w:p w14:paraId="31722843">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安全性</w:t>
            </w:r>
          </w:p>
          <w:p w14:paraId="40141050">
            <w:pPr>
              <w:pageBreakBefore w:val="0"/>
              <w:kinsoku/>
              <w:wordWrap/>
              <w:overflowPunct/>
              <w:topLinePunct w:val="0"/>
              <w:autoSpaceDE/>
              <w:autoSpaceDN/>
              <w:bidi w:val="0"/>
              <w:adjustRightInd/>
              <w:snapToGrid/>
              <w:spacing w:line="240" w:lineRule="auto"/>
              <w:ind w:firstLine="42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采用数据库级用户权限和应用程序级运行权限的双重控制机制；提供统一用户管理手段；通过数据库系统的数据安全机制，提供完善的安全保障体系；</w:t>
            </w:r>
          </w:p>
          <w:p w14:paraId="293E593E">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稳定性</w:t>
            </w:r>
          </w:p>
          <w:p w14:paraId="7F7A93F3">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系统作为医院信息化系统中的关键业务系统之一，系统的稳定性和可靠性将关系到整个医院经营管理日常工作，因此系统必须支持在高并发大数据量情况下的运行效率和和稳定性；</w:t>
            </w:r>
          </w:p>
          <w:p w14:paraId="0501E4FC">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可继承性</w:t>
            </w:r>
          </w:p>
          <w:p w14:paraId="7FBB73FE">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系统具有较强的可继承性，包括应用系统的可继承性及数据的可继承性，方便在现有系统基础上扩充子系统，并实现各子系统之间的无缝集成，以满足医院未来发展的要求；</w:t>
            </w:r>
          </w:p>
          <w:p w14:paraId="41944FBA">
            <w:pPr>
              <w:pStyle w:val="35"/>
              <w:pageBreakBefore w:val="0"/>
              <w:numPr>
                <w:ilvl w:val="0"/>
                <w:numId w:val="3"/>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可维护性、可升级性</w:t>
            </w:r>
          </w:p>
          <w:p w14:paraId="11220CF5">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采用结构化、层次化设计结构，使系统易于维护和升级，系统采用模块化设计，并保证各版本之间具有良好的兼容性，不会因为系统中某些模块的改变而影响整个系统的正常运行。系统软件尽可能做到“零”维护，同时实现简便易操作的远程维护。</w:t>
            </w:r>
          </w:p>
          <w:p w14:paraId="569F77AB">
            <w:pPr>
              <w:pStyle w:val="2"/>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CN"/>
              </w:rPr>
            </w:pPr>
            <w:bookmarkStart w:id="90" w:name="_Toc25069"/>
            <w:bookmarkStart w:id="91" w:name="_Toc985"/>
            <w:bookmarkStart w:id="92" w:name="_Toc19144"/>
            <w:r>
              <w:rPr>
                <w:rFonts w:hint="eastAsia" w:ascii="仿宋_GB2312" w:hAnsi="仿宋_GB2312" w:eastAsia="仿宋_GB2312" w:cs="仿宋_GB2312"/>
                <w:sz w:val="21"/>
                <w:szCs w:val="21"/>
                <w:lang w:val="en-US" w:eastAsia="zh-CN"/>
              </w:rPr>
              <w:t>系统功能技术参数</w:t>
            </w:r>
            <w:bookmarkEnd w:id="90"/>
            <w:bookmarkEnd w:id="91"/>
            <w:bookmarkEnd w:id="92"/>
          </w:p>
          <w:p w14:paraId="1C70D804">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bookmarkStart w:id="93" w:name="_Toc27599"/>
            <w:bookmarkStart w:id="94" w:name="_Toc31957"/>
            <w:bookmarkStart w:id="95" w:name="_Toc47711199"/>
            <w:bookmarkStart w:id="96" w:name="_Toc5880"/>
            <w:r>
              <w:rPr>
                <w:rFonts w:hint="eastAsia" w:ascii="仿宋_GB2312" w:hAnsi="仿宋_GB2312" w:eastAsia="仿宋_GB2312" w:cs="仿宋_GB2312"/>
                <w:sz w:val="21"/>
                <w:szCs w:val="21"/>
                <w:lang w:val="en-US" w:eastAsia="zh-CN"/>
              </w:rPr>
              <w:t>2.1 系统平台</w:t>
            </w:r>
            <w:bookmarkEnd w:id="93"/>
            <w:bookmarkEnd w:id="94"/>
            <w:bookmarkEnd w:id="95"/>
            <w:bookmarkEnd w:id="96"/>
          </w:p>
          <w:p w14:paraId="29E2BF4B">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组织架构：</w:t>
            </w:r>
            <w:r>
              <w:rPr>
                <w:rFonts w:hint="eastAsia" w:ascii="仿宋_GB2312" w:hAnsi="仿宋_GB2312" w:eastAsia="仿宋_GB2312" w:cs="仿宋_GB2312"/>
                <w:sz w:val="21"/>
                <w:szCs w:val="21"/>
                <w:lang w:val="en-US"/>
              </w:rPr>
              <w:t>支持组织机构设置，灵活设定组织关系，并可对组织进行启用、关闭等状态设置；</w:t>
            </w:r>
          </w:p>
          <w:p w14:paraId="38F03F0B">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rPr>
              <w:t>登录设置：</w:t>
            </w:r>
            <w:r>
              <w:rPr>
                <w:rFonts w:hint="eastAsia" w:ascii="仿宋_GB2312" w:hAnsi="仿宋_GB2312" w:eastAsia="仿宋_GB2312" w:cs="仿宋_GB2312"/>
                <w:sz w:val="21"/>
                <w:szCs w:val="21"/>
                <w:lang w:val="en-US"/>
              </w:rPr>
              <w:t>支持IP绑定登陆，非指定IP不能登陆系统；</w:t>
            </w:r>
          </w:p>
          <w:p w14:paraId="1A325A93">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系统配置：</w:t>
            </w:r>
            <w:r>
              <w:rPr>
                <w:rFonts w:hint="eastAsia" w:ascii="仿宋_GB2312" w:hAnsi="仿宋_GB2312" w:eastAsia="仿宋_GB2312" w:cs="仿宋_GB2312"/>
                <w:sz w:val="21"/>
                <w:szCs w:val="21"/>
                <w:lang w:val="en-US"/>
              </w:rPr>
              <w:t>支持各种类型的系统配置，包含：执行配置、表单配置、上传配置、页签配置、列表配置、流程配置、文件导入配置等；</w:t>
            </w:r>
          </w:p>
          <w:p w14:paraId="71002075">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消息管理：</w:t>
            </w:r>
            <w:r>
              <w:rPr>
                <w:rFonts w:hint="eastAsia" w:ascii="仿宋_GB2312" w:hAnsi="仿宋_GB2312" w:eastAsia="仿宋_GB2312" w:cs="仿宋_GB2312"/>
                <w:sz w:val="21"/>
                <w:szCs w:val="21"/>
                <w:lang w:val="en-US"/>
              </w:rPr>
              <w:t>支持相关人员对消息进行催办，并显示消息状态、催办次数、催办时间等；</w:t>
            </w:r>
          </w:p>
          <w:p w14:paraId="231EA39B">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基础数据管理</w:t>
            </w:r>
            <w:r>
              <w:rPr>
                <w:rFonts w:hint="eastAsia" w:ascii="仿宋_GB2312" w:hAnsi="仿宋_GB2312" w:eastAsia="仿宋_GB2312" w:cs="仿宋_GB2312"/>
                <w:sz w:val="21"/>
                <w:szCs w:val="21"/>
                <w:lang w:val="en-US"/>
              </w:rPr>
              <w:t>：包含：公共档案、往来单位信息、人员信息、物资基础信息、结算信息、项目信息等，并可对以上信息进行自定义设置；</w:t>
            </w:r>
          </w:p>
          <w:p w14:paraId="7CE6E6B7">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公告管理：</w:t>
            </w:r>
            <w:r>
              <w:rPr>
                <w:rFonts w:hint="eastAsia" w:ascii="仿宋_GB2312" w:hAnsi="仿宋_GB2312" w:eastAsia="仿宋_GB2312" w:cs="仿宋_GB2312"/>
                <w:sz w:val="21"/>
                <w:szCs w:val="21"/>
                <w:lang w:val="en-US"/>
              </w:rPr>
              <w:t>包含：公告标题、公告类型设置、发布状态、发布人、发布时间等；</w:t>
            </w:r>
          </w:p>
          <w:p w14:paraId="57CFF140">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流程设计：</w:t>
            </w:r>
            <w:r>
              <w:rPr>
                <w:rFonts w:hint="eastAsia" w:ascii="仿宋_GB2312" w:hAnsi="仿宋_GB2312" w:eastAsia="仿宋_GB2312" w:cs="仿宋_GB2312"/>
                <w:sz w:val="21"/>
                <w:szCs w:val="21"/>
                <w:lang w:val="en-US"/>
              </w:rPr>
              <w:t>可通过在线工作流设计器实现医院、科室的业务流程的重组和灵活设计，实现包括工作流程、审批流程的自定义设计；</w:t>
            </w:r>
          </w:p>
          <w:p w14:paraId="41C4B769">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b/>
                <w:bCs/>
                <w:sz w:val="21"/>
                <w:szCs w:val="21"/>
                <w:lang w:val="en-US"/>
              </w:rPr>
              <w:t>日志管理：</w:t>
            </w:r>
            <w:r>
              <w:rPr>
                <w:rFonts w:hint="eastAsia" w:ascii="仿宋_GB2312" w:hAnsi="仿宋_GB2312" w:eastAsia="仿宋_GB2312" w:cs="仿宋_GB2312"/>
                <w:sz w:val="21"/>
                <w:szCs w:val="21"/>
                <w:lang w:val="en-US"/>
              </w:rPr>
              <w:t>支持系统日志的应用。</w:t>
            </w:r>
          </w:p>
          <w:p w14:paraId="1803F4A4">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rPr>
              <w:t>报表平台：</w:t>
            </w:r>
            <w:r>
              <w:rPr>
                <w:rFonts w:hint="eastAsia" w:ascii="仿宋_GB2312" w:hAnsi="仿宋_GB2312" w:eastAsia="仿宋_GB2312" w:cs="仿宋_GB2312"/>
                <w:sz w:val="21"/>
                <w:szCs w:val="21"/>
                <w:lang w:val="en-US"/>
              </w:rPr>
              <w:t>可以实现医院、科室业务表单的灵活设计，实现包括表单、报表的自定义设计，可自定义高级查询。有极高定制性和扩展性，另可根据用户需求量身定做。</w:t>
            </w:r>
            <w:bookmarkStart w:id="97" w:name="_Toc31207"/>
            <w:bookmarkStart w:id="98" w:name="_Toc4538"/>
          </w:p>
          <w:p w14:paraId="42044AB9">
            <w:pPr>
              <w:pStyle w:val="35"/>
              <w:pageBreakBefore w:val="0"/>
              <w:numPr>
                <w:ilvl w:val="0"/>
                <w:numId w:val="4"/>
              </w:numPr>
              <w:kinsoku/>
              <w:wordWrap/>
              <w:overflowPunct/>
              <w:topLinePunct w:val="0"/>
              <w:autoSpaceDE/>
              <w:autoSpaceDN/>
              <w:bidi w:val="0"/>
              <w:adjustRightInd/>
              <w:snapToGrid/>
              <w:spacing w:line="240" w:lineRule="auto"/>
              <w:ind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配置管理</w:t>
            </w:r>
            <w:bookmarkEnd w:id="97"/>
            <w:bookmarkEnd w:id="98"/>
          </w:p>
          <w:p w14:paraId="48C9EF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▲包括科室对照配置、指标定义配置、中间库定义，数仓表方案定义、定时任务取数。</w:t>
            </w:r>
          </w:p>
          <w:p w14:paraId="163D034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要求能与我院目前应用的预算系统、成本系统进行互联互通，以期达到数据高效利用的目的。</w:t>
            </w:r>
          </w:p>
          <w:p w14:paraId="1B3E572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支持院级、业务科室进行运营情况分析（取决于数据的维度和颗粒度）。支持常见数据库（Oracle、SQLserver、MySQL）视图、中间表的查询。</w:t>
            </w:r>
          </w:p>
          <w:p w14:paraId="63E4CE2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通过设计工具写SQL获取指标多维度的结果，支持柱图、饼图、进度条、漏斗、气泡图、仪表盘等常见图表插件。</w:t>
            </w:r>
          </w:p>
          <w:p w14:paraId="59ECFD8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b w:val="0"/>
                <w:kern w:val="2"/>
                <w:sz w:val="21"/>
                <w:szCs w:val="21"/>
                <w:lang w:val="en-US" w:eastAsia="zh-CN" w:bidi="ar-SA"/>
              </w:rPr>
            </w:pPr>
            <w:r>
              <w:rPr>
                <w:rFonts w:hint="eastAsia" w:ascii="仿宋_GB2312" w:hAnsi="仿宋_GB2312" w:eastAsia="仿宋_GB2312" w:cs="仿宋_GB2312"/>
                <w:b w:val="0"/>
                <w:kern w:val="2"/>
                <w:sz w:val="21"/>
                <w:szCs w:val="21"/>
                <w:lang w:val="en-US" w:eastAsia="zh-CN" w:bidi="ar-SA"/>
              </w:rPr>
              <w:t>▲支持图表-&gt;报表-&gt;指标之间的穿透、联查等功能。通过使用对照表、定时任务、SQL逻辑处理等操作完成数据清洗、整合。</w:t>
            </w:r>
          </w:p>
          <w:p w14:paraId="77DAEBC3">
            <w:pPr>
              <w:pStyle w:val="3"/>
              <w:pageBreakBefore w:val="0"/>
              <w:numPr>
                <w:ilvl w:val="0"/>
                <w:numId w:val="0"/>
              </w:numPr>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b/>
                <w:bCs/>
                <w:sz w:val="21"/>
                <w:szCs w:val="21"/>
              </w:rPr>
            </w:pPr>
            <w:bookmarkStart w:id="99" w:name="_Toc22140"/>
            <w:bookmarkStart w:id="100" w:name="_Toc9392"/>
            <w:r>
              <w:rPr>
                <w:rFonts w:hint="eastAsia" w:ascii="仿宋_GB2312" w:hAnsi="仿宋_GB2312" w:eastAsia="仿宋_GB2312" w:cs="仿宋_GB2312"/>
                <w:b/>
                <w:bCs/>
                <w:sz w:val="21"/>
                <w:szCs w:val="21"/>
                <w:lang w:val="en-US" w:eastAsia="zh-CN"/>
              </w:rPr>
              <w:t>2.2 标准规范建设内容</w:t>
            </w:r>
            <w:bookmarkEnd w:id="99"/>
          </w:p>
          <w:p w14:paraId="0DBA5266">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仿宋_GB2312" w:hAnsi="仿宋_GB2312" w:eastAsia="仿宋_GB2312" w:cs="仿宋_GB2312"/>
                <w:sz w:val="21"/>
                <w:szCs w:val="21"/>
              </w:rPr>
            </w:pPr>
            <w:bookmarkStart w:id="101" w:name="_Toc524961008"/>
            <w:bookmarkStart w:id="102" w:name="_Toc29392"/>
            <w:r>
              <w:rPr>
                <w:rFonts w:hint="eastAsia" w:ascii="仿宋_GB2312" w:hAnsi="仿宋_GB2312" w:eastAsia="仿宋_GB2312" w:cs="仿宋_GB2312"/>
                <w:sz w:val="21"/>
                <w:szCs w:val="21"/>
                <w:lang w:val="en-US"/>
              </w:rPr>
              <w:t xml:space="preserve"> </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.2.1 </w:t>
            </w:r>
            <w:r>
              <w:rPr>
                <w:rFonts w:hint="eastAsia" w:ascii="仿宋_GB2312" w:hAnsi="仿宋_GB2312" w:eastAsia="仿宋_GB2312" w:cs="仿宋_GB2312"/>
                <w:sz w:val="21"/>
                <w:szCs w:val="21"/>
              </w:rPr>
              <w:t>总体标准</w:t>
            </w:r>
            <w:bookmarkEnd w:id="101"/>
            <w:bookmarkEnd w:id="102"/>
            <w:r>
              <w:rPr>
                <w:rFonts w:hint="eastAsia" w:ascii="仿宋_GB2312" w:hAnsi="仿宋_GB2312" w:eastAsia="仿宋_GB2312" w:cs="仿宋_GB2312"/>
                <w:sz w:val="21"/>
                <w:szCs w:val="21"/>
                <w:lang w:val="en-US" w:eastAsia="zh-CN"/>
              </w:rPr>
              <w:t>规范</w:t>
            </w:r>
          </w:p>
          <w:p w14:paraId="0814603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当前</w:t>
            </w:r>
            <w:r>
              <w:rPr>
                <w:rFonts w:hint="eastAsia" w:ascii="仿宋_GB2312" w:hAnsi="仿宋_GB2312" w:eastAsia="仿宋_GB2312" w:cs="仿宋_GB2312"/>
                <w:sz w:val="21"/>
                <w:szCs w:val="21"/>
              </w:rPr>
              <w:t>国家卫生健康委制定的标准目录中涵盖的总体标准包括：医疗信息化标准化工作指南、医疗信息化标准编写规则、医疗信息化标准体系以及术语定义等。</w:t>
            </w:r>
          </w:p>
          <w:p w14:paraId="1B80EBD1">
            <w:pPr>
              <w:pStyle w:val="4"/>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rPr>
            </w:pPr>
            <w:bookmarkStart w:id="103" w:name="_Toc17092"/>
            <w:bookmarkStart w:id="104" w:name="_Toc524961009"/>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.2.2 </w:t>
            </w:r>
            <w:r>
              <w:rPr>
                <w:rFonts w:hint="eastAsia" w:ascii="仿宋_GB2312" w:hAnsi="仿宋_GB2312" w:eastAsia="仿宋_GB2312" w:cs="仿宋_GB2312"/>
                <w:sz w:val="21"/>
                <w:szCs w:val="21"/>
              </w:rPr>
              <w:t>基础设施标准</w:t>
            </w:r>
            <w:bookmarkEnd w:id="103"/>
            <w:bookmarkEnd w:id="104"/>
            <w:r>
              <w:rPr>
                <w:rFonts w:hint="eastAsia" w:ascii="仿宋_GB2312" w:hAnsi="仿宋_GB2312" w:eastAsia="仿宋_GB2312" w:cs="仿宋_GB2312"/>
                <w:sz w:val="21"/>
                <w:szCs w:val="21"/>
                <w:lang w:val="en-US" w:eastAsia="zh-CN"/>
              </w:rPr>
              <w:t>规范</w:t>
            </w:r>
          </w:p>
          <w:p w14:paraId="2AAA223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其中，</w:t>
            </w:r>
            <w:r>
              <w:rPr>
                <w:rFonts w:hint="eastAsia" w:ascii="仿宋_GB2312" w:hAnsi="仿宋_GB2312" w:eastAsia="仿宋_GB2312" w:cs="仿宋_GB2312"/>
                <w:sz w:val="21"/>
                <w:szCs w:val="21"/>
              </w:rPr>
              <w:t>国家卫生健康委制定的标准目录中涵盖的基础设施标准包括：医疗信息化设备命名规范与选型规范、软件设施命名规范与选型规范以及网络、视频应用和机房环境等相关标准和规范。</w:t>
            </w:r>
          </w:p>
          <w:p w14:paraId="791CB72E">
            <w:pPr>
              <w:pStyle w:val="4"/>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rPr>
            </w:pPr>
            <w:bookmarkStart w:id="105" w:name="_Toc22340"/>
            <w:bookmarkStart w:id="106" w:name="_Toc524961010"/>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.2.3 </w:t>
            </w:r>
            <w:r>
              <w:rPr>
                <w:rFonts w:hint="eastAsia" w:ascii="仿宋_GB2312" w:hAnsi="仿宋_GB2312" w:eastAsia="仿宋_GB2312" w:cs="仿宋_GB2312"/>
                <w:sz w:val="21"/>
                <w:szCs w:val="21"/>
              </w:rPr>
              <w:t>信息资源标准</w:t>
            </w:r>
            <w:bookmarkEnd w:id="105"/>
            <w:bookmarkEnd w:id="106"/>
            <w:r>
              <w:rPr>
                <w:rFonts w:hint="eastAsia" w:ascii="仿宋_GB2312" w:hAnsi="仿宋_GB2312" w:eastAsia="仿宋_GB2312" w:cs="仿宋_GB2312"/>
                <w:sz w:val="21"/>
                <w:szCs w:val="21"/>
                <w:lang w:val="en-US" w:eastAsia="zh-CN"/>
              </w:rPr>
              <w:t>规范</w:t>
            </w:r>
          </w:p>
          <w:p w14:paraId="58CE098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其次，</w:t>
            </w:r>
            <w:r>
              <w:rPr>
                <w:rFonts w:hint="eastAsia" w:ascii="仿宋_GB2312" w:hAnsi="仿宋_GB2312" w:eastAsia="仿宋_GB2312" w:cs="仿宋_GB2312"/>
                <w:sz w:val="21"/>
                <w:szCs w:val="21"/>
              </w:rPr>
              <w:t>国家卫生健康委制定的专利标准目录中涵盖的信息资源标准包括：数据元、信息分类与编码、业务代码集、指标数据和非结构化数据等标准规范。</w:t>
            </w:r>
          </w:p>
          <w:p w14:paraId="49C8D96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应用标准包括：可程序化的业务规范、数据交换规范、报文规范以及应用支撑等标准规范。</w:t>
            </w:r>
          </w:p>
          <w:p w14:paraId="22861EED">
            <w:pPr>
              <w:pStyle w:val="4"/>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rPr>
            </w:pPr>
            <w:bookmarkStart w:id="107" w:name="_Toc524961011"/>
            <w:bookmarkStart w:id="108" w:name="_Toc11870"/>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.2.4 </w:t>
            </w:r>
            <w:r>
              <w:rPr>
                <w:rFonts w:hint="eastAsia" w:ascii="仿宋_GB2312" w:hAnsi="仿宋_GB2312" w:eastAsia="仿宋_GB2312" w:cs="仿宋_GB2312"/>
                <w:sz w:val="21"/>
                <w:szCs w:val="21"/>
              </w:rPr>
              <w:t>信息安全标准</w:t>
            </w:r>
            <w:bookmarkEnd w:id="107"/>
            <w:bookmarkEnd w:id="108"/>
            <w:r>
              <w:rPr>
                <w:rFonts w:hint="eastAsia" w:ascii="仿宋_GB2312" w:hAnsi="仿宋_GB2312" w:eastAsia="仿宋_GB2312" w:cs="仿宋_GB2312"/>
                <w:sz w:val="21"/>
                <w:szCs w:val="21"/>
                <w:lang w:val="en-US" w:eastAsia="zh-CN"/>
              </w:rPr>
              <w:t>规范</w:t>
            </w:r>
          </w:p>
          <w:p w14:paraId="27EE67B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第三</w:t>
            </w:r>
            <w:r>
              <w:rPr>
                <w:rFonts w:hint="eastAsia" w:ascii="仿宋_GB2312" w:hAnsi="仿宋_GB2312" w:eastAsia="仿宋_GB2312" w:cs="仿宋_GB2312"/>
                <w:sz w:val="21"/>
                <w:szCs w:val="21"/>
              </w:rPr>
              <w:t>，国家卫生健康委制定的业务标准目录中涵盖的信息安全标准包括：等级保护、物理安全、网络安全、应用安全、主机安全和数据安全等标准规范。</w:t>
            </w:r>
          </w:p>
          <w:p w14:paraId="1D770C3A">
            <w:pPr>
              <w:pStyle w:val="4"/>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rPr>
            </w:pPr>
            <w:bookmarkStart w:id="109" w:name="_Toc524961012"/>
            <w:bookmarkStart w:id="110" w:name="_Toc17970"/>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.2.5 </w:t>
            </w:r>
            <w:r>
              <w:rPr>
                <w:rFonts w:hint="eastAsia" w:ascii="仿宋_GB2312" w:hAnsi="仿宋_GB2312" w:eastAsia="仿宋_GB2312" w:cs="仿宋_GB2312"/>
                <w:sz w:val="21"/>
                <w:szCs w:val="21"/>
              </w:rPr>
              <w:t>管理标准</w:t>
            </w:r>
            <w:bookmarkEnd w:id="109"/>
            <w:bookmarkEnd w:id="110"/>
            <w:r>
              <w:rPr>
                <w:rFonts w:hint="eastAsia" w:ascii="仿宋_GB2312" w:hAnsi="仿宋_GB2312" w:eastAsia="仿宋_GB2312" w:cs="仿宋_GB2312"/>
                <w:sz w:val="21"/>
                <w:szCs w:val="21"/>
                <w:lang w:val="en-US" w:eastAsia="zh-CN"/>
              </w:rPr>
              <w:t>规范</w:t>
            </w:r>
          </w:p>
          <w:p w14:paraId="212B3C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最后</w:t>
            </w:r>
            <w:r>
              <w:rPr>
                <w:rFonts w:hint="eastAsia" w:ascii="仿宋_GB2312" w:hAnsi="仿宋_GB2312" w:eastAsia="仿宋_GB2312" w:cs="仿宋_GB2312"/>
                <w:sz w:val="21"/>
                <w:szCs w:val="21"/>
              </w:rPr>
              <w:t>，国家卫生健康委制定的专利标准目录中涵盖的管理标准包括：职责规范、项目管理、文档管理、运维管理（IT服务管理规范）、资产管理以及风险管理等标准规范。</w:t>
            </w:r>
          </w:p>
          <w:p w14:paraId="046E4108">
            <w:pPr>
              <w:pStyle w:val="3"/>
              <w:pageBreakBefore w:val="0"/>
              <w:numPr>
                <w:ilvl w:val="0"/>
                <w:numId w:val="0"/>
              </w:numPr>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b/>
                <w:bCs/>
                <w:sz w:val="21"/>
                <w:szCs w:val="21"/>
              </w:rPr>
            </w:pPr>
            <w:bookmarkStart w:id="111" w:name="_Toc4368"/>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lang w:val="en-US"/>
              </w:rPr>
              <w:t xml:space="preserve">.3 </w:t>
            </w:r>
            <w:r>
              <w:rPr>
                <w:rFonts w:hint="eastAsia" w:ascii="仿宋_GB2312" w:hAnsi="仿宋_GB2312" w:eastAsia="仿宋_GB2312" w:cs="仿宋_GB2312"/>
                <w:b/>
                <w:bCs/>
                <w:sz w:val="21"/>
                <w:szCs w:val="21"/>
              </w:rPr>
              <w:t>信息资源规划和数据系统建设</w:t>
            </w:r>
            <w:bookmarkEnd w:id="111"/>
          </w:p>
          <w:p w14:paraId="4B4190DB">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2.3.1 信息资源建设规划</w:t>
            </w:r>
          </w:p>
          <w:p w14:paraId="0A3E8F4E">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系统建设</w:t>
            </w:r>
            <w:r>
              <w:rPr>
                <w:rFonts w:hint="eastAsia" w:ascii="仿宋_GB2312" w:hAnsi="仿宋_GB2312" w:eastAsia="仿宋_GB2312" w:cs="仿宋_GB2312"/>
                <w:sz w:val="21"/>
                <w:szCs w:val="21"/>
              </w:rPr>
              <w:t>以构建医院</w:t>
            </w:r>
            <w:r>
              <w:rPr>
                <w:rFonts w:hint="eastAsia" w:ascii="仿宋_GB2312" w:hAnsi="仿宋_GB2312" w:eastAsia="仿宋_GB2312" w:cs="仿宋_GB2312"/>
                <w:sz w:val="21"/>
                <w:szCs w:val="21"/>
                <w:lang w:val="en-US" w:eastAsia="zh-CN"/>
              </w:rPr>
              <w:t>智慧运营管理平台</w:t>
            </w:r>
            <w:r>
              <w:rPr>
                <w:rFonts w:hint="eastAsia" w:ascii="仿宋_GB2312" w:hAnsi="仿宋_GB2312" w:eastAsia="仿宋_GB2312" w:cs="仿宋_GB2312"/>
                <w:sz w:val="21"/>
                <w:szCs w:val="21"/>
              </w:rPr>
              <w:t>为核心，规划了数据中心、技术中心、知识中心、应用服务中心、平台管理中心五部分内容。整个功能规划将医院智慧管理作为一个体系化的建设过程，上下一致，共下一盘棋，才能形成合力，保证效率。</w:t>
            </w:r>
          </w:p>
          <w:p w14:paraId="08174B99">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首先，站在数据角度，通过数据治理、主数据管理等手段，将医院的运营数据作为资产进行集成标准管理；其次，通过技术集成手段，将各种大数据技术如ETL、BI引擎等技术工具进行统一管理；通过知识管理，将指标、分析模型、主题看板、报告模板、专家库、涉医大数据等内容进行知识化产出，形成知识库；从业务应用场景设计出发，规划数据应用服务内容；并通过平台管理中心，如统一门户、权限管理、日志管理等功能，实现对整个平台的系统性管理，从而实现业务、信息、价值的“三流合一”，通过数据分析结果反哺业务、支撑决策、优化流程，保证数据可用、能用、易用、好用，为医院的数字化转型、精细化经营奠定基础。</w:t>
            </w:r>
          </w:p>
          <w:p w14:paraId="316605D8">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2.3.2 数据库建设内容</w:t>
            </w:r>
          </w:p>
          <w:p w14:paraId="0A672EBA">
            <w:pPr>
              <w:pStyle w:val="5"/>
              <w:pageBreakBefore w:val="0"/>
              <w:numPr>
                <w:ilvl w:val="0"/>
                <w:numId w:val="0"/>
              </w:numPr>
              <w:kinsoku/>
              <w:wordWrap/>
              <w:overflowPunct/>
              <w:topLinePunct w:val="0"/>
              <w:autoSpaceDE/>
              <w:autoSpaceDN/>
              <w:bidi w:val="0"/>
              <w:adjustRightInd/>
              <w:snapToGrid/>
              <w:spacing w:line="240" w:lineRule="auto"/>
              <w:ind w:lef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2.3.2.1 数据库</w:t>
            </w:r>
            <w:r>
              <w:rPr>
                <w:rFonts w:hint="eastAsia" w:ascii="仿宋_GB2312" w:hAnsi="仿宋_GB2312" w:eastAsia="仿宋_GB2312" w:cs="仿宋_GB2312"/>
                <w:sz w:val="21"/>
                <w:szCs w:val="21"/>
              </w:rPr>
              <w:t>管理</w:t>
            </w:r>
          </w:p>
          <w:p w14:paraId="37F8665B">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为了满足医院对数据应用的迫切需求，必须从数据存储的设计思路上进行改变。通过调研分析后认识到，完全依靠厂商按照医院实际需求调整数据结构和统一数据标准的想法是不切实际的，需要将当前“数出多源”向“数出一源”转变。所以当前数据应用的最基本前提既是：按照医院认可的一套数据标准，将需要的数据从各个业务系统中抽取出来，进行数据统一存储与应用。</w:t>
            </w:r>
          </w:p>
          <w:p w14:paraId="3704DCB5">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在数据应用中，为了避免发生统计结果不准确的情况，医院需要统一数据统计口径和数据来源，临床数据中心应能够支持存储结构化数据和非结构化数据。</w:t>
            </w:r>
          </w:p>
          <w:p w14:paraId="2FE63C5D">
            <w:pPr>
              <w:pStyle w:val="35"/>
              <w:pageBreakBefore w:val="0"/>
              <w:numPr>
                <w:ilvl w:val="0"/>
                <w:numId w:val="0"/>
              </w:numPr>
              <w:kinsoku/>
              <w:wordWrap/>
              <w:overflowPunct/>
              <w:topLinePunct w:val="0"/>
              <w:autoSpaceDE/>
              <w:autoSpaceDN/>
              <w:bidi w:val="0"/>
              <w:adjustRightInd/>
              <w:snapToGrid/>
              <w:spacing w:line="240" w:lineRule="auto"/>
              <w:ind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中心存储临床数据，如：医护人员、患者、临床诊疗数据等信息，这些信息按不同内容不同方式存储于数据库内，以供上层应用调用，因此需要建立不同的多个数据库，临床数据中心应建成基础信息库、临床信息存储库、电子病历共享文档库等。</w:t>
            </w:r>
          </w:p>
          <w:p w14:paraId="738A4233">
            <w:pPr>
              <w:pStyle w:val="35"/>
              <w:pageBreakBefore w:val="0"/>
              <w:numPr>
                <w:ilvl w:val="0"/>
                <w:numId w:val="0"/>
              </w:numPr>
              <w:kinsoku/>
              <w:wordWrap/>
              <w:overflowPunct/>
              <w:topLinePunct w:val="0"/>
              <w:autoSpaceDE/>
              <w:autoSpaceDN/>
              <w:bidi w:val="0"/>
              <w:adjustRightInd/>
              <w:snapToGrid/>
              <w:spacing w:line="240" w:lineRule="auto"/>
              <w:ind w:leftChars="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基础信息库将患者、医疗服务人员、机构、字典和术语进行注册，实现标准化管理。</w:t>
            </w:r>
          </w:p>
          <w:p w14:paraId="72B55055">
            <w:pPr>
              <w:pStyle w:val="5"/>
              <w:pageBreakBefore w:val="0"/>
              <w:numPr>
                <w:ilvl w:val="0"/>
                <w:numId w:val="0"/>
              </w:numPr>
              <w:kinsoku/>
              <w:wordWrap/>
              <w:overflowPunct/>
              <w:topLinePunct w:val="0"/>
              <w:autoSpaceDE/>
              <w:autoSpaceDN/>
              <w:bidi w:val="0"/>
              <w:adjustRightInd/>
              <w:snapToGrid/>
              <w:spacing w:line="240" w:lineRule="auto"/>
              <w:ind w:lef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2.3.2.2 基础</w:t>
            </w:r>
            <w:r>
              <w:rPr>
                <w:rFonts w:hint="eastAsia" w:ascii="仿宋_GB2312" w:hAnsi="仿宋_GB2312" w:eastAsia="仿宋_GB2312" w:cs="仿宋_GB2312"/>
                <w:sz w:val="21"/>
                <w:szCs w:val="21"/>
              </w:rPr>
              <w:t>管理</w:t>
            </w:r>
          </w:p>
          <w:p w14:paraId="2AABFF3C">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于平台的系统管理功能，包括组织管理、用户管理、权限管理、日志管理等模块。通过通过灵活的权限控制管理，明确职责权限，确保医院信息系统的信息安全。保障医院各项数据在专业的控制管理平台上，医院成本控制管理流程中的每一个关键步骤，如编制、审批、下发、查询等都在预先设定的管理权限的控制之下，确保医院数据信息的安全性。</w:t>
            </w:r>
          </w:p>
          <w:p w14:paraId="46CADE66">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系统可对用户进行角色管理，通过角色授权定义用户权限，并支持对角色、用户权限进行查询和修改。 </w:t>
            </w:r>
          </w:p>
          <w:p w14:paraId="18E96F78">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系统支持数据权限，可以为不同用户设定不同的数据权限，确保数据安全性。</w:t>
            </w:r>
          </w:p>
          <w:p w14:paraId="78989635">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系统自动对所有操作进行记录，内容要包括：操作员、操作内容、日期、开始结束时间、用户机器名及对数据库的读、写操作记录，同时提供对日志管理人员的授权功能。</w:t>
            </w:r>
          </w:p>
          <w:p w14:paraId="6874165A">
            <w:pPr>
              <w:pStyle w:val="5"/>
              <w:pageBreakBefore w:val="0"/>
              <w:numPr>
                <w:ilvl w:val="0"/>
                <w:numId w:val="0"/>
              </w:numPr>
              <w:kinsoku/>
              <w:wordWrap/>
              <w:overflowPunct/>
              <w:topLinePunct w:val="0"/>
              <w:autoSpaceDE/>
              <w:autoSpaceDN/>
              <w:bidi w:val="0"/>
              <w:adjustRightInd/>
              <w:snapToGrid/>
              <w:spacing w:line="240" w:lineRule="auto"/>
              <w:ind w:lef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.3.2.3 </w:t>
            </w:r>
            <w:r>
              <w:rPr>
                <w:rFonts w:hint="eastAsia" w:ascii="仿宋_GB2312" w:hAnsi="仿宋_GB2312" w:eastAsia="仿宋_GB2312" w:cs="仿宋_GB2312"/>
                <w:sz w:val="21"/>
                <w:szCs w:val="21"/>
              </w:rPr>
              <w:t>应用管理</w:t>
            </w:r>
          </w:p>
          <w:p w14:paraId="08DED166">
            <w:pPr>
              <w:pageBreakBefore w:val="0"/>
              <w:kinsoku/>
              <w:wordWrap/>
              <w:overflowPunct/>
              <w:topLinePunct w:val="0"/>
              <w:autoSpaceDE/>
              <w:autoSpaceDN/>
              <w:bidi w:val="0"/>
              <w:adjustRightInd/>
              <w:snapToGrid/>
              <w:spacing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用管理包括应用管理、消息管理、设置管理三部分。通过应用管理，实现对所有模块的应用状态、应用进度统一管理；消息管理，系统支持预警项目的自定义，通过设置预警事项，灵活设置预警天数，以消息、邮件或短信的方式进行推送，并在系统首页进行预警提示；设置管理，通过自定义的设置功能，实现对不同功能模块的设置管理，如定时任务定义、报告自动生成定义等。</w:t>
            </w:r>
          </w:p>
          <w:p w14:paraId="138C052F">
            <w:pPr>
              <w:pStyle w:val="5"/>
              <w:pageBreakBefore w:val="0"/>
              <w:numPr>
                <w:ilvl w:val="0"/>
                <w:numId w:val="0"/>
              </w:numPr>
              <w:kinsoku/>
              <w:wordWrap/>
              <w:overflowPunct/>
              <w:topLinePunct w:val="0"/>
              <w:autoSpaceDE/>
              <w:autoSpaceDN/>
              <w:bidi w:val="0"/>
              <w:adjustRightInd/>
              <w:snapToGrid/>
              <w:spacing w:line="240" w:lineRule="auto"/>
              <w:ind w:left="0" w:firstLine="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.3.2.4 </w:t>
            </w:r>
            <w:r>
              <w:rPr>
                <w:rFonts w:hint="eastAsia" w:ascii="仿宋_GB2312" w:hAnsi="仿宋_GB2312" w:eastAsia="仿宋_GB2312" w:cs="仿宋_GB2312"/>
                <w:sz w:val="21"/>
                <w:szCs w:val="21"/>
              </w:rPr>
              <w:t>表结构</w:t>
            </w:r>
            <w:r>
              <w:rPr>
                <w:rFonts w:hint="eastAsia" w:ascii="仿宋_GB2312" w:hAnsi="仿宋_GB2312" w:eastAsia="仿宋_GB2312" w:cs="仿宋_GB2312"/>
                <w:sz w:val="21"/>
                <w:szCs w:val="21"/>
                <w:lang w:val="en-US" w:eastAsia="zh-CN"/>
              </w:rPr>
              <w:t>管理</w:t>
            </w:r>
          </w:p>
          <w:p w14:paraId="679081B3">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数据库表结构设计满足国家数据集标准要求，包含《WS 445-2014 电子病历基本数据集》《WS 363-2011 卫生信息数据元目录》《WS 371-2012 基本信息基本数据集》《全国医院上报数据统计分析指标集》等标准</w:t>
            </w:r>
            <w:r>
              <w:rPr>
                <w:rFonts w:hint="eastAsia" w:ascii="仿宋_GB2312" w:hAnsi="仿宋_GB2312" w:eastAsia="仿宋_GB2312" w:cs="仿宋_GB2312"/>
                <w:sz w:val="21"/>
                <w:szCs w:val="21"/>
                <w:lang w:eastAsia="zh-CN"/>
              </w:rPr>
              <w:t>。</w:t>
            </w:r>
          </w:p>
          <w:p w14:paraId="1A3FA83C">
            <w:pPr>
              <w:pStyle w:val="5"/>
              <w:pageBreakBefore w:val="0"/>
              <w:numPr>
                <w:ilvl w:val="0"/>
                <w:numId w:val="0"/>
              </w:numPr>
              <w:kinsoku/>
              <w:wordWrap/>
              <w:overflowPunct/>
              <w:topLinePunct w:val="0"/>
              <w:autoSpaceDE/>
              <w:autoSpaceDN/>
              <w:bidi w:val="0"/>
              <w:adjustRightInd/>
              <w:snapToGrid/>
              <w:spacing w:line="240" w:lineRule="auto"/>
              <w:ind w:left="0" w:firstLine="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2.3.2.5 元数据管理</w:t>
            </w:r>
          </w:p>
          <w:p w14:paraId="5BAA095A">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元数据管理是数据治理的基础，系统涵盖元数据采集、元数据管理、元数据应用和元数据接口等功能。</w:t>
            </w:r>
          </w:p>
          <w:p w14:paraId="6DE97CBA">
            <w:pPr>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1）系统支持元数据通过ETL模式进行数据采集。</w:t>
            </w:r>
          </w:p>
          <w:p w14:paraId="0FDAC17B">
            <w:pPr>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2）系统支持展示各层数仓中元数据列表、定义、内容等信息。</w:t>
            </w:r>
          </w:p>
          <w:p w14:paraId="1262BF2A">
            <w:pPr>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3）系统支持元数据血缘关系分析。</w:t>
            </w:r>
          </w:p>
          <w:p w14:paraId="7E142254">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2.3.3 信息共享和需求</w:t>
            </w:r>
          </w:p>
          <w:p w14:paraId="5A0FF52E">
            <w:pPr>
              <w:pageBreakBefore w:val="0"/>
              <w:kinsoku/>
              <w:wordWrap/>
              <w:overflowPunct/>
              <w:topLinePunct w:val="0"/>
              <w:autoSpaceDE/>
              <w:autoSpaceDN/>
              <w:bidi w:val="0"/>
              <w:adjustRightInd/>
              <w:snapToGrid/>
              <w:spacing w:before="120" w:after="120"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基于运营数据中心提供数据共享服务功能，通过共享功能的设置，完成运营数据的对外开放，减少了各个系统相关需求的沟通和开发的成本，从而实现各系统统计数据的一致性。</w:t>
            </w:r>
          </w:p>
          <w:p w14:paraId="14806261">
            <w:pPr>
              <w:pageBreakBefore w:val="0"/>
              <w:kinsoku/>
              <w:wordWrap/>
              <w:overflowPunct/>
              <w:topLinePunct w:val="0"/>
              <w:autoSpaceDE/>
              <w:autoSpaceDN/>
              <w:bidi w:val="0"/>
              <w:adjustRightInd/>
              <w:snapToGrid/>
              <w:spacing w:before="120" w:after="120"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具体功能包括：</w:t>
            </w:r>
          </w:p>
          <w:p w14:paraId="49CACAD4">
            <w:pPr>
              <w:pageBreakBefore w:val="0"/>
              <w:kinsoku/>
              <w:wordWrap/>
              <w:overflowPunct/>
              <w:topLinePunct w:val="0"/>
              <w:autoSpaceDE/>
              <w:autoSpaceDN/>
              <w:bidi w:val="0"/>
              <w:adjustRightInd/>
              <w:snapToGrid/>
              <w:spacing w:before="120" w:after="120"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1）将数据以指标的形式共享开放给各个业务需求单位；</w:t>
            </w:r>
          </w:p>
          <w:p w14:paraId="794ED17B">
            <w:pPr>
              <w:pageBreakBefore w:val="0"/>
              <w:kinsoku/>
              <w:wordWrap/>
              <w:overflowPunct/>
              <w:topLinePunct w:val="0"/>
              <w:autoSpaceDE/>
              <w:autoSpaceDN/>
              <w:bidi w:val="0"/>
              <w:adjustRightInd/>
              <w:snapToGrid/>
              <w:spacing w:before="120" w:after="120" w:line="240" w:lineRule="auto"/>
              <w:ind w:firstLine="4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2）将数据以报表等服务形式开放给各个业务需求单位；</w:t>
            </w:r>
          </w:p>
          <w:p w14:paraId="01A2108F">
            <w:pPr>
              <w:pageBreakBefore w:val="0"/>
              <w:kinsoku/>
              <w:wordWrap/>
              <w:overflowPunct/>
              <w:topLinePunct w:val="0"/>
              <w:autoSpaceDE/>
              <w:autoSpaceDN/>
              <w:bidi w:val="0"/>
              <w:adjustRightInd/>
              <w:snapToGrid/>
              <w:spacing w:before="120" w:after="120" w:line="240" w:lineRule="auto"/>
              <w:ind w:firstLine="48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3）将数据以数据接口形式共享给各个业务需求系统。</w:t>
            </w:r>
          </w:p>
          <w:p w14:paraId="36DC6E4F">
            <w:pPr>
              <w:pStyle w:val="3"/>
              <w:pageBreakBefore w:val="0"/>
              <w:numPr>
                <w:ilvl w:val="0"/>
                <w:numId w:val="0"/>
              </w:numPr>
              <w:kinsoku/>
              <w:wordWrap/>
              <w:overflowPunct/>
              <w:topLinePunct w:val="0"/>
              <w:autoSpaceDE/>
              <w:autoSpaceDN/>
              <w:bidi w:val="0"/>
              <w:adjustRightInd/>
              <w:snapToGrid/>
              <w:spacing w:line="240" w:lineRule="auto"/>
              <w:ind w:left="0" w:firstLine="0" w:firstLineChars="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val="en-US" w:eastAsia="zh-CN"/>
              </w:rPr>
              <w:t>2</w:t>
            </w:r>
            <w:r>
              <w:rPr>
                <w:rFonts w:hint="eastAsia" w:ascii="仿宋_GB2312" w:hAnsi="仿宋_GB2312" w:eastAsia="仿宋_GB2312" w:cs="仿宋_GB2312"/>
                <w:b/>
                <w:bCs/>
                <w:sz w:val="21"/>
                <w:szCs w:val="21"/>
                <w:lang w:val="en-US"/>
              </w:rPr>
              <w:t xml:space="preserve">.4 </w:t>
            </w:r>
            <w:r>
              <w:rPr>
                <w:rFonts w:hint="eastAsia" w:ascii="仿宋_GB2312" w:hAnsi="仿宋_GB2312" w:eastAsia="仿宋_GB2312" w:cs="仿宋_GB2312"/>
                <w:b/>
                <w:bCs/>
                <w:sz w:val="21"/>
                <w:szCs w:val="21"/>
              </w:rPr>
              <w:t>制定业务标准</w:t>
            </w:r>
            <w:bookmarkEnd w:id="100"/>
          </w:p>
          <w:p w14:paraId="2155F86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通过与各部门进行需求调研，归纳分析指标，涵盖医疗、经济效益、费用控制、资源效益、预算管理等内容</w:t>
            </w:r>
            <w:r>
              <w:rPr>
                <w:rFonts w:hint="eastAsia" w:ascii="仿宋_GB2312" w:hAnsi="仿宋_GB2312" w:eastAsia="仿宋_GB2312" w:cs="仿宋_GB2312"/>
                <w:sz w:val="21"/>
                <w:szCs w:val="21"/>
                <w:lang w:eastAsia="zh-CN"/>
              </w:rPr>
              <w:t>。</w:t>
            </w:r>
          </w:p>
          <w:p w14:paraId="4ED574A6">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在运营</w:t>
            </w:r>
            <w:r>
              <w:rPr>
                <w:rFonts w:hint="eastAsia" w:ascii="仿宋_GB2312" w:hAnsi="仿宋_GB2312" w:eastAsia="仿宋_GB2312" w:cs="仿宋_GB2312"/>
                <w:sz w:val="21"/>
                <w:szCs w:val="21"/>
                <w:lang w:val="en-US" w:eastAsia="zh-CN"/>
              </w:rPr>
              <w:t>管理平台</w:t>
            </w:r>
            <w:r>
              <w:rPr>
                <w:rFonts w:hint="eastAsia" w:ascii="仿宋_GB2312" w:hAnsi="仿宋_GB2312" w:eastAsia="仿宋_GB2312" w:cs="仿宋_GB2312"/>
                <w:sz w:val="21"/>
                <w:szCs w:val="21"/>
              </w:rPr>
              <w:t>建设过程中，制定业务数据标准，是最为核心的部分。包括科室标准、医保分类标准、重点病种标准、微创手术标准、手术分级标准、抗菌药物标准、收费项目标准、患者年龄分组标准、本地异地标准；针对每一项标准，对应完成了千万条次的历史数据的标准处理工作。</w:t>
            </w:r>
          </w:p>
          <w:p w14:paraId="15AA1D94">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.4.1 </w:t>
            </w:r>
            <w:r>
              <w:rPr>
                <w:rFonts w:hint="eastAsia" w:ascii="仿宋_GB2312" w:hAnsi="仿宋_GB2312" w:eastAsia="仿宋_GB2312" w:cs="仿宋_GB2312"/>
                <w:sz w:val="21"/>
                <w:szCs w:val="21"/>
              </w:rPr>
              <w:t>科室标准</w:t>
            </w:r>
          </w:p>
          <w:p w14:paraId="19E07EA2">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对接科室字典（绩效+HIS+病案+成本+预算+财务+……），梳理了不同系统的科室映射关系，并最终确认运营</w:t>
            </w:r>
            <w:r>
              <w:rPr>
                <w:rFonts w:hint="eastAsia" w:ascii="仿宋_GB2312" w:hAnsi="仿宋_GB2312" w:eastAsia="仿宋_GB2312" w:cs="仿宋_GB2312"/>
                <w:sz w:val="21"/>
                <w:szCs w:val="21"/>
                <w:lang w:val="en-US" w:eastAsia="zh-CN"/>
              </w:rPr>
              <w:t>管理平台</w:t>
            </w:r>
            <w:r>
              <w:rPr>
                <w:rFonts w:hint="eastAsia" w:ascii="仿宋_GB2312" w:hAnsi="仿宋_GB2312" w:eastAsia="仿宋_GB2312" w:cs="仿宋_GB2312"/>
                <w:sz w:val="21"/>
                <w:szCs w:val="21"/>
              </w:rPr>
              <w:t>的科室标准。</w:t>
            </w:r>
          </w:p>
          <w:p w14:paraId="5D000B77">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运营</w:t>
            </w:r>
            <w:r>
              <w:rPr>
                <w:rFonts w:hint="eastAsia" w:ascii="仿宋_GB2312" w:hAnsi="仿宋_GB2312" w:eastAsia="仿宋_GB2312" w:cs="仿宋_GB2312"/>
                <w:sz w:val="21"/>
                <w:szCs w:val="21"/>
                <w:lang w:val="en-US" w:eastAsia="zh-CN"/>
              </w:rPr>
              <w:t>管理平台</w:t>
            </w:r>
            <w:r>
              <w:rPr>
                <w:rFonts w:hint="eastAsia" w:ascii="仿宋_GB2312" w:hAnsi="仿宋_GB2312" w:eastAsia="仿宋_GB2312" w:cs="仿宋_GB2312"/>
                <w:sz w:val="21"/>
                <w:szCs w:val="21"/>
              </w:rPr>
              <w:t>科室标准，完成多项科室的标准提炼工作，包括科室编码、科室层级、科室属性（内外科）、科室类型（门诊住院）、是否平台科室、是否儿童科室、是否手术科室等关键内容。</w:t>
            </w:r>
          </w:p>
          <w:p w14:paraId="0163710B">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.4.2 </w:t>
            </w:r>
            <w:r>
              <w:rPr>
                <w:rFonts w:hint="eastAsia" w:ascii="仿宋_GB2312" w:hAnsi="仿宋_GB2312" w:eastAsia="仿宋_GB2312" w:cs="仿宋_GB2312"/>
                <w:sz w:val="21"/>
                <w:szCs w:val="21"/>
              </w:rPr>
              <w:t>医保分类标准</w:t>
            </w:r>
          </w:p>
          <w:p w14:paraId="0E731361">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医保分类标准，整理医保分类标准，完成数据标准转换工作。</w:t>
            </w:r>
          </w:p>
          <w:p w14:paraId="13DCC0EC">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.4.3 </w:t>
            </w:r>
            <w:r>
              <w:rPr>
                <w:rFonts w:hint="eastAsia" w:ascii="仿宋_GB2312" w:hAnsi="仿宋_GB2312" w:eastAsia="仿宋_GB2312" w:cs="仿宋_GB2312"/>
                <w:sz w:val="21"/>
                <w:szCs w:val="21"/>
              </w:rPr>
              <w:t>重点病种标准</w:t>
            </w:r>
          </w:p>
          <w:p w14:paraId="1C261630">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整理了院级重点病种，最终确认重点病种标准，完成数据标准处理工作。</w:t>
            </w:r>
          </w:p>
          <w:p w14:paraId="644E632F">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.4.4 </w:t>
            </w:r>
            <w:r>
              <w:rPr>
                <w:rFonts w:hint="eastAsia" w:ascii="仿宋_GB2312" w:hAnsi="仿宋_GB2312" w:eastAsia="仿宋_GB2312" w:cs="仿宋_GB2312"/>
                <w:sz w:val="21"/>
                <w:szCs w:val="21"/>
              </w:rPr>
              <w:t>微创手术标准</w:t>
            </w:r>
          </w:p>
          <w:p w14:paraId="1B85EA63">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共计整理微创手术字典，完成数据标准处理工作。</w:t>
            </w:r>
          </w:p>
          <w:p w14:paraId="47B1384C">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.4.5 </w:t>
            </w:r>
            <w:r>
              <w:rPr>
                <w:rFonts w:hint="eastAsia" w:ascii="仿宋_GB2312" w:hAnsi="仿宋_GB2312" w:eastAsia="仿宋_GB2312" w:cs="仿宋_GB2312"/>
                <w:sz w:val="21"/>
                <w:szCs w:val="21"/>
              </w:rPr>
              <w:t>手术分级标准</w:t>
            </w:r>
          </w:p>
          <w:p w14:paraId="64A99176">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整理手术分级标准，完成数据标准处理工作。</w:t>
            </w:r>
          </w:p>
          <w:p w14:paraId="7C97108A">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.4.6 </w:t>
            </w:r>
            <w:r>
              <w:rPr>
                <w:rFonts w:hint="eastAsia" w:ascii="仿宋_GB2312" w:hAnsi="仿宋_GB2312" w:eastAsia="仿宋_GB2312" w:cs="仿宋_GB2312"/>
                <w:sz w:val="21"/>
                <w:szCs w:val="21"/>
              </w:rPr>
              <w:t>收费项目标准</w:t>
            </w:r>
          </w:p>
          <w:p w14:paraId="5B1BB84A">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通过梳理HIS系统的收费项目，提炼四大项收费标准，收费项目映射，完成收费数据的标准处理工作。</w:t>
            </w:r>
          </w:p>
          <w:p w14:paraId="3496065C">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.4.7 </w:t>
            </w:r>
            <w:r>
              <w:rPr>
                <w:rFonts w:hint="eastAsia" w:ascii="仿宋_GB2312" w:hAnsi="仿宋_GB2312" w:eastAsia="仿宋_GB2312" w:cs="仿宋_GB2312"/>
                <w:sz w:val="21"/>
                <w:szCs w:val="21"/>
              </w:rPr>
              <w:t>患者分组标准</w:t>
            </w:r>
          </w:p>
          <w:p w14:paraId="57A71B93">
            <w:pPr>
              <w:pageBreakBefore w:val="0"/>
              <w:kinsoku/>
              <w:wordWrap/>
              <w:overflowPunct/>
              <w:topLinePunct w:val="0"/>
              <w:autoSpaceDE/>
              <w:autoSpaceDN/>
              <w:bidi w:val="0"/>
              <w:adjustRightInd/>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根据患者年龄分组，划定分组标准，对全院患者数据进行年龄分组处理工作。</w:t>
            </w:r>
          </w:p>
          <w:p w14:paraId="378A091F">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2.5 收入主题</w:t>
            </w:r>
          </w:p>
          <w:p w14:paraId="7C76243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sz w:val="21"/>
                <w:szCs w:val="21"/>
                <w:lang w:val="en-US" w:eastAsia="zh-CN"/>
              </w:rPr>
              <w:t>“收入分析”从不同的业务场景，如门诊收入、住院收入、有效收入、医疗服务收入，对医院的收入构成、科室收入排名进行分析。</w:t>
            </w:r>
          </w:p>
          <w:p w14:paraId="6FCD40A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对全院医生的门诊收入、急诊收入、住院收入、药品收入、卫生材料收入、检查化验收入及医疗服务收入等进行统计，并通过符号展示各项指标的增长和下降情况，对比同期相同指标情况，统计其同比增长或下降的百分率；</w:t>
            </w:r>
          </w:p>
          <w:p w14:paraId="7351B0D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对人员服务效益整体情况进行统计分析，包括每医生的门诊、住院收入构成情况分析，医疗服务收入、药品收入、检查化验收入、卫生材料收入等收费项目的构成比例分析，并支持统计各月份趋势波动情况，展示本期及同期数据及同比变动情况；</w:t>
            </w:r>
          </w:p>
          <w:p w14:paraId="329F92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通过每医生门急诊人次、出院人次及住院手术人次等指标，反映每医生服务效率情况，通过表格展示本期及同期数据及同比变动情况；</w:t>
            </w:r>
          </w:p>
          <w:p w14:paraId="3DC0674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支持对各科室医生进行服务效率排名，并支持分别按照以上指标进行排名查询。</w:t>
            </w:r>
          </w:p>
          <w:p w14:paraId="38DA4658">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highlight w:val="none"/>
                <w:lang w:val="en-US" w:eastAsia="zh-Hans"/>
              </w:rPr>
            </w:pPr>
            <w:bookmarkStart w:id="112" w:name="bookmark11"/>
            <w:bookmarkEnd w:id="112"/>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lang w:val="en-US" w:eastAsia="zh-Hans"/>
              </w:rPr>
              <w:t>.6 全面预算分析</w:t>
            </w:r>
          </w:p>
          <w:p w14:paraId="6210C214">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对全面预算整体执行情况、</w:t>
            </w:r>
            <w:bookmarkStart w:id="113" w:name="OLE_LINK2"/>
            <w:r>
              <w:rPr>
                <w:rFonts w:hint="eastAsia" w:ascii="仿宋_GB2312" w:hAnsi="仿宋_GB2312" w:eastAsia="仿宋_GB2312" w:cs="仿宋_GB2312"/>
                <w:sz w:val="21"/>
                <w:szCs w:val="21"/>
              </w:rPr>
              <w:t>科室执行情况</w:t>
            </w:r>
            <w:bookmarkEnd w:id="113"/>
            <w:r>
              <w:rPr>
                <w:rFonts w:hint="eastAsia" w:ascii="仿宋_GB2312" w:hAnsi="仿宋_GB2312" w:eastAsia="仿宋_GB2312" w:cs="仿宋_GB2312"/>
                <w:sz w:val="21"/>
                <w:szCs w:val="21"/>
              </w:rPr>
              <w:t>进行分析，便于医院管理者对预算进行全面控制，并及时</w:t>
            </w:r>
            <w:r>
              <w:rPr>
                <w:rFonts w:hint="eastAsia" w:ascii="仿宋_GB2312" w:hAnsi="仿宋_GB2312" w:eastAsia="仿宋_GB2312" w:cs="仿宋_GB2312"/>
                <w:sz w:val="21"/>
                <w:szCs w:val="21"/>
                <w:lang w:eastAsia="zh-CN"/>
              </w:rPr>
              <w:t>作出</w:t>
            </w:r>
            <w:r>
              <w:rPr>
                <w:rFonts w:hint="eastAsia" w:ascii="仿宋_GB2312" w:hAnsi="仿宋_GB2312" w:eastAsia="仿宋_GB2312" w:cs="仿宋_GB2312"/>
                <w:sz w:val="21"/>
                <w:szCs w:val="21"/>
              </w:rPr>
              <w:t>预算调整等决策；</w:t>
            </w:r>
          </w:p>
          <w:p w14:paraId="049DD9D3">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rPr>
            </w:pPr>
            <w:bookmarkStart w:id="114" w:name="_Toc29177"/>
            <w:bookmarkStart w:id="115" w:name="_Toc32440"/>
            <w:bookmarkStart w:id="116" w:name="_Toc1354"/>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rPr>
              <w:t xml:space="preserve">.6.1 </w:t>
            </w:r>
            <w:r>
              <w:rPr>
                <w:rFonts w:hint="eastAsia" w:ascii="仿宋_GB2312" w:hAnsi="仿宋_GB2312" w:eastAsia="仿宋_GB2312" w:cs="仿宋_GB2312"/>
                <w:sz w:val="21"/>
                <w:szCs w:val="21"/>
              </w:rPr>
              <w:t>全面预算整体执行情况</w:t>
            </w:r>
            <w:bookmarkEnd w:id="114"/>
            <w:bookmarkEnd w:id="115"/>
            <w:bookmarkEnd w:id="116"/>
          </w:p>
          <w:p w14:paraId="06EF7965">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sz w:val="21"/>
                <w:szCs w:val="21"/>
                <w:lang w:val="en-US" w:eastAsia="zh-CN"/>
              </w:rPr>
              <w:t>支持对</w:t>
            </w:r>
            <w:r>
              <w:rPr>
                <w:rFonts w:hint="eastAsia" w:ascii="仿宋_GB2312" w:hAnsi="仿宋_GB2312" w:eastAsia="仿宋_GB2312" w:cs="仿宋_GB2312"/>
                <w:sz w:val="21"/>
                <w:szCs w:val="21"/>
              </w:rPr>
              <w:t>全面预算整体执行情况</w:t>
            </w:r>
            <w:r>
              <w:rPr>
                <w:rFonts w:hint="eastAsia" w:ascii="仿宋_GB2312" w:hAnsi="仿宋_GB2312" w:eastAsia="仿宋_GB2312" w:cs="仿宋_GB2312"/>
                <w:sz w:val="21"/>
                <w:szCs w:val="21"/>
                <w:lang w:val="en-US" w:eastAsia="zh-CN"/>
              </w:rPr>
              <w:t>进行分析，能够分类体现预算执行额度及执行情况。如：收入类、支出类、资源类、业务类等。</w:t>
            </w:r>
          </w:p>
          <w:p w14:paraId="2E34BBB7">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收入类预算指标包括：科教收入、捐赠收入、其他收入、医疗收入、利息收入、租金收入、财政拨款收入等。</w:t>
            </w:r>
          </w:p>
          <w:p w14:paraId="1E04B6ED">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支出类预算指标包括：科教项目支出、财政拨款支出、固定资产折旧费、人员经费、药品费、计提医疗风险金、卫生材料费、无形资产摊销费、资产处置费用、商品和服务支出、其他支出等。</w:t>
            </w:r>
          </w:p>
          <w:p w14:paraId="1B92C9E0">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资源类预算指标包括：后勤处类、其他类、设备处类等。</w:t>
            </w:r>
          </w:p>
          <w:p w14:paraId="4A23A3E2">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支持显示各指标占用比例；</w:t>
            </w:r>
          </w:p>
          <w:p w14:paraId="6888F712">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支持滚动显示指标具体金额、年份、类别等信息。</w:t>
            </w:r>
          </w:p>
          <w:p w14:paraId="79513C65">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支持显示月度执行额、各归口科室执行率。</w:t>
            </w:r>
          </w:p>
          <w:p w14:paraId="4ECFD0EF">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CN"/>
              </w:rPr>
            </w:pPr>
            <w:bookmarkStart w:id="117" w:name="_Toc9488"/>
            <w:bookmarkStart w:id="118" w:name="_Toc19926"/>
            <w:bookmarkStart w:id="119" w:name="_Toc7559"/>
            <w:r>
              <w:rPr>
                <w:rFonts w:hint="eastAsia" w:ascii="仿宋_GB2312" w:hAnsi="仿宋_GB2312" w:eastAsia="仿宋_GB2312" w:cs="仿宋_GB2312"/>
                <w:sz w:val="21"/>
                <w:szCs w:val="21"/>
                <w:lang w:val="en-US" w:eastAsia="zh-CN"/>
              </w:rPr>
              <w:t>2.6.2 预算科室执行情况</w:t>
            </w:r>
            <w:bookmarkEnd w:id="117"/>
            <w:bookmarkEnd w:id="118"/>
            <w:bookmarkEnd w:id="119"/>
          </w:p>
          <w:p w14:paraId="39C3DFC5">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color w:val="000000"/>
                <w:kern w:val="0"/>
                <w:sz w:val="21"/>
                <w:szCs w:val="21"/>
                <w:lang w:val="en-US" w:eastAsia="zh-CN"/>
              </w:rPr>
              <w:t>▲</w:t>
            </w:r>
            <w:r>
              <w:rPr>
                <w:rFonts w:hint="eastAsia" w:ascii="仿宋_GB2312" w:hAnsi="仿宋_GB2312" w:eastAsia="仿宋_GB2312" w:cs="仿宋_GB2312"/>
                <w:sz w:val="21"/>
                <w:szCs w:val="21"/>
                <w:lang w:val="en-US" w:eastAsia="zh-CN"/>
              </w:rPr>
              <w:t>支持对</w:t>
            </w:r>
            <w:bookmarkStart w:id="120" w:name="OLE_LINK4"/>
            <w:r>
              <w:rPr>
                <w:rFonts w:hint="eastAsia" w:ascii="仿宋_GB2312" w:hAnsi="仿宋_GB2312" w:eastAsia="仿宋_GB2312" w:cs="仿宋_GB2312"/>
                <w:sz w:val="21"/>
                <w:szCs w:val="21"/>
                <w:lang w:val="en-US" w:eastAsia="zh-CN"/>
              </w:rPr>
              <w:t>预算科室执行情况</w:t>
            </w:r>
            <w:bookmarkEnd w:id="120"/>
            <w:r>
              <w:rPr>
                <w:rFonts w:hint="eastAsia" w:ascii="仿宋_GB2312" w:hAnsi="仿宋_GB2312" w:eastAsia="仿宋_GB2312" w:cs="仿宋_GB2312"/>
                <w:sz w:val="21"/>
                <w:szCs w:val="21"/>
                <w:lang w:val="en-US" w:eastAsia="zh-CN"/>
              </w:rPr>
              <w:t>进行分析，图表化展示月度预算执行数。</w:t>
            </w:r>
          </w:p>
          <w:p w14:paraId="241338B4">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支持图表内容排序、导出、放大等功能。</w:t>
            </w:r>
          </w:p>
          <w:p w14:paraId="4D6B95CF">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支持展示归口科室预算数、归口科室执行数、执行科室预算数、执行科室执行数。</w:t>
            </w:r>
          </w:p>
          <w:p w14:paraId="19A58873">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lang w:val="en-US" w:eastAsia="zh-CN"/>
              </w:rPr>
              <w:t>相关科室包括</w:t>
            </w:r>
            <w:bookmarkStart w:id="121" w:name="OLE_LINK3"/>
            <w:r>
              <w:rPr>
                <w:rFonts w:hint="eastAsia" w:ascii="仿宋_GB2312" w:hAnsi="仿宋_GB2312" w:eastAsia="仿宋_GB2312" w:cs="仿宋_GB2312"/>
                <w:sz w:val="21"/>
                <w:szCs w:val="21"/>
                <w:lang w:val="en-US" w:eastAsia="zh-CN"/>
              </w:rPr>
              <w:t>财务处、后勤管理处、设备物资处、药学部、人事处、科研处</w:t>
            </w:r>
            <w:bookmarkEnd w:id="121"/>
            <w:r>
              <w:rPr>
                <w:rFonts w:hint="eastAsia" w:ascii="仿宋_GB2312" w:hAnsi="仿宋_GB2312" w:eastAsia="仿宋_GB2312" w:cs="仿宋_GB2312"/>
                <w:sz w:val="21"/>
                <w:szCs w:val="21"/>
                <w:lang w:val="en-US" w:eastAsia="zh-CN"/>
              </w:rPr>
              <w:t>、医务处等。</w:t>
            </w:r>
          </w:p>
          <w:p w14:paraId="0FD572C6">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.6.3 预算变动因素分析</w:t>
            </w:r>
          </w:p>
          <w:p w14:paraId="0D25DFDF">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预算变动因素分析模型提取业务系统的实际发生数，并通过对预算指标的手工调整，模拟计算最终的医疗收入预算执行率的完成情况，帮助管理者在做预算的时候可以数据化模拟最大收益情况。</w:t>
            </w:r>
          </w:p>
          <w:p w14:paraId="45BCCD65">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.6.4 盈亏平衡分析法</w:t>
            </w:r>
          </w:p>
          <w:p w14:paraId="25C55F3F">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Hans"/>
              </w:rPr>
              <w:t>盈亏平衡分析法是通过盈亏平衡点分析投资项目对各种不确定性因素变化承受能力的一种方法。不确定性因素的变化会影响投资方案的经济效果，当这些因素的变化达到某一临界值时，就会影响方案的取舍。盈亏平衡分析的目的就是找出这个临界值，也就是找到盈亏平衡点，盈亏平衡点越低，说明项目盈利的可能性越大，亏损的可能性越小，因而项目具有承受较大风险的能力。所以，通过盈亏平衡分析法可以判断投资方案对不确定因素变化的承受能力，为投资决策提供科学依据。</w:t>
            </w:r>
          </w:p>
          <w:p w14:paraId="0F70C832">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bookmarkStart w:id="122" w:name="bookmark14"/>
            <w:bookmarkEnd w:id="122"/>
            <w:bookmarkStart w:id="123" w:name="bookmark13"/>
            <w:bookmarkEnd w:id="123"/>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.5 经济运行效率分析</w:t>
            </w:r>
          </w:p>
          <w:p w14:paraId="3ED1040B">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.5.1 KPI关键指标分析</w:t>
            </w:r>
          </w:p>
          <w:p w14:paraId="64DE288B">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经济运行效率KPI关键指标分析模型实时监管医院运行效率的关键指标的情况，并且提供同比金额和浮动变化情况，帮助管理者实时掌握医院整体的经济运行状况。</w:t>
            </w:r>
          </w:p>
          <w:p w14:paraId="68CA337C">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.5.2 杜邦分析</w:t>
            </w:r>
          </w:p>
          <w:p w14:paraId="11A22E4B">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杜邦分析模型，是基于财务角度对不同的财务指标发生情况通过算法得出最终医院经营状况好坏的分析。</w:t>
            </w:r>
          </w:p>
          <w:p w14:paraId="3B762647">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.5.3 专项分析</w:t>
            </w:r>
          </w:p>
          <w:p w14:paraId="077A35B3">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提供专项分析，能够根据不同的项目，提供分类项目数据。</w:t>
            </w:r>
          </w:p>
          <w:p w14:paraId="72515A59">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.5.4 合同管理分析</w:t>
            </w:r>
          </w:p>
          <w:p w14:paraId="53D9CB8B">
            <w:pPr>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提供合同多维度查询，图形化展示合同执行情况。</w:t>
            </w:r>
          </w:p>
          <w:p w14:paraId="20DF40C3">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bookmarkStart w:id="124" w:name="bookmark15"/>
            <w:bookmarkEnd w:id="124"/>
            <w:bookmarkStart w:id="125" w:name="bookmark16"/>
            <w:bookmarkEnd w:id="125"/>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.6 政策因素影响分析</w:t>
            </w:r>
          </w:p>
          <w:p w14:paraId="620ABAD0">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 xml:space="preserve">.6.1 </w:t>
            </w:r>
            <w:r>
              <w:rPr>
                <w:rFonts w:hint="eastAsia" w:ascii="仿宋_GB2312" w:hAnsi="仿宋_GB2312" w:eastAsia="仿宋_GB2312" w:cs="仿宋_GB2312"/>
                <w:sz w:val="21"/>
                <w:szCs w:val="21"/>
                <w:lang w:eastAsia="zh-Hans"/>
              </w:rPr>
              <w:t>政策因素影响分析</w:t>
            </w:r>
          </w:p>
          <w:p w14:paraId="3D488B0F">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kern w:val="0"/>
                <w:sz w:val="21"/>
                <w:szCs w:val="21"/>
                <w:lang w:val="en-US" w:eastAsia="zh-Hans"/>
              </w:rPr>
            </w:pPr>
            <w:r>
              <w:rPr>
                <w:rFonts w:hint="eastAsia" w:ascii="仿宋_GB2312" w:hAnsi="仿宋_GB2312" w:eastAsia="仿宋_GB2312" w:cs="仿宋_GB2312"/>
                <w:color w:val="000000"/>
                <w:kern w:val="0"/>
                <w:sz w:val="21"/>
                <w:szCs w:val="21"/>
                <w:lang w:val="en-US" w:eastAsia="zh-Hans"/>
              </w:rPr>
              <w:t>医疗收入由门诊收入和住院收入组成，而门诊和住院收入是受到下级的不同收费项目影响，分析模型通过对明细收费项目的变化趋势，计算门诊住院收入及最终的医疗收入变化。</w:t>
            </w:r>
          </w:p>
          <w:p w14:paraId="168A46D6">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.6.2 医保政策变动影响分析</w:t>
            </w:r>
          </w:p>
          <w:p w14:paraId="66F08838">
            <w:pPr>
              <w:pageBreakBefore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Hans"/>
              </w:rPr>
              <w:t>医院医保月结算表提供人员5大类别和8种不同项目的交叉结算情况分析。</w:t>
            </w:r>
          </w:p>
          <w:p w14:paraId="387FC55F">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bookmarkStart w:id="126" w:name="bookmark17"/>
            <w:bookmarkEnd w:id="126"/>
            <w:bookmarkStart w:id="127" w:name="bookmark18"/>
            <w:bookmarkEnd w:id="127"/>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.7  成本分析</w:t>
            </w:r>
          </w:p>
          <w:p w14:paraId="5DA60C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支持获取系统成本数据，通过图形、图表等形式对医院全成本分布情况及各科室消耗情况进行展示。</w:t>
            </w:r>
          </w:p>
          <w:p w14:paraId="46A7931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支持对人员经费、卫生材料费、药品费、固定资产折旧费、无形资产摊销费、计提专用基金、其他费用、其他等成本大类分布进行图形化展示，直观展示各类成本的占比情况；</w:t>
            </w:r>
          </w:p>
          <w:p w14:paraId="342C213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支持区分医疗成本、非医疗成本，并分别统计成本占比；</w:t>
            </w:r>
          </w:p>
          <w:p w14:paraId="3A7C5E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支持展示四级科室直接成本分布及各科室直接成本热力图；</w:t>
            </w:r>
          </w:p>
          <w:p w14:paraId="488E858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支持按照时间维度统计医疗药品成本，并通过柱形图等形式直观展示各月份成本情况；</w:t>
            </w:r>
          </w:p>
          <w:p w14:paraId="742294D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支持对不同院区各科室成本消耗情况进行统计、排名，并将高成本科室进行着重展示，以督促该科室及时关注成本情况，采取措施降低科室成本。</w:t>
            </w:r>
          </w:p>
          <w:p w14:paraId="1F5F33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DRG/DIP分析：</w:t>
            </w:r>
          </w:p>
          <w:p w14:paraId="300E6E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支持统计均次成本、均次利润及均次利润率，并通过柱状图展示具体数值，通过复合折线图展示变化趋势；</w:t>
            </w:r>
          </w:p>
          <w:p w14:paraId="1A148C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支持展示住院费用占比、住院费用均次成本及住院费用合计情况，并通过图表进行统计结果的展示，直观发现费用明显偏高的病种组；</w:t>
            </w:r>
          </w:p>
          <w:p w14:paraId="385989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支持对DRG/DIP成本、DRG/DIP费用及DRG/DIP利润合计情况进行统计，并通过倒锥形图展示。</w:t>
            </w:r>
          </w:p>
          <w:p w14:paraId="205D27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按病种维度进行成本构成分析，对每个病种所消耗的人力成本、卫生材料成本、药品成本、固定资产折旧、无形资产摊销、医疗风险基金等成本类型，区分直接成本和间接成本，并通过柱形图等形式进行数据展示；</w:t>
            </w:r>
          </w:p>
          <w:p w14:paraId="48060D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pacing w:val="14"/>
                <w:position w:val="1"/>
                <w:sz w:val="21"/>
                <w:szCs w:val="21"/>
                <w:lang w:eastAsia="zh-Hans"/>
              </w:rPr>
            </w:pPr>
            <w:r>
              <w:rPr>
                <w:rFonts w:hint="eastAsia" w:ascii="仿宋_GB2312" w:hAnsi="仿宋_GB2312" w:eastAsia="仿宋_GB2312" w:cs="仿宋_GB2312"/>
                <w:sz w:val="21"/>
                <w:szCs w:val="21"/>
                <w:lang w:val="en-US" w:eastAsia="zh-CN"/>
              </w:rPr>
              <w:t>支持对每个病种所涉及的每种成本类型，按照手术麻醉成本、检验成本及病房成本等维度进行统计，并通过柱形图、饼状图等图表形式展示各项数值及构成比例。</w:t>
            </w:r>
          </w:p>
          <w:p w14:paraId="20C5E918">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bookmarkStart w:id="128" w:name="bookmark19"/>
            <w:bookmarkEnd w:id="128"/>
            <w:bookmarkStart w:id="129" w:name="bookmark22"/>
            <w:bookmarkEnd w:id="129"/>
            <w:bookmarkStart w:id="130" w:name="bookmark21"/>
            <w:bookmarkEnd w:id="130"/>
            <w:bookmarkStart w:id="131" w:name="bookmark20"/>
            <w:bookmarkEnd w:id="131"/>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.8 资源投入绩效跟踪分析</w:t>
            </w:r>
          </w:p>
          <w:p w14:paraId="0361B015">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.8.1 设备绩效分析</w:t>
            </w:r>
          </w:p>
          <w:p w14:paraId="456994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资源投入绩效跟踪分析中的设备绩效分析，采用两种设备绩效分析方式：投资回收期和投资收益率对设备的绩效进行统计分析。</w:t>
            </w:r>
          </w:p>
          <w:p w14:paraId="62D01B5F">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.8.2 人员绩效分析</w:t>
            </w:r>
          </w:p>
          <w:p w14:paraId="6B9479C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Hans"/>
              </w:rPr>
              <w:t>通过对人员的结构，人员配比的等信息的分析，辅助医院人员资源的合理利用，提升人员效率。</w:t>
            </w:r>
          </w:p>
          <w:p w14:paraId="67738907">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.8.3 物资采购分析</w:t>
            </w:r>
          </w:p>
          <w:p w14:paraId="3FC8392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提供库存分析与存货金额分析。</w:t>
            </w:r>
          </w:p>
          <w:p w14:paraId="7A31C647">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.8.4 耗材分析</w:t>
            </w:r>
          </w:p>
          <w:p w14:paraId="73C7D39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pacing w:val="14"/>
                <w:position w:val="1"/>
                <w:sz w:val="21"/>
                <w:szCs w:val="21"/>
                <w:lang w:eastAsia="zh-Hans"/>
              </w:rPr>
            </w:pPr>
            <w:r>
              <w:rPr>
                <w:rFonts w:hint="eastAsia" w:ascii="仿宋_GB2312" w:hAnsi="仿宋_GB2312" w:eastAsia="仿宋_GB2312" w:cs="仿宋_GB2312"/>
                <w:sz w:val="21"/>
                <w:szCs w:val="21"/>
                <w:lang w:val="en-US" w:eastAsia="zh-Hans"/>
              </w:rPr>
              <w:t>提供耗材分析，包括卫生材料费分析、材料消耗汇总分析、材料消耗分类分析、材料同比环比分析</w:t>
            </w:r>
            <w:r>
              <w:rPr>
                <w:rFonts w:hint="eastAsia" w:ascii="仿宋_GB2312" w:hAnsi="仿宋_GB2312" w:eastAsia="仿宋_GB2312" w:cs="仿宋_GB2312"/>
                <w:spacing w:val="14"/>
                <w:position w:val="1"/>
                <w:sz w:val="21"/>
                <w:szCs w:val="21"/>
                <w:lang w:eastAsia="zh-Hans"/>
              </w:rPr>
              <w:t>。</w:t>
            </w:r>
          </w:p>
          <w:p w14:paraId="316645DD">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.9 医疗质量和临床路径分析</w:t>
            </w:r>
          </w:p>
          <w:p w14:paraId="6FD32B22">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.9.1 医疗质量分析</w:t>
            </w:r>
          </w:p>
          <w:p w14:paraId="69E36C9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医疗质量分析，通过医护人员结构、平均住院床日、病床周转次数、仪器设备投入情况、抢救成功率、死亡率、感染率、科室满意度8个角度进行综合监控和分析。</w:t>
            </w:r>
          </w:p>
          <w:p w14:paraId="4D6B0583">
            <w:pPr>
              <w:pStyle w:val="4"/>
              <w:pageBreakBefore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.9.2 临床路径分析</w:t>
            </w:r>
          </w:p>
          <w:p w14:paraId="2EFD016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pacing w:val="14"/>
                <w:position w:val="1"/>
                <w:sz w:val="21"/>
                <w:szCs w:val="21"/>
                <w:lang w:eastAsia="zh-Hans"/>
              </w:rPr>
            </w:pPr>
            <w:r>
              <w:rPr>
                <w:rFonts w:hint="eastAsia" w:ascii="仿宋_GB2312" w:hAnsi="仿宋_GB2312" w:eastAsia="仿宋_GB2312" w:cs="仿宋_GB2312"/>
                <w:sz w:val="21"/>
                <w:szCs w:val="21"/>
                <w:lang w:val="en-US" w:eastAsia="zh-Hans"/>
              </w:rPr>
              <w:t>通过对入径数、结束数、变异数的分析，辅助医院对临床路径的管理。</w:t>
            </w:r>
          </w:p>
          <w:p w14:paraId="66D8DE73">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2.10 绩效主题</w:t>
            </w:r>
          </w:p>
          <w:p w14:paraId="767294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医院绩效工资总量分析按奖励性绩效（医疗业务科室绩效、行政后勤绩效、一次性奖励绩效、科主任绩效和其他绩效）和基础性绩效进行预算总额划分；</w:t>
            </w:r>
          </w:p>
          <w:p w14:paraId="3FB483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后逐月显示各类绩效实际发放进度，从全院角度进行全院绩效总量监控。</w:t>
            </w:r>
          </w:p>
          <w:p w14:paraId="1419C84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核算分类绩效汇总：按照核算单元分类进行绩效核算汇总展示，包含：核算分类总绩效、工作量绩效、分值绩效、补充绩效、考核绩效、核算人数、应发合计、人均绩效、专项绩效等。</w:t>
            </w:r>
          </w:p>
          <w:p w14:paraId="71F421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核算单元月度绩效核算分析：按照核算指标和核算期间维度分核算单元进行展示，包含收费项目点数（开单点数，执行点数，协作点数）、服务人次数（门急诊人次、实际占床日数、一级手术人次、二级手术人次、三级手术人次、四级手术人次、麻醉人次、输血人次、分娩人次）、科室直接成本（人力成本、不可收费材料成本、设备折旧、其他费用）、分值绩效、质量考核绩效、核算单元人数、人均绩效。</w:t>
            </w:r>
          </w:p>
          <w:p w14:paraId="42AD6F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核算单元成本汇总表：按照医院绩效核算要求对各类成本原值、提取系数和绩效成本数值，成本比率进行提取计算并展示，包含并不限于人力成本、不收费耗材、设备资产折旧、电费、水费、劳务费、培训费、其他交通费、印刷费、差旅费、其他商品和服务支出、维修(护)费、邮电费、咨询费、物业管理费、会议费、委托业务费、办公用品等。</w:t>
            </w:r>
          </w:p>
          <w:p w14:paraId="7A6A67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医院绩效工资总量表：和医院预算大盘挂钩，按月显示绩效发放进度，从全院角度进行总量监控</w:t>
            </w:r>
          </w:p>
          <w:p w14:paraId="5440CB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核算分类绩效汇总表：按照核算单元分类进行绩效核算汇总</w:t>
            </w:r>
          </w:p>
          <w:p w14:paraId="4D9DD55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核算单元月度绩效核算表：按照核算指标和核算期间维度分核算单元进行展示</w:t>
            </w:r>
          </w:p>
          <w:p w14:paraId="520A0EB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核算单元成本汇总表：按照医院要求对成本进行提取展示；</w:t>
            </w:r>
          </w:p>
          <w:p w14:paraId="4F8DFE1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能够完成对平均薪酬（包含绩效）的图形化展示。</w:t>
            </w:r>
          </w:p>
          <w:p w14:paraId="3A68312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支持根据人员信息管理维度，区分不同类型人员的平均薪酬。</w:t>
            </w:r>
          </w:p>
          <w:p w14:paraId="49C1D687">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2.11 掌上运营</w:t>
            </w:r>
          </w:p>
          <w:p w14:paraId="5E2B734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支持医院管理者在手机端查询分析结果。“掌上运营”支持轻量级图表化展示，分析结果以重要性、实时性、预警性为主要设计原则，方便管理者在未登录电脑端的情况下及时掌握医院运营重要信息。掌上运营包括工作台、信息和我的三部分内容，掌上运营的数据来源为电脑端决策系统。</w:t>
            </w:r>
          </w:p>
          <w:p w14:paraId="2213833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1、经营概况以指标预警、实时监控、运营周报、运营日报为主要场景进行设计，满足用户对数据不同时点的要求，同时兼顾预警、实时、总结分析等特性。</w:t>
            </w:r>
          </w:p>
          <w:p w14:paraId="3123B6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2、▲运营分析，侧重于发现问题、追溯原因的功能服务，在移动端及时查询分析图表。</w:t>
            </w:r>
          </w:p>
          <w:p w14:paraId="38A4B8E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CN"/>
              </w:rPr>
              <w:t>3、通过联动与下钻等BI技术，提供不同视角下的指标因果分析、趋势走势、对比情况等内容。</w:t>
            </w:r>
          </w:p>
          <w:p w14:paraId="564AE322">
            <w:pPr>
              <w:pStyle w:val="3"/>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bookmarkStart w:id="132" w:name="bookmark23"/>
            <w:bookmarkEnd w:id="132"/>
            <w:bookmarkStart w:id="133" w:name="bookmark26"/>
            <w:bookmarkEnd w:id="133"/>
            <w:bookmarkStart w:id="134" w:name="bookmark24"/>
            <w:bookmarkEnd w:id="134"/>
            <w:bookmarkStart w:id="135" w:name="bookmark25"/>
            <w:bookmarkEnd w:id="135"/>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.12 管理驾驶舱</w:t>
            </w:r>
          </w:p>
          <w:p w14:paraId="7422396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管理驾驶舱将医院管理者重点关注的内容通过清晰直观的图形化形式统一展现，重点管理内容一目了然。</w:t>
            </w:r>
          </w:p>
          <w:p w14:paraId="5A5D6F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Hans"/>
              </w:rPr>
              <w:t>管理驾驶舱的分析模型可根据管理者的不同管理需求定制化配置，提供针对性的辅助决策支持。</w:t>
            </w:r>
          </w:p>
          <w:p w14:paraId="5FDF05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1"/>
                <w:szCs w:val="21"/>
                <w:lang w:val="en-US" w:eastAsia="zh-Hans"/>
              </w:rPr>
            </w:pPr>
            <w:bookmarkStart w:id="136" w:name="bookmark29"/>
            <w:bookmarkEnd w:id="136"/>
            <w:bookmarkStart w:id="137" w:name="bookmark28"/>
            <w:bookmarkEnd w:id="137"/>
            <w:bookmarkStart w:id="138" w:name="bookmark30"/>
            <w:bookmarkEnd w:id="138"/>
            <w:bookmarkStart w:id="139" w:name="bookmark27"/>
            <w:bookmarkEnd w:id="139"/>
            <w:r>
              <w:rPr>
                <w:rFonts w:hint="eastAsia" w:ascii="仿宋_GB2312" w:hAnsi="仿宋_GB2312" w:eastAsia="仿宋_GB2312" w:cs="仿宋_GB2312"/>
                <w:sz w:val="21"/>
                <w:szCs w:val="21"/>
                <w:lang w:val="en-US" w:eastAsia="zh-Hans"/>
              </w:rPr>
              <w:t>7.12.1 智能报告</w:t>
            </w:r>
          </w:p>
          <w:p w14:paraId="29C9DD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医院智能报告，实现预置报告模板，自动提取数据，实时生成财务报告并且支持导出word文档。大大的加强医院报告的便捷性、准确性、快速性。</w:t>
            </w:r>
          </w:p>
          <w:p w14:paraId="05EBE4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提供月报、季报、年报不同的分析报告模板，并且支持导出word、ppt。</w:t>
            </w:r>
          </w:p>
          <w:p w14:paraId="07433FC7">
            <w:pPr>
              <w:pStyle w:val="2"/>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Hans"/>
              </w:rPr>
            </w:pPr>
            <w:bookmarkStart w:id="140" w:name="bookmark32"/>
            <w:bookmarkEnd w:id="140"/>
            <w:bookmarkStart w:id="141" w:name="bookmark31"/>
            <w:bookmarkEnd w:id="141"/>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.13 运营决策支持系统的数据交互关系</w:t>
            </w:r>
          </w:p>
          <w:p w14:paraId="2BC1110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公立医院智能化系统建设应包含主数据、全面预算、报账管理、成本管理、绩效管理、等，通过移动技术的应用，支持所有移动终端的访问，实现与临床业务系统如医院信息系统（HIS）、实验室信息管理系统（LIS）和其他系统（银行、税务）等的集成，实现数据互联、实时互通。</w:t>
            </w:r>
          </w:p>
          <w:p w14:paraId="74E4CE5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与HIS系统对接，取HIS相关运营数据进行分析；</w:t>
            </w:r>
          </w:p>
          <w:p w14:paraId="78AFE12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与平台对接，取平台相关运营数据进行分析；</w:t>
            </w:r>
          </w:p>
          <w:p w14:paraId="4B5487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与财务系统对接，取财务数据进行分析；</w:t>
            </w:r>
          </w:p>
          <w:p w14:paraId="1142FD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与成本系统对接，取成本数据进行分析；</w:t>
            </w:r>
          </w:p>
          <w:p w14:paraId="09596BB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与预算系统对接，取预算数据进行分析；</w:t>
            </w:r>
          </w:p>
          <w:p w14:paraId="4DA2DD0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与PACS与HIS系统对接，取设备相关信息进行设备效益分析。</w:t>
            </w:r>
            <w:bookmarkStart w:id="142" w:name="bookmark35"/>
            <w:bookmarkEnd w:id="142"/>
            <w:bookmarkStart w:id="143" w:name="bookmark36"/>
            <w:bookmarkEnd w:id="143"/>
            <w:bookmarkStart w:id="144" w:name="bookmark33"/>
            <w:bookmarkEnd w:id="144"/>
            <w:bookmarkStart w:id="145" w:name="bookmark37"/>
            <w:bookmarkEnd w:id="145"/>
          </w:p>
          <w:p w14:paraId="3D75755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Hans"/>
              </w:rPr>
            </w:pPr>
            <w:r>
              <w:rPr>
                <w:rFonts w:hint="eastAsia" w:ascii="仿宋_GB2312" w:hAnsi="仿宋_GB2312" w:eastAsia="仿宋_GB2312" w:cs="仿宋_GB2312"/>
                <w:sz w:val="21"/>
                <w:szCs w:val="21"/>
                <w:lang w:val="en-US" w:eastAsia="zh-Hans"/>
              </w:rPr>
              <w:t>与</w:t>
            </w:r>
            <w:r>
              <w:rPr>
                <w:rFonts w:hint="eastAsia" w:ascii="仿宋_GB2312" w:hAnsi="仿宋_GB2312" w:eastAsia="仿宋_GB2312" w:cs="仿宋_GB2312"/>
                <w:sz w:val="21"/>
                <w:szCs w:val="21"/>
                <w:lang w:val="en-US" w:eastAsia="zh-CN"/>
              </w:rPr>
              <w:t>DIP</w:t>
            </w:r>
            <w:r>
              <w:rPr>
                <w:rFonts w:hint="eastAsia" w:ascii="仿宋_GB2312" w:hAnsi="仿宋_GB2312" w:eastAsia="仿宋_GB2312" w:cs="仿宋_GB2312"/>
                <w:sz w:val="21"/>
                <w:szCs w:val="21"/>
                <w:lang w:val="en-US" w:eastAsia="zh-Hans"/>
              </w:rPr>
              <w:t>系统对接，取</w:t>
            </w:r>
            <w:r>
              <w:rPr>
                <w:rFonts w:hint="eastAsia" w:ascii="仿宋_GB2312" w:hAnsi="仿宋_GB2312" w:eastAsia="仿宋_GB2312" w:cs="仿宋_GB2312"/>
                <w:sz w:val="21"/>
                <w:szCs w:val="21"/>
                <w:lang w:val="en-US" w:eastAsia="zh-CN"/>
              </w:rPr>
              <w:t>相关</w:t>
            </w:r>
            <w:r>
              <w:rPr>
                <w:rFonts w:hint="eastAsia" w:ascii="仿宋_GB2312" w:hAnsi="仿宋_GB2312" w:eastAsia="仿宋_GB2312" w:cs="仿宋_GB2312"/>
                <w:sz w:val="21"/>
                <w:szCs w:val="21"/>
                <w:lang w:val="en-US" w:eastAsia="zh-Hans"/>
              </w:rPr>
              <w:t>数据进行分析；</w:t>
            </w:r>
          </w:p>
          <w:p w14:paraId="546E205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其他相关系统对接。</w:t>
            </w:r>
          </w:p>
          <w:p w14:paraId="28AD6F3F">
            <w:pPr>
              <w:pStyle w:val="2"/>
              <w:pageBreakBefore w:val="0"/>
              <w:numPr>
                <w:ilvl w:val="0"/>
                <w:numId w:val="0"/>
              </w:numPr>
              <w:kinsoku/>
              <w:wordWrap/>
              <w:overflowPunct/>
              <w:topLinePunct w:val="0"/>
              <w:autoSpaceDE/>
              <w:autoSpaceDN/>
              <w:bidi w:val="0"/>
              <w:adjustRightInd/>
              <w:snapToGrid/>
              <w:spacing w:line="240" w:lineRule="auto"/>
              <w:ind w:left="0" w:firstLine="0" w:firstLineChars="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lang w:val="en-US" w:eastAsia="zh-Hans"/>
              </w:rPr>
              <w:t>.1</w:t>
            </w:r>
            <w:r>
              <w:rPr>
                <w:rFonts w:hint="eastAsia" w:ascii="仿宋_GB2312" w:hAnsi="仿宋_GB2312" w:eastAsia="仿宋_GB2312" w:cs="仿宋_GB2312"/>
                <w:sz w:val="21"/>
                <w:szCs w:val="21"/>
                <w:lang w:val="en-US" w:eastAsia="zh-CN"/>
              </w:rPr>
              <w:t>4</w:t>
            </w:r>
            <w:bookmarkStart w:id="275" w:name="_GoBack"/>
            <w:r>
              <w:rPr>
                <w:rFonts w:hint="eastAsia" w:ascii="仿宋_GB2312" w:hAnsi="仿宋_GB2312" w:eastAsia="仿宋_GB2312" w:cs="仿宋_GB2312"/>
                <w:sz w:val="21"/>
                <w:szCs w:val="21"/>
                <w:lang w:val="en-US" w:eastAsia="zh-CN"/>
              </w:rPr>
              <w:t>免费运营和维护3年</w:t>
            </w:r>
            <w:bookmarkEnd w:id="275"/>
          </w:p>
        </w:tc>
        <w:tc>
          <w:tcPr>
            <w:tcW w:w="0" w:type="auto"/>
            <w:tcBorders>
              <w:top w:val="single" w:color="auto" w:sz="4" w:space="0"/>
              <w:left w:val="single" w:color="auto" w:sz="4" w:space="0"/>
              <w:bottom w:val="single" w:color="auto" w:sz="4" w:space="0"/>
              <w:right w:val="single" w:color="auto" w:sz="4" w:space="0"/>
            </w:tcBorders>
            <w:noWrap w:val="0"/>
            <w:vAlign w:val="top"/>
          </w:tcPr>
          <w:p w14:paraId="2E645B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c>
          <w:tcPr>
            <w:tcW w:w="0" w:type="auto"/>
            <w:tcBorders>
              <w:top w:val="single" w:color="auto" w:sz="4" w:space="0"/>
              <w:left w:val="single" w:color="auto" w:sz="4" w:space="0"/>
              <w:bottom w:val="single" w:color="auto" w:sz="4" w:space="0"/>
              <w:right w:val="single" w:color="auto" w:sz="4" w:space="0"/>
            </w:tcBorders>
            <w:noWrap w:val="0"/>
            <w:vAlign w:val="top"/>
          </w:tcPr>
          <w:p w14:paraId="0A91BD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2"/>
                <w:sz w:val="21"/>
                <w:szCs w:val="21"/>
                <w:highlight w:val="none"/>
                <w:u w:val="none"/>
                <w:lang w:val="en-US" w:eastAsia="zh-CN" w:bidi="ar-SA"/>
              </w:rPr>
            </w:pPr>
          </w:p>
        </w:tc>
      </w:tr>
    </w:tbl>
    <w:p w14:paraId="64D5EE99">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1ADDD849">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7D706C45">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7AF225C5">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2943AF43">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4E7B1AE4">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065A3BED">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443146A1">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3FFD5ECE">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0D5A6C2F">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62484A05">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5BF5E6E9">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2AC7A89B">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3283531B">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51250A9D">
      <w:pPr>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b/>
          <w:bCs/>
          <w:color w:val="auto"/>
          <w:sz w:val="32"/>
          <w:szCs w:val="32"/>
          <w:highlight w:val="none"/>
          <w:lang w:val="en-US" w:eastAsia="zh-CN"/>
        </w:rPr>
      </w:pPr>
    </w:p>
    <w:p w14:paraId="2B81D051">
      <w:pPr>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第五部分 拟签订合同文本</w:t>
      </w:r>
      <w:bookmarkEnd w:id="64"/>
    </w:p>
    <w:p w14:paraId="6216A0BF">
      <w:pPr>
        <w:keepNext w:val="0"/>
        <w:keepLines w:val="0"/>
        <w:pageBreakBefore w:val="0"/>
        <w:widowControl w:val="0"/>
        <w:kinsoku/>
        <w:wordWrap/>
        <w:overflowPunct/>
        <w:topLinePunct w:val="0"/>
        <w:autoSpaceDE/>
        <w:autoSpaceDN/>
        <w:bidi w:val="0"/>
        <w:adjustRightInd/>
        <w:snapToGrid/>
        <w:spacing w:after="360" w:afterLines="115" w:afterAutospacing="0"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 xml:space="preserve">甲方：延安市人民医院 </w:t>
      </w:r>
    </w:p>
    <w:p w14:paraId="37FA601D">
      <w:pPr>
        <w:keepNext w:val="0"/>
        <w:keepLines w:val="0"/>
        <w:pageBreakBefore w:val="0"/>
        <w:widowControl w:val="0"/>
        <w:kinsoku/>
        <w:wordWrap/>
        <w:overflowPunct/>
        <w:topLinePunct w:val="0"/>
        <w:autoSpaceDE/>
        <w:autoSpaceDN/>
        <w:bidi w:val="0"/>
        <w:adjustRightInd/>
        <w:snapToGrid/>
        <w:spacing w:beforeAutospacing="0" w:after="215" w:afterLines="68" w:afterAutospacing="0"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乙方：</w:t>
      </w:r>
      <w:r>
        <w:rPr>
          <w:rFonts w:hint="eastAsia" w:ascii="仿宋_GB2312" w:hAnsi="仿宋_GB2312" w:eastAsia="仿宋_GB2312" w:cs="仿宋_GB2312"/>
          <w:color w:val="000000"/>
          <w:spacing w:val="4"/>
          <w:sz w:val="21"/>
          <w:szCs w:val="21"/>
          <w:lang w:val="en-US" w:eastAsia="zh-CN"/>
        </w:rPr>
        <w:t xml:space="preserve"> </w:t>
      </w:r>
    </w:p>
    <w:p w14:paraId="7C129332">
      <w:pPr>
        <w:keepNext w:val="0"/>
        <w:keepLines w:val="0"/>
        <w:pageBreakBefore w:val="0"/>
        <w:widowControl w:val="0"/>
        <w:kinsoku/>
        <w:wordWrap/>
        <w:overflowPunct/>
        <w:topLinePunct w:val="0"/>
        <w:autoSpaceDE/>
        <w:autoSpaceDN/>
        <w:bidi w:val="0"/>
        <w:adjustRightInd/>
        <w:snapToGrid/>
        <w:spacing w:beforeAutospacing="0"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延安市人民医院（以下简称甲方）关于延安市人民医院高质量发展运营数据分析系统软件开发项目，按照政府采购程序，采用</w:t>
      </w:r>
      <w:r>
        <w:rPr>
          <w:rFonts w:hint="eastAsia" w:ascii="仿宋_GB2312" w:hAnsi="仿宋_GB2312" w:eastAsia="仿宋_GB2312" w:cs="仿宋_GB2312"/>
          <w:color w:val="000000"/>
          <w:spacing w:val="4"/>
          <w:sz w:val="21"/>
          <w:szCs w:val="21"/>
          <w:lang w:val="en-US" w:eastAsia="zh-CN"/>
        </w:rPr>
        <w:t>竞争性磋商</w:t>
      </w:r>
      <w:r>
        <w:rPr>
          <w:rFonts w:hint="eastAsia" w:ascii="仿宋_GB2312" w:hAnsi="仿宋_GB2312" w:eastAsia="仿宋_GB2312" w:cs="仿宋_GB2312"/>
          <w:color w:val="000000"/>
          <w:spacing w:val="4"/>
          <w:sz w:val="21"/>
          <w:szCs w:val="21"/>
          <w:lang w:eastAsia="zh-CN"/>
        </w:rPr>
        <w:t>采购的方式，选定</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公司（以下简称乙方）为</w:t>
      </w:r>
      <w:r>
        <w:rPr>
          <w:rFonts w:hint="eastAsia" w:ascii="仿宋_GB2312" w:hAnsi="仿宋_GB2312" w:eastAsia="仿宋_GB2312" w:cs="仿宋_GB2312"/>
          <w:color w:val="000000"/>
          <w:spacing w:val="4"/>
          <w:sz w:val="21"/>
          <w:szCs w:val="21"/>
          <w:lang w:val="en-US" w:eastAsia="zh-CN"/>
        </w:rPr>
        <w:t>成交</w:t>
      </w:r>
      <w:r>
        <w:rPr>
          <w:rFonts w:hint="eastAsia" w:ascii="仿宋_GB2312" w:hAnsi="仿宋_GB2312" w:eastAsia="仿宋_GB2312" w:cs="仿宋_GB2312"/>
          <w:color w:val="000000"/>
          <w:spacing w:val="4"/>
          <w:sz w:val="21"/>
          <w:szCs w:val="21"/>
          <w:lang w:eastAsia="zh-CN"/>
        </w:rPr>
        <w:t>供应商。依据国家《民法典》、《政府采购法》及</w:t>
      </w:r>
      <w:r>
        <w:rPr>
          <w:rFonts w:hint="eastAsia" w:ascii="仿宋_GB2312" w:hAnsi="仿宋_GB2312" w:eastAsia="仿宋_GB2312" w:cs="仿宋_GB2312"/>
          <w:color w:val="000000"/>
          <w:spacing w:val="4"/>
          <w:sz w:val="21"/>
          <w:szCs w:val="21"/>
          <w:lang w:val="en-US" w:eastAsia="zh-CN"/>
        </w:rPr>
        <w:t>磋商</w:t>
      </w:r>
      <w:r>
        <w:rPr>
          <w:rFonts w:hint="eastAsia" w:ascii="仿宋_GB2312" w:hAnsi="仿宋_GB2312" w:eastAsia="仿宋_GB2312" w:cs="仿宋_GB2312"/>
          <w:color w:val="000000"/>
          <w:spacing w:val="4"/>
          <w:sz w:val="21"/>
          <w:szCs w:val="21"/>
          <w:lang w:eastAsia="zh-CN"/>
        </w:rPr>
        <w:t xml:space="preserve">文件和乙方的响应文件，经甲、乙双方协商，达成如下合同条款。经协商，于  </w:t>
      </w:r>
      <w:r>
        <w:rPr>
          <w:rFonts w:hint="eastAsia" w:ascii="仿宋_GB2312" w:hAnsi="仿宋_GB2312" w:eastAsia="仿宋_GB2312" w:cs="仿宋_GB2312"/>
          <w:color w:val="000000"/>
          <w:spacing w:val="4"/>
          <w:sz w:val="21"/>
          <w:szCs w:val="21"/>
          <w:lang w:val="en-US" w:eastAsia="zh-CN"/>
        </w:rPr>
        <w:t xml:space="preserve"> </w:t>
      </w:r>
      <w:r>
        <w:rPr>
          <w:rFonts w:hint="eastAsia" w:ascii="仿宋_GB2312" w:hAnsi="仿宋_GB2312" w:eastAsia="仿宋_GB2312" w:cs="仿宋_GB2312"/>
          <w:color w:val="000000"/>
          <w:spacing w:val="4"/>
          <w:sz w:val="21"/>
          <w:szCs w:val="21"/>
          <w:lang w:eastAsia="zh-CN"/>
        </w:rPr>
        <w:t xml:space="preserve">  年    月    日按下述条款和条件签署本合同。</w:t>
      </w:r>
    </w:p>
    <w:p w14:paraId="235415E9">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bookmarkStart w:id="146" w:name="_Toc26912"/>
      <w:bookmarkStart w:id="147" w:name="_Toc16416"/>
      <w:r>
        <w:rPr>
          <w:rFonts w:hint="eastAsia" w:ascii="仿宋_GB2312" w:hAnsi="仿宋_GB2312" w:eastAsia="仿宋_GB2312" w:cs="仿宋_GB2312"/>
          <w:color w:val="000000"/>
          <w:spacing w:val="4"/>
          <w:sz w:val="21"/>
          <w:szCs w:val="21"/>
          <w:lang w:val="en-US" w:eastAsia="zh-CN"/>
        </w:rPr>
        <w:t>第一条 项目概况</w:t>
      </w:r>
      <w:bookmarkEnd w:id="146"/>
      <w:bookmarkEnd w:id="147"/>
    </w:p>
    <w:p w14:paraId="530E78C6">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1、项目名称：</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val="en-US" w:eastAsia="zh-CN"/>
        </w:rPr>
        <w:t xml:space="preserve">                             </w:t>
      </w:r>
    </w:p>
    <w:p w14:paraId="568F2E80">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2、项目地点：</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val="en-US" w:eastAsia="zh-CN"/>
        </w:rPr>
        <w:t xml:space="preserve">                             </w:t>
      </w:r>
    </w:p>
    <w:p w14:paraId="4C1EB5F3">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 xml:space="preserve">3、采购内容：详见分部分项报价表                            </w:t>
      </w:r>
    </w:p>
    <w:p w14:paraId="5010A0A9">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48" w:name="_Toc3288"/>
      <w:bookmarkStart w:id="149" w:name="_Toc10827"/>
      <w:r>
        <w:rPr>
          <w:rFonts w:hint="eastAsia" w:ascii="仿宋_GB2312" w:hAnsi="仿宋_GB2312" w:eastAsia="仿宋_GB2312" w:cs="仿宋_GB2312"/>
          <w:color w:val="000000"/>
          <w:spacing w:val="4"/>
          <w:sz w:val="21"/>
          <w:szCs w:val="21"/>
          <w:lang w:eastAsia="zh-CN"/>
        </w:rPr>
        <w:t>第二条 合同价款</w:t>
      </w:r>
      <w:bookmarkEnd w:id="148"/>
      <w:bookmarkEnd w:id="149"/>
    </w:p>
    <w:p w14:paraId="25507FB1">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0" w:name="_Toc30108"/>
      <w:r>
        <w:rPr>
          <w:rFonts w:hint="eastAsia" w:ascii="仿宋_GB2312" w:hAnsi="仿宋_GB2312" w:eastAsia="仿宋_GB2312" w:cs="仿宋_GB2312"/>
          <w:color w:val="000000"/>
          <w:spacing w:val="4"/>
          <w:sz w:val="21"/>
          <w:szCs w:val="21"/>
          <w:lang w:eastAsia="zh-CN"/>
        </w:rPr>
        <w:t>1、合同总价为人民币大写：</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元，RMB￥</w:t>
      </w:r>
      <w:r>
        <w:rPr>
          <w:rFonts w:hint="eastAsia" w:ascii="仿宋_GB2312" w:hAnsi="仿宋_GB2312" w:eastAsia="仿宋_GB2312" w:cs="仿宋_GB2312"/>
          <w:color w:val="000000"/>
          <w:spacing w:val="4"/>
          <w:sz w:val="21"/>
          <w:szCs w:val="21"/>
          <w:u w:val="single"/>
          <w:lang w:eastAsia="zh-CN"/>
        </w:rPr>
        <w:t xml:space="preserve">        </w:t>
      </w:r>
      <w:r>
        <w:rPr>
          <w:rFonts w:hint="eastAsia" w:ascii="仿宋_GB2312" w:hAnsi="仿宋_GB2312" w:eastAsia="仿宋_GB2312" w:cs="仿宋_GB2312"/>
          <w:color w:val="000000"/>
          <w:spacing w:val="4"/>
          <w:sz w:val="21"/>
          <w:szCs w:val="21"/>
          <w:lang w:eastAsia="zh-CN"/>
        </w:rPr>
        <w:t>元。</w:t>
      </w:r>
      <w:bookmarkEnd w:id="150"/>
      <w:bookmarkStart w:id="151" w:name="_Toc9658"/>
    </w:p>
    <w:p w14:paraId="079F1500">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2、本合同总价是总报价即乙方的磋商具体内容及其成交总金额。</w:t>
      </w:r>
      <w:bookmarkEnd w:id="151"/>
    </w:p>
    <w:p w14:paraId="474948EA">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2" w:name="_Toc4236"/>
      <w:r>
        <w:rPr>
          <w:rFonts w:hint="eastAsia" w:ascii="仿宋_GB2312" w:hAnsi="仿宋_GB2312" w:eastAsia="仿宋_GB2312" w:cs="仿宋_GB2312"/>
          <w:color w:val="000000"/>
          <w:spacing w:val="4"/>
          <w:sz w:val="21"/>
          <w:szCs w:val="21"/>
          <w:lang w:eastAsia="zh-CN"/>
        </w:rPr>
        <w:t>3、总报价包括</w:t>
      </w:r>
      <w:r>
        <w:rPr>
          <w:rFonts w:hint="eastAsia" w:ascii="仿宋_GB2312" w:hAnsi="仿宋_GB2312" w:eastAsia="仿宋_GB2312" w:cs="仿宋_GB2312"/>
          <w:color w:val="000000"/>
          <w:spacing w:val="4"/>
          <w:sz w:val="21"/>
          <w:szCs w:val="21"/>
          <w:u w:val="single"/>
          <w:lang w:val="en-US" w:eastAsia="zh-CN"/>
        </w:rPr>
        <w:t xml:space="preserve">                         </w:t>
      </w:r>
      <w:r>
        <w:rPr>
          <w:rFonts w:hint="eastAsia" w:ascii="仿宋_GB2312" w:hAnsi="仿宋_GB2312" w:eastAsia="仿宋_GB2312" w:cs="仿宋_GB2312"/>
          <w:color w:val="000000"/>
          <w:spacing w:val="4"/>
          <w:sz w:val="21"/>
          <w:szCs w:val="21"/>
          <w:lang w:eastAsia="zh-CN"/>
        </w:rPr>
        <w:t>。</w:t>
      </w:r>
      <w:bookmarkEnd w:id="152"/>
    </w:p>
    <w:p w14:paraId="18061F7F">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3" w:name="_Toc28481"/>
      <w:r>
        <w:rPr>
          <w:rFonts w:hint="eastAsia" w:ascii="仿宋_GB2312" w:hAnsi="仿宋_GB2312" w:eastAsia="仿宋_GB2312" w:cs="仿宋_GB2312"/>
          <w:color w:val="000000"/>
          <w:spacing w:val="4"/>
          <w:sz w:val="21"/>
          <w:szCs w:val="21"/>
          <w:lang w:eastAsia="zh-CN"/>
        </w:rPr>
        <w:t>4、</w:t>
      </w:r>
      <w:bookmarkEnd w:id="153"/>
      <w:r>
        <w:rPr>
          <w:rFonts w:hint="eastAsia" w:ascii="仿宋_GB2312" w:hAnsi="仿宋_GB2312" w:eastAsia="仿宋_GB2312" w:cs="仿宋_GB2312"/>
          <w:color w:val="000000"/>
          <w:spacing w:val="4"/>
          <w:sz w:val="21"/>
          <w:szCs w:val="21"/>
          <w:lang w:eastAsia="zh-CN"/>
        </w:rPr>
        <w:t>合同总价一次包死，不受市场价变化的影响。</w:t>
      </w:r>
    </w:p>
    <w:p w14:paraId="0F5CAAEB">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5、付款方式：</w:t>
      </w:r>
    </w:p>
    <w:p w14:paraId="5C003C32">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（1）、合同签订后5个工作日支付合同总价</w:t>
      </w:r>
      <w:r>
        <w:rPr>
          <w:rFonts w:hint="eastAsia" w:ascii="仿宋_GB2312" w:hAnsi="仿宋_GB2312" w:eastAsia="仿宋_GB2312" w:cs="仿宋_GB2312"/>
          <w:color w:val="000000"/>
          <w:spacing w:val="4"/>
          <w:sz w:val="21"/>
          <w:szCs w:val="21"/>
          <w:u w:val="single"/>
          <w:lang w:eastAsia="zh-CN"/>
        </w:rPr>
        <w:t>50</w:t>
      </w:r>
      <w:r>
        <w:rPr>
          <w:rFonts w:hint="eastAsia" w:ascii="仿宋_GB2312" w:hAnsi="仿宋_GB2312" w:eastAsia="仿宋_GB2312" w:cs="仿宋_GB2312"/>
          <w:color w:val="000000"/>
          <w:spacing w:val="4"/>
          <w:sz w:val="21"/>
          <w:szCs w:val="21"/>
          <w:lang w:eastAsia="zh-CN"/>
        </w:rPr>
        <w:t>%；安装完成上线后5个工作日支付合同总价</w:t>
      </w:r>
      <w:r>
        <w:rPr>
          <w:rFonts w:hint="eastAsia" w:ascii="仿宋_GB2312" w:hAnsi="仿宋_GB2312" w:eastAsia="仿宋_GB2312" w:cs="仿宋_GB2312"/>
          <w:color w:val="000000"/>
          <w:spacing w:val="4"/>
          <w:sz w:val="21"/>
          <w:szCs w:val="21"/>
          <w:u w:val="single"/>
          <w:lang w:eastAsia="zh-CN"/>
        </w:rPr>
        <w:t>40</w:t>
      </w:r>
      <w:r>
        <w:rPr>
          <w:rFonts w:hint="eastAsia" w:ascii="仿宋_GB2312" w:hAnsi="仿宋_GB2312" w:eastAsia="仿宋_GB2312" w:cs="仿宋_GB2312"/>
          <w:color w:val="000000"/>
          <w:spacing w:val="4"/>
          <w:sz w:val="21"/>
          <w:szCs w:val="21"/>
          <w:lang w:eastAsia="zh-CN"/>
        </w:rPr>
        <w:t>%；验收后5个工作日支付合同总价</w:t>
      </w:r>
      <w:r>
        <w:rPr>
          <w:rFonts w:hint="eastAsia" w:ascii="仿宋_GB2312" w:hAnsi="仿宋_GB2312" w:eastAsia="仿宋_GB2312" w:cs="仿宋_GB2312"/>
          <w:color w:val="000000"/>
          <w:spacing w:val="4"/>
          <w:sz w:val="21"/>
          <w:szCs w:val="21"/>
          <w:u w:val="single"/>
          <w:lang w:eastAsia="zh-CN"/>
        </w:rPr>
        <w:t>10</w:t>
      </w:r>
      <w:r>
        <w:rPr>
          <w:rFonts w:hint="eastAsia" w:ascii="仿宋_GB2312" w:hAnsi="仿宋_GB2312" w:eastAsia="仿宋_GB2312" w:cs="仿宋_GB2312"/>
          <w:color w:val="000000"/>
          <w:spacing w:val="4"/>
          <w:sz w:val="21"/>
          <w:szCs w:val="21"/>
          <w:lang w:eastAsia="zh-CN"/>
        </w:rPr>
        <w:t>%。</w:t>
      </w:r>
    </w:p>
    <w:p w14:paraId="7BC8E191">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w:t>
      </w:r>
      <w:r>
        <w:rPr>
          <w:rFonts w:hint="eastAsia" w:ascii="仿宋_GB2312" w:hAnsi="仿宋_GB2312" w:eastAsia="仿宋_GB2312" w:cs="仿宋_GB2312"/>
          <w:color w:val="000000"/>
          <w:spacing w:val="4"/>
          <w:sz w:val="21"/>
          <w:szCs w:val="21"/>
          <w:lang w:val="en-US" w:eastAsia="zh-CN"/>
        </w:rPr>
        <w:t>2</w:t>
      </w:r>
      <w:r>
        <w:rPr>
          <w:rFonts w:hint="eastAsia" w:ascii="仿宋_GB2312" w:hAnsi="仿宋_GB2312" w:eastAsia="仿宋_GB2312" w:cs="仿宋_GB2312"/>
          <w:color w:val="000000"/>
          <w:spacing w:val="4"/>
          <w:sz w:val="21"/>
          <w:szCs w:val="21"/>
          <w:lang w:eastAsia="zh-CN"/>
        </w:rPr>
        <w:t>）、对于买卖双方交接发票、结算票据事宜，双方一致认同：甲方取得发票并不代表甲方服务款已付清，服务款已付清是以甲方合同款全部到乙方指定账户为准。</w:t>
      </w:r>
    </w:p>
    <w:p w14:paraId="74DC4F92">
      <w:pPr>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b w:val="0"/>
          <w:bCs/>
          <w:sz w:val="21"/>
          <w:szCs w:val="21"/>
          <w:lang w:val="en-US" w:eastAsia="zh-CN"/>
        </w:rPr>
      </w:pPr>
      <w:r>
        <w:rPr>
          <w:rFonts w:hint="eastAsia" w:ascii="仿宋_GB2312" w:hAnsi="仿宋_GB2312" w:eastAsia="仿宋_GB2312" w:cs="仿宋_GB2312"/>
          <w:color w:val="000000"/>
          <w:spacing w:val="4"/>
          <w:sz w:val="21"/>
          <w:szCs w:val="21"/>
          <w:lang w:eastAsia="zh-CN"/>
        </w:rPr>
        <w:t>第三条、</w:t>
      </w:r>
      <w:r>
        <w:rPr>
          <w:rFonts w:hint="eastAsia" w:ascii="仿宋_GB2312" w:hAnsi="仿宋_GB2312" w:eastAsia="仿宋_GB2312" w:cs="仿宋_GB2312"/>
          <w:b w:val="0"/>
          <w:bCs/>
          <w:sz w:val="21"/>
          <w:szCs w:val="21"/>
          <w:lang w:val="en-US" w:eastAsia="zh-CN"/>
        </w:rPr>
        <w:t>项目实施周期:4个月</w:t>
      </w:r>
    </w:p>
    <w:p w14:paraId="1DA0E3D8">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（一）保证所供的服务按国内外通行的现行标准相应的技术规范，以及质量、安全、环保标准和要求执行，这些标准和技术规范应为合同签订日为止最新公布发行的标准和技术规范。</w:t>
      </w:r>
    </w:p>
    <w:p w14:paraId="58585D27">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（二）成交供应商所供服务因侵权而产生的一切后果由成交供应商负责，采购人保留索赔权力。</w:t>
      </w:r>
    </w:p>
    <w:p w14:paraId="3DA9E336">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（三）服务商向采购人提供服务过程中的所有资料，未经采购人同意不得向第三方提供。</w:t>
      </w:r>
    </w:p>
    <w:p w14:paraId="0E09400A">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4" w:name="_Toc11139"/>
      <w:r>
        <w:rPr>
          <w:rFonts w:hint="eastAsia" w:ascii="仿宋_GB2312" w:hAnsi="仿宋_GB2312" w:eastAsia="仿宋_GB2312" w:cs="仿宋_GB2312"/>
          <w:color w:val="000000"/>
          <w:spacing w:val="4"/>
          <w:sz w:val="21"/>
          <w:szCs w:val="21"/>
          <w:lang w:eastAsia="zh-CN"/>
        </w:rPr>
        <w:t>第四条、成果交付及验收</w:t>
      </w:r>
    </w:p>
    <w:p w14:paraId="276487DC">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val="en-US" w:eastAsia="zh-CN"/>
        </w:rPr>
        <w:t>1、成果交付地点：甲方指定地点</w:t>
      </w:r>
    </w:p>
    <w:p w14:paraId="6B147E09">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val="en-US" w:eastAsia="zh-CN"/>
        </w:rPr>
        <w:t>2、验收</w:t>
      </w:r>
    </w:p>
    <w:p w14:paraId="53354118">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（一）验收：服务结束后，由成交供应商向采购人递交验收通知书，经采购人确认后，组织成交供应商进行验收。验收合格后，</w:t>
      </w:r>
      <w:r>
        <w:rPr>
          <w:rFonts w:hint="eastAsia" w:ascii="仿宋_GB2312" w:hAnsi="仿宋_GB2312" w:eastAsia="仿宋_GB2312" w:cs="仿宋_GB2312"/>
          <w:color w:val="000000"/>
          <w:spacing w:val="4"/>
          <w:sz w:val="21"/>
          <w:szCs w:val="21"/>
          <w:lang w:val="en-US" w:eastAsia="zh-CN"/>
        </w:rPr>
        <w:t>填写项目验收单作为对项目的最终认可。</w:t>
      </w:r>
    </w:p>
    <w:p w14:paraId="17A7BF03">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（二）验收依据</w:t>
      </w:r>
    </w:p>
    <w:p w14:paraId="02DD73BA">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w:t>
      </w:r>
      <w:r>
        <w:rPr>
          <w:rFonts w:hint="eastAsia" w:ascii="仿宋_GB2312" w:hAnsi="仿宋_GB2312" w:eastAsia="仿宋_GB2312" w:cs="仿宋_GB2312"/>
          <w:color w:val="000000"/>
          <w:spacing w:val="4"/>
          <w:sz w:val="21"/>
          <w:szCs w:val="21"/>
          <w:lang w:val="en-US" w:eastAsia="zh-CN"/>
        </w:rPr>
        <w:t>磋商</w:t>
      </w:r>
      <w:r>
        <w:rPr>
          <w:rFonts w:hint="eastAsia" w:ascii="仿宋_GB2312" w:hAnsi="仿宋_GB2312" w:eastAsia="仿宋_GB2312" w:cs="仿宋_GB2312"/>
          <w:color w:val="000000"/>
          <w:spacing w:val="4"/>
          <w:sz w:val="21"/>
          <w:szCs w:val="21"/>
          <w:lang w:eastAsia="zh-CN"/>
        </w:rPr>
        <w:t>文件、</w:t>
      </w:r>
      <w:r>
        <w:rPr>
          <w:rFonts w:hint="eastAsia" w:ascii="仿宋_GB2312" w:hAnsi="仿宋_GB2312" w:eastAsia="仿宋_GB2312" w:cs="仿宋_GB2312"/>
          <w:color w:val="000000"/>
          <w:spacing w:val="4"/>
          <w:sz w:val="21"/>
          <w:szCs w:val="21"/>
          <w:lang w:val="en-US" w:eastAsia="zh-CN"/>
        </w:rPr>
        <w:t>响应</w:t>
      </w:r>
      <w:r>
        <w:rPr>
          <w:rFonts w:hint="eastAsia" w:ascii="仿宋_GB2312" w:hAnsi="仿宋_GB2312" w:eastAsia="仿宋_GB2312" w:cs="仿宋_GB2312"/>
          <w:color w:val="000000"/>
          <w:spacing w:val="4"/>
          <w:sz w:val="21"/>
          <w:szCs w:val="21"/>
          <w:lang w:eastAsia="zh-CN"/>
        </w:rPr>
        <w:t>文件、澄清表（函）；</w:t>
      </w:r>
    </w:p>
    <w:p w14:paraId="64D81C20">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2、本合同及附件文本；</w:t>
      </w:r>
    </w:p>
    <w:p w14:paraId="1509751D">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3、合同签订时国家及行业现行的标准和技术规范。</w:t>
      </w:r>
    </w:p>
    <w:p w14:paraId="20C15C23">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（三）成交供应商应向采购人提交项目实施过程中的所有资料，以便采购人日后管理和维护。</w:t>
      </w:r>
    </w:p>
    <w:bookmarkEnd w:id="154"/>
    <w:p w14:paraId="1F3703B3">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5" w:name="_Toc16919"/>
      <w:r>
        <w:rPr>
          <w:rFonts w:hint="eastAsia" w:ascii="仿宋_GB2312" w:hAnsi="仿宋_GB2312" w:eastAsia="仿宋_GB2312" w:cs="仿宋_GB2312"/>
          <w:color w:val="000000"/>
          <w:spacing w:val="4"/>
          <w:sz w:val="21"/>
          <w:szCs w:val="21"/>
          <w:lang w:eastAsia="zh-CN"/>
        </w:rPr>
        <w:t>第五条、保密条款</w:t>
      </w:r>
    </w:p>
    <w:p w14:paraId="01E203A6">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成交供应商应严格遵守采购单位有关保密规定，不得泄漏一切机密；</w:t>
      </w:r>
    </w:p>
    <w:p w14:paraId="3A0C1497">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在技术维护期间，成交供应商对接触到的有关采购单位商业活动、技术情报和技术资料等文件进行保密。</w:t>
      </w:r>
    </w:p>
    <w:p w14:paraId="69C8147F">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第六条 服务</w:t>
      </w:r>
      <w:bookmarkEnd w:id="155"/>
      <w:r>
        <w:rPr>
          <w:rFonts w:hint="eastAsia" w:ascii="仿宋_GB2312" w:hAnsi="仿宋_GB2312" w:eastAsia="仿宋_GB2312" w:cs="仿宋_GB2312"/>
          <w:color w:val="000000"/>
          <w:spacing w:val="4"/>
          <w:sz w:val="21"/>
          <w:szCs w:val="21"/>
          <w:lang w:eastAsia="zh-CN"/>
        </w:rPr>
        <w:t>承诺</w:t>
      </w:r>
    </w:p>
    <w:p w14:paraId="54ACBB18">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6" w:name="_Toc22622"/>
      <w:r>
        <w:rPr>
          <w:rFonts w:hint="eastAsia" w:ascii="仿宋_GB2312" w:hAnsi="仿宋_GB2312" w:eastAsia="仿宋_GB2312" w:cs="仿宋_GB2312"/>
          <w:color w:val="000000"/>
          <w:spacing w:val="4"/>
          <w:sz w:val="21"/>
          <w:szCs w:val="21"/>
          <w:lang w:eastAsia="zh-CN"/>
        </w:rPr>
        <w:t>以</w:t>
      </w:r>
      <w:r>
        <w:rPr>
          <w:rFonts w:hint="eastAsia" w:ascii="仿宋_GB2312" w:hAnsi="仿宋_GB2312" w:eastAsia="仿宋_GB2312" w:cs="仿宋_GB2312"/>
          <w:color w:val="000000"/>
          <w:spacing w:val="4"/>
          <w:sz w:val="21"/>
          <w:szCs w:val="21"/>
          <w:lang w:val="en-US" w:eastAsia="zh-CN"/>
        </w:rPr>
        <w:t>磋商</w:t>
      </w:r>
      <w:r>
        <w:rPr>
          <w:rFonts w:hint="eastAsia" w:ascii="仿宋_GB2312" w:hAnsi="仿宋_GB2312" w:eastAsia="仿宋_GB2312" w:cs="仿宋_GB2312"/>
          <w:color w:val="000000"/>
          <w:spacing w:val="4"/>
          <w:sz w:val="21"/>
          <w:szCs w:val="21"/>
          <w:lang w:eastAsia="zh-CN"/>
        </w:rPr>
        <w:t>文件、澄清表（函）、合同和随服务的相关文件为准。</w:t>
      </w:r>
    </w:p>
    <w:p w14:paraId="712C4378">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第七条 违约责任</w:t>
      </w:r>
      <w:bookmarkEnd w:id="156"/>
    </w:p>
    <w:p w14:paraId="57868ECE">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bookmarkStart w:id="157" w:name="_Toc25511"/>
      <w:r>
        <w:rPr>
          <w:rFonts w:hint="eastAsia" w:ascii="仿宋_GB2312" w:hAnsi="仿宋_GB2312" w:eastAsia="仿宋_GB2312" w:cs="仿宋_GB2312"/>
          <w:color w:val="000000"/>
          <w:spacing w:val="4"/>
          <w:sz w:val="21"/>
          <w:szCs w:val="21"/>
          <w:lang w:eastAsia="zh-CN"/>
        </w:rPr>
        <w:t>如乙方未按合同约定交付甲方采购内容或未达到甲方的采购要求，甲方有权解除合同，乙方应在甲方解除合同之日起</w:t>
      </w:r>
      <w:r>
        <w:rPr>
          <w:rFonts w:hint="eastAsia" w:ascii="仿宋_GB2312" w:hAnsi="仿宋_GB2312" w:eastAsia="仿宋_GB2312" w:cs="仿宋_GB2312"/>
          <w:color w:val="000000"/>
          <w:spacing w:val="4"/>
          <w:sz w:val="21"/>
          <w:szCs w:val="21"/>
          <w:lang w:val="en-US" w:eastAsia="zh-CN"/>
        </w:rPr>
        <w:t>7个工作日内返还甲方所支付全部款项并向甲方支付合同总额20%的违约金。</w:t>
      </w:r>
    </w:p>
    <w:p w14:paraId="17BE53EF">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第八条 合同的变更和终止</w:t>
      </w:r>
      <w:bookmarkEnd w:id="157"/>
    </w:p>
    <w:p w14:paraId="729BA5EF">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除《中华人民共和国政府采购法》第49条、第50条第二款规定的情形外，本合同一经签订，甲乙双方不得擅自变更、中止或终止合同。</w:t>
      </w:r>
    </w:p>
    <w:p w14:paraId="4F54FF19">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8" w:name="_Toc6948"/>
      <w:r>
        <w:rPr>
          <w:rFonts w:hint="eastAsia" w:ascii="仿宋_GB2312" w:hAnsi="仿宋_GB2312" w:eastAsia="仿宋_GB2312" w:cs="仿宋_GB2312"/>
          <w:color w:val="000000"/>
          <w:spacing w:val="4"/>
          <w:sz w:val="21"/>
          <w:szCs w:val="21"/>
          <w:lang w:eastAsia="zh-CN"/>
        </w:rPr>
        <w:t>第九条 争议的解决</w:t>
      </w:r>
      <w:bookmarkEnd w:id="158"/>
    </w:p>
    <w:p w14:paraId="2F808065">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因违反或终止合同而引起的对对方损失和损害的赔偿，双方应当协商解决，如未能达成一致，可提交主管部门协调，如仍未能达成一致时，如果协商不成，则采取以下第____种方式解决争议：</w:t>
      </w:r>
    </w:p>
    <w:p w14:paraId="56069597">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（1）向甲方所在地有管辖权的人民法院提起诉讼；</w:t>
      </w:r>
    </w:p>
    <w:p w14:paraId="4F820185">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（2）向____________仲裁委员会按其仲裁规则申请仲裁。</w:t>
      </w:r>
    </w:p>
    <w:p w14:paraId="010E5F61">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3．在仲裁期间，本合同应继续履行。</w:t>
      </w:r>
    </w:p>
    <w:p w14:paraId="06F974B7">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bookmarkStart w:id="159" w:name="_Toc10583"/>
      <w:r>
        <w:rPr>
          <w:rFonts w:hint="eastAsia" w:ascii="仿宋_GB2312" w:hAnsi="仿宋_GB2312" w:eastAsia="仿宋_GB2312" w:cs="仿宋_GB2312"/>
          <w:color w:val="000000"/>
          <w:spacing w:val="4"/>
          <w:sz w:val="21"/>
          <w:szCs w:val="21"/>
          <w:lang w:eastAsia="zh-CN"/>
        </w:rPr>
        <w:t>第十条 合同生效及其他</w:t>
      </w:r>
      <w:bookmarkEnd w:id="159"/>
    </w:p>
    <w:p w14:paraId="19756D58">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1、如有未尽事宜，由双方依法订立补充合同。</w:t>
      </w:r>
    </w:p>
    <w:p w14:paraId="3725DA19">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eastAsia="zh-CN"/>
        </w:rPr>
      </w:pPr>
      <w:r>
        <w:rPr>
          <w:rFonts w:hint="eastAsia" w:ascii="仿宋_GB2312" w:hAnsi="仿宋_GB2312" w:eastAsia="仿宋_GB2312" w:cs="仿宋_GB2312"/>
          <w:color w:val="000000"/>
          <w:spacing w:val="4"/>
          <w:sz w:val="21"/>
          <w:szCs w:val="21"/>
          <w:lang w:eastAsia="zh-CN"/>
        </w:rPr>
        <w:t>2、本合同自签订之日起生效。</w:t>
      </w:r>
    </w:p>
    <w:p w14:paraId="1A4958DF">
      <w:pPr>
        <w:keepNext w:val="0"/>
        <w:keepLines w:val="0"/>
        <w:pageBreakBefore w:val="0"/>
        <w:widowControl w:val="0"/>
        <w:kinsoku/>
        <w:wordWrap/>
        <w:overflowPunct/>
        <w:topLinePunct w:val="0"/>
        <w:autoSpaceDE/>
        <w:autoSpaceDN/>
        <w:bidi w:val="0"/>
        <w:adjustRightInd/>
        <w:snapToGrid/>
        <w:spacing w:line="480" w:lineRule="auto"/>
        <w:ind w:firstLine="436" w:firstLineChars="200"/>
        <w:textAlignment w:val="auto"/>
        <w:rPr>
          <w:rFonts w:hint="eastAsia" w:ascii="仿宋_GB2312" w:hAnsi="仿宋_GB2312" w:eastAsia="仿宋_GB2312" w:cs="仿宋_GB2312"/>
          <w:color w:val="000000"/>
          <w:spacing w:val="4"/>
          <w:sz w:val="21"/>
          <w:szCs w:val="21"/>
          <w:lang w:val="en-US" w:eastAsia="zh-CN"/>
        </w:rPr>
      </w:pPr>
      <w:r>
        <w:rPr>
          <w:rFonts w:hint="eastAsia" w:ascii="仿宋_GB2312" w:hAnsi="仿宋_GB2312" w:eastAsia="仿宋_GB2312" w:cs="仿宋_GB2312"/>
          <w:color w:val="000000"/>
          <w:spacing w:val="4"/>
          <w:sz w:val="21"/>
          <w:szCs w:val="21"/>
          <w:lang w:eastAsia="zh-CN"/>
        </w:rPr>
        <w:t>3、本合同一式</w:t>
      </w:r>
      <w:r>
        <w:rPr>
          <w:rFonts w:hint="eastAsia" w:ascii="仿宋_GB2312" w:hAnsi="仿宋_GB2312" w:eastAsia="仿宋_GB2312" w:cs="仿宋_GB2312"/>
          <w:color w:val="000000"/>
          <w:spacing w:val="4"/>
          <w:sz w:val="21"/>
          <w:szCs w:val="21"/>
          <w:lang w:val="en-US" w:eastAsia="zh-CN"/>
        </w:rPr>
        <w:t>肆</w:t>
      </w:r>
      <w:r>
        <w:rPr>
          <w:rFonts w:hint="eastAsia" w:ascii="仿宋_GB2312" w:hAnsi="仿宋_GB2312" w:eastAsia="仿宋_GB2312" w:cs="仿宋_GB2312"/>
          <w:color w:val="000000"/>
          <w:spacing w:val="4"/>
          <w:sz w:val="21"/>
          <w:szCs w:val="21"/>
          <w:lang w:eastAsia="zh-CN"/>
        </w:rPr>
        <w:t>份，具有同等法律效力，</w:t>
      </w:r>
      <w:r>
        <w:rPr>
          <w:rFonts w:hint="eastAsia" w:ascii="仿宋_GB2312" w:hAnsi="仿宋_GB2312" w:eastAsia="仿宋_GB2312" w:cs="仿宋_GB2312"/>
          <w:color w:val="000000"/>
          <w:spacing w:val="4"/>
          <w:sz w:val="21"/>
          <w:szCs w:val="21"/>
          <w:lang w:val="en-US" w:eastAsia="zh-CN"/>
        </w:rPr>
        <w:t>甲方贰份，乙方壹份，鉴证方壹份，均具有同等法律效力。</w:t>
      </w:r>
    </w:p>
    <w:p w14:paraId="4426980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br w:type="page"/>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8"/>
        <w:gridCol w:w="2669"/>
        <w:gridCol w:w="3232"/>
      </w:tblGrid>
      <w:tr w14:paraId="09B1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2698" w:type="dxa"/>
            <w:noWrap w:val="0"/>
            <w:vAlign w:val="top"/>
          </w:tcPr>
          <w:p w14:paraId="1E955CA2">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14:paraId="1063F1DF">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甲方</w:t>
            </w:r>
          </w:p>
        </w:tc>
        <w:tc>
          <w:tcPr>
            <w:tcW w:w="2669" w:type="dxa"/>
            <w:noWrap w:val="0"/>
            <w:vAlign w:val="top"/>
          </w:tcPr>
          <w:p w14:paraId="1234A5D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14:paraId="431D3594">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乙方</w:t>
            </w:r>
          </w:p>
        </w:tc>
        <w:tc>
          <w:tcPr>
            <w:tcW w:w="3232" w:type="dxa"/>
            <w:noWrap w:val="0"/>
            <w:vAlign w:val="top"/>
          </w:tcPr>
          <w:p w14:paraId="56BE5F0B">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p>
          <w:p w14:paraId="72AE2E18">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见证方</w:t>
            </w:r>
          </w:p>
        </w:tc>
      </w:tr>
      <w:tr w14:paraId="20BF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2698" w:type="dxa"/>
            <w:noWrap w:val="0"/>
            <w:vAlign w:val="bottom"/>
          </w:tcPr>
          <w:p w14:paraId="51D1073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c>
          <w:tcPr>
            <w:tcW w:w="2669" w:type="dxa"/>
            <w:noWrap w:val="0"/>
            <w:vAlign w:val="bottom"/>
          </w:tcPr>
          <w:p w14:paraId="656BD8A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c>
          <w:tcPr>
            <w:tcW w:w="3232" w:type="dxa"/>
            <w:noWrap w:val="0"/>
            <w:vAlign w:val="bottom"/>
          </w:tcPr>
          <w:p w14:paraId="2F92B34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（盖章）</w:t>
            </w:r>
          </w:p>
        </w:tc>
      </w:tr>
      <w:tr w14:paraId="5F7D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2698" w:type="dxa"/>
            <w:noWrap w:val="0"/>
            <w:vAlign w:val="top"/>
          </w:tcPr>
          <w:p w14:paraId="271E3C7A">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p>
        </w:tc>
        <w:tc>
          <w:tcPr>
            <w:tcW w:w="2669" w:type="dxa"/>
            <w:noWrap w:val="0"/>
            <w:vAlign w:val="top"/>
          </w:tcPr>
          <w:p w14:paraId="11AF3613">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p>
        </w:tc>
        <w:tc>
          <w:tcPr>
            <w:tcW w:w="3232" w:type="dxa"/>
            <w:noWrap w:val="0"/>
            <w:vAlign w:val="top"/>
          </w:tcPr>
          <w:p w14:paraId="7510BA7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bidi w:val="0"/>
              <w:snapToGrid/>
              <w:spacing w:before="0" w:beforeAutospacing="0" w:after="0" w:afterAutospacing="0" w:line="500" w:lineRule="exact"/>
              <w:ind w:right="0"/>
              <w:jc w:val="both"/>
              <w:textAlignment w:val="auto"/>
              <w:rPr>
                <w:rFonts w:hint="eastAsia" w:ascii="仿宋_GB2312" w:hAnsi="仿宋_GB2312" w:eastAsia="仿宋_GB2312" w:cs="仿宋_GB2312"/>
                <w:i w:val="0"/>
                <w:iCs w:val="0"/>
                <w:caps w:val="0"/>
                <w:color w:val="auto"/>
                <w:spacing w:val="0"/>
                <w:sz w:val="21"/>
                <w:szCs w:val="21"/>
                <w:shd w:val="clear" w:fill="FFFFFF"/>
                <w:lang w:val="en-US" w:eastAsia="zh-CN"/>
              </w:rPr>
            </w:pPr>
            <w:r>
              <w:rPr>
                <w:rFonts w:hint="eastAsia" w:ascii="仿宋_GB2312" w:hAnsi="仿宋_GB2312" w:eastAsia="仿宋_GB2312" w:cs="仿宋_GB2312"/>
                <w:color w:val="auto"/>
                <w:kern w:val="0"/>
                <w:sz w:val="21"/>
                <w:szCs w:val="21"/>
                <w:highlight w:val="none"/>
                <w:vertAlign w:val="baseline"/>
                <w:lang w:eastAsia="zh-CN"/>
              </w:rPr>
              <w:t>地址：</w:t>
            </w:r>
            <w:r>
              <w:rPr>
                <w:rFonts w:hint="eastAsia" w:ascii="仿宋_GB2312" w:hAnsi="仿宋_GB2312" w:eastAsia="仿宋_GB2312" w:cs="仿宋_GB2312"/>
                <w:i w:val="0"/>
                <w:iCs w:val="0"/>
                <w:caps w:val="0"/>
                <w:color w:val="auto"/>
                <w:spacing w:val="0"/>
                <w:sz w:val="21"/>
                <w:szCs w:val="21"/>
                <w:shd w:val="clear" w:fill="FFFFFF"/>
                <w:lang w:eastAsia="zh-CN"/>
              </w:rPr>
              <w:t>陕西省延安市宝塔区枣园路枣园5号小区4-3-702</w:t>
            </w:r>
            <w:r>
              <w:rPr>
                <w:rFonts w:hint="eastAsia" w:ascii="仿宋_GB2312" w:hAnsi="仿宋_GB2312" w:eastAsia="仿宋_GB2312" w:cs="仿宋_GB2312"/>
                <w:i w:val="0"/>
                <w:iCs w:val="0"/>
                <w:caps w:val="0"/>
                <w:color w:val="auto"/>
                <w:spacing w:val="0"/>
                <w:sz w:val="21"/>
                <w:szCs w:val="21"/>
                <w:shd w:val="clear" w:fill="FFFFFF"/>
                <w:lang w:val="en-US" w:eastAsia="zh-CN"/>
              </w:rPr>
              <w:t>室</w:t>
            </w:r>
          </w:p>
          <w:p w14:paraId="447E4BA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p>
        </w:tc>
      </w:tr>
      <w:tr w14:paraId="5DC2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2698" w:type="dxa"/>
            <w:noWrap w:val="0"/>
            <w:vAlign w:val="top"/>
          </w:tcPr>
          <w:p w14:paraId="3B9139E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邮政编码：</w:t>
            </w:r>
          </w:p>
        </w:tc>
        <w:tc>
          <w:tcPr>
            <w:tcW w:w="2669" w:type="dxa"/>
            <w:noWrap w:val="0"/>
            <w:vAlign w:val="top"/>
          </w:tcPr>
          <w:p w14:paraId="5E8DBAB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邮政编码：</w:t>
            </w:r>
          </w:p>
        </w:tc>
        <w:tc>
          <w:tcPr>
            <w:tcW w:w="3232" w:type="dxa"/>
            <w:noWrap w:val="0"/>
            <w:vAlign w:val="top"/>
          </w:tcPr>
          <w:p w14:paraId="0917F21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邮政编码：</w:t>
            </w:r>
            <w:r>
              <w:rPr>
                <w:rFonts w:hint="eastAsia" w:ascii="仿宋_GB2312" w:hAnsi="仿宋_GB2312" w:eastAsia="仿宋_GB2312" w:cs="仿宋_GB2312"/>
                <w:color w:val="auto"/>
                <w:kern w:val="0"/>
                <w:sz w:val="21"/>
                <w:szCs w:val="21"/>
                <w:highlight w:val="none"/>
                <w:vertAlign w:val="baseline"/>
                <w:lang w:val="en-US" w:eastAsia="zh-CN"/>
              </w:rPr>
              <w:t>716000</w:t>
            </w:r>
          </w:p>
        </w:tc>
      </w:tr>
      <w:tr w14:paraId="5502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698" w:type="dxa"/>
            <w:noWrap w:val="0"/>
            <w:vAlign w:val="top"/>
          </w:tcPr>
          <w:p w14:paraId="76455E8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账号：</w:t>
            </w:r>
          </w:p>
        </w:tc>
        <w:tc>
          <w:tcPr>
            <w:tcW w:w="2669" w:type="dxa"/>
            <w:noWrap w:val="0"/>
            <w:vAlign w:val="top"/>
          </w:tcPr>
          <w:p w14:paraId="3C5C9B8D">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账号：</w:t>
            </w:r>
          </w:p>
        </w:tc>
        <w:tc>
          <w:tcPr>
            <w:tcW w:w="3232" w:type="dxa"/>
            <w:noWrap w:val="0"/>
            <w:vAlign w:val="top"/>
          </w:tcPr>
          <w:p w14:paraId="77E148F8">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left"/>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账号：</w:t>
            </w:r>
          </w:p>
        </w:tc>
      </w:tr>
      <w:tr w14:paraId="0D4E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2698" w:type="dxa"/>
            <w:noWrap w:val="0"/>
            <w:vAlign w:val="top"/>
          </w:tcPr>
          <w:p w14:paraId="6F8A1E3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开户行：</w:t>
            </w:r>
          </w:p>
        </w:tc>
        <w:tc>
          <w:tcPr>
            <w:tcW w:w="2669" w:type="dxa"/>
            <w:noWrap w:val="0"/>
            <w:vAlign w:val="top"/>
          </w:tcPr>
          <w:p w14:paraId="5318EFE5">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开户行：</w:t>
            </w:r>
          </w:p>
        </w:tc>
        <w:tc>
          <w:tcPr>
            <w:tcW w:w="3232" w:type="dxa"/>
            <w:noWrap w:val="0"/>
            <w:vAlign w:val="top"/>
          </w:tcPr>
          <w:p w14:paraId="7E10B949">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开户行：</w:t>
            </w:r>
          </w:p>
        </w:tc>
      </w:tr>
      <w:tr w14:paraId="6442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2698" w:type="dxa"/>
            <w:noWrap w:val="0"/>
            <w:vAlign w:val="top"/>
          </w:tcPr>
          <w:p w14:paraId="0C2926C7">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w:t>
            </w:r>
          </w:p>
        </w:tc>
        <w:tc>
          <w:tcPr>
            <w:tcW w:w="2669" w:type="dxa"/>
            <w:noWrap w:val="0"/>
            <w:vAlign w:val="top"/>
          </w:tcPr>
          <w:p w14:paraId="6916ADE0">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w:t>
            </w:r>
          </w:p>
        </w:tc>
        <w:tc>
          <w:tcPr>
            <w:tcW w:w="3232" w:type="dxa"/>
            <w:noWrap w:val="0"/>
            <w:vAlign w:val="top"/>
          </w:tcPr>
          <w:p w14:paraId="0C1EF8A6">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户名：陕西辰云项目管理有限公司</w:t>
            </w:r>
          </w:p>
        </w:tc>
      </w:tr>
      <w:tr w14:paraId="7F9B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2698" w:type="dxa"/>
            <w:noWrap w:val="0"/>
            <w:vAlign w:val="top"/>
          </w:tcPr>
          <w:p w14:paraId="3EF5BB3E">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eastAsia="zh-CN"/>
              </w:rPr>
            </w:pPr>
            <w:r>
              <w:rPr>
                <w:rFonts w:hint="eastAsia" w:ascii="仿宋_GB2312" w:hAnsi="仿宋_GB2312" w:eastAsia="仿宋_GB2312" w:cs="仿宋_GB2312"/>
                <w:color w:val="auto"/>
                <w:kern w:val="0"/>
                <w:sz w:val="21"/>
                <w:szCs w:val="21"/>
                <w:highlight w:val="none"/>
                <w:vertAlign w:val="baseline"/>
                <w:lang w:eastAsia="zh-CN"/>
              </w:rPr>
              <w:t>全权代表：</w:t>
            </w:r>
          </w:p>
        </w:tc>
        <w:tc>
          <w:tcPr>
            <w:tcW w:w="2669" w:type="dxa"/>
            <w:noWrap w:val="0"/>
            <w:vAlign w:val="top"/>
          </w:tcPr>
          <w:p w14:paraId="0A73463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全权代表：</w:t>
            </w:r>
          </w:p>
        </w:tc>
        <w:tc>
          <w:tcPr>
            <w:tcW w:w="3232" w:type="dxa"/>
            <w:noWrap w:val="0"/>
            <w:vAlign w:val="top"/>
          </w:tcPr>
          <w:p w14:paraId="0E9072F5">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eastAsia="zh-CN"/>
              </w:rPr>
              <w:t>全权代表：</w:t>
            </w:r>
          </w:p>
        </w:tc>
      </w:tr>
      <w:tr w14:paraId="5DCF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2698" w:type="dxa"/>
            <w:noWrap w:val="0"/>
            <w:vAlign w:val="top"/>
          </w:tcPr>
          <w:p w14:paraId="7C97F7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lang w:val="en-US" w:eastAsia="zh-CN"/>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c>
          <w:tcPr>
            <w:tcW w:w="2669" w:type="dxa"/>
            <w:noWrap w:val="0"/>
            <w:vAlign w:val="top"/>
          </w:tcPr>
          <w:p w14:paraId="0FDC135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c>
          <w:tcPr>
            <w:tcW w:w="3232" w:type="dxa"/>
            <w:noWrap w:val="0"/>
            <w:vAlign w:val="top"/>
          </w:tcPr>
          <w:p w14:paraId="3346968C">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仿宋_GB2312" w:hAnsi="仿宋_GB2312" w:eastAsia="仿宋_GB2312" w:cs="仿宋_GB2312"/>
                <w:color w:val="auto"/>
                <w:kern w:val="0"/>
                <w:sz w:val="21"/>
                <w:szCs w:val="21"/>
                <w:highlight w:val="none"/>
                <w:vertAlign w:val="baseline"/>
              </w:rPr>
            </w:pPr>
            <w:r>
              <w:rPr>
                <w:rFonts w:hint="eastAsia" w:ascii="仿宋_GB2312" w:hAnsi="仿宋_GB2312" w:eastAsia="仿宋_GB2312" w:cs="仿宋_GB2312"/>
                <w:color w:val="auto"/>
                <w:kern w:val="0"/>
                <w:sz w:val="21"/>
                <w:szCs w:val="21"/>
                <w:highlight w:val="none"/>
                <w:vertAlign w:val="baseline"/>
                <w:lang w:eastAsia="zh-CN"/>
              </w:rPr>
              <w:t>日期：</w:t>
            </w:r>
            <w:r>
              <w:rPr>
                <w:rFonts w:hint="eastAsia" w:ascii="仿宋_GB2312" w:hAnsi="仿宋_GB2312" w:eastAsia="仿宋_GB2312" w:cs="仿宋_GB2312"/>
                <w:color w:val="auto"/>
                <w:kern w:val="0"/>
                <w:sz w:val="21"/>
                <w:szCs w:val="21"/>
                <w:highlight w:val="none"/>
                <w:vertAlign w:val="baseline"/>
                <w:lang w:val="en-US" w:eastAsia="zh-CN"/>
              </w:rPr>
              <w:t xml:space="preserve">   年  月  日</w:t>
            </w:r>
          </w:p>
        </w:tc>
      </w:tr>
    </w:tbl>
    <w:p w14:paraId="6408BF53">
      <w:pPr>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br w:type="page"/>
      </w:r>
    </w:p>
    <w:p w14:paraId="0AB149A9">
      <w:pPr>
        <w:pStyle w:val="2"/>
        <w:keepNext/>
        <w:keepLines/>
        <w:pageBreakBefore w:val="0"/>
        <w:widowControl w:val="0"/>
        <w:numPr>
          <w:ilvl w:val="0"/>
          <w:numId w:val="5"/>
        </w:numPr>
        <w:kinsoku/>
        <w:wordWrap/>
        <w:overflowPunct/>
        <w:topLinePunct w:val="0"/>
        <w:autoSpaceDE/>
        <w:autoSpaceDN/>
        <w:bidi w:val="0"/>
        <w:adjustRightInd/>
        <w:snapToGrid/>
        <w:spacing w:before="0" w:after="0" w:line="240" w:lineRule="auto"/>
        <w:jc w:val="center"/>
        <w:textAlignment w:val="auto"/>
        <w:outlineLvl w:val="0"/>
        <w:rPr>
          <w:rFonts w:hint="eastAsia" w:ascii="仿宋_GB2312" w:hAnsi="仿宋_GB2312" w:eastAsia="仿宋_GB2312" w:cs="仿宋_GB2312"/>
          <w:b/>
          <w:bCs/>
          <w:color w:val="auto"/>
          <w:sz w:val="32"/>
          <w:szCs w:val="32"/>
          <w:highlight w:val="none"/>
          <w:lang w:val="en-US" w:eastAsia="zh-CN"/>
        </w:rPr>
      </w:pPr>
      <w:bookmarkStart w:id="160" w:name="_Toc31570"/>
      <w:r>
        <w:rPr>
          <w:rFonts w:hint="eastAsia" w:ascii="仿宋_GB2312" w:hAnsi="仿宋_GB2312" w:eastAsia="仿宋_GB2312" w:cs="仿宋_GB2312"/>
          <w:b/>
          <w:bCs/>
          <w:color w:val="auto"/>
          <w:sz w:val="32"/>
          <w:szCs w:val="32"/>
          <w:highlight w:val="none"/>
          <w:lang w:val="en-US" w:eastAsia="zh-CN"/>
        </w:rPr>
        <w:t>磋商响应文件格式</w:t>
      </w:r>
      <w:bookmarkEnd w:id="160"/>
    </w:p>
    <w:p w14:paraId="7D8B0152">
      <w:pPr>
        <w:numPr>
          <w:ilvl w:val="0"/>
          <w:numId w:val="0"/>
        </w:numPr>
        <w:rPr>
          <w:rFonts w:hint="eastAsia" w:ascii="仿宋_GB2312" w:hAnsi="仿宋_GB2312" w:eastAsia="仿宋_GB2312" w:cs="仿宋_GB2312"/>
          <w:lang w:val="en-US" w:eastAsia="zh-CN"/>
        </w:rPr>
      </w:pPr>
    </w:p>
    <w:p w14:paraId="70B931BA">
      <w:pPr>
        <w:pStyle w:val="30"/>
        <w:rPr>
          <w:rFonts w:hint="eastAsia" w:ascii="仿宋_GB2312" w:hAnsi="仿宋_GB2312" w:eastAsia="仿宋_GB2312" w:cs="仿宋_GB2312"/>
          <w:lang w:val="en-US" w:eastAsia="zh-CN"/>
        </w:rPr>
      </w:pPr>
    </w:p>
    <w:p w14:paraId="67BA0DEF">
      <w:pPr>
        <w:spacing w:line="360" w:lineRule="auto"/>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1.响应文件格式由本章目录所列第1部分至第1</w:t>
      </w:r>
      <w:r>
        <w:rPr>
          <w:rFonts w:hint="eastAsia" w:ascii="仿宋_GB2312" w:hAnsi="仿宋_GB2312" w:eastAsia="仿宋_GB2312" w:cs="仿宋_GB2312"/>
          <w:bCs/>
          <w:color w:val="000000"/>
          <w:sz w:val="21"/>
          <w:szCs w:val="21"/>
          <w:lang w:val="en-US" w:eastAsia="zh-CN"/>
        </w:rPr>
        <w:t>0</w:t>
      </w:r>
      <w:r>
        <w:rPr>
          <w:rFonts w:hint="eastAsia" w:ascii="仿宋_GB2312" w:hAnsi="仿宋_GB2312" w:eastAsia="仿宋_GB2312" w:cs="仿宋_GB2312"/>
          <w:bCs/>
          <w:color w:val="000000"/>
          <w:sz w:val="21"/>
          <w:szCs w:val="21"/>
        </w:rPr>
        <w:t>部分构成。不得缺项漏项，否则按废标处理，其中资格证明文件还应单独提供，相应要求详见须知前附表</w:t>
      </w:r>
    </w:p>
    <w:p w14:paraId="188DAC70">
      <w:pPr>
        <w:spacing w:line="360" w:lineRule="auto"/>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2.供应商应认真审阅本章内容，并参照格式要求编制响应文件。凡未按格式要求编制响应文件而造成的不利后果，由供应商自行承担。</w:t>
      </w:r>
    </w:p>
    <w:p w14:paraId="7D9D7B64">
      <w:pPr>
        <w:spacing w:line="360" w:lineRule="auto"/>
        <w:ind w:firstLine="420" w:firstLineChars="200"/>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3.响应文件的正本必须按照要求编制，以正本</w:t>
      </w:r>
      <w:r>
        <w:rPr>
          <w:rFonts w:hint="eastAsia" w:ascii="仿宋_GB2312" w:hAnsi="仿宋_GB2312" w:eastAsia="仿宋_GB2312" w:cs="仿宋_GB2312"/>
          <w:bCs/>
          <w:color w:val="000000"/>
          <w:sz w:val="21"/>
          <w:szCs w:val="21"/>
          <w:lang w:eastAsia="zh-CN"/>
        </w:rPr>
        <w:t>内容</w:t>
      </w:r>
      <w:r>
        <w:rPr>
          <w:rFonts w:hint="eastAsia" w:ascii="仿宋_GB2312" w:hAnsi="仿宋_GB2312" w:eastAsia="仿宋_GB2312" w:cs="仿宋_GB2312"/>
          <w:bCs/>
          <w:color w:val="000000"/>
          <w:sz w:val="21"/>
          <w:szCs w:val="21"/>
        </w:rPr>
        <w:t>为准。</w:t>
      </w:r>
    </w:p>
    <w:p w14:paraId="7CFC1859">
      <w:pPr>
        <w:pStyle w:val="10"/>
        <w:spacing w:line="360" w:lineRule="auto"/>
        <w:jc w:val="both"/>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1"/>
          <w:szCs w:val="21"/>
        </w:rPr>
        <w:br w:type="page"/>
      </w:r>
      <w:r>
        <w:rPr>
          <w:rFonts w:hint="eastAsia" w:ascii="仿宋_GB2312" w:hAnsi="仿宋_GB2312" w:eastAsia="仿宋_GB2312" w:cs="仿宋_GB2312"/>
          <w:b/>
          <w:sz w:val="28"/>
          <w:szCs w:val="28"/>
        </w:rPr>
        <w:t>项目编号：</w:t>
      </w:r>
      <w:r>
        <w:rPr>
          <w:rFonts w:hint="eastAsia" w:ascii="仿宋_GB2312" w:hAnsi="仿宋_GB2312" w:eastAsia="仿宋_GB2312" w:cs="仿宋_GB2312"/>
          <w:b/>
          <w:sz w:val="28"/>
          <w:szCs w:val="28"/>
          <w:lang w:eastAsia="zh-CN"/>
        </w:rPr>
        <w:t>SXCY202</w:t>
      </w:r>
      <w:r>
        <w:rPr>
          <w:rFonts w:hint="eastAsia" w:ascii="仿宋_GB2312" w:hAnsi="仿宋_GB2312" w:eastAsia="仿宋_GB2312" w:cs="仿宋_GB2312"/>
          <w:b/>
          <w:sz w:val="28"/>
          <w:szCs w:val="28"/>
          <w:lang w:val="en-US" w:eastAsia="zh-CN"/>
        </w:rPr>
        <w:t>5</w:t>
      </w:r>
      <w:r>
        <w:rPr>
          <w:rFonts w:hint="eastAsia" w:ascii="仿宋_GB2312" w:hAnsi="仿宋_GB2312" w:eastAsia="仿宋_GB2312" w:cs="仿宋_GB2312"/>
          <w:b/>
          <w:sz w:val="28"/>
          <w:szCs w:val="28"/>
          <w:lang w:eastAsia="zh-CN"/>
        </w:rPr>
        <w:t>-CY-0</w:t>
      </w:r>
      <w:r>
        <w:rPr>
          <w:rFonts w:hint="eastAsia" w:ascii="仿宋_GB2312" w:hAnsi="仿宋_GB2312" w:eastAsia="仿宋_GB2312" w:cs="仿宋_GB2312"/>
          <w:b/>
          <w:sz w:val="28"/>
          <w:szCs w:val="28"/>
          <w:lang w:val="en-US" w:eastAsia="zh-CN"/>
        </w:rPr>
        <w:t xml:space="preserve">11                           </w:t>
      </w:r>
      <w:r>
        <w:rPr>
          <w:rFonts w:hint="eastAsia" w:ascii="仿宋_GB2312" w:hAnsi="仿宋_GB2312" w:eastAsia="仿宋_GB2312" w:cs="仿宋_GB2312"/>
          <w:b/>
          <w:color w:val="000000"/>
          <w:sz w:val="28"/>
          <w:szCs w:val="28"/>
        </w:rPr>
        <w:t>（正本或副本）</w:t>
      </w:r>
    </w:p>
    <w:p w14:paraId="7D94B543">
      <w:pPr>
        <w:spacing w:line="360" w:lineRule="auto"/>
        <w:ind w:firstLine="562" w:firstLineChars="200"/>
        <w:rPr>
          <w:rFonts w:hint="eastAsia" w:ascii="仿宋_GB2312" w:hAnsi="仿宋_GB2312" w:eastAsia="仿宋_GB2312" w:cs="仿宋_GB2312"/>
          <w:b/>
          <w:color w:val="000000"/>
          <w:sz w:val="28"/>
          <w:szCs w:val="28"/>
          <w:lang w:val="en-US" w:eastAsia="zh-CN"/>
        </w:rPr>
      </w:pPr>
    </w:p>
    <w:p w14:paraId="5A221612">
      <w:pPr>
        <w:pStyle w:val="10"/>
        <w:spacing w:line="360" w:lineRule="auto"/>
        <w:jc w:val="both"/>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 xml:space="preserve">                                                </w:t>
      </w:r>
    </w:p>
    <w:p w14:paraId="593FA0F0">
      <w:pPr>
        <w:spacing w:line="1200" w:lineRule="exact"/>
        <w:jc w:val="both"/>
        <w:rPr>
          <w:rFonts w:hint="eastAsia" w:ascii="仿宋_GB2312" w:hAnsi="仿宋_GB2312" w:eastAsia="仿宋_GB2312" w:cs="仿宋_GB2312"/>
          <w:b/>
          <w:color w:val="000000"/>
          <w:sz w:val="28"/>
          <w:szCs w:val="28"/>
        </w:rPr>
      </w:pPr>
    </w:p>
    <w:p w14:paraId="4A4A00E5">
      <w:pPr>
        <w:spacing w:line="360" w:lineRule="auto"/>
        <w:jc w:val="center"/>
        <w:rPr>
          <w:rFonts w:hint="eastAsia" w:ascii="仿宋_GB2312" w:hAnsi="仿宋_GB2312" w:eastAsia="仿宋_GB2312" w:cs="仿宋_GB2312"/>
          <w:b/>
          <w:color w:val="000000"/>
          <w:sz w:val="48"/>
          <w:szCs w:val="48"/>
        </w:rPr>
      </w:pPr>
      <w:r>
        <w:rPr>
          <w:rFonts w:hint="eastAsia" w:ascii="仿宋_GB2312" w:hAnsi="仿宋_GB2312" w:eastAsia="仿宋_GB2312" w:cs="仿宋_GB2312"/>
          <w:b/>
          <w:color w:val="000000"/>
          <w:sz w:val="44"/>
          <w:szCs w:val="44"/>
          <w:lang w:val="en-US" w:eastAsia="zh-CN"/>
        </w:rPr>
        <w:t>延安市人民医院高质量发展运营数据分析系统软件开发项目</w:t>
      </w:r>
      <w:r>
        <w:rPr>
          <w:rFonts w:hint="eastAsia" w:ascii="仿宋_GB2312" w:hAnsi="仿宋_GB2312" w:eastAsia="仿宋_GB2312" w:cs="仿宋_GB2312"/>
          <w:b/>
          <w:color w:val="000000"/>
          <w:sz w:val="48"/>
          <w:szCs w:val="48"/>
        </w:rPr>
        <w:t xml:space="preserve"> </w:t>
      </w:r>
    </w:p>
    <w:p w14:paraId="09074332">
      <w:pPr>
        <w:spacing w:line="360" w:lineRule="auto"/>
        <w:jc w:val="center"/>
        <w:rPr>
          <w:rFonts w:hint="eastAsia" w:ascii="仿宋_GB2312" w:hAnsi="仿宋_GB2312" w:eastAsia="仿宋_GB2312" w:cs="仿宋_GB2312"/>
          <w:b/>
          <w:color w:val="000000"/>
          <w:sz w:val="48"/>
          <w:szCs w:val="48"/>
        </w:rPr>
      </w:pPr>
    </w:p>
    <w:p w14:paraId="0E4A428D">
      <w:pPr>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48"/>
          <w:szCs w:val="48"/>
        </w:rPr>
        <w:t>磋商响应文件</w:t>
      </w:r>
    </w:p>
    <w:p w14:paraId="6F8E894A">
      <w:pPr>
        <w:spacing w:line="360" w:lineRule="auto"/>
        <w:rPr>
          <w:rFonts w:hint="eastAsia" w:ascii="仿宋_GB2312" w:hAnsi="仿宋_GB2312" w:eastAsia="仿宋_GB2312" w:cs="仿宋_GB2312"/>
          <w:color w:val="000000"/>
          <w:sz w:val="28"/>
          <w:szCs w:val="28"/>
        </w:rPr>
      </w:pPr>
    </w:p>
    <w:p w14:paraId="0288F1AE">
      <w:pPr>
        <w:spacing w:line="360" w:lineRule="auto"/>
        <w:rPr>
          <w:rFonts w:hint="eastAsia" w:ascii="仿宋_GB2312" w:hAnsi="仿宋_GB2312" w:eastAsia="仿宋_GB2312" w:cs="仿宋_GB2312"/>
          <w:color w:val="000000"/>
          <w:sz w:val="28"/>
          <w:szCs w:val="28"/>
        </w:rPr>
      </w:pPr>
    </w:p>
    <w:p w14:paraId="5BF84DD8">
      <w:pPr>
        <w:spacing w:line="360" w:lineRule="auto"/>
        <w:rPr>
          <w:rFonts w:hint="eastAsia" w:ascii="仿宋_GB2312" w:hAnsi="仿宋_GB2312" w:eastAsia="仿宋_GB2312" w:cs="仿宋_GB2312"/>
          <w:color w:val="000000"/>
          <w:sz w:val="28"/>
          <w:szCs w:val="28"/>
        </w:rPr>
      </w:pPr>
    </w:p>
    <w:p w14:paraId="45C76C88">
      <w:pPr>
        <w:spacing w:line="360" w:lineRule="auto"/>
        <w:rPr>
          <w:rFonts w:hint="eastAsia" w:ascii="仿宋_GB2312" w:hAnsi="仿宋_GB2312" w:eastAsia="仿宋_GB2312" w:cs="仿宋_GB2312"/>
          <w:color w:val="000000"/>
          <w:sz w:val="28"/>
          <w:szCs w:val="28"/>
        </w:rPr>
      </w:pPr>
    </w:p>
    <w:p w14:paraId="11DE189B">
      <w:pPr>
        <w:spacing w:line="360" w:lineRule="auto"/>
        <w:rPr>
          <w:rFonts w:hint="eastAsia" w:ascii="仿宋_GB2312" w:hAnsi="仿宋_GB2312" w:eastAsia="仿宋_GB2312" w:cs="仿宋_GB2312"/>
          <w:color w:val="000000"/>
          <w:sz w:val="28"/>
          <w:szCs w:val="28"/>
        </w:rPr>
      </w:pPr>
    </w:p>
    <w:p w14:paraId="68031FD2">
      <w:pPr>
        <w:spacing w:line="360" w:lineRule="auto"/>
        <w:rPr>
          <w:rFonts w:hint="eastAsia" w:ascii="仿宋_GB2312" w:hAnsi="仿宋_GB2312" w:eastAsia="仿宋_GB2312" w:cs="仿宋_GB2312"/>
          <w:color w:val="000000"/>
          <w:sz w:val="28"/>
          <w:szCs w:val="28"/>
        </w:rPr>
      </w:pPr>
    </w:p>
    <w:p w14:paraId="2884DE23">
      <w:pPr>
        <w:spacing w:line="360" w:lineRule="auto"/>
        <w:ind w:firstLine="562" w:firstLineChars="2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供  应  商：</w:t>
      </w:r>
      <w:r>
        <w:rPr>
          <w:rFonts w:hint="eastAsia" w:ascii="仿宋_GB2312" w:hAnsi="仿宋_GB2312" w:eastAsia="仿宋_GB2312" w:cs="仿宋_GB2312"/>
          <w:b/>
          <w:color w:val="000000"/>
          <w:sz w:val="28"/>
          <w:szCs w:val="28"/>
          <w:u w:val="single"/>
        </w:rPr>
        <w:t xml:space="preserve">          （单位全称）</w:t>
      </w:r>
      <w:r>
        <w:rPr>
          <w:rFonts w:hint="eastAsia" w:ascii="仿宋_GB2312" w:hAnsi="仿宋_GB2312" w:eastAsia="仿宋_GB2312" w:cs="仿宋_GB2312"/>
          <w:b/>
          <w:color w:val="000000"/>
          <w:sz w:val="28"/>
          <w:szCs w:val="28"/>
        </w:rPr>
        <w:t>（盖单位公章）</w:t>
      </w:r>
    </w:p>
    <w:p w14:paraId="1D60C371">
      <w:pPr>
        <w:spacing w:line="360" w:lineRule="auto"/>
        <w:ind w:firstLine="562" w:firstLineChars="200"/>
        <w:rPr>
          <w:rFonts w:hint="eastAsia" w:ascii="仿宋_GB2312" w:hAnsi="仿宋_GB2312" w:eastAsia="仿宋_GB2312" w:cs="仿宋_GB2312"/>
          <w:b/>
          <w:color w:val="000000"/>
          <w:sz w:val="28"/>
          <w:szCs w:val="28"/>
        </w:rPr>
      </w:pPr>
      <w:bookmarkStart w:id="161" w:name="_Toc343512253"/>
      <w:r>
        <w:rPr>
          <w:rFonts w:hint="eastAsia" w:ascii="仿宋_GB2312" w:hAnsi="仿宋_GB2312" w:eastAsia="仿宋_GB2312" w:cs="仿宋_GB2312"/>
          <w:b/>
          <w:color w:val="000000"/>
          <w:sz w:val="28"/>
          <w:szCs w:val="28"/>
        </w:rPr>
        <w:t>法定代表人：</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（签字或盖章）</w:t>
      </w:r>
      <w:bookmarkEnd w:id="161"/>
    </w:p>
    <w:p w14:paraId="7134C4F5">
      <w:pPr>
        <w:spacing w:line="360" w:lineRule="auto"/>
        <w:ind w:firstLine="562" w:firstLineChars="200"/>
        <w:rPr>
          <w:rFonts w:hint="eastAsia" w:ascii="仿宋_GB2312" w:hAnsi="仿宋_GB2312" w:eastAsia="仿宋_GB2312" w:cs="仿宋_GB2312"/>
        </w:rPr>
      </w:pPr>
      <w:r>
        <w:rPr>
          <w:rFonts w:hint="eastAsia" w:ascii="仿宋_GB2312" w:hAnsi="仿宋_GB2312" w:eastAsia="仿宋_GB2312" w:cs="仿宋_GB2312"/>
          <w:b/>
          <w:color w:val="000000"/>
          <w:sz w:val="28"/>
          <w:szCs w:val="28"/>
        </w:rPr>
        <w:t>委托代理人：</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（签字）</w:t>
      </w:r>
    </w:p>
    <w:p w14:paraId="63FC1CF2">
      <w:pPr>
        <w:spacing w:line="360" w:lineRule="auto"/>
        <w:ind w:firstLine="562" w:firstLineChars="200"/>
        <w:jc w:val="left"/>
        <w:rPr>
          <w:rFonts w:hint="eastAsia" w:ascii="仿宋_GB2312" w:hAnsi="仿宋_GB2312" w:eastAsia="仿宋_GB2312" w:cs="仿宋_GB2312"/>
          <w:b/>
          <w:color w:val="000000"/>
          <w:sz w:val="28"/>
          <w:szCs w:val="28"/>
        </w:rPr>
      </w:pPr>
      <w:bookmarkStart w:id="162" w:name="_Toc343512254"/>
      <w:r>
        <w:rPr>
          <w:rFonts w:hint="eastAsia" w:ascii="仿宋_GB2312" w:hAnsi="仿宋_GB2312" w:eastAsia="仿宋_GB2312" w:cs="仿宋_GB2312"/>
          <w:b/>
          <w:color w:val="000000"/>
          <w:sz w:val="28"/>
          <w:szCs w:val="28"/>
        </w:rPr>
        <w:t>日      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bookmarkEnd w:id="162"/>
    </w:p>
    <w:p w14:paraId="258CC060">
      <w:pPr>
        <w:spacing w:line="360" w:lineRule="auto"/>
        <w:rPr>
          <w:rFonts w:hint="eastAsia" w:ascii="仿宋_GB2312" w:hAnsi="仿宋_GB2312" w:eastAsia="仿宋_GB2312" w:cs="仿宋_GB2312"/>
          <w:color w:val="000000"/>
          <w:sz w:val="28"/>
          <w:szCs w:val="28"/>
        </w:rPr>
        <w:sectPr>
          <w:footerReference r:id="rId6" w:type="first"/>
          <w:footerReference r:id="rId5" w:type="default"/>
          <w:pgSz w:w="11906" w:h="16838"/>
          <w:pgMar w:top="1440" w:right="1440" w:bottom="1440" w:left="1440" w:header="851" w:footer="992" w:gutter="0"/>
          <w:pgBorders>
            <w:top w:val="none" w:sz="0" w:space="0"/>
            <w:left w:val="none" w:sz="0" w:space="0"/>
            <w:bottom w:val="none" w:sz="0" w:space="0"/>
            <w:right w:val="none" w:sz="0" w:space="0"/>
          </w:pgBorders>
          <w:lnNumType w:countBy="0" w:distance="360"/>
          <w:pgNumType w:fmt="decimal" w:start="1"/>
          <w:cols w:space="720" w:num="1"/>
          <w:titlePg/>
          <w:docGrid w:linePitch="312" w:charSpace="0"/>
        </w:sectPr>
      </w:pPr>
    </w:p>
    <w:p w14:paraId="48BE5CCA">
      <w:pPr>
        <w:spacing w:line="360" w:lineRule="auto"/>
        <w:jc w:val="center"/>
        <w:rPr>
          <w:rFonts w:hint="eastAsia" w:ascii="仿宋_GB2312" w:hAnsi="仿宋_GB2312" w:eastAsia="仿宋_GB2312" w:cs="仿宋_GB2312"/>
          <w:b/>
          <w:color w:val="000000"/>
          <w:sz w:val="32"/>
          <w:szCs w:val="32"/>
        </w:rPr>
      </w:pPr>
      <w:bookmarkStart w:id="163" w:name="_Toc421778385"/>
      <w:bookmarkStart w:id="164" w:name="_Toc372885969"/>
      <w:bookmarkStart w:id="165" w:name="_Toc420591666"/>
      <w:bookmarkStart w:id="166" w:name="_Toc420591500"/>
      <w:r>
        <w:rPr>
          <w:rFonts w:hint="eastAsia" w:ascii="仿宋_GB2312" w:hAnsi="仿宋_GB2312" w:eastAsia="仿宋_GB2312" w:cs="仿宋_GB2312"/>
          <w:b/>
          <w:color w:val="000000"/>
          <w:sz w:val="32"/>
          <w:szCs w:val="32"/>
        </w:rPr>
        <w:t>目   录</w:t>
      </w:r>
      <w:bookmarkEnd w:id="163"/>
      <w:bookmarkEnd w:id="164"/>
      <w:bookmarkEnd w:id="165"/>
      <w:bookmarkEnd w:id="166"/>
    </w:p>
    <w:p w14:paraId="155AF86F">
      <w:pPr>
        <w:spacing w:line="360" w:lineRule="auto"/>
        <w:jc w:val="center"/>
        <w:rPr>
          <w:rFonts w:hint="eastAsia" w:ascii="仿宋_GB2312" w:hAnsi="仿宋_GB2312" w:eastAsia="仿宋_GB2312" w:cs="仿宋_GB2312"/>
          <w:b/>
          <w:color w:val="000000"/>
          <w:sz w:val="28"/>
          <w:szCs w:val="28"/>
        </w:rPr>
      </w:pPr>
    </w:p>
    <w:p w14:paraId="199564AA">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color w:val="000000"/>
          <w:sz w:val="28"/>
          <w:szCs w:val="28"/>
          <w:lang w:eastAsia="zh-CN"/>
        </w:rPr>
        <w:t>响应</w:t>
      </w:r>
      <w:r>
        <w:rPr>
          <w:rFonts w:hint="eastAsia" w:ascii="仿宋_GB2312" w:hAnsi="仿宋_GB2312" w:eastAsia="仿宋_GB2312" w:cs="仿宋_GB2312"/>
          <w:color w:val="000000"/>
          <w:sz w:val="28"/>
          <w:szCs w:val="28"/>
        </w:rPr>
        <w:t>函</w:t>
      </w:r>
    </w:p>
    <w:p w14:paraId="61FDF9C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二、磋商一览表（首次）</w:t>
      </w:r>
    </w:p>
    <w:p w14:paraId="255A6108">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三、法定代表人身份证明</w:t>
      </w:r>
    </w:p>
    <w:p w14:paraId="00650E1E">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四、法定代表人授权委托书</w:t>
      </w:r>
    </w:p>
    <w:p w14:paraId="0FF7C3B9">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五</w:t>
      </w:r>
      <w:r>
        <w:rPr>
          <w:rFonts w:hint="eastAsia" w:ascii="仿宋_GB2312" w:hAnsi="仿宋_GB2312" w:eastAsia="仿宋_GB2312" w:cs="仿宋_GB2312"/>
          <w:color w:val="000000"/>
          <w:sz w:val="28"/>
          <w:szCs w:val="28"/>
        </w:rPr>
        <w:t>、技术部分</w:t>
      </w:r>
    </w:p>
    <w:p w14:paraId="3801B6CB">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六</w:t>
      </w:r>
      <w:r>
        <w:rPr>
          <w:rFonts w:hint="eastAsia" w:ascii="仿宋_GB2312" w:hAnsi="仿宋_GB2312" w:eastAsia="仿宋_GB2312" w:cs="仿宋_GB2312"/>
          <w:color w:val="000000"/>
          <w:sz w:val="28"/>
          <w:szCs w:val="28"/>
        </w:rPr>
        <w:t>、商务部分</w:t>
      </w:r>
    </w:p>
    <w:p w14:paraId="77F7C07D">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七</w:t>
      </w:r>
      <w:r>
        <w:rPr>
          <w:rFonts w:hint="eastAsia" w:ascii="仿宋_GB2312" w:hAnsi="仿宋_GB2312" w:eastAsia="仿宋_GB2312" w:cs="仿宋_GB2312"/>
          <w:color w:val="000000"/>
          <w:sz w:val="28"/>
          <w:szCs w:val="28"/>
        </w:rPr>
        <w:t>、供应商承诺书</w:t>
      </w:r>
    </w:p>
    <w:p w14:paraId="3C98BBDD">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八</w:t>
      </w:r>
      <w:r>
        <w:rPr>
          <w:rFonts w:hint="eastAsia" w:ascii="仿宋_GB2312" w:hAnsi="仿宋_GB2312" w:eastAsia="仿宋_GB2312" w:cs="仿宋_GB2312"/>
          <w:color w:val="000000"/>
          <w:sz w:val="28"/>
          <w:szCs w:val="28"/>
        </w:rPr>
        <w:t>、陕西省政府采购供应商拒绝政府采购领域商业贿赂承诺书</w:t>
      </w:r>
    </w:p>
    <w:p w14:paraId="34052675">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九</w:t>
      </w:r>
      <w:r>
        <w:rPr>
          <w:rFonts w:hint="eastAsia" w:ascii="仿宋_GB2312" w:hAnsi="仿宋_GB2312" w:eastAsia="仿宋_GB2312" w:cs="仿宋_GB2312"/>
          <w:color w:val="000000"/>
          <w:sz w:val="28"/>
          <w:szCs w:val="28"/>
        </w:rPr>
        <w:t>、资格审查资料</w:t>
      </w:r>
    </w:p>
    <w:p w14:paraId="3BAA938D">
      <w:pPr>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十、其它资料</w:t>
      </w:r>
    </w:p>
    <w:p w14:paraId="639800E8">
      <w:pPr>
        <w:keepLines/>
        <w:pageBreakBefore/>
        <w:spacing w:line="360" w:lineRule="auto"/>
        <w:jc w:val="center"/>
        <w:outlineLvl w:val="1"/>
        <w:rPr>
          <w:rFonts w:hint="eastAsia" w:ascii="仿宋_GB2312" w:hAnsi="仿宋_GB2312" w:eastAsia="仿宋_GB2312" w:cs="仿宋_GB2312"/>
          <w:b/>
          <w:color w:val="000000"/>
          <w:sz w:val="32"/>
          <w:szCs w:val="32"/>
        </w:rPr>
      </w:pPr>
      <w:bookmarkStart w:id="167" w:name="_Toc8505"/>
      <w:bookmarkStart w:id="168" w:name="_Toc8037"/>
      <w:bookmarkStart w:id="169" w:name="_Toc425240481"/>
      <w:bookmarkStart w:id="170" w:name="_Toc420591667"/>
      <w:bookmarkStart w:id="171" w:name="_Toc500323110"/>
      <w:bookmarkStart w:id="172" w:name="_Toc32749"/>
      <w:bookmarkStart w:id="173" w:name="_Toc421778386"/>
      <w:bookmarkStart w:id="174" w:name="_Toc28395"/>
      <w:r>
        <w:rPr>
          <w:rFonts w:hint="eastAsia" w:ascii="仿宋_GB2312" w:hAnsi="仿宋_GB2312" w:eastAsia="仿宋_GB2312" w:cs="仿宋_GB2312"/>
          <w:b/>
          <w:color w:val="000000"/>
          <w:sz w:val="32"/>
          <w:szCs w:val="32"/>
        </w:rPr>
        <w:t>一、</w:t>
      </w:r>
      <w:r>
        <w:rPr>
          <w:rFonts w:hint="eastAsia" w:ascii="仿宋_GB2312" w:hAnsi="仿宋_GB2312" w:eastAsia="仿宋_GB2312" w:cs="仿宋_GB2312"/>
          <w:b/>
          <w:color w:val="000000"/>
          <w:sz w:val="32"/>
          <w:szCs w:val="32"/>
          <w:lang w:eastAsia="zh-CN"/>
        </w:rPr>
        <w:t>响应</w:t>
      </w:r>
      <w:r>
        <w:rPr>
          <w:rFonts w:hint="eastAsia" w:ascii="仿宋_GB2312" w:hAnsi="仿宋_GB2312" w:eastAsia="仿宋_GB2312" w:cs="仿宋_GB2312"/>
          <w:b/>
          <w:color w:val="000000"/>
          <w:sz w:val="32"/>
          <w:szCs w:val="32"/>
        </w:rPr>
        <w:t>函</w:t>
      </w:r>
      <w:bookmarkEnd w:id="167"/>
      <w:bookmarkEnd w:id="168"/>
      <w:bookmarkEnd w:id="169"/>
      <w:bookmarkEnd w:id="170"/>
      <w:bookmarkEnd w:id="171"/>
      <w:bookmarkEnd w:id="172"/>
      <w:bookmarkEnd w:id="173"/>
      <w:bookmarkEnd w:id="174"/>
    </w:p>
    <w:p w14:paraId="42254F8F">
      <w:pPr>
        <w:pStyle w:val="22"/>
        <w:spacing w:before="0" w:beforeAutospacing="0" w:after="0" w:afterAutospacing="0"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u w:val="single"/>
        </w:rPr>
        <w:t>（采购人）</w:t>
      </w:r>
    </w:p>
    <w:p w14:paraId="52CD77BB">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我公司收到贵单位</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项目</w:t>
      </w:r>
      <w:r>
        <w:rPr>
          <w:rFonts w:hint="eastAsia" w:ascii="仿宋_GB2312" w:hAnsi="仿宋_GB2312" w:eastAsia="仿宋_GB2312" w:cs="仿宋_GB2312"/>
          <w:color w:val="000000"/>
          <w:sz w:val="21"/>
          <w:szCs w:val="21"/>
          <w:lang w:val="en-US" w:eastAsia="zh-CN"/>
        </w:rPr>
        <w:t>名称）</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（项目编号：</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）的磋商文件，经详细研究，我们决定参加该项目的磋商活动。为此，我方郑重声明以下诸点，并负法律责任。</w:t>
      </w:r>
    </w:p>
    <w:p w14:paraId="19FBA69A">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1.愿意按照磋商文件中的一切要求，提供</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服务，磋商报价为：</w:t>
      </w:r>
    </w:p>
    <w:p w14:paraId="24676782">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大写：</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元</w:t>
      </w:r>
    </w:p>
    <w:p w14:paraId="263F2DB4">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小写：</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元</w:t>
      </w:r>
    </w:p>
    <w:p w14:paraId="118AABDB">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项目实施周期</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u w:val="single"/>
        </w:rPr>
        <w:t xml:space="preserve">                   </w:t>
      </w:r>
    </w:p>
    <w:p w14:paraId="4E4EAE6A">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2.该报价是完成本磋商文件规定的、所需的一切费用，且不低于我单位所需服务的成本价。</w:t>
      </w:r>
    </w:p>
    <w:p w14:paraId="0FE064C6">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3.我方提交的响应文件，正本一份</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副本一份</w:t>
      </w:r>
      <w:r>
        <w:rPr>
          <w:rFonts w:hint="eastAsia" w:ascii="仿宋_GB2312" w:hAnsi="仿宋_GB2312" w:eastAsia="仿宋_GB2312" w:cs="仿宋_GB2312"/>
          <w:sz w:val="21"/>
          <w:szCs w:val="21"/>
        </w:rPr>
        <w:t>。</w:t>
      </w:r>
    </w:p>
    <w:p w14:paraId="3D1BE79C">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4.如果我们响应文件被接受，我们将履行磋商文件中规定的每一项要求，按期、按质、按量完成任务。</w:t>
      </w:r>
    </w:p>
    <w:p w14:paraId="42042CFF">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5.我们理解，最低报价不是成交的唯一条件，你们有选择供应商成交的权力。</w:t>
      </w:r>
    </w:p>
    <w:p w14:paraId="7CAE0DBF">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6.我方保证以前递交的本项目相关资料和投标函中各种附件是真实可靠的，如有不实，我方将无条件接受采购人的处理决定，甚至自动退出投标，由此产生的一切后果均由我方负责。</w:t>
      </w:r>
    </w:p>
    <w:p w14:paraId="4CDD467C">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7.除非另外达成协议并生效，你方的成交通知书和本磋商响应文件将构成约束我们双方的合同。</w:t>
      </w:r>
    </w:p>
    <w:p w14:paraId="6AF1112E">
      <w:pPr>
        <w:pStyle w:val="22"/>
        <w:spacing w:before="0" w:beforeAutospacing="0" w:after="0" w:afterAutospacing="0" w:line="360" w:lineRule="auto"/>
        <w:ind w:firstLine="420" w:firstLineChars="200"/>
        <w:rPr>
          <w:rStyle w:val="29"/>
          <w:rFonts w:hint="eastAsia" w:ascii="仿宋_GB2312" w:hAnsi="仿宋_GB2312" w:eastAsia="仿宋_GB2312" w:cs="仿宋_GB2312"/>
          <w:b w:val="0"/>
          <w:color w:val="000000"/>
          <w:sz w:val="21"/>
          <w:szCs w:val="21"/>
        </w:rPr>
      </w:pPr>
      <w:r>
        <w:rPr>
          <w:rFonts w:hint="eastAsia" w:ascii="仿宋_GB2312" w:hAnsi="仿宋_GB2312" w:eastAsia="仿宋_GB2312" w:cs="仿宋_GB2312"/>
          <w:color w:val="000000"/>
          <w:sz w:val="21"/>
          <w:szCs w:val="21"/>
        </w:rPr>
        <w:t>8.我方的磋商响应文件在磋商后  年  月  日--   年  月  日 内有效，在投标有效期内不修改或撤回磋商响应文件。</w:t>
      </w:r>
    </w:p>
    <w:p w14:paraId="38D04D05">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9.我方理解你方及采购代理机构不另负担我们的任何投标费用，无论我方总报价中是否包括投标费用，也无论是否能够成交，均不要求你方及采购代理机构对投标费用做任何补偿。</w:t>
      </w:r>
    </w:p>
    <w:p w14:paraId="6DB53465">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10.我方理解你方及采购代理机构，我方不要求你方及采购代理机构对未成交原因做任何解释，也不退回磋商响应文件。</w:t>
      </w:r>
    </w:p>
    <w:p w14:paraId="68097191">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11.如果因我方原因放弃成交，我方承诺，除采购人有权没收磋商保证金外，还承担因下个成交候选供应商成交给采购人带来的经济损失。</w:t>
      </w:r>
    </w:p>
    <w:p w14:paraId="7BA88018">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12.若我方成交，将按时按规定交纳招标代理服务费。</w:t>
      </w:r>
    </w:p>
    <w:p w14:paraId="56C7C527">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13.我方愿按《中华人民共和国</w:t>
      </w:r>
      <w:r>
        <w:rPr>
          <w:rFonts w:hint="eastAsia" w:ascii="仿宋_GB2312" w:hAnsi="仿宋_GB2312" w:eastAsia="仿宋_GB2312" w:cs="仿宋_GB2312"/>
          <w:color w:val="000000"/>
          <w:sz w:val="21"/>
          <w:szCs w:val="21"/>
          <w:lang w:val="en-US" w:eastAsia="zh-CN"/>
        </w:rPr>
        <w:t>民法典</w:t>
      </w:r>
      <w:r>
        <w:rPr>
          <w:rFonts w:hint="eastAsia" w:ascii="仿宋_GB2312" w:hAnsi="仿宋_GB2312" w:eastAsia="仿宋_GB2312" w:cs="仿宋_GB2312"/>
          <w:color w:val="000000"/>
          <w:sz w:val="21"/>
          <w:szCs w:val="21"/>
        </w:rPr>
        <w:t>》履行自己的全部责任。</w:t>
      </w:r>
    </w:p>
    <w:p w14:paraId="2776D146">
      <w:pPr>
        <w:pStyle w:val="10"/>
        <w:spacing w:line="360" w:lineRule="auto"/>
        <w:rPr>
          <w:rFonts w:hint="eastAsia" w:ascii="仿宋_GB2312" w:hAnsi="仿宋_GB2312" w:eastAsia="仿宋_GB2312" w:cs="仿宋_GB2312"/>
          <w:sz w:val="28"/>
          <w:szCs w:val="28"/>
        </w:rPr>
      </w:pPr>
    </w:p>
    <w:p w14:paraId="5AEAC943">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供  应  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229EF2CE">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（签字或盖章）</w:t>
      </w:r>
    </w:p>
    <w:p w14:paraId="4708F482">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（签字）  </w:t>
      </w:r>
    </w:p>
    <w:p w14:paraId="457F6419">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日      期：  年  月  日</w:t>
      </w:r>
    </w:p>
    <w:p w14:paraId="6894BE54">
      <w:pPr>
        <w:tabs>
          <w:tab w:val="left" w:pos="630"/>
        </w:tabs>
        <w:jc w:val="left"/>
        <w:rPr>
          <w:rFonts w:hint="eastAsia" w:ascii="仿宋_GB2312" w:hAnsi="仿宋_GB2312" w:eastAsia="仿宋_GB2312" w:cs="仿宋_GB2312"/>
        </w:rPr>
      </w:pPr>
    </w:p>
    <w:p w14:paraId="006DC976">
      <w:pPr>
        <w:keepLines/>
        <w:pageBreakBefore/>
        <w:numPr>
          <w:ilvl w:val="0"/>
          <w:numId w:val="6"/>
        </w:numPr>
        <w:spacing w:line="360" w:lineRule="auto"/>
        <w:jc w:val="center"/>
        <w:outlineLvl w:val="1"/>
        <w:rPr>
          <w:rFonts w:hint="eastAsia" w:ascii="仿宋_GB2312" w:hAnsi="仿宋_GB2312" w:eastAsia="仿宋_GB2312" w:cs="仿宋_GB2312"/>
          <w:b/>
          <w:color w:val="000000"/>
          <w:sz w:val="32"/>
          <w:szCs w:val="32"/>
          <w:lang w:eastAsia="zh-CN"/>
        </w:rPr>
      </w:pPr>
      <w:bookmarkStart w:id="175" w:name="_Toc500323111"/>
      <w:bookmarkStart w:id="176" w:name="_Toc3816"/>
      <w:bookmarkStart w:id="177" w:name="_Toc2157"/>
      <w:bookmarkStart w:id="178" w:name="_Toc420591668"/>
      <w:bookmarkStart w:id="179" w:name="_Toc421778387"/>
      <w:bookmarkStart w:id="180" w:name="_Toc425240482"/>
      <w:bookmarkStart w:id="181" w:name="_Toc6270"/>
      <w:bookmarkStart w:id="182" w:name="_Toc25893"/>
      <w:r>
        <w:rPr>
          <w:rFonts w:hint="eastAsia" w:ascii="仿宋_GB2312" w:hAnsi="仿宋_GB2312" w:eastAsia="仿宋_GB2312" w:cs="仿宋_GB2312"/>
          <w:b/>
          <w:color w:val="000000"/>
          <w:sz w:val="32"/>
          <w:szCs w:val="32"/>
          <w:lang w:eastAsia="zh-CN"/>
        </w:rPr>
        <w:t>磋商一览表</w:t>
      </w:r>
      <w:bookmarkEnd w:id="175"/>
      <w:bookmarkEnd w:id="176"/>
      <w:bookmarkEnd w:id="177"/>
      <w:bookmarkEnd w:id="178"/>
      <w:bookmarkEnd w:id="179"/>
      <w:bookmarkEnd w:id="180"/>
      <w:r>
        <w:rPr>
          <w:rFonts w:hint="eastAsia" w:ascii="仿宋_GB2312" w:hAnsi="仿宋_GB2312" w:eastAsia="仿宋_GB2312" w:cs="仿宋_GB2312"/>
          <w:b/>
          <w:color w:val="000000"/>
          <w:sz w:val="32"/>
          <w:szCs w:val="32"/>
          <w:lang w:eastAsia="zh-CN"/>
        </w:rPr>
        <w:t>（首次）</w:t>
      </w:r>
      <w:bookmarkEnd w:id="181"/>
      <w:bookmarkEnd w:id="182"/>
    </w:p>
    <w:p w14:paraId="2F9743FB">
      <w:pPr>
        <w:pStyle w:val="30"/>
        <w:numPr>
          <w:ilvl w:val="0"/>
          <w:numId w:val="0"/>
        </w:numPr>
        <w:rPr>
          <w:rFonts w:hint="eastAsia" w:ascii="仿宋_GB2312" w:hAnsi="仿宋_GB2312" w:eastAsia="仿宋_GB2312" w:cs="仿宋_GB2312"/>
          <w:lang w:eastAsia="zh-CN"/>
        </w:rPr>
      </w:pPr>
      <w:r>
        <w:rPr>
          <w:rFonts w:hint="eastAsia" w:ascii="仿宋_GB2312" w:hAnsi="仿宋_GB2312" w:eastAsia="仿宋_GB2312" w:cs="仿宋_GB2312"/>
          <w:lang w:eastAsia="zh-CN"/>
        </w:rPr>
        <w:t>项目名称：</w:t>
      </w:r>
    </w:p>
    <w:p w14:paraId="6415C64A">
      <w:pPr>
        <w:pStyle w:val="30"/>
        <w:numPr>
          <w:ilvl w:val="0"/>
          <w:numId w:val="0"/>
        </w:numPr>
        <w:rPr>
          <w:rFonts w:hint="eastAsia" w:ascii="仿宋_GB2312" w:hAnsi="仿宋_GB2312" w:eastAsia="仿宋_GB2312" w:cs="仿宋_GB2312"/>
          <w:b/>
          <w:color w:val="000000"/>
          <w:sz w:val="21"/>
          <w:szCs w:val="21"/>
          <w:lang w:val="zh-CN"/>
        </w:rPr>
      </w:pPr>
      <w:r>
        <w:rPr>
          <w:rFonts w:hint="eastAsia" w:ascii="仿宋_GB2312" w:hAnsi="仿宋_GB2312" w:eastAsia="仿宋_GB2312" w:cs="仿宋_GB2312"/>
          <w:lang w:eastAsia="zh-CN"/>
        </w:rPr>
        <w:t>项目编号：</w:t>
      </w:r>
    </w:p>
    <w:p w14:paraId="65D12466">
      <w:pPr>
        <w:autoSpaceDE w:val="0"/>
        <w:autoSpaceDN w:val="0"/>
        <w:adjustRightInd w:val="0"/>
        <w:spacing w:line="360" w:lineRule="auto"/>
        <w:jc w:val="right"/>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lang w:val="zh-CN"/>
        </w:rPr>
        <w:t>单位</w:t>
      </w:r>
      <w:r>
        <w:rPr>
          <w:rFonts w:hint="eastAsia" w:ascii="仿宋_GB2312" w:hAnsi="仿宋_GB2312" w:eastAsia="仿宋_GB2312" w:cs="仿宋_GB2312"/>
          <w:b/>
          <w:color w:val="000000"/>
          <w:sz w:val="21"/>
          <w:szCs w:val="21"/>
        </w:rPr>
        <w:t xml:space="preserve"> </w:t>
      </w:r>
      <w:r>
        <w:rPr>
          <w:rFonts w:hint="eastAsia" w:ascii="仿宋_GB2312" w:hAnsi="仿宋_GB2312" w:eastAsia="仿宋_GB2312" w:cs="仿宋_GB2312"/>
          <w:b/>
          <w:color w:val="000000"/>
          <w:sz w:val="21"/>
          <w:szCs w:val="21"/>
          <w:lang w:val="zh-CN"/>
        </w:rPr>
        <w:t>：元</w:t>
      </w:r>
      <w:r>
        <w:rPr>
          <w:rFonts w:hint="eastAsia" w:ascii="仿宋_GB2312" w:hAnsi="仿宋_GB2312" w:eastAsia="仿宋_GB2312" w:cs="仿宋_GB2312"/>
          <w:b/>
          <w:color w:val="000000"/>
          <w:sz w:val="21"/>
          <w:szCs w:val="21"/>
        </w:rPr>
        <w:t xml:space="preserve"> </w:t>
      </w:r>
    </w:p>
    <w:tbl>
      <w:tblPr>
        <w:tblStyle w:val="26"/>
        <w:tblW w:w="92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4"/>
        <w:gridCol w:w="2242"/>
        <w:gridCol w:w="2232"/>
        <w:gridCol w:w="2039"/>
      </w:tblGrid>
      <w:tr w14:paraId="50C2C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2744" w:type="dxa"/>
            <w:tcBorders>
              <w:tl2br w:val="single" w:color="auto" w:sz="4" w:space="0"/>
            </w:tcBorders>
            <w:noWrap w:val="0"/>
            <w:vAlign w:val="center"/>
          </w:tcPr>
          <w:p w14:paraId="077F49D7">
            <w:pPr>
              <w:autoSpaceDE w:val="0"/>
              <w:autoSpaceDN w:val="0"/>
              <w:adjustRightInd w:val="0"/>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磋商</w:t>
            </w:r>
            <w:r>
              <w:rPr>
                <w:rFonts w:hint="eastAsia" w:ascii="仿宋_GB2312" w:hAnsi="仿宋_GB2312" w:eastAsia="仿宋_GB2312" w:cs="仿宋_GB2312"/>
                <w:color w:val="000000"/>
                <w:sz w:val="21"/>
                <w:szCs w:val="21"/>
                <w:lang w:val="zh-CN"/>
              </w:rPr>
              <w:t>内容</w:t>
            </w:r>
          </w:p>
          <w:p w14:paraId="611F4128">
            <w:pPr>
              <w:autoSpaceDE w:val="0"/>
              <w:autoSpaceDN w:val="0"/>
              <w:adjustRightInd w:val="0"/>
              <w:spacing w:line="360" w:lineRule="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CN"/>
              </w:rPr>
              <w:t>供应商名称</w:t>
            </w:r>
          </w:p>
        </w:tc>
        <w:tc>
          <w:tcPr>
            <w:tcW w:w="2242" w:type="dxa"/>
            <w:noWrap w:val="0"/>
            <w:vAlign w:val="center"/>
          </w:tcPr>
          <w:p w14:paraId="44C9F766">
            <w:pPr>
              <w:autoSpaceDE w:val="0"/>
              <w:autoSpaceDN w:val="0"/>
              <w:adjustRightInd w:val="0"/>
              <w:spacing w:line="360" w:lineRule="auto"/>
              <w:jc w:val="center"/>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val="zh-CN"/>
              </w:rPr>
              <w:t>磋商报价</w:t>
            </w:r>
          </w:p>
        </w:tc>
        <w:tc>
          <w:tcPr>
            <w:tcW w:w="2232" w:type="dxa"/>
            <w:noWrap w:val="0"/>
            <w:vAlign w:val="center"/>
          </w:tcPr>
          <w:p w14:paraId="6CC90C68">
            <w:pPr>
              <w:autoSpaceDE w:val="0"/>
              <w:autoSpaceDN w:val="0"/>
              <w:adjustRightInd w:val="0"/>
              <w:spacing w:line="360" w:lineRule="auto"/>
              <w:jc w:val="center"/>
              <w:rPr>
                <w:rFonts w:hint="eastAsia" w:ascii="仿宋_GB2312" w:hAnsi="仿宋_GB2312" w:eastAsia="仿宋_GB2312" w:cs="仿宋_GB2312"/>
                <w:color w:val="000000"/>
                <w:sz w:val="21"/>
                <w:szCs w:val="21"/>
                <w:lang w:val="zh-CN"/>
              </w:rPr>
            </w:pPr>
            <w:r>
              <w:rPr>
                <w:rFonts w:hint="eastAsia" w:ascii="仿宋_GB2312" w:hAnsi="仿宋_GB2312" w:eastAsia="仿宋_GB2312" w:cs="仿宋_GB2312"/>
                <w:color w:val="000000"/>
                <w:sz w:val="21"/>
                <w:szCs w:val="21"/>
                <w:lang w:eastAsia="zh-CN"/>
              </w:rPr>
              <w:t>项目实施周期</w:t>
            </w:r>
          </w:p>
        </w:tc>
        <w:tc>
          <w:tcPr>
            <w:tcW w:w="2039" w:type="dxa"/>
            <w:noWrap w:val="0"/>
            <w:vAlign w:val="center"/>
          </w:tcPr>
          <w:p w14:paraId="29AB169F">
            <w:pPr>
              <w:autoSpaceDE w:val="0"/>
              <w:autoSpaceDN w:val="0"/>
              <w:adjustRightInd w:val="0"/>
              <w:spacing w:line="360" w:lineRule="auto"/>
              <w:jc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质量要求</w:t>
            </w:r>
          </w:p>
        </w:tc>
      </w:tr>
      <w:tr w14:paraId="2A2D7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58" w:hRule="atLeast"/>
          <w:jc w:val="center"/>
        </w:trPr>
        <w:tc>
          <w:tcPr>
            <w:tcW w:w="2744" w:type="dxa"/>
            <w:noWrap w:val="0"/>
            <w:vAlign w:val="center"/>
          </w:tcPr>
          <w:p w14:paraId="698F4189">
            <w:pPr>
              <w:spacing w:line="360" w:lineRule="auto"/>
              <w:jc w:val="center"/>
              <w:rPr>
                <w:rFonts w:hint="eastAsia" w:ascii="仿宋_GB2312" w:hAnsi="仿宋_GB2312" w:eastAsia="仿宋_GB2312" w:cs="仿宋_GB2312"/>
                <w:color w:val="000000"/>
                <w:sz w:val="21"/>
                <w:szCs w:val="21"/>
              </w:rPr>
            </w:pPr>
          </w:p>
        </w:tc>
        <w:tc>
          <w:tcPr>
            <w:tcW w:w="2242" w:type="dxa"/>
            <w:noWrap w:val="0"/>
            <w:vAlign w:val="center"/>
          </w:tcPr>
          <w:p w14:paraId="6397A60E">
            <w:pPr>
              <w:autoSpaceDE w:val="0"/>
              <w:autoSpaceDN w:val="0"/>
              <w:adjustRightInd w:val="0"/>
              <w:spacing w:line="360" w:lineRule="auto"/>
              <w:jc w:val="center"/>
              <w:rPr>
                <w:rFonts w:hint="eastAsia" w:ascii="仿宋_GB2312" w:hAnsi="仿宋_GB2312" w:eastAsia="仿宋_GB2312" w:cs="仿宋_GB2312"/>
                <w:color w:val="000000"/>
                <w:sz w:val="21"/>
                <w:szCs w:val="21"/>
              </w:rPr>
            </w:pPr>
          </w:p>
        </w:tc>
        <w:tc>
          <w:tcPr>
            <w:tcW w:w="2232" w:type="dxa"/>
            <w:noWrap w:val="0"/>
            <w:vAlign w:val="center"/>
          </w:tcPr>
          <w:p w14:paraId="07F23DCF">
            <w:pPr>
              <w:autoSpaceDE w:val="0"/>
              <w:autoSpaceDN w:val="0"/>
              <w:adjustRightInd w:val="0"/>
              <w:spacing w:line="360" w:lineRule="auto"/>
              <w:jc w:val="center"/>
              <w:rPr>
                <w:rFonts w:hint="eastAsia" w:ascii="仿宋_GB2312" w:hAnsi="仿宋_GB2312" w:eastAsia="仿宋_GB2312" w:cs="仿宋_GB2312"/>
                <w:color w:val="000000"/>
                <w:sz w:val="21"/>
                <w:szCs w:val="21"/>
              </w:rPr>
            </w:pPr>
          </w:p>
        </w:tc>
        <w:tc>
          <w:tcPr>
            <w:tcW w:w="2039" w:type="dxa"/>
            <w:noWrap w:val="0"/>
            <w:vAlign w:val="center"/>
          </w:tcPr>
          <w:p w14:paraId="22B12E97">
            <w:pPr>
              <w:autoSpaceDE w:val="0"/>
              <w:autoSpaceDN w:val="0"/>
              <w:adjustRightInd w:val="0"/>
              <w:spacing w:line="360" w:lineRule="auto"/>
              <w:jc w:val="center"/>
              <w:rPr>
                <w:rFonts w:hint="eastAsia" w:ascii="仿宋_GB2312" w:hAnsi="仿宋_GB2312" w:eastAsia="仿宋_GB2312" w:cs="仿宋_GB2312"/>
                <w:color w:val="000000"/>
                <w:sz w:val="21"/>
                <w:szCs w:val="21"/>
              </w:rPr>
            </w:pPr>
          </w:p>
        </w:tc>
      </w:tr>
      <w:tr w14:paraId="01AA9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2744" w:type="dxa"/>
            <w:noWrap w:val="0"/>
            <w:vAlign w:val="center"/>
          </w:tcPr>
          <w:p w14:paraId="35FB8545">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CN"/>
              </w:rPr>
              <w:t>磋商报价（大写）：</w:t>
            </w:r>
          </w:p>
        </w:tc>
        <w:tc>
          <w:tcPr>
            <w:tcW w:w="6513" w:type="dxa"/>
            <w:gridSpan w:val="3"/>
            <w:noWrap w:val="0"/>
            <w:vAlign w:val="center"/>
          </w:tcPr>
          <w:p w14:paraId="035D4A94">
            <w:pPr>
              <w:autoSpaceDE w:val="0"/>
              <w:autoSpaceDN w:val="0"/>
              <w:adjustRightInd w:val="0"/>
              <w:spacing w:line="360" w:lineRule="auto"/>
              <w:jc w:val="center"/>
              <w:rPr>
                <w:rFonts w:hint="eastAsia" w:ascii="仿宋_GB2312" w:hAnsi="仿宋_GB2312" w:eastAsia="仿宋_GB2312" w:cs="仿宋_GB2312"/>
                <w:color w:val="000000"/>
                <w:sz w:val="21"/>
                <w:szCs w:val="21"/>
              </w:rPr>
            </w:pPr>
          </w:p>
        </w:tc>
      </w:tr>
      <w:tr w14:paraId="106C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2744" w:type="dxa"/>
            <w:tcBorders>
              <w:right w:val="single" w:color="auto" w:sz="4" w:space="0"/>
            </w:tcBorders>
            <w:noWrap w:val="0"/>
            <w:vAlign w:val="center"/>
          </w:tcPr>
          <w:p w14:paraId="6B32B785">
            <w:pPr>
              <w:autoSpaceDE w:val="0"/>
              <w:autoSpaceDN w:val="0"/>
              <w:adjustRightInd w:val="0"/>
              <w:spacing w:line="360" w:lineRule="auto"/>
              <w:ind w:left="115" w:hanging="100" w:hangingChars="48"/>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zh-CN"/>
              </w:rPr>
              <w:t>备注：</w:t>
            </w:r>
          </w:p>
        </w:tc>
        <w:tc>
          <w:tcPr>
            <w:tcW w:w="6513" w:type="dxa"/>
            <w:gridSpan w:val="3"/>
            <w:tcBorders>
              <w:left w:val="single" w:color="auto" w:sz="4" w:space="0"/>
            </w:tcBorders>
            <w:noWrap w:val="0"/>
            <w:vAlign w:val="center"/>
          </w:tcPr>
          <w:p w14:paraId="4B6AFC5E">
            <w:pPr>
              <w:autoSpaceDE w:val="0"/>
              <w:autoSpaceDN w:val="0"/>
              <w:adjustRightInd w:val="0"/>
              <w:spacing w:line="360" w:lineRule="auto"/>
              <w:rPr>
                <w:rFonts w:hint="eastAsia" w:ascii="仿宋_GB2312" w:hAnsi="仿宋_GB2312" w:eastAsia="仿宋_GB2312" w:cs="仿宋_GB2312"/>
                <w:color w:val="000000"/>
                <w:sz w:val="21"/>
                <w:szCs w:val="21"/>
              </w:rPr>
            </w:pPr>
          </w:p>
        </w:tc>
      </w:tr>
    </w:tbl>
    <w:p w14:paraId="709E0AF7">
      <w:pPr>
        <w:spacing w:line="360" w:lineRule="auto"/>
        <w:rPr>
          <w:rFonts w:hint="eastAsia" w:ascii="仿宋_GB2312" w:hAnsi="仿宋_GB2312" w:eastAsia="仿宋_GB2312" w:cs="仿宋_GB2312"/>
          <w:color w:val="000000"/>
          <w:sz w:val="21"/>
          <w:szCs w:val="21"/>
        </w:rPr>
      </w:pPr>
    </w:p>
    <w:p w14:paraId="479999D9">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注：以上表内报价内容以元为单位，保留小数点后两位。</w:t>
      </w:r>
    </w:p>
    <w:p w14:paraId="3EA547A7">
      <w:pPr>
        <w:spacing w:line="360" w:lineRule="auto"/>
        <w:ind w:firstLine="5180" w:firstLineChars="1850"/>
        <w:jc w:val="left"/>
        <w:rPr>
          <w:rFonts w:hint="eastAsia" w:ascii="仿宋_GB2312" w:hAnsi="仿宋_GB2312" w:eastAsia="仿宋_GB2312" w:cs="仿宋_GB2312"/>
          <w:color w:val="000000"/>
          <w:sz w:val="28"/>
          <w:szCs w:val="28"/>
        </w:rPr>
      </w:pPr>
    </w:p>
    <w:p w14:paraId="2C59173F">
      <w:pPr>
        <w:pStyle w:val="10"/>
        <w:spacing w:line="360" w:lineRule="auto"/>
        <w:rPr>
          <w:rFonts w:hint="eastAsia" w:ascii="仿宋_GB2312" w:hAnsi="仿宋_GB2312" w:eastAsia="仿宋_GB2312" w:cs="仿宋_GB2312"/>
          <w:sz w:val="28"/>
          <w:szCs w:val="28"/>
        </w:rPr>
      </w:pPr>
    </w:p>
    <w:p w14:paraId="32B9C4FF">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供  应  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27B83031">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（签字或盖章）</w:t>
      </w:r>
    </w:p>
    <w:p w14:paraId="6F5B93B3">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（签字）  </w:t>
      </w:r>
    </w:p>
    <w:p w14:paraId="73381B49">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日      期：  年  月  日</w:t>
      </w:r>
    </w:p>
    <w:p w14:paraId="574E5C6F">
      <w:pPr>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color w:val="000000"/>
          <w:sz w:val="28"/>
          <w:szCs w:val="28"/>
        </w:rPr>
        <w:br w:type="page"/>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32"/>
          <w:szCs w:val="32"/>
        </w:rPr>
        <w:t>磋商分项报价表</w:t>
      </w:r>
    </w:p>
    <w:p w14:paraId="59B9EBA7">
      <w:pPr>
        <w:pStyle w:val="30"/>
        <w:numPr>
          <w:ilvl w:val="0"/>
          <w:numId w:val="0"/>
        </w:numPr>
        <w:rPr>
          <w:rFonts w:hint="eastAsia" w:ascii="仿宋_GB2312" w:hAnsi="仿宋_GB2312" w:eastAsia="仿宋_GB2312" w:cs="仿宋_GB2312"/>
          <w:lang w:eastAsia="zh-CN"/>
        </w:rPr>
      </w:pPr>
      <w:r>
        <w:rPr>
          <w:rFonts w:hint="eastAsia" w:ascii="仿宋_GB2312" w:hAnsi="仿宋_GB2312" w:eastAsia="仿宋_GB2312" w:cs="仿宋_GB2312"/>
          <w:lang w:eastAsia="zh-CN"/>
        </w:rPr>
        <w:t>项目名称：</w:t>
      </w:r>
    </w:p>
    <w:p w14:paraId="00D15A1D">
      <w:pPr>
        <w:pStyle w:val="30"/>
        <w:numPr>
          <w:ilvl w:val="0"/>
          <w:numId w:val="0"/>
        </w:numPr>
        <w:rPr>
          <w:rFonts w:hint="eastAsia" w:ascii="仿宋_GB2312" w:hAnsi="仿宋_GB2312" w:eastAsia="仿宋_GB2312" w:cs="仿宋_GB2312"/>
          <w:b/>
          <w:color w:val="000000"/>
          <w:sz w:val="21"/>
          <w:szCs w:val="21"/>
          <w:lang w:val="zh-CN"/>
        </w:rPr>
      </w:pPr>
      <w:r>
        <w:rPr>
          <w:rFonts w:hint="eastAsia" w:ascii="仿宋_GB2312" w:hAnsi="仿宋_GB2312" w:eastAsia="仿宋_GB2312" w:cs="仿宋_GB2312"/>
          <w:lang w:eastAsia="zh-CN"/>
        </w:rPr>
        <w:t>项目编号：</w:t>
      </w:r>
    </w:p>
    <w:p w14:paraId="24379915">
      <w:pPr>
        <w:adjustRightInd w:val="0"/>
        <w:snapToGrid w:val="0"/>
        <w:spacing w:line="360" w:lineRule="auto"/>
        <w:ind w:hanging="3648"/>
        <w:jc w:val="righ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单位：元</w:t>
      </w:r>
    </w:p>
    <w:p w14:paraId="196C2FD8">
      <w:pPr>
        <w:adjustRightInd w:val="0"/>
        <w:snapToGrid w:val="0"/>
        <w:spacing w:line="360" w:lineRule="auto"/>
        <w:rPr>
          <w:rFonts w:hint="eastAsia" w:ascii="仿宋_GB2312" w:hAnsi="仿宋_GB2312" w:eastAsia="仿宋_GB2312" w:cs="仿宋_GB2312"/>
          <w:bCs/>
          <w:color w:val="000000"/>
          <w:sz w:val="28"/>
          <w:szCs w:val="28"/>
        </w:rPr>
      </w:pPr>
    </w:p>
    <w:p w14:paraId="2CAA172A">
      <w:pPr>
        <w:adjustRightInd w:val="0"/>
        <w:snapToGrid w:val="0"/>
        <w:spacing w:line="360" w:lineRule="auto"/>
        <w:jc w:val="center"/>
        <w:rPr>
          <w:rFonts w:hint="eastAsia" w:ascii="仿宋_GB2312" w:hAnsi="仿宋_GB2312" w:eastAsia="仿宋_GB2312" w:cs="仿宋_GB2312"/>
          <w:bCs/>
          <w:color w:val="000000"/>
          <w:sz w:val="21"/>
          <w:szCs w:val="21"/>
        </w:rPr>
      </w:pPr>
      <w:r>
        <w:rPr>
          <w:rFonts w:hint="eastAsia" w:ascii="仿宋_GB2312" w:hAnsi="仿宋_GB2312" w:eastAsia="仿宋_GB2312" w:cs="仿宋_GB2312"/>
          <w:bCs/>
          <w:color w:val="000000"/>
          <w:sz w:val="21"/>
          <w:szCs w:val="21"/>
        </w:rPr>
        <w:t>无固定格式，供应商自拟。</w:t>
      </w:r>
    </w:p>
    <w:p w14:paraId="781E6550">
      <w:pPr>
        <w:adjustRightInd w:val="0"/>
        <w:snapToGrid w:val="0"/>
        <w:spacing w:line="360" w:lineRule="auto"/>
        <w:rPr>
          <w:rFonts w:hint="eastAsia" w:ascii="仿宋_GB2312" w:hAnsi="仿宋_GB2312" w:eastAsia="仿宋_GB2312" w:cs="仿宋_GB2312"/>
          <w:bCs/>
          <w:color w:val="000000"/>
          <w:sz w:val="28"/>
          <w:szCs w:val="28"/>
        </w:rPr>
      </w:pPr>
    </w:p>
    <w:p w14:paraId="3A5E5278">
      <w:pPr>
        <w:adjustRightInd w:val="0"/>
        <w:snapToGrid w:val="0"/>
        <w:spacing w:line="360" w:lineRule="auto"/>
        <w:rPr>
          <w:rFonts w:hint="eastAsia" w:ascii="仿宋_GB2312" w:hAnsi="仿宋_GB2312" w:eastAsia="仿宋_GB2312" w:cs="仿宋_GB2312"/>
          <w:bCs/>
          <w:color w:val="000000"/>
          <w:sz w:val="28"/>
          <w:szCs w:val="28"/>
        </w:rPr>
      </w:pPr>
    </w:p>
    <w:p w14:paraId="2308F341">
      <w:pPr>
        <w:adjustRightInd w:val="0"/>
        <w:snapToGrid w:val="0"/>
        <w:spacing w:line="360" w:lineRule="auto"/>
        <w:rPr>
          <w:rFonts w:hint="eastAsia" w:ascii="仿宋_GB2312" w:hAnsi="仿宋_GB2312" w:eastAsia="仿宋_GB2312" w:cs="仿宋_GB2312"/>
          <w:bCs/>
          <w:color w:val="000000"/>
          <w:sz w:val="28"/>
          <w:szCs w:val="28"/>
        </w:rPr>
      </w:pPr>
    </w:p>
    <w:p w14:paraId="4701D330">
      <w:pPr>
        <w:pStyle w:val="10"/>
        <w:rPr>
          <w:rFonts w:hint="eastAsia" w:ascii="仿宋_GB2312" w:hAnsi="仿宋_GB2312" w:eastAsia="仿宋_GB2312" w:cs="仿宋_GB2312"/>
          <w:bCs/>
          <w:color w:val="000000"/>
          <w:sz w:val="28"/>
          <w:szCs w:val="28"/>
        </w:rPr>
      </w:pPr>
    </w:p>
    <w:p w14:paraId="07047C1D">
      <w:pPr>
        <w:rPr>
          <w:rFonts w:hint="eastAsia" w:ascii="仿宋_GB2312" w:hAnsi="仿宋_GB2312" w:eastAsia="仿宋_GB2312" w:cs="仿宋_GB2312"/>
          <w:bCs/>
          <w:color w:val="000000"/>
          <w:sz w:val="28"/>
          <w:szCs w:val="28"/>
        </w:rPr>
      </w:pPr>
    </w:p>
    <w:p w14:paraId="40E437E8">
      <w:pPr>
        <w:pStyle w:val="10"/>
        <w:rPr>
          <w:rFonts w:hint="eastAsia" w:ascii="仿宋_GB2312" w:hAnsi="仿宋_GB2312" w:eastAsia="仿宋_GB2312" w:cs="仿宋_GB2312"/>
          <w:bCs/>
          <w:color w:val="000000"/>
          <w:sz w:val="28"/>
          <w:szCs w:val="28"/>
        </w:rPr>
      </w:pPr>
    </w:p>
    <w:p w14:paraId="4291D484">
      <w:pPr>
        <w:rPr>
          <w:rFonts w:hint="eastAsia" w:ascii="仿宋_GB2312" w:hAnsi="仿宋_GB2312" w:eastAsia="仿宋_GB2312" w:cs="仿宋_GB2312"/>
          <w:bCs/>
          <w:color w:val="000000"/>
          <w:sz w:val="28"/>
          <w:szCs w:val="28"/>
        </w:rPr>
      </w:pPr>
    </w:p>
    <w:p w14:paraId="43F89986">
      <w:pPr>
        <w:pStyle w:val="10"/>
        <w:rPr>
          <w:rFonts w:hint="eastAsia" w:ascii="仿宋_GB2312" w:hAnsi="仿宋_GB2312" w:eastAsia="仿宋_GB2312" w:cs="仿宋_GB2312"/>
          <w:bCs/>
          <w:color w:val="000000"/>
          <w:sz w:val="28"/>
          <w:szCs w:val="28"/>
        </w:rPr>
      </w:pPr>
    </w:p>
    <w:p w14:paraId="656DA647">
      <w:pPr>
        <w:rPr>
          <w:rFonts w:hint="eastAsia" w:ascii="仿宋_GB2312" w:hAnsi="仿宋_GB2312" w:eastAsia="仿宋_GB2312" w:cs="仿宋_GB2312"/>
          <w:bCs/>
          <w:color w:val="000000"/>
          <w:sz w:val="28"/>
          <w:szCs w:val="28"/>
        </w:rPr>
      </w:pPr>
    </w:p>
    <w:p w14:paraId="6DCFC94D">
      <w:pPr>
        <w:pStyle w:val="10"/>
        <w:rPr>
          <w:rFonts w:hint="eastAsia" w:ascii="仿宋_GB2312" w:hAnsi="仿宋_GB2312" w:eastAsia="仿宋_GB2312" w:cs="仿宋_GB2312"/>
          <w:bCs/>
          <w:color w:val="000000"/>
          <w:sz w:val="28"/>
          <w:szCs w:val="28"/>
        </w:rPr>
      </w:pPr>
    </w:p>
    <w:p w14:paraId="6CF21AD3">
      <w:pPr>
        <w:pStyle w:val="10"/>
        <w:jc w:val="both"/>
        <w:rPr>
          <w:rFonts w:hint="eastAsia" w:ascii="仿宋_GB2312" w:hAnsi="仿宋_GB2312" w:eastAsia="仿宋_GB2312" w:cs="仿宋_GB2312"/>
        </w:rPr>
      </w:pPr>
    </w:p>
    <w:p w14:paraId="66B5C496">
      <w:pPr>
        <w:adjustRightInd w:val="0"/>
        <w:snapToGrid w:val="0"/>
        <w:spacing w:line="360" w:lineRule="auto"/>
        <w:rPr>
          <w:rFonts w:hint="eastAsia" w:ascii="仿宋_GB2312" w:hAnsi="仿宋_GB2312" w:eastAsia="仿宋_GB2312" w:cs="仿宋_GB2312"/>
          <w:bCs/>
          <w:color w:val="000000"/>
          <w:sz w:val="28"/>
          <w:szCs w:val="28"/>
        </w:rPr>
      </w:pPr>
    </w:p>
    <w:p w14:paraId="500E0510">
      <w:pPr>
        <w:adjustRightInd w:val="0"/>
        <w:snapToGrid w:val="0"/>
        <w:spacing w:line="360" w:lineRule="auto"/>
        <w:rPr>
          <w:rFonts w:hint="eastAsia" w:ascii="仿宋_GB2312" w:hAnsi="仿宋_GB2312" w:eastAsia="仿宋_GB2312" w:cs="仿宋_GB2312"/>
          <w:bCs/>
          <w:color w:val="000000"/>
          <w:sz w:val="28"/>
          <w:szCs w:val="28"/>
        </w:rPr>
      </w:pPr>
    </w:p>
    <w:p w14:paraId="24129516">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供  应  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56F803D4">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（签字或盖章）</w:t>
      </w:r>
    </w:p>
    <w:p w14:paraId="12F2BAEE">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（签字）  </w:t>
      </w:r>
    </w:p>
    <w:p w14:paraId="2FEC138E">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日      期：  年  月  日</w:t>
      </w:r>
    </w:p>
    <w:p w14:paraId="35361A33">
      <w:pPr>
        <w:spacing w:line="360" w:lineRule="auto"/>
        <w:ind w:firstLine="560" w:firstLineChars="200"/>
        <w:rPr>
          <w:rFonts w:hint="eastAsia" w:ascii="仿宋_GB2312" w:hAnsi="仿宋_GB2312" w:eastAsia="仿宋_GB2312" w:cs="仿宋_GB2312"/>
          <w:color w:val="000000"/>
          <w:sz w:val="28"/>
          <w:szCs w:val="28"/>
        </w:rPr>
      </w:pPr>
    </w:p>
    <w:p w14:paraId="262C65CE">
      <w:pPr>
        <w:adjustRightInd w:val="0"/>
        <w:snapToGrid w:val="0"/>
        <w:spacing w:line="360" w:lineRule="auto"/>
        <w:ind w:firstLine="42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1"/>
          <w:szCs w:val="21"/>
        </w:rPr>
        <w:t>注：本表中的“总价”与“磋商报价表”中的“磋商报价”一致。</w:t>
      </w:r>
    </w:p>
    <w:p w14:paraId="040DB44B">
      <w:pPr>
        <w:spacing w:line="360" w:lineRule="auto"/>
        <w:rPr>
          <w:rFonts w:hint="eastAsia" w:ascii="仿宋_GB2312" w:hAnsi="仿宋_GB2312" w:eastAsia="仿宋_GB2312" w:cs="仿宋_GB2312"/>
          <w:bCs/>
          <w:color w:val="000000"/>
          <w:sz w:val="28"/>
          <w:szCs w:val="28"/>
        </w:rPr>
      </w:pPr>
    </w:p>
    <w:p w14:paraId="749D167A">
      <w:pPr>
        <w:pStyle w:val="3"/>
        <w:numPr>
          <w:ilvl w:val="2"/>
          <w:numId w:val="0"/>
        </w:numPr>
        <w:spacing w:before="100" w:after="100" w:line="360" w:lineRule="auto"/>
        <w:ind w:leftChars="0"/>
        <w:jc w:val="center"/>
        <w:rPr>
          <w:rFonts w:hint="eastAsia"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val="0"/>
          <w:color w:val="000000"/>
          <w:sz w:val="28"/>
          <w:szCs w:val="28"/>
        </w:rPr>
        <w:br w:type="page"/>
      </w:r>
      <w:bookmarkStart w:id="183" w:name="_Toc25984"/>
      <w:bookmarkStart w:id="184" w:name="_Toc221"/>
      <w:bookmarkStart w:id="185" w:name="_Toc8191"/>
      <w:bookmarkStart w:id="186" w:name="_Toc500323112"/>
      <w:bookmarkStart w:id="187" w:name="_Toc29180"/>
      <w:bookmarkStart w:id="188" w:name="_Toc425240483"/>
      <w:bookmarkStart w:id="189" w:name="_Toc420591669"/>
      <w:bookmarkStart w:id="190" w:name="_Toc421778388"/>
      <w:r>
        <w:rPr>
          <w:rFonts w:hint="eastAsia" w:ascii="仿宋_GB2312" w:hAnsi="仿宋_GB2312" w:eastAsia="仿宋_GB2312" w:cs="仿宋_GB2312"/>
          <w:b/>
          <w:color w:val="000000"/>
          <w:kern w:val="2"/>
          <w:sz w:val="32"/>
          <w:szCs w:val="32"/>
          <w:lang w:val="en-US" w:eastAsia="zh-CN" w:bidi="ar-SA"/>
        </w:rPr>
        <w:t>三、法定代表人身份证明</w:t>
      </w:r>
      <w:bookmarkEnd w:id="183"/>
      <w:bookmarkEnd w:id="184"/>
      <w:bookmarkEnd w:id="185"/>
      <w:bookmarkEnd w:id="186"/>
      <w:bookmarkEnd w:id="187"/>
      <w:bookmarkEnd w:id="188"/>
      <w:bookmarkEnd w:id="189"/>
      <w:bookmarkEnd w:id="19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240"/>
        <w:gridCol w:w="2950"/>
        <w:gridCol w:w="1039"/>
        <w:gridCol w:w="2151"/>
      </w:tblGrid>
      <w:tr w14:paraId="0732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200" w:type="dxa"/>
            <w:gridSpan w:val="5"/>
            <w:noWrap w:val="0"/>
            <w:vAlign w:val="center"/>
          </w:tcPr>
          <w:p w14:paraId="2179FFC1">
            <w:pPr>
              <w:tabs>
                <w:tab w:val="left" w:pos="1260"/>
              </w:tabs>
              <w:spacing w:line="360" w:lineRule="auto"/>
              <w:jc w:val="left"/>
              <w:rPr>
                <w:rFonts w:hint="eastAsia" w:ascii="仿宋_GB2312" w:hAnsi="仿宋_GB2312" w:eastAsia="仿宋_GB2312" w:cs="仿宋_GB2312"/>
                <w:bCs/>
                <w:sz w:val="21"/>
                <w:szCs w:val="21"/>
                <w:lang w:eastAsia="zh-CN"/>
              </w:rPr>
            </w:pPr>
            <w:bookmarkStart w:id="191" w:name="_Toc425240484"/>
            <w:bookmarkStart w:id="192" w:name="_Toc421778389"/>
            <w:bookmarkStart w:id="193" w:name="_Toc13782"/>
            <w:bookmarkStart w:id="194" w:name="_Toc32762"/>
            <w:bookmarkStart w:id="195" w:name="_Toc500323113"/>
            <w:bookmarkStart w:id="196" w:name="_Toc420591670"/>
            <w:r>
              <w:rPr>
                <w:rFonts w:hint="eastAsia" w:ascii="仿宋_GB2312" w:hAnsi="仿宋_GB2312" w:eastAsia="仿宋_GB2312" w:cs="仿宋_GB2312"/>
                <w:sz w:val="21"/>
                <w:szCs w:val="21"/>
              </w:rPr>
              <w:t>致：</w:t>
            </w:r>
            <w:r>
              <w:rPr>
                <w:rFonts w:hint="eastAsia" w:ascii="仿宋_GB2312" w:hAnsi="仿宋_GB2312" w:eastAsia="仿宋_GB2312" w:cs="仿宋_GB2312"/>
                <w:sz w:val="21"/>
                <w:szCs w:val="21"/>
                <w:lang w:eastAsia="zh-CN"/>
              </w:rPr>
              <w:t>陕西辰云项目管理有限公司</w:t>
            </w:r>
          </w:p>
        </w:tc>
      </w:tr>
      <w:tr w14:paraId="217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restart"/>
            <w:noWrap w:val="0"/>
            <w:vAlign w:val="center"/>
          </w:tcPr>
          <w:p w14:paraId="60B5C058">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w:t>
            </w:r>
          </w:p>
          <w:p w14:paraId="608A1366">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业</w:t>
            </w:r>
          </w:p>
          <w:p w14:paraId="17319DD4">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w:t>
            </w:r>
          </w:p>
          <w:p w14:paraId="31BD78EF">
            <w:pPr>
              <w:tabs>
                <w:tab w:val="left" w:pos="1260"/>
              </w:tabs>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人</w:t>
            </w:r>
          </w:p>
        </w:tc>
        <w:tc>
          <w:tcPr>
            <w:tcW w:w="2240" w:type="dxa"/>
            <w:noWrap w:val="0"/>
            <w:vAlign w:val="center"/>
          </w:tcPr>
          <w:p w14:paraId="79E457D1">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企业名称</w:t>
            </w:r>
          </w:p>
        </w:tc>
        <w:tc>
          <w:tcPr>
            <w:tcW w:w="6140" w:type="dxa"/>
            <w:gridSpan w:val="3"/>
            <w:noWrap w:val="0"/>
            <w:vAlign w:val="top"/>
          </w:tcPr>
          <w:p w14:paraId="4EB22EF5">
            <w:pPr>
              <w:tabs>
                <w:tab w:val="left" w:pos="1260"/>
              </w:tabs>
              <w:spacing w:line="360" w:lineRule="auto"/>
              <w:rPr>
                <w:rFonts w:hint="eastAsia" w:ascii="仿宋_GB2312" w:hAnsi="仿宋_GB2312" w:eastAsia="仿宋_GB2312" w:cs="仿宋_GB2312"/>
                <w:bCs/>
                <w:sz w:val="21"/>
                <w:szCs w:val="21"/>
              </w:rPr>
            </w:pPr>
          </w:p>
        </w:tc>
      </w:tr>
      <w:tr w14:paraId="7910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565BFDC6">
            <w:pPr>
              <w:spacing w:line="360" w:lineRule="auto"/>
              <w:rPr>
                <w:rFonts w:hint="eastAsia" w:ascii="仿宋_GB2312" w:hAnsi="仿宋_GB2312" w:eastAsia="仿宋_GB2312" w:cs="仿宋_GB2312"/>
                <w:sz w:val="21"/>
                <w:szCs w:val="21"/>
              </w:rPr>
            </w:pPr>
          </w:p>
        </w:tc>
        <w:tc>
          <w:tcPr>
            <w:tcW w:w="2240" w:type="dxa"/>
            <w:noWrap w:val="0"/>
            <w:vAlign w:val="center"/>
          </w:tcPr>
          <w:p w14:paraId="0CC5D170">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法定地址</w:t>
            </w:r>
          </w:p>
        </w:tc>
        <w:tc>
          <w:tcPr>
            <w:tcW w:w="6140" w:type="dxa"/>
            <w:gridSpan w:val="3"/>
            <w:noWrap w:val="0"/>
            <w:vAlign w:val="top"/>
          </w:tcPr>
          <w:p w14:paraId="0678FF17">
            <w:pPr>
              <w:tabs>
                <w:tab w:val="left" w:pos="1260"/>
              </w:tabs>
              <w:spacing w:line="360" w:lineRule="auto"/>
              <w:rPr>
                <w:rFonts w:hint="eastAsia" w:ascii="仿宋_GB2312" w:hAnsi="仿宋_GB2312" w:eastAsia="仿宋_GB2312" w:cs="仿宋_GB2312"/>
                <w:bCs/>
                <w:sz w:val="21"/>
                <w:szCs w:val="21"/>
              </w:rPr>
            </w:pPr>
          </w:p>
        </w:tc>
      </w:tr>
      <w:tr w14:paraId="2237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168F0833">
            <w:pPr>
              <w:spacing w:line="360" w:lineRule="auto"/>
              <w:rPr>
                <w:rFonts w:hint="eastAsia" w:ascii="仿宋_GB2312" w:hAnsi="仿宋_GB2312" w:eastAsia="仿宋_GB2312" w:cs="仿宋_GB2312"/>
                <w:sz w:val="21"/>
                <w:szCs w:val="21"/>
              </w:rPr>
            </w:pPr>
          </w:p>
        </w:tc>
        <w:tc>
          <w:tcPr>
            <w:tcW w:w="2240" w:type="dxa"/>
            <w:noWrap w:val="0"/>
            <w:vAlign w:val="center"/>
          </w:tcPr>
          <w:p w14:paraId="3D2720B6">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邮政编码</w:t>
            </w:r>
          </w:p>
        </w:tc>
        <w:tc>
          <w:tcPr>
            <w:tcW w:w="6140" w:type="dxa"/>
            <w:gridSpan w:val="3"/>
            <w:noWrap w:val="0"/>
            <w:vAlign w:val="top"/>
          </w:tcPr>
          <w:p w14:paraId="7FFE5E97">
            <w:pPr>
              <w:tabs>
                <w:tab w:val="left" w:pos="1260"/>
              </w:tabs>
              <w:spacing w:line="360" w:lineRule="auto"/>
              <w:rPr>
                <w:rFonts w:hint="eastAsia" w:ascii="仿宋_GB2312" w:hAnsi="仿宋_GB2312" w:eastAsia="仿宋_GB2312" w:cs="仿宋_GB2312"/>
                <w:bCs/>
                <w:sz w:val="21"/>
                <w:szCs w:val="21"/>
              </w:rPr>
            </w:pPr>
          </w:p>
        </w:tc>
      </w:tr>
      <w:tr w14:paraId="075B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53CC927">
            <w:pPr>
              <w:spacing w:line="360" w:lineRule="auto"/>
              <w:rPr>
                <w:rFonts w:hint="eastAsia" w:ascii="仿宋_GB2312" w:hAnsi="仿宋_GB2312" w:eastAsia="仿宋_GB2312" w:cs="仿宋_GB2312"/>
                <w:sz w:val="21"/>
                <w:szCs w:val="21"/>
              </w:rPr>
            </w:pPr>
          </w:p>
        </w:tc>
        <w:tc>
          <w:tcPr>
            <w:tcW w:w="2240" w:type="dxa"/>
            <w:noWrap w:val="0"/>
            <w:vAlign w:val="center"/>
          </w:tcPr>
          <w:p w14:paraId="59913312">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    址</w:t>
            </w:r>
          </w:p>
        </w:tc>
        <w:tc>
          <w:tcPr>
            <w:tcW w:w="6140" w:type="dxa"/>
            <w:gridSpan w:val="3"/>
            <w:noWrap w:val="0"/>
            <w:vAlign w:val="top"/>
          </w:tcPr>
          <w:p w14:paraId="61C020F9">
            <w:pPr>
              <w:tabs>
                <w:tab w:val="left" w:pos="1260"/>
              </w:tabs>
              <w:spacing w:line="360" w:lineRule="auto"/>
              <w:rPr>
                <w:rFonts w:hint="eastAsia" w:ascii="仿宋_GB2312" w:hAnsi="仿宋_GB2312" w:eastAsia="仿宋_GB2312" w:cs="仿宋_GB2312"/>
                <w:bCs/>
                <w:sz w:val="21"/>
                <w:szCs w:val="21"/>
              </w:rPr>
            </w:pPr>
          </w:p>
        </w:tc>
      </w:tr>
      <w:tr w14:paraId="0FA0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222D5763">
            <w:pPr>
              <w:spacing w:line="360" w:lineRule="auto"/>
              <w:rPr>
                <w:rFonts w:hint="eastAsia" w:ascii="仿宋_GB2312" w:hAnsi="仿宋_GB2312" w:eastAsia="仿宋_GB2312" w:cs="仿宋_GB2312"/>
                <w:sz w:val="21"/>
                <w:szCs w:val="21"/>
              </w:rPr>
            </w:pPr>
          </w:p>
        </w:tc>
        <w:tc>
          <w:tcPr>
            <w:tcW w:w="2240" w:type="dxa"/>
            <w:noWrap w:val="0"/>
            <w:vAlign w:val="top"/>
          </w:tcPr>
          <w:p w14:paraId="15E989E4">
            <w:pPr>
              <w:tabs>
                <w:tab w:val="left" w:pos="1260"/>
              </w:tabs>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工商登记机关</w:t>
            </w:r>
          </w:p>
        </w:tc>
        <w:tc>
          <w:tcPr>
            <w:tcW w:w="6140" w:type="dxa"/>
            <w:gridSpan w:val="3"/>
            <w:noWrap w:val="0"/>
            <w:vAlign w:val="top"/>
          </w:tcPr>
          <w:p w14:paraId="16C50FFF">
            <w:pPr>
              <w:tabs>
                <w:tab w:val="left" w:pos="1260"/>
              </w:tabs>
              <w:spacing w:line="360" w:lineRule="auto"/>
              <w:rPr>
                <w:rFonts w:hint="eastAsia" w:ascii="仿宋_GB2312" w:hAnsi="仿宋_GB2312" w:eastAsia="仿宋_GB2312" w:cs="仿宋_GB2312"/>
                <w:bCs/>
                <w:sz w:val="21"/>
                <w:szCs w:val="21"/>
              </w:rPr>
            </w:pPr>
          </w:p>
        </w:tc>
      </w:tr>
      <w:tr w14:paraId="5C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0" w:type="dxa"/>
            <w:vMerge w:val="continue"/>
            <w:noWrap w:val="0"/>
            <w:vAlign w:val="top"/>
          </w:tcPr>
          <w:p w14:paraId="473631EE">
            <w:pPr>
              <w:spacing w:line="360" w:lineRule="auto"/>
              <w:rPr>
                <w:rFonts w:hint="eastAsia" w:ascii="仿宋_GB2312" w:hAnsi="仿宋_GB2312" w:eastAsia="仿宋_GB2312" w:cs="仿宋_GB2312"/>
                <w:sz w:val="21"/>
                <w:szCs w:val="21"/>
              </w:rPr>
            </w:pPr>
          </w:p>
        </w:tc>
        <w:tc>
          <w:tcPr>
            <w:tcW w:w="2240" w:type="dxa"/>
            <w:noWrap w:val="0"/>
            <w:vAlign w:val="center"/>
          </w:tcPr>
          <w:p w14:paraId="4271FB93">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税务登记机关</w:t>
            </w:r>
          </w:p>
        </w:tc>
        <w:tc>
          <w:tcPr>
            <w:tcW w:w="6140" w:type="dxa"/>
            <w:gridSpan w:val="3"/>
            <w:noWrap w:val="0"/>
            <w:vAlign w:val="top"/>
          </w:tcPr>
          <w:p w14:paraId="3AAF2A66">
            <w:pPr>
              <w:tabs>
                <w:tab w:val="left" w:pos="1260"/>
              </w:tabs>
              <w:spacing w:line="360" w:lineRule="auto"/>
              <w:rPr>
                <w:rFonts w:hint="eastAsia" w:ascii="仿宋_GB2312" w:hAnsi="仿宋_GB2312" w:eastAsia="仿宋_GB2312" w:cs="仿宋_GB2312"/>
                <w:sz w:val="21"/>
                <w:szCs w:val="21"/>
              </w:rPr>
            </w:pPr>
          </w:p>
        </w:tc>
      </w:tr>
      <w:tr w14:paraId="42CC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20" w:type="dxa"/>
            <w:vMerge w:val="continue"/>
            <w:noWrap w:val="0"/>
            <w:vAlign w:val="top"/>
          </w:tcPr>
          <w:p w14:paraId="0E5EB121">
            <w:pPr>
              <w:spacing w:line="360" w:lineRule="auto"/>
              <w:rPr>
                <w:rFonts w:hint="eastAsia" w:ascii="仿宋_GB2312" w:hAnsi="仿宋_GB2312" w:eastAsia="仿宋_GB2312" w:cs="仿宋_GB2312"/>
                <w:sz w:val="21"/>
                <w:szCs w:val="21"/>
              </w:rPr>
            </w:pPr>
          </w:p>
        </w:tc>
        <w:tc>
          <w:tcPr>
            <w:tcW w:w="2240" w:type="dxa"/>
            <w:noWrap w:val="0"/>
            <w:vAlign w:val="top"/>
          </w:tcPr>
          <w:p w14:paraId="4160461B">
            <w:pPr>
              <w:tabs>
                <w:tab w:val="left" w:pos="1260"/>
              </w:tabs>
              <w:spacing w:line="360" w:lineRule="auto"/>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机构代码证号（统一社会信用代码）</w:t>
            </w:r>
          </w:p>
        </w:tc>
        <w:tc>
          <w:tcPr>
            <w:tcW w:w="6140" w:type="dxa"/>
            <w:gridSpan w:val="3"/>
            <w:noWrap w:val="0"/>
            <w:vAlign w:val="top"/>
          </w:tcPr>
          <w:p w14:paraId="535AF32A">
            <w:pPr>
              <w:tabs>
                <w:tab w:val="left" w:pos="1260"/>
              </w:tabs>
              <w:spacing w:line="360" w:lineRule="auto"/>
              <w:rPr>
                <w:rFonts w:hint="eastAsia" w:ascii="仿宋_GB2312" w:hAnsi="仿宋_GB2312" w:eastAsia="仿宋_GB2312" w:cs="仿宋_GB2312"/>
                <w:bCs/>
                <w:sz w:val="21"/>
                <w:szCs w:val="21"/>
              </w:rPr>
            </w:pPr>
          </w:p>
        </w:tc>
      </w:tr>
      <w:tr w14:paraId="656E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20" w:type="dxa"/>
            <w:vMerge w:val="restart"/>
            <w:noWrap w:val="0"/>
            <w:vAlign w:val="center"/>
          </w:tcPr>
          <w:p w14:paraId="7177D4A4">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  定</w:t>
            </w:r>
          </w:p>
          <w:p w14:paraId="78AE1658">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代</w:t>
            </w:r>
          </w:p>
          <w:p w14:paraId="05ED772D">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w:t>
            </w:r>
          </w:p>
          <w:p w14:paraId="2D01956E">
            <w:pPr>
              <w:tabs>
                <w:tab w:val="left" w:pos="1260"/>
              </w:tabs>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人</w:t>
            </w:r>
          </w:p>
        </w:tc>
        <w:tc>
          <w:tcPr>
            <w:tcW w:w="2240" w:type="dxa"/>
            <w:noWrap w:val="0"/>
            <w:vAlign w:val="center"/>
          </w:tcPr>
          <w:p w14:paraId="22EAE2D9">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2950" w:type="dxa"/>
            <w:noWrap w:val="0"/>
            <w:vAlign w:val="top"/>
          </w:tcPr>
          <w:p w14:paraId="63911D84">
            <w:pPr>
              <w:tabs>
                <w:tab w:val="left" w:pos="1260"/>
              </w:tabs>
              <w:spacing w:line="360" w:lineRule="auto"/>
              <w:rPr>
                <w:rFonts w:hint="eastAsia" w:ascii="仿宋_GB2312" w:hAnsi="仿宋_GB2312" w:eastAsia="仿宋_GB2312" w:cs="仿宋_GB2312"/>
                <w:sz w:val="21"/>
                <w:szCs w:val="21"/>
              </w:rPr>
            </w:pPr>
          </w:p>
        </w:tc>
        <w:tc>
          <w:tcPr>
            <w:tcW w:w="1039" w:type="dxa"/>
            <w:noWrap w:val="0"/>
            <w:vAlign w:val="center"/>
          </w:tcPr>
          <w:p w14:paraId="007DFBE9">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2151" w:type="dxa"/>
            <w:noWrap w:val="0"/>
            <w:vAlign w:val="top"/>
          </w:tcPr>
          <w:p w14:paraId="0AF980CF">
            <w:pPr>
              <w:tabs>
                <w:tab w:val="left" w:pos="1260"/>
              </w:tabs>
              <w:spacing w:line="360" w:lineRule="auto"/>
              <w:rPr>
                <w:rFonts w:hint="eastAsia" w:ascii="仿宋_GB2312" w:hAnsi="仿宋_GB2312" w:eastAsia="仿宋_GB2312" w:cs="仿宋_GB2312"/>
                <w:sz w:val="21"/>
                <w:szCs w:val="21"/>
              </w:rPr>
            </w:pPr>
          </w:p>
        </w:tc>
      </w:tr>
      <w:tr w14:paraId="6EEB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20" w:type="dxa"/>
            <w:vMerge w:val="continue"/>
            <w:noWrap w:val="0"/>
            <w:vAlign w:val="top"/>
          </w:tcPr>
          <w:p w14:paraId="421546DC">
            <w:pPr>
              <w:spacing w:line="360" w:lineRule="auto"/>
              <w:rPr>
                <w:rFonts w:hint="eastAsia" w:ascii="仿宋_GB2312" w:hAnsi="仿宋_GB2312" w:eastAsia="仿宋_GB2312" w:cs="仿宋_GB2312"/>
                <w:sz w:val="21"/>
                <w:szCs w:val="21"/>
              </w:rPr>
            </w:pPr>
          </w:p>
        </w:tc>
        <w:tc>
          <w:tcPr>
            <w:tcW w:w="2240" w:type="dxa"/>
            <w:noWrap w:val="0"/>
            <w:vAlign w:val="center"/>
          </w:tcPr>
          <w:p w14:paraId="2F970C60">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    务</w:t>
            </w:r>
          </w:p>
        </w:tc>
        <w:tc>
          <w:tcPr>
            <w:tcW w:w="2950" w:type="dxa"/>
            <w:noWrap w:val="0"/>
            <w:vAlign w:val="top"/>
          </w:tcPr>
          <w:p w14:paraId="053A541E">
            <w:pPr>
              <w:tabs>
                <w:tab w:val="left" w:pos="1260"/>
              </w:tabs>
              <w:spacing w:line="360" w:lineRule="auto"/>
              <w:rPr>
                <w:rFonts w:hint="eastAsia" w:ascii="仿宋_GB2312" w:hAnsi="仿宋_GB2312" w:eastAsia="仿宋_GB2312" w:cs="仿宋_GB2312"/>
                <w:sz w:val="21"/>
                <w:szCs w:val="21"/>
              </w:rPr>
            </w:pPr>
          </w:p>
        </w:tc>
        <w:tc>
          <w:tcPr>
            <w:tcW w:w="1039" w:type="dxa"/>
            <w:noWrap w:val="0"/>
            <w:vAlign w:val="center"/>
          </w:tcPr>
          <w:p w14:paraId="2685CCC2">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w:t>
            </w:r>
          </w:p>
          <w:p w14:paraId="02634737">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电话</w:t>
            </w:r>
          </w:p>
        </w:tc>
        <w:tc>
          <w:tcPr>
            <w:tcW w:w="2151" w:type="dxa"/>
            <w:noWrap w:val="0"/>
            <w:vAlign w:val="top"/>
          </w:tcPr>
          <w:p w14:paraId="71BD8F37">
            <w:pPr>
              <w:tabs>
                <w:tab w:val="left" w:pos="1260"/>
              </w:tabs>
              <w:spacing w:line="360" w:lineRule="auto"/>
              <w:rPr>
                <w:rFonts w:hint="eastAsia" w:ascii="仿宋_GB2312" w:hAnsi="仿宋_GB2312" w:eastAsia="仿宋_GB2312" w:cs="仿宋_GB2312"/>
                <w:sz w:val="21"/>
                <w:szCs w:val="21"/>
              </w:rPr>
            </w:pPr>
          </w:p>
        </w:tc>
      </w:tr>
      <w:tr w14:paraId="3EF1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20" w:type="dxa"/>
            <w:vMerge w:val="continue"/>
            <w:noWrap w:val="0"/>
            <w:vAlign w:val="top"/>
          </w:tcPr>
          <w:p w14:paraId="088D414E">
            <w:pPr>
              <w:spacing w:line="360" w:lineRule="auto"/>
              <w:rPr>
                <w:rFonts w:hint="eastAsia" w:ascii="仿宋_GB2312" w:hAnsi="仿宋_GB2312" w:eastAsia="仿宋_GB2312" w:cs="仿宋_GB2312"/>
                <w:sz w:val="21"/>
                <w:szCs w:val="21"/>
              </w:rPr>
            </w:pPr>
          </w:p>
        </w:tc>
        <w:tc>
          <w:tcPr>
            <w:tcW w:w="2240" w:type="dxa"/>
            <w:noWrap w:val="0"/>
            <w:vAlign w:val="center"/>
          </w:tcPr>
          <w:p w14:paraId="51362184">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    真</w:t>
            </w:r>
          </w:p>
        </w:tc>
        <w:tc>
          <w:tcPr>
            <w:tcW w:w="6140" w:type="dxa"/>
            <w:gridSpan w:val="3"/>
            <w:noWrap w:val="0"/>
            <w:vAlign w:val="top"/>
          </w:tcPr>
          <w:p w14:paraId="7E87E15D">
            <w:pPr>
              <w:tabs>
                <w:tab w:val="left" w:pos="1260"/>
              </w:tabs>
              <w:spacing w:line="360" w:lineRule="auto"/>
              <w:rPr>
                <w:rFonts w:hint="eastAsia" w:ascii="仿宋_GB2312" w:hAnsi="仿宋_GB2312" w:eastAsia="仿宋_GB2312" w:cs="仿宋_GB2312"/>
                <w:sz w:val="21"/>
                <w:szCs w:val="21"/>
              </w:rPr>
            </w:pPr>
          </w:p>
        </w:tc>
      </w:tr>
      <w:tr w14:paraId="6CA6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820" w:type="dxa"/>
            <w:vMerge w:val="restart"/>
            <w:noWrap w:val="0"/>
            <w:vAlign w:val="center"/>
          </w:tcPr>
          <w:p w14:paraId="672869DC">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法定代表人身份证复印件</w:t>
            </w:r>
          </w:p>
        </w:tc>
        <w:tc>
          <w:tcPr>
            <w:tcW w:w="5190" w:type="dxa"/>
            <w:gridSpan w:val="2"/>
            <w:vMerge w:val="restart"/>
            <w:noWrap w:val="0"/>
            <w:vAlign w:val="center"/>
          </w:tcPr>
          <w:p w14:paraId="3D7F1B4A">
            <w:pPr>
              <w:tabs>
                <w:tab w:val="left" w:pos="1260"/>
              </w:tabs>
              <w:spacing w:line="360" w:lineRule="auto"/>
              <w:jc w:val="center"/>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（正反面粘贴处）</w:t>
            </w:r>
          </w:p>
        </w:tc>
        <w:tc>
          <w:tcPr>
            <w:tcW w:w="3190" w:type="dxa"/>
            <w:gridSpan w:val="2"/>
            <w:noWrap w:val="0"/>
            <w:vAlign w:val="center"/>
          </w:tcPr>
          <w:p w14:paraId="20F6575B">
            <w:pPr>
              <w:tabs>
                <w:tab w:val="left" w:pos="1260"/>
              </w:tabs>
              <w:spacing w:line="360" w:lineRule="auto"/>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法定代表人签字</w:t>
            </w:r>
          </w:p>
        </w:tc>
      </w:tr>
      <w:tr w14:paraId="5DDA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3" w:hRule="atLeast"/>
          <w:jc w:val="center"/>
        </w:trPr>
        <w:tc>
          <w:tcPr>
            <w:tcW w:w="820" w:type="dxa"/>
            <w:vMerge w:val="continue"/>
            <w:noWrap w:val="0"/>
            <w:vAlign w:val="top"/>
          </w:tcPr>
          <w:p w14:paraId="0766A0F3">
            <w:pPr>
              <w:spacing w:line="360" w:lineRule="auto"/>
              <w:rPr>
                <w:rFonts w:hint="eastAsia" w:ascii="仿宋_GB2312" w:hAnsi="仿宋_GB2312" w:eastAsia="仿宋_GB2312" w:cs="仿宋_GB2312"/>
                <w:sz w:val="21"/>
                <w:szCs w:val="21"/>
              </w:rPr>
            </w:pPr>
          </w:p>
        </w:tc>
        <w:tc>
          <w:tcPr>
            <w:tcW w:w="5190" w:type="dxa"/>
            <w:gridSpan w:val="2"/>
            <w:vMerge w:val="continue"/>
            <w:noWrap w:val="0"/>
            <w:vAlign w:val="top"/>
          </w:tcPr>
          <w:p w14:paraId="3D572B02">
            <w:pPr>
              <w:spacing w:line="360" w:lineRule="auto"/>
              <w:rPr>
                <w:rFonts w:hint="eastAsia" w:ascii="仿宋_GB2312" w:hAnsi="仿宋_GB2312" w:eastAsia="仿宋_GB2312" w:cs="仿宋_GB2312"/>
                <w:sz w:val="21"/>
                <w:szCs w:val="21"/>
              </w:rPr>
            </w:pPr>
          </w:p>
        </w:tc>
        <w:tc>
          <w:tcPr>
            <w:tcW w:w="3190" w:type="dxa"/>
            <w:gridSpan w:val="2"/>
            <w:noWrap w:val="0"/>
            <w:vAlign w:val="center"/>
          </w:tcPr>
          <w:p w14:paraId="6AFEAA3C">
            <w:pPr>
              <w:tabs>
                <w:tab w:val="left" w:pos="1260"/>
              </w:tabs>
              <w:spacing w:line="360" w:lineRule="auto"/>
              <w:ind w:firstLine="459"/>
              <w:jc w:val="center"/>
              <w:rPr>
                <w:rFonts w:hint="eastAsia" w:ascii="仿宋_GB2312" w:hAnsi="仿宋_GB2312" w:eastAsia="仿宋_GB2312" w:cs="仿宋_GB2312"/>
                <w:sz w:val="21"/>
                <w:szCs w:val="21"/>
              </w:rPr>
            </w:pPr>
          </w:p>
          <w:p w14:paraId="4AC83D3A">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（企业公章）</w:t>
            </w:r>
          </w:p>
          <w:p w14:paraId="1972A975">
            <w:pPr>
              <w:tabs>
                <w:tab w:val="left" w:pos="1260"/>
              </w:tabs>
              <w:spacing w:line="360" w:lineRule="auto"/>
              <w:ind w:firstLine="459"/>
              <w:jc w:val="center"/>
              <w:rPr>
                <w:rFonts w:hint="eastAsia" w:ascii="仿宋_GB2312" w:hAnsi="仿宋_GB2312" w:eastAsia="仿宋_GB2312" w:cs="仿宋_GB2312"/>
                <w:sz w:val="21"/>
                <w:szCs w:val="21"/>
              </w:rPr>
            </w:pPr>
          </w:p>
          <w:p w14:paraId="100E8D31">
            <w:pPr>
              <w:tabs>
                <w:tab w:val="left" w:pos="1260"/>
              </w:tabs>
              <w:spacing w:line="360" w:lineRule="auto"/>
              <w:ind w:right="280" w:firstLine="459"/>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   月   日</w:t>
            </w:r>
          </w:p>
        </w:tc>
      </w:tr>
    </w:tbl>
    <w:p w14:paraId="5B5018BC">
      <w:pPr>
        <w:keepLines/>
        <w:pageBreakBefore/>
        <w:numPr>
          <w:ilvl w:val="0"/>
          <w:numId w:val="0"/>
        </w:numPr>
        <w:spacing w:line="360" w:lineRule="auto"/>
        <w:jc w:val="center"/>
        <w:outlineLvl w:val="1"/>
        <w:rPr>
          <w:rFonts w:hint="eastAsia" w:ascii="仿宋_GB2312" w:hAnsi="仿宋_GB2312" w:eastAsia="仿宋_GB2312" w:cs="仿宋_GB2312"/>
          <w:b/>
          <w:color w:val="000000"/>
          <w:sz w:val="28"/>
          <w:szCs w:val="28"/>
        </w:rPr>
      </w:pPr>
      <w:bookmarkStart w:id="197" w:name="_Toc22123"/>
      <w:bookmarkStart w:id="198" w:name="_Toc23118"/>
      <w:r>
        <w:rPr>
          <w:rFonts w:hint="eastAsia" w:ascii="仿宋_GB2312" w:hAnsi="仿宋_GB2312" w:eastAsia="仿宋_GB2312" w:cs="仿宋_GB2312"/>
          <w:b/>
          <w:color w:val="000000"/>
          <w:sz w:val="32"/>
          <w:szCs w:val="32"/>
          <w:lang w:eastAsia="zh-CN"/>
        </w:rPr>
        <w:t>四、</w:t>
      </w:r>
      <w:r>
        <w:rPr>
          <w:rFonts w:hint="eastAsia" w:ascii="仿宋_GB2312" w:hAnsi="仿宋_GB2312" w:eastAsia="仿宋_GB2312" w:cs="仿宋_GB2312"/>
          <w:b/>
          <w:color w:val="000000"/>
          <w:sz w:val="32"/>
          <w:szCs w:val="32"/>
        </w:rPr>
        <w:t>法定代表人授权委托书</w:t>
      </w:r>
      <w:bookmarkEnd w:id="191"/>
      <w:bookmarkEnd w:id="192"/>
      <w:bookmarkEnd w:id="193"/>
      <w:bookmarkEnd w:id="194"/>
      <w:bookmarkEnd w:id="195"/>
      <w:bookmarkEnd w:id="196"/>
      <w:bookmarkEnd w:id="197"/>
      <w:bookmarkEnd w:id="198"/>
    </w:p>
    <w:tbl>
      <w:tblPr>
        <w:tblStyle w:val="2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167"/>
        <w:gridCol w:w="10"/>
        <w:gridCol w:w="1667"/>
        <w:gridCol w:w="313"/>
        <w:gridCol w:w="2178"/>
        <w:gridCol w:w="2398"/>
      </w:tblGrid>
      <w:tr w14:paraId="59F62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560" w:type="dxa"/>
            <w:gridSpan w:val="7"/>
            <w:noWrap w:val="0"/>
            <w:vAlign w:val="center"/>
          </w:tcPr>
          <w:p w14:paraId="4FDC925D">
            <w:pPr>
              <w:tabs>
                <w:tab w:val="left" w:pos="1260"/>
              </w:tabs>
              <w:spacing w:line="360" w:lineRule="auto"/>
              <w:ind w:firstLine="117" w:firstLineChars="56"/>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致：</w:t>
            </w:r>
            <w:r>
              <w:rPr>
                <w:rFonts w:hint="eastAsia" w:ascii="仿宋_GB2312" w:hAnsi="仿宋_GB2312" w:eastAsia="仿宋_GB2312" w:cs="仿宋_GB2312"/>
                <w:sz w:val="21"/>
                <w:szCs w:val="21"/>
                <w:lang w:eastAsia="zh-CN"/>
              </w:rPr>
              <w:t>陕西辰云项目管理有限公司</w:t>
            </w:r>
          </w:p>
        </w:tc>
      </w:tr>
      <w:tr w14:paraId="045A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restart"/>
            <w:noWrap w:val="0"/>
            <w:vAlign w:val="center"/>
          </w:tcPr>
          <w:p w14:paraId="06D9B9B1">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被授权</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人</w:t>
            </w:r>
          </w:p>
        </w:tc>
        <w:tc>
          <w:tcPr>
            <w:tcW w:w="2177" w:type="dxa"/>
            <w:gridSpan w:val="2"/>
            <w:noWrap w:val="0"/>
            <w:vAlign w:val="center"/>
          </w:tcPr>
          <w:p w14:paraId="55DEBCFD">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    名</w:t>
            </w:r>
          </w:p>
        </w:tc>
        <w:tc>
          <w:tcPr>
            <w:tcW w:w="1980" w:type="dxa"/>
            <w:gridSpan w:val="2"/>
            <w:noWrap w:val="0"/>
            <w:vAlign w:val="top"/>
          </w:tcPr>
          <w:p w14:paraId="545B5DDE">
            <w:pPr>
              <w:tabs>
                <w:tab w:val="left" w:pos="1260"/>
              </w:tabs>
              <w:spacing w:line="360" w:lineRule="auto"/>
              <w:rPr>
                <w:rFonts w:hint="eastAsia" w:ascii="仿宋_GB2312" w:hAnsi="仿宋_GB2312" w:eastAsia="仿宋_GB2312" w:cs="仿宋_GB2312"/>
                <w:sz w:val="21"/>
                <w:szCs w:val="21"/>
              </w:rPr>
            </w:pPr>
          </w:p>
        </w:tc>
        <w:tc>
          <w:tcPr>
            <w:tcW w:w="2178" w:type="dxa"/>
            <w:noWrap w:val="0"/>
            <w:vAlign w:val="center"/>
          </w:tcPr>
          <w:p w14:paraId="2E50E10D">
            <w:pPr>
              <w:tabs>
                <w:tab w:val="left" w:pos="1260"/>
              </w:tabs>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    别</w:t>
            </w:r>
          </w:p>
        </w:tc>
        <w:tc>
          <w:tcPr>
            <w:tcW w:w="2398" w:type="dxa"/>
            <w:noWrap w:val="0"/>
            <w:vAlign w:val="top"/>
          </w:tcPr>
          <w:p w14:paraId="73D4A055">
            <w:pPr>
              <w:tabs>
                <w:tab w:val="left" w:pos="1260"/>
              </w:tabs>
              <w:spacing w:line="360" w:lineRule="auto"/>
              <w:rPr>
                <w:rFonts w:hint="eastAsia" w:ascii="仿宋_GB2312" w:hAnsi="仿宋_GB2312" w:eastAsia="仿宋_GB2312" w:cs="仿宋_GB2312"/>
                <w:sz w:val="21"/>
                <w:szCs w:val="21"/>
              </w:rPr>
            </w:pPr>
          </w:p>
        </w:tc>
      </w:tr>
      <w:tr w14:paraId="6298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491B2270">
            <w:pPr>
              <w:tabs>
                <w:tab w:val="left" w:pos="1260"/>
              </w:tabs>
              <w:spacing w:line="360" w:lineRule="auto"/>
              <w:rPr>
                <w:rFonts w:hint="eastAsia" w:ascii="仿宋_GB2312" w:hAnsi="仿宋_GB2312" w:eastAsia="仿宋_GB2312" w:cs="仿宋_GB2312"/>
                <w:sz w:val="21"/>
                <w:szCs w:val="21"/>
              </w:rPr>
            </w:pPr>
          </w:p>
        </w:tc>
        <w:tc>
          <w:tcPr>
            <w:tcW w:w="2177" w:type="dxa"/>
            <w:gridSpan w:val="2"/>
            <w:noWrap w:val="0"/>
            <w:vAlign w:val="center"/>
          </w:tcPr>
          <w:p w14:paraId="3E43B7F0">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职    务</w:t>
            </w:r>
          </w:p>
        </w:tc>
        <w:tc>
          <w:tcPr>
            <w:tcW w:w="1980" w:type="dxa"/>
            <w:gridSpan w:val="2"/>
            <w:noWrap w:val="0"/>
            <w:vAlign w:val="top"/>
          </w:tcPr>
          <w:p w14:paraId="588224C7">
            <w:pPr>
              <w:tabs>
                <w:tab w:val="left" w:pos="1260"/>
              </w:tabs>
              <w:spacing w:line="360" w:lineRule="auto"/>
              <w:rPr>
                <w:rFonts w:hint="eastAsia" w:ascii="仿宋_GB2312" w:hAnsi="仿宋_GB2312" w:eastAsia="仿宋_GB2312" w:cs="仿宋_GB2312"/>
                <w:sz w:val="21"/>
                <w:szCs w:val="21"/>
              </w:rPr>
            </w:pPr>
          </w:p>
        </w:tc>
        <w:tc>
          <w:tcPr>
            <w:tcW w:w="2178" w:type="dxa"/>
            <w:noWrap w:val="0"/>
            <w:vAlign w:val="center"/>
          </w:tcPr>
          <w:p w14:paraId="7F8086EA">
            <w:pPr>
              <w:tabs>
                <w:tab w:val="left" w:pos="1260"/>
              </w:tabs>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手机号码</w:t>
            </w:r>
          </w:p>
        </w:tc>
        <w:tc>
          <w:tcPr>
            <w:tcW w:w="2398" w:type="dxa"/>
            <w:noWrap w:val="0"/>
            <w:vAlign w:val="center"/>
          </w:tcPr>
          <w:p w14:paraId="1AB29058">
            <w:pPr>
              <w:tabs>
                <w:tab w:val="left" w:pos="1260"/>
              </w:tabs>
              <w:spacing w:line="360" w:lineRule="auto"/>
              <w:jc w:val="center"/>
              <w:rPr>
                <w:rFonts w:hint="eastAsia" w:ascii="仿宋_GB2312" w:hAnsi="仿宋_GB2312" w:eastAsia="仿宋_GB2312" w:cs="仿宋_GB2312"/>
                <w:sz w:val="21"/>
                <w:szCs w:val="21"/>
              </w:rPr>
            </w:pPr>
          </w:p>
        </w:tc>
      </w:tr>
      <w:tr w14:paraId="26FC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51D26CFC">
            <w:pPr>
              <w:tabs>
                <w:tab w:val="left" w:pos="1260"/>
              </w:tabs>
              <w:spacing w:line="360" w:lineRule="auto"/>
              <w:rPr>
                <w:rFonts w:hint="eastAsia" w:ascii="仿宋_GB2312" w:hAnsi="仿宋_GB2312" w:eastAsia="仿宋_GB2312" w:cs="仿宋_GB2312"/>
                <w:sz w:val="21"/>
                <w:szCs w:val="21"/>
              </w:rPr>
            </w:pPr>
          </w:p>
        </w:tc>
        <w:tc>
          <w:tcPr>
            <w:tcW w:w="2177" w:type="dxa"/>
            <w:gridSpan w:val="2"/>
            <w:noWrap w:val="0"/>
            <w:vAlign w:val="center"/>
          </w:tcPr>
          <w:p w14:paraId="4C552D8B">
            <w:pPr>
              <w:tabs>
                <w:tab w:val="left" w:pos="1260"/>
              </w:tabs>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联系电话</w:t>
            </w:r>
          </w:p>
        </w:tc>
        <w:tc>
          <w:tcPr>
            <w:tcW w:w="1980" w:type="dxa"/>
            <w:gridSpan w:val="2"/>
            <w:noWrap w:val="0"/>
            <w:vAlign w:val="center"/>
          </w:tcPr>
          <w:p w14:paraId="5A110D04">
            <w:pPr>
              <w:tabs>
                <w:tab w:val="left" w:pos="1260"/>
              </w:tabs>
              <w:spacing w:line="360" w:lineRule="auto"/>
              <w:jc w:val="both"/>
              <w:rPr>
                <w:rFonts w:hint="eastAsia" w:ascii="仿宋_GB2312" w:hAnsi="仿宋_GB2312" w:eastAsia="仿宋_GB2312" w:cs="仿宋_GB2312"/>
                <w:sz w:val="21"/>
                <w:szCs w:val="21"/>
              </w:rPr>
            </w:pPr>
          </w:p>
        </w:tc>
        <w:tc>
          <w:tcPr>
            <w:tcW w:w="2178" w:type="dxa"/>
            <w:noWrap w:val="0"/>
            <w:vAlign w:val="center"/>
          </w:tcPr>
          <w:p w14:paraId="28940428">
            <w:pPr>
              <w:tabs>
                <w:tab w:val="left" w:pos="1260"/>
              </w:tabs>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图文传真</w:t>
            </w:r>
          </w:p>
        </w:tc>
        <w:tc>
          <w:tcPr>
            <w:tcW w:w="2398" w:type="dxa"/>
            <w:noWrap w:val="0"/>
            <w:vAlign w:val="center"/>
          </w:tcPr>
          <w:p w14:paraId="29653A1C">
            <w:pPr>
              <w:tabs>
                <w:tab w:val="left" w:pos="1260"/>
              </w:tabs>
              <w:spacing w:line="360" w:lineRule="auto"/>
              <w:jc w:val="both"/>
              <w:rPr>
                <w:rFonts w:hint="eastAsia" w:ascii="仿宋_GB2312" w:hAnsi="仿宋_GB2312" w:eastAsia="仿宋_GB2312" w:cs="仿宋_GB2312"/>
                <w:sz w:val="21"/>
                <w:szCs w:val="21"/>
              </w:rPr>
            </w:pPr>
          </w:p>
        </w:tc>
      </w:tr>
      <w:tr w14:paraId="5C09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40CC5E7C">
            <w:pPr>
              <w:tabs>
                <w:tab w:val="left" w:pos="1260"/>
              </w:tabs>
              <w:spacing w:line="360" w:lineRule="auto"/>
              <w:rPr>
                <w:rFonts w:hint="eastAsia" w:ascii="仿宋_GB2312" w:hAnsi="仿宋_GB2312" w:eastAsia="仿宋_GB2312" w:cs="仿宋_GB2312"/>
                <w:sz w:val="21"/>
                <w:szCs w:val="21"/>
              </w:rPr>
            </w:pPr>
          </w:p>
        </w:tc>
        <w:tc>
          <w:tcPr>
            <w:tcW w:w="2177" w:type="dxa"/>
            <w:gridSpan w:val="2"/>
            <w:noWrap w:val="0"/>
            <w:vAlign w:val="center"/>
          </w:tcPr>
          <w:p w14:paraId="43B72B3D">
            <w:pPr>
              <w:tabs>
                <w:tab w:val="left" w:pos="1260"/>
              </w:tabs>
              <w:spacing w:line="360" w:lineRule="auto"/>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通讯地址</w:t>
            </w:r>
          </w:p>
        </w:tc>
        <w:tc>
          <w:tcPr>
            <w:tcW w:w="6556" w:type="dxa"/>
            <w:gridSpan w:val="4"/>
            <w:noWrap w:val="0"/>
            <w:vAlign w:val="center"/>
          </w:tcPr>
          <w:p w14:paraId="77FB9284">
            <w:pPr>
              <w:tabs>
                <w:tab w:val="left" w:pos="1260"/>
              </w:tabs>
              <w:spacing w:line="360" w:lineRule="auto"/>
              <w:jc w:val="both"/>
              <w:rPr>
                <w:rFonts w:hint="eastAsia" w:ascii="仿宋_GB2312" w:hAnsi="仿宋_GB2312" w:eastAsia="仿宋_GB2312" w:cs="仿宋_GB2312"/>
                <w:sz w:val="21"/>
                <w:szCs w:val="21"/>
              </w:rPr>
            </w:pPr>
          </w:p>
        </w:tc>
      </w:tr>
      <w:tr w14:paraId="5C924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827" w:type="dxa"/>
            <w:vMerge w:val="continue"/>
            <w:noWrap w:val="0"/>
            <w:vAlign w:val="center"/>
          </w:tcPr>
          <w:p w14:paraId="32440B51">
            <w:pPr>
              <w:tabs>
                <w:tab w:val="left" w:pos="1260"/>
              </w:tabs>
              <w:spacing w:line="360" w:lineRule="auto"/>
              <w:rPr>
                <w:rFonts w:hint="eastAsia" w:ascii="仿宋_GB2312" w:hAnsi="仿宋_GB2312" w:eastAsia="仿宋_GB2312" w:cs="仿宋_GB2312"/>
                <w:sz w:val="21"/>
                <w:szCs w:val="21"/>
              </w:rPr>
            </w:pPr>
          </w:p>
        </w:tc>
        <w:tc>
          <w:tcPr>
            <w:tcW w:w="2177" w:type="dxa"/>
            <w:gridSpan w:val="2"/>
            <w:noWrap w:val="0"/>
            <w:vAlign w:val="center"/>
          </w:tcPr>
          <w:p w14:paraId="7BBF72A5">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网    址</w:t>
            </w:r>
          </w:p>
        </w:tc>
        <w:tc>
          <w:tcPr>
            <w:tcW w:w="6556" w:type="dxa"/>
            <w:gridSpan w:val="4"/>
            <w:noWrap w:val="0"/>
            <w:vAlign w:val="top"/>
          </w:tcPr>
          <w:p w14:paraId="336A2278">
            <w:pPr>
              <w:tabs>
                <w:tab w:val="left" w:pos="1260"/>
              </w:tabs>
              <w:spacing w:line="360" w:lineRule="auto"/>
              <w:rPr>
                <w:rFonts w:hint="eastAsia" w:ascii="仿宋_GB2312" w:hAnsi="仿宋_GB2312" w:eastAsia="仿宋_GB2312" w:cs="仿宋_GB2312"/>
                <w:sz w:val="21"/>
                <w:szCs w:val="21"/>
              </w:rPr>
            </w:pPr>
          </w:p>
        </w:tc>
      </w:tr>
      <w:tr w14:paraId="5927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restart"/>
            <w:noWrap w:val="0"/>
            <w:vAlign w:val="center"/>
          </w:tcPr>
          <w:p w14:paraId="195F762B">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被授权项目与内</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容</w:t>
            </w:r>
          </w:p>
        </w:tc>
        <w:tc>
          <w:tcPr>
            <w:tcW w:w="2167" w:type="dxa"/>
            <w:noWrap w:val="0"/>
            <w:vAlign w:val="center"/>
          </w:tcPr>
          <w:p w14:paraId="40F10369">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6566" w:type="dxa"/>
            <w:gridSpan w:val="5"/>
            <w:noWrap w:val="0"/>
            <w:vAlign w:val="top"/>
          </w:tcPr>
          <w:p w14:paraId="28FF5444">
            <w:pPr>
              <w:tabs>
                <w:tab w:val="left" w:pos="1260"/>
              </w:tabs>
              <w:spacing w:line="360" w:lineRule="auto"/>
              <w:rPr>
                <w:rFonts w:hint="eastAsia" w:ascii="仿宋_GB2312" w:hAnsi="仿宋_GB2312" w:eastAsia="仿宋_GB2312" w:cs="仿宋_GB2312"/>
                <w:sz w:val="21"/>
                <w:szCs w:val="21"/>
              </w:rPr>
            </w:pPr>
          </w:p>
        </w:tc>
      </w:tr>
      <w:tr w14:paraId="1F21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14:paraId="1D9F79FA">
            <w:pPr>
              <w:tabs>
                <w:tab w:val="left" w:pos="1260"/>
              </w:tabs>
              <w:spacing w:line="360" w:lineRule="auto"/>
              <w:rPr>
                <w:rFonts w:hint="eastAsia" w:ascii="仿宋_GB2312" w:hAnsi="仿宋_GB2312" w:eastAsia="仿宋_GB2312" w:cs="仿宋_GB2312"/>
                <w:sz w:val="21"/>
                <w:szCs w:val="21"/>
              </w:rPr>
            </w:pPr>
          </w:p>
        </w:tc>
        <w:tc>
          <w:tcPr>
            <w:tcW w:w="2167" w:type="dxa"/>
            <w:noWrap w:val="0"/>
            <w:vAlign w:val="center"/>
          </w:tcPr>
          <w:p w14:paraId="11B7A935">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文件编号</w:t>
            </w:r>
          </w:p>
        </w:tc>
        <w:tc>
          <w:tcPr>
            <w:tcW w:w="6566" w:type="dxa"/>
            <w:gridSpan w:val="5"/>
            <w:noWrap w:val="0"/>
            <w:vAlign w:val="top"/>
          </w:tcPr>
          <w:p w14:paraId="036DBE97">
            <w:pPr>
              <w:tabs>
                <w:tab w:val="left" w:pos="1260"/>
              </w:tabs>
              <w:spacing w:line="360" w:lineRule="auto"/>
              <w:rPr>
                <w:rFonts w:hint="eastAsia" w:ascii="仿宋_GB2312" w:hAnsi="仿宋_GB2312" w:eastAsia="仿宋_GB2312" w:cs="仿宋_GB2312"/>
                <w:sz w:val="21"/>
                <w:szCs w:val="21"/>
              </w:rPr>
            </w:pPr>
          </w:p>
        </w:tc>
      </w:tr>
      <w:tr w14:paraId="1B84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827" w:type="dxa"/>
            <w:vMerge w:val="continue"/>
            <w:noWrap w:val="0"/>
            <w:vAlign w:val="center"/>
          </w:tcPr>
          <w:p w14:paraId="6014A224">
            <w:pPr>
              <w:tabs>
                <w:tab w:val="left" w:pos="1260"/>
              </w:tabs>
              <w:spacing w:line="360" w:lineRule="auto"/>
              <w:rPr>
                <w:rFonts w:hint="eastAsia" w:ascii="仿宋_GB2312" w:hAnsi="仿宋_GB2312" w:eastAsia="仿宋_GB2312" w:cs="仿宋_GB2312"/>
                <w:sz w:val="21"/>
                <w:szCs w:val="21"/>
              </w:rPr>
            </w:pPr>
          </w:p>
        </w:tc>
        <w:tc>
          <w:tcPr>
            <w:tcW w:w="2167" w:type="dxa"/>
            <w:noWrap w:val="0"/>
            <w:vAlign w:val="center"/>
          </w:tcPr>
          <w:p w14:paraId="25C0FB01">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授权范围</w:t>
            </w:r>
          </w:p>
        </w:tc>
        <w:tc>
          <w:tcPr>
            <w:tcW w:w="6566" w:type="dxa"/>
            <w:gridSpan w:val="5"/>
            <w:noWrap w:val="0"/>
            <w:vAlign w:val="center"/>
          </w:tcPr>
          <w:p w14:paraId="585FF1A2">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全权办理本磋商采购项目的磋商、联系、洽谈、签约、执行等具体事务，签署全部有关的文件、文书、协议及合同。</w:t>
            </w:r>
          </w:p>
        </w:tc>
      </w:tr>
      <w:tr w14:paraId="0075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827" w:type="dxa"/>
            <w:vMerge w:val="continue"/>
            <w:noWrap w:val="0"/>
            <w:vAlign w:val="center"/>
          </w:tcPr>
          <w:p w14:paraId="5DE47BD9">
            <w:pPr>
              <w:tabs>
                <w:tab w:val="left" w:pos="1260"/>
              </w:tabs>
              <w:spacing w:line="360" w:lineRule="auto"/>
              <w:rPr>
                <w:rFonts w:hint="eastAsia" w:ascii="仿宋_GB2312" w:hAnsi="仿宋_GB2312" w:eastAsia="仿宋_GB2312" w:cs="仿宋_GB2312"/>
                <w:sz w:val="21"/>
                <w:szCs w:val="21"/>
              </w:rPr>
            </w:pPr>
          </w:p>
        </w:tc>
        <w:tc>
          <w:tcPr>
            <w:tcW w:w="2167" w:type="dxa"/>
            <w:noWrap w:val="0"/>
            <w:vAlign w:val="center"/>
          </w:tcPr>
          <w:p w14:paraId="1DB93F25">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法律责任</w:t>
            </w:r>
          </w:p>
        </w:tc>
        <w:tc>
          <w:tcPr>
            <w:tcW w:w="6566" w:type="dxa"/>
            <w:gridSpan w:val="5"/>
            <w:noWrap w:val="0"/>
            <w:vAlign w:val="center"/>
          </w:tcPr>
          <w:p w14:paraId="618D2B5E">
            <w:pPr>
              <w:tabs>
                <w:tab w:val="left" w:pos="1260"/>
              </w:tabs>
              <w:spacing w:line="360" w:lineRule="auto"/>
              <w:rPr>
                <w:rFonts w:hint="eastAsia" w:ascii="仿宋_GB2312" w:hAnsi="仿宋_GB2312" w:eastAsia="仿宋_GB2312" w:cs="仿宋_GB2312"/>
                <w:spacing w:val="-10"/>
                <w:sz w:val="21"/>
                <w:szCs w:val="21"/>
              </w:rPr>
            </w:pPr>
            <w:r>
              <w:rPr>
                <w:rFonts w:hint="eastAsia" w:ascii="仿宋_GB2312" w:hAnsi="仿宋_GB2312" w:eastAsia="仿宋_GB2312" w:cs="仿宋_GB2312"/>
                <w:spacing w:val="-10"/>
                <w:sz w:val="21"/>
                <w:szCs w:val="21"/>
              </w:rPr>
              <w:t>本公司对被授权人在本项目中的签名承担全部法律责任。</w:t>
            </w:r>
          </w:p>
        </w:tc>
      </w:tr>
      <w:tr w14:paraId="6CC4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827" w:type="dxa"/>
            <w:vMerge w:val="continue"/>
            <w:noWrap w:val="0"/>
            <w:vAlign w:val="center"/>
          </w:tcPr>
          <w:p w14:paraId="2FADA508">
            <w:pPr>
              <w:tabs>
                <w:tab w:val="left" w:pos="1260"/>
              </w:tabs>
              <w:spacing w:line="360" w:lineRule="auto"/>
              <w:rPr>
                <w:rFonts w:hint="eastAsia" w:ascii="仿宋_GB2312" w:hAnsi="仿宋_GB2312" w:eastAsia="仿宋_GB2312" w:cs="仿宋_GB2312"/>
                <w:sz w:val="21"/>
                <w:szCs w:val="21"/>
              </w:rPr>
            </w:pPr>
          </w:p>
        </w:tc>
        <w:tc>
          <w:tcPr>
            <w:tcW w:w="2167" w:type="dxa"/>
            <w:noWrap w:val="0"/>
            <w:vAlign w:val="center"/>
          </w:tcPr>
          <w:p w14:paraId="5483CDA7">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授权期限</w:t>
            </w:r>
          </w:p>
        </w:tc>
        <w:tc>
          <w:tcPr>
            <w:tcW w:w="6566" w:type="dxa"/>
            <w:gridSpan w:val="5"/>
            <w:noWrap w:val="0"/>
            <w:vAlign w:val="center"/>
          </w:tcPr>
          <w:p w14:paraId="7CC4E6DD">
            <w:pPr>
              <w:tabs>
                <w:tab w:val="left" w:pos="1260"/>
              </w:tabs>
              <w:spacing w:line="360" w:lineRule="auto"/>
              <w:rPr>
                <w:rFonts w:hint="eastAsia" w:ascii="仿宋_GB2312" w:hAnsi="仿宋_GB2312" w:eastAsia="仿宋_GB2312" w:cs="仿宋_GB2312"/>
                <w:sz w:val="21"/>
                <w:szCs w:val="21"/>
              </w:rPr>
            </w:pPr>
            <w:r>
              <w:rPr>
                <w:rFonts w:hint="eastAsia" w:ascii="仿宋_GB2312" w:hAnsi="仿宋_GB2312" w:eastAsia="仿宋_GB2312" w:cs="仿宋_GB2312"/>
                <w:bCs/>
                <w:sz w:val="21"/>
                <w:szCs w:val="21"/>
              </w:rPr>
              <w:t>本响应文件有效期</w:t>
            </w:r>
            <w:r>
              <w:rPr>
                <w:rFonts w:hint="eastAsia" w:ascii="仿宋_GB2312" w:hAnsi="仿宋_GB2312" w:eastAsia="仿宋_GB2312" w:cs="仿宋_GB2312"/>
                <w:spacing w:val="-10"/>
                <w:sz w:val="21"/>
                <w:szCs w:val="21"/>
              </w:rPr>
              <w:t xml:space="preserve">   年  月  日——   年 月  日</w:t>
            </w:r>
          </w:p>
        </w:tc>
      </w:tr>
      <w:tr w14:paraId="5A47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4671" w:type="dxa"/>
            <w:gridSpan w:val="4"/>
            <w:noWrap w:val="0"/>
            <w:vAlign w:val="center"/>
          </w:tcPr>
          <w:p w14:paraId="52560DB7">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被授权人身份证复印件</w:t>
            </w:r>
          </w:p>
        </w:tc>
        <w:tc>
          <w:tcPr>
            <w:tcW w:w="4889" w:type="dxa"/>
            <w:gridSpan w:val="3"/>
            <w:noWrap w:val="0"/>
            <w:vAlign w:val="center"/>
          </w:tcPr>
          <w:p w14:paraId="4867AA15">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法定代表人签署栏</w:t>
            </w:r>
          </w:p>
        </w:tc>
      </w:tr>
      <w:tr w14:paraId="48A0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4" w:hRule="atLeast"/>
          <w:jc w:val="center"/>
        </w:trPr>
        <w:tc>
          <w:tcPr>
            <w:tcW w:w="4671" w:type="dxa"/>
            <w:gridSpan w:val="4"/>
            <w:vMerge w:val="restart"/>
            <w:noWrap w:val="0"/>
            <w:vAlign w:val="center"/>
          </w:tcPr>
          <w:p w14:paraId="6128BA2C">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（扫描件）</w:t>
            </w:r>
          </w:p>
        </w:tc>
        <w:tc>
          <w:tcPr>
            <w:tcW w:w="4889" w:type="dxa"/>
            <w:gridSpan w:val="3"/>
            <w:noWrap w:val="0"/>
            <w:vAlign w:val="center"/>
          </w:tcPr>
          <w:p w14:paraId="232AA2C6">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（企业公章）</w:t>
            </w:r>
          </w:p>
        </w:tc>
      </w:tr>
      <w:tr w14:paraId="35F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4671" w:type="dxa"/>
            <w:gridSpan w:val="4"/>
            <w:vMerge w:val="continue"/>
            <w:noWrap w:val="0"/>
            <w:vAlign w:val="center"/>
          </w:tcPr>
          <w:p w14:paraId="0F64D1C0">
            <w:pPr>
              <w:tabs>
                <w:tab w:val="left" w:pos="1260"/>
              </w:tabs>
              <w:spacing w:line="360" w:lineRule="auto"/>
              <w:rPr>
                <w:rFonts w:hint="eastAsia" w:ascii="仿宋_GB2312" w:hAnsi="仿宋_GB2312" w:eastAsia="仿宋_GB2312" w:cs="仿宋_GB2312"/>
                <w:sz w:val="21"/>
                <w:szCs w:val="21"/>
              </w:rPr>
            </w:pPr>
          </w:p>
        </w:tc>
        <w:tc>
          <w:tcPr>
            <w:tcW w:w="4889" w:type="dxa"/>
            <w:gridSpan w:val="3"/>
            <w:noWrap w:val="0"/>
            <w:vAlign w:val="center"/>
          </w:tcPr>
          <w:p w14:paraId="58C1FF9F">
            <w:pPr>
              <w:tabs>
                <w:tab w:val="left" w:pos="1260"/>
              </w:tabs>
              <w:spacing w:line="360" w:lineRule="auto"/>
              <w:rPr>
                <w:rFonts w:hint="eastAsia" w:ascii="仿宋_GB2312" w:hAnsi="仿宋_GB2312" w:eastAsia="仿宋_GB2312" w:cs="仿宋_GB2312"/>
                <w:sz w:val="21"/>
                <w:szCs w:val="21"/>
              </w:rPr>
            </w:pPr>
          </w:p>
          <w:p w14:paraId="5082EA4D">
            <w:pPr>
              <w:tabs>
                <w:tab w:val="left" w:pos="1260"/>
              </w:tabs>
              <w:spacing w:line="360" w:lineRule="auto"/>
              <w:rPr>
                <w:rFonts w:hint="eastAsia" w:ascii="仿宋_GB2312" w:hAnsi="仿宋_GB2312" w:eastAsia="仿宋_GB2312" w:cs="仿宋_GB2312"/>
                <w:sz w:val="21"/>
                <w:szCs w:val="21"/>
              </w:rPr>
            </w:pPr>
          </w:p>
          <w:p w14:paraId="41007750">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法人</w:t>
            </w:r>
            <w:r>
              <w:rPr>
                <w:rFonts w:hint="eastAsia" w:ascii="仿宋_GB2312" w:hAnsi="仿宋_GB2312" w:eastAsia="仿宋_GB2312" w:cs="仿宋_GB2312"/>
                <w:sz w:val="21"/>
                <w:szCs w:val="21"/>
              </w:rPr>
              <w:t>签字或盖章）</w:t>
            </w:r>
          </w:p>
          <w:p w14:paraId="14644615">
            <w:pPr>
              <w:tabs>
                <w:tab w:val="left" w:pos="1260"/>
              </w:tabs>
              <w:spacing w:line="36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   月   日</w:t>
            </w:r>
          </w:p>
        </w:tc>
      </w:tr>
    </w:tbl>
    <w:p w14:paraId="7D081598">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仿宋_GB2312" w:hAnsi="仿宋_GB2312" w:eastAsia="仿宋_GB2312" w:cs="仿宋_GB2312"/>
          <w:color w:val="000000"/>
          <w:sz w:val="28"/>
          <w:szCs w:val="28"/>
        </w:rPr>
      </w:pPr>
      <w:bookmarkStart w:id="199" w:name="_Toc421778390"/>
      <w:bookmarkStart w:id="200" w:name="_Toc425240485"/>
      <w:r>
        <w:rPr>
          <w:rFonts w:hint="eastAsia" w:ascii="仿宋_GB2312" w:hAnsi="仿宋_GB2312" w:eastAsia="仿宋_GB2312" w:cs="仿宋_GB2312"/>
          <w:b/>
          <w:bCs/>
          <w:color w:val="auto"/>
          <w:sz w:val="22"/>
          <w:szCs w:val="22"/>
          <w:highlight w:val="none"/>
          <w:lang w:val="zh-CN"/>
        </w:rPr>
        <w:t>注：法定代表人（自然人）本人直接</w:t>
      </w:r>
      <w:r>
        <w:rPr>
          <w:rFonts w:hint="eastAsia" w:ascii="仿宋_GB2312" w:hAnsi="仿宋_GB2312" w:eastAsia="仿宋_GB2312" w:cs="仿宋_GB2312"/>
          <w:b/>
          <w:bCs/>
          <w:color w:val="auto"/>
          <w:sz w:val="22"/>
          <w:szCs w:val="22"/>
          <w:highlight w:val="none"/>
          <w:lang w:val="en-US" w:eastAsia="zh-CN"/>
        </w:rPr>
        <w:t>参与投标</w:t>
      </w:r>
      <w:r>
        <w:rPr>
          <w:rFonts w:hint="eastAsia" w:ascii="仿宋_GB2312" w:hAnsi="仿宋_GB2312" w:eastAsia="仿宋_GB2312" w:cs="仿宋_GB2312"/>
          <w:b/>
          <w:bCs/>
          <w:color w:val="auto"/>
          <w:sz w:val="22"/>
          <w:szCs w:val="22"/>
          <w:highlight w:val="none"/>
          <w:lang w:val="zh-CN"/>
        </w:rPr>
        <w:t>的不填写本部分内容。</w:t>
      </w:r>
    </w:p>
    <w:p w14:paraId="239D4BAE">
      <w:pPr>
        <w:keepLines/>
        <w:pageBreakBefore/>
        <w:spacing w:line="360" w:lineRule="auto"/>
        <w:jc w:val="center"/>
        <w:outlineLvl w:val="9"/>
        <w:rPr>
          <w:rFonts w:hint="eastAsia" w:ascii="仿宋_GB2312" w:hAnsi="仿宋_GB2312" w:eastAsia="仿宋_GB2312" w:cs="仿宋_GB2312"/>
          <w:b/>
          <w:bCs/>
          <w:color w:val="000000"/>
          <w:sz w:val="32"/>
          <w:szCs w:val="32"/>
          <w:lang w:eastAsia="zh-CN"/>
        </w:rPr>
      </w:pPr>
      <w:bookmarkStart w:id="201" w:name="_Toc3574"/>
      <w:bookmarkStart w:id="202" w:name="_Toc16310"/>
      <w:bookmarkStart w:id="203" w:name="_Toc500323115"/>
      <w:bookmarkStart w:id="204" w:name="_Toc16976"/>
      <w:r>
        <w:rPr>
          <w:rFonts w:hint="eastAsia" w:ascii="仿宋_GB2312" w:hAnsi="仿宋_GB2312" w:eastAsia="仿宋_GB2312" w:cs="仿宋_GB2312"/>
          <w:b/>
          <w:bCs/>
          <w:i w:val="0"/>
          <w:iCs w:val="0"/>
          <w:caps w:val="0"/>
          <w:color w:val="333333"/>
          <w:spacing w:val="0"/>
          <w:sz w:val="32"/>
          <w:szCs w:val="32"/>
          <w:shd w:val="clear" w:fill="FFFFFF"/>
          <w:lang w:val="en-US" w:eastAsia="zh-CN"/>
        </w:rPr>
        <w:t>磋商保证金</w:t>
      </w:r>
    </w:p>
    <w:p w14:paraId="0232D0A1">
      <w:pPr>
        <w:keepLines/>
        <w:pageBreakBefore/>
        <w:spacing w:line="360" w:lineRule="auto"/>
        <w:jc w:val="center"/>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五</w:t>
      </w:r>
      <w:r>
        <w:rPr>
          <w:rFonts w:hint="eastAsia" w:ascii="仿宋_GB2312" w:hAnsi="仿宋_GB2312" w:eastAsia="仿宋_GB2312" w:cs="仿宋_GB2312"/>
          <w:b/>
          <w:color w:val="000000"/>
          <w:sz w:val="32"/>
          <w:szCs w:val="32"/>
        </w:rPr>
        <w:t>、</w:t>
      </w:r>
      <w:bookmarkEnd w:id="201"/>
      <w:bookmarkEnd w:id="202"/>
      <w:bookmarkEnd w:id="203"/>
      <w:r>
        <w:rPr>
          <w:rFonts w:hint="eastAsia" w:ascii="仿宋_GB2312" w:hAnsi="仿宋_GB2312" w:eastAsia="仿宋_GB2312" w:cs="仿宋_GB2312"/>
          <w:b/>
          <w:color w:val="000000"/>
          <w:sz w:val="32"/>
          <w:szCs w:val="32"/>
          <w:lang w:eastAsia="zh-CN"/>
        </w:rPr>
        <w:t>商务</w:t>
      </w:r>
      <w:r>
        <w:rPr>
          <w:rFonts w:hint="eastAsia" w:ascii="仿宋_GB2312" w:hAnsi="仿宋_GB2312" w:eastAsia="仿宋_GB2312" w:cs="仿宋_GB2312"/>
          <w:b/>
          <w:color w:val="000000"/>
          <w:sz w:val="32"/>
          <w:szCs w:val="32"/>
        </w:rPr>
        <w:t>部分</w:t>
      </w:r>
      <w:bookmarkEnd w:id="204"/>
    </w:p>
    <w:p w14:paraId="4EC088EC">
      <w:pPr>
        <w:spacing w:line="360" w:lineRule="auto"/>
        <w:ind w:firstLine="411" w:firstLineChars="196"/>
        <w:rPr>
          <w:rFonts w:hint="eastAsia" w:ascii="仿宋_GB2312" w:hAnsi="仿宋_GB2312" w:eastAsia="仿宋_GB2312" w:cs="仿宋_GB2312"/>
          <w:color w:val="auto"/>
          <w:sz w:val="21"/>
          <w:szCs w:val="21"/>
          <w:highlight w:val="none"/>
          <w:lang w:val="en-US" w:eastAsia="zh-CN"/>
        </w:rPr>
      </w:pPr>
    </w:p>
    <w:p w14:paraId="29B79DA7">
      <w:pPr>
        <w:spacing w:line="360" w:lineRule="auto"/>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b/>
          <w:color w:val="auto"/>
          <w:szCs w:val="24"/>
          <w:highlight w:val="none"/>
        </w:rPr>
        <w:t>注：磋商方案无固定格式，供应商根据采购</w:t>
      </w:r>
      <w:r>
        <w:rPr>
          <w:rFonts w:hint="eastAsia" w:ascii="仿宋_GB2312" w:hAnsi="仿宋_GB2312" w:eastAsia="仿宋_GB2312" w:cs="仿宋_GB2312"/>
          <w:b/>
          <w:color w:val="auto"/>
          <w:szCs w:val="24"/>
          <w:highlight w:val="none"/>
          <w:lang w:eastAsia="zh-CN"/>
        </w:rPr>
        <w:t>需求及</w:t>
      </w:r>
      <w:r>
        <w:rPr>
          <w:rFonts w:hint="eastAsia" w:ascii="仿宋_GB2312" w:hAnsi="仿宋_GB2312" w:eastAsia="仿宋_GB2312" w:cs="仿宋_GB2312"/>
          <w:b/>
          <w:color w:val="auto"/>
          <w:szCs w:val="24"/>
          <w:highlight w:val="none"/>
          <w:lang w:val="en-US" w:eastAsia="zh-CN"/>
        </w:rPr>
        <w:t>11.</w:t>
      </w:r>
      <w:r>
        <w:rPr>
          <w:rFonts w:hint="eastAsia" w:ascii="仿宋_GB2312" w:hAnsi="仿宋_GB2312" w:eastAsia="仿宋_GB2312" w:cs="仿宋_GB2312"/>
          <w:b/>
          <w:color w:val="auto"/>
          <w:szCs w:val="24"/>
          <w:highlight w:val="none"/>
        </w:rPr>
        <w:t>3详细评审标准，可自主编写方案说明，包含但不限于以上内容）</w:t>
      </w:r>
    </w:p>
    <w:p w14:paraId="52599758">
      <w:pPr>
        <w:outlineLvl w:val="9"/>
        <w:rPr>
          <w:rFonts w:hint="eastAsia" w:ascii="仿宋_GB2312" w:hAnsi="仿宋_GB2312" w:eastAsia="仿宋_GB2312" w:cs="仿宋_GB2312"/>
        </w:rPr>
      </w:pPr>
    </w:p>
    <w:p w14:paraId="5E31F832">
      <w:pPr>
        <w:kinsoku w:val="0"/>
        <w:spacing w:line="360" w:lineRule="auto"/>
        <w:ind w:firstLine="560" w:firstLineChars="200"/>
        <w:rPr>
          <w:rFonts w:hint="eastAsia" w:ascii="仿宋_GB2312" w:hAnsi="仿宋_GB2312" w:eastAsia="仿宋_GB2312" w:cs="仿宋_GB2312"/>
          <w:color w:val="000000"/>
          <w:sz w:val="28"/>
          <w:szCs w:val="28"/>
        </w:rPr>
      </w:pPr>
    </w:p>
    <w:p w14:paraId="418962C1">
      <w:pPr>
        <w:kinsoku w:val="0"/>
        <w:spacing w:line="360" w:lineRule="auto"/>
        <w:ind w:firstLine="560" w:firstLineChars="200"/>
        <w:rPr>
          <w:rFonts w:hint="eastAsia" w:ascii="仿宋_GB2312" w:hAnsi="仿宋_GB2312" w:eastAsia="仿宋_GB2312" w:cs="仿宋_GB2312"/>
          <w:color w:val="000000"/>
          <w:sz w:val="28"/>
          <w:szCs w:val="28"/>
        </w:rPr>
      </w:pPr>
    </w:p>
    <w:p w14:paraId="613CBE6C">
      <w:pPr>
        <w:kinsoku w:val="0"/>
        <w:spacing w:line="360" w:lineRule="auto"/>
        <w:ind w:firstLine="560" w:firstLineChars="200"/>
        <w:rPr>
          <w:rFonts w:hint="eastAsia" w:ascii="仿宋_GB2312" w:hAnsi="仿宋_GB2312" w:eastAsia="仿宋_GB2312" w:cs="仿宋_GB2312"/>
          <w:color w:val="000000"/>
          <w:sz w:val="28"/>
          <w:szCs w:val="28"/>
        </w:rPr>
      </w:pPr>
    </w:p>
    <w:p w14:paraId="4AAB3D3C">
      <w:pPr>
        <w:kinsoku w:val="0"/>
        <w:spacing w:line="360" w:lineRule="auto"/>
        <w:ind w:firstLine="560" w:firstLineChars="200"/>
        <w:rPr>
          <w:rFonts w:hint="eastAsia" w:ascii="仿宋_GB2312" w:hAnsi="仿宋_GB2312" w:eastAsia="仿宋_GB2312" w:cs="仿宋_GB2312"/>
          <w:color w:val="000000"/>
          <w:sz w:val="28"/>
          <w:szCs w:val="28"/>
        </w:rPr>
      </w:pPr>
    </w:p>
    <w:p w14:paraId="21FD2B34">
      <w:pPr>
        <w:pStyle w:val="12"/>
        <w:ind w:left="1470" w:right="1470"/>
        <w:rPr>
          <w:rFonts w:hint="eastAsia" w:ascii="仿宋_GB2312" w:hAnsi="仿宋_GB2312" w:eastAsia="仿宋_GB2312" w:cs="仿宋_GB2312"/>
          <w:color w:val="000000"/>
          <w:sz w:val="28"/>
          <w:szCs w:val="28"/>
        </w:rPr>
      </w:pPr>
    </w:p>
    <w:p w14:paraId="53A69FE2">
      <w:pPr>
        <w:pStyle w:val="12"/>
        <w:ind w:left="1470" w:right="1470"/>
        <w:rPr>
          <w:rFonts w:hint="eastAsia" w:ascii="仿宋_GB2312" w:hAnsi="仿宋_GB2312" w:eastAsia="仿宋_GB2312" w:cs="仿宋_GB2312"/>
          <w:color w:val="000000"/>
          <w:sz w:val="28"/>
          <w:szCs w:val="28"/>
        </w:rPr>
      </w:pPr>
    </w:p>
    <w:p w14:paraId="3A65B0A6">
      <w:pPr>
        <w:pStyle w:val="12"/>
        <w:ind w:left="1470" w:right="1470"/>
        <w:rPr>
          <w:rFonts w:hint="eastAsia" w:ascii="仿宋_GB2312" w:hAnsi="仿宋_GB2312" w:eastAsia="仿宋_GB2312" w:cs="仿宋_GB2312"/>
          <w:color w:val="000000"/>
          <w:sz w:val="28"/>
          <w:szCs w:val="28"/>
        </w:rPr>
      </w:pPr>
    </w:p>
    <w:p w14:paraId="3F88337C">
      <w:pPr>
        <w:pStyle w:val="12"/>
        <w:ind w:left="1470" w:right="1470"/>
        <w:rPr>
          <w:rFonts w:hint="eastAsia" w:ascii="仿宋_GB2312" w:hAnsi="仿宋_GB2312" w:eastAsia="仿宋_GB2312" w:cs="仿宋_GB2312"/>
          <w:color w:val="000000"/>
          <w:sz w:val="28"/>
          <w:szCs w:val="28"/>
        </w:rPr>
      </w:pPr>
    </w:p>
    <w:p w14:paraId="0BD06668">
      <w:pPr>
        <w:pStyle w:val="12"/>
        <w:ind w:left="1470" w:right="1470"/>
        <w:rPr>
          <w:rFonts w:hint="eastAsia" w:ascii="仿宋_GB2312" w:hAnsi="仿宋_GB2312" w:eastAsia="仿宋_GB2312" w:cs="仿宋_GB2312"/>
          <w:color w:val="000000"/>
          <w:sz w:val="28"/>
          <w:szCs w:val="28"/>
        </w:rPr>
      </w:pPr>
    </w:p>
    <w:p w14:paraId="307D7516">
      <w:pPr>
        <w:pStyle w:val="12"/>
        <w:ind w:left="1470" w:right="1470"/>
        <w:rPr>
          <w:rFonts w:hint="eastAsia" w:ascii="仿宋_GB2312" w:hAnsi="仿宋_GB2312" w:eastAsia="仿宋_GB2312" w:cs="仿宋_GB2312"/>
          <w:color w:val="000000"/>
          <w:sz w:val="28"/>
          <w:szCs w:val="28"/>
        </w:rPr>
      </w:pPr>
    </w:p>
    <w:p w14:paraId="33D8A95B">
      <w:pPr>
        <w:pStyle w:val="12"/>
        <w:ind w:left="1470" w:right="1470"/>
        <w:rPr>
          <w:rFonts w:hint="eastAsia" w:ascii="仿宋_GB2312" w:hAnsi="仿宋_GB2312" w:eastAsia="仿宋_GB2312" w:cs="仿宋_GB2312"/>
          <w:color w:val="000000"/>
          <w:sz w:val="28"/>
          <w:szCs w:val="28"/>
        </w:rPr>
      </w:pPr>
    </w:p>
    <w:p w14:paraId="3B73E1BB">
      <w:pPr>
        <w:pStyle w:val="12"/>
        <w:ind w:left="1470" w:right="1470"/>
        <w:rPr>
          <w:rFonts w:hint="eastAsia" w:ascii="仿宋_GB2312" w:hAnsi="仿宋_GB2312" w:eastAsia="仿宋_GB2312" w:cs="仿宋_GB2312"/>
          <w:color w:val="000000"/>
          <w:sz w:val="28"/>
          <w:szCs w:val="28"/>
        </w:rPr>
      </w:pPr>
    </w:p>
    <w:p w14:paraId="2E4D6EDD">
      <w:pPr>
        <w:pStyle w:val="12"/>
        <w:ind w:left="1470" w:right="1470"/>
        <w:rPr>
          <w:rFonts w:hint="eastAsia" w:ascii="仿宋_GB2312" w:hAnsi="仿宋_GB2312" w:eastAsia="仿宋_GB2312" w:cs="仿宋_GB2312"/>
          <w:color w:val="000000"/>
          <w:sz w:val="28"/>
          <w:szCs w:val="28"/>
        </w:rPr>
      </w:pPr>
    </w:p>
    <w:p w14:paraId="0ACBB67D">
      <w:pPr>
        <w:pStyle w:val="12"/>
        <w:ind w:left="1470" w:right="1470"/>
        <w:rPr>
          <w:rFonts w:hint="eastAsia" w:ascii="仿宋_GB2312" w:hAnsi="仿宋_GB2312" w:eastAsia="仿宋_GB2312" w:cs="仿宋_GB2312"/>
          <w:color w:val="000000"/>
          <w:sz w:val="28"/>
          <w:szCs w:val="28"/>
        </w:rPr>
      </w:pPr>
    </w:p>
    <w:p w14:paraId="29CAF953">
      <w:pPr>
        <w:pStyle w:val="12"/>
        <w:ind w:left="1470" w:right="1470"/>
        <w:rPr>
          <w:rFonts w:hint="eastAsia" w:ascii="仿宋_GB2312" w:hAnsi="仿宋_GB2312" w:eastAsia="仿宋_GB2312" w:cs="仿宋_GB2312"/>
          <w:color w:val="000000"/>
          <w:sz w:val="28"/>
          <w:szCs w:val="28"/>
        </w:rPr>
      </w:pPr>
    </w:p>
    <w:p w14:paraId="1C21D58A">
      <w:pPr>
        <w:pStyle w:val="12"/>
        <w:ind w:left="1470" w:right="1470"/>
        <w:rPr>
          <w:rFonts w:hint="eastAsia" w:ascii="仿宋_GB2312" w:hAnsi="仿宋_GB2312" w:eastAsia="仿宋_GB2312" w:cs="仿宋_GB2312"/>
          <w:color w:val="000000"/>
          <w:sz w:val="28"/>
          <w:szCs w:val="28"/>
        </w:rPr>
      </w:pPr>
    </w:p>
    <w:p w14:paraId="7D4AD972">
      <w:pPr>
        <w:pStyle w:val="12"/>
        <w:ind w:left="1470" w:right="1470"/>
        <w:rPr>
          <w:rFonts w:hint="eastAsia" w:ascii="仿宋_GB2312" w:hAnsi="仿宋_GB2312" w:eastAsia="仿宋_GB2312" w:cs="仿宋_GB2312"/>
          <w:color w:val="000000"/>
          <w:sz w:val="28"/>
          <w:szCs w:val="28"/>
        </w:rPr>
      </w:pPr>
    </w:p>
    <w:p w14:paraId="257541A9">
      <w:pPr>
        <w:pStyle w:val="12"/>
        <w:ind w:left="1470" w:right="1470"/>
        <w:rPr>
          <w:rFonts w:hint="eastAsia" w:ascii="仿宋_GB2312" w:hAnsi="仿宋_GB2312" w:eastAsia="仿宋_GB2312" w:cs="仿宋_GB2312"/>
          <w:color w:val="000000"/>
          <w:sz w:val="28"/>
          <w:szCs w:val="28"/>
        </w:rPr>
      </w:pPr>
    </w:p>
    <w:p w14:paraId="4C92CCB3">
      <w:pPr>
        <w:pStyle w:val="12"/>
        <w:ind w:left="0" w:leftChars="0" w:right="1470"/>
        <w:rPr>
          <w:rFonts w:hint="eastAsia" w:ascii="仿宋_GB2312" w:hAnsi="仿宋_GB2312" w:eastAsia="仿宋_GB2312" w:cs="仿宋_GB2312"/>
          <w:color w:val="000000"/>
          <w:sz w:val="28"/>
          <w:szCs w:val="28"/>
        </w:rPr>
      </w:pPr>
    </w:p>
    <w:p w14:paraId="2E751632">
      <w:pPr>
        <w:keepLines/>
        <w:pageBreakBefore/>
        <w:spacing w:line="360" w:lineRule="auto"/>
        <w:jc w:val="center"/>
        <w:outlineLvl w:val="1"/>
        <w:rPr>
          <w:rFonts w:hint="eastAsia" w:ascii="仿宋_GB2312" w:hAnsi="仿宋_GB2312" w:eastAsia="仿宋_GB2312" w:cs="仿宋_GB2312"/>
          <w:b/>
          <w:color w:val="000000"/>
          <w:sz w:val="28"/>
          <w:szCs w:val="28"/>
        </w:rPr>
      </w:pPr>
      <w:bookmarkStart w:id="205" w:name="_Toc7931"/>
      <w:bookmarkStart w:id="206" w:name="_Toc6747"/>
      <w:bookmarkStart w:id="207" w:name="_Toc500323116"/>
      <w:bookmarkStart w:id="208" w:name="_Toc14452"/>
      <w:bookmarkStart w:id="209" w:name="_Toc26138"/>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w:t>
      </w:r>
      <w:bookmarkEnd w:id="205"/>
      <w:bookmarkEnd w:id="206"/>
      <w:bookmarkEnd w:id="207"/>
      <w:bookmarkEnd w:id="208"/>
      <w:r>
        <w:rPr>
          <w:rFonts w:hint="eastAsia" w:ascii="仿宋_GB2312" w:hAnsi="仿宋_GB2312" w:eastAsia="仿宋_GB2312" w:cs="仿宋_GB2312"/>
          <w:b/>
          <w:color w:val="000000"/>
          <w:sz w:val="32"/>
          <w:szCs w:val="32"/>
          <w:lang w:eastAsia="zh-CN"/>
        </w:rPr>
        <w:t>技术</w:t>
      </w:r>
      <w:r>
        <w:rPr>
          <w:rFonts w:hint="eastAsia" w:ascii="仿宋_GB2312" w:hAnsi="仿宋_GB2312" w:eastAsia="仿宋_GB2312" w:cs="仿宋_GB2312"/>
          <w:b/>
          <w:color w:val="000000"/>
          <w:sz w:val="32"/>
          <w:szCs w:val="32"/>
        </w:rPr>
        <w:t>部分</w:t>
      </w:r>
      <w:bookmarkEnd w:id="209"/>
    </w:p>
    <w:p w14:paraId="00E700D1">
      <w:pPr>
        <w:pStyle w:val="30"/>
        <w:rPr>
          <w:rFonts w:hint="eastAsia" w:ascii="仿宋_GB2312" w:hAnsi="仿宋_GB2312" w:eastAsia="仿宋_GB2312" w:cs="仿宋_GB2312"/>
          <w:sz w:val="21"/>
          <w:szCs w:val="21"/>
          <w:lang w:val="en-US" w:eastAsia="zh-CN"/>
        </w:rPr>
      </w:pPr>
    </w:p>
    <w:p w14:paraId="74FB7E1A">
      <w:pPr>
        <w:spacing w:line="360" w:lineRule="auto"/>
        <w:ind w:firstLine="413" w:firstLineChars="196"/>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注：磋商方案无固定格式，供应商根据采购</w:t>
      </w:r>
      <w:r>
        <w:rPr>
          <w:rFonts w:hint="eastAsia" w:ascii="仿宋_GB2312" w:hAnsi="仿宋_GB2312" w:eastAsia="仿宋_GB2312" w:cs="仿宋_GB2312"/>
          <w:b/>
          <w:bCs/>
          <w:color w:val="000000"/>
          <w:sz w:val="21"/>
          <w:szCs w:val="21"/>
          <w:lang w:eastAsia="zh-CN"/>
        </w:rPr>
        <w:t>需求</w:t>
      </w:r>
      <w:r>
        <w:rPr>
          <w:rFonts w:hint="eastAsia" w:ascii="仿宋_GB2312" w:hAnsi="仿宋_GB2312" w:eastAsia="仿宋_GB2312" w:cs="仿宋_GB2312"/>
          <w:b/>
          <w:color w:val="auto"/>
          <w:szCs w:val="24"/>
          <w:highlight w:val="none"/>
          <w:lang w:eastAsia="zh-CN"/>
        </w:rPr>
        <w:t>及</w:t>
      </w:r>
      <w:r>
        <w:rPr>
          <w:rFonts w:hint="eastAsia" w:ascii="仿宋_GB2312" w:hAnsi="仿宋_GB2312" w:eastAsia="仿宋_GB2312" w:cs="仿宋_GB2312"/>
          <w:b/>
          <w:color w:val="auto"/>
          <w:szCs w:val="24"/>
          <w:highlight w:val="none"/>
          <w:lang w:val="en-US" w:eastAsia="zh-CN"/>
        </w:rPr>
        <w:t>11.</w:t>
      </w:r>
      <w:r>
        <w:rPr>
          <w:rFonts w:hint="eastAsia" w:ascii="仿宋_GB2312" w:hAnsi="仿宋_GB2312" w:eastAsia="仿宋_GB2312" w:cs="仿宋_GB2312"/>
          <w:b/>
          <w:color w:val="auto"/>
          <w:szCs w:val="24"/>
          <w:highlight w:val="none"/>
        </w:rPr>
        <w:t>3详细评审标准</w:t>
      </w:r>
      <w:r>
        <w:rPr>
          <w:rFonts w:hint="eastAsia" w:ascii="仿宋_GB2312" w:hAnsi="仿宋_GB2312" w:eastAsia="仿宋_GB2312" w:cs="仿宋_GB2312"/>
          <w:b/>
          <w:bCs/>
          <w:color w:val="000000"/>
          <w:sz w:val="21"/>
          <w:szCs w:val="21"/>
        </w:rPr>
        <w:t>，可自主编写方案说明，包含但不限于以上内容）</w:t>
      </w:r>
    </w:p>
    <w:p w14:paraId="660AA42B">
      <w:pPr>
        <w:spacing w:line="360" w:lineRule="auto"/>
        <w:ind w:firstLine="551" w:firstLineChars="196"/>
        <w:rPr>
          <w:rFonts w:hint="eastAsia" w:ascii="仿宋_GB2312" w:hAnsi="仿宋_GB2312" w:eastAsia="仿宋_GB2312" w:cs="仿宋_GB2312"/>
          <w:b/>
          <w:bCs/>
          <w:color w:val="000000"/>
          <w:sz w:val="28"/>
          <w:szCs w:val="28"/>
        </w:rPr>
      </w:pPr>
    </w:p>
    <w:p w14:paraId="02488233">
      <w:pPr>
        <w:pStyle w:val="12"/>
        <w:rPr>
          <w:rFonts w:hint="eastAsia" w:ascii="仿宋_GB2312" w:hAnsi="仿宋_GB2312" w:eastAsia="仿宋_GB2312" w:cs="仿宋_GB2312"/>
        </w:rPr>
      </w:pPr>
    </w:p>
    <w:p w14:paraId="1C6A87D1">
      <w:pPr>
        <w:spacing w:line="360" w:lineRule="auto"/>
        <w:ind w:firstLine="560" w:firstLineChars="200"/>
        <w:rPr>
          <w:rFonts w:hint="eastAsia" w:ascii="仿宋_GB2312" w:hAnsi="仿宋_GB2312" w:eastAsia="仿宋_GB2312" w:cs="仿宋_GB2312"/>
          <w:color w:val="000000"/>
          <w:sz w:val="28"/>
          <w:szCs w:val="28"/>
        </w:rPr>
      </w:pPr>
    </w:p>
    <w:bookmarkEnd w:id="199"/>
    <w:bookmarkEnd w:id="200"/>
    <w:p w14:paraId="467C2A8C">
      <w:pPr>
        <w:keepLines/>
        <w:pageBreakBefore/>
        <w:spacing w:line="360" w:lineRule="auto"/>
        <w:jc w:val="center"/>
        <w:outlineLvl w:val="1"/>
        <w:rPr>
          <w:rFonts w:hint="eastAsia" w:ascii="仿宋_GB2312" w:hAnsi="仿宋_GB2312" w:eastAsia="仿宋_GB2312" w:cs="仿宋_GB2312"/>
          <w:b/>
          <w:color w:val="000000"/>
          <w:sz w:val="28"/>
          <w:szCs w:val="28"/>
        </w:rPr>
      </w:pPr>
      <w:bookmarkStart w:id="210" w:name="_Toc21390"/>
      <w:bookmarkStart w:id="211" w:name="_Toc729"/>
      <w:bookmarkStart w:id="212" w:name="_Toc500323117"/>
      <w:bookmarkStart w:id="213" w:name="_Toc19179"/>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、供应商承诺书</w:t>
      </w:r>
      <w:bookmarkEnd w:id="210"/>
      <w:bookmarkEnd w:id="211"/>
      <w:bookmarkEnd w:id="212"/>
    </w:p>
    <w:p w14:paraId="5D4819E7">
      <w:pPr>
        <w:spacing w:line="360" w:lineRule="auto"/>
        <w:ind w:firstLine="420" w:firstLineChars="200"/>
        <w:rPr>
          <w:rFonts w:hint="eastAsia" w:ascii="仿宋_GB2312" w:hAnsi="仿宋_GB2312" w:eastAsia="仿宋_GB2312" w:cs="仿宋_GB2312"/>
          <w:color w:val="000000"/>
          <w:sz w:val="21"/>
          <w:szCs w:val="21"/>
        </w:rPr>
      </w:pPr>
      <w:bookmarkStart w:id="214" w:name="_Toc359592510"/>
      <w:bookmarkStart w:id="215" w:name="_Toc371521419"/>
      <w:bookmarkStart w:id="216" w:name="_Toc361383542"/>
      <w:bookmarkStart w:id="217" w:name="_Toc367714248"/>
      <w:bookmarkStart w:id="218" w:name="_Toc361393208"/>
      <w:bookmarkStart w:id="219" w:name="_Toc371331512"/>
      <w:bookmarkStart w:id="220" w:name="_Toc371521013"/>
      <w:bookmarkStart w:id="221" w:name="_Toc371521076"/>
      <w:bookmarkStart w:id="222" w:name="_Toc371451563"/>
      <w:bookmarkStart w:id="223" w:name="_Toc424757670"/>
      <w:bookmarkStart w:id="224" w:name="_Toc359828206"/>
      <w:bookmarkStart w:id="225" w:name="_Toc424816795"/>
      <w:bookmarkStart w:id="226" w:name="_Toc359508067"/>
      <w:r>
        <w:rPr>
          <w:rFonts w:hint="eastAsia" w:ascii="仿宋_GB2312" w:hAnsi="仿宋_GB2312" w:eastAsia="仿宋_GB2312" w:cs="仿宋_GB2312"/>
          <w:color w:val="000000"/>
          <w:sz w:val="21"/>
          <w:szCs w:val="21"/>
        </w:rPr>
        <w:t>注：</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5F8623D0">
      <w:pPr>
        <w:spacing w:line="360" w:lineRule="auto"/>
        <w:ind w:firstLine="420" w:firstLineChars="200"/>
        <w:rPr>
          <w:rFonts w:hint="eastAsia" w:ascii="仿宋_GB2312" w:hAnsi="仿宋_GB2312" w:eastAsia="仿宋_GB2312" w:cs="仿宋_GB2312"/>
          <w:color w:val="000000"/>
          <w:sz w:val="21"/>
          <w:szCs w:val="21"/>
        </w:rPr>
      </w:pPr>
      <w:bookmarkStart w:id="227" w:name="_Toc359508068"/>
      <w:bookmarkStart w:id="228" w:name="_Toc359592511"/>
      <w:bookmarkStart w:id="229" w:name="_Toc424816796"/>
      <w:bookmarkStart w:id="230" w:name="_Toc371451564"/>
      <w:bookmarkStart w:id="231" w:name="_Toc371521077"/>
      <w:bookmarkStart w:id="232" w:name="_Toc361393209"/>
      <w:bookmarkStart w:id="233" w:name="_Toc424757671"/>
      <w:bookmarkStart w:id="234" w:name="_Toc371331513"/>
      <w:bookmarkStart w:id="235" w:name="_Toc371521420"/>
      <w:bookmarkStart w:id="236" w:name="_Toc359828207"/>
      <w:bookmarkStart w:id="237" w:name="_Toc371521014"/>
      <w:bookmarkStart w:id="238" w:name="_Toc361383543"/>
      <w:bookmarkStart w:id="239" w:name="_Toc367714249"/>
      <w:r>
        <w:rPr>
          <w:rFonts w:hint="eastAsia" w:ascii="仿宋_GB2312" w:hAnsi="仿宋_GB2312" w:eastAsia="仿宋_GB2312" w:cs="仿宋_GB2312"/>
          <w:color w:val="000000"/>
          <w:sz w:val="21"/>
          <w:szCs w:val="21"/>
        </w:rPr>
        <w:t>（1）未签署或者虚假承诺签署本承诺书的，其责任由供应商自行承担。</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0BEFBA10">
      <w:pPr>
        <w:spacing w:line="360" w:lineRule="auto"/>
        <w:ind w:firstLine="420" w:firstLineChars="200"/>
        <w:rPr>
          <w:rFonts w:hint="eastAsia" w:ascii="仿宋_GB2312" w:hAnsi="仿宋_GB2312" w:eastAsia="仿宋_GB2312" w:cs="仿宋_GB2312"/>
          <w:color w:val="000000"/>
          <w:sz w:val="21"/>
          <w:szCs w:val="21"/>
        </w:rPr>
      </w:pPr>
      <w:bookmarkStart w:id="240" w:name="_Toc371451565"/>
      <w:bookmarkStart w:id="241" w:name="_Toc359508069"/>
      <w:bookmarkStart w:id="242" w:name="_Toc361393210"/>
      <w:bookmarkStart w:id="243" w:name="_Toc359592512"/>
      <w:bookmarkStart w:id="244" w:name="_Toc361383544"/>
      <w:bookmarkStart w:id="245" w:name="_Toc371521421"/>
      <w:bookmarkStart w:id="246" w:name="_Toc424816797"/>
      <w:bookmarkStart w:id="247" w:name="_Toc359828208"/>
      <w:bookmarkStart w:id="248" w:name="_Toc371521078"/>
      <w:bookmarkStart w:id="249" w:name="_Toc367714250"/>
      <w:bookmarkStart w:id="250" w:name="_Toc424757672"/>
      <w:bookmarkStart w:id="251" w:name="_Toc371521015"/>
      <w:bookmarkStart w:id="252" w:name="_Toc371331514"/>
      <w:r>
        <w:rPr>
          <w:rFonts w:hint="eastAsia" w:ascii="仿宋_GB2312" w:hAnsi="仿宋_GB2312" w:eastAsia="仿宋_GB2312" w:cs="仿宋_GB2312"/>
          <w:color w:val="000000"/>
          <w:sz w:val="21"/>
          <w:szCs w:val="21"/>
        </w:rPr>
        <w:t>（2）编制的响应文件须装订原件。</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64CB77F5">
      <w:pPr>
        <w:spacing w:line="360" w:lineRule="auto"/>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承诺书（一）</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6"/>
        <w:gridCol w:w="2946"/>
        <w:gridCol w:w="3000"/>
      </w:tblGrid>
      <w:tr w14:paraId="018D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72" w:type="dxa"/>
            <w:gridSpan w:val="3"/>
            <w:noWrap w:val="0"/>
            <w:vAlign w:val="center"/>
          </w:tcPr>
          <w:p w14:paraId="712EE25E">
            <w:pPr>
              <w:spacing w:line="36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lang w:eastAsia="zh-CN"/>
              </w:rPr>
              <w:t>陕西辰云项目管理有限公司</w:t>
            </w:r>
          </w:p>
        </w:tc>
      </w:tr>
      <w:tr w14:paraId="6310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9072" w:type="dxa"/>
            <w:gridSpan w:val="3"/>
            <w:noWrap w:val="0"/>
            <w:vAlign w:val="center"/>
          </w:tcPr>
          <w:p w14:paraId="5156FE2F">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作为参加贵公司组织的招标采购项目的供应商，本公司承诺：在参加本项目磋商之前</w:t>
            </w:r>
            <w:r>
              <w:rPr>
                <w:rFonts w:hint="eastAsia" w:ascii="仿宋_GB2312" w:hAnsi="仿宋_GB2312" w:eastAsia="仿宋_GB2312" w:cs="仿宋_GB2312"/>
                <w:sz w:val="21"/>
                <w:szCs w:val="21"/>
              </w:rPr>
              <w:t>三年内</w:t>
            </w:r>
            <w:r>
              <w:rPr>
                <w:rFonts w:hint="eastAsia" w:ascii="仿宋_GB2312" w:hAnsi="仿宋_GB2312" w:eastAsia="仿宋_GB2312" w:cs="仿宋_GB2312"/>
                <w:color w:val="000000"/>
                <w:sz w:val="21"/>
                <w:szCs w:val="21"/>
              </w:rPr>
              <w:t>不存在被依法禁止经营行为、财产被接管或冻结、</w:t>
            </w:r>
            <w:r>
              <w:rPr>
                <w:rFonts w:hint="eastAsia" w:ascii="仿宋_GB2312" w:hAnsi="仿宋_GB2312" w:eastAsia="仿宋_GB2312" w:cs="仿宋_GB2312"/>
                <w:sz w:val="21"/>
                <w:szCs w:val="21"/>
              </w:rPr>
              <w:t>合同纠纷、经营异常</w:t>
            </w:r>
            <w:r>
              <w:rPr>
                <w:rFonts w:hint="eastAsia" w:ascii="仿宋_GB2312" w:hAnsi="仿宋_GB2312" w:eastAsia="仿宋_GB2312" w:cs="仿宋_GB2312"/>
                <w:color w:val="000000"/>
                <w:sz w:val="21"/>
                <w:szCs w:val="21"/>
              </w:rPr>
              <w:t>的情况，如有隐瞒实情，愿承担一切责任及后果。</w:t>
            </w:r>
          </w:p>
        </w:tc>
      </w:tr>
      <w:tr w14:paraId="4880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126" w:type="dxa"/>
            <w:noWrap w:val="0"/>
            <w:vAlign w:val="center"/>
          </w:tcPr>
          <w:p w14:paraId="7AAC8920">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w:t>
            </w:r>
          </w:p>
        </w:tc>
        <w:tc>
          <w:tcPr>
            <w:tcW w:w="2946" w:type="dxa"/>
            <w:noWrap w:val="0"/>
            <w:vAlign w:val="center"/>
          </w:tcPr>
          <w:p w14:paraId="13B15C2F">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法定代表人</w:t>
            </w:r>
          </w:p>
        </w:tc>
        <w:tc>
          <w:tcPr>
            <w:tcW w:w="3000" w:type="dxa"/>
            <w:noWrap w:val="0"/>
            <w:vAlign w:val="center"/>
          </w:tcPr>
          <w:p w14:paraId="164B3765">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日 期</w:t>
            </w:r>
          </w:p>
        </w:tc>
      </w:tr>
      <w:tr w14:paraId="1D0C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3126" w:type="dxa"/>
            <w:noWrap w:val="0"/>
            <w:vAlign w:val="center"/>
          </w:tcPr>
          <w:p w14:paraId="0A25D49A">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（单位公章）</w:t>
            </w:r>
          </w:p>
        </w:tc>
        <w:tc>
          <w:tcPr>
            <w:tcW w:w="2946" w:type="dxa"/>
            <w:noWrap w:val="0"/>
            <w:vAlign w:val="center"/>
          </w:tcPr>
          <w:p w14:paraId="7B7B3EDE">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（签字</w:t>
            </w:r>
            <w:r>
              <w:rPr>
                <w:rFonts w:hint="eastAsia" w:ascii="仿宋_GB2312" w:hAnsi="仿宋_GB2312" w:eastAsia="仿宋_GB2312" w:cs="仿宋_GB2312"/>
                <w:color w:val="000000"/>
                <w:sz w:val="21"/>
                <w:szCs w:val="21"/>
                <w:lang w:val="en-US" w:eastAsia="zh-CN"/>
              </w:rPr>
              <w:t>和盖章</w:t>
            </w:r>
            <w:r>
              <w:rPr>
                <w:rFonts w:hint="eastAsia" w:ascii="仿宋_GB2312" w:hAnsi="仿宋_GB2312" w:eastAsia="仿宋_GB2312" w:cs="仿宋_GB2312"/>
                <w:color w:val="000000"/>
                <w:sz w:val="21"/>
                <w:szCs w:val="21"/>
              </w:rPr>
              <w:t>）</w:t>
            </w:r>
          </w:p>
        </w:tc>
        <w:tc>
          <w:tcPr>
            <w:tcW w:w="3000" w:type="dxa"/>
            <w:noWrap w:val="0"/>
            <w:vAlign w:val="center"/>
          </w:tcPr>
          <w:p w14:paraId="27AFC1AF">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tc>
      </w:tr>
    </w:tbl>
    <w:p w14:paraId="4D4A73A1">
      <w:pPr>
        <w:pStyle w:val="10"/>
        <w:rPr>
          <w:rFonts w:hint="eastAsia" w:ascii="仿宋_GB2312" w:hAnsi="仿宋_GB2312" w:eastAsia="仿宋_GB2312" w:cs="仿宋_GB2312"/>
          <w:color w:val="000000"/>
          <w:sz w:val="21"/>
          <w:szCs w:val="21"/>
        </w:rPr>
      </w:pPr>
    </w:p>
    <w:p w14:paraId="3D245747">
      <w:pPr>
        <w:rPr>
          <w:rFonts w:hint="eastAsia" w:ascii="仿宋_GB2312" w:hAnsi="仿宋_GB2312" w:eastAsia="仿宋_GB2312" w:cs="仿宋_GB2312"/>
          <w:color w:val="000000"/>
          <w:sz w:val="21"/>
          <w:szCs w:val="21"/>
        </w:rPr>
      </w:pPr>
    </w:p>
    <w:p w14:paraId="11C6CB59">
      <w:pPr>
        <w:pStyle w:val="10"/>
        <w:rPr>
          <w:rFonts w:hint="eastAsia" w:ascii="仿宋_GB2312" w:hAnsi="仿宋_GB2312" w:eastAsia="仿宋_GB2312" w:cs="仿宋_GB2312"/>
          <w:color w:val="000000"/>
          <w:sz w:val="21"/>
          <w:szCs w:val="21"/>
        </w:rPr>
      </w:pPr>
    </w:p>
    <w:p w14:paraId="0E8A2364">
      <w:pPr>
        <w:rPr>
          <w:rFonts w:hint="eastAsia" w:ascii="仿宋_GB2312" w:hAnsi="仿宋_GB2312" w:eastAsia="仿宋_GB2312" w:cs="仿宋_GB2312"/>
          <w:color w:val="000000"/>
          <w:sz w:val="21"/>
          <w:szCs w:val="21"/>
        </w:rPr>
      </w:pPr>
    </w:p>
    <w:p w14:paraId="3B2F8EA2">
      <w:pPr>
        <w:pStyle w:val="10"/>
        <w:rPr>
          <w:rFonts w:hint="eastAsia" w:ascii="仿宋_GB2312" w:hAnsi="仿宋_GB2312" w:eastAsia="仿宋_GB2312" w:cs="仿宋_GB2312"/>
          <w:color w:val="000000"/>
          <w:sz w:val="21"/>
          <w:szCs w:val="21"/>
        </w:rPr>
      </w:pPr>
    </w:p>
    <w:p w14:paraId="63E8F970">
      <w:pPr>
        <w:rPr>
          <w:rFonts w:hint="eastAsia" w:ascii="仿宋_GB2312" w:hAnsi="仿宋_GB2312" w:eastAsia="仿宋_GB2312" w:cs="仿宋_GB2312"/>
          <w:color w:val="000000"/>
          <w:sz w:val="21"/>
          <w:szCs w:val="21"/>
        </w:rPr>
      </w:pPr>
    </w:p>
    <w:p w14:paraId="66929974">
      <w:pPr>
        <w:pStyle w:val="10"/>
        <w:rPr>
          <w:rFonts w:hint="eastAsia" w:ascii="仿宋_GB2312" w:hAnsi="仿宋_GB2312" w:eastAsia="仿宋_GB2312" w:cs="仿宋_GB2312"/>
          <w:color w:val="000000"/>
          <w:sz w:val="21"/>
          <w:szCs w:val="21"/>
        </w:rPr>
      </w:pPr>
    </w:p>
    <w:p w14:paraId="1A71326D">
      <w:pPr>
        <w:rPr>
          <w:rFonts w:hint="eastAsia" w:ascii="仿宋_GB2312" w:hAnsi="仿宋_GB2312" w:eastAsia="仿宋_GB2312" w:cs="仿宋_GB2312"/>
          <w:color w:val="000000"/>
          <w:sz w:val="21"/>
          <w:szCs w:val="21"/>
        </w:rPr>
      </w:pPr>
    </w:p>
    <w:p w14:paraId="659D6011">
      <w:pPr>
        <w:rPr>
          <w:rFonts w:hint="eastAsia" w:ascii="仿宋_GB2312" w:hAnsi="仿宋_GB2312" w:eastAsia="仿宋_GB2312" w:cs="仿宋_GB2312"/>
          <w:sz w:val="21"/>
          <w:szCs w:val="21"/>
        </w:rPr>
        <w:sectPr>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DCA8B64">
      <w:pPr>
        <w:spacing w:line="360" w:lineRule="auto"/>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承诺书（二）</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0"/>
        <w:gridCol w:w="2951"/>
        <w:gridCol w:w="3351"/>
      </w:tblGrid>
      <w:tr w14:paraId="5C29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9072" w:type="dxa"/>
            <w:gridSpan w:val="3"/>
            <w:noWrap w:val="0"/>
            <w:vAlign w:val="center"/>
          </w:tcPr>
          <w:p w14:paraId="386C1819">
            <w:pPr>
              <w:spacing w:line="36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lang w:eastAsia="zh-CN"/>
              </w:rPr>
              <w:t>陕西辰云项目管理有限公司</w:t>
            </w:r>
          </w:p>
        </w:tc>
      </w:tr>
      <w:tr w14:paraId="205D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9" w:hRule="atLeast"/>
        </w:trPr>
        <w:tc>
          <w:tcPr>
            <w:tcW w:w="9072" w:type="dxa"/>
            <w:gridSpan w:val="3"/>
            <w:noWrap w:val="0"/>
            <w:vAlign w:val="center"/>
          </w:tcPr>
          <w:p w14:paraId="6DE5AD7F">
            <w:pPr>
              <w:spacing w:line="360" w:lineRule="auto"/>
              <w:ind w:firstLine="420" w:firstLineChars="200"/>
              <w:rPr>
                <w:rFonts w:hint="eastAsia" w:ascii="仿宋_GB2312" w:hAnsi="仿宋_GB2312" w:eastAsia="仿宋_GB2312" w:cs="仿宋_GB2312"/>
                <w:color w:val="000000"/>
                <w:sz w:val="21"/>
                <w:szCs w:val="21"/>
                <w:u w:val="single"/>
              </w:rPr>
            </w:pPr>
            <w:r>
              <w:rPr>
                <w:rFonts w:hint="eastAsia" w:ascii="仿宋_GB2312" w:hAnsi="仿宋_GB2312" w:eastAsia="仿宋_GB2312" w:cs="仿宋_GB2312"/>
                <w:color w:val="000000"/>
                <w:sz w:val="21"/>
                <w:szCs w:val="21"/>
              </w:rPr>
              <w:t>作为参加贵公司组织的竞争性磋商的供应商，本公司承诺：近三年受到有关行政主管部门的行政处理、不良行为记录</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次（没有填0），如有隐瞒实情，愿承担一切责任及后果。</w:t>
            </w:r>
          </w:p>
        </w:tc>
      </w:tr>
      <w:tr w14:paraId="40DA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770" w:type="dxa"/>
            <w:noWrap w:val="0"/>
            <w:vAlign w:val="center"/>
          </w:tcPr>
          <w:p w14:paraId="451F3DED">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w:t>
            </w:r>
          </w:p>
        </w:tc>
        <w:tc>
          <w:tcPr>
            <w:tcW w:w="2951" w:type="dxa"/>
            <w:noWrap w:val="0"/>
            <w:vAlign w:val="center"/>
          </w:tcPr>
          <w:p w14:paraId="2F57CE4C">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法定代表人</w:t>
            </w:r>
          </w:p>
        </w:tc>
        <w:tc>
          <w:tcPr>
            <w:tcW w:w="3351" w:type="dxa"/>
            <w:noWrap w:val="0"/>
            <w:vAlign w:val="center"/>
          </w:tcPr>
          <w:p w14:paraId="345FD0E0">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日  期</w:t>
            </w:r>
          </w:p>
        </w:tc>
      </w:tr>
      <w:tr w14:paraId="47C6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trPr>
        <w:tc>
          <w:tcPr>
            <w:tcW w:w="2770" w:type="dxa"/>
            <w:noWrap w:val="0"/>
            <w:vAlign w:val="center"/>
          </w:tcPr>
          <w:p w14:paraId="182EF356">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（单位公章）</w:t>
            </w:r>
          </w:p>
        </w:tc>
        <w:tc>
          <w:tcPr>
            <w:tcW w:w="2951" w:type="dxa"/>
            <w:noWrap w:val="0"/>
            <w:vAlign w:val="center"/>
          </w:tcPr>
          <w:p w14:paraId="526033EA">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（签字</w:t>
            </w:r>
            <w:r>
              <w:rPr>
                <w:rFonts w:hint="eastAsia" w:ascii="仿宋_GB2312" w:hAnsi="仿宋_GB2312" w:eastAsia="仿宋_GB2312" w:cs="仿宋_GB2312"/>
                <w:color w:val="000000"/>
                <w:sz w:val="21"/>
                <w:szCs w:val="21"/>
                <w:lang w:val="en-US" w:eastAsia="zh-CN"/>
              </w:rPr>
              <w:t>和盖章</w:t>
            </w:r>
            <w:r>
              <w:rPr>
                <w:rFonts w:hint="eastAsia" w:ascii="仿宋_GB2312" w:hAnsi="仿宋_GB2312" w:eastAsia="仿宋_GB2312" w:cs="仿宋_GB2312"/>
                <w:color w:val="000000"/>
                <w:sz w:val="21"/>
                <w:szCs w:val="21"/>
              </w:rPr>
              <w:t>）</w:t>
            </w:r>
          </w:p>
        </w:tc>
        <w:tc>
          <w:tcPr>
            <w:tcW w:w="3351" w:type="dxa"/>
            <w:noWrap w:val="0"/>
            <w:vAlign w:val="center"/>
          </w:tcPr>
          <w:p w14:paraId="2EB7BC44">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tc>
      </w:tr>
    </w:tbl>
    <w:p w14:paraId="6F4EEAFE">
      <w:pPr>
        <w:spacing w:line="360" w:lineRule="auto"/>
        <w:ind w:firstLine="105" w:firstLineChars="50"/>
        <w:jc w:val="center"/>
        <w:rPr>
          <w:rFonts w:hint="eastAsia" w:ascii="仿宋_GB2312" w:hAnsi="仿宋_GB2312" w:eastAsia="仿宋_GB2312" w:cs="仿宋_GB2312"/>
          <w:b/>
          <w:color w:val="000000"/>
          <w:sz w:val="21"/>
          <w:szCs w:val="21"/>
          <w:u w:val="single"/>
        </w:rPr>
      </w:pPr>
    </w:p>
    <w:p w14:paraId="3BCFBA6A">
      <w:pPr>
        <w:spacing w:line="360" w:lineRule="auto"/>
        <w:ind w:firstLine="105" w:firstLineChars="50"/>
        <w:jc w:val="center"/>
        <w:rPr>
          <w:rFonts w:hint="eastAsia" w:ascii="仿宋_GB2312" w:hAnsi="仿宋_GB2312" w:eastAsia="仿宋_GB2312" w:cs="仿宋_GB2312"/>
          <w:b/>
          <w:color w:val="000000"/>
          <w:sz w:val="21"/>
          <w:szCs w:val="21"/>
          <w:u w:val="single"/>
        </w:rPr>
        <w:sectPr>
          <w:foot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5F170B3">
      <w:pPr>
        <w:spacing w:line="360" w:lineRule="auto"/>
        <w:jc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t>承诺书（三）</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2899"/>
        <w:gridCol w:w="3094"/>
      </w:tblGrid>
      <w:tr w14:paraId="76D0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9072" w:type="dxa"/>
            <w:gridSpan w:val="3"/>
            <w:noWrap w:val="0"/>
            <w:vAlign w:val="center"/>
          </w:tcPr>
          <w:p w14:paraId="12F27D52">
            <w:pPr>
              <w:spacing w:line="360" w:lineRule="auto"/>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lang w:eastAsia="zh-CN"/>
              </w:rPr>
              <w:t>陕西辰云项目管理有限公司</w:t>
            </w:r>
          </w:p>
        </w:tc>
      </w:tr>
      <w:tr w14:paraId="2F38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9072" w:type="dxa"/>
            <w:gridSpan w:val="3"/>
            <w:noWrap w:val="0"/>
            <w:vAlign w:val="center"/>
          </w:tcPr>
          <w:p w14:paraId="7381BA7B">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作为参加贵公司组织的竞争性磋商的供应商，</w:t>
            </w:r>
            <w:r>
              <w:rPr>
                <w:rFonts w:hint="eastAsia" w:ascii="仿宋_GB2312" w:hAnsi="仿宋_GB2312" w:eastAsia="仿宋_GB2312" w:cs="仿宋_GB2312"/>
                <w:sz w:val="21"/>
                <w:szCs w:val="21"/>
              </w:rPr>
              <w:t>本公司郑重</w:t>
            </w:r>
            <w:r>
              <w:rPr>
                <w:rFonts w:hint="eastAsia" w:ascii="仿宋_GB2312" w:hAnsi="仿宋_GB2312" w:eastAsia="仿宋_GB2312" w:cs="仿宋_GB2312"/>
                <w:color w:val="000000"/>
                <w:sz w:val="21"/>
                <w:szCs w:val="21"/>
              </w:rPr>
              <w:t>承诺：</w:t>
            </w:r>
            <w:r>
              <w:rPr>
                <w:rFonts w:hint="eastAsia" w:ascii="仿宋_GB2312" w:hAnsi="仿宋_GB2312" w:eastAsia="仿宋_GB2312" w:cs="仿宋_GB2312"/>
                <w:sz w:val="21"/>
                <w:szCs w:val="21"/>
              </w:rPr>
              <w:t>近三年因服务问题的不法行为记录为</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次（没有填0）</w:t>
            </w:r>
            <w:r>
              <w:rPr>
                <w:rFonts w:hint="eastAsia" w:ascii="仿宋_GB2312" w:hAnsi="仿宋_GB2312" w:eastAsia="仿宋_GB2312" w:cs="仿宋_GB2312"/>
                <w:color w:val="000000"/>
                <w:sz w:val="21"/>
                <w:szCs w:val="21"/>
              </w:rPr>
              <w:t>，如有隐瞒实情，愿承担一切责任及后果。</w:t>
            </w:r>
          </w:p>
        </w:tc>
      </w:tr>
      <w:tr w14:paraId="7AD9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79" w:type="dxa"/>
            <w:noWrap w:val="0"/>
            <w:vAlign w:val="center"/>
          </w:tcPr>
          <w:p w14:paraId="7B12C72B">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供应商</w:t>
            </w:r>
          </w:p>
        </w:tc>
        <w:tc>
          <w:tcPr>
            <w:tcW w:w="2899" w:type="dxa"/>
            <w:noWrap w:val="0"/>
            <w:vAlign w:val="center"/>
          </w:tcPr>
          <w:p w14:paraId="0BDA48C7">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法定代表人</w:t>
            </w:r>
          </w:p>
        </w:tc>
        <w:tc>
          <w:tcPr>
            <w:tcW w:w="3094" w:type="dxa"/>
            <w:noWrap w:val="0"/>
            <w:vAlign w:val="center"/>
          </w:tcPr>
          <w:p w14:paraId="52BA9A3A">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日  期</w:t>
            </w:r>
          </w:p>
        </w:tc>
      </w:tr>
      <w:tr w14:paraId="6467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3079" w:type="dxa"/>
            <w:noWrap w:val="0"/>
            <w:vAlign w:val="center"/>
          </w:tcPr>
          <w:p w14:paraId="453D898F">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（单位公章）</w:t>
            </w:r>
          </w:p>
        </w:tc>
        <w:tc>
          <w:tcPr>
            <w:tcW w:w="2899" w:type="dxa"/>
            <w:noWrap w:val="0"/>
            <w:vAlign w:val="center"/>
          </w:tcPr>
          <w:p w14:paraId="2AE88DE9">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（签字</w:t>
            </w:r>
            <w:r>
              <w:rPr>
                <w:rFonts w:hint="eastAsia" w:ascii="仿宋_GB2312" w:hAnsi="仿宋_GB2312" w:eastAsia="仿宋_GB2312" w:cs="仿宋_GB2312"/>
                <w:color w:val="000000"/>
                <w:sz w:val="21"/>
                <w:szCs w:val="21"/>
                <w:lang w:val="en-US" w:eastAsia="zh-CN"/>
              </w:rPr>
              <w:t>和盖章</w:t>
            </w:r>
            <w:r>
              <w:rPr>
                <w:rFonts w:hint="eastAsia" w:ascii="仿宋_GB2312" w:hAnsi="仿宋_GB2312" w:eastAsia="仿宋_GB2312" w:cs="仿宋_GB2312"/>
                <w:color w:val="000000"/>
                <w:sz w:val="21"/>
                <w:szCs w:val="21"/>
              </w:rPr>
              <w:t>）</w:t>
            </w:r>
          </w:p>
        </w:tc>
        <w:tc>
          <w:tcPr>
            <w:tcW w:w="3094" w:type="dxa"/>
            <w:noWrap w:val="0"/>
            <w:vAlign w:val="center"/>
          </w:tcPr>
          <w:p w14:paraId="3541D328">
            <w:pPr>
              <w:spacing w:line="360" w:lineRule="auto"/>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年   月   日</w:t>
            </w:r>
          </w:p>
        </w:tc>
      </w:tr>
    </w:tbl>
    <w:p w14:paraId="26F4335E">
      <w:pPr>
        <w:spacing w:line="360" w:lineRule="auto"/>
        <w:ind w:firstLine="420" w:firstLineChars="200"/>
        <w:rPr>
          <w:rFonts w:hint="eastAsia" w:ascii="仿宋_GB2312" w:hAnsi="仿宋_GB2312" w:eastAsia="仿宋_GB2312" w:cs="仿宋_GB2312"/>
          <w:color w:val="000000"/>
          <w:sz w:val="21"/>
          <w:szCs w:val="21"/>
        </w:rPr>
      </w:pPr>
    </w:p>
    <w:p w14:paraId="00721182">
      <w:pPr>
        <w:widowControl/>
        <w:spacing w:line="360" w:lineRule="auto"/>
        <w:jc w:val="center"/>
        <w:rPr>
          <w:rFonts w:hint="eastAsia" w:ascii="仿宋_GB2312" w:hAnsi="仿宋_GB2312" w:eastAsia="仿宋_GB2312" w:cs="仿宋_GB2312"/>
          <w:b/>
          <w:color w:val="000000"/>
          <w:sz w:val="21"/>
          <w:szCs w:val="21"/>
        </w:rPr>
      </w:pPr>
    </w:p>
    <w:p w14:paraId="41A748DE">
      <w:pPr>
        <w:widowControl/>
        <w:spacing w:line="360" w:lineRule="auto"/>
        <w:jc w:val="center"/>
        <w:rPr>
          <w:rFonts w:hint="eastAsia" w:ascii="仿宋_GB2312" w:hAnsi="仿宋_GB2312" w:eastAsia="仿宋_GB2312" w:cs="仿宋_GB2312"/>
          <w:b/>
          <w:color w:val="000000"/>
          <w:sz w:val="21"/>
          <w:szCs w:val="21"/>
        </w:rPr>
      </w:pPr>
    </w:p>
    <w:p w14:paraId="5FCD56B1">
      <w:pPr>
        <w:widowControl/>
        <w:spacing w:line="360" w:lineRule="auto"/>
        <w:jc w:val="center"/>
        <w:rPr>
          <w:rFonts w:hint="eastAsia" w:ascii="仿宋_GB2312" w:hAnsi="仿宋_GB2312" w:eastAsia="仿宋_GB2312" w:cs="仿宋_GB2312"/>
          <w:b/>
          <w:color w:val="000000"/>
          <w:sz w:val="28"/>
          <w:szCs w:val="28"/>
        </w:rPr>
      </w:pPr>
    </w:p>
    <w:p w14:paraId="7845DE34">
      <w:pPr>
        <w:widowControl/>
        <w:spacing w:line="360" w:lineRule="auto"/>
        <w:jc w:val="center"/>
        <w:rPr>
          <w:rFonts w:hint="eastAsia" w:ascii="仿宋_GB2312" w:hAnsi="仿宋_GB2312" w:eastAsia="仿宋_GB2312" w:cs="仿宋_GB2312"/>
          <w:b/>
          <w:color w:val="000000"/>
          <w:sz w:val="28"/>
          <w:szCs w:val="28"/>
        </w:rPr>
      </w:pPr>
    </w:p>
    <w:p w14:paraId="641ED3F9">
      <w:pPr>
        <w:widowControl/>
        <w:spacing w:line="360" w:lineRule="auto"/>
        <w:jc w:val="center"/>
        <w:rPr>
          <w:rFonts w:hint="eastAsia" w:ascii="仿宋_GB2312" w:hAnsi="仿宋_GB2312" w:eastAsia="仿宋_GB2312" w:cs="仿宋_GB2312"/>
          <w:b/>
          <w:color w:val="000000"/>
          <w:sz w:val="28"/>
          <w:szCs w:val="28"/>
        </w:rPr>
      </w:pPr>
    </w:p>
    <w:p w14:paraId="20FAE873">
      <w:pPr>
        <w:widowControl/>
        <w:spacing w:line="360" w:lineRule="auto"/>
        <w:jc w:val="center"/>
        <w:rPr>
          <w:rFonts w:hint="eastAsia" w:ascii="仿宋_GB2312" w:hAnsi="仿宋_GB2312" w:eastAsia="仿宋_GB2312" w:cs="仿宋_GB2312"/>
          <w:b/>
          <w:color w:val="000000"/>
          <w:sz w:val="28"/>
          <w:szCs w:val="28"/>
        </w:rPr>
      </w:pPr>
    </w:p>
    <w:p w14:paraId="7263ECCD">
      <w:pPr>
        <w:widowControl/>
        <w:spacing w:line="360" w:lineRule="auto"/>
        <w:jc w:val="center"/>
        <w:rPr>
          <w:rFonts w:hint="eastAsia" w:ascii="仿宋_GB2312" w:hAnsi="仿宋_GB2312" w:eastAsia="仿宋_GB2312" w:cs="仿宋_GB2312"/>
          <w:b/>
          <w:color w:val="000000"/>
          <w:sz w:val="28"/>
          <w:szCs w:val="28"/>
        </w:rPr>
      </w:pPr>
    </w:p>
    <w:p w14:paraId="6799E8E3">
      <w:pPr>
        <w:widowControl/>
        <w:spacing w:line="360" w:lineRule="auto"/>
        <w:jc w:val="center"/>
        <w:rPr>
          <w:rFonts w:hint="eastAsia" w:ascii="仿宋_GB2312" w:hAnsi="仿宋_GB2312" w:eastAsia="仿宋_GB2312" w:cs="仿宋_GB2312"/>
          <w:b/>
          <w:color w:val="000000"/>
          <w:sz w:val="28"/>
          <w:szCs w:val="28"/>
        </w:rPr>
      </w:pPr>
    </w:p>
    <w:p w14:paraId="56155A26">
      <w:pPr>
        <w:widowControl/>
        <w:spacing w:line="360" w:lineRule="auto"/>
        <w:jc w:val="center"/>
        <w:rPr>
          <w:rFonts w:hint="eastAsia" w:ascii="仿宋_GB2312" w:hAnsi="仿宋_GB2312" w:eastAsia="仿宋_GB2312" w:cs="仿宋_GB2312"/>
          <w:b/>
          <w:color w:val="000000"/>
          <w:sz w:val="28"/>
          <w:szCs w:val="28"/>
        </w:rPr>
      </w:pPr>
    </w:p>
    <w:p w14:paraId="5710B2CC">
      <w:pPr>
        <w:widowControl/>
        <w:spacing w:line="360" w:lineRule="auto"/>
        <w:jc w:val="both"/>
        <w:rPr>
          <w:rFonts w:hint="eastAsia" w:ascii="仿宋_GB2312" w:hAnsi="仿宋_GB2312" w:eastAsia="仿宋_GB2312" w:cs="仿宋_GB2312"/>
          <w:b/>
          <w:color w:val="000000"/>
          <w:sz w:val="28"/>
          <w:szCs w:val="28"/>
        </w:rPr>
      </w:pPr>
    </w:p>
    <w:p w14:paraId="5EAE2A85">
      <w:pPr>
        <w:keepLines w:val="0"/>
        <w:pageBreakBefore w:val="0"/>
        <w:widowControl/>
        <w:spacing w:line="360" w:lineRule="auto"/>
        <w:ind w:firstLine="619" w:firstLineChars="200"/>
        <w:jc w:val="center"/>
        <w:outlineLvl w:val="1"/>
        <w:rPr>
          <w:rFonts w:hint="eastAsia" w:ascii="仿宋_GB2312" w:hAnsi="仿宋_GB2312" w:eastAsia="仿宋_GB2312" w:cs="仿宋_GB2312"/>
          <w:color w:val="000000"/>
          <w:kern w:val="0"/>
          <w:sz w:val="28"/>
          <w:szCs w:val="28"/>
        </w:rPr>
      </w:pPr>
      <w:bookmarkStart w:id="253" w:name="_Toc14750"/>
      <w:bookmarkStart w:id="254" w:name="_Toc2424"/>
      <w:bookmarkStart w:id="255" w:name="_Toc500323118"/>
      <w:r>
        <w:rPr>
          <w:rFonts w:hint="eastAsia" w:ascii="仿宋_GB2312" w:hAnsi="仿宋_GB2312" w:eastAsia="仿宋_GB2312" w:cs="仿宋_GB2312"/>
          <w:b/>
          <w:color w:val="000000"/>
          <w:spacing w:val="-6"/>
          <w:sz w:val="32"/>
          <w:szCs w:val="32"/>
          <w:lang w:eastAsia="zh-CN"/>
        </w:rPr>
        <w:t>八</w:t>
      </w:r>
      <w:r>
        <w:rPr>
          <w:rFonts w:hint="eastAsia" w:ascii="仿宋_GB2312" w:hAnsi="仿宋_GB2312" w:eastAsia="仿宋_GB2312" w:cs="仿宋_GB2312"/>
          <w:b/>
          <w:color w:val="000000"/>
          <w:spacing w:val="-6"/>
          <w:sz w:val="32"/>
          <w:szCs w:val="32"/>
        </w:rPr>
        <w:t>、陕西省政府采购供应商拒绝政府采购领域商业贿赂承诺书</w:t>
      </w:r>
      <w:bookmarkEnd w:id="213"/>
      <w:bookmarkEnd w:id="253"/>
      <w:bookmarkEnd w:id="254"/>
      <w:bookmarkEnd w:id="255"/>
    </w:p>
    <w:p w14:paraId="704B2EEB">
      <w:pPr>
        <w:widowControl/>
        <w:spacing w:line="360" w:lineRule="auto"/>
        <w:ind w:firstLine="420" w:firstLineChars="200"/>
        <w:rPr>
          <w:rFonts w:hint="eastAsia" w:ascii="仿宋_GB2312" w:hAnsi="仿宋_GB2312" w:eastAsia="仿宋_GB2312" w:cs="仿宋_GB2312"/>
          <w:color w:val="000000"/>
          <w:kern w:val="0"/>
          <w:sz w:val="21"/>
          <w:szCs w:val="21"/>
        </w:rPr>
      </w:pPr>
    </w:p>
    <w:p w14:paraId="6FDE106D">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为响应党中央、国务院关于治理政府采购领域商业贿赂行为的号召，我公司在此庄严承诺：</w:t>
      </w:r>
    </w:p>
    <w:p w14:paraId="6BB1EA31">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1.在参与政府采购活动中遵纪守法、诚信经营、公平竞标。</w:t>
      </w:r>
    </w:p>
    <w:p w14:paraId="6EC2D03B">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2.不向政府采购人、采购代理机构和政府采购评审专家进行任何形式的商业贿赂以谋取交易机会。</w:t>
      </w:r>
    </w:p>
    <w:p w14:paraId="4E436E2D">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3.不向政府采购代理机构和采购人提供虚假资质文件或采用虚假应标方式参与政府采购市场竞争并谋取中标、成交。</w:t>
      </w:r>
    </w:p>
    <w:p w14:paraId="6672A2A0">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4.不采取“围标、陪标”等商业欺诈手段获得政府采购定单。</w:t>
      </w:r>
    </w:p>
    <w:p w14:paraId="7DCD54C4">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5.不采取不正当手段诋毁、排挤其他供应商。</w:t>
      </w:r>
    </w:p>
    <w:p w14:paraId="48505B8F">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6.不在提供商品和服务时“偷梁换柱、以次充好”损害采购人的合法权益。</w:t>
      </w:r>
    </w:p>
    <w:p w14:paraId="237E9EC0">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7.不与采购人、采购代理机构政府采购评审专家或其它供应商恶意串通，进行质疑和投诉，维护政府采购市场秩序。</w:t>
      </w:r>
    </w:p>
    <w:p w14:paraId="4CB9BDD0">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8.尊重和接受政府采购监督管理部门的监督和政府采购代理机构招标采购要求，承担因违约行为给采购人造成的损失。</w:t>
      </w:r>
    </w:p>
    <w:p w14:paraId="0A803CA7">
      <w:pPr>
        <w:widowControl/>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 xml:space="preserve">    9.不发生其他有悖于政府采购公开、公平、公正和诚信原则的行为。</w:t>
      </w:r>
    </w:p>
    <w:p w14:paraId="6A220067">
      <w:pPr>
        <w:widowControl/>
        <w:spacing w:line="360" w:lineRule="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    地  址：                        </w:t>
      </w:r>
    </w:p>
    <w:p w14:paraId="593AF274">
      <w:pPr>
        <w:spacing w:line="360" w:lineRule="auto"/>
        <w:ind w:firstLine="420" w:firstLineChars="200"/>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邮  编：</w:t>
      </w:r>
    </w:p>
    <w:p w14:paraId="7C4BD39F">
      <w:pPr>
        <w:spacing w:line="360" w:lineRule="auto"/>
        <w:ind w:firstLine="420" w:firstLine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1"/>
          <w:szCs w:val="21"/>
        </w:rPr>
        <w:t>电  话：           </w:t>
      </w:r>
      <w:r>
        <w:rPr>
          <w:rFonts w:hint="eastAsia" w:ascii="仿宋_GB2312" w:hAnsi="仿宋_GB2312" w:eastAsia="仿宋_GB2312" w:cs="仿宋_GB2312"/>
          <w:color w:val="000000"/>
          <w:kern w:val="0"/>
          <w:sz w:val="28"/>
          <w:szCs w:val="28"/>
        </w:rPr>
        <w:t>             </w:t>
      </w:r>
    </w:p>
    <w:p w14:paraId="19228F29">
      <w:pPr>
        <w:spacing w:line="360" w:lineRule="auto"/>
        <w:ind w:firstLine="562" w:firstLineChars="200"/>
        <w:rPr>
          <w:rFonts w:hint="eastAsia" w:ascii="仿宋_GB2312" w:hAnsi="仿宋_GB2312" w:eastAsia="仿宋_GB2312" w:cs="仿宋_GB2312"/>
          <w:b/>
          <w:color w:val="000000"/>
          <w:sz w:val="28"/>
          <w:szCs w:val="28"/>
        </w:rPr>
      </w:pPr>
    </w:p>
    <w:p w14:paraId="5CFF2C1D">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 xml:space="preserve">供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 xml:space="preserve">应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45B2CE8D">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lang w:eastAsia="zh-CN"/>
        </w:rPr>
        <w:t>法人或</w:t>
      </w: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u w:val="none"/>
          <w:lang w:eastAsia="zh-CN"/>
        </w:rPr>
        <w:t>（</w:t>
      </w:r>
      <w:r>
        <w:rPr>
          <w:rFonts w:hint="eastAsia" w:ascii="仿宋_GB2312" w:hAnsi="仿宋_GB2312" w:eastAsia="仿宋_GB2312" w:cs="仿宋_GB2312"/>
          <w:b/>
          <w:color w:val="000000"/>
          <w:sz w:val="24"/>
          <w:szCs w:val="24"/>
          <w:u w:val="none"/>
        </w:rPr>
        <w:t>签字</w:t>
      </w:r>
      <w:r>
        <w:rPr>
          <w:rFonts w:hint="eastAsia" w:ascii="仿宋_GB2312" w:hAnsi="仿宋_GB2312" w:eastAsia="仿宋_GB2312" w:cs="仿宋_GB2312"/>
          <w:b/>
          <w:color w:val="000000"/>
          <w:sz w:val="24"/>
          <w:szCs w:val="24"/>
          <w:u w:val="none"/>
          <w:lang w:eastAsia="zh-CN"/>
        </w:rPr>
        <w:t>或盖章</w:t>
      </w:r>
      <w:r>
        <w:rPr>
          <w:rFonts w:hint="eastAsia" w:ascii="仿宋_GB2312" w:hAnsi="仿宋_GB2312" w:eastAsia="仿宋_GB2312" w:cs="仿宋_GB2312"/>
          <w:b/>
          <w:color w:val="000000"/>
          <w:sz w:val="24"/>
          <w:szCs w:val="24"/>
          <w:u w:val="none"/>
        </w:rPr>
        <w:t>）</w:t>
      </w:r>
      <w:r>
        <w:rPr>
          <w:rFonts w:hint="eastAsia" w:ascii="仿宋_GB2312" w:hAnsi="仿宋_GB2312" w:eastAsia="仿宋_GB2312" w:cs="仿宋_GB2312"/>
          <w:b/>
          <w:color w:val="000000"/>
          <w:sz w:val="24"/>
          <w:szCs w:val="24"/>
        </w:rPr>
        <w:t xml:space="preserve">  </w:t>
      </w:r>
    </w:p>
    <w:p w14:paraId="1BCF9D10">
      <w:pPr>
        <w:widowControl/>
        <w:spacing w:line="360" w:lineRule="auto"/>
        <w:ind w:firstLine="482" w:firstLineChars="200"/>
        <w:jc w:val="left"/>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rPr>
        <w:t xml:space="preserve">日      </w:t>
      </w:r>
      <w:r>
        <w:rPr>
          <w:rFonts w:hint="eastAsia" w:ascii="仿宋_GB2312" w:hAnsi="仿宋_GB2312" w:eastAsia="仿宋_GB2312" w:cs="仿宋_GB2312"/>
          <w:b/>
          <w:color w:val="000000"/>
          <w:sz w:val="24"/>
          <w:szCs w:val="24"/>
          <w:lang w:val="en-US" w:eastAsia="zh-CN"/>
        </w:rPr>
        <w:t xml:space="preserve">     </w:t>
      </w:r>
      <w:r>
        <w:rPr>
          <w:rFonts w:hint="eastAsia" w:ascii="仿宋_GB2312" w:hAnsi="仿宋_GB2312" w:eastAsia="仿宋_GB2312" w:cs="仿宋_GB2312"/>
          <w:b/>
          <w:color w:val="000000"/>
          <w:sz w:val="24"/>
          <w:szCs w:val="24"/>
        </w:rPr>
        <w:t>期：   年    月    日</w:t>
      </w:r>
      <w:bookmarkStart w:id="256" w:name="_Toc425240486"/>
      <w:bookmarkStart w:id="257" w:name="_Toc11275"/>
      <w:bookmarkStart w:id="258" w:name="_Toc19265"/>
      <w:bookmarkStart w:id="259" w:name="_Toc500323119"/>
    </w:p>
    <w:p w14:paraId="29651065">
      <w:pPr>
        <w:pStyle w:val="10"/>
        <w:rPr>
          <w:rFonts w:hint="eastAsia" w:ascii="仿宋_GB2312" w:hAnsi="仿宋_GB2312" w:eastAsia="仿宋_GB2312" w:cs="仿宋_GB2312"/>
          <w:lang w:eastAsia="zh-CN"/>
        </w:rPr>
      </w:pPr>
    </w:p>
    <w:p w14:paraId="23B22446">
      <w:pPr>
        <w:rPr>
          <w:rFonts w:hint="eastAsia" w:ascii="仿宋_GB2312" w:hAnsi="仿宋_GB2312" w:eastAsia="仿宋_GB2312" w:cs="仿宋_GB2312"/>
          <w:lang w:eastAsia="zh-CN"/>
        </w:rPr>
      </w:pPr>
    </w:p>
    <w:p w14:paraId="64B14D32">
      <w:pPr>
        <w:pStyle w:val="30"/>
        <w:rPr>
          <w:rFonts w:hint="eastAsia" w:ascii="仿宋_GB2312" w:hAnsi="仿宋_GB2312" w:eastAsia="仿宋_GB2312" w:cs="仿宋_GB2312"/>
          <w:lang w:eastAsia="zh-CN"/>
        </w:rPr>
      </w:pPr>
    </w:p>
    <w:p w14:paraId="5CD65E5C">
      <w:pPr>
        <w:pStyle w:val="30"/>
        <w:rPr>
          <w:rFonts w:hint="eastAsia" w:ascii="仿宋_GB2312" w:hAnsi="仿宋_GB2312" w:eastAsia="仿宋_GB2312" w:cs="仿宋_GB2312"/>
          <w:lang w:eastAsia="zh-CN"/>
        </w:rPr>
      </w:pPr>
    </w:p>
    <w:p w14:paraId="496DC2E3">
      <w:pPr>
        <w:pStyle w:val="30"/>
        <w:rPr>
          <w:rFonts w:hint="eastAsia" w:ascii="仿宋_GB2312" w:hAnsi="仿宋_GB2312" w:eastAsia="仿宋_GB2312" w:cs="仿宋_GB2312"/>
          <w:lang w:eastAsia="zh-CN"/>
        </w:rPr>
      </w:pPr>
    </w:p>
    <w:p w14:paraId="604955FA">
      <w:pPr>
        <w:widowControl/>
        <w:spacing w:line="360" w:lineRule="auto"/>
        <w:ind w:firstLine="562" w:firstLineChars="200"/>
        <w:jc w:val="center"/>
        <w:rPr>
          <w:rFonts w:hint="eastAsia" w:ascii="仿宋_GB2312" w:hAnsi="仿宋_GB2312" w:eastAsia="仿宋_GB2312" w:cs="仿宋_GB2312"/>
          <w:b/>
          <w:color w:val="000000"/>
          <w:sz w:val="28"/>
          <w:szCs w:val="28"/>
          <w:lang w:eastAsia="zh-CN"/>
        </w:rPr>
      </w:pPr>
    </w:p>
    <w:bookmarkEnd w:id="256"/>
    <w:p w14:paraId="185AFFDA">
      <w:pPr>
        <w:widowControl/>
        <w:numPr>
          <w:ilvl w:val="0"/>
          <w:numId w:val="0"/>
        </w:numPr>
        <w:spacing w:line="360" w:lineRule="auto"/>
        <w:jc w:val="center"/>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资格审查资料</w:t>
      </w:r>
      <w:bookmarkEnd w:id="257"/>
      <w:bookmarkEnd w:id="258"/>
      <w:bookmarkEnd w:id="259"/>
    </w:p>
    <w:p w14:paraId="020FE15D">
      <w:pPr>
        <w:jc w:val="both"/>
        <w:rPr>
          <w:rFonts w:hint="eastAsia" w:ascii="仿宋_GB2312" w:hAnsi="仿宋_GB2312" w:eastAsia="仿宋_GB2312" w:cs="仿宋_GB2312"/>
        </w:rPr>
      </w:pPr>
    </w:p>
    <w:p w14:paraId="4BEAFE95">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bookmarkStart w:id="260" w:name="_Toc420591675"/>
      <w:bookmarkStart w:id="261" w:name="_Toc421778393"/>
      <w:bookmarkStart w:id="262" w:name="_Toc25286"/>
      <w:bookmarkStart w:id="263" w:name="_Toc410976269"/>
      <w:bookmarkStart w:id="264" w:name="_Toc425240488"/>
      <w:bookmarkStart w:id="265" w:name="_Toc17898"/>
      <w:r>
        <w:rPr>
          <w:rFonts w:hint="eastAsia" w:ascii="仿宋_GB2312" w:hAnsi="仿宋_GB2312" w:eastAsia="仿宋_GB2312" w:cs="仿宋_GB2312"/>
          <w:b w:val="0"/>
          <w:color w:val="auto"/>
          <w:sz w:val="21"/>
          <w:szCs w:val="21"/>
          <w:highlight w:val="none"/>
          <w:lang w:val="en-US" w:eastAsia="zh-CN"/>
        </w:rPr>
        <w:t>（1）具有独立承担民事责任能力的法人或其他组织，提供合法有效的统一社会信用代码的营业执照（含年度报告）或事业单位法人证书等国家规定的相关证明，自然人参与的提供其身份证明；</w:t>
      </w:r>
    </w:p>
    <w:p w14:paraId="11A7FF5F">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（2）银行开户许可证或开户行基本信息；</w:t>
      </w:r>
    </w:p>
    <w:p w14:paraId="7AA0838F">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（3）法定代表人授权书（委托代理人参加须提供法定代表人授权书、法定代表人身份证复印件及被授权人身份证）或法定代表人身份证（法定代表人直接参加只须提供本人身份证）；</w:t>
      </w:r>
    </w:p>
    <w:p w14:paraId="7E263E72">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（4）供应商应出具参加政府采购活动前3年内在经营活动中没有重大违法记录的书面声明；</w:t>
      </w:r>
    </w:p>
    <w:p w14:paraId="3FFBC78D">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5</w:t>
      </w:r>
      <w:r>
        <w:rPr>
          <w:rFonts w:hint="eastAsia" w:ascii="仿宋_GB2312" w:hAnsi="仿宋_GB2312" w:eastAsia="仿宋_GB2312" w:cs="仿宋_GB2312"/>
          <w:i w:val="0"/>
          <w:iCs w:val="0"/>
          <w:caps w:val="0"/>
          <w:color w:val="333333"/>
          <w:spacing w:val="0"/>
          <w:sz w:val="21"/>
          <w:szCs w:val="21"/>
          <w:shd w:val="clear" w:fill="FFFFFF"/>
        </w:rPr>
        <w:t>）税收缴纳证明：提供</w:t>
      </w:r>
      <w:r>
        <w:rPr>
          <w:rFonts w:hint="eastAsia" w:ascii="仿宋_GB2312" w:hAnsi="仿宋_GB2312" w:eastAsia="仿宋_GB2312" w:cs="仿宋_GB2312"/>
          <w:i w:val="0"/>
          <w:iCs w:val="0"/>
          <w:caps w:val="0"/>
          <w:color w:val="333333"/>
          <w:spacing w:val="0"/>
          <w:sz w:val="21"/>
          <w:szCs w:val="21"/>
          <w:shd w:val="clear" w:fill="FFFFFF"/>
          <w:lang w:val="en-US" w:eastAsia="zh-CN"/>
        </w:rPr>
        <w:t>已缴纳的本年度至今一个月</w:t>
      </w:r>
      <w:r>
        <w:rPr>
          <w:rFonts w:hint="eastAsia" w:ascii="仿宋_GB2312" w:hAnsi="仿宋_GB2312" w:eastAsia="仿宋_GB2312" w:cs="仿宋_GB2312"/>
          <w:i w:val="0"/>
          <w:iCs w:val="0"/>
          <w:caps w:val="0"/>
          <w:color w:val="333333"/>
          <w:spacing w:val="0"/>
          <w:sz w:val="21"/>
          <w:szCs w:val="21"/>
          <w:shd w:val="clear" w:fill="FFFFFF"/>
        </w:rPr>
        <w:t>的纳税证明或完税证明，纳税证明或完税证明上应有代收机构或税务机关的公章。依法免税的供应商应提供相关文件证明；</w:t>
      </w:r>
    </w:p>
    <w:p w14:paraId="54D3E7C3">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w:t>
      </w:r>
      <w:r>
        <w:rPr>
          <w:rFonts w:hint="eastAsia" w:ascii="仿宋_GB2312" w:hAnsi="仿宋_GB2312" w:eastAsia="仿宋_GB2312" w:cs="仿宋_GB2312"/>
          <w:i w:val="0"/>
          <w:iCs w:val="0"/>
          <w:caps w:val="0"/>
          <w:color w:val="333333"/>
          <w:spacing w:val="0"/>
          <w:sz w:val="21"/>
          <w:szCs w:val="21"/>
          <w:shd w:val="clear" w:fill="FFFFFF"/>
          <w:lang w:val="en-US" w:eastAsia="zh-CN"/>
        </w:rPr>
        <w:t>6</w:t>
      </w:r>
      <w:r>
        <w:rPr>
          <w:rFonts w:hint="eastAsia" w:ascii="仿宋_GB2312" w:hAnsi="仿宋_GB2312" w:eastAsia="仿宋_GB2312" w:cs="仿宋_GB2312"/>
          <w:i w:val="0"/>
          <w:iCs w:val="0"/>
          <w:caps w:val="0"/>
          <w:color w:val="333333"/>
          <w:spacing w:val="0"/>
          <w:sz w:val="21"/>
          <w:szCs w:val="21"/>
          <w:shd w:val="clear" w:fill="FFFFFF"/>
        </w:rPr>
        <w:t>）社会保障资金缴纳证明：提供</w:t>
      </w:r>
      <w:r>
        <w:rPr>
          <w:rFonts w:hint="eastAsia" w:ascii="仿宋_GB2312" w:hAnsi="仿宋_GB2312" w:eastAsia="仿宋_GB2312" w:cs="仿宋_GB2312"/>
          <w:i w:val="0"/>
          <w:iCs w:val="0"/>
          <w:caps w:val="0"/>
          <w:color w:val="333333"/>
          <w:spacing w:val="0"/>
          <w:sz w:val="21"/>
          <w:szCs w:val="21"/>
          <w:shd w:val="clear" w:fill="FFFFFF"/>
          <w:lang w:val="en-US" w:eastAsia="zh-CN"/>
        </w:rPr>
        <w:t>已缴纳的本年度至今一个月</w:t>
      </w:r>
      <w:r>
        <w:rPr>
          <w:rFonts w:hint="eastAsia" w:ascii="仿宋_GB2312" w:hAnsi="仿宋_GB2312" w:eastAsia="仿宋_GB2312" w:cs="仿宋_GB2312"/>
          <w:i w:val="0"/>
          <w:iCs w:val="0"/>
          <w:caps w:val="0"/>
          <w:color w:val="333333"/>
          <w:spacing w:val="0"/>
          <w:sz w:val="21"/>
          <w:szCs w:val="21"/>
          <w:shd w:val="clear" w:fill="FFFFFF"/>
        </w:rPr>
        <w:t>的社会保障资金缴存单据或社保机构开具的社会保险参保缴费情况证明，依法不需要缴纳社会保障资金的供应商应提供相关文件证明；</w:t>
      </w:r>
    </w:p>
    <w:p w14:paraId="717D15C7">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14:paraId="4BC4654E">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（8）供应商未被列入“信用中国”网站严重失信主体名单和重大税收违法失信主体；中国政府采购网政府采购严重违法失信行为记录名单中被财政部门禁止参加政府采购活动的供应商；</w:t>
      </w:r>
    </w:p>
    <w:p w14:paraId="526CEBDE">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0" w:firstLineChars="200"/>
        <w:textAlignment w:val="auto"/>
        <w:outlineLvl w:val="9"/>
        <w:rPr>
          <w:rFonts w:hint="eastAsia" w:ascii="仿宋_GB2312" w:hAnsi="仿宋_GB2312" w:eastAsia="仿宋_GB2312" w:cs="仿宋_GB2312"/>
          <w:b w:val="0"/>
          <w:color w:val="auto"/>
          <w:sz w:val="21"/>
          <w:szCs w:val="21"/>
          <w:highlight w:val="none"/>
          <w:lang w:val="en-US" w:eastAsia="zh-CN"/>
        </w:rPr>
      </w:pPr>
      <w:r>
        <w:rPr>
          <w:rFonts w:hint="eastAsia" w:ascii="仿宋_GB2312" w:hAnsi="仿宋_GB2312" w:eastAsia="仿宋_GB2312" w:cs="仿宋_GB2312"/>
          <w:b w:val="0"/>
          <w:color w:val="auto"/>
          <w:sz w:val="21"/>
          <w:szCs w:val="21"/>
          <w:highlight w:val="none"/>
          <w:lang w:val="en-US" w:eastAsia="zh-CN"/>
        </w:rPr>
        <w:t>（9）供应商须提供《中小企业声明函》；</w:t>
      </w:r>
    </w:p>
    <w:p w14:paraId="0BD06923">
      <w:pPr>
        <w:pStyle w:val="14"/>
        <w:keepNext w:val="0"/>
        <w:keepLines w:val="0"/>
        <w:pageBreakBefore w:val="0"/>
        <w:widowControl w:val="0"/>
        <w:numPr>
          <w:ilvl w:val="0"/>
          <w:numId w:val="0"/>
        </w:numPr>
        <w:kinsoku/>
        <w:wordWrap/>
        <w:overflowPunct/>
        <w:topLinePunct w:val="0"/>
        <w:autoSpaceDE/>
        <w:autoSpaceDN/>
        <w:bidi w:val="0"/>
        <w:adjustRightInd/>
        <w:snapToGrid/>
        <w:spacing w:line="480" w:lineRule="auto"/>
        <w:ind w:right="0" w:rightChars="0" w:firstLine="422" w:firstLineChars="200"/>
        <w:textAlignment w:val="auto"/>
        <w:outlineLvl w:val="9"/>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1"/>
          <w:szCs w:val="21"/>
          <w:lang w:eastAsia="zh-CN"/>
        </w:rPr>
        <w:t>注：</w:t>
      </w:r>
      <w:r>
        <w:rPr>
          <w:rFonts w:hint="eastAsia" w:ascii="仿宋_GB2312" w:hAnsi="仿宋_GB2312" w:eastAsia="仿宋_GB2312" w:cs="仿宋_GB2312"/>
          <w:b/>
          <w:color w:val="000000"/>
          <w:sz w:val="21"/>
          <w:szCs w:val="21"/>
        </w:rPr>
        <w:t>以上资格证明文件为供应商的必备文件，有给定格式的需按照磋商文件给定格式提供，若供应商资格证明文件不符合审查要求，将按无效响应处理。</w:t>
      </w:r>
      <w:r>
        <w:rPr>
          <w:rFonts w:hint="eastAsia" w:ascii="仿宋_GB2312" w:hAnsi="仿宋_GB2312" w:eastAsia="仿宋_GB2312" w:cs="仿宋_GB2312"/>
          <w:color w:val="000000"/>
          <w:sz w:val="21"/>
          <w:szCs w:val="21"/>
        </w:rPr>
        <w:br w:type="page"/>
      </w:r>
      <w:bookmarkStart w:id="266" w:name="_Hlk518637502"/>
      <w:bookmarkStart w:id="267" w:name="_Hlk519176925"/>
      <w:r>
        <w:rPr>
          <w:rFonts w:hint="eastAsia" w:ascii="仿宋_GB2312" w:hAnsi="仿宋_GB2312" w:eastAsia="仿宋_GB2312" w:cs="仿宋_GB2312"/>
          <w:b/>
          <w:color w:val="000000"/>
          <w:sz w:val="28"/>
          <w:szCs w:val="28"/>
        </w:rPr>
        <w:t>附件1</w:t>
      </w:r>
    </w:p>
    <w:p w14:paraId="2C6831A9">
      <w:pPr>
        <w:autoSpaceDE/>
        <w:autoSpaceDN/>
        <w:adjustRightInd/>
        <w:spacing w:line="360" w:lineRule="auto"/>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参加政府采购活动前3年内在经营活动中没有重大违法记录的</w:t>
      </w:r>
    </w:p>
    <w:p w14:paraId="140E9E31">
      <w:pPr>
        <w:autoSpaceDE/>
        <w:autoSpaceDN/>
        <w:adjustRightInd/>
        <w:spacing w:line="360" w:lineRule="auto"/>
        <w:jc w:val="center"/>
        <w:rPr>
          <w:rFonts w:hint="eastAsia" w:ascii="仿宋_GB2312" w:hAnsi="仿宋_GB2312" w:eastAsia="仿宋_GB2312" w:cs="仿宋_GB2312"/>
          <w:lang w:eastAsia="zh-CN"/>
        </w:rPr>
      </w:pPr>
      <w:r>
        <w:rPr>
          <w:rFonts w:hint="eastAsia" w:ascii="仿宋_GB2312" w:hAnsi="仿宋_GB2312" w:eastAsia="仿宋_GB2312" w:cs="仿宋_GB2312"/>
          <w:b/>
          <w:color w:val="000000"/>
          <w:sz w:val="32"/>
          <w:szCs w:val="32"/>
        </w:rPr>
        <w:t>书面声明</w:t>
      </w:r>
      <w:r>
        <w:rPr>
          <w:rFonts w:hint="eastAsia" w:ascii="仿宋_GB2312" w:hAnsi="仿宋_GB2312" w:eastAsia="仿宋_GB2312" w:cs="仿宋_GB2312"/>
          <w:b/>
          <w:color w:val="000000"/>
          <w:sz w:val="32"/>
          <w:szCs w:val="32"/>
          <w:lang w:eastAsia="zh-CN"/>
        </w:rPr>
        <w:t>（格式）</w:t>
      </w:r>
    </w:p>
    <w:p w14:paraId="265FCC99">
      <w:pPr>
        <w:spacing w:line="360" w:lineRule="auto"/>
        <w:jc w:val="left"/>
        <w:rPr>
          <w:rFonts w:hint="eastAsia" w:ascii="仿宋_GB2312" w:hAnsi="仿宋_GB2312" w:eastAsia="仿宋_GB2312" w:cs="仿宋_GB2312"/>
          <w:color w:val="000000"/>
          <w:sz w:val="28"/>
          <w:szCs w:val="28"/>
        </w:rPr>
      </w:pPr>
    </w:p>
    <w:p w14:paraId="164D8D5D">
      <w:pPr>
        <w:pStyle w:val="30"/>
        <w:rPr>
          <w:rFonts w:hint="eastAsia" w:ascii="仿宋_GB2312" w:hAnsi="仿宋_GB2312" w:eastAsia="仿宋_GB2312" w:cs="仿宋_GB2312"/>
        </w:rPr>
      </w:pPr>
    </w:p>
    <w:p w14:paraId="49FC93CC">
      <w:pPr>
        <w:spacing w:line="360" w:lineRule="auto"/>
        <w:jc w:val="left"/>
        <w:rPr>
          <w:rFonts w:hint="eastAsia" w:ascii="仿宋_GB2312" w:hAnsi="仿宋_GB2312" w:eastAsia="仿宋_GB2312" w:cs="仿宋_GB2312"/>
          <w:color w:val="000000"/>
          <w:sz w:val="21"/>
          <w:szCs w:val="21"/>
          <w:u w:val="single"/>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u w:val="single"/>
        </w:rPr>
        <w:t xml:space="preserve">                    （采购人名称）</w:t>
      </w:r>
    </w:p>
    <w:p w14:paraId="257F2FBE">
      <w:pPr>
        <w:spacing w:line="360" w:lineRule="auto"/>
        <w:ind w:firstLine="48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我单位</w:t>
      </w:r>
      <w:r>
        <w:rPr>
          <w:rFonts w:hint="eastAsia" w:ascii="仿宋_GB2312" w:hAnsi="仿宋_GB2312" w:eastAsia="仿宋_GB2312" w:cs="仿宋_GB2312"/>
          <w:color w:val="000000"/>
          <w:sz w:val="21"/>
          <w:szCs w:val="21"/>
          <w:u w:val="single"/>
        </w:rPr>
        <w:t xml:space="preserve">                    （供应商名称）</w:t>
      </w:r>
      <w:r>
        <w:rPr>
          <w:rFonts w:hint="eastAsia" w:ascii="仿宋_GB2312" w:hAnsi="仿宋_GB2312" w:eastAsia="仿宋_GB2312" w:cs="仿宋_GB2312"/>
          <w:color w:val="000000"/>
          <w:sz w:val="21"/>
          <w:szCs w:val="21"/>
        </w:rPr>
        <w:t>参加政府采购活动前3年内，在经营活动中没有重大违法记录，特此声明。</w:t>
      </w:r>
    </w:p>
    <w:p w14:paraId="7AE98074">
      <w:pPr>
        <w:spacing w:line="360" w:lineRule="auto"/>
        <w:ind w:firstLine="480"/>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若采购人在本项目招标采购过程中发现我单位参加政府采购活动前3年内，在经营活动中存在重大违法记录，我单位将无条件地退出本项目的磋商活动，并承担因此引起的一切后果。</w:t>
      </w:r>
    </w:p>
    <w:p w14:paraId="1040F8C5">
      <w:pPr>
        <w:spacing w:line="360" w:lineRule="auto"/>
        <w:jc w:val="left"/>
        <w:rPr>
          <w:rFonts w:hint="eastAsia" w:ascii="仿宋_GB2312" w:hAnsi="仿宋_GB2312" w:eastAsia="仿宋_GB2312" w:cs="仿宋_GB2312"/>
          <w:color w:val="000000"/>
          <w:sz w:val="28"/>
          <w:szCs w:val="28"/>
        </w:rPr>
      </w:pPr>
    </w:p>
    <w:p w14:paraId="55DF1201">
      <w:pPr>
        <w:spacing w:line="360" w:lineRule="auto"/>
        <w:ind w:firstLine="482" w:firstLineChars="200"/>
        <w:rPr>
          <w:rFonts w:hint="eastAsia" w:ascii="仿宋_GB2312" w:hAnsi="仿宋_GB2312" w:eastAsia="仿宋_GB2312" w:cs="仿宋_GB2312"/>
          <w:b/>
          <w:color w:val="000000"/>
          <w:sz w:val="24"/>
          <w:szCs w:val="24"/>
        </w:rPr>
      </w:pPr>
    </w:p>
    <w:p w14:paraId="3FD6CF19">
      <w:pPr>
        <w:spacing w:line="360" w:lineRule="auto"/>
        <w:ind w:firstLine="482" w:firstLineChars="200"/>
        <w:rPr>
          <w:rFonts w:hint="eastAsia" w:ascii="仿宋_GB2312" w:hAnsi="仿宋_GB2312" w:eastAsia="仿宋_GB2312" w:cs="仿宋_GB2312"/>
          <w:b/>
          <w:color w:val="000000"/>
          <w:sz w:val="24"/>
          <w:szCs w:val="24"/>
        </w:rPr>
      </w:pPr>
    </w:p>
    <w:p w14:paraId="7EA61F58">
      <w:pPr>
        <w:spacing w:line="360" w:lineRule="auto"/>
        <w:ind w:firstLine="482" w:firstLineChars="200"/>
        <w:rPr>
          <w:rFonts w:hint="eastAsia" w:ascii="仿宋_GB2312" w:hAnsi="仿宋_GB2312" w:eastAsia="仿宋_GB2312" w:cs="仿宋_GB2312"/>
          <w:b/>
          <w:color w:val="000000"/>
          <w:sz w:val="24"/>
          <w:szCs w:val="24"/>
        </w:rPr>
      </w:pPr>
    </w:p>
    <w:p w14:paraId="5CF8C3E7">
      <w:pPr>
        <w:spacing w:line="360" w:lineRule="auto"/>
        <w:ind w:firstLine="482" w:firstLineChars="200"/>
        <w:rPr>
          <w:rFonts w:hint="eastAsia" w:ascii="仿宋_GB2312" w:hAnsi="仿宋_GB2312" w:eastAsia="仿宋_GB2312" w:cs="仿宋_GB2312"/>
          <w:b/>
          <w:color w:val="000000"/>
          <w:sz w:val="24"/>
          <w:szCs w:val="24"/>
        </w:rPr>
      </w:pPr>
    </w:p>
    <w:p w14:paraId="4443D204">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供  应  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1DE69E1B">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（签字或</w:t>
      </w:r>
      <w:r>
        <w:rPr>
          <w:rFonts w:hint="eastAsia" w:ascii="仿宋_GB2312" w:hAnsi="仿宋_GB2312" w:eastAsia="仿宋_GB2312" w:cs="仿宋_GB2312"/>
          <w:b/>
          <w:color w:val="000000"/>
          <w:sz w:val="24"/>
          <w:szCs w:val="24"/>
          <w:lang w:eastAsia="zh-CN"/>
        </w:rPr>
        <w:t>盖章</w:t>
      </w:r>
      <w:r>
        <w:rPr>
          <w:rFonts w:hint="eastAsia" w:ascii="仿宋_GB2312" w:hAnsi="仿宋_GB2312" w:eastAsia="仿宋_GB2312" w:cs="仿宋_GB2312"/>
          <w:b/>
          <w:color w:val="000000"/>
          <w:sz w:val="24"/>
          <w:szCs w:val="24"/>
        </w:rPr>
        <w:t>）</w:t>
      </w:r>
    </w:p>
    <w:p w14:paraId="6D9F38C8">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（签字）  </w:t>
      </w:r>
    </w:p>
    <w:p w14:paraId="0AF2F7F0">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日      期：  年  月  日</w:t>
      </w:r>
    </w:p>
    <w:p w14:paraId="7142DCF6">
      <w:pPr>
        <w:spacing w:line="360" w:lineRule="auto"/>
        <w:jc w:val="left"/>
        <w:rPr>
          <w:rFonts w:hint="eastAsia" w:ascii="仿宋_GB2312" w:hAnsi="仿宋_GB2312" w:eastAsia="仿宋_GB2312" w:cs="仿宋_GB2312"/>
          <w:color w:val="000000"/>
          <w:sz w:val="28"/>
          <w:szCs w:val="28"/>
        </w:rPr>
      </w:pPr>
    </w:p>
    <w:p w14:paraId="2FBD1558">
      <w:pPr>
        <w:pStyle w:val="30"/>
        <w:rPr>
          <w:rFonts w:hint="eastAsia" w:ascii="仿宋_GB2312" w:hAnsi="仿宋_GB2312" w:eastAsia="仿宋_GB2312" w:cs="仿宋_GB2312"/>
          <w:color w:val="000000"/>
          <w:sz w:val="28"/>
          <w:szCs w:val="28"/>
        </w:rPr>
      </w:pPr>
    </w:p>
    <w:p w14:paraId="6B9BCF7C">
      <w:pPr>
        <w:pStyle w:val="30"/>
        <w:rPr>
          <w:rFonts w:hint="eastAsia" w:ascii="仿宋_GB2312" w:hAnsi="仿宋_GB2312" w:eastAsia="仿宋_GB2312" w:cs="仿宋_GB2312"/>
          <w:color w:val="000000"/>
          <w:sz w:val="28"/>
          <w:szCs w:val="28"/>
        </w:rPr>
      </w:pPr>
    </w:p>
    <w:p w14:paraId="67DB4597">
      <w:pPr>
        <w:spacing w:line="360" w:lineRule="auto"/>
        <w:jc w:val="left"/>
        <w:rPr>
          <w:rFonts w:hint="eastAsia" w:ascii="仿宋_GB2312" w:hAnsi="仿宋_GB2312" w:eastAsia="仿宋_GB2312" w:cs="仿宋_GB2312"/>
          <w:color w:val="000000"/>
          <w:sz w:val="28"/>
          <w:szCs w:val="28"/>
        </w:rPr>
      </w:pPr>
    </w:p>
    <w:p w14:paraId="347B5ACE">
      <w:pPr>
        <w:spacing w:line="360" w:lineRule="auto"/>
        <w:jc w:val="left"/>
        <w:rPr>
          <w:rFonts w:hint="eastAsia" w:ascii="仿宋_GB2312" w:hAnsi="仿宋_GB2312" w:eastAsia="仿宋_GB2312" w:cs="仿宋_GB2312"/>
          <w:color w:val="000000"/>
          <w:sz w:val="28"/>
          <w:szCs w:val="28"/>
        </w:rPr>
      </w:pPr>
    </w:p>
    <w:p w14:paraId="00D47B51">
      <w:pPr>
        <w:tabs>
          <w:tab w:val="left" w:pos="3852"/>
        </w:tabs>
        <w:spacing w:line="360" w:lineRule="auto"/>
        <w:jc w:val="both"/>
        <w:rPr>
          <w:rFonts w:hint="eastAsia" w:ascii="仿宋_GB2312" w:hAnsi="仿宋_GB2312" w:eastAsia="仿宋_GB2312" w:cs="仿宋_GB2312"/>
          <w:b/>
          <w:color w:val="000000"/>
          <w:sz w:val="28"/>
          <w:szCs w:val="28"/>
        </w:rPr>
      </w:pPr>
    </w:p>
    <w:p w14:paraId="015C7A2C">
      <w:pPr>
        <w:tabs>
          <w:tab w:val="left" w:pos="3852"/>
        </w:tabs>
        <w:spacing w:line="360" w:lineRule="auto"/>
        <w:jc w:val="both"/>
        <w:rPr>
          <w:rFonts w:hint="eastAsia" w:ascii="仿宋_GB2312" w:hAnsi="仿宋_GB2312" w:eastAsia="仿宋_GB2312" w:cs="仿宋_GB2312"/>
          <w:b/>
          <w:color w:val="000000"/>
          <w:sz w:val="28"/>
          <w:szCs w:val="28"/>
        </w:rPr>
      </w:pPr>
    </w:p>
    <w:p w14:paraId="34CB2497">
      <w:pPr>
        <w:tabs>
          <w:tab w:val="left" w:pos="3852"/>
        </w:tabs>
        <w:spacing w:line="360" w:lineRule="auto"/>
        <w:jc w:val="both"/>
        <w:rPr>
          <w:rFonts w:hint="eastAsia" w:ascii="仿宋_GB2312" w:hAnsi="仿宋_GB2312" w:eastAsia="仿宋_GB2312" w:cs="仿宋_GB2312"/>
          <w:b/>
          <w:color w:val="000000"/>
          <w:sz w:val="28"/>
          <w:szCs w:val="28"/>
          <w:lang w:val="en-US" w:eastAsia="zh-CN"/>
        </w:rPr>
      </w:pPr>
      <w:r>
        <w:rPr>
          <w:rFonts w:hint="eastAsia" w:ascii="仿宋_GB2312" w:hAnsi="仿宋_GB2312" w:eastAsia="仿宋_GB2312" w:cs="仿宋_GB2312"/>
          <w:b/>
          <w:color w:val="000000"/>
          <w:sz w:val="28"/>
          <w:szCs w:val="28"/>
        </w:rPr>
        <w:t>附件2</w:t>
      </w:r>
      <w:r>
        <w:rPr>
          <w:rFonts w:hint="eastAsia" w:ascii="仿宋_GB2312" w:hAnsi="仿宋_GB2312" w:eastAsia="仿宋_GB2312" w:cs="仿宋_GB2312"/>
          <w:b/>
          <w:color w:val="000000"/>
          <w:sz w:val="28"/>
          <w:szCs w:val="28"/>
          <w:lang w:val="en-US" w:eastAsia="zh-CN"/>
        </w:rPr>
        <w:t xml:space="preserve">                     </w:t>
      </w:r>
    </w:p>
    <w:p w14:paraId="1F257C0D">
      <w:pPr>
        <w:tabs>
          <w:tab w:val="left" w:pos="3852"/>
        </w:tabs>
        <w:spacing w:line="36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32"/>
          <w:szCs w:val="32"/>
        </w:rPr>
        <w:t>磋商声明</w:t>
      </w:r>
    </w:p>
    <w:p w14:paraId="7097CE1E">
      <w:pPr>
        <w:spacing w:line="360" w:lineRule="auto"/>
        <w:jc w:val="left"/>
        <w:rPr>
          <w:rFonts w:hint="eastAsia" w:ascii="仿宋_GB2312" w:hAnsi="仿宋_GB2312" w:eastAsia="仿宋_GB2312" w:cs="仿宋_GB2312"/>
          <w:color w:val="000000"/>
          <w:sz w:val="21"/>
          <w:szCs w:val="21"/>
        </w:rPr>
      </w:pPr>
    </w:p>
    <w:p w14:paraId="4D6A9B1D">
      <w:pPr>
        <w:spacing w:line="360" w:lineRule="auto"/>
        <w:jc w:val="left"/>
        <w:rPr>
          <w:rFonts w:hint="eastAsia" w:ascii="仿宋_GB2312" w:hAnsi="仿宋_GB2312" w:eastAsia="仿宋_GB2312" w:cs="仿宋_GB2312"/>
          <w:color w:val="000000"/>
          <w:sz w:val="21"/>
          <w:szCs w:val="21"/>
        </w:rPr>
      </w:pPr>
    </w:p>
    <w:p w14:paraId="5DEE290B">
      <w:pPr>
        <w:spacing w:line="360" w:lineRule="auto"/>
        <w:jc w:val="left"/>
        <w:rPr>
          <w:rFonts w:hint="eastAsia" w:ascii="仿宋_GB2312" w:hAnsi="仿宋_GB2312" w:eastAsia="仿宋_GB2312" w:cs="仿宋_GB2312"/>
          <w:color w:val="000000"/>
          <w:sz w:val="21"/>
          <w:szCs w:val="21"/>
          <w:u w:val="single"/>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u w:val="single"/>
        </w:rPr>
        <w:t xml:space="preserve">                    （采购人名称）</w:t>
      </w:r>
    </w:p>
    <w:p w14:paraId="01C6ED17">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我公司收到贵单位</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采购项目竞争性磋商（项目编号：</w:t>
      </w:r>
      <w:r>
        <w:rPr>
          <w:rFonts w:hint="eastAsia" w:ascii="仿宋_GB2312" w:hAnsi="仿宋_GB2312" w:eastAsia="仿宋_GB2312" w:cs="仿宋_GB2312"/>
          <w:color w:val="000000"/>
          <w:sz w:val="21"/>
          <w:szCs w:val="21"/>
          <w:u w:val="single"/>
        </w:rPr>
        <w:t xml:space="preserve">                    </w:t>
      </w:r>
      <w:r>
        <w:rPr>
          <w:rFonts w:hint="eastAsia" w:ascii="仿宋_GB2312" w:hAnsi="仿宋_GB2312" w:eastAsia="仿宋_GB2312" w:cs="仿宋_GB2312"/>
          <w:color w:val="000000"/>
          <w:sz w:val="21"/>
          <w:szCs w:val="21"/>
        </w:rPr>
        <w:t>）的磋商文件，经详细研究，我们决定参加该项目的磋商活动。为此，我方郑重声明以下内容，并负法律责任。</w:t>
      </w:r>
    </w:p>
    <w:p w14:paraId="463ED3D5">
      <w:pPr>
        <w:spacing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1.本项目我公司以自己的名义参加磋商，不存在联合体磋商的情况。</w:t>
      </w:r>
    </w:p>
    <w:p w14:paraId="56C86998">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2.我公司愿按《中华人民共和国</w:t>
      </w:r>
      <w:r>
        <w:rPr>
          <w:rFonts w:hint="eastAsia" w:ascii="仿宋_GB2312" w:hAnsi="仿宋_GB2312" w:eastAsia="仿宋_GB2312" w:cs="仿宋_GB2312"/>
          <w:color w:val="000000"/>
          <w:sz w:val="21"/>
          <w:szCs w:val="21"/>
          <w:lang w:val="en-US" w:eastAsia="zh-CN"/>
        </w:rPr>
        <w:t>民法典</w:t>
      </w:r>
      <w:r>
        <w:rPr>
          <w:rFonts w:hint="eastAsia" w:ascii="仿宋_GB2312" w:hAnsi="仿宋_GB2312" w:eastAsia="仿宋_GB2312" w:cs="仿宋_GB2312"/>
          <w:color w:val="000000"/>
          <w:sz w:val="21"/>
          <w:szCs w:val="21"/>
        </w:rPr>
        <w:t>》履行自己的全部责任。</w:t>
      </w:r>
    </w:p>
    <w:p w14:paraId="5B436F58">
      <w:pPr>
        <w:pStyle w:val="22"/>
        <w:spacing w:before="0" w:beforeAutospacing="0" w:after="0" w:afterAutospacing="0" w:line="360" w:lineRule="auto"/>
        <w:ind w:firstLine="420" w:firstLineChars="200"/>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特此声明。</w:t>
      </w:r>
    </w:p>
    <w:p w14:paraId="4C9424E7">
      <w:pPr>
        <w:pStyle w:val="17"/>
        <w:rPr>
          <w:rFonts w:hint="eastAsia" w:ascii="仿宋_GB2312" w:hAnsi="仿宋_GB2312" w:eastAsia="仿宋_GB2312" w:cs="仿宋_GB2312"/>
          <w:color w:val="000000"/>
          <w:sz w:val="21"/>
          <w:szCs w:val="21"/>
        </w:rPr>
      </w:pPr>
    </w:p>
    <w:p w14:paraId="763F4584">
      <w:pPr>
        <w:pStyle w:val="17"/>
        <w:rPr>
          <w:rFonts w:hint="eastAsia" w:ascii="仿宋_GB2312" w:hAnsi="仿宋_GB2312" w:eastAsia="仿宋_GB2312" w:cs="仿宋_GB2312"/>
          <w:color w:val="000000"/>
          <w:sz w:val="21"/>
          <w:szCs w:val="21"/>
        </w:rPr>
      </w:pPr>
    </w:p>
    <w:p w14:paraId="49B30421">
      <w:pPr>
        <w:pStyle w:val="17"/>
        <w:rPr>
          <w:rFonts w:hint="eastAsia" w:ascii="仿宋_GB2312" w:hAnsi="仿宋_GB2312" w:eastAsia="仿宋_GB2312" w:cs="仿宋_GB2312"/>
          <w:color w:val="000000"/>
          <w:sz w:val="21"/>
          <w:szCs w:val="21"/>
        </w:rPr>
      </w:pPr>
    </w:p>
    <w:p w14:paraId="08947239">
      <w:pPr>
        <w:pStyle w:val="17"/>
        <w:rPr>
          <w:rFonts w:hint="eastAsia" w:ascii="仿宋_GB2312" w:hAnsi="仿宋_GB2312" w:eastAsia="仿宋_GB2312" w:cs="仿宋_GB2312"/>
          <w:color w:val="000000"/>
          <w:sz w:val="21"/>
          <w:szCs w:val="21"/>
        </w:rPr>
      </w:pPr>
    </w:p>
    <w:p w14:paraId="758FF197">
      <w:pPr>
        <w:pStyle w:val="17"/>
        <w:rPr>
          <w:rFonts w:hint="eastAsia" w:ascii="仿宋_GB2312" w:hAnsi="仿宋_GB2312" w:eastAsia="仿宋_GB2312" w:cs="仿宋_GB2312"/>
          <w:color w:val="000000"/>
          <w:sz w:val="21"/>
          <w:szCs w:val="21"/>
        </w:rPr>
      </w:pPr>
    </w:p>
    <w:p w14:paraId="4CC3BE41">
      <w:pPr>
        <w:pStyle w:val="17"/>
        <w:rPr>
          <w:rFonts w:hint="eastAsia" w:ascii="仿宋_GB2312" w:hAnsi="仿宋_GB2312" w:eastAsia="仿宋_GB2312" w:cs="仿宋_GB2312"/>
          <w:color w:val="000000"/>
          <w:sz w:val="21"/>
          <w:szCs w:val="21"/>
        </w:rPr>
      </w:pPr>
    </w:p>
    <w:p w14:paraId="31273B9A">
      <w:pPr>
        <w:pStyle w:val="22"/>
        <w:spacing w:before="0" w:beforeAutospacing="0" w:after="0" w:afterAutospacing="0" w:line="360" w:lineRule="auto"/>
        <w:ind w:firstLine="560" w:firstLineChars="200"/>
        <w:rPr>
          <w:rFonts w:hint="eastAsia" w:ascii="仿宋_GB2312" w:hAnsi="仿宋_GB2312" w:eastAsia="仿宋_GB2312" w:cs="仿宋_GB2312"/>
          <w:color w:val="000000"/>
          <w:sz w:val="28"/>
          <w:szCs w:val="28"/>
        </w:rPr>
      </w:pPr>
    </w:p>
    <w:bookmarkEnd w:id="266"/>
    <w:p w14:paraId="4BAE2BF0">
      <w:pPr>
        <w:spacing w:line="360" w:lineRule="auto"/>
        <w:ind w:firstLine="482" w:firstLineChars="200"/>
        <w:rPr>
          <w:rFonts w:hint="eastAsia" w:ascii="仿宋_GB2312" w:hAnsi="仿宋_GB2312" w:eastAsia="仿宋_GB2312" w:cs="仿宋_GB2312"/>
          <w:b/>
          <w:color w:val="000000"/>
          <w:sz w:val="24"/>
          <w:szCs w:val="24"/>
        </w:rPr>
      </w:pPr>
    </w:p>
    <w:p w14:paraId="0C883180">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供  应  商：</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（盖章）                                </w:t>
      </w:r>
    </w:p>
    <w:p w14:paraId="0889131A">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法定代表人：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（签字或</w:t>
      </w:r>
      <w:r>
        <w:rPr>
          <w:rFonts w:hint="eastAsia" w:ascii="仿宋_GB2312" w:hAnsi="仿宋_GB2312" w:eastAsia="仿宋_GB2312" w:cs="仿宋_GB2312"/>
          <w:b/>
          <w:color w:val="000000"/>
          <w:sz w:val="24"/>
          <w:szCs w:val="24"/>
          <w:lang w:eastAsia="zh-CN"/>
        </w:rPr>
        <w:t>盖章</w:t>
      </w:r>
      <w:r>
        <w:rPr>
          <w:rFonts w:hint="eastAsia" w:ascii="仿宋_GB2312" w:hAnsi="仿宋_GB2312" w:eastAsia="仿宋_GB2312" w:cs="仿宋_GB2312"/>
          <w:b/>
          <w:color w:val="000000"/>
          <w:sz w:val="24"/>
          <w:szCs w:val="24"/>
        </w:rPr>
        <w:t>）</w:t>
      </w:r>
    </w:p>
    <w:p w14:paraId="007474BB">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委托代理人：</w:t>
      </w:r>
      <w:r>
        <w:rPr>
          <w:rFonts w:hint="eastAsia" w:ascii="仿宋_GB2312" w:hAnsi="仿宋_GB2312" w:eastAsia="仿宋_GB2312" w:cs="仿宋_GB2312"/>
          <w:b/>
          <w:color w:val="000000"/>
          <w:sz w:val="24"/>
          <w:szCs w:val="24"/>
          <w:u w:val="single"/>
        </w:rPr>
        <w:t xml:space="preserve">            </w:t>
      </w:r>
      <w:r>
        <w:rPr>
          <w:rFonts w:hint="eastAsia" w:ascii="仿宋_GB2312" w:hAnsi="仿宋_GB2312" w:eastAsia="仿宋_GB2312" w:cs="仿宋_GB2312"/>
          <w:b/>
          <w:color w:val="000000"/>
          <w:sz w:val="24"/>
          <w:szCs w:val="24"/>
        </w:rPr>
        <w:t xml:space="preserve">（签字）  </w:t>
      </w:r>
    </w:p>
    <w:p w14:paraId="0D334E62">
      <w:pPr>
        <w:spacing w:line="360" w:lineRule="auto"/>
        <w:ind w:firstLine="482" w:firstLineChars="200"/>
        <w:rPr>
          <w:rFonts w:hint="eastAsia"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日      期：  年  月  日</w:t>
      </w:r>
    </w:p>
    <w:p w14:paraId="497B8040">
      <w:pPr>
        <w:pStyle w:val="24"/>
        <w:ind w:firstLine="0" w:firstLineChars="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color w:val="000000"/>
          <w:sz w:val="28"/>
          <w:szCs w:val="28"/>
        </w:rPr>
        <w:br w:type="page"/>
      </w:r>
      <w:r>
        <w:rPr>
          <w:rFonts w:hint="eastAsia" w:ascii="仿宋_GB2312" w:hAnsi="仿宋_GB2312" w:eastAsia="仿宋_GB2312" w:cs="仿宋_GB2312"/>
          <w:b/>
          <w:bCs/>
          <w:sz w:val="28"/>
          <w:szCs w:val="28"/>
        </w:rPr>
        <w:t>附件</w:t>
      </w:r>
      <w:r>
        <w:rPr>
          <w:rFonts w:hint="eastAsia" w:ascii="仿宋_GB2312" w:hAnsi="仿宋_GB2312" w:eastAsia="仿宋_GB2312" w:cs="仿宋_GB2312"/>
          <w:b/>
          <w:bCs/>
          <w:sz w:val="28"/>
          <w:szCs w:val="28"/>
          <w:lang w:val="en-US" w:eastAsia="zh-CN"/>
        </w:rPr>
        <w:t>3</w:t>
      </w:r>
    </w:p>
    <w:p w14:paraId="514AE53A">
      <w:pPr>
        <w:pStyle w:val="24"/>
        <w:ind w:firstLine="210"/>
        <w:rPr>
          <w:rFonts w:hint="eastAsia" w:ascii="仿宋_GB2312" w:hAnsi="仿宋_GB2312" w:eastAsia="仿宋_GB2312" w:cs="仿宋_GB2312"/>
        </w:rPr>
      </w:pPr>
    </w:p>
    <w:p w14:paraId="2D7A11D8">
      <w:pPr>
        <w:pStyle w:val="24"/>
        <w:ind w:firstLine="442"/>
        <w:jc w:val="center"/>
        <w:rPr>
          <w:rFonts w:hint="eastAsia" w:ascii="仿宋_GB2312" w:hAnsi="仿宋_GB2312" w:eastAsia="仿宋_GB2312" w:cs="仿宋_GB2312"/>
          <w:b/>
          <w:color w:val="000000"/>
          <w:sz w:val="44"/>
          <w:szCs w:val="44"/>
        </w:rPr>
      </w:pPr>
      <w:r>
        <w:rPr>
          <w:rFonts w:hint="eastAsia" w:ascii="仿宋_GB2312" w:hAnsi="仿宋_GB2312" w:eastAsia="仿宋_GB2312" w:cs="仿宋_GB2312"/>
          <w:b/>
          <w:color w:val="000000"/>
          <w:sz w:val="32"/>
          <w:szCs w:val="32"/>
        </w:rPr>
        <w:t>《中华人民共和国政府采购法》第二十二条的书面承诺函</w:t>
      </w:r>
    </w:p>
    <w:p w14:paraId="1BAA67F1">
      <w:pPr>
        <w:pStyle w:val="24"/>
        <w:ind w:firstLine="210"/>
        <w:rPr>
          <w:rFonts w:hint="eastAsia" w:ascii="仿宋_GB2312" w:hAnsi="仿宋_GB2312" w:eastAsia="仿宋_GB2312" w:cs="仿宋_GB2312"/>
        </w:rPr>
      </w:pPr>
    </w:p>
    <w:p w14:paraId="31BF5CB5">
      <w:pPr>
        <w:spacing w:line="360" w:lineRule="auto"/>
        <w:jc w:val="left"/>
        <w:rPr>
          <w:rFonts w:hint="eastAsia" w:ascii="仿宋_GB2312" w:hAnsi="仿宋_GB2312" w:eastAsia="仿宋_GB2312" w:cs="仿宋_GB2312"/>
          <w:color w:val="000000"/>
          <w:sz w:val="24"/>
          <w:szCs w:val="24"/>
        </w:rPr>
      </w:pPr>
    </w:p>
    <w:p w14:paraId="28EFF2D3">
      <w:pPr>
        <w:spacing w:line="36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致：</w:t>
      </w:r>
      <w:r>
        <w:rPr>
          <w:rFonts w:hint="eastAsia" w:ascii="仿宋_GB2312" w:hAnsi="仿宋_GB2312" w:eastAsia="仿宋_GB2312" w:cs="仿宋_GB2312"/>
          <w:color w:val="000000"/>
          <w:sz w:val="21"/>
          <w:szCs w:val="21"/>
          <w:u w:val="single"/>
        </w:rPr>
        <w:t>（采购人名称）</w:t>
      </w:r>
    </w:p>
    <w:p w14:paraId="6728363F">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我单位作为参加</w:t>
      </w:r>
      <w:r>
        <w:rPr>
          <w:rFonts w:hint="eastAsia" w:ascii="仿宋_GB2312" w:hAnsi="仿宋_GB2312" w:eastAsia="仿宋_GB2312" w:cs="仿宋_GB2312"/>
          <w:sz w:val="21"/>
          <w:szCs w:val="21"/>
          <w:u w:val="single"/>
        </w:rPr>
        <w:t xml:space="preserve">               </w:t>
      </w:r>
      <w:r>
        <w:rPr>
          <w:rFonts w:hint="eastAsia" w:ascii="仿宋_GB2312" w:hAnsi="仿宋_GB2312" w:eastAsia="仿宋_GB2312" w:cs="仿宋_GB2312"/>
          <w:sz w:val="21"/>
          <w:szCs w:val="21"/>
        </w:rPr>
        <w:t xml:space="preserve">采购项目的磋商单位，现郑重承诺我单位具备《中华人民共和国政府采购法》第二十二条供应商参加政府采购活动的基本资格条件： </w:t>
      </w:r>
    </w:p>
    <w:p w14:paraId="4BC8B3FC">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（一）我单位具有独立承担民事责任的能力； </w:t>
      </w:r>
    </w:p>
    <w:p w14:paraId="3B7D8E95">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（二）我单位具有良好的商业信誉和健全的财务会计制度；</w:t>
      </w:r>
    </w:p>
    <w:p w14:paraId="123C7F5D">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（三）我单位具有履行合同所必需的设备和专业技术能力； </w:t>
      </w:r>
    </w:p>
    <w:p w14:paraId="10435689">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（四）我单位有依法缴纳税收和社会保障资金的良好记录； </w:t>
      </w:r>
    </w:p>
    <w:p w14:paraId="3ADD35BF">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（五）我单位参加政府采购活动前三年内，在经营活动中没有重大违法记录； </w:t>
      </w:r>
    </w:p>
    <w:p w14:paraId="6CE6D1B7">
      <w:pPr>
        <w:pStyle w:val="24"/>
        <w:spacing w:after="0" w:line="36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（六）我单位满足法律、行政法规规定的其他条件。</w:t>
      </w:r>
    </w:p>
    <w:p w14:paraId="7E4BEFD6">
      <w:pPr>
        <w:pStyle w:val="24"/>
        <w:spacing w:after="0" w:line="360" w:lineRule="auto"/>
        <w:ind w:firstLine="420" w:firstLineChars="200"/>
        <w:rPr>
          <w:rFonts w:hint="eastAsia" w:ascii="仿宋_GB2312" w:hAnsi="仿宋_GB2312" w:eastAsia="仿宋_GB2312" w:cs="仿宋_GB2312"/>
          <w:sz w:val="21"/>
          <w:szCs w:val="21"/>
        </w:rPr>
      </w:pPr>
    </w:p>
    <w:p w14:paraId="7D006942">
      <w:pPr>
        <w:pStyle w:val="24"/>
        <w:spacing w:after="0" w:line="360" w:lineRule="auto"/>
        <w:ind w:firstLine="560" w:firstLineChars="200"/>
        <w:rPr>
          <w:rFonts w:hint="eastAsia" w:ascii="仿宋_GB2312" w:hAnsi="仿宋_GB2312" w:eastAsia="仿宋_GB2312" w:cs="仿宋_GB2312"/>
          <w:sz w:val="28"/>
          <w:szCs w:val="28"/>
        </w:rPr>
      </w:pPr>
    </w:p>
    <w:p w14:paraId="49529F94">
      <w:pPr>
        <w:spacing w:line="360" w:lineRule="auto"/>
        <w:ind w:firstLine="480" w:firstLineChars="200"/>
        <w:rPr>
          <w:rFonts w:hint="eastAsia" w:ascii="仿宋_GB2312" w:hAnsi="仿宋_GB2312" w:eastAsia="仿宋_GB2312" w:cs="仿宋_GB2312"/>
          <w:sz w:val="24"/>
          <w:szCs w:val="24"/>
        </w:rPr>
      </w:pPr>
    </w:p>
    <w:p w14:paraId="6F405929">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供应商：</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 xml:space="preserve">（盖章）  </w:t>
      </w:r>
    </w:p>
    <w:p w14:paraId="74F353AB">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法定代表人：</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（签字或盖章）</w:t>
      </w:r>
    </w:p>
    <w:p w14:paraId="6B43F97A">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委托代理人：</w:t>
      </w:r>
      <w:r>
        <w:rPr>
          <w:rFonts w:hint="eastAsia" w:ascii="仿宋_GB2312" w:hAnsi="仿宋_GB2312" w:eastAsia="仿宋_GB2312" w:cs="仿宋_GB2312"/>
          <w:b/>
          <w:bCs/>
          <w:sz w:val="24"/>
          <w:szCs w:val="24"/>
          <w:u w:val="single"/>
        </w:rPr>
        <w:t xml:space="preserve">                  </w:t>
      </w:r>
      <w:r>
        <w:rPr>
          <w:rFonts w:hint="eastAsia" w:ascii="仿宋_GB2312" w:hAnsi="仿宋_GB2312" w:eastAsia="仿宋_GB2312" w:cs="仿宋_GB2312"/>
          <w:b/>
          <w:bCs/>
          <w:sz w:val="24"/>
          <w:szCs w:val="24"/>
        </w:rPr>
        <w:t xml:space="preserve">（签字）  </w:t>
      </w:r>
    </w:p>
    <w:p w14:paraId="2D906F89">
      <w:p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日    期：  年  月  日</w:t>
      </w:r>
    </w:p>
    <w:p w14:paraId="19C7673B">
      <w:pPr>
        <w:spacing w:line="360" w:lineRule="auto"/>
        <w:ind w:firstLine="562" w:firstLineChars="200"/>
        <w:rPr>
          <w:rFonts w:hint="eastAsia" w:ascii="仿宋_GB2312" w:hAnsi="仿宋_GB2312" w:eastAsia="仿宋_GB2312" w:cs="仿宋_GB2312"/>
          <w:b/>
          <w:color w:val="000000"/>
          <w:sz w:val="28"/>
          <w:szCs w:val="28"/>
        </w:rPr>
      </w:pPr>
    </w:p>
    <w:p w14:paraId="555A852A">
      <w:pPr>
        <w:spacing w:line="360" w:lineRule="auto"/>
        <w:rPr>
          <w:rFonts w:hint="eastAsia" w:ascii="仿宋_GB2312" w:hAnsi="仿宋_GB2312" w:eastAsia="仿宋_GB2312" w:cs="仿宋_GB2312"/>
          <w:color w:val="000000"/>
          <w:sz w:val="28"/>
          <w:szCs w:val="28"/>
        </w:rPr>
      </w:pPr>
    </w:p>
    <w:bookmarkEnd w:id="267"/>
    <w:p w14:paraId="71DD0C29">
      <w:pPr>
        <w:keepLines/>
        <w:pageBreakBefore/>
        <w:spacing w:line="360" w:lineRule="auto"/>
        <w:jc w:val="center"/>
        <w:outlineLvl w:val="1"/>
        <w:rPr>
          <w:rFonts w:hint="eastAsia" w:ascii="仿宋_GB2312" w:hAnsi="仿宋_GB2312" w:eastAsia="仿宋_GB2312" w:cs="仿宋_GB2312"/>
          <w:b/>
          <w:color w:val="000000"/>
          <w:sz w:val="28"/>
          <w:szCs w:val="28"/>
        </w:rPr>
      </w:pPr>
      <w:bookmarkStart w:id="268" w:name="_Toc7507"/>
      <w:bookmarkStart w:id="269" w:name="_Toc16243"/>
      <w:bookmarkStart w:id="270" w:name="_Toc500323120"/>
      <w:r>
        <w:rPr>
          <w:rFonts w:hint="eastAsia" w:ascii="仿宋_GB2312" w:hAnsi="仿宋_GB2312" w:eastAsia="仿宋_GB2312" w:cs="仿宋_GB2312"/>
          <w:b/>
          <w:color w:val="000000"/>
          <w:sz w:val="32"/>
          <w:szCs w:val="32"/>
        </w:rPr>
        <w:t>十、其他材</w:t>
      </w:r>
      <w:bookmarkEnd w:id="260"/>
      <w:bookmarkEnd w:id="261"/>
      <w:bookmarkEnd w:id="262"/>
      <w:bookmarkEnd w:id="263"/>
      <w:bookmarkEnd w:id="264"/>
      <w:r>
        <w:rPr>
          <w:rFonts w:hint="eastAsia" w:ascii="仿宋_GB2312" w:hAnsi="仿宋_GB2312" w:eastAsia="仿宋_GB2312" w:cs="仿宋_GB2312"/>
          <w:b/>
          <w:color w:val="000000"/>
          <w:sz w:val="32"/>
          <w:szCs w:val="32"/>
        </w:rPr>
        <w:t>料</w:t>
      </w:r>
      <w:bookmarkEnd w:id="265"/>
      <w:bookmarkEnd w:id="268"/>
      <w:bookmarkEnd w:id="269"/>
      <w:bookmarkEnd w:id="270"/>
    </w:p>
    <w:p w14:paraId="24C7C657">
      <w:pPr>
        <w:keepNext w:val="0"/>
        <w:keepLines w:val="0"/>
        <w:pageBreakBefore w:val="0"/>
        <w:widowControl w:val="0"/>
        <w:numPr>
          <w:ilvl w:val="0"/>
          <w:numId w:val="0"/>
        </w:numPr>
        <w:shd w:val="clear" w:color="auto"/>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bCs/>
          <w:sz w:val="24"/>
          <w:szCs w:val="32"/>
          <w:highlight w:val="none"/>
        </w:rPr>
      </w:pPr>
      <w:bookmarkStart w:id="271" w:name="_Toc500323121"/>
      <w:bookmarkStart w:id="272" w:name="_Toc10352"/>
      <w:r>
        <w:rPr>
          <w:rFonts w:hint="eastAsia" w:ascii="仿宋_GB2312" w:hAnsi="仿宋_GB2312" w:eastAsia="仿宋_GB2312" w:cs="仿宋_GB2312"/>
          <w:color w:val="000000"/>
          <w:sz w:val="28"/>
          <w:szCs w:val="28"/>
        </w:rPr>
        <w:br w:type="page"/>
      </w:r>
      <w:bookmarkEnd w:id="271"/>
      <w:bookmarkEnd w:id="272"/>
      <w:bookmarkStart w:id="273" w:name="_Hlk63418484"/>
      <w:r>
        <w:rPr>
          <w:rFonts w:hint="eastAsia" w:ascii="仿宋_GB2312" w:hAnsi="仿宋_GB2312" w:eastAsia="仿宋_GB2312" w:cs="仿宋_GB2312"/>
          <w:b/>
          <w:bCs/>
          <w:sz w:val="24"/>
          <w:szCs w:val="32"/>
          <w:highlight w:val="none"/>
        </w:rPr>
        <w:t>附件</w:t>
      </w:r>
      <w:r>
        <w:rPr>
          <w:rFonts w:hint="eastAsia" w:ascii="仿宋_GB2312" w:hAnsi="仿宋_GB2312" w:eastAsia="仿宋_GB2312" w:cs="仿宋_GB2312"/>
          <w:b/>
          <w:bCs/>
          <w:sz w:val="24"/>
          <w:szCs w:val="32"/>
          <w:highlight w:val="none"/>
          <w:lang w:val="en-US" w:eastAsia="zh-CN"/>
        </w:rPr>
        <w:t>一</w:t>
      </w:r>
      <w:r>
        <w:rPr>
          <w:rFonts w:hint="eastAsia" w:ascii="仿宋_GB2312" w:hAnsi="仿宋_GB2312" w:eastAsia="仿宋_GB2312" w:cs="仿宋_GB2312"/>
          <w:b/>
          <w:bCs/>
          <w:sz w:val="24"/>
          <w:szCs w:val="32"/>
          <w:highlight w:val="none"/>
        </w:rPr>
        <w:t>：</w:t>
      </w:r>
    </w:p>
    <w:bookmarkEnd w:id="273"/>
    <w:p w14:paraId="2C312A15">
      <w:pPr>
        <w:bidi w:val="0"/>
        <w:spacing w:line="240" w:lineRule="auto"/>
        <w:jc w:val="center"/>
        <w:rPr>
          <w:rFonts w:hint="eastAsia" w:ascii="仿宋_GB2312" w:hAnsi="仿宋_GB2312" w:eastAsia="仿宋_GB2312" w:cs="仿宋_GB2312"/>
          <w:b/>
          <w:bCs/>
          <w:color w:val="auto"/>
          <w:spacing w:val="15"/>
          <w:szCs w:val="36"/>
          <w:highlight w:val="none"/>
          <w:shd w:val="clear" w:color="auto" w:fill="FFFFFF"/>
        </w:rPr>
      </w:pPr>
      <w:r>
        <w:rPr>
          <w:rFonts w:hint="eastAsia" w:ascii="仿宋_GB2312" w:hAnsi="仿宋_GB2312" w:eastAsia="仿宋_GB2312" w:cs="仿宋_GB2312"/>
          <w:b/>
          <w:bCs/>
          <w:color w:val="auto"/>
          <w:sz w:val="28"/>
          <w:szCs w:val="28"/>
        </w:rPr>
        <w:t>中小企业声明函(</w:t>
      </w:r>
      <w:r>
        <w:rPr>
          <w:rFonts w:hint="eastAsia" w:ascii="仿宋_GB2312" w:hAnsi="仿宋_GB2312" w:eastAsia="仿宋_GB2312" w:cs="仿宋_GB2312"/>
          <w:b/>
          <w:bCs/>
          <w:color w:val="auto"/>
          <w:sz w:val="28"/>
          <w:szCs w:val="28"/>
          <w:lang w:val="en-US" w:eastAsia="zh-CN"/>
        </w:rPr>
        <w:t>服务</w:t>
      </w:r>
      <w:r>
        <w:rPr>
          <w:rFonts w:hint="eastAsia" w:ascii="仿宋_GB2312" w:hAnsi="仿宋_GB2312" w:eastAsia="仿宋_GB2312" w:cs="仿宋_GB2312"/>
          <w:b/>
          <w:bCs/>
          <w:color w:val="auto"/>
          <w:sz w:val="28"/>
          <w:szCs w:val="28"/>
        </w:rPr>
        <w:t>)</w:t>
      </w:r>
    </w:p>
    <w:p w14:paraId="2F5FD294">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auto"/>
          <w:sz w:val="24"/>
          <w:szCs w:val="24"/>
        </w:rPr>
      </w:pPr>
    </w:p>
    <w:p w14:paraId="4213F794">
      <w:pPr>
        <w:keepNext w:val="0"/>
        <w:keepLines w:val="0"/>
        <w:pageBreakBefore w:val="0"/>
        <w:widowControl w:val="0"/>
        <w:shd w:val="clear"/>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本公司(联合体)郑重声明，根据《政府采购促进中小企业发展管理办法》(财库〔2020〕46号)的规定，本公司(联合体)参加</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u w:val="single"/>
          <w:lang w:val="en-US" w:eastAsia="zh-CN"/>
        </w:rPr>
        <w:t>单位名称</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rPr>
        <w:t>的</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u w:val="single"/>
          <w:lang w:val="en-US" w:eastAsia="zh-CN"/>
        </w:rPr>
        <w:t>项目名称</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rPr>
        <w:t>采购活动，服务全部由符合政策要求的中小企业承接。相关企业(含联合体中的中小企业、签订分包意向协议的中小企业)的具体情况如下:</w:t>
      </w:r>
    </w:p>
    <w:p w14:paraId="7FCE19FC">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color w:val="auto"/>
          <w:sz w:val="21"/>
          <w:szCs w:val="21"/>
        </w:rPr>
        <w:t xml:space="preserve">1. </w:t>
      </w:r>
      <w:r>
        <w:rPr>
          <w:rFonts w:hint="eastAsia" w:ascii="仿宋_GB2312" w:hAnsi="仿宋_GB2312" w:eastAsia="仿宋_GB2312" w:cs="仿宋_GB2312"/>
          <w:color w:val="auto"/>
          <w:sz w:val="21"/>
          <w:szCs w:val="21"/>
          <w:u w:val="single"/>
          <w:lang w:val="en-US" w:eastAsia="zh-CN"/>
        </w:rPr>
        <w:t xml:space="preserve">       （标的名称）</w:t>
      </w:r>
      <w:r>
        <w:rPr>
          <w:rFonts w:hint="eastAsia" w:ascii="仿宋_GB2312" w:hAnsi="仿宋_GB2312" w:eastAsia="仿宋_GB2312" w:cs="仿宋_GB2312"/>
          <w:color w:val="auto"/>
          <w:sz w:val="21"/>
          <w:szCs w:val="21"/>
        </w:rPr>
        <w:t>，属于</w:t>
      </w:r>
      <w:r>
        <w:rPr>
          <w:rFonts w:hint="eastAsia" w:ascii="仿宋_GB2312" w:hAnsi="仿宋_GB2312" w:eastAsia="仿宋_GB2312" w:cs="仿宋_GB2312"/>
          <w:color w:val="auto"/>
          <w:sz w:val="21"/>
          <w:szCs w:val="21"/>
          <w:u w:val="single"/>
          <w:lang w:eastAsia="zh-CN"/>
        </w:rPr>
        <w:t xml:space="preserve">  （</w:t>
      </w:r>
      <w:r>
        <w:rPr>
          <w:rFonts w:hint="eastAsia" w:ascii="仿宋_GB2312" w:hAnsi="仿宋_GB2312" w:eastAsia="仿宋_GB2312" w:cs="仿宋_GB2312"/>
          <w:color w:val="auto"/>
          <w:sz w:val="21"/>
          <w:szCs w:val="21"/>
          <w:u w:val="single"/>
          <w:lang w:val="en-US" w:eastAsia="zh-CN"/>
        </w:rPr>
        <w:t>采购文件中明确的所属行业</w:t>
      </w:r>
      <w:r>
        <w:rPr>
          <w:rFonts w:hint="eastAsia" w:ascii="仿宋_GB2312" w:hAnsi="仿宋_GB2312" w:eastAsia="仿宋_GB2312" w:cs="仿宋_GB2312"/>
          <w:color w:val="auto"/>
          <w:sz w:val="21"/>
          <w:szCs w:val="21"/>
          <w:u w:val="single"/>
          <w:lang w:eastAsia="zh-CN"/>
        </w:rPr>
        <w:t>）</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承接企业为</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(企业名称)</w:t>
      </w:r>
      <w:r>
        <w:rPr>
          <w:rFonts w:hint="eastAsia" w:ascii="仿宋_GB2312" w:hAnsi="仿宋_GB2312" w:eastAsia="仿宋_GB2312" w:cs="仿宋_GB2312"/>
          <w:color w:val="auto"/>
          <w:sz w:val="21"/>
          <w:szCs w:val="21"/>
        </w:rPr>
        <w:t>，从业人员</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营业收入为</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万元，资产总额为</w:t>
      </w:r>
      <w:r>
        <w:rPr>
          <w:rFonts w:hint="eastAsia" w:ascii="仿宋_GB2312" w:hAnsi="仿宋_GB2312" w:eastAsia="仿宋_GB2312" w:cs="仿宋_GB2312"/>
          <w:color w:val="auto"/>
          <w:sz w:val="21"/>
          <w:szCs w:val="21"/>
          <w:u w:val="single"/>
        </w:rPr>
        <w:t>   </w:t>
      </w:r>
      <w:r>
        <w:rPr>
          <w:rFonts w:hint="eastAsia" w:ascii="仿宋_GB2312" w:hAnsi="仿宋_GB2312" w:eastAsia="仿宋_GB2312" w:cs="仿宋_GB2312"/>
          <w:color w:val="auto"/>
          <w:sz w:val="21"/>
          <w:szCs w:val="21"/>
        </w:rPr>
        <w:t>万元，属于</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u w:val="single"/>
        </w:rPr>
        <w:t>(中型企业、小型企业、微型企业)</w:t>
      </w:r>
      <w:r>
        <w:rPr>
          <w:rFonts w:hint="eastAsia" w:ascii="仿宋_GB2312" w:hAnsi="仿宋_GB2312" w:eastAsia="仿宋_GB2312" w:cs="仿宋_GB2312"/>
          <w:color w:val="auto"/>
          <w:sz w:val="21"/>
          <w:szCs w:val="21"/>
          <w:lang w:eastAsia="zh-CN"/>
        </w:rPr>
        <w:t>；</w:t>
      </w:r>
    </w:p>
    <w:p w14:paraId="6611983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lang w:val="en-US" w:eastAsia="zh-CN"/>
        </w:rPr>
      </w:pPr>
      <w:bookmarkStart w:id="274" w:name="_Hlk74735468"/>
      <w:r>
        <w:rPr>
          <w:rFonts w:hint="eastAsia" w:ascii="仿宋_GB2312" w:hAnsi="仿宋_GB2312" w:eastAsia="仿宋_GB2312" w:cs="仿宋_GB2312"/>
          <w:sz w:val="21"/>
          <w:szCs w:val="21"/>
          <w:lang w:val="en-US" w:eastAsia="zh-CN"/>
        </w:rPr>
        <w:t>......</w:t>
      </w:r>
    </w:p>
    <w:p w14:paraId="55CBA6D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以上企业，不属于大企业的分支机构，不存在控股股东为大企业的情形，也不存在与大企业的负责人为同一人的情形。</w:t>
      </w:r>
    </w:p>
    <w:p w14:paraId="65F2CFC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本企业对上述声明内容的真实性负责。如有虚假，将依法承担相应责任。</w:t>
      </w:r>
    </w:p>
    <w:bookmarkEnd w:id="274"/>
    <w:p w14:paraId="6A2E26A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rPr>
      </w:pPr>
    </w:p>
    <w:p w14:paraId="5AF94E9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企业名称（盖章）：</w:t>
      </w:r>
    </w:p>
    <w:p w14:paraId="5F3D413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right"/>
        <w:textAlignment w:val="auto"/>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z w:val="21"/>
          <w:szCs w:val="21"/>
        </w:rPr>
        <w:t xml:space="preserve">日  期： 年 月 </w:t>
      </w:r>
      <w:r>
        <w:rPr>
          <w:rFonts w:hint="eastAsia" w:ascii="仿宋_GB2312" w:hAnsi="仿宋_GB2312" w:eastAsia="仿宋_GB2312" w:cs="仿宋_GB2312"/>
          <w:color w:val="auto"/>
          <w:spacing w:val="6"/>
          <w:sz w:val="21"/>
          <w:szCs w:val="21"/>
          <w:highlight w:val="none"/>
        </w:rPr>
        <w:t>日</w:t>
      </w:r>
    </w:p>
    <w:p w14:paraId="1CECE8A4">
      <w:pPr>
        <w:numPr>
          <w:ilvl w:val="0"/>
          <w:numId w:val="0"/>
        </w:numPr>
        <w:tabs>
          <w:tab w:val="left" w:pos="0"/>
        </w:tabs>
        <w:spacing w:line="360" w:lineRule="auto"/>
        <w:ind w:leftChars="0"/>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color w:val="333333"/>
          <w:spacing w:val="15"/>
          <w:sz w:val="21"/>
          <w:szCs w:val="21"/>
          <w:highlight w:val="none"/>
          <w:shd w:val="clear" w:color="auto" w:fill="FFFFFF"/>
          <w:lang w:val="en-US" w:eastAsia="zh-CN"/>
        </w:rPr>
        <w:t>注：1、</w:t>
      </w:r>
      <w:r>
        <w:rPr>
          <w:rFonts w:hint="eastAsia" w:ascii="仿宋_GB2312" w:hAnsi="仿宋_GB2312" w:eastAsia="仿宋_GB2312" w:cs="仿宋_GB2312"/>
          <w:b/>
          <w:bCs/>
          <w:color w:val="333333"/>
          <w:spacing w:val="15"/>
          <w:sz w:val="21"/>
          <w:szCs w:val="21"/>
          <w:highlight w:val="none"/>
          <w:shd w:val="clear" w:color="auto" w:fill="FFFFFF"/>
        </w:rPr>
        <w:t>从业人员、营业收入、资产总额填报上一年度数据，无上一年度数据的新成立企业可不填报。</w:t>
      </w:r>
    </w:p>
    <w:p w14:paraId="57BD8B2D">
      <w:pPr>
        <w:numPr>
          <w:ilvl w:val="0"/>
          <w:numId w:val="0"/>
        </w:numPr>
        <w:tabs>
          <w:tab w:val="left" w:pos="0"/>
        </w:tabs>
        <w:spacing w:line="360" w:lineRule="auto"/>
        <w:ind w:leftChars="0"/>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val="en-US" w:eastAsia="zh-CN"/>
        </w:rPr>
        <w:t>2、</w:t>
      </w:r>
      <w:r>
        <w:rPr>
          <w:rFonts w:hint="eastAsia" w:ascii="仿宋_GB2312" w:hAnsi="仿宋_GB2312" w:eastAsia="仿宋_GB2312" w:cs="仿宋_GB2312"/>
          <w:b/>
          <w:bCs/>
          <w:sz w:val="21"/>
          <w:szCs w:val="21"/>
          <w:highlight w:val="none"/>
        </w:rPr>
        <w:t>如不是该类企业则不需提供相关声明，若提供虚假材料谋取中标、成交的，将按照《政府采购法》第七十七条规定对</w:t>
      </w:r>
      <w:r>
        <w:rPr>
          <w:rFonts w:hint="eastAsia" w:ascii="仿宋_GB2312" w:hAnsi="仿宋_GB2312" w:eastAsia="仿宋_GB2312" w:cs="仿宋_GB2312"/>
          <w:b/>
          <w:bCs/>
          <w:sz w:val="21"/>
          <w:szCs w:val="21"/>
          <w:highlight w:val="none"/>
          <w:lang w:eastAsia="zh-CN"/>
        </w:rPr>
        <w:t>投标人</w:t>
      </w:r>
      <w:r>
        <w:rPr>
          <w:rFonts w:hint="eastAsia" w:ascii="仿宋_GB2312" w:hAnsi="仿宋_GB2312" w:eastAsia="仿宋_GB2312" w:cs="仿宋_GB2312"/>
          <w:b/>
          <w:bCs/>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D7F6861">
      <w:pPr>
        <w:outlineLvl w:val="9"/>
        <w:rPr>
          <w:rFonts w:hint="eastAsia" w:ascii="仿宋_GB2312" w:hAnsi="仿宋_GB2312" w:eastAsia="仿宋_GB2312" w:cs="仿宋_GB2312"/>
          <w:spacing w:val="6"/>
          <w:sz w:val="30"/>
          <w:szCs w:val="30"/>
          <w:highlight w:val="none"/>
        </w:rPr>
      </w:pPr>
      <w:r>
        <w:rPr>
          <w:rFonts w:hint="eastAsia" w:ascii="仿宋_GB2312" w:hAnsi="仿宋_GB2312" w:eastAsia="仿宋_GB2312" w:cs="仿宋_GB2312"/>
          <w:b/>
          <w:kern w:val="0"/>
          <w:sz w:val="24"/>
          <w:szCs w:val="24"/>
          <w:highlight w:val="none"/>
        </w:rPr>
        <w:br w:type="page"/>
      </w:r>
    </w:p>
    <w:p w14:paraId="6A240085">
      <w:pPr>
        <w:numPr>
          <w:ilvl w:val="0"/>
          <w:numId w:val="0"/>
        </w:numPr>
        <w:tabs>
          <w:tab w:val="left" w:pos="0"/>
        </w:tabs>
        <w:suppressAutoHyphens/>
        <w:spacing w:line="360" w:lineRule="auto"/>
        <w:ind w:leftChars="0"/>
        <w:outlineLvl w:val="9"/>
        <w:rPr>
          <w:rFonts w:hint="eastAsia" w:ascii="仿宋_GB2312" w:hAnsi="仿宋_GB2312" w:eastAsia="仿宋_GB2312" w:cs="仿宋_GB2312"/>
          <w:color w:val="auto"/>
          <w:spacing w:val="6"/>
          <w:sz w:val="30"/>
          <w:szCs w:val="30"/>
          <w:highlight w:val="none"/>
        </w:rPr>
      </w:pPr>
      <w:r>
        <w:rPr>
          <w:rFonts w:hint="eastAsia" w:ascii="仿宋_GB2312" w:hAnsi="仿宋_GB2312" w:eastAsia="仿宋_GB2312" w:cs="仿宋_GB2312"/>
          <w:b/>
          <w:color w:val="auto"/>
          <w:kern w:val="0"/>
          <w:sz w:val="24"/>
          <w:szCs w:val="24"/>
          <w:highlight w:val="none"/>
        </w:rPr>
        <w:t>附件</w:t>
      </w:r>
      <w:r>
        <w:rPr>
          <w:rFonts w:hint="eastAsia" w:ascii="仿宋_GB2312" w:hAnsi="仿宋_GB2312" w:eastAsia="仿宋_GB2312" w:cs="仿宋_GB2312"/>
          <w:b/>
          <w:color w:val="auto"/>
          <w:kern w:val="0"/>
          <w:sz w:val="24"/>
          <w:szCs w:val="24"/>
          <w:highlight w:val="none"/>
          <w:lang w:val="en-US" w:eastAsia="zh-CN"/>
        </w:rPr>
        <w:t>二</w:t>
      </w:r>
      <w:r>
        <w:rPr>
          <w:rFonts w:hint="eastAsia" w:ascii="仿宋_GB2312" w:hAnsi="仿宋_GB2312" w:eastAsia="仿宋_GB2312" w:cs="仿宋_GB2312"/>
          <w:b/>
          <w:color w:val="auto"/>
          <w:kern w:val="0"/>
          <w:sz w:val="24"/>
          <w:szCs w:val="24"/>
          <w:highlight w:val="none"/>
        </w:rPr>
        <w:t>：</w:t>
      </w:r>
    </w:p>
    <w:p w14:paraId="101FA12F">
      <w:pPr>
        <w:numPr>
          <w:ilvl w:val="0"/>
          <w:numId w:val="0"/>
        </w:numPr>
        <w:tabs>
          <w:tab w:val="left" w:pos="0"/>
        </w:tabs>
        <w:suppressAutoHyphens/>
        <w:spacing w:line="360" w:lineRule="auto"/>
        <w:ind w:leftChars="0"/>
        <w:jc w:val="center"/>
        <w:outlineLvl w:val="9"/>
        <w:rPr>
          <w:rFonts w:hint="eastAsia" w:ascii="仿宋_GB2312" w:hAnsi="仿宋_GB2312" w:eastAsia="仿宋_GB2312" w:cs="仿宋_GB2312"/>
          <w:b/>
          <w:color w:val="auto"/>
          <w:spacing w:val="6"/>
          <w:sz w:val="24"/>
          <w:szCs w:val="24"/>
          <w:highlight w:val="none"/>
        </w:rPr>
      </w:pPr>
      <w:r>
        <w:rPr>
          <w:rFonts w:hint="eastAsia" w:ascii="仿宋_GB2312" w:hAnsi="仿宋_GB2312" w:eastAsia="仿宋_GB2312" w:cs="仿宋_GB2312"/>
          <w:b/>
          <w:bCs/>
          <w:color w:val="auto"/>
          <w:spacing w:val="15"/>
          <w:kern w:val="0"/>
          <w:sz w:val="28"/>
          <w:szCs w:val="36"/>
          <w:highlight w:val="none"/>
          <w:shd w:val="clear" w:color="auto" w:fill="FFFFFF"/>
          <w:lang w:val="en-US" w:eastAsia="zh-CN" w:bidi="ar-SA"/>
        </w:rPr>
        <w:t>残疾人福利性单位声明函</w:t>
      </w:r>
    </w:p>
    <w:p w14:paraId="43B1D0AD">
      <w:pPr>
        <w:numPr>
          <w:ilvl w:val="0"/>
          <w:numId w:val="0"/>
        </w:numPr>
        <w:tabs>
          <w:tab w:val="left" w:pos="0"/>
        </w:tabs>
        <w:suppressAutoHyphens/>
        <w:spacing w:line="360" w:lineRule="auto"/>
        <w:ind w:leftChars="0"/>
        <w:outlineLvl w:val="9"/>
        <w:rPr>
          <w:rFonts w:hint="eastAsia" w:ascii="仿宋_GB2312" w:hAnsi="仿宋_GB2312" w:eastAsia="仿宋_GB2312" w:cs="仿宋_GB2312"/>
          <w:b/>
          <w:color w:val="auto"/>
          <w:spacing w:val="6"/>
          <w:sz w:val="21"/>
          <w:szCs w:val="21"/>
          <w:highlight w:val="none"/>
        </w:rPr>
      </w:pPr>
    </w:p>
    <w:p w14:paraId="09E18CB2">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 xml:space="preserve">    本单位郑重声明，根据《财政部 民政部 中国残疾人联合会关于促进残疾人就业政府采购政策的通知》（财库</w:t>
      </w:r>
      <w:r>
        <w:rPr>
          <w:rFonts w:hint="eastAsia" w:ascii="仿宋_GB2312" w:hAnsi="仿宋_GB2312" w:eastAsia="仿宋_GB2312" w:cs="仿宋_GB2312"/>
          <w:color w:val="auto"/>
          <w:sz w:val="21"/>
          <w:szCs w:val="21"/>
          <w:highlight w:val="none"/>
        </w:rPr>
        <w:t>〔2017〕141</w:t>
      </w:r>
      <w:r>
        <w:rPr>
          <w:rFonts w:hint="eastAsia" w:ascii="仿宋_GB2312" w:hAnsi="仿宋_GB2312" w:eastAsia="仿宋_GB2312" w:cs="仿宋_GB2312"/>
          <w:color w:val="auto"/>
          <w:spacing w:val="6"/>
          <w:sz w:val="21"/>
          <w:szCs w:val="21"/>
          <w:highlight w:val="none"/>
        </w:rPr>
        <w:t>号）的规定，本单位为符合条件的残疾人福利性单位，且本单位参加</w:t>
      </w:r>
      <w:r>
        <w:rPr>
          <w:rFonts w:hint="eastAsia" w:ascii="仿宋_GB2312" w:hAnsi="仿宋_GB2312" w:eastAsia="仿宋_GB2312" w:cs="仿宋_GB2312"/>
          <w:color w:val="auto"/>
          <w:spacing w:val="15"/>
          <w:sz w:val="21"/>
          <w:szCs w:val="21"/>
          <w:highlight w:val="none"/>
          <w:u w:val="single"/>
          <w:shd w:val="clear" w:color="auto" w:fill="FFFFFF"/>
          <w:lang w:val="en-US" w:eastAsia="zh-CN"/>
        </w:rPr>
        <w:t xml:space="preserve">          </w:t>
      </w:r>
      <w:r>
        <w:rPr>
          <w:rFonts w:hint="eastAsia" w:ascii="仿宋_GB2312" w:hAnsi="仿宋_GB2312" w:eastAsia="仿宋_GB2312" w:cs="仿宋_GB2312"/>
          <w:color w:val="auto"/>
          <w:spacing w:val="6"/>
          <w:sz w:val="21"/>
          <w:szCs w:val="21"/>
          <w:highlight w:val="none"/>
        </w:rPr>
        <w:t>单位的</w:t>
      </w:r>
      <w:r>
        <w:rPr>
          <w:rFonts w:hint="eastAsia" w:ascii="仿宋_GB2312" w:hAnsi="仿宋_GB2312" w:eastAsia="仿宋_GB2312" w:cs="仿宋_GB2312"/>
          <w:color w:val="auto"/>
          <w:spacing w:val="15"/>
          <w:sz w:val="21"/>
          <w:szCs w:val="21"/>
          <w:highlight w:val="none"/>
          <w:u w:val="single"/>
          <w:shd w:val="clear" w:color="auto" w:fill="FFFFFF"/>
          <w:lang w:val="en-US" w:eastAsia="zh-CN"/>
        </w:rPr>
        <w:t xml:space="preserve">          </w:t>
      </w:r>
      <w:r>
        <w:rPr>
          <w:rFonts w:hint="eastAsia" w:ascii="仿宋_GB2312" w:hAnsi="仿宋_GB2312" w:eastAsia="仿宋_GB2312" w:cs="仿宋_GB2312"/>
          <w:color w:val="auto"/>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14:paraId="13B564E7">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444" w:firstLineChars="200"/>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本单位对上述声明的真实性负责。如有虚假，将依法承担相应责任。</w:t>
      </w:r>
    </w:p>
    <w:p w14:paraId="5E548457">
      <w:pPr>
        <w:numPr>
          <w:ilvl w:val="0"/>
          <w:numId w:val="7"/>
        </w:numPr>
        <w:suppressAutoHyphens/>
        <w:spacing w:line="360" w:lineRule="auto"/>
        <w:outlineLvl w:val="9"/>
        <w:rPr>
          <w:rFonts w:hint="eastAsia" w:ascii="仿宋_GB2312" w:hAnsi="仿宋_GB2312" w:eastAsia="仿宋_GB2312" w:cs="仿宋_GB2312"/>
          <w:color w:val="auto"/>
          <w:spacing w:val="6"/>
          <w:sz w:val="21"/>
          <w:szCs w:val="21"/>
          <w:highlight w:val="none"/>
        </w:rPr>
      </w:pPr>
    </w:p>
    <w:p w14:paraId="66EDC737">
      <w:pPr>
        <w:numPr>
          <w:ilvl w:val="0"/>
          <w:numId w:val="7"/>
        </w:numPr>
        <w:spacing w:line="588" w:lineRule="exact"/>
        <w:outlineLvl w:val="9"/>
        <w:rPr>
          <w:rFonts w:hint="eastAsia" w:ascii="仿宋_GB2312" w:hAnsi="仿宋_GB2312" w:eastAsia="仿宋_GB2312" w:cs="仿宋_GB2312"/>
          <w:color w:val="auto"/>
          <w:spacing w:val="15"/>
          <w:kern w:val="0"/>
          <w:sz w:val="21"/>
          <w:szCs w:val="21"/>
          <w:highlight w:val="none"/>
          <w:shd w:val="clear" w:color="auto" w:fill="FFFFFF"/>
        </w:rPr>
      </w:pPr>
    </w:p>
    <w:p w14:paraId="374C20EB">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企业名称（盖章）：</w:t>
      </w:r>
    </w:p>
    <w:p w14:paraId="519103BB">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日  期： 年 月 日</w:t>
      </w:r>
    </w:p>
    <w:p w14:paraId="3610B1A7">
      <w:pPr>
        <w:numPr>
          <w:ilvl w:val="0"/>
          <w:numId w:val="7"/>
        </w:numPr>
        <w:jc w:val="center"/>
        <w:outlineLvl w:val="9"/>
        <w:rPr>
          <w:rFonts w:hint="eastAsia" w:ascii="仿宋_GB2312" w:hAnsi="仿宋_GB2312" w:eastAsia="仿宋_GB2312" w:cs="仿宋_GB2312"/>
          <w:b/>
          <w:color w:val="auto"/>
          <w:sz w:val="21"/>
          <w:szCs w:val="21"/>
          <w:highlight w:val="none"/>
        </w:rPr>
      </w:pPr>
    </w:p>
    <w:p w14:paraId="4E582069">
      <w:pPr>
        <w:numPr>
          <w:ilvl w:val="0"/>
          <w:numId w:val="7"/>
        </w:numPr>
        <w:jc w:val="center"/>
        <w:outlineLvl w:val="9"/>
        <w:rPr>
          <w:rFonts w:hint="eastAsia" w:ascii="仿宋_GB2312" w:hAnsi="仿宋_GB2312" w:eastAsia="仿宋_GB2312" w:cs="仿宋_GB2312"/>
          <w:b/>
          <w:color w:val="auto"/>
          <w:sz w:val="21"/>
          <w:szCs w:val="21"/>
          <w:highlight w:val="none"/>
        </w:rPr>
      </w:pPr>
    </w:p>
    <w:p w14:paraId="25943E06">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color w:val="auto"/>
          <w:sz w:val="21"/>
          <w:szCs w:val="21"/>
          <w:highlight w:val="none"/>
        </w:rPr>
        <w:t>注：如不是该类企业则不需提供相关声明，若提供虚假材料谋取中标、成交的，将按照《政府采购法》第七十七条规定对</w:t>
      </w:r>
      <w:r>
        <w:rPr>
          <w:rFonts w:hint="eastAsia" w:ascii="仿宋_GB2312" w:hAnsi="仿宋_GB2312" w:eastAsia="仿宋_GB2312" w:cs="仿宋_GB2312"/>
          <w:b/>
          <w:color w:val="auto"/>
          <w:sz w:val="21"/>
          <w:szCs w:val="21"/>
          <w:highlight w:val="none"/>
          <w:lang w:eastAsia="zh-CN"/>
        </w:rPr>
        <w:t>投标人</w:t>
      </w:r>
      <w:r>
        <w:rPr>
          <w:rFonts w:hint="eastAsia" w:ascii="仿宋_GB2312" w:hAnsi="仿宋_GB2312" w:eastAsia="仿宋_GB2312" w:cs="仿宋_GB2312"/>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60DC175">
      <w:pPr>
        <w:numPr>
          <w:ilvl w:val="0"/>
          <w:numId w:val="0"/>
        </w:numPr>
        <w:tabs>
          <w:tab w:val="left" w:pos="0"/>
        </w:tabs>
        <w:suppressAutoHyphens/>
        <w:spacing w:line="360" w:lineRule="auto"/>
        <w:ind w:leftChars="0"/>
        <w:outlineLvl w:val="9"/>
        <w:rPr>
          <w:rFonts w:hint="eastAsia" w:ascii="仿宋_GB2312" w:hAnsi="仿宋_GB2312" w:eastAsia="仿宋_GB2312" w:cs="仿宋_GB2312"/>
          <w:color w:val="auto"/>
          <w:spacing w:val="6"/>
          <w:sz w:val="24"/>
          <w:szCs w:val="24"/>
          <w:highlight w:val="none"/>
        </w:rPr>
      </w:pPr>
      <w:r>
        <w:rPr>
          <w:rFonts w:hint="eastAsia" w:ascii="仿宋_GB2312" w:hAnsi="仿宋_GB2312" w:eastAsia="仿宋_GB2312" w:cs="仿宋_GB2312"/>
          <w:b/>
          <w:szCs w:val="21"/>
          <w:highlight w:val="none"/>
        </w:rPr>
        <w:br w:type="page"/>
      </w:r>
      <w:r>
        <w:rPr>
          <w:rFonts w:hint="eastAsia" w:ascii="仿宋_GB2312" w:hAnsi="仿宋_GB2312" w:eastAsia="仿宋_GB2312" w:cs="仿宋_GB2312"/>
          <w:b/>
          <w:color w:val="auto"/>
          <w:sz w:val="24"/>
          <w:szCs w:val="24"/>
          <w:highlight w:val="none"/>
        </w:rPr>
        <w:t>附件</w:t>
      </w:r>
      <w:r>
        <w:rPr>
          <w:rFonts w:hint="eastAsia" w:ascii="仿宋_GB2312" w:hAnsi="仿宋_GB2312" w:eastAsia="仿宋_GB2312" w:cs="仿宋_GB2312"/>
          <w:b/>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w:t>
      </w:r>
    </w:p>
    <w:p w14:paraId="0E36A582">
      <w:pPr>
        <w:bidi w:val="0"/>
        <w:jc w:val="center"/>
        <w:rPr>
          <w:rFonts w:hint="eastAsia" w:ascii="仿宋_GB2312" w:hAnsi="仿宋_GB2312" w:eastAsia="仿宋_GB2312" w:cs="仿宋_GB2312"/>
          <w:b/>
          <w:bCs/>
          <w:color w:val="auto"/>
          <w:spacing w:val="15"/>
          <w:szCs w:val="36"/>
          <w:highlight w:val="none"/>
          <w:shd w:val="clear" w:color="auto" w:fill="FFFFFF"/>
          <w:lang w:val="en-US" w:eastAsia="zh-CN"/>
        </w:rPr>
      </w:pPr>
      <w:r>
        <w:rPr>
          <w:rFonts w:hint="eastAsia" w:ascii="仿宋_GB2312" w:hAnsi="仿宋_GB2312" w:eastAsia="仿宋_GB2312" w:cs="仿宋_GB2312"/>
          <w:b/>
          <w:bCs/>
          <w:color w:val="auto"/>
          <w:sz w:val="28"/>
          <w:szCs w:val="36"/>
          <w:lang w:val="en-US" w:eastAsia="zh-CN"/>
        </w:rPr>
        <w:t>监狱企业声明函</w:t>
      </w:r>
    </w:p>
    <w:p w14:paraId="45B0A2C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本单位郑重声明，根据《关于政府采购支持监狱企业发展有关问题的通知》（财库</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rPr>
        <w:t>2014</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rPr>
        <w:t>68号）的规定，本单位为符合条件的监狱企业，且本单位参加</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单位的</w:t>
      </w:r>
      <w:r>
        <w:rPr>
          <w:rFonts w:hint="eastAsia" w:ascii="仿宋_GB2312" w:hAnsi="仿宋_GB2312" w:eastAsia="仿宋_GB2312" w:cs="仿宋_GB2312"/>
          <w:color w:val="auto"/>
          <w:sz w:val="21"/>
          <w:szCs w:val="21"/>
          <w:u w:val="single"/>
          <w:lang w:val="en-US" w:eastAsia="zh-CN"/>
        </w:rPr>
        <w:t xml:space="preserve">          </w:t>
      </w:r>
      <w:r>
        <w:rPr>
          <w:rFonts w:hint="eastAsia" w:ascii="仿宋_GB2312" w:hAnsi="仿宋_GB2312" w:eastAsia="仿宋_GB2312" w:cs="仿宋_GB2312"/>
          <w:color w:val="auto"/>
          <w:sz w:val="21"/>
          <w:szCs w:val="21"/>
        </w:rPr>
        <w:t>项目采购活动提供本单位制造的货物（由本单位承担工程/提供服务），或者提供其他监狱企业制造的货物（不包括使用非监狱企业注册商标的货物）。</w:t>
      </w:r>
    </w:p>
    <w:p w14:paraId="5A6B454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仿宋_GB2312" w:hAnsi="仿宋_GB2312" w:eastAsia="仿宋_GB2312" w:cs="仿宋_GB2312"/>
          <w:color w:val="auto"/>
          <w:spacing w:val="15"/>
          <w:kern w:val="0"/>
          <w:sz w:val="21"/>
          <w:szCs w:val="21"/>
          <w:highlight w:val="none"/>
          <w:shd w:val="clear" w:color="auto" w:fill="FFFFFF"/>
        </w:rPr>
      </w:pPr>
      <w:r>
        <w:rPr>
          <w:rFonts w:hint="eastAsia" w:ascii="仿宋_GB2312" w:hAnsi="仿宋_GB2312" w:eastAsia="仿宋_GB2312" w:cs="仿宋_GB2312"/>
          <w:color w:val="auto"/>
          <w:sz w:val="21"/>
          <w:szCs w:val="21"/>
        </w:rPr>
        <w:t>本单位对上述声明的真实性负责。如有虚假，将依法承担相应责任。</w:t>
      </w:r>
    </w:p>
    <w:p w14:paraId="28702F7A">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仿宋_GB2312" w:hAnsi="仿宋_GB2312" w:eastAsia="仿宋_GB2312" w:cs="仿宋_GB2312"/>
          <w:color w:val="auto"/>
          <w:spacing w:val="6"/>
          <w:sz w:val="21"/>
          <w:szCs w:val="21"/>
          <w:highlight w:val="none"/>
        </w:rPr>
      </w:pPr>
    </w:p>
    <w:p w14:paraId="406A0F59">
      <w:pPr>
        <w:keepNext w:val="0"/>
        <w:keepLines w:val="0"/>
        <w:pageBreakBefore w:val="0"/>
        <w:widowControl w:val="0"/>
        <w:kinsoku/>
        <w:wordWrap/>
        <w:overflowPunct/>
        <w:topLinePunct w:val="0"/>
        <w:autoSpaceDE/>
        <w:autoSpaceDN/>
        <w:bidi w:val="0"/>
        <w:adjustRightInd/>
        <w:snapToGrid/>
        <w:spacing w:line="360" w:lineRule="auto"/>
        <w:ind w:firstLine="444" w:firstLineChars="200"/>
        <w:textAlignment w:val="auto"/>
        <w:outlineLvl w:val="9"/>
        <w:rPr>
          <w:rFonts w:hint="eastAsia" w:ascii="仿宋_GB2312" w:hAnsi="仿宋_GB2312" w:eastAsia="仿宋_GB2312" w:cs="仿宋_GB2312"/>
          <w:color w:val="auto"/>
          <w:spacing w:val="6"/>
          <w:sz w:val="21"/>
          <w:szCs w:val="21"/>
          <w:highlight w:val="none"/>
        </w:rPr>
      </w:pPr>
    </w:p>
    <w:p w14:paraId="458D8F5E">
      <w:pPr>
        <w:keepNext w:val="0"/>
        <w:keepLines w:val="0"/>
        <w:pageBreakBefore w:val="0"/>
        <w:widowControl w:val="0"/>
        <w:numPr>
          <w:ilvl w:val="0"/>
          <w:numId w:val="7"/>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企业名称（盖章）：</w:t>
      </w:r>
    </w:p>
    <w:p w14:paraId="10D6B4F4">
      <w:pPr>
        <w:keepNext w:val="0"/>
        <w:keepLines w:val="0"/>
        <w:pageBreakBefore w:val="0"/>
        <w:widowControl w:val="0"/>
        <w:numPr>
          <w:ilvl w:val="0"/>
          <w:numId w:val="7"/>
        </w:numPr>
        <w:suppressAutoHyphens/>
        <w:kinsoku/>
        <w:wordWrap/>
        <w:overflowPunct/>
        <w:topLinePunct w:val="0"/>
        <w:autoSpaceDE/>
        <w:autoSpaceDN/>
        <w:bidi w:val="0"/>
        <w:adjustRightInd/>
        <w:snapToGrid/>
        <w:spacing w:beforeAutospacing="0" w:afterAutospacing="0" w:line="360" w:lineRule="auto"/>
        <w:ind w:right="0" w:rightChars="0" w:firstLine="444" w:firstLineChars="200"/>
        <w:jc w:val="right"/>
        <w:textAlignment w:val="auto"/>
        <w:outlineLvl w:val="9"/>
        <w:rPr>
          <w:rFonts w:hint="eastAsia" w:ascii="仿宋_GB2312" w:hAnsi="仿宋_GB2312" w:eastAsia="仿宋_GB2312" w:cs="仿宋_GB2312"/>
          <w:color w:val="auto"/>
          <w:spacing w:val="6"/>
          <w:sz w:val="21"/>
          <w:szCs w:val="21"/>
          <w:highlight w:val="none"/>
        </w:rPr>
      </w:pPr>
      <w:r>
        <w:rPr>
          <w:rFonts w:hint="eastAsia" w:ascii="仿宋_GB2312" w:hAnsi="仿宋_GB2312" w:eastAsia="仿宋_GB2312" w:cs="仿宋_GB2312"/>
          <w:color w:val="auto"/>
          <w:spacing w:val="6"/>
          <w:sz w:val="21"/>
          <w:szCs w:val="21"/>
          <w:highlight w:val="none"/>
        </w:rPr>
        <w:t>日  期： 年 月 日</w:t>
      </w:r>
    </w:p>
    <w:p w14:paraId="43FD4C76">
      <w:pPr>
        <w:outlineLvl w:val="9"/>
        <w:rPr>
          <w:rFonts w:hint="eastAsia" w:ascii="仿宋_GB2312" w:hAnsi="仿宋_GB2312" w:eastAsia="仿宋_GB2312" w:cs="仿宋_GB2312"/>
          <w:color w:val="auto"/>
          <w:sz w:val="21"/>
          <w:szCs w:val="21"/>
          <w:highlight w:val="none"/>
        </w:rPr>
      </w:pPr>
    </w:p>
    <w:p w14:paraId="762E4594">
      <w:pPr>
        <w:outlineLvl w:val="9"/>
        <w:rPr>
          <w:rFonts w:hint="eastAsia" w:ascii="仿宋_GB2312" w:hAnsi="仿宋_GB2312" w:eastAsia="仿宋_GB2312" w:cs="仿宋_GB2312"/>
          <w:color w:val="auto"/>
          <w:sz w:val="21"/>
          <w:szCs w:val="21"/>
          <w:highlight w:val="none"/>
          <w:lang w:val="en-US" w:eastAsia="zh-CN"/>
        </w:rPr>
      </w:pPr>
    </w:p>
    <w:p w14:paraId="0C60669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后附：由省级以上监狱管理局、戒毒管理局（含新疆生产建设兵团）出具的属于监狱企业的证明文件</w:t>
      </w:r>
    </w:p>
    <w:p w14:paraId="76225855">
      <w:pPr>
        <w:pStyle w:val="3"/>
        <w:numPr>
          <w:ilvl w:val="2"/>
          <w:numId w:val="0"/>
        </w:numPr>
        <w:ind w:leftChars="0"/>
        <w:rPr>
          <w:rFonts w:hint="eastAsia" w:ascii="仿宋_GB2312" w:hAnsi="仿宋_GB2312" w:eastAsia="仿宋_GB2312" w:cs="仿宋_GB2312"/>
          <w:color w:val="auto"/>
          <w:sz w:val="21"/>
          <w:szCs w:val="21"/>
          <w:lang w:val="en-US" w:eastAsia="zh-CN"/>
        </w:rPr>
      </w:pPr>
    </w:p>
    <w:p w14:paraId="5D23DE4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注：如不是该类企业则不需提供相关声明，若提供虚假材料谋取中标、成交的，将按照《政府采购法》第七十七条规定对</w:t>
      </w:r>
      <w:r>
        <w:rPr>
          <w:rFonts w:hint="eastAsia" w:ascii="仿宋_GB2312" w:hAnsi="仿宋_GB2312" w:eastAsia="仿宋_GB2312" w:cs="仿宋_GB2312"/>
          <w:b/>
          <w:color w:val="auto"/>
          <w:sz w:val="21"/>
          <w:szCs w:val="21"/>
          <w:highlight w:val="none"/>
          <w:lang w:eastAsia="zh-CN"/>
        </w:rPr>
        <w:t>投标人</w:t>
      </w:r>
      <w:r>
        <w:rPr>
          <w:rFonts w:hint="eastAsia" w:ascii="仿宋_GB2312" w:hAnsi="仿宋_GB2312" w:eastAsia="仿宋_GB2312" w:cs="仿宋_GB2312"/>
          <w:b/>
          <w:color w:val="auto"/>
          <w:sz w:val="21"/>
          <w:szCs w:val="21"/>
          <w:highlight w:val="none"/>
        </w:rPr>
        <w:t>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01AA9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_GB2312" w:hAnsi="仿宋_GB2312" w:eastAsia="仿宋_GB2312" w:cs="仿宋_GB2312"/>
          <w:b/>
          <w:color w:val="auto"/>
          <w:sz w:val="21"/>
          <w:szCs w:val="21"/>
          <w:highlight w:val="none"/>
          <w:lang w:val="en-US" w:eastAsia="zh-CN"/>
        </w:rPr>
      </w:pPr>
    </w:p>
    <w:p w14:paraId="08BA8D35">
      <w:pPr>
        <w:adjustRightInd w:val="0"/>
        <w:snapToGrid w:val="0"/>
        <w:spacing w:line="360" w:lineRule="exact"/>
        <w:ind w:firstLine="525" w:firstLineChars="250"/>
        <w:rPr>
          <w:rFonts w:hint="eastAsia" w:ascii="仿宋_GB2312" w:hAnsi="仿宋_GB2312" w:eastAsia="仿宋_GB2312" w:cs="仿宋_GB2312"/>
          <w:color w:val="auto"/>
          <w:highlight w:val="none"/>
          <w:lang w:val="en-US" w:eastAsia="zh-CN"/>
        </w:rPr>
      </w:pPr>
    </w:p>
    <w:sectPr>
      <w:headerReference r:id="rId8" w:type="default"/>
      <w:footerReference r:id="rId9" w:type="default"/>
      <w:pgSz w:w="11906" w:h="16838"/>
      <w:pgMar w:top="1417" w:right="1417" w:bottom="1417" w:left="1417"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8E9BC8D7-DB6A-4586-A5BE-96E99F475E65}"/>
  </w:font>
  <w:font w:name="仿宋">
    <w:panose1 w:val="02010609060101010101"/>
    <w:charset w:val="86"/>
    <w:family w:val="auto"/>
    <w:pitch w:val="default"/>
    <w:sig w:usb0="800002BF" w:usb1="38CF7CFA" w:usb2="00000016" w:usb3="00000000" w:csb0="00040001" w:csb1="00000000"/>
    <w:embedRegular r:id="rId2" w:fontKey="{8AF2E25D-E251-4E45-8DD1-80B9B56B0684}"/>
  </w:font>
  <w:font w:name="WPSEMBED1">
    <w:panose1 w:val="02010609030101010101"/>
    <w:charset w:val="86"/>
    <w:family w:val="auto"/>
    <w:pitch w:val="default"/>
    <w:sig w:usb0="00000001" w:usb1="080E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0C6C">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7416">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C3944">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ADC3944">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3327">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FB7F58">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FB7F58">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7804">
    <w:pPr>
      <w:pStyle w:val="16"/>
      <w:rPr>
        <w:rFonts w:ascii="仿宋" w:hAnsi="仿宋" w:eastAsia="仿宋"/>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7386F">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937386F">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41CD">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37578C">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A37578C">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t xml:space="preserve">— </w:t>
                    </w:r>
                    <w:r>
                      <w:fldChar w:fldCharType="begin"/>
                    </w:r>
                    <w:r>
                      <w:instrText xml:space="preserve"> PAGE  \* MERGEFORMAT </w:instrText>
                    </w:r>
                    <w:r>
                      <w:fldChar w:fldCharType="separate"/>
                    </w:r>
                    <w:r>
                      <w:t>38</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BF1B">
    <w:pPr>
      <w:pStyle w:val="18"/>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1196">
    <w:pPr>
      <w:pStyle w:val="18"/>
      <w:pBdr>
        <w:bottom w:val="none" w:color="auto" w:sz="0" w:space="1"/>
      </w:pBdr>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03E2"/>
    <w:multiLevelType w:val="multilevel"/>
    <w:tmpl w:val="80A103E2"/>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96BE24F"/>
    <w:multiLevelType w:val="singleLevel"/>
    <w:tmpl w:val="A96BE24F"/>
    <w:lvl w:ilvl="0" w:tentative="0">
      <w:start w:val="6"/>
      <w:numFmt w:val="chineseCounting"/>
      <w:suff w:val="space"/>
      <w:lvlText w:val="第%1部分"/>
      <w:lvlJc w:val="left"/>
      <w:rPr>
        <w:rFonts w:hint="eastAsia"/>
      </w:rPr>
    </w:lvl>
  </w:abstractNum>
  <w:abstractNum w:abstractNumId="2">
    <w:nsid w:val="FD7FA71B"/>
    <w:multiLevelType w:val="singleLevel"/>
    <w:tmpl w:val="FD7FA71B"/>
    <w:lvl w:ilvl="0" w:tentative="0">
      <w:start w:val="2"/>
      <w:numFmt w:val="chineseCounting"/>
      <w:suff w:val="nothing"/>
      <w:lvlText w:val="%1、"/>
      <w:lvlJc w:val="left"/>
      <w:rPr>
        <w:rFonts w:hint="eastAsia"/>
      </w:rPr>
    </w:lvl>
  </w:abstractNum>
  <w:abstractNum w:abstractNumId="3">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4">
    <w:nsid w:val="00000002"/>
    <w:multiLevelType w:val="multilevel"/>
    <w:tmpl w:val="000000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0000003"/>
    <w:multiLevelType w:val="multilevel"/>
    <w:tmpl w:val="0000000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0000009"/>
    <w:multiLevelType w:val="multilevel"/>
    <w:tmpl w:val="00000009"/>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 w:numId="2">
    <w:abstractNumId w:val="6"/>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dit="readOnly" w:enforcement="1" w:cryptProviderType="rsaFull" w:cryptAlgorithmClass="hash" w:cryptAlgorithmType="typeAny" w:cryptAlgorithmSid="4" w:cryptSpinCount="0" w:hash="ArLBuutGL5BXWQ13P2t2pFqKJdI=" w:salt="ucOBrkcpCV17C90737eNNA=="/>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M3LCJoZGlkIjoiZDFiMzgwNTU5NDg1MjVjNWEyNDAzMGU4YzhkOWJkZjQiLCJ1c2VyQ291bnQiOjEyfQ=="/>
  </w:docVars>
  <w:rsids>
    <w:rsidRoot w:val="538E1483"/>
    <w:rsid w:val="00133387"/>
    <w:rsid w:val="003550AC"/>
    <w:rsid w:val="005A632B"/>
    <w:rsid w:val="0065600F"/>
    <w:rsid w:val="00AA3CEC"/>
    <w:rsid w:val="00B10660"/>
    <w:rsid w:val="00B87A8B"/>
    <w:rsid w:val="00E3393D"/>
    <w:rsid w:val="01323CE1"/>
    <w:rsid w:val="01730582"/>
    <w:rsid w:val="01772423"/>
    <w:rsid w:val="019404F8"/>
    <w:rsid w:val="01A346BF"/>
    <w:rsid w:val="01B80805"/>
    <w:rsid w:val="01D56AFF"/>
    <w:rsid w:val="01DE4EFE"/>
    <w:rsid w:val="01DF5C17"/>
    <w:rsid w:val="01F65124"/>
    <w:rsid w:val="021332F5"/>
    <w:rsid w:val="022343E1"/>
    <w:rsid w:val="023C5CE5"/>
    <w:rsid w:val="027D26BF"/>
    <w:rsid w:val="02D212D8"/>
    <w:rsid w:val="03123DCA"/>
    <w:rsid w:val="03231B33"/>
    <w:rsid w:val="0391251C"/>
    <w:rsid w:val="03F4702C"/>
    <w:rsid w:val="04247911"/>
    <w:rsid w:val="04BD7D66"/>
    <w:rsid w:val="04C144F5"/>
    <w:rsid w:val="04C66C1A"/>
    <w:rsid w:val="04DB3D9A"/>
    <w:rsid w:val="04DC4690"/>
    <w:rsid w:val="04E62E18"/>
    <w:rsid w:val="057E6715"/>
    <w:rsid w:val="058645FB"/>
    <w:rsid w:val="059A78E5"/>
    <w:rsid w:val="0624009C"/>
    <w:rsid w:val="06293905"/>
    <w:rsid w:val="0659586C"/>
    <w:rsid w:val="065C73B5"/>
    <w:rsid w:val="06652463"/>
    <w:rsid w:val="069274D4"/>
    <w:rsid w:val="06CB4FA1"/>
    <w:rsid w:val="0732731E"/>
    <w:rsid w:val="077C7A64"/>
    <w:rsid w:val="0802292E"/>
    <w:rsid w:val="08AB479D"/>
    <w:rsid w:val="08C571E9"/>
    <w:rsid w:val="091A6484"/>
    <w:rsid w:val="09300B06"/>
    <w:rsid w:val="09906FBF"/>
    <w:rsid w:val="09C53944"/>
    <w:rsid w:val="09EA120C"/>
    <w:rsid w:val="09F46CE4"/>
    <w:rsid w:val="0A2255B5"/>
    <w:rsid w:val="0A4C7BC2"/>
    <w:rsid w:val="0A56532E"/>
    <w:rsid w:val="0A6767AA"/>
    <w:rsid w:val="0A79472F"/>
    <w:rsid w:val="0A7D5FCD"/>
    <w:rsid w:val="0B0D3D01"/>
    <w:rsid w:val="0B3463BD"/>
    <w:rsid w:val="0B5539B8"/>
    <w:rsid w:val="0B616656"/>
    <w:rsid w:val="0B9F1F73"/>
    <w:rsid w:val="0BA94BA0"/>
    <w:rsid w:val="0BC33EB3"/>
    <w:rsid w:val="0BE41E18"/>
    <w:rsid w:val="0C021BA9"/>
    <w:rsid w:val="0C210BDA"/>
    <w:rsid w:val="0C7B29E0"/>
    <w:rsid w:val="0C8862F9"/>
    <w:rsid w:val="0CA75583"/>
    <w:rsid w:val="0D4136BA"/>
    <w:rsid w:val="0DBD4381"/>
    <w:rsid w:val="0DF94268"/>
    <w:rsid w:val="0E0D1416"/>
    <w:rsid w:val="0E4D3287"/>
    <w:rsid w:val="0E995783"/>
    <w:rsid w:val="0EE7610B"/>
    <w:rsid w:val="0EFB1BB6"/>
    <w:rsid w:val="0F040A6B"/>
    <w:rsid w:val="0F39623B"/>
    <w:rsid w:val="0F3E048F"/>
    <w:rsid w:val="0F3F5F47"/>
    <w:rsid w:val="0F44530B"/>
    <w:rsid w:val="0F523506"/>
    <w:rsid w:val="0F9F23FC"/>
    <w:rsid w:val="0FDD3F67"/>
    <w:rsid w:val="0FEB4494"/>
    <w:rsid w:val="10142F30"/>
    <w:rsid w:val="108D2CE2"/>
    <w:rsid w:val="10C15EDD"/>
    <w:rsid w:val="10E36DA6"/>
    <w:rsid w:val="10E50428"/>
    <w:rsid w:val="11314143"/>
    <w:rsid w:val="11460E38"/>
    <w:rsid w:val="119E784E"/>
    <w:rsid w:val="11A726EA"/>
    <w:rsid w:val="11A92B07"/>
    <w:rsid w:val="11A93B4C"/>
    <w:rsid w:val="11AB78C4"/>
    <w:rsid w:val="11F72B09"/>
    <w:rsid w:val="123100E7"/>
    <w:rsid w:val="12E666D9"/>
    <w:rsid w:val="12FF50D2"/>
    <w:rsid w:val="132408A3"/>
    <w:rsid w:val="13606F15"/>
    <w:rsid w:val="13655D4D"/>
    <w:rsid w:val="138A175B"/>
    <w:rsid w:val="13961EAE"/>
    <w:rsid w:val="139B74C4"/>
    <w:rsid w:val="13A66595"/>
    <w:rsid w:val="13C0025C"/>
    <w:rsid w:val="13DA4490"/>
    <w:rsid w:val="13DB5B12"/>
    <w:rsid w:val="13E214AD"/>
    <w:rsid w:val="14691370"/>
    <w:rsid w:val="14846311"/>
    <w:rsid w:val="14AD5701"/>
    <w:rsid w:val="14C60571"/>
    <w:rsid w:val="14CA39A9"/>
    <w:rsid w:val="14D317E3"/>
    <w:rsid w:val="14E8498B"/>
    <w:rsid w:val="14FC21E4"/>
    <w:rsid w:val="153E27FD"/>
    <w:rsid w:val="155939A6"/>
    <w:rsid w:val="15785D0F"/>
    <w:rsid w:val="157D50D3"/>
    <w:rsid w:val="15C34AB0"/>
    <w:rsid w:val="15EC04AB"/>
    <w:rsid w:val="17214184"/>
    <w:rsid w:val="173619DD"/>
    <w:rsid w:val="173A48D6"/>
    <w:rsid w:val="17435EA8"/>
    <w:rsid w:val="17571954"/>
    <w:rsid w:val="178612A4"/>
    <w:rsid w:val="181C71CD"/>
    <w:rsid w:val="184719C8"/>
    <w:rsid w:val="18525B00"/>
    <w:rsid w:val="187F6B62"/>
    <w:rsid w:val="18816044"/>
    <w:rsid w:val="18B440AE"/>
    <w:rsid w:val="18D53478"/>
    <w:rsid w:val="190D5C90"/>
    <w:rsid w:val="1912263B"/>
    <w:rsid w:val="19384DC0"/>
    <w:rsid w:val="196A22F8"/>
    <w:rsid w:val="1998697F"/>
    <w:rsid w:val="19BD0194"/>
    <w:rsid w:val="19DB4ABE"/>
    <w:rsid w:val="19E5593D"/>
    <w:rsid w:val="1A0F6516"/>
    <w:rsid w:val="1A18186E"/>
    <w:rsid w:val="1A3348FA"/>
    <w:rsid w:val="1A340CCE"/>
    <w:rsid w:val="1A606D71"/>
    <w:rsid w:val="1A6E76E0"/>
    <w:rsid w:val="1A7C5481"/>
    <w:rsid w:val="1A9B3947"/>
    <w:rsid w:val="1AB07CF9"/>
    <w:rsid w:val="1ABA0BC7"/>
    <w:rsid w:val="1AEC07E3"/>
    <w:rsid w:val="1AF96500"/>
    <w:rsid w:val="1B1175F6"/>
    <w:rsid w:val="1B1D4C62"/>
    <w:rsid w:val="1B2304CB"/>
    <w:rsid w:val="1BE55780"/>
    <w:rsid w:val="1C3B7A96"/>
    <w:rsid w:val="1C3C5F7F"/>
    <w:rsid w:val="1C74143C"/>
    <w:rsid w:val="1C9F1DD3"/>
    <w:rsid w:val="1D005131"/>
    <w:rsid w:val="1D085BCA"/>
    <w:rsid w:val="1D2E3157"/>
    <w:rsid w:val="1D3C365B"/>
    <w:rsid w:val="1D6D3645"/>
    <w:rsid w:val="1D7768AC"/>
    <w:rsid w:val="1DB418AE"/>
    <w:rsid w:val="1DD43CFE"/>
    <w:rsid w:val="1DE303E5"/>
    <w:rsid w:val="1E7948A6"/>
    <w:rsid w:val="1ECB3353"/>
    <w:rsid w:val="1EE12B77"/>
    <w:rsid w:val="1EF83A1C"/>
    <w:rsid w:val="1F046865"/>
    <w:rsid w:val="1F2111C5"/>
    <w:rsid w:val="1F647304"/>
    <w:rsid w:val="1FFE1506"/>
    <w:rsid w:val="20352208"/>
    <w:rsid w:val="203C17F2"/>
    <w:rsid w:val="206C2914"/>
    <w:rsid w:val="20AE1EB2"/>
    <w:rsid w:val="20C92CE4"/>
    <w:rsid w:val="20D858B3"/>
    <w:rsid w:val="20E21F80"/>
    <w:rsid w:val="21277625"/>
    <w:rsid w:val="217B5198"/>
    <w:rsid w:val="21C66054"/>
    <w:rsid w:val="21D00C81"/>
    <w:rsid w:val="22032360"/>
    <w:rsid w:val="22124DF5"/>
    <w:rsid w:val="22394A78"/>
    <w:rsid w:val="225C5AA3"/>
    <w:rsid w:val="22B97967"/>
    <w:rsid w:val="22BA23F3"/>
    <w:rsid w:val="230A1F70"/>
    <w:rsid w:val="232474D6"/>
    <w:rsid w:val="23A24D76"/>
    <w:rsid w:val="23DF1A1B"/>
    <w:rsid w:val="23DF7C89"/>
    <w:rsid w:val="23EC5091"/>
    <w:rsid w:val="241516F5"/>
    <w:rsid w:val="24381F8E"/>
    <w:rsid w:val="246062EC"/>
    <w:rsid w:val="24B52FED"/>
    <w:rsid w:val="24E52120"/>
    <w:rsid w:val="24EB32FC"/>
    <w:rsid w:val="251B4AC8"/>
    <w:rsid w:val="256C5801"/>
    <w:rsid w:val="25757B75"/>
    <w:rsid w:val="25965D3D"/>
    <w:rsid w:val="25B151E9"/>
    <w:rsid w:val="25D7082F"/>
    <w:rsid w:val="26327B15"/>
    <w:rsid w:val="26A06E73"/>
    <w:rsid w:val="26FE3B9A"/>
    <w:rsid w:val="27035654"/>
    <w:rsid w:val="270E64D3"/>
    <w:rsid w:val="270F224B"/>
    <w:rsid w:val="2734580E"/>
    <w:rsid w:val="27B17B22"/>
    <w:rsid w:val="27DC4832"/>
    <w:rsid w:val="28100029"/>
    <w:rsid w:val="28441A80"/>
    <w:rsid w:val="28546D55"/>
    <w:rsid w:val="286363AA"/>
    <w:rsid w:val="28A864B3"/>
    <w:rsid w:val="28E84B02"/>
    <w:rsid w:val="29274E64"/>
    <w:rsid w:val="292A6EC8"/>
    <w:rsid w:val="293B254B"/>
    <w:rsid w:val="29D33D5C"/>
    <w:rsid w:val="2A560D23"/>
    <w:rsid w:val="2ADC2444"/>
    <w:rsid w:val="2AE8528D"/>
    <w:rsid w:val="2B457FE9"/>
    <w:rsid w:val="2BDA4BD6"/>
    <w:rsid w:val="2DE0049D"/>
    <w:rsid w:val="2DF95B61"/>
    <w:rsid w:val="2E693FEF"/>
    <w:rsid w:val="2EA15E7F"/>
    <w:rsid w:val="2EE97AC2"/>
    <w:rsid w:val="2F0401BB"/>
    <w:rsid w:val="300D4E34"/>
    <w:rsid w:val="30207172"/>
    <w:rsid w:val="305F1EED"/>
    <w:rsid w:val="306431E2"/>
    <w:rsid w:val="3071362F"/>
    <w:rsid w:val="30F2365A"/>
    <w:rsid w:val="31235140"/>
    <w:rsid w:val="31472111"/>
    <w:rsid w:val="31707707"/>
    <w:rsid w:val="31774C75"/>
    <w:rsid w:val="318D4498"/>
    <w:rsid w:val="31A60340"/>
    <w:rsid w:val="31CC4FC0"/>
    <w:rsid w:val="32364B30"/>
    <w:rsid w:val="32904240"/>
    <w:rsid w:val="32B46EF9"/>
    <w:rsid w:val="32BB64C9"/>
    <w:rsid w:val="32DA0206"/>
    <w:rsid w:val="32F570F6"/>
    <w:rsid w:val="3316226B"/>
    <w:rsid w:val="33287146"/>
    <w:rsid w:val="3337290D"/>
    <w:rsid w:val="336124DA"/>
    <w:rsid w:val="33E513E7"/>
    <w:rsid w:val="341D5FA7"/>
    <w:rsid w:val="3437410F"/>
    <w:rsid w:val="34541527"/>
    <w:rsid w:val="345D7A29"/>
    <w:rsid w:val="35152E25"/>
    <w:rsid w:val="351C625F"/>
    <w:rsid w:val="3535217E"/>
    <w:rsid w:val="354807AF"/>
    <w:rsid w:val="35753BC1"/>
    <w:rsid w:val="357F059C"/>
    <w:rsid w:val="3593189D"/>
    <w:rsid w:val="35C05B94"/>
    <w:rsid w:val="35EB1B84"/>
    <w:rsid w:val="36127662"/>
    <w:rsid w:val="3619279E"/>
    <w:rsid w:val="362426FA"/>
    <w:rsid w:val="362B6B0B"/>
    <w:rsid w:val="363E09C5"/>
    <w:rsid w:val="36624042"/>
    <w:rsid w:val="366B75D5"/>
    <w:rsid w:val="3676199F"/>
    <w:rsid w:val="37054AD1"/>
    <w:rsid w:val="37070849"/>
    <w:rsid w:val="372F05A4"/>
    <w:rsid w:val="37667C65"/>
    <w:rsid w:val="3776777C"/>
    <w:rsid w:val="378D6FA0"/>
    <w:rsid w:val="378E2D18"/>
    <w:rsid w:val="38087113"/>
    <w:rsid w:val="3810197F"/>
    <w:rsid w:val="38467043"/>
    <w:rsid w:val="389F2071"/>
    <w:rsid w:val="38EC5F48"/>
    <w:rsid w:val="390E2362"/>
    <w:rsid w:val="391D07F7"/>
    <w:rsid w:val="391F631E"/>
    <w:rsid w:val="39352566"/>
    <w:rsid w:val="39783C80"/>
    <w:rsid w:val="39916116"/>
    <w:rsid w:val="3AA7481D"/>
    <w:rsid w:val="3AC0143A"/>
    <w:rsid w:val="3B025F76"/>
    <w:rsid w:val="3B094FE2"/>
    <w:rsid w:val="3B81673C"/>
    <w:rsid w:val="3BE13EE5"/>
    <w:rsid w:val="3BF375EE"/>
    <w:rsid w:val="3C812E4B"/>
    <w:rsid w:val="3C92740A"/>
    <w:rsid w:val="3D6562C9"/>
    <w:rsid w:val="3D806841"/>
    <w:rsid w:val="3DA94408"/>
    <w:rsid w:val="3E346DB0"/>
    <w:rsid w:val="3E375EB7"/>
    <w:rsid w:val="3E3E764C"/>
    <w:rsid w:val="3E57278F"/>
    <w:rsid w:val="3E8F7AA2"/>
    <w:rsid w:val="3ECB03B5"/>
    <w:rsid w:val="3EEF3BD5"/>
    <w:rsid w:val="3F853C46"/>
    <w:rsid w:val="3F982986"/>
    <w:rsid w:val="3FFD6C8D"/>
    <w:rsid w:val="40C76553"/>
    <w:rsid w:val="40F315A4"/>
    <w:rsid w:val="412A757F"/>
    <w:rsid w:val="414F176A"/>
    <w:rsid w:val="41651556"/>
    <w:rsid w:val="418A09F4"/>
    <w:rsid w:val="41A05B22"/>
    <w:rsid w:val="41E159D4"/>
    <w:rsid w:val="42075BA1"/>
    <w:rsid w:val="42322F7E"/>
    <w:rsid w:val="423C1CEE"/>
    <w:rsid w:val="425D7EB7"/>
    <w:rsid w:val="42D31A52"/>
    <w:rsid w:val="43617533"/>
    <w:rsid w:val="43835153"/>
    <w:rsid w:val="4384726E"/>
    <w:rsid w:val="43B34232"/>
    <w:rsid w:val="43CB76FE"/>
    <w:rsid w:val="43DE072D"/>
    <w:rsid w:val="44022AC4"/>
    <w:rsid w:val="4408069A"/>
    <w:rsid w:val="44242A3A"/>
    <w:rsid w:val="445968C5"/>
    <w:rsid w:val="44806122"/>
    <w:rsid w:val="448422B0"/>
    <w:rsid w:val="44D6347B"/>
    <w:rsid w:val="44DC50C3"/>
    <w:rsid w:val="45050ABD"/>
    <w:rsid w:val="455A06DD"/>
    <w:rsid w:val="45A656D1"/>
    <w:rsid w:val="45BB5620"/>
    <w:rsid w:val="45CB0510"/>
    <w:rsid w:val="45CE26E6"/>
    <w:rsid w:val="45F4643C"/>
    <w:rsid w:val="460A2104"/>
    <w:rsid w:val="46220F1F"/>
    <w:rsid w:val="468C5C3B"/>
    <w:rsid w:val="46A26BC0"/>
    <w:rsid w:val="46AF05B5"/>
    <w:rsid w:val="46D32E08"/>
    <w:rsid w:val="46F96400"/>
    <w:rsid w:val="47CE30B0"/>
    <w:rsid w:val="47EF7B49"/>
    <w:rsid w:val="48401E0D"/>
    <w:rsid w:val="49504C32"/>
    <w:rsid w:val="496C7DF2"/>
    <w:rsid w:val="496D09DF"/>
    <w:rsid w:val="499C12C5"/>
    <w:rsid w:val="4A021E4C"/>
    <w:rsid w:val="4A2D4613"/>
    <w:rsid w:val="4ABA40F8"/>
    <w:rsid w:val="4AD102CE"/>
    <w:rsid w:val="4ADB406F"/>
    <w:rsid w:val="4AE01685"/>
    <w:rsid w:val="4B4828D4"/>
    <w:rsid w:val="4BC6087B"/>
    <w:rsid w:val="4BD23BDD"/>
    <w:rsid w:val="4BF90C50"/>
    <w:rsid w:val="4C123AC0"/>
    <w:rsid w:val="4C1C11EA"/>
    <w:rsid w:val="4C285091"/>
    <w:rsid w:val="4C2E3515"/>
    <w:rsid w:val="4C7279FA"/>
    <w:rsid w:val="4C9E28EA"/>
    <w:rsid w:val="4CCA6149"/>
    <w:rsid w:val="4CD40D75"/>
    <w:rsid w:val="4CDD40CE"/>
    <w:rsid w:val="4D007DBC"/>
    <w:rsid w:val="4D282F47"/>
    <w:rsid w:val="4D423645"/>
    <w:rsid w:val="4DC05EAB"/>
    <w:rsid w:val="4E1458CD"/>
    <w:rsid w:val="4E801CD9"/>
    <w:rsid w:val="4E8B1908"/>
    <w:rsid w:val="4E9E788D"/>
    <w:rsid w:val="4EBE1CDD"/>
    <w:rsid w:val="4EE05E69"/>
    <w:rsid w:val="4EE32858"/>
    <w:rsid w:val="4F0074BA"/>
    <w:rsid w:val="4F3855EC"/>
    <w:rsid w:val="4F542C5F"/>
    <w:rsid w:val="4F8172ED"/>
    <w:rsid w:val="4FF50D07"/>
    <w:rsid w:val="50056979"/>
    <w:rsid w:val="50C335DB"/>
    <w:rsid w:val="50CE309B"/>
    <w:rsid w:val="50CF3D2E"/>
    <w:rsid w:val="50D36597"/>
    <w:rsid w:val="511127A0"/>
    <w:rsid w:val="51507083"/>
    <w:rsid w:val="517F0989"/>
    <w:rsid w:val="51B51175"/>
    <w:rsid w:val="51F31C9E"/>
    <w:rsid w:val="51F872B4"/>
    <w:rsid w:val="520D408E"/>
    <w:rsid w:val="52592449"/>
    <w:rsid w:val="526F7B89"/>
    <w:rsid w:val="527B1310"/>
    <w:rsid w:val="52923265"/>
    <w:rsid w:val="52F67C97"/>
    <w:rsid w:val="53230361"/>
    <w:rsid w:val="53314388"/>
    <w:rsid w:val="536B3095"/>
    <w:rsid w:val="5380017E"/>
    <w:rsid w:val="538E1483"/>
    <w:rsid w:val="541B6431"/>
    <w:rsid w:val="543F11CA"/>
    <w:rsid w:val="5458228C"/>
    <w:rsid w:val="54B17E17"/>
    <w:rsid w:val="54D42C9D"/>
    <w:rsid w:val="5567155C"/>
    <w:rsid w:val="55766E6E"/>
    <w:rsid w:val="55794BB0"/>
    <w:rsid w:val="55F04E72"/>
    <w:rsid w:val="56206309"/>
    <w:rsid w:val="570606C5"/>
    <w:rsid w:val="57144B90"/>
    <w:rsid w:val="57323268"/>
    <w:rsid w:val="57B73E1A"/>
    <w:rsid w:val="57D97FC9"/>
    <w:rsid w:val="58010C9D"/>
    <w:rsid w:val="582E1C82"/>
    <w:rsid w:val="58565030"/>
    <w:rsid w:val="58D853F1"/>
    <w:rsid w:val="59260BAB"/>
    <w:rsid w:val="5967369D"/>
    <w:rsid w:val="59745DBA"/>
    <w:rsid w:val="5A0031AA"/>
    <w:rsid w:val="5A201A9E"/>
    <w:rsid w:val="5A243AEA"/>
    <w:rsid w:val="5A3410A5"/>
    <w:rsid w:val="5A4E0252"/>
    <w:rsid w:val="5A5C70CB"/>
    <w:rsid w:val="5AB630E2"/>
    <w:rsid w:val="5AB9313A"/>
    <w:rsid w:val="5ADB7A9F"/>
    <w:rsid w:val="5B2F22CC"/>
    <w:rsid w:val="5B372953"/>
    <w:rsid w:val="5B466B83"/>
    <w:rsid w:val="5B8D6CBF"/>
    <w:rsid w:val="5BF3746A"/>
    <w:rsid w:val="5CAD579C"/>
    <w:rsid w:val="5CE54573"/>
    <w:rsid w:val="5DB70023"/>
    <w:rsid w:val="5DC35137"/>
    <w:rsid w:val="5DF9688E"/>
    <w:rsid w:val="5E073BED"/>
    <w:rsid w:val="5E0A2849"/>
    <w:rsid w:val="5E2B6E6F"/>
    <w:rsid w:val="5E3C677A"/>
    <w:rsid w:val="5E5E2B95"/>
    <w:rsid w:val="5E8E5228"/>
    <w:rsid w:val="5E930A90"/>
    <w:rsid w:val="5EC23124"/>
    <w:rsid w:val="5ECB5627"/>
    <w:rsid w:val="5EDF3CD6"/>
    <w:rsid w:val="5F4D410D"/>
    <w:rsid w:val="5F67138C"/>
    <w:rsid w:val="5F6C789E"/>
    <w:rsid w:val="5F70767C"/>
    <w:rsid w:val="5F9576F1"/>
    <w:rsid w:val="5FE80968"/>
    <w:rsid w:val="60114363"/>
    <w:rsid w:val="606B658C"/>
    <w:rsid w:val="608F2ABA"/>
    <w:rsid w:val="609E371C"/>
    <w:rsid w:val="60A725D1"/>
    <w:rsid w:val="60A76A75"/>
    <w:rsid w:val="60D14602"/>
    <w:rsid w:val="60F715A3"/>
    <w:rsid w:val="61581B1D"/>
    <w:rsid w:val="61693D2A"/>
    <w:rsid w:val="61957B24"/>
    <w:rsid w:val="61DD367E"/>
    <w:rsid w:val="61E84C4F"/>
    <w:rsid w:val="627921C2"/>
    <w:rsid w:val="62B2525D"/>
    <w:rsid w:val="62B62164"/>
    <w:rsid w:val="62BB36D4"/>
    <w:rsid w:val="62C03E1E"/>
    <w:rsid w:val="62D8753A"/>
    <w:rsid w:val="6302602E"/>
    <w:rsid w:val="631A1780"/>
    <w:rsid w:val="63607A4C"/>
    <w:rsid w:val="63715D2B"/>
    <w:rsid w:val="637D3ABD"/>
    <w:rsid w:val="639D5BE4"/>
    <w:rsid w:val="63EB3EF8"/>
    <w:rsid w:val="6424218B"/>
    <w:rsid w:val="645F08B5"/>
    <w:rsid w:val="64A22A14"/>
    <w:rsid w:val="64D06D48"/>
    <w:rsid w:val="64EF1CE7"/>
    <w:rsid w:val="6502427A"/>
    <w:rsid w:val="65143FAD"/>
    <w:rsid w:val="656E5DB3"/>
    <w:rsid w:val="657D5FF6"/>
    <w:rsid w:val="65A92F4B"/>
    <w:rsid w:val="65B31A18"/>
    <w:rsid w:val="65ED2713"/>
    <w:rsid w:val="66171FA7"/>
    <w:rsid w:val="66394FA5"/>
    <w:rsid w:val="66577EE3"/>
    <w:rsid w:val="667110EE"/>
    <w:rsid w:val="669B71F4"/>
    <w:rsid w:val="66A16E18"/>
    <w:rsid w:val="66F824FD"/>
    <w:rsid w:val="670449CC"/>
    <w:rsid w:val="67123590"/>
    <w:rsid w:val="6757392B"/>
    <w:rsid w:val="67BA2898"/>
    <w:rsid w:val="67DD72B8"/>
    <w:rsid w:val="67F0692E"/>
    <w:rsid w:val="68247428"/>
    <w:rsid w:val="684013CE"/>
    <w:rsid w:val="68503DB3"/>
    <w:rsid w:val="688356D2"/>
    <w:rsid w:val="68884A07"/>
    <w:rsid w:val="68E3543D"/>
    <w:rsid w:val="68EA5751"/>
    <w:rsid w:val="691F15AB"/>
    <w:rsid w:val="693F1163"/>
    <w:rsid w:val="695348DB"/>
    <w:rsid w:val="69763488"/>
    <w:rsid w:val="69A724D8"/>
    <w:rsid w:val="69BA3375"/>
    <w:rsid w:val="6A8676FB"/>
    <w:rsid w:val="6AA35501"/>
    <w:rsid w:val="6AA8720E"/>
    <w:rsid w:val="6AF1726A"/>
    <w:rsid w:val="6B086362"/>
    <w:rsid w:val="6B353A51"/>
    <w:rsid w:val="6B4B2C82"/>
    <w:rsid w:val="6BAB20C9"/>
    <w:rsid w:val="6BBA5839"/>
    <w:rsid w:val="6C065B49"/>
    <w:rsid w:val="6C066D46"/>
    <w:rsid w:val="6C20148A"/>
    <w:rsid w:val="6C5F5F43"/>
    <w:rsid w:val="6C813345"/>
    <w:rsid w:val="6CE32BE3"/>
    <w:rsid w:val="6D220811"/>
    <w:rsid w:val="6D260D22"/>
    <w:rsid w:val="6D450E87"/>
    <w:rsid w:val="6E0B0643"/>
    <w:rsid w:val="6E4C2A0A"/>
    <w:rsid w:val="6E5C44B0"/>
    <w:rsid w:val="6E781A51"/>
    <w:rsid w:val="6ECD58F9"/>
    <w:rsid w:val="6F7E447B"/>
    <w:rsid w:val="7104137A"/>
    <w:rsid w:val="7169742F"/>
    <w:rsid w:val="71922E29"/>
    <w:rsid w:val="71995F66"/>
    <w:rsid w:val="71B94E31"/>
    <w:rsid w:val="71BF680E"/>
    <w:rsid w:val="72120A02"/>
    <w:rsid w:val="725B7C23"/>
    <w:rsid w:val="72695938"/>
    <w:rsid w:val="72AD517D"/>
    <w:rsid w:val="72AF5315"/>
    <w:rsid w:val="731A1BF5"/>
    <w:rsid w:val="735465E8"/>
    <w:rsid w:val="73602DCE"/>
    <w:rsid w:val="73755554"/>
    <w:rsid w:val="73B843AA"/>
    <w:rsid w:val="73BF67F8"/>
    <w:rsid w:val="73E01C2A"/>
    <w:rsid w:val="73F73418"/>
    <w:rsid w:val="74534AF2"/>
    <w:rsid w:val="74890514"/>
    <w:rsid w:val="74956EB9"/>
    <w:rsid w:val="749B3DA3"/>
    <w:rsid w:val="74A125F2"/>
    <w:rsid w:val="74DB0643"/>
    <w:rsid w:val="74FA7DC8"/>
    <w:rsid w:val="750162FC"/>
    <w:rsid w:val="751A5610"/>
    <w:rsid w:val="75394C61"/>
    <w:rsid w:val="757B3199"/>
    <w:rsid w:val="75A629FF"/>
    <w:rsid w:val="75AF26A1"/>
    <w:rsid w:val="75FC5A71"/>
    <w:rsid w:val="760140DA"/>
    <w:rsid w:val="761A4627"/>
    <w:rsid w:val="76361FD5"/>
    <w:rsid w:val="764741E2"/>
    <w:rsid w:val="76D24862"/>
    <w:rsid w:val="77471FC0"/>
    <w:rsid w:val="77536BB7"/>
    <w:rsid w:val="77903967"/>
    <w:rsid w:val="779A6594"/>
    <w:rsid w:val="77A61782"/>
    <w:rsid w:val="77BC29AE"/>
    <w:rsid w:val="77D44FB1"/>
    <w:rsid w:val="77ED700C"/>
    <w:rsid w:val="787E5EB6"/>
    <w:rsid w:val="78827754"/>
    <w:rsid w:val="78B33DB1"/>
    <w:rsid w:val="78F9553C"/>
    <w:rsid w:val="79052133"/>
    <w:rsid w:val="791F54A6"/>
    <w:rsid w:val="7973709D"/>
    <w:rsid w:val="7993773F"/>
    <w:rsid w:val="799C1992"/>
    <w:rsid w:val="79AE6327"/>
    <w:rsid w:val="79CA11DC"/>
    <w:rsid w:val="79D5256A"/>
    <w:rsid w:val="79FD4D1C"/>
    <w:rsid w:val="7A522A37"/>
    <w:rsid w:val="7A57096E"/>
    <w:rsid w:val="7A8822C8"/>
    <w:rsid w:val="7A925C48"/>
    <w:rsid w:val="7AFF25D5"/>
    <w:rsid w:val="7AFF41CC"/>
    <w:rsid w:val="7B3B62E0"/>
    <w:rsid w:val="7B5E70A2"/>
    <w:rsid w:val="7B6075EF"/>
    <w:rsid w:val="7B705F89"/>
    <w:rsid w:val="7B841A35"/>
    <w:rsid w:val="7BDF0A19"/>
    <w:rsid w:val="7BE424D4"/>
    <w:rsid w:val="7C06244A"/>
    <w:rsid w:val="7C7F29CF"/>
    <w:rsid w:val="7CD86C6F"/>
    <w:rsid w:val="7CF46746"/>
    <w:rsid w:val="7CFA031D"/>
    <w:rsid w:val="7D364FB1"/>
    <w:rsid w:val="7D4A1525"/>
    <w:rsid w:val="7D5C68FA"/>
    <w:rsid w:val="7D690001"/>
    <w:rsid w:val="7D8E26F7"/>
    <w:rsid w:val="7E655B4E"/>
    <w:rsid w:val="7E6C3A4B"/>
    <w:rsid w:val="7EFA7860"/>
    <w:rsid w:val="7F2350C1"/>
    <w:rsid w:val="7F723A7C"/>
    <w:rsid w:val="7FB126CD"/>
    <w:rsid w:val="7FB81CAD"/>
    <w:rsid w:val="7FC72453"/>
    <w:rsid w:val="7FE85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jc w:val="left"/>
      <w:outlineLvl w:val="2"/>
    </w:pPr>
    <w:rPr>
      <w:rFonts w:eastAsia="仿宋_GB2312"/>
      <w:b/>
    </w:rPr>
  </w:style>
  <w:style w:type="paragraph" w:styleId="5">
    <w:name w:val="heading 4"/>
    <w:basedOn w:val="1"/>
    <w:next w:val="1"/>
    <w:qFormat/>
    <w:uiPriority w:val="0"/>
    <w:pPr>
      <w:keepNext/>
      <w:keepLines/>
      <w:spacing w:before="280" w:after="290" w:line="376" w:lineRule="auto"/>
      <w:outlineLvl w:val="3"/>
    </w:pPr>
    <w:rPr>
      <w:rFonts w:ascii="Arial" w:hAnsi="Arial" w:eastAsia="黑体"/>
      <w:bCs/>
      <w:sz w:val="28"/>
      <w:szCs w:val="28"/>
    </w:rPr>
  </w:style>
  <w:style w:type="paragraph" w:styleId="6">
    <w:name w:val="heading 5"/>
    <w:basedOn w:val="1"/>
    <w:next w:val="1"/>
    <w:qFormat/>
    <w:uiPriority w:val="0"/>
    <w:pPr>
      <w:keepNext/>
      <w:keepLines/>
      <w:widowControl w:val="0"/>
      <w:numPr>
        <w:ilvl w:val="4"/>
        <w:numId w:val="2"/>
      </w:numPr>
      <w:spacing w:before="280" w:beforeLines="0" w:beforeAutospacing="0" w:after="290" w:afterLines="0" w:afterAutospacing="0" w:line="372" w:lineRule="auto"/>
      <w:ind w:left="1008" w:hanging="1008"/>
      <w:jc w:val="both"/>
      <w:outlineLvl w:val="4"/>
    </w:pPr>
    <w:rPr>
      <w:rFonts w:ascii="Times New Roman" w:hAnsi="Times New Roman" w:eastAsia="宋体" w:cs="Times New Roman"/>
      <w:b/>
      <w:kern w:val="2"/>
      <w:sz w:val="28"/>
      <w:szCs w:val="24"/>
      <w:lang w:val="en-US" w:eastAsia="zh-CN" w:bidi="ar-SA"/>
    </w:rPr>
  </w:style>
  <w:style w:type="paragraph" w:styleId="7">
    <w:name w:val="heading 6"/>
    <w:basedOn w:val="1"/>
    <w:next w:val="1"/>
    <w:qFormat/>
    <w:uiPriority w:val="0"/>
    <w:pPr>
      <w:keepNext/>
      <w:keepLines/>
      <w:autoSpaceDE w:val="0"/>
      <w:autoSpaceDN w:val="0"/>
      <w:adjustRightInd w:val="0"/>
      <w:spacing w:before="240" w:beforeLines="50" w:after="64" w:line="320" w:lineRule="atLeast"/>
      <w:jc w:val="left"/>
      <w:outlineLvl w:val="5"/>
    </w:pPr>
    <w:rPr>
      <w:rFonts w:hint="default" w:ascii="Arial" w:hAnsi="Arial" w:eastAsia="仿宋"/>
      <w:b/>
      <w:bCs/>
      <w:kern w:val="0"/>
      <w:sz w:val="20"/>
      <w:szCs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9">
    <w:name w:val="Normal Indent"/>
    <w:basedOn w:val="1"/>
    <w:qFormat/>
    <w:uiPriority w:val="99"/>
    <w:pPr>
      <w:autoSpaceDE w:val="0"/>
      <w:autoSpaceDN w:val="0"/>
      <w:adjustRightInd w:val="0"/>
      <w:ind w:firstLine="420"/>
    </w:pPr>
    <w:rPr>
      <w:kern w:val="0"/>
      <w:szCs w:val="21"/>
    </w:rPr>
  </w:style>
  <w:style w:type="paragraph" w:styleId="10">
    <w:name w:val="Body Text"/>
    <w:basedOn w:val="1"/>
    <w:next w:val="1"/>
    <w:qFormat/>
    <w:uiPriority w:val="0"/>
    <w:pPr>
      <w:spacing w:afterLines="50" w:line="360" w:lineRule="auto"/>
    </w:pPr>
    <w:rPr>
      <w:rFonts w:ascii="宋体" w:hAnsi="宋体"/>
      <w:color w:val="000000"/>
      <w:sz w:val="24"/>
    </w:rPr>
  </w:style>
  <w:style w:type="paragraph" w:styleId="11">
    <w:name w:val="Body Text Indent"/>
    <w:basedOn w:val="1"/>
    <w:qFormat/>
    <w:uiPriority w:val="0"/>
    <w:pPr>
      <w:spacing w:beforeLines="0" w:afterLines="0" w:line="360" w:lineRule="auto"/>
      <w:ind w:left="424" w:leftChars="202" w:firstLine="567"/>
    </w:pPr>
    <w:rPr>
      <w:rFonts w:hint="eastAsia"/>
      <w:sz w:val="24"/>
    </w:rPr>
  </w:style>
  <w:style w:type="paragraph" w:styleId="12">
    <w:name w:val="Block Text"/>
    <w:basedOn w:val="1"/>
    <w:next w:val="1"/>
    <w:unhideWhenUsed/>
    <w:qFormat/>
    <w:uiPriority w:val="99"/>
    <w:pPr>
      <w:ind w:left="1440" w:leftChars="700" w:right="700" w:rightChars="700"/>
    </w:p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rPr>
  </w:style>
  <w:style w:type="paragraph" w:styleId="15">
    <w:name w:val="Date"/>
    <w:basedOn w:val="1"/>
    <w:next w:val="1"/>
    <w:qFormat/>
    <w:uiPriority w:val="0"/>
    <w:rPr>
      <w:rFonts w:ascii="Copperplate Gothic Bold" w:hAnsi="Copperplate Gothic Bold"/>
      <w:sz w:val="32"/>
    </w:rPr>
  </w:style>
  <w:style w:type="paragraph" w:styleId="16">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Theme="minorAscii" w:hAnsiTheme="minorAscii"/>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1"/>
    <w:basedOn w:val="1"/>
    <w:next w:val="1"/>
    <w:qFormat/>
    <w:uiPriority w:val="0"/>
  </w:style>
  <w:style w:type="paragraph" w:styleId="20">
    <w:name w:val="toc 2"/>
    <w:basedOn w:val="1"/>
    <w:next w:val="1"/>
    <w:qFormat/>
    <w:uiPriority w:val="0"/>
    <w:pPr>
      <w:ind w:left="420" w:leftChars="200"/>
    </w:pPr>
  </w:style>
  <w:style w:type="paragraph" w:styleId="21">
    <w:name w:val="Body Text 2"/>
    <w:basedOn w:val="1"/>
    <w:qFormat/>
    <w:uiPriority w:val="0"/>
    <w:pPr>
      <w:adjustRightInd w:val="0"/>
      <w:snapToGrid w:val="0"/>
      <w:spacing w:line="480" w:lineRule="atLeast"/>
    </w:pPr>
    <w:rPr>
      <w:rFonts w:ascii="宋体" w:hAnsi="宋体"/>
      <w:sz w:val="28"/>
    </w:rPr>
  </w:style>
  <w:style w:type="paragraph" w:styleId="2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3">
    <w:name w:val="Title"/>
    <w:basedOn w:val="1"/>
    <w:next w:val="1"/>
    <w:qFormat/>
    <w:uiPriority w:val="0"/>
    <w:pPr>
      <w:adjustRightInd w:val="0"/>
      <w:spacing w:before="240" w:after="60" w:line="312" w:lineRule="atLeast"/>
      <w:jc w:val="center"/>
      <w:textAlignment w:val="baseline"/>
      <w:outlineLvl w:val="0"/>
    </w:pPr>
    <w:rPr>
      <w:rFonts w:ascii="Arial" w:hAnsi="Arial" w:eastAsia="楷体_GB2312"/>
      <w:b/>
      <w:kern w:val="0"/>
      <w:sz w:val="32"/>
      <w:szCs w:val="32"/>
    </w:rPr>
  </w:style>
  <w:style w:type="paragraph" w:styleId="24">
    <w:name w:val="Body Text First Indent"/>
    <w:basedOn w:val="10"/>
    <w:unhideWhenUsed/>
    <w:qFormat/>
    <w:uiPriority w:val="99"/>
    <w:pPr>
      <w:spacing w:afterLines="0" w:line="240" w:lineRule="auto"/>
      <w:ind w:firstLine="420" w:firstLineChars="100"/>
    </w:pPr>
    <w:rPr>
      <w:rFonts w:ascii="Times New Roman" w:hAnsi="Times New Roman"/>
      <w:color w:val="auto"/>
      <w:sz w:val="18"/>
      <w:szCs w:val="18"/>
    </w:rPr>
  </w:style>
  <w:style w:type="paragraph" w:styleId="25">
    <w:name w:val="Body Text First Indent 2"/>
    <w:basedOn w:val="11"/>
    <w:qFormat/>
    <w:uiPriority w:val="0"/>
    <w:pPr>
      <w:ind w:firstLine="420" w:firstLineChars="200"/>
    </w:pPr>
    <w:rPr>
      <w:rFonts w:ascii="Times New Roman" w:hAnsi="Times New Roman" w:eastAsia="宋体" w:cs="Times New Roman"/>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paragraph" w:customStyle="1" w:styleId="3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1">
    <w:name w:val="List Paragraph1"/>
    <w:qFormat/>
    <w:uiPriority w:val="0"/>
    <w:pPr>
      <w:ind w:firstLine="420" w:firstLineChars="200"/>
    </w:pPr>
    <w:rPr>
      <w:rFonts w:ascii="Calibri" w:hAnsi="Calibri" w:eastAsia="宋体" w:cs="Times New Roman"/>
      <w:lang w:val="en-US" w:eastAsia="zh-CN" w:bidi="ar-SA"/>
    </w:rPr>
  </w:style>
  <w:style w:type="paragraph" w:customStyle="1" w:styleId="32">
    <w:name w:val="正文文本1"/>
    <w:basedOn w:val="1"/>
    <w:qFormat/>
    <w:uiPriority w:val="0"/>
    <w:pPr>
      <w:widowControl w:val="0"/>
      <w:shd w:val="clear" w:color="auto" w:fill="FFFFFF"/>
      <w:spacing w:after="60" w:line="463" w:lineRule="auto"/>
      <w:ind w:firstLine="400"/>
    </w:pPr>
    <w:rPr>
      <w:rFonts w:ascii="黑体" w:hAnsi="黑体" w:eastAsia="黑体" w:cs="黑体"/>
      <w:sz w:val="34"/>
      <w:szCs w:val="34"/>
      <w:u w:val="none"/>
      <w:lang w:val="zh-CN" w:eastAsia="zh-CN" w:bidi="zh-CN"/>
    </w:rPr>
  </w:style>
  <w:style w:type="paragraph" w:customStyle="1" w:styleId="33">
    <w:name w:val="正文（缩进 2 字符）"/>
    <w:basedOn w:val="1"/>
    <w:qFormat/>
    <w:uiPriority w:val="0"/>
    <w:pPr>
      <w:ind w:firstLine="200" w:firstLineChars="200"/>
    </w:p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styleId="35">
    <w:name w:val="List Paragraph"/>
    <w:basedOn w:val="1"/>
    <w:qFormat/>
    <w:uiPriority w:val="0"/>
    <w:pPr>
      <w:ind w:firstLine="420" w:firstLineChars="200"/>
    </w:pPr>
    <w:rPr>
      <w:sz w:val="18"/>
      <w:szCs w:val="18"/>
    </w:rPr>
  </w:style>
  <w:style w:type="paragraph" w:customStyle="1" w:styleId="36">
    <w:name w:val="样式 样式 样式 样式 样式 样式 样式 正文首行缩进 2 + 左  0 字符 首行缩进:  1.71 字符 + 首行缩进:  ..."/>
    <w:basedOn w:val="1"/>
    <w:qFormat/>
    <w:uiPriority w:val="0"/>
    <w:pPr>
      <w:spacing w:after="120" w:line="360" w:lineRule="auto"/>
      <w:ind w:firstLine="200" w:firstLineChars="200"/>
    </w:pPr>
    <w:rPr>
      <w:rFonts w:ascii="Times New Roman" w:hAnsi="Times New Roman" w:eastAsia="宋体" w:cs="Times New Roman"/>
      <w:kern w:val="28"/>
      <w:sz w:val="24"/>
      <w:szCs w:val="20"/>
    </w:rPr>
  </w:style>
  <w:style w:type="paragraph" w:customStyle="1" w:styleId="37">
    <w:name w:val="列出段落21"/>
    <w:basedOn w:val="1"/>
    <w:qFormat/>
    <w:uiPriority w:val="34"/>
    <w:pPr>
      <w:spacing w:line="360" w:lineRule="auto"/>
      <w:ind w:firstLine="420" w:firstLineChars="200"/>
    </w:pPr>
    <w:rPr>
      <w:rFonts w:eastAsia="黑体"/>
      <w:sz w:val="24"/>
    </w:rPr>
  </w:style>
  <w:style w:type="paragraph" w:customStyle="1" w:styleId="3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1007</Words>
  <Characters>1142</Characters>
  <Lines>0</Lines>
  <Paragraphs>0</Paragraphs>
  <TotalTime>41</TotalTime>
  <ScaleCrop>false</ScaleCrop>
  <LinksUpToDate>false</LinksUpToDate>
  <CharactersWithSpaces>1283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2020-06-07T13:56:00Z</dcterms:created>
  <dc:creator>没人给我穿袜子</dc:creator>
  <cp:lastModifiedBy>WPS_1341744078</cp:lastModifiedBy>
  <cp:lastPrinted>2023-04-12T13:52:00Z</cp:lastPrinted>
  <dcterms:modified xsi:type="dcterms:W3CDTF">2025-11-17T01:49:51Z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UUID">
    <vt:lpwstr>v1.0_mb_JTkv4FRecwauV9R5PE+DoQ==</vt:lpwstr>
  </property>
  <property fmtid="{D5CDD505-2E9C-101B-9397-08002B2CF9AE}" pid="4" name="ICV">
    <vt:lpwstr>948222DC355D46AA8C94A95DF88F9E76</vt:lpwstr>
  </property>
  <property fmtid="{D5CDD505-2E9C-101B-9397-08002B2CF9AE}" pid="5" name="KSOTemplateDocerSaveRecord">
    <vt:lpwstr>eyJoZGlkIjoiZjViM2U4MDRiOTRmNzQ5N2RhMmNhYmZlNmU0ZjdmOTciLCJ1c2VySWQiOiIxMzQxNzQ0MDc4In0=</vt:lpwstr>
  </property>
</Properties>
</file>