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62A35">
      <w:pPr>
        <w:pStyle w:val="5"/>
        <w:jc w:val="center"/>
        <w:outlineLvl w:val="1"/>
      </w:pPr>
      <w:bookmarkStart w:id="0" w:name="_GoBack"/>
      <w:bookmarkEnd w:id="0"/>
      <w:r>
        <w:rPr>
          <w:rFonts w:ascii="仿宋_GB2312" w:hAnsi="仿宋_GB2312" w:eastAsia="仿宋_GB2312" w:cs="仿宋_GB2312"/>
          <w:b/>
          <w:sz w:val="36"/>
        </w:rPr>
        <w:t>第三章 磋商项目技术、服务、商务及其他要求</w:t>
      </w:r>
    </w:p>
    <w:p w14:paraId="719D6426">
      <w:pPr>
        <w:pStyle w:val="5"/>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520B3D5">
      <w:pPr>
        <w:pStyle w:val="5"/>
        <w:outlineLvl w:val="2"/>
      </w:pPr>
      <w:r>
        <w:rPr>
          <w:rFonts w:ascii="仿宋_GB2312" w:hAnsi="仿宋_GB2312" w:eastAsia="仿宋_GB2312" w:cs="仿宋_GB2312"/>
          <w:b/>
          <w:sz w:val="28"/>
        </w:rPr>
        <w:t>3.1采购项目概况</w:t>
      </w:r>
    </w:p>
    <w:p w14:paraId="652A8AF0">
      <w:pPr>
        <w:pStyle w:val="5"/>
        <w:ind w:firstLine="480"/>
      </w:pPr>
      <w:r>
        <w:rPr>
          <w:rFonts w:ascii="仿宋_GB2312" w:hAnsi="仿宋_GB2312" w:eastAsia="仿宋_GB2312" w:cs="仿宋_GB2312"/>
        </w:rPr>
        <w:t>本项目需完成西乡县约50500个地类不一致图斑的内业认定和外业举证工作。并在不一致图斑地类对接基础上，对西乡县林地、草地、湿地图斑的属性进行调查，并对图斑蓄积、林种、土壤、覆盖度等重要属性信息进行全面更新。落实西乡县经营管理界限，标记非林地植被覆盖信息。形成西乡县林草湿荒普查数据库和成果报告。</w:t>
      </w:r>
    </w:p>
    <w:p w14:paraId="08C62B99">
      <w:pPr>
        <w:pStyle w:val="5"/>
        <w:outlineLvl w:val="2"/>
      </w:pPr>
      <w:r>
        <w:rPr>
          <w:rFonts w:ascii="仿宋_GB2312" w:hAnsi="仿宋_GB2312" w:eastAsia="仿宋_GB2312" w:cs="仿宋_GB2312"/>
          <w:b/>
          <w:sz w:val="28"/>
        </w:rPr>
        <w:t>3.2服务内容及服务要求</w:t>
      </w:r>
    </w:p>
    <w:p w14:paraId="4B0F6241">
      <w:pPr>
        <w:pStyle w:val="5"/>
        <w:outlineLvl w:val="3"/>
      </w:pPr>
      <w:r>
        <w:rPr>
          <w:rFonts w:ascii="仿宋_GB2312" w:hAnsi="仿宋_GB2312" w:eastAsia="仿宋_GB2312" w:cs="仿宋_GB2312"/>
          <w:b/>
          <w:sz w:val="24"/>
        </w:rPr>
        <w:t>3.2.1服务内容</w:t>
      </w:r>
    </w:p>
    <w:p w14:paraId="799B872D">
      <w:pPr>
        <w:pStyle w:val="5"/>
      </w:pPr>
      <w:r>
        <w:rPr>
          <w:rFonts w:ascii="仿宋_GB2312" w:hAnsi="仿宋_GB2312" w:eastAsia="仿宋_GB2312" w:cs="仿宋_GB2312"/>
        </w:rPr>
        <w:t>采购包1：</w:t>
      </w:r>
    </w:p>
    <w:p w14:paraId="63923DF0">
      <w:pPr>
        <w:pStyle w:val="5"/>
      </w:pPr>
      <w:r>
        <w:rPr>
          <w:rFonts w:ascii="仿宋_GB2312" w:hAnsi="仿宋_GB2312" w:eastAsia="仿宋_GB2312" w:cs="仿宋_GB2312"/>
        </w:rPr>
        <w:t>采购包预算金额（元）: 1,900,000.00</w:t>
      </w:r>
    </w:p>
    <w:p w14:paraId="79B80315">
      <w:pPr>
        <w:pStyle w:val="5"/>
      </w:pPr>
      <w:r>
        <w:rPr>
          <w:rFonts w:ascii="仿宋_GB2312" w:hAnsi="仿宋_GB2312" w:eastAsia="仿宋_GB2312" w:cs="仿宋_GB2312"/>
        </w:rPr>
        <w:t>采购包最高限价（元）: 1,900,000.00</w:t>
      </w:r>
    </w:p>
    <w:p w14:paraId="4978986C">
      <w:pPr>
        <w:pStyle w:val="5"/>
      </w:pPr>
      <w:r>
        <w:rPr>
          <w:rFonts w:ascii="仿宋_GB2312" w:hAnsi="仿宋_GB2312" w:eastAsia="仿宋_GB2312" w:cs="仿宋_GB2312"/>
        </w:rPr>
        <w:t>供应商报价不允许超过标的金额</w:t>
      </w:r>
    </w:p>
    <w:p w14:paraId="48110B5F">
      <w:pPr>
        <w:pStyle w:val="5"/>
      </w:pPr>
      <w:r>
        <w:rPr>
          <w:rFonts w:ascii="仿宋_GB2312" w:hAnsi="仿宋_GB2312" w:eastAsia="仿宋_GB2312" w:cs="仿宋_GB2312"/>
        </w:rPr>
        <w:t>（招单价的）供应商报价不允许超过标的单价</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784"/>
        <w:gridCol w:w="806"/>
        <w:gridCol w:w="1416"/>
        <w:gridCol w:w="785"/>
        <w:gridCol w:w="807"/>
        <w:gridCol w:w="785"/>
        <w:gridCol w:w="785"/>
        <w:gridCol w:w="785"/>
        <w:gridCol w:w="785"/>
      </w:tblGrid>
      <w:tr w14:paraId="3DB47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BA576B">
            <w:pPr>
              <w:pStyle w:val="5"/>
            </w:pPr>
            <w:r>
              <w:rPr>
                <w:rFonts w:ascii="仿宋_GB2312" w:hAnsi="仿宋_GB2312" w:eastAsia="仿宋_GB2312" w:cs="仿宋_GB2312"/>
              </w:rPr>
              <w:t>序号</w:t>
            </w:r>
          </w:p>
        </w:tc>
        <w:tc>
          <w:tcPr>
            <w:tcW w:w="831" w:type="dxa"/>
          </w:tcPr>
          <w:p w14:paraId="7304BFA5">
            <w:pPr>
              <w:pStyle w:val="5"/>
            </w:pPr>
            <w:r>
              <w:rPr>
                <w:rFonts w:ascii="仿宋_GB2312" w:hAnsi="仿宋_GB2312" w:eastAsia="仿宋_GB2312" w:cs="仿宋_GB2312"/>
              </w:rPr>
              <w:t>标的名称</w:t>
            </w:r>
          </w:p>
        </w:tc>
        <w:tc>
          <w:tcPr>
            <w:tcW w:w="831" w:type="dxa"/>
          </w:tcPr>
          <w:p w14:paraId="5E4A54F9">
            <w:pPr>
              <w:pStyle w:val="5"/>
            </w:pPr>
            <w:r>
              <w:rPr>
                <w:rFonts w:ascii="仿宋_GB2312" w:hAnsi="仿宋_GB2312" w:eastAsia="仿宋_GB2312" w:cs="仿宋_GB2312"/>
              </w:rPr>
              <w:t>数量</w:t>
            </w:r>
          </w:p>
        </w:tc>
        <w:tc>
          <w:tcPr>
            <w:tcW w:w="831" w:type="dxa"/>
          </w:tcPr>
          <w:p w14:paraId="04BF80C7">
            <w:pPr>
              <w:pStyle w:val="5"/>
            </w:pPr>
            <w:r>
              <w:rPr>
                <w:rFonts w:ascii="仿宋_GB2312" w:hAnsi="仿宋_GB2312" w:eastAsia="仿宋_GB2312" w:cs="仿宋_GB2312"/>
              </w:rPr>
              <w:t>标的金额 （元）</w:t>
            </w:r>
          </w:p>
        </w:tc>
        <w:tc>
          <w:tcPr>
            <w:tcW w:w="831" w:type="dxa"/>
          </w:tcPr>
          <w:p w14:paraId="61958F0C">
            <w:pPr>
              <w:pStyle w:val="5"/>
            </w:pPr>
            <w:r>
              <w:rPr>
                <w:rFonts w:ascii="仿宋_GB2312" w:hAnsi="仿宋_GB2312" w:eastAsia="仿宋_GB2312" w:cs="仿宋_GB2312"/>
              </w:rPr>
              <w:t>计量单位</w:t>
            </w:r>
          </w:p>
        </w:tc>
        <w:tc>
          <w:tcPr>
            <w:tcW w:w="831" w:type="dxa"/>
          </w:tcPr>
          <w:p w14:paraId="52B5B7F5">
            <w:pPr>
              <w:pStyle w:val="5"/>
            </w:pPr>
            <w:r>
              <w:rPr>
                <w:rFonts w:ascii="仿宋_GB2312" w:hAnsi="仿宋_GB2312" w:eastAsia="仿宋_GB2312" w:cs="仿宋_GB2312"/>
              </w:rPr>
              <w:t>所属行业</w:t>
            </w:r>
          </w:p>
        </w:tc>
        <w:tc>
          <w:tcPr>
            <w:tcW w:w="831" w:type="dxa"/>
          </w:tcPr>
          <w:p w14:paraId="76A77667">
            <w:pPr>
              <w:pStyle w:val="5"/>
            </w:pPr>
            <w:r>
              <w:rPr>
                <w:rFonts w:ascii="仿宋_GB2312" w:hAnsi="仿宋_GB2312" w:eastAsia="仿宋_GB2312" w:cs="仿宋_GB2312"/>
              </w:rPr>
              <w:t>是否核心产品</w:t>
            </w:r>
          </w:p>
        </w:tc>
        <w:tc>
          <w:tcPr>
            <w:tcW w:w="831" w:type="dxa"/>
          </w:tcPr>
          <w:p w14:paraId="47D65968">
            <w:pPr>
              <w:pStyle w:val="5"/>
            </w:pPr>
            <w:r>
              <w:rPr>
                <w:rFonts w:ascii="仿宋_GB2312" w:hAnsi="仿宋_GB2312" w:eastAsia="仿宋_GB2312" w:cs="仿宋_GB2312"/>
              </w:rPr>
              <w:t>是否允许进口产品</w:t>
            </w:r>
          </w:p>
        </w:tc>
        <w:tc>
          <w:tcPr>
            <w:tcW w:w="831" w:type="dxa"/>
          </w:tcPr>
          <w:p w14:paraId="6B5D2061">
            <w:pPr>
              <w:pStyle w:val="5"/>
            </w:pPr>
            <w:r>
              <w:rPr>
                <w:rFonts w:ascii="仿宋_GB2312" w:hAnsi="仿宋_GB2312" w:eastAsia="仿宋_GB2312" w:cs="仿宋_GB2312"/>
              </w:rPr>
              <w:t>是否属于节能产品</w:t>
            </w:r>
          </w:p>
        </w:tc>
        <w:tc>
          <w:tcPr>
            <w:tcW w:w="831" w:type="dxa"/>
          </w:tcPr>
          <w:p w14:paraId="25FD9248">
            <w:pPr>
              <w:pStyle w:val="5"/>
            </w:pPr>
            <w:r>
              <w:rPr>
                <w:rFonts w:ascii="仿宋_GB2312" w:hAnsi="仿宋_GB2312" w:eastAsia="仿宋_GB2312" w:cs="仿宋_GB2312"/>
              </w:rPr>
              <w:t>是否属于环境标志产品</w:t>
            </w:r>
          </w:p>
        </w:tc>
      </w:tr>
      <w:tr w14:paraId="557ED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AD0188">
            <w:pPr>
              <w:pStyle w:val="5"/>
            </w:pPr>
            <w:r>
              <w:rPr>
                <w:rFonts w:ascii="仿宋_GB2312" w:hAnsi="仿宋_GB2312" w:eastAsia="仿宋_GB2312" w:cs="仿宋_GB2312"/>
              </w:rPr>
              <w:t>1</w:t>
            </w:r>
          </w:p>
        </w:tc>
        <w:tc>
          <w:tcPr>
            <w:tcW w:w="831" w:type="dxa"/>
          </w:tcPr>
          <w:p w14:paraId="1DA2206B">
            <w:pPr>
              <w:pStyle w:val="5"/>
            </w:pPr>
            <w:r>
              <w:rPr>
                <w:rFonts w:ascii="仿宋_GB2312" w:hAnsi="仿宋_GB2312" w:eastAsia="仿宋_GB2312" w:cs="仿宋_GB2312"/>
              </w:rPr>
              <w:t>西乡县森林草原湿地荒漠化普查</w:t>
            </w:r>
          </w:p>
        </w:tc>
        <w:tc>
          <w:tcPr>
            <w:tcW w:w="831" w:type="dxa"/>
          </w:tcPr>
          <w:p w14:paraId="52378F84">
            <w:pPr>
              <w:pStyle w:val="5"/>
              <w:jc w:val="right"/>
            </w:pPr>
            <w:r>
              <w:rPr>
                <w:rFonts w:ascii="仿宋_GB2312" w:hAnsi="仿宋_GB2312" w:eastAsia="仿宋_GB2312" w:cs="仿宋_GB2312"/>
              </w:rPr>
              <w:t>1.00</w:t>
            </w:r>
          </w:p>
        </w:tc>
        <w:tc>
          <w:tcPr>
            <w:tcW w:w="831" w:type="dxa"/>
          </w:tcPr>
          <w:p w14:paraId="483CEF94">
            <w:pPr>
              <w:pStyle w:val="5"/>
              <w:jc w:val="right"/>
            </w:pPr>
            <w:r>
              <w:rPr>
                <w:rFonts w:ascii="仿宋_GB2312" w:hAnsi="仿宋_GB2312" w:eastAsia="仿宋_GB2312" w:cs="仿宋_GB2312"/>
              </w:rPr>
              <w:t>1,900,000.00</w:t>
            </w:r>
          </w:p>
        </w:tc>
        <w:tc>
          <w:tcPr>
            <w:tcW w:w="831" w:type="dxa"/>
          </w:tcPr>
          <w:p w14:paraId="416A278F">
            <w:pPr>
              <w:pStyle w:val="5"/>
            </w:pPr>
            <w:r>
              <w:rPr>
                <w:rFonts w:ascii="仿宋_GB2312" w:hAnsi="仿宋_GB2312" w:eastAsia="仿宋_GB2312" w:cs="仿宋_GB2312"/>
              </w:rPr>
              <w:t>项</w:t>
            </w:r>
          </w:p>
        </w:tc>
        <w:tc>
          <w:tcPr>
            <w:tcW w:w="831" w:type="dxa"/>
          </w:tcPr>
          <w:p w14:paraId="4BC4EA76">
            <w:pPr>
              <w:pStyle w:val="5"/>
            </w:pPr>
            <w:r>
              <w:rPr>
                <w:rFonts w:ascii="仿宋_GB2312" w:hAnsi="仿宋_GB2312" w:eastAsia="仿宋_GB2312" w:cs="仿宋_GB2312"/>
              </w:rPr>
              <w:t>农、林、牧、渔业</w:t>
            </w:r>
          </w:p>
        </w:tc>
        <w:tc>
          <w:tcPr>
            <w:tcW w:w="831" w:type="dxa"/>
          </w:tcPr>
          <w:p w14:paraId="0B6EBC58">
            <w:pPr>
              <w:pStyle w:val="5"/>
            </w:pPr>
            <w:r>
              <w:rPr>
                <w:rFonts w:ascii="仿宋_GB2312" w:hAnsi="仿宋_GB2312" w:eastAsia="仿宋_GB2312" w:cs="仿宋_GB2312"/>
              </w:rPr>
              <w:t>否</w:t>
            </w:r>
          </w:p>
        </w:tc>
        <w:tc>
          <w:tcPr>
            <w:tcW w:w="831" w:type="dxa"/>
          </w:tcPr>
          <w:p w14:paraId="0C1AABFD">
            <w:pPr>
              <w:pStyle w:val="5"/>
            </w:pPr>
            <w:r>
              <w:rPr>
                <w:rFonts w:ascii="仿宋_GB2312" w:hAnsi="仿宋_GB2312" w:eastAsia="仿宋_GB2312" w:cs="仿宋_GB2312"/>
              </w:rPr>
              <w:t>否</w:t>
            </w:r>
          </w:p>
        </w:tc>
        <w:tc>
          <w:tcPr>
            <w:tcW w:w="831" w:type="dxa"/>
          </w:tcPr>
          <w:p w14:paraId="2DE3FAC4">
            <w:pPr>
              <w:pStyle w:val="5"/>
            </w:pPr>
            <w:r>
              <w:rPr>
                <w:rFonts w:ascii="仿宋_GB2312" w:hAnsi="仿宋_GB2312" w:eastAsia="仿宋_GB2312" w:cs="仿宋_GB2312"/>
              </w:rPr>
              <w:t>否</w:t>
            </w:r>
          </w:p>
        </w:tc>
        <w:tc>
          <w:tcPr>
            <w:tcW w:w="831" w:type="dxa"/>
          </w:tcPr>
          <w:p w14:paraId="1B498585">
            <w:pPr>
              <w:pStyle w:val="5"/>
            </w:pPr>
            <w:r>
              <w:rPr>
                <w:rFonts w:ascii="仿宋_GB2312" w:hAnsi="仿宋_GB2312" w:eastAsia="仿宋_GB2312" w:cs="仿宋_GB2312"/>
              </w:rPr>
              <w:t>否</w:t>
            </w:r>
          </w:p>
        </w:tc>
      </w:tr>
    </w:tbl>
    <w:p w14:paraId="57D95CC2">
      <w:pPr>
        <w:pStyle w:val="5"/>
        <w:outlineLvl w:val="2"/>
      </w:pPr>
      <w:r>
        <w:rPr>
          <w:rFonts w:ascii="仿宋_GB2312" w:hAnsi="仿宋_GB2312" w:eastAsia="仿宋_GB2312" w:cs="仿宋_GB2312"/>
          <w:b/>
          <w:sz w:val="28"/>
        </w:rPr>
        <w:t>3.2.2服务要求</w:t>
      </w:r>
    </w:p>
    <w:p w14:paraId="3D2CC13F">
      <w:pPr>
        <w:pStyle w:val="5"/>
      </w:pPr>
      <w:r>
        <w:rPr>
          <w:rFonts w:ascii="仿宋_GB2312" w:hAnsi="仿宋_GB2312" w:eastAsia="仿宋_GB2312" w:cs="仿宋_GB2312"/>
        </w:rPr>
        <w:t>采购包1：</w:t>
      </w:r>
    </w:p>
    <w:p w14:paraId="4C625B86">
      <w:pPr>
        <w:pStyle w:val="5"/>
      </w:pPr>
      <w:r>
        <w:rPr>
          <w:rFonts w:ascii="仿宋_GB2312" w:hAnsi="仿宋_GB2312" w:eastAsia="仿宋_GB2312" w:cs="仿宋_GB2312"/>
        </w:rPr>
        <w:t>标的名称：西乡县森林草原湿地荒漠化普查</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2"/>
        <w:gridCol w:w="1490"/>
        <w:gridCol w:w="4555"/>
      </w:tblGrid>
      <w:tr w14:paraId="39F7C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2" w:type="dxa"/>
          </w:tcPr>
          <w:p w14:paraId="567AF9B6">
            <w:pPr>
              <w:pStyle w:val="5"/>
            </w:pPr>
            <w:r>
              <w:rPr>
                <w:rFonts w:ascii="仿宋_GB2312" w:hAnsi="仿宋_GB2312" w:eastAsia="仿宋_GB2312" w:cs="仿宋_GB2312"/>
              </w:rPr>
              <w:t xml:space="preserve"> 序号</w:t>
            </w:r>
          </w:p>
        </w:tc>
        <w:tc>
          <w:tcPr>
            <w:tcW w:w="1490" w:type="dxa"/>
          </w:tcPr>
          <w:p w14:paraId="733DF406">
            <w:pPr>
              <w:pStyle w:val="5"/>
            </w:pPr>
            <w:r>
              <w:rPr>
                <w:rFonts w:ascii="仿宋_GB2312" w:hAnsi="仿宋_GB2312" w:eastAsia="仿宋_GB2312" w:cs="仿宋_GB2312"/>
              </w:rPr>
              <w:t xml:space="preserve"> 参数性质</w:t>
            </w:r>
          </w:p>
        </w:tc>
        <w:tc>
          <w:tcPr>
            <w:tcW w:w="4555" w:type="dxa"/>
          </w:tcPr>
          <w:p w14:paraId="40518752">
            <w:pPr>
              <w:pStyle w:val="5"/>
            </w:pPr>
            <w:r>
              <w:rPr>
                <w:rFonts w:ascii="仿宋_GB2312" w:hAnsi="仿宋_GB2312" w:eastAsia="仿宋_GB2312" w:cs="仿宋_GB2312"/>
              </w:rPr>
              <w:t xml:space="preserve"> 技术参数与性能指标</w:t>
            </w:r>
          </w:p>
        </w:tc>
      </w:tr>
      <w:tr w14:paraId="03C2B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2" w:type="dxa"/>
          </w:tcPr>
          <w:p w14:paraId="7A27CABE">
            <w:pPr>
              <w:pStyle w:val="5"/>
            </w:pPr>
            <w:r>
              <w:rPr>
                <w:rFonts w:ascii="仿宋_GB2312" w:hAnsi="仿宋_GB2312" w:eastAsia="仿宋_GB2312" w:cs="仿宋_GB2312"/>
              </w:rPr>
              <w:t>1</w:t>
            </w:r>
          </w:p>
        </w:tc>
        <w:tc>
          <w:tcPr>
            <w:tcW w:w="1490" w:type="dxa"/>
          </w:tcPr>
          <w:p w14:paraId="490405D1"/>
        </w:tc>
        <w:tc>
          <w:tcPr>
            <w:tcW w:w="4555" w:type="dxa"/>
          </w:tcPr>
          <w:p w14:paraId="043FA216">
            <w:pPr>
              <w:pStyle w:val="5"/>
              <w:jc w:val="both"/>
            </w:pPr>
            <w:r>
              <w:rPr>
                <w:rFonts w:ascii="仿宋_GB2312" w:hAnsi="仿宋_GB2312" w:eastAsia="仿宋_GB2312" w:cs="仿宋_GB2312"/>
                <w:b/>
                <w:sz w:val="21"/>
              </w:rPr>
              <w:t>一、服务期限、服务地点</w:t>
            </w:r>
          </w:p>
          <w:p w14:paraId="52CE0F1B">
            <w:pPr>
              <w:pStyle w:val="5"/>
              <w:ind w:firstLine="420"/>
            </w:pPr>
            <w:r>
              <w:rPr>
                <w:rFonts w:ascii="仿宋_GB2312" w:hAnsi="仿宋_GB2312" w:eastAsia="仿宋_GB2312" w:cs="仿宋_GB2312"/>
                <w:sz w:val="21"/>
              </w:rPr>
              <w:t>服务期限：120日历天。</w:t>
            </w:r>
          </w:p>
          <w:p w14:paraId="2DD84648">
            <w:pPr>
              <w:pStyle w:val="5"/>
              <w:ind w:firstLine="420"/>
            </w:pPr>
            <w:r>
              <w:rPr>
                <w:rFonts w:ascii="仿宋_GB2312" w:hAnsi="仿宋_GB2312" w:eastAsia="仿宋_GB2312" w:cs="仿宋_GB2312"/>
                <w:sz w:val="21"/>
              </w:rPr>
              <w:t>服务地点：采购人指定地点。</w:t>
            </w:r>
          </w:p>
          <w:p w14:paraId="63A7B78F">
            <w:pPr>
              <w:pStyle w:val="5"/>
            </w:pPr>
            <w:r>
              <w:rPr>
                <w:rFonts w:ascii="仿宋_GB2312" w:hAnsi="仿宋_GB2312" w:eastAsia="仿宋_GB2312" w:cs="仿宋_GB2312"/>
                <w:b/>
                <w:sz w:val="21"/>
              </w:rPr>
              <w:t>二、采购预算</w:t>
            </w:r>
          </w:p>
          <w:p w14:paraId="79A33FF0">
            <w:pPr>
              <w:pStyle w:val="5"/>
              <w:ind w:firstLine="420"/>
            </w:pPr>
            <w:r>
              <w:rPr>
                <w:rFonts w:ascii="仿宋_GB2312" w:hAnsi="仿宋_GB2312" w:eastAsia="仿宋_GB2312" w:cs="仿宋_GB2312"/>
                <w:sz w:val="21"/>
              </w:rPr>
              <w:t>合同包1（西乡县森林草原湿地荒漠化普查项目）：1900000.00元</w:t>
            </w:r>
          </w:p>
          <w:p w14:paraId="62BCD830">
            <w:pPr>
              <w:pStyle w:val="5"/>
            </w:pPr>
            <w:r>
              <w:rPr>
                <w:rFonts w:ascii="仿宋_GB2312" w:hAnsi="仿宋_GB2312" w:eastAsia="仿宋_GB2312" w:cs="仿宋_GB2312"/>
                <w:b/>
                <w:sz w:val="21"/>
              </w:rPr>
              <w:t>三、付款方式</w:t>
            </w:r>
          </w:p>
          <w:p w14:paraId="3DDFED67">
            <w:pPr>
              <w:pStyle w:val="5"/>
              <w:ind w:firstLine="420"/>
            </w:pPr>
            <w:r>
              <w:rPr>
                <w:rFonts w:ascii="仿宋_GB2312" w:hAnsi="仿宋_GB2312" w:eastAsia="仿宋_GB2312" w:cs="仿宋_GB2312"/>
                <w:sz w:val="21"/>
              </w:rPr>
              <w:t>采购人付款前，成交供应商应向采购人提供等额有效且符合采购人财务管理要求的增值税发票或者财政监制的非税收入票据，否则采购人有权拒绝付款且不承担违约责任；</w:t>
            </w:r>
          </w:p>
          <w:p w14:paraId="64939111">
            <w:pPr>
              <w:pStyle w:val="5"/>
              <w:ind w:firstLine="420"/>
            </w:pPr>
            <w:r>
              <w:rPr>
                <w:rFonts w:ascii="仿宋_GB2312" w:hAnsi="仿宋_GB2312" w:eastAsia="仿宋_GB2312" w:cs="仿宋_GB2312"/>
                <w:sz w:val="21"/>
              </w:rPr>
              <w:t>合同签订后，达到付款条件起15日内，支付合同总金额的50%。项目结束，达到付款条件起30日内，支付合同总金额的50%。</w:t>
            </w:r>
          </w:p>
          <w:p w14:paraId="00DD2619">
            <w:pPr>
              <w:pStyle w:val="5"/>
            </w:pPr>
            <w:r>
              <w:rPr>
                <w:rFonts w:ascii="仿宋_GB2312" w:hAnsi="仿宋_GB2312" w:eastAsia="仿宋_GB2312" w:cs="仿宋_GB2312"/>
                <w:b/>
                <w:sz w:val="21"/>
              </w:rPr>
              <w:t>四、知识产权</w:t>
            </w:r>
          </w:p>
          <w:p w14:paraId="006AD13D">
            <w:pPr>
              <w:pStyle w:val="5"/>
              <w:ind w:firstLine="420"/>
            </w:pPr>
            <w:r>
              <w:rPr>
                <w:rFonts w:ascii="仿宋_GB2312" w:hAnsi="仿宋_GB2312" w:eastAsia="仿宋_GB2312" w:cs="仿宋_GB2312"/>
                <w:sz w:val="21"/>
              </w:rPr>
              <w:t>采购人在中华人民共和国境内使用供应商提供的服务时免受第三方提出的侵犯其专利权或其他知识产权的起诉。如果第三方提出侵权指控，成交人应承担由此而引起的一切法律责任和费用。</w:t>
            </w:r>
          </w:p>
          <w:p w14:paraId="29A6BEB3">
            <w:pPr>
              <w:pStyle w:val="5"/>
            </w:pPr>
            <w:r>
              <w:rPr>
                <w:rFonts w:ascii="仿宋_GB2312" w:hAnsi="仿宋_GB2312" w:eastAsia="仿宋_GB2312" w:cs="仿宋_GB2312"/>
                <w:b/>
                <w:sz w:val="21"/>
              </w:rPr>
              <w:t>五、采购内容</w:t>
            </w:r>
          </w:p>
          <w:p w14:paraId="42D4E16F">
            <w:pPr>
              <w:pStyle w:val="5"/>
              <w:ind w:firstLine="420"/>
            </w:pPr>
            <w:r>
              <w:rPr>
                <w:rFonts w:ascii="仿宋_GB2312" w:hAnsi="仿宋_GB2312" w:eastAsia="仿宋_GB2312" w:cs="仿宋_GB2312"/>
                <w:sz w:val="21"/>
              </w:rPr>
              <w:t>完成西乡县约50500个地类不一致图斑的内业认定和外业举证工作。并在不一致图斑地类对接基础上，对西乡县林地、草地、湿地图斑的属性进行调查，并对图斑蓄积、林种、土壤、覆盖度等重要属性信息进行全面更新。落实西乡县经营管理界限，标记非林地植被覆盖信息。形成西乡县林草湿荒普查数据库和成果报告。</w:t>
            </w:r>
          </w:p>
          <w:p w14:paraId="3E8856C1">
            <w:pPr>
              <w:pStyle w:val="5"/>
              <w:ind w:firstLine="420"/>
            </w:pPr>
            <w:r>
              <w:rPr>
                <w:rFonts w:ascii="仿宋_GB2312" w:hAnsi="仿宋_GB2312" w:eastAsia="仿宋_GB2312" w:cs="仿宋_GB2312"/>
                <w:b/>
                <w:sz w:val="21"/>
              </w:rPr>
              <w:t>主要任务：</w:t>
            </w:r>
          </w:p>
          <w:p w14:paraId="7BC652E8">
            <w:pPr>
              <w:pStyle w:val="5"/>
              <w:ind w:firstLine="420"/>
            </w:pPr>
            <w:r>
              <w:rPr>
                <w:rFonts w:ascii="仿宋_GB2312" w:hAnsi="仿宋_GB2312" w:eastAsia="仿宋_GB2312" w:cs="仿宋_GB2312"/>
                <w:sz w:val="21"/>
              </w:rPr>
              <w:t>1.完成地类对接工作，解决林草湿调查监测植被覆盖类型与国土调查二级地类不一致问题；</w:t>
            </w:r>
          </w:p>
          <w:p w14:paraId="475767B3">
            <w:pPr>
              <w:pStyle w:val="5"/>
              <w:ind w:firstLine="420"/>
            </w:pPr>
            <w:r>
              <w:rPr>
                <w:rFonts w:ascii="仿宋_GB2312" w:hAnsi="仿宋_GB2312" w:eastAsia="仿宋_GB2312" w:cs="仿宋_GB2312"/>
                <w:sz w:val="21"/>
              </w:rPr>
              <w:t>2.完成普查试点工作，总结试点经验和技术方法；</w:t>
            </w:r>
          </w:p>
          <w:p w14:paraId="12ED237B">
            <w:pPr>
              <w:pStyle w:val="5"/>
              <w:ind w:firstLine="420"/>
            </w:pPr>
            <w:r>
              <w:rPr>
                <w:rFonts w:ascii="仿宋_GB2312" w:hAnsi="仿宋_GB2312" w:eastAsia="仿宋_GB2312" w:cs="仿宋_GB2312"/>
                <w:sz w:val="21"/>
              </w:rPr>
              <w:t>3.开展图斑区划调查，完成林草湿地类图斑完成属性因子赋值和补充调查工作；</w:t>
            </w:r>
          </w:p>
          <w:p w14:paraId="6897E66E">
            <w:pPr>
              <w:pStyle w:val="5"/>
              <w:ind w:firstLine="420"/>
            </w:pPr>
            <w:r>
              <w:rPr>
                <w:rFonts w:ascii="仿宋_GB2312" w:hAnsi="仿宋_GB2312" w:eastAsia="仿宋_GB2312" w:cs="仿宋_GB2312"/>
                <w:sz w:val="21"/>
              </w:rPr>
              <w:t>4.落实经营管理单位界线，标记非林地上森林植被覆盖类型；</w:t>
            </w:r>
          </w:p>
          <w:p w14:paraId="44056AC0">
            <w:pPr>
              <w:pStyle w:val="5"/>
              <w:ind w:firstLine="420"/>
            </w:pPr>
            <w:r>
              <w:rPr>
                <w:rFonts w:ascii="仿宋_GB2312" w:hAnsi="仿宋_GB2312" w:eastAsia="仿宋_GB2312" w:cs="仿宋_GB2312"/>
                <w:sz w:val="21"/>
              </w:rPr>
              <w:t>5.建立数据库。汇总调查数据，经市级、省级复核并上报国家。</w:t>
            </w:r>
          </w:p>
          <w:p w14:paraId="25F3DC34">
            <w:pPr>
              <w:pStyle w:val="5"/>
              <w:ind w:firstLine="420"/>
            </w:pPr>
            <w:r>
              <w:rPr>
                <w:rFonts w:ascii="仿宋_GB2312" w:hAnsi="仿宋_GB2312" w:eastAsia="仿宋_GB2312" w:cs="仿宋_GB2312"/>
                <w:b/>
                <w:sz w:val="21"/>
              </w:rPr>
              <w:t>技术要求：</w:t>
            </w:r>
          </w:p>
          <w:p w14:paraId="3D7A7A94">
            <w:pPr>
              <w:pStyle w:val="5"/>
              <w:ind w:firstLine="420"/>
            </w:pPr>
            <w:r>
              <w:rPr>
                <w:rFonts w:ascii="仿宋_GB2312" w:hAnsi="仿宋_GB2312" w:eastAsia="仿宋_GB2312" w:cs="仿宋_GB2312"/>
                <w:sz w:val="21"/>
              </w:rPr>
              <w:t>（一）工作要求</w:t>
            </w:r>
          </w:p>
          <w:p w14:paraId="47EA6E33">
            <w:pPr>
              <w:pStyle w:val="5"/>
              <w:ind w:firstLine="420"/>
            </w:pPr>
            <w:r>
              <w:rPr>
                <w:rFonts w:ascii="仿宋_GB2312" w:hAnsi="仿宋_GB2312" w:eastAsia="仿宋_GB2312" w:cs="仿宋_GB2312"/>
                <w:sz w:val="21"/>
              </w:rPr>
              <w:t>按照“国家总体部署、地方共同认定、逐级地类核实、统一更新成果”的原则，采用“国家内业比对预判，地方地类实地核实举证、内业更新建库”技术流程实施。</w:t>
            </w:r>
          </w:p>
          <w:p w14:paraId="6ED5ABC5">
            <w:pPr>
              <w:pStyle w:val="5"/>
              <w:ind w:firstLine="420"/>
            </w:pPr>
            <w:r>
              <w:rPr>
                <w:rFonts w:ascii="仿宋_GB2312" w:hAnsi="仿宋_GB2312" w:eastAsia="仿宋_GB2312" w:cs="仿宋_GB2312"/>
                <w:sz w:val="21"/>
              </w:rPr>
              <w:t>在国土调查与林草湿调查地类对接后，以最新年度国土变更调查成果为基础，进行西乡县森林草原湿地荒漠化普查，采取遥感监测、档案更新、补充调查、现地核实等方式，摸清林草湿资源数量、质量、结构等情况，形成西乡县森林草原湿地荒漠化普查数据库，按市级、省级要求完成图斑调查成果数据库汇交，全面完成普查任务。</w:t>
            </w:r>
          </w:p>
          <w:p w14:paraId="49F39131">
            <w:pPr>
              <w:pStyle w:val="5"/>
              <w:ind w:firstLine="420"/>
            </w:pPr>
            <w:r>
              <w:rPr>
                <w:rFonts w:ascii="仿宋_GB2312" w:hAnsi="仿宋_GB2312" w:eastAsia="仿宋_GB2312" w:cs="仿宋_GB2312"/>
                <w:sz w:val="21"/>
              </w:rPr>
              <w:t>（二）主要工作内容</w:t>
            </w:r>
          </w:p>
          <w:p w14:paraId="2772B7B7">
            <w:pPr>
              <w:pStyle w:val="5"/>
              <w:ind w:firstLine="420"/>
            </w:pPr>
            <w:r>
              <w:rPr>
                <w:rFonts w:ascii="仿宋_GB2312" w:hAnsi="仿宋_GB2312" w:eastAsia="仿宋_GB2312" w:cs="仿宋_GB2312"/>
                <w:sz w:val="21"/>
              </w:rPr>
              <w:t>根据国土三调变更数据及林草湿调查数据，以及省级下达的不一致图斑，主要工作内容如下：</w:t>
            </w:r>
          </w:p>
          <w:p w14:paraId="4B72F505">
            <w:pPr>
              <w:pStyle w:val="5"/>
              <w:ind w:firstLine="420"/>
            </w:pPr>
            <w:r>
              <w:rPr>
                <w:rFonts w:ascii="仿宋_GB2312" w:hAnsi="仿宋_GB2312" w:eastAsia="仿宋_GB2312" w:cs="仿宋_GB2312"/>
                <w:sz w:val="21"/>
              </w:rPr>
              <w:t>1.内业判读、对接国家下发图斑与林草湿图斑叠加，形成外业核实工作底图；</w:t>
            </w:r>
          </w:p>
          <w:p w14:paraId="24F1CD83">
            <w:pPr>
              <w:pStyle w:val="5"/>
              <w:ind w:firstLine="420"/>
            </w:pPr>
            <w:r>
              <w:rPr>
                <w:rFonts w:ascii="仿宋_GB2312" w:hAnsi="仿宋_GB2312" w:eastAsia="仿宋_GB2312" w:cs="仿宋_GB2312"/>
                <w:sz w:val="21"/>
              </w:rPr>
              <w:t>2.内业认定协商，共同认定地类；</w:t>
            </w:r>
          </w:p>
          <w:p w14:paraId="7200CADE">
            <w:pPr>
              <w:pStyle w:val="5"/>
              <w:ind w:firstLine="420"/>
            </w:pPr>
            <w:r>
              <w:rPr>
                <w:rFonts w:ascii="仿宋_GB2312" w:hAnsi="仿宋_GB2312" w:eastAsia="仿宋_GB2312" w:cs="仿宋_GB2312"/>
                <w:sz w:val="21"/>
              </w:rPr>
              <w:t>3.外业核实举证，对双方经内业认定不能统一的地类开展外业核实举证；</w:t>
            </w:r>
          </w:p>
          <w:p w14:paraId="6E5CABA8">
            <w:pPr>
              <w:pStyle w:val="5"/>
              <w:ind w:firstLine="420"/>
            </w:pPr>
            <w:r>
              <w:rPr>
                <w:rFonts w:ascii="仿宋_GB2312" w:hAnsi="仿宋_GB2312" w:eastAsia="仿宋_GB2312" w:cs="仿宋_GB2312"/>
                <w:sz w:val="21"/>
              </w:rPr>
              <w:t>4.内业资料补正完善录入上传，对所有举证照片、举证小班因子等资料完善上传；</w:t>
            </w:r>
          </w:p>
          <w:p w14:paraId="2EBD3973">
            <w:pPr>
              <w:pStyle w:val="5"/>
              <w:ind w:firstLine="420"/>
            </w:pPr>
            <w:r>
              <w:rPr>
                <w:rFonts w:ascii="仿宋_GB2312" w:hAnsi="仿宋_GB2312" w:eastAsia="仿宋_GB2312" w:cs="仿宋_GB2312"/>
                <w:sz w:val="21"/>
              </w:rPr>
              <w:t>5.初步成果与市级、省级对接确认；</w:t>
            </w:r>
          </w:p>
          <w:p w14:paraId="13CC8886">
            <w:pPr>
              <w:pStyle w:val="5"/>
              <w:ind w:firstLine="420"/>
            </w:pPr>
            <w:r>
              <w:rPr>
                <w:rFonts w:ascii="仿宋_GB2312" w:hAnsi="仿宋_GB2312" w:eastAsia="仿宋_GB2312" w:cs="仿宋_GB2312"/>
                <w:sz w:val="21"/>
              </w:rPr>
              <w:t>6.成果编制，包括报告编制、表格制作、专题图制作等；</w:t>
            </w:r>
          </w:p>
          <w:p w14:paraId="20F711C4">
            <w:pPr>
              <w:pStyle w:val="5"/>
              <w:ind w:firstLine="420"/>
            </w:pPr>
            <w:r>
              <w:rPr>
                <w:rFonts w:ascii="仿宋_GB2312" w:hAnsi="仿宋_GB2312" w:eastAsia="仿宋_GB2312" w:cs="仿宋_GB2312"/>
                <w:sz w:val="21"/>
              </w:rPr>
              <w:t>7.国土调查与林草湿调查地类对接完成后，按照省级要求开展全县森林草原湿地荒漠化普查，形成西乡县森林草原湿地普查成果及空间基础矢量数据库，经市级、省级复核并最终上报；</w:t>
            </w:r>
          </w:p>
          <w:p w14:paraId="3467EE7B">
            <w:pPr>
              <w:pStyle w:val="5"/>
              <w:ind w:firstLine="420"/>
            </w:pPr>
            <w:r>
              <w:rPr>
                <w:rFonts w:ascii="仿宋_GB2312" w:hAnsi="仿宋_GB2312" w:eastAsia="仿宋_GB2312" w:cs="仿宋_GB2312"/>
                <w:sz w:val="21"/>
              </w:rPr>
              <w:t>8.全面完成普查任务。</w:t>
            </w:r>
          </w:p>
          <w:p w14:paraId="62C6721F">
            <w:pPr>
              <w:pStyle w:val="5"/>
              <w:jc w:val="both"/>
            </w:pPr>
          </w:p>
        </w:tc>
      </w:tr>
    </w:tbl>
    <w:p w14:paraId="66F3FC4A">
      <w:pPr>
        <w:pStyle w:val="5"/>
        <w:outlineLvl w:val="2"/>
      </w:pPr>
      <w:r>
        <w:rPr>
          <w:rFonts w:ascii="仿宋_GB2312" w:hAnsi="仿宋_GB2312" w:eastAsia="仿宋_GB2312" w:cs="仿宋_GB2312"/>
          <w:b/>
          <w:sz w:val="28"/>
        </w:rPr>
        <w:t>3.2.3人员配置要求</w:t>
      </w:r>
    </w:p>
    <w:p w14:paraId="71D6B833">
      <w:pPr>
        <w:pStyle w:val="5"/>
      </w:pPr>
      <w:r>
        <w:rPr>
          <w:rFonts w:ascii="仿宋_GB2312" w:hAnsi="仿宋_GB2312" w:eastAsia="仿宋_GB2312" w:cs="仿宋_GB2312"/>
        </w:rPr>
        <w:t>采购包1：</w:t>
      </w:r>
    </w:p>
    <w:p w14:paraId="3CCF93DF">
      <w:pPr>
        <w:pStyle w:val="5"/>
      </w:pPr>
      <w:r>
        <w:rPr>
          <w:rFonts w:ascii="仿宋_GB2312" w:hAnsi="仿宋_GB2312" w:eastAsia="仿宋_GB2312" w:cs="仿宋_GB2312"/>
        </w:rPr>
        <w:t>无。</w:t>
      </w:r>
    </w:p>
    <w:p w14:paraId="03175534">
      <w:pPr>
        <w:pStyle w:val="5"/>
        <w:outlineLvl w:val="2"/>
      </w:pPr>
      <w:r>
        <w:rPr>
          <w:rFonts w:ascii="仿宋_GB2312" w:hAnsi="仿宋_GB2312" w:eastAsia="仿宋_GB2312" w:cs="仿宋_GB2312"/>
          <w:b/>
          <w:sz w:val="28"/>
        </w:rPr>
        <w:t>3.2.4设施设备要求</w:t>
      </w:r>
    </w:p>
    <w:p w14:paraId="056941E0">
      <w:pPr>
        <w:pStyle w:val="5"/>
      </w:pPr>
      <w:r>
        <w:rPr>
          <w:rFonts w:ascii="仿宋_GB2312" w:hAnsi="仿宋_GB2312" w:eastAsia="仿宋_GB2312" w:cs="仿宋_GB2312"/>
        </w:rPr>
        <w:t>采购包1：</w:t>
      </w:r>
    </w:p>
    <w:p w14:paraId="419F2024">
      <w:pPr>
        <w:pStyle w:val="5"/>
      </w:pPr>
      <w:r>
        <w:rPr>
          <w:rFonts w:ascii="仿宋_GB2312" w:hAnsi="仿宋_GB2312" w:eastAsia="仿宋_GB2312" w:cs="仿宋_GB2312"/>
        </w:rPr>
        <w:t>无。</w:t>
      </w:r>
    </w:p>
    <w:p w14:paraId="15551606">
      <w:pPr>
        <w:pStyle w:val="5"/>
        <w:outlineLvl w:val="2"/>
      </w:pPr>
      <w:r>
        <w:rPr>
          <w:rFonts w:ascii="仿宋_GB2312" w:hAnsi="仿宋_GB2312" w:eastAsia="仿宋_GB2312" w:cs="仿宋_GB2312"/>
          <w:b/>
          <w:sz w:val="28"/>
        </w:rPr>
        <w:t>3.2.5其他要求</w:t>
      </w:r>
    </w:p>
    <w:p w14:paraId="4279ED5D">
      <w:pPr>
        <w:pStyle w:val="5"/>
      </w:pPr>
      <w:r>
        <w:rPr>
          <w:rFonts w:ascii="仿宋_GB2312" w:hAnsi="仿宋_GB2312" w:eastAsia="仿宋_GB2312" w:cs="仿宋_GB2312"/>
        </w:rPr>
        <w:t>采购包1：</w:t>
      </w:r>
    </w:p>
    <w:p w14:paraId="4FFB478C">
      <w:pPr>
        <w:pStyle w:val="5"/>
      </w:pPr>
      <w:r>
        <w:rPr>
          <w:rFonts w:ascii="仿宋_GB2312" w:hAnsi="仿宋_GB2312" w:eastAsia="仿宋_GB2312" w:cs="仿宋_GB2312"/>
        </w:rPr>
        <w:t>无。</w:t>
      </w:r>
    </w:p>
    <w:p w14:paraId="1AB04443">
      <w:pPr>
        <w:pStyle w:val="5"/>
        <w:outlineLvl w:val="2"/>
      </w:pPr>
      <w:r>
        <w:rPr>
          <w:rFonts w:ascii="仿宋_GB2312" w:hAnsi="仿宋_GB2312" w:eastAsia="仿宋_GB2312" w:cs="仿宋_GB2312"/>
          <w:b/>
          <w:sz w:val="28"/>
        </w:rPr>
        <w:t>3.3商务要求</w:t>
      </w:r>
    </w:p>
    <w:p w14:paraId="1975A5CF">
      <w:pPr>
        <w:pStyle w:val="5"/>
        <w:outlineLvl w:val="3"/>
      </w:pPr>
      <w:r>
        <w:rPr>
          <w:rFonts w:ascii="仿宋_GB2312" w:hAnsi="仿宋_GB2312" w:eastAsia="仿宋_GB2312" w:cs="仿宋_GB2312"/>
          <w:b/>
          <w:sz w:val="24"/>
        </w:rPr>
        <w:t>3.3.1服务期限</w:t>
      </w:r>
    </w:p>
    <w:p w14:paraId="4267D8B4">
      <w:pPr>
        <w:pStyle w:val="5"/>
      </w:pPr>
      <w:r>
        <w:rPr>
          <w:rFonts w:ascii="仿宋_GB2312" w:hAnsi="仿宋_GB2312" w:eastAsia="仿宋_GB2312" w:cs="仿宋_GB2312"/>
        </w:rPr>
        <w:t>采购包1：</w:t>
      </w:r>
    </w:p>
    <w:p w14:paraId="79238536">
      <w:pPr>
        <w:pStyle w:val="5"/>
      </w:pPr>
      <w:r>
        <w:rPr>
          <w:rFonts w:ascii="仿宋_GB2312" w:hAnsi="仿宋_GB2312" w:eastAsia="仿宋_GB2312" w:cs="仿宋_GB2312"/>
        </w:rPr>
        <w:t>120日历天</w:t>
      </w:r>
    </w:p>
    <w:p w14:paraId="09303145">
      <w:pPr>
        <w:pStyle w:val="5"/>
        <w:outlineLvl w:val="3"/>
      </w:pPr>
      <w:r>
        <w:rPr>
          <w:rFonts w:ascii="仿宋_GB2312" w:hAnsi="仿宋_GB2312" w:eastAsia="仿宋_GB2312" w:cs="仿宋_GB2312"/>
          <w:b/>
          <w:sz w:val="24"/>
        </w:rPr>
        <w:t>3.3.2服务地点</w:t>
      </w:r>
    </w:p>
    <w:p w14:paraId="5CD11272">
      <w:pPr>
        <w:pStyle w:val="5"/>
      </w:pPr>
      <w:r>
        <w:rPr>
          <w:rFonts w:ascii="仿宋_GB2312" w:hAnsi="仿宋_GB2312" w:eastAsia="仿宋_GB2312" w:cs="仿宋_GB2312"/>
        </w:rPr>
        <w:t>采购包1：</w:t>
      </w:r>
    </w:p>
    <w:p w14:paraId="4C8F7B23">
      <w:pPr>
        <w:pStyle w:val="5"/>
      </w:pPr>
      <w:r>
        <w:rPr>
          <w:rFonts w:ascii="仿宋_GB2312" w:hAnsi="仿宋_GB2312" w:eastAsia="仿宋_GB2312" w:cs="仿宋_GB2312"/>
        </w:rPr>
        <w:t>采购人指定地点</w:t>
      </w:r>
    </w:p>
    <w:p w14:paraId="58730012">
      <w:pPr>
        <w:pStyle w:val="5"/>
        <w:outlineLvl w:val="3"/>
      </w:pPr>
      <w:r>
        <w:rPr>
          <w:rFonts w:ascii="仿宋_GB2312" w:hAnsi="仿宋_GB2312" w:eastAsia="仿宋_GB2312" w:cs="仿宋_GB2312"/>
          <w:b/>
          <w:sz w:val="24"/>
        </w:rPr>
        <w:t>3.3.3考核（验收）标准和方法</w:t>
      </w:r>
    </w:p>
    <w:p w14:paraId="7BC2E554">
      <w:pPr>
        <w:pStyle w:val="5"/>
      </w:pPr>
      <w:r>
        <w:rPr>
          <w:rFonts w:ascii="仿宋_GB2312" w:hAnsi="仿宋_GB2312" w:eastAsia="仿宋_GB2312" w:cs="仿宋_GB2312"/>
        </w:rPr>
        <w:t>采购包1：</w:t>
      </w:r>
    </w:p>
    <w:p w14:paraId="60823908">
      <w:pPr>
        <w:pStyle w:val="5"/>
      </w:pPr>
      <w:r>
        <w:rPr>
          <w:rFonts w:ascii="仿宋_GB2312" w:hAnsi="仿宋_GB2312" w:eastAsia="仿宋_GB2312" w:cs="仿宋_GB2312"/>
        </w:rPr>
        <w:t>采购人按照政府采购合同规定的技术、服务对供应商履约情况进行验收，并出具验收书。</w:t>
      </w:r>
    </w:p>
    <w:p w14:paraId="362F7812">
      <w:pPr>
        <w:pStyle w:val="5"/>
        <w:outlineLvl w:val="3"/>
      </w:pPr>
      <w:r>
        <w:rPr>
          <w:rFonts w:ascii="仿宋_GB2312" w:hAnsi="仿宋_GB2312" w:eastAsia="仿宋_GB2312" w:cs="仿宋_GB2312"/>
          <w:b/>
          <w:sz w:val="24"/>
        </w:rPr>
        <w:t>3.3.4支付方式</w:t>
      </w:r>
    </w:p>
    <w:p w14:paraId="39484311">
      <w:pPr>
        <w:pStyle w:val="5"/>
      </w:pPr>
      <w:r>
        <w:rPr>
          <w:rFonts w:ascii="仿宋_GB2312" w:hAnsi="仿宋_GB2312" w:eastAsia="仿宋_GB2312" w:cs="仿宋_GB2312"/>
        </w:rPr>
        <w:t>采购包1：</w:t>
      </w:r>
    </w:p>
    <w:p w14:paraId="1AB6959B">
      <w:pPr>
        <w:pStyle w:val="5"/>
      </w:pPr>
      <w:r>
        <w:rPr>
          <w:rFonts w:ascii="仿宋_GB2312" w:hAnsi="仿宋_GB2312" w:eastAsia="仿宋_GB2312" w:cs="仿宋_GB2312"/>
        </w:rPr>
        <w:t>分期付款</w:t>
      </w:r>
    </w:p>
    <w:p w14:paraId="2F8E2216">
      <w:pPr>
        <w:pStyle w:val="5"/>
        <w:outlineLvl w:val="3"/>
      </w:pPr>
      <w:r>
        <w:rPr>
          <w:rFonts w:ascii="仿宋_GB2312" w:hAnsi="仿宋_GB2312" w:eastAsia="仿宋_GB2312" w:cs="仿宋_GB2312"/>
          <w:b/>
          <w:sz w:val="24"/>
        </w:rPr>
        <w:t>3.3.5支付约定</w:t>
      </w:r>
    </w:p>
    <w:p w14:paraId="67562754">
      <w:pPr>
        <w:pStyle w:val="5"/>
      </w:pPr>
      <w:r>
        <w:rPr>
          <w:rFonts w:ascii="仿宋_GB2312" w:hAnsi="仿宋_GB2312" w:eastAsia="仿宋_GB2312" w:cs="仿宋_GB2312"/>
        </w:rPr>
        <w:t>采购包1： 付款条件说明： 采购人付款前，成交供应商应向采购人提供等额有效且符合采购人财务管理要求的增值税发票或者财政监制的非税收入票据，否则采购人有权拒绝付款且不承担违约责任；合同签订后 ，达到付款条件起 15 日内，支付合同总金额的 50.00%。</w:t>
      </w:r>
    </w:p>
    <w:p w14:paraId="642FE900">
      <w:pPr>
        <w:pStyle w:val="5"/>
      </w:pPr>
      <w:r>
        <w:rPr>
          <w:rFonts w:ascii="仿宋_GB2312" w:hAnsi="仿宋_GB2312" w:eastAsia="仿宋_GB2312" w:cs="仿宋_GB2312"/>
        </w:rPr>
        <w:t>采购包1： 付款条件说明： 采购人付款前，成交供应商应向采购人提供等额有效且符合采购人财务管理要求的增值税发票或者财政监制的非税收入票据，否则采购人有权拒绝付款且不承担违约责任；项目结束 ，达到付款条件起 30 日内，支付合同总金额的 50.00%。</w:t>
      </w:r>
    </w:p>
    <w:p w14:paraId="1B2A0502">
      <w:pPr>
        <w:pStyle w:val="5"/>
        <w:outlineLvl w:val="3"/>
      </w:pPr>
      <w:r>
        <w:rPr>
          <w:rFonts w:ascii="仿宋_GB2312" w:hAnsi="仿宋_GB2312" w:eastAsia="仿宋_GB2312" w:cs="仿宋_GB2312"/>
          <w:b/>
          <w:sz w:val="24"/>
        </w:rPr>
        <w:t>3.3.6违约责任及解决争议的方法</w:t>
      </w:r>
    </w:p>
    <w:p w14:paraId="4973B66E">
      <w:pPr>
        <w:pStyle w:val="5"/>
      </w:pPr>
      <w:r>
        <w:rPr>
          <w:rFonts w:ascii="仿宋_GB2312" w:hAnsi="仿宋_GB2312" w:eastAsia="仿宋_GB2312" w:cs="仿宋_GB2312"/>
        </w:rPr>
        <w:t>采购包1：</w:t>
      </w:r>
    </w:p>
    <w:p w14:paraId="7846B835">
      <w:pPr>
        <w:pStyle w:val="5"/>
      </w:pPr>
      <w:r>
        <w:rPr>
          <w:rFonts w:ascii="仿宋_GB2312" w:hAnsi="仿宋_GB2312" w:eastAsia="仿宋_GB2312" w:cs="仿宋_GB2312"/>
        </w:rPr>
        <w:t>★1 如果成交供应商未能履行合同或履行合同不符合约定，采购人应就此向成交供应商发出书面通知，指出成交供应商没有适当履行的合同条款，并要求纠正。如果成交供应商确属违约，并且成交供应商在收到采购人书面通知之日起十五日内仍不纠正违约行为或已无法纠正，采购人有权要求成交供应商承担金额最高不超过服务费总额30％的违约金。 ★2 采购人应当根据本合同约定按时向成交供应商付款，无正当理由迟延付款的，每逾期支付一天应向成交供应商缴纳该项目应收费用的万分之五的逾期违约金，逾期超过15天以上时，成交供应商有权暂停下阶段工作，也不再提供任何辅助义务，并书面通知采购人。</w:t>
      </w:r>
    </w:p>
    <w:p w14:paraId="44A0C8DB">
      <w:pPr>
        <w:pStyle w:val="5"/>
        <w:outlineLvl w:val="2"/>
      </w:pPr>
      <w:r>
        <w:rPr>
          <w:rFonts w:ascii="仿宋_GB2312" w:hAnsi="仿宋_GB2312" w:eastAsia="仿宋_GB2312" w:cs="仿宋_GB2312"/>
          <w:b/>
          <w:sz w:val="28"/>
        </w:rPr>
        <w:t>3.4其他要求</w:t>
      </w:r>
    </w:p>
    <w:p w14:paraId="47530FD6">
      <w:pPr>
        <w:pStyle w:val="5"/>
      </w:pPr>
      <w:r>
        <w:rPr>
          <w:rFonts w:ascii="仿宋_GB2312" w:hAnsi="仿宋_GB2312" w:eastAsia="仿宋_GB2312" w:cs="仿宋_GB2312"/>
        </w:rPr>
        <w:t>为保障政府采购电子化交易平台项目实施，供应商需要在线提交所有通过电子化交易平台实施的政府采购项目的响应文件，成交供应商在中标（成交）结果公示期结束后须向采购人及代理机构提交纸质版响应文件正本1套、副本2套、电子版(U盘1份）。纸质响应文件应与电子响应文件保持一致。</w:t>
      </w:r>
    </w:p>
    <w:p w14:paraId="6CC808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F3165"/>
    <w:rsid w:val="624A1BE6"/>
    <w:rsid w:val="67150D42"/>
    <w:rsid w:val="745F5B9E"/>
    <w:rsid w:val="769E1D87"/>
    <w:rsid w:val="7D003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2469</Words>
  <Characters>2616</Characters>
  <Lines>0</Lines>
  <Paragraphs>0</Paragraphs>
  <TotalTime>0</TotalTime>
  <ScaleCrop>false</ScaleCrop>
  <LinksUpToDate>false</LinksUpToDate>
  <CharactersWithSpaces>2646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2025-03-28T07:45:00Z</dcterms:created>
  <dc:creator>Administrator</dc:creator>
  <cp:lastModifiedBy>OAY.</cp:lastModifiedBy>
  <dcterms:modified xsi:type="dcterms:W3CDTF">2025-11-17T05:59:09Z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eyJoZGlkIjoiMmJlNGY3NjY1ZmZkZjE3Mzk1OWVhYjkzOWI5MmUzNjkiLCJ1c2VySWQiOiIxMjEyOTIzNTQ1In0=</vt:lpwstr>
  </property>
  <property fmtid="{D5CDD505-2E9C-101B-9397-08002B2CF9AE}" pid="4" name="ICV">
    <vt:lpwstr>001BE344CD7245BB8B4CBC72ABF0D202_12</vt:lpwstr>
  </property>
</Properties>
</file>