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15601">
      <w:pPr>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SXZCZB2025-ZCCS-1115</w:t>
      </w:r>
    </w:p>
    <w:p w14:paraId="746A5679">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14:paraId="771164E5">
      <w:pPr>
        <w:jc w:val="both"/>
        <w:rPr>
          <w:rFonts w:hint="eastAsia" w:hAnsi="宋体" w:eastAsia="宋体" w:cs="宋体"/>
          <w:b/>
          <w:sz w:val="56"/>
          <w:szCs w:val="56"/>
          <w:highlight w:val="none"/>
          <w:lang w:eastAsia="zh-CN"/>
        </w:rPr>
      </w:pPr>
    </w:p>
    <w:p w14:paraId="60236DC2">
      <w:pPr>
        <w:keepNext w:val="0"/>
        <w:keepLines w:val="0"/>
        <w:widowControl/>
        <w:suppressLineNumbers w:val="0"/>
        <w:jc w:val="center"/>
        <w:rPr>
          <w:rFonts w:hint="eastAsia" w:hAnsi="宋体" w:cs="宋体"/>
          <w:b/>
          <w:sz w:val="48"/>
          <w:szCs w:val="48"/>
          <w:highlight w:val="none"/>
          <w:lang w:val="en-US" w:eastAsia="zh-CN"/>
        </w:rPr>
      </w:pPr>
    </w:p>
    <w:p w14:paraId="7A03CC97">
      <w:pPr>
        <w:keepNext w:val="0"/>
        <w:keepLines w:val="0"/>
        <w:widowControl/>
        <w:suppressLineNumbers w:val="0"/>
        <w:jc w:val="center"/>
        <w:rPr>
          <w:sz w:val="16"/>
          <w:szCs w:val="11"/>
          <w:highlight w:val="none"/>
        </w:rPr>
      </w:pPr>
      <w:r>
        <w:rPr>
          <w:rFonts w:hint="eastAsia" w:hAnsi="宋体" w:cs="宋体"/>
          <w:b/>
          <w:sz w:val="48"/>
          <w:szCs w:val="48"/>
          <w:highlight w:val="none"/>
          <w:lang w:val="en-US" w:eastAsia="zh-CN"/>
        </w:rPr>
        <w:t>柞水县城区周边森林管护与绿化提升项目</w:t>
      </w:r>
    </w:p>
    <w:p w14:paraId="05A65171">
      <w:pPr>
        <w:spacing w:line="780" w:lineRule="auto"/>
        <w:jc w:val="both"/>
        <w:rPr>
          <w:rFonts w:hint="eastAsia" w:ascii="宋体" w:hAnsi="宋体" w:eastAsia="宋体" w:cs="宋体"/>
          <w:b/>
          <w:sz w:val="72"/>
          <w:szCs w:val="72"/>
          <w:highlight w:val="none"/>
        </w:rPr>
      </w:pPr>
    </w:p>
    <w:p w14:paraId="265D560A">
      <w:pPr>
        <w:spacing w:line="780" w:lineRule="auto"/>
        <w:jc w:val="both"/>
        <w:rPr>
          <w:rFonts w:hint="eastAsia" w:ascii="宋体" w:hAnsi="宋体" w:eastAsia="宋体" w:cs="宋体"/>
          <w:b/>
          <w:sz w:val="72"/>
          <w:szCs w:val="72"/>
          <w:highlight w:val="none"/>
        </w:rPr>
      </w:pPr>
    </w:p>
    <w:p w14:paraId="67F6B1B7">
      <w:pPr>
        <w:spacing w:line="780" w:lineRule="auto"/>
        <w:jc w:val="both"/>
        <w:rPr>
          <w:rFonts w:hint="eastAsia" w:ascii="宋体" w:hAnsi="宋体" w:eastAsia="宋体" w:cs="宋体"/>
          <w:b/>
          <w:sz w:val="72"/>
          <w:szCs w:val="72"/>
          <w:highlight w:val="none"/>
        </w:rPr>
      </w:pPr>
    </w:p>
    <w:p w14:paraId="139C4F36">
      <w:pPr>
        <w:spacing w:line="78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14:paraId="013E49D8">
      <w:pPr>
        <w:rPr>
          <w:rFonts w:hint="eastAsia" w:ascii="宋体" w:hAnsi="宋体" w:eastAsia="宋体" w:cs="宋体"/>
          <w:highlight w:val="none"/>
        </w:rPr>
      </w:pPr>
      <w:bookmarkStart w:id="0" w:name="_Toc363463325"/>
    </w:p>
    <w:p w14:paraId="6DF043EA">
      <w:pPr>
        <w:rPr>
          <w:rFonts w:hint="eastAsia" w:ascii="宋体" w:hAnsi="宋体" w:eastAsia="宋体" w:cs="宋体"/>
          <w:highlight w:val="none"/>
        </w:rPr>
      </w:pPr>
    </w:p>
    <w:p w14:paraId="454E1A96">
      <w:pPr>
        <w:rPr>
          <w:rFonts w:hint="eastAsia" w:ascii="宋体" w:hAnsi="宋体" w:eastAsia="宋体" w:cs="宋体"/>
          <w:highlight w:val="none"/>
        </w:rPr>
      </w:pPr>
    </w:p>
    <w:bookmarkEnd w:id="0"/>
    <w:p w14:paraId="5DE510CC">
      <w:pPr>
        <w:rPr>
          <w:rFonts w:hint="eastAsia" w:ascii="宋体" w:hAnsi="宋体" w:eastAsia="宋体" w:cs="宋体"/>
          <w:sz w:val="18"/>
          <w:szCs w:val="18"/>
          <w:highlight w:val="none"/>
        </w:rPr>
      </w:pPr>
    </w:p>
    <w:p w14:paraId="563ACD36">
      <w:pPr>
        <w:pStyle w:val="15"/>
        <w:ind w:left="0" w:leftChars="0" w:firstLine="0" w:firstLineChars="0"/>
        <w:rPr>
          <w:rFonts w:hint="eastAsia" w:hAnsi="宋体" w:cs="宋体"/>
          <w:b/>
          <w:bCs/>
          <w:sz w:val="32"/>
          <w:szCs w:val="32"/>
          <w:highlight w:val="none"/>
          <w:lang w:eastAsia="zh-CN"/>
        </w:rPr>
      </w:pPr>
    </w:p>
    <w:p w14:paraId="36F5633D">
      <w:pPr>
        <w:rPr>
          <w:rFonts w:hint="eastAsia" w:hAnsi="宋体" w:cs="宋体"/>
          <w:b/>
          <w:bCs/>
          <w:sz w:val="32"/>
          <w:szCs w:val="32"/>
          <w:highlight w:val="none"/>
          <w:lang w:eastAsia="zh-CN"/>
        </w:rPr>
      </w:pPr>
    </w:p>
    <w:p w14:paraId="0E6891C2">
      <w:pPr>
        <w:jc w:val="center"/>
        <w:rPr>
          <w:rFonts w:hint="eastAsia" w:hAnsi="宋体" w:cs="宋体"/>
          <w:b/>
          <w:bCs/>
          <w:sz w:val="32"/>
          <w:szCs w:val="32"/>
          <w:highlight w:val="none"/>
          <w:lang w:eastAsia="zh-CN"/>
        </w:rPr>
      </w:pPr>
    </w:p>
    <w:p w14:paraId="1FEEA4CC">
      <w:pPr>
        <w:jc w:val="center"/>
        <w:rPr>
          <w:rFonts w:hint="eastAsia" w:hAnsi="宋体" w:cs="宋体"/>
          <w:b/>
          <w:bCs/>
          <w:sz w:val="32"/>
          <w:szCs w:val="32"/>
          <w:highlight w:val="none"/>
          <w:lang w:eastAsia="zh-CN"/>
        </w:rPr>
      </w:pPr>
    </w:p>
    <w:p w14:paraId="0DBC988A">
      <w:pPr>
        <w:jc w:val="center"/>
        <w:rPr>
          <w:rFonts w:hint="eastAsia" w:ascii="宋体" w:hAnsi="宋体" w:eastAsia="宋体" w:cs="宋体"/>
          <w:b/>
          <w:bCs/>
          <w:sz w:val="32"/>
          <w:szCs w:val="32"/>
          <w:highlight w:val="none"/>
          <w:lang w:eastAsia="zh-CN"/>
        </w:rPr>
      </w:pPr>
      <w:r>
        <w:rPr>
          <w:rFonts w:hint="eastAsia" w:hAnsi="宋体" w:cs="宋体"/>
          <w:b/>
          <w:bCs/>
          <w:sz w:val="32"/>
          <w:szCs w:val="32"/>
          <w:highlight w:val="none"/>
          <w:lang w:eastAsia="zh-CN"/>
        </w:rPr>
        <w:t>陕西至诚项目管理集团有限公司</w:t>
      </w:r>
    </w:p>
    <w:p w14:paraId="49CF4C87">
      <w:pPr>
        <w:pStyle w:val="8"/>
        <w:jc w:val="center"/>
        <w:rPr>
          <w:rFonts w:hint="eastAsia" w:ascii="宋体" w:hAnsi="宋体" w:eastAsia="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sz w:val="32"/>
          <w:szCs w:val="32"/>
          <w:highlight w:val="none"/>
        </w:rPr>
        <w:t>二〇二</w:t>
      </w: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十一</w:t>
      </w:r>
      <w:r>
        <w:rPr>
          <w:rFonts w:hint="eastAsia" w:ascii="宋体" w:hAnsi="宋体" w:eastAsia="宋体" w:cs="宋体"/>
          <w:b/>
          <w:bCs/>
          <w:sz w:val="32"/>
          <w:szCs w:val="32"/>
          <w:highlight w:val="none"/>
        </w:rPr>
        <w:t>月</w:t>
      </w:r>
    </w:p>
    <w:p w14:paraId="6DCEAF8E">
      <w:pPr>
        <w:rPr>
          <w:rFonts w:hint="eastAsia" w:ascii="宋体" w:hAnsi="宋体" w:eastAsia="宋体" w:cs="宋体"/>
          <w:highlight w:val="none"/>
        </w:rPr>
      </w:pPr>
    </w:p>
    <w:p w14:paraId="056AF349">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185242E6">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highlight w:val="none"/>
        </w:rPr>
      </w:pPr>
      <w:bookmarkStart w:id="1" w:name="_Toc5293"/>
      <w:bookmarkStart w:id="2" w:name="_Toc20858"/>
      <w:bookmarkStart w:id="3" w:name="_Toc21518"/>
      <w:bookmarkStart w:id="4" w:name="_Toc389582033"/>
      <w:bookmarkStart w:id="5" w:name="_Toc19886"/>
      <w:bookmarkStart w:id="6" w:name="_Toc16218"/>
      <w:bookmarkStart w:id="7" w:name="_Toc20652"/>
      <w:bookmarkStart w:id="8" w:name="_Toc27420"/>
      <w:bookmarkStart w:id="9" w:name="_Toc363473971"/>
      <w:bookmarkStart w:id="10" w:name="_Toc403077638"/>
      <w:bookmarkStart w:id="11" w:name="_Toc363474016"/>
      <w:r>
        <w:rPr>
          <w:rFonts w:hint="eastAsia" w:ascii="宋体" w:hAnsi="宋体" w:eastAsia="宋体" w:cs="宋体"/>
          <w:bCs/>
          <w:sz w:val="48"/>
          <w:szCs w:val="48"/>
          <w:highlight w:val="none"/>
        </w:rPr>
        <w:fldChar w:fldCharType="begin"/>
      </w:r>
      <w:r>
        <w:rPr>
          <w:rFonts w:hint="eastAsia" w:ascii="宋体" w:hAnsi="宋体" w:eastAsia="宋体" w:cs="宋体"/>
          <w:bCs/>
          <w:sz w:val="48"/>
          <w:szCs w:val="48"/>
          <w:highlight w:val="none"/>
        </w:rPr>
        <w:instrText xml:space="preserve">TOC \o "1-4" \h \u </w:instrText>
      </w:r>
      <w:r>
        <w:rPr>
          <w:rFonts w:hint="eastAsia" w:ascii="宋体" w:hAnsi="宋体" w:eastAsia="宋体" w:cs="宋体"/>
          <w:bCs/>
          <w:sz w:val="48"/>
          <w:szCs w:val="48"/>
          <w:highlight w:val="none"/>
        </w:rPr>
        <w:fldChar w:fldCharType="separate"/>
      </w:r>
      <w:r>
        <w:rPr>
          <w:rFonts w:hint="eastAsia" w:ascii="宋体" w:hAnsi="宋体" w:eastAsia="宋体" w:cs="宋体"/>
          <w:bCs/>
          <w:sz w:val="28"/>
          <w:szCs w:val="48"/>
          <w:highlight w:val="none"/>
        </w:rPr>
        <w:fldChar w:fldCharType="begin"/>
      </w:r>
      <w:r>
        <w:rPr>
          <w:rFonts w:hint="eastAsia" w:ascii="宋体" w:hAnsi="宋体" w:eastAsia="宋体" w:cs="宋体"/>
          <w:bCs/>
          <w:sz w:val="28"/>
          <w:szCs w:val="48"/>
          <w:highlight w:val="none"/>
        </w:rPr>
        <w:instrText xml:space="preserve"> HYPERLINK \l _Toc12903 </w:instrText>
      </w:r>
      <w:r>
        <w:rPr>
          <w:rFonts w:hint="eastAsia" w:ascii="宋体" w:hAnsi="宋体" w:eastAsia="宋体" w:cs="宋体"/>
          <w:bCs/>
          <w:sz w:val="28"/>
          <w:szCs w:val="48"/>
          <w:highlight w:val="none"/>
        </w:rPr>
        <w:fldChar w:fldCharType="separate"/>
      </w:r>
      <w:r>
        <w:rPr>
          <w:rFonts w:hint="eastAsia" w:ascii="宋体" w:hAnsi="宋体" w:eastAsia="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_Toc12903 \h </w:instrText>
      </w:r>
      <w:r>
        <w:rPr>
          <w:sz w:val="28"/>
          <w:szCs w:val="21"/>
          <w:highlight w:val="none"/>
        </w:rPr>
        <w:fldChar w:fldCharType="separate"/>
      </w:r>
      <w:r>
        <w:rPr>
          <w:sz w:val="28"/>
          <w:szCs w:val="21"/>
          <w:highlight w:val="none"/>
        </w:rPr>
        <w:t>1</w:t>
      </w:r>
      <w:r>
        <w:rPr>
          <w:sz w:val="28"/>
          <w:szCs w:val="21"/>
          <w:highlight w:val="none"/>
        </w:rPr>
        <w:fldChar w:fldCharType="end"/>
      </w:r>
      <w:r>
        <w:rPr>
          <w:rFonts w:hint="eastAsia" w:ascii="宋体" w:hAnsi="宋体" w:eastAsia="宋体" w:cs="宋体"/>
          <w:bCs/>
          <w:sz w:val="28"/>
          <w:szCs w:val="48"/>
          <w:highlight w:val="none"/>
        </w:rPr>
        <w:fldChar w:fldCharType="end"/>
      </w:r>
    </w:p>
    <w:p w14:paraId="47888949">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highlight w:val="none"/>
        </w:rPr>
      </w:pPr>
      <w:r>
        <w:rPr>
          <w:rFonts w:hint="eastAsia" w:ascii="宋体" w:hAnsi="宋体" w:eastAsia="宋体" w:cs="宋体"/>
          <w:bCs/>
          <w:sz w:val="28"/>
          <w:szCs w:val="48"/>
          <w:highlight w:val="none"/>
        </w:rPr>
        <w:fldChar w:fldCharType="begin"/>
      </w:r>
      <w:r>
        <w:rPr>
          <w:rFonts w:hint="eastAsia" w:ascii="宋体" w:hAnsi="宋体" w:eastAsia="宋体" w:cs="宋体"/>
          <w:bCs/>
          <w:sz w:val="28"/>
          <w:szCs w:val="48"/>
          <w:highlight w:val="none"/>
        </w:rPr>
        <w:instrText xml:space="preserve"> HYPERLINK \l _Toc237 </w:instrText>
      </w:r>
      <w:r>
        <w:rPr>
          <w:rFonts w:hint="eastAsia" w:ascii="宋体" w:hAnsi="宋体" w:eastAsia="宋体" w:cs="宋体"/>
          <w:bCs/>
          <w:sz w:val="28"/>
          <w:szCs w:val="48"/>
          <w:highlight w:val="none"/>
        </w:rPr>
        <w:fldChar w:fldCharType="separate"/>
      </w:r>
      <w:r>
        <w:rPr>
          <w:rFonts w:hint="eastAsia" w:ascii="宋体" w:hAnsi="宋体" w:eastAsia="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_Toc237 \h </w:instrText>
      </w:r>
      <w:r>
        <w:rPr>
          <w:sz w:val="28"/>
          <w:szCs w:val="21"/>
          <w:highlight w:val="none"/>
        </w:rPr>
        <w:fldChar w:fldCharType="separate"/>
      </w:r>
      <w:r>
        <w:rPr>
          <w:sz w:val="28"/>
          <w:szCs w:val="21"/>
          <w:highlight w:val="none"/>
        </w:rPr>
        <w:t>5</w:t>
      </w:r>
      <w:r>
        <w:rPr>
          <w:sz w:val="28"/>
          <w:szCs w:val="21"/>
          <w:highlight w:val="none"/>
        </w:rPr>
        <w:fldChar w:fldCharType="end"/>
      </w:r>
      <w:r>
        <w:rPr>
          <w:rFonts w:hint="eastAsia" w:ascii="宋体" w:hAnsi="宋体" w:eastAsia="宋体" w:cs="宋体"/>
          <w:bCs/>
          <w:sz w:val="28"/>
          <w:szCs w:val="48"/>
          <w:highlight w:val="none"/>
        </w:rPr>
        <w:fldChar w:fldCharType="end"/>
      </w:r>
    </w:p>
    <w:p w14:paraId="712DAC43">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highlight w:val="none"/>
        </w:rPr>
      </w:pPr>
      <w:r>
        <w:rPr>
          <w:rFonts w:hint="eastAsia" w:ascii="宋体" w:hAnsi="宋体" w:eastAsia="宋体" w:cs="宋体"/>
          <w:bCs/>
          <w:sz w:val="28"/>
          <w:szCs w:val="48"/>
          <w:highlight w:val="none"/>
        </w:rPr>
        <w:fldChar w:fldCharType="begin"/>
      </w:r>
      <w:r>
        <w:rPr>
          <w:rFonts w:hint="eastAsia" w:ascii="宋体" w:hAnsi="宋体" w:eastAsia="宋体" w:cs="宋体"/>
          <w:bCs/>
          <w:sz w:val="28"/>
          <w:szCs w:val="48"/>
          <w:highlight w:val="none"/>
        </w:rPr>
        <w:instrText xml:space="preserve"> HYPERLINK \l _Toc6488 </w:instrText>
      </w:r>
      <w:r>
        <w:rPr>
          <w:rFonts w:hint="eastAsia" w:ascii="宋体" w:hAnsi="宋体" w:eastAsia="宋体" w:cs="宋体"/>
          <w:bCs/>
          <w:sz w:val="28"/>
          <w:szCs w:val="48"/>
          <w:highlight w:val="none"/>
        </w:rPr>
        <w:fldChar w:fldCharType="separate"/>
      </w:r>
      <w:r>
        <w:rPr>
          <w:rFonts w:hint="eastAsia" w:ascii="宋体" w:hAnsi="宋体" w:eastAsia="宋体" w:cs="宋体"/>
          <w:sz w:val="28"/>
          <w:szCs w:val="21"/>
          <w:highlight w:val="none"/>
        </w:rPr>
        <w:t xml:space="preserve">第三章 </w:t>
      </w:r>
      <w:r>
        <w:rPr>
          <w:rFonts w:hint="eastAsia" w:hAnsi="宋体" w:cs="宋体"/>
          <w:sz w:val="28"/>
          <w:szCs w:val="21"/>
          <w:highlight w:val="none"/>
          <w:lang w:val="en-US" w:eastAsia="zh-CN"/>
        </w:rPr>
        <w:t xml:space="preserve"> </w:t>
      </w:r>
      <w:r>
        <w:rPr>
          <w:rFonts w:hint="eastAsia" w:ascii="宋体" w:hAnsi="宋体" w:eastAsia="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_Toc6488 \h </w:instrText>
      </w:r>
      <w:r>
        <w:rPr>
          <w:sz w:val="28"/>
          <w:szCs w:val="21"/>
          <w:highlight w:val="none"/>
        </w:rPr>
        <w:fldChar w:fldCharType="separate"/>
      </w:r>
      <w:r>
        <w:rPr>
          <w:sz w:val="28"/>
          <w:szCs w:val="21"/>
          <w:highlight w:val="none"/>
        </w:rPr>
        <w:t>21</w:t>
      </w:r>
      <w:r>
        <w:rPr>
          <w:sz w:val="28"/>
          <w:szCs w:val="21"/>
          <w:highlight w:val="none"/>
        </w:rPr>
        <w:fldChar w:fldCharType="end"/>
      </w:r>
      <w:r>
        <w:rPr>
          <w:rFonts w:hint="eastAsia" w:ascii="宋体" w:hAnsi="宋体" w:eastAsia="宋体" w:cs="宋体"/>
          <w:bCs/>
          <w:sz w:val="28"/>
          <w:szCs w:val="48"/>
          <w:highlight w:val="none"/>
        </w:rPr>
        <w:fldChar w:fldCharType="end"/>
      </w:r>
    </w:p>
    <w:p w14:paraId="3FCDC75A">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highlight w:val="none"/>
        </w:rPr>
      </w:pPr>
      <w:r>
        <w:rPr>
          <w:rFonts w:hint="eastAsia" w:ascii="宋体" w:hAnsi="宋体" w:eastAsia="宋体" w:cs="宋体"/>
          <w:bCs/>
          <w:sz w:val="28"/>
          <w:szCs w:val="48"/>
          <w:highlight w:val="none"/>
        </w:rPr>
        <w:fldChar w:fldCharType="begin"/>
      </w:r>
      <w:r>
        <w:rPr>
          <w:rFonts w:hint="eastAsia" w:ascii="宋体" w:hAnsi="宋体" w:eastAsia="宋体" w:cs="宋体"/>
          <w:bCs/>
          <w:sz w:val="28"/>
          <w:szCs w:val="48"/>
          <w:highlight w:val="none"/>
        </w:rPr>
        <w:instrText xml:space="preserve"> HYPERLINK \l _Toc29755 </w:instrText>
      </w:r>
      <w:r>
        <w:rPr>
          <w:rFonts w:hint="eastAsia" w:ascii="宋体" w:hAnsi="宋体" w:eastAsia="宋体" w:cs="宋体"/>
          <w:bCs/>
          <w:sz w:val="28"/>
          <w:szCs w:val="48"/>
          <w:highlight w:val="none"/>
        </w:rPr>
        <w:fldChar w:fldCharType="separate"/>
      </w:r>
      <w:r>
        <w:rPr>
          <w:rFonts w:hint="eastAsia" w:ascii="宋体" w:hAnsi="宋体" w:eastAsia="宋体" w:cs="宋体"/>
          <w:bCs/>
          <w:sz w:val="28"/>
          <w:szCs w:val="40"/>
          <w:highlight w:val="none"/>
        </w:rPr>
        <w:t>第四章</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合同条款及格式</w:t>
      </w:r>
      <w:r>
        <w:rPr>
          <w:sz w:val="28"/>
          <w:szCs w:val="21"/>
          <w:highlight w:val="none"/>
        </w:rPr>
        <w:tab/>
      </w:r>
      <w:r>
        <w:rPr>
          <w:sz w:val="28"/>
          <w:szCs w:val="21"/>
          <w:highlight w:val="none"/>
        </w:rPr>
        <w:fldChar w:fldCharType="begin"/>
      </w:r>
      <w:r>
        <w:rPr>
          <w:sz w:val="28"/>
          <w:szCs w:val="21"/>
          <w:highlight w:val="none"/>
        </w:rPr>
        <w:instrText xml:space="preserve"> PAGEREF _Toc29755 \h </w:instrText>
      </w:r>
      <w:r>
        <w:rPr>
          <w:sz w:val="28"/>
          <w:szCs w:val="21"/>
          <w:highlight w:val="none"/>
        </w:rPr>
        <w:fldChar w:fldCharType="separate"/>
      </w:r>
      <w:r>
        <w:rPr>
          <w:sz w:val="28"/>
          <w:szCs w:val="21"/>
          <w:highlight w:val="none"/>
        </w:rPr>
        <w:t>25</w:t>
      </w:r>
      <w:r>
        <w:rPr>
          <w:sz w:val="28"/>
          <w:szCs w:val="21"/>
          <w:highlight w:val="none"/>
        </w:rPr>
        <w:fldChar w:fldCharType="end"/>
      </w:r>
      <w:r>
        <w:rPr>
          <w:rFonts w:hint="eastAsia" w:ascii="宋体" w:hAnsi="宋体" w:eastAsia="宋体" w:cs="宋体"/>
          <w:bCs/>
          <w:sz w:val="28"/>
          <w:szCs w:val="48"/>
          <w:highlight w:val="none"/>
        </w:rPr>
        <w:fldChar w:fldCharType="end"/>
      </w:r>
    </w:p>
    <w:p w14:paraId="4A35B3F6">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highlight w:val="none"/>
        </w:rPr>
      </w:pPr>
      <w:r>
        <w:rPr>
          <w:rFonts w:hint="eastAsia" w:ascii="宋体" w:hAnsi="宋体" w:eastAsia="宋体" w:cs="宋体"/>
          <w:bCs/>
          <w:sz w:val="28"/>
          <w:szCs w:val="48"/>
          <w:highlight w:val="none"/>
        </w:rPr>
        <w:fldChar w:fldCharType="begin"/>
      </w:r>
      <w:r>
        <w:rPr>
          <w:rFonts w:hint="eastAsia" w:ascii="宋体" w:hAnsi="宋体" w:eastAsia="宋体" w:cs="宋体"/>
          <w:bCs/>
          <w:sz w:val="28"/>
          <w:szCs w:val="48"/>
          <w:highlight w:val="none"/>
        </w:rPr>
        <w:instrText xml:space="preserve"> HYPERLINK \l _Toc15604 </w:instrText>
      </w:r>
      <w:r>
        <w:rPr>
          <w:rFonts w:hint="eastAsia" w:ascii="宋体" w:hAnsi="宋体" w:eastAsia="宋体" w:cs="宋体"/>
          <w:bCs/>
          <w:sz w:val="28"/>
          <w:szCs w:val="48"/>
          <w:highlight w:val="none"/>
        </w:rPr>
        <w:fldChar w:fldCharType="separate"/>
      </w:r>
      <w:r>
        <w:rPr>
          <w:rFonts w:hint="eastAsia" w:ascii="宋体" w:hAnsi="宋体" w:eastAsia="宋体" w:cs="宋体"/>
          <w:bCs/>
          <w:sz w:val="28"/>
          <w:szCs w:val="40"/>
          <w:highlight w:val="none"/>
        </w:rPr>
        <w:t xml:space="preserve">第五章 </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_Toc15604 \h </w:instrText>
      </w:r>
      <w:r>
        <w:rPr>
          <w:sz w:val="28"/>
          <w:szCs w:val="21"/>
          <w:highlight w:val="none"/>
        </w:rPr>
        <w:fldChar w:fldCharType="separate"/>
      </w:r>
      <w:r>
        <w:rPr>
          <w:sz w:val="28"/>
          <w:szCs w:val="21"/>
          <w:highlight w:val="none"/>
        </w:rPr>
        <w:t>40</w:t>
      </w:r>
      <w:r>
        <w:rPr>
          <w:sz w:val="28"/>
          <w:szCs w:val="21"/>
          <w:highlight w:val="none"/>
        </w:rPr>
        <w:fldChar w:fldCharType="end"/>
      </w:r>
      <w:r>
        <w:rPr>
          <w:rFonts w:hint="eastAsia" w:ascii="宋体" w:hAnsi="宋体" w:eastAsia="宋体" w:cs="宋体"/>
          <w:bCs/>
          <w:sz w:val="28"/>
          <w:szCs w:val="48"/>
          <w:highlight w:val="none"/>
        </w:rPr>
        <w:fldChar w:fldCharType="end"/>
      </w:r>
    </w:p>
    <w:p w14:paraId="7F9BB910">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highlight w:val="none"/>
        </w:rPr>
      </w:pPr>
      <w:r>
        <w:rPr>
          <w:rFonts w:hint="eastAsia" w:ascii="宋体" w:hAnsi="宋体" w:eastAsia="宋体" w:cs="宋体"/>
          <w:bCs/>
          <w:sz w:val="28"/>
          <w:szCs w:val="48"/>
          <w:highlight w:val="none"/>
        </w:rPr>
        <w:fldChar w:fldCharType="begin"/>
      </w:r>
      <w:r>
        <w:rPr>
          <w:rFonts w:hint="eastAsia" w:ascii="宋体" w:hAnsi="宋体" w:eastAsia="宋体" w:cs="宋体"/>
          <w:bCs/>
          <w:sz w:val="28"/>
          <w:szCs w:val="48"/>
          <w:highlight w:val="none"/>
        </w:rPr>
        <w:instrText xml:space="preserve"> HYPERLINK \l _Toc10960 </w:instrText>
      </w:r>
      <w:r>
        <w:rPr>
          <w:rFonts w:hint="eastAsia" w:ascii="宋体" w:hAnsi="宋体" w:eastAsia="宋体" w:cs="宋体"/>
          <w:bCs/>
          <w:sz w:val="28"/>
          <w:szCs w:val="48"/>
          <w:highlight w:val="none"/>
        </w:rPr>
        <w:fldChar w:fldCharType="separate"/>
      </w:r>
      <w:r>
        <w:rPr>
          <w:rFonts w:hint="eastAsia" w:ascii="宋体" w:hAnsi="宋体" w:eastAsia="宋体" w:cs="宋体"/>
          <w:sz w:val="28"/>
          <w:szCs w:val="22"/>
          <w:highlight w:val="none"/>
        </w:rPr>
        <w:t xml:space="preserve">第六章 </w:t>
      </w:r>
      <w:r>
        <w:rPr>
          <w:rFonts w:hint="eastAsia" w:ascii="宋体" w:eastAsia="宋体" w:cs="宋体"/>
          <w:sz w:val="28"/>
          <w:szCs w:val="22"/>
          <w:highlight w:val="none"/>
          <w:lang w:val="en-US" w:eastAsia="zh-CN"/>
        </w:rPr>
        <w:t xml:space="preserve"> </w:t>
      </w:r>
      <w:r>
        <w:rPr>
          <w:rFonts w:hint="eastAsia" w:ascii="宋体" w:hAnsi="宋体" w:eastAsia="宋体" w:cs="宋体"/>
          <w:sz w:val="28"/>
          <w:szCs w:val="22"/>
          <w:highlight w:val="none"/>
        </w:rPr>
        <w:t>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_Toc10960 \h </w:instrText>
      </w:r>
      <w:r>
        <w:rPr>
          <w:sz w:val="28"/>
          <w:szCs w:val="21"/>
          <w:highlight w:val="none"/>
        </w:rPr>
        <w:fldChar w:fldCharType="separate"/>
      </w:r>
      <w:r>
        <w:rPr>
          <w:sz w:val="28"/>
          <w:szCs w:val="21"/>
          <w:highlight w:val="none"/>
        </w:rPr>
        <w:t>47</w:t>
      </w:r>
      <w:r>
        <w:rPr>
          <w:sz w:val="28"/>
          <w:szCs w:val="21"/>
          <w:highlight w:val="none"/>
        </w:rPr>
        <w:fldChar w:fldCharType="end"/>
      </w:r>
      <w:r>
        <w:rPr>
          <w:rFonts w:hint="eastAsia" w:ascii="宋体" w:hAnsi="宋体" w:eastAsia="宋体" w:cs="宋体"/>
          <w:bCs/>
          <w:sz w:val="28"/>
          <w:szCs w:val="48"/>
          <w:highlight w:val="none"/>
        </w:rPr>
        <w:fldChar w:fldCharType="end"/>
      </w:r>
    </w:p>
    <w:p w14:paraId="5C9CA0C6">
      <w:pPr>
        <w:pStyle w:val="14"/>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48"/>
          <w:highlight w:val="none"/>
        </w:rPr>
        <w:fldChar w:fldCharType="end"/>
      </w:r>
    </w:p>
    <w:p w14:paraId="12582E31">
      <w:pPr>
        <w:pStyle w:val="2"/>
        <w:spacing w:beforeLines="100"/>
        <w:jc w:val="center"/>
        <w:outlineLvl w:val="9"/>
        <w:rPr>
          <w:rFonts w:hint="eastAsia" w:ascii="宋体" w:hAnsi="宋体" w:eastAsia="宋体" w:cs="宋体"/>
          <w:bCs/>
          <w:sz w:val="36"/>
          <w:szCs w:val="36"/>
          <w:highlight w:val="none"/>
        </w:rPr>
        <w:sectPr>
          <w:footerReference r:id="rId9" w:type="first"/>
          <w:footerReference r:id="rId8" w:type="default"/>
          <w:pgSz w:w="11906" w:h="16838"/>
          <w:pgMar w:top="1361" w:right="1304" w:bottom="1361" w:left="1304" w:header="851" w:footer="992" w:gutter="0"/>
          <w:pgNumType w:start="1"/>
          <w:cols w:space="720" w:num="1"/>
          <w:titlePg/>
          <w:rtlGutter w:val="0"/>
          <w:docGrid w:type="lines" w:linePitch="312" w:charSpace="0"/>
        </w:sectPr>
      </w:pPr>
    </w:p>
    <w:p w14:paraId="6059A5F4">
      <w:pPr>
        <w:pStyle w:val="2"/>
        <w:keepNext w:val="0"/>
        <w:keepLines/>
        <w:pageBreakBefore/>
        <w:spacing w:beforeLines="50" w:afterLines="50" w:line="360" w:lineRule="auto"/>
        <w:jc w:val="center"/>
        <w:outlineLvl w:val="0"/>
        <w:rPr>
          <w:rFonts w:hint="eastAsia" w:ascii="宋体" w:hAnsi="宋体" w:eastAsia="宋体" w:cs="宋体"/>
          <w:bCs/>
          <w:sz w:val="36"/>
          <w:szCs w:val="36"/>
          <w:highlight w:val="none"/>
        </w:rPr>
      </w:pPr>
      <w:bookmarkStart w:id="12" w:name="_Toc12903"/>
      <w:bookmarkStart w:id="13" w:name="_Toc423973071"/>
      <w:bookmarkStart w:id="14" w:name="_Toc2705"/>
      <w:bookmarkStart w:id="193" w:name="_GoBack"/>
      <w:bookmarkEnd w:id="193"/>
      <w:r>
        <w:rPr>
          <w:rFonts w:hint="eastAsia" w:ascii="宋体" w:hAns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36"/>
          <w:szCs w:val="36"/>
          <w:highlight w:val="none"/>
        </w:rPr>
        <w:t>竞争性磋商公告</w:t>
      </w:r>
      <w:bookmarkEnd w:id="8"/>
      <w:bookmarkEnd w:id="12"/>
      <w:bookmarkEnd w:id="13"/>
      <w:bookmarkEnd w:id="14"/>
    </w:p>
    <w:p w14:paraId="2C0BEE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bookmarkStart w:id="15" w:name="_Toc389582035"/>
      <w:bookmarkStart w:id="16" w:name="_Toc2929"/>
      <w:bookmarkStart w:id="17" w:name="_Toc29249"/>
      <w:bookmarkStart w:id="18" w:name="_Toc423973072"/>
      <w:r>
        <w:rPr>
          <w:rFonts w:hint="eastAsia" w:ascii="宋体" w:hAnsi="宋体" w:eastAsia="宋体" w:cs="宋体"/>
          <w:b/>
          <w:bCs/>
          <w:highlight w:val="none"/>
        </w:rPr>
        <w:t>项目概况</w:t>
      </w:r>
    </w:p>
    <w:p w14:paraId="7ACB27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hAnsi="宋体" w:cs="宋体"/>
          <w:highlight w:val="none"/>
          <w:lang w:eastAsia="zh-CN"/>
        </w:rPr>
        <w:t>柞水县城区周边森林管护与绿化提升项目采购项目的潜在供应商应在陕西省西安市经济技术开发区未央路171-1号银池道拉斯财富中心21楼03室获取采购文件，并于2025年11月17日14时30分（北京时间）前提交响应文件。</w:t>
      </w:r>
    </w:p>
    <w:p w14:paraId="2491BA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一、项目基本情况</w:t>
      </w:r>
    </w:p>
    <w:p w14:paraId="7A57EC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项目编号：SXZCZB2025-ZCCS-1115</w:t>
      </w:r>
    </w:p>
    <w:p w14:paraId="7C4888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项目名称：柞水县城区周边森林管护与绿化提升项目</w:t>
      </w:r>
    </w:p>
    <w:p w14:paraId="1D883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采购方式：竞争性磋商</w:t>
      </w:r>
    </w:p>
    <w:p w14:paraId="249F3C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预算金额：500,000.00元</w:t>
      </w:r>
    </w:p>
    <w:p w14:paraId="7D986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采购需求：</w:t>
      </w:r>
    </w:p>
    <w:p w14:paraId="62A23F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合同包1(柞水县城区周边森林管护与绿化提升项目):</w:t>
      </w:r>
    </w:p>
    <w:p w14:paraId="2606A8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合同包预算金额：500,000.00元</w:t>
      </w:r>
    </w:p>
    <w:p w14:paraId="008D58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合同包最高限价：500,000.00元</w:t>
      </w: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3"/>
        <w:gridCol w:w="2210"/>
        <w:gridCol w:w="2925"/>
        <w:gridCol w:w="809"/>
        <w:gridCol w:w="1534"/>
        <w:gridCol w:w="1441"/>
      </w:tblGrid>
      <w:tr w14:paraId="2347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A2CFA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1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E7FFB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5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49A7E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A2872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48C6E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6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51164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7007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EB80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11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C08FA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造林服务</w:t>
            </w:r>
          </w:p>
        </w:tc>
        <w:tc>
          <w:tcPr>
            <w:tcW w:w="15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F58EA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柞水县城区周边森林管护与绿化提升项目（一标段）</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7BED9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A4224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6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1E01CA">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500,000.00</w:t>
            </w:r>
          </w:p>
        </w:tc>
      </w:tr>
    </w:tbl>
    <w:p w14:paraId="0E4F64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本合同包不接受联合体投标</w:t>
      </w:r>
    </w:p>
    <w:p w14:paraId="7B354F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合同履行期限：详见采购文件</w:t>
      </w:r>
    </w:p>
    <w:p w14:paraId="747B05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二、申请人的资格要求：</w:t>
      </w:r>
    </w:p>
    <w:p w14:paraId="4CD42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1.满足《中华人民共和国政府采购法》第二十二条规定;</w:t>
      </w:r>
    </w:p>
    <w:p w14:paraId="62A24D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2.落实政府采购政策需满足的资格要求：</w:t>
      </w:r>
    </w:p>
    <w:p w14:paraId="522B6B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合同包1(柞水县城区周边森林管护与绿化提升项目)落实政府采购政策需满足的资格要求如下:</w:t>
      </w:r>
    </w:p>
    <w:p w14:paraId="1B1606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1）《政府采购促进中小企业发展管理办法》（财库〔2020〕46号）；（2）《财政部司法部关于政府采购支持监狱企业发展有关问题的通知》（财库〔2014〕68号）；（3）《关于促进残疾人就业政府采购政策的通知》（财库〔2017〕141号）；（4）《节能产品政府采购实施意见》（财库〔2004〕185号）；（5）《环境标志产品政府采购实施的意见》（财库〔2006〕90号）；（6）《国务院办公厅关于建立政府强制采购节能产品制度的通知》（国办发〔2007〕51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关于发布参与实施政府采购节能产品、环境标志产品认证机构名录的公告》2019年第16号；（11）《关于运用政府采购政策支持乡村产业振兴的通知》（财库〔2021〕19号）；（12）陕西省财政厅关于印发《陕西省中小企业政府采购信用融资办法》（陕财办采〔2018〕23号），相关政策、业务流程、办理平台（详见http://www.ccgp-shaanxi.gov.cn/zcdservice/zcd/shanxi/）；（13）《陕西省财政厅关于加快推进我省中小企业政府采购信用融资工作的通知》（陕财办采〔2020〕15号）；（14）《关于进一步加强政府绿色采购有关问题的通知》（陕财办采〔2021〕29号）；（15）《陕西省财政厅陕西省工业和信息化厅关于运用政府采购政策支持首台（套）及创新产品有关事项的通知》（陕财办采〔2021〕17号）；（16）《关于进一步加大政府采购支持中小企业力度的通知》（财库〔2022〕19号）、《关于落实政府采购支持中小企业政策有关事项的通知》（陕财办采函〔2022〕10号）；（17）其他需要落实的政府采购政策。</w:t>
      </w:r>
    </w:p>
    <w:p w14:paraId="5F204F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3.本项目的特定资格要求：</w:t>
      </w:r>
    </w:p>
    <w:p w14:paraId="48FA6F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合同包1(柞水县城区周边森林管护与绿化提升项目)特定资格要求如下:</w:t>
      </w:r>
    </w:p>
    <w:p w14:paraId="1D67A0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1、提供合格有效的法人或者其他组织的营业执照等证明文件，自然人的身份证明；</w:t>
      </w:r>
    </w:p>
    <w:p w14:paraId="247176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2、提供法定代表人授权书（附法定代表人、被授权人身份证复印件）及被授权人身份证原件（法定代表人直接参加磋商，须提供法定代表人身份证明及身份证原件）；</w:t>
      </w:r>
    </w:p>
    <w:p w14:paraId="58B5C1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1ED9ED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4、税收缴纳证明：提供磋商截止日前一年内已缴纳的至少一个月的纳税证明或完税证明（任意税种），依法免税的单位应提供相关证明材料；</w:t>
      </w:r>
    </w:p>
    <w:p w14:paraId="1663B8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731F2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6、提供具有履行本合同所必需的设备和专业技术能力的说明及承诺书；</w:t>
      </w:r>
    </w:p>
    <w:p w14:paraId="2ED1AA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7、供应商应通过“信用中国”网站(www.creditchina.gov.cn)、中国政府采购网(www.ccgp.gov.cn)查询相关主体信用记录；</w:t>
      </w:r>
    </w:p>
    <w:p w14:paraId="3679E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8、参加政府采购活动前3年内，在经营活动中没有重大违法记录的书面声明；</w:t>
      </w:r>
    </w:p>
    <w:p w14:paraId="75B637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9、供应商须提供中小企业声明函；</w:t>
      </w:r>
    </w:p>
    <w:p w14:paraId="2FB99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10、本项目不接受联合体磋商。</w:t>
      </w:r>
    </w:p>
    <w:p w14:paraId="2F77E4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三、获取采购文件</w:t>
      </w:r>
    </w:p>
    <w:p w14:paraId="7F61A5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时间：2025年11月07日至2025年11月13日，每天上午09:00:00至12:00:00，下午14:00:00至17:00:00（北京时间）</w:t>
      </w:r>
    </w:p>
    <w:p w14:paraId="0F22FC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途径：陕西省西安市经济技术开发区未央路171-1号银池道拉斯财富中心21楼03室</w:t>
      </w:r>
    </w:p>
    <w:p w14:paraId="14484E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方式：现场获取</w:t>
      </w:r>
    </w:p>
    <w:p w14:paraId="20614B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售价：0元</w:t>
      </w:r>
    </w:p>
    <w:p w14:paraId="746F5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四、响应文件提交</w:t>
      </w:r>
    </w:p>
    <w:p w14:paraId="08EF67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截止时间：2025年11月17日14时30分00秒（北京时间）</w:t>
      </w:r>
    </w:p>
    <w:p w14:paraId="407719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地点：陕西省西安市经济技术开发区未央路171-1号银池道拉斯财富中心21楼03室</w:t>
      </w:r>
    </w:p>
    <w:p w14:paraId="03F655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五、开启</w:t>
      </w:r>
    </w:p>
    <w:p w14:paraId="676BC0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时间：2025年11月17日14时30分00秒（北京时间）</w:t>
      </w:r>
    </w:p>
    <w:p w14:paraId="2DCE5C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地点：陕西省西安市经济技术开发区未央路171-1号银池道拉斯财富中心21楼03室</w:t>
      </w:r>
    </w:p>
    <w:p w14:paraId="481779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六、公告期限</w:t>
      </w:r>
    </w:p>
    <w:p w14:paraId="1A618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自本公告发布之日起3个工作日。</w:t>
      </w:r>
    </w:p>
    <w:p w14:paraId="69820B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七、其他补充事宜</w:t>
      </w:r>
    </w:p>
    <w:p w14:paraId="59908E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（1）供应商领取采购文件时，请携带单位介绍信及经办人身份证原件及复印件加盖公章；</w:t>
      </w:r>
    </w:p>
    <w:p w14:paraId="74171D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（2）请供应商按照《陕西省财政厅关于政府采购供应商注册登记有关事项的通知》中的要求，通过陕西省政府采购网（http://www.ccgp-shaanxi.gov.cn/）注册登记加入陕西省政府采购供应商库；</w:t>
      </w:r>
    </w:p>
    <w:p w14:paraId="0092DC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（3）本项目为专门面向中小企业采购。</w:t>
      </w:r>
    </w:p>
    <w:p w14:paraId="000837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八、对本次招标提出询问，请按以下方式联系。</w:t>
      </w:r>
    </w:p>
    <w:p w14:paraId="392F4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1.采购人信息</w:t>
      </w:r>
    </w:p>
    <w:p w14:paraId="1D3BE1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名称：柞水县林业局</w:t>
      </w:r>
    </w:p>
    <w:p w14:paraId="503C44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地址：柞水县乾佑街道办中街151号</w:t>
      </w:r>
    </w:p>
    <w:p w14:paraId="70012B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联系方式：0914-4325611</w:t>
      </w:r>
    </w:p>
    <w:p w14:paraId="71D22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2.采购代理机构信息</w:t>
      </w:r>
    </w:p>
    <w:p w14:paraId="44F659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名称：陕西至诚项目管理集团有限公司</w:t>
      </w:r>
    </w:p>
    <w:p w14:paraId="4A3194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地址：陕西省西安市经济技术开发区未央路171-1号银池道拉斯财富中心21楼03室</w:t>
      </w:r>
    </w:p>
    <w:p w14:paraId="34DA6B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联系方式：029-88219779</w:t>
      </w:r>
    </w:p>
    <w:p w14:paraId="13ACE1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3.项目联系方式</w:t>
      </w:r>
    </w:p>
    <w:p w14:paraId="5C4AE9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项目联系人：康乐、孙洋、常瑛</w:t>
      </w:r>
    </w:p>
    <w:p w14:paraId="239F2B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电话：029-88219779</w:t>
      </w:r>
    </w:p>
    <w:p w14:paraId="11415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p>
    <w:p w14:paraId="43C81B9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highlight w:val="none"/>
          <w:lang w:eastAsia="zh-CN"/>
        </w:rPr>
      </w:pPr>
      <w:r>
        <w:rPr>
          <w:rFonts w:hint="eastAsia" w:hAnsi="宋体" w:cs="宋体"/>
          <w:highlight w:val="none"/>
          <w:lang w:eastAsia="zh-CN"/>
        </w:rPr>
        <w:t>陕西至诚项目管理集团有限公司</w:t>
      </w:r>
    </w:p>
    <w:p w14:paraId="620866B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highlight w:val="none"/>
        </w:rPr>
      </w:pPr>
      <w:r>
        <w:rPr>
          <w:rFonts w:hint="eastAsia" w:ascii="宋体" w:hAnsi="宋体" w:eastAsia="宋体" w:cs="宋体"/>
          <w:highlight w:val="none"/>
        </w:rPr>
        <w:t>2025年1</w:t>
      </w:r>
      <w:r>
        <w:rPr>
          <w:rFonts w:hint="eastAsia" w:hAnsi="宋体" w:cs="宋体"/>
          <w:highlight w:val="none"/>
          <w:lang w:val="en-US" w:eastAsia="zh-CN"/>
        </w:rPr>
        <w:t>1</w:t>
      </w:r>
      <w:r>
        <w:rPr>
          <w:rFonts w:hint="eastAsia" w:ascii="宋体" w:hAnsi="宋体" w:eastAsia="宋体" w:cs="宋体"/>
          <w:highlight w:val="none"/>
        </w:rPr>
        <w:t>月0</w:t>
      </w:r>
      <w:r>
        <w:rPr>
          <w:rFonts w:hint="eastAsia" w:hAnsi="宋体" w:cs="宋体"/>
          <w:highlight w:val="none"/>
          <w:lang w:val="en-US" w:eastAsia="zh-CN"/>
        </w:rPr>
        <w:t>6</w:t>
      </w:r>
      <w:r>
        <w:rPr>
          <w:rFonts w:hint="eastAsia" w:ascii="宋体" w:hAnsi="宋体" w:eastAsia="宋体" w:cs="宋体"/>
          <w:highlight w:val="none"/>
        </w:rPr>
        <w:t>日</w:t>
      </w:r>
    </w:p>
    <w:p w14:paraId="7E78FCD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highlight w:val="none"/>
        </w:rPr>
      </w:pPr>
      <w:r>
        <w:rPr>
          <w:rFonts w:hint="eastAsia" w:ascii="宋体" w:hAnsi="宋体" w:eastAsia="宋体" w:cs="宋体"/>
          <w:highlight w:val="none"/>
        </w:rPr>
        <w:br w:type="page"/>
      </w:r>
    </w:p>
    <w:p w14:paraId="42F4D65B">
      <w:pPr>
        <w:spacing w:line="348" w:lineRule="auto"/>
        <w:ind w:right="119"/>
        <w:jc w:val="center"/>
        <w:outlineLvl w:val="0"/>
        <w:rPr>
          <w:rFonts w:hint="eastAsia" w:ascii="宋体" w:hAnsi="宋体" w:eastAsia="宋体" w:cs="宋体"/>
          <w:bCs/>
          <w:sz w:val="36"/>
          <w:szCs w:val="36"/>
          <w:highlight w:val="none"/>
        </w:rPr>
      </w:pPr>
      <w:bookmarkStart w:id="19" w:name="_Toc237"/>
      <w:bookmarkStart w:id="20" w:name="_Toc3334"/>
      <w:r>
        <w:rPr>
          <w:rFonts w:hint="eastAsia" w:ascii="宋体" w:hAnsi="宋体" w:eastAsia="宋体" w:cs="宋体"/>
          <w:b/>
          <w:bCs/>
          <w:kern w:val="2"/>
          <w:sz w:val="36"/>
          <w:szCs w:val="36"/>
          <w:highlight w:val="none"/>
        </w:rPr>
        <w:t xml:space="preserve">第二章  </w:t>
      </w:r>
      <w:bookmarkEnd w:id="15"/>
      <w:bookmarkEnd w:id="16"/>
      <w:bookmarkStart w:id="21" w:name="OLE_LINK3"/>
      <w:r>
        <w:rPr>
          <w:rFonts w:hint="eastAsia" w:ascii="宋体" w:hAnsi="宋体" w:eastAsia="宋体" w:cs="宋体"/>
          <w:b/>
          <w:bCs/>
          <w:kern w:val="2"/>
          <w:sz w:val="36"/>
          <w:szCs w:val="36"/>
          <w:highlight w:val="none"/>
        </w:rPr>
        <w:t>供应商须知</w:t>
      </w:r>
      <w:bookmarkEnd w:id="17"/>
      <w:bookmarkEnd w:id="18"/>
      <w:bookmarkEnd w:id="19"/>
      <w:bookmarkEnd w:id="20"/>
      <w:bookmarkEnd w:id="21"/>
    </w:p>
    <w:p w14:paraId="3BE3D0B7">
      <w:pPr>
        <w:spacing w:line="440" w:lineRule="exact"/>
        <w:ind w:firstLine="3534" w:firstLineChars="1100"/>
        <w:jc w:val="both"/>
        <w:outlineLvl w:val="1"/>
        <w:rPr>
          <w:rFonts w:hint="eastAsia" w:ascii="宋体" w:hAnsi="宋体" w:eastAsia="宋体" w:cs="宋体"/>
          <w:b/>
          <w:bCs/>
          <w:sz w:val="32"/>
          <w:szCs w:val="32"/>
          <w:highlight w:val="none"/>
        </w:rPr>
      </w:pPr>
      <w:bookmarkStart w:id="22" w:name="_Toc24077"/>
      <w:bookmarkStart w:id="23" w:name="_Toc8846"/>
      <w:bookmarkStart w:id="24" w:name="_Toc20796"/>
      <w:bookmarkStart w:id="25" w:name="_Toc16830"/>
      <w:r>
        <w:rPr>
          <w:rFonts w:hint="eastAsia" w:ascii="宋体" w:hAnsi="宋体" w:eastAsia="宋体" w:cs="宋体"/>
          <w:b/>
          <w:bCs/>
          <w:sz w:val="32"/>
          <w:szCs w:val="32"/>
          <w:highlight w:val="none"/>
        </w:rPr>
        <w:t>供应商须知前附表</w:t>
      </w:r>
      <w:bookmarkEnd w:id="22"/>
      <w:bookmarkEnd w:id="23"/>
      <w:bookmarkEnd w:id="24"/>
      <w:bookmarkEnd w:id="25"/>
    </w:p>
    <w:p w14:paraId="37FC508B">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1597B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14:paraId="311BBE66">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noWrap w:val="0"/>
            <w:vAlign w:val="center"/>
          </w:tcPr>
          <w:p w14:paraId="7AA37F29">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noWrap w:val="0"/>
            <w:vAlign w:val="top"/>
          </w:tcPr>
          <w:p w14:paraId="22C7A1AF">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14:paraId="79A8B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14:paraId="0D83F4A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noWrap w:val="0"/>
            <w:vAlign w:val="center"/>
          </w:tcPr>
          <w:p w14:paraId="53B19F80">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noWrap w:val="0"/>
            <w:vAlign w:val="top"/>
          </w:tcPr>
          <w:p w14:paraId="0D9F0F37">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采购代理机构：</w:t>
            </w:r>
            <w:r>
              <w:rPr>
                <w:rFonts w:hint="eastAsia" w:hAnsi="宋体" w:cs="宋体"/>
                <w:szCs w:val="24"/>
                <w:highlight w:val="none"/>
                <w:lang w:eastAsia="zh-CN"/>
              </w:rPr>
              <w:t>陕西至诚项目管理集团有限公司</w:t>
            </w:r>
          </w:p>
          <w:p w14:paraId="338B36B0">
            <w:pPr>
              <w:spacing w:line="360" w:lineRule="auto"/>
              <w:rPr>
                <w:rFonts w:hint="eastAsia" w:eastAsia="宋体"/>
                <w:b w:val="0"/>
                <w:bCs w:val="0"/>
                <w:color w:val="auto"/>
                <w:szCs w:val="24"/>
                <w:highlight w:val="none"/>
                <w:lang w:eastAsia="zh-CN"/>
              </w:rPr>
            </w:pPr>
            <w:r>
              <w:rPr>
                <w:rFonts w:hint="eastAsia" w:ascii="宋体" w:hAnsi="宋体" w:eastAsia="宋体" w:cs="宋体"/>
                <w:szCs w:val="24"/>
                <w:highlight w:val="none"/>
              </w:rPr>
              <w:t>地        址：</w:t>
            </w:r>
            <w:r>
              <w:rPr>
                <w:rFonts w:hint="eastAsia"/>
                <w:b w:val="0"/>
                <w:bCs w:val="0"/>
                <w:color w:val="auto"/>
                <w:szCs w:val="24"/>
                <w:highlight w:val="none"/>
                <w:lang w:eastAsia="zh-CN"/>
              </w:rPr>
              <w:t>陕西省西安市经济技术开发区未央路171-1号银池道拉斯财富中心21楼03室</w:t>
            </w:r>
          </w:p>
          <w:p w14:paraId="1477649A">
            <w:pPr>
              <w:spacing w:line="360" w:lineRule="auto"/>
              <w:rPr>
                <w:rFonts w:hint="eastAsia" w:eastAsia="宋体"/>
                <w:b w:val="0"/>
                <w:bCs w:val="0"/>
                <w:color w:val="auto"/>
                <w:szCs w:val="24"/>
                <w:highlight w:val="none"/>
                <w:lang w:val="en-US" w:eastAsia="zh-CN"/>
              </w:rPr>
            </w:pPr>
            <w:r>
              <w:rPr>
                <w:rFonts w:hint="eastAsia" w:ascii="宋体" w:hAnsi="宋体" w:eastAsia="宋体" w:cs="宋体"/>
                <w:szCs w:val="24"/>
                <w:highlight w:val="none"/>
              </w:rPr>
              <w:t>邮        编：</w:t>
            </w:r>
            <w:r>
              <w:rPr>
                <w:rFonts w:hint="eastAsia"/>
                <w:b w:val="0"/>
                <w:bCs w:val="0"/>
                <w:color w:val="auto"/>
                <w:szCs w:val="24"/>
                <w:highlight w:val="none"/>
                <w:lang w:eastAsia="zh-CN"/>
              </w:rPr>
              <w:t>710000</w:t>
            </w:r>
          </w:p>
          <w:p w14:paraId="35F330F7">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电        话：</w:t>
            </w:r>
            <w:r>
              <w:rPr>
                <w:rFonts w:hint="eastAsia" w:hAnsi="宋体" w:cs="宋体"/>
                <w:szCs w:val="24"/>
                <w:highlight w:val="none"/>
                <w:lang w:eastAsia="zh-CN"/>
              </w:rPr>
              <w:t>029-88219779</w:t>
            </w:r>
          </w:p>
          <w:p w14:paraId="4F8BFF98">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传        真：/</w:t>
            </w:r>
          </w:p>
        </w:tc>
      </w:tr>
      <w:tr w14:paraId="21C02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14:paraId="5EC6595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noWrap w:val="0"/>
            <w:vAlign w:val="center"/>
          </w:tcPr>
          <w:p w14:paraId="1C4057F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noWrap w:val="0"/>
            <w:vAlign w:val="center"/>
          </w:tcPr>
          <w:p w14:paraId="61912E02">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14:paraId="0F4CB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14:paraId="7A0892E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noWrap w:val="0"/>
            <w:vAlign w:val="center"/>
          </w:tcPr>
          <w:p w14:paraId="381E64FF">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noWrap w:val="0"/>
            <w:vAlign w:val="center"/>
          </w:tcPr>
          <w:p w14:paraId="4BAA365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不允许提供备选方案。</w:t>
            </w:r>
          </w:p>
        </w:tc>
      </w:tr>
      <w:tr w14:paraId="2C11A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14:paraId="79ABF4C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noWrap w:val="0"/>
            <w:vAlign w:val="center"/>
          </w:tcPr>
          <w:p w14:paraId="2EF2196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noWrap w:val="0"/>
            <w:vAlign w:val="center"/>
          </w:tcPr>
          <w:p w14:paraId="05CE8D2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1E4CB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14:paraId="6A1C321C">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noWrap w:val="0"/>
            <w:vAlign w:val="center"/>
          </w:tcPr>
          <w:p w14:paraId="5162DA6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noWrap w:val="0"/>
            <w:vAlign w:val="top"/>
          </w:tcPr>
          <w:p w14:paraId="3E95DC94">
            <w:pPr>
              <w:spacing w:line="360" w:lineRule="auto"/>
              <w:ind w:firstLine="480"/>
              <w:rPr>
                <w:rFonts w:hint="eastAsia" w:hAnsi="宋体" w:cs="宋体"/>
                <w:szCs w:val="24"/>
                <w:highlight w:val="none"/>
              </w:rPr>
            </w:pPr>
            <w:r>
              <w:rPr>
                <w:rFonts w:hint="eastAsia" w:ascii="宋体" w:hAnsi="宋体" w:eastAsia="宋体" w:cs="宋体"/>
                <w:szCs w:val="24"/>
                <w:highlight w:val="none"/>
              </w:rPr>
              <w:t>磋商报价：</w:t>
            </w:r>
            <w:r>
              <w:rPr>
                <w:rFonts w:hint="eastAsia" w:hAnsi="宋体" w:cs="宋体"/>
                <w:szCs w:val="24"/>
                <w:highlight w:val="none"/>
              </w:rPr>
              <w:t>为完成本项目全部内容的价格体现，包括但不限于</w:t>
            </w:r>
            <w:r>
              <w:rPr>
                <w:rFonts w:hint="eastAsia" w:hAnsi="宋体" w:cs="宋体"/>
                <w:szCs w:val="24"/>
                <w:highlight w:val="none"/>
                <w:lang w:eastAsia="zh-CN"/>
              </w:rPr>
              <w:t>苗木费、养护费、劳务费</w:t>
            </w:r>
            <w:r>
              <w:rPr>
                <w:rFonts w:hint="eastAsia" w:hAnsi="宋体" w:cs="宋体"/>
                <w:szCs w:val="24"/>
                <w:highlight w:val="none"/>
              </w:rPr>
              <w:t>、</w:t>
            </w:r>
            <w:r>
              <w:rPr>
                <w:rFonts w:hint="eastAsia" w:hAnsi="宋体" w:cs="宋体"/>
                <w:szCs w:val="24"/>
                <w:highlight w:val="none"/>
                <w:lang w:eastAsia="zh-CN"/>
              </w:rPr>
              <w:t>管理费</w:t>
            </w:r>
            <w:r>
              <w:rPr>
                <w:rFonts w:hint="eastAsia" w:hAnsi="宋体" w:cs="宋体"/>
                <w:szCs w:val="24"/>
                <w:highlight w:val="none"/>
              </w:rPr>
              <w:t>、税金等其他一切相关费用，任何有选择的报价将不予接受，按无效磋商响应。</w:t>
            </w:r>
          </w:p>
          <w:p w14:paraId="22B3EB28">
            <w:pPr>
              <w:spacing w:line="360" w:lineRule="auto"/>
              <w:ind w:firstLine="480"/>
              <w:rPr>
                <w:rFonts w:hint="eastAsia" w:ascii="宋体" w:hAnsi="宋体" w:eastAsia="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r>
              <w:rPr>
                <w:rFonts w:hint="eastAsia" w:hAnsi="宋体" w:cs="宋体"/>
                <w:szCs w:val="24"/>
                <w:highlight w:val="none"/>
                <w:lang w:eastAsia="zh-CN"/>
              </w:rPr>
              <w:t>。</w:t>
            </w:r>
            <w:r>
              <w:rPr>
                <w:rFonts w:hint="eastAsia" w:ascii="宋体" w:hAnsi="宋体" w:eastAsia="宋体" w:cs="宋体"/>
                <w:szCs w:val="24"/>
                <w:highlight w:val="none"/>
              </w:rPr>
              <w:t>任何有选择的报价将不予接受，按无效磋商处理。</w:t>
            </w:r>
          </w:p>
        </w:tc>
      </w:tr>
      <w:tr w14:paraId="30CCF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14:paraId="4C567DAC">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noWrap w:val="0"/>
            <w:vAlign w:val="center"/>
          </w:tcPr>
          <w:p w14:paraId="08D6866C">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noWrap w:val="0"/>
            <w:vAlign w:val="top"/>
          </w:tcPr>
          <w:p w14:paraId="7D95193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14:paraId="7FD289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1、提供合格有效的法人或者其他组织的营业执照等证明文件，自然人的身份证明；</w:t>
            </w:r>
          </w:p>
          <w:p w14:paraId="79AE0C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2、提供法定代表人授权书（附法定代表人、被授权人身份证复印件）及被授权人身份证原件（法定代表人直接参加磋商，须提供法定代表人身份证明及身份证原件）；</w:t>
            </w:r>
          </w:p>
          <w:p w14:paraId="2F539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54952F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4、税收缴纳证明：提供磋商截止日前一年内已缴纳的至少一个月的纳税证明或完税证明（任意税种），依法免税的单位应提供相关证明材料；</w:t>
            </w:r>
          </w:p>
          <w:p w14:paraId="6A7C33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02C990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6、提供具有履行本合同所必需的设备和专业技术能力的说明及承诺书；</w:t>
            </w:r>
          </w:p>
          <w:p w14:paraId="76C4D4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7、供应商应通过“信用中国”网站(www.creditchina.gov.cn)、中国政府采购网(www.ccgp.gov.cn)查询相关主体信用记录；</w:t>
            </w:r>
          </w:p>
          <w:p w14:paraId="69A52D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8、参加政府采购活动前3年内，在经营活动中没有重大违法记录的书面声明；</w:t>
            </w:r>
          </w:p>
          <w:p w14:paraId="7B9636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9、供应商须提供中小企业声明函；</w:t>
            </w:r>
          </w:p>
          <w:p w14:paraId="0FB903E2">
            <w:pPr>
              <w:spacing w:line="360" w:lineRule="auto"/>
              <w:ind w:firstLine="480" w:firstLineChars="200"/>
              <w:rPr>
                <w:rFonts w:hint="eastAsia" w:hAnsi="宋体" w:cs="宋体"/>
                <w:highlight w:val="none"/>
                <w:lang w:eastAsia="zh-CN"/>
              </w:rPr>
            </w:pPr>
            <w:r>
              <w:rPr>
                <w:rFonts w:hint="eastAsia" w:hAnsi="宋体" w:cs="宋体"/>
                <w:highlight w:val="none"/>
                <w:lang w:eastAsia="zh-CN"/>
              </w:rPr>
              <w:t>10、本项目不接受联合体磋商。</w:t>
            </w:r>
          </w:p>
          <w:p w14:paraId="2B2D5DD0">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10</w:t>
            </w:r>
            <w:r>
              <w:rPr>
                <w:rFonts w:hint="eastAsia" w:ascii="宋体" w:hAnsi="宋体" w:eastAsia="宋体" w:cs="宋体"/>
                <w:b/>
                <w:bCs/>
                <w:szCs w:val="24"/>
                <w:highlight w:val="none"/>
              </w:rPr>
              <w:t>）为必备资质，缺一项或某项达不到要求，按无效磋商处理。</w:t>
            </w:r>
          </w:p>
        </w:tc>
      </w:tr>
      <w:tr w14:paraId="25D04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592" w:type="dxa"/>
            <w:noWrap w:val="0"/>
            <w:vAlign w:val="center"/>
          </w:tcPr>
          <w:p w14:paraId="65B22857">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noWrap w:val="0"/>
            <w:vAlign w:val="center"/>
          </w:tcPr>
          <w:p w14:paraId="3EC4E30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noWrap w:val="0"/>
            <w:vAlign w:val="center"/>
          </w:tcPr>
          <w:p w14:paraId="287410D2">
            <w:pPr>
              <w:spacing w:line="360" w:lineRule="auto"/>
              <w:jc w:val="both"/>
              <w:rPr>
                <w:rFonts w:hint="eastAsia" w:ascii="宋体" w:hAnsi="宋体" w:eastAsia="宋体" w:cs="宋体"/>
                <w:szCs w:val="24"/>
                <w:highlight w:val="none"/>
              </w:rPr>
            </w:pP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cs="宋体"/>
                <w:b/>
                <w:bCs/>
                <w:color w:val="auto"/>
                <w:szCs w:val="24"/>
                <w:highlight w:val="none"/>
                <w:lang w:val="en-US" w:eastAsia="zh-CN"/>
              </w:rPr>
              <w:t>本项目不缴纳磋商保证金</w:t>
            </w:r>
          </w:p>
        </w:tc>
      </w:tr>
      <w:tr w14:paraId="2FC05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14:paraId="1A3B84F5">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noWrap w:val="0"/>
            <w:vAlign w:val="center"/>
          </w:tcPr>
          <w:p w14:paraId="3E95B53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noWrap w:val="0"/>
            <w:vAlign w:val="center"/>
          </w:tcPr>
          <w:p w14:paraId="3E9146A6">
            <w:pPr>
              <w:spacing w:line="360" w:lineRule="auto"/>
              <w:rPr>
                <w:rFonts w:hint="eastAsia" w:ascii="宋体" w:hAnsi="宋体" w:eastAsia="宋体" w:cs="宋体"/>
                <w:highlight w:val="none"/>
              </w:rPr>
            </w:pPr>
            <w:r>
              <w:rPr>
                <w:rFonts w:hint="eastAsia" w:ascii="宋体" w:hAnsi="宋体" w:eastAsia="宋体" w:cs="宋体"/>
                <w:szCs w:val="24"/>
                <w:highlight w:val="none"/>
              </w:rPr>
              <w:t>磋商有效期:提交磋商响应文件的截止之日起90天</w:t>
            </w:r>
          </w:p>
        </w:tc>
      </w:tr>
      <w:tr w14:paraId="550F6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14:paraId="50DE8DAC">
            <w:pPr>
              <w:spacing w:line="360" w:lineRule="auto"/>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noWrap w:val="0"/>
            <w:vAlign w:val="center"/>
          </w:tcPr>
          <w:p w14:paraId="57E129D7">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noWrap w:val="0"/>
            <w:vAlign w:val="center"/>
          </w:tcPr>
          <w:p w14:paraId="059BCEF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正本的份数：壹份；副本的份数：贰份；报价一览表：壹份；电子版（U盘）：壹份（需在盘面上标注供应商全称、项目名称、编号）。</w:t>
            </w:r>
          </w:p>
        </w:tc>
      </w:tr>
      <w:tr w14:paraId="564AB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431F2990">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noWrap w:val="0"/>
            <w:vAlign w:val="center"/>
          </w:tcPr>
          <w:p w14:paraId="05893561">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noWrap w:val="0"/>
            <w:vAlign w:val="center"/>
          </w:tcPr>
          <w:p w14:paraId="2F3E28A9">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tc>
      </w:tr>
      <w:tr w14:paraId="61BCE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49A771C9">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noWrap w:val="0"/>
            <w:vAlign w:val="center"/>
          </w:tcPr>
          <w:p w14:paraId="6506AF03">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noWrap w:val="0"/>
            <w:vAlign w:val="top"/>
          </w:tcPr>
          <w:p w14:paraId="5F2A1E9E">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磋商响应文件递交截止时间：</w:t>
            </w:r>
            <w:r>
              <w:rPr>
                <w:rFonts w:hint="eastAsia" w:hAnsi="宋体" w:cs="宋体"/>
                <w:szCs w:val="24"/>
                <w:highlight w:val="none"/>
                <w:lang w:val="en-US" w:eastAsia="zh-CN"/>
              </w:rPr>
              <w:t>详见磋商公告</w:t>
            </w:r>
          </w:p>
          <w:p w14:paraId="0D7E20B7">
            <w:pPr>
              <w:spacing w:line="360" w:lineRule="auto"/>
              <w:jc w:val="left"/>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磋商响应文件递交地址：</w:t>
            </w:r>
            <w:r>
              <w:rPr>
                <w:rFonts w:hint="eastAsia" w:ascii="宋体" w:hAnsi="宋体" w:eastAsia="宋体" w:cs="宋体"/>
                <w:sz w:val="24"/>
                <w:szCs w:val="24"/>
                <w:highlight w:val="none"/>
              </w:rPr>
              <w:t>陕西省西安市经济技术开发区未央路171-1号银池道拉斯财富中心21楼03室</w:t>
            </w:r>
          </w:p>
          <w:p w14:paraId="13F0E556">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磋商响应文件接收人：</w:t>
            </w:r>
            <w:r>
              <w:rPr>
                <w:rFonts w:hint="eastAsia" w:hAnsi="宋体" w:cs="宋体"/>
                <w:szCs w:val="24"/>
                <w:highlight w:val="none"/>
                <w:lang w:eastAsia="zh-CN"/>
              </w:rPr>
              <w:t>陕西至诚项目管理集团有限公司</w:t>
            </w:r>
          </w:p>
        </w:tc>
      </w:tr>
      <w:tr w14:paraId="50A45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14:paraId="1BE268D1">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noWrap w:val="0"/>
            <w:vAlign w:val="center"/>
          </w:tcPr>
          <w:p w14:paraId="7AA711CB">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noWrap w:val="0"/>
            <w:vAlign w:val="center"/>
          </w:tcPr>
          <w:p w14:paraId="37C92AC8">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磋商时间：</w:t>
            </w:r>
            <w:r>
              <w:rPr>
                <w:rFonts w:hint="eastAsia" w:hAnsi="宋体" w:cs="宋体"/>
                <w:szCs w:val="24"/>
                <w:highlight w:val="none"/>
                <w:lang w:val="en-US" w:eastAsia="zh-CN"/>
              </w:rPr>
              <w:t>详见磋商公告</w:t>
            </w:r>
          </w:p>
          <w:p w14:paraId="7695756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磋商地点：</w:t>
            </w:r>
            <w:r>
              <w:rPr>
                <w:rFonts w:hint="eastAsia" w:ascii="宋体" w:hAnsi="宋体" w:eastAsia="宋体" w:cs="宋体"/>
                <w:sz w:val="24"/>
                <w:szCs w:val="24"/>
                <w:highlight w:val="none"/>
              </w:rPr>
              <w:t>陕西省西安市经济技术开发区未央路171-1号银池道拉斯财富中心21楼03室</w:t>
            </w:r>
          </w:p>
        </w:tc>
      </w:tr>
      <w:tr w14:paraId="2ED59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7" w:hRule="atLeast"/>
          <w:jc w:val="center"/>
        </w:trPr>
        <w:tc>
          <w:tcPr>
            <w:tcW w:w="592" w:type="dxa"/>
            <w:noWrap w:val="0"/>
            <w:vAlign w:val="center"/>
          </w:tcPr>
          <w:p w14:paraId="3E55D91E">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noWrap w:val="0"/>
            <w:vAlign w:val="center"/>
          </w:tcPr>
          <w:p w14:paraId="0A84AC1B">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noWrap w:val="0"/>
            <w:vAlign w:val="center"/>
          </w:tcPr>
          <w:p w14:paraId="1D44AAFF">
            <w:pPr>
              <w:spacing w:afterLines="50" w:line="360" w:lineRule="auto"/>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14:paraId="14304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6CAA4DD7">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noWrap w:val="0"/>
            <w:vAlign w:val="center"/>
          </w:tcPr>
          <w:p w14:paraId="2EC9F2B7">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noWrap w:val="0"/>
            <w:vAlign w:val="center"/>
          </w:tcPr>
          <w:p w14:paraId="0C19E432">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磋商代理服务费： </w:t>
            </w:r>
          </w:p>
          <w:p w14:paraId="7BD8587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w:t>
            </w:r>
            <w:bookmarkStart w:id="26" w:name="OLE_LINK10"/>
            <w:bookmarkStart w:id="27" w:name="OLE_LINK9"/>
            <w:r>
              <w:rPr>
                <w:rFonts w:hint="eastAsia" w:ascii="宋体" w:hAnsi="宋体" w:eastAsia="宋体" w:cs="宋体"/>
                <w:szCs w:val="24"/>
                <w:highlight w:val="none"/>
              </w:rPr>
              <w:t>国家计委颁发的《招标代理服务收费管理暂行办法》（计价格[2002]1980号）</w:t>
            </w:r>
            <w:r>
              <w:rPr>
                <w:rFonts w:hint="eastAsia" w:hAnsi="宋体" w:cs="宋体"/>
                <w:szCs w:val="24"/>
                <w:highlight w:val="none"/>
                <w:lang w:val="en-US" w:eastAsia="zh-CN"/>
              </w:rPr>
              <w:t>及</w:t>
            </w:r>
            <w:r>
              <w:rPr>
                <w:rFonts w:hint="eastAsia" w:ascii="宋体" w:hAnsi="宋体" w:eastAsia="宋体" w:cs="宋体"/>
                <w:szCs w:val="24"/>
                <w:highlight w:val="none"/>
              </w:rPr>
              <w:t>国家发展</w:t>
            </w:r>
            <w:r>
              <w:rPr>
                <w:rFonts w:hint="eastAsia" w:hAnsi="宋体" w:cs="宋体"/>
                <w:szCs w:val="24"/>
                <w:highlight w:val="none"/>
                <w:lang w:val="en-US" w:eastAsia="zh-CN"/>
              </w:rPr>
              <w:t>和</w:t>
            </w:r>
            <w:r>
              <w:rPr>
                <w:rFonts w:hint="eastAsia" w:ascii="宋体" w:hAnsi="宋体" w:eastAsia="宋体" w:cs="宋体"/>
                <w:szCs w:val="24"/>
                <w:highlight w:val="none"/>
              </w:rPr>
              <w:t>改革委员会办公厅颁发的《关于招标代理服务收费有关问题的通知》（发改办价格[2003]857号）的有关规定执行。</w:t>
            </w:r>
            <w:bookmarkEnd w:id="26"/>
            <w:bookmarkEnd w:id="27"/>
          </w:p>
          <w:p w14:paraId="0B83F3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14:paraId="4752C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57D49C6C">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15</w:t>
            </w:r>
          </w:p>
        </w:tc>
        <w:tc>
          <w:tcPr>
            <w:tcW w:w="951" w:type="dxa"/>
            <w:noWrap w:val="0"/>
            <w:vAlign w:val="center"/>
          </w:tcPr>
          <w:p w14:paraId="127807FD">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14:paraId="249F45ED">
            <w:pPr>
              <w:spacing w:line="360" w:lineRule="auto"/>
              <w:jc w:val="center"/>
              <w:rPr>
                <w:rFonts w:hint="eastAsia" w:ascii="宋体" w:hAnsi="宋体" w:eastAsia="宋体" w:cs="宋体"/>
                <w:szCs w:val="24"/>
                <w:highlight w:val="none"/>
              </w:rPr>
            </w:pPr>
            <w:r>
              <w:rPr>
                <w:rFonts w:hint="eastAsia" w:hAnsi="宋体" w:cs="宋体"/>
                <w:color w:val="auto"/>
                <w:szCs w:val="24"/>
                <w:highlight w:val="none"/>
              </w:rPr>
              <w:t>现场</w:t>
            </w:r>
          </w:p>
        </w:tc>
        <w:tc>
          <w:tcPr>
            <w:tcW w:w="7354" w:type="dxa"/>
            <w:noWrap w:val="0"/>
            <w:vAlign w:val="center"/>
          </w:tcPr>
          <w:p w14:paraId="46ABFF03">
            <w:pPr>
              <w:spacing w:line="360" w:lineRule="auto"/>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14:paraId="70F6B745">
            <w:pPr>
              <w:spacing w:line="360" w:lineRule="auto"/>
              <w:rPr>
                <w:rFonts w:hint="eastAsia" w:ascii="宋体" w:hAnsi="宋体" w:eastAsia="宋体" w:cs="宋体"/>
                <w:szCs w:val="24"/>
                <w:highlight w:val="none"/>
              </w:rPr>
            </w:pPr>
            <w:r>
              <w:rPr>
                <w:rFonts w:hint="eastAsia" w:hAnsi="宋体" w:cs="宋体"/>
                <w:color w:val="auto"/>
                <w:szCs w:val="24"/>
                <w:highlight w:val="none"/>
              </w:rPr>
              <w:t>2）踏勘内容包含：完成本次招标所需要的现场情况及周围环境等资料。</w:t>
            </w:r>
          </w:p>
        </w:tc>
      </w:tr>
      <w:tr w14:paraId="27E4E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0A3FFB36">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hAnsi="宋体" w:cs="宋体"/>
                <w:szCs w:val="24"/>
                <w:highlight w:val="none"/>
                <w:lang w:val="en-US" w:eastAsia="zh-CN"/>
              </w:rPr>
              <w:t>6</w:t>
            </w:r>
          </w:p>
        </w:tc>
        <w:tc>
          <w:tcPr>
            <w:tcW w:w="951" w:type="dxa"/>
            <w:noWrap w:val="0"/>
            <w:vAlign w:val="center"/>
          </w:tcPr>
          <w:p w14:paraId="06743DC0">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14:paraId="65EB9B0B">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3AB5EC32">
            <w:pPr>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noWrap w:val="0"/>
            <w:vAlign w:val="center"/>
          </w:tcPr>
          <w:p w14:paraId="7531617C">
            <w:pPr>
              <w:numPr>
                <w:ilvl w:val="0"/>
                <w:numId w:val="2"/>
              </w:numPr>
              <w:spacing w:line="520" w:lineRule="exact"/>
              <w:rPr>
                <w:rFonts w:hAnsi="宋体" w:cs="宋体"/>
                <w:b/>
                <w:bCs/>
                <w:szCs w:val="24"/>
                <w:highlight w:val="none"/>
              </w:rPr>
            </w:pPr>
            <w:r>
              <w:rPr>
                <w:rFonts w:hint="eastAsia" w:hAnsi="宋体"/>
                <w:b/>
                <w:bCs/>
                <w:szCs w:val="24"/>
                <w:highlight w:val="none"/>
              </w:rPr>
              <w:t>代理服务费</w:t>
            </w:r>
            <w:r>
              <w:rPr>
                <w:rFonts w:hint="eastAsia" w:hAnsi="宋体"/>
                <w:b/>
                <w:bCs/>
                <w:szCs w:val="24"/>
                <w:highlight w:val="none"/>
                <w:lang w:val="en-US" w:eastAsia="zh-CN"/>
              </w:rPr>
              <w:t>及保证金</w:t>
            </w:r>
            <w:r>
              <w:rPr>
                <w:rFonts w:hint="eastAsia" w:hAnsi="宋体"/>
                <w:b/>
                <w:bCs/>
                <w:szCs w:val="24"/>
                <w:highlight w:val="none"/>
              </w:rPr>
              <w:t>账户：</w:t>
            </w:r>
          </w:p>
          <w:p w14:paraId="2645D520">
            <w:pPr>
              <w:spacing w:line="500" w:lineRule="exact"/>
              <w:ind w:firstLine="482" w:firstLineChars="200"/>
              <w:rPr>
                <w:rFonts w:hint="eastAsia" w:hAnsi="宋体" w:cs="宋体"/>
                <w:b/>
                <w:bCs/>
                <w:szCs w:val="24"/>
                <w:highlight w:val="none"/>
                <w:lang w:eastAsia="zh-CN"/>
              </w:rPr>
            </w:pPr>
            <w:r>
              <w:rPr>
                <w:rFonts w:hint="eastAsia" w:hAnsi="宋体" w:cs="宋体"/>
                <w:b/>
                <w:bCs/>
                <w:szCs w:val="24"/>
                <w:highlight w:val="none"/>
                <w:lang w:eastAsia="zh-CN"/>
              </w:rPr>
              <w:t>①采购代理机构开户名称：陕西至诚项目管理集团有限公司</w:t>
            </w:r>
          </w:p>
          <w:p w14:paraId="255393F1">
            <w:pPr>
              <w:spacing w:line="500" w:lineRule="exact"/>
              <w:ind w:firstLine="482" w:firstLineChars="200"/>
              <w:rPr>
                <w:rFonts w:hint="eastAsia" w:hAnsi="宋体" w:cs="宋体"/>
                <w:b/>
                <w:bCs/>
                <w:szCs w:val="24"/>
                <w:highlight w:val="none"/>
                <w:lang w:eastAsia="zh-CN"/>
              </w:rPr>
            </w:pPr>
            <w:r>
              <w:rPr>
                <w:rFonts w:hint="eastAsia" w:hAnsi="宋体" w:cs="宋体"/>
                <w:b/>
                <w:bCs/>
                <w:szCs w:val="24"/>
                <w:highlight w:val="none"/>
                <w:lang w:eastAsia="zh-CN"/>
              </w:rPr>
              <w:t>②开户行名称：中国建设银行股份有限公司西安高新技术产业开发区支行</w:t>
            </w:r>
          </w:p>
          <w:p w14:paraId="2CB93618">
            <w:pPr>
              <w:spacing w:line="500" w:lineRule="exact"/>
              <w:ind w:firstLine="482" w:firstLineChars="200"/>
              <w:rPr>
                <w:rFonts w:hint="eastAsia" w:ascii="宋体" w:hAnsi="宋体" w:eastAsia="宋体" w:cs="宋体"/>
                <w:szCs w:val="24"/>
                <w:highlight w:val="none"/>
              </w:rPr>
            </w:pPr>
            <w:r>
              <w:rPr>
                <w:rFonts w:hint="eastAsia" w:hAnsi="宋体" w:cs="宋体"/>
                <w:b/>
                <w:bCs/>
                <w:szCs w:val="24"/>
                <w:highlight w:val="none"/>
                <w:lang w:val="en-US" w:eastAsia="zh-CN"/>
              </w:rPr>
              <w:t>③账号：61050192090000002152</w:t>
            </w:r>
          </w:p>
        </w:tc>
      </w:tr>
      <w:tr w14:paraId="5CAB5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4A4B40A1">
            <w:pPr>
              <w:spacing w:afterLines="50" w:line="360" w:lineRule="auto"/>
              <w:jc w:val="center"/>
              <w:rPr>
                <w:rFonts w:hint="eastAsia" w:ascii="宋体" w:hAnsi="宋体" w:eastAsia="宋体" w:cs="宋体"/>
                <w:szCs w:val="24"/>
                <w:highlight w:val="none"/>
              </w:rPr>
            </w:pPr>
            <w:r>
              <w:rPr>
                <w:rFonts w:hint="eastAsia" w:hAnsi="宋体" w:cs="宋体"/>
                <w:szCs w:val="24"/>
                <w:highlight w:val="none"/>
                <w:lang w:val="en-US" w:eastAsia="zh-CN"/>
              </w:rPr>
              <w:t>17</w:t>
            </w:r>
          </w:p>
        </w:tc>
        <w:tc>
          <w:tcPr>
            <w:tcW w:w="951" w:type="dxa"/>
            <w:noWrap w:val="0"/>
            <w:vAlign w:val="center"/>
          </w:tcPr>
          <w:p w14:paraId="6650CA00">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项目</w:t>
            </w:r>
          </w:p>
          <w:p w14:paraId="3565F102">
            <w:pPr>
              <w:widowControl/>
              <w:spacing w:line="360" w:lineRule="auto"/>
              <w:jc w:val="center"/>
              <w:rPr>
                <w:rFonts w:hint="default" w:ascii="宋体" w:hAnsi="宋体" w:eastAsia="宋体" w:cs="宋体"/>
                <w:b/>
                <w:bCs/>
                <w:sz w:val="24"/>
                <w:szCs w:val="24"/>
                <w:highlight w:val="none"/>
                <w:lang w:val="en-US" w:eastAsia="zh-CN" w:bidi="ar-SA"/>
              </w:rPr>
            </w:pPr>
            <w:r>
              <w:rPr>
                <w:rFonts w:hint="eastAsia" w:hAnsi="宋体" w:cs="宋体"/>
                <w:b/>
                <w:bCs/>
                <w:szCs w:val="24"/>
                <w:highlight w:val="none"/>
                <w:lang w:eastAsia="zh-CN"/>
              </w:rPr>
              <w:t>性质</w:t>
            </w:r>
          </w:p>
        </w:tc>
        <w:tc>
          <w:tcPr>
            <w:tcW w:w="7354" w:type="dxa"/>
            <w:noWrap w:val="0"/>
            <w:vAlign w:val="center"/>
          </w:tcPr>
          <w:p w14:paraId="2109C071">
            <w:pPr>
              <w:spacing w:line="500" w:lineRule="exact"/>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eastAsia="zh-CN"/>
              </w:rPr>
              <w:t>本项目专门面向</w:t>
            </w:r>
            <w:r>
              <w:rPr>
                <w:rFonts w:hint="eastAsia" w:hAnsi="宋体" w:cs="宋体"/>
                <w:b/>
                <w:bCs/>
                <w:szCs w:val="24"/>
                <w:highlight w:val="none"/>
                <w:lang w:val="en-US" w:eastAsia="zh-CN"/>
              </w:rPr>
              <w:t>中小</w:t>
            </w:r>
            <w:r>
              <w:rPr>
                <w:rFonts w:hint="eastAsia" w:hAnsi="宋体" w:cs="宋体"/>
                <w:b/>
                <w:bCs/>
                <w:szCs w:val="24"/>
                <w:highlight w:val="none"/>
                <w:lang w:eastAsia="zh-CN"/>
              </w:rPr>
              <w:t>企业</w:t>
            </w:r>
          </w:p>
        </w:tc>
      </w:tr>
      <w:tr w14:paraId="3057E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6722B242">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18</w:t>
            </w:r>
          </w:p>
        </w:tc>
        <w:tc>
          <w:tcPr>
            <w:tcW w:w="951" w:type="dxa"/>
            <w:noWrap w:val="0"/>
            <w:vAlign w:val="center"/>
          </w:tcPr>
          <w:p w14:paraId="32F16F0B">
            <w:pPr>
              <w:widowControl/>
              <w:spacing w:line="360" w:lineRule="auto"/>
              <w:jc w:val="center"/>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val="en-US" w:eastAsia="zh-CN"/>
              </w:rPr>
              <w:t>项目</w:t>
            </w:r>
            <w:r>
              <w:rPr>
                <w:rFonts w:hint="eastAsia" w:hAnsi="宋体" w:cs="宋体"/>
                <w:b/>
                <w:bCs/>
                <w:szCs w:val="24"/>
                <w:highlight w:val="none"/>
                <w:lang w:eastAsia="zh-CN"/>
              </w:rPr>
              <w:t>所属行业</w:t>
            </w:r>
          </w:p>
        </w:tc>
        <w:tc>
          <w:tcPr>
            <w:tcW w:w="7354" w:type="dxa"/>
            <w:noWrap w:val="0"/>
            <w:vAlign w:val="center"/>
          </w:tcPr>
          <w:p w14:paraId="3694052E">
            <w:pPr>
              <w:spacing w:line="500" w:lineRule="exact"/>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val="en-US" w:eastAsia="zh-CN"/>
              </w:rPr>
              <w:t>农、林、牧、渔业</w:t>
            </w:r>
          </w:p>
        </w:tc>
      </w:tr>
      <w:tr w14:paraId="72102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2C5B7D4">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19</w:t>
            </w:r>
          </w:p>
        </w:tc>
        <w:tc>
          <w:tcPr>
            <w:tcW w:w="951" w:type="dxa"/>
            <w:noWrap w:val="0"/>
            <w:vAlign w:val="center"/>
          </w:tcPr>
          <w:p w14:paraId="19FCF23E">
            <w:pPr>
              <w:widowControl/>
              <w:spacing w:line="360" w:lineRule="auto"/>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val="0"/>
                <w:bCs w:val="0"/>
                <w:color w:val="auto"/>
                <w:kern w:val="2"/>
                <w:szCs w:val="24"/>
                <w:highlight w:val="none"/>
              </w:rPr>
              <w:t>其他</w:t>
            </w:r>
          </w:p>
        </w:tc>
        <w:tc>
          <w:tcPr>
            <w:tcW w:w="7354" w:type="dxa"/>
            <w:noWrap w:val="0"/>
            <w:vAlign w:val="center"/>
          </w:tcPr>
          <w:p w14:paraId="6C0E1A48">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14:paraId="75E97A39">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2C19AE90">
            <w:pPr>
              <w:spacing w:line="500" w:lineRule="exact"/>
              <w:ind w:firstLine="480" w:firstLineChars="200"/>
              <w:rPr>
                <w:rFonts w:hint="eastAsia" w:ascii="宋体" w:hAnsi="宋体" w:eastAsia="宋体" w:cs="宋体"/>
                <w:b/>
                <w:bCs/>
                <w:sz w:val="24"/>
                <w:szCs w:val="24"/>
                <w:highlight w:val="none"/>
                <w:lang w:val="en-US" w:eastAsia="zh-CN" w:bidi="ar-SA"/>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03941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8A33F1A">
            <w:pPr>
              <w:spacing w:afterLines="50"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20</w:t>
            </w:r>
          </w:p>
        </w:tc>
        <w:tc>
          <w:tcPr>
            <w:tcW w:w="951" w:type="dxa"/>
            <w:noWrap w:val="0"/>
            <w:vAlign w:val="center"/>
          </w:tcPr>
          <w:p w14:paraId="464C6947">
            <w:pPr>
              <w:widowControl/>
              <w:spacing w:line="360" w:lineRule="auto"/>
              <w:jc w:val="center"/>
              <w:rPr>
                <w:rFonts w:hint="eastAsia" w:ascii="宋体" w:hAnsi="宋体" w:eastAsia="宋体" w:cs="宋体"/>
                <w:b w:val="0"/>
                <w:bCs w:val="0"/>
                <w:color w:val="auto"/>
                <w:kern w:val="2"/>
                <w:szCs w:val="24"/>
                <w:highlight w:val="none"/>
                <w:lang w:val="en-US" w:eastAsia="zh-CN"/>
              </w:rPr>
            </w:pPr>
            <w:r>
              <w:rPr>
                <w:rFonts w:hint="eastAsia" w:hAnsi="宋体" w:cs="宋体"/>
                <w:b w:val="0"/>
                <w:bCs w:val="0"/>
                <w:color w:val="auto"/>
                <w:kern w:val="2"/>
                <w:szCs w:val="24"/>
                <w:highlight w:val="none"/>
                <w:lang w:val="en-US" w:eastAsia="zh-CN"/>
              </w:rPr>
              <w:t>踏勘</w:t>
            </w:r>
          </w:p>
        </w:tc>
        <w:tc>
          <w:tcPr>
            <w:tcW w:w="7354" w:type="dxa"/>
            <w:noWrap w:val="0"/>
            <w:vAlign w:val="center"/>
          </w:tcPr>
          <w:p w14:paraId="5AFC320E">
            <w:pPr>
              <w:spacing w:line="500" w:lineRule="exact"/>
              <w:rPr>
                <w:rFonts w:hint="eastAsia" w:ascii="宋体" w:hAnsi="宋体" w:eastAsia="宋体" w:cs="宋体"/>
                <w:color w:val="auto"/>
                <w:szCs w:val="32"/>
                <w:highlight w:val="none"/>
              </w:rPr>
            </w:pPr>
            <w:r>
              <w:rPr>
                <w:rFonts w:hint="eastAsia" w:hAnsi="宋体" w:cs="宋体"/>
                <w:szCs w:val="24"/>
                <w:highlight w:val="none"/>
              </w:rPr>
              <w:t>不组织统一踏勘，各</w:t>
            </w:r>
            <w:r>
              <w:rPr>
                <w:rFonts w:hint="eastAsia" w:hAnsi="宋体" w:cs="宋体"/>
                <w:szCs w:val="24"/>
                <w:highlight w:val="none"/>
                <w:lang w:eastAsia="zh-CN"/>
              </w:rPr>
              <w:t>供应商</w:t>
            </w:r>
            <w:r>
              <w:rPr>
                <w:rFonts w:hint="eastAsia" w:hAnsi="宋体" w:cs="宋体"/>
                <w:szCs w:val="24"/>
                <w:highlight w:val="none"/>
              </w:rPr>
              <w:t>自行踏勘。</w:t>
            </w:r>
          </w:p>
        </w:tc>
      </w:tr>
      <w:tr w14:paraId="47689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2CC41FF6">
            <w:pPr>
              <w:spacing w:afterLines="50"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lang w:val="en-US" w:eastAsia="zh-CN"/>
              </w:rPr>
              <w:t>21</w:t>
            </w:r>
          </w:p>
        </w:tc>
        <w:tc>
          <w:tcPr>
            <w:tcW w:w="951" w:type="dxa"/>
            <w:noWrap w:val="0"/>
            <w:vAlign w:val="center"/>
          </w:tcPr>
          <w:p w14:paraId="6B45CE74">
            <w:pPr>
              <w:spacing w:line="312" w:lineRule="auto"/>
              <w:ind w:firstLine="120" w:firstLineChars="5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中小企业价格得分扣减</w:t>
            </w:r>
          </w:p>
        </w:tc>
        <w:tc>
          <w:tcPr>
            <w:tcW w:w="7354" w:type="dxa"/>
            <w:noWrap w:val="0"/>
            <w:vAlign w:val="center"/>
          </w:tcPr>
          <w:p w14:paraId="363E3ABF">
            <w:pPr>
              <w:spacing w:line="500" w:lineRule="exact"/>
              <w:ind w:firstLine="480" w:firstLineChars="200"/>
              <w:rPr>
                <w:rFonts w:hint="eastAsia" w:ascii="宋体" w:hAnsi="宋体" w:eastAsia="宋体" w:cs="宋体"/>
                <w:color w:val="auto"/>
                <w:sz w:val="24"/>
                <w:szCs w:val="32"/>
                <w:highlight w:val="none"/>
                <w:lang w:val="en-US" w:eastAsia="zh-CN" w:bidi="ar-SA"/>
              </w:rPr>
            </w:pPr>
            <w:r>
              <w:rPr>
                <w:rFonts w:hint="eastAsia" w:ascii="宋体" w:hAnsi="宋体" w:eastAsia="宋体" w:cs="宋体"/>
                <w:color w:val="auto"/>
                <w:szCs w:val="32"/>
                <w:highlight w:val="none"/>
                <w:lang w:val="en-US" w:eastAsia="zh-CN"/>
              </w:rPr>
              <w:t>对符合《政府采购促进中小企业发展管理办法》(财库(2020)46号)规定的小微企业(监狱企业视同小型、微型企业)的报价给予10%(10%-20%)的扣除,用扣除后的价格参加评审。本项目专门面向小微企业，不在进行价格扣减。</w:t>
            </w:r>
          </w:p>
        </w:tc>
      </w:tr>
      <w:tr w14:paraId="7B423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49DEF1C">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22</w:t>
            </w:r>
          </w:p>
        </w:tc>
        <w:tc>
          <w:tcPr>
            <w:tcW w:w="951" w:type="dxa"/>
            <w:noWrap w:val="0"/>
            <w:vAlign w:val="center"/>
          </w:tcPr>
          <w:p w14:paraId="16AB038B">
            <w:pPr>
              <w:widowControl/>
              <w:spacing w:line="360" w:lineRule="auto"/>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Cs w:val="24"/>
                <w:highlight w:val="none"/>
              </w:rPr>
              <w:t>备注</w:t>
            </w:r>
          </w:p>
        </w:tc>
        <w:tc>
          <w:tcPr>
            <w:tcW w:w="7354" w:type="dxa"/>
            <w:noWrap w:val="0"/>
            <w:vAlign w:val="center"/>
          </w:tcPr>
          <w:p w14:paraId="4CB50D4D">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14:paraId="668BF09F">
            <w:pPr>
              <w:spacing w:line="500" w:lineRule="exact"/>
              <w:ind w:firstLine="482" w:firstLineChars="200"/>
              <w:rPr>
                <w:rFonts w:hint="eastAsia" w:ascii="宋体" w:hAnsi="宋体" w:eastAsia="宋体" w:cs="宋体"/>
                <w:sz w:val="24"/>
                <w:szCs w:val="24"/>
                <w:highlight w:val="none"/>
                <w:lang w:val="en-US" w:eastAsia="zh-CN" w:bidi="ar-SA"/>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bookmarkEnd w:id="9"/>
      <w:bookmarkEnd w:id="10"/>
      <w:bookmarkEnd w:id="11"/>
    </w:tbl>
    <w:p w14:paraId="3774A291">
      <w:pPr>
        <w:spacing w:beforeLines="50" w:afterLines="50"/>
        <w:jc w:val="center"/>
        <w:outlineLvl w:val="2"/>
        <w:rPr>
          <w:rFonts w:hint="eastAsia" w:ascii="宋体" w:hAnsi="宋体" w:eastAsia="宋体" w:cs="宋体"/>
          <w:sz w:val="32"/>
          <w:szCs w:val="32"/>
          <w:highlight w:val="none"/>
        </w:rPr>
      </w:pPr>
      <w:bookmarkStart w:id="28" w:name="_Toc363474017"/>
      <w:bookmarkStart w:id="29" w:name="_Toc363473972"/>
      <w:bookmarkStart w:id="30" w:name="_Toc403077639"/>
      <w:r>
        <w:rPr>
          <w:rFonts w:hint="eastAsia" w:ascii="宋体" w:hAnsi="宋体" w:eastAsia="宋体" w:cs="宋体"/>
          <w:b/>
          <w:sz w:val="32"/>
          <w:szCs w:val="32"/>
          <w:highlight w:val="none"/>
        </w:rPr>
        <w:br w:type="page"/>
      </w:r>
      <w:bookmarkStart w:id="31" w:name="_Toc28168"/>
      <w:bookmarkStart w:id="32" w:name="_Toc3623"/>
      <w:bookmarkStart w:id="33" w:name="_Toc10265"/>
      <w:bookmarkStart w:id="34" w:name="_Toc27537"/>
      <w:r>
        <w:rPr>
          <w:rFonts w:hint="eastAsia" w:ascii="宋体" w:hAnsi="宋体" w:eastAsia="宋体" w:cs="宋体"/>
          <w:b/>
          <w:sz w:val="32"/>
          <w:szCs w:val="32"/>
          <w:highlight w:val="none"/>
        </w:rPr>
        <w:t>一.总  则</w:t>
      </w:r>
      <w:bookmarkEnd w:id="28"/>
      <w:bookmarkEnd w:id="29"/>
      <w:bookmarkEnd w:id="30"/>
      <w:bookmarkEnd w:id="31"/>
      <w:bookmarkEnd w:id="32"/>
      <w:bookmarkEnd w:id="33"/>
      <w:bookmarkEnd w:id="34"/>
    </w:p>
    <w:p w14:paraId="63F5BE8B">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14:paraId="59BCE97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1.1本次竞争性磋商所签合同使用财政资金支付，资金已落实到位。</w:t>
      </w:r>
    </w:p>
    <w:p w14:paraId="6D29F964">
      <w:pPr>
        <w:numPr>
          <w:ilvl w:val="0"/>
          <w:numId w:val="3"/>
        </w:numPr>
        <w:spacing w:line="500" w:lineRule="exact"/>
        <w:rPr>
          <w:rFonts w:hint="eastAsia" w:ascii="宋体" w:hAnsi="宋体" w:eastAsia="宋体" w:cs="宋体"/>
          <w:b/>
          <w:szCs w:val="24"/>
          <w:highlight w:val="none"/>
        </w:rPr>
      </w:pPr>
      <w:bookmarkStart w:id="35" w:name="_Toc403077640"/>
      <w:bookmarkStart w:id="36" w:name="_Toc363473973"/>
      <w:bookmarkStart w:id="37" w:name="_Toc363474018"/>
      <w:r>
        <w:rPr>
          <w:rFonts w:hint="eastAsia" w:ascii="宋体" w:hAnsi="宋体" w:eastAsia="宋体" w:cs="宋体"/>
          <w:b/>
          <w:szCs w:val="24"/>
          <w:highlight w:val="none"/>
        </w:rPr>
        <w:t>名词解释</w:t>
      </w:r>
    </w:p>
    <w:p w14:paraId="7A24B3C3">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w:t>
      </w:r>
      <w:r>
        <w:rPr>
          <w:rFonts w:hint="eastAsia" w:hAnsi="宋体" w:cs="宋体"/>
          <w:szCs w:val="22"/>
          <w:highlight w:val="none"/>
          <w:lang w:eastAsia="zh-CN"/>
        </w:rPr>
        <w:t>柞水县林业局</w:t>
      </w:r>
    </w:p>
    <w:p w14:paraId="345F4F51">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14:paraId="653A23D7">
      <w:pPr>
        <w:tabs>
          <w:tab w:val="left" w:pos="7665"/>
        </w:tabs>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szCs w:val="22"/>
          <w:highlight w:val="none"/>
        </w:rPr>
        <w:t>2.3采购代理机构：</w:t>
      </w:r>
      <w:r>
        <w:rPr>
          <w:rFonts w:hint="eastAsia" w:hAnsi="宋体" w:cs="宋体"/>
          <w:szCs w:val="22"/>
          <w:highlight w:val="none"/>
          <w:lang w:eastAsia="zh-CN"/>
        </w:rPr>
        <w:t>陕西至诚项目管理集团有限公司</w:t>
      </w:r>
    </w:p>
    <w:p w14:paraId="4A1628C4">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14:paraId="2457CF1A">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14:paraId="4EA05E82">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14:paraId="07F237F8">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14:paraId="15471BAB">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2.8进口产品是指通过中国海关报关验放进入中国境内且产自关境外的产品，详见《关于政府采购进口产品管理有关问题的通知》(财库[2007]119号)。</w:t>
      </w:r>
    </w:p>
    <w:p w14:paraId="64C334FB">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3D24DEEE">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093ECA">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14:paraId="3E700A09">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14:paraId="33809F00">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w:t>
      </w:r>
      <w:r>
        <w:rPr>
          <w:rFonts w:hint="eastAsia" w:hAnsi="宋体" w:cs="宋体"/>
          <w:szCs w:val="24"/>
          <w:highlight w:val="none"/>
          <w:lang w:val="en-US" w:eastAsia="zh-CN"/>
        </w:rPr>
        <w:t>中华人民共和国</w:t>
      </w:r>
      <w:r>
        <w:rPr>
          <w:rFonts w:hint="eastAsia" w:ascii="宋体" w:hAnsi="宋体" w:eastAsia="宋体" w:cs="宋体"/>
          <w:szCs w:val="24"/>
          <w:highlight w:val="none"/>
        </w:rPr>
        <w:t>政府采购法》第二十二条第一款规定的供应商基本资格条件:</w:t>
      </w:r>
    </w:p>
    <w:p w14:paraId="2539B9DE">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14:paraId="4E66AF5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14:paraId="4DA8CA77">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14:paraId="140C9A81">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14:paraId="057BC780">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14:paraId="48F00913">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14:paraId="59A76166">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14:paraId="3230399F">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0971CBD3">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14:paraId="530AF9F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14:paraId="3CAB0BDF">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14:paraId="50D2E498">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14:paraId="6625276A">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14:paraId="32BF2FF1">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14:paraId="297D34C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14:paraId="39D81B7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30FB9746">
      <w:pPr>
        <w:keepNext/>
        <w:keepLines/>
        <w:spacing w:beforeLines="100" w:afterLines="50" w:line="360" w:lineRule="auto"/>
        <w:jc w:val="center"/>
        <w:outlineLvl w:val="2"/>
        <w:rPr>
          <w:rFonts w:hint="eastAsia" w:ascii="宋体" w:hAnsi="宋体" w:eastAsia="宋体" w:cs="宋体"/>
          <w:b/>
          <w:sz w:val="32"/>
          <w:szCs w:val="32"/>
          <w:highlight w:val="none"/>
        </w:rPr>
      </w:pPr>
      <w:bookmarkStart w:id="38" w:name="_Toc31742"/>
      <w:bookmarkStart w:id="39" w:name="_Toc27903"/>
      <w:bookmarkStart w:id="40" w:name="_Toc5434"/>
      <w:bookmarkStart w:id="41" w:name="_Toc948"/>
      <w:r>
        <w:rPr>
          <w:rFonts w:hint="eastAsia" w:ascii="宋体" w:hAnsi="宋体" w:eastAsia="宋体" w:cs="宋体"/>
          <w:b/>
          <w:sz w:val="32"/>
          <w:szCs w:val="32"/>
          <w:highlight w:val="none"/>
        </w:rPr>
        <w:t>二.竞争性磋商文件</w:t>
      </w:r>
      <w:bookmarkEnd w:id="35"/>
      <w:bookmarkEnd w:id="36"/>
      <w:bookmarkEnd w:id="37"/>
      <w:bookmarkEnd w:id="38"/>
      <w:bookmarkEnd w:id="39"/>
      <w:bookmarkEnd w:id="40"/>
      <w:bookmarkEnd w:id="41"/>
    </w:p>
    <w:p w14:paraId="40A05F4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14:paraId="5445979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14:paraId="5A40105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第一章 竞争性磋商公告</w:t>
      </w:r>
    </w:p>
    <w:p w14:paraId="7553501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第二章 供应商须知</w:t>
      </w:r>
    </w:p>
    <w:p w14:paraId="475027C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第三章 评审方法    </w:t>
      </w:r>
    </w:p>
    <w:p w14:paraId="5C3E576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章 合同条款及格式</w:t>
      </w:r>
    </w:p>
    <w:p w14:paraId="326D9A3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第五章 磋商内容及技术要求</w:t>
      </w:r>
    </w:p>
    <w:p w14:paraId="43AA98A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第六章 竞争性磋商响应文件构成及格式  </w:t>
      </w:r>
    </w:p>
    <w:p w14:paraId="63050AE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480C25E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，如发现竞争性磋商响应文件内容与现行法律法规不相符的情况，以现行法律法规为准。</w:t>
      </w:r>
    </w:p>
    <w:p w14:paraId="37AB62F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14:paraId="4481D30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4C4F78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9CD53A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1BB847A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14:paraId="159F8231">
      <w:pPr>
        <w:keepNext/>
        <w:keepLines/>
        <w:spacing w:beforeLines="100" w:afterLines="50" w:line="360" w:lineRule="auto"/>
        <w:jc w:val="center"/>
        <w:outlineLvl w:val="2"/>
        <w:rPr>
          <w:rFonts w:hint="eastAsia" w:ascii="宋体" w:hAnsi="宋体" w:eastAsia="宋体" w:cs="宋体"/>
          <w:b/>
          <w:sz w:val="32"/>
          <w:szCs w:val="32"/>
          <w:highlight w:val="none"/>
        </w:rPr>
      </w:pPr>
      <w:bookmarkStart w:id="42" w:name="_Toc403077641"/>
      <w:bookmarkStart w:id="43" w:name="_Toc363473974"/>
      <w:bookmarkStart w:id="44" w:name="_Toc363474019"/>
      <w:bookmarkStart w:id="45" w:name="_Toc26653"/>
      <w:bookmarkStart w:id="46" w:name="_Toc28227"/>
      <w:bookmarkStart w:id="47" w:name="_Toc23389"/>
      <w:bookmarkStart w:id="48" w:name="_Toc32453"/>
      <w:r>
        <w:rPr>
          <w:rFonts w:hint="eastAsia" w:ascii="宋体" w:hAnsi="宋体" w:eastAsia="宋体" w:cs="宋体"/>
          <w:b/>
          <w:sz w:val="32"/>
          <w:szCs w:val="32"/>
          <w:highlight w:val="none"/>
        </w:rPr>
        <w:t>三.磋商响应文件的编制</w:t>
      </w:r>
      <w:bookmarkEnd w:id="42"/>
      <w:bookmarkEnd w:id="43"/>
      <w:bookmarkEnd w:id="44"/>
      <w:bookmarkEnd w:id="45"/>
      <w:bookmarkEnd w:id="46"/>
      <w:bookmarkEnd w:id="47"/>
      <w:bookmarkEnd w:id="48"/>
    </w:p>
    <w:p w14:paraId="464C7079">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14:paraId="6D7D5D67">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14:paraId="453C381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14:paraId="0EF970A2">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14:paraId="168C784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14:paraId="1B54E3F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14:paraId="3FABB4E4">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14:paraId="08430EC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14:paraId="6D07C09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14:paraId="6703418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14:paraId="13DB247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14:paraId="083C6A9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68B12741">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14:paraId="3FA1C01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746CD853">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45FA3702">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14:paraId="7B20275F">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11.1磋商报价：磋商报价是供应商为完成本项目要求的全部服务内容最终价格的体现，包括但不限于苗木费、养护费、劳务费、管理费、税金等其他一切相关费用。</w:t>
      </w:r>
    </w:p>
    <w:p w14:paraId="31A42D6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14:paraId="39C77D1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14:paraId="24F1D20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14:paraId="30FD90E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14:paraId="4DB5760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28365B6E">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14:paraId="0A9525F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14:paraId="104F1AD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14:paraId="1D8E9EC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14.磋商保证金</w:t>
      </w:r>
    </w:p>
    <w:p w14:paraId="6E4B4C57">
      <w:pPr>
        <w:shd w:val="clear"/>
        <w:spacing w:line="360" w:lineRule="auto"/>
        <w:ind w:firstLine="482" w:firstLineChars="200"/>
        <w:rPr>
          <w:rFonts w:hint="eastAsia" w:ascii="宋体" w:hAnsi="宋体" w:eastAsia="宋体" w:cs="宋体"/>
          <w:b/>
          <w:szCs w:val="24"/>
          <w:highlight w:val="none"/>
        </w:rPr>
      </w:pPr>
      <w:r>
        <w:rPr>
          <w:rFonts w:hint="eastAsia" w:hAnsi="宋体" w:cs="宋体"/>
          <w:b/>
          <w:szCs w:val="24"/>
          <w:highlight w:val="none"/>
        </w:rPr>
        <w:t>无</w:t>
      </w:r>
    </w:p>
    <w:p w14:paraId="0FBCC50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14:paraId="1798D5B7">
      <w:pPr>
        <w:spacing w:line="360" w:lineRule="auto"/>
        <w:ind w:firstLine="480" w:firstLineChars="200"/>
        <w:rPr>
          <w:rFonts w:hint="eastAsia" w:ascii="宋体" w:hAnsi="宋体" w:eastAsia="宋体" w:cs="宋体"/>
          <w:szCs w:val="24"/>
          <w:highlight w:val="none"/>
        </w:rPr>
      </w:pPr>
      <w:bookmarkStart w:id="49"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49"/>
    </w:p>
    <w:p w14:paraId="2CF6CE9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59F480E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14:paraId="5C4D93F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并在盘面标注供应商全称、项目名称、项目编号，并与竞争性磋商响应文件同时递交。</w:t>
      </w:r>
    </w:p>
    <w:p w14:paraId="19514DA2">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r>
        <w:rPr>
          <w:rFonts w:hint="eastAsia" w:hAnsi="宋体" w:cs="宋体"/>
          <w:b/>
          <w:bCs/>
          <w:highlight w:val="none"/>
          <w:lang w:val="en-US" w:eastAsia="zh-CN"/>
        </w:rPr>
        <w:t>为响应国家节约资源的政策要求，建议供应商进行双面打印。</w:t>
      </w:r>
    </w:p>
    <w:p w14:paraId="5556032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14:paraId="652CE673">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16.4供应商名称应填写全称。磋商响应文件正本及所有副本必须逐页加盖供应商公章（鲜章），否则按无效处理。</w:t>
      </w:r>
    </w:p>
    <w:p w14:paraId="485F4A5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14:paraId="2991F43E">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14:paraId="3700284F">
      <w:pPr>
        <w:keepNext/>
        <w:keepLines/>
        <w:spacing w:beforeLines="100" w:afterLines="50" w:line="360" w:lineRule="auto"/>
        <w:jc w:val="center"/>
        <w:outlineLvl w:val="2"/>
        <w:rPr>
          <w:rFonts w:hint="eastAsia" w:ascii="宋体" w:hAnsi="宋体" w:eastAsia="宋体" w:cs="宋体"/>
          <w:b/>
          <w:sz w:val="32"/>
          <w:szCs w:val="32"/>
          <w:highlight w:val="none"/>
        </w:rPr>
      </w:pPr>
      <w:bookmarkStart w:id="50" w:name="_Toc29318"/>
      <w:bookmarkStart w:id="51" w:name="_Toc18686"/>
      <w:bookmarkStart w:id="52" w:name="_Toc20799"/>
      <w:bookmarkStart w:id="53" w:name="_Toc30804"/>
      <w:r>
        <w:rPr>
          <w:rFonts w:hint="eastAsia" w:ascii="宋体" w:hAnsi="宋体" w:eastAsia="宋体" w:cs="宋体"/>
          <w:b/>
          <w:sz w:val="32"/>
          <w:szCs w:val="32"/>
          <w:highlight w:val="none"/>
        </w:rPr>
        <w:t>四.竞争性磋商响应文件的递交</w:t>
      </w:r>
      <w:bookmarkEnd w:id="50"/>
      <w:bookmarkEnd w:id="51"/>
      <w:bookmarkEnd w:id="52"/>
      <w:bookmarkEnd w:id="53"/>
    </w:p>
    <w:p w14:paraId="58EE7AE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14:paraId="63FFDDC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21E8E06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w:t>
      </w: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p w14:paraId="7CAB5E5B">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14:paraId="2E33404E">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14:paraId="4D109FBC">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p>
    <w:p w14:paraId="29094274">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3）正本或副本“请勿在＿＿＿＿＿(磋商时间)之前启封”。</w:t>
      </w:r>
    </w:p>
    <w:p w14:paraId="608270C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14:paraId="65EF5FA0">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14:paraId="5B1C17A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20049F3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56C8225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14:paraId="0B430CA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14:paraId="1299021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14:paraId="17E0D7EB">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14:paraId="186166D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15884D8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14:paraId="6854837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14:paraId="6FE593B9">
      <w:pPr>
        <w:keepNext/>
        <w:keepLines/>
        <w:spacing w:beforeLines="100" w:afterLines="50" w:line="360" w:lineRule="auto"/>
        <w:jc w:val="center"/>
        <w:outlineLvl w:val="2"/>
        <w:rPr>
          <w:rFonts w:hint="eastAsia" w:ascii="宋体" w:hAnsi="宋体" w:eastAsia="宋体" w:cs="宋体"/>
          <w:b/>
          <w:sz w:val="32"/>
          <w:szCs w:val="32"/>
          <w:highlight w:val="none"/>
        </w:rPr>
      </w:pPr>
      <w:bookmarkStart w:id="54" w:name="_Toc19324"/>
      <w:bookmarkStart w:id="55" w:name="_Toc23772"/>
      <w:bookmarkStart w:id="56" w:name="_Toc363474021"/>
      <w:bookmarkStart w:id="57" w:name="_Toc13669"/>
      <w:bookmarkStart w:id="58" w:name="_Toc15436"/>
      <w:bookmarkStart w:id="59" w:name="_Toc403077643"/>
      <w:bookmarkStart w:id="60" w:name="_Toc363473976"/>
      <w:r>
        <w:rPr>
          <w:rFonts w:hint="eastAsia" w:ascii="宋体" w:hAnsi="宋体" w:eastAsia="宋体" w:cs="宋体"/>
          <w:b/>
          <w:sz w:val="32"/>
          <w:szCs w:val="32"/>
          <w:highlight w:val="none"/>
        </w:rPr>
        <w:t>五.磋商与评标</w:t>
      </w:r>
      <w:bookmarkEnd w:id="54"/>
      <w:bookmarkEnd w:id="55"/>
      <w:bookmarkEnd w:id="56"/>
      <w:bookmarkEnd w:id="57"/>
      <w:bookmarkEnd w:id="58"/>
      <w:bookmarkEnd w:id="59"/>
      <w:bookmarkEnd w:id="60"/>
    </w:p>
    <w:p w14:paraId="4D931AE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14:paraId="5A31C24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14:paraId="3A7FF362">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14:paraId="65320AE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14:paraId="30F8464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DE8237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14:paraId="19A0630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0520CAF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14:paraId="28D1402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500267D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14:paraId="508F777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23.5磋商过程中的实质性变动：</w:t>
      </w:r>
    </w:p>
    <w:p w14:paraId="108F2B5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FDB1B5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14:paraId="32FC0D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14:paraId="023106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14:paraId="456F82B5">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14:paraId="2E7E756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7C09D1C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14:paraId="050A811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14:paraId="16919702">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14:paraId="13449E11">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14:paraId="7F94D42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14:paraId="6DB8C4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692CFC6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14:paraId="6CCE8193">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14:paraId="1030608C">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14:paraId="19C28554">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3）供应商未提交有效的磋商保证金或金额不足的、磋商保证金形式不符合竞争性磋商文件要求的；</w:t>
      </w:r>
    </w:p>
    <w:p w14:paraId="373D6C7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4）资格证明文件不全的或无效的，或不符合国家规定的；</w:t>
      </w:r>
    </w:p>
    <w:p w14:paraId="5A6C3D7B">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5）竞争性磋商响应文件无供应商公章、无法定代表人签字或签字人无法定代表人有效委托书的；</w:t>
      </w:r>
    </w:p>
    <w:p w14:paraId="333D02B3">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6）</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14:paraId="2DDD97F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7）供应商在同一份竞争性磋商响应文件中，有两个或多个报价的；</w:t>
      </w:r>
    </w:p>
    <w:p w14:paraId="59F7A11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8）存在有重大缺漏项和重大偏离的；</w:t>
      </w:r>
    </w:p>
    <w:p w14:paraId="47B4C6E5">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3277B02B">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10）磋商总报价低于成本或者高于竞争性磋商文件公布的采购预算的。</w:t>
      </w:r>
    </w:p>
    <w:p w14:paraId="1355B3E2">
      <w:pPr>
        <w:pStyle w:val="18"/>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11）竞争性磋商响应文件含有采购人不能接受的附加条件的；</w:t>
      </w:r>
    </w:p>
    <w:p w14:paraId="01378471">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12）竞争性磋商响应文件不符合法律法规要求的；</w:t>
      </w:r>
    </w:p>
    <w:p w14:paraId="2FE8306E">
      <w:pPr>
        <w:pStyle w:val="18"/>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13）供应商被列入失信被执行人、重大税收违法案件当事人名单、政府采购严重违法失信行为记录名单及其他不符合《中华人民共和国政府采购法》第二十二条规定条件。</w:t>
      </w:r>
    </w:p>
    <w:p w14:paraId="4BACE88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14:paraId="6365F6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14:paraId="4E4593C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14:paraId="7A92C62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14:paraId="791A182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14:paraId="646D44D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14:paraId="3B1F18C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14:paraId="67857501">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14:paraId="62097F8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szCs w:val="24"/>
          <w:highlight w:val="none"/>
          <w:lang w:val="en-US" w:eastAsia="zh-CN"/>
        </w:rPr>
        <w:t>推荐</w:t>
      </w:r>
      <w:r>
        <w:rPr>
          <w:rFonts w:hint="eastAsia" w:ascii="宋体" w:hAnsi="宋体" w:eastAsia="宋体" w:cs="宋体"/>
          <w:szCs w:val="24"/>
          <w:highlight w:val="none"/>
        </w:rPr>
        <w:t>1-3名成交候选人。</w:t>
      </w:r>
    </w:p>
    <w:p w14:paraId="7CC0E20B">
      <w:pPr>
        <w:keepNext/>
        <w:keepLines/>
        <w:spacing w:beforeLines="100" w:afterLines="50" w:line="360" w:lineRule="auto"/>
        <w:jc w:val="center"/>
        <w:outlineLvl w:val="2"/>
        <w:rPr>
          <w:rFonts w:hint="eastAsia" w:ascii="宋体" w:hAnsi="宋体" w:eastAsia="宋体" w:cs="宋体"/>
          <w:b/>
          <w:sz w:val="32"/>
          <w:szCs w:val="32"/>
          <w:highlight w:val="none"/>
        </w:rPr>
      </w:pPr>
      <w:bookmarkStart w:id="61" w:name="_Toc29146"/>
      <w:bookmarkStart w:id="62" w:name="_Toc11078"/>
      <w:bookmarkStart w:id="63" w:name="_Toc15100"/>
      <w:bookmarkStart w:id="64" w:name="_Toc12222"/>
      <w:r>
        <w:rPr>
          <w:rFonts w:hint="eastAsia" w:ascii="宋体" w:hAnsi="宋体" w:eastAsia="宋体" w:cs="宋体"/>
          <w:b/>
          <w:sz w:val="32"/>
          <w:szCs w:val="32"/>
          <w:highlight w:val="none"/>
        </w:rPr>
        <w:t>六.成交、通知与签约</w:t>
      </w:r>
      <w:bookmarkEnd w:id="61"/>
      <w:bookmarkEnd w:id="62"/>
      <w:bookmarkEnd w:id="63"/>
      <w:bookmarkEnd w:id="64"/>
    </w:p>
    <w:p w14:paraId="23B024F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14:paraId="5611C6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14:paraId="32FFEFE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14:paraId="5EA300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40BA0C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14:paraId="5B5C5A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14:paraId="759635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14:paraId="5627D4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14:paraId="4A0FC6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14:paraId="56D1D4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14:paraId="1D7D166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14:paraId="42FDF69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w:t>
      </w:r>
      <w:r>
        <w:rPr>
          <w:rFonts w:hint="eastAsia" w:hAnsi="宋体" w:cs="宋体"/>
          <w:szCs w:val="24"/>
          <w:highlight w:val="none"/>
          <w:lang w:val="en-US" w:eastAsia="zh-CN"/>
        </w:rPr>
        <w:t>二十五</w:t>
      </w:r>
      <w:r>
        <w:rPr>
          <w:rFonts w:hint="eastAsia" w:ascii="宋体" w:hAnsi="宋体" w:eastAsia="宋体" w:cs="宋体"/>
          <w:szCs w:val="24"/>
          <w:highlight w:val="none"/>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0D57F3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14:paraId="4B9D2B9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14:paraId="66426F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29.1按国家计委颁发的《招标代理服务收费管理暂行办法》（计价格[2002]1980号）</w:t>
      </w:r>
      <w:r>
        <w:rPr>
          <w:rFonts w:hint="eastAsia" w:hAnsi="宋体" w:cs="宋体"/>
          <w:szCs w:val="24"/>
          <w:highlight w:val="none"/>
          <w:lang w:val="en-US" w:eastAsia="zh-CN"/>
        </w:rPr>
        <w:t>及</w:t>
      </w:r>
      <w:r>
        <w:rPr>
          <w:rFonts w:hint="eastAsia" w:ascii="宋体" w:hAnsi="宋体" w:eastAsia="宋体" w:cs="宋体"/>
          <w:szCs w:val="24"/>
          <w:highlight w:val="none"/>
        </w:rPr>
        <w:t>国家发展</w:t>
      </w:r>
      <w:r>
        <w:rPr>
          <w:rFonts w:hint="eastAsia" w:hAnsi="宋体" w:cs="宋体"/>
          <w:szCs w:val="24"/>
          <w:highlight w:val="none"/>
          <w:lang w:val="en-US" w:eastAsia="zh-CN"/>
        </w:rPr>
        <w:t>和</w:t>
      </w:r>
      <w:r>
        <w:rPr>
          <w:rFonts w:hint="eastAsia" w:ascii="宋体" w:hAnsi="宋体" w:eastAsia="宋体" w:cs="宋体"/>
          <w:szCs w:val="24"/>
          <w:highlight w:val="none"/>
        </w:rPr>
        <w:t>改革委员会办公厅颁发的《关于招标代理服务收费有关问题的通知》（发改办价格[2003]857号）的有关规定执行。</w:t>
      </w:r>
    </w:p>
    <w:p w14:paraId="70BAB5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14:paraId="4E7729C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616C05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lang w:val="en-US" w:eastAsia="zh-CN"/>
        </w:rPr>
      </w:pPr>
      <w:r>
        <w:rPr>
          <w:rFonts w:hint="eastAsia" w:hAnsi="宋体" w:cs="宋体"/>
          <w:szCs w:val="24"/>
          <w:highlight w:val="none"/>
          <w:lang w:val="en-US" w:eastAsia="zh-CN"/>
        </w:rPr>
        <w:t>1、</w:t>
      </w:r>
      <w:r>
        <w:rPr>
          <w:rFonts w:hint="eastAsia" w:ascii="宋体" w:hAnsi="宋体" w:eastAsia="宋体" w:cs="宋体"/>
          <w:szCs w:val="24"/>
          <w:highlight w:val="none"/>
          <w:lang w:val="en-US" w:eastAsia="zh-CN"/>
        </w:rPr>
        <w:t>采购代理机构开户名称：</w:t>
      </w:r>
      <w:r>
        <w:rPr>
          <w:rFonts w:hint="eastAsia" w:hAnsi="宋体" w:cs="宋体"/>
          <w:szCs w:val="24"/>
          <w:highlight w:val="none"/>
          <w:lang w:val="en-US" w:eastAsia="zh-CN"/>
        </w:rPr>
        <w:t>陕西至诚项目管理集团有限公司</w:t>
      </w:r>
    </w:p>
    <w:p w14:paraId="20B186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lang w:val="en-US" w:eastAsia="zh-CN"/>
        </w:rPr>
      </w:pPr>
      <w:r>
        <w:rPr>
          <w:rFonts w:hint="eastAsia" w:hAnsi="宋体" w:cs="宋体"/>
          <w:szCs w:val="24"/>
          <w:highlight w:val="none"/>
          <w:lang w:val="en-US" w:eastAsia="zh-CN"/>
        </w:rPr>
        <w:t>2、</w:t>
      </w:r>
      <w:r>
        <w:rPr>
          <w:rFonts w:hint="eastAsia" w:ascii="宋体" w:hAnsi="宋体" w:eastAsia="宋体" w:cs="宋体"/>
          <w:szCs w:val="24"/>
          <w:highlight w:val="none"/>
          <w:lang w:val="en-US" w:eastAsia="zh-CN"/>
        </w:rPr>
        <w:t>开户行名称：</w:t>
      </w:r>
      <w:r>
        <w:rPr>
          <w:rFonts w:hint="eastAsia" w:hAnsi="宋体" w:cs="宋体"/>
          <w:szCs w:val="24"/>
          <w:highlight w:val="none"/>
          <w:lang w:val="en-US" w:eastAsia="zh-CN"/>
        </w:rPr>
        <w:t>中国建设银行股份有限公司西安高新技术产业开发区支行</w:t>
      </w:r>
    </w:p>
    <w:p w14:paraId="5F11DC9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lang w:val="en-US" w:eastAsia="zh-CN"/>
        </w:rPr>
      </w:pPr>
      <w:r>
        <w:rPr>
          <w:rFonts w:hint="eastAsia" w:hAnsi="宋体" w:cs="宋体"/>
          <w:szCs w:val="24"/>
          <w:highlight w:val="none"/>
          <w:lang w:val="en-US" w:eastAsia="zh-CN"/>
        </w:rPr>
        <w:t>3、</w:t>
      </w:r>
      <w:r>
        <w:rPr>
          <w:rFonts w:hint="eastAsia" w:ascii="宋体" w:hAnsi="宋体" w:eastAsia="宋体" w:cs="宋体"/>
          <w:szCs w:val="24"/>
          <w:highlight w:val="none"/>
          <w:lang w:val="en-US" w:eastAsia="zh-CN"/>
        </w:rPr>
        <w:t>账号：</w:t>
      </w:r>
      <w:r>
        <w:rPr>
          <w:rFonts w:hint="eastAsia" w:hAnsi="宋体" w:cs="宋体"/>
          <w:szCs w:val="24"/>
          <w:highlight w:val="none"/>
          <w:lang w:val="en-US" w:eastAsia="zh-CN"/>
        </w:rPr>
        <w:t>61050192090000002152</w:t>
      </w:r>
    </w:p>
    <w:p w14:paraId="26C435A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Cs w:val="24"/>
          <w:highlight w:val="none"/>
        </w:rPr>
      </w:pPr>
      <w:r>
        <w:rPr>
          <w:rFonts w:hint="eastAsia" w:hAnsi="宋体" w:cs="宋体"/>
          <w:b/>
          <w:bCs/>
          <w:szCs w:val="24"/>
          <w:highlight w:val="none"/>
          <w:lang w:val="en-US" w:eastAsia="zh-CN"/>
        </w:rPr>
        <w:t>30.</w:t>
      </w:r>
      <w:r>
        <w:rPr>
          <w:rFonts w:hint="eastAsia" w:ascii="宋体" w:hAnsi="宋体" w:eastAsia="宋体" w:cs="宋体"/>
          <w:b/>
          <w:bCs/>
          <w:szCs w:val="24"/>
          <w:highlight w:val="none"/>
        </w:rPr>
        <w:t>质疑</w:t>
      </w:r>
    </w:p>
    <w:p w14:paraId="2242ADCE">
      <w:pPr>
        <w:keepNext w:val="0"/>
        <w:keepLines w:val="0"/>
        <w:pageBreakBefore w:val="0"/>
        <w:kinsoku/>
        <w:wordWrap/>
        <w:overflowPunct/>
        <w:topLinePunct w:val="0"/>
        <w:autoSpaceDE/>
        <w:autoSpaceDN/>
        <w:bidi w:val="0"/>
        <w:adjustRightInd/>
        <w:snapToGrid/>
        <w:spacing w:line="360" w:lineRule="auto"/>
        <w:ind w:right="12" w:firstLine="480"/>
        <w:textAlignment w:val="auto"/>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6BF3D115">
      <w:pPr>
        <w:keepNext w:val="0"/>
        <w:keepLines w:val="0"/>
        <w:pageBreakBefore w:val="0"/>
        <w:kinsoku/>
        <w:wordWrap/>
        <w:overflowPunct/>
        <w:topLinePunct w:val="0"/>
        <w:autoSpaceDE/>
        <w:autoSpaceDN/>
        <w:bidi w:val="0"/>
        <w:adjustRightInd/>
        <w:snapToGrid/>
        <w:spacing w:line="360" w:lineRule="auto"/>
        <w:ind w:right="12" w:firstLine="480"/>
        <w:textAlignment w:val="auto"/>
        <w:rPr>
          <w:rStyle w:val="23"/>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14:paraId="2918C138">
      <w:pPr>
        <w:keepNext w:val="0"/>
        <w:keepLines w:val="0"/>
        <w:pageBreakBefore w:val="0"/>
        <w:kinsoku/>
        <w:wordWrap/>
        <w:overflowPunct/>
        <w:topLinePunct w:val="0"/>
        <w:autoSpaceDE/>
        <w:autoSpaceDN/>
        <w:bidi w:val="0"/>
        <w:adjustRightInd/>
        <w:snapToGrid/>
        <w:spacing w:line="360" w:lineRule="auto"/>
        <w:ind w:left="3" w:firstLine="518" w:firstLineChars="216"/>
        <w:textAlignment w:val="auto"/>
        <w:rPr>
          <w:rStyle w:val="23"/>
          <w:rFonts w:hint="eastAsia" w:ascii="宋体" w:hAnsi="宋体" w:eastAsia="宋体" w:cs="宋体"/>
          <w:b w:val="0"/>
          <w:szCs w:val="24"/>
          <w:highlight w:val="none"/>
          <w:shd w:val="clear" w:color="auto" w:fill="FFFFFF"/>
        </w:rPr>
      </w:pPr>
      <w:r>
        <w:rPr>
          <w:rStyle w:val="23"/>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675CCA9">
      <w:pPr>
        <w:keepNext w:val="0"/>
        <w:keepLines w:val="0"/>
        <w:pageBreakBefore w:val="0"/>
        <w:kinsoku/>
        <w:wordWrap/>
        <w:overflowPunct/>
        <w:topLinePunct w:val="0"/>
        <w:autoSpaceDE/>
        <w:autoSpaceDN/>
        <w:bidi w:val="0"/>
        <w:adjustRightInd/>
        <w:snapToGrid/>
        <w:spacing w:line="360" w:lineRule="auto"/>
        <w:ind w:left="3" w:firstLine="518" w:firstLineChars="216"/>
        <w:textAlignment w:val="auto"/>
        <w:rPr>
          <w:rStyle w:val="23"/>
          <w:rFonts w:hint="eastAsia" w:ascii="宋体" w:hAnsi="宋体" w:eastAsia="宋体" w:cs="宋体"/>
          <w:b w:val="0"/>
          <w:szCs w:val="24"/>
          <w:highlight w:val="none"/>
          <w:shd w:val="clear" w:color="auto" w:fill="FFFFFF"/>
        </w:rPr>
      </w:pPr>
      <w:r>
        <w:rPr>
          <w:rStyle w:val="23"/>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14:paraId="286CFD8C">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14:paraId="53448DFF">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14:paraId="1ECD5096">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14:paraId="5551EAD4">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14:paraId="58CC7D7D">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30.5.4事实依据；</w:t>
      </w:r>
    </w:p>
    <w:p w14:paraId="67FD1DE4">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14:paraId="5313F232">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Style w:val="23"/>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14:paraId="44CE3E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14:paraId="43C321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14:paraId="5467BA3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14:paraId="0972F24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30.6.3未在法定期限内提出质疑的；</w:t>
      </w:r>
    </w:p>
    <w:p w14:paraId="4F2B2F7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14:paraId="0FC217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30.6.5应当提交授权书而未提交的；</w:t>
      </w:r>
    </w:p>
    <w:p w14:paraId="5877C3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30.6.6以非法手段取得证据、材料的；</w:t>
      </w:r>
    </w:p>
    <w:p w14:paraId="49E8B61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14:paraId="7A9CAB2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b w:val="0"/>
          <w:szCs w:val="24"/>
          <w:highlight w:val="none"/>
          <w:shd w:val="clear" w:color="auto" w:fill="FFFFFF"/>
        </w:rPr>
      </w:pPr>
      <w:r>
        <w:rPr>
          <w:rFonts w:hint="eastAsia" w:ascii="宋体" w:hAnsi="宋体" w:eastAsia="宋体" w:cs="宋体"/>
          <w:highlight w:val="none"/>
        </w:rPr>
        <w:t>30.6.8不符合法律、法规、规章和政府采购监管机构规定的其他条件的。</w:t>
      </w:r>
    </w:p>
    <w:p w14:paraId="75E3A146">
      <w:pPr>
        <w:keepNext w:val="0"/>
        <w:keepLines w:val="0"/>
        <w:pageBreakBefore w:val="0"/>
        <w:kinsoku/>
        <w:wordWrap/>
        <w:overflowPunct/>
        <w:topLinePunct w:val="0"/>
        <w:autoSpaceDE/>
        <w:autoSpaceDN/>
        <w:bidi w:val="0"/>
        <w:adjustRightInd/>
        <w:snapToGrid/>
        <w:spacing w:line="360" w:lineRule="auto"/>
        <w:ind w:right="12"/>
        <w:textAlignment w:val="auto"/>
        <w:rPr>
          <w:rFonts w:hint="eastAsia" w:ascii="宋体" w:hAnsi="宋体" w:eastAsia="宋体" w:cs="宋体"/>
          <w:szCs w:val="24"/>
          <w:highlight w:val="none"/>
        </w:rPr>
      </w:pPr>
      <w:r>
        <w:rPr>
          <w:rFonts w:hint="eastAsia" w:ascii="宋体" w:hAnsi="宋体" w:eastAsia="宋体" w:cs="宋体"/>
          <w:szCs w:val="24"/>
          <w:highlight w:val="none"/>
        </w:rPr>
        <w:t xml:space="preserve">    30.7质疑答复</w:t>
      </w:r>
    </w:p>
    <w:p w14:paraId="67422B9D">
      <w:pPr>
        <w:pStyle w:val="2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Cs w:val="24"/>
          <w:highlight w:val="none"/>
        </w:rPr>
      </w:pPr>
      <w:r>
        <w:rPr>
          <w:rFonts w:hint="eastAsia" w:ascii="宋体" w:hAnsi="宋体" w:eastAsia="宋体" w:cs="宋体"/>
          <w:szCs w:val="24"/>
          <w:highlight w:val="none"/>
        </w:rPr>
        <w:t>30.7.1采购人或采购代理机构在收到质疑函后7个工作日内作出答复，并以书面形式通知质疑供应商和其他有关供应商。</w:t>
      </w:r>
    </w:p>
    <w:p w14:paraId="58EABD9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31.其他</w:t>
      </w:r>
    </w:p>
    <w:p w14:paraId="7D2F3F9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04C44C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191D6266">
      <w:pPr>
        <w:pStyle w:val="2"/>
        <w:numPr>
          <w:ilvl w:val="0"/>
          <w:numId w:val="0"/>
        </w:numPr>
        <w:jc w:val="center"/>
        <w:outlineLvl w:val="0"/>
        <w:rPr>
          <w:rFonts w:hint="eastAsia" w:ascii="宋体" w:hAnsi="宋体" w:eastAsia="宋体" w:cs="宋体"/>
          <w:highlight w:val="none"/>
        </w:rPr>
      </w:pPr>
      <w:bookmarkStart w:id="65" w:name="_Toc403077645"/>
      <w:bookmarkStart w:id="66" w:name="_Toc423973074"/>
      <w:bookmarkStart w:id="67" w:name="_Toc25783"/>
      <w:bookmarkStart w:id="68" w:name="_Toc363474023"/>
      <w:r>
        <w:rPr>
          <w:rFonts w:hint="eastAsia" w:ascii="宋体" w:hAnsi="宋体" w:eastAsia="宋体" w:cs="宋体"/>
          <w:bCs/>
          <w:sz w:val="36"/>
          <w:szCs w:val="36"/>
          <w:highlight w:val="none"/>
        </w:rPr>
        <w:br w:type="page"/>
      </w:r>
      <w:bookmarkStart w:id="69" w:name="_Toc22973"/>
      <w:bookmarkStart w:id="70" w:name="_Toc6488"/>
      <w:r>
        <w:rPr>
          <w:rFonts w:hint="eastAsia" w:ascii="宋体" w:eastAsia="宋体" w:cs="宋体"/>
          <w:bCs/>
          <w:sz w:val="36"/>
          <w:szCs w:val="36"/>
          <w:highlight w:val="none"/>
          <w:lang w:val="en-US" w:eastAsia="zh-CN"/>
        </w:rPr>
        <w:t xml:space="preserve">第三章  </w:t>
      </w:r>
      <w:r>
        <w:rPr>
          <w:rFonts w:hint="eastAsia" w:ascii="宋体" w:hAnsi="宋体" w:eastAsia="宋体" w:cs="宋体"/>
          <w:bCs/>
          <w:sz w:val="36"/>
          <w:szCs w:val="36"/>
          <w:highlight w:val="none"/>
        </w:rPr>
        <w:t>评审方法</w:t>
      </w:r>
      <w:bookmarkEnd w:id="69"/>
      <w:bookmarkEnd w:id="70"/>
    </w:p>
    <w:p w14:paraId="6FF53884">
      <w:pPr>
        <w:spacing w:line="360" w:lineRule="auto"/>
        <w:outlineLvl w:val="1"/>
        <w:rPr>
          <w:rFonts w:hint="eastAsia" w:ascii="宋体" w:hAnsi="宋体" w:eastAsia="宋体" w:cs="宋体"/>
          <w:b/>
          <w:szCs w:val="24"/>
          <w:highlight w:val="none"/>
        </w:rPr>
      </w:pPr>
      <w:bookmarkStart w:id="71" w:name="_Toc11769"/>
      <w:bookmarkStart w:id="72" w:name="_Toc5995"/>
      <w:bookmarkStart w:id="73" w:name="_Toc28665"/>
      <w:bookmarkStart w:id="74" w:name="_Toc26649"/>
      <w:bookmarkStart w:id="75" w:name="_Toc32051"/>
      <w:r>
        <w:rPr>
          <w:rFonts w:hint="eastAsia" w:ascii="宋体" w:hAnsi="宋体" w:eastAsia="宋体" w:cs="宋体"/>
          <w:b/>
          <w:szCs w:val="24"/>
          <w:highlight w:val="none"/>
        </w:rPr>
        <w:t>一</w:t>
      </w:r>
      <w:r>
        <w:rPr>
          <w:rFonts w:hint="eastAsia" w:hAnsi="宋体" w:cs="宋体"/>
          <w:b/>
          <w:szCs w:val="24"/>
          <w:highlight w:val="none"/>
          <w:lang w:eastAsia="zh-CN"/>
        </w:rPr>
        <w:t>、</w:t>
      </w:r>
      <w:r>
        <w:rPr>
          <w:rFonts w:hint="eastAsia" w:ascii="宋体" w:hAnsi="宋体" w:eastAsia="宋体" w:cs="宋体"/>
          <w:b/>
          <w:szCs w:val="24"/>
          <w:highlight w:val="none"/>
        </w:rPr>
        <w:t>评审方法</w:t>
      </w:r>
      <w:bookmarkEnd w:id="71"/>
      <w:bookmarkEnd w:id="72"/>
      <w:bookmarkEnd w:id="73"/>
      <w:bookmarkEnd w:id="74"/>
      <w:bookmarkEnd w:id="75"/>
    </w:p>
    <w:p w14:paraId="43D71B08">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5EEF41FD">
      <w:pPr>
        <w:spacing w:line="500" w:lineRule="exact"/>
        <w:outlineLvl w:val="1"/>
        <w:rPr>
          <w:rFonts w:hint="eastAsia" w:ascii="宋体" w:hAnsi="宋体" w:eastAsia="宋体" w:cs="宋体"/>
          <w:b/>
          <w:spacing w:val="4"/>
          <w:szCs w:val="24"/>
          <w:highlight w:val="none"/>
        </w:rPr>
      </w:pPr>
      <w:bookmarkStart w:id="76" w:name="_Toc2374"/>
      <w:bookmarkStart w:id="77" w:name="_Toc27615"/>
      <w:bookmarkStart w:id="78" w:name="_Toc21304"/>
      <w:bookmarkStart w:id="79" w:name="_Toc27172"/>
      <w:bookmarkStart w:id="80" w:name="_Toc20625"/>
      <w:r>
        <w:rPr>
          <w:rFonts w:hint="eastAsia" w:ascii="宋体" w:hAnsi="宋体" w:eastAsia="宋体" w:cs="宋体"/>
          <w:b/>
          <w:spacing w:val="4"/>
          <w:szCs w:val="24"/>
          <w:highlight w:val="none"/>
        </w:rPr>
        <w:t>二、评审程序</w:t>
      </w:r>
      <w:bookmarkEnd w:id="76"/>
      <w:bookmarkEnd w:id="77"/>
      <w:bookmarkEnd w:id="78"/>
      <w:bookmarkEnd w:id="79"/>
      <w:bookmarkEnd w:id="80"/>
    </w:p>
    <w:p w14:paraId="24880F4D">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14:paraId="41C572C7">
      <w:pPr>
        <w:numPr>
          <w:ilvl w:val="0"/>
          <w:numId w:val="4"/>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14:paraId="654AF11B">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hAnsi="宋体" w:cs="宋体"/>
          <w:highlight w:val="none"/>
          <w:lang w:val="en-US" w:eastAsia="zh-CN"/>
        </w:rPr>
        <w:t>采购人及采购代理机构</w:t>
      </w:r>
      <w:r>
        <w:rPr>
          <w:rFonts w:hint="eastAsia" w:ascii="宋体" w:hAnsi="宋体" w:eastAsia="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7F89CAD8">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14:paraId="5DB3785C">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14:paraId="7C825CC6">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14:paraId="7B554939">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42A57B3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14:paraId="4025EF25">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1.2.5 磋商保证金是否按竞争性磋商文件规定时间提交磋商保证金或担保机构出具的保函。</w:t>
      </w:r>
    </w:p>
    <w:p w14:paraId="74B8EB88">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14:paraId="111D4574">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27918165">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14:paraId="7CBFC643">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72CBA15F">
      <w:pPr>
        <w:pStyle w:val="8"/>
        <w:spacing w:line="500" w:lineRule="exact"/>
        <w:ind w:firstLine="482" w:firstLineChars="200"/>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5CBAB7D8">
      <w:pPr>
        <w:rPr>
          <w:rFonts w:hint="eastAsia" w:ascii="宋体" w:hAnsi="宋体" w:eastAsia="宋体" w:cs="宋体"/>
          <w:highlight w:val="none"/>
        </w:rPr>
      </w:pPr>
    </w:p>
    <w:p w14:paraId="6419B710">
      <w:pPr>
        <w:pStyle w:val="8"/>
        <w:rPr>
          <w:rFonts w:hint="eastAsia" w:ascii="宋体" w:hAnsi="宋体" w:eastAsia="宋体" w:cs="宋体"/>
          <w:highlight w:val="none"/>
        </w:rPr>
      </w:pPr>
    </w:p>
    <w:p w14:paraId="74B91D3F">
      <w:pPr>
        <w:spacing w:line="360" w:lineRule="auto"/>
        <w:ind w:firstLine="498" w:firstLineChars="200"/>
        <w:jc w:val="center"/>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81" w:name="_Toc5106"/>
      <w:bookmarkStart w:id="82" w:name="_Toc4223"/>
      <w:bookmarkStart w:id="83" w:name="_Toc13330"/>
      <w:bookmarkStart w:id="84" w:name="_Toc28532"/>
      <w:bookmarkStart w:id="85" w:name="_Toc29635"/>
      <w:r>
        <w:rPr>
          <w:rFonts w:hint="eastAsia" w:hAnsi="宋体" w:cs="宋体"/>
          <w:b/>
          <w:spacing w:val="4"/>
          <w:szCs w:val="24"/>
          <w:highlight w:val="none"/>
          <w:lang w:val="en-US" w:eastAsia="zh-CN"/>
        </w:rPr>
        <w:t>三</w:t>
      </w:r>
      <w:r>
        <w:rPr>
          <w:rFonts w:hint="eastAsia" w:ascii="宋体" w:hAnsi="宋体" w:eastAsia="宋体" w:cs="宋体"/>
          <w:b/>
          <w:spacing w:val="4"/>
          <w:szCs w:val="24"/>
          <w:highlight w:val="none"/>
        </w:rPr>
        <w:t>、</w:t>
      </w:r>
      <w:r>
        <w:rPr>
          <w:rFonts w:hint="eastAsia" w:ascii="宋体" w:hAnsi="宋体" w:eastAsia="宋体" w:cs="宋体"/>
          <w:b/>
          <w:szCs w:val="24"/>
          <w:highlight w:val="none"/>
        </w:rPr>
        <w:t>评审要素和分值分解表</w:t>
      </w:r>
      <w:bookmarkEnd w:id="81"/>
      <w:bookmarkEnd w:id="82"/>
      <w:bookmarkEnd w:id="83"/>
      <w:bookmarkEnd w:id="84"/>
      <w:bookmarkEnd w:id="85"/>
    </w:p>
    <w:p w14:paraId="181F4183">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w:t>
      </w:r>
      <w:r>
        <w:rPr>
          <w:rFonts w:hint="eastAsia" w:hAnsi="宋体" w:cs="宋体"/>
          <w:szCs w:val="24"/>
          <w:highlight w:val="none"/>
          <w:lang w:val="en-US" w:eastAsia="zh-CN"/>
        </w:rPr>
        <w:t>各项评审要素等</w:t>
      </w:r>
      <w:r>
        <w:rPr>
          <w:rFonts w:hint="eastAsia" w:ascii="宋体" w:hAnsi="宋体" w:eastAsia="宋体" w:cs="宋体"/>
          <w:szCs w:val="24"/>
          <w:highlight w:val="none"/>
        </w:rPr>
        <w:t>方面进行评审并按照百分制进行赋分。</w:t>
      </w:r>
    </w:p>
    <w:tbl>
      <w:tblPr>
        <w:tblStyle w:val="2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295"/>
        <w:gridCol w:w="1453"/>
        <w:gridCol w:w="5915"/>
      </w:tblGrid>
      <w:tr w14:paraId="117D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3" w:type="pct"/>
            <w:vAlign w:val="center"/>
          </w:tcPr>
          <w:p w14:paraId="30D6A415">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81" w:type="pct"/>
            <w:vAlign w:val="center"/>
          </w:tcPr>
          <w:p w14:paraId="42D782B0">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总分</w:t>
            </w:r>
          </w:p>
          <w:p w14:paraId="55FB0F67">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（100分）</w:t>
            </w:r>
          </w:p>
        </w:tc>
        <w:tc>
          <w:tcPr>
            <w:tcW w:w="764" w:type="pct"/>
            <w:vAlign w:val="center"/>
          </w:tcPr>
          <w:p w14:paraId="39AC2765">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评审要素</w:t>
            </w:r>
          </w:p>
        </w:tc>
        <w:tc>
          <w:tcPr>
            <w:tcW w:w="3111" w:type="pct"/>
            <w:vAlign w:val="center"/>
          </w:tcPr>
          <w:p w14:paraId="7B921428">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2D15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vAlign w:val="center"/>
          </w:tcPr>
          <w:p w14:paraId="0C22F170">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技术评分部分</w:t>
            </w:r>
          </w:p>
        </w:tc>
        <w:tc>
          <w:tcPr>
            <w:tcW w:w="681" w:type="pct"/>
            <w:vMerge w:val="restart"/>
            <w:vAlign w:val="center"/>
          </w:tcPr>
          <w:p w14:paraId="5BB92C90">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（70分）</w:t>
            </w:r>
          </w:p>
        </w:tc>
        <w:tc>
          <w:tcPr>
            <w:tcW w:w="764" w:type="pct"/>
            <w:vAlign w:val="center"/>
          </w:tcPr>
          <w:p w14:paraId="3993F0EE">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①项目管理</w:t>
            </w:r>
            <w:r>
              <w:rPr>
                <w:rFonts w:hint="eastAsia" w:ascii="宋体" w:hAnsi="宋体" w:eastAsia="宋体" w:cs="宋体"/>
                <w:color w:val="auto"/>
                <w:sz w:val="24"/>
                <w:szCs w:val="24"/>
                <w:highlight w:val="none"/>
                <w:lang w:eastAsia="zh-CN"/>
              </w:rPr>
              <w:t>部门及人员</w:t>
            </w:r>
            <w:r>
              <w:rPr>
                <w:rFonts w:hint="eastAsia" w:ascii="宋体" w:hAnsi="宋体" w:eastAsia="宋体" w:cs="宋体"/>
                <w:color w:val="auto"/>
                <w:sz w:val="24"/>
                <w:szCs w:val="24"/>
                <w:highlight w:val="none"/>
              </w:rPr>
              <w:t>配备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3111" w:type="pct"/>
            <w:vAlign w:val="center"/>
          </w:tcPr>
          <w:p w14:paraId="14CB62A8">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依据本项目成立项目管理部，项目部门技术人员配备合理，岗位职责清晰明确，满足本项目需求得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3（含3）</w:t>
            </w:r>
            <w:r>
              <w:rPr>
                <w:rFonts w:hint="eastAsia" w:ascii="宋体" w:hAnsi="宋体" w:eastAsia="宋体" w:cs="宋体"/>
                <w:color w:val="auto"/>
                <w:sz w:val="24"/>
                <w:szCs w:val="24"/>
                <w:highlight w:val="none"/>
                <w:lang w:eastAsia="zh-CN"/>
              </w:rPr>
              <w:t>分；项目部门技术人员配备较合理，岗位职责较为清晰明确，基本满足本项目需求得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2（含2）</w:t>
            </w:r>
            <w:r>
              <w:rPr>
                <w:rFonts w:hint="eastAsia" w:ascii="宋体" w:hAnsi="宋体" w:eastAsia="宋体" w:cs="宋体"/>
                <w:color w:val="auto"/>
                <w:sz w:val="24"/>
                <w:szCs w:val="24"/>
                <w:highlight w:val="none"/>
                <w:lang w:eastAsia="zh-CN"/>
              </w:rPr>
              <w:t>分；项目部门技术人员配备不合理，岗位职责较不清晰明确，不能满足本项目需求得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分。</w:t>
            </w:r>
          </w:p>
        </w:tc>
      </w:tr>
      <w:tr w14:paraId="1642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3" w:type="pct"/>
            <w:vMerge w:val="continue"/>
            <w:vAlign w:val="center"/>
          </w:tcPr>
          <w:p w14:paraId="0AB3D469">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468E7BBA">
            <w:pPr>
              <w:spacing w:line="480" w:lineRule="exact"/>
              <w:jc w:val="center"/>
              <w:rPr>
                <w:rFonts w:hint="eastAsia" w:ascii="宋体" w:hAnsi="宋体" w:eastAsia="宋体" w:cs="宋体"/>
                <w:color w:val="auto"/>
                <w:sz w:val="24"/>
                <w:szCs w:val="24"/>
                <w:highlight w:val="none"/>
              </w:rPr>
            </w:pPr>
          </w:p>
        </w:tc>
        <w:tc>
          <w:tcPr>
            <w:tcW w:w="764" w:type="pct"/>
            <w:vAlign w:val="center"/>
          </w:tcPr>
          <w:p w14:paraId="1296888F">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w:t>
            </w:r>
            <w:r>
              <w:rPr>
                <w:rFonts w:hint="eastAsia" w:ascii="宋体" w:hAnsi="宋体" w:eastAsia="宋体" w:cs="宋体"/>
                <w:color w:val="auto"/>
                <w:sz w:val="24"/>
                <w:szCs w:val="24"/>
                <w:highlight w:val="none"/>
                <w:lang w:eastAsia="zh-CN"/>
              </w:rPr>
              <w:t>实施</w:t>
            </w:r>
            <w:r>
              <w:rPr>
                <w:rFonts w:hint="eastAsia" w:ascii="宋体" w:hAnsi="宋体" w:eastAsia="宋体" w:cs="宋体"/>
                <w:color w:val="auto"/>
                <w:sz w:val="24"/>
                <w:szCs w:val="24"/>
                <w:highlight w:val="none"/>
              </w:rPr>
              <w:t>方案</w:t>
            </w:r>
          </w:p>
          <w:p w14:paraId="6A36E887">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3111" w:type="pct"/>
            <w:vAlign w:val="center"/>
          </w:tcPr>
          <w:p w14:paraId="5569E89F">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针对本项目实际情况就工程内容编写</w:t>
            </w:r>
            <w:r>
              <w:rPr>
                <w:rFonts w:hint="eastAsia" w:hAnsi="宋体" w:cs="宋体"/>
                <w:color w:val="auto"/>
                <w:sz w:val="24"/>
                <w:szCs w:val="24"/>
                <w:highlight w:val="none"/>
                <w:lang w:val="en-US" w:eastAsia="zh-CN"/>
              </w:rPr>
              <w:t>绿化</w:t>
            </w:r>
            <w:r>
              <w:rPr>
                <w:rFonts w:hint="eastAsia" w:ascii="宋体" w:hAnsi="宋体" w:eastAsia="宋体" w:cs="宋体"/>
                <w:color w:val="auto"/>
                <w:sz w:val="24"/>
                <w:szCs w:val="24"/>
                <w:highlight w:val="none"/>
                <w:lang w:val="en-US" w:eastAsia="zh-CN"/>
              </w:rPr>
              <w:t>施工方案：</w:t>
            </w:r>
          </w:p>
          <w:p w14:paraId="26378360">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①方案切合实际、因地制宜、科学合理完全满足本项目要求10（含10）-15分；</w:t>
            </w:r>
          </w:p>
          <w:p w14:paraId="0B65AF44">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②方案较为切合实际、因地制宜性一般、较为满足本项目要求5（含5）-10分；</w:t>
            </w:r>
          </w:p>
          <w:p w14:paraId="1DC6EDA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③方案不切合实际情况、因地制宜性差，不能满足本项目实际要求0-5分。</w:t>
            </w:r>
          </w:p>
        </w:tc>
      </w:tr>
      <w:tr w14:paraId="0BB7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443" w:type="pct"/>
            <w:vMerge w:val="continue"/>
            <w:vAlign w:val="center"/>
          </w:tcPr>
          <w:p w14:paraId="2ED3C77F">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7D2E39C3">
            <w:pPr>
              <w:spacing w:line="480" w:lineRule="exact"/>
              <w:jc w:val="center"/>
              <w:rPr>
                <w:rFonts w:hint="eastAsia" w:ascii="宋体" w:hAnsi="宋体" w:eastAsia="宋体" w:cs="宋体"/>
                <w:color w:val="auto"/>
                <w:sz w:val="24"/>
                <w:szCs w:val="24"/>
                <w:highlight w:val="none"/>
              </w:rPr>
            </w:pPr>
          </w:p>
        </w:tc>
        <w:tc>
          <w:tcPr>
            <w:tcW w:w="764" w:type="pct"/>
            <w:vAlign w:val="center"/>
          </w:tcPr>
          <w:p w14:paraId="446F80DE">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③工程进度计划与保障措施（</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3111" w:type="pct"/>
            <w:vAlign w:val="center"/>
          </w:tcPr>
          <w:p w14:paraId="561DD3F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进度计划及保障措施合理、完善，</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354624CA">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进度计划及保障措施基本合理、比较完善，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71C693D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进度计划及保障措施一般，0～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2331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43" w:type="pct"/>
            <w:vMerge w:val="continue"/>
            <w:vAlign w:val="center"/>
          </w:tcPr>
          <w:p w14:paraId="5EF0D734">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47A68679">
            <w:pPr>
              <w:spacing w:line="480" w:lineRule="exact"/>
              <w:jc w:val="center"/>
              <w:rPr>
                <w:rFonts w:hint="eastAsia" w:ascii="宋体" w:hAnsi="宋体" w:eastAsia="宋体" w:cs="宋体"/>
                <w:color w:val="auto"/>
                <w:sz w:val="24"/>
                <w:szCs w:val="24"/>
                <w:highlight w:val="none"/>
              </w:rPr>
            </w:pPr>
          </w:p>
        </w:tc>
        <w:tc>
          <w:tcPr>
            <w:tcW w:w="764" w:type="pct"/>
            <w:vAlign w:val="center"/>
          </w:tcPr>
          <w:p w14:paraId="10EF0E24">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④确保工程质量</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组织措施（</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111" w:type="pct"/>
            <w:vAlign w:val="center"/>
          </w:tcPr>
          <w:p w14:paraId="2C0D1D96">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所述内容切合工程实际，</w:t>
            </w: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rPr>
              <w:t>措施切实可行，</w:t>
            </w:r>
            <w:r>
              <w:rPr>
                <w:rFonts w:hint="eastAsia" w:ascii="宋体" w:hAnsi="宋体" w:eastAsia="宋体" w:cs="宋体"/>
                <w:color w:val="auto"/>
                <w:sz w:val="24"/>
                <w:szCs w:val="24"/>
                <w:highlight w:val="none"/>
                <w:lang w:eastAsia="zh-CN"/>
              </w:rPr>
              <w:t>根据响应的不同程度赋分</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6分；</w:t>
            </w:r>
          </w:p>
          <w:p w14:paraId="21185BC4">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rPr>
              <w:t>措施基本合理、比较完善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rPr>
              <w:t>措施一般，0～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4538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43" w:type="pct"/>
            <w:vMerge w:val="continue"/>
            <w:vAlign w:val="center"/>
          </w:tcPr>
          <w:p w14:paraId="7F9BFC0F">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6AF8DACF">
            <w:pPr>
              <w:spacing w:line="480" w:lineRule="exact"/>
              <w:jc w:val="center"/>
              <w:rPr>
                <w:rFonts w:hint="eastAsia" w:ascii="宋体" w:hAnsi="宋体" w:eastAsia="宋体" w:cs="宋体"/>
                <w:color w:val="auto"/>
                <w:sz w:val="24"/>
                <w:szCs w:val="24"/>
                <w:highlight w:val="none"/>
              </w:rPr>
            </w:pPr>
          </w:p>
        </w:tc>
        <w:tc>
          <w:tcPr>
            <w:tcW w:w="764" w:type="pct"/>
            <w:vAlign w:val="center"/>
          </w:tcPr>
          <w:p w14:paraId="40E9517A">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⑤文明施工、环境保护管理体系与措施</w:t>
            </w:r>
          </w:p>
          <w:p w14:paraId="3CB98C34">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111" w:type="pct"/>
            <w:vAlign w:val="center"/>
          </w:tcPr>
          <w:p w14:paraId="3F75FEEE">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文明施工、环境保障措施合理、完善，</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A173A69">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文明施工、环境保障措施基本合理、比较完善，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0C005F6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文明施工、环境保障措施一般，0～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1E77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vAlign w:val="center"/>
          </w:tcPr>
          <w:p w14:paraId="254ABEA8">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0257E34F">
            <w:pPr>
              <w:spacing w:line="480" w:lineRule="exact"/>
              <w:jc w:val="center"/>
              <w:rPr>
                <w:rFonts w:hint="eastAsia" w:ascii="宋体" w:hAnsi="宋体" w:eastAsia="宋体" w:cs="宋体"/>
                <w:color w:val="auto"/>
                <w:sz w:val="24"/>
                <w:szCs w:val="24"/>
                <w:highlight w:val="none"/>
              </w:rPr>
            </w:pPr>
          </w:p>
        </w:tc>
        <w:tc>
          <w:tcPr>
            <w:tcW w:w="764" w:type="pct"/>
            <w:vAlign w:val="center"/>
          </w:tcPr>
          <w:p w14:paraId="47BD6DB6">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⑥主要机具、设备和劳动力配备情况（</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111" w:type="pct"/>
            <w:vAlign w:val="center"/>
          </w:tcPr>
          <w:p w14:paraId="0B1D86E6">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投入的主要机具、设备先进，劳动力配备</w:t>
            </w:r>
            <w:r>
              <w:rPr>
                <w:rFonts w:hint="eastAsia" w:ascii="宋体" w:hAnsi="宋体" w:eastAsia="宋体" w:cs="宋体"/>
                <w:color w:val="auto"/>
                <w:sz w:val="24"/>
                <w:szCs w:val="24"/>
                <w:highlight w:val="none"/>
                <w:lang w:eastAsia="zh-CN"/>
              </w:rPr>
              <w:t>情况充分、合理、完善计</w:t>
            </w:r>
            <w:r>
              <w:rPr>
                <w:rFonts w:hint="eastAsia" w:ascii="宋体" w:hAnsi="宋体" w:eastAsia="宋体" w:cs="宋体"/>
                <w:color w:val="auto"/>
                <w:sz w:val="24"/>
                <w:szCs w:val="24"/>
                <w:highlight w:val="none"/>
                <w:lang w:val="en-US" w:eastAsia="zh-CN"/>
              </w:rPr>
              <w:t>4（含4）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14:paraId="1FCFFF15">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配备</w:t>
            </w:r>
            <w:r>
              <w:rPr>
                <w:rFonts w:hint="eastAsia" w:ascii="宋体" w:hAnsi="宋体" w:eastAsia="宋体" w:cs="宋体"/>
                <w:color w:val="auto"/>
                <w:sz w:val="24"/>
                <w:szCs w:val="24"/>
                <w:highlight w:val="none"/>
                <w:lang w:eastAsia="zh-CN"/>
              </w:rPr>
              <w:t>情况基本合理、基本能够满足施工需求计</w:t>
            </w:r>
            <w:r>
              <w:rPr>
                <w:rFonts w:hint="eastAsia" w:ascii="宋体" w:hAnsi="宋体" w:eastAsia="宋体" w:cs="宋体"/>
                <w:color w:val="auto"/>
                <w:sz w:val="24"/>
                <w:szCs w:val="24"/>
                <w:highlight w:val="none"/>
                <w:lang w:val="en-US" w:eastAsia="zh-CN"/>
              </w:rPr>
              <w:t>2（含2）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w:t>
            </w:r>
          </w:p>
          <w:p w14:paraId="7F222833">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施工器具不够合理完善不能满足项目需求计</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w:t>
            </w:r>
          </w:p>
        </w:tc>
      </w:tr>
      <w:tr w14:paraId="72D9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vAlign w:val="center"/>
          </w:tcPr>
          <w:p w14:paraId="0871E101">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0ADEC20D">
            <w:pPr>
              <w:spacing w:line="480" w:lineRule="exact"/>
              <w:jc w:val="center"/>
              <w:rPr>
                <w:rFonts w:hint="eastAsia" w:ascii="宋体" w:hAnsi="宋体" w:eastAsia="宋体" w:cs="宋体"/>
                <w:color w:val="auto"/>
                <w:sz w:val="24"/>
                <w:szCs w:val="24"/>
                <w:highlight w:val="none"/>
              </w:rPr>
            </w:pPr>
          </w:p>
        </w:tc>
        <w:tc>
          <w:tcPr>
            <w:tcW w:w="764" w:type="pct"/>
            <w:vAlign w:val="center"/>
          </w:tcPr>
          <w:p w14:paraId="033F1744">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⑦安全保障方案及应急措施</w:t>
            </w:r>
          </w:p>
          <w:p w14:paraId="2BD33297">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10分</w:t>
            </w:r>
            <w:r>
              <w:rPr>
                <w:rFonts w:hint="eastAsia" w:ascii="宋体" w:hAnsi="宋体" w:cs="宋体"/>
                <w:color w:val="auto"/>
                <w:sz w:val="24"/>
                <w:szCs w:val="24"/>
                <w:highlight w:val="none"/>
                <w:lang w:eastAsia="zh-CN"/>
              </w:rPr>
              <w:t>）</w:t>
            </w:r>
          </w:p>
        </w:tc>
        <w:tc>
          <w:tcPr>
            <w:tcW w:w="3111" w:type="pct"/>
            <w:vAlign w:val="center"/>
          </w:tcPr>
          <w:p w14:paraId="60646121">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保障方案、措施合理、完善，7～10分</w:t>
            </w:r>
          </w:p>
          <w:p w14:paraId="5D91170B">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保障方案、措施基本合理、比较完善，4～7分</w:t>
            </w:r>
          </w:p>
          <w:p w14:paraId="7E05F3EB">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保障方案、措施一般，0～4分；</w:t>
            </w:r>
          </w:p>
        </w:tc>
      </w:tr>
      <w:tr w14:paraId="51F2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3" w:type="pct"/>
            <w:vMerge w:val="continue"/>
            <w:vAlign w:val="center"/>
          </w:tcPr>
          <w:p w14:paraId="670E0B92">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48F005B4">
            <w:pPr>
              <w:spacing w:line="480" w:lineRule="exact"/>
              <w:jc w:val="center"/>
              <w:rPr>
                <w:rFonts w:hint="eastAsia" w:ascii="宋体" w:hAnsi="宋体" w:eastAsia="宋体" w:cs="宋体"/>
                <w:color w:val="auto"/>
                <w:sz w:val="24"/>
                <w:szCs w:val="24"/>
                <w:highlight w:val="none"/>
              </w:rPr>
            </w:pPr>
          </w:p>
        </w:tc>
        <w:tc>
          <w:tcPr>
            <w:tcW w:w="764" w:type="pct"/>
            <w:vAlign w:val="center"/>
          </w:tcPr>
          <w:p w14:paraId="4E2672BB">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⑧</w:t>
            </w:r>
            <w:r>
              <w:rPr>
                <w:rFonts w:hint="eastAsia" w:hAnsi="宋体" w:cs="宋体"/>
                <w:color w:val="auto"/>
                <w:sz w:val="24"/>
                <w:szCs w:val="24"/>
                <w:highlight w:val="none"/>
                <w:lang w:val="en-US" w:eastAsia="zh-CN"/>
              </w:rPr>
              <w:t>施工</w:t>
            </w:r>
            <w:r>
              <w:rPr>
                <w:rFonts w:hint="eastAsia" w:ascii="宋体" w:hAnsi="宋体" w:eastAsia="宋体" w:cs="宋体"/>
                <w:color w:val="auto"/>
                <w:sz w:val="24"/>
                <w:szCs w:val="24"/>
                <w:highlight w:val="none"/>
                <w:lang w:eastAsia="zh-CN"/>
              </w:rPr>
              <w:t>承诺</w:t>
            </w:r>
          </w:p>
          <w:p w14:paraId="3D11011C">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915" w:type="dxa"/>
            <w:vAlign w:val="center"/>
          </w:tcPr>
          <w:p w14:paraId="1B1FBD89">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施工承诺：提供本项目的相关</w:t>
            </w:r>
            <w:r>
              <w:rPr>
                <w:rFonts w:hint="eastAsia" w:hAnsi="宋体" w:cs="宋体"/>
                <w:color w:val="auto"/>
                <w:sz w:val="24"/>
                <w:szCs w:val="24"/>
                <w:highlight w:val="none"/>
                <w:lang w:val="en-US" w:eastAsia="zh-CN"/>
              </w:rPr>
              <w:t>施工质量</w:t>
            </w:r>
            <w:r>
              <w:rPr>
                <w:rFonts w:hint="eastAsia" w:ascii="宋体" w:hAnsi="宋体" w:eastAsia="宋体" w:cs="宋体"/>
                <w:color w:val="auto"/>
                <w:sz w:val="24"/>
                <w:szCs w:val="24"/>
                <w:highlight w:val="none"/>
                <w:lang w:val="en-US" w:eastAsia="zh-CN"/>
              </w:rPr>
              <w:t>承诺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依据响应情况综合赋分。（0-5分）</w:t>
            </w:r>
          </w:p>
        </w:tc>
      </w:tr>
      <w:tr w14:paraId="3FA4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3" w:type="pct"/>
            <w:vMerge w:val="continue"/>
            <w:vAlign w:val="center"/>
          </w:tcPr>
          <w:p w14:paraId="2D6889CE">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12F8F355">
            <w:pPr>
              <w:spacing w:line="480" w:lineRule="exact"/>
              <w:jc w:val="center"/>
              <w:rPr>
                <w:rFonts w:hint="eastAsia" w:ascii="宋体" w:hAnsi="宋体" w:eastAsia="宋体" w:cs="宋体"/>
                <w:color w:val="auto"/>
                <w:sz w:val="24"/>
                <w:szCs w:val="24"/>
                <w:highlight w:val="none"/>
              </w:rPr>
            </w:pPr>
          </w:p>
        </w:tc>
        <w:tc>
          <w:tcPr>
            <w:tcW w:w="764" w:type="pct"/>
            <w:vAlign w:val="center"/>
          </w:tcPr>
          <w:p w14:paraId="6760E8D4">
            <w:pPr>
              <w:spacing w:line="480" w:lineRule="exact"/>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⑨</w:t>
            </w:r>
            <w:r>
              <w:rPr>
                <w:rFonts w:hint="eastAsia" w:ascii="宋体" w:hAnsi="宋体" w:eastAsia="宋体" w:cs="宋体"/>
                <w:color w:val="auto"/>
                <w:sz w:val="24"/>
                <w:szCs w:val="24"/>
                <w:highlight w:val="none"/>
                <w:lang w:eastAsia="zh-CN"/>
              </w:rPr>
              <w:t>业绩</w:t>
            </w:r>
          </w:p>
          <w:p w14:paraId="2F3326CB">
            <w:pPr>
              <w:pStyle w:val="8"/>
              <w:jc w:val="center"/>
              <w:rPr>
                <w:rFonts w:hint="eastAsia"/>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10分</w:t>
            </w:r>
            <w:r>
              <w:rPr>
                <w:rFonts w:hint="eastAsia" w:ascii="宋体" w:hAnsi="宋体" w:cs="宋体"/>
                <w:color w:val="auto"/>
                <w:sz w:val="24"/>
                <w:szCs w:val="24"/>
                <w:highlight w:val="none"/>
                <w:lang w:eastAsia="zh-CN"/>
              </w:rPr>
              <w:t>）</w:t>
            </w:r>
          </w:p>
        </w:tc>
        <w:tc>
          <w:tcPr>
            <w:tcW w:w="5915" w:type="dxa"/>
            <w:vAlign w:val="center"/>
          </w:tcPr>
          <w:p w14:paraId="319A6514">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202</w:t>
            </w: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年以后得</w:t>
            </w:r>
            <w:r>
              <w:rPr>
                <w:rFonts w:hint="eastAsia" w:ascii="宋体" w:hAnsi="宋体" w:eastAsia="宋体" w:cs="宋体"/>
                <w:color w:val="auto"/>
                <w:sz w:val="24"/>
                <w:szCs w:val="24"/>
                <w:highlight w:val="none"/>
                <w:lang w:val="en-US" w:eastAsia="zh-CN"/>
              </w:rPr>
              <w:t>类似</w:t>
            </w:r>
            <w:r>
              <w:rPr>
                <w:rFonts w:hint="eastAsia"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业绩（业绩以合同复印件或中标通知书为依据）。每个业绩计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共10分。</w:t>
            </w:r>
          </w:p>
        </w:tc>
      </w:tr>
      <w:tr w14:paraId="7803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Align w:val="center"/>
          </w:tcPr>
          <w:p w14:paraId="002A3DCE">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评分标准</w:t>
            </w:r>
          </w:p>
        </w:tc>
        <w:tc>
          <w:tcPr>
            <w:tcW w:w="681" w:type="pct"/>
            <w:vAlign w:val="center"/>
          </w:tcPr>
          <w:p w14:paraId="7A41034B">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64" w:type="pct"/>
            <w:vAlign w:val="center"/>
          </w:tcPr>
          <w:p w14:paraId="2774333A">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报价评分标准</w:t>
            </w:r>
          </w:p>
          <w:p w14:paraId="51C835B1">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3111" w:type="pct"/>
            <w:vAlign w:val="center"/>
          </w:tcPr>
          <w:p w14:paraId="05A56BD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1.经初审合格的</w:t>
            </w:r>
            <w:r>
              <w:rPr>
                <w:rFonts w:hint="eastAsia" w:hAnsi="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文件，其</w:t>
            </w:r>
            <w:r>
              <w:rPr>
                <w:rFonts w:hint="eastAsia" w:hAnsi="宋体" w:cs="宋体"/>
                <w:color w:val="auto"/>
                <w:sz w:val="24"/>
                <w:szCs w:val="24"/>
                <w:highlight w:val="none"/>
                <w:lang w:val="en-US" w:eastAsia="zh-CN"/>
              </w:rPr>
              <w:t>最终</w:t>
            </w:r>
            <w:r>
              <w:rPr>
                <w:rFonts w:hint="eastAsia" w:ascii="宋体" w:hAnsi="宋体" w:eastAsia="宋体" w:cs="宋体"/>
                <w:color w:val="auto"/>
                <w:sz w:val="24"/>
                <w:szCs w:val="24"/>
                <w:highlight w:val="none"/>
              </w:rPr>
              <w:t>报价为有效</w:t>
            </w:r>
            <w:r>
              <w:rPr>
                <w:rFonts w:hint="eastAsia"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w:t>
            </w:r>
          </w:p>
          <w:p w14:paraId="2DCA99B1">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基准价为全部最终报价的最低价，</w:t>
            </w:r>
            <w:r>
              <w:rPr>
                <w:rFonts w:hint="eastAsia" w:ascii="宋体" w:hAnsi="宋体" w:eastAsia="宋体" w:cs="宋体"/>
                <w:color w:val="auto"/>
                <w:sz w:val="24"/>
                <w:szCs w:val="24"/>
                <w:highlight w:val="none"/>
              </w:rPr>
              <w:t>有效最低报价为基准价得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524161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3.按（有效最低报价/有效</w:t>
            </w:r>
            <w:r>
              <w:rPr>
                <w:rFonts w:hint="eastAsia"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的公式计算其得分。</w:t>
            </w:r>
          </w:p>
          <w:p w14:paraId="299CFBC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4.经评委一致认定，投标人的投标总报价低于公认市场成本，或超过采购预算,其投标将被拒绝。</w:t>
            </w:r>
          </w:p>
        </w:tc>
      </w:tr>
    </w:tbl>
    <w:p w14:paraId="0429C36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评价和比较以</w:t>
      </w:r>
      <w:r>
        <w:rPr>
          <w:rFonts w:hint="eastAsia" w:hAnsi="宋体" w:cs="宋体"/>
          <w:szCs w:val="24"/>
          <w:highlight w:val="none"/>
          <w:lang w:eastAsia="zh-CN"/>
        </w:rPr>
        <w:t>磋商</w:t>
      </w:r>
      <w:r>
        <w:rPr>
          <w:rFonts w:hint="eastAsia" w:ascii="宋体" w:hAnsi="宋体" w:eastAsia="宋体" w:cs="宋体"/>
          <w:szCs w:val="24"/>
          <w:highlight w:val="none"/>
        </w:rPr>
        <w:t>响应文件为依据，进行评审并按照百分制进行赋分。</w:t>
      </w:r>
    </w:p>
    <w:p w14:paraId="77D205E5">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14:paraId="44FA5E01">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p>
    <w:p w14:paraId="7D22354B">
      <w:pPr>
        <w:spacing w:line="460" w:lineRule="exact"/>
        <w:ind w:firstLine="496" w:firstLineChars="200"/>
        <w:rPr>
          <w:rFonts w:hint="eastAsia" w:ascii="宋体" w:hAnsi="宋体" w:eastAsia="宋体" w:cs="宋体"/>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14:paraId="49D8D0BF">
      <w:pPr>
        <w:pStyle w:val="16"/>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4493F43E">
      <w:pPr>
        <w:pStyle w:val="2"/>
        <w:jc w:val="center"/>
        <w:outlineLvl w:val="0"/>
        <w:rPr>
          <w:rFonts w:hint="eastAsia" w:ascii="宋体" w:hAnsi="宋体" w:eastAsia="宋体" w:cs="宋体"/>
          <w:bCs/>
          <w:sz w:val="36"/>
          <w:szCs w:val="36"/>
          <w:highlight w:val="none"/>
        </w:rPr>
      </w:pPr>
      <w:bookmarkStart w:id="86" w:name="_Toc29755"/>
      <w:bookmarkStart w:id="87" w:name="_Toc10029"/>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65"/>
      <w:bookmarkEnd w:id="66"/>
      <w:bookmarkEnd w:id="67"/>
      <w:bookmarkEnd w:id="86"/>
      <w:bookmarkEnd w:id="87"/>
    </w:p>
    <w:p w14:paraId="65A88BC8">
      <w:pPr>
        <w:tabs>
          <w:tab w:val="left" w:pos="210"/>
          <w:tab w:val="left" w:pos="525"/>
        </w:tabs>
        <w:spacing w:line="360" w:lineRule="auto"/>
        <w:jc w:val="center"/>
        <w:outlineLvl w:val="1"/>
        <w:rPr>
          <w:rFonts w:hint="eastAsia" w:ascii="宋体" w:hAnsi="宋体" w:eastAsia="宋体" w:cs="宋体"/>
          <w:sz w:val="32"/>
          <w:szCs w:val="32"/>
          <w:highlight w:val="none"/>
        </w:rPr>
      </w:pPr>
      <w:bookmarkStart w:id="88" w:name="_Toc32476"/>
      <w:bookmarkStart w:id="89" w:name="_Toc21435"/>
      <w:bookmarkStart w:id="90" w:name="_Toc23705"/>
      <w:bookmarkStart w:id="91" w:name="_Toc31473"/>
      <w:bookmarkStart w:id="92" w:name="_Toc3424"/>
      <w:r>
        <w:rPr>
          <w:rFonts w:hint="eastAsia" w:ascii="宋体" w:hAnsi="宋体" w:eastAsia="宋体" w:cs="宋体"/>
          <w:b/>
          <w:bCs/>
          <w:sz w:val="32"/>
          <w:szCs w:val="32"/>
          <w:highlight w:val="none"/>
        </w:rPr>
        <w:t>合同前附表</w:t>
      </w:r>
      <w:bookmarkEnd w:id="88"/>
      <w:bookmarkEnd w:id="89"/>
      <w:bookmarkEnd w:id="90"/>
      <w:bookmarkEnd w:id="91"/>
      <w:bookmarkEnd w:id="92"/>
    </w:p>
    <w:p w14:paraId="7E2D75E2">
      <w:pPr>
        <w:rPr>
          <w:rFonts w:hint="eastAsia" w:ascii="宋体" w:hAnsi="宋体" w:eastAsia="宋体" w:cs="宋体"/>
          <w:highlight w:val="none"/>
        </w:rPr>
      </w:pPr>
    </w:p>
    <w:p w14:paraId="448DE39E">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58552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noWrap w:val="0"/>
            <w:vAlign w:val="center"/>
          </w:tcPr>
          <w:p w14:paraId="456A5A94">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条款号</w:t>
            </w:r>
          </w:p>
        </w:tc>
        <w:tc>
          <w:tcPr>
            <w:tcW w:w="8181" w:type="dxa"/>
            <w:noWrap w:val="0"/>
            <w:vAlign w:val="center"/>
          </w:tcPr>
          <w:p w14:paraId="332AC83E">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内      容</w:t>
            </w:r>
          </w:p>
        </w:tc>
      </w:tr>
      <w:tr w14:paraId="34C88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noWrap w:val="0"/>
            <w:vAlign w:val="center"/>
          </w:tcPr>
          <w:p w14:paraId="437C541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8181" w:type="dxa"/>
            <w:noWrap w:val="0"/>
            <w:vAlign w:val="center"/>
          </w:tcPr>
          <w:p w14:paraId="71169604">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采购人名称：</w:t>
            </w:r>
            <w:r>
              <w:rPr>
                <w:rFonts w:hint="eastAsia" w:hAnsi="宋体"/>
                <w:szCs w:val="24"/>
                <w:highlight w:val="none"/>
                <w:lang w:eastAsia="zh-CN"/>
              </w:rPr>
              <w:t>柞水县林业局</w:t>
            </w:r>
          </w:p>
          <w:p w14:paraId="69538622">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szCs w:val="24"/>
                <w:highlight w:val="none"/>
                <w:lang w:eastAsia="zh-CN"/>
              </w:rPr>
              <w:t>柞水县乾佑街道办中街151号</w:t>
            </w:r>
          </w:p>
          <w:p w14:paraId="09CFCC7C">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项目名称：</w:t>
            </w:r>
            <w:r>
              <w:rPr>
                <w:rFonts w:hint="eastAsia" w:hAnsi="宋体" w:cs="宋体"/>
                <w:szCs w:val="24"/>
                <w:highlight w:val="none"/>
                <w:lang w:eastAsia="zh-CN"/>
              </w:rPr>
              <w:t>柞水县城区周边森林管护与绿化提升项目</w:t>
            </w:r>
          </w:p>
          <w:p w14:paraId="1322F015">
            <w:pPr>
              <w:tabs>
                <w:tab w:val="left" w:pos="1440"/>
                <w:tab w:val="left" w:pos="1680"/>
              </w:tabs>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资金来源：财政拨款，资金已落实</w:t>
            </w:r>
          </w:p>
        </w:tc>
      </w:tr>
      <w:tr w14:paraId="02A4B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8" w:hRule="exact"/>
        </w:trPr>
        <w:tc>
          <w:tcPr>
            <w:tcW w:w="1171" w:type="dxa"/>
            <w:noWrap w:val="0"/>
            <w:vAlign w:val="center"/>
          </w:tcPr>
          <w:p w14:paraId="7895DAA0">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8181" w:type="dxa"/>
            <w:noWrap w:val="0"/>
            <w:vAlign w:val="center"/>
          </w:tcPr>
          <w:p w14:paraId="1CDD81EB">
            <w:pPr>
              <w:spacing w:line="360" w:lineRule="auto"/>
              <w:rPr>
                <w:rFonts w:hint="eastAsia"/>
                <w:b/>
                <w:bCs/>
                <w:color w:val="auto"/>
                <w:highlight w:val="none"/>
                <w:lang w:val="en-US" w:eastAsia="zh-CN"/>
              </w:rPr>
            </w:pPr>
            <w:r>
              <w:rPr>
                <w:rFonts w:hint="eastAsia"/>
                <w:b/>
                <w:bCs/>
                <w:color w:val="auto"/>
                <w:highlight w:val="none"/>
                <w:lang w:val="en-US" w:eastAsia="zh-CN"/>
              </w:rPr>
              <w:t>工期</w:t>
            </w:r>
            <w:r>
              <w:rPr>
                <w:rFonts w:hint="eastAsia" w:eastAsia="宋体"/>
                <w:b/>
                <w:bCs/>
                <w:color w:val="auto"/>
                <w:highlight w:val="none"/>
                <w:lang w:val="en-US" w:eastAsia="zh-CN"/>
              </w:rPr>
              <w:t>：</w:t>
            </w:r>
            <w:r>
              <w:rPr>
                <w:rFonts w:hint="eastAsia"/>
                <w:b/>
                <w:bCs/>
                <w:color w:val="auto"/>
                <w:highlight w:val="none"/>
                <w:lang w:val="en-US" w:eastAsia="zh-CN"/>
              </w:rPr>
              <w:t>自合同签订之日起30天；</w:t>
            </w:r>
          </w:p>
          <w:p w14:paraId="15D41E8E">
            <w:pPr>
              <w:spacing w:line="360" w:lineRule="auto"/>
              <w:rPr>
                <w:rFonts w:hint="default"/>
                <w:b/>
                <w:bCs/>
                <w:color w:val="auto"/>
                <w:highlight w:val="none"/>
                <w:lang w:val="en-US" w:eastAsia="zh-CN"/>
              </w:rPr>
            </w:pPr>
            <w:r>
              <w:rPr>
                <w:rFonts w:hint="eastAsia"/>
                <w:b/>
                <w:bCs/>
                <w:color w:val="auto"/>
                <w:highlight w:val="none"/>
                <w:lang w:val="en-US" w:eastAsia="zh-CN"/>
              </w:rPr>
              <w:t>抚育管护期：1年；</w:t>
            </w:r>
          </w:p>
        </w:tc>
      </w:tr>
      <w:tr w14:paraId="7E2B2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0" w:hRule="exact"/>
        </w:trPr>
        <w:tc>
          <w:tcPr>
            <w:tcW w:w="1171" w:type="dxa"/>
            <w:noWrap w:val="0"/>
            <w:vAlign w:val="center"/>
          </w:tcPr>
          <w:p w14:paraId="3E352B51">
            <w:pPr>
              <w:spacing w:line="360" w:lineRule="auto"/>
              <w:jc w:val="center"/>
              <w:rPr>
                <w:rFonts w:hint="eastAsia" w:hAnsi="Times New Roman" w:cs="Times New Roman"/>
                <w:b/>
                <w:bCs/>
                <w:highlight w:val="none"/>
                <w:lang w:eastAsia="zh-CN"/>
              </w:rPr>
            </w:pPr>
            <w:r>
              <w:rPr>
                <w:rFonts w:hint="eastAsia" w:hAnsi="Times New Roman" w:cs="Times New Roman"/>
                <w:b/>
                <w:bCs/>
                <w:highlight w:val="none"/>
                <w:lang w:eastAsia="zh-CN"/>
              </w:rPr>
              <w:t>3</w:t>
            </w:r>
          </w:p>
        </w:tc>
        <w:tc>
          <w:tcPr>
            <w:tcW w:w="8181" w:type="dxa"/>
            <w:noWrap w:val="0"/>
            <w:vAlign w:val="center"/>
          </w:tcPr>
          <w:p w14:paraId="29A239F2">
            <w:pPr>
              <w:spacing w:line="360" w:lineRule="auto"/>
              <w:rPr>
                <w:rFonts w:hint="default" w:hAnsi="Times New Roman" w:cs="Times New Roman"/>
                <w:b/>
                <w:bCs/>
                <w:highlight w:val="none"/>
                <w:lang w:val="en-US" w:eastAsia="zh-CN"/>
              </w:rPr>
            </w:pPr>
            <w:r>
              <w:rPr>
                <w:rFonts w:hint="eastAsia"/>
                <w:b/>
                <w:bCs/>
                <w:color w:val="auto"/>
                <w:szCs w:val="24"/>
                <w:highlight w:val="none"/>
              </w:rPr>
              <w:t>质量标准：</w:t>
            </w:r>
            <w:r>
              <w:rPr>
                <w:rFonts w:hint="eastAsia"/>
                <w:b/>
                <w:bCs/>
                <w:szCs w:val="24"/>
                <w:highlight w:val="none"/>
                <w:lang w:eastAsia="zh-CN"/>
              </w:rPr>
              <w:t>达到</w:t>
            </w:r>
            <w:r>
              <w:rPr>
                <w:rFonts w:hint="eastAsia"/>
                <w:b/>
                <w:bCs/>
                <w:szCs w:val="24"/>
                <w:highlight w:val="none"/>
              </w:rPr>
              <w:t>国家现行有关质量验收规范“合格”要求。</w:t>
            </w:r>
          </w:p>
        </w:tc>
      </w:tr>
      <w:tr w14:paraId="318C0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noWrap w:val="0"/>
            <w:vAlign w:val="center"/>
          </w:tcPr>
          <w:p w14:paraId="301BC9E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8181" w:type="dxa"/>
            <w:noWrap w:val="0"/>
            <w:vAlign w:val="center"/>
          </w:tcPr>
          <w:p w14:paraId="0F0683E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付款：</w:t>
            </w:r>
          </w:p>
          <w:p w14:paraId="616E2E84">
            <w:pPr>
              <w:spacing w:line="360" w:lineRule="auto"/>
              <w:rPr>
                <w:rFonts w:hAnsi="宋体"/>
                <w:color w:val="auto"/>
                <w:szCs w:val="24"/>
                <w:highlight w:val="none"/>
              </w:rPr>
            </w:pPr>
            <w:r>
              <w:rPr>
                <w:rFonts w:hint="eastAsia" w:hAnsi="宋体"/>
                <w:color w:val="auto"/>
                <w:szCs w:val="24"/>
                <w:highlight w:val="none"/>
              </w:rPr>
              <w:t>1.合同总价即成交价，磋商报价采用固定总价。成交报价</w:t>
            </w:r>
            <w:r>
              <w:rPr>
                <w:rFonts w:hint="eastAsia" w:hAnsi="宋体"/>
                <w:color w:val="auto"/>
                <w:highlight w:val="none"/>
              </w:rPr>
              <w:t>是磋商文件所确定的全部工程内容的价格体现</w:t>
            </w:r>
            <w:r>
              <w:rPr>
                <w:rFonts w:hint="eastAsia" w:hAnsi="宋体"/>
                <w:color w:val="auto"/>
                <w:szCs w:val="24"/>
                <w:highlight w:val="none"/>
              </w:rPr>
              <w:t>。任何有选择的报价将不予接受，按无效磋商响应。</w:t>
            </w:r>
          </w:p>
          <w:p w14:paraId="3AC76E56">
            <w:pPr>
              <w:spacing w:line="360" w:lineRule="auto"/>
              <w:rPr>
                <w:rFonts w:hAnsi="宋体"/>
                <w:color w:val="auto"/>
                <w:szCs w:val="24"/>
                <w:highlight w:val="none"/>
              </w:rPr>
            </w:pPr>
            <w:r>
              <w:rPr>
                <w:rFonts w:hint="eastAsia" w:hAnsi="宋体"/>
                <w:color w:val="auto"/>
                <w:szCs w:val="24"/>
                <w:highlight w:val="none"/>
              </w:rPr>
              <w:t>2.成交后合同总价不做调整，不再因为环境的变化和工程量的增减而变化，任何有选择的报价将不予接受。</w:t>
            </w:r>
          </w:p>
          <w:p w14:paraId="6920FCDC">
            <w:pPr>
              <w:spacing w:line="360" w:lineRule="auto"/>
              <w:rPr>
                <w:rFonts w:hAnsi="宋体"/>
                <w:color w:val="auto"/>
                <w:szCs w:val="24"/>
                <w:highlight w:val="none"/>
              </w:rPr>
            </w:pPr>
            <w:r>
              <w:rPr>
                <w:rFonts w:hint="eastAsia" w:hAnsi="宋体"/>
                <w:color w:val="auto"/>
                <w:szCs w:val="24"/>
                <w:highlight w:val="none"/>
              </w:rPr>
              <w:t>3.付款方式和程序：</w:t>
            </w:r>
          </w:p>
          <w:p w14:paraId="799EC319">
            <w:pPr>
              <w:spacing w:line="360" w:lineRule="auto"/>
              <w:rPr>
                <w:rFonts w:hAnsi="宋体"/>
                <w:color w:val="auto"/>
                <w:szCs w:val="24"/>
                <w:highlight w:val="none"/>
              </w:rPr>
            </w:pPr>
            <w:r>
              <w:rPr>
                <w:rFonts w:hint="eastAsia" w:hAnsi="宋体"/>
                <w:color w:val="auto"/>
                <w:szCs w:val="24"/>
                <w:highlight w:val="none"/>
              </w:rPr>
              <w:t>（1）结算方式：</w:t>
            </w:r>
          </w:p>
          <w:p w14:paraId="02913104">
            <w:pPr>
              <w:spacing w:line="360" w:lineRule="auto"/>
              <w:rPr>
                <w:rFonts w:hAnsi="宋体"/>
                <w:color w:val="auto"/>
                <w:szCs w:val="24"/>
                <w:highlight w:val="none"/>
              </w:rPr>
            </w:pPr>
            <w:r>
              <w:rPr>
                <w:rFonts w:hint="eastAsia" w:hAnsi="宋体"/>
                <w:color w:val="auto"/>
                <w:szCs w:val="24"/>
                <w:highlight w:val="none"/>
              </w:rPr>
              <w:t>由采购人负责结算，在付款前，成交供应商须开具全额发票给采购人。</w:t>
            </w:r>
          </w:p>
          <w:p w14:paraId="5C31288B">
            <w:pPr>
              <w:spacing w:line="360" w:lineRule="auto"/>
              <w:rPr>
                <w:rFonts w:hAnsi="宋体"/>
                <w:color w:val="auto"/>
                <w:szCs w:val="24"/>
                <w:highlight w:val="none"/>
              </w:rPr>
            </w:pPr>
            <w:r>
              <w:rPr>
                <w:rFonts w:hint="eastAsia" w:hAnsi="宋体"/>
                <w:color w:val="auto"/>
                <w:szCs w:val="24"/>
                <w:highlight w:val="none"/>
              </w:rPr>
              <w:t>（2）付款方式：</w:t>
            </w:r>
          </w:p>
          <w:p w14:paraId="61146096">
            <w:pPr>
              <w:spacing w:line="360" w:lineRule="auto"/>
              <w:ind w:firstLine="480" w:firstLineChars="200"/>
              <w:rPr>
                <w:rFonts w:hAnsi="宋体"/>
                <w:color w:val="auto"/>
                <w:szCs w:val="24"/>
                <w:highlight w:val="none"/>
              </w:rPr>
            </w:pPr>
            <w:r>
              <w:rPr>
                <w:rFonts w:hint="eastAsia" w:hAnsi="宋体"/>
                <w:color w:val="auto"/>
                <w:szCs w:val="24"/>
                <w:highlight w:val="none"/>
                <w:lang w:val="en-US" w:eastAsia="zh-CN"/>
              </w:rPr>
              <w:t>2.1</w:t>
            </w:r>
            <w:r>
              <w:rPr>
                <w:rFonts w:hint="eastAsia" w:hAnsi="宋体"/>
                <w:color w:val="auto"/>
                <w:szCs w:val="24"/>
                <w:highlight w:val="none"/>
              </w:rPr>
              <w:t>银行转账，项目实施完成并通过验收后，由供应商提供票据等财务报账所需材料进行报账。</w:t>
            </w:r>
          </w:p>
          <w:p w14:paraId="2A03E5BD">
            <w:pPr>
              <w:spacing w:line="360" w:lineRule="auto"/>
              <w:ind w:firstLine="482" w:firstLineChars="200"/>
              <w:rPr>
                <w:rFonts w:hint="eastAsia" w:ascii="宋体" w:hAnsi="宋体" w:eastAsia="宋体" w:cs="宋体"/>
                <w:szCs w:val="24"/>
                <w:highlight w:val="none"/>
              </w:rPr>
            </w:pPr>
            <w:r>
              <w:rPr>
                <w:rFonts w:hint="eastAsia" w:hAnsi="宋体"/>
                <w:b/>
                <w:bCs/>
                <w:color w:val="auto"/>
                <w:szCs w:val="24"/>
                <w:highlight w:val="none"/>
                <w:lang w:val="en-US" w:eastAsia="zh-CN"/>
              </w:rPr>
              <w:t>2.2</w:t>
            </w:r>
            <w:r>
              <w:rPr>
                <w:rFonts w:hint="eastAsia" w:hAnsi="宋体"/>
                <w:b/>
                <w:bCs/>
                <w:color w:val="auto"/>
                <w:szCs w:val="24"/>
                <w:highlight w:val="none"/>
              </w:rPr>
              <w:t>付款方式：合同签订后工程开工支付30%预付款，施工结束经验收合格后支付60%的工程款，经过一个生长季节后经验收成活率达到90%以上后支付剩余10%工程款。（具体以合同签订为准）</w:t>
            </w:r>
          </w:p>
        </w:tc>
      </w:tr>
      <w:tr w14:paraId="0F89C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6" w:hRule="atLeast"/>
        </w:trPr>
        <w:tc>
          <w:tcPr>
            <w:tcW w:w="1171" w:type="dxa"/>
            <w:noWrap w:val="0"/>
            <w:vAlign w:val="center"/>
          </w:tcPr>
          <w:p w14:paraId="796DA941">
            <w:pPr>
              <w:spacing w:line="360" w:lineRule="auto"/>
              <w:jc w:val="center"/>
              <w:rPr>
                <w:rFonts w:hint="eastAsia" w:ascii="宋体" w:hAnsi="宋体" w:eastAsia="宋体" w:cs="宋体"/>
                <w:szCs w:val="24"/>
                <w:highlight w:val="none"/>
                <w:lang w:val="en-US" w:eastAsia="zh-CN"/>
              </w:rPr>
            </w:pPr>
            <w:r>
              <w:rPr>
                <w:rFonts w:hint="eastAsia" w:hAnsi="宋体" w:cs="宋体"/>
                <w:szCs w:val="24"/>
                <w:highlight w:val="none"/>
                <w:lang w:val="en-US" w:eastAsia="zh-CN"/>
              </w:rPr>
              <w:t>5</w:t>
            </w:r>
          </w:p>
        </w:tc>
        <w:tc>
          <w:tcPr>
            <w:tcW w:w="8181" w:type="dxa"/>
            <w:noWrap w:val="0"/>
            <w:vAlign w:val="center"/>
          </w:tcPr>
          <w:p w14:paraId="25EEDCB7">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质量保证：</w:t>
            </w:r>
          </w:p>
          <w:p w14:paraId="6A013123">
            <w:pPr>
              <w:spacing w:line="360" w:lineRule="auto"/>
              <w:rPr>
                <w:rFonts w:hint="eastAsia" w:hAnsi="宋体" w:cs="宋体"/>
                <w:szCs w:val="24"/>
                <w:highlight w:val="none"/>
              </w:rPr>
            </w:pPr>
            <w:r>
              <w:rPr>
                <w:rFonts w:hint="eastAsia" w:hAnsi="宋体" w:cs="宋体"/>
                <w:szCs w:val="24"/>
                <w:highlight w:val="none"/>
              </w:rPr>
              <w:t>1、所有工程须符合行业标准及相关规定；</w:t>
            </w:r>
          </w:p>
          <w:p w14:paraId="6E33D122">
            <w:pPr>
              <w:spacing w:line="360" w:lineRule="auto"/>
              <w:rPr>
                <w:rFonts w:hint="eastAsia" w:ascii="宋体" w:hAnsi="宋体" w:eastAsia="宋体" w:cs="宋体"/>
                <w:b/>
                <w:szCs w:val="24"/>
                <w:highlight w:val="none"/>
              </w:rPr>
            </w:pPr>
            <w:r>
              <w:rPr>
                <w:rFonts w:hint="eastAsia" w:hAnsi="宋体" w:cs="宋体"/>
                <w:szCs w:val="24"/>
                <w:highlight w:val="none"/>
              </w:rPr>
              <w:t>2、所有工程须符合国家有关规范和执行标准。</w:t>
            </w:r>
          </w:p>
        </w:tc>
      </w:tr>
      <w:tr w14:paraId="77B9D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2" w:hRule="atLeast"/>
        </w:trPr>
        <w:tc>
          <w:tcPr>
            <w:tcW w:w="1171" w:type="dxa"/>
            <w:noWrap w:val="0"/>
            <w:vAlign w:val="center"/>
          </w:tcPr>
          <w:p w14:paraId="395DF29A">
            <w:pPr>
              <w:spacing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lang w:val="en-US" w:eastAsia="zh-CN"/>
              </w:rPr>
              <w:t>6</w:t>
            </w:r>
          </w:p>
        </w:tc>
        <w:tc>
          <w:tcPr>
            <w:tcW w:w="8181" w:type="dxa"/>
            <w:noWrap w:val="0"/>
            <w:vAlign w:val="center"/>
          </w:tcPr>
          <w:p w14:paraId="1F61D4DC">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验收：</w:t>
            </w:r>
          </w:p>
          <w:p w14:paraId="69EB8070">
            <w:pPr>
              <w:spacing w:line="360" w:lineRule="auto"/>
              <w:ind w:firstLine="480" w:firstLineChars="200"/>
              <w:rPr>
                <w:rFonts w:hint="eastAsia" w:hAnsi="宋体" w:cs="宋体"/>
                <w:szCs w:val="24"/>
                <w:highlight w:val="none"/>
              </w:rPr>
            </w:pPr>
            <w:r>
              <w:rPr>
                <w:rFonts w:hint="eastAsia" w:hAnsi="宋体" w:cs="宋体"/>
                <w:szCs w:val="24"/>
                <w:highlight w:val="none"/>
              </w:rPr>
              <w:t>根据作业设计质量技术要求实地验收，不合格的面积必须扣除，规划范围外的不予验收。检查是否按作业设计要求全面完成施工内容，施工质量是否达到作业设计标准。验收由乙方提出验收申请，甲方组织技术人员进行现地验收。</w:t>
            </w:r>
          </w:p>
          <w:p w14:paraId="228A2478">
            <w:pPr>
              <w:spacing w:line="360" w:lineRule="auto"/>
              <w:ind w:firstLine="480" w:firstLineChars="200"/>
              <w:rPr>
                <w:rFonts w:hint="eastAsia" w:hAnsi="宋体" w:cs="宋体"/>
                <w:szCs w:val="24"/>
                <w:highlight w:val="none"/>
              </w:rPr>
            </w:pPr>
            <w:r>
              <w:rPr>
                <w:rFonts w:hint="eastAsia" w:hAnsi="宋体" w:cs="宋体"/>
                <w:szCs w:val="24"/>
                <w:highlight w:val="none"/>
              </w:rPr>
              <w:t>由</w:t>
            </w:r>
            <w:r>
              <w:rPr>
                <w:rFonts w:hint="eastAsia" w:hAnsi="宋体" w:cs="宋体"/>
                <w:szCs w:val="24"/>
                <w:highlight w:val="none"/>
                <w:lang w:eastAsia="zh-CN"/>
              </w:rPr>
              <w:t>采购人</w:t>
            </w:r>
            <w:r>
              <w:rPr>
                <w:rFonts w:hint="eastAsia" w:hAnsi="宋体" w:cs="宋体"/>
                <w:szCs w:val="24"/>
                <w:highlight w:val="none"/>
              </w:rPr>
              <w:t>和供应商共同对项目进行整体验收。其内容包括苗木质量、成活率、</w:t>
            </w:r>
            <w:r>
              <w:rPr>
                <w:rFonts w:hint="eastAsia" w:hAnsi="宋体" w:cs="宋体"/>
                <w:szCs w:val="24"/>
                <w:highlight w:val="none"/>
                <w:lang w:eastAsia="zh-CN"/>
              </w:rPr>
              <w:t>造林</w:t>
            </w:r>
            <w:r>
              <w:rPr>
                <w:rFonts w:hint="eastAsia" w:hAnsi="宋体" w:cs="宋体"/>
                <w:szCs w:val="24"/>
                <w:highlight w:val="none"/>
              </w:rPr>
              <w:t>施工是否达到现行国家有关验收规范“合格”标准、是否按照</w:t>
            </w:r>
            <w:r>
              <w:rPr>
                <w:rFonts w:hint="eastAsia" w:hAnsi="宋体" w:cs="宋体"/>
                <w:szCs w:val="24"/>
                <w:highlight w:val="none"/>
                <w:lang w:eastAsia="zh-CN"/>
              </w:rPr>
              <w:t>采购人</w:t>
            </w:r>
            <w:r>
              <w:rPr>
                <w:rFonts w:hint="eastAsia" w:hAnsi="宋体" w:cs="宋体"/>
                <w:szCs w:val="24"/>
                <w:highlight w:val="none"/>
              </w:rPr>
              <w:t>要求按时完工。</w:t>
            </w:r>
          </w:p>
          <w:p w14:paraId="672B2EC5">
            <w:pPr>
              <w:spacing w:line="360" w:lineRule="auto"/>
              <w:ind w:firstLine="480" w:firstLineChars="200"/>
              <w:rPr>
                <w:rFonts w:hint="eastAsia" w:hAnsi="宋体" w:cs="宋体"/>
                <w:szCs w:val="24"/>
                <w:highlight w:val="none"/>
              </w:rPr>
            </w:pPr>
            <w:r>
              <w:rPr>
                <w:rFonts w:hint="eastAsia" w:hAnsi="宋体" w:cs="宋体"/>
                <w:szCs w:val="24"/>
                <w:highlight w:val="none"/>
              </w:rPr>
              <w:t>1.所验各项内容最终验收达不到磋商文件要求和磋商响应文件承诺的，或在后续使用中发现</w:t>
            </w:r>
            <w:r>
              <w:rPr>
                <w:rFonts w:hint="eastAsia" w:hAnsi="宋体" w:cs="宋体"/>
                <w:szCs w:val="24"/>
                <w:highlight w:val="none"/>
                <w:lang w:eastAsia="zh-CN"/>
              </w:rPr>
              <w:t>采购人</w:t>
            </w:r>
            <w:r>
              <w:rPr>
                <w:rFonts w:hint="eastAsia" w:hAnsi="宋体" w:cs="宋体"/>
                <w:szCs w:val="24"/>
                <w:highlight w:val="none"/>
              </w:rPr>
              <w:t>不能容忍的缺陷等，将视为验收不合格，供应商应在采购人要求的时间内无条件整改及恢复。</w:t>
            </w:r>
          </w:p>
          <w:p w14:paraId="6AE7D99C">
            <w:pPr>
              <w:spacing w:line="360" w:lineRule="auto"/>
              <w:ind w:firstLine="480" w:firstLineChars="200"/>
              <w:rPr>
                <w:rFonts w:hint="eastAsia" w:hAnsi="宋体" w:cs="宋体"/>
                <w:szCs w:val="24"/>
                <w:highlight w:val="none"/>
              </w:rPr>
            </w:pPr>
            <w:r>
              <w:rPr>
                <w:rFonts w:hint="eastAsia" w:hAnsi="宋体" w:cs="宋体"/>
                <w:szCs w:val="24"/>
                <w:highlight w:val="none"/>
              </w:rPr>
              <w:t>2.若发现供应商有弄虚作假的，在磋商阶段故意或随意夸大技术能力、工程、服务质量的，采购人有权解除合同，并且要求供应商赔偿相关损失。</w:t>
            </w:r>
          </w:p>
          <w:p w14:paraId="22279D2B">
            <w:pPr>
              <w:spacing w:line="360" w:lineRule="auto"/>
              <w:ind w:firstLine="480" w:firstLineChars="200"/>
              <w:rPr>
                <w:rFonts w:hint="eastAsia" w:hAnsi="宋体" w:cs="宋体"/>
                <w:szCs w:val="24"/>
                <w:highlight w:val="none"/>
              </w:rPr>
            </w:pPr>
            <w:r>
              <w:rPr>
                <w:rFonts w:hint="eastAsia" w:hAnsi="宋体" w:cs="宋体"/>
                <w:szCs w:val="24"/>
                <w:highlight w:val="none"/>
              </w:rPr>
              <w:t>3.验收标准：按磋商文件、磋商响应文件及澄清函等技术指标进行验收。各项指标均应符合验收标准及要求。</w:t>
            </w:r>
          </w:p>
          <w:p w14:paraId="2E4F7ADC">
            <w:pPr>
              <w:spacing w:line="360" w:lineRule="auto"/>
              <w:ind w:firstLine="480" w:firstLineChars="200"/>
              <w:rPr>
                <w:rFonts w:hint="eastAsia" w:hAnsi="宋体" w:cs="宋体"/>
                <w:szCs w:val="24"/>
                <w:highlight w:val="none"/>
              </w:rPr>
            </w:pPr>
            <w:r>
              <w:rPr>
                <w:rFonts w:hint="eastAsia" w:hAnsi="宋体" w:cs="宋体"/>
                <w:szCs w:val="24"/>
                <w:highlight w:val="none"/>
              </w:rPr>
              <w:t>4.验收合格后，填写验收单，双方签字生效。</w:t>
            </w:r>
          </w:p>
          <w:p w14:paraId="2CA14EFE">
            <w:pPr>
              <w:spacing w:line="360" w:lineRule="auto"/>
              <w:ind w:firstLine="480" w:firstLineChars="200"/>
              <w:rPr>
                <w:rFonts w:hint="eastAsia" w:hAnsi="宋体" w:cs="宋体"/>
                <w:szCs w:val="24"/>
                <w:highlight w:val="none"/>
              </w:rPr>
            </w:pPr>
            <w:r>
              <w:rPr>
                <w:rFonts w:hint="eastAsia" w:hAnsi="宋体" w:cs="宋体"/>
                <w:szCs w:val="24"/>
                <w:highlight w:val="none"/>
              </w:rPr>
              <w:t>5.验收依据：</w:t>
            </w:r>
          </w:p>
          <w:p w14:paraId="4F3E3B70">
            <w:pPr>
              <w:spacing w:line="360" w:lineRule="auto"/>
              <w:ind w:firstLine="480" w:firstLineChars="200"/>
              <w:rPr>
                <w:rFonts w:hint="eastAsia" w:hAnsi="宋体" w:cs="宋体"/>
                <w:szCs w:val="24"/>
                <w:highlight w:val="none"/>
              </w:rPr>
            </w:pPr>
            <w:r>
              <w:rPr>
                <w:rFonts w:hint="eastAsia" w:hAnsi="宋体" w:cs="宋体"/>
                <w:szCs w:val="24"/>
                <w:highlight w:val="none"/>
              </w:rPr>
              <w:t>a)合同文本；</w:t>
            </w:r>
          </w:p>
          <w:p w14:paraId="3135AB97">
            <w:pPr>
              <w:spacing w:line="360" w:lineRule="auto"/>
              <w:ind w:firstLine="480" w:firstLineChars="200"/>
              <w:rPr>
                <w:rFonts w:hint="eastAsia" w:hAnsi="宋体" w:cs="宋体"/>
                <w:szCs w:val="24"/>
                <w:highlight w:val="none"/>
              </w:rPr>
            </w:pPr>
            <w:r>
              <w:rPr>
                <w:rFonts w:hint="eastAsia" w:hAnsi="宋体" w:cs="宋体"/>
                <w:szCs w:val="24"/>
                <w:highlight w:val="none"/>
              </w:rPr>
              <w:t>b)磋商文件及澄清函、磋商响应文件；</w:t>
            </w:r>
          </w:p>
          <w:p w14:paraId="62A02C3C">
            <w:pPr>
              <w:spacing w:line="360" w:lineRule="auto"/>
              <w:ind w:firstLine="480" w:firstLineChars="200"/>
              <w:rPr>
                <w:rFonts w:hint="eastAsia" w:hAnsi="宋体" w:cs="宋体"/>
                <w:szCs w:val="24"/>
                <w:highlight w:val="none"/>
              </w:rPr>
            </w:pPr>
            <w:r>
              <w:rPr>
                <w:rFonts w:hint="eastAsia" w:hAnsi="宋体" w:cs="宋体"/>
                <w:szCs w:val="24"/>
                <w:highlight w:val="none"/>
              </w:rPr>
              <w:t>c)国家和行业制定的相应的标准和规范；</w:t>
            </w:r>
          </w:p>
          <w:p w14:paraId="5A1F454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hAnsi="宋体" w:cs="宋体"/>
                <w:szCs w:val="24"/>
                <w:highlight w:val="none"/>
              </w:rPr>
              <w:t>d)验收清单。</w:t>
            </w:r>
          </w:p>
        </w:tc>
      </w:tr>
      <w:tr w14:paraId="654A3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14:paraId="2D0D517E">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7</w:t>
            </w:r>
          </w:p>
        </w:tc>
        <w:tc>
          <w:tcPr>
            <w:tcW w:w="8181" w:type="dxa"/>
            <w:noWrap w:val="0"/>
            <w:vAlign w:val="center"/>
          </w:tcPr>
          <w:p w14:paraId="25BFE2D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违约责任：</w:t>
            </w:r>
          </w:p>
          <w:p w14:paraId="2871D2A9">
            <w:pPr>
              <w:tabs>
                <w:tab w:val="left" w:pos="152"/>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w:t>
            </w:r>
            <w:r>
              <w:rPr>
                <w:rFonts w:hint="eastAsia" w:hAnsi="宋体" w:cs="宋体"/>
                <w:szCs w:val="24"/>
                <w:highlight w:val="none"/>
                <w:lang w:eastAsia="zh-CN"/>
              </w:rPr>
              <w:t>中华人民共和国民法典</w:t>
            </w:r>
            <w:r>
              <w:rPr>
                <w:rFonts w:hint="eastAsia" w:ascii="宋体" w:hAnsi="宋体" w:eastAsia="宋体" w:cs="宋体"/>
                <w:szCs w:val="24"/>
                <w:highlight w:val="none"/>
              </w:rPr>
              <w:t>》中的相关条款执行。</w:t>
            </w:r>
          </w:p>
          <w:p w14:paraId="66A81AE1">
            <w:pPr>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Cs w:val="24"/>
                <w:highlight w:val="none"/>
                <w:lang w:eastAsia="zh-CN"/>
              </w:rPr>
              <w:t>中华人民共和国民法典</w:t>
            </w:r>
            <w:r>
              <w:rPr>
                <w:rFonts w:hint="eastAsia" w:ascii="宋体" w:hAnsi="宋体" w:eastAsia="宋体" w:cs="宋体"/>
                <w:szCs w:val="24"/>
                <w:highlight w:val="none"/>
              </w:rPr>
              <w:t>》有关条款及合同约定终止合同，并要求服务商承担违约责任。同时，政府采购监管部门有权依据《</w:t>
            </w:r>
            <w:r>
              <w:rPr>
                <w:rFonts w:hint="eastAsia" w:hAnsi="宋体" w:cs="宋体"/>
                <w:szCs w:val="24"/>
                <w:highlight w:val="none"/>
                <w:lang w:val="en-US" w:eastAsia="zh-CN"/>
              </w:rPr>
              <w:t>中华人民共和国</w:t>
            </w:r>
            <w:r>
              <w:rPr>
                <w:rFonts w:hint="eastAsia" w:ascii="宋体" w:hAnsi="宋体" w:eastAsia="宋体" w:cs="宋体"/>
                <w:szCs w:val="24"/>
                <w:highlight w:val="none"/>
              </w:rPr>
              <w:t>政府采购法》及相关法律法规对服务商的违法行为进行相应的处罚。</w:t>
            </w:r>
          </w:p>
        </w:tc>
      </w:tr>
      <w:tr w14:paraId="4A926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16" w:hRule="atLeast"/>
        </w:trPr>
        <w:tc>
          <w:tcPr>
            <w:tcW w:w="1171" w:type="dxa"/>
            <w:noWrap w:val="0"/>
            <w:vAlign w:val="center"/>
          </w:tcPr>
          <w:p w14:paraId="7F90F6F1">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8</w:t>
            </w:r>
          </w:p>
        </w:tc>
        <w:tc>
          <w:tcPr>
            <w:tcW w:w="8181" w:type="dxa"/>
            <w:noWrap w:val="0"/>
            <w:vAlign w:val="center"/>
          </w:tcPr>
          <w:p w14:paraId="4D32C4D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政府采购合同：</w:t>
            </w:r>
          </w:p>
          <w:p w14:paraId="25E9691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政府采购合同适用《</w:t>
            </w:r>
            <w:r>
              <w:rPr>
                <w:rFonts w:hint="eastAsia" w:hAnsi="宋体" w:cs="宋体"/>
                <w:szCs w:val="24"/>
                <w:highlight w:val="none"/>
                <w:lang w:eastAsia="zh-CN"/>
              </w:rPr>
              <w:t>中华人民共和国民法典</w:t>
            </w:r>
            <w:r>
              <w:rPr>
                <w:rFonts w:hint="eastAsia" w:ascii="宋体" w:hAnsi="宋体" w:eastAsia="宋体" w:cs="宋体"/>
                <w:szCs w:val="24"/>
                <w:highlight w:val="none"/>
              </w:rPr>
              <w:t>》。采购人和供应商之间的权利和义务，应当按照平等、自愿的原则以合同方式约定。</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采购人与中标、成交供应商应当在中标、成交通知书发出之日起</w:t>
            </w:r>
            <w:r>
              <w:rPr>
                <w:rFonts w:hint="eastAsia" w:hAnsi="宋体" w:cs="宋体"/>
                <w:szCs w:val="24"/>
                <w:highlight w:val="none"/>
                <w:lang w:val="en-US" w:eastAsia="zh-CN"/>
              </w:rPr>
              <w:t>二十五</w:t>
            </w:r>
            <w:r>
              <w:rPr>
                <w:rFonts w:hint="eastAsia" w:ascii="宋体" w:hAnsi="宋体" w:eastAsia="宋体" w:cs="宋体"/>
                <w:szCs w:val="24"/>
                <w:highlight w:val="none"/>
              </w:rPr>
              <w:t>日内，按照采购文件确定的事项签订政府采购合同。</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646FFCA">
            <w:pPr>
              <w:pStyle w:val="11"/>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政府采购合同的双方当事人不得擅自变更、中止或者终止合同。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7A29F75E">
      <w:pPr>
        <w:rPr>
          <w:rFonts w:hint="eastAsia" w:ascii="宋体" w:hAnsi="宋体" w:eastAsia="宋体" w:cs="宋体"/>
          <w:sz w:val="32"/>
          <w:highlight w:val="none"/>
        </w:rPr>
      </w:pPr>
      <w:bookmarkStart w:id="93" w:name="_Toc31520"/>
      <w:bookmarkStart w:id="94" w:name="_Toc389582037"/>
      <w:bookmarkStart w:id="95" w:name="_Toc29888"/>
      <w:bookmarkStart w:id="96" w:name="_Toc19199"/>
      <w:bookmarkStart w:id="97" w:name="_Toc423973075"/>
      <w:bookmarkStart w:id="98" w:name="_Toc8333"/>
      <w:bookmarkStart w:id="99" w:name="_Toc19246"/>
      <w:bookmarkStart w:id="100" w:name="_Toc26595"/>
      <w:bookmarkStart w:id="101" w:name="_Toc4679"/>
      <w:r>
        <w:rPr>
          <w:rFonts w:hint="eastAsia" w:ascii="宋体" w:hAnsi="宋体" w:eastAsia="宋体" w:cs="宋体"/>
          <w:b/>
          <w:bCs/>
          <w:sz w:val="48"/>
          <w:szCs w:val="48"/>
          <w:highlight w:val="none"/>
        </w:rPr>
        <w:br w:type="page"/>
      </w:r>
    </w:p>
    <w:p w14:paraId="33B920DC">
      <w:pPr>
        <w:pStyle w:val="8"/>
        <w:rPr>
          <w:rFonts w:hint="eastAsia" w:ascii="宋体" w:hAnsi="宋体"/>
          <w:sz w:val="24"/>
          <w:highlight w:val="none"/>
        </w:rPr>
        <w:sectPr>
          <w:footerReference r:id="rId11" w:type="first"/>
          <w:footerReference r:id="rId10" w:type="default"/>
          <w:pgSz w:w="11906" w:h="16838"/>
          <w:pgMar w:top="1361" w:right="1304" w:bottom="1361" w:left="1304" w:header="851" w:footer="992" w:gutter="0"/>
          <w:pgNumType w:fmt="decimal" w:start="1"/>
          <w:cols w:space="720" w:num="1"/>
          <w:rtlGutter w:val="0"/>
          <w:docGrid w:type="lines" w:linePitch="312" w:charSpace="0"/>
        </w:sectPr>
      </w:pPr>
    </w:p>
    <w:p w14:paraId="208E98F3">
      <w:pPr>
        <w:jc w:val="center"/>
        <w:rPr>
          <w:rFonts w:hint="eastAsia" w:ascii="华文仿宋" w:hAnsi="华文仿宋" w:eastAsia="华文仿宋" w:cs="华文仿宋"/>
          <w:b/>
          <w:color w:val="auto"/>
          <w:sz w:val="48"/>
          <w:szCs w:val="48"/>
          <w:highlight w:val="none"/>
          <w:lang w:eastAsia="zh-CN"/>
        </w:rPr>
      </w:pPr>
      <w:bookmarkStart w:id="102" w:name="_Toc4254"/>
    </w:p>
    <w:p w14:paraId="2772479C">
      <w:pPr>
        <w:jc w:val="center"/>
        <w:rPr>
          <w:rFonts w:hint="eastAsia" w:ascii="华文仿宋" w:hAnsi="华文仿宋" w:eastAsia="华文仿宋" w:cs="华文仿宋"/>
          <w:b/>
          <w:color w:val="auto"/>
          <w:sz w:val="48"/>
          <w:szCs w:val="48"/>
          <w:highlight w:val="none"/>
          <w:lang w:eastAsia="zh-CN"/>
        </w:rPr>
      </w:pPr>
    </w:p>
    <w:p w14:paraId="00AF39D9">
      <w:pPr>
        <w:jc w:val="center"/>
        <w:rPr>
          <w:rFonts w:hint="eastAsia" w:ascii="华文仿宋" w:hAnsi="华文仿宋" w:eastAsia="华文仿宋" w:cs="华文仿宋"/>
          <w:b/>
          <w:color w:val="auto"/>
          <w:sz w:val="48"/>
          <w:szCs w:val="48"/>
          <w:highlight w:val="none"/>
          <w:lang w:eastAsia="zh-CN"/>
        </w:rPr>
      </w:pPr>
    </w:p>
    <w:p w14:paraId="68185F0F">
      <w:pPr>
        <w:jc w:val="center"/>
        <w:rPr>
          <w:rFonts w:hint="eastAsia" w:ascii="华文仿宋" w:hAnsi="华文仿宋" w:eastAsia="华文仿宋" w:cs="华文仿宋"/>
          <w:b/>
          <w:color w:val="auto"/>
          <w:sz w:val="48"/>
          <w:szCs w:val="48"/>
          <w:highlight w:val="none"/>
          <w:lang w:eastAsia="zh-CN"/>
        </w:rPr>
      </w:pPr>
    </w:p>
    <w:p w14:paraId="5147DADF">
      <w:pPr>
        <w:jc w:val="center"/>
        <w:rPr>
          <w:rFonts w:hint="eastAsia"/>
          <w:b/>
          <w:color w:val="auto"/>
          <w:sz w:val="40"/>
          <w:szCs w:val="40"/>
          <w:highlight w:val="none"/>
        </w:rPr>
      </w:pPr>
      <w:r>
        <w:rPr>
          <w:rFonts w:hint="eastAsia" w:ascii="华文仿宋" w:hAnsi="华文仿宋" w:eastAsia="华文仿宋" w:cs="华文仿宋"/>
          <w:b/>
          <w:color w:val="auto"/>
          <w:sz w:val="48"/>
          <w:szCs w:val="48"/>
          <w:highlight w:val="none"/>
          <w:lang w:eastAsia="zh-CN"/>
        </w:rPr>
        <w:t>柞水县城区周边森林管护与绿化提升项目</w:t>
      </w:r>
    </w:p>
    <w:p w14:paraId="09386616">
      <w:pPr>
        <w:jc w:val="center"/>
        <w:rPr>
          <w:rFonts w:hint="eastAsia"/>
          <w:b/>
          <w:color w:val="auto"/>
          <w:sz w:val="44"/>
          <w:szCs w:val="44"/>
          <w:highlight w:val="none"/>
        </w:rPr>
      </w:pPr>
      <w:r>
        <w:rPr>
          <w:rFonts w:hint="eastAsia"/>
          <w:b/>
          <w:color w:val="auto"/>
          <w:sz w:val="44"/>
          <w:szCs w:val="44"/>
          <w:highlight w:val="none"/>
        </w:rPr>
        <w:t>（示范文本）</w:t>
      </w:r>
    </w:p>
    <w:p w14:paraId="4520AE79">
      <w:pPr>
        <w:pStyle w:val="8"/>
        <w:rPr>
          <w:rFonts w:hint="eastAsia"/>
          <w:highlight w:val="none"/>
        </w:rPr>
      </w:pPr>
    </w:p>
    <w:p w14:paraId="69864959">
      <w:pPr>
        <w:shd w:val="clear"/>
        <w:rPr>
          <w:color w:val="000000"/>
          <w:highlight w:val="none"/>
        </w:rPr>
      </w:pPr>
      <w:r>
        <w:rPr>
          <w:rFonts w:hint="eastAsia" w:ascii="仿宋" w:hAnsi="仿宋" w:eastAsia="仿宋" w:cs="仿宋"/>
          <w:b/>
          <w:color w:val="000000"/>
          <w:szCs w:val="24"/>
          <w:highlight w:val="none"/>
        </w:rPr>
        <w:t>（本格式条款供双方签订合同参考，采购人可根据项目的实际情况增加条款和内容）</w:t>
      </w:r>
    </w:p>
    <w:p w14:paraId="2C997C06">
      <w:pPr>
        <w:jc w:val="center"/>
        <w:rPr>
          <w:rFonts w:hint="eastAsia"/>
          <w:color w:val="auto"/>
          <w:sz w:val="28"/>
          <w:szCs w:val="28"/>
          <w:highlight w:val="none"/>
        </w:rPr>
      </w:pPr>
    </w:p>
    <w:p w14:paraId="1B205463">
      <w:pPr>
        <w:jc w:val="center"/>
        <w:rPr>
          <w:rFonts w:hint="eastAsia"/>
          <w:color w:val="auto"/>
          <w:sz w:val="28"/>
          <w:szCs w:val="28"/>
          <w:highlight w:val="none"/>
        </w:rPr>
      </w:pPr>
    </w:p>
    <w:p w14:paraId="57DD29F1">
      <w:pPr>
        <w:rPr>
          <w:rFonts w:hint="eastAsia"/>
          <w:color w:val="auto"/>
          <w:sz w:val="28"/>
          <w:szCs w:val="28"/>
          <w:highlight w:val="none"/>
        </w:rPr>
      </w:pPr>
    </w:p>
    <w:p w14:paraId="25F1845D">
      <w:pPr>
        <w:rPr>
          <w:rFonts w:hint="eastAsia"/>
          <w:color w:val="auto"/>
          <w:sz w:val="28"/>
          <w:szCs w:val="28"/>
          <w:highlight w:val="none"/>
        </w:rPr>
      </w:pPr>
    </w:p>
    <w:p w14:paraId="2185029E">
      <w:pPr>
        <w:rPr>
          <w:rFonts w:hint="eastAsia"/>
          <w:color w:val="auto"/>
          <w:sz w:val="28"/>
          <w:szCs w:val="28"/>
          <w:highlight w:val="none"/>
        </w:rPr>
      </w:pPr>
    </w:p>
    <w:p w14:paraId="46D568FB">
      <w:pPr>
        <w:rPr>
          <w:rFonts w:hint="eastAsia"/>
          <w:color w:val="auto"/>
          <w:sz w:val="28"/>
          <w:szCs w:val="28"/>
          <w:highlight w:val="none"/>
        </w:rPr>
      </w:pPr>
    </w:p>
    <w:p w14:paraId="78D95D52">
      <w:pPr>
        <w:rPr>
          <w:rFonts w:hint="eastAsia"/>
          <w:color w:val="auto"/>
          <w:sz w:val="28"/>
          <w:szCs w:val="28"/>
          <w:highlight w:val="none"/>
        </w:rPr>
      </w:pPr>
    </w:p>
    <w:p w14:paraId="66CEBC75">
      <w:pPr>
        <w:rPr>
          <w:rFonts w:hint="eastAsia"/>
          <w:color w:val="auto"/>
          <w:sz w:val="28"/>
          <w:szCs w:val="28"/>
          <w:highlight w:val="none"/>
        </w:rPr>
      </w:pPr>
    </w:p>
    <w:p w14:paraId="0DA22DE0">
      <w:pPr>
        <w:rPr>
          <w:rFonts w:hint="eastAsia"/>
          <w:color w:val="auto"/>
          <w:sz w:val="28"/>
          <w:szCs w:val="28"/>
          <w:highlight w:val="none"/>
        </w:rPr>
      </w:pPr>
    </w:p>
    <w:p w14:paraId="2CCA8DAE">
      <w:pPr>
        <w:rPr>
          <w:rFonts w:hint="eastAsia"/>
          <w:color w:val="auto"/>
          <w:sz w:val="28"/>
          <w:szCs w:val="28"/>
          <w:highlight w:val="none"/>
        </w:rPr>
      </w:pPr>
    </w:p>
    <w:p w14:paraId="77827149">
      <w:pPr>
        <w:rPr>
          <w:rFonts w:hint="eastAsia"/>
          <w:color w:val="auto"/>
          <w:sz w:val="28"/>
          <w:szCs w:val="28"/>
          <w:highlight w:val="none"/>
        </w:rPr>
      </w:pPr>
    </w:p>
    <w:p w14:paraId="3C041955">
      <w:pPr>
        <w:rPr>
          <w:rFonts w:hint="eastAsia"/>
          <w:color w:val="auto"/>
          <w:sz w:val="28"/>
          <w:szCs w:val="28"/>
          <w:highlight w:val="none"/>
        </w:rPr>
      </w:pPr>
    </w:p>
    <w:p w14:paraId="23D695C1">
      <w:pPr>
        <w:rPr>
          <w:rFonts w:hint="eastAsia"/>
          <w:color w:val="auto"/>
          <w:sz w:val="28"/>
          <w:szCs w:val="28"/>
          <w:highlight w:val="none"/>
        </w:rPr>
      </w:pPr>
    </w:p>
    <w:p w14:paraId="3C488C6E">
      <w:pPr>
        <w:rPr>
          <w:rFonts w:hint="eastAsia"/>
          <w:color w:val="auto"/>
          <w:sz w:val="28"/>
          <w:szCs w:val="28"/>
          <w:highlight w:val="none"/>
        </w:rPr>
      </w:pPr>
    </w:p>
    <w:p w14:paraId="7F427A0C">
      <w:pPr>
        <w:shd w:val="clear"/>
        <w:spacing w:line="360" w:lineRule="auto"/>
        <w:ind w:left="1469" w:hanging="1469" w:hangingChars="400"/>
        <w:jc w:val="center"/>
        <w:rPr>
          <w:rFonts w:hint="eastAsia" w:ascii="仿宋" w:hAnsi="仿宋" w:eastAsia="仿宋" w:cs="仿宋"/>
          <w:b/>
          <w:spacing w:val="23"/>
          <w:sz w:val="32"/>
          <w:szCs w:val="32"/>
          <w:highlight w:val="none"/>
        </w:rPr>
      </w:pPr>
    </w:p>
    <w:p w14:paraId="6C22E0F0">
      <w:pPr>
        <w:shd w:val="clear"/>
        <w:spacing w:line="360" w:lineRule="auto"/>
        <w:ind w:left="1469" w:hanging="1469" w:hangingChars="400"/>
        <w:jc w:val="center"/>
        <w:rPr>
          <w:rFonts w:hint="eastAsia" w:ascii="仿宋" w:hAnsi="仿宋" w:eastAsia="仿宋" w:cs="仿宋"/>
          <w:b/>
          <w:spacing w:val="23"/>
          <w:sz w:val="32"/>
          <w:szCs w:val="32"/>
          <w:highlight w:val="none"/>
        </w:rPr>
      </w:pPr>
    </w:p>
    <w:p w14:paraId="21C80E8B">
      <w:pPr>
        <w:shd w:val="clear"/>
        <w:spacing w:line="360" w:lineRule="auto"/>
        <w:ind w:left="1469" w:hanging="1469" w:hangingChars="400"/>
        <w:jc w:val="center"/>
        <w:rPr>
          <w:rFonts w:hint="eastAsia" w:ascii="仿宋" w:hAnsi="仿宋" w:eastAsia="仿宋" w:cs="仿宋"/>
          <w:b/>
          <w:spacing w:val="23"/>
          <w:sz w:val="32"/>
          <w:szCs w:val="32"/>
          <w:highlight w:val="none"/>
        </w:rPr>
      </w:pPr>
    </w:p>
    <w:p w14:paraId="7B16C98A">
      <w:pPr>
        <w:shd w:val="clear"/>
        <w:spacing w:line="360" w:lineRule="auto"/>
        <w:ind w:left="1469" w:hanging="1469" w:hangingChars="400"/>
        <w:jc w:val="center"/>
        <w:rPr>
          <w:rFonts w:hint="eastAsia" w:ascii="仿宋" w:hAnsi="仿宋" w:eastAsia="仿宋" w:cs="仿宋"/>
          <w:b/>
          <w:spacing w:val="23"/>
          <w:sz w:val="32"/>
          <w:szCs w:val="32"/>
          <w:highlight w:val="none"/>
        </w:rPr>
      </w:pPr>
      <w:r>
        <w:rPr>
          <w:rFonts w:hint="eastAsia" w:ascii="仿宋" w:hAnsi="仿宋" w:eastAsia="仿宋" w:cs="仿宋"/>
          <w:b/>
          <w:spacing w:val="23"/>
          <w:sz w:val="32"/>
          <w:szCs w:val="32"/>
          <w:highlight w:val="none"/>
        </w:rPr>
        <w:t>甲方(</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"http://set2.mail.qq.com/cgi-bin/mail_spam?action=check_link&amp;spam=0&amp;url=http%3A%2F%2Fwww%2Ebaidu%2Ecom%2Fs%3Fwd%3D%25E9%2587%2587%25E8%25B4%25AD%25E5%258D%2595%26hl_tag%3Dtextlink%26tn%3DSE_hldp01350_v6v6zkg6" </w:instrText>
      </w:r>
      <w:r>
        <w:rPr>
          <w:rFonts w:hint="eastAsia" w:ascii="仿宋" w:hAnsi="仿宋" w:eastAsia="仿宋" w:cs="仿宋"/>
          <w:highlight w:val="none"/>
        </w:rPr>
        <w:fldChar w:fldCharType="separate"/>
      </w:r>
      <w:r>
        <w:rPr>
          <w:rFonts w:hint="eastAsia" w:ascii="仿宋" w:hAnsi="仿宋" w:eastAsia="仿宋" w:cs="仿宋"/>
          <w:b/>
          <w:spacing w:val="23"/>
          <w:sz w:val="32"/>
          <w:szCs w:val="32"/>
          <w:highlight w:val="none"/>
        </w:rPr>
        <w:t>采购人</w:t>
      </w:r>
      <w:r>
        <w:rPr>
          <w:rFonts w:hint="eastAsia" w:ascii="仿宋" w:hAnsi="仿宋" w:eastAsia="仿宋" w:cs="仿宋"/>
          <w:b/>
          <w:spacing w:val="23"/>
          <w:sz w:val="32"/>
          <w:szCs w:val="32"/>
          <w:highlight w:val="none"/>
        </w:rPr>
        <w:fldChar w:fldCharType="end"/>
      </w:r>
      <w:r>
        <w:rPr>
          <w:rFonts w:hint="eastAsia" w:ascii="仿宋" w:hAnsi="仿宋" w:eastAsia="仿宋" w:cs="仿宋"/>
          <w:b/>
          <w:spacing w:val="23"/>
          <w:sz w:val="32"/>
          <w:szCs w:val="32"/>
          <w:highlight w:val="none"/>
        </w:rPr>
        <w:t>)：</w:t>
      </w:r>
      <w:r>
        <w:rPr>
          <w:rFonts w:hint="eastAsia" w:ascii="仿宋" w:hAnsi="仿宋" w:eastAsia="仿宋" w:cs="仿宋"/>
          <w:spacing w:val="23"/>
          <w:sz w:val="28"/>
          <w:szCs w:val="28"/>
          <w:highlight w:val="none"/>
          <w:u w:val="single"/>
        </w:rPr>
        <w:t></w:t>
      </w:r>
    </w:p>
    <w:p w14:paraId="0A423C52">
      <w:pPr>
        <w:shd w:val="clear"/>
        <w:spacing w:line="360" w:lineRule="auto"/>
        <w:ind w:left="1285" w:hanging="960" w:hangingChars="400"/>
        <w:jc w:val="center"/>
        <w:rPr>
          <w:rFonts w:hint="eastAsia" w:ascii="仿宋" w:hAnsi="仿宋" w:eastAsia="仿宋" w:cs="仿宋"/>
          <w:spacing w:val="23"/>
          <w:sz w:val="28"/>
          <w:szCs w:val="28"/>
          <w:highlight w:val="none"/>
          <w:u w:val="singl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仿宋" w:hAnsi="仿宋" w:eastAsia="仿宋" w:cs="仿宋"/>
          <w:highlight w:val="none"/>
        </w:rPr>
        <w:fldChar w:fldCharType="separate"/>
      </w:r>
      <w:r>
        <w:rPr>
          <w:rFonts w:hint="eastAsia" w:ascii="仿宋" w:hAnsi="仿宋" w:eastAsia="仿宋" w:cs="仿宋"/>
          <w:b/>
          <w:spacing w:val="23"/>
          <w:sz w:val="32"/>
          <w:szCs w:val="32"/>
          <w:highlight w:val="none"/>
        </w:rPr>
        <w:t>乙方</w:t>
      </w:r>
      <w:r>
        <w:rPr>
          <w:rFonts w:hint="eastAsia" w:ascii="仿宋" w:hAnsi="仿宋" w:eastAsia="仿宋" w:cs="仿宋"/>
          <w:b/>
          <w:spacing w:val="23"/>
          <w:sz w:val="32"/>
          <w:szCs w:val="32"/>
          <w:highlight w:val="none"/>
        </w:rPr>
        <w:fldChar w:fldCharType="end"/>
      </w:r>
      <w:r>
        <w:rPr>
          <w:rFonts w:hint="eastAsia" w:ascii="仿宋" w:hAnsi="仿宋" w:eastAsia="仿宋" w:cs="仿宋"/>
          <w:b/>
          <w:spacing w:val="23"/>
          <w:sz w:val="32"/>
          <w:szCs w:val="32"/>
          <w:highlight w:val="none"/>
        </w:rPr>
        <w:t>(供应商)：</w:t>
      </w:r>
      <w:r>
        <w:rPr>
          <w:rFonts w:hint="eastAsia" w:ascii="仿宋" w:hAnsi="仿宋" w:eastAsia="仿宋" w:cs="仿宋"/>
          <w:spacing w:val="23"/>
          <w:sz w:val="28"/>
          <w:szCs w:val="28"/>
          <w:highlight w:val="none"/>
          <w:u w:val="single"/>
        </w:rPr>
        <w:t></w:t>
      </w:r>
    </w:p>
    <w:p w14:paraId="6AF07B9A">
      <w:pPr>
        <w:shd w:val="clear"/>
        <w:tabs>
          <w:tab w:val="left" w:pos="1995"/>
        </w:tabs>
        <w:spacing w:line="360" w:lineRule="auto"/>
        <w:ind w:left="1469" w:hanging="1469" w:hangingChars="400"/>
        <w:jc w:val="center"/>
        <w:rPr>
          <w:rFonts w:hint="eastAsia" w:ascii="仿宋" w:hAnsi="仿宋" w:eastAsia="仿宋" w:cs="仿宋"/>
          <w:b/>
          <w:spacing w:val="23"/>
          <w:sz w:val="32"/>
          <w:szCs w:val="32"/>
          <w:highlight w:val="none"/>
        </w:rPr>
      </w:pPr>
      <w:r>
        <w:rPr>
          <w:rFonts w:hint="eastAsia" w:ascii="仿宋" w:hAnsi="仿宋" w:eastAsia="仿宋" w:cs="仿宋"/>
          <w:b/>
          <w:spacing w:val="23"/>
          <w:sz w:val="32"/>
          <w:szCs w:val="32"/>
          <w:highlight w:val="none"/>
        </w:rPr>
        <w:t>签订时间：</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年</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月</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日</w:t>
      </w:r>
    </w:p>
    <w:p w14:paraId="7057B422">
      <w:pPr>
        <w:ind w:firstLine="1960" w:firstLineChars="700"/>
        <w:rPr>
          <w:rFonts w:hint="eastAsia"/>
          <w:color w:val="auto"/>
          <w:sz w:val="28"/>
          <w:szCs w:val="28"/>
          <w:highlight w:val="none"/>
          <w:u w:val="single"/>
        </w:rPr>
      </w:pPr>
    </w:p>
    <w:p w14:paraId="063B6345">
      <w:pPr>
        <w:pageBreakBefore/>
        <w:spacing w:after="120" w:afterLines="50" w:line="360" w:lineRule="auto"/>
        <w:jc w:val="center"/>
        <w:outlineLvl w:val="9"/>
        <w:rPr>
          <w:rFonts w:hint="eastAsia" w:hAnsi="宋体"/>
          <w:b/>
          <w:color w:val="auto"/>
          <w:sz w:val="32"/>
          <w:szCs w:val="32"/>
          <w:highlight w:val="none"/>
        </w:rPr>
      </w:pPr>
      <w:bookmarkStart w:id="103" w:name="_Toc18407"/>
      <w:bookmarkStart w:id="104" w:name="_Toc11496"/>
      <w:bookmarkStart w:id="105" w:name="_Toc27199"/>
      <w:bookmarkStart w:id="106" w:name="_Toc826"/>
      <w:r>
        <w:rPr>
          <w:rFonts w:hint="eastAsia" w:hAnsi="宋体"/>
          <w:b/>
          <w:color w:val="auto"/>
          <w:sz w:val="32"/>
          <w:szCs w:val="32"/>
          <w:highlight w:val="none"/>
        </w:rPr>
        <w:t>第一部分  协议书</w:t>
      </w:r>
      <w:bookmarkEnd w:id="103"/>
      <w:bookmarkEnd w:id="104"/>
      <w:bookmarkEnd w:id="105"/>
      <w:bookmarkEnd w:id="106"/>
    </w:p>
    <w:p w14:paraId="4203136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p>
    <w:p w14:paraId="282B53B7">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p>
    <w:p w14:paraId="03732CB4">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w:t>
      </w:r>
      <w:r>
        <w:rPr>
          <w:rFonts w:hint="eastAsia" w:hAnsi="宋体" w:cs="宋体"/>
          <w:color w:val="auto"/>
          <w:sz w:val="24"/>
          <w:szCs w:val="24"/>
          <w:highlight w:val="none"/>
          <w:lang w:val="en-US" w:eastAsia="zh-CN"/>
        </w:rPr>
        <w:t>民法典</w:t>
      </w:r>
      <w:r>
        <w:rPr>
          <w:rFonts w:hint="eastAsia" w:ascii="宋体" w:hAnsi="宋体" w:eastAsia="宋体" w:cs="宋体"/>
          <w:color w:val="auto"/>
          <w:sz w:val="24"/>
          <w:szCs w:val="24"/>
          <w:highlight w:val="none"/>
        </w:rPr>
        <w:t xml:space="preserve">》、《中华人民共和国建筑法》及其他有关法律、行政法规，遵循平等、自愿、公平和诚实信用的原则，双方就本建设工程施工事项协商一致，订立本合同。 </w:t>
      </w:r>
    </w:p>
    <w:p w14:paraId="32DE5E46">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一、工程概况：</w:t>
      </w:r>
    </w:p>
    <w:p w14:paraId="1E665AA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rPr>
        <w:t xml:space="preserve">                                                          </w:t>
      </w:r>
    </w:p>
    <w:p w14:paraId="361A0E4C">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rPr>
        <w:t xml:space="preserve">                                                          </w:t>
      </w:r>
    </w:p>
    <w:p w14:paraId="2BAE772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u w:val="single"/>
        </w:rPr>
        <w:t xml:space="preserve">                                                          </w:t>
      </w:r>
    </w:p>
    <w:p w14:paraId="7DD576B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二、工程承包范围 </w:t>
      </w:r>
    </w:p>
    <w:p w14:paraId="061BBA9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承包范围：</w:t>
      </w:r>
      <w:r>
        <w:rPr>
          <w:rFonts w:hint="eastAsia" w:ascii="宋体" w:hAnsi="宋体" w:eastAsia="宋体" w:cs="宋体"/>
          <w:color w:val="auto"/>
          <w:sz w:val="24"/>
          <w:szCs w:val="24"/>
          <w:highlight w:val="none"/>
          <w:u w:val="single"/>
        </w:rPr>
        <w:t xml:space="preserve">                                                          </w:t>
      </w:r>
    </w:p>
    <w:p w14:paraId="003D649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三、合同工期</w:t>
      </w:r>
    </w:p>
    <w:p w14:paraId="22F03CC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开工日期：</w:t>
      </w:r>
      <w:r>
        <w:rPr>
          <w:rFonts w:hint="eastAsia" w:ascii="宋体" w:hAnsi="宋体" w:eastAsia="宋体" w:cs="宋体"/>
          <w:color w:val="auto"/>
          <w:sz w:val="24"/>
          <w:szCs w:val="24"/>
          <w:highlight w:val="none"/>
          <w:u w:val="single"/>
        </w:rPr>
        <w:t xml:space="preserve">           </w:t>
      </w:r>
    </w:p>
    <w:p w14:paraId="5F0B79DA">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竣工日期：</w:t>
      </w:r>
      <w:r>
        <w:rPr>
          <w:rFonts w:hint="eastAsia" w:ascii="宋体" w:hAnsi="宋体" w:eastAsia="宋体" w:cs="宋体"/>
          <w:color w:val="auto"/>
          <w:sz w:val="24"/>
          <w:szCs w:val="24"/>
          <w:highlight w:val="none"/>
          <w:u w:val="single"/>
        </w:rPr>
        <w:t xml:space="preserve">           </w:t>
      </w:r>
    </w:p>
    <w:p w14:paraId="66C890DC">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合同工期总日历天数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日历日。</w:t>
      </w:r>
    </w:p>
    <w:p w14:paraId="62E7FF9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四、质量标准</w:t>
      </w:r>
    </w:p>
    <w:p w14:paraId="14C594F4">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工程质量标准：</w:t>
      </w:r>
      <w:r>
        <w:rPr>
          <w:rFonts w:hint="eastAsia"/>
          <w:szCs w:val="24"/>
          <w:highlight w:val="none"/>
          <w:lang w:eastAsia="zh-CN"/>
        </w:rPr>
        <w:t>符合作业设计方案，达到</w:t>
      </w:r>
      <w:r>
        <w:rPr>
          <w:rFonts w:hint="eastAsia"/>
          <w:szCs w:val="24"/>
          <w:highlight w:val="none"/>
        </w:rPr>
        <w:t>国家现行有关质量验收规范“合格”要求。</w:t>
      </w:r>
    </w:p>
    <w:p w14:paraId="44ACC8BA">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五、合同价款</w:t>
      </w:r>
    </w:p>
    <w:p w14:paraId="3E6100B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F018E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合同总价即成交价，合同总价为总承包价，不受市场价变化或实际工作量变化的影响，合同价格为含税价，供应商提供本工程所发生的一切税（包括增值税）费等都已包含于合同价款中。</w:t>
      </w:r>
    </w:p>
    <w:p w14:paraId="32D16A2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六、组成合同的文件</w:t>
      </w:r>
    </w:p>
    <w:p w14:paraId="34DEA28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组成本合同的文件包括：</w:t>
      </w:r>
    </w:p>
    <w:p w14:paraId="3BB63363">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1、本合同协议书</w:t>
      </w:r>
    </w:p>
    <w:p w14:paraId="42278B32">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2、本合同专用条款</w:t>
      </w:r>
    </w:p>
    <w:p w14:paraId="3C858CA4">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3、本合同通用条款</w:t>
      </w:r>
    </w:p>
    <w:p w14:paraId="1BA280E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通知书</w:t>
      </w:r>
    </w:p>
    <w:p w14:paraId="6209757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5、投标文件、工程报价单或预算书及其附件</w:t>
      </w:r>
    </w:p>
    <w:p w14:paraId="57BE863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6、招标文件、答疑纪要</w:t>
      </w:r>
    </w:p>
    <w:p w14:paraId="0CD4E528">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7、标准、规范及有关技术文件</w:t>
      </w:r>
    </w:p>
    <w:p w14:paraId="57B823C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双方为履行本合同的有关洽商、变更等书面协议或文件视为本合同的组成部分。</w:t>
      </w:r>
    </w:p>
    <w:p w14:paraId="06DE8B6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七、本协议书中有关词语含义与本合同第二部分《通用条款》中分别赋予它们的定义相同。</w:t>
      </w:r>
    </w:p>
    <w:p w14:paraId="0B0DE28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八、承包人向发包人承诺按照合同约定进行施工、竣工并在质量保修期内承担工程质量保修责任。</w:t>
      </w:r>
    </w:p>
    <w:p w14:paraId="72A192AB">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九、发包人向承包人承诺按照合同约定的期限和方式支付合同价款及其他应当支付的款项。</w:t>
      </w:r>
    </w:p>
    <w:p w14:paraId="712F5DA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十、合同生效</w:t>
      </w:r>
    </w:p>
    <w:p w14:paraId="56E9F12F">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          年            月            日</w:t>
      </w:r>
    </w:p>
    <w:p w14:paraId="6904476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合同订立地点：                                       </w:t>
      </w:r>
    </w:p>
    <w:p w14:paraId="04A652C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本合同双方约定 双方签字盖章 后生效。</w:t>
      </w:r>
    </w:p>
    <w:p w14:paraId="2F67F9B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7DC5492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1DDA3E2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3DBB346C">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联系人：</w:t>
      </w:r>
    </w:p>
    <w:p w14:paraId="05B6A80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6B033D43">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14:paraId="4EED95D8">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0AB18398">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sectPr>
          <w:headerReference r:id="rId12" w:type="default"/>
          <w:footerReference r:id="rId13" w:type="default"/>
          <w:pgSz w:w="11907" w:h="16840"/>
          <w:pgMar w:top="1361" w:right="1304" w:bottom="1361" w:left="1304" w:header="850" w:footer="992" w:gutter="0"/>
          <w:pgNumType w:fmt="decimal"/>
          <w:cols w:space="720" w:num="1"/>
        </w:sectPr>
      </w:pPr>
      <w:r>
        <w:rPr>
          <w:rFonts w:hint="eastAsia" w:ascii="宋体" w:hAnsi="宋体" w:eastAsia="宋体" w:cs="宋体"/>
          <w:color w:val="auto"/>
          <w:sz w:val="24"/>
          <w:szCs w:val="24"/>
          <w:highlight w:val="none"/>
        </w:rPr>
        <w:t>账号：                               账号：</w:t>
      </w:r>
    </w:p>
    <w:p w14:paraId="796ECD8D">
      <w:pPr>
        <w:spacing w:line="360" w:lineRule="auto"/>
        <w:ind w:firstLine="723" w:firstLineChars="200"/>
        <w:jc w:val="center"/>
        <w:rPr>
          <w:rFonts w:hAnsi="宋体"/>
          <w:color w:val="auto"/>
          <w:highlight w:val="none"/>
        </w:rPr>
      </w:pPr>
      <w:r>
        <w:rPr>
          <w:rFonts w:hint="eastAsia" w:hAnsi="宋体"/>
          <w:b/>
          <w:bCs/>
          <w:color w:val="auto"/>
          <w:sz w:val="36"/>
          <w:szCs w:val="36"/>
          <w:highlight w:val="none"/>
        </w:rPr>
        <w:t>第二部分  通用合同条款</w:t>
      </w:r>
    </w:p>
    <w:p w14:paraId="6F35CF89">
      <w:pPr>
        <w:pStyle w:val="18"/>
        <w:spacing w:before="0" w:beforeAutospacing="0" w:after="0" w:afterAutospacing="0" w:line="300" w:lineRule="auto"/>
        <w:jc w:val="center"/>
        <w:rPr>
          <w:rFonts w:hint="eastAsia" w:cs="宋体"/>
          <w:b/>
          <w:bCs/>
          <w:color w:val="auto"/>
          <w:sz w:val="28"/>
          <w:szCs w:val="28"/>
          <w:highlight w:val="none"/>
        </w:rPr>
      </w:pPr>
      <w:r>
        <w:rPr>
          <w:rFonts w:hint="eastAsia" w:cs="宋体"/>
          <w:b/>
          <w:bCs/>
          <w:color w:val="auto"/>
          <w:sz w:val="28"/>
          <w:szCs w:val="28"/>
          <w:highlight w:val="none"/>
        </w:rPr>
        <w:t>执行《陕西省建设工程施工合同》（示范文本）</w:t>
      </w:r>
    </w:p>
    <w:p w14:paraId="2A9237DB">
      <w:pPr>
        <w:pStyle w:val="18"/>
        <w:spacing w:before="0" w:beforeAutospacing="0" w:after="0" w:afterAutospacing="0" w:line="300" w:lineRule="auto"/>
        <w:jc w:val="center"/>
        <w:rPr>
          <w:rFonts w:hint="eastAsia" w:cs="宋体"/>
          <w:b/>
          <w:bCs/>
          <w:color w:val="auto"/>
          <w:sz w:val="28"/>
          <w:szCs w:val="28"/>
          <w:highlight w:val="none"/>
        </w:rPr>
      </w:pPr>
    </w:p>
    <w:p w14:paraId="03A2449E">
      <w:pPr>
        <w:pStyle w:val="18"/>
        <w:spacing w:before="0" w:beforeAutospacing="0" w:after="0" w:afterAutospacing="0" w:line="300" w:lineRule="auto"/>
        <w:jc w:val="center"/>
        <w:rPr>
          <w:rFonts w:hint="eastAsia" w:cs="宋体"/>
          <w:b/>
          <w:bCs/>
          <w:color w:val="auto"/>
          <w:sz w:val="28"/>
          <w:szCs w:val="28"/>
          <w:highlight w:val="none"/>
        </w:rPr>
        <w:sectPr>
          <w:pgSz w:w="11906" w:h="16838"/>
          <w:pgMar w:top="1361" w:right="1304" w:bottom="1361" w:left="1304" w:header="720" w:footer="720" w:gutter="0"/>
          <w:pgNumType w:fmt="decimal"/>
          <w:cols w:space="720" w:num="1"/>
        </w:sectPr>
      </w:pPr>
    </w:p>
    <w:p w14:paraId="6D6CF5F6">
      <w:pPr>
        <w:jc w:val="center"/>
        <w:rPr>
          <w:rFonts w:ascii="黑体" w:eastAsia="黑体"/>
          <w:color w:val="auto"/>
          <w:sz w:val="30"/>
          <w:szCs w:val="30"/>
          <w:highlight w:val="none"/>
        </w:rPr>
      </w:pPr>
      <w:r>
        <w:rPr>
          <w:rFonts w:hint="eastAsia" w:hAnsi="宋体"/>
          <w:b/>
          <w:bCs/>
          <w:color w:val="auto"/>
          <w:sz w:val="36"/>
          <w:szCs w:val="36"/>
          <w:highlight w:val="none"/>
        </w:rPr>
        <w:t>第三部分  专用合同条款</w:t>
      </w:r>
    </w:p>
    <w:p w14:paraId="12E43A99">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一、词语定义及合同文件</w:t>
      </w:r>
    </w:p>
    <w:p w14:paraId="6D0FCD48">
      <w:pPr>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u w:val="single"/>
        </w:rPr>
        <w:t>专用合同条款是对通用条款中相应条款内容的解释、补充、删除或修改，其序号与通用条款中条款一一对应，未作改动的条款按通用条款执行。</w:t>
      </w:r>
    </w:p>
    <w:p w14:paraId="7A6FA9E1">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2、合同文件及解释顺序</w:t>
      </w:r>
    </w:p>
    <w:p w14:paraId="45D83461">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合同文件组成及解释顺序：</w:t>
      </w:r>
      <w:r>
        <w:rPr>
          <w:rFonts w:hint="eastAsia" w:ascii="宋体" w:hAnsi="宋体" w:eastAsia="宋体" w:cs="宋体"/>
          <w:color w:val="auto"/>
          <w:sz w:val="24"/>
          <w:szCs w:val="24"/>
          <w:highlight w:val="none"/>
          <w:u w:val="single"/>
        </w:rPr>
        <w:t>﹙1﹚本合同协议书；﹙2﹚本合同专用条款；﹙3﹚</w:t>
      </w:r>
      <w:r>
        <w:rPr>
          <w:rFonts w:hint="eastAsia" w:ascii="宋体" w:hAnsi="宋体" w:eastAsia="宋体" w:cs="宋体"/>
          <w:color w:val="auto"/>
          <w:sz w:val="24"/>
          <w:szCs w:val="24"/>
          <w:highlight w:val="none"/>
          <w:u w:val="single"/>
          <w:lang w:eastAsia="zh-CN"/>
        </w:rPr>
        <w:t>中标</w:t>
      </w:r>
      <w:r>
        <w:rPr>
          <w:rFonts w:hint="eastAsia" w:ascii="宋体" w:hAnsi="宋体" w:eastAsia="宋体" w:cs="宋体"/>
          <w:color w:val="auto"/>
          <w:sz w:val="24"/>
          <w:szCs w:val="24"/>
          <w:highlight w:val="none"/>
          <w:u w:val="single"/>
        </w:rPr>
        <w:t>通知书；﹙4﹚</w:t>
      </w:r>
      <w:r>
        <w:rPr>
          <w:rFonts w:hint="eastAsia" w:ascii="宋体" w:hAnsi="宋体" w:eastAsia="宋体" w:cs="宋体"/>
          <w:color w:val="auto"/>
          <w:sz w:val="24"/>
          <w:szCs w:val="24"/>
          <w:highlight w:val="none"/>
          <w:u w:val="single"/>
          <w:lang w:eastAsia="zh-CN"/>
        </w:rPr>
        <w:t>招标</w:t>
      </w:r>
      <w:r>
        <w:rPr>
          <w:rFonts w:hint="eastAsia" w:ascii="宋体" w:hAnsi="宋体" w:eastAsia="宋体" w:cs="宋体"/>
          <w:color w:val="auto"/>
          <w:sz w:val="24"/>
          <w:szCs w:val="24"/>
          <w:highlight w:val="none"/>
          <w:u w:val="single"/>
        </w:rPr>
        <w:t>文件答疑纪要；﹙5﹚本合同通用条款；﹙6﹚标准规范及有关技术文件；（7）其他。</w:t>
      </w:r>
    </w:p>
    <w:p w14:paraId="067A4CCA">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3、语言文字和适用法律语言文字和适用法律、标准及规范</w:t>
      </w:r>
    </w:p>
    <w:p w14:paraId="455B429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本合同除使用汉语外，还使用_________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__________语言文字。</w:t>
      </w:r>
    </w:p>
    <w:p w14:paraId="57E48803">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3.2  适用法律和法规需要明示的法律、行政法规：</w:t>
      </w:r>
      <w:r>
        <w:rPr>
          <w:rFonts w:hint="eastAsia" w:ascii="宋体" w:hAnsi="宋体" w:eastAsia="宋体" w:cs="宋体"/>
          <w:color w:val="auto"/>
          <w:sz w:val="24"/>
          <w:szCs w:val="24"/>
          <w:highlight w:val="none"/>
          <w:u w:val="single"/>
        </w:rPr>
        <w:t>本合同适用于中华人民共和国法律，行政法规、陕西省地方法规。</w:t>
      </w:r>
    </w:p>
    <w:p w14:paraId="055996F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适用标准、规范 </w:t>
      </w:r>
    </w:p>
    <w:p w14:paraId="6796E3A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适用标准、规范的名称：</w:t>
      </w:r>
      <w:r>
        <w:rPr>
          <w:rFonts w:hint="eastAsia" w:ascii="宋体" w:hAnsi="宋体" w:eastAsia="宋体" w:cs="宋体"/>
          <w:color w:val="auto"/>
          <w:sz w:val="24"/>
          <w:szCs w:val="24"/>
          <w:highlight w:val="none"/>
          <w:u w:val="single"/>
        </w:rPr>
        <w:t>﹙1﹚国家现行和相关技术规程；﹙2﹚工程所在地建设主管部门的标准、规范；﹙3﹚工程所在地行业的标准、规范。</w:t>
      </w:r>
    </w:p>
    <w:p w14:paraId="5B63CD66">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发包人提供标准、规范的时间：</w:t>
      </w:r>
      <w:r>
        <w:rPr>
          <w:rFonts w:hint="eastAsia" w:ascii="宋体" w:hAnsi="宋体" w:eastAsia="宋体" w:cs="宋体"/>
          <w:color w:val="auto"/>
          <w:sz w:val="24"/>
          <w:szCs w:val="24"/>
          <w:highlight w:val="none"/>
          <w:u w:val="single"/>
        </w:rPr>
        <w:t xml:space="preserve">               /                    _</w:t>
      </w:r>
    </w:p>
    <w:p w14:paraId="773CD9B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国内没有相应标准、规范时的约定：</w:t>
      </w:r>
      <w:r>
        <w:rPr>
          <w:rFonts w:hint="eastAsia" w:ascii="宋体" w:hAnsi="宋体" w:eastAsia="宋体" w:cs="宋体"/>
          <w:color w:val="auto"/>
          <w:sz w:val="24"/>
          <w:szCs w:val="24"/>
          <w:highlight w:val="none"/>
          <w:u w:val="single"/>
        </w:rPr>
        <w:t xml:space="preserve">                              。</w:t>
      </w:r>
    </w:p>
    <w:p w14:paraId="35D23890">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4、图纸</w:t>
      </w:r>
    </w:p>
    <w:p w14:paraId="4B98081F">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4.1发包人向承包人提供图纸日期和套数</w:t>
      </w:r>
      <w:r>
        <w:rPr>
          <w:rFonts w:hint="eastAsia" w:ascii="宋体" w:hAnsi="宋体" w:eastAsia="宋体" w:cs="宋体"/>
          <w:color w:val="auto"/>
          <w:sz w:val="24"/>
          <w:szCs w:val="24"/>
          <w:highlight w:val="none"/>
          <w:u w:val="single"/>
        </w:rPr>
        <w:t>：    /                       。</w:t>
      </w:r>
    </w:p>
    <w:p w14:paraId="5A9CA22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发包人对图纸的保密要求</w:t>
      </w:r>
      <w:r>
        <w:rPr>
          <w:rFonts w:hint="eastAsia" w:ascii="宋体" w:hAnsi="宋体" w:eastAsia="宋体" w:cs="宋体"/>
          <w:color w:val="auto"/>
          <w:sz w:val="24"/>
          <w:szCs w:val="24"/>
          <w:highlight w:val="none"/>
          <w:u w:val="single"/>
        </w:rPr>
        <w:t>：         /           。</w:t>
      </w:r>
    </w:p>
    <w:p w14:paraId="184EE38A">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使用国外图纸的要求及费用承担：</w:t>
      </w:r>
      <w:r>
        <w:rPr>
          <w:rFonts w:hint="eastAsia" w:ascii="宋体" w:hAnsi="宋体" w:eastAsia="宋体" w:cs="宋体"/>
          <w:color w:val="auto"/>
          <w:sz w:val="24"/>
          <w:szCs w:val="24"/>
          <w:highlight w:val="none"/>
          <w:u w:val="single"/>
        </w:rPr>
        <w:t>____无_____</w:t>
      </w:r>
    </w:p>
    <w:p w14:paraId="2A7AB116">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二、双方一般权利和义务</w:t>
      </w:r>
    </w:p>
    <w:p w14:paraId="6A58783E">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5、工程师</w:t>
      </w:r>
    </w:p>
    <w:p w14:paraId="6DF981F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5.2监理单位委派的工程师 </w:t>
      </w:r>
    </w:p>
    <w:p w14:paraId="15FF926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姓名：______/_________职务：______/________</w:t>
      </w:r>
    </w:p>
    <w:p w14:paraId="669D6DC4">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发包人委托的职权：</w:t>
      </w:r>
      <w:r>
        <w:rPr>
          <w:rFonts w:hint="eastAsia" w:ascii="宋体" w:hAnsi="宋体" w:eastAsia="宋体" w:cs="宋体"/>
          <w:color w:val="auto"/>
          <w:sz w:val="24"/>
          <w:szCs w:val="24"/>
          <w:highlight w:val="none"/>
          <w:u w:val="single"/>
        </w:rPr>
        <w:t xml:space="preserve">               /                   </w:t>
      </w:r>
    </w:p>
    <w:p w14:paraId="44B02A7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需要取得发包人批准才能行使的职权：</w:t>
      </w:r>
      <w:r>
        <w:rPr>
          <w:rFonts w:hint="eastAsia" w:ascii="宋体" w:hAnsi="宋体" w:eastAsia="宋体" w:cs="宋体"/>
          <w:color w:val="auto"/>
          <w:sz w:val="24"/>
          <w:szCs w:val="24"/>
          <w:highlight w:val="none"/>
          <w:u w:val="single"/>
        </w:rPr>
        <w:t xml:space="preserve">         /          </w:t>
      </w:r>
    </w:p>
    <w:p w14:paraId="779A992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5.4发包人派驻的工程师 </w:t>
      </w:r>
    </w:p>
    <w:p w14:paraId="364F23F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姓名：____________________职务：________________________________</w:t>
      </w:r>
    </w:p>
    <w:p w14:paraId="4746CED2">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职权：</w:t>
      </w:r>
      <w:r>
        <w:rPr>
          <w:rFonts w:hint="eastAsia" w:ascii="宋体" w:hAnsi="宋体" w:eastAsia="宋体" w:cs="宋体"/>
          <w:color w:val="auto"/>
          <w:sz w:val="24"/>
          <w:szCs w:val="24"/>
          <w:highlight w:val="none"/>
          <w:u w:val="single"/>
        </w:rPr>
        <w:t xml:space="preserve">                                                          </w:t>
      </w:r>
    </w:p>
    <w:p w14:paraId="641A30C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5.6不实行监理的，工程师的职权：________</w:t>
      </w:r>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____________________</w:t>
      </w:r>
    </w:p>
    <w:p w14:paraId="6337862B">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6、项目经理</w:t>
      </w:r>
    </w:p>
    <w:p w14:paraId="2C754BA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姓名：___________职务：___________________</w:t>
      </w:r>
    </w:p>
    <w:p w14:paraId="383A4961">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7、发包人工作</w:t>
      </w:r>
    </w:p>
    <w:p w14:paraId="1DDB9C3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7.1发包人应按约定的时间和要求完成以下工作：</w:t>
      </w:r>
    </w:p>
    <w:p w14:paraId="7F438F91">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（1）施工场地具备施工条件的要求及完成的时间：</w:t>
      </w:r>
      <w:r>
        <w:rPr>
          <w:rFonts w:hint="eastAsia" w:ascii="宋体" w:hAnsi="宋体" w:eastAsia="宋体" w:cs="宋体"/>
          <w:color w:val="auto"/>
          <w:sz w:val="24"/>
          <w:szCs w:val="24"/>
          <w:highlight w:val="none"/>
          <w:u w:val="single"/>
        </w:rPr>
        <w:t>工程开工前五日内完成。</w:t>
      </w:r>
    </w:p>
    <w:p w14:paraId="3EA4EF2D">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（2）将施工所需的水、电、电讯线路接至施工场地的时间、地点和供应要求：</w:t>
      </w:r>
      <w:r>
        <w:rPr>
          <w:rFonts w:hint="eastAsia" w:ascii="宋体" w:hAnsi="宋体" w:eastAsia="宋体" w:cs="宋体"/>
          <w:color w:val="auto"/>
          <w:sz w:val="24"/>
          <w:szCs w:val="24"/>
          <w:highlight w:val="none"/>
          <w:u w:val="single"/>
        </w:rPr>
        <w:t>本工程施工水源、电源、电讯均由承包人自行解决并承担费用。</w:t>
      </w:r>
    </w:p>
    <w:p w14:paraId="423AAB0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其计量和计价方法为：</w:t>
      </w:r>
      <w:r>
        <w:rPr>
          <w:rFonts w:hint="eastAsia" w:ascii="宋体" w:hAnsi="宋体" w:eastAsia="宋体" w:cs="宋体"/>
          <w:color w:val="auto"/>
          <w:sz w:val="24"/>
          <w:szCs w:val="24"/>
          <w:highlight w:val="none"/>
          <w:u w:val="single"/>
        </w:rPr>
        <w:t>由承包人承担费用，按不同来源在投标时自主报价，结算时不再调整。</w:t>
      </w:r>
    </w:p>
    <w:p w14:paraId="687C7525">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（3）施工场地与公共道路的通道开通时间和要求：</w:t>
      </w:r>
      <w:r>
        <w:rPr>
          <w:rFonts w:hint="eastAsia" w:ascii="宋体" w:hAnsi="宋体" w:eastAsia="宋体" w:cs="宋体"/>
          <w:color w:val="auto"/>
          <w:sz w:val="24"/>
          <w:szCs w:val="24"/>
          <w:highlight w:val="none"/>
          <w:u w:val="single"/>
        </w:rPr>
        <w:t xml:space="preserve">             </w:t>
      </w:r>
    </w:p>
    <w:p w14:paraId="4677F52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（4）工程地质和地下管线资料的提供时间：</w:t>
      </w:r>
      <w:r>
        <w:rPr>
          <w:rFonts w:hint="eastAsia" w:ascii="宋体" w:hAnsi="宋体" w:eastAsia="宋体" w:cs="宋体"/>
          <w:color w:val="auto"/>
          <w:sz w:val="24"/>
          <w:szCs w:val="24"/>
          <w:highlight w:val="none"/>
          <w:u w:val="single"/>
        </w:rPr>
        <w:t>合同签订七日内提供发包人已知的情况，其它由承包人自行勘测和解决。</w:t>
      </w:r>
    </w:p>
    <w:p w14:paraId="7706007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（5）由发包人办理的施工所需证件、批件的名称和完成时间：</w:t>
      </w:r>
      <w:r>
        <w:rPr>
          <w:rFonts w:hint="eastAsia" w:ascii="宋体" w:hAnsi="宋体" w:eastAsia="宋体" w:cs="宋体"/>
          <w:color w:val="auto"/>
          <w:sz w:val="24"/>
          <w:szCs w:val="24"/>
          <w:highlight w:val="none"/>
          <w:u w:val="single"/>
        </w:rPr>
        <w:t>合同签订后发包人积极办理，需要承包人配合的承包人必须积极配合在开工前完成</w:t>
      </w:r>
      <w:r>
        <w:rPr>
          <w:rFonts w:hint="eastAsia" w:ascii="宋体" w:hAnsi="宋体" w:eastAsia="宋体" w:cs="宋体"/>
          <w:color w:val="auto"/>
          <w:sz w:val="24"/>
          <w:szCs w:val="24"/>
          <w:highlight w:val="none"/>
        </w:rPr>
        <w:t>。</w:t>
      </w:r>
    </w:p>
    <w:p w14:paraId="5305A9FD">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（6）水准点与座标控制点交验要求：</w:t>
      </w:r>
      <w:r>
        <w:rPr>
          <w:rFonts w:hint="eastAsia" w:ascii="宋体" w:hAnsi="宋体" w:eastAsia="宋体" w:cs="宋体"/>
          <w:color w:val="auto"/>
          <w:sz w:val="24"/>
          <w:szCs w:val="24"/>
          <w:highlight w:val="none"/>
          <w:u w:val="single"/>
        </w:rPr>
        <w:t>/。</w:t>
      </w:r>
    </w:p>
    <w:p w14:paraId="19D6C4B6">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（7）施工交底时间：</w:t>
      </w:r>
      <w:r>
        <w:rPr>
          <w:rFonts w:hint="eastAsia" w:ascii="宋体" w:hAnsi="宋体" w:eastAsia="宋体" w:cs="宋体"/>
          <w:color w:val="auto"/>
          <w:sz w:val="24"/>
          <w:szCs w:val="24"/>
          <w:highlight w:val="none"/>
          <w:u w:val="single"/>
        </w:rPr>
        <w:t xml:space="preserve">       。</w:t>
      </w:r>
    </w:p>
    <w:p w14:paraId="47A03166">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（8）协调处理施工场地周围地下管线和邻近建筑物、构筑物（含文物保护建筑）、古树名木的保护工作：</w:t>
      </w:r>
      <w:r>
        <w:rPr>
          <w:rFonts w:hint="eastAsia" w:ascii="宋体" w:hAnsi="宋体" w:eastAsia="宋体" w:cs="宋体"/>
          <w:color w:val="auto"/>
          <w:sz w:val="24"/>
          <w:szCs w:val="24"/>
          <w:highlight w:val="none"/>
          <w:u w:val="single"/>
        </w:rPr>
        <w:t>由发包人和承包人协商确定。</w:t>
      </w:r>
    </w:p>
    <w:p w14:paraId="5B62FAF9">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（9）双方约定发包人应做的其他工作：</w:t>
      </w:r>
      <w:r>
        <w:rPr>
          <w:rFonts w:hint="eastAsia" w:ascii="宋体" w:hAnsi="宋体" w:eastAsia="宋体" w:cs="宋体"/>
          <w:color w:val="auto"/>
          <w:sz w:val="24"/>
          <w:szCs w:val="24"/>
          <w:highlight w:val="none"/>
          <w:u w:val="single"/>
        </w:rPr>
        <w:t>施工中的协调配合工作。</w:t>
      </w:r>
    </w:p>
    <w:p w14:paraId="35355BD5">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7.2发包人委托承包人办理的工作：</w:t>
      </w:r>
      <w:r>
        <w:rPr>
          <w:rFonts w:hint="eastAsia" w:ascii="宋体" w:hAnsi="宋体" w:eastAsia="宋体" w:cs="宋体"/>
          <w:color w:val="auto"/>
          <w:sz w:val="24"/>
          <w:szCs w:val="24"/>
          <w:highlight w:val="none"/>
          <w:u w:val="single"/>
        </w:rPr>
        <w:t>配合发包人办理施工许可证、质量监督备案手续。</w:t>
      </w:r>
    </w:p>
    <w:p w14:paraId="6857074C">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8、承包人工作</w:t>
      </w:r>
    </w:p>
    <w:p w14:paraId="6ACA78F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8.1承包人应按约定时间和要求，完成以下工作：</w:t>
      </w:r>
    </w:p>
    <w:p w14:paraId="31E065FB">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（1）需由设计资质等级和业务范围允许的承包人完成的设计文件提交时间：</w:t>
      </w:r>
      <w:r>
        <w:rPr>
          <w:rFonts w:hint="eastAsia" w:ascii="宋体" w:hAnsi="宋体" w:eastAsia="宋体" w:cs="宋体"/>
          <w:color w:val="auto"/>
          <w:sz w:val="24"/>
          <w:szCs w:val="24"/>
          <w:highlight w:val="none"/>
          <w:u w:val="single"/>
        </w:rPr>
        <w:t>按发包人的要求提供。</w:t>
      </w:r>
    </w:p>
    <w:p w14:paraId="1C4B52B8">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（2）应提供计划、报表的名称及完成时间：</w:t>
      </w:r>
      <w:r>
        <w:rPr>
          <w:rFonts w:hint="eastAsia" w:ascii="宋体" w:hAnsi="宋体" w:eastAsia="宋体" w:cs="宋体"/>
          <w:color w:val="auto"/>
          <w:sz w:val="24"/>
          <w:szCs w:val="24"/>
          <w:highlight w:val="none"/>
          <w:u w:val="single"/>
        </w:rPr>
        <w:t xml:space="preserve">        /          。</w:t>
      </w:r>
    </w:p>
    <w:p w14:paraId="61205D8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（3）承担施工安全保卫工作及非夜间施工照明的责任和要求：</w:t>
      </w:r>
      <w:r>
        <w:rPr>
          <w:rFonts w:hint="eastAsia" w:ascii="宋体" w:hAnsi="宋体" w:eastAsia="宋体" w:cs="宋体"/>
          <w:color w:val="auto"/>
          <w:sz w:val="24"/>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14:paraId="060FF99E">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（4）向发包人提供的办公和生活房屋及设施的要求：</w:t>
      </w:r>
      <w:r>
        <w:rPr>
          <w:rFonts w:hint="eastAsia" w:ascii="宋体" w:hAnsi="宋体" w:eastAsia="宋体" w:cs="宋体"/>
          <w:color w:val="auto"/>
          <w:sz w:val="24"/>
          <w:szCs w:val="24"/>
          <w:highlight w:val="none"/>
          <w:u w:val="single"/>
        </w:rPr>
        <w:t>/</w:t>
      </w:r>
    </w:p>
    <w:p w14:paraId="593BFD8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（5）需承包人办理的有关施工场地交通、环卫和施工噪音管理等手续：</w:t>
      </w:r>
      <w:r>
        <w:rPr>
          <w:rFonts w:hint="eastAsia" w:ascii="宋体" w:hAnsi="宋体" w:eastAsia="宋体" w:cs="宋体"/>
          <w:color w:val="auto"/>
          <w:sz w:val="24"/>
          <w:szCs w:val="24"/>
          <w:highlight w:val="none"/>
          <w:u w:val="single"/>
        </w:rPr>
        <w:t>由承包人负责各项手续的办理并承担费用。</w:t>
      </w:r>
    </w:p>
    <w:p w14:paraId="7081A65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（6）已完工程成品保护的特殊要求及费用承担：</w:t>
      </w:r>
      <w:r>
        <w:rPr>
          <w:rFonts w:hint="eastAsia" w:ascii="宋体" w:hAnsi="宋体" w:eastAsia="宋体" w:cs="宋体"/>
          <w:color w:val="auto"/>
          <w:sz w:val="24"/>
          <w:szCs w:val="24"/>
          <w:highlight w:val="none"/>
          <w:u w:val="single"/>
        </w:rPr>
        <w:t>承包人负责，费用由承包人承担。</w:t>
      </w:r>
    </w:p>
    <w:p w14:paraId="185DFD6B">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（7）施工场地周围地下管线和邻近建筑物、构筑物（含文物保护建筑）、古树名木的保护要求及费用承担：</w:t>
      </w:r>
      <w:r>
        <w:rPr>
          <w:rFonts w:hint="eastAsia" w:ascii="宋体" w:hAnsi="宋体" w:eastAsia="宋体" w:cs="宋体"/>
          <w:color w:val="auto"/>
          <w:sz w:val="24"/>
          <w:szCs w:val="24"/>
          <w:highlight w:val="none"/>
          <w:u w:val="single"/>
        </w:rPr>
        <w:t>由发包人和承包人负责协商确定。</w:t>
      </w:r>
    </w:p>
    <w:p w14:paraId="336259DA">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（8）施工场地清洁卫生的要求：</w:t>
      </w:r>
      <w:r>
        <w:rPr>
          <w:rFonts w:hint="eastAsia" w:ascii="宋体" w:hAnsi="宋体" w:eastAsia="宋体" w:cs="宋体"/>
          <w:color w:val="auto"/>
          <w:sz w:val="24"/>
          <w:szCs w:val="24"/>
          <w:highlight w:val="none"/>
          <w:u w:val="single"/>
        </w:rPr>
        <w:t>由承包人负责。</w:t>
      </w:r>
    </w:p>
    <w:p w14:paraId="0E8F747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（9）双方约定承包人应做的其他工作：</w:t>
      </w:r>
      <w:r>
        <w:rPr>
          <w:rFonts w:hint="eastAsia" w:ascii="宋体" w:hAnsi="宋体" w:eastAsia="宋体" w:cs="宋体"/>
          <w:color w:val="auto"/>
          <w:sz w:val="24"/>
          <w:szCs w:val="24"/>
          <w:highlight w:val="none"/>
          <w:u w:val="single"/>
        </w:rPr>
        <w:t>相关的对外协调工作。</w:t>
      </w:r>
    </w:p>
    <w:p w14:paraId="475B6149">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三、施工组织设计和工期</w:t>
      </w:r>
    </w:p>
    <w:p w14:paraId="7A7A9803">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9、进度计划</w:t>
      </w:r>
    </w:p>
    <w:p w14:paraId="47CF760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9.1承包人提供施工组织设计（施工方案）和进度计划的时间：</w:t>
      </w:r>
      <w:r>
        <w:rPr>
          <w:rFonts w:hint="eastAsia" w:ascii="宋体" w:hAnsi="宋体" w:eastAsia="宋体" w:cs="宋体"/>
          <w:color w:val="auto"/>
          <w:sz w:val="24"/>
          <w:szCs w:val="24"/>
          <w:highlight w:val="none"/>
          <w:u w:val="single"/>
        </w:rPr>
        <w:t>合同签订后</w:t>
      </w:r>
      <w:r>
        <w:rPr>
          <w:rFonts w:hint="eastAsia"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日内。</w:t>
      </w:r>
    </w:p>
    <w:p w14:paraId="3D0F2C24">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工程师确认的时间：</w:t>
      </w:r>
      <w:r>
        <w:rPr>
          <w:rFonts w:hint="eastAsia" w:ascii="宋体" w:hAnsi="宋体" w:eastAsia="宋体" w:cs="宋体"/>
          <w:color w:val="auto"/>
          <w:sz w:val="24"/>
          <w:szCs w:val="24"/>
          <w:highlight w:val="none"/>
          <w:u w:val="single"/>
        </w:rPr>
        <w:t>承包人</w:t>
      </w:r>
      <w:r>
        <w:rPr>
          <w:rFonts w:hint="eastAsia" w:hAnsi="宋体" w:cs="宋体"/>
          <w:color w:val="auto"/>
          <w:sz w:val="24"/>
          <w:szCs w:val="24"/>
          <w:highlight w:val="none"/>
          <w:u w:val="single"/>
          <w:lang w:val="en-US" w:eastAsia="zh-CN"/>
        </w:rPr>
        <w:t>交接</w:t>
      </w:r>
      <w:r>
        <w:rPr>
          <w:rFonts w:hint="eastAsia" w:ascii="宋体" w:hAnsi="宋体" w:eastAsia="宋体" w:cs="宋体"/>
          <w:color w:val="auto"/>
          <w:sz w:val="24"/>
          <w:szCs w:val="24"/>
          <w:highlight w:val="none"/>
          <w:u w:val="single"/>
        </w:rPr>
        <w:t>之日起七日内。</w:t>
      </w:r>
    </w:p>
    <w:p w14:paraId="67145C05">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9.2群体工程中有关进度计划的要求：</w:t>
      </w:r>
      <w:r>
        <w:rPr>
          <w:rFonts w:hint="eastAsia" w:ascii="宋体" w:hAnsi="宋体" w:eastAsia="宋体" w:cs="宋体"/>
          <w:color w:val="auto"/>
          <w:sz w:val="24"/>
          <w:szCs w:val="24"/>
          <w:highlight w:val="none"/>
          <w:u w:val="single"/>
        </w:rPr>
        <w:t>以发包人的要求为准。</w:t>
      </w:r>
    </w:p>
    <w:p w14:paraId="526AD500">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10、工期延误</w:t>
      </w:r>
    </w:p>
    <w:p w14:paraId="65AE79FC">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10.1双方约定工期顺延的其他情况：</w:t>
      </w:r>
      <w:r>
        <w:rPr>
          <w:rFonts w:hint="eastAsia" w:ascii="宋体" w:hAnsi="宋体" w:eastAsia="宋体" w:cs="宋体"/>
          <w:color w:val="auto"/>
          <w:sz w:val="24"/>
          <w:szCs w:val="24"/>
          <w:highlight w:val="none"/>
          <w:u w:val="single"/>
        </w:rPr>
        <w:t>执行《通用条款》。</w:t>
      </w:r>
    </w:p>
    <w:p w14:paraId="6CDB7FF7">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四、质量与检验</w:t>
      </w:r>
    </w:p>
    <w:p w14:paraId="7061F26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11、隐蔽工程和中间验收 </w:t>
      </w:r>
    </w:p>
    <w:p w14:paraId="01975B94">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11.1双方约定中间验收部位：</w:t>
      </w:r>
      <w:r>
        <w:rPr>
          <w:rFonts w:hint="eastAsia" w:ascii="宋体" w:hAnsi="宋体" w:eastAsia="宋体" w:cs="宋体"/>
          <w:color w:val="auto"/>
          <w:sz w:val="24"/>
          <w:szCs w:val="24"/>
          <w:highlight w:val="none"/>
          <w:u w:val="single"/>
        </w:rPr>
        <w:t>执行《通用条款》。</w:t>
      </w:r>
    </w:p>
    <w:p w14:paraId="5A155EC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12、工程试车 </w:t>
      </w:r>
    </w:p>
    <w:p w14:paraId="14A0D5E2">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12.1试车费用的承担：</w:t>
      </w:r>
      <w:r>
        <w:rPr>
          <w:rFonts w:hint="eastAsia" w:ascii="宋体" w:hAnsi="宋体" w:eastAsia="宋体" w:cs="宋体"/>
          <w:color w:val="auto"/>
          <w:sz w:val="24"/>
          <w:szCs w:val="24"/>
          <w:highlight w:val="none"/>
          <w:u w:val="single"/>
        </w:rPr>
        <w:t>由承包人承担。</w:t>
      </w:r>
    </w:p>
    <w:p w14:paraId="58D45857">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五、安全生产</w:t>
      </w:r>
    </w:p>
    <w:p w14:paraId="06AE86B9">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13、项目实施单位履行安全生产监管责任，项目施工单位履行安全生产主体责任。（详见作业设计说明书）</w:t>
      </w:r>
    </w:p>
    <w:p w14:paraId="3CAA68E3">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六、合同价款</w:t>
      </w:r>
    </w:p>
    <w:p w14:paraId="6073079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13、合同价款约定 </w:t>
      </w:r>
    </w:p>
    <w:p w14:paraId="6424AA3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13.1本合同价款采用</w:t>
      </w:r>
      <w:r>
        <w:rPr>
          <w:rFonts w:hint="eastAsia" w:ascii="宋体" w:hAnsi="宋体" w:eastAsia="宋体" w:cs="宋体"/>
          <w:color w:val="auto"/>
          <w:sz w:val="24"/>
          <w:szCs w:val="24"/>
          <w:highlight w:val="none"/>
          <w:u w:val="single"/>
        </w:rPr>
        <w:t xml:space="preserve">  （1）_</w:t>
      </w:r>
      <w:r>
        <w:rPr>
          <w:rFonts w:hint="eastAsia" w:ascii="宋体" w:hAnsi="宋体" w:eastAsia="宋体" w:cs="宋体"/>
          <w:color w:val="auto"/>
          <w:sz w:val="24"/>
          <w:szCs w:val="24"/>
          <w:highlight w:val="none"/>
        </w:rPr>
        <w:t>方式确定。</w:t>
      </w:r>
    </w:p>
    <w:p w14:paraId="0093CFB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（1）采用固定总价合同：</w:t>
      </w:r>
    </w:p>
    <w:p w14:paraId="571BE48D">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（2）采用固定综合单价合同，综合单价中包括的风险范围：</w:t>
      </w:r>
      <w:r>
        <w:rPr>
          <w:rFonts w:hint="eastAsia" w:ascii="宋体" w:hAnsi="宋体" w:eastAsia="宋体" w:cs="宋体"/>
          <w:color w:val="auto"/>
          <w:sz w:val="24"/>
          <w:szCs w:val="24"/>
          <w:highlight w:val="none"/>
          <w:u w:val="single"/>
        </w:rPr>
        <w:t xml:space="preserve">  /  </w:t>
      </w:r>
    </w:p>
    <w:p w14:paraId="1801ED0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（3）采用可调价格合同，合同价款调整方法：_______</w:t>
      </w:r>
      <w:r>
        <w:rPr>
          <w:rFonts w:hint="eastAsia" w:ascii="宋体" w:hAnsi="宋体" w:eastAsia="宋体" w:cs="宋体"/>
          <w:color w:val="auto"/>
          <w:sz w:val="24"/>
          <w:szCs w:val="24"/>
          <w:highlight w:val="none"/>
          <w:u w:val="single"/>
        </w:rPr>
        <w:t>__/__</w:t>
      </w:r>
      <w:r>
        <w:rPr>
          <w:rFonts w:hint="eastAsia" w:ascii="宋体" w:hAnsi="宋体" w:eastAsia="宋体" w:cs="宋体"/>
          <w:color w:val="auto"/>
          <w:sz w:val="24"/>
          <w:szCs w:val="24"/>
          <w:highlight w:val="none"/>
        </w:rPr>
        <w:t>___________</w:t>
      </w:r>
    </w:p>
    <w:p w14:paraId="7556F7B3">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14、合同价款调整</w:t>
      </w:r>
    </w:p>
    <w:p w14:paraId="4F29F63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14.1双方约定合同价款的其他调整因素：__________</w:t>
      </w:r>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_______________</w:t>
      </w:r>
    </w:p>
    <w:p w14:paraId="2FE3BAEA">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15、工程预付款</w:t>
      </w:r>
    </w:p>
    <w:p w14:paraId="6FCEE4B6">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发包人向承包人预付工程款的时间和金额或占合同价款总额的比例：</w:t>
      </w:r>
      <w:r>
        <w:rPr>
          <w:rFonts w:hint="eastAsia" w:ascii="宋体" w:hAnsi="宋体" w:eastAsia="宋体" w:cs="宋体"/>
          <w:color w:val="auto"/>
          <w:sz w:val="24"/>
          <w:szCs w:val="24"/>
          <w:highlight w:val="none"/>
          <w:u w:val="single"/>
        </w:rPr>
        <w:t xml:space="preserve"> / </w:t>
      </w:r>
    </w:p>
    <w:p w14:paraId="1BC398BA">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预付安全防护、文明施工措施费用的比例和时间：</w:t>
      </w:r>
      <w:r>
        <w:rPr>
          <w:rFonts w:hint="eastAsia" w:ascii="宋体" w:hAnsi="宋体" w:eastAsia="宋体" w:cs="宋体"/>
          <w:color w:val="auto"/>
          <w:sz w:val="24"/>
          <w:szCs w:val="24"/>
          <w:highlight w:val="none"/>
          <w:u w:val="single"/>
        </w:rPr>
        <w:t xml:space="preserve"> / </w:t>
      </w:r>
    </w:p>
    <w:p w14:paraId="3A72D4D9">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16、工程量确认</w:t>
      </w:r>
    </w:p>
    <w:p w14:paraId="63709B61">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16.1承包人向工程师提交已完工程量报告的时间：</w:t>
      </w:r>
      <w:r>
        <w:rPr>
          <w:rFonts w:hint="eastAsia" w:ascii="宋体" w:hAnsi="宋体" w:eastAsia="宋体" w:cs="宋体"/>
          <w:color w:val="auto"/>
          <w:sz w:val="24"/>
          <w:szCs w:val="24"/>
          <w:highlight w:val="none"/>
          <w:u w:val="single"/>
        </w:rPr>
        <w:t>每月的26日承包人向发包人提交25日以前已完工程量报告。</w:t>
      </w:r>
    </w:p>
    <w:p w14:paraId="352698AA">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17、工程进度款结算与支付</w:t>
      </w:r>
    </w:p>
    <w:p w14:paraId="2CE4E33D">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双方约定的工程进度款支付的方式、时间和比例是：详见合同条款及格式前附表</w:t>
      </w:r>
    </w:p>
    <w:p w14:paraId="3FA29F98">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七、材料设备供应</w:t>
      </w:r>
    </w:p>
    <w:p w14:paraId="0D1AF12A">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31发包人供应材料设备，承包人应按计划领取使用，在结算时发包人按暂定价从工程款中扣除。</w:t>
      </w:r>
    </w:p>
    <w:p w14:paraId="17F7CEC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31.4发包人供应的材料设备与一览表不符时，双方约定发包人承担责任如下：</w:t>
      </w:r>
    </w:p>
    <w:p w14:paraId="484AC7E3">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（1）材料设备单价与一览表不符：</w:t>
      </w:r>
      <w:r>
        <w:rPr>
          <w:rFonts w:hint="eastAsia" w:ascii="宋体" w:hAnsi="宋体" w:eastAsia="宋体" w:cs="宋体"/>
          <w:color w:val="auto"/>
          <w:sz w:val="24"/>
          <w:szCs w:val="24"/>
          <w:highlight w:val="none"/>
          <w:u w:val="single"/>
        </w:rPr>
        <w:t>执行《通用条款》31.4.（1）款。</w:t>
      </w:r>
    </w:p>
    <w:p w14:paraId="242B615F">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（2）材料设备的品种、规格、型号、质量等级与一览表不符：</w:t>
      </w:r>
      <w:r>
        <w:rPr>
          <w:rFonts w:hint="eastAsia" w:ascii="宋体" w:hAnsi="宋体" w:eastAsia="宋体" w:cs="宋体"/>
          <w:color w:val="auto"/>
          <w:sz w:val="24"/>
          <w:szCs w:val="24"/>
          <w:highlight w:val="none"/>
          <w:u w:val="single"/>
        </w:rPr>
        <w:t>执行《通用条款》31.4(2)款。</w:t>
      </w:r>
    </w:p>
    <w:p w14:paraId="7F84B091">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（3）承包人可代为调剂串换的材料：</w:t>
      </w:r>
      <w:r>
        <w:rPr>
          <w:rFonts w:hint="eastAsia" w:ascii="宋体" w:hAnsi="宋体" w:eastAsia="宋体" w:cs="宋体"/>
          <w:color w:val="auto"/>
          <w:sz w:val="24"/>
          <w:szCs w:val="24"/>
          <w:highlight w:val="none"/>
          <w:u w:val="single"/>
        </w:rPr>
        <w:t>执行《通用条款》31.4.（3）款。</w:t>
      </w:r>
    </w:p>
    <w:p w14:paraId="3C3D303D">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（4）到货地点与一览表不符：</w:t>
      </w:r>
      <w:r>
        <w:rPr>
          <w:rFonts w:hint="eastAsia" w:ascii="宋体" w:hAnsi="宋体" w:eastAsia="宋体" w:cs="宋体"/>
          <w:color w:val="auto"/>
          <w:sz w:val="24"/>
          <w:szCs w:val="24"/>
          <w:highlight w:val="none"/>
          <w:u w:val="single"/>
        </w:rPr>
        <w:t>执行《通用条款》31.4.（4）款。</w:t>
      </w:r>
    </w:p>
    <w:p w14:paraId="46F3C805">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（5）供应数量与一览表不符：</w:t>
      </w:r>
      <w:r>
        <w:rPr>
          <w:rFonts w:hint="eastAsia" w:ascii="宋体" w:hAnsi="宋体" w:eastAsia="宋体" w:cs="宋体"/>
          <w:color w:val="auto"/>
          <w:sz w:val="24"/>
          <w:szCs w:val="24"/>
          <w:highlight w:val="none"/>
          <w:u w:val="single"/>
        </w:rPr>
        <w:t>执行《通用条款》31.4.（5）款。</w:t>
      </w:r>
    </w:p>
    <w:p w14:paraId="1307CE2D">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（6）到货时间与一览表不符：</w:t>
      </w:r>
      <w:r>
        <w:rPr>
          <w:rFonts w:hint="eastAsia" w:ascii="宋体" w:hAnsi="宋体" w:eastAsia="宋体" w:cs="宋体"/>
          <w:color w:val="auto"/>
          <w:sz w:val="24"/>
          <w:szCs w:val="24"/>
          <w:highlight w:val="none"/>
          <w:u w:val="single"/>
        </w:rPr>
        <w:t>执行《通用条款》31.4.（6）款。</w:t>
      </w:r>
    </w:p>
    <w:p w14:paraId="65FEF244">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31.6发包人供应材料设备的结算方法：</w:t>
      </w:r>
      <w:r>
        <w:rPr>
          <w:rFonts w:hint="eastAsia" w:ascii="宋体" w:hAnsi="宋体" w:eastAsia="宋体" w:cs="宋体"/>
          <w:color w:val="auto"/>
          <w:sz w:val="24"/>
          <w:szCs w:val="24"/>
          <w:highlight w:val="none"/>
          <w:u w:val="single"/>
        </w:rPr>
        <w:t xml:space="preserve">  无 </w:t>
      </w:r>
    </w:p>
    <w:p w14:paraId="0BFB5DAC">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32、承包人采购材料设备</w:t>
      </w:r>
    </w:p>
    <w:p w14:paraId="7D13D1E8">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32.1承包人采购材料设备的约定：</w:t>
      </w:r>
      <w:r>
        <w:rPr>
          <w:rFonts w:hint="eastAsia" w:ascii="宋体" w:hAnsi="宋体" w:eastAsia="宋体" w:cs="宋体"/>
          <w:color w:val="auto"/>
          <w:sz w:val="24"/>
          <w:szCs w:val="24"/>
          <w:highlight w:val="none"/>
          <w:u w:val="single"/>
        </w:rPr>
        <w:t>乙方自行采购的材料规格型号应与施工图设计相符，质量等级必须合格。</w:t>
      </w:r>
    </w:p>
    <w:p w14:paraId="5F4C0C24">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八、工程变更</w:t>
      </w:r>
    </w:p>
    <w:p w14:paraId="72FD47D1">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33、在本工程实施过程中若发生变更，按下列各项执行：</w:t>
      </w:r>
    </w:p>
    <w:p w14:paraId="2F6E3856">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r>
        <w:rPr>
          <w:rFonts w:hint="eastAsia" w:ascii="宋体" w:hAnsi="宋体" w:eastAsia="宋体" w:cs="宋体"/>
          <w:color w:val="auto"/>
          <w:sz w:val="24"/>
          <w:szCs w:val="24"/>
          <w:highlight w:val="none"/>
          <w:u w:val="single"/>
        </w:rPr>
        <w:t>合同中已有适用综合单价的，可参照类似综合单价调整；</w:t>
      </w:r>
    </w:p>
    <w:p w14:paraId="2E3F1D39">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w:t>
      </w:r>
      <w:r>
        <w:rPr>
          <w:rFonts w:hint="eastAsia" w:ascii="宋体" w:hAnsi="宋体" w:eastAsia="宋体" w:cs="宋体"/>
          <w:color w:val="auto"/>
          <w:sz w:val="24"/>
          <w:szCs w:val="24"/>
          <w:highlight w:val="none"/>
          <w:u w:val="single"/>
        </w:rPr>
        <w:t>合同中有类似综合单价的，可参照类似综合单价调整；</w:t>
      </w:r>
    </w:p>
    <w:p w14:paraId="7DD54E5C">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33.3</w:t>
      </w:r>
      <w:r>
        <w:rPr>
          <w:rFonts w:hint="eastAsia" w:ascii="宋体" w:hAnsi="宋体" w:eastAsia="宋体" w:cs="宋体"/>
          <w:color w:val="auto"/>
          <w:sz w:val="24"/>
          <w:szCs w:val="24"/>
          <w:highlight w:val="none"/>
          <w:u w:val="single"/>
        </w:rPr>
        <w:t>合同中没有适用或类似综合单价的承包人按照投标书人工工日、材料、机械台班单价进行组价，报发包人审核认可。</w:t>
      </w:r>
    </w:p>
    <w:p w14:paraId="1333F9C0">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九、竣工验收与结算</w:t>
      </w:r>
    </w:p>
    <w:p w14:paraId="2936901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36、竣工验收</w:t>
      </w:r>
    </w:p>
    <w:p w14:paraId="0A73673C">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36.1承包人提供竣工图的约定：</w:t>
      </w:r>
      <w:r>
        <w:rPr>
          <w:rFonts w:hint="eastAsia" w:ascii="宋体" w:hAnsi="宋体" w:eastAsia="宋体" w:cs="宋体"/>
          <w:color w:val="auto"/>
          <w:sz w:val="24"/>
          <w:szCs w:val="24"/>
          <w:highlight w:val="none"/>
          <w:u w:val="single"/>
        </w:rPr>
        <w:t>完整资料文件两套。</w:t>
      </w:r>
    </w:p>
    <w:p w14:paraId="4B9A08B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36.6中间交工工程的范围和竣工时间：_______________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_______________</w:t>
      </w:r>
    </w:p>
    <w:p w14:paraId="5A81AFD8">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37、竣工结算</w:t>
      </w:r>
    </w:p>
    <w:p w14:paraId="2989FA45">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结算审查期限： </w:t>
      </w:r>
      <w:r>
        <w:rPr>
          <w:rFonts w:hint="eastAsia" w:ascii="宋体" w:hAnsi="宋体" w:eastAsia="宋体" w:cs="宋体"/>
          <w:color w:val="auto"/>
          <w:sz w:val="24"/>
          <w:szCs w:val="24"/>
          <w:highlight w:val="none"/>
          <w:u w:val="single"/>
        </w:rPr>
        <w:t xml:space="preserve">  /   </w:t>
      </w:r>
    </w:p>
    <w:p w14:paraId="58386887">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十、违约、索赔和争议</w:t>
      </w:r>
    </w:p>
    <w:p w14:paraId="5C55B774">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39、违约</w:t>
      </w:r>
    </w:p>
    <w:p w14:paraId="2D4ABC6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39.1  本合同中关于发包人违约的具体责任如下： </w:t>
      </w:r>
    </w:p>
    <w:p w14:paraId="2A713996">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本合同通用条款第28.1条约定发包人违约应承担的违约责任：</w:t>
      </w:r>
      <w:r>
        <w:rPr>
          <w:rFonts w:hint="eastAsia" w:ascii="宋体" w:hAnsi="宋体" w:eastAsia="宋体" w:cs="宋体"/>
          <w:color w:val="auto"/>
          <w:sz w:val="24"/>
          <w:szCs w:val="24"/>
          <w:highlight w:val="none"/>
          <w:u w:val="single"/>
        </w:rPr>
        <w:t xml:space="preserve">  _</w:t>
      </w:r>
      <w:r>
        <w:rPr>
          <w:rFonts w:hint="eastAsia" w:ascii="宋体" w:hAnsi="宋体" w:eastAsia="宋体" w:cs="宋体"/>
          <w:color w:val="auto"/>
          <w:sz w:val="24"/>
          <w:szCs w:val="24"/>
          <w:highlight w:val="none"/>
        </w:rPr>
        <w:t>/_</w:t>
      </w:r>
      <w:r>
        <w:rPr>
          <w:rFonts w:hint="eastAsia" w:ascii="宋体" w:hAnsi="宋体" w:eastAsia="宋体" w:cs="宋体"/>
          <w:color w:val="auto"/>
          <w:sz w:val="24"/>
          <w:szCs w:val="24"/>
          <w:highlight w:val="none"/>
          <w:u w:val="single"/>
        </w:rPr>
        <w:t xml:space="preserve">_   </w:t>
      </w:r>
    </w:p>
    <w:p w14:paraId="22443A03">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本合同通用条款第30.5款约定发包人违约应承担的违约责任：</w:t>
      </w:r>
      <w:r>
        <w:rPr>
          <w:rFonts w:hint="eastAsia" w:ascii="宋体" w:hAnsi="宋体" w:eastAsia="宋体" w:cs="宋体"/>
          <w:color w:val="auto"/>
          <w:sz w:val="24"/>
          <w:szCs w:val="24"/>
          <w:highlight w:val="none"/>
          <w:u w:val="single"/>
        </w:rPr>
        <w:t>执行《通用条款》30.5款。</w:t>
      </w:r>
    </w:p>
    <w:p w14:paraId="046531D6">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本合同通用条款第37.6款约定发包人违约应承担的违约责任：</w:t>
      </w:r>
      <w:r>
        <w:rPr>
          <w:rFonts w:hint="eastAsia" w:ascii="宋体" w:hAnsi="宋体" w:eastAsia="宋体" w:cs="宋体"/>
          <w:color w:val="auto"/>
          <w:sz w:val="24"/>
          <w:szCs w:val="24"/>
          <w:highlight w:val="none"/>
          <w:u w:val="single"/>
        </w:rPr>
        <w:t>执行《通用条款》37.6款。</w:t>
      </w:r>
    </w:p>
    <w:p w14:paraId="1E1CC9A6">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双方约定的发包人其他违约责任：__________/_________</w:t>
      </w:r>
    </w:p>
    <w:p w14:paraId="5C79FADE">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39.2  本合同中关于承包人违约的具体责任如下：本合同通用条款第14.2款约定承包人违约承担的违约责任：</w:t>
      </w:r>
      <w:r>
        <w:rPr>
          <w:rFonts w:hint="eastAsia" w:ascii="宋体" w:hAnsi="宋体" w:eastAsia="宋体" w:cs="宋体"/>
          <w:color w:val="auto"/>
          <w:sz w:val="24"/>
          <w:szCs w:val="24"/>
          <w:highlight w:val="none"/>
          <w:u w:val="single"/>
        </w:rPr>
        <w:t>承包人工期每推迟一天罚款1000元，若影响到发包人使用另行赔偿给甲方造成的损失。</w:t>
      </w:r>
    </w:p>
    <w:p w14:paraId="4DB3DBC2">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本合同通用条款第15.1款约定承包人违约应承担的违约责任：</w:t>
      </w:r>
      <w:r>
        <w:rPr>
          <w:rFonts w:hint="eastAsia" w:ascii="宋体" w:hAnsi="宋体" w:eastAsia="宋体" w:cs="宋体"/>
          <w:color w:val="auto"/>
          <w:sz w:val="24"/>
          <w:szCs w:val="24"/>
          <w:highlight w:val="none"/>
          <w:u w:val="single"/>
        </w:rPr>
        <w:t>承包方除按合同价款的2%承担违约金外，另按国务院279号令有关规定执行。</w:t>
      </w:r>
    </w:p>
    <w:p w14:paraId="0563F408">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双方约定的承包人其他违约责任：______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w:t>
      </w:r>
    </w:p>
    <w:p w14:paraId="613C5775">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41、争议</w:t>
      </w:r>
    </w:p>
    <w:p w14:paraId="4B760D2C">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41.1双方当事人约定，在履行合同过程中产生争议时：</w:t>
      </w:r>
    </w:p>
    <w:p w14:paraId="627315A0">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（1）请_</w:t>
      </w:r>
      <w:r>
        <w:rPr>
          <w:rFonts w:hint="eastAsia" w:ascii="宋体" w:hAnsi="宋体" w:eastAsia="宋体" w:cs="宋体"/>
          <w:color w:val="auto"/>
          <w:sz w:val="24"/>
          <w:szCs w:val="24"/>
          <w:highlight w:val="none"/>
          <w:u w:val="single"/>
        </w:rPr>
        <w:t>合同管理部门和其他有关部门</w:t>
      </w:r>
      <w:r>
        <w:rPr>
          <w:rFonts w:hint="eastAsia" w:ascii="宋体" w:hAnsi="宋体" w:eastAsia="宋体" w:cs="宋体"/>
          <w:color w:val="auto"/>
          <w:sz w:val="24"/>
          <w:szCs w:val="24"/>
          <w:highlight w:val="none"/>
        </w:rPr>
        <w:t>_调解；</w:t>
      </w:r>
    </w:p>
    <w:p w14:paraId="4CF460A9">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（2）合同争议调解不成的，按下列第</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种方式解决：</w:t>
      </w:r>
    </w:p>
    <w:p w14:paraId="6B9CB554">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1）提交</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eastAsia="zh-CN"/>
        </w:rPr>
        <w:t>柞水县</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仲裁委员会申请仲裁； </w:t>
      </w:r>
    </w:p>
    <w:p w14:paraId="30A1844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2）依法</w:t>
      </w:r>
      <w:r>
        <w:rPr>
          <w:rFonts w:hint="eastAsia" w:ascii="宋体" w:hAnsi="宋体" w:eastAsia="宋体" w:cs="宋体"/>
          <w:color w:val="auto"/>
          <w:sz w:val="24"/>
          <w:szCs w:val="24"/>
          <w:highlight w:val="none"/>
          <w:u w:val="single"/>
        </w:rPr>
        <w:t xml:space="preserve">向     </w:t>
      </w:r>
      <w:r>
        <w:rPr>
          <w:rFonts w:hint="eastAsia" w:ascii="宋体" w:hAnsi="宋体" w:eastAsia="宋体" w:cs="宋体"/>
          <w:color w:val="auto"/>
          <w:sz w:val="24"/>
          <w:szCs w:val="24"/>
          <w:highlight w:val="none"/>
        </w:rPr>
        <w:t xml:space="preserve">人民法院提起诉讼。 </w:t>
      </w:r>
    </w:p>
    <w:p w14:paraId="2E06AA02">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十一、其他</w:t>
      </w:r>
    </w:p>
    <w:p w14:paraId="43691BBF">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42、工程分包</w:t>
      </w:r>
    </w:p>
    <w:p w14:paraId="42E422EE">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42.1本工程发包人同意承包人分包的专业工程：</w:t>
      </w:r>
      <w:r>
        <w:rPr>
          <w:rFonts w:hint="eastAsia" w:ascii="宋体" w:hAnsi="宋体" w:eastAsia="宋体" w:cs="宋体"/>
          <w:color w:val="auto"/>
          <w:sz w:val="24"/>
          <w:szCs w:val="24"/>
          <w:highlight w:val="none"/>
          <w:u w:val="single"/>
        </w:rPr>
        <w:t xml:space="preserve">   无  </w:t>
      </w:r>
    </w:p>
    <w:p w14:paraId="48992050">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分包施工单位为：___________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_____________</w:t>
      </w:r>
    </w:p>
    <w:p w14:paraId="180ECD7E">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43、不可抗力</w:t>
      </w:r>
    </w:p>
    <w:p w14:paraId="1FE0FE23">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 xml:space="preserve">43.1双方关于不可抗力的约定： </w:t>
      </w:r>
      <w:r>
        <w:rPr>
          <w:rFonts w:hint="eastAsia" w:ascii="宋体" w:hAnsi="宋体" w:eastAsia="宋体" w:cs="宋体"/>
          <w:color w:val="auto"/>
          <w:sz w:val="24"/>
          <w:szCs w:val="24"/>
          <w:highlight w:val="none"/>
          <w:u w:val="single"/>
        </w:rPr>
        <w:t>_根据国家的法律规定执行。</w:t>
      </w:r>
    </w:p>
    <w:p w14:paraId="3E2BA1AF">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44、保险</w:t>
      </w:r>
    </w:p>
    <w:p w14:paraId="70301240">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44.6本工程双方约定投保内容如下：</w:t>
      </w:r>
    </w:p>
    <w:p w14:paraId="30D3F383">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（1）发包人投保内容：</w:t>
      </w:r>
      <w:r>
        <w:rPr>
          <w:rFonts w:hint="eastAsia" w:ascii="宋体" w:hAnsi="宋体" w:eastAsia="宋体" w:cs="宋体"/>
          <w:color w:val="auto"/>
          <w:sz w:val="24"/>
          <w:szCs w:val="24"/>
          <w:highlight w:val="none"/>
          <w:u w:val="single"/>
        </w:rPr>
        <w:t>执行《通用条款》44.1款，费用由发包人承担。</w:t>
      </w:r>
    </w:p>
    <w:p w14:paraId="61F5AC57">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发包人委托承包人办理的保险事项：____________/________________</w:t>
      </w:r>
    </w:p>
    <w:p w14:paraId="3673B18B">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（2）承包人投保内容：</w:t>
      </w:r>
      <w:r>
        <w:rPr>
          <w:rFonts w:hint="eastAsia" w:ascii="宋体" w:hAnsi="宋体" w:eastAsia="宋体" w:cs="宋体"/>
          <w:color w:val="auto"/>
          <w:sz w:val="24"/>
          <w:szCs w:val="24"/>
          <w:highlight w:val="none"/>
          <w:u w:val="single"/>
        </w:rPr>
        <w:t>执行《通用条款》44.4款，费用由承包人承担。</w:t>
      </w:r>
    </w:p>
    <w:p w14:paraId="6A0ED468">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45、担保</w:t>
      </w:r>
    </w:p>
    <w:p w14:paraId="46B40C98">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45.3本工程双方约定担保事项如下： </w:t>
      </w:r>
    </w:p>
    <w:p w14:paraId="0E282A5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（1）发包人向承包人提供支付担保，担保方式为：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，担保金额：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，担保有效期：</w:t>
      </w:r>
      <w:r>
        <w:rPr>
          <w:rFonts w:hint="eastAsia" w:ascii="宋体" w:hAnsi="宋体" w:eastAsia="宋体" w:cs="宋体"/>
          <w:color w:val="auto"/>
          <w:sz w:val="24"/>
          <w:szCs w:val="24"/>
          <w:highlight w:val="none"/>
          <w:u w:val="single"/>
        </w:rPr>
        <w:t xml:space="preserve">    _</w:t>
      </w:r>
      <w:r>
        <w:rPr>
          <w:rFonts w:hint="eastAsia" w:ascii="宋体" w:hAnsi="宋体" w:eastAsia="宋体" w:cs="宋体"/>
          <w:color w:val="auto"/>
          <w:sz w:val="24"/>
          <w:szCs w:val="24"/>
          <w:highlight w:val="none"/>
        </w:rPr>
        <w:t>。</w:t>
      </w:r>
    </w:p>
    <w:p w14:paraId="4C078C0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（2）承包人向发包人提供履约担保，担保方式为：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，担保金额：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，担保有效期：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C4E5D62">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（3）双方约定的其他担保事项：_______________/________________</w:t>
      </w:r>
    </w:p>
    <w:p w14:paraId="70CC73E4">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50、合同份数</w:t>
      </w:r>
    </w:p>
    <w:p w14:paraId="54FE3169">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50.2双方约定合同副本份数：</w:t>
      </w:r>
      <w:r>
        <w:rPr>
          <w:rFonts w:hint="eastAsia" w:ascii="宋体" w:hAnsi="宋体" w:eastAsia="宋体" w:cs="宋体"/>
          <w:color w:val="auto"/>
          <w:sz w:val="24"/>
          <w:szCs w:val="24"/>
          <w:highlight w:val="none"/>
          <w:u w:val="thick"/>
        </w:rPr>
        <w:t>捌份。</w:t>
      </w:r>
    </w:p>
    <w:p w14:paraId="5EA35A1F">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51、补充条款</w:t>
      </w:r>
    </w:p>
    <w:p w14:paraId="70472CCC">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51.1</w:t>
      </w:r>
      <w:r>
        <w:rPr>
          <w:rFonts w:hint="eastAsia" w:ascii="宋体" w:hAnsi="宋体" w:eastAsia="宋体" w:cs="宋体"/>
          <w:color w:val="auto"/>
          <w:sz w:val="24"/>
          <w:szCs w:val="24"/>
          <w:highlight w:val="none"/>
          <w:u w:val="single"/>
        </w:rPr>
        <w:t>本工程禁止转包，若发现承包方私自转包和未经发包人许可私自分包，发包人有权终止合同，对已完工程不予结算，并由承包人赔偿因此给发包方造成的直接或间接的经济损失。</w:t>
      </w:r>
    </w:p>
    <w:p w14:paraId="2B9DEE53">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51.2</w:t>
      </w:r>
      <w:r>
        <w:rPr>
          <w:rFonts w:hint="eastAsia" w:ascii="宋体" w:hAnsi="宋体" w:eastAsia="宋体" w:cs="宋体"/>
          <w:color w:val="auto"/>
          <w:sz w:val="24"/>
          <w:szCs w:val="24"/>
          <w:highlight w:val="none"/>
          <w:u w:val="single"/>
        </w:rPr>
        <w:t>施工企业须承诺按国务院及当地政府的规定按时、足额、实名方式支付农民工工资，否则发包人在工程款中代扣支付，并在工程结算时扣除。</w:t>
      </w:r>
    </w:p>
    <w:p w14:paraId="619158CC">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51.3</w:t>
      </w:r>
      <w:r>
        <w:rPr>
          <w:rFonts w:hint="eastAsia" w:ascii="宋体" w:hAnsi="宋体" w:eastAsia="宋体" w:cs="宋体"/>
          <w:color w:val="auto"/>
          <w:sz w:val="24"/>
          <w:szCs w:val="24"/>
          <w:highlight w:val="none"/>
          <w:u w:val="single"/>
        </w:rPr>
        <w:t>本工程竣工后，应免费将建筑物周围和施工单位生活区周围内施工现场清除干净；无建筑材料、无建筑设备、无建筑垃圾、和施工垃圾，做到场地整洁。</w:t>
      </w:r>
    </w:p>
    <w:p w14:paraId="5003A476">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51.4</w:t>
      </w:r>
      <w:r>
        <w:rPr>
          <w:rFonts w:hint="eastAsia" w:ascii="宋体" w:hAnsi="宋体" w:eastAsia="宋体" w:cs="宋体"/>
          <w:color w:val="auto"/>
          <w:sz w:val="24"/>
          <w:szCs w:val="24"/>
          <w:highlight w:val="none"/>
          <w:u w:val="single"/>
        </w:rPr>
        <w:t>承包人在施工过程中应服从、遵守发包人和当地政府职能部门的管理制度。关于安全防护、文明施工措施费用的其他约定如下：</w:t>
      </w:r>
    </w:p>
    <w:p w14:paraId="5F401B27">
      <w:pPr>
        <w:numPr>
          <w:ilvl w:val="0"/>
          <w:numId w:val="5"/>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承包人需提供安全防护、文明施工措施费用的支付计划落实情况；</w:t>
      </w:r>
    </w:p>
    <w:p w14:paraId="30E51C8C">
      <w:pPr>
        <w:numPr>
          <w:ilvl w:val="0"/>
          <w:numId w:val="5"/>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工程师对承包人落实安全防护、文明施工措施分情况进行现场监理，若发现承包人为落实安全防护、文明施工措施的，有权责令其立即整改；</w:t>
      </w:r>
    </w:p>
    <w:p w14:paraId="242E57CB">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发包人和承包人应在财务管理中单独列支安全防护、文明施工措施项目费用的支付情况。</w:t>
      </w:r>
    </w:p>
    <w:p w14:paraId="32684360">
      <w:pPr>
        <w:spacing w:line="360" w:lineRule="auto"/>
        <w:ind w:firstLine="480" w:firstLineChars="200"/>
        <w:rPr>
          <w:rFonts w:hint="eastAsia" w:hAnsi="宋体"/>
          <w:color w:val="auto"/>
          <w:szCs w:val="24"/>
          <w:highlight w:val="none"/>
        </w:rPr>
      </w:pPr>
      <w:r>
        <w:rPr>
          <w:rFonts w:hint="eastAsia" w:ascii="宋体" w:hAnsi="宋体" w:eastAsia="宋体" w:cs="宋体"/>
          <w:color w:val="auto"/>
          <w:sz w:val="24"/>
          <w:szCs w:val="24"/>
          <w:highlight w:val="none"/>
        </w:rPr>
        <w:t>51.5</w:t>
      </w:r>
      <w:r>
        <w:rPr>
          <w:rFonts w:hint="eastAsia" w:ascii="宋体" w:hAnsi="宋体" w:eastAsia="宋体" w:cs="宋体"/>
          <w:color w:val="auto"/>
          <w:sz w:val="24"/>
          <w:szCs w:val="24"/>
          <w:highlight w:val="none"/>
          <w:u w:val="single"/>
        </w:rPr>
        <w:t>以上未尽事宜，双方协商解决或另行签署补充协议并到建设行政主管部门备案。</w:t>
      </w:r>
    </w:p>
    <w:p w14:paraId="7C244A27">
      <w:pPr>
        <w:ind w:firstLine="600" w:firstLineChars="200"/>
        <w:rPr>
          <w:rFonts w:hint="eastAsia" w:ascii="仿宋_GB2312" w:eastAsia="仿宋_GB2312"/>
          <w:sz w:val="30"/>
          <w:szCs w:val="30"/>
          <w:highlight w:val="none"/>
        </w:rPr>
        <w:sectPr>
          <w:footerReference r:id="rId15" w:type="first"/>
          <w:footerReference r:id="rId14" w:type="default"/>
          <w:pgSz w:w="11906" w:h="16838"/>
          <w:pgMar w:top="1361" w:right="1304" w:bottom="1361" w:left="1304" w:header="851" w:footer="992" w:gutter="0"/>
          <w:pgNumType w:fmt="decimal"/>
          <w:cols w:space="720" w:num="1"/>
          <w:titlePg/>
          <w:docGrid w:type="lines" w:linePitch="312" w:charSpace="0"/>
        </w:sectPr>
      </w:pPr>
    </w:p>
    <w:p w14:paraId="521983DD">
      <w:pPr>
        <w:pStyle w:val="2"/>
        <w:jc w:val="center"/>
        <w:outlineLvl w:val="0"/>
        <w:rPr>
          <w:rFonts w:hint="eastAsia" w:ascii="宋体" w:hAnsi="宋体" w:eastAsia="宋体" w:cs="宋体"/>
          <w:bCs/>
          <w:sz w:val="36"/>
          <w:szCs w:val="36"/>
          <w:highlight w:val="none"/>
        </w:rPr>
      </w:pPr>
      <w:bookmarkStart w:id="107" w:name="_Toc15604"/>
      <w:r>
        <w:rPr>
          <w:rFonts w:hint="eastAsia" w:ascii="宋体" w:hAnsi="宋体" w:eastAsia="宋体" w:cs="宋体"/>
          <w:bCs/>
          <w:sz w:val="36"/>
          <w:szCs w:val="36"/>
          <w:highlight w:val="none"/>
        </w:rPr>
        <w:t xml:space="preserve">第五章 </w:t>
      </w:r>
      <w:bookmarkEnd w:id="93"/>
      <w:bookmarkEnd w:id="94"/>
      <w:bookmarkEnd w:id="95"/>
      <w:bookmarkEnd w:id="96"/>
      <w:bookmarkEnd w:id="97"/>
      <w:bookmarkEnd w:id="98"/>
      <w:bookmarkEnd w:id="99"/>
      <w:bookmarkEnd w:id="100"/>
      <w:bookmarkEnd w:id="101"/>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102"/>
      <w:bookmarkEnd w:id="107"/>
    </w:p>
    <w:bookmarkEnd w:id="68"/>
    <w:p w14:paraId="4B949474">
      <w:pPr>
        <w:pStyle w:val="36"/>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b/>
          <w:bCs/>
          <w:sz w:val="28"/>
          <w:szCs w:val="28"/>
          <w:highlight w:val="none"/>
          <w:lang w:val="en-US" w:eastAsia="zh-CN"/>
        </w:rPr>
      </w:pPr>
      <w:bookmarkStart w:id="108" w:name="_Toc5084"/>
      <w:bookmarkStart w:id="109" w:name="_Toc363474025"/>
      <w:bookmarkStart w:id="110" w:name="_Toc403077646"/>
      <w:bookmarkStart w:id="111" w:name="_Toc423973079"/>
      <w:r>
        <w:rPr>
          <w:rFonts w:hint="eastAsia" w:ascii="宋体" w:hAnsi="宋体" w:eastAsia="宋体" w:cs="宋体"/>
          <w:b/>
          <w:bCs/>
          <w:sz w:val="28"/>
          <w:szCs w:val="28"/>
          <w:highlight w:val="none"/>
          <w:lang w:val="en-US" w:eastAsia="zh-CN"/>
        </w:rPr>
        <w:t>一、项目区概况</w:t>
      </w:r>
    </w:p>
    <w:p w14:paraId="6CFAE4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lang w:val="en-US" w:eastAsia="zh-CN"/>
        </w:rPr>
        <w:t>迎春社区位于乾佑街办中部，距离县委、县政府，街办政府1公里，东与北关社区相连，南与桃园社区毗邻，西与马房子村接壤，北与仁和社区相接。全村总面积250公顷，区位资源优势明显。交通条件便利，南距西康高速出入口1公里，北距营盘高速路口18公里，南离柞水溶洞风景区、凤凰古镇、九天山风景区均不到半小时车程，北距牛背梁国家森林公园、终南山寨景区及云山湖风景区7公里。通村柏油水泥路在社区实现了全覆盖。辖区有三道井、东坡森林公园、河畔健身步道及多处口袋公园等多处休闲场所。有大型酒店3家，可容纳500至1千余人就餐和住宿，农家乐和民宿散布于社区。生态环境宜居宜业。空气负氧离子浓度水平远高于正常阈值。属北亚热带季风性湿润气候区，区域内一年四季分明、气候温暖、雨量充沛，年平均气温12.4℃，相对湿度70%，年日照时数1882.7小时，年降水量769.8毫米，平均气温23.6℃，无霜期240天，夏无酷暑，冬无严寒，吸引了大批的外来游客休闲度假和西安等一些邻近大城市的居民在县城购房避暑、度假、养老。乡村建设纵深推进。迎春社区立足区域资源禀赋，相继建成了多个和美乡村示范点，乾佑河农旅融合示范带初显雏形，乡村实现了从“一处美”向“一片美”，从“环境美”向“生活美”，从“外在美”向“内涵美”的转变。</w:t>
      </w:r>
    </w:p>
    <w:p w14:paraId="4DB43557">
      <w:pPr>
        <w:pStyle w:val="36"/>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b/>
          <w:bCs/>
          <w:sz w:val="28"/>
          <w:szCs w:val="28"/>
          <w:highlight w:val="none"/>
          <w:lang w:val="en-US" w:eastAsia="zh-CN"/>
        </w:rPr>
      </w:pPr>
      <w:bookmarkStart w:id="112" w:name="_Toc31899"/>
      <w:r>
        <w:rPr>
          <w:rFonts w:hint="eastAsia" w:ascii="宋体" w:hAnsi="宋体" w:eastAsia="宋体" w:cs="宋体"/>
          <w:b/>
          <w:bCs/>
          <w:sz w:val="28"/>
          <w:szCs w:val="28"/>
          <w:highlight w:val="none"/>
          <w:lang w:val="en-US" w:eastAsia="zh-CN"/>
        </w:rPr>
        <w:t>二、</w:t>
      </w:r>
      <w:bookmarkEnd w:id="112"/>
      <w:r>
        <w:rPr>
          <w:rFonts w:hint="eastAsia" w:ascii="宋体" w:hAnsi="宋体" w:eastAsia="宋体" w:cs="宋体"/>
          <w:b/>
          <w:bCs/>
          <w:sz w:val="28"/>
          <w:szCs w:val="28"/>
          <w:highlight w:val="none"/>
          <w:lang w:val="en-US" w:eastAsia="zh-CN"/>
        </w:rPr>
        <w:t>项目区范围及建设规模</w:t>
      </w:r>
    </w:p>
    <w:p w14:paraId="219774DE">
      <w:pPr>
        <w:pStyle w:val="37"/>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highlight w:val="none"/>
          <w:lang w:eastAsia="zh-CN"/>
        </w:rPr>
      </w:pPr>
      <w:bookmarkStart w:id="113" w:name="_Toc7532"/>
      <w:r>
        <w:rPr>
          <w:rFonts w:hint="eastAsia" w:ascii="宋体" w:hAnsi="宋体" w:eastAsia="宋体" w:cs="宋体"/>
          <w:kern w:val="0"/>
          <w:sz w:val="24"/>
          <w:szCs w:val="24"/>
          <w:highlight w:val="none"/>
          <w:lang w:val="en-US" w:eastAsia="zh-CN"/>
        </w:rPr>
        <w:t>柞水县城区周边森林管护与绿化提升建设涉及乾佑街办迎春社区、仁和社区，对城区周边森林资源管护和绿化提升养护，补植补栽青竹、月季、茉莉等18个品种绿化苗木、花卉。</w:t>
      </w:r>
    </w:p>
    <w:bookmarkEnd w:id="113"/>
    <w:p w14:paraId="73FC3C74">
      <w:pPr>
        <w:pStyle w:val="36"/>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b/>
          <w:bCs/>
          <w:sz w:val="28"/>
          <w:szCs w:val="28"/>
          <w:highlight w:val="none"/>
        </w:rPr>
      </w:pPr>
      <w:bookmarkStart w:id="114" w:name="_Toc3574"/>
      <w:bookmarkStart w:id="115" w:name="_Toc452364939"/>
      <w:r>
        <w:rPr>
          <w:rFonts w:hint="eastAsia" w:ascii="宋体" w:hAnsi="宋体" w:eastAsia="宋体" w:cs="宋体"/>
          <w:b/>
          <w:bCs/>
          <w:sz w:val="28"/>
          <w:szCs w:val="28"/>
          <w:highlight w:val="none"/>
          <w:lang w:val="en-US" w:eastAsia="zh-CN"/>
        </w:rPr>
        <w:t>三、</w:t>
      </w:r>
      <w:bookmarkEnd w:id="114"/>
      <w:bookmarkEnd w:id="115"/>
      <w:r>
        <w:rPr>
          <w:rFonts w:hint="eastAsia" w:ascii="宋体" w:hAnsi="宋体" w:eastAsia="宋体" w:cs="宋体"/>
          <w:b/>
          <w:bCs/>
          <w:sz w:val="28"/>
          <w:szCs w:val="28"/>
          <w:highlight w:val="none"/>
        </w:rPr>
        <w:t>主要造林技术标准</w:t>
      </w:r>
    </w:p>
    <w:p w14:paraId="670137CB">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（一）植物选择原则</w:t>
      </w:r>
    </w:p>
    <w:p w14:paraId="4B904F80">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eastAsia="zh-CN"/>
        </w:rPr>
        <w:t>1、坚持绿化地立地条件与植物树种生物学、生态学特性一致的原则；</w:t>
      </w:r>
    </w:p>
    <w:p w14:paraId="2BCDDDFA">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eastAsia="zh-CN"/>
        </w:rPr>
        <w:t>2、所选绿化植物与绿化目标相统一的原则；</w:t>
      </w:r>
    </w:p>
    <w:p w14:paraId="22AD7556">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eastAsia="zh-CN"/>
        </w:rPr>
        <w:t>3、因地制宜地进行多种植物混合，合理确定乔灌木植物树种比例，最大程度发挥防护、美化效益的原则；</w:t>
      </w:r>
    </w:p>
    <w:p w14:paraId="3A23FB16">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bCs/>
          <w:kern w:val="0"/>
          <w:sz w:val="24"/>
          <w:szCs w:val="24"/>
          <w:highlight w:val="none"/>
          <w:lang w:eastAsia="zh-CN"/>
        </w:rPr>
      </w:pPr>
      <w:r>
        <w:rPr>
          <w:rFonts w:hint="eastAsia" w:ascii="宋体" w:hAnsi="宋体" w:eastAsia="宋体" w:cs="宋体"/>
          <w:b w:val="0"/>
          <w:bCs w:val="0"/>
          <w:kern w:val="0"/>
          <w:sz w:val="24"/>
          <w:szCs w:val="24"/>
          <w:highlight w:val="none"/>
          <w:lang w:eastAsia="zh-CN"/>
        </w:rPr>
        <w:t>4、选择抗逆性强、耐旱、抗寒及抗病虫害的优良植物的原则。</w:t>
      </w:r>
    </w:p>
    <w:p w14:paraId="649AD74D">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（二）设计主要绿化植物</w:t>
      </w:r>
    </w:p>
    <w:p w14:paraId="7FDD51E0">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eastAsia="zh-CN"/>
        </w:rPr>
        <w:t>项目选择了多种不同的植物，包括各类灌木、木本花卉、草本花卉等不同类型配置。</w:t>
      </w:r>
    </w:p>
    <w:p w14:paraId="61E8C319">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kern w:val="0"/>
          <w:sz w:val="24"/>
          <w:szCs w:val="24"/>
          <w:highlight w:val="none"/>
          <w:lang w:eastAsia="zh-CN"/>
        </w:rPr>
        <w:t>根据项目区的立地条件，本着树种草种适应性的原则，同时考虑节水，后期运营成本低的原则选择植物种类，共选择18个品种：</w:t>
      </w:r>
    </w:p>
    <w:p w14:paraId="793525D5">
      <w:pPr>
        <w:pStyle w:val="37"/>
        <w:keepNext w:val="0"/>
        <w:keepLines w:val="0"/>
        <w:pageBreakBefore w:val="0"/>
        <w:widowControl w:val="0"/>
        <w:kinsoku/>
        <w:wordWrap/>
        <w:overflowPunct w:val="0"/>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highlight w:val="none"/>
        </w:rPr>
      </w:pPr>
      <w:r>
        <w:rPr>
          <w:rFonts w:hint="eastAsia" w:ascii="宋体" w:hAnsi="宋体" w:eastAsia="宋体" w:cs="宋体"/>
          <w:b/>
          <w:bCs/>
          <w:kern w:val="0"/>
          <w:sz w:val="24"/>
          <w:szCs w:val="24"/>
          <w:highlight w:val="none"/>
          <w:lang w:eastAsia="zh-CN"/>
        </w:rPr>
        <w:t>柞水县城区周边绿化管护项目需求统计表</w:t>
      </w:r>
    </w:p>
    <w:tbl>
      <w:tblPr>
        <w:tblStyle w:val="20"/>
        <w:tblW w:w="0" w:type="auto"/>
        <w:jc w:val="center"/>
        <w:tblLayout w:type="fixed"/>
        <w:tblCellMar>
          <w:top w:w="0" w:type="dxa"/>
          <w:left w:w="108" w:type="dxa"/>
          <w:bottom w:w="0" w:type="dxa"/>
          <w:right w:w="108" w:type="dxa"/>
        </w:tblCellMar>
      </w:tblPr>
      <w:tblGrid>
        <w:gridCol w:w="704"/>
        <w:gridCol w:w="2010"/>
        <w:gridCol w:w="4298"/>
        <w:gridCol w:w="855"/>
        <w:gridCol w:w="1021"/>
      </w:tblGrid>
      <w:tr w14:paraId="7592AD8D">
        <w:tblPrEx>
          <w:tblCellMar>
            <w:top w:w="0" w:type="dxa"/>
            <w:left w:w="108" w:type="dxa"/>
            <w:bottom w:w="0" w:type="dxa"/>
            <w:right w:w="108" w:type="dxa"/>
          </w:tblCellMar>
        </w:tblPrEx>
        <w:trPr>
          <w:trHeight w:val="567" w:hRule="atLeast"/>
          <w:tblHeader/>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453BBB52">
            <w:pPr>
              <w:widowControl/>
              <w:spacing w:line="240" w:lineRule="auto"/>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251509A3">
            <w:pPr>
              <w:widowControl/>
              <w:spacing w:line="240" w:lineRule="auto"/>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名称</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548E78AC">
            <w:pPr>
              <w:widowControl/>
              <w:spacing w:line="240" w:lineRule="auto"/>
              <w:ind w:firstLine="0" w:firstLineChars="0"/>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规格</w:t>
            </w:r>
            <w:r>
              <w:rPr>
                <w:rFonts w:hint="eastAsia" w:ascii="宋体" w:hAnsi="宋体" w:eastAsia="宋体" w:cs="宋体"/>
                <w:b/>
                <w:bCs/>
                <w:kern w:val="0"/>
                <w:sz w:val="24"/>
                <w:szCs w:val="24"/>
                <w:highlight w:val="none"/>
                <w:lang w:eastAsia="zh-CN"/>
              </w:rPr>
              <w:t>（或质量标准）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6D15447">
            <w:pPr>
              <w:widowControl/>
              <w:spacing w:line="240" w:lineRule="auto"/>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2FA01435">
            <w:pPr>
              <w:widowControl/>
              <w:spacing w:line="240" w:lineRule="auto"/>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r>
      <w:tr w14:paraId="230EED63">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39322D1E">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40B41B2">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青竹</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44615DB5">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地径1cm,高2米以上，盆径50cm，每盆10株上</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F45081">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株</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06FC3533">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3750</w:t>
            </w:r>
          </w:p>
        </w:tc>
      </w:tr>
      <w:tr w14:paraId="76ADD8CE">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736538F5">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05E57563">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玉龙草</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31421236">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250株/平方米，38×38厘米盘苗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DCE0D2">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株</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12F1F49">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45000</w:t>
            </w:r>
          </w:p>
        </w:tc>
      </w:tr>
      <w:tr w14:paraId="52F8A071">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065DC6E1">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C95F718">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花叶络石</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40471B1B">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盆径20cm，10株/盆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3A7E683">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95BE0D5">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180</w:t>
            </w:r>
          </w:p>
        </w:tc>
      </w:tr>
      <w:tr w14:paraId="71BCEFAE">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4B9B9FEF">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A40FF06">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银叶菊</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516AAF5B">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盆径20cm，6-8株/盆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B5F4F39">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49833BD2">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04BDCB76">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0BD91DE1">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9944F89">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婆婆纳</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7B164E81">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盆径20cm，4株/盆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703F79">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313EC4E">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24</w:t>
            </w:r>
          </w:p>
        </w:tc>
      </w:tr>
      <w:tr w14:paraId="5260425F">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16437536">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4028182">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石竹</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6D3EED3E">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盆径15cm，苗高10cm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C613683">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041DD3F">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3700</w:t>
            </w:r>
          </w:p>
        </w:tc>
      </w:tr>
      <w:tr w14:paraId="357B962F">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26C90E38">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A8AFD99">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欧月季</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65A516DF">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盆径20cm，高度0.8cm（丛生）</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94436CF">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株</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37CF81F">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2800</w:t>
            </w:r>
          </w:p>
        </w:tc>
      </w:tr>
      <w:tr w14:paraId="77F09B77">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1B6CC6A7">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A4BA420">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三色堇</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6F2EF3F5">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15cm直径的花盆（2-4株/盆）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5DE5D7">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株</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5E0E2E46">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20000</w:t>
            </w:r>
          </w:p>
        </w:tc>
      </w:tr>
      <w:tr w14:paraId="6A0166C9">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30BFB092">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5DDE338">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孔雀草</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2FCC91CD">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15cm直径的花盆（2-4株/盆）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D220CD1">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8AC0B31">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16000</w:t>
            </w:r>
          </w:p>
        </w:tc>
      </w:tr>
      <w:tr w14:paraId="564D5B69">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58745340">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061416ED">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角景</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61108E3D">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15cm直径的花盆（2-4株/盆）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F5E5DED">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2B8B212">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2800</w:t>
            </w:r>
          </w:p>
        </w:tc>
      </w:tr>
      <w:tr w14:paraId="1FFCB0B7">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14D7AA0E">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2E607A3">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迎春花</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2A8658EF">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高50cm（3年生）8-10株/盆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07BFE49">
            <w:pPr>
              <w:keepNext w:val="0"/>
              <w:keepLines w:val="0"/>
              <w:widowControl/>
              <w:suppressLineNumbers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盆</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B26AD2A">
            <w:pPr>
              <w:keepNext w:val="0"/>
              <w:keepLines w:val="0"/>
              <w:widowControl/>
              <w:suppressLineNumbers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60</w:t>
            </w:r>
          </w:p>
        </w:tc>
      </w:tr>
      <w:tr w14:paraId="2AA6502E">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29742E4B">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7FB3D1E">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映山红</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1A74881B">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地径5cm，高80cm（冠80cm）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CC4E3A1">
            <w:pPr>
              <w:keepNext w:val="0"/>
              <w:keepLines w:val="0"/>
              <w:widowControl/>
              <w:suppressLineNumbers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盆</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329AD810">
            <w:pPr>
              <w:keepNext w:val="0"/>
              <w:keepLines w:val="0"/>
              <w:widowControl/>
              <w:suppressLineNumbers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8</w:t>
            </w:r>
          </w:p>
        </w:tc>
      </w:tr>
      <w:tr w14:paraId="77321CDA">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73C0FACB">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84BC5C6">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藤本月季</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71CD93AF">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高2m，3年生，4-6株/盆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5303902">
            <w:pPr>
              <w:keepNext w:val="0"/>
              <w:keepLines w:val="0"/>
              <w:widowControl/>
              <w:suppressLineNumbers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盆</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16E5842A">
            <w:pPr>
              <w:keepNext w:val="0"/>
              <w:keepLines w:val="0"/>
              <w:widowControl/>
              <w:suppressLineNumbers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8</w:t>
            </w:r>
          </w:p>
        </w:tc>
      </w:tr>
      <w:tr w14:paraId="7B0562F1">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35822F96">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5656BE8">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海棠草花</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4A9271C2">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盆径15cm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1C2B342">
            <w:pPr>
              <w:keepNext w:val="0"/>
              <w:keepLines w:val="0"/>
              <w:widowControl/>
              <w:suppressLineNumbers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盆</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0904D931">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2500</w:t>
            </w:r>
          </w:p>
        </w:tc>
      </w:tr>
      <w:tr w14:paraId="2F6F97C0">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6D0E0F0E">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F2B1278">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矾根花</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21018ACB">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盆径20cm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1210E4D">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10A90566">
            <w:pPr>
              <w:keepNext w:val="0"/>
              <w:keepLines w:val="0"/>
              <w:widowControl/>
              <w:suppressLineNumbers w:val="0"/>
              <w:ind w:left="0" w:leftChars="0" w:firstLine="0" w:firstLineChars="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260</w:t>
            </w:r>
          </w:p>
        </w:tc>
      </w:tr>
      <w:tr w14:paraId="398BFFA4">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247E2BDD">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0588B97E">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风车茉莉</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254E8ABC">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高度1.8m（5年生）8-10株/盆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007161">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420E7FC4">
            <w:pPr>
              <w:keepNext w:val="0"/>
              <w:keepLines w:val="0"/>
              <w:widowControl/>
              <w:suppressLineNumbers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42</w:t>
            </w:r>
          </w:p>
        </w:tc>
      </w:tr>
      <w:tr w14:paraId="431F0392">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09A11587">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27172AC">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独杆月季(欧月）</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04F1C6EA">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胸径2cm，冠40cm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D96135">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株</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5275B782">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218</w:t>
            </w:r>
          </w:p>
        </w:tc>
      </w:tr>
      <w:tr w14:paraId="6F6E7965">
        <w:tblPrEx>
          <w:tblCellMar>
            <w:top w:w="0" w:type="dxa"/>
            <w:left w:w="108" w:type="dxa"/>
            <w:bottom w:w="0" w:type="dxa"/>
            <w:right w:w="108" w:type="dxa"/>
          </w:tblCellMar>
        </w:tblPrEx>
        <w:trPr>
          <w:trHeight w:val="56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5A8CF3EF">
            <w:pPr>
              <w:widowControl/>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2B89671">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混合花种（12种）</w:t>
            </w:r>
          </w:p>
        </w:tc>
        <w:tc>
          <w:tcPr>
            <w:tcW w:w="4298" w:type="dxa"/>
            <w:tcBorders>
              <w:top w:val="single" w:color="000000" w:sz="4" w:space="0"/>
              <w:left w:val="single" w:color="000000" w:sz="4" w:space="0"/>
              <w:bottom w:val="single" w:color="000000" w:sz="4" w:space="0"/>
              <w:right w:val="single" w:color="000000" w:sz="4" w:space="0"/>
            </w:tcBorders>
            <w:noWrap w:val="0"/>
            <w:vAlign w:val="center"/>
          </w:tcPr>
          <w:p w14:paraId="2C1D4C1D">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（每种花种1斤）</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D0F2FB5">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斤</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5F721B8">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r>
    </w:tbl>
    <w:p w14:paraId="6E9C3FB8">
      <w:pPr>
        <w:pStyle w:val="36"/>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rPr>
        <w:t>技术措施</w:t>
      </w:r>
    </w:p>
    <w:p w14:paraId="2A6E057C">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一、苗木标准及辅助材料</w:t>
      </w:r>
    </w:p>
    <w:p w14:paraId="22A94B76">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（一）树种选择及苗木标准</w:t>
      </w:r>
    </w:p>
    <w:p w14:paraId="7012C798">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按照因地制宜、适地适树的原则，按照《设计办法》规定的苗木规格，根据不同绿化类型和立地状况，合理选用绿化树种，常规造林苗木规格必须达到《主要造林树种苗木分级》（DB61/T378-2006）规定的Ⅰ级标准以上，所需苗木需有“一签三证”，规格与质量保证无折断、无劈裂、无机械损伤、无病虫害感染，苗木均称色泽正常，无病虫害迹象。</w:t>
      </w:r>
    </w:p>
    <w:p w14:paraId="382F6A48">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（二）辅助材料</w:t>
      </w:r>
    </w:p>
    <w:p w14:paraId="74635004">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辅助材料为化肥、农药、农膜、保湿剂、生根粉。</w:t>
      </w:r>
    </w:p>
    <w:p w14:paraId="30442B52">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二、主要造林技术措施</w:t>
      </w:r>
    </w:p>
    <w:p w14:paraId="7D65C947">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绿化工程的对象是有生命的植物材料，种植的树木品种多样，习性各不相同，要求也不一样，所以必须制定详细的技术方案，完美的设计效果，确保植物的成活率，才能达到预期的美化绿化效果。</w:t>
      </w:r>
    </w:p>
    <w:p w14:paraId="7C46FF65">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本项目的施工基本程序如下：</w:t>
      </w:r>
    </w:p>
    <w:p w14:paraId="0FB7CB69">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a：绿化场地的准备和场地清理：土方运输—回填土—种植地形整理</w:t>
      </w:r>
    </w:p>
    <w:p w14:paraId="5C780DDE">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b：苗木的准备：选苗—起苗、包装—苗木运输—临时假植</w:t>
      </w:r>
    </w:p>
    <w:p w14:paraId="2203CE66">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c：苗木种植定位放线—挖种植坑—栽植—支撑保护—修剪—浇水</w:t>
      </w:r>
    </w:p>
    <w:p w14:paraId="351DB6BE">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d：草坪种植场地准备—土地的平整与耕翻—草坪种植施工—播后管理</w:t>
      </w:r>
    </w:p>
    <w:p w14:paraId="329A92DF">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e：养护管理措施—浇水—除草—修剪—病虫害防治—防冻害—施肥—补植—绿地整理</w:t>
      </w:r>
    </w:p>
    <w:p w14:paraId="02D06611">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1.场地清理</w:t>
      </w:r>
    </w:p>
    <w:p w14:paraId="0906CBFC">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根据景观建设要求，立地条件差的地方要进行换土、垫土，回填高度略低于花坛和路面，部分地块整理成高低起伏的微地形，地形高差在0.2-1米之间，以形成高低错落、步移景异的效果，绿化场地平整。</w:t>
      </w:r>
    </w:p>
    <w:p w14:paraId="748F369B">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2.绿化苗木的采购和运输</w:t>
      </w:r>
    </w:p>
    <w:p w14:paraId="2A2AE7F8">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选苗：选苗应选符合设计的苗木品种树形、规格。要注意选择长势健旺，无病虫害，无机械损伤的苗木，对于大规格的乔、灌木，最好选择经过断根移栽的树木，这样苗木易成活。</w:t>
      </w:r>
    </w:p>
    <w:p w14:paraId="18DFA535">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起苗、包装：起苗前1-2天应灌水一次，采用人工起苗的挖裸根苗的，起挖应注意根系的完整，尽量少损伤根系，并对其进行修剪，起出后用划草袋包扎，并喷水保温，带土球的苗木，土球直径应为苗木胸径的6-8倍，土球的厚度为其直径的2/3，起苗用麻布绑扎，大苗起出后，宜对其根部作适当修复。其主要枝干，应用草绳或麻布缠缚以防损伤和脱水，并将全树树冠枝条进行剪修，用减少叶表面积的办法来降低全树的水分蒸腾总量。</w:t>
      </w:r>
    </w:p>
    <w:p w14:paraId="50B1AB73">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苗木运输：苗木装卸时应小心轻放，不损伤苗木。小苗堆放不宜太厚，以防发热伤苗。对大树的运输，在装运过程中，应将树冠捆拢，并应固定树干，防止损伤树皮，不得损坏土球，操作中注意安全。大树移植卸车时，应将土球（或箱）直接另放种植穴内，拆除包装，分层填土夯实。</w:t>
      </w:r>
    </w:p>
    <w:p w14:paraId="1F223C68">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临时假植：应尽量做到随起随运、随栽，以保证苗木的成活率，若因故不能当天栽完，应将剩余苗木根据不同的技术要求用不同的方法分散假植，深度以能覆盖树木根系为度，放入苗木后覆土，踩实，不使漏风，并应浇水，遮荫养护。</w:t>
      </w:r>
    </w:p>
    <w:p w14:paraId="4F94E93C">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3.苗木栽植</w:t>
      </w:r>
    </w:p>
    <w:p w14:paraId="5D047AD0">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定位放线：确定种植点，进行放线，以使树木栽植准确，整齐，合理，种植效果明显。</w:t>
      </w:r>
    </w:p>
    <w:p w14:paraId="37CAC70C">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挖种植坑：人工开挖，植穴的大小应满足设计要求，株行距符合设计的尺寸，开挖时，应将上层好土堆放在另一边，成片栽植的花灌木和地被植物，应全面深翻30cm，然后开沟栽植。种植时，树穴深度要比土球深20cm左右，宽度大80cm。并要在树穴内填入约20cm厚的营养土。在种植时，要选择树形优美的一面朝向主要观赏方向。树穴要用种植土回填并夯实。</w:t>
      </w:r>
    </w:p>
    <w:p w14:paraId="029021EA">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栽植：种植穴按一般的技术规程挖掘，穴底要施基肥并铺设细土垫层，种植土应疏松肥沃，把树根部的包装取掉，将树苗立正栽好，填土后稍稍向上提一提，再插实土壤并继续填土至穴顶，最后，在树周围做出拦水的围堰。带土球苗木放入穴中校正后，应从边缘向土球四周培土，分层捣实，树木栽植后的深度，应以苗木根颈与地面平齐或稍深为度，栽植其它地被植物时，应根据其生物学特征，确定其栽植深度，捣土后，覆土，扶正，压实，平整地面，然后浇水。</w:t>
      </w:r>
    </w:p>
    <w:p w14:paraId="26364FC9">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支撑：大苗、大树栽植后应设支撑架支撑，不使动摇，提高成活率，按设计要求，对特殊苗木进行搭棚保护。</w:t>
      </w:r>
    </w:p>
    <w:p w14:paraId="2D35AC60">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修剪：大苗、大树栽植后，应作适当修剪，剪去断枝，枯枝，部分树叶，保证树形，以防止水分过多散失，用乳胶或甘油涂抹保护。组成色块，绿篱的灌木截植后，也应按设计要求，进行整形修剪。在修剪上，采用梳枝方法，剪去重叠枝，使树木层次错落、树冠匀称，在修剪程度上，只要突出美化效果即可，不能重剪。</w:t>
      </w:r>
    </w:p>
    <w:p w14:paraId="178EF006">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浇水：苗木栽植后，应立即浇水，小苗可一次浇透；大苗、大树栽植后，应分多次向里充分灌水直至水满，应重复浇水一次，对于大树，因温度较高，所以应注意降温保温，每天要定期对其树干、树枝、叶面进行喷水，降低温度，提高成活率。在树木种植好后，立即浇水，浇时不可太急，要多次浇，直至浇透，并培土。在水浇好后，马上用“十”字扁担桩绑扎，树桩采用统一粗细的竹桩，桩应深入土层60cm。这样可以有效防止树木位移、倒伏。</w:t>
      </w:r>
    </w:p>
    <w:p w14:paraId="430EC299">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4.花种和草种的种植</w:t>
      </w:r>
    </w:p>
    <w:p w14:paraId="61A158A9">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场地准备：土层的厚度，因草坪植物是低矮的草本植物，没有粗大主根，为了使草坪保持优良的质量，减少管理费用，应保证好土40cm左右，最好不小于30cm，在小于30cm的地方应加厚土层。</w:t>
      </w:r>
    </w:p>
    <w:p w14:paraId="59DEE1D5">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土地的平整与耕翻，在清除了杂草、杂物后，地面上初作一次平整，平整后撒基肥，然后普遍翻地一次，疏松土壤，通气良好有利于草坪植物的根系发育，出芽，便于播种，为了确保新铺草坪的平整，在换土或耕翻后应灌一次透水或滚压二遍，才能显出高低，以利最后平整时加以调整。</w:t>
      </w:r>
    </w:p>
    <w:p w14:paraId="04063B3B">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排水及灌溉系统：最后平整地面时，要结合考虑地面排水问题，不能有低凹处，以避免积水，多利用缓坡形成排水沟道，其最低下的一端可设雨水口接纳排出的地面水，并经地下管道排走。理想的平坦草坪的表面应是周围和边缘倾斜。</w:t>
      </w:r>
    </w:p>
    <w:p w14:paraId="70B5C022">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草坪种植施工：播种前，要采购纯度高，发芽率高的种子，在播种前可对种子加以处理，提高发芽率，播种由专门负责草坪播种技术的园艺工人撒种，保证撒播种子的均匀性。</w:t>
      </w:r>
    </w:p>
    <w:p w14:paraId="7005297E">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充分保持土壤湿度是保证出苗的主要条件，播种后可根据天气情况每天或隔天喷水，幼苗长出后3-5天，要经常保持土壤湿润，并要及时清除杂草。</w:t>
      </w:r>
    </w:p>
    <w:p w14:paraId="6C176CAE">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5.养护管理措施</w:t>
      </w:r>
    </w:p>
    <w:p w14:paraId="0F59632C">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苗木草坪栽种后，需要有丰富经验的专门的园艺人员进行栽后的养护和管理，了解情况及时发现问题，制定更可行管养计划，做到双层的管养监督，保证树木的成活率及达到设计效果。</w:t>
      </w:r>
    </w:p>
    <w:p w14:paraId="73C3A0F5">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浇水：若遇天旱，应对苗木进行浇水养护，每次应浇透，次数根据天气及各类苗木的需水情况确定，对其枝干、叶表进行喷水。</w:t>
      </w:r>
    </w:p>
    <w:p w14:paraId="211A185A">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除草：在生长季节，应对杂草进行及时清除，以防杂草对苗木，草坪所需的水分，养分的竞争。中耕除草是绿地养护中的一项重要组成部分。通过中耕除草可保持根部土壤的疏松，利于根部的吸水和呼吸。松土可一月一次。中耕除草应选在晴朗天气，土壤不过分潮湿的时候，中耕深度以不影响根系生长为限。</w:t>
      </w:r>
    </w:p>
    <w:p w14:paraId="1D94A828">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修剪：对移植的大树、大苗，在其根系恢复前，应控制树冠的大小和枝叶数量，以新梢进行适当的修剪，也可用其它办法。对地被植物，应定期进行整形修剪，对草坪的修剪，应保持草坪的剪留高度在3cm左右，修剪时应遵循1/3修剪的原则。</w:t>
      </w:r>
    </w:p>
    <w:p w14:paraId="2835F73C">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病虫害防治：根据实际情况，不同品种苗木所处季节的不同，对可能发生的病虫害进行检测工作，并以防为主，一旦发生病虫害，应及时用药物进行防治。要加强绿地的养护管理，清除植物落叶，合理修剪。冬季气候，利用植物处于休眠期的特点，可适量减小修剪程度，使植物景观能够早日成形。在修剪时，保持透光通风。适时施肥促进植物生长健壮，减少病虫害侵害，一旦发现病虫害，采用物理或化学方法防治，及时治理。</w:t>
      </w:r>
    </w:p>
    <w:p w14:paraId="1C430CBB">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防冻害：对当年栽植苗木，因其对外界的抵抗力未达到良好状态，在冬季要对其进行防寒处理，对大苗、大树要用石硫合剂对主干涂白，避免树干冻裂，还可杀死在树皮内越冬的害虫。涂白要均匀，不可漏涂，也还可对大苗、大树的主干用稻草或草绳将不耐寒的主干包起来，以达到保暖的目的。</w:t>
      </w:r>
    </w:p>
    <w:p w14:paraId="3C89594C">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施肥：在树木种植一段时间后，根据土壤的肥沃度，及各种苗木所需的养分适当进行施肥，但不宜施过多的肥，在种植时，应一次补足氮肥，具体剂量及种类要由土质测定结果出来后再相应确定。如果是秋季施工，应注意多施磷、钾肥，以提高植物搞冻和搞病虫害的能力，确保植物正常的生理状态。</w:t>
      </w:r>
    </w:p>
    <w:p w14:paraId="6F7D76DF">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补植：如发现有植株死亡，应及时用相同品种，规格的苗木进行补植，并加强对新栽苗木的养护管理。</w:t>
      </w:r>
    </w:p>
    <w:p w14:paraId="5B276739">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绿地管理：在养护期内，应经常对绿地进行清理，保持绿地的整洁。</w:t>
      </w:r>
    </w:p>
    <w:p w14:paraId="3B7D2C25">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3CA98D6A">
      <w:pPr>
        <w:pStyle w:val="2"/>
        <w:numPr>
          <w:ilvl w:val="0"/>
          <w:numId w:val="0"/>
        </w:numPr>
        <w:bidi w:val="0"/>
        <w:jc w:val="center"/>
        <w:rPr>
          <w:rFonts w:hint="eastAsia" w:ascii="宋体" w:hAnsi="宋体" w:eastAsia="宋体" w:cs="宋体"/>
          <w:b w:val="0"/>
          <w:bCs/>
          <w:kern w:val="2"/>
          <w:sz w:val="36"/>
          <w:szCs w:val="36"/>
          <w:highlight w:val="none"/>
        </w:rPr>
      </w:pPr>
      <w:bookmarkStart w:id="116" w:name="_Toc10960"/>
      <w:r>
        <w:rPr>
          <w:rStyle w:val="27"/>
          <w:rFonts w:hint="eastAsia" w:ascii="宋体" w:hAnsi="宋体" w:eastAsia="宋体" w:cs="宋体"/>
          <w:b/>
          <w:sz w:val="36"/>
          <w:szCs w:val="21"/>
          <w:highlight w:val="none"/>
        </w:rPr>
        <w:t xml:space="preserve">第六章 </w:t>
      </w:r>
      <w:r>
        <w:rPr>
          <w:rStyle w:val="27"/>
          <w:rFonts w:hint="eastAsia" w:ascii="宋体" w:eastAsia="宋体" w:cs="宋体"/>
          <w:b/>
          <w:sz w:val="36"/>
          <w:szCs w:val="21"/>
          <w:highlight w:val="none"/>
          <w:lang w:val="en-US" w:eastAsia="zh-CN"/>
        </w:rPr>
        <w:t xml:space="preserve"> </w:t>
      </w:r>
      <w:r>
        <w:rPr>
          <w:rStyle w:val="27"/>
          <w:rFonts w:hint="eastAsia" w:ascii="宋体" w:hAnsi="宋体" w:eastAsia="宋体" w:cs="宋体"/>
          <w:b/>
          <w:sz w:val="36"/>
          <w:szCs w:val="21"/>
          <w:highlight w:val="none"/>
        </w:rPr>
        <w:t>竞争性磋商响应文件格式</w:t>
      </w:r>
      <w:bookmarkEnd w:id="108"/>
      <w:bookmarkEnd w:id="109"/>
      <w:bookmarkEnd w:id="110"/>
      <w:bookmarkEnd w:id="111"/>
      <w:bookmarkEnd w:id="116"/>
    </w:p>
    <w:p w14:paraId="109375F9">
      <w:pPr>
        <w:rPr>
          <w:rFonts w:hint="eastAsia" w:ascii="宋体" w:hAnsi="宋体" w:eastAsia="宋体" w:cs="宋体"/>
          <w:highlight w:val="none"/>
        </w:rPr>
      </w:pPr>
    </w:p>
    <w:p w14:paraId="6FE3C2D4">
      <w:pPr>
        <w:rPr>
          <w:rFonts w:hint="eastAsia" w:ascii="宋体" w:hAnsi="宋体" w:eastAsia="宋体" w:cs="宋体"/>
          <w:highlight w:val="none"/>
        </w:rPr>
      </w:pPr>
    </w:p>
    <w:p w14:paraId="73E7041C">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SXZCZB2025-ZCCS-1115</w:t>
      </w:r>
    </w:p>
    <w:p w14:paraId="19E0B821">
      <w:pPr>
        <w:outlineLvl w:val="9"/>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sz w:val="32"/>
          <w:szCs w:val="32"/>
          <w:highlight w:val="none"/>
        </w:rPr>
        <w:t>（正本或副本）</w:t>
      </w:r>
    </w:p>
    <w:p w14:paraId="787EBE5E">
      <w:pPr>
        <w:jc w:val="right"/>
        <w:rPr>
          <w:rFonts w:hint="eastAsia" w:ascii="宋体" w:hAnsi="宋体" w:eastAsia="宋体" w:cs="宋体"/>
          <w:b/>
          <w:sz w:val="32"/>
          <w:szCs w:val="32"/>
          <w:highlight w:val="none"/>
        </w:rPr>
      </w:pPr>
    </w:p>
    <w:p w14:paraId="2281920D">
      <w:pPr>
        <w:jc w:val="right"/>
        <w:rPr>
          <w:rFonts w:hint="eastAsia" w:ascii="宋体" w:hAnsi="宋体" w:eastAsia="宋体" w:cs="宋体"/>
          <w:b/>
          <w:sz w:val="32"/>
          <w:szCs w:val="32"/>
          <w:highlight w:val="none"/>
        </w:rPr>
      </w:pPr>
    </w:p>
    <w:p w14:paraId="26F96819">
      <w:pPr>
        <w:pStyle w:val="8"/>
        <w:rPr>
          <w:rFonts w:hint="eastAsia" w:ascii="宋体" w:hAnsi="宋体" w:eastAsia="宋体" w:cs="宋体"/>
          <w:highlight w:val="none"/>
        </w:rPr>
      </w:pPr>
    </w:p>
    <w:p w14:paraId="6F5C8816">
      <w:pPr>
        <w:jc w:val="center"/>
        <w:outlineLvl w:val="9"/>
        <w:rPr>
          <w:rFonts w:hint="eastAsia" w:hAnsi="宋体" w:cs="宋体"/>
          <w:b/>
          <w:sz w:val="48"/>
          <w:szCs w:val="48"/>
          <w:highlight w:val="none"/>
          <w:lang w:eastAsia="zh-CN"/>
        </w:rPr>
      </w:pPr>
    </w:p>
    <w:p w14:paraId="14B9E792">
      <w:pPr>
        <w:jc w:val="center"/>
        <w:outlineLvl w:val="9"/>
        <w:rPr>
          <w:rFonts w:hint="eastAsia" w:ascii="宋体" w:hAnsi="宋体" w:eastAsia="宋体" w:cs="宋体"/>
          <w:b/>
          <w:sz w:val="44"/>
          <w:szCs w:val="44"/>
          <w:highlight w:val="none"/>
        </w:rPr>
      </w:pPr>
      <w:r>
        <w:rPr>
          <w:rFonts w:hint="eastAsia" w:hAnsi="宋体" w:cs="宋体"/>
          <w:b/>
          <w:sz w:val="48"/>
          <w:szCs w:val="48"/>
          <w:highlight w:val="none"/>
          <w:lang w:eastAsia="zh-CN"/>
        </w:rPr>
        <w:t>柞水县城区周边森林管护与绿化提升项目</w:t>
      </w:r>
    </w:p>
    <w:p w14:paraId="522B1175">
      <w:pPr>
        <w:jc w:val="center"/>
        <w:rPr>
          <w:rFonts w:hint="eastAsia" w:ascii="宋体" w:hAnsi="宋体" w:eastAsia="宋体" w:cs="宋体"/>
          <w:b/>
          <w:sz w:val="62"/>
          <w:szCs w:val="72"/>
          <w:highlight w:val="none"/>
        </w:rPr>
      </w:pPr>
    </w:p>
    <w:p w14:paraId="6EAA1970">
      <w:pPr>
        <w:pStyle w:val="8"/>
        <w:rPr>
          <w:rFonts w:hint="eastAsia" w:ascii="宋体" w:hAnsi="宋体" w:eastAsia="宋体" w:cs="宋体"/>
          <w:b/>
          <w:sz w:val="62"/>
          <w:szCs w:val="72"/>
          <w:highlight w:val="none"/>
        </w:rPr>
      </w:pPr>
    </w:p>
    <w:p w14:paraId="6E41A6EA">
      <w:pPr>
        <w:rPr>
          <w:rFonts w:hint="eastAsia" w:ascii="宋体" w:hAnsi="宋体" w:eastAsia="宋体" w:cs="宋体"/>
          <w:highlight w:val="none"/>
        </w:rPr>
      </w:pPr>
    </w:p>
    <w:p w14:paraId="643C5F4A">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14:paraId="08B84B99">
      <w:pPr>
        <w:jc w:val="center"/>
        <w:rPr>
          <w:rFonts w:hint="eastAsia" w:ascii="宋体" w:hAnsi="宋体" w:eastAsia="宋体" w:cs="宋体"/>
          <w:b/>
          <w:sz w:val="36"/>
          <w:szCs w:val="36"/>
          <w:highlight w:val="none"/>
        </w:rPr>
      </w:pPr>
    </w:p>
    <w:p w14:paraId="2ECEA9A9">
      <w:pPr>
        <w:rPr>
          <w:rFonts w:hint="eastAsia" w:ascii="宋体" w:hAnsi="宋体" w:eastAsia="宋体" w:cs="宋体"/>
          <w:b/>
          <w:sz w:val="36"/>
          <w:szCs w:val="36"/>
          <w:highlight w:val="none"/>
        </w:rPr>
      </w:pPr>
    </w:p>
    <w:p w14:paraId="23F66721">
      <w:pPr>
        <w:pStyle w:val="8"/>
        <w:rPr>
          <w:rFonts w:hint="eastAsia" w:ascii="宋体" w:hAnsi="宋体" w:eastAsia="宋体" w:cs="宋体"/>
          <w:highlight w:val="none"/>
        </w:rPr>
      </w:pPr>
    </w:p>
    <w:p w14:paraId="17BA0437">
      <w:pPr>
        <w:rPr>
          <w:rFonts w:hint="eastAsia" w:ascii="宋体" w:hAnsi="宋体" w:eastAsia="宋体" w:cs="宋体"/>
          <w:b/>
          <w:sz w:val="36"/>
          <w:szCs w:val="36"/>
          <w:highlight w:val="none"/>
        </w:rPr>
      </w:pPr>
    </w:p>
    <w:p w14:paraId="75776F24">
      <w:pPr>
        <w:tabs>
          <w:tab w:val="center" w:pos="5346"/>
        </w:tabs>
        <w:spacing w:line="480" w:lineRule="auto"/>
        <w:jc w:val="center"/>
        <w:outlineLvl w:val="9"/>
        <w:rPr>
          <w:rFonts w:hint="eastAsia" w:ascii="宋体" w:hAnsi="宋体" w:eastAsia="宋体" w:cs="宋体"/>
          <w:b/>
          <w:sz w:val="32"/>
          <w:szCs w:val="32"/>
          <w:highlight w:val="none"/>
        </w:rPr>
      </w:pPr>
    </w:p>
    <w:p w14:paraId="422D08AB">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w:t>
      </w:r>
      <w:r>
        <w:rPr>
          <w:rFonts w:hint="eastAsia" w:hAnsi="宋体" w:cs="宋体"/>
          <w:b/>
          <w:sz w:val="32"/>
          <w:szCs w:val="32"/>
          <w:highlight w:val="none"/>
          <w:lang w:eastAsia="zh-CN"/>
        </w:rPr>
        <w:t>：</w:t>
      </w:r>
      <w:r>
        <w:rPr>
          <w:rFonts w:hint="eastAsia" w:ascii="宋体" w:hAnsi="宋体" w:eastAsia="宋体" w:cs="宋体"/>
          <w:b/>
          <w:sz w:val="32"/>
          <w:szCs w:val="32"/>
          <w:highlight w:val="none"/>
        </w:rPr>
        <w:t>（公章）</w:t>
      </w:r>
    </w:p>
    <w:p w14:paraId="57400321">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 xml:space="preserve"> 年   月</w:t>
      </w:r>
      <w:r>
        <w:rPr>
          <w:rFonts w:hint="eastAsia" w:ascii="宋体" w:hAnsi="宋体" w:eastAsia="宋体" w:cs="宋体"/>
          <w:b/>
          <w:sz w:val="36"/>
          <w:szCs w:val="36"/>
          <w:highlight w:val="none"/>
        </w:rPr>
        <w:br w:type="page"/>
      </w:r>
      <w:bookmarkStart w:id="117" w:name="_Toc344572156"/>
    </w:p>
    <w:p w14:paraId="0581F9E0">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14:paraId="26ABCC3E">
      <w:pPr>
        <w:pStyle w:val="8"/>
        <w:rPr>
          <w:rFonts w:hint="eastAsia" w:ascii="宋体" w:hAnsi="宋体" w:eastAsia="宋体" w:cs="宋体"/>
          <w:highlight w:val="none"/>
        </w:rPr>
      </w:pPr>
    </w:p>
    <w:p w14:paraId="32B7CD47">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一、磋商响应函</w:t>
      </w:r>
    </w:p>
    <w:p w14:paraId="04693A9B">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二、磋商报价表</w:t>
      </w:r>
    </w:p>
    <w:p w14:paraId="211D5111">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三、磋商方案说明书</w:t>
      </w:r>
    </w:p>
    <w:p w14:paraId="6F6029F5">
      <w:pPr>
        <w:spacing w:line="360" w:lineRule="auto"/>
        <w:ind w:firstLine="496" w:firstLineChars="200"/>
        <w:jc w:val="left"/>
        <w:outlineLvl w:val="9"/>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四、商务</w:t>
      </w:r>
      <w:r>
        <w:rPr>
          <w:rFonts w:hint="eastAsia" w:hAnsi="宋体" w:cs="宋体"/>
          <w:spacing w:val="4"/>
          <w:sz w:val="24"/>
          <w:szCs w:val="24"/>
          <w:highlight w:val="none"/>
          <w:lang w:val="en-US" w:eastAsia="zh-CN"/>
        </w:rPr>
        <w:t>条款偏离表</w:t>
      </w:r>
    </w:p>
    <w:p w14:paraId="334B6533">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五、陕西省政府采购供应商拒绝政府采购领域商业贿赂承诺书</w:t>
      </w:r>
    </w:p>
    <w:p w14:paraId="506A6D06">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4"/>
          <w:sz w:val="24"/>
          <w:szCs w:val="24"/>
          <w:highlight w:val="none"/>
          <w:lang w:eastAsia="zh-CN"/>
        </w:rPr>
        <w:t>特定</w:t>
      </w:r>
      <w:r>
        <w:rPr>
          <w:rFonts w:hint="eastAsia" w:ascii="宋体" w:hAnsi="宋体" w:eastAsia="宋体" w:cs="宋体"/>
          <w:spacing w:val="4"/>
          <w:sz w:val="24"/>
          <w:szCs w:val="24"/>
          <w:highlight w:val="none"/>
        </w:rPr>
        <w:t>资格证明文件</w:t>
      </w:r>
    </w:p>
    <w:p w14:paraId="461035BE">
      <w:pPr>
        <w:spacing w:line="360" w:lineRule="auto"/>
        <w:ind w:firstLine="496" w:firstLineChars="200"/>
        <w:jc w:val="left"/>
        <w:outlineLvl w:val="9"/>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七、</w:t>
      </w:r>
      <w:r>
        <w:rPr>
          <w:rFonts w:hint="eastAsia" w:ascii="宋体" w:hAnsi="宋体" w:eastAsia="宋体" w:cs="宋体"/>
          <w:spacing w:val="4"/>
          <w:sz w:val="24"/>
          <w:szCs w:val="24"/>
          <w:highlight w:val="none"/>
          <w:lang w:eastAsia="zh-CN"/>
        </w:rPr>
        <w:t>其他</w:t>
      </w:r>
    </w:p>
    <w:p w14:paraId="67D935A2">
      <w:pPr>
        <w:pStyle w:val="6"/>
        <w:spacing w:line="360" w:lineRule="auto"/>
        <w:rPr>
          <w:rFonts w:hint="eastAsia" w:ascii="宋体" w:hAnsi="宋体" w:eastAsia="宋体" w:cs="宋体"/>
          <w:highlight w:val="none"/>
        </w:rPr>
      </w:pPr>
    </w:p>
    <w:p w14:paraId="13A1FECC">
      <w:pPr>
        <w:pStyle w:val="6"/>
        <w:spacing w:line="360" w:lineRule="auto"/>
        <w:rPr>
          <w:rFonts w:hint="eastAsia" w:ascii="宋体" w:hAnsi="宋体" w:eastAsia="宋体" w:cs="宋体"/>
          <w:highlight w:val="none"/>
        </w:rPr>
      </w:pPr>
    </w:p>
    <w:p w14:paraId="209342F5">
      <w:pPr>
        <w:keepNext/>
        <w:keepLines/>
        <w:widowControl/>
        <w:tabs>
          <w:tab w:val="left" w:pos="3705"/>
        </w:tabs>
        <w:spacing w:line="360" w:lineRule="auto"/>
        <w:ind w:left="3708"/>
        <w:rPr>
          <w:rFonts w:hint="eastAsia" w:ascii="宋体" w:hAnsi="宋体" w:eastAsia="宋体" w:cs="宋体"/>
          <w:bCs/>
          <w:sz w:val="44"/>
          <w:highlight w:val="none"/>
        </w:rPr>
      </w:pPr>
    </w:p>
    <w:p w14:paraId="09BDBBE3">
      <w:pPr>
        <w:pStyle w:val="6"/>
        <w:ind w:firstLine="880"/>
        <w:rPr>
          <w:rFonts w:hint="eastAsia" w:ascii="宋体" w:hAnsi="宋体" w:eastAsia="宋体" w:cs="宋体"/>
          <w:bCs/>
          <w:sz w:val="44"/>
          <w:highlight w:val="none"/>
        </w:rPr>
      </w:pPr>
    </w:p>
    <w:p w14:paraId="3F13DE4C">
      <w:pPr>
        <w:pStyle w:val="6"/>
        <w:ind w:firstLine="880"/>
        <w:rPr>
          <w:rFonts w:hint="eastAsia" w:ascii="宋体" w:hAnsi="宋体" w:eastAsia="宋体" w:cs="宋体"/>
          <w:bCs/>
          <w:sz w:val="44"/>
          <w:highlight w:val="none"/>
        </w:rPr>
      </w:pPr>
    </w:p>
    <w:bookmarkEnd w:id="117"/>
    <w:p w14:paraId="42C05112">
      <w:pPr>
        <w:pStyle w:val="8"/>
        <w:rPr>
          <w:rFonts w:hint="eastAsia" w:ascii="宋体" w:hAnsi="宋体" w:eastAsia="宋体" w:cs="宋体"/>
          <w:b/>
          <w:sz w:val="32"/>
          <w:szCs w:val="32"/>
          <w:highlight w:val="none"/>
        </w:rPr>
      </w:pPr>
      <w:bookmarkStart w:id="118" w:name="_Toc403077648"/>
      <w:bookmarkStart w:id="119" w:name="_Toc363474027"/>
      <w:bookmarkStart w:id="120" w:name="_Toc204524343"/>
    </w:p>
    <w:p w14:paraId="49ED417E">
      <w:pPr>
        <w:pStyle w:val="8"/>
        <w:rPr>
          <w:rFonts w:hint="eastAsia" w:ascii="宋体" w:hAnsi="宋体" w:eastAsia="宋体" w:cs="宋体"/>
          <w:b/>
          <w:sz w:val="32"/>
          <w:szCs w:val="32"/>
          <w:highlight w:val="none"/>
        </w:rPr>
      </w:pPr>
    </w:p>
    <w:p w14:paraId="29BC46D7">
      <w:pPr>
        <w:pStyle w:val="8"/>
        <w:rPr>
          <w:rFonts w:hint="eastAsia" w:ascii="宋体" w:hAnsi="宋体" w:eastAsia="宋体" w:cs="宋体"/>
          <w:b/>
          <w:sz w:val="32"/>
          <w:szCs w:val="32"/>
          <w:highlight w:val="none"/>
        </w:rPr>
      </w:pPr>
    </w:p>
    <w:p w14:paraId="4297E07C">
      <w:pPr>
        <w:spacing w:line="52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121" w:name="_Toc4367"/>
      <w:bookmarkStart w:id="122" w:name="_Toc25239"/>
      <w:bookmarkStart w:id="123" w:name="_Toc11009"/>
      <w:bookmarkStart w:id="124" w:name="_Toc32002"/>
      <w:bookmarkStart w:id="125" w:name="_Toc15762"/>
      <w:r>
        <w:rPr>
          <w:rFonts w:hint="eastAsia" w:ascii="宋体" w:hAnsi="宋体" w:eastAsia="宋体" w:cs="宋体"/>
          <w:b/>
          <w:sz w:val="32"/>
          <w:szCs w:val="32"/>
          <w:highlight w:val="none"/>
        </w:rPr>
        <w:t>一、磋商</w:t>
      </w:r>
      <w:bookmarkEnd w:id="118"/>
      <w:bookmarkEnd w:id="119"/>
      <w:r>
        <w:rPr>
          <w:rFonts w:hint="eastAsia" w:ascii="宋体" w:hAnsi="宋体" w:eastAsia="宋体" w:cs="宋体"/>
          <w:b/>
          <w:sz w:val="32"/>
          <w:szCs w:val="32"/>
          <w:highlight w:val="none"/>
        </w:rPr>
        <w:t>响应函</w:t>
      </w:r>
      <w:bookmarkEnd w:id="121"/>
      <w:bookmarkEnd w:id="122"/>
      <w:bookmarkEnd w:id="123"/>
      <w:bookmarkEnd w:id="124"/>
      <w:bookmarkEnd w:id="125"/>
    </w:p>
    <w:p w14:paraId="4C70716D">
      <w:pPr>
        <w:spacing w:line="360" w:lineRule="auto"/>
        <w:jc w:val="left"/>
        <w:rPr>
          <w:rFonts w:hint="eastAsia" w:ascii="宋体" w:hAnsi="宋体" w:eastAsia="宋体" w:cs="宋体"/>
          <w:spacing w:val="4"/>
          <w:szCs w:val="24"/>
          <w:highlight w:val="none"/>
          <w:lang w:eastAsia="zh-CN"/>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陕西至诚项目管理集团有限公司</w:t>
      </w:r>
    </w:p>
    <w:p w14:paraId="0547C5F8">
      <w:pPr>
        <w:spacing w:line="360" w:lineRule="auto"/>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根据贵方“</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”项目的磋商邀请</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，签字代表</w:t>
      </w:r>
      <w:r>
        <w:rPr>
          <w:rFonts w:hint="eastAsia" w:ascii="宋体" w:hAnsi="宋体" w:eastAsia="宋体" w:cs="宋体"/>
          <w:spacing w:val="4"/>
          <w:szCs w:val="24"/>
          <w:highlight w:val="none"/>
          <w:u w:val="single"/>
        </w:rPr>
        <w:t>（全名、职务）</w:t>
      </w:r>
      <w:r>
        <w:rPr>
          <w:rFonts w:hint="eastAsia" w:ascii="宋体" w:hAnsi="宋体" w:eastAsia="宋体" w:cs="宋体"/>
          <w:spacing w:val="4"/>
          <w:szCs w:val="24"/>
          <w:highlight w:val="none"/>
        </w:rPr>
        <w:t>经正式授权并代表供应商</w:t>
      </w:r>
      <w:r>
        <w:rPr>
          <w:rFonts w:hint="eastAsia" w:ascii="宋体" w:hAnsi="宋体" w:eastAsia="宋体" w:cs="宋体"/>
          <w:spacing w:val="4"/>
          <w:szCs w:val="24"/>
          <w:highlight w:val="none"/>
          <w:u w:val="single"/>
        </w:rPr>
        <w:t>(供应商名称、地址)</w:t>
      </w:r>
      <w:r>
        <w:rPr>
          <w:rFonts w:hint="eastAsia" w:ascii="宋体" w:hAnsi="宋体" w:eastAsia="宋体" w:cs="宋体"/>
          <w:spacing w:val="4"/>
          <w:szCs w:val="24"/>
          <w:highlight w:val="none"/>
        </w:rPr>
        <w:t xml:space="preserve"> 提交竞争性磋商响应文件正本壹份、副本一式</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份、报价一览表</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份、电子版</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w:t>
      </w:r>
    </w:p>
    <w:p w14:paraId="3824B545">
      <w:pPr>
        <w:spacing w:line="360" w:lineRule="auto"/>
        <w:ind w:left="624" w:leftChars="251" w:hanging="22" w:hangingChars="9"/>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我方承诺如下：</w:t>
      </w:r>
    </w:p>
    <w:p w14:paraId="40625B66">
      <w:pPr>
        <w:numPr>
          <w:ilvl w:val="0"/>
          <w:numId w:val="6"/>
        </w:numPr>
        <w:tabs>
          <w:tab w:val="left" w:pos="2160"/>
        </w:tabs>
        <w:spacing w:line="360" w:lineRule="auto"/>
        <w:ind w:firstLine="496" w:firstLineChars="200"/>
        <w:jc w:val="left"/>
        <w:rPr>
          <w:rFonts w:hint="eastAsia" w:ascii="宋体" w:hAnsi="宋体" w:eastAsia="宋体" w:cs="宋体"/>
          <w:spacing w:val="4"/>
          <w:highlight w:val="none"/>
        </w:rPr>
      </w:pPr>
      <w:r>
        <w:rPr>
          <w:rFonts w:hint="eastAsia" w:ascii="宋体" w:hAnsi="宋体" w:eastAsia="宋体" w:cs="宋体"/>
          <w:spacing w:val="4"/>
          <w:szCs w:val="24"/>
          <w:highlight w:val="none"/>
        </w:rPr>
        <w:t>磋商</w:t>
      </w:r>
      <w:r>
        <w:rPr>
          <w:rFonts w:hint="eastAsia" w:hAnsi="宋体" w:cs="宋体"/>
          <w:spacing w:val="4"/>
          <w:szCs w:val="24"/>
          <w:highlight w:val="none"/>
          <w:lang w:eastAsia="zh-CN"/>
        </w:rPr>
        <w:t>报价</w:t>
      </w:r>
      <w:r>
        <w:rPr>
          <w:rFonts w:hint="eastAsia" w:ascii="宋体" w:hAnsi="宋体" w:eastAsia="宋体" w:cs="宋体"/>
          <w:spacing w:val="4"/>
          <w:highlight w:val="none"/>
        </w:rPr>
        <w:t>为小写：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（大写：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w:t>
      </w:r>
    </w:p>
    <w:p w14:paraId="365701C0">
      <w:pPr>
        <w:numPr>
          <w:ilvl w:val="0"/>
          <w:numId w:val="6"/>
        </w:num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如果成交，我们根据竞争性磋商文件的规定，履行合同的责任和义务。</w:t>
      </w:r>
    </w:p>
    <w:p w14:paraId="4CC5C3D5">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3）我们已详细阅读和审核全部竞争性磋商文件（含修改部分，如有的话），及有关附件，我们知道必须放弃提出含糊不清或误解的问题的权利。</w:t>
      </w:r>
    </w:p>
    <w:p w14:paraId="2CC9B05B">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4）我们同意在磋商有效期内（</w:t>
      </w:r>
      <w:r>
        <w:rPr>
          <w:rFonts w:hint="eastAsia" w:ascii="宋体" w:hAnsi="宋体" w:eastAsia="宋体" w:cs="宋体"/>
          <w:spacing w:val="4"/>
          <w:szCs w:val="24"/>
          <w:highlight w:val="none"/>
          <w:u w:val="single"/>
        </w:rPr>
        <w:t>自磋商之日起   天</w:t>
      </w:r>
      <w:r>
        <w:rPr>
          <w:rFonts w:hint="eastAsia" w:ascii="宋体" w:hAnsi="宋体" w:eastAsia="宋体" w:cs="宋体"/>
          <w:spacing w:val="4"/>
          <w:szCs w:val="24"/>
          <w:highlight w:val="none"/>
        </w:rPr>
        <w:t>），本磋商响应函对我方具有约束力。</w:t>
      </w:r>
    </w:p>
    <w:p w14:paraId="5B317841">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5</w:t>
      </w:r>
      <w:r>
        <w:rPr>
          <w:rFonts w:hint="eastAsia" w:ascii="宋体" w:hAnsi="宋体" w:eastAsia="宋体" w:cs="宋体"/>
          <w:spacing w:val="4"/>
          <w:szCs w:val="24"/>
          <w:highlight w:val="none"/>
        </w:rPr>
        <w:t xml:space="preserve">）同意提供贵方可能另外要求的与本磋商有关的任何证据和资料。 </w:t>
      </w:r>
    </w:p>
    <w:p w14:paraId="067143A7">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6</w:t>
      </w:r>
      <w:r>
        <w:rPr>
          <w:rFonts w:hint="eastAsia" w:ascii="宋体" w:hAnsi="宋体" w:eastAsia="宋体" w:cs="宋体"/>
          <w:spacing w:val="4"/>
          <w:szCs w:val="24"/>
          <w:highlight w:val="none"/>
        </w:rPr>
        <w:t>）我们同意，如果成交，向</w:t>
      </w:r>
      <w:r>
        <w:rPr>
          <w:rFonts w:hint="eastAsia" w:hAnsi="宋体" w:cs="宋体"/>
          <w:spacing w:val="4"/>
          <w:szCs w:val="24"/>
          <w:highlight w:val="none"/>
          <w:lang w:eastAsia="zh-CN"/>
        </w:rPr>
        <w:t>陕西至诚项目管理集团有限公司</w:t>
      </w:r>
      <w:r>
        <w:rPr>
          <w:rFonts w:hint="eastAsia" w:ascii="宋体" w:hAnsi="宋体" w:eastAsia="宋体" w:cs="宋体"/>
          <w:spacing w:val="4"/>
          <w:szCs w:val="24"/>
          <w:highlight w:val="none"/>
        </w:rPr>
        <w:t>交纳招标代理服务费。</w:t>
      </w:r>
    </w:p>
    <w:p w14:paraId="7D9480D6">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7</w:t>
      </w:r>
      <w:r>
        <w:rPr>
          <w:rFonts w:hint="eastAsia" w:ascii="宋体" w:hAnsi="宋体" w:eastAsia="宋体" w:cs="宋体"/>
          <w:spacing w:val="4"/>
          <w:szCs w:val="24"/>
          <w:highlight w:val="none"/>
        </w:rPr>
        <w:t>）与本磋商有关的一切正式往来通讯为：</w:t>
      </w:r>
    </w:p>
    <w:p w14:paraId="5AEA9642">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联系地址：</w:t>
      </w:r>
    </w:p>
    <w:p w14:paraId="546359E1">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邮政编码：</w:t>
      </w:r>
    </w:p>
    <w:p w14:paraId="6AD7285A">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电    话：</w:t>
      </w:r>
    </w:p>
    <w:p w14:paraId="49767C40">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传    真：</w:t>
      </w:r>
    </w:p>
    <w:p w14:paraId="2A389B68">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供应商名称（盖章）：</w:t>
      </w:r>
    </w:p>
    <w:p w14:paraId="07A0E7C4">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供应商法定代表人</w:t>
      </w:r>
      <w:r>
        <w:rPr>
          <w:rFonts w:hint="eastAsia" w:ascii="宋体" w:hAnsi="宋体" w:eastAsia="宋体" w:cs="宋体"/>
          <w:spacing w:val="4"/>
          <w:highlight w:val="none"/>
        </w:rPr>
        <w:t>/被授权人</w:t>
      </w:r>
      <w:r>
        <w:rPr>
          <w:rFonts w:hint="eastAsia" w:ascii="宋体" w:hAnsi="宋体" w:eastAsia="宋体" w:cs="宋体"/>
          <w:spacing w:val="4"/>
          <w:szCs w:val="24"/>
          <w:highlight w:val="none"/>
        </w:rPr>
        <w:t>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14:paraId="0288E605">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日    期：</w:t>
      </w:r>
    </w:p>
    <w:p w14:paraId="39B78D6F">
      <w:pPr>
        <w:pStyle w:val="3"/>
        <w:spacing w:beforeLines="100"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highlight w:val="none"/>
        </w:rPr>
        <w:br w:type="page"/>
      </w:r>
      <w:bookmarkStart w:id="126" w:name="_Toc363474030"/>
      <w:bookmarkStart w:id="127" w:name="_Toc32094"/>
      <w:bookmarkStart w:id="128" w:name="_Toc17800"/>
      <w:bookmarkStart w:id="129" w:name="_Toc28910"/>
      <w:bookmarkStart w:id="130" w:name="_Toc3630"/>
      <w:bookmarkStart w:id="131" w:name="_Toc403077651"/>
      <w:bookmarkStart w:id="132" w:name="_Toc9730"/>
      <w:r>
        <w:rPr>
          <w:rFonts w:hint="eastAsia" w:ascii="宋体" w:hAnsi="宋体" w:eastAsia="宋体" w:cs="宋体"/>
          <w:b/>
          <w:bCs w:val="0"/>
          <w:sz w:val="32"/>
          <w:szCs w:val="32"/>
          <w:highlight w:val="none"/>
        </w:rPr>
        <w:t>二、磋商报价表</w:t>
      </w:r>
      <w:bookmarkEnd w:id="126"/>
      <w:bookmarkEnd w:id="127"/>
      <w:bookmarkEnd w:id="128"/>
      <w:bookmarkEnd w:id="129"/>
      <w:bookmarkEnd w:id="130"/>
      <w:bookmarkEnd w:id="131"/>
      <w:bookmarkEnd w:id="132"/>
    </w:p>
    <w:p w14:paraId="11B63ACD">
      <w:pPr>
        <w:jc w:val="center"/>
        <w:outlineLvl w:val="2"/>
        <w:rPr>
          <w:rFonts w:hint="eastAsia" w:ascii="宋体" w:hAnsi="宋体" w:eastAsia="宋体" w:cs="宋体"/>
          <w:b/>
          <w:bCs/>
          <w:sz w:val="28"/>
          <w:szCs w:val="28"/>
          <w:highlight w:val="none"/>
        </w:rPr>
      </w:pPr>
      <w:bookmarkStart w:id="133" w:name="_Toc21540"/>
      <w:bookmarkStart w:id="134" w:name="_Toc12732"/>
      <w:bookmarkStart w:id="135" w:name="_Toc7982"/>
      <w:bookmarkStart w:id="136" w:name="_Toc32277"/>
      <w:bookmarkStart w:id="137" w:name="_Toc1032"/>
      <w:r>
        <w:rPr>
          <w:rFonts w:hint="eastAsia" w:ascii="宋体" w:hAnsi="宋体" w:eastAsia="宋体" w:cs="宋体"/>
          <w:b/>
          <w:bCs/>
          <w:sz w:val="28"/>
          <w:szCs w:val="28"/>
          <w:highlight w:val="none"/>
        </w:rPr>
        <w:t>2.1报价一览表</w:t>
      </w:r>
      <w:bookmarkEnd w:id="133"/>
      <w:bookmarkEnd w:id="134"/>
      <w:bookmarkEnd w:id="135"/>
      <w:bookmarkEnd w:id="136"/>
      <w:bookmarkEnd w:id="137"/>
    </w:p>
    <w:p w14:paraId="14F7D754">
      <w:pPr>
        <w:spacing w:line="360" w:lineRule="auto"/>
        <w:jc w:val="center"/>
        <w:rPr>
          <w:rFonts w:hint="eastAsia" w:ascii="宋体" w:hAnsi="宋体" w:eastAsia="宋体" w:cs="宋体"/>
          <w:szCs w:val="24"/>
          <w:highlight w:val="none"/>
        </w:rPr>
      </w:pPr>
    </w:p>
    <w:p w14:paraId="7B373CD6">
      <w:pPr>
        <w:jc w:val="left"/>
        <w:rPr>
          <w:rFonts w:hint="eastAsia" w:ascii="宋体" w:hAnsi="宋体" w:eastAsia="宋体" w:cs="宋体"/>
          <w:highlight w:val="none"/>
        </w:rPr>
      </w:pPr>
      <w:r>
        <w:rPr>
          <w:rFonts w:hint="eastAsia" w:ascii="宋体" w:hAnsi="宋体" w:eastAsia="宋体" w:cs="宋体"/>
          <w:highlight w:val="none"/>
        </w:rPr>
        <w:t xml:space="preserve">项目名称：                                                 </w:t>
      </w:r>
    </w:p>
    <w:p w14:paraId="3CC914F7">
      <w:pPr>
        <w:jc w:val="left"/>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5881"/>
      </w:tblGrid>
      <w:tr w14:paraId="2FB3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vMerge w:val="restart"/>
            <w:noWrap w:val="0"/>
            <w:vAlign w:val="center"/>
          </w:tcPr>
          <w:p w14:paraId="2E6574A5">
            <w:pPr>
              <w:jc w:val="center"/>
              <w:rPr>
                <w:szCs w:val="24"/>
                <w:highlight w:val="none"/>
              </w:rPr>
            </w:pPr>
            <w:r>
              <w:rPr>
                <w:rFonts w:hint="eastAsia" w:hAnsi="宋体" w:cs="宋体"/>
                <w:szCs w:val="24"/>
                <w:highlight w:val="none"/>
              </w:rPr>
              <w:t>磋商总报价（元）</w:t>
            </w:r>
          </w:p>
        </w:tc>
        <w:tc>
          <w:tcPr>
            <w:tcW w:w="5881" w:type="dxa"/>
            <w:noWrap w:val="0"/>
            <w:vAlign w:val="center"/>
          </w:tcPr>
          <w:p w14:paraId="3EA5AA22">
            <w:pPr>
              <w:rPr>
                <w:szCs w:val="24"/>
                <w:highlight w:val="none"/>
              </w:rPr>
            </w:pPr>
            <w:r>
              <w:rPr>
                <w:rFonts w:hint="eastAsia" w:hAnsi="宋体" w:cs="宋体"/>
                <w:szCs w:val="24"/>
                <w:highlight w:val="none"/>
              </w:rPr>
              <w:t>小写：</w:t>
            </w:r>
          </w:p>
        </w:tc>
      </w:tr>
      <w:tr w14:paraId="47D5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vMerge w:val="continue"/>
            <w:noWrap w:val="0"/>
            <w:vAlign w:val="center"/>
          </w:tcPr>
          <w:p w14:paraId="5691BBE2">
            <w:pPr>
              <w:rPr>
                <w:highlight w:val="none"/>
              </w:rPr>
            </w:pPr>
          </w:p>
        </w:tc>
        <w:tc>
          <w:tcPr>
            <w:tcW w:w="5881" w:type="dxa"/>
            <w:noWrap w:val="0"/>
            <w:vAlign w:val="center"/>
          </w:tcPr>
          <w:p w14:paraId="2A3766EC">
            <w:pPr>
              <w:rPr>
                <w:szCs w:val="24"/>
                <w:highlight w:val="none"/>
              </w:rPr>
            </w:pPr>
            <w:r>
              <w:rPr>
                <w:rFonts w:hint="eastAsia" w:hAnsi="宋体" w:cs="宋体"/>
                <w:szCs w:val="24"/>
                <w:highlight w:val="none"/>
              </w:rPr>
              <w:t>大写：</w:t>
            </w:r>
          </w:p>
        </w:tc>
      </w:tr>
      <w:tr w14:paraId="00DE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119A9AEB">
            <w:pPr>
              <w:jc w:val="center"/>
              <w:rPr>
                <w:rFonts w:hint="eastAsia" w:hAnsi="宋体" w:cs="宋体"/>
                <w:szCs w:val="24"/>
                <w:highlight w:val="none"/>
              </w:rPr>
            </w:pPr>
            <w:r>
              <w:rPr>
                <w:rFonts w:hint="eastAsia" w:hAnsi="宋体" w:cs="宋体"/>
                <w:szCs w:val="24"/>
                <w:highlight w:val="none"/>
              </w:rPr>
              <w:t>质量标准</w:t>
            </w:r>
          </w:p>
        </w:tc>
        <w:tc>
          <w:tcPr>
            <w:tcW w:w="5881" w:type="dxa"/>
            <w:noWrap w:val="0"/>
            <w:vAlign w:val="center"/>
          </w:tcPr>
          <w:p w14:paraId="75588D4A">
            <w:pPr>
              <w:rPr>
                <w:szCs w:val="24"/>
                <w:highlight w:val="none"/>
              </w:rPr>
            </w:pPr>
          </w:p>
        </w:tc>
      </w:tr>
      <w:tr w14:paraId="50D5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2A568B8B">
            <w:pPr>
              <w:jc w:val="center"/>
              <w:rPr>
                <w:rFonts w:hint="eastAsia" w:hAnsi="宋体" w:eastAsia="宋体" w:cs="宋体"/>
                <w:szCs w:val="24"/>
                <w:highlight w:val="none"/>
                <w:lang w:eastAsia="zh-CN"/>
              </w:rPr>
            </w:pPr>
            <w:r>
              <w:rPr>
                <w:rFonts w:hint="eastAsia"/>
                <w:szCs w:val="22"/>
                <w:highlight w:val="none"/>
                <w:lang w:val="en-US" w:eastAsia="zh-CN"/>
              </w:rPr>
              <w:t>工期</w:t>
            </w:r>
          </w:p>
        </w:tc>
        <w:tc>
          <w:tcPr>
            <w:tcW w:w="5881" w:type="dxa"/>
            <w:noWrap w:val="0"/>
            <w:vAlign w:val="center"/>
          </w:tcPr>
          <w:p w14:paraId="74A0BBAF">
            <w:pPr>
              <w:rPr>
                <w:szCs w:val="24"/>
                <w:highlight w:val="none"/>
              </w:rPr>
            </w:pPr>
          </w:p>
        </w:tc>
      </w:tr>
      <w:tr w14:paraId="4CF6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2E7160FD">
            <w:pPr>
              <w:jc w:val="center"/>
              <w:rPr>
                <w:rFonts w:hint="default"/>
                <w:szCs w:val="22"/>
                <w:highlight w:val="none"/>
                <w:lang w:val="en-US" w:eastAsia="zh-CN"/>
              </w:rPr>
            </w:pPr>
            <w:r>
              <w:rPr>
                <w:rFonts w:hint="eastAsia"/>
                <w:szCs w:val="22"/>
                <w:highlight w:val="none"/>
                <w:lang w:val="en-US" w:eastAsia="zh-CN"/>
              </w:rPr>
              <w:t>抚育管护期</w:t>
            </w:r>
          </w:p>
        </w:tc>
        <w:tc>
          <w:tcPr>
            <w:tcW w:w="5881" w:type="dxa"/>
            <w:noWrap w:val="0"/>
            <w:vAlign w:val="center"/>
          </w:tcPr>
          <w:p w14:paraId="0D5A9600">
            <w:pPr>
              <w:rPr>
                <w:szCs w:val="24"/>
                <w:highlight w:val="none"/>
              </w:rPr>
            </w:pPr>
          </w:p>
        </w:tc>
      </w:tr>
      <w:tr w14:paraId="6D5E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6C480C9C">
            <w:pPr>
              <w:jc w:val="center"/>
              <w:rPr>
                <w:szCs w:val="24"/>
                <w:highlight w:val="none"/>
              </w:rPr>
            </w:pPr>
            <w:r>
              <w:rPr>
                <w:rFonts w:hint="eastAsia" w:hAnsi="宋体" w:cs="宋体"/>
                <w:szCs w:val="24"/>
                <w:highlight w:val="none"/>
              </w:rPr>
              <w:t>备注</w:t>
            </w:r>
          </w:p>
        </w:tc>
        <w:tc>
          <w:tcPr>
            <w:tcW w:w="5881" w:type="dxa"/>
            <w:noWrap w:val="0"/>
            <w:vAlign w:val="center"/>
          </w:tcPr>
          <w:p w14:paraId="0705AA7A">
            <w:pPr>
              <w:rPr>
                <w:szCs w:val="24"/>
                <w:highlight w:val="none"/>
              </w:rPr>
            </w:pPr>
          </w:p>
        </w:tc>
      </w:tr>
    </w:tbl>
    <w:p w14:paraId="4DBF6DB9">
      <w:pPr>
        <w:rPr>
          <w:rFonts w:hint="eastAsia" w:ascii="宋体" w:hAnsi="宋体" w:eastAsia="宋体" w:cs="宋体"/>
          <w:szCs w:val="24"/>
          <w:highlight w:val="none"/>
        </w:rPr>
      </w:pPr>
    </w:p>
    <w:p w14:paraId="74B1C5F5">
      <w:pPr>
        <w:rPr>
          <w:rFonts w:hint="eastAsia" w:ascii="宋体" w:hAnsi="宋体" w:eastAsia="宋体" w:cs="宋体"/>
          <w:szCs w:val="24"/>
          <w:highlight w:val="none"/>
        </w:rPr>
      </w:pPr>
    </w:p>
    <w:p w14:paraId="3E885D07">
      <w:pPr>
        <w:rPr>
          <w:rFonts w:hint="eastAsia" w:ascii="宋体" w:hAnsi="宋体" w:eastAsia="宋体" w:cs="宋体"/>
          <w:szCs w:val="24"/>
          <w:highlight w:val="none"/>
        </w:rPr>
      </w:pPr>
    </w:p>
    <w:p w14:paraId="4027E6E1">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（加盖单位公章）      </w:t>
      </w:r>
    </w:p>
    <w:p w14:paraId="11298359">
      <w:pPr>
        <w:spacing w:line="280" w:lineRule="exact"/>
        <w:ind w:right="617" w:rightChars="257"/>
        <w:jc w:val="left"/>
        <w:rPr>
          <w:rFonts w:hint="eastAsia" w:ascii="宋体" w:hAnsi="宋体" w:eastAsia="宋体" w:cs="宋体"/>
          <w:szCs w:val="24"/>
          <w:highlight w:val="none"/>
        </w:rPr>
      </w:pPr>
    </w:p>
    <w:p w14:paraId="2E214841">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法定代表人/授权代表签字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14:paraId="3939E0F0">
      <w:pPr>
        <w:spacing w:line="280" w:lineRule="exact"/>
        <w:ind w:right="617" w:rightChars="257"/>
        <w:jc w:val="left"/>
        <w:rPr>
          <w:rFonts w:hint="eastAsia" w:ascii="宋体" w:hAnsi="宋体" w:eastAsia="宋体" w:cs="宋体"/>
          <w:szCs w:val="24"/>
          <w:highlight w:val="none"/>
        </w:rPr>
      </w:pPr>
    </w:p>
    <w:p w14:paraId="487FA5D2">
      <w:pPr>
        <w:spacing w:line="280" w:lineRule="exact"/>
        <w:ind w:right="617" w:rightChars="257"/>
        <w:rPr>
          <w:rFonts w:hint="eastAsia" w:ascii="宋体" w:hAnsi="宋体" w:eastAsia="宋体" w:cs="宋体"/>
          <w:szCs w:val="24"/>
          <w:highlight w:val="none"/>
        </w:rPr>
      </w:pPr>
      <w:r>
        <w:rPr>
          <w:rFonts w:hint="eastAsia" w:ascii="宋体" w:hAnsi="宋体" w:eastAsia="宋体" w:cs="宋体"/>
          <w:szCs w:val="24"/>
          <w:highlight w:val="none"/>
        </w:rPr>
        <w:t>日    期：</w:t>
      </w:r>
    </w:p>
    <w:p w14:paraId="6042B3F2">
      <w:pPr>
        <w:jc w:val="center"/>
        <w:rPr>
          <w:rFonts w:hint="eastAsia" w:ascii="宋体" w:hAnsi="宋体" w:eastAsia="宋体" w:cs="宋体"/>
          <w:szCs w:val="24"/>
          <w:highlight w:val="none"/>
        </w:rPr>
      </w:pPr>
    </w:p>
    <w:p w14:paraId="3F3BEBDB">
      <w:pPr>
        <w:spacing w:beforeLines="50" w:afterLines="50" w:line="400" w:lineRule="atLeast"/>
        <w:rPr>
          <w:rFonts w:hint="eastAsia" w:ascii="宋体" w:hAnsi="宋体" w:eastAsia="宋体" w:cs="宋体"/>
          <w:szCs w:val="24"/>
          <w:highlight w:val="none"/>
          <w:u w:val="single"/>
        </w:rPr>
      </w:pPr>
      <w:r>
        <w:rPr>
          <w:rFonts w:hint="eastAsia" w:ascii="宋体" w:hAnsi="宋体" w:eastAsia="宋体" w:cs="宋体"/>
          <w:szCs w:val="24"/>
          <w:highlight w:val="none"/>
        </w:rPr>
        <w:t>注：本表应按“供应商须知”的规定密封单独提交。若有折扣声明，请与本表一并装订和密封。严格按照表格格式报价。</w:t>
      </w:r>
    </w:p>
    <w:p w14:paraId="11483CD4">
      <w:pPr>
        <w:jc w:val="center"/>
        <w:rPr>
          <w:rFonts w:hint="eastAsia" w:ascii="宋体" w:hAnsi="宋体" w:eastAsia="宋体" w:cs="宋体"/>
          <w:b/>
          <w:sz w:val="30"/>
          <w:szCs w:val="30"/>
          <w:highlight w:val="none"/>
        </w:rPr>
      </w:pPr>
    </w:p>
    <w:p w14:paraId="3AA6D793">
      <w:pPr>
        <w:jc w:val="center"/>
        <w:outlineLvl w:val="2"/>
        <w:rPr>
          <w:rFonts w:hint="default" w:hAnsi="宋体" w:cs="宋体"/>
          <w:b/>
          <w:bCs/>
          <w:sz w:val="28"/>
          <w:szCs w:val="28"/>
          <w:highlight w:val="none"/>
          <w:lang w:val="en-US" w:eastAsia="zh-CN"/>
        </w:rPr>
      </w:pPr>
      <w:r>
        <w:rPr>
          <w:rFonts w:hint="eastAsia" w:ascii="宋体" w:hAnsi="宋体" w:eastAsia="宋体" w:cs="宋体"/>
          <w:b/>
          <w:sz w:val="30"/>
          <w:szCs w:val="30"/>
          <w:highlight w:val="none"/>
        </w:rPr>
        <w:br w:type="page"/>
      </w:r>
      <w:bookmarkEnd w:id="120"/>
      <w:bookmarkStart w:id="138" w:name="_Toc14853"/>
      <w:bookmarkStart w:id="139" w:name="_Toc21044"/>
      <w:bookmarkStart w:id="140" w:name="_Toc5944"/>
      <w:bookmarkStart w:id="141" w:name="_Toc3628"/>
      <w:bookmarkStart w:id="142" w:name="_Toc32126"/>
      <w:bookmarkStart w:id="143" w:name="_Toc344572163"/>
      <w:r>
        <w:rPr>
          <w:rFonts w:hint="eastAsia" w:ascii="宋体" w:hAnsi="宋体" w:eastAsia="宋体" w:cs="宋体"/>
          <w:b/>
          <w:bCs/>
          <w:sz w:val="28"/>
          <w:szCs w:val="28"/>
          <w:highlight w:val="none"/>
        </w:rPr>
        <w:t>2.</w:t>
      </w:r>
      <w:r>
        <w:rPr>
          <w:rFonts w:hint="eastAsia" w:hAnsi="宋体" w:cs="宋体"/>
          <w:b/>
          <w:bCs/>
          <w:sz w:val="28"/>
          <w:szCs w:val="28"/>
          <w:highlight w:val="none"/>
          <w:lang w:val="en-US" w:eastAsia="zh-CN"/>
        </w:rPr>
        <w:t>2分项报价</w:t>
      </w:r>
      <w:bookmarkEnd w:id="138"/>
      <w:r>
        <w:rPr>
          <w:rFonts w:hint="eastAsia" w:hAnsi="宋体" w:cs="宋体"/>
          <w:b/>
          <w:bCs/>
          <w:sz w:val="28"/>
          <w:szCs w:val="28"/>
          <w:highlight w:val="none"/>
          <w:lang w:val="en-US" w:eastAsia="zh-CN"/>
        </w:rPr>
        <w:t>表</w:t>
      </w:r>
      <w:bookmarkEnd w:id="139"/>
    </w:p>
    <w:tbl>
      <w:tblPr>
        <w:tblStyle w:val="20"/>
        <w:tblW w:w="92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7"/>
        <w:gridCol w:w="1395"/>
        <w:gridCol w:w="1598"/>
        <w:gridCol w:w="1365"/>
        <w:gridCol w:w="1365"/>
        <w:gridCol w:w="1365"/>
        <w:gridCol w:w="1365"/>
      </w:tblGrid>
      <w:tr w14:paraId="4AB0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0814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bookmarkStart w:id="144" w:name="_Toc12382"/>
            <w:r>
              <w:rPr>
                <w:rFonts w:hint="eastAsia" w:ascii="宋体" w:hAnsi="宋体" w:eastAsia="宋体" w:cs="宋体"/>
                <w:b/>
                <w:bCs/>
                <w:i w:val="0"/>
                <w:iCs w:val="0"/>
                <w:color w:val="000000"/>
                <w:kern w:val="0"/>
                <w:sz w:val="24"/>
                <w:szCs w:val="24"/>
                <w:highlight w:val="none"/>
                <w:u w:val="none"/>
                <w:lang w:val="en-US" w:eastAsia="zh-CN" w:bidi="ar"/>
              </w:rPr>
              <w:t>序号</w:t>
            </w:r>
          </w:p>
        </w:tc>
        <w:tc>
          <w:tcPr>
            <w:tcW w:w="1395" w:type="dxa"/>
            <w:tcBorders>
              <w:top w:val="single" w:color="000000" w:sz="8" w:space="0"/>
              <w:left w:val="nil"/>
              <w:bottom w:val="single" w:color="000000" w:sz="8" w:space="0"/>
              <w:right w:val="single" w:color="000000" w:sz="8" w:space="0"/>
            </w:tcBorders>
            <w:shd w:val="clear" w:color="auto" w:fill="auto"/>
            <w:vAlign w:val="center"/>
          </w:tcPr>
          <w:p w14:paraId="7717555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1598" w:type="dxa"/>
            <w:tcBorders>
              <w:top w:val="single" w:color="000000" w:sz="8" w:space="0"/>
              <w:left w:val="nil"/>
              <w:bottom w:val="single" w:color="000000" w:sz="8" w:space="0"/>
              <w:right w:val="single" w:color="000000" w:sz="8" w:space="0"/>
            </w:tcBorders>
            <w:shd w:val="clear" w:color="auto" w:fill="auto"/>
            <w:vAlign w:val="center"/>
          </w:tcPr>
          <w:p w14:paraId="6AE5295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规格（或质量标准）</w:t>
            </w:r>
          </w:p>
        </w:tc>
        <w:tc>
          <w:tcPr>
            <w:tcW w:w="1365" w:type="dxa"/>
            <w:tcBorders>
              <w:top w:val="single" w:color="000000" w:sz="8" w:space="0"/>
              <w:left w:val="nil"/>
              <w:bottom w:val="single" w:color="000000" w:sz="8" w:space="0"/>
              <w:right w:val="single" w:color="000000" w:sz="8" w:space="0"/>
            </w:tcBorders>
            <w:shd w:val="clear" w:color="auto" w:fill="auto"/>
            <w:vAlign w:val="center"/>
          </w:tcPr>
          <w:p w14:paraId="7DBA3B5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365" w:type="dxa"/>
            <w:tcBorders>
              <w:top w:val="single" w:color="000000" w:sz="8" w:space="0"/>
              <w:left w:val="nil"/>
              <w:bottom w:val="single" w:color="000000" w:sz="8" w:space="0"/>
              <w:right w:val="single" w:color="000000" w:sz="8" w:space="0"/>
            </w:tcBorders>
            <w:shd w:val="clear" w:color="auto" w:fill="auto"/>
            <w:vAlign w:val="center"/>
          </w:tcPr>
          <w:p w14:paraId="3920392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365" w:type="dxa"/>
            <w:tcBorders>
              <w:top w:val="single" w:color="000000" w:sz="8" w:space="0"/>
              <w:left w:val="nil"/>
              <w:bottom w:val="single" w:color="000000" w:sz="8" w:space="0"/>
              <w:right w:val="single" w:color="000000" w:sz="8" w:space="0"/>
            </w:tcBorders>
            <w:shd w:val="clear" w:color="auto" w:fill="auto"/>
            <w:vAlign w:val="center"/>
          </w:tcPr>
          <w:p w14:paraId="52E22F6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综合单价（元）</w:t>
            </w:r>
          </w:p>
        </w:tc>
        <w:tc>
          <w:tcPr>
            <w:tcW w:w="1365" w:type="dxa"/>
            <w:tcBorders>
              <w:top w:val="single" w:color="000000" w:sz="8" w:space="0"/>
              <w:left w:val="nil"/>
              <w:bottom w:val="single" w:color="000000" w:sz="8" w:space="0"/>
              <w:right w:val="single" w:color="000000" w:sz="8" w:space="0"/>
            </w:tcBorders>
            <w:shd w:val="clear" w:color="auto" w:fill="auto"/>
            <w:vAlign w:val="center"/>
          </w:tcPr>
          <w:p w14:paraId="7EC98A6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合计</w:t>
            </w:r>
          </w:p>
        </w:tc>
      </w:tr>
      <w:tr w14:paraId="7E26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778025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395" w:type="dxa"/>
            <w:tcBorders>
              <w:top w:val="nil"/>
              <w:left w:val="nil"/>
              <w:bottom w:val="single" w:color="000000" w:sz="8" w:space="0"/>
              <w:right w:val="single" w:color="000000" w:sz="8" w:space="0"/>
            </w:tcBorders>
            <w:shd w:val="clear" w:color="auto" w:fill="auto"/>
            <w:vAlign w:val="center"/>
          </w:tcPr>
          <w:p w14:paraId="6B97C2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青竹</w:t>
            </w:r>
          </w:p>
        </w:tc>
        <w:tc>
          <w:tcPr>
            <w:tcW w:w="1598" w:type="dxa"/>
            <w:tcBorders>
              <w:top w:val="nil"/>
              <w:left w:val="nil"/>
              <w:bottom w:val="single" w:color="000000" w:sz="8" w:space="0"/>
              <w:right w:val="single" w:color="000000" w:sz="8" w:space="0"/>
            </w:tcBorders>
            <w:shd w:val="clear" w:color="auto" w:fill="auto"/>
            <w:vAlign w:val="center"/>
          </w:tcPr>
          <w:p w14:paraId="253028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地径1cm,高2米以上，盆径50cm，每盆10株以上</w:t>
            </w:r>
          </w:p>
        </w:tc>
        <w:tc>
          <w:tcPr>
            <w:tcW w:w="1365" w:type="dxa"/>
            <w:tcBorders>
              <w:top w:val="nil"/>
              <w:left w:val="nil"/>
              <w:bottom w:val="single" w:color="000000" w:sz="8" w:space="0"/>
              <w:right w:val="single" w:color="000000" w:sz="8" w:space="0"/>
            </w:tcBorders>
            <w:shd w:val="clear" w:color="auto" w:fill="auto"/>
            <w:vAlign w:val="center"/>
          </w:tcPr>
          <w:p w14:paraId="0E5FB7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株</w:t>
            </w:r>
          </w:p>
        </w:tc>
        <w:tc>
          <w:tcPr>
            <w:tcW w:w="1365" w:type="dxa"/>
            <w:tcBorders>
              <w:top w:val="nil"/>
              <w:left w:val="nil"/>
              <w:bottom w:val="single" w:color="000000" w:sz="8" w:space="0"/>
              <w:right w:val="single" w:color="000000" w:sz="8" w:space="0"/>
            </w:tcBorders>
            <w:shd w:val="clear" w:color="auto" w:fill="auto"/>
            <w:vAlign w:val="center"/>
          </w:tcPr>
          <w:p w14:paraId="0EBEDC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3750</w:t>
            </w:r>
          </w:p>
        </w:tc>
        <w:tc>
          <w:tcPr>
            <w:tcW w:w="1365" w:type="dxa"/>
            <w:tcBorders>
              <w:top w:val="nil"/>
              <w:left w:val="nil"/>
              <w:bottom w:val="single" w:color="000000" w:sz="8" w:space="0"/>
              <w:right w:val="single" w:color="000000" w:sz="8" w:space="0"/>
            </w:tcBorders>
            <w:shd w:val="clear" w:color="auto" w:fill="auto"/>
            <w:vAlign w:val="center"/>
          </w:tcPr>
          <w:p w14:paraId="2A6719FF">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7B64C2F6">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6845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7F90DE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395" w:type="dxa"/>
            <w:tcBorders>
              <w:top w:val="nil"/>
              <w:left w:val="nil"/>
              <w:bottom w:val="single" w:color="000000" w:sz="8" w:space="0"/>
              <w:right w:val="single" w:color="000000" w:sz="8" w:space="0"/>
            </w:tcBorders>
            <w:shd w:val="clear" w:color="auto" w:fill="auto"/>
            <w:vAlign w:val="center"/>
          </w:tcPr>
          <w:p w14:paraId="053AD7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玉龙草</w:t>
            </w:r>
          </w:p>
        </w:tc>
        <w:tc>
          <w:tcPr>
            <w:tcW w:w="1598" w:type="dxa"/>
            <w:tcBorders>
              <w:top w:val="nil"/>
              <w:left w:val="nil"/>
              <w:bottom w:val="single" w:color="000000" w:sz="8" w:space="0"/>
              <w:right w:val="single" w:color="000000" w:sz="8" w:space="0"/>
            </w:tcBorders>
            <w:shd w:val="clear" w:color="auto" w:fill="auto"/>
            <w:vAlign w:val="center"/>
          </w:tcPr>
          <w:p w14:paraId="6EEE8D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250株/平方米，38×38厘米盘苗</w:t>
            </w:r>
          </w:p>
        </w:tc>
        <w:tc>
          <w:tcPr>
            <w:tcW w:w="1365" w:type="dxa"/>
            <w:tcBorders>
              <w:top w:val="nil"/>
              <w:left w:val="nil"/>
              <w:bottom w:val="single" w:color="000000" w:sz="8" w:space="0"/>
              <w:right w:val="single" w:color="000000" w:sz="8" w:space="0"/>
            </w:tcBorders>
            <w:shd w:val="clear" w:color="auto" w:fill="auto"/>
            <w:vAlign w:val="center"/>
          </w:tcPr>
          <w:p w14:paraId="031256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株</w:t>
            </w:r>
          </w:p>
        </w:tc>
        <w:tc>
          <w:tcPr>
            <w:tcW w:w="1365" w:type="dxa"/>
            <w:tcBorders>
              <w:top w:val="nil"/>
              <w:left w:val="nil"/>
              <w:bottom w:val="single" w:color="000000" w:sz="8" w:space="0"/>
              <w:right w:val="single" w:color="000000" w:sz="8" w:space="0"/>
            </w:tcBorders>
            <w:shd w:val="clear" w:color="auto" w:fill="auto"/>
            <w:vAlign w:val="center"/>
          </w:tcPr>
          <w:p w14:paraId="67B777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45000</w:t>
            </w:r>
          </w:p>
        </w:tc>
        <w:tc>
          <w:tcPr>
            <w:tcW w:w="1365" w:type="dxa"/>
            <w:tcBorders>
              <w:top w:val="nil"/>
              <w:left w:val="nil"/>
              <w:bottom w:val="single" w:color="000000" w:sz="8" w:space="0"/>
              <w:right w:val="single" w:color="000000" w:sz="8" w:space="0"/>
            </w:tcBorders>
            <w:shd w:val="clear" w:color="auto" w:fill="auto"/>
            <w:vAlign w:val="center"/>
          </w:tcPr>
          <w:p w14:paraId="192EACE7">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6C73A619">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201B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18193C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395" w:type="dxa"/>
            <w:tcBorders>
              <w:top w:val="nil"/>
              <w:left w:val="nil"/>
              <w:bottom w:val="single" w:color="000000" w:sz="8" w:space="0"/>
              <w:right w:val="single" w:color="000000" w:sz="8" w:space="0"/>
            </w:tcBorders>
            <w:shd w:val="clear" w:color="auto" w:fill="auto"/>
            <w:vAlign w:val="center"/>
          </w:tcPr>
          <w:p w14:paraId="239496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花叶络石</w:t>
            </w:r>
          </w:p>
        </w:tc>
        <w:tc>
          <w:tcPr>
            <w:tcW w:w="1598" w:type="dxa"/>
            <w:tcBorders>
              <w:top w:val="nil"/>
              <w:left w:val="nil"/>
              <w:bottom w:val="single" w:color="000000" w:sz="8" w:space="0"/>
              <w:right w:val="single" w:color="000000" w:sz="8" w:space="0"/>
            </w:tcBorders>
            <w:shd w:val="clear" w:color="auto" w:fill="auto"/>
            <w:vAlign w:val="center"/>
          </w:tcPr>
          <w:p w14:paraId="2A73E8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盆径20cm，10株/盆</w:t>
            </w:r>
          </w:p>
        </w:tc>
        <w:tc>
          <w:tcPr>
            <w:tcW w:w="1365" w:type="dxa"/>
            <w:tcBorders>
              <w:top w:val="nil"/>
              <w:left w:val="nil"/>
              <w:bottom w:val="single" w:color="000000" w:sz="8" w:space="0"/>
              <w:right w:val="single" w:color="000000" w:sz="8" w:space="0"/>
            </w:tcBorders>
            <w:shd w:val="clear" w:color="auto" w:fill="auto"/>
            <w:vAlign w:val="center"/>
          </w:tcPr>
          <w:p w14:paraId="7E1CC8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365" w:type="dxa"/>
            <w:tcBorders>
              <w:top w:val="nil"/>
              <w:left w:val="nil"/>
              <w:bottom w:val="single" w:color="000000" w:sz="8" w:space="0"/>
              <w:right w:val="single" w:color="000000" w:sz="8" w:space="0"/>
            </w:tcBorders>
            <w:shd w:val="clear" w:color="auto" w:fill="auto"/>
            <w:vAlign w:val="center"/>
          </w:tcPr>
          <w:p w14:paraId="074F4A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365" w:type="dxa"/>
            <w:tcBorders>
              <w:top w:val="nil"/>
              <w:left w:val="nil"/>
              <w:bottom w:val="single" w:color="000000" w:sz="8" w:space="0"/>
              <w:right w:val="single" w:color="000000" w:sz="8" w:space="0"/>
            </w:tcBorders>
            <w:shd w:val="clear" w:color="auto" w:fill="auto"/>
            <w:vAlign w:val="center"/>
          </w:tcPr>
          <w:p w14:paraId="59C4C2BA">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4A4CE769">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6458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3078F9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395" w:type="dxa"/>
            <w:tcBorders>
              <w:top w:val="nil"/>
              <w:left w:val="nil"/>
              <w:bottom w:val="single" w:color="000000" w:sz="8" w:space="0"/>
              <w:right w:val="single" w:color="000000" w:sz="8" w:space="0"/>
            </w:tcBorders>
            <w:shd w:val="clear" w:color="auto" w:fill="auto"/>
            <w:vAlign w:val="center"/>
          </w:tcPr>
          <w:p w14:paraId="2416AF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银叶菊</w:t>
            </w:r>
          </w:p>
        </w:tc>
        <w:tc>
          <w:tcPr>
            <w:tcW w:w="1598" w:type="dxa"/>
            <w:tcBorders>
              <w:top w:val="nil"/>
              <w:left w:val="nil"/>
              <w:bottom w:val="single" w:color="000000" w:sz="8" w:space="0"/>
              <w:right w:val="single" w:color="000000" w:sz="8" w:space="0"/>
            </w:tcBorders>
            <w:shd w:val="clear" w:color="auto" w:fill="auto"/>
            <w:vAlign w:val="center"/>
          </w:tcPr>
          <w:p w14:paraId="485EDB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盆径20cm，6-8株/盆</w:t>
            </w:r>
          </w:p>
        </w:tc>
        <w:tc>
          <w:tcPr>
            <w:tcW w:w="1365" w:type="dxa"/>
            <w:tcBorders>
              <w:top w:val="nil"/>
              <w:left w:val="nil"/>
              <w:bottom w:val="single" w:color="000000" w:sz="8" w:space="0"/>
              <w:right w:val="single" w:color="000000" w:sz="8" w:space="0"/>
            </w:tcBorders>
            <w:shd w:val="clear" w:color="auto" w:fill="auto"/>
            <w:vAlign w:val="center"/>
          </w:tcPr>
          <w:p w14:paraId="6872C7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365" w:type="dxa"/>
            <w:tcBorders>
              <w:top w:val="nil"/>
              <w:left w:val="nil"/>
              <w:bottom w:val="single" w:color="000000" w:sz="8" w:space="0"/>
              <w:right w:val="single" w:color="000000" w:sz="8" w:space="0"/>
            </w:tcBorders>
            <w:shd w:val="clear" w:color="auto" w:fill="auto"/>
            <w:vAlign w:val="center"/>
          </w:tcPr>
          <w:p w14:paraId="24725D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365" w:type="dxa"/>
            <w:tcBorders>
              <w:top w:val="nil"/>
              <w:left w:val="nil"/>
              <w:bottom w:val="single" w:color="000000" w:sz="8" w:space="0"/>
              <w:right w:val="single" w:color="000000" w:sz="8" w:space="0"/>
            </w:tcBorders>
            <w:shd w:val="clear" w:color="auto" w:fill="auto"/>
            <w:vAlign w:val="center"/>
          </w:tcPr>
          <w:p w14:paraId="74A3EFC8">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277A975F">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132C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12BB41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395" w:type="dxa"/>
            <w:tcBorders>
              <w:top w:val="nil"/>
              <w:left w:val="nil"/>
              <w:bottom w:val="single" w:color="000000" w:sz="8" w:space="0"/>
              <w:right w:val="single" w:color="000000" w:sz="8" w:space="0"/>
            </w:tcBorders>
            <w:shd w:val="clear" w:color="auto" w:fill="auto"/>
            <w:vAlign w:val="center"/>
          </w:tcPr>
          <w:p w14:paraId="6010AD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婆婆纳</w:t>
            </w:r>
          </w:p>
        </w:tc>
        <w:tc>
          <w:tcPr>
            <w:tcW w:w="1598" w:type="dxa"/>
            <w:tcBorders>
              <w:top w:val="nil"/>
              <w:left w:val="nil"/>
              <w:bottom w:val="single" w:color="000000" w:sz="8" w:space="0"/>
              <w:right w:val="single" w:color="000000" w:sz="8" w:space="0"/>
            </w:tcBorders>
            <w:shd w:val="clear" w:color="auto" w:fill="auto"/>
            <w:vAlign w:val="center"/>
          </w:tcPr>
          <w:p w14:paraId="54411A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盆径20cm，4株/盆</w:t>
            </w:r>
          </w:p>
        </w:tc>
        <w:tc>
          <w:tcPr>
            <w:tcW w:w="1365" w:type="dxa"/>
            <w:tcBorders>
              <w:top w:val="nil"/>
              <w:left w:val="nil"/>
              <w:bottom w:val="single" w:color="000000" w:sz="8" w:space="0"/>
              <w:right w:val="single" w:color="000000" w:sz="8" w:space="0"/>
            </w:tcBorders>
            <w:shd w:val="clear" w:color="auto" w:fill="auto"/>
            <w:vAlign w:val="center"/>
          </w:tcPr>
          <w:p w14:paraId="30E459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365" w:type="dxa"/>
            <w:tcBorders>
              <w:top w:val="nil"/>
              <w:left w:val="nil"/>
              <w:bottom w:val="single" w:color="000000" w:sz="8" w:space="0"/>
              <w:right w:val="single" w:color="000000" w:sz="8" w:space="0"/>
            </w:tcBorders>
            <w:shd w:val="clear" w:color="auto" w:fill="auto"/>
            <w:vAlign w:val="center"/>
          </w:tcPr>
          <w:p w14:paraId="4C77DE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365" w:type="dxa"/>
            <w:tcBorders>
              <w:top w:val="nil"/>
              <w:left w:val="nil"/>
              <w:bottom w:val="single" w:color="000000" w:sz="8" w:space="0"/>
              <w:right w:val="single" w:color="000000" w:sz="8" w:space="0"/>
            </w:tcBorders>
            <w:shd w:val="clear" w:color="auto" w:fill="auto"/>
            <w:vAlign w:val="center"/>
          </w:tcPr>
          <w:p w14:paraId="59EC5C4E">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3635F550">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0FC0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606E0A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395" w:type="dxa"/>
            <w:tcBorders>
              <w:top w:val="nil"/>
              <w:left w:val="nil"/>
              <w:bottom w:val="single" w:color="000000" w:sz="8" w:space="0"/>
              <w:right w:val="single" w:color="000000" w:sz="8" w:space="0"/>
            </w:tcBorders>
            <w:shd w:val="clear" w:color="auto" w:fill="auto"/>
            <w:vAlign w:val="center"/>
          </w:tcPr>
          <w:p w14:paraId="4BC959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石竹</w:t>
            </w:r>
          </w:p>
        </w:tc>
        <w:tc>
          <w:tcPr>
            <w:tcW w:w="1598" w:type="dxa"/>
            <w:tcBorders>
              <w:top w:val="nil"/>
              <w:left w:val="nil"/>
              <w:bottom w:val="single" w:color="000000" w:sz="8" w:space="0"/>
              <w:right w:val="single" w:color="000000" w:sz="8" w:space="0"/>
            </w:tcBorders>
            <w:shd w:val="clear" w:color="auto" w:fill="auto"/>
            <w:vAlign w:val="center"/>
          </w:tcPr>
          <w:p w14:paraId="429D65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盆径15cm，苗高10cm</w:t>
            </w:r>
          </w:p>
        </w:tc>
        <w:tc>
          <w:tcPr>
            <w:tcW w:w="1365" w:type="dxa"/>
            <w:tcBorders>
              <w:top w:val="nil"/>
              <w:left w:val="nil"/>
              <w:bottom w:val="single" w:color="000000" w:sz="8" w:space="0"/>
              <w:right w:val="single" w:color="000000" w:sz="8" w:space="0"/>
            </w:tcBorders>
            <w:shd w:val="clear" w:color="auto" w:fill="auto"/>
            <w:vAlign w:val="center"/>
          </w:tcPr>
          <w:p w14:paraId="63FB11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365" w:type="dxa"/>
            <w:tcBorders>
              <w:top w:val="nil"/>
              <w:left w:val="nil"/>
              <w:bottom w:val="single" w:color="000000" w:sz="8" w:space="0"/>
              <w:right w:val="single" w:color="000000" w:sz="8" w:space="0"/>
            </w:tcBorders>
            <w:shd w:val="clear" w:color="auto" w:fill="auto"/>
            <w:vAlign w:val="center"/>
          </w:tcPr>
          <w:p w14:paraId="7FDEF8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3700</w:t>
            </w:r>
          </w:p>
        </w:tc>
        <w:tc>
          <w:tcPr>
            <w:tcW w:w="1365" w:type="dxa"/>
            <w:tcBorders>
              <w:top w:val="nil"/>
              <w:left w:val="nil"/>
              <w:bottom w:val="single" w:color="000000" w:sz="8" w:space="0"/>
              <w:right w:val="single" w:color="000000" w:sz="8" w:space="0"/>
            </w:tcBorders>
            <w:shd w:val="clear" w:color="auto" w:fill="auto"/>
            <w:vAlign w:val="center"/>
          </w:tcPr>
          <w:p w14:paraId="2278582A">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35A3429A">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2274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1085AF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395" w:type="dxa"/>
            <w:tcBorders>
              <w:top w:val="nil"/>
              <w:left w:val="nil"/>
              <w:bottom w:val="single" w:color="000000" w:sz="8" w:space="0"/>
              <w:right w:val="single" w:color="000000" w:sz="8" w:space="0"/>
            </w:tcBorders>
            <w:shd w:val="clear" w:color="auto" w:fill="auto"/>
            <w:vAlign w:val="center"/>
          </w:tcPr>
          <w:p w14:paraId="23B67A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欧月季</w:t>
            </w:r>
          </w:p>
        </w:tc>
        <w:tc>
          <w:tcPr>
            <w:tcW w:w="1598" w:type="dxa"/>
            <w:tcBorders>
              <w:top w:val="nil"/>
              <w:left w:val="nil"/>
              <w:bottom w:val="single" w:color="000000" w:sz="8" w:space="0"/>
              <w:right w:val="single" w:color="000000" w:sz="8" w:space="0"/>
            </w:tcBorders>
            <w:shd w:val="clear" w:color="auto" w:fill="auto"/>
            <w:vAlign w:val="center"/>
          </w:tcPr>
          <w:p w14:paraId="747D9B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盆径20cm，高度0.8cm（丛生）</w:t>
            </w:r>
          </w:p>
        </w:tc>
        <w:tc>
          <w:tcPr>
            <w:tcW w:w="1365" w:type="dxa"/>
            <w:tcBorders>
              <w:top w:val="nil"/>
              <w:left w:val="nil"/>
              <w:bottom w:val="single" w:color="000000" w:sz="8" w:space="0"/>
              <w:right w:val="single" w:color="000000" w:sz="8" w:space="0"/>
            </w:tcBorders>
            <w:shd w:val="clear" w:color="auto" w:fill="auto"/>
            <w:vAlign w:val="center"/>
          </w:tcPr>
          <w:p w14:paraId="37357C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株</w:t>
            </w:r>
          </w:p>
        </w:tc>
        <w:tc>
          <w:tcPr>
            <w:tcW w:w="1365" w:type="dxa"/>
            <w:tcBorders>
              <w:top w:val="nil"/>
              <w:left w:val="nil"/>
              <w:bottom w:val="single" w:color="000000" w:sz="8" w:space="0"/>
              <w:right w:val="single" w:color="000000" w:sz="8" w:space="0"/>
            </w:tcBorders>
            <w:shd w:val="clear" w:color="auto" w:fill="auto"/>
            <w:vAlign w:val="center"/>
          </w:tcPr>
          <w:p w14:paraId="52931E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2800</w:t>
            </w:r>
          </w:p>
        </w:tc>
        <w:tc>
          <w:tcPr>
            <w:tcW w:w="1365" w:type="dxa"/>
            <w:tcBorders>
              <w:top w:val="nil"/>
              <w:left w:val="nil"/>
              <w:bottom w:val="single" w:color="000000" w:sz="8" w:space="0"/>
              <w:right w:val="single" w:color="000000" w:sz="8" w:space="0"/>
            </w:tcBorders>
            <w:shd w:val="clear" w:color="auto" w:fill="auto"/>
            <w:vAlign w:val="center"/>
          </w:tcPr>
          <w:p w14:paraId="45ECEFEF">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1804BBFA">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7F4A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1DC8F9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395" w:type="dxa"/>
            <w:tcBorders>
              <w:top w:val="nil"/>
              <w:left w:val="nil"/>
              <w:bottom w:val="single" w:color="000000" w:sz="8" w:space="0"/>
              <w:right w:val="single" w:color="000000" w:sz="8" w:space="0"/>
            </w:tcBorders>
            <w:shd w:val="clear" w:color="auto" w:fill="auto"/>
            <w:vAlign w:val="center"/>
          </w:tcPr>
          <w:p w14:paraId="1A9280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三色堇</w:t>
            </w:r>
          </w:p>
        </w:tc>
        <w:tc>
          <w:tcPr>
            <w:tcW w:w="1598" w:type="dxa"/>
            <w:tcBorders>
              <w:top w:val="nil"/>
              <w:left w:val="nil"/>
              <w:bottom w:val="single" w:color="000000" w:sz="8" w:space="0"/>
              <w:right w:val="single" w:color="000000" w:sz="8" w:space="0"/>
            </w:tcBorders>
            <w:shd w:val="clear" w:color="auto" w:fill="auto"/>
            <w:vAlign w:val="center"/>
          </w:tcPr>
          <w:p w14:paraId="4947B1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15cm直径的花盆（2-4株/盆）</w:t>
            </w:r>
          </w:p>
        </w:tc>
        <w:tc>
          <w:tcPr>
            <w:tcW w:w="1365" w:type="dxa"/>
            <w:tcBorders>
              <w:top w:val="nil"/>
              <w:left w:val="nil"/>
              <w:bottom w:val="single" w:color="000000" w:sz="8" w:space="0"/>
              <w:right w:val="single" w:color="000000" w:sz="8" w:space="0"/>
            </w:tcBorders>
            <w:shd w:val="clear" w:color="auto" w:fill="auto"/>
            <w:vAlign w:val="center"/>
          </w:tcPr>
          <w:p w14:paraId="6D3DE8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株</w:t>
            </w:r>
          </w:p>
        </w:tc>
        <w:tc>
          <w:tcPr>
            <w:tcW w:w="1365" w:type="dxa"/>
            <w:tcBorders>
              <w:top w:val="nil"/>
              <w:left w:val="nil"/>
              <w:bottom w:val="single" w:color="000000" w:sz="8" w:space="0"/>
              <w:right w:val="single" w:color="000000" w:sz="8" w:space="0"/>
            </w:tcBorders>
            <w:shd w:val="clear" w:color="auto" w:fill="auto"/>
            <w:vAlign w:val="center"/>
          </w:tcPr>
          <w:p w14:paraId="658E4D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20000</w:t>
            </w:r>
          </w:p>
        </w:tc>
        <w:tc>
          <w:tcPr>
            <w:tcW w:w="1365" w:type="dxa"/>
            <w:tcBorders>
              <w:top w:val="nil"/>
              <w:left w:val="nil"/>
              <w:bottom w:val="single" w:color="000000" w:sz="8" w:space="0"/>
              <w:right w:val="single" w:color="000000" w:sz="8" w:space="0"/>
            </w:tcBorders>
            <w:shd w:val="clear" w:color="auto" w:fill="auto"/>
            <w:vAlign w:val="center"/>
          </w:tcPr>
          <w:p w14:paraId="77A7D2DD">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02F992D2">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6A1C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2C586F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395" w:type="dxa"/>
            <w:tcBorders>
              <w:top w:val="nil"/>
              <w:left w:val="nil"/>
              <w:bottom w:val="single" w:color="000000" w:sz="8" w:space="0"/>
              <w:right w:val="single" w:color="000000" w:sz="8" w:space="0"/>
            </w:tcBorders>
            <w:shd w:val="clear" w:color="auto" w:fill="auto"/>
            <w:vAlign w:val="center"/>
          </w:tcPr>
          <w:p w14:paraId="139FC5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孔雀草</w:t>
            </w:r>
          </w:p>
        </w:tc>
        <w:tc>
          <w:tcPr>
            <w:tcW w:w="1598" w:type="dxa"/>
            <w:tcBorders>
              <w:top w:val="nil"/>
              <w:left w:val="nil"/>
              <w:bottom w:val="single" w:color="000000" w:sz="8" w:space="0"/>
              <w:right w:val="single" w:color="000000" w:sz="8" w:space="0"/>
            </w:tcBorders>
            <w:shd w:val="clear" w:color="auto" w:fill="auto"/>
            <w:vAlign w:val="center"/>
          </w:tcPr>
          <w:p w14:paraId="0436A3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15cm直径的花盆（2-4株/盆）</w:t>
            </w:r>
          </w:p>
        </w:tc>
        <w:tc>
          <w:tcPr>
            <w:tcW w:w="1365" w:type="dxa"/>
            <w:tcBorders>
              <w:top w:val="nil"/>
              <w:left w:val="nil"/>
              <w:bottom w:val="single" w:color="000000" w:sz="8" w:space="0"/>
              <w:right w:val="single" w:color="000000" w:sz="8" w:space="0"/>
            </w:tcBorders>
            <w:shd w:val="clear" w:color="auto" w:fill="auto"/>
            <w:vAlign w:val="center"/>
          </w:tcPr>
          <w:p w14:paraId="62A5C6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365" w:type="dxa"/>
            <w:tcBorders>
              <w:top w:val="nil"/>
              <w:left w:val="nil"/>
              <w:bottom w:val="single" w:color="000000" w:sz="8" w:space="0"/>
              <w:right w:val="single" w:color="000000" w:sz="8" w:space="0"/>
            </w:tcBorders>
            <w:shd w:val="clear" w:color="auto" w:fill="auto"/>
            <w:vAlign w:val="center"/>
          </w:tcPr>
          <w:p w14:paraId="2F22D5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16000</w:t>
            </w:r>
          </w:p>
        </w:tc>
        <w:tc>
          <w:tcPr>
            <w:tcW w:w="1365" w:type="dxa"/>
            <w:tcBorders>
              <w:top w:val="nil"/>
              <w:left w:val="nil"/>
              <w:bottom w:val="single" w:color="000000" w:sz="8" w:space="0"/>
              <w:right w:val="single" w:color="000000" w:sz="8" w:space="0"/>
            </w:tcBorders>
            <w:shd w:val="clear" w:color="auto" w:fill="auto"/>
            <w:vAlign w:val="center"/>
          </w:tcPr>
          <w:p w14:paraId="137B72BF">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17B4023B">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154F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1E26D3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395" w:type="dxa"/>
            <w:tcBorders>
              <w:top w:val="nil"/>
              <w:left w:val="nil"/>
              <w:bottom w:val="single" w:color="000000" w:sz="8" w:space="0"/>
              <w:right w:val="single" w:color="000000" w:sz="8" w:space="0"/>
            </w:tcBorders>
            <w:shd w:val="clear" w:color="auto" w:fill="auto"/>
            <w:vAlign w:val="center"/>
          </w:tcPr>
          <w:p w14:paraId="61C22D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角景</w:t>
            </w:r>
          </w:p>
        </w:tc>
        <w:tc>
          <w:tcPr>
            <w:tcW w:w="1598" w:type="dxa"/>
            <w:tcBorders>
              <w:top w:val="nil"/>
              <w:left w:val="nil"/>
              <w:bottom w:val="single" w:color="000000" w:sz="8" w:space="0"/>
              <w:right w:val="single" w:color="000000" w:sz="8" w:space="0"/>
            </w:tcBorders>
            <w:shd w:val="clear" w:color="auto" w:fill="auto"/>
            <w:vAlign w:val="center"/>
          </w:tcPr>
          <w:p w14:paraId="09EFFB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15cm直径的花盆（2-4株/盆）</w:t>
            </w:r>
          </w:p>
        </w:tc>
        <w:tc>
          <w:tcPr>
            <w:tcW w:w="1365" w:type="dxa"/>
            <w:tcBorders>
              <w:top w:val="nil"/>
              <w:left w:val="nil"/>
              <w:bottom w:val="single" w:color="000000" w:sz="8" w:space="0"/>
              <w:right w:val="single" w:color="000000" w:sz="8" w:space="0"/>
            </w:tcBorders>
            <w:shd w:val="clear" w:color="auto" w:fill="auto"/>
            <w:vAlign w:val="center"/>
          </w:tcPr>
          <w:p w14:paraId="297B78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365" w:type="dxa"/>
            <w:tcBorders>
              <w:top w:val="nil"/>
              <w:left w:val="nil"/>
              <w:bottom w:val="single" w:color="000000" w:sz="8" w:space="0"/>
              <w:right w:val="single" w:color="000000" w:sz="8" w:space="0"/>
            </w:tcBorders>
            <w:shd w:val="clear" w:color="auto" w:fill="auto"/>
            <w:vAlign w:val="center"/>
          </w:tcPr>
          <w:p w14:paraId="409EDE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2800</w:t>
            </w:r>
          </w:p>
        </w:tc>
        <w:tc>
          <w:tcPr>
            <w:tcW w:w="1365" w:type="dxa"/>
            <w:tcBorders>
              <w:top w:val="nil"/>
              <w:left w:val="nil"/>
              <w:bottom w:val="single" w:color="000000" w:sz="8" w:space="0"/>
              <w:right w:val="single" w:color="000000" w:sz="8" w:space="0"/>
            </w:tcBorders>
            <w:shd w:val="clear" w:color="auto" w:fill="auto"/>
            <w:vAlign w:val="center"/>
          </w:tcPr>
          <w:p w14:paraId="6DC90439">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69396C1F">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68FF0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346F0F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395" w:type="dxa"/>
            <w:tcBorders>
              <w:top w:val="nil"/>
              <w:left w:val="nil"/>
              <w:bottom w:val="single" w:color="000000" w:sz="8" w:space="0"/>
              <w:right w:val="single" w:color="000000" w:sz="8" w:space="0"/>
            </w:tcBorders>
            <w:shd w:val="clear" w:color="auto" w:fill="auto"/>
            <w:vAlign w:val="center"/>
          </w:tcPr>
          <w:p w14:paraId="51EB00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迎春花</w:t>
            </w:r>
          </w:p>
        </w:tc>
        <w:tc>
          <w:tcPr>
            <w:tcW w:w="1598" w:type="dxa"/>
            <w:tcBorders>
              <w:top w:val="nil"/>
              <w:left w:val="nil"/>
              <w:bottom w:val="single" w:color="000000" w:sz="8" w:space="0"/>
              <w:right w:val="single" w:color="000000" w:sz="8" w:space="0"/>
            </w:tcBorders>
            <w:shd w:val="clear" w:color="auto" w:fill="auto"/>
            <w:vAlign w:val="center"/>
          </w:tcPr>
          <w:p w14:paraId="431D13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高50cm（3年生）8-10株/盆</w:t>
            </w:r>
          </w:p>
        </w:tc>
        <w:tc>
          <w:tcPr>
            <w:tcW w:w="1365" w:type="dxa"/>
            <w:tcBorders>
              <w:top w:val="nil"/>
              <w:left w:val="nil"/>
              <w:bottom w:val="single" w:color="000000" w:sz="8" w:space="0"/>
              <w:right w:val="single" w:color="000000" w:sz="8" w:space="0"/>
            </w:tcBorders>
            <w:shd w:val="clear" w:color="auto" w:fill="auto"/>
            <w:vAlign w:val="center"/>
          </w:tcPr>
          <w:p w14:paraId="3E046E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365" w:type="dxa"/>
            <w:tcBorders>
              <w:top w:val="nil"/>
              <w:left w:val="nil"/>
              <w:bottom w:val="single" w:color="000000" w:sz="8" w:space="0"/>
              <w:right w:val="single" w:color="000000" w:sz="8" w:space="0"/>
            </w:tcBorders>
            <w:shd w:val="clear" w:color="auto" w:fill="auto"/>
            <w:vAlign w:val="center"/>
          </w:tcPr>
          <w:p w14:paraId="7932E7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365" w:type="dxa"/>
            <w:tcBorders>
              <w:top w:val="nil"/>
              <w:left w:val="nil"/>
              <w:bottom w:val="single" w:color="000000" w:sz="8" w:space="0"/>
              <w:right w:val="single" w:color="000000" w:sz="8" w:space="0"/>
            </w:tcBorders>
            <w:shd w:val="clear" w:color="auto" w:fill="auto"/>
            <w:vAlign w:val="center"/>
          </w:tcPr>
          <w:p w14:paraId="6D237C38">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14A16A6B">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4B29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792178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395" w:type="dxa"/>
            <w:tcBorders>
              <w:top w:val="nil"/>
              <w:left w:val="nil"/>
              <w:bottom w:val="single" w:color="000000" w:sz="8" w:space="0"/>
              <w:right w:val="single" w:color="000000" w:sz="8" w:space="0"/>
            </w:tcBorders>
            <w:shd w:val="clear" w:color="auto" w:fill="auto"/>
            <w:vAlign w:val="center"/>
          </w:tcPr>
          <w:p w14:paraId="6F8CA3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映山红</w:t>
            </w:r>
          </w:p>
        </w:tc>
        <w:tc>
          <w:tcPr>
            <w:tcW w:w="1598" w:type="dxa"/>
            <w:tcBorders>
              <w:top w:val="nil"/>
              <w:left w:val="nil"/>
              <w:bottom w:val="single" w:color="000000" w:sz="8" w:space="0"/>
              <w:right w:val="single" w:color="000000" w:sz="8" w:space="0"/>
            </w:tcBorders>
            <w:shd w:val="clear" w:color="auto" w:fill="auto"/>
            <w:vAlign w:val="center"/>
          </w:tcPr>
          <w:p w14:paraId="0BCDAA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地径5cm，高80cm（冠80cm）</w:t>
            </w:r>
          </w:p>
        </w:tc>
        <w:tc>
          <w:tcPr>
            <w:tcW w:w="1365" w:type="dxa"/>
            <w:tcBorders>
              <w:top w:val="nil"/>
              <w:left w:val="nil"/>
              <w:bottom w:val="single" w:color="000000" w:sz="8" w:space="0"/>
              <w:right w:val="single" w:color="000000" w:sz="8" w:space="0"/>
            </w:tcBorders>
            <w:shd w:val="clear" w:color="auto" w:fill="auto"/>
            <w:vAlign w:val="center"/>
          </w:tcPr>
          <w:p w14:paraId="0DEB26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365" w:type="dxa"/>
            <w:tcBorders>
              <w:top w:val="nil"/>
              <w:left w:val="nil"/>
              <w:bottom w:val="single" w:color="000000" w:sz="8" w:space="0"/>
              <w:right w:val="single" w:color="000000" w:sz="8" w:space="0"/>
            </w:tcBorders>
            <w:shd w:val="clear" w:color="auto" w:fill="auto"/>
            <w:vAlign w:val="center"/>
          </w:tcPr>
          <w:p w14:paraId="31E8C2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365" w:type="dxa"/>
            <w:tcBorders>
              <w:top w:val="nil"/>
              <w:left w:val="nil"/>
              <w:bottom w:val="single" w:color="000000" w:sz="8" w:space="0"/>
              <w:right w:val="single" w:color="000000" w:sz="8" w:space="0"/>
            </w:tcBorders>
            <w:shd w:val="clear" w:color="auto" w:fill="auto"/>
            <w:vAlign w:val="center"/>
          </w:tcPr>
          <w:p w14:paraId="153C880D">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417AA7E8">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7296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12B746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395" w:type="dxa"/>
            <w:tcBorders>
              <w:top w:val="nil"/>
              <w:left w:val="nil"/>
              <w:bottom w:val="single" w:color="000000" w:sz="8" w:space="0"/>
              <w:right w:val="single" w:color="000000" w:sz="8" w:space="0"/>
            </w:tcBorders>
            <w:shd w:val="clear" w:color="auto" w:fill="auto"/>
            <w:vAlign w:val="center"/>
          </w:tcPr>
          <w:p w14:paraId="5A65BF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藤本月季</w:t>
            </w:r>
          </w:p>
        </w:tc>
        <w:tc>
          <w:tcPr>
            <w:tcW w:w="1598" w:type="dxa"/>
            <w:tcBorders>
              <w:top w:val="nil"/>
              <w:left w:val="nil"/>
              <w:bottom w:val="single" w:color="000000" w:sz="8" w:space="0"/>
              <w:right w:val="single" w:color="000000" w:sz="8" w:space="0"/>
            </w:tcBorders>
            <w:shd w:val="clear" w:color="auto" w:fill="auto"/>
            <w:vAlign w:val="center"/>
          </w:tcPr>
          <w:p w14:paraId="2A76CF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高2m，3年生，4-6株/盆</w:t>
            </w:r>
          </w:p>
        </w:tc>
        <w:tc>
          <w:tcPr>
            <w:tcW w:w="1365" w:type="dxa"/>
            <w:tcBorders>
              <w:top w:val="nil"/>
              <w:left w:val="nil"/>
              <w:bottom w:val="single" w:color="000000" w:sz="8" w:space="0"/>
              <w:right w:val="single" w:color="000000" w:sz="8" w:space="0"/>
            </w:tcBorders>
            <w:shd w:val="clear" w:color="auto" w:fill="auto"/>
            <w:vAlign w:val="center"/>
          </w:tcPr>
          <w:p w14:paraId="337446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365" w:type="dxa"/>
            <w:tcBorders>
              <w:top w:val="nil"/>
              <w:left w:val="nil"/>
              <w:bottom w:val="single" w:color="000000" w:sz="8" w:space="0"/>
              <w:right w:val="single" w:color="000000" w:sz="8" w:space="0"/>
            </w:tcBorders>
            <w:shd w:val="clear" w:color="auto" w:fill="auto"/>
            <w:vAlign w:val="center"/>
          </w:tcPr>
          <w:p w14:paraId="656E37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365" w:type="dxa"/>
            <w:tcBorders>
              <w:top w:val="nil"/>
              <w:left w:val="nil"/>
              <w:bottom w:val="single" w:color="000000" w:sz="8" w:space="0"/>
              <w:right w:val="single" w:color="000000" w:sz="8" w:space="0"/>
            </w:tcBorders>
            <w:shd w:val="clear" w:color="auto" w:fill="auto"/>
            <w:vAlign w:val="center"/>
          </w:tcPr>
          <w:p w14:paraId="53EC79D4">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567678F0">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31C8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5403DB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395" w:type="dxa"/>
            <w:tcBorders>
              <w:top w:val="nil"/>
              <w:left w:val="nil"/>
              <w:bottom w:val="single" w:color="000000" w:sz="8" w:space="0"/>
              <w:right w:val="single" w:color="000000" w:sz="8" w:space="0"/>
            </w:tcBorders>
            <w:shd w:val="clear" w:color="auto" w:fill="auto"/>
            <w:vAlign w:val="center"/>
          </w:tcPr>
          <w:p w14:paraId="39B88B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海棠草花</w:t>
            </w:r>
          </w:p>
        </w:tc>
        <w:tc>
          <w:tcPr>
            <w:tcW w:w="1598" w:type="dxa"/>
            <w:tcBorders>
              <w:top w:val="nil"/>
              <w:left w:val="nil"/>
              <w:bottom w:val="single" w:color="000000" w:sz="8" w:space="0"/>
              <w:right w:val="single" w:color="000000" w:sz="8" w:space="0"/>
            </w:tcBorders>
            <w:shd w:val="clear" w:color="auto" w:fill="auto"/>
            <w:vAlign w:val="center"/>
          </w:tcPr>
          <w:p w14:paraId="6DC860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盆径15cm</w:t>
            </w:r>
          </w:p>
        </w:tc>
        <w:tc>
          <w:tcPr>
            <w:tcW w:w="1365" w:type="dxa"/>
            <w:tcBorders>
              <w:top w:val="nil"/>
              <w:left w:val="nil"/>
              <w:bottom w:val="single" w:color="000000" w:sz="8" w:space="0"/>
              <w:right w:val="single" w:color="000000" w:sz="8" w:space="0"/>
            </w:tcBorders>
            <w:shd w:val="clear" w:color="auto" w:fill="auto"/>
            <w:vAlign w:val="center"/>
          </w:tcPr>
          <w:p w14:paraId="108BC7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365" w:type="dxa"/>
            <w:tcBorders>
              <w:top w:val="nil"/>
              <w:left w:val="nil"/>
              <w:bottom w:val="single" w:color="000000" w:sz="8" w:space="0"/>
              <w:right w:val="single" w:color="000000" w:sz="8" w:space="0"/>
            </w:tcBorders>
            <w:shd w:val="clear" w:color="auto" w:fill="auto"/>
            <w:vAlign w:val="center"/>
          </w:tcPr>
          <w:p w14:paraId="16AE05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2500</w:t>
            </w:r>
          </w:p>
        </w:tc>
        <w:tc>
          <w:tcPr>
            <w:tcW w:w="1365" w:type="dxa"/>
            <w:tcBorders>
              <w:top w:val="nil"/>
              <w:left w:val="nil"/>
              <w:bottom w:val="single" w:color="000000" w:sz="8" w:space="0"/>
              <w:right w:val="single" w:color="000000" w:sz="8" w:space="0"/>
            </w:tcBorders>
            <w:shd w:val="clear" w:color="auto" w:fill="auto"/>
            <w:vAlign w:val="center"/>
          </w:tcPr>
          <w:p w14:paraId="12939D68">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2CC75051">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02F3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0D8497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395" w:type="dxa"/>
            <w:tcBorders>
              <w:top w:val="nil"/>
              <w:left w:val="nil"/>
              <w:bottom w:val="single" w:color="000000" w:sz="8" w:space="0"/>
              <w:right w:val="single" w:color="000000" w:sz="8" w:space="0"/>
            </w:tcBorders>
            <w:shd w:val="clear" w:color="auto" w:fill="auto"/>
            <w:vAlign w:val="center"/>
          </w:tcPr>
          <w:p w14:paraId="5FC36E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矾根花</w:t>
            </w:r>
          </w:p>
        </w:tc>
        <w:tc>
          <w:tcPr>
            <w:tcW w:w="1598" w:type="dxa"/>
            <w:tcBorders>
              <w:top w:val="nil"/>
              <w:left w:val="nil"/>
              <w:bottom w:val="single" w:color="000000" w:sz="8" w:space="0"/>
              <w:right w:val="single" w:color="000000" w:sz="8" w:space="0"/>
            </w:tcBorders>
            <w:shd w:val="clear" w:color="auto" w:fill="auto"/>
            <w:vAlign w:val="center"/>
          </w:tcPr>
          <w:p w14:paraId="2174C7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盆径20cm</w:t>
            </w:r>
          </w:p>
        </w:tc>
        <w:tc>
          <w:tcPr>
            <w:tcW w:w="1365" w:type="dxa"/>
            <w:tcBorders>
              <w:top w:val="nil"/>
              <w:left w:val="nil"/>
              <w:bottom w:val="single" w:color="000000" w:sz="8" w:space="0"/>
              <w:right w:val="single" w:color="000000" w:sz="8" w:space="0"/>
            </w:tcBorders>
            <w:shd w:val="clear" w:color="auto" w:fill="auto"/>
            <w:vAlign w:val="center"/>
          </w:tcPr>
          <w:p w14:paraId="02E179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365" w:type="dxa"/>
            <w:tcBorders>
              <w:top w:val="nil"/>
              <w:left w:val="nil"/>
              <w:bottom w:val="single" w:color="000000" w:sz="8" w:space="0"/>
              <w:right w:val="single" w:color="000000" w:sz="8" w:space="0"/>
            </w:tcBorders>
            <w:shd w:val="clear" w:color="auto" w:fill="auto"/>
            <w:vAlign w:val="center"/>
          </w:tcPr>
          <w:p w14:paraId="0C8682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w:t>
            </w:r>
          </w:p>
        </w:tc>
        <w:tc>
          <w:tcPr>
            <w:tcW w:w="1365" w:type="dxa"/>
            <w:tcBorders>
              <w:top w:val="nil"/>
              <w:left w:val="nil"/>
              <w:bottom w:val="single" w:color="000000" w:sz="8" w:space="0"/>
              <w:right w:val="single" w:color="000000" w:sz="8" w:space="0"/>
            </w:tcBorders>
            <w:shd w:val="clear" w:color="auto" w:fill="auto"/>
            <w:vAlign w:val="center"/>
          </w:tcPr>
          <w:p w14:paraId="77BE2848">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6D4BE20F">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44C3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3FB1A5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395" w:type="dxa"/>
            <w:tcBorders>
              <w:top w:val="nil"/>
              <w:left w:val="nil"/>
              <w:bottom w:val="single" w:color="000000" w:sz="8" w:space="0"/>
              <w:right w:val="single" w:color="000000" w:sz="8" w:space="0"/>
            </w:tcBorders>
            <w:shd w:val="clear" w:color="auto" w:fill="auto"/>
            <w:vAlign w:val="center"/>
          </w:tcPr>
          <w:p w14:paraId="7375E9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风车茉莉</w:t>
            </w:r>
          </w:p>
        </w:tc>
        <w:tc>
          <w:tcPr>
            <w:tcW w:w="1598" w:type="dxa"/>
            <w:tcBorders>
              <w:top w:val="nil"/>
              <w:left w:val="nil"/>
              <w:bottom w:val="single" w:color="000000" w:sz="8" w:space="0"/>
              <w:right w:val="single" w:color="000000" w:sz="8" w:space="0"/>
            </w:tcBorders>
            <w:shd w:val="clear" w:color="auto" w:fill="auto"/>
            <w:vAlign w:val="center"/>
          </w:tcPr>
          <w:p w14:paraId="4F9210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高度1.8m（5年生）8-10株/盆</w:t>
            </w:r>
          </w:p>
        </w:tc>
        <w:tc>
          <w:tcPr>
            <w:tcW w:w="1365" w:type="dxa"/>
            <w:tcBorders>
              <w:top w:val="nil"/>
              <w:left w:val="nil"/>
              <w:bottom w:val="single" w:color="000000" w:sz="8" w:space="0"/>
              <w:right w:val="single" w:color="000000" w:sz="8" w:space="0"/>
            </w:tcBorders>
            <w:shd w:val="clear" w:color="auto" w:fill="auto"/>
            <w:vAlign w:val="center"/>
          </w:tcPr>
          <w:p w14:paraId="2DD3A2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w:t>
            </w:r>
          </w:p>
        </w:tc>
        <w:tc>
          <w:tcPr>
            <w:tcW w:w="1365" w:type="dxa"/>
            <w:tcBorders>
              <w:top w:val="nil"/>
              <w:left w:val="nil"/>
              <w:bottom w:val="single" w:color="000000" w:sz="8" w:space="0"/>
              <w:right w:val="single" w:color="000000" w:sz="8" w:space="0"/>
            </w:tcBorders>
            <w:shd w:val="clear" w:color="auto" w:fill="auto"/>
            <w:vAlign w:val="center"/>
          </w:tcPr>
          <w:p w14:paraId="457DE6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1365" w:type="dxa"/>
            <w:tcBorders>
              <w:top w:val="nil"/>
              <w:left w:val="nil"/>
              <w:bottom w:val="single" w:color="000000" w:sz="8" w:space="0"/>
              <w:right w:val="single" w:color="000000" w:sz="8" w:space="0"/>
            </w:tcBorders>
            <w:shd w:val="clear" w:color="auto" w:fill="auto"/>
            <w:vAlign w:val="center"/>
          </w:tcPr>
          <w:p w14:paraId="181E2D48">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6F7089E5">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767B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0A7E6D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395" w:type="dxa"/>
            <w:tcBorders>
              <w:top w:val="nil"/>
              <w:left w:val="nil"/>
              <w:bottom w:val="single" w:color="000000" w:sz="8" w:space="0"/>
              <w:right w:val="single" w:color="000000" w:sz="8" w:space="0"/>
            </w:tcBorders>
            <w:shd w:val="clear" w:color="auto" w:fill="auto"/>
            <w:vAlign w:val="center"/>
          </w:tcPr>
          <w:p w14:paraId="261504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独杆月季(欧月）</w:t>
            </w:r>
          </w:p>
        </w:tc>
        <w:tc>
          <w:tcPr>
            <w:tcW w:w="1598" w:type="dxa"/>
            <w:tcBorders>
              <w:top w:val="nil"/>
              <w:left w:val="nil"/>
              <w:bottom w:val="single" w:color="000000" w:sz="8" w:space="0"/>
              <w:right w:val="single" w:color="000000" w:sz="8" w:space="0"/>
            </w:tcBorders>
            <w:shd w:val="clear" w:color="auto" w:fill="auto"/>
            <w:vAlign w:val="center"/>
          </w:tcPr>
          <w:p w14:paraId="2095D0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胸径2cm，冠40cm</w:t>
            </w:r>
          </w:p>
        </w:tc>
        <w:tc>
          <w:tcPr>
            <w:tcW w:w="1365" w:type="dxa"/>
            <w:tcBorders>
              <w:top w:val="nil"/>
              <w:left w:val="nil"/>
              <w:bottom w:val="single" w:color="000000" w:sz="8" w:space="0"/>
              <w:right w:val="single" w:color="000000" w:sz="8" w:space="0"/>
            </w:tcBorders>
            <w:shd w:val="clear" w:color="auto" w:fill="auto"/>
            <w:vAlign w:val="center"/>
          </w:tcPr>
          <w:p w14:paraId="351C6C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株</w:t>
            </w:r>
          </w:p>
        </w:tc>
        <w:tc>
          <w:tcPr>
            <w:tcW w:w="1365" w:type="dxa"/>
            <w:tcBorders>
              <w:top w:val="nil"/>
              <w:left w:val="nil"/>
              <w:bottom w:val="single" w:color="000000" w:sz="8" w:space="0"/>
              <w:right w:val="single" w:color="000000" w:sz="8" w:space="0"/>
            </w:tcBorders>
            <w:shd w:val="clear" w:color="auto" w:fill="auto"/>
            <w:vAlign w:val="center"/>
          </w:tcPr>
          <w:p w14:paraId="48F682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218</w:t>
            </w:r>
          </w:p>
        </w:tc>
        <w:tc>
          <w:tcPr>
            <w:tcW w:w="1365" w:type="dxa"/>
            <w:tcBorders>
              <w:top w:val="nil"/>
              <w:left w:val="nil"/>
              <w:bottom w:val="single" w:color="000000" w:sz="8" w:space="0"/>
              <w:right w:val="single" w:color="000000" w:sz="8" w:space="0"/>
            </w:tcBorders>
            <w:shd w:val="clear" w:color="auto" w:fill="auto"/>
            <w:vAlign w:val="center"/>
          </w:tcPr>
          <w:p w14:paraId="4D902F12">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46D0EF64">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12BC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79121D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395" w:type="dxa"/>
            <w:tcBorders>
              <w:top w:val="nil"/>
              <w:left w:val="nil"/>
              <w:bottom w:val="single" w:color="000000" w:sz="8" w:space="0"/>
              <w:right w:val="single" w:color="000000" w:sz="8" w:space="0"/>
            </w:tcBorders>
            <w:shd w:val="clear" w:color="auto" w:fill="auto"/>
            <w:vAlign w:val="center"/>
          </w:tcPr>
          <w:p w14:paraId="66EB79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混合花种（12种）</w:t>
            </w:r>
          </w:p>
        </w:tc>
        <w:tc>
          <w:tcPr>
            <w:tcW w:w="1598" w:type="dxa"/>
            <w:tcBorders>
              <w:top w:val="nil"/>
              <w:left w:val="nil"/>
              <w:bottom w:val="single" w:color="000000" w:sz="8" w:space="0"/>
              <w:right w:val="single" w:color="000000" w:sz="8" w:space="0"/>
            </w:tcBorders>
            <w:shd w:val="clear" w:color="auto" w:fill="auto"/>
            <w:vAlign w:val="center"/>
          </w:tcPr>
          <w:p w14:paraId="3BA38C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（每种花种1斤）</w:t>
            </w:r>
          </w:p>
        </w:tc>
        <w:tc>
          <w:tcPr>
            <w:tcW w:w="1365" w:type="dxa"/>
            <w:tcBorders>
              <w:top w:val="nil"/>
              <w:left w:val="nil"/>
              <w:bottom w:val="single" w:color="000000" w:sz="8" w:space="0"/>
              <w:right w:val="single" w:color="000000" w:sz="8" w:space="0"/>
            </w:tcBorders>
            <w:shd w:val="clear" w:color="auto" w:fill="auto"/>
            <w:vAlign w:val="center"/>
          </w:tcPr>
          <w:p w14:paraId="5FDF89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斤</w:t>
            </w:r>
          </w:p>
        </w:tc>
        <w:tc>
          <w:tcPr>
            <w:tcW w:w="1365" w:type="dxa"/>
            <w:tcBorders>
              <w:top w:val="nil"/>
              <w:left w:val="nil"/>
              <w:bottom w:val="single" w:color="000000" w:sz="8" w:space="0"/>
              <w:right w:val="single" w:color="000000" w:sz="8" w:space="0"/>
            </w:tcBorders>
            <w:shd w:val="clear" w:color="auto" w:fill="auto"/>
            <w:vAlign w:val="center"/>
          </w:tcPr>
          <w:p w14:paraId="0E2FEA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365" w:type="dxa"/>
            <w:tcBorders>
              <w:top w:val="nil"/>
              <w:left w:val="nil"/>
              <w:bottom w:val="single" w:color="000000" w:sz="8" w:space="0"/>
              <w:right w:val="single" w:color="000000" w:sz="8" w:space="0"/>
            </w:tcBorders>
            <w:shd w:val="clear" w:color="auto" w:fill="auto"/>
            <w:vAlign w:val="center"/>
          </w:tcPr>
          <w:p w14:paraId="779A4E1B">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3460573D">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21ED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3ECB57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1395" w:type="dxa"/>
            <w:tcBorders>
              <w:top w:val="nil"/>
              <w:left w:val="nil"/>
              <w:bottom w:val="single" w:color="000000" w:sz="8" w:space="0"/>
              <w:right w:val="single" w:color="000000" w:sz="8" w:space="0"/>
            </w:tcBorders>
            <w:shd w:val="clear" w:color="auto" w:fill="auto"/>
            <w:vAlign w:val="center"/>
          </w:tcPr>
          <w:p w14:paraId="70C4DE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种植土</w:t>
            </w:r>
          </w:p>
        </w:tc>
        <w:tc>
          <w:tcPr>
            <w:tcW w:w="1598" w:type="dxa"/>
            <w:tcBorders>
              <w:top w:val="nil"/>
              <w:left w:val="nil"/>
              <w:bottom w:val="single" w:color="000000" w:sz="8" w:space="0"/>
              <w:right w:val="single" w:color="000000" w:sz="8" w:space="0"/>
            </w:tcBorders>
            <w:shd w:val="clear" w:color="auto" w:fill="auto"/>
            <w:vAlign w:val="center"/>
          </w:tcPr>
          <w:p w14:paraId="526581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购置、倒运、回填</w:t>
            </w:r>
          </w:p>
        </w:tc>
        <w:tc>
          <w:tcPr>
            <w:tcW w:w="1365" w:type="dxa"/>
            <w:tcBorders>
              <w:top w:val="nil"/>
              <w:left w:val="nil"/>
              <w:bottom w:val="single" w:color="000000" w:sz="8" w:space="0"/>
              <w:right w:val="single" w:color="000000" w:sz="8" w:space="0"/>
            </w:tcBorders>
            <w:shd w:val="clear" w:color="auto" w:fill="auto"/>
            <w:vAlign w:val="center"/>
          </w:tcPr>
          <w:p w14:paraId="45F3C3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m3</w:t>
            </w:r>
          </w:p>
        </w:tc>
        <w:tc>
          <w:tcPr>
            <w:tcW w:w="1365" w:type="dxa"/>
            <w:tcBorders>
              <w:top w:val="nil"/>
              <w:left w:val="nil"/>
              <w:bottom w:val="single" w:color="000000" w:sz="8" w:space="0"/>
              <w:right w:val="single" w:color="000000" w:sz="8" w:space="0"/>
            </w:tcBorders>
            <w:shd w:val="clear" w:color="auto" w:fill="auto"/>
            <w:vAlign w:val="center"/>
          </w:tcPr>
          <w:p w14:paraId="6AB85A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362</w:t>
            </w:r>
          </w:p>
        </w:tc>
        <w:tc>
          <w:tcPr>
            <w:tcW w:w="1365" w:type="dxa"/>
            <w:tcBorders>
              <w:top w:val="nil"/>
              <w:left w:val="nil"/>
              <w:bottom w:val="single" w:color="000000" w:sz="8" w:space="0"/>
              <w:right w:val="single" w:color="000000" w:sz="8" w:space="0"/>
            </w:tcBorders>
            <w:shd w:val="clear" w:color="auto" w:fill="auto"/>
            <w:vAlign w:val="center"/>
          </w:tcPr>
          <w:p w14:paraId="6A42AEF4">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21B98013">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1119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735284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395" w:type="dxa"/>
            <w:tcBorders>
              <w:top w:val="nil"/>
              <w:left w:val="nil"/>
              <w:bottom w:val="single" w:color="000000" w:sz="8" w:space="0"/>
              <w:right w:val="single" w:color="000000" w:sz="8" w:space="0"/>
            </w:tcBorders>
            <w:shd w:val="clear" w:color="auto" w:fill="auto"/>
            <w:vAlign w:val="center"/>
          </w:tcPr>
          <w:p w14:paraId="43F7BB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树木修剪养护工</w:t>
            </w:r>
          </w:p>
        </w:tc>
        <w:tc>
          <w:tcPr>
            <w:tcW w:w="1598" w:type="dxa"/>
            <w:tcBorders>
              <w:top w:val="nil"/>
              <w:left w:val="nil"/>
              <w:bottom w:val="single" w:color="000000" w:sz="8" w:space="0"/>
              <w:right w:val="single" w:color="000000" w:sz="8" w:space="0"/>
            </w:tcBorders>
            <w:shd w:val="clear" w:color="auto" w:fill="auto"/>
            <w:vAlign w:val="center"/>
          </w:tcPr>
          <w:p w14:paraId="60D5BD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10米以上大树（10株）</w:t>
            </w:r>
          </w:p>
        </w:tc>
        <w:tc>
          <w:tcPr>
            <w:tcW w:w="1365" w:type="dxa"/>
            <w:tcBorders>
              <w:top w:val="nil"/>
              <w:left w:val="nil"/>
              <w:bottom w:val="single" w:color="000000" w:sz="8" w:space="0"/>
              <w:right w:val="single" w:color="000000" w:sz="8" w:space="0"/>
            </w:tcBorders>
            <w:shd w:val="clear" w:color="auto" w:fill="auto"/>
            <w:vAlign w:val="center"/>
          </w:tcPr>
          <w:p w14:paraId="794FA5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工日</w:t>
            </w:r>
          </w:p>
        </w:tc>
        <w:tc>
          <w:tcPr>
            <w:tcW w:w="1365" w:type="dxa"/>
            <w:tcBorders>
              <w:top w:val="nil"/>
              <w:left w:val="nil"/>
              <w:bottom w:val="single" w:color="000000" w:sz="8" w:space="0"/>
              <w:right w:val="single" w:color="000000" w:sz="8" w:space="0"/>
            </w:tcBorders>
            <w:shd w:val="clear" w:color="auto" w:fill="auto"/>
            <w:vAlign w:val="center"/>
          </w:tcPr>
          <w:p w14:paraId="7B7CEE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365" w:type="dxa"/>
            <w:tcBorders>
              <w:top w:val="nil"/>
              <w:left w:val="nil"/>
              <w:bottom w:val="single" w:color="000000" w:sz="8" w:space="0"/>
              <w:right w:val="single" w:color="000000" w:sz="8" w:space="0"/>
            </w:tcBorders>
            <w:shd w:val="clear" w:color="auto" w:fill="auto"/>
            <w:vAlign w:val="center"/>
          </w:tcPr>
          <w:p w14:paraId="3A0BEA13">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67E45512">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5CEB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2C225F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1395" w:type="dxa"/>
            <w:tcBorders>
              <w:top w:val="nil"/>
              <w:left w:val="nil"/>
              <w:bottom w:val="single" w:color="000000" w:sz="8" w:space="0"/>
              <w:right w:val="single" w:color="000000" w:sz="8" w:space="0"/>
            </w:tcBorders>
            <w:shd w:val="clear" w:color="auto" w:fill="auto"/>
            <w:vAlign w:val="center"/>
          </w:tcPr>
          <w:p w14:paraId="4C033C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垃圾清运</w:t>
            </w:r>
          </w:p>
        </w:tc>
        <w:tc>
          <w:tcPr>
            <w:tcW w:w="1598" w:type="dxa"/>
            <w:tcBorders>
              <w:top w:val="nil"/>
              <w:left w:val="nil"/>
              <w:bottom w:val="single" w:color="000000" w:sz="8" w:space="0"/>
              <w:right w:val="single" w:color="000000" w:sz="8" w:space="0"/>
            </w:tcBorders>
            <w:shd w:val="clear" w:color="auto" w:fill="auto"/>
            <w:vAlign w:val="center"/>
          </w:tcPr>
          <w:p w14:paraId="3C7B50BE">
            <w:pPr>
              <w:jc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28EA43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m3</w:t>
            </w:r>
          </w:p>
        </w:tc>
        <w:tc>
          <w:tcPr>
            <w:tcW w:w="1365" w:type="dxa"/>
            <w:tcBorders>
              <w:top w:val="nil"/>
              <w:left w:val="nil"/>
              <w:bottom w:val="single" w:color="000000" w:sz="8" w:space="0"/>
              <w:right w:val="single" w:color="000000" w:sz="8" w:space="0"/>
            </w:tcBorders>
            <w:shd w:val="clear" w:color="auto" w:fill="auto"/>
            <w:vAlign w:val="center"/>
          </w:tcPr>
          <w:p w14:paraId="668FBE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365" w:type="dxa"/>
            <w:tcBorders>
              <w:top w:val="nil"/>
              <w:left w:val="nil"/>
              <w:bottom w:val="single" w:color="000000" w:sz="8" w:space="0"/>
              <w:right w:val="single" w:color="000000" w:sz="8" w:space="0"/>
            </w:tcBorders>
            <w:shd w:val="clear" w:color="auto" w:fill="auto"/>
            <w:vAlign w:val="center"/>
          </w:tcPr>
          <w:p w14:paraId="77AD61E9">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237E8FF7">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r w14:paraId="33FA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817" w:type="dxa"/>
            <w:tcBorders>
              <w:top w:val="nil"/>
              <w:left w:val="single" w:color="000000" w:sz="8" w:space="0"/>
              <w:bottom w:val="single" w:color="000000" w:sz="8" w:space="0"/>
              <w:right w:val="single" w:color="000000" w:sz="8" w:space="0"/>
            </w:tcBorders>
            <w:shd w:val="clear" w:color="auto" w:fill="auto"/>
            <w:vAlign w:val="center"/>
          </w:tcPr>
          <w:p w14:paraId="5C8B9D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395" w:type="dxa"/>
            <w:tcBorders>
              <w:top w:val="nil"/>
              <w:left w:val="nil"/>
              <w:bottom w:val="single" w:color="000000" w:sz="8" w:space="0"/>
              <w:right w:val="single" w:color="000000" w:sz="8" w:space="0"/>
            </w:tcBorders>
            <w:shd w:val="clear" w:color="auto" w:fill="auto"/>
            <w:vAlign w:val="center"/>
          </w:tcPr>
          <w:p w14:paraId="6F70A6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森林及苗木管护用工</w:t>
            </w:r>
          </w:p>
        </w:tc>
        <w:tc>
          <w:tcPr>
            <w:tcW w:w="1598" w:type="dxa"/>
            <w:tcBorders>
              <w:top w:val="nil"/>
              <w:left w:val="nil"/>
              <w:bottom w:val="single" w:color="000000" w:sz="8" w:space="0"/>
              <w:right w:val="single" w:color="000000" w:sz="8" w:space="0"/>
            </w:tcBorders>
            <w:shd w:val="clear" w:color="auto" w:fill="auto"/>
            <w:vAlign w:val="center"/>
          </w:tcPr>
          <w:p w14:paraId="5D20D982">
            <w:pPr>
              <w:jc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3556A4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工日</w:t>
            </w:r>
          </w:p>
        </w:tc>
        <w:tc>
          <w:tcPr>
            <w:tcW w:w="1365" w:type="dxa"/>
            <w:tcBorders>
              <w:top w:val="nil"/>
              <w:left w:val="nil"/>
              <w:bottom w:val="single" w:color="000000" w:sz="8" w:space="0"/>
              <w:right w:val="single" w:color="000000" w:sz="8" w:space="0"/>
            </w:tcBorders>
            <w:shd w:val="clear" w:color="auto" w:fill="auto"/>
            <w:vAlign w:val="center"/>
          </w:tcPr>
          <w:p w14:paraId="4AAE93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145</w:t>
            </w:r>
          </w:p>
        </w:tc>
        <w:tc>
          <w:tcPr>
            <w:tcW w:w="1365" w:type="dxa"/>
            <w:tcBorders>
              <w:top w:val="nil"/>
              <w:left w:val="nil"/>
              <w:bottom w:val="single" w:color="000000" w:sz="8" w:space="0"/>
              <w:right w:val="single" w:color="000000" w:sz="8" w:space="0"/>
            </w:tcBorders>
            <w:shd w:val="clear" w:color="auto" w:fill="auto"/>
            <w:vAlign w:val="center"/>
          </w:tcPr>
          <w:p w14:paraId="5A5C6840">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c>
          <w:tcPr>
            <w:tcW w:w="1365" w:type="dxa"/>
            <w:tcBorders>
              <w:top w:val="nil"/>
              <w:left w:val="nil"/>
              <w:bottom w:val="single" w:color="000000" w:sz="8" w:space="0"/>
              <w:right w:val="single" w:color="000000" w:sz="8" w:space="0"/>
            </w:tcBorders>
            <w:shd w:val="clear" w:color="auto" w:fill="auto"/>
            <w:vAlign w:val="center"/>
          </w:tcPr>
          <w:p w14:paraId="37BF9DE6">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highlight w:val="none"/>
                <w:u w:val="none"/>
              </w:rPr>
            </w:pPr>
          </w:p>
        </w:tc>
      </w:tr>
    </w:tbl>
    <w:p w14:paraId="5519B785">
      <w:pPr>
        <w:spacing w:line="312" w:lineRule="auto"/>
        <w:ind w:right="617" w:rightChars="257"/>
        <w:jc w:val="left"/>
        <w:rPr>
          <w:rFonts w:hint="eastAsia" w:asciiTheme="minorEastAsia" w:hAnsiTheme="minorEastAsia" w:eastAsiaTheme="minorEastAsia" w:cstheme="minorEastAsia"/>
          <w:sz w:val="24"/>
          <w:highlight w:val="none"/>
        </w:rPr>
      </w:pPr>
    </w:p>
    <w:p w14:paraId="42B824C4">
      <w:pPr>
        <w:keepNext w:val="0"/>
        <w:keepLines w:val="0"/>
        <w:pageBreakBefore w:val="0"/>
        <w:widowControl w:val="0"/>
        <w:kinsoku/>
        <w:wordWrap/>
        <w:overflowPunct/>
        <w:topLinePunct w:val="0"/>
        <w:autoSpaceDE/>
        <w:autoSpaceDN/>
        <w:bidi w:val="0"/>
        <w:adjustRightInd/>
        <w:snapToGrid/>
        <w:spacing w:line="360" w:lineRule="auto"/>
        <w:ind w:right="617" w:rightChars="257"/>
        <w:jc w:val="left"/>
        <w:textAlignment w:val="auto"/>
        <w:rPr>
          <w:rFonts w:hint="default" w:asciiTheme="minorEastAsia" w:hAnsiTheme="minorEastAsia" w:eastAsiaTheme="minorEastAsia" w:cstheme="minorEastAsia"/>
          <w:sz w:val="24"/>
          <w:highlight w:val="none"/>
          <w:lang w:val="en-US" w:eastAsia="zh-CN"/>
        </w:rPr>
      </w:pPr>
    </w:p>
    <w:p w14:paraId="2710A828">
      <w:pPr>
        <w:spacing w:line="312" w:lineRule="auto"/>
        <w:ind w:right="617"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供应商</w:t>
      </w:r>
      <w:r>
        <w:rPr>
          <w:rFonts w:hint="eastAsia" w:asciiTheme="minorEastAsia" w:hAnsiTheme="minorEastAsia" w:eastAsiaTheme="minorEastAsia" w:cstheme="minorEastAsia"/>
          <w:sz w:val="24"/>
          <w:highlight w:val="none"/>
        </w:rPr>
        <w:t>名称：</w:t>
      </w:r>
      <w:r>
        <w:rPr>
          <w:rFonts w:hint="eastAsia" w:asciiTheme="minorEastAsia" w:hAnsiTheme="minorEastAsia" w:eastAsiaTheme="minorEastAsia" w:cstheme="minorEastAsia"/>
          <w:sz w:val="24"/>
          <w:highlight w:val="none"/>
          <w:u w:val="single"/>
        </w:rPr>
        <w:t xml:space="preserve">      （加盖投标人公章）      </w:t>
      </w:r>
    </w:p>
    <w:p w14:paraId="732D3F05">
      <w:pPr>
        <w:spacing w:line="312" w:lineRule="auto"/>
        <w:ind w:right="617"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185D2CEA">
      <w:pPr>
        <w:keepNext w:val="0"/>
        <w:keepLines w:val="0"/>
        <w:pageBreakBefore w:val="0"/>
        <w:widowControl w:val="0"/>
        <w:kinsoku/>
        <w:wordWrap/>
        <w:overflowPunct/>
        <w:topLinePunct w:val="0"/>
        <w:autoSpaceDE/>
        <w:autoSpaceDN/>
        <w:bidi w:val="0"/>
        <w:adjustRightInd/>
        <w:snapToGrid/>
        <w:spacing w:line="360" w:lineRule="auto"/>
        <w:ind w:right="617" w:rightChars="257"/>
        <w:jc w:val="left"/>
        <w:textAlignment w:val="auto"/>
        <w:rPr>
          <w:rFonts w:hint="eastAsia" w:asciiTheme="minorEastAsia" w:hAnsiTheme="minorEastAsia" w:eastAsiaTheme="minorEastAsia" w:cstheme="minorEastAsia"/>
          <w:sz w:val="24"/>
          <w:highlight w:val="none"/>
          <w:lang w:val="en-US" w:eastAsia="zh-CN"/>
        </w:rPr>
      </w:pPr>
    </w:p>
    <w:p w14:paraId="4D704A0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5567167">
      <w:pPr>
        <w:jc w:val="center"/>
        <w:outlineLvl w:val="1"/>
        <w:rPr>
          <w:rFonts w:hint="eastAsia" w:ascii="宋体" w:hAnsi="宋体" w:eastAsia="宋体" w:cs="宋体"/>
          <w:sz w:val="32"/>
          <w:szCs w:val="32"/>
          <w:highlight w:val="none"/>
        </w:rPr>
      </w:pPr>
      <w:bookmarkStart w:id="145" w:name="_Toc10703"/>
      <w:r>
        <w:rPr>
          <w:rFonts w:hint="eastAsia" w:ascii="宋体" w:hAnsi="宋体" w:eastAsia="宋体" w:cs="宋体"/>
          <w:b/>
          <w:bCs/>
          <w:sz w:val="32"/>
          <w:szCs w:val="32"/>
          <w:highlight w:val="none"/>
        </w:rPr>
        <w:t>三、磋商方案说明书</w:t>
      </w:r>
      <w:bookmarkEnd w:id="140"/>
      <w:bookmarkEnd w:id="141"/>
      <w:bookmarkEnd w:id="142"/>
      <w:bookmarkEnd w:id="144"/>
      <w:bookmarkEnd w:id="145"/>
    </w:p>
    <w:p w14:paraId="5F50A260">
      <w:pPr>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项目名称：</w:t>
      </w:r>
    </w:p>
    <w:p w14:paraId="61013F8C">
      <w:pPr>
        <w:tabs>
          <w:tab w:val="left" w:pos="1800"/>
        </w:tabs>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项目编号：</w:t>
      </w:r>
    </w:p>
    <w:p w14:paraId="3A2AF88C">
      <w:pPr>
        <w:spacing w:line="480" w:lineRule="auto"/>
        <w:ind w:firstLine="480" w:firstLineChars="200"/>
        <w:rPr>
          <w:rFonts w:hint="eastAsia" w:ascii="宋体" w:hAnsi="宋体" w:eastAsia="宋体" w:cs="宋体"/>
          <w:b/>
          <w:bCs/>
          <w:szCs w:val="24"/>
          <w:highlight w:val="none"/>
          <w:lang w:eastAsia="zh-CN"/>
        </w:rPr>
      </w:pPr>
      <w:r>
        <w:rPr>
          <w:rFonts w:hint="eastAsia" w:ascii="宋体" w:hAnsi="宋体" w:eastAsia="宋体" w:cs="宋体"/>
          <w:szCs w:val="24"/>
          <w:highlight w:val="none"/>
        </w:rPr>
        <w:t>按照磋商文件的要求编制的技术响应说明书</w:t>
      </w:r>
      <w:r>
        <w:rPr>
          <w:rFonts w:hint="eastAsia" w:ascii="宋体" w:hAnsi="宋体" w:eastAsia="宋体" w:cs="宋体"/>
          <w:b/>
          <w:bCs/>
          <w:szCs w:val="24"/>
          <w:highlight w:val="none"/>
          <w:lang w:eastAsia="zh-CN"/>
        </w:rPr>
        <w:t>（可参照第三章评审办法进行响应）</w:t>
      </w:r>
      <w:r>
        <w:rPr>
          <w:rFonts w:hint="eastAsia" w:hAnsi="宋体" w:cs="宋体"/>
          <w:b/>
          <w:bCs/>
          <w:szCs w:val="24"/>
          <w:highlight w:val="none"/>
          <w:lang w:eastAsia="zh-CN"/>
        </w:rPr>
        <w:t>。</w:t>
      </w:r>
    </w:p>
    <w:p w14:paraId="34C568A5">
      <w:pPr>
        <w:pStyle w:val="8"/>
        <w:rPr>
          <w:rFonts w:hint="eastAsia" w:ascii="宋体" w:hAnsi="宋体" w:eastAsia="宋体" w:cs="宋体"/>
          <w:highlight w:val="none"/>
        </w:rPr>
      </w:pPr>
    </w:p>
    <w:p w14:paraId="0A1FFCAB">
      <w:pPr>
        <w:pStyle w:val="8"/>
        <w:rPr>
          <w:rFonts w:hint="eastAsia" w:ascii="宋体" w:hAnsi="宋体" w:eastAsia="宋体" w:cs="宋体"/>
          <w:highlight w:val="none"/>
        </w:rPr>
      </w:pPr>
    </w:p>
    <w:p w14:paraId="144D4550">
      <w:pPr>
        <w:rPr>
          <w:rFonts w:hint="eastAsia" w:ascii="宋体" w:hAnsi="宋体" w:eastAsia="宋体" w:cs="宋体"/>
          <w:highlight w:val="none"/>
        </w:rPr>
      </w:pPr>
    </w:p>
    <w:p w14:paraId="4478CC01">
      <w:pPr>
        <w:pStyle w:val="8"/>
        <w:rPr>
          <w:rFonts w:hint="eastAsia" w:ascii="宋体" w:hAnsi="宋体" w:eastAsia="宋体" w:cs="宋体"/>
          <w:highlight w:val="none"/>
        </w:rPr>
      </w:pPr>
    </w:p>
    <w:p w14:paraId="379221CA">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法定代表人/被授权人签字</w:t>
      </w:r>
      <w:r>
        <w:rPr>
          <w:rFonts w:hint="eastAsia" w:hAnsi="宋体" w:cs="宋体"/>
          <w:szCs w:val="24"/>
          <w:highlight w:val="none"/>
          <w:lang w:val="en-US" w:eastAsia="zh-CN"/>
        </w:rPr>
        <w:t>或盖章</w:t>
      </w:r>
      <w:r>
        <w:rPr>
          <w:rFonts w:hint="eastAsia" w:ascii="宋体" w:hAnsi="宋体" w:eastAsia="宋体" w:cs="宋体"/>
          <w:szCs w:val="24"/>
          <w:highlight w:val="none"/>
        </w:rPr>
        <w:t>：</w:t>
      </w:r>
    </w:p>
    <w:p w14:paraId="40904B1E">
      <w:pPr>
        <w:spacing w:line="480" w:lineRule="auto"/>
        <w:ind w:left="3725" w:leftChars="1552"/>
        <w:rPr>
          <w:rFonts w:hint="eastAsia" w:ascii="宋体" w:hAnsi="宋体" w:eastAsia="宋体" w:cs="宋体"/>
          <w:szCs w:val="24"/>
          <w:highlight w:val="none"/>
        </w:rPr>
      </w:pPr>
    </w:p>
    <w:p w14:paraId="01C94214">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公      章：</w:t>
      </w:r>
    </w:p>
    <w:p w14:paraId="3782C6B4">
      <w:pPr>
        <w:spacing w:line="480" w:lineRule="auto"/>
        <w:ind w:left="3725" w:leftChars="1552" w:firstLine="5668" w:firstLineChars="2362"/>
        <w:rPr>
          <w:rFonts w:hint="eastAsia" w:ascii="宋体" w:hAnsi="宋体" w:eastAsia="宋体" w:cs="宋体"/>
          <w:szCs w:val="24"/>
          <w:highlight w:val="none"/>
        </w:rPr>
      </w:pPr>
    </w:p>
    <w:p w14:paraId="1CDAC108">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日      期：</w:t>
      </w:r>
    </w:p>
    <w:p w14:paraId="13D8DC08">
      <w:pPr>
        <w:spacing w:after="120" w:line="480" w:lineRule="auto"/>
        <w:rPr>
          <w:rFonts w:hint="eastAsia" w:ascii="宋体" w:hAnsi="宋体" w:eastAsia="宋体" w:cs="宋体"/>
          <w:b/>
          <w:szCs w:val="24"/>
          <w:highlight w:val="none"/>
        </w:rPr>
      </w:pPr>
    </w:p>
    <w:p w14:paraId="7E57BB64">
      <w:pPr>
        <w:spacing w:after="120"/>
        <w:rPr>
          <w:rFonts w:hint="eastAsia" w:ascii="宋体" w:hAnsi="宋体" w:eastAsia="宋体" w:cs="宋体"/>
          <w:b/>
          <w:szCs w:val="24"/>
          <w:highlight w:val="none"/>
        </w:rPr>
      </w:pPr>
    </w:p>
    <w:p w14:paraId="26183688">
      <w:pPr>
        <w:spacing w:after="120"/>
        <w:rPr>
          <w:rFonts w:hint="eastAsia" w:ascii="宋体" w:hAnsi="宋体" w:eastAsia="宋体" w:cs="宋体"/>
          <w:b/>
          <w:szCs w:val="24"/>
          <w:highlight w:val="none"/>
        </w:rPr>
      </w:pPr>
    </w:p>
    <w:p w14:paraId="69C241C6">
      <w:pPr>
        <w:spacing w:after="120"/>
        <w:rPr>
          <w:rFonts w:hint="eastAsia" w:ascii="宋体" w:hAnsi="宋体" w:eastAsia="宋体" w:cs="宋体"/>
          <w:b/>
          <w:szCs w:val="24"/>
          <w:highlight w:val="none"/>
        </w:rPr>
      </w:pPr>
    </w:p>
    <w:p w14:paraId="57455D58">
      <w:pPr>
        <w:rPr>
          <w:rFonts w:hint="eastAsia" w:ascii="宋体" w:hAnsi="宋体" w:eastAsia="宋体" w:cs="宋体"/>
          <w:b/>
          <w:szCs w:val="24"/>
          <w:highlight w:val="none"/>
        </w:rPr>
      </w:pPr>
      <w:r>
        <w:rPr>
          <w:rFonts w:hint="eastAsia" w:ascii="宋体" w:hAnsi="宋体" w:eastAsia="宋体" w:cs="宋体"/>
          <w:b/>
          <w:szCs w:val="24"/>
          <w:highlight w:val="none"/>
        </w:rPr>
        <w:br w:type="page"/>
      </w:r>
      <w:bookmarkStart w:id="146" w:name="_Toc9218"/>
      <w:bookmarkStart w:id="147" w:name="_Toc23455"/>
      <w:bookmarkStart w:id="148" w:name="_Toc1379"/>
      <w:bookmarkStart w:id="149" w:name="_Toc21284"/>
      <w:bookmarkStart w:id="150" w:name="_Toc2621"/>
      <w:bookmarkStart w:id="151" w:name="_Toc5662"/>
      <w:bookmarkStart w:id="152" w:name="_Toc15265"/>
      <w:bookmarkStart w:id="153" w:name="_Toc8845"/>
    </w:p>
    <w:p w14:paraId="03C66C67">
      <w:pPr>
        <w:ind w:firstLine="161" w:firstLineChars="50"/>
        <w:jc w:val="center"/>
        <w:outlineLvl w:val="1"/>
        <w:rPr>
          <w:rFonts w:hint="eastAsia" w:ascii="宋体" w:hAnsi="宋体" w:eastAsia="宋体" w:cs="宋体"/>
          <w:sz w:val="32"/>
          <w:szCs w:val="32"/>
          <w:highlight w:val="none"/>
        </w:rPr>
      </w:pPr>
      <w:bookmarkStart w:id="154" w:name="_Toc25290"/>
      <w:bookmarkStart w:id="155" w:name="_Toc10135"/>
      <w:r>
        <w:rPr>
          <w:rFonts w:hint="eastAsia" w:ascii="宋体" w:hAnsi="宋体" w:eastAsia="宋体" w:cs="宋体"/>
          <w:b/>
          <w:bCs/>
          <w:sz w:val="32"/>
          <w:szCs w:val="32"/>
          <w:highlight w:val="none"/>
        </w:rPr>
        <w:t>四、</w:t>
      </w:r>
      <w:bookmarkEnd w:id="146"/>
      <w:bookmarkEnd w:id="147"/>
      <w:bookmarkEnd w:id="148"/>
      <w:bookmarkEnd w:id="149"/>
      <w:bookmarkEnd w:id="150"/>
      <w:r>
        <w:rPr>
          <w:rFonts w:hint="eastAsia" w:ascii="宋体" w:hAnsi="宋体" w:eastAsia="宋体" w:cs="宋体"/>
          <w:b/>
          <w:bCs/>
          <w:sz w:val="32"/>
          <w:szCs w:val="32"/>
          <w:highlight w:val="none"/>
        </w:rPr>
        <w:t>商务条款偏离表</w:t>
      </w:r>
      <w:bookmarkEnd w:id="151"/>
      <w:bookmarkEnd w:id="152"/>
      <w:bookmarkEnd w:id="153"/>
      <w:bookmarkEnd w:id="154"/>
      <w:bookmarkEnd w:id="155"/>
    </w:p>
    <w:p w14:paraId="1BA2D1E1">
      <w:pPr>
        <w:pStyle w:val="18"/>
        <w:widowControl w:val="0"/>
        <w:spacing w:before="0" w:beforeAutospacing="0" w:after="0" w:afterAutospacing="0"/>
        <w:jc w:val="both"/>
        <w:rPr>
          <w:rFonts w:hint="eastAsia" w:ascii="宋体" w:hAnsi="宋体" w:eastAsia="宋体" w:cs="宋体"/>
          <w:highlight w:val="none"/>
        </w:rPr>
      </w:pPr>
    </w:p>
    <w:p w14:paraId="5F3CCD50">
      <w:pPr>
        <w:pStyle w:val="18"/>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项目编号：</w:t>
      </w:r>
    </w:p>
    <w:p w14:paraId="4A095C31">
      <w:pPr>
        <w:pStyle w:val="18"/>
        <w:widowControl w:val="0"/>
        <w:spacing w:beforeLines="50" w:beforeAutospacing="0" w:afterLines="50" w:afterAutospacing="0"/>
        <w:rPr>
          <w:rFonts w:hint="eastAsia" w:ascii="宋体" w:hAnsi="宋体" w:eastAsia="宋体" w:cs="宋体"/>
          <w:highlight w:val="none"/>
          <w:u w:val="single"/>
        </w:rPr>
      </w:pPr>
      <w:r>
        <w:rPr>
          <w:rFonts w:hint="eastAsia" w:ascii="宋体" w:hAnsi="宋体" w:eastAsia="宋体" w:cs="宋体"/>
          <w:highlight w:val="none"/>
        </w:rPr>
        <w:t>项目名称：</w:t>
      </w:r>
    </w:p>
    <w:p w14:paraId="5946ED53">
      <w:pPr>
        <w:pStyle w:val="18"/>
        <w:widowControl w:val="0"/>
        <w:spacing w:before="0" w:beforeAutospacing="0" w:after="0" w:afterAutospacing="0"/>
        <w:ind w:firstLine="480" w:firstLineChars="200"/>
        <w:jc w:val="center"/>
        <w:rPr>
          <w:rFonts w:hint="eastAsia" w:ascii="宋体" w:hAnsi="宋体" w:eastAsia="宋体" w:cs="宋体"/>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1417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D82603B">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AE50A70">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83DC05D">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1089083">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30D7144">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说明</w:t>
            </w:r>
          </w:p>
        </w:tc>
      </w:tr>
      <w:tr w14:paraId="50D9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EDBCAD0">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45CB9C4E">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DC1A65C">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C17103A">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96CDE3D">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4F12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81EF643">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3733084">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FF576B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F8F0802">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3BE9ED9">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2661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184BE1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B123D8D">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39AF4A53">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FAC87BF">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4981A75">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14BE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2E647D2F">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499DCAD">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4FFC55C">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54FF42A">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59DF299">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17A7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AA2C224">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F152AD0">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F420878">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998A832">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CA74CE1">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64EA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251E5C7E">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1BA84CCD">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548FF7B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A365EE7">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BD52F39">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5564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BA32DB1">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6E8122EA">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D7AEB1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4FE34972">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4BEE4B0">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bl>
    <w:p w14:paraId="10B6CF26">
      <w:pPr>
        <w:pStyle w:val="18"/>
        <w:widowControl w:val="0"/>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说明：</w:t>
      </w:r>
    </w:p>
    <w:p w14:paraId="4997DC86">
      <w:pPr>
        <w:pStyle w:val="18"/>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1.参照第</w:t>
      </w:r>
      <w:r>
        <w:rPr>
          <w:rFonts w:hint="eastAsia" w:cs="宋体"/>
          <w:highlight w:val="none"/>
          <w:lang w:val="en-US" w:eastAsia="zh-CN"/>
        </w:rPr>
        <w:t>四</w:t>
      </w:r>
      <w:r>
        <w:rPr>
          <w:rFonts w:hint="eastAsia" w:ascii="宋体" w:hAnsi="宋体" w:eastAsia="宋体" w:cs="宋体"/>
          <w:highlight w:val="none"/>
        </w:rPr>
        <w:t>章合同条款要求内容进行响应。</w:t>
      </w:r>
    </w:p>
    <w:p w14:paraId="54492A8D">
      <w:pPr>
        <w:pStyle w:val="18"/>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2.本表只填写磋商响应文件中与磋商文件有偏离（包括正偏离和负偏离）的内容，磋商响应文件中商务响应与磋商文件要求完全一致的，不用在此表中列出，但必须提交空白表。</w:t>
      </w:r>
    </w:p>
    <w:p w14:paraId="0C0E8227">
      <w:pPr>
        <w:pStyle w:val="18"/>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2.供应商必须据实填写，不得虚假响应，否则将取消其磋商或成交资格，并按有关规定进处罚。</w:t>
      </w:r>
    </w:p>
    <w:p w14:paraId="23B99D05">
      <w:pPr>
        <w:pStyle w:val="18"/>
        <w:widowControl w:val="0"/>
        <w:spacing w:before="0" w:beforeAutospacing="0" w:after="0" w:afterAutospacing="0"/>
        <w:ind w:firstLine="480" w:firstLineChars="200"/>
        <w:jc w:val="center"/>
        <w:rPr>
          <w:rFonts w:hint="eastAsia" w:ascii="宋体" w:hAnsi="宋体" w:eastAsia="宋体" w:cs="宋体"/>
          <w:highlight w:val="none"/>
        </w:rPr>
      </w:pPr>
    </w:p>
    <w:p w14:paraId="07DC9B4E">
      <w:pPr>
        <w:pStyle w:val="18"/>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 xml:space="preserve">供应商名称：                       </w:t>
      </w:r>
      <w:r>
        <w:rPr>
          <w:rFonts w:hint="eastAsia" w:cs="宋体"/>
          <w:highlight w:val="none"/>
          <w:lang w:val="en-US" w:eastAsia="zh-CN"/>
        </w:rPr>
        <w:t xml:space="preserve"> </w:t>
      </w:r>
      <w:r>
        <w:rPr>
          <w:rFonts w:hint="eastAsia" w:ascii="宋体" w:hAnsi="宋体" w:eastAsia="宋体" w:cs="宋体"/>
          <w:highlight w:val="none"/>
        </w:rPr>
        <w:t>（单位公章）</w:t>
      </w:r>
    </w:p>
    <w:p w14:paraId="0CFC414A">
      <w:pPr>
        <w:pStyle w:val="18"/>
        <w:widowControl w:val="0"/>
        <w:spacing w:before="0" w:beforeAutospacing="0" w:after="0" w:afterAutospacing="0"/>
        <w:ind w:firstLine="480" w:firstLineChars="200"/>
        <w:jc w:val="center"/>
        <w:rPr>
          <w:rFonts w:hint="eastAsia" w:ascii="宋体" w:hAnsi="宋体" w:eastAsia="宋体" w:cs="宋体"/>
          <w:highlight w:val="none"/>
        </w:rPr>
      </w:pPr>
    </w:p>
    <w:p w14:paraId="1FA99B4F">
      <w:pPr>
        <w:spacing w:line="4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法定代表人或委托代理人：              （签字</w:t>
      </w:r>
      <w:r>
        <w:rPr>
          <w:rFonts w:hint="eastAsia" w:hAnsi="宋体" w:cs="宋体"/>
          <w:highlight w:val="none"/>
          <w:lang w:val="en-US" w:eastAsia="zh-CN"/>
        </w:rPr>
        <w:t>或盖章</w:t>
      </w:r>
      <w:r>
        <w:rPr>
          <w:rFonts w:hint="eastAsia" w:ascii="宋体" w:hAnsi="宋体" w:eastAsia="宋体" w:cs="宋体"/>
          <w:highlight w:val="none"/>
        </w:rPr>
        <w:t xml:space="preserve">） </w:t>
      </w:r>
    </w:p>
    <w:p w14:paraId="131B00B3">
      <w:pPr>
        <w:spacing w:line="360" w:lineRule="auto"/>
        <w:ind w:left="600" w:leftChars="250"/>
        <w:rPr>
          <w:rFonts w:hint="eastAsia" w:ascii="宋体" w:hAnsi="宋体" w:eastAsia="宋体" w:cs="宋体"/>
          <w:b/>
          <w:bCs/>
          <w:sz w:val="28"/>
          <w:szCs w:val="28"/>
          <w:highlight w:val="none"/>
        </w:rPr>
      </w:pPr>
    </w:p>
    <w:p w14:paraId="48974BDA">
      <w:pPr>
        <w:spacing w:line="440" w:lineRule="exact"/>
        <w:ind w:left="3725" w:leftChars="1552"/>
        <w:rPr>
          <w:rFonts w:hint="eastAsia" w:ascii="宋体" w:hAnsi="宋体" w:eastAsia="宋体" w:cs="宋体"/>
          <w:szCs w:val="24"/>
          <w:highlight w:val="none"/>
        </w:rPr>
      </w:pPr>
    </w:p>
    <w:p w14:paraId="20692510">
      <w:pPr>
        <w:spacing w:line="440" w:lineRule="exact"/>
        <w:ind w:left="3725" w:leftChars="1552"/>
        <w:rPr>
          <w:rFonts w:hint="eastAsia" w:ascii="宋体" w:hAnsi="宋体" w:eastAsia="宋体" w:cs="宋体"/>
          <w:szCs w:val="24"/>
          <w:highlight w:val="none"/>
        </w:rPr>
      </w:pPr>
    </w:p>
    <w:p w14:paraId="1A931A0B">
      <w:pPr>
        <w:spacing w:line="440" w:lineRule="exact"/>
        <w:ind w:left="3725" w:leftChars="1552"/>
        <w:rPr>
          <w:rFonts w:hint="eastAsia" w:ascii="宋体" w:hAnsi="宋体" w:eastAsia="宋体" w:cs="宋体"/>
          <w:szCs w:val="24"/>
          <w:highlight w:val="none"/>
        </w:rPr>
      </w:pPr>
    </w:p>
    <w:bookmarkEnd w:id="143"/>
    <w:p w14:paraId="278B1E83">
      <w:pPr>
        <w:spacing w:line="360" w:lineRule="auto"/>
        <w:jc w:val="center"/>
        <w:outlineLvl w:val="1"/>
        <w:rPr>
          <w:rFonts w:hint="eastAsia" w:ascii="宋体" w:hAnsi="宋体" w:eastAsia="宋体" w:cs="宋体"/>
          <w:b/>
          <w:bCs/>
          <w:sz w:val="30"/>
          <w:szCs w:val="30"/>
          <w:highlight w:val="none"/>
        </w:rPr>
      </w:pPr>
      <w:bookmarkStart w:id="156" w:name="_Toc403077656"/>
      <w:bookmarkStart w:id="157" w:name="_Toc363474033"/>
      <w:r>
        <w:rPr>
          <w:rFonts w:hint="eastAsia" w:ascii="宋体" w:hAnsi="宋体" w:eastAsia="宋体" w:cs="宋体"/>
          <w:b/>
          <w:bCs/>
          <w:sz w:val="30"/>
          <w:szCs w:val="30"/>
          <w:highlight w:val="none"/>
        </w:rPr>
        <w:br w:type="page"/>
      </w:r>
      <w:bookmarkStart w:id="158" w:name="_Toc27470"/>
      <w:bookmarkStart w:id="159" w:name="_Toc3386"/>
      <w:bookmarkStart w:id="160" w:name="_Toc2451"/>
      <w:bookmarkStart w:id="161" w:name="_Toc1542"/>
      <w:bookmarkStart w:id="162" w:name="_Toc6369"/>
      <w:r>
        <w:rPr>
          <w:rFonts w:hint="eastAsia" w:ascii="宋体" w:hAnsi="宋体" w:eastAsia="宋体" w:cs="宋体"/>
          <w:b/>
          <w:bCs/>
          <w:sz w:val="30"/>
          <w:szCs w:val="30"/>
          <w:highlight w:val="none"/>
        </w:rPr>
        <w:t>五、陕西省政府采购供应商拒绝政府采购领域商业贿赂承诺书</w:t>
      </w:r>
      <w:bookmarkEnd w:id="156"/>
      <w:bookmarkEnd w:id="157"/>
      <w:bookmarkEnd w:id="158"/>
      <w:bookmarkEnd w:id="159"/>
      <w:bookmarkEnd w:id="160"/>
      <w:bookmarkEnd w:id="161"/>
      <w:bookmarkEnd w:id="162"/>
    </w:p>
    <w:p w14:paraId="530E0B45">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为响应党中央、国务院关于治理政府采购领域商业贿赂行为的号召，我公司在此庄严承诺：</w:t>
      </w:r>
    </w:p>
    <w:p w14:paraId="633A2B7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1、在参与政府采购活动中遵纪守法、诚信经营、公平竞标。</w:t>
      </w:r>
    </w:p>
    <w:p w14:paraId="6AFBA00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2、不向政府采购人、采购代理机构和政府采购评审专家进行任何形式的商业贿赂以谋取交易机会。</w:t>
      </w:r>
    </w:p>
    <w:p w14:paraId="18260871">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3、不向政府采购代理机构和采购人提供虚假资质文件或采用虚假应标方式参与政府采购市场竞争并谋取中标、成交。</w:t>
      </w:r>
    </w:p>
    <w:p w14:paraId="7AE45EB9">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4、不采取“围标、陪标”等商业欺诈手段获得政府采购定单。</w:t>
      </w:r>
    </w:p>
    <w:p w14:paraId="449691D7">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5、不采取不正当手段诋毁、排挤其他供应商。</w:t>
      </w:r>
    </w:p>
    <w:p w14:paraId="4B7043CE">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6、不在提供商品和服务时“偷梁换柱、以次充好”损害采购人的合法权益。</w:t>
      </w:r>
    </w:p>
    <w:p w14:paraId="7B7D484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7、不与采购人、采购代理机构政府采购评审专家或其它供应商恶意串通，进行质疑和投诉，维护政府采购市场秩序。</w:t>
      </w:r>
    </w:p>
    <w:p w14:paraId="6408BD3E">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8、尊重和接受政府采购监督管理部门的监督和政府采购代理机构招标采购要求，承担因违约行为给采购人造成的损失。</w:t>
      </w:r>
    </w:p>
    <w:p w14:paraId="5CFF61FE">
      <w:pPr>
        <w:spacing w:line="600" w:lineRule="exact"/>
        <w:ind w:left="761" w:leftChars="267" w:hanging="120" w:hangingChars="50"/>
        <w:jc w:val="left"/>
        <w:rPr>
          <w:rFonts w:hint="eastAsia" w:ascii="宋体" w:hAnsi="宋体" w:eastAsia="宋体" w:cs="宋体"/>
          <w:szCs w:val="24"/>
          <w:highlight w:val="none"/>
        </w:rPr>
      </w:pPr>
      <w:r>
        <w:rPr>
          <w:rFonts w:hint="eastAsia" w:ascii="宋体" w:hAnsi="宋体" w:eastAsia="宋体" w:cs="宋体"/>
          <w:szCs w:val="24"/>
          <w:highlight w:val="none"/>
        </w:rPr>
        <w:t>9、不发生其他有悖于政府采购公开、公平、公正和诚信原则的行为。</w:t>
      </w:r>
    </w:p>
    <w:p w14:paraId="755DD286">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承诺单位（盖章）：</w:t>
      </w:r>
    </w:p>
    <w:p w14:paraId="71BB3E25">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全权代表（签字）：</w:t>
      </w:r>
    </w:p>
    <w:p w14:paraId="7002FD79">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地    址：                                                       </w:t>
      </w:r>
    </w:p>
    <w:p w14:paraId="1D84F30A">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邮    编：                                                       </w:t>
      </w:r>
    </w:p>
    <w:p w14:paraId="4049A8D0">
      <w:pPr>
        <w:spacing w:line="600" w:lineRule="exact"/>
        <w:ind w:left="240" w:leftChars="1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电    话：                                                       </w:t>
      </w:r>
    </w:p>
    <w:p w14:paraId="33CC017B">
      <w:pPr>
        <w:spacing w:line="600" w:lineRule="exact"/>
        <w:ind w:left="754" w:leftChars="314" w:firstLine="5280" w:firstLineChars="2200"/>
        <w:jc w:val="left"/>
        <w:rPr>
          <w:rFonts w:hint="eastAsia" w:ascii="宋体" w:hAnsi="宋体" w:eastAsia="宋体" w:cs="宋体"/>
          <w:szCs w:val="24"/>
          <w:highlight w:val="none"/>
        </w:rPr>
      </w:pPr>
      <w:r>
        <w:rPr>
          <w:rFonts w:hint="eastAsia" w:ascii="宋体" w:hAnsi="宋体" w:eastAsia="宋体" w:cs="宋体"/>
          <w:szCs w:val="24"/>
          <w:highlight w:val="none"/>
        </w:rPr>
        <w:t>年    月    日</w:t>
      </w:r>
    </w:p>
    <w:p w14:paraId="35FDA4BF">
      <w:pPr>
        <w:jc w:val="center"/>
        <w:outlineLvl w:val="1"/>
        <w:rPr>
          <w:rFonts w:hint="eastAsia" w:ascii="宋体" w:hAnsi="宋体" w:eastAsia="宋体" w:cs="宋体"/>
          <w:highlight w:val="none"/>
          <w:shd w:val="clear" w:color="auto" w:fill="FFFFFF"/>
        </w:rPr>
      </w:pPr>
      <w:bookmarkStart w:id="163" w:name="_Toc363474034"/>
      <w:bookmarkStart w:id="164" w:name="_Toc403077657"/>
      <w:r>
        <w:rPr>
          <w:rFonts w:hint="eastAsia" w:ascii="宋体" w:hAnsi="宋体" w:eastAsia="宋体" w:cs="宋体"/>
          <w:b/>
          <w:bCs/>
          <w:sz w:val="30"/>
          <w:szCs w:val="30"/>
          <w:highlight w:val="none"/>
        </w:rPr>
        <w:br w:type="page"/>
      </w:r>
      <w:bookmarkStart w:id="165" w:name="_Toc12852"/>
      <w:bookmarkStart w:id="166" w:name="_Toc7842"/>
      <w:bookmarkStart w:id="167" w:name="_Toc18776"/>
      <w:bookmarkStart w:id="168" w:name="_Toc29285"/>
      <w:bookmarkStart w:id="169" w:name="_Toc32016"/>
      <w:r>
        <w:rPr>
          <w:rFonts w:hint="eastAsia" w:ascii="宋体" w:hAnsi="宋体" w:eastAsia="宋体" w:cs="宋体"/>
          <w:b/>
          <w:bCs/>
          <w:sz w:val="30"/>
          <w:szCs w:val="30"/>
          <w:highlight w:val="none"/>
        </w:rPr>
        <w:t>六、特定资格证明文件</w:t>
      </w:r>
      <w:bookmarkEnd w:id="163"/>
      <w:bookmarkEnd w:id="164"/>
      <w:bookmarkEnd w:id="165"/>
      <w:bookmarkEnd w:id="166"/>
      <w:bookmarkEnd w:id="167"/>
      <w:bookmarkEnd w:id="168"/>
      <w:bookmarkEnd w:id="169"/>
    </w:p>
    <w:p w14:paraId="5BB499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1、提供合格有效的法人或者其他组织的营业执照等证明文件，自然人的身份证明；</w:t>
      </w:r>
    </w:p>
    <w:p w14:paraId="61C7BE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2、提供法定代表人授权书（附法定代表人、被授权人身份证复印件）及被授权人身份证原件（法定代表人直接参加磋商，须提供法定代表人身份证明及身份证原件）；</w:t>
      </w:r>
    </w:p>
    <w:p w14:paraId="7EE240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69A534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4、税收缴纳证明：提供磋商截止日前一年内已缴纳的至少一个月的纳税证明或完税证明（任意税种），依法免税的单位应提供相关证明材料；</w:t>
      </w:r>
    </w:p>
    <w:p w14:paraId="1ACD85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6DEB8A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6、提供具有履行本合同所必需的设备和专业技术能力的说明及承诺书；</w:t>
      </w:r>
    </w:p>
    <w:p w14:paraId="7447C5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7、供应商应通过“信用中国”网站(www.creditchina.gov.cn)、中国政府采购网(www.ccgp.gov.cn)查询相关主体信用记录；</w:t>
      </w:r>
    </w:p>
    <w:p w14:paraId="28D252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8、参加政府采购活动前3年内，在经营活动中没有重大违法记录的书面声明；</w:t>
      </w:r>
    </w:p>
    <w:p w14:paraId="75B54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lang w:eastAsia="zh-CN"/>
        </w:rPr>
      </w:pPr>
      <w:r>
        <w:rPr>
          <w:rFonts w:hint="eastAsia" w:hAnsi="宋体" w:cs="宋体"/>
          <w:highlight w:val="none"/>
          <w:lang w:eastAsia="zh-CN"/>
        </w:rPr>
        <w:t>9、供应商须提供中小企业声明函；</w:t>
      </w:r>
    </w:p>
    <w:p w14:paraId="5DBF92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hAnsi="宋体" w:cs="宋体"/>
          <w:highlight w:val="none"/>
          <w:lang w:eastAsia="zh-CN"/>
        </w:rPr>
        <w:t>10、本项目不接受联合体磋商。</w:t>
      </w:r>
    </w:p>
    <w:p w14:paraId="3326BE82">
      <w:pPr>
        <w:spacing w:line="560" w:lineRule="exact"/>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后附相关格式：</w:t>
      </w:r>
    </w:p>
    <w:p w14:paraId="353B6471">
      <w:pPr>
        <w:spacing w:line="360" w:lineRule="auto"/>
        <w:rPr>
          <w:rFonts w:hint="eastAsia" w:hAnsi="宋体" w:cs="宋体"/>
          <w:szCs w:val="24"/>
          <w:highlight w:val="none"/>
          <w:lang w:val="en-US" w:eastAsia="zh-CN"/>
        </w:rPr>
      </w:pPr>
      <w:r>
        <w:rPr>
          <w:rFonts w:hint="eastAsia" w:hAnsi="宋体" w:cs="宋体"/>
          <w:szCs w:val="24"/>
          <w:highlight w:val="none"/>
          <w:lang w:val="en-US" w:eastAsia="zh-CN"/>
        </w:rPr>
        <w:br w:type="page"/>
      </w:r>
    </w:p>
    <w:p w14:paraId="1671565A">
      <w:pPr>
        <w:spacing w:line="500" w:lineRule="exact"/>
        <w:jc w:val="center"/>
        <w:outlineLvl w:val="1"/>
        <w:rPr>
          <w:rFonts w:hint="eastAsia" w:ascii="宋体" w:hAnsi="宋体" w:eastAsia="宋体" w:cs="宋体"/>
          <w:b/>
          <w:bCs/>
          <w:sz w:val="30"/>
          <w:szCs w:val="30"/>
          <w:highlight w:val="none"/>
        </w:rPr>
      </w:pPr>
      <w:bookmarkStart w:id="170" w:name="_Toc22371"/>
      <w:bookmarkStart w:id="171" w:name="_Toc19114"/>
      <w:bookmarkStart w:id="172" w:name="_Toc25292"/>
      <w:bookmarkStart w:id="173" w:name="_Toc6853"/>
      <w:bookmarkStart w:id="174" w:name="_Toc12717"/>
      <w:r>
        <w:rPr>
          <w:rStyle w:val="27"/>
          <w:rFonts w:hint="eastAsia" w:ascii="宋体" w:eastAsia="宋体" w:cs="宋体"/>
          <w:sz w:val="36"/>
          <w:szCs w:val="21"/>
          <w:highlight w:val="none"/>
          <w:lang w:val="en-US" w:eastAsia="zh-CN" w:bidi="ar-SA"/>
        </w:rPr>
        <w:t>七、其它</w:t>
      </w:r>
      <w:bookmarkEnd w:id="170"/>
      <w:bookmarkEnd w:id="171"/>
      <w:bookmarkEnd w:id="172"/>
      <w:bookmarkEnd w:id="173"/>
      <w:bookmarkEnd w:id="174"/>
    </w:p>
    <w:p w14:paraId="289D6AFD">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1、依据竞争性磋商文件要求，供应商认为有必要说明的其他内容</w:t>
      </w:r>
    </w:p>
    <w:p w14:paraId="0EC5E51D">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p>
    <w:p w14:paraId="49C610EB">
      <w:pPr>
        <w:spacing w:beforeLines="50" w:afterLines="50" w:line="500" w:lineRule="exact"/>
        <w:outlineLvl w:val="2"/>
        <w:rPr>
          <w:rFonts w:hint="eastAsia" w:ascii="宋体" w:hAnsi="宋体" w:eastAsia="宋体" w:cs="宋体"/>
          <w:b/>
          <w:sz w:val="28"/>
          <w:szCs w:val="28"/>
          <w:highlight w:val="none"/>
        </w:rPr>
      </w:pPr>
      <w:r>
        <w:rPr>
          <w:rFonts w:hint="eastAsia" w:ascii="宋体" w:hAnsi="宋体" w:eastAsia="宋体" w:cs="宋体"/>
          <w:szCs w:val="24"/>
          <w:highlight w:val="none"/>
        </w:rPr>
        <w:br w:type="page"/>
      </w:r>
      <w:bookmarkStart w:id="175" w:name="_Toc11863"/>
      <w:bookmarkStart w:id="176" w:name="_Toc26767"/>
      <w:bookmarkStart w:id="177" w:name="_Toc17513"/>
      <w:bookmarkStart w:id="178" w:name="_Toc6055"/>
      <w:r>
        <w:rPr>
          <w:rFonts w:hint="eastAsia" w:ascii="宋体" w:hAnsi="宋体" w:eastAsia="宋体" w:cs="宋体"/>
          <w:b/>
          <w:sz w:val="28"/>
          <w:szCs w:val="28"/>
          <w:highlight w:val="none"/>
        </w:rPr>
        <w:t>附件1：法定代表人身份证明/法定代表人授权书</w:t>
      </w:r>
      <w:bookmarkEnd w:id="175"/>
      <w:bookmarkEnd w:id="176"/>
      <w:bookmarkEnd w:id="177"/>
      <w:bookmarkEnd w:id="178"/>
    </w:p>
    <w:p w14:paraId="26CC9943">
      <w:pPr>
        <w:rPr>
          <w:rFonts w:hint="eastAsia" w:ascii="宋体" w:hAnsi="宋体" w:eastAsia="宋体" w:cs="宋体"/>
          <w:b/>
          <w:bCs/>
          <w:szCs w:val="32"/>
          <w:highlight w:val="none"/>
        </w:rPr>
      </w:pPr>
      <w:r>
        <w:rPr>
          <w:rFonts w:hint="eastAsia" w:ascii="宋体" w:hAnsi="宋体" w:eastAsia="宋体" w:cs="宋体"/>
          <w:highlight w:val="none"/>
        </w:rPr>
        <w:t xml:space="preserve">      </w:t>
      </w:r>
      <w:r>
        <w:rPr>
          <w:rFonts w:hint="eastAsia" w:ascii="宋体" w:hAnsi="宋体" w:eastAsia="宋体" w:cs="宋体"/>
          <w:szCs w:val="32"/>
          <w:highlight w:val="none"/>
        </w:rPr>
        <w:t xml:space="preserve"> </w:t>
      </w:r>
    </w:p>
    <w:p w14:paraId="3A545A3C">
      <w:pPr>
        <w:pStyle w:val="8"/>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14:paraId="1D9ED275">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6571D70A">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u w:val="single"/>
        </w:rPr>
        <w:t xml:space="preserve">                </w:t>
      </w:r>
    </w:p>
    <w:p w14:paraId="7086ECDE">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注册地址：</w:t>
      </w:r>
      <w:r>
        <w:rPr>
          <w:rFonts w:hint="eastAsia" w:ascii="宋体" w:hAnsi="宋体" w:eastAsia="宋体" w:cs="宋体"/>
          <w:highlight w:val="none"/>
          <w:u w:val="single"/>
        </w:rPr>
        <w:t xml:space="preserve">                        </w:t>
      </w:r>
    </w:p>
    <w:p w14:paraId="6424EB6E">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36FF9592">
      <w:pPr>
        <w:autoSpaceDE w:val="0"/>
        <w:autoSpaceDN w:val="0"/>
        <w:adjustRightInd w:val="0"/>
        <w:snapToGrid w:val="0"/>
        <w:spacing w:beforeLines="50" w:line="360" w:lineRule="auto"/>
        <w:jc w:val="left"/>
        <w:rPr>
          <w:rFonts w:hint="eastAsia" w:ascii="宋体" w:hAnsi="宋体" w:eastAsia="宋体" w:cs="宋体"/>
          <w:highlight w:val="none"/>
          <w:u w:val="single"/>
        </w:rPr>
      </w:pPr>
      <w:r>
        <w:rPr>
          <w:rFonts w:hint="eastAsia" w:ascii="宋体" w:hAnsi="宋体" w:eastAsia="宋体" w:cs="宋体"/>
          <w:highlight w:val="none"/>
        </w:rPr>
        <w:t>经营期限：</w:t>
      </w:r>
      <w:r>
        <w:rPr>
          <w:rFonts w:hint="eastAsia" w:ascii="宋体" w:hAnsi="宋体" w:eastAsia="宋体" w:cs="宋体"/>
          <w:highlight w:val="none"/>
          <w:u w:val="single"/>
        </w:rPr>
        <w:t xml:space="preserve">                  </w:t>
      </w:r>
    </w:p>
    <w:p w14:paraId="0A71AF74">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性别：</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年龄：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w:t>
      </w:r>
    </w:p>
    <w:p w14:paraId="15B0DB71">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特此证明。</w:t>
      </w:r>
    </w:p>
    <w:p w14:paraId="20BFEF48">
      <w:pPr>
        <w:autoSpaceDE w:val="0"/>
        <w:autoSpaceDN w:val="0"/>
        <w:adjustRightInd w:val="0"/>
        <w:snapToGrid w:val="0"/>
        <w:spacing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51F9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32DE9060">
            <w:pPr>
              <w:snapToGrid w:val="0"/>
              <w:spacing w:line="480" w:lineRule="auto"/>
              <w:jc w:val="center"/>
              <w:rPr>
                <w:rFonts w:hint="eastAsia" w:ascii="宋体" w:hAnsi="宋体" w:eastAsia="宋体" w:cs="宋体"/>
                <w:szCs w:val="21"/>
                <w:highlight w:val="none"/>
              </w:rPr>
            </w:pPr>
          </w:p>
          <w:p w14:paraId="4AF86560">
            <w:pPr>
              <w:snapToGrid w:val="0"/>
              <w:spacing w:line="480" w:lineRule="auto"/>
              <w:jc w:val="center"/>
              <w:rPr>
                <w:rFonts w:hint="eastAsia" w:ascii="宋体" w:hAnsi="宋体" w:eastAsia="宋体" w:cs="宋体"/>
                <w:szCs w:val="21"/>
                <w:highlight w:val="none"/>
              </w:rPr>
            </w:pPr>
          </w:p>
          <w:p w14:paraId="5B50B3F1">
            <w:pPr>
              <w:autoSpaceDE w:val="0"/>
              <w:autoSpaceDN w:val="0"/>
              <w:adjustRightInd w:val="0"/>
              <w:snapToGrid w:val="0"/>
              <w:spacing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w:t>
            </w:r>
          </w:p>
          <w:p w14:paraId="7EB6619C">
            <w:pPr>
              <w:pStyle w:val="8"/>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（正反面）</w:t>
            </w:r>
          </w:p>
          <w:p w14:paraId="4D991E50">
            <w:pPr>
              <w:snapToGrid w:val="0"/>
              <w:spacing w:line="480" w:lineRule="auto"/>
              <w:jc w:val="center"/>
              <w:rPr>
                <w:rFonts w:hint="eastAsia" w:ascii="宋体" w:hAnsi="宋体" w:eastAsia="宋体" w:cs="宋体"/>
                <w:szCs w:val="21"/>
                <w:highlight w:val="none"/>
              </w:rPr>
            </w:pPr>
          </w:p>
          <w:p w14:paraId="1E4608EF">
            <w:pPr>
              <w:snapToGrid w:val="0"/>
              <w:spacing w:line="480" w:lineRule="auto"/>
              <w:jc w:val="center"/>
              <w:rPr>
                <w:rFonts w:hint="eastAsia" w:ascii="宋体" w:hAnsi="宋体" w:eastAsia="宋体" w:cs="宋体"/>
                <w:szCs w:val="21"/>
                <w:highlight w:val="none"/>
              </w:rPr>
            </w:pPr>
          </w:p>
        </w:tc>
      </w:tr>
    </w:tbl>
    <w:p w14:paraId="276F14B3">
      <w:pPr>
        <w:snapToGrid w:val="0"/>
        <w:spacing w:line="480" w:lineRule="auto"/>
        <w:rPr>
          <w:rFonts w:hint="eastAsia" w:ascii="宋体" w:hAnsi="宋体" w:eastAsia="宋体" w:cs="宋体"/>
          <w:szCs w:val="21"/>
          <w:highlight w:val="none"/>
        </w:rPr>
      </w:pPr>
    </w:p>
    <w:p w14:paraId="621C539F">
      <w:pPr>
        <w:snapToGrid w:val="0"/>
        <w:rPr>
          <w:rFonts w:hint="eastAsia" w:ascii="宋体" w:hAnsi="宋体" w:eastAsia="宋体" w:cs="宋体"/>
          <w:szCs w:val="21"/>
          <w:highlight w:val="none"/>
        </w:rPr>
      </w:pPr>
    </w:p>
    <w:p w14:paraId="0C33FB77">
      <w:pPr>
        <w:snapToGrid w:val="0"/>
        <w:rPr>
          <w:rFonts w:hint="eastAsia" w:ascii="宋体" w:hAnsi="宋体" w:eastAsia="宋体" w:cs="宋体"/>
          <w:szCs w:val="21"/>
          <w:highlight w:val="none"/>
        </w:rPr>
      </w:pPr>
    </w:p>
    <w:p w14:paraId="2F34CB52">
      <w:pPr>
        <w:snapToGrid w:val="0"/>
        <w:rPr>
          <w:rFonts w:hint="eastAsia" w:ascii="宋体" w:hAnsi="宋体" w:eastAsia="宋体" w:cs="宋体"/>
          <w:szCs w:val="21"/>
          <w:highlight w:val="none"/>
        </w:rPr>
      </w:pPr>
    </w:p>
    <w:p w14:paraId="740178A0">
      <w:pPr>
        <w:snapToGrid w:val="0"/>
        <w:rPr>
          <w:rFonts w:hint="eastAsia" w:ascii="宋体" w:hAnsi="宋体" w:eastAsia="宋体" w:cs="宋体"/>
          <w:szCs w:val="21"/>
          <w:highlight w:val="none"/>
        </w:rPr>
      </w:pPr>
    </w:p>
    <w:p w14:paraId="5E19CAA4">
      <w:pPr>
        <w:adjustRightInd w:val="0"/>
        <w:snapToGrid w:val="0"/>
        <w:spacing w:line="360" w:lineRule="auto"/>
        <w:rPr>
          <w:rFonts w:hint="eastAsia" w:ascii="宋体" w:hAnsi="宋体" w:eastAsia="宋体" w:cs="宋体"/>
          <w:highlight w:val="none"/>
        </w:rPr>
      </w:pPr>
    </w:p>
    <w:p w14:paraId="287E0E24">
      <w:pPr>
        <w:adjustRightInd w:val="0"/>
        <w:snapToGrid w:val="0"/>
        <w:spacing w:line="360" w:lineRule="auto"/>
        <w:ind w:right="420"/>
        <w:rPr>
          <w:rFonts w:hint="eastAsia" w:ascii="宋体" w:hAnsi="宋体" w:eastAsia="宋体" w:cs="宋体"/>
          <w:highlight w:val="none"/>
        </w:rPr>
      </w:pPr>
    </w:p>
    <w:p w14:paraId="29167169">
      <w:pPr>
        <w:adjustRightInd w:val="0"/>
        <w:snapToGrid w:val="0"/>
        <w:spacing w:line="360" w:lineRule="auto"/>
        <w:ind w:right="420"/>
        <w:rPr>
          <w:rFonts w:hint="eastAsia" w:ascii="宋体" w:hAnsi="宋体" w:eastAsia="宋体" w:cs="宋体"/>
          <w:highlight w:val="none"/>
        </w:rPr>
      </w:pPr>
    </w:p>
    <w:p w14:paraId="36A2EAA7">
      <w:pPr>
        <w:adjustRightInd w:val="0"/>
        <w:snapToGrid w:val="0"/>
        <w:spacing w:line="360" w:lineRule="auto"/>
        <w:ind w:right="420"/>
        <w:rPr>
          <w:rFonts w:hint="eastAsia" w:ascii="宋体" w:hAnsi="宋体" w:eastAsia="宋体" w:cs="宋体"/>
          <w:highlight w:val="none"/>
        </w:rPr>
      </w:pPr>
    </w:p>
    <w:p w14:paraId="62A41CB5">
      <w:pPr>
        <w:adjustRightInd w:val="0"/>
        <w:snapToGrid w:val="0"/>
        <w:spacing w:line="360" w:lineRule="auto"/>
        <w:ind w:right="420"/>
        <w:rPr>
          <w:rFonts w:hint="eastAsia" w:ascii="宋体" w:hAnsi="宋体" w:eastAsia="宋体" w:cs="宋体"/>
          <w:highlight w:val="none"/>
        </w:rPr>
      </w:pPr>
    </w:p>
    <w:p w14:paraId="61344FD5">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供应商名称（公章）：</w:t>
      </w:r>
    </w:p>
    <w:p w14:paraId="70DADD14">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日期：    年  月  日</w:t>
      </w:r>
    </w:p>
    <w:p w14:paraId="0AE0A7E9">
      <w:pPr>
        <w:pStyle w:val="8"/>
        <w:rPr>
          <w:rFonts w:hint="eastAsia" w:ascii="宋体" w:hAnsi="宋体" w:eastAsia="宋体" w:cs="宋体"/>
          <w:highlight w:val="none"/>
        </w:rPr>
      </w:pPr>
    </w:p>
    <w:p w14:paraId="111C36C8">
      <w:pPr>
        <w:spacing w:line="360" w:lineRule="auto"/>
        <w:jc w:val="left"/>
        <w:rPr>
          <w:rFonts w:hint="eastAsia" w:ascii="宋体" w:hAnsi="宋体" w:eastAsia="宋体" w:cs="宋体"/>
          <w:spacing w:val="4"/>
          <w:szCs w:val="24"/>
          <w:highlight w:val="none"/>
        </w:rPr>
      </w:pPr>
    </w:p>
    <w:p w14:paraId="55449E01">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5A7136E">
      <w:pPr>
        <w:keepNext/>
        <w:spacing w:beforeLines="10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法定代表人授权书</w:t>
      </w:r>
    </w:p>
    <w:p w14:paraId="5F858D05">
      <w:pPr>
        <w:spacing w:line="500" w:lineRule="exact"/>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陕西至诚项目管理集团有限公司</w:t>
      </w:r>
      <w:r>
        <w:rPr>
          <w:rFonts w:hint="eastAsia" w:ascii="宋体" w:hAnsi="宋体" w:eastAsia="宋体" w:cs="宋体"/>
          <w:spacing w:val="4"/>
          <w:szCs w:val="24"/>
          <w:highlight w:val="none"/>
          <w:u w:val="single"/>
        </w:rPr>
        <w:t xml:space="preserve"> </w:t>
      </w:r>
    </w:p>
    <w:p w14:paraId="7C6C9883">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(供应商名称)</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single"/>
        </w:rPr>
        <w:t>（  年  月  日 ）</w:t>
      </w:r>
      <w:r>
        <w:rPr>
          <w:rFonts w:hint="eastAsia" w:ascii="宋体" w:hAnsi="宋体" w:eastAsia="宋体" w:cs="宋体"/>
          <w:spacing w:val="4"/>
          <w:szCs w:val="24"/>
          <w:highlight w:val="none"/>
        </w:rPr>
        <w:t>成立。</w:t>
      </w:r>
      <w:r>
        <w:rPr>
          <w:rFonts w:hint="eastAsia" w:ascii="宋体" w:hAnsi="宋体" w:eastAsia="宋体" w:cs="宋体"/>
          <w:spacing w:val="4"/>
          <w:szCs w:val="24"/>
          <w:highlight w:val="none"/>
          <w:u w:val="single"/>
        </w:rPr>
        <w:t>(法定代表人姓名)</w:t>
      </w:r>
      <w:r>
        <w:rPr>
          <w:rFonts w:hint="eastAsia" w:ascii="宋体" w:hAnsi="宋体" w:eastAsia="宋体" w:cs="宋体"/>
          <w:spacing w:val="4"/>
          <w:szCs w:val="24"/>
          <w:highlight w:val="none"/>
        </w:rPr>
        <w:t>特授权</w:t>
      </w:r>
      <w:r>
        <w:rPr>
          <w:rFonts w:hint="eastAsia" w:ascii="宋体" w:hAnsi="宋体" w:eastAsia="宋体" w:cs="宋体"/>
          <w:spacing w:val="4"/>
          <w:szCs w:val="24"/>
          <w:highlight w:val="none"/>
          <w:u w:val="single"/>
        </w:rPr>
        <w:t xml:space="preserve">（ </w:t>
      </w:r>
      <w:r>
        <w:rPr>
          <w:rFonts w:hint="eastAsia" w:ascii="宋体" w:hAnsi="宋体" w:eastAsia="宋体" w:cs="宋体"/>
          <w:szCs w:val="24"/>
          <w:highlight w:val="none"/>
          <w:u w:val="single"/>
        </w:rPr>
        <w:t>授权代表</w:t>
      </w:r>
      <w:r>
        <w:rPr>
          <w:rFonts w:hint="eastAsia" w:ascii="宋体" w:hAnsi="宋体" w:eastAsia="宋体" w:cs="宋体"/>
          <w:spacing w:val="4"/>
          <w:szCs w:val="24"/>
          <w:highlight w:val="none"/>
          <w:u w:val="single"/>
        </w:rPr>
        <w:t>姓名 ）</w:t>
      </w:r>
      <w:r>
        <w:rPr>
          <w:rFonts w:hint="eastAsia" w:ascii="宋体" w:hAnsi="宋体" w:eastAsia="宋体" w:cs="宋体"/>
          <w:spacing w:val="4"/>
          <w:szCs w:val="24"/>
          <w:highlight w:val="none"/>
        </w:rPr>
        <w:t xml:space="preserve">代表我公司全权办理针对本次 </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项目的磋商、签约等具体工作，并签署全部有关的文件、协议及合同。</w:t>
      </w:r>
    </w:p>
    <w:p w14:paraId="72C06CBD">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ascii="宋体" w:hAnsi="宋体" w:eastAsia="宋体" w:cs="宋体"/>
          <w:szCs w:val="24"/>
          <w:highlight w:val="none"/>
        </w:rPr>
        <w:t>授权代表</w:t>
      </w:r>
      <w:r>
        <w:rPr>
          <w:rFonts w:hint="eastAsia" w:ascii="宋体" w:hAnsi="宋体" w:eastAsia="宋体" w:cs="宋体"/>
          <w:spacing w:val="4"/>
          <w:szCs w:val="24"/>
          <w:highlight w:val="none"/>
        </w:rPr>
        <w:t>的签名负全部责任。</w:t>
      </w:r>
    </w:p>
    <w:p w14:paraId="57DDC85A">
      <w:pPr>
        <w:spacing w:line="500" w:lineRule="exact"/>
        <w:ind w:right="617" w:rightChars="257"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委托期限：</w:t>
      </w:r>
      <w:r>
        <w:rPr>
          <w:rFonts w:hint="eastAsia" w:ascii="宋体" w:hAnsi="宋体" w:eastAsia="宋体" w:cs="宋体"/>
          <w:szCs w:val="24"/>
          <w:highlight w:val="none"/>
          <w:lang w:val="zh-CN"/>
        </w:rPr>
        <w:t>自磋商之日起</w:t>
      </w:r>
      <w:r>
        <w:rPr>
          <w:rFonts w:hint="eastAsia" w:ascii="宋体" w:hAnsi="宋体" w:eastAsia="宋体" w:cs="宋体"/>
          <w:szCs w:val="24"/>
          <w:highlight w:val="none"/>
          <w:u w:val="single"/>
        </w:rPr>
        <w:t>90</w:t>
      </w:r>
      <w:r>
        <w:rPr>
          <w:rFonts w:hint="eastAsia" w:ascii="宋体" w:hAnsi="宋体" w:eastAsia="宋体" w:cs="宋体"/>
          <w:szCs w:val="24"/>
          <w:highlight w:val="none"/>
          <w:lang w:val="zh-CN"/>
        </w:rPr>
        <w:t>天。</w:t>
      </w:r>
    </w:p>
    <w:p w14:paraId="794C2C67">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本授权书于</w:t>
      </w:r>
      <w:r>
        <w:rPr>
          <w:rFonts w:hint="eastAsia" w:ascii="宋体" w:hAnsi="宋体" w:eastAsia="宋体" w:cs="宋体"/>
          <w:spacing w:val="4"/>
          <w:szCs w:val="24"/>
          <w:highlight w:val="none"/>
          <w:u w:val="single"/>
        </w:rPr>
        <w:t xml:space="preserve">      年   月   日</w:t>
      </w:r>
      <w:r>
        <w:rPr>
          <w:rFonts w:hint="eastAsia" w:ascii="宋体" w:hAnsi="宋体" w:eastAsia="宋体" w:cs="宋体"/>
          <w:spacing w:val="4"/>
          <w:szCs w:val="24"/>
          <w:highlight w:val="none"/>
        </w:rPr>
        <w:t>签字生效，特此证明。</w:t>
      </w:r>
    </w:p>
    <w:p w14:paraId="28608DA6">
      <w:pPr>
        <w:spacing w:line="360" w:lineRule="auto"/>
        <w:ind w:firstLine="496" w:firstLineChars="200"/>
        <w:jc w:val="left"/>
        <w:rPr>
          <w:rFonts w:hint="eastAsia" w:ascii="宋体" w:hAnsi="宋体" w:eastAsia="宋体" w:cs="宋体"/>
          <w:spacing w:val="4"/>
          <w:szCs w:val="24"/>
          <w:highlight w:val="none"/>
        </w:rPr>
      </w:pPr>
    </w:p>
    <w:tbl>
      <w:tblPr>
        <w:tblStyle w:val="20"/>
        <w:tblW w:w="0" w:type="auto"/>
        <w:tblInd w:w="633" w:type="dxa"/>
        <w:tblLayout w:type="fixed"/>
        <w:tblCellMar>
          <w:top w:w="0" w:type="dxa"/>
          <w:left w:w="108" w:type="dxa"/>
          <w:bottom w:w="0" w:type="dxa"/>
          <w:right w:w="108" w:type="dxa"/>
        </w:tblCellMar>
      </w:tblPr>
      <w:tblGrid>
        <w:gridCol w:w="4200"/>
        <w:gridCol w:w="3990"/>
      </w:tblGrid>
      <w:tr w14:paraId="4E175947">
        <w:tblPrEx>
          <w:tblCellMar>
            <w:top w:w="0" w:type="dxa"/>
            <w:left w:w="108" w:type="dxa"/>
            <w:bottom w:w="0" w:type="dxa"/>
            <w:right w:w="108" w:type="dxa"/>
          </w:tblCellMar>
        </w:tblPrEx>
        <w:trPr>
          <w:trHeight w:val="600" w:hRule="atLeast"/>
        </w:trPr>
        <w:tc>
          <w:tcPr>
            <w:tcW w:w="4200" w:type="dxa"/>
            <w:noWrap w:val="0"/>
            <w:vAlign w:val="top"/>
          </w:tcPr>
          <w:p w14:paraId="70B040BD">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被授权人签字或盖章：</w:t>
            </w:r>
          </w:p>
        </w:tc>
        <w:tc>
          <w:tcPr>
            <w:tcW w:w="3990" w:type="dxa"/>
            <w:noWrap w:val="0"/>
            <w:vAlign w:val="top"/>
          </w:tcPr>
          <w:p w14:paraId="2646ED13">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法定代表人签字或盖章：</w:t>
            </w:r>
          </w:p>
        </w:tc>
      </w:tr>
      <w:tr w14:paraId="71D9D0DE">
        <w:tblPrEx>
          <w:tblCellMar>
            <w:top w:w="0" w:type="dxa"/>
            <w:left w:w="108" w:type="dxa"/>
            <w:bottom w:w="0" w:type="dxa"/>
            <w:right w:w="108" w:type="dxa"/>
          </w:tblCellMar>
        </w:tblPrEx>
        <w:trPr>
          <w:trHeight w:val="600" w:hRule="atLeast"/>
        </w:trPr>
        <w:tc>
          <w:tcPr>
            <w:tcW w:w="4200" w:type="dxa"/>
            <w:noWrap w:val="0"/>
            <w:vAlign w:val="top"/>
          </w:tcPr>
          <w:p w14:paraId="156887FF">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noWrap w:val="0"/>
            <w:vAlign w:val="top"/>
          </w:tcPr>
          <w:p w14:paraId="2BFAF864">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r w14:paraId="74B41445">
        <w:tblPrEx>
          <w:tblCellMar>
            <w:top w:w="0" w:type="dxa"/>
            <w:left w:w="108" w:type="dxa"/>
            <w:bottom w:w="0" w:type="dxa"/>
            <w:right w:w="108" w:type="dxa"/>
          </w:tblCellMar>
        </w:tblPrEx>
        <w:trPr>
          <w:trHeight w:val="600" w:hRule="atLeast"/>
        </w:trPr>
        <w:tc>
          <w:tcPr>
            <w:tcW w:w="4200" w:type="dxa"/>
            <w:noWrap w:val="0"/>
            <w:vAlign w:val="top"/>
          </w:tcPr>
          <w:p w14:paraId="6859AEBF">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c>
          <w:tcPr>
            <w:tcW w:w="3990" w:type="dxa"/>
            <w:noWrap w:val="0"/>
            <w:vAlign w:val="top"/>
          </w:tcPr>
          <w:p w14:paraId="07A15283">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r>
      <w:tr w14:paraId="363566E3">
        <w:tblPrEx>
          <w:tblCellMar>
            <w:top w:w="0" w:type="dxa"/>
            <w:left w:w="108" w:type="dxa"/>
            <w:bottom w:w="0" w:type="dxa"/>
            <w:right w:w="108" w:type="dxa"/>
          </w:tblCellMar>
        </w:tblPrEx>
        <w:trPr>
          <w:trHeight w:val="600" w:hRule="atLeast"/>
        </w:trPr>
        <w:tc>
          <w:tcPr>
            <w:tcW w:w="4200" w:type="dxa"/>
            <w:noWrap w:val="0"/>
            <w:vAlign w:val="top"/>
          </w:tcPr>
          <w:p w14:paraId="0CE6A91C">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所在部门：</w:t>
            </w:r>
          </w:p>
        </w:tc>
        <w:tc>
          <w:tcPr>
            <w:tcW w:w="3990" w:type="dxa"/>
            <w:noWrap w:val="0"/>
            <w:vAlign w:val="top"/>
          </w:tcPr>
          <w:p w14:paraId="64807A86">
            <w:pPr>
              <w:spacing w:line="360" w:lineRule="auto"/>
              <w:jc w:val="left"/>
              <w:rPr>
                <w:rFonts w:hint="eastAsia" w:ascii="宋体" w:hAnsi="宋体" w:eastAsia="宋体" w:cs="宋体"/>
                <w:spacing w:val="4"/>
                <w:szCs w:val="24"/>
                <w:highlight w:val="none"/>
              </w:rPr>
            </w:pPr>
          </w:p>
        </w:tc>
      </w:tr>
    </w:tbl>
    <w:p w14:paraId="071B9ABE">
      <w:pPr>
        <w:spacing w:line="360" w:lineRule="auto"/>
        <w:ind w:firstLine="505" w:firstLineChars="204"/>
        <w:rPr>
          <w:rFonts w:hint="eastAsia" w:ascii="宋体" w:hAnsi="宋体" w:eastAsia="宋体" w:cs="宋体"/>
          <w:spacing w:val="4"/>
          <w:szCs w:val="24"/>
          <w:highlight w:val="none"/>
        </w:rPr>
      </w:pPr>
      <w:r>
        <w:rPr>
          <w:rFonts w:hint="eastAsia" w:ascii="宋体" w:hAnsi="宋体" w:eastAsia="宋体" w:cs="宋体"/>
          <w:spacing w:val="4"/>
          <w:szCs w:val="24"/>
          <w:highlight w:val="none"/>
        </w:rPr>
        <w:t>附：法定代表人、被授权人身份证复印件</w:t>
      </w:r>
    </w:p>
    <w:p w14:paraId="6E870E05">
      <w:pPr>
        <w:spacing w:line="360" w:lineRule="auto"/>
        <w:rPr>
          <w:rFonts w:hint="eastAsia" w:ascii="宋体" w:hAnsi="宋体" w:eastAsia="宋体" w:cs="宋体"/>
          <w:spacing w:val="4"/>
          <w:szCs w:val="24"/>
          <w:highlight w:val="none"/>
        </w:rPr>
      </w:pPr>
    </w:p>
    <w:tbl>
      <w:tblPr>
        <w:tblStyle w:val="20"/>
        <w:tblW w:w="0" w:type="auto"/>
        <w:tblInd w:w="540" w:type="dxa"/>
        <w:tblLayout w:type="fixed"/>
        <w:tblCellMar>
          <w:top w:w="0" w:type="dxa"/>
          <w:left w:w="108" w:type="dxa"/>
          <w:bottom w:w="0" w:type="dxa"/>
          <w:right w:w="108" w:type="dxa"/>
        </w:tblCellMar>
      </w:tblPr>
      <w:tblGrid>
        <w:gridCol w:w="4246"/>
        <w:gridCol w:w="4111"/>
      </w:tblGrid>
      <w:tr w14:paraId="6FBA9010">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14:paraId="655D23D2">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法定代表人身份证复印件粘贴处</w:t>
            </w:r>
          </w:p>
          <w:p w14:paraId="68178624">
            <w:pPr>
              <w:spacing w:line="360" w:lineRule="auto"/>
              <w:jc w:val="center"/>
              <w:rPr>
                <w:rFonts w:hint="eastAsia" w:ascii="宋体" w:hAnsi="宋体" w:eastAsia="宋体" w:cs="宋体"/>
                <w:szCs w:val="21"/>
                <w:highlight w:val="none"/>
                <w:u w:val="single"/>
              </w:rPr>
            </w:pPr>
            <w:r>
              <w:rPr>
                <w:rFonts w:hint="eastAsia" w:ascii="宋体" w:hAnsi="宋体" w:eastAsia="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14:paraId="5C7510E0">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授权代表身份证复印件粘贴处</w:t>
            </w:r>
          </w:p>
          <w:p w14:paraId="68C9FE8F">
            <w:pPr>
              <w:spacing w:line="360" w:lineRule="auto"/>
              <w:jc w:val="center"/>
              <w:rPr>
                <w:rFonts w:hint="eastAsia" w:ascii="宋体" w:hAnsi="宋体" w:eastAsia="宋体" w:cs="宋体"/>
                <w:highlight w:val="none"/>
                <w:u w:val="single"/>
              </w:rPr>
            </w:pPr>
            <w:r>
              <w:rPr>
                <w:rFonts w:hint="eastAsia" w:ascii="宋体" w:hAnsi="宋体" w:eastAsia="宋体" w:cs="宋体"/>
                <w:szCs w:val="21"/>
                <w:highlight w:val="none"/>
                <w:lang w:val="zh-CN"/>
              </w:rPr>
              <w:t>（正反面）</w:t>
            </w:r>
          </w:p>
        </w:tc>
      </w:tr>
    </w:tbl>
    <w:p w14:paraId="7BFCBE70">
      <w:pPr>
        <w:spacing w:line="360" w:lineRule="auto"/>
        <w:ind w:firstLine="510"/>
        <w:rPr>
          <w:rFonts w:hint="eastAsia" w:ascii="宋体" w:hAnsi="宋体" w:eastAsia="宋体" w:cs="宋体"/>
          <w:spacing w:val="4"/>
          <w:szCs w:val="24"/>
          <w:highlight w:val="none"/>
        </w:rPr>
      </w:pPr>
    </w:p>
    <w:p w14:paraId="0349BC97">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w:t>
      </w:r>
      <w:r>
        <w:rPr>
          <w:rFonts w:hint="eastAsia" w:ascii="宋体" w:hAnsi="宋体" w:eastAsia="宋体" w:cs="宋体"/>
          <w:highlight w:val="none"/>
          <w:u w:val="single"/>
        </w:rPr>
        <w:t xml:space="preserve">      （加盖单位公章）       </w:t>
      </w:r>
    </w:p>
    <w:p w14:paraId="0BB393D0">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日期：</w:t>
      </w:r>
      <w:r>
        <w:rPr>
          <w:rFonts w:hint="eastAsia" w:ascii="宋体" w:hAnsi="宋体" w:eastAsia="宋体" w:cs="宋体"/>
          <w:highlight w:val="none"/>
        </w:rPr>
        <w:t xml:space="preserve">    年  月  日</w:t>
      </w:r>
    </w:p>
    <w:p w14:paraId="4487B6CA">
      <w:pPr>
        <w:widowControl/>
        <w:spacing w:line="360" w:lineRule="auto"/>
        <w:ind w:left="1" w:firstLine="281" w:firstLineChars="100"/>
        <w:rPr>
          <w:rFonts w:hint="eastAsia" w:ascii="宋体" w:hAnsi="宋体" w:eastAsia="宋体" w:cs="宋体"/>
          <w:b/>
          <w:kern w:val="0"/>
          <w:sz w:val="32"/>
          <w:szCs w:val="32"/>
          <w:highlight w:val="none"/>
        </w:rPr>
      </w:pPr>
      <w:r>
        <w:rPr>
          <w:rFonts w:hint="eastAsia" w:ascii="宋体" w:hAnsi="宋体" w:eastAsia="宋体" w:cs="宋体"/>
          <w:b/>
          <w:sz w:val="28"/>
          <w:szCs w:val="28"/>
          <w:highlight w:val="none"/>
          <w:lang w:val="en-US" w:eastAsia="zh-CN"/>
        </w:rPr>
        <w:br w:type="page"/>
      </w:r>
      <w:bookmarkStart w:id="179" w:name="_Toc17295"/>
      <w:bookmarkStart w:id="180" w:name="_Toc11767"/>
    </w:p>
    <w:p w14:paraId="3B0AEC0E">
      <w:pPr>
        <w:widowControl/>
        <w:spacing w:line="360" w:lineRule="auto"/>
        <w:ind w:left="1" w:firstLine="321" w:firstLineChars="100"/>
        <w:jc w:val="center"/>
        <w:rPr>
          <w:rFonts w:hint="eastAsia" w:ascii="宋体" w:hAnsi="宋体" w:eastAsia="宋体" w:cs="宋体"/>
          <w:b/>
          <w:kern w:val="0"/>
          <w:sz w:val="32"/>
          <w:szCs w:val="32"/>
          <w:highlight w:val="none"/>
        </w:rPr>
      </w:pPr>
    </w:p>
    <w:p w14:paraId="2C646AFB">
      <w:pPr>
        <w:widowControl/>
        <w:spacing w:line="360" w:lineRule="auto"/>
        <w:ind w:left="1" w:firstLine="321" w:firstLineChars="100"/>
        <w:jc w:val="center"/>
        <w:rPr>
          <w:rFonts w:hint="eastAsia" w:ascii="宋体" w:hAnsi="宋体" w:eastAsia="宋体" w:cs="宋体"/>
          <w:b/>
          <w:kern w:val="0"/>
          <w:sz w:val="32"/>
          <w:szCs w:val="32"/>
          <w:highlight w:val="none"/>
        </w:rPr>
      </w:pPr>
    </w:p>
    <w:p w14:paraId="68CE191E">
      <w:pPr>
        <w:widowControl/>
        <w:spacing w:line="360" w:lineRule="auto"/>
        <w:ind w:left="1" w:firstLine="321" w:firstLineChars="100"/>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参加政府采购活动前3年内在经营活动中没有重大违法纪录的书面声明</w:t>
      </w:r>
    </w:p>
    <w:p w14:paraId="6BE4D091">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14:paraId="1DB1CD9E">
      <w:pPr>
        <w:pStyle w:val="18"/>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14:paraId="745D99AD">
      <w:pPr>
        <w:pStyle w:val="18"/>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14:paraId="535EE11D">
      <w:pPr>
        <w:pStyle w:val="18"/>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7C100023">
      <w:pPr>
        <w:pStyle w:val="18"/>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如有不实，我方将无条件地退出本项目的采购活动，并遵照《</w:t>
      </w:r>
      <w:r>
        <w:rPr>
          <w:rFonts w:hint="eastAsia" w:hAnsi="宋体" w:cs="宋体"/>
          <w:szCs w:val="24"/>
          <w:highlight w:val="none"/>
          <w:lang w:val="en-US" w:eastAsia="zh-CN"/>
        </w:rPr>
        <w:t>中华人民共和国</w:t>
      </w:r>
      <w:r>
        <w:rPr>
          <w:rFonts w:hint="eastAsia" w:ascii="宋体" w:hAnsi="宋体" w:eastAsia="宋体" w:cs="宋体"/>
          <w:highlight w:val="none"/>
          <w:shd w:val="clear" w:color="auto" w:fill="FFFFFF"/>
        </w:rPr>
        <w:t xml:space="preserve">政府采购法》有关“提供虚假材料的规定”接受处罚。 </w:t>
      </w:r>
    </w:p>
    <w:p w14:paraId="23641350">
      <w:pPr>
        <w:pStyle w:val="18"/>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14:paraId="45E92910">
      <w:pPr>
        <w:pStyle w:val="18"/>
        <w:wordWrap w:val="0"/>
        <w:spacing w:beforeAutospacing="0" w:afterAutospacing="0" w:line="560" w:lineRule="exact"/>
        <w:ind w:firstLine="420"/>
        <w:rPr>
          <w:rFonts w:hint="eastAsia" w:ascii="宋体" w:hAnsi="宋体" w:eastAsia="宋体" w:cs="宋体"/>
          <w:highlight w:val="none"/>
          <w:shd w:val="clear" w:color="auto" w:fill="FFFFFF"/>
        </w:rPr>
      </w:pPr>
    </w:p>
    <w:p w14:paraId="02ABA016">
      <w:pPr>
        <w:spacing w:line="480" w:lineRule="auto"/>
        <w:ind w:firstLine="3360" w:firstLineChars="1400"/>
        <w:rPr>
          <w:rFonts w:hint="eastAsia" w:ascii="宋体" w:hAnsi="宋体" w:eastAsia="宋体" w:cs="宋体"/>
          <w:sz w:val="24"/>
          <w:highlight w:val="none"/>
        </w:rPr>
      </w:pPr>
      <w:r>
        <w:rPr>
          <w:rFonts w:hint="eastAsia" w:hAnsi="宋体" w:cs="宋体"/>
          <w:sz w:val="24"/>
          <w:highlight w:val="none"/>
          <w:lang w:val="en-US"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76C69B77">
      <w:pPr>
        <w:pStyle w:val="29"/>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D01B4B6">
      <w:pPr>
        <w:adjustRightInd w:val="0"/>
        <w:snapToGrid w:val="0"/>
        <w:spacing w:line="360" w:lineRule="auto"/>
        <w:jc w:val="center"/>
        <w:rPr>
          <w:rFonts w:hint="eastAsia"/>
          <w:highlight w:val="none"/>
        </w:rPr>
      </w:pPr>
      <w:r>
        <w:rPr>
          <w:rFonts w:hint="eastAsia" w:asciiTheme="minorEastAsia" w:hAnsiTheme="minorEastAsia" w:eastAsiaTheme="minorEastAsia" w:cstheme="minorEastAsia"/>
          <w:b/>
          <w:color w:val="auto"/>
          <w:sz w:val="28"/>
          <w:szCs w:val="28"/>
          <w:highlight w:val="none"/>
        </w:rPr>
        <w:br w:type="page"/>
      </w:r>
    </w:p>
    <w:p w14:paraId="7B6A5365">
      <w:pPr>
        <w:adjustRightInd w:val="0"/>
        <w:snapToGrid w:val="0"/>
        <w:spacing w:line="360" w:lineRule="auto"/>
        <w:jc w:val="center"/>
        <w:rPr>
          <w:rFonts w:hint="eastAsia" w:ascii="宋体" w:hAnsi="宋体" w:eastAsia="宋体" w:cs="宋体"/>
          <w:b/>
          <w:sz w:val="32"/>
          <w:szCs w:val="32"/>
          <w:highlight w:val="none"/>
        </w:rPr>
      </w:pPr>
    </w:p>
    <w:p w14:paraId="4F2AAE36">
      <w:pPr>
        <w:adjustRightInd w:val="0"/>
        <w:snapToGrid w:val="0"/>
        <w:spacing w:line="360" w:lineRule="auto"/>
        <w:jc w:val="center"/>
        <w:rPr>
          <w:rFonts w:hint="eastAsia" w:ascii="宋体" w:hAnsi="宋体" w:eastAsia="宋体" w:cs="宋体"/>
          <w:b/>
          <w:sz w:val="32"/>
          <w:szCs w:val="32"/>
          <w:highlight w:val="none"/>
        </w:rPr>
      </w:pPr>
    </w:p>
    <w:p w14:paraId="52A06DA1">
      <w:pPr>
        <w:adjustRightInd w:val="0"/>
        <w:snapToGrid w:val="0"/>
        <w:spacing w:line="360" w:lineRule="auto"/>
        <w:jc w:val="center"/>
        <w:rPr>
          <w:rFonts w:hint="eastAsia" w:ascii="宋体" w:hAnsi="宋体" w:eastAsia="宋体" w:cs="宋体"/>
          <w:b/>
          <w:sz w:val="28"/>
          <w:szCs w:val="28"/>
          <w:highlight w:val="none"/>
          <w:lang w:eastAsia="zh-CN"/>
        </w:rPr>
      </w:pPr>
      <w:r>
        <w:rPr>
          <w:rFonts w:hint="eastAsia" w:ascii="宋体" w:hAnsi="宋体" w:eastAsia="宋体" w:cs="宋体"/>
          <w:b/>
          <w:sz w:val="32"/>
          <w:szCs w:val="32"/>
          <w:highlight w:val="none"/>
        </w:rPr>
        <w:t>具有履行本合同所必需的设备和专业技术能力的</w:t>
      </w:r>
      <w:r>
        <w:rPr>
          <w:rFonts w:hint="eastAsia" w:hAnsi="宋体" w:cs="宋体"/>
          <w:b/>
          <w:sz w:val="32"/>
          <w:szCs w:val="32"/>
          <w:highlight w:val="none"/>
          <w:lang w:val="en-US" w:eastAsia="zh-CN"/>
        </w:rPr>
        <w:t>承诺函</w:t>
      </w:r>
    </w:p>
    <w:p w14:paraId="142B4A02">
      <w:pPr>
        <w:widowControl/>
        <w:spacing w:line="360" w:lineRule="auto"/>
        <w:ind w:left="1"/>
        <w:jc w:val="center"/>
        <w:rPr>
          <w:rFonts w:hint="eastAsia" w:ascii="宋体" w:hAnsi="宋体" w:eastAsia="宋体" w:cs="宋体"/>
          <w:b/>
          <w:sz w:val="28"/>
          <w:szCs w:val="28"/>
          <w:highlight w:val="none"/>
        </w:rPr>
      </w:pPr>
      <w:r>
        <w:rPr>
          <w:rFonts w:hint="eastAsia" w:ascii="宋体" w:hAnsi="宋体" w:eastAsia="宋体" w:cs="宋体"/>
          <w:b/>
          <w:kern w:val="0"/>
          <w:sz w:val="28"/>
          <w:szCs w:val="28"/>
          <w:highlight w:val="none"/>
        </w:rPr>
        <w:t>（格式）</w:t>
      </w:r>
    </w:p>
    <w:p w14:paraId="47AED6B7">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14:paraId="50E19275">
      <w:pPr>
        <w:pStyle w:val="11"/>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14:paraId="343C4F46">
      <w:pPr>
        <w:pStyle w:val="11"/>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14:paraId="14F979F0">
      <w:pPr>
        <w:pStyle w:val="11"/>
        <w:adjustRightInd w:val="0"/>
        <w:snapToGrid w:val="0"/>
        <w:spacing w:line="720" w:lineRule="exact"/>
        <w:rPr>
          <w:rFonts w:hint="eastAsia" w:ascii="宋体" w:hAnsi="宋体" w:eastAsia="宋体" w:cs="宋体"/>
          <w:spacing w:val="4"/>
          <w:sz w:val="24"/>
          <w:szCs w:val="24"/>
          <w:highlight w:val="none"/>
        </w:rPr>
      </w:pPr>
    </w:p>
    <w:p w14:paraId="04E34EB1">
      <w:pPr>
        <w:pStyle w:val="11"/>
        <w:adjustRightInd w:val="0"/>
        <w:snapToGrid w:val="0"/>
        <w:spacing w:line="720" w:lineRule="exact"/>
        <w:rPr>
          <w:rFonts w:hint="eastAsia" w:ascii="宋体" w:hAnsi="宋体" w:eastAsia="宋体" w:cs="宋体"/>
          <w:spacing w:val="4"/>
          <w:sz w:val="24"/>
          <w:szCs w:val="24"/>
          <w:highlight w:val="none"/>
        </w:rPr>
      </w:pPr>
    </w:p>
    <w:p w14:paraId="50DA3CF8">
      <w:pPr>
        <w:pStyle w:val="11"/>
        <w:adjustRightInd w:val="0"/>
        <w:snapToGrid w:val="0"/>
        <w:spacing w:line="720" w:lineRule="exact"/>
        <w:rPr>
          <w:rFonts w:hint="eastAsia" w:ascii="宋体" w:hAnsi="宋体" w:eastAsia="宋体" w:cs="宋体"/>
          <w:spacing w:val="4"/>
          <w:sz w:val="24"/>
          <w:szCs w:val="24"/>
          <w:highlight w:val="none"/>
        </w:rPr>
      </w:pPr>
    </w:p>
    <w:p w14:paraId="4AABA347">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4BB29F9F">
      <w:pPr>
        <w:pStyle w:val="29"/>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4E6F86A">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14:paraId="3DF12596">
      <w:pPr>
        <w:spacing w:before="100" w:beforeAutospacing="1" w:afterLines="50" w:line="360" w:lineRule="auto"/>
        <w:jc w:val="left"/>
        <w:outlineLvl w:val="2"/>
        <w:rPr>
          <w:rFonts w:hint="eastAsia" w:ascii="宋体" w:hAnsi="宋体" w:eastAsia="宋体" w:cs="宋体"/>
          <w:b/>
          <w:color w:val="auto"/>
          <w:spacing w:val="6"/>
          <w:sz w:val="32"/>
          <w:szCs w:val="32"/>
          <w:highlight w:val="none"/>
        </w:rPr>
      </w:pPr>
      <w:bookmarkStart w:id="181" w:name="_Toc23920"/>
      <w:bookmarkStart w:id="182" w:name="_Toc30285"/>
      <w:r>
        <w:rPr>
          <w:rFonts w:hint="eastAsia" w:ascii="宋体" w:hAnsi="宋体" w:eastAsia="宋体" w:cs="宋体"/>
          <w:b/>
          <w:sz w:val="28"/>
          <w:szCs w:val="28"/>
          <w:highlight w:val="none"/>
          <w:lang w:val="en-US" w:eastAsia="zh-CN"/>
        </w:rPr>
        <w:t>附件2：中小企业声明函</w:t>
      </w:r>
      <w:bookmarkEnd w:id="179"/>
      <w:bookmarkEnd w:id="180"/>
      <w:bookmarkEnd w:id="181"/>
      <w:bookmarkEnd w:id="182"/>
      <w:bookmarkStart w:id="183" w:name="_Toc13836"/>
    </w:p>
    <w:p w14:paraId="3268CD7F">
      <w:pPr>
        <w:spacing w:before="156" w:beforeLines="50" w:after="156" w:afterLines="50" w:line="360" w:lineRule="auto"/>
        <w:jc w:val="center"/>
        <w:rPr>
          <w:rFonts w:hint="eastAsia" w:hAnsi="宋体" w:cs="宋体"/>
          <w:szCs w:val="24"/>
          <w:highlight w:val="none"/>
        </w:rPr>
      </w:pPr>
      <w:bookmarkStart w:id="184" w:name="_Toc20139"/>
      <w:bookmarkStart w:id="185" w:name="_Toc12704"/>
      <w:bookmarkStart w:id="186" w:name="_Toc13530"/>
      <w:r>
        <w:rPr>
          <w:rFonts w:hint="eastAsia" w:hAnsi="宋体" w:cs="宋体"/>
          <w:b/>
          <w:sz w:val="28"/>
          <w:szCs w:val="28"/>
          <w:highlight w:val="none"/>
        </w:rPr>
        <w:t>中小企业声明函</w:t>
      </w:r>
    </w:p>
    <w:p w14:paraId="3EC1FEF4">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64485D28">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4F2ACA7C">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3AE4FA0C">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14:paraId="2BDB9A93">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79284AF6">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14:paraId="55D856C5">
      <w:pPr>
        <w:tabs>
          <w:tab w:val="left" w:pos="1620"/>
          <w:tab w:val="left" w:pos="1800"/>
        </w:tabs>
        <w:spacing w:line="500" w:lineRule="exact"/>
        <w:rPr>
          <w:rFonts w:hint="eastAsia" w:hAnsi="宋体" w:cs="宋体"/>
          <w:szCs w:val="24"/>
          <w:highlight w:val="none"/>
        </w:rPr>
      </w:pPr>
    </w:p>
    <w:p w14:paraId="4A7E7008">
      <w:pPr>
        <w:tabs>
          <w:tab w:val="left" w:pos="1620"/>
          <w:tab w:val="left" w:pos="1800"/>
        </w:tabs>
        <w:spacing w:line="500" w:lineRule="exact"/>
        <w:rPr>
          <w:rFonts w:hint="eastAsia" w:hAnsi="宋体" w:cs="宋体"/>
          <w:szCs w:val="24"/>
          <w:highlight w:val="none"/>
        </w:rPr>
      </w:pPr>
    </w:p>
    <w:p w14:paraId="2221F545">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14:paraId="6149BCD4">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p w14:paraId="55646C52">
      <w:pPr>
        <w:spacing w:before="100" w:beforeAutospacing="1" w:after="156" w:afterLines="50" w:line="360" w:lineRule="auto"/>
        <w:rPr>
          <w:rFonts w:hint="eastAsia" w:hAnsi="宋体" w:cs="宋体"/>
          <w:b/>
          <w:bCs/>
          <w:spacing w:val="6"/>
          <w:sz w:val="30"/>
          <w:szCs w:val="30"/>
          <w:highlight w:val="none"/>
        </w:rPr>
      </w:pPr>
    </w:p>
    <w:p w14:paraId="0F2D7F4B">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1E9F2BB0">
      <w:pPr>
        <w:spacing w:before="100" w:beforeAutospacing="1" w:afterLines="50" w:line="360" w:lineRule="auto"/>
        <w:outlineLvl w:val="2"/>
        <w:rPr>
          <w:rFonts w:hint="eastAsia" w:ascii="宋体" w:hAnsi="宋体" w:eastAsia="宋体" w:cs="宋体"/>
          <w:b/>
          <w:bCs/>
          <w:spacing w:val="6"/>
          <w:sz w:val="30"/>
          <w:szCs w:val="30"/>
          <w:highlight w:val="none"/>
          <w:lang w:eastAsia="zh-CN"/>
        </w:rPr>
      </w:pPr>
      <w:bookmarkStart w:id="187" w:name="_Toc32512"/>
      <w:r>
        <w:rPr>
          <w:rFonts w:hint="eastAsia" w:ascii="宋体" w:hAnsi="宋体" w:eastAsia="宋体" w:cs="宋体"/>
          <w:b/>
          <w:sz w:val="28"/>
          <w:szCs w:val="28"/>
          <w:highlight w:val="none"/>
        </w:rPr>
        <w:t>附</w:t>
      </w:r>
      <w:r>
        <w:rPr>
          <w:rFonts w:hint="eastAsia" w:ascii="宋体" w:hAnsi="宋体" w:eastAsia="宋体" w:cs="宋体"/>
          <w:b/>
          <w:sz w:val="28"/>
          <w:szCs w:val="28"/>
          <w:highlight w:val="none"/>
          <w:lang w:val="en-US" w:eastAsia="zh-CN"/>
        </w:rPr>
        <w:t>件</w:t>
      </w:r>
      <w:r>
        <w:rPr>
          <w:rFonts w:hint="eastAsia" w:ascii="宋体" w:hAnsi="宋体" w:eastAsia="宋体" w:cs="宋体"/>
          <w:b/>
          <w:sz w:val="28"/>
          <w:szCs w:val="28"/>
          <w:highlight w:val="none"/>
        </w:rPr>
        <w:t>3</w:t>
      </w:r>
      <w:bookmarkEnd w:id="183"/>
      <w:bookmarkEnd w:id="184"/>
      <w:bookmarkEnd w:id="185"/>
      <w:bookmarkEnd w:id="186"/>
      <w:bookmarkStart w:id="188" w:name="_Toc9308"/>
      <w:bookmarkStart w:id="189" w:name="_Toc11235"/>
      <w:bookmarkStart w:id="190" w:name="_Toc22425"/>
      <w:r>
        <w:rPr>
          <w:rFonts w:hint="eastAsia" w:ascii="宋体" w:hAnsi="宋体" w:eastAsia="宋体" w:cs="宋体"/>
          <w:b/>
          <w:bCs/>
          <w:spacing w:val="6"/>
          <w:sz w:val="30"/>
          <w:szCs w:val="30"/>
          <w:highlight w:val="none"/>
        </w:rPr>
        <w:t>：残疾人福利性单位声明函</w:t>
      </w:r>
      <w:r>
        <w:rPr>
          <w:rFonts w:hint="eastAsia" w:ascii="宋体" w:hAnsi="宋体" w:eastAsia="宋体" w:cs="宋体"/>
          <w:b/>
          <w:bCs/>
          <w:spacing w:val="6"/>
          <w:sz w:val="30"/>
          <w:szCs w:val="30"/>
          <w:highlight w:val="none"/>
          <w:lang w:eastAsia="zh-CN"/>
        </w:rPr>
        <w:t>（</w:t>
      </w:r>
      <w:r>
        <w:rPr>
          <w:rFonts w:hint="eastAsia" w:ascii="宋体" w:hAnsi="宋体" w:eastAsia="宋体" w:cs="宋体"/>
          <w:b/>
          <w:bCs/>
          <w:spacing w:val="6"/>
          <w:sz w:val="30"/>
          <w:szCs w:val="30"/>
          <w:highlight w:val="none"/>
          <w:lang w:val="en-US" w:eastAsia="zh-CN"/>
        </w:rPr>
        <w:t>如有</w:t>
      </w:r>
      <w:r>
        <w:rPr>
          <w:rFonts w:hint="eastAsia" w:ascii="宋体" w:hAnsi="宋体" w:eastAsia="宋体" w:cs="宋体"/>
          <w:b/>
          <w:bCs/>
          <w:spacing w:val="6"/>
          <w:sz w:val="30"/>
          <w:szCs w:val="30"/>
          <w:highlight w:val="none"/>
          <w:lang w:eastAsia="zh-CN"/>
        </w:rPr>
        <w:t>）</w:t>
      </w:r>
      <w:bookmarkEnd w:id="187"/>
      <w:bookmarkEnd w:id="188"/>
      <w:bookmarkEnd w:id="189"/>
      <w:bookmarkEnd w:id="190"/>
    </w:p>
    <w:p w14:paraId="106C7F57">
      <w:pPr>
        <w:spacing w:line="588" w:lineRule="exact"/>
        <w:jc w:val="center"/>
        <w:outlineLvl w:val="9"/>
        <w:rPr>
          <w:rFonts w:hint="eastAsia" w:ascii="宋体" w:hAnsi="宋体" w:eastAsia="宋体" w:cs="宋体"/>
          <w:b/>
          <w:spacing w:val="6"/>
          <w:sz w:val="32"/>
          <w:szCs w:val="32"/>
          <w:highlight w:val="none"/>
        </w:rPr>
      </w:pPr>
      <w:bookmarkStart w:id="191" w:name="OLE_LINK14"/>
      <w:bookmarkStart w:id="192" w:name="OLE_LINK13"/>
      <w:r>
        <w:rPr>
          <w:rFonts w:hint="eastAsia" w:ascii="宋体" w:hAnsi="宋体" w:eastAsia="宋体" w:cs="宋体"/>
          <w:b/>
          <w:spacing w:val="6"/>
          <w:sz w:val="32"/>
          <w:szCs w:val="32"/>
          <w:highlight w:val="none"/>
        </w:rPr>
        <w:t>残疾人福利性单位声明函</w:t>
      </w:r>
    </w:p>
    <w:bookmarkEnd w:id="191"/>
    <w:bookmarkEnd w:id="192"/>
    <w:p w14:paraId="1F9851C3">
      <w:pPr>
        <w:spacing w:line="588" w:lineRule="exact"/>
        <w:rPr>
          <w:rFonts w:hint="eastAsia" w:ascii="宋体" w:hAnsi="宋体" w:eastAsia="宋体" w:cs="宋体"/>
          <w:b/>
          <w:spacing w:val="6"/>
          <w:sz w:val="30"/>
          <w:szCs w:val="30"/>
          <w:highlight w:val="none"/>
        </w:rPr>
      </w:pPr>
    </w:p>
    <w:p w14:paraId="30CF847F">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 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90DF12">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14:paraId="6A6EE3AB">
      <w:pPr>
        <w:spacing w:line="588" w:lineRule="exact"/>
        <w:ind w:firstLine="504" w:firstLineChars="200"/>
        <w:rPr>
          <w:rFonts w:hint="eastAsia" w:ascii="宋体" w:hAnsi="宋体" w:eastAsia="宋体" w:cs="宋体"/>
          <w:spacing w:val="6"/>
          <w:szCs w:val="24"/>
          <w:highlight w:val="none"/>
        </w:rPr>
      </w:pPr>
    </w:p>
    <w:p w14:paraId="42FEDE77">
      <w:pPr>
        <w:spacing w:line="588" w:lineRule="exact"/>
        <w:ind w:firstLine="504" w:firstLineChars="200"/>
        <w:rPr>
          <w:rFonts w:hint="eastAsia" w:ascii="宋体" w:hAnsi="宋体" w:eastAsia="宋体" w:cs="宋体"/>
          <w:spacing w:val="6"/>
          <w:szCs w:val="24"/>
          <w:highlight w:val="none"/>
        </w:rPr>
      </w:pPr>
    </w:p>
    <w:p w14:paraId="79E0E126">
      <w:pPr>
        <w:spacing w:line="588" w:lineRule="exact"/>
        <w:ind w:firstLine="504" w:firstLineChars="200"/>
        <w:rPr>
          <w:rFonts w:hint="eastAsia" w:ascii="宋体" w:hAnsi="宋体" w:eastAsia="宋体" w:cs="宋体"/>
          <w:spacing w:val="6"/>
          <w:szCs w:val="24"/>
          <w:highlight w:val="none"/>
        </w:rPr>
      </w:pPr>
    </w:p>
    <w:p w14:paraId="39285C5E">
      <w:pPr>
        <w:spacing w:line="588" w:lineRule="exact"/>
        <w:ind w:firstLine="504" w:firstLineChars="200"/>
        <w:rPr>
          <w:rFonts w:hint="eastAsia" w:ascii="宋体" w:hAnsi="宋体" w:eastAsia="宋体" w:cs="宋体"/>
          <w:spacing w:val="6"/>
          <w:szCs w:val="24"/>
          <w:highlight w:val="none"/>
        </w:rPr>
      </w:pPr>
    </w:p>
    <w:p w14:paraId="50521B50">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单位名称（盖章）：</w:t>
      </w:r>
    </w:p>
    <w:p w14:paraId="615A640A">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日    期：</w:t>
      </w:r>
    </w:p>
    <w:p w14:paraId="15BE2B53">
      <w:pPr>
        <w:rPr>
          <w:rFonts w:hint="eastAsia" w:ascii="宋体" w:hAnsi="宋体" w:eastAsia="宋体" w:cs="宋体"/>
          <w:szCs w:val="24"/>
          <w:highlight w:val="none"/>
        </w:rPr>
      </w:pPr>
      <w:r>
        <w:rPr>
          <w:rFonts w:hint="eastAsia" w:ascii="宋体" w:hAnsi="宋体" w:eastAsia="宋体" w:cs="宋体"/>
          <w:szCs w:val="24"/>
          <w:highlight w:val="none"/>
        </w:rPr>
        <w:br w:type="page"/>
      </w:r>
    </w:p>
    <w:p w14:paraId="6B63604E">
      <w:pPr>
        <w:spacing w:line="360" w:lineRule="auto"/>
        <w:rPr>
          <w:rFonts w:hAnsi="宋体" w:cs="宋体"/>
          <w:b/>
          <w:color w:val="auto"/>
          <w:sz w:val="28"/>
          <w:szCs w:val="28"/>
          <w:highlight w:val="none"/>
        </w:rPr>
      </w:pPr>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hAnsi="宋体" w:cs="宋体"/>
          <w:b/>
          <w:color w:val="auto"/>
          <w:sz w:val="28"/>
          <w:szCs w:val="28"/>
          <w:highlight w:val="none"/>
        </w:rPr>
        <w:t>：</w:t>
      </w:r>
    </w:p>
    <w:p w14:paraId="36886F51">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399F5F6E">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16C21A8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00E4C8C0">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783DAEF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0964361A">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3CC6147C">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58F8D2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454A6318">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4A898E1C">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30A85DAD">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399252E3">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0E6126E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65D6A5B2">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12878D6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53E707C4">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7D9BF304">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380C4371">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47D11D8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0F153F9C">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09E22C6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48662E0D">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1E46FCAB">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62DA070F">
      <w:pPr>
        <w:rPr>
          <w:rFonts w:hAnsi="宋体" w:cs="宋体"/>
          <w:color w:val="auto"/>
          <w:szCs w:val="24"/>
          <w:highlight w:val="none"/>
        </w:rPr>
      </w:pPr>
      <w:r>
        <w:rPr>
          <w:rFonts w:hint="eastAsia" w:hAnsi="宋体" w:cs="宋体"/>
          <w:color w:val="auto"/>
          <w:szCs w:val="24"/>
          <w:highlight w:val="none"/>
        </w:rPr>
        <w:t xml:space="preserve">签字(签章)：                   公章：                      </w:t>
      </w:r>
    </w:p>
    <w:p w14:paraId="6D3E4DC0">
      <w:pPr>
        <w:rPr>
          <w:rFonts w:hAnsi="宋体" w:cs="宋体"/>
          <w:color w:val="auto"/>
          <w:szCs w:val="24"/>
          <w:highlight w:val="none"/>
        </w:rPr>
      </w:pPr>
      <w:r>
        <w:rPr>
          <w:rFonts w:hint="eastAsia" w:hAnsi="宋体" w:cs="宋体"/>
          <w:color w:val="auto"/>
          <w:szCs w:val="24"/>
          <w:highlight w:val="none"/>
        </w:rPr>
        <w:t xml:space="preserve">日期：    </w:t>
      </w:r>
    </w:p>
    <w:p w14:paraId="6350485F">
      <w:pPr>
        <w:jc w:val="center"/>
        <w:rPr>
          <w:rFonts w:hAnsi="宋体" w:cs="宋体"/>
          <w:b/>
          <w:color w:val="auto"/>
          <w:sz w:val="44"/>
          <w:szCs w:val="44"/>
          <w:highlight w:val="none"/>
        </w:rPr>
      </w:pPr>
    </w:p>
    <w:p w14:paraId="0CF3C859">
      <w:pPr>
        <w:jc w:val="center"/>
        <w:rPr>
          <w:rFonts w:hAnsi="宋体" w:cs="宋体"/>
          <w:b/>
          <w:color w:val="auto"/>
          <w:sz w:val="44"/>
          <w:szCs w:val="44"/>
          <w:highlight w:val="none"/>
        </w:rPr>
      </w:pPr>
    </w:p>
    <w:p w14:paraId="37CDE01A">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694947BC">
      <w:pPr>
        <w:rPr>
          <w:rFonts w:hAnsi="宋体" w:cs="宋体"/>
          <w:color w:val="auto"/>
          <w:szCs w:val="24"/>
          <w:highlight w:val="none"/>
        </w:rPr>
      </w:pPr>
      <w:r>
        <w:rPr>
          <w:rFonts w:hint="eastAsia" w:hAnsi="宋体" w:cs="宋体"/>
          <w:color w:val="auto"/>
          <w:szCs w:val="24"/>
          <w:highlight w:val="none"/>
        </w:rPr>
        <w:t>一、投诉相关主体基本情况</w:t>
      </w:r>
    </w:p>
    <w:p w14:paraId="316936F9">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4A40570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63DE643">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0A94C1AB">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6F6F5DA">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241B9562">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06ACFD4D">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23AD73A3">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8D5B1A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723149E">
      <w:pPr>
        <w:rPr>
          <w:rFonts w:hAnsi="宋体" w:cs="宋体"/>
          <w:color w:val="auto"/>
          <w:szCs w:val="24"/>
          <w:highlight w:val="none"/>
        </w:rPr>
      </w:pPr>
      <w:r>
        <w:rPr>
          <w:rFonts w:hint="eastAsia" w:hAnsi="宋体" w:cs="宋体"/>
          <w:color w:val="auto"/>
          <w:szCs w:val="24"/>
          <w:highlight w:val="none"/>
        </w:rPr>
        <w:t>被投诉人2</w:t>
      </w:r>
    </w:p>
    <w:p w14:paraId="35BAC051">
      <w:pPr>
        <w:rPr>
          <w:rFonts w:hAnsi="宋体" w:cs="宋体"/>
          <w:color w:val="auto"/>
          <w:szCs w:val="24"/>
          <w:highlight w:val="none"/>
          <w:u w:val="dotted"/>
        </w:rPr>
      </w:pPr>
      <w:r>
        <w:rPr>
          <w:rFonts w:hint="eastAsia" w:hAnsi="宋体" w:cs="宋体"/>
          <w:color w:val="auto"/>
          <w:szCs w:val="24"/>
          <w:highlight w:val="none"/>
        </w:rPr>
        <w:t>……</w:t>
      </w:r>
    </w:p>
    <w:p w14:paraId="6AAE88B9">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60A95BDC">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9618B5E">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8DB2B0D">
      <w:pPr>
        <w:rPr>
          <w:rFonts w:hAnsi="宋体" w:cs="宋体"/>
          <w:color w:val="auto"/>
          <w:szCs w:val="24"/>
          <w:highlight w:val="none"/>
        </w:rPr>
      </w:pPr>
      <w:r>
        <w:rPr>
          <w:rFonts w:hint="eastAsia" w:hAnsi="宋体" w:cs="宋体"/>
          <w:color w:val="auto"/>
          <w:szCs w:val="24"/>
          <w:highlight w:val="none"/>
        </w:rPr>
        <w:t>二、投诉项目基本情况</w:t>
      </w:r>
    </w:p>
    <w:p w14:paraId="04BDCF50">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7F54E740">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36D35403">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DEE4259">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279B6082">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57F7A37E">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3DA3FBD0">
      <w:pPr>
        <w:rPr>
          <w:rFonts w:hAnsi="宋体" w:cs="宋体"/>
          <w:color w:val="auto"/>
          <w:szCs w:val="24"/>
          <w:highlight w:val="none"/>
        </w:rPr>
      </w:pPr>
      <w:r>
        <w:rPr>
          <w:rFonts w:hint="eastAsia" w:hAnsi="宋体" w:cs="宋体"/>
          <w:color w:val="auto"/>
          <w:szCs w:val="24"/>
          <w:highlight w:val="none"/>
        </w:rPr>
        <w:t>三、质疑基本情况</w:t>
      </w:r>
    </w:p>
    <w:p w14:paraId="578B0E5A">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6CE52EEB">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1AC301D6">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70A10588">
      <w:pPr>
        <w:rPr>
          <w:rFonts w:hAnsi="宋体" w:cs="宋体"/>
          <w:color w:val="auto"/>
          <w:szCs w:val="24"/>
          <w:highlight w:val="none"/>
        </w:rPr>
      </w:pPr>
      <w:r>
        <w:rPr>
          <w:rFonts w:hint="eastAsia" w:hAnsi="宋体" w:cs="宋体"/>
          <w:color w:val="auto"/>
          <w:szCs w:val="24"/>
          <w:highlight w:val="none"/>
        </w:rPr>
        <w:t>四、投诉事项具体内容</w:t>
      </w:r>
    </w:p>
    <w:p w14:paraId="054C61D4">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39B7BD8D">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2057CC85">
      <w:pPr>
        <w:rPr>
          <w:rFonts w:hAnsi="宋体" w:cs="宋体"/>
          <w:color w:val="auto"/>
          <w:szCs w:val="24"/>
          <w:highlight w:val="none"/>
          <w:u w:val="dotted"/>
        </w:rPr>
      </w:pPr>
      <w:r>
        <w:rPr>
          <w:rFonts w:hint="eastAsia" w:hAnsi="宋体" w:cs="宋体"/>
          <w:color w:val="auto"/>
          <w:szCs w:val="24"/>
          <w:highlight w:val="none"/>
          <w:u w:val="dotted"/>
        </w:rPr>
        <w:t xml:space="preserve">                                                      </w:t>
      </w:r>
    </w:p>
    <w:p w14:paraId="07EAFD24">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75FD435C">
      <w:pPr>
        <w:rPr>
          <w:rFonts w:hAnsi="宋体" w:cs="宋体"/>
          <w:color w:val="auto"/>
          <w:szCs w:val="24"/>
          <w:highlight w:val="none"/>
          <w:u w:val="dotted"/>
        </w:rPr>
      </w:pPr>
      <w:r>
        <w:rPr>
          <w:rFonts w:hint="eastAsia" w:hAnsi="宋体" w:cs="宋体"/>
          <w:color w:val="auto"/>
          <w:szCs w:val="24"/>
          <w:highlight w:val="none"/>
          <w:u w:val="dotted"/>
        </w:rPr>
        <w:t xml:space="preserve">                                                      </w:t>
      </w:r>
    </w:p>
    <w:p w14:paraId="51E29105">
      <w:pPr>
        <w:rPr>
          <w:rFonts w:hAnsi="宋体" w:cs="宋体"/>
          <w:color w:val="auto"/>
          <w:szCs w:val="24"/>
          <w:highlight w:val="none"/>
        </w:rPr>
      </w:pPr>
      <w:r>
        <w:rPr>
          <w:rFonts w:hint="eastAsia" w:hAnsi="宋体" w:cs="宋体"/>
          <w:color w:val="auto"/>
          <w:szCs w:val="24"/>
          <w:highlight w:val="none"/>
        </w:rPr>
        <w:t>投诉事项2</w:t>
      </w:r>
    </w:p>
    <w:p w14:paraId="1469D19B">
      <w:pPr>
        <w:rPr>
          <w:rFonts w:hAnsi="宋体" w:cs="宋体"/>
          <w:color w:val="auto"/>
          <w:szCs w:val="24"/>
          <w:highlight w:val="none"/>
          <w:u w:val="dotted"/>
        </w:rPr>
      </w:pPr>
      <w:r>
        <w:rPr>
          <w:rFonts w:hint="eastAsia" w:hAnsi="宋体" w:cs="宋体"/>
          <w:color w:val="auto"/>
          <w:szCs w:val="24"/>
          <w:highlight w:val="none"/>
        </w:rPr>
        <w:t>……</w:t>
      </w:r>
    </w:p>
    <w:p w14:paraId="7F59CBFE">
      <w:pPr>
        <w:rPr>
          <w:rFonts w:hAnsi="宋体" w:cs="宋体"/>
          <w:color w:val="auto"/>
          <w:szCs w:val="24"/>
          <w:highlight w:val="none"/>
        </w:rPr>
      </w:pPr>
      <w:r>
        <w:rPr>
          <w:rFonts w:hint="eastAsia" w:hAnsi="宋体" w:cs="宋体"/>
          <w:color w:val="auto"/>
          <w:szCs w:val="24"/>
          <w:highlight w:val="none"/>
        </w:rPr>
        <w:t>五、与投诉事项相关的投诉请求</w:t>
      </w:r>
    </w:p>
    <w:p w14:paraId="15F96BF7">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70421F92">
      <w:pPr>
        <w:rPr>
          <w:rFonts w:hAnsi="宋体" w:cs="宋体"/>
          <w:color w:val="auto"/>
          <w:szCs w:val="24"/>
          <w:highlight w:val="none"/>
          <w:u w:val="single"/>
        </w:rPr>
      </w:pPr>
      <w:r>
        <w:rPr>
          <w:rFonts w:hint="eastAsia" w:hAnsi="宋体" w:cs="宋体"/>
          <w:color w:val="auto"/>
          <w:szCs w:val="24"/>
          <w:highlight w:val="none"/>
        </w:rPr>
        <w:t xml:space="preserve">                                                                                                    </w:t>
      </w:r>
    </w:p>
    <w:p w14:paraId="0F2566F0">
      <w:pPr>
        <w:rPr>
          <w:rFonts w:hAnsi="宋体" w:cs="宋体"/>
          <w:color w:val="auto"/>
          <w:szCs w:val="24"/>
          <w:highlight w:val="none"/>
        </w:rPr>
      </w:pPr>
      <w:r>
        <w:rPr>
          <w:rFonts w:hint="eastAsia" w:hAnsi="宋体" w:cs="宋体"/>
          <w:color w:val="auto"/>
          <w:szCs w:val="24"/>
          <w:highlight w:val="none"/>
        </w:rPr>
        <w:t xml:space="preserve">签字(签章)：                   公章：                      </w:t>
      </w:r>
    </w:p>
    <w:p w14:paraId="62790682">
      <w:pPr>
        <w:rPr>
          <w:rFonts w:hAnsi="宋体" w:cs="宋体"/>
          <w:color w:val="auto"/>
          <w:szCs w:val="24"/>
          <w:highlight w:val="none"/>
        </w:rPr>
      </w:pPr>
      <w:r>
        <w:rPr>
          <w:rFonts w:hint="eastAsia" w:hAnsi="宋体" w:cs="宋体"/>
          <w:color w:val="auto"/>
          <w:szCs w:val="24"/>
          <w:highlight w:val="none"/>
        </w:rPr>
        <w:t xml:space="preserve">日期：                      </w:t>
      </w:r>
      <w:r>
        <w:rPr>
          <w:rFonts w:hint="eastAsia" w:hAnsi="宋体" w:cs="宋体"/>
          <w:color w:val="auto"/>
          <w:szCs w:val="24"/>
          <w:highlight w:val="none"/>
        </w:rPr>
        <w:tab/>
      </w:r>
    </w:p>
    <w:p w14:paraId="44479257">
      <w:pPr>
        <w:spacing w:line="360" w:lineRule="auto"/>
        <w:rPr>
          <w:rFonts w:hint="eastAsia" w:ascii="宋体" w:hAnsi="宋体" w:eastAsia="宋体" w:cs="宋体"/>
          <w:szCs w:val="24"/>
          <w:highlight w:val="none"/>
        </w:rPr>
      </w:pPr>
    </w:p>
    <w:sectPr>
      <w:pgSz w:w="11906" w:h="16838"/>
      <w:pgMar w:top="1361" w:right="1304" w:bottom="1361" w:left="130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GYXIQ+Frutiger-Cn">
    <w:altName w:val="宋体"/>
    <w:panose1 w:val="020B0604020202020204"/>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B8B2A">
    <w:pPr>
      <w:pStyle w:val="12"/>
      <w:rPr>
        <w:rFonts w:hint="eastAsia" w:eastAsia="宋体"/>
        <w:lang w:eastAsia="zh-CN"/>
      </w:rPr>
    </w:pP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A8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A4D2E">
    <w:pPr>
      <w:pStyle w:val="12"/>
      <w:rPr>
        <w:rFonts w:hint="eastAsia" w:eastAsia="宋体"/>
        <w:lang w:eastAsia="zh-CN"/>
      </w:rPr>
    </w:pP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2362">
    <w:pPr>
      <w:pStyle w:val="12"/>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1E85">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A99D3">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7A99D3">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0A6BF641">
    <w:pPr>
      <w:pStyle w:val="12"/>
      <w:jc w:val="both"/>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9D33">
    <w:pPr>
      <w:pStyle w:val="1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87C3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1287C3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F2EC">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E0E32">
                          <w:pPr>
                            <w:pStyle w:val="12"/>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CE0E32">
                    <w:pPr>
                      <w:pStyle w:val="12"/>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0986">
    <w:pPr>
      <w:pStyle w:val="12"/>
      <w:rPr>
        <w:rFonts w:ascii="Times New Roman" w:hAnsi="Times New Roman"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BCCDC">
                          <w:pPr>
                            <w:pStyle w:val="12"/>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C0BCCDC">
                    <w:pPr>
                      <w:pStyle w:val="12"/>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9022">
    <w:pPr>
      <w:rPr>
        <w:rFonts w:hint="eastAsia"/>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FD959">
                          <w:pPr>
                            <w:pStyle w:val="12"/>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0FD959">
                    <w:pPr>
                      <w:pStyle w:val="12"/>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8A23">
    <w:pPr>
      <w:spacing w:line="500" w:lineRule="exact"/>
      <w:ind w:left="1530" w:hanging="1530" w:hangingChars="850"/>
      <w:jc w:val="left"/>
      <w:rPr>
        <w:rFonts w:hAnsi="宋体" w:cs="宋体"/>
        <w:szCs w:val="24"/>
      </w:rPr>
    </w:pPr>
    <w:r>
      <w:rPr>
        <w:rFonts w:hint="eastAsia" w:hAnsi="宋体"/>
        <w:bCs/>
        <w:sz w:val="18"/>
        <w:szCs w:val="18"/>
        <w:u w:val="single"/>
        <w:lang w:eastAsia="zh-CN"/>
      </w:rPr>
      <w:t>柞水县城区周边森林管护与绿化提升项目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72F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5B9C">
    <w:pPr>
      <w:pStyle w:val="13"/>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F092">
    <w:pPr>
      <w:spacing w:line="500" w:lineRule="exact"/>
      <w:ind w:left="1530" w:hanging="1530" w:hangingChars="850"/>
      <w:jc w:val="left"/>
      <w:rPr>
        <w:rFonts w:hAnsi="宋体" w:cs="宋体"/>
        <w:szCs w:val="24"/>
      </w:rPr>
    </w:pPr>
    <w:r>
      <w:rPr>
        <w:rFonts w:hint="eastAsia" w:hAnsi="宋体"/>
        <w:bCs/>
        <w:sz w:val="18"/>
        <w:szCs w:val="18"/>
        <w:u w:val="single"/>
        <w:lang w:eastAsia="zh-CN"/>
      </w:rPr>
      <w:t>柞水县城区周边森林管护与绿化提升项目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DF9E"/>
    <w:multiLevelType w:val="singleLevel"/>
    <w:tmpl w:val="BBFEDF9E"/>
    <w:lvl w:ilvl="0" w:tentative="0">
      <w:start w:val="1"/>
      <w:numFmt w:val="decimal"/>
      <w:suff w:val="nothing"/>
      <w:lvlText w:val="%1、"/>
      <w:lvlJc w:val="left"/>
    </w:lvl>
  </w:abstractNum>
  <w:abstractNum w:abstractNumId="1">
    <w:nsid w:val="0E865C01"/>
    <w:multiLevelType w:val="multilevel"/>
    <w:tmpl w:val="0E865C01"/>
    <w:lvl w:ilvl="0" w:tentative="0">
      <w:start w:val="1"/>
      <w:numFmt w:val="chineseCountingThousand"/>
      <w:suff w:val="space"/>
      <w:lvlText w:val="第%1章"/>
      <w:lvlJc w:val="center"/>
      <w:pPr>
        <w:ind w:left="0" w:firstLine="0"/>
      </w:pPr>
      <w:rPr>
        <w:rFonts w:hint="eastAsia"/>
        <w:bCs w:val="0"/>
        <w:i w:val="0"/>
        <w:iCs w:val="0"/>
        <w:caps w:val="0"/>
        <w:smallCaps w:val="0"/>
        <w:strike w:val="0"/>
        <w:dstrike w:val="0"/>
        <w:vanish w:val="0"/>
        <w:spacing w:val="0"/>
        <w:position w:val="0"/>
        <w:u w:val="none"/>
        <w:vertAlign w:val="baseline"/>
      </w:rPr>
    </w:lvl>
    <w:lvl w:ilvl="1" w:tentative="0">
      <w:start w:val="1"/>
      <w:numFmt w:val="decimal"/>
      <w:isLgl/>
      <w:suff w:val="space"/>
      <w:lvlText w:val="%1.%2"/>
      <w:lvlJc w:val="left"/>
      <w:pPr>
        <w:ind w:left="-2787" w:firstLine="0"/>
      </w:pPr>
      <w:rPr>
        <w:rFonts w:hint="default" w:ascii="Times New Roman" w:hAnsi="Times New Roman" w:cs="Times New Roman"/>
      </w:rPr>
    </w:lvl>
    <w:lvl w:ilvl="2" w:tentative="0">
      <w:start w:val="1"/>
      <w:numFmt w:val="decimal"/>
      <w:isLgl/>
      <w:suff w:val="space"/>
      <w:lvlText w:val="%1.%2.%3"/>
      <w:lvlJc w:val="left"/>
      <w:pPr>
        <w:ind w:left="-2787" w:firstLine="0"/>
      </w:pPr>
      <w:rPr>
        <w:rFonts w:hint="default" w:ascii="Times New Roman" w:hAnsi="Times New Roman" w:cs="Times New Roman"/>
      </w:rPr>
    </w:lvl>
    <w:lvl w:ilvl="3" w:tentative="0">
      <w:start w:val="1"/>
      <w:numFmt w:val="decimal"/>
      <w:pStyle w:val="38"/>
      <w:suff w:val="nothing"/>
      <w:lvlText w:val="%4、"/>
      <w:lvlJc w:val="left"/>
      <w:pPr>
        <w:ind w:left="0" w:firstLine="0"/>
      </w:pPr>
      <w:rPr>
        <w:rFonts w:hint="eastAsia" w:cs="Times New Roman"/>
        <w:bCs w:val="0"/>
        <w:i w:val="0"/>
        <w:iCs w:val="0"/>
        <w:caps w:val="0"/>
        <w:smallCaps w:val="0"/>
        <w:strike w:val="0"/>
        <w:dstrike w:val="0"/>
        <w:vanish w:val="0"/>
        <w:spacing w:val="0"/>
        <w:position w:val="0"/>
        <w:u w:val="none"/>
        <w:vertAlign w:val="baseline"/>
      </w:rPr>
    </w:lvl>
    <w:lvl w:ilvl="4" w:tentative="0">
      <w:start w:val="1"/>
      <w:numFmt w:val="decimal"/>
      <w:suff w:val="nothing"/>
      <w:lvlText w:val="（%5）"/>
      <w:lvlJc w:val="left"/>
      <w:pPr>
        <w:ind w:left="0" w:firstLine="0"/>
      </w:pPr>
      <w:rPr>
        <w:rFonts w:hint="eastAsia" w:cs="Times New Roman"/>
        <w:bCs w:val="0"/>
        <w:i w:val="0"/>
        <w:iCs w:val="0"/>
        <w:caps w:val="0"/>
        <w:smallCaps w:val="0"/>
        <w:strike w:val="0"/>
        <w:dstrike w:val="0"/>
        <w:vanish w:val="0"/>
        <w:spacing w:val="0"/>
        <w:position w:val="0"/>
        <w:u w:val="none"/>
        <w:vertAlign w:val="baseline"/>
      </w:rPr>
    </w:lvl>
    <w:lvl w:ilvl="5" w:tentative="0">
      <w:start w:val="1"/>
      <w:numFmt w:val="none"/>
      <w:suff w:val="nothing"/>
      <w:lvlText w:val=""/>
      <w:lvlJc w:val="left"/>
      <w:pPr>
        <w:ind w:left="-2787" w:firstLine="0"/>
      </w:pPr>
      <w:rPr>
        <w:rFonts w:hint="eastAsia"/>
      </w:rPr>
    </w:lvl>
    <w:lvl w:ilvl="6" w:tentative="0">
      <w:start w:val="1"/>
      <w:numFmt w:val="none"/>
      <w:suff w:val="nothing"/>
      <w:lvlText w:val=""/>
      <w:lvlJc w:val="left"/>
      <w:pPr>
        <w:ind w:left="-2787" w:firstLine="0"/>
      </w:pPr>
      <w:rPr>
        <w:rFonts w:hint="eastAsia"/>
      </w:rPr>
    </w:lvl>
    <w:lvl w:ilvl="7" w:tentative="0">
      <w:start w:val="1"/>
      <w:numFmt w:val="none"/>
      <w:suff w:val="nothing"/>
      <w:lvlText w:val=""/>
      <w:lvlJc w:val="left"/>
      <w:pPr>
        <w:ind w:left="-2787" w:firstLine="0"/>
      </w:pPr>
      <w:rPr>
        <w:rFonts w:hint="eastAsia"/>
      </w:rPr>
    </w:lvl>
    <w:lvl w:ilvl="8" w:tentative="0">
      <w:start w:val="1"/>
      <w:numFmt w:val="none"/>
      <w:suff w:val="nothing"/>
      <w:lvlText w:val=""/>
      <w:lvlJc w:val="left"/>
      <w:pPr>
        <w:ind w:left="-2787" w:firstLine="0"/>
      </w:pPr>
      <w:rPr>
        <w:rFonts w:hint="eastAsia"/>
      </w:rPr>
    </w:lvl>
  </w:abstractNum>
  <w:abstractNum w:abstractNumId="2">
    <w:nsid w:val="3345DCC0"/>
    <w:multiLevelType w:val="singleLevel"/>
    <w:tmpl w:val="3345DCC0"/>
    <w:lvl w:ilvl="0" w:tentative="0">
      <w:start w:val="1"/>
      <w:numFmt w:val="decimal"/>
      <w:suff w:val="nothing"/>
      <w:lvlText w:val="%1）"/>
      <w:lvlJc w:val="left"/>
    </w:lvl>
  </w:abstractNum>
  <w:abstractNum w:abstractNumId="3">
    <w:nsid w:val="5354ECB6"/>
    <w:multiLevelType w:val="singleLevel"/>
    <w:tmpl w:val="5354ECB6"/>
    <w:lvl w:ilvl="0" w:tentative="0">
      <w:start w:val="1"/>
      <w:numFmt w:val="decimal"/>
      <w:suff w:val="nothing"/>
      <w:lvlText w:val="%1、"/>
      <w:lvlJc w:val="left"/>
    </w:lvl>
  </w:abstractNum>
  <w:abstractNum w:abstractNumId="4">
    <w:nsid w:val="59B2460E"/>
    <w:multiLevelType w:val="singleLevel"/>
    <w:tmpl w:val="59B2460E"/>
    <w:lvl w:ilvl="0" w:tentative="0">
      <w:start w:val="2"/>
      <w:numFmt w:val="decimal"/>
      <w:suff w:val="nothing"/>
      <w:lvlText w:val="%1."/>
      <w:lvlJc w:val="left"/>
    </w:lvl>
  </w:abstractNum>
  <w:abstractNum w:abstractNumId="5">
    <w:nsid w:val="59CF0981"/>
    <w:multiLevelType w:val="singleLevel"/>
    <w:tmpl w:val="59CF0981"/>
    <w:lvl w:ilvl="0" w:tentative="0">
      <w:start w:val="1"/>
      <w:numFmt w:val="decimal"/>
      <w:suff w:val="nothing"/>
      <w:lvlText w:val="%1、"/>
      <w:lvlJc w:val="left"/>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zAxNTgxYjAxOTI0ZjUxMzZjMDU1NTMzNDBmOTIifQ=="/>
  </w:docVars>
  <w:rsids>
    <w:rsidRoot w:val="00000000"/>
    <w:rsid w:val="027F39A3"/>
    <w:rsid w:val="02DB30C0"/>
    <w:rsid w:val="03003BEF"/>
    <w:rsid w:val="03805942"/>
    <w:rsid w:val="03984E6C"/>
    <w:rsid w:val="062F6AA3"/>
    <w:rsid w:val="08900771"/>
    <w:rsid w:val="08FF5785"/>
    <w:rsid w:val="09797736"/>
    <w:rsid w:val="098B3F8E"/>
    <w:rsid w:val="09B27A9B"/>
    <w:rsid w:val="0A621DE4"/>
    <w:rsid w:val="0AA96DC2"/>
    <w:rsid w:val="0AD02CD3"/>
    <w:rsid w:val="0B7D3086"/>
    <w:rsid w:val="0BAF72D6"/>
    <w:rsid w:val="0D312B02"/>
    <w:rsid w:val="0D9C49BC"/>
    <w:rsid w:val="0ED369FD"/>
    <w:rsid w:val="0FCF3D54"/>
    <w:rsid w:val="10484987"/>
    <w:rsid w:val="16374A99"/>
    <w:rsid w:val="167E0785"/>
    <w:rsid w:val="17587E2E"/>
    <w:rsid w:val="177A1A88"/>
    <w:rsid w:val="185376D8"/>
    <w:rsid w:val="18840199"/>
    <w:rsid w:val="1BD60025"/>
    <w:rsid w:val="1D5E4931"/>
    <w:rsid w:val="1DA7093D"/>
    <w:rsid w:val="1E71154D"/>
    <w:rsid w:val="1E93534B"/>
    <w:rsid w:val="1FAC4007"/>
    <w:rsid w:val="1FD55B9E"/>
    <w:rsid w:val="1FD670D9"/>
    <w:rsid w:val="1FD71C96"/>
    <w:rsid w:val="1FFA6E05"/>
    <w:rsid w:val="20B6409E"/>
    <w:rsid w:val="21507B40"/>
    <w:rsid w:val="21A41C3A"/>
    <w:rsid w:val="21ED35E0"/>
    <w:rsid w:val="22A31EF1"/>
    <w:rsid w:val="23783027"/>
    <w:rsid w:val="238B4E5F"/>
    <w:rsid w:val="23A06952"/>
    <w:rsid w:val="247C75B5"/>
    <w:rsid w:val="25AF5F1E"/>
    <w:rsid w:val="26550AE2"/>
    <w:rsid w:val="2808340F"/>
    <w:rsid w:val="28294B17"/>
    <w:rsid w:val="2BEB5215"/>
    <w:rsid w:val="2C007380"/>
    <w:rsid w:val="2D8368BF"/>
    <w:rsid w:val="2E123C46"/>
    <w:rsid w:val="2F1D3960"/>
    <w:rsid w:val="2F4862FA"/>
    <w:rsid w:val="2F742AF9"/>
    <w:rsid w:val="3072141A"/>
    <w:rsid w:val="31126BC0"/>
    <w:rsid w:val="32DE79B1"/>
    <w:rsid w:val="344A596A"/>
    <w:rsid w:val="351522E2"/>
    <w:rsid w:val="36673126"/>
    <w:rsid w:val="38442EB7"/>
    <w:rsid w:val="3A0544CE"/>
    <w:rsid w:val="3A2F45B0"/>
    <w:rsid w:val="3AF62EE4"/>
    <w:rsid w:val="3B581E62"/>
    <w:rsid w:val="3C934794"/>
    <w:rsid w:val="3DB868C6"/>
    <w:rsid w:val="3DD9438E"/>
    <w:rsid w:val="3DFD1AFF"/>
    <w:rsid w:val="3F734DA3"/>
    <w:rsid w:val="40194B81"/>
    <w:rsid w:val="40BB3B48"/>
    <w:rsid w:val="41A32991"/>
    <w:rsid w:val="41FD03B0"/>
    <w:rsid w:val="44B77688"/>
    <w:rsid w:val="46556D0D"/>
    <w:rsid w:val="468A1E4C"/>
    <w:rsid w:val="46B42555"/>
    <w:rsid w:val="47264B6E"/>
    <w:rsid w:val="483E1AB6"/>
    <w:rsid w:val="4AB541D3"/>
    <w:rsid w:val="4B900DCE"/>
    <w:rsid w:val="4BB24A44"/>
    <w:rsid w:val="4CFE47D7"/>
    <w:rsid w:val="4FB235F0"/>
    <w:rsid w:val="51012813"/>
    <w:rsid w:val="516D45E5"/>
    <w:rsid w:val="51736DAF"/>
    <w:rsid w:val="54B76D3F"/>
    <w:rsid w:val="550D73A8"/>
    <w:rsid w:val="550F1D78"/>
    <w:rsid w:val="551D2408"/>
    <w:rsid w:val="55F74B93"/>
    <w:rsid w:val="58E90F33"/>
    <w:rsid w:val="5A4A2DB4"/>
    <w:rsid w:val="5B3A53C9"/>
    <w:rsid w:val="5BB75EDA"/>
    <w:rsid w:val="5C9E6BB9"/>
    <w:rsid w:val="5D2A2F89"/>
    <w:rsid w:val="5D9277EA"/>
    <w:rsid w:val="5F3C1FEB"/>
    <w:rsid w:val="62AF2A80"/>
    <w:rsid w:val="630177CF"/>
    <w:rsid w:val="64D44EE8"/>
    <w:rsid w:val="64DF6288"/>
    <w:rsid w:val="679F7FF6"/>
    <w:rsid w:val="686A72EE"/>
    <w:rsid w:val="69DB2E2E"/>
    <w:rsid w:val="69F666F3"/>
    <w:rsid w:val="6A520D7C"/>
    <w:rsid w:val="6A6E4160"/>
    <w:rsid w:val="6B6A456A"/>
    <w:rsid w:val="6BD64640"/>
    <w:rsid w:val="6F1417D1"/>
    <w:rsid w:val="70181D36"/>
    <w:rsid w:val="718A4F10"/>
    <w:rsid w:val="72922AB3"/>
    <w:rsid w:val="7297083C"/>
    <w:rsid w:val="72E91A6A"/>
    <w:rsid w:val="738B20A7"/>
    <w:rsid w:val="739466BB"/>
    <w:rsid w:val="74321011"/>
    <w:rsid w:val="74631D93"/>
    <w:rsid w:val="74F32F6D"/>
    <w:rsid w:val="763A4B60"/>
    <w:rsid w:val="772A6852"/>
    <w:rsid w:val="774371D9"/>
    <w:rsid w:val="77912F43"/>
    <w:rsid w:val="7A713A71"/>
    <w:rsid w:val="7B7A2964"/>
    <w:rsid w:val="7CF130FA"/>
    <w:rsid w:val="7E533BCF"/>
    <w:rsid w:val="7F6B0C8F"/>
    <w:rsid w:val="7F6D7501"/>
    <w:rsid w:val="7FAC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7"/>
    <w:autoRedefine/>
    <w:qFormat/>
    <w:uiPriority w:val="0"/>
    <w:pPr>
      <w:keepNext/>
      <w:outlineLvl w:val="0"/>
    </w:pPr>
    <w:rPr>
      <w:rFonts w:ascii="仿宋_GB2312" w:hAnsi="宋体" w:eastAsia="仿宋_GB2312"/>
      <w:b/>
      <w:kern w:val="2"/>
      <w:sz w:val="32"/>
    </w:rPr>
  </w:style>
  <w:style w:type="paragraph" w:styleId="3">
    <w:name w:val="heading 2"/>
    <w:basedOn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4"/>
    <w:basedOn w:val="1"/>
    <w:next w:val="1"/>
    <w:autoRedefine/>
    <w:qFormat/>
    <w:uiPriority w:val="0"/>
    <w:pPr>
      <w:keepNext/>
      <w:spacing w:line="600" w:lineRule="exact"/>
      <w:jc w:val="center"/>
      <w:outlineLvl w:val="3"/>
    </w:pPr>
    <w:rPr>
      <w:rFonts w:ascii="Cambria" w:hAnsi="Cambria"/>
      <w:b/>
      <w:bCs/>
      <w:kern w:val="0"/>
      <w:sz w:val="28"/>
      <w:szCs w:val="28"/>
    </w:rPr>
  </w:style>
  <w:style w:type="paragraph" w:styleId="5">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300" w:lineRule="auto"/>
      <w:ind w:firstLine="420" w:firstLineChars="200"/>
    </w:pPr>
    <w:rPr>
      <w:rFonts w:ascii="Calibri"/>
      <w:kern w:val="2"/>
      <w:sz w:val="21"/>
      <w:szCs w:val="24"/>
    </w:rPr>
  </w:style>
  <w:style w:type="paragraph" w:styleId="7">
    <w:name w:val="toa heading"/>
    <w:basedOn w:val="1"/>
    <w:next w:val="1"/>
    <w:unhideWhenUsed/>
    <w:qFormat/>
    <w:uiPriority w:val="99"/>
    <w:pPr>
      <w:spacing w:before="120"/>
    </w:pPr>
    <w:rPr>
      <w:rFonts w:ascii="Cambria" w:hAnsi="Cambria" w:cs="Times New Roman"/>
      <w:sz w:val="24"/>
      <w:szCs w:val="24"/>
    </w:rPr>
  </w:style>
  <w:style w:type="paragraph" w:styleId="8">
    <w:name w:val="Body Text"/>
    <w:basedOn w:val="1"/>
    <w:autoRedefine/>
    <w:qFormat/>
    <w:uiPriority w:val="0"/>
    <w:pPr>
      <w:spacing w:after="120"/>
    </w:pPr>
    <w:rPr>
      <w:rFonts w:ascii="Calibri"/>
      <w:kern w:val="2"/>
      <w:sz w:val="21"/>
    </w:rPr>
  </w:style>
  <w:style w:type="paragraph" w:styleId="9">
    <w:name w:val="Body Text Indent"/>
    <w:basedOn w:val="1"/>
    <w:qFormat/>
    <w:uiPriority w:val="99"/>
    <w:pPr>
      <w:ind w:firstLine="420" w:firstLineChars="200"/>
    </w:pPr>
  </w:style>
  <w:style w:type="paragraph" w:styleId="10">
    <w:name w:val="toc 3"/>
    <w:basedOn w:val="1"/>
    <w:next w:val="1"/>
    <w:autoRedefine/>
    <w:qFormat/>
    <w:uiPriority w:val="0"/>
    <w:pPr>
      <w:ind w:left="840" w:leftChars="400"/>
    </w:pPr>
  </w:style>
  <w:style w:type="paragraph" w:styleId="11">
    <w:name w:val="Plain Text"/>
    <w:basedOn w:val="1"/>
    <w:autoRedefine/>
    <w:qFormat/>
    <w:uiPriority w:val="0"/>
    <w:rPr>
      <w:rFonts w:hAnsi="Courier New"/>
      <w:kern w:val="2"/>
      <w:sz w:val="21"/>
    </w:rPr>
  </w:style>
  <w:style w:type="paragraph" w:styleId="12">
    <w:name w:val="footer"/>
    <w:basedOn w:val="1"/>
    <w:next w:val="1"/>
    <w:autoRedefine/>
    <w:qFormat/>
    <w:uiPriority w:val="99"/>
    <w:pPr>
      <w:tabs>
        <w:tab w:val="center" w:pos="4153"/>
        <w:tab w:val="right" w:pos="8306"/>
      </w:tabs>
      <w:snapToGrid w:val="0"/>
      <w:jc w:val="left"/>
    </w:pPr>
    <w:rPr>
      <w:rFonts w:ascii="Calibri"/>
      <w:kern w:val="2"/>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4">
    <w:name w:val="toc 1"/>
    <w:basedOn w:val="1"/>
    <w:next w:val="1"/>
    <w:autoRedefine/>
    <w:unhideWhenUsed/>
    <w:qFormat/>
    <w:uiPriority w:val="39"/>
  </w:style>
  <w:style w:type="paragraph" w:styleId="15">
    <w:name w:val="toc 4"/>
    <w:basedOn w:val="1"/>
    <w:next w:val="1"/>
    <w:autoRedefine/>
    <w:unhideWhenUsed/>
    <w:qFormat/>
    <w:uiPriority w:val="39"/>
    <w:pPr>
      <w:spacing w:line="240" w:lineRule="auto"/>
      <w:ind w:left="1260" w:leftChars="600"/>
    </w:pPr>
  </w:style>
  <w:style w:type="paragraph" w:styleId="16">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7">
    <w:name w:val="toc 2"/>
    <w:basedOn w:val="1"/>
    <w:next w:val="1"/>
    <w:autoRedefine/>
    <w:unhideWhenUsed/>
    <w:qFormat/>
    <w:uiPriority w:val="39"/>
    <w:pPr>
      <w:ind w:left="420" w:leftChars="200"/>
    </w:p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9">
    <w:name w:val="Body Text First Indent 2"/>
    <w:basedOn w:val="9"/>
    <w:qFormat/>
    <w:uiPriority w:val="99"/>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paragraph" w:customStyle="1" w:styleId="25">
    <w:name w:val="List Paragraph"/>
    <w:basedOn w:val="1"/>
    <w:autoRedefine/>
    <w:qFormat/>
    <w:uiPriority w:val="34"/>
    <w:pPr>
      <w:ind w:firstLine="420" w:firstLineChars="200"/>
    </w:pPr>
  </w:style>
  <w:style w:type="paragraph" w:customStyle="1" w:styleId="26">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7">
    <w:name w:val="标题 1 字符"/>
    <w:link w:val="2"/>
    <w:autoRedefine/>
    <w:qFormat/>
    <w:uiPriority w:val="0"/>
    <w:rPr>
      <w:rFonts w:ascii="仿宋_GB2312" w:hAnsi="宋体" w:eastAsia="仿宋_GB2312"/>
      <w:b/>
      <w:kern w:val="2"/>
      <w:sz w:val="32"/>
    </w:rPr>
  </w:style>
  <w:style w:type="paragraph" w:customStyle="1" w:styleId="28">
    <w:name w:val="Char1"/>
    <w:basedOn w:val="1"/>
    <w:autoRedefine/>
    <w:qFormat/>
    <w:uiPriority w:val="0"/>
    <w:pPr>
      <w:tabs>
        <w:tab w:val="left" w:pos="360"/>
      </w:tabs>
      <w:ind w:left="360" w:hanging="360" w:hangingChars="200"/>
    </w:pPr>
    <w:rPr>
      <w:sz w:val="24"/>
      <w:szCs w:val="24"/>
    </w:rPr>
  </w:style>
  <w:style w:type="paragraph" w:customStyle="1" w:styleId="29">
    <w:name w:val="列出段落11"/>
    <w:basedOn w:val="1"/>
    <w:autoRedefine/>
    <w:qFormat/>
    <w:uiPriority w:val="34"/>
    <w:pPr>
      <w:ind w:firstLine="420" w:firstLineChars="200"/>
    </w:pPr>
    <w:rPr>
      <w:rFonts w:ascii="Calibri" w:hAnsi="Calibri"/>
      <w:szCs w:val="22"/>
    </w:rPr>
  </w:style>
  <w:style w:type="paragraph" w:customStyle="1" w:styleId="30">
    <w:name w:val="null3"/>
    <w:hidden/>
    <w:qFormat/>
    <w:uiPriority w:val="0"/>
    <w:rPr>
      <w:rFonts w:hint="eastAsia" w:asciiTheme="minorHAnsi" w:hAnsiTheme="minorHAnsi" w:eastAsiaTheme="minorEastAsia" w:cstheme="minorBidi"/>
      <w:lang w:val="en-US" w:eastAsia="zh-Hans"/>
    </w:rPr>
  </w:style>
  <w:style w:type="paragraph" w:customStyle="1" w:styleId="31">
    <w:name w:val="NormalIndent"/>
    <w:basedOn w:val="1"/>
    <w:qFormat/>
    <w:uiPriority w:val="99"/>
    <w:pPr>
      <w:tabs>
        <w:tab w:val="left" w:leader="hyphen" w:pos="4117"/>
      </w:tabs>
      <w:spacing w:line="500" w:lineRule="exact"/>
      <w:ind w:firstLine="517" w:firstLineChars="200"/>
    </w:pPr>
    <w:rPr>
      <w:rFonts w:ascii="宋体" w:cs="宋体"/>
      <w:spacing w:val="-20"/>
      <w:kern w:val="0"/>
      <w:sz w:val="24"/>
      <w:szCs w:val="24"/>
    </w:rPr>
  </w:style>
  <w:style w:type="character" w:customStyle="1" w:styleId="32">
    <w:name w:val="font41"/>
    <w:basedOn w:val="22"/>
    <w:qFormat/>
    <w:uiPriority w:val="0"/>
    <w:rPr>
      <w:rFonts w:hint="eastAsia" w:ascii="宋体" w:hAnsi="宋体" w:eastAsia="宋体" w:cs="宋体"/>
      <w:color w:val="000000"/>
      <w:sz w:val="20"/>
      <w:szCs w:val="20"/>
      <w:u w:val="none"/>
    </w:rPr>
  </w:style>
  <w:style w:type="character" w:customStyle="1" w:styleId="33">
    <w:name w:val="font81"/>
    <w:basedOn w:val="22"/>
    <w:qFormat/>
    <w:uiPriority w:val="0"/>
    <w:rPr>
      <w:rFonts w:hint="eastAsia" w:ascii="宋体" w:hAnsi="宋体" w:eastAsia="宋体" w:cs="宋体"/>
      <w:color w:val="000000"/>
      <w:sz w:val="20"/>
      <w:szCs w:val="20"/>
      <w:u w:val="none"/>
      <w:vertAlign w:val="superscript"/>
    </w:rPr>
  </w:style>
  <w:style w:type="paragraph" w:customStyle="1" w:styleId="34">
    <w:name w:val="一级标题"/>
    <w:basedOn w:val="2"/>
    <w:qFormat/>
    <w:uiPriority w:val="0"/>
    <w:pPr>
      <w:spacing w:line="480" w:lineRule="auto"/>
    </w:pPr>
    <w:rPr>
      <w:rFonts w:ascii="仿宋" w:hAnsi="仿宋" w:eastAsia="仿宋"/>
    </w:rPr>
  </w:style>
  <w:style w:type="paragraph" w:customStyle="1" w:styleId="35">
    <w:name w:val="三级标题"/>
    <w:basedOn w:val="1"/>
    <w:qFormat/>
    <w:uiPriority w:val="0"/>
    <w:pPr>
      <w:ind w:firstLine="602"/>
    </w:pPr>
    <w:rPr>
      <w:rFonts w:ascii="仿宋" w:hAnsi="仿宋" w:eastAsia="仿宋" w:cs="宋体"/>
      <w:b/>
      <w:sz w:val="30"/>
      <w:szCs w:val="20"/>
    </w:rPr>
  </w:style>
  <w:style w:type="paragraph" w:customStyle="1" w:styleId="36">
    <w:name w:val="二级标题"/>
    <w:basedOn w:val="3"/>
    <w:qFormat/>
    <w:uiPriority w:val="0"/>
    <w:pPr>
      <w:spacing w:line="480" w:lineRule="auto"/>
      <w:ind w:firstLine="0" w:firstLineChars="0"/>
      <w:jc w:val="center"/>
    </w:pPr>
    <w:rPr>
      <w:rFonts w:ascii="新宋体" w:hAnsi="新宋体" w:eastAsia="仿宋" w:cs="宋体"/>
      <w:sz w:val="30"/>
      <w:szCs w:val="20"/>
    </w:rPr>
  </w:style>
  <w:style w:type="paragraph" w:customStyle="1" w:styleId="37">
    <w:name w:val="文章正文"/>
    <w:basedOn w:val="1"/>
    <w:qFormat/>
    <w:uiPriority w:val="0"/>
    <w:pPr>
      <w:ind w:left="-538" w:leftChars="-192" w:firstLine="600"/>
    </w:pPr>
    <w:rPr>
      <w:rFonts w:eastAsia="仿宋" w:cs="宋体"/>
      <w:sz w:val="30"/>
      <w:szCs w:val="20"/>
    </w:rPr>
  </w:style>
  <w:style w:type="paragraph" w:customStyle="1" w:styleId="38">
    <w:name w:val="正文一"/>
    <w:basedOn w:val="1"/>
    <w:next w:val="1"/>
    <w:qFormat/>
    <w:uiPriority w:val="0"/>
    <w:pPr>
      <w:numPr>
        <w:ilvl w:val="3"/>
        <w:numId w:val="1"/>
      </w:numPr>
      <w:ind w:firstLine="56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14783</Words>
  <Characters>16124</Characters>
  <Lines>1</Lines>
  <Paragraphs>1</Paragraphs>
  <TotalTime>10</TotalTime>
  <ScaleCrop>false</ScaleCrop>
  <LinksUpToDate>false</LinksUpToDate>
  <CharactersWithSpaces>16250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救赎</cp:lastModifiedBy>
  <dcterms:modified xsi:type="dcterms:W3CDTF">2025-11-10T00:31:33Z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BC6DC1994F1D42258D9EAC222EC02312_13</vt:lpwstr>
  </property>
  <property fmtid="{D5CDD505-2E9C-101B-9397-08002B2CF9AE}" pid="4" name="KSOTemplateDocerSaveRecord">
    <vt:lpwstr>eyJoZGlkIjoiOTMxMjYxMTc2YmNmM2ZiYzM3MzRiYzBiMTAxOWMxMDciLCJ1c2VySWQiOiIxNTU5MDg0MTUyIn0=</vt:lpwstr>
  </property>
</Properties>
</file>