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68C1A546">
      <w:pPr>
        <w:widowControl w:val="0"/>
        <w:topLinePunct/>
        <w:jc w:val="center"/>
        <w:rPr>
          <w:rFonts w:eastAsia="宋体" w:cs="Tahoma"/>
          <w:sz w:val="44"/>
          <w:szCs w:val="44"/>
        </w:rPr>
      </w:pPr>
      <w:bookmarkStart w:id="24" w:name="_GoBack"/>
      <w:bookmarkEnd w:id="24"/>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项目名称：西安市消防救援支队高陵大队小型站供暖设施采购项目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XCZX2025-0145</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622B6DAE">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14:paraId="371B8779">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14:paraId="36290FF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31</w:t>
      </w:r>
      <w:r>
        <w:fldChar w:fldCharType="end"/>
      </w:r>
      <w:r>
        <w:fldChar w:fldCharType="end"/>
      </w:r>
    </w:p>
    <w:p w14:paraId="6055420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33</w:t>
      </w:r>
    </w:p>
    <w:p w14:paraId="41D1F5B5">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41</w:t>
      </w:r>
      <w:r>
        <w:fldChar w:fldCharType="end"/>
      </w:r>
      <w:r>
        <w:fldChar w:fldCharType="end"/>
      </w: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100219612"/>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西安市消防救援支队高陵大队小型站供暖设施采购</w:t>
      </w:r>
      <w:r>
        <w:rPr>
          <w:rFonts w:hint="eastAsia"/>
        </w:rPr>
        <w:t>项目进行竞争性磋商，欢迎符合资格条件的、有能力提供本项目所需货物和服务的供应商参加磋商。</w:t>
      </w:r>
    </w:p>
    <w:p w14:paraId="4BDF18C2">
      <w:pPr>
        <w:widowControl w:val="0"/>
        <w:topLinePunct/>
        <w:ind w:firstLine="480" w:firstLineChars="200"/>
        <w:jc w:val="both"/>
        <w:rPr>
          <w:b/>
        </w:rPr>
      </w:pPr>
      <w:r>
        <w:rPr>
          <w:rFonts w:hint="eastAsia"/>
          <w:b/>
        </w:rPr>
        <w:t>一、项目基本信息：</w:t>
      </w:r>
    </w:p>
    <w:p w14:paraId="5DF174AA">
      <w:pPr>
        <w:widowControl w:val="0"/>
        <w:topLinePunct/>
        <w:ind w:left="480" w:leftChars="200"/>
        <w:jc w:val="both"/>
        <w:rPr>
          <w:color w:val="C00000"/>
        </w:rPr>
      </w:pPr>
      <w:r>
        <w:t>项目</w:t>
      </w:r>
      <w:r>
        <w:rPr>
          <w:rFonts w:hint="eastAsia"/>
        </w:rPr>
        <w:t>名称：</w:t>
      </w:r>
      <w:r>
        <w:rPr>
          <w:rFonts w:hint="eastAsia"/>
          <w:color w:val="C00000"/>
        </w:rPr>
        <w:t>西安市消防救援支队高陵大队小型站供暖设施采购项目</w:t>
      </w:r>
    </w:p>
    <w:p w14:paraId="62B33849">
      <w:pPr>
        <w:widowControl w:val="0"/>
        <w:topLinePunct/>
        <w:ind w:left="480" w:left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0145</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4694</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w:t>
      </w:r>
      <w:r>
        <w:rPr>
          <w:color w:val="C00000"/>
        </w:rPr>
        <w:t>383073.66</w:t>
      </w:r>
      <w:r>
        <w:rPr>
          <w:rFonts w:hint="eastAsia"/>
          <w:color w:val="C00000"/>
        </w:rPr>
        <w:t>元〉（最高限价〈</w:t>
      </w:r>
      <w:r>
        <w:rPr>
          <w:color w:val="C00000"/>
        </w:rPr>
        <w:t>383073.66</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4C01A0EE">
      <w:pPr>
        <w:widowControl w:val="0"/>
        <w:topLinePunct/>
        <w:ind w:firstLine="480" w:firstLineChars="200"/>
        <w:jc w:val="both"/>
      </w:pPr>
      <w:bookmarkStart w:id="1" w:name="OLE_LINK1"/>
      <w:r>
        <w:rPr>
          <w:rFonts w:hint="eastAsia"/>
        </w:rPr>
        <w:t>西安市消防救援支队高陵大队小型站供暖设施采购，计划工期为45个日历日。</w:t>
      </w:r>
    </w:p>
    <w:bookmarkEnd w:id="1"/>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年_</w:t>
      </w:r>
      <w:r>
        <w:rPr>
          <w:u w:val="single"/>
        </w:rPr>
        <w:t>11</w:t>
      </w:r>
      <w:r>
        <w:rPr>
          <w:rFonts w:hint="eastAsia"/>
        </w:rPr>
        <w:t>_</w:t>
      </w:r>
      <w:r>
        <w:t>_</w:t>
      </w:r>
      <w:r>
        <w:rPr>
          <w:rFonts w:hint="eastAsia"/>
        </w:rPr>
        <w:t>月_</w:t>
      </w:r>
      <w:r>
        <w:rPr>
          <w:u w:val="single"/>
        </w:rPr>
        <w:t>7__</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_11__</w:t>
      </w:r>
      <w:r>
        <w:rPr>
          <w:rFonts w:hint="eastAsia"/>
        </w:rPr>
        <w:t>月_</w:t>
      </w:r>
      <w:r>
        <w:rPr>
          <w:u w:val="single"/>
        </w:rPr>
        <w:t>_7_</w:t>
      </w:r>
      <w:r>
        <w:rPr>
          <w:rFonts w:hint="eastAsia"/>
        </w:rPr>
        <w:t>日10:30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_4__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660B675C">
      <w:pPr>
        <w:widowControl w:val="0"/>
        <w:topLinePunct/>
        <w:ind w:firstLine="480" w:firstLineChars="200"/>
        <w:jc w:val="both"/>
      </w:pPr>
      <w:r>
        <w:rPr>
          <w:rFonts w:hint="eastAsia"/>
        </w:rPr>
        <w:t>1．采购人：西安市消防救援支队</w:t>
      </w:r>
    </w:p>
    <w:p w14:paraId="07A194B0">
      <w:pPr>
        <w:widowControl w:val="0"/>
        <w:topLinePunct/>
        <w:ind w:firstLine="480" w:firstLineChars="200"/>
        <w:jc w:val="both"/>
      </w:pPr>
      <w:r>
        <w:rPr>
          <w:rFonts w:hint="eastAsia"/>
        </w:rPr>
        <w:t>地址：西安市雁塔区科技七路10号</w:t>
      </w:r>
    </w:p>
    <w:p w14:paraId="5CD1CE1F">
      <w:pPr>
        <w:widowControl w:val="0"/>
        <w:topLinePunct/>
        <w:ind w:firstLine="480" w:firstLineChars="200"/>
        <w:jc w:val="both"/>
      </w:pPr>
      <w:r>
        <w:rPr>
          <w:rFonts w:hint="eastAsia"/>
        </w:rPr>
        <w:t>联系人：杜老师</w:t>
      </w:r>
    </w:p>
    <w:p w14:paraId="4671EC98">
      <w:pPr>
        <w:widowControl w:val="0"/>
        <w:topLinePunct/>
        <w:ind w:left="480" w:leftChars="200"/>
        <w:jc w:val="both"/>
      </w:pPr>
      <w:r>
        <w:rPr>
          <w:rFonts w:hint="eastAsia"/>
        </w:rPr>
        <w:t>联系电话：</w:t>
      </w:r>
      <w:r>
        <w:t>13679289979</w:t>
      </w:r>
      <w:r>
        <w:cr/>
      </w: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标书联系人及分机号：高老师（</w:t>
      </w:r>
      <w:r>
        <w:t>80811</w:t>
      </w:r>
      <w:r>
        <w:rPr>
          <w:rFonts w:hint="eastAsia"/>
        </w:rPr>
        <w:t>）</w:t>
      </w:r>
    </w:p>
    <w:p w14:paraId="6F1334A2">
      <w:pPr>
        <w:widowControl w:val="0"/>
        <w:topLinePunct/>
        <w:ind w:firstLine="480" w:firstLineChars="200"/>
        <w:jc w:val="both"/>
      </w:pPr>
      <w:r>
        <w:rPr>
          <w:rFonts w:hint="eastAsia"/>
        </w:rPr>
        <w:t>开标联系人及分机号：张老师（</w:t>
      </w:r>
      <w:r>
        <w:t>80835</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2" w:name="_Toc445407251"/>
      <w:bookmarkStart w:id="3" w:name="_Toc534656409"/>
      <w:bookmarkStart w:id="4" w:name="_Toc534656414"/>
      <w:bookmarkStart w:id="5" w:name="_Toc533363262"/>
      <w:bookmarkStart w:id="6" w:name="_Toc498349068"/>
      <w:bookmarkStart w:id="7" w:name="_Toc97563329"/>
      <w:bookmarkStart w:id="8" w:name="_Toc100219613"/>
      <w:bookmarkStart w:id="9" w:name="_Toc533363235"/>
      <w:r>
        <w:t>第二章</w:t>
      </w:r>
      <w:r>
        <w:rPr>
          <w:rFonts w:hint="eastAsia"/>
        </w:rPr>
        <w:t>　</w:t>
      </w:r>
      <w:r>
        <w:t>供应商须知</w:t>
      </w:r>
      <w:bookmarkEnd w:id="2"/>
      <w:bookmarkEnd w:id="3"/>
      <w:bookmarkEnd w:id="4"/>
      <w:bookmarkEnd w:id="5"/>
      <w:bookmarkEnd w:id="6"/>
      <w:bookmarkEnd w:id="7"/>
      <w:bookmarkEnd w:id="8"/>
      <w:bookmarkEnd w:id="9"/>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西安市消防救援支队高陵大队小型站供暖设施采购项目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XCZX2025-0145</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383073.66</w:t>
            </w:r>
            <w:r>
              <w:rPr>
                <w:rFonts w:hint="eastAsia" w:ascii="Calibri" w:hAnsi="宋体" w:eastAsia="宋体" w:cstheme="minorHAnsi"/>
                <w:sz w:val="21"/>
              </w:rPr>
              <w:t>元〉（最高限价</w:t>
            </w:r>
            <w:r>
              <w:rPr>
                <w:rFonts w:ascii="Calibri" w:hAnsi="宋体" w:eastAsia="宋体" w:cstheme="minorHAnsi"/>
                <w:sz w:val="21"/>
              </w:rPr>
              <w:t>383073.66</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rFonts w:hint="eastAsia"/>
                <w:color w:val="7030A0"/>
                <w:sz w:val="21"/>
                <w:szCs w:val="21"/>
                <w:u w:val="single"/>
              </w:rPr>
              <w:t>建筑业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采购人组织</w:t>
            </w:r>
          </w:p>
          <w:p w14:paraId="0CB645D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0" w:name="OLE_LINK9"/>
      <w:bookmarkStart w:id="11" w:name="OLE_LINK10"/>
      <w:r>
        <w:rPr>
          <w:rFonts w:hint="eastAsia"/>
          <w:color w:val="C00000"/>
        </w:rPr>
        <w:t>采购文件公告期限届满之日</w:t>
      </w:r>
      <w:bookmarkEnd w:id="10"/>
      <w:bookmarkEnd w:id="11"/>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0E4FECBF">
      <w:pPr>
        <w:pStyle w:val="4"/>
        <w:ind w:firstLine="482"/>
      </w:pPr>
      <w:r>
        <w:rPr>
          <w:rFonts w:hint="eastAsia"/>
        </w:rPr>
        <w:t>（六）</w:t>
      </w:r>
      <w:r>
        <w:t>关于同一品牌产品的处理</w:t>
      </w:r>
    </w:p>
    <w:p w14:paraId="2B3A1D8D">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F8C6C9B">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2"/>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7"/>
        <w:gridCol w:w="5839"/>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gridSpan w:val="2"/>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gridSpan w:val="2"/>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14:paraId="3A72EC81">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gridSpan w:val="2"/>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gridSpan w:val="2"/>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gridSpan w:val="2"/>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3"/>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gridSpan w:val="2"/>
            <w:vAlign w:val="center"/>
          </w:tcPr>
          <w:p w14:paraId="123631DD">
            <w:pPr>
              <w:spacing w:line="400" w:lineRule="exact"/>
              <w:ind w:firstLine="420" w:firstLineChars="200"/>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3"/>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bookmarkStart w:id="12" w:name="_Hlk211417398"/>
            <w:r>
              <w:rPr>
                <w:rFonts w:hint="eastAsia" w:ascii="Calibri" w:hAnsi="宋体" w:eastAsia="宋体" w:cstheme="minorHAnsi"/>
                <w:bCs/>
                <w:sz w:val="21"/>
              </w:rPr>
              <w:t>1</w:t>
            </w:r>
          </w:p>
        </w:tc>
        <w:tc>
          <w:tcPr>
            <w:tcW w:w="2550" w:type="dxa"/>
            <w:gridSpan w:val="2"/>
            <w:tcBorders>
              <w:right w:val="single" w:color="auto" w:sz="4" w:space="0"/>
            </w:tcBorders>
            <w:vAlign w:val="center"/>
          </w:tcPr>
          <w:p w14:paraId="185812BF">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安全生产许可证</w:t>
            </w:r>
          </w:p>
        </w:tc>
        <w:tc>
          <w:tcPr>
            <w:tcW w:w="5839" w:type="dxa"/>
            <w:tcBorders>
              <w:left w:val="single" w:color="auto" w:sz="4" w:space="0"/>
            </w:tcBorders>
            <w:vAlign w:val="center"/>
          </w:tcPr>
          <w:p w14:paraId="7811FF4C">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具有有效的安全生产许可证。</w:t>
            </w:r>
          </w:p>
        </w:tc>
      </w:tr>
      <w:bookmarkEnd w:id="12"/>
      <w:tr w14:paraId="5082BF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B39BDC8">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50" w:type="dxa"/>
            <w:gridSpan w:val="2"/>
            <w:tcBorders>
              <w:right w:val="single" w:color="auto" w:sz="4" w:space="0"/>
            </w:tcBorders>
            <w:vAlign w:val="center"/>
          </w:tcPr>
          <w:p w14:paraId="513290C6">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建筑机电安装工程专业资质</w:t>
            </w:r>
          </w:p>
        </w:tc>
        <w:tc>
          <w:tcPr>
            <w:tcW w:w="5839" w:type="dxa"/>
            <w:tcBorders>
              <w:left w:val="single" w:color="auto" w:sz="4" w:space="0"/>
            </w:tcBorders>
            <w:vAlign w:val="center"/>
          </w:tcPr>
          <w:p w14:paraId="1BE8E415">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供应商具备建设行政主管部门颁发的建筑机电安装工程专业承包三级及以上资质。</w:t>
            </w:r>
          </w:p>
        </w:tc>
      </w:tr>
      <w:tr w14:paraId="49A3E0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187385">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50" w:type="dxa"/>
            <w:gridSpan w:val="2"/>
            <w:tcBorders>
              <w:right w:val="single" w:color="auto" w:sz="4" w:space="0"/>
            </w:tcBorders>
            <w:vAlign w:val="center"/>
          </w:tcPr>
          <w:p w14:paraId="731455FB">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项目经理专业资质</w:t>
            </w:r>
          </w:p>
        </w:tc>
        <w:tc>
          <w:tcPr>
            <w:tcW w:w="5839" w:type="dxa"/>
            <w:tcBorders>
              <w:left w:val="single" w:color="auto" w:sz="4" w:space="0"/>
            </w:tcBorders>
            <w:vAlign w:val="center"/>
          </w:tcPr>
          <w:p w14:paraId="6E3385E0">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项目经理需具备机电工程专业二级及以上注册建造师证书和有效的安全生产考核合格证（建安B证）且无在建工程（无在建供应商自主承诺）。</w:t>
            </w:r>
          </w:p>
        </w:tc>
      </w:tr>
      <w:tr w14:paraId="13A0F5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EF019">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50" w:type="dxa"/>
            <w:gridSpan w:val="2"/>
            <w:tcBorders>
              <w:right w:val="single" w:color="auto" w:sz="4" w:space="0"/>
            </w:tcBorders>
            <w:vAlign w:val="center"/>
          </w:tcPr>
          <w:p w14:paraId="46CDD74F">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信息平台发布截图</w:t>
            </w:r>
          </w:p>
        </w:tc>
        <w:tc>
          <w:tcPr>
            <w:tcW w:w="5839" w:type="dxa"/>
            <w:tcBorders>
              <w:left w:val="single" w:color="auto" w:sz="4" w:space="0"/>
            </w:tcBorders>
            <w:vAlign w:val="center"/>
          </w:tcPr>
          <w:p w14:paraId="61C9BE93">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供应商资质基本信息及项目经理执业基本信息在全国建筑市场监管公共服务平台（https://jzsc.mohurd.gov.cn/home）的查询截图。</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4"/>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0AE46734">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24"/>
        <w:gridCol w:w="637"/>
        <w:gridCol w:w="960"/>
        <w:gridCol w:w="6088"/>
        <w:gridCol w:w="877"/>
      </w:tblGrid>
      <w:tr w14:paraId="130496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90" w:type="pct"/>
            <w:vMerge w:val="restart"/>
            <w:tcBorders>
              <w:top w:val="single" w:color="auto" w:sz="12" w:space="0"/>
              <w:bottom w:val="single" w:color="auto" w:sz="2" w:space="0"/>
            </w:tcBorders>
            <w:shd w:val="clear" w:color="auto" w:fill="F2F2F2"/>
            <w:vAlign w:val="center"/>
          </w:tcPr>
          <w:p w14:paraId="5C158DF8">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项别</w:t>
            </w:r>
          </w:p>
        </w:tc>
        <w:tc>
          <w:tcPr>
            <w:tcW w:w="860" w:type="pct"/>
            <w:gridSpan w:val="2"/>
            <w:tcBorders>
              <w:top w:val="single" w:color="auto" w:sz="12" w:space="0"/>
              <w:bottom w:val="single" w:color="auto" w:sz="2" w:space="0"/>
            </w:tcBorders>
            <w:shd w:val="clear" w:color="auto" w:fill="F2F2F2"/>
            <w:vAlign w:val="center"/>
          </w:tcPr>
          <w:p w14:paraId="41F4556F">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总分值</w:t>
            </w:r>
          </w:p>
        </w:tc>
        <w:tc>
          <w:tcPr>
            <w:tcW w:w="3278" w:type="pct"/>
            <w:vMerge w:val="restart"/>
            <w:tcBorders>
              <w:top w:val="single" w:color="auto" w:sz="12" w:space="0"/>
              <w:bottom w:val="single" w:color="auto" w:sz="2" w:space="0"/>
            </w:tcBorders>
            <w:shd w:val="clear" w:color="auto" w:fill="F2F2F2"/>
            <w:vAlign w:val="center"/>
          </w:tcPr>
          <w:p w14:paraId="557E6435">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评审要素</w:t>
            </w:r>
          </w:p>
        </w:tc>
        <w:tc>
          <w:tcPr>
            <w:tcW w:w="471" w:type="pct"/>
            <w:vMerge w:val="restart"/>
            <w:tcBorders>
              <w:top w:val="single" w:color="auto" w:sz="12" w:space="0"/>
              <w:bottom w:val="single" w:color="auto" w:sz="2" w:space="0"/>
            </w:tcBorders>
            <w:shd w:val="clear" w:color="auto" w:fill="F2F2F2"/>
            <w:vAlign w:val="center"/>
          </w:tcPr>
          <w:p w14:paraId="6CD719C5">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备注</w:t>
            </w:r>
          </w:p>
        </w:tc>
      </w:tr>
      <w:tr w14:paraId="053B6F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90" w:type="pct"/>
            <w:vMerge w:val="continue"/>
            <w:tcBorders>
              <w:top w:val="single" w:color="auto" w:sz="2" w:space="0"/>
              <w:bottom w:val="single" w:color="auto" w:sz="2" w:space="0"/>
            </w:tcBorders>
            <w:shd w:val="clear" w:color="auto" w:fill="F2F2F2"/>
            <w:vAlign w:val="center"/>
          </w:tcPr>
          <w:p w14:paraId="3211508E">
            <w:pPr>
              <w:widowControl w:val="0"/>
              <w:spacing w:line="320" w:lineRule="exact"/>
              <w:jc w:val="center"/>
              <w:rPr>
                <w:rFonts w:cs="仿宋" w:asciiTheme="minorEastAsia" w:hAnsiTheme="minorEastAsia"/>
                <w:kern w:val="2"/>
                <w:sz w:val="21"/>
                <w:szCs w:val="21"/>
              </w:rPr>
            </w:pPr>
          </w:p>
        </w:tc>
        <w:tc>
          <w:tcPr>
            <w:tcW w:w="343" w:type="pct"/>
            <w:tcBorders>
              <w:top w:val="single" w:color="auto" w:sz="2" w:space="0"/>
              <w:bottom w:val="single" w:color="auto" w:sz="2" w:space="0"/>
            </w:tcBorders>
            <w:shd w:val="clear" w:color="auto" w:fill="F2F2F2"/>
            <w:vAlign w:val="center"/>
          </w:tcPr>
          <w:p w14:paraId="5D4C388B">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100</w:t>
            </w:r>
          </w:p>
        </w:tc>
        <w:tc>
          <w:tcPr>
            <w:tcW w:w="517" w:type="pct"/>
            <w:tcBorders>
              <w:top w:val="single" w:color="auto" w:sz="2" w:space="0"/>
              <w:bottom w:val="single" w:color="auto" w:sz="2" w:space="0"/>
            </w:tcBorders>
            <w:shd w:val="clear" w:color="auto" w:fill="F2F2F2"/>
            <w:vAlign w:val="center"/>
          </w:tcPr>
          <w:p w14:paraId="502207FC">
            <w:pPr>
              <w:widowControl w:val="0"/>
              <w:spacing w:line="320" w:lineRule="exact"/>
              <w:jc w:val="center"/>
              <w:rPr>
                <w:rFonts w:cs="仿宋" w:asciiTheme="minorEastAsia" w:hAnsiTheme="minorEastAsia"/>
                <w:b/>
                <w:kern w:val="2"/>
                <w:sz w:val="21"/>
                <w:szCs w:val="21"/>
              </w:rPr>
            </w:pPr>
            <w:r>
              <w:rPr>
                <w:rFonts w:hint="eastAsia" w:cs="仿宋" w:asciiTheme="minorEastAsia" w:hAnsiTheme="minorEastAsia"/>
                <w:b/>
                <w:kern w:val="2"/>
                <w:sz w:val="21"/>
                <w:szCs w:val="21"/>
              </w:rPr>
              <w:t>分项最高分值</w:t>
            </w:r>
          </w:p>
        </w:tc>
        <w:tc>
          <w:tcPr>
            <w:tcW w:w="3278" w:type="pct"/>
            <w:vMerge w:val="continue"/>
            <w:tcBorders>
              <w:top w:val="single" w:color="auto" w:sz="2" w:space="0"/>
              <w:bottom w:val="single" w:color="auto" w:sz="2" w:space="0"/>
            </w:tcBorders>
            <w:shd w:val="clear" w:color="auto" w:fill="F2F2F2"/>
            <w:vAlign w:val="center"/>
          </w:tcPr>
          <w:p w14:paraId="44992012">
            <w:pPr>
              <w:widowControl w:val="0"/>
              <w:spacing w:line="320" w:lineRule="exact"/>
              <w:jc w:val="both"/>
              <w:rPr>
                <w:rFonts w:cs="仿宋" w:asciiTheme="minorEastAsia" w:hAnsiTheme="minorEastAsia"/>
                <w:kern w:val="2"/>
                <w:sz w:val="21"/>
                <w:szCs w:val="21"/>
              </w:rPr>
            </w:pPr>
          </w:p>
        </w:tc>
        <w:tc>
          <w:tcPr>
            <w:tcW w:w="471" w:type="pct"/>
            <w:vMerge w:val="continue"/>
            <w:tcBorders>
              <w:top w:val="single" w:color="auto" w:sz="2" w:space="0"/>
              <w:bottom w:val="single" w:color="auto" w:sz="2" w:space="0"/>
            </w:tcBorders>
            <w:shd w:val="clear" w:color="auto" w:fill="F2F2F2"/>
            <w:vAlign w:val="center"/>
          </w:tcPr>
          <w:p w14:paraId="41701DFE">
            <w:pPr>
              <w:widowControl w:val="0"/>
              <w:spacing w:line="320" w:lineRule="exact"/>
              <w:jc w:val="both"/>
              <w:rPr>
                <w:rFonts w:cs="仿宋" w:asciiTheme="minorEastAsia" w:hAnsiTheme="minorEastAsia"/>
                <w:kern w:val="2"/>
                <w:sz w:val="21"/>
                <w:szCs w:val="21"/>
              </w:rPr>
            </w:pPr>
          </w:p>
        </w:tc>
      </w:tr>
      <w:tr w14:paraId="43940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390" w:type="pct"/>
            <w:tcBorders>
              <w:top w:val="single" w:color="auto" w:sz="2" w:space="0"/>
            </w:tcBorders>
            <w:shd w:val="clear" w:color="auto" w:fill="auto"/>
            <w:vAlign w:val="center"/>
          </w:tcPr>
          <w:p w14:paraId="543A9707">
            <w:pPr>
              <w:widowControl w:val="0"/>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价格</w:t>
            </w:r>
          </w:p>
        </w:tc>
        <w:tc>
          <w:tcPr>
            <w:tcW w:w="343" w:type="pct"/>
            <w:tcBorders>
              <w:top w:val="single" w:color="auto" w:sz="2" w:space="0"/>
            </w:tcBorders>
            <w:shd w:val="clear" w:color="auto" w:fill="auto"/>
            <w:vAlign w:val="center"/>
          </w:tcPr>
          <w:p w14:paraId="66C0BA90">
            <w:pPr>
              <w:widowControl w:val="0"/>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30</w:t>
            </w:r>
          </w:p>
        </w:tc>
        <w:tc>
          <w:tcPr>
            <w:tcW w:w="517" w:type="pct"/>
            <w:shd w:val="clear" w:color="auto" w:fill="auto"/>
            <w:vAlign w:val="center"/>
          </w:tcPr>
          <w:p w14:paraId="0AC20A0C">
            <w:pPr>
              <w:widowControl w:val="0"/>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30</w:t>
            </w:r>
          </w:p>
        </w:tc>
        <w:tc>
          <w:tcPr>
            <w:tcW w:w="3278" w:type="pct"/>
            <w:tcBorders>
              <w:top w:val="single" w:color="auto" w:sz="2" w:space="0"/>
            </w:tcBorders>
            <w:shd w:val="clear" w:color="auto" w:fill="auto"/>
            <w:vAlign w:val="center"/>
          </w:tcPr>
          <w:p w14:paraId="510818C5">
            <w:pPr>
              <w:widowControl w:val="0"/>
              <w:tabs>
                <w:tab w:val="left" w:pos="0"/>
                <w:tab w:val="left" w:pos="547"/>
              </w:tabs>
              <w:spacing w:line="320" w:lineRule="exact"/>
              <w:ind w:firstLine="420"/>
              <w:jc w:val="both"/>
              <w:rPr>
                <w:rFonts w:cs="仿宋" w:asciiTheme="minorEastAsia" w:hAnsiTheme="minorEastAsia"/>
                <w:kern w:val="2"/>
                <w:sz w:val="21"/>
                <w:szCs w:val="21"/>
              </w:rPr>
            </w:pPr>
            <w:r>
              <w:rPr>
                <w:rFonts w:hint="eastAsia" w:cs="仿宋" w:asciiTheme="minorEastAsia" w:hAnsiTheme="minorEastAsia"/>
                <w:bCs/>
                <w:kern w:val="2"/>
                <w:sz w:val="21"/>
                <w:szCs w:val="21"/>
              </w:rPr>
              <w:t>满足磋商文件要求且最后报价最低的供应商的价格为磋商基准价得30分，其他各供应商的最后磋商报价得分按下列公式计算</w:t>
            </w:r>
            <w:r>
              <w:rPr>
                <w:rFonts w:hint="eastAsia" w:cs="仿宋" w:asciiTheme="minorEastAsia" w:hAnsiTheme="minorEastAsia"/>
                <w:kern w:val="2"/>
                <w:sz w:val="21"/>
                <w:szCs w:val="21"/>
              </w:rPr>
              <w:t>：</w:t>
            </w:r>
            <w:r>
              <w:rPr>
                <w:rFonts w:hint="eastAsia" w:cs="仿宋" w:asciiTheme="minorEastAsia" w:hAnsiTheme="minorEastAsia"/>
                <w:b/>
                <w:kern w:val="2"/>
                <w:sz w:val="21"/>
                <w:szCs w:val="21"/>
              </w:rPr>
              <w:t>（磋商基准价/最后磋商报价）×30%×100分</w:t>
            </w:r>
          </w:p>
        </w:tc>
        <w:tc>
          <w:tcPr>
            <w:tcW w:w="471" w:type="pct"/>
            <w:tcBorders>
              <w:top w:val="single" w:color="auto" w:sz="2" w:space="0"/>
            </w:tcBorders>
            <w:shd w:val="clear" w:color="auto" w:fill="auto"/>
            <w:vAlign w:val="center"/>
          </w:tcPr>
          <w:p w14:paraId="3EAB1010">
            <w:pPr>
              <w:widowControl w:val="0"/>
              <w:spacing w:line="320" w:lineRule="exact"/>
              <w:jc w:val="both"/>
              <w:rPr>
                <w:rFonts w:cs="仿宋" w:asciiTheme="minorEastAsia" w:hAnsiTheme="minorEastAsia"/>
                <w:kern w:val="2"/>
                <w:sz w:val="21"/>
                <w:szCs w:val="21"/>
              </w:rPr>
            </w:pPr>
          </w:p>
        </w:tc>
      </w:tr>
      <w:tr w14:paraId="3622D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390" w:type="pct"/>
            <w:tcBorders>
              <w:top w:val="single" w:color="auto" w:sz="2" w:space="0"/>
            </w:tcBorders>
            <w:shd w:val="clear" w:color="auto" w:fill="auto"/>
            <w:vAlign w:val="center"/>
          </w:tcPr>
          <w:p w14:paraId="22152C3F">
            <w:pPr>
              <w:widowControl w:val="0"/>
              <w:spacing w:line="320" w:lineRule="exact"/>
              <w:jc w:val="center"/>
              <w:rPr>
                <w:rFonts w:cs="仿宋" w:asciiTheme="minorEastAsia" w:hAnsiTheme="minorEastAsia"/>
                <w:kern w:val="2"/>
                <w:sz w:val="21"/>
                <w:szCs w:val="21"/>
              </w:rPr>
            </w:pPr>
            <w:bookmarkStart w:id="13" w:name="_Hlk211435566"/>
            <w:bookmarkStart w:id="14" w:name="OLE_LINK7"/>
            <w:bookmarkStart w:id="15" w:name="OLE_LINK6"/>
            <w:r>
              <w:rPr>
                <w:rFonts w:hint="eastAsia" w:cs="仿宋" w:asciiTheme="minorEastAsia" w:hAnsiTheme="minorEastAsia"/>
                <w:kern w:val="2"/>
                <w:sz w:val="21"/>
                <w:szCs w:val="21"/>
              </w:rPr>
              <w:t>技术评审</w:t>
            </w:r>
          </w:p>
        </w:tc>
        <w:tc>
          <w:tcPr>
            <w:tcW w:w="343" w:type="pct"/>
            <w:tcBorders>
              <w:top w:val="single" w:color="auto" w:sz="2" w:space="0"/>
            </w:tcBorders>
            <w:shd w:val="clear" w:color="auto" w:fill="auto"/>
            <w:vAlign w:val="center"/>
          </w:tcPr>
          <w:p w14:paraId="214F3CC3">
            <w:pPr>
              <w:widowControl w:val="0"/>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3</w:t>
            </w:r>
            <w:r>
              <w:rPr>
                <w:rFonts w:cs="仿宋" w:asciiTheme="minorEastAsia" w:hAnsiTheme="minorEastAsia"/>
                <w:kern w:val="2"/>
                <w:sz w:val="21"/>
                <w:szCs w:val="21"/>
              </w:rPr>
              <w:t>9</w:t>
            </w:r>
          </w:p>
        </w:tc>
        <w:tc>
          <w:tcPr>
            <w:tcW w:w="517" w:type="pct"/>
            <w:shd w:val="clear" w:color="auto" w:fill="auto"/>
            <w:vAlign w:val="center"/>
          </w:tcPr>
          <w:p w14:paraId="77DAD070">
            <w:pPr>
              <w:widowControl w:val="0"/>
              <w:tabs>
                <w:tab w:val="left" w:pos="0"/>
                <w:tab w:val="left" w:pos="547"/>
              </w:tabs>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3</w:t>
            </w:r>
            <w:r>
              <w:rPr>
                <w:rFonts w:cs="仿宋" w:asciiTheme="minorEastAsia" w:hAnsiTheme="minorEastAsia"/>
                <w:kern w:val="2"/>
                <w:sz w:val="21"/>
                <w:szCs w:val="21"/>
              </w:rPr>
              <w:t>9</w:t>
            </w:r>
          </w:p>
        </w:tc>
        <w:tc>
          <w:tcPr>
            <w:tcW w:w="3278" w:type="pct"/>
            <w:tcBorders>
              <w:top w:val="single" w:color="auto" w:sz="2" w:space="0"/>
            </w:tcBorders>
            <w:shd w:val="clear" w:color="auto" w:fill="auto"/>
          </w:tcPr>
          <w:p w14:paraId="207B6375">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施工组织方案：</w:t>
            </w:r>
          </w:p>
          <w:p w14:paraId="38A34244">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一、评审内容</w:t>
            </w:r>
          </w:p>
          <w:p w14:paraId="6A31FE79">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供应商针对本项目编制完善的施工组织方案，内容包含①施工部署②施工总进度计划③质量技术措施④安全技术措施⑤环境保护措施⑥主要管理措施⑦紧急情况应急措施⑧资源配置计划⑨劳动力保障措施。</w:t>
            </w:r>
          </w:p>
          <w:p w14:paraId="1AFC44A5">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二、评审标准</w:t>
            </w:r>
          </w:p>
          <w:p w14:paraId="5AE23BDE">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1.完整性：方案必须全面，对评审内容中的各项要求有详细描述；</w:t>
            </w:r>
          </w:p>
          <w:p w14:paraId="341F89E4">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2.可实施性：切合本项目实际情况，提出步骤清晰、合理的方案；</w:t>
            </w:r>
          </w:p>
          <w:p w14:paraId="38F9CC4A">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3.针对性：方案能够紧扣项目实际情况，内容科学合理。</w:t>
            </w:r>
          </w:p>
          <w:p w14:paraId="621F1244">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三、赋分标准</w:t>
            </w:r>
          </w:p>
          <w:p w14:paraId="5D0C9D4F">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①施工部署：每完全满足一项评审标准得1.5分，不满足得0分。满分4.5分；</w:t>
            </w:r>
          </w:p>
          <w:p w14:paraId="47FBBB09">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②施工总进度计划：每完全满足一项评审标准得1.5分，不满足得0分。满分4.5分；</w:t>
            </w:r>
          </w:p>
          <w:p w14:paraId="1F433238">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③质量技术措施：每完全满足一项评审标准得1.5分，不满足得0分。满分4.5分；</w:t>
            </w:r>
          </w:p>
          <w:p w14:paraId="6FEA6209">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④安全技术措施：每完全满足一项评审标准得1.5分，不满足得0分。满分4.5分；</w:t>
            </w:r>
          </w:p>
          <w:p w14:paraId="0DBFEF5B">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⑤环境保护措施：每完全满足一项评审标准得1.5分，不满足得0分。满分4.5分；</w:t>
            </w:r>
          </w:p>
          <w:p w14:paraId="174E21BF">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⑥主要管理措施：每完全满足一项评审标准得1.5分，不满足得0分。满分4.5分；</w:t>
            </w:r>
          </w:p>
          <w:p w14:paraId="2B714BE5">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⑦紧急情况应急措施：每完全满足一项评审标准得1.5分，不满足得0分。满分4.5分；</w:t>
            </w:r>
          </w:p>
          <w:p w14:paraId="4D8F82B6">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⑧资源配置计划：每完全满足一项评审标准得1.5分，不满足得0分。满分4.5分；</w:t>
            </w:r>
          </w:p>
          <w:p w14:paraId="347949D0">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⑨劳动力保障措施：每完全满足一项评审标准得1分，不满足得0分。满分3分。</w:t>
            </w:r>
          </w:p>
        </w:tc>
        <w:tc>
          <w:tcPr>
            <w:tcW w:w="471" w:type="pct"/>
            <w:tcBorders>
              <w:top w:val="single" w:color="auto" w:sz="2" w:space="0"/>
            </w:tcBorders>
            <w:shd w:val="clear" w:color="auto" w:fill="auto"/>
            <w:vAlign w:val="center"/>
          </w:tcPr>
          <w:p w14:paraId="2C117E31">
            <w:pPr>
              <w:widowControl w:val="0"/>
              <w:spacing w:line="320" w:lineRule="exact"/>
              <w:jc w:val="both"/>
              <w:rPr>
                <w:rFonts w:cs="仿宋" w:asciiTheme="minorEastAsia" w:hAnsiTheme="minorEastAsia"/>
                <w:kern w:val="2"/>
                <w:sz w:val="21"/>
                <w:szCs w:val="21"/>
              </w:rPr>
            </w:pPr>
            <w:r>
              <w:rPr>
                <w:rFonts w:hint="eastAsia" w:cs="仿宋" w:asciiTheme="minorEastAsia" w:hAnsiTheme="minorEastAsia"/>
                <w:kern w:val="2"/>
                <w:sz w:val="21"/>
                <w:szCs w:val="21"/>
              </w:rPr>
              <w:br w:type="textWrapping"/>
            </w:r>
          </w:p>
        </w:tc>
      </w:tr>
      <w:bookmarkEnd w:id="13"/>
      <w:tr w14:paraId="65D401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390" w:type="pct"/>
            <w:vMerge w:val="restart"/>
            <w:shd w:val="clear" w:color="auto" w:fill="auto"/>
            <w:vAlign w:val="center"/>
          </w:tcPr>
          <w:p w14:paraId="71CBD690">
            <w:pPr>
              <w:widowControl w:val="0"/>
              <w:spacing w:line="320" w:lineRule="exact"/>
              <w:jc w:val="center"/>
              <w:rPr>
                <w:rFonts w:cs="仿宋" w:asciiTheme="minorEastAsia" w:hAnsiTheme="minorEastAsia"/>
                <w:bCs/>
                <w:kern w:val="2"/>
                <w:sz w:val="21"/>
                <w:szCs w:val="21"/>
              </w:rPr>
            </w:pPr>
            <w:r>
              <w:rPr>
                <w:rFonts w:hint="eastAsia" w:cs="仿宋" w:asciiTheme="minorEastAsia" w:hAnsiTheme="minorEastAsia"/>
                <w:bCs/>
                <w:kern w:val="2"/>
                <w:sz w:val="21"/>
                <w:szCs w:val="21"/>
              </w:rPr>
              <w:t>商务评审</w:t>
            </w:r>
          </w:p>
        </w:tc>
        <w:tc>
          <w:tcPr>
            <w:tcW w:w="343" w:type="pct"/>
            <w:vMerge w:val="restart"/>
            <w:shd w:val="clear" w:color="auto" w:fill="auto"/>
            <w:vAlign w:val="center"/>
          </w:tcPr>
          <w:p w14:paraId="33F35690">
            <w:pPr>
              <w:widowControl w:val="0"/>
              <w:spacing w:line="320" w:lineRule="exact"/>
              <w:jc w:val="center"/>
              <w:rPr>
                <w:rFonts w:cs="仿宋" w:asciiTheme="minorEastAsia" w:hAnsiTheme="minorEastAsia"/>
                <w:kern w:val="2"/>
                <w:sz w:val="21"/>
                <w:szCs w:val="21"/>
              </w:rPr>
            </w:pPr>
            <w:r>
              <w:rPr>
                <w:rFonts w:cs="仿宋" w:asciiTheme="minorEastAsia" w:hAnsiTheme="minorEastAsia"/>
                <w:kern w:val="2"/>
                <w:sz w:val="21"/>
                <w:szCs w:val="21"/>
              </w:rPr>
              <w:t>31</w:t>
            </w:r>
          </w:p>
        </w:tc>
        <w:tc>
          <w:tcPr>
            <w:tcW w:w="517" w:type="pct"/>
            <w:shd w:val="clear" w:color="auto" w:fill="auto"/>
            <w:vAlign w:val="center"/>
          </w:tcPr>
          <w:p w14:paraId="194C9CB8">
            <w:pPr>
              <w:widowControl w:val="0"/>
              <w:tabs>
                <w:tab w:val="left" w:pos="0"/>
                <w:tab w:val="left" w:pos="547"/>
              </w:tabs>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10</w:t>
            </w:r>
          </w:p>
        </w:tc>
        <w:tc>
          <w:tcPr>
            <w:tcW w:w="3278" w:type="pct"/>
            <w:tcBorders>
              <w:top w:val="single" w:color="auto" w:sz="2" w:space="0"/>
            </w:tcBorders>
            <w:shd w:val="clear" w:color="auto" w:fill="auto"/>
            <w:vAlign w:val="center"/>
          </w:tcPr>
          <w:p w14:paraId="2B25007C">
            <w:pPr>
              <w:widowControl w:val="0"/>
              <w:spacing w:line="320" w:lineRule="exact"/>
              <w:ind w:firstLine="420"/>
              <w:jc w:val="both"/>
              <w:rPr>
                <w:rFonts w:cs="仿宋" w:asciiTheme="minorEastAsia" w:hAnsiTheme="minorEastAsia"/>
                <w:b/>
                <w:bCs/>
                <w:kern w:val="2"/>
                <w:sz w:val="21"/>
                <w:szCs w:val="21"/>
              </w:rPr>
            </w:pPr>
            <w:r>
              <w:rPr>
                <w:rFonts w:hint="eastAsia" w:cs="仿宋" w:asciiTheme="minorEastAsia" w:hAnsiTheme="minorEastAsia"/>
                <w:b/>
                <w:bCs/>
                <w:kern w:val="2"/>
                <w:sz w:val="21"/>
                <w:szCs w:val="21"/>
              </w:rPr>
              <w:t>主材性能：</w:t>
            </w:r>
          </w:p>
          <w:p w14:paraId="45904D05">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提供针对本项目的主材清单（清单内容包括但不限于材料名称、品牌、规格、材质等）。</w:t>
            </w:r>
          </w:p>
          <w:p w14:paraId="4BE78697">
            <w:pPr>
              <w:widowControl w:val="0"/>
              <w:spacing w:line="320" w:lineRule="exact"/>
              <w:ind w:firstLine="420"/>
              <w:jc w:val="both"/>
              <w:rPr>
                <w:rFonts w:cs="仿宋" w:asciiTheme="minorEastAsia" w:hAnsiTheme="minorEastAsia"/>
                <w:b/>
                <w:bCs/>
                <w:kern w:val="2"/>
                <w:sz w:val="21"/>
                <w:szCs w:val="21"/>
              </w:rPr>
            </w:pPr>
            <w:r>
              <w:rPr>
                <w:rFonts w:hint="eastAsia" w:cs="仿宋" w:asciiTheme="minorEastAsia" w:hAnsiTheme="minorEastAsia"/>
                <w:b/>
                <w:bCs/>
                <w:kern w:val="2"/>
                <w:sz w:val="21"/>
                <w:szCs w:val="21"/>
              </w:rPr>
              <w:t>一、评审内容：</w:t>
            </w:r>
          </w:p>
          <w:p w14:paraId="0C233D87">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对主材清单内容进行评审。</w:t>
            </w:r>
          </w:p>
          <w:p w14:paraId="3EFC2262">
            <w:pPr>
              <w:widowControl w:val="0"/>
              <w:spacing w:line="320" w:lineRule="exact"/>
              <w:ind w:firstLine="420"/>
              <w:jc w:val="both"/>
              <w:rPr>
                <w:rFonts w:cs="仿宋" w:asciiTheme="minorEastAsia" w:hAnsiTheme="minorEastAsia"/>
                <w:b/>
                <w:bCs/>
                <w:kern w:val="2"/>
                <w:sz w:val="21"/>
                <w:szCs w:val="21"/>
              </w:rPr>
            </w:pPr>
            <w:r>
              <w:rPr>
                <w:rFonts w:hint="eastAsia" w:cs="仿宋" w:asciiTheme="minorEastAsia" w:hAnsiTheme="minorEastAsia"/>
                <w:b/>
                <w:bCs/>
                <w:kern w:val="2"/>
                <w:sz w:val="21"/>
                <w:szCs w:val="21"/>
              </w:rPr>
              <w:t>二、评审及赋分标准：</w:t>
            </w:r>
          </w:p>
          <w:p w14:paraId="69BFE83C">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清单内容完整，主材质量、工艺优良，安全可靠性高，完全满足项目需求的得10分。未提供清单或不能完全满足要求的不得分。</w:t>
            </w:r>
          </w:p>
        </w:tc>
        <w:tc>
          <w:tcPr>
            <w:tcW w:w="471" w:type="pct"/>
            <w:shd w:val="clear" w:color="auto" w:fill="auto"/>
            <w:vAlign w:val="center"/>
          </w:tcPr>
          <w:p w14:paraId="023D2F73">
            <w:pPr>
              <w:widowControl w:val="0"/>
              <w:spacing w:line="320" w:lineRule="exact"/>
              <w:jc w:val="both"/>
              <w:rPr>
                <w:rFonts w:cs="仿宋" w:asciiTheme="minorEastAsia" w:hAnsiTheme="minorEastAsia"/>
                <w:kern w:val="2"/>
                <w:sz w:val="21"/>
                <w:szCs w:val="21"/>
              </w:rPr>
            </w:pPr>
          </w:p>
          <w:p w14:paraId="0052069A">
            <w:pPr>
              <w:widowControl w:val="0"/>
              <w:spacing w:line="320" w:lineRule="exact"/>
              <w:jc w:val="both"/>
              <w:rPr>
                <w:rFonts w:cs="仿宋" w:asciiTheme="minorEastAsia" w:hAnsiTheme="minorEastAsia"/>
                <w:kern w:val="2"/>
                <w:sz w:val="21"/>
                <w:szCs w:val="21"/>
              </w:rPr>
            </w:pPr>
          </w:p>
        </w:tc>
      </w:tr>
      <w:tr w14:paraId="2FC1C6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390" w:type="pct"/>
            <w:vMerge w:val="continue"/>
            <w:shd w:val="clear" w:color="auto" w:fill="auto"/>
            <w:vAlign w:val="center"/>
          </w:tcPr>
          <w:p w14:paraId="11556391">
            <w:pPr>
              <w:widowControl w:val="0"/>
              <w:spacing w:line="320" w:lineRule="exact"/>
              <w:jc w:val="both"/>
              <w:rPr>
                <w:rFonts w:cs="仿宋" w:asciiTheme="minorEastAsia" w:hAnsiTheme="minorEastAsia"/>
                <w:bCs/>
                <w:kern w:val="2"/>
                <w:sz w:val="21"/>
                <w:szCs w:val="21"/>
              </w:rPr>
            </w:pPr>
          </w:p>
        </w:tc>
        <w:tc>
          <w:tcPr>
            <w:tcW w:w="343" w:type="pct"/>
            <w:vMerge w:val="continue"/>
            <w:shd w:val="clear" w:color="auto" w:fill="auto"/>
            <w:vAlign w:val="center"/>
          </w:tcPr>
          <w:p w14:paraId="13D97C4F">
            <w:pPr>
              <w:widowControl w:val="0"/>
              <w:spacing w:line="320" w:lineRule="exact"/>
              <w:jc w:val="center"/>
              <w:rPr>
                <w:rFonts w:cs="仿宋" w:asciiTheme="minorEastAsia" w:hAnsiTheme="minorEastAsia"/>
                <w:kern w:val="2"/>
                <w:sz w:val="21"/>
                <w:szCs w:val="21"/>
              </w:rPr>
            </w:pPr>
          </w:p>
        </w:tc>
        <w:tc>
          <w:tcPr>
            <w:tcW w:w="517" w:type="pct"/>
            <w:shd w:val="clear" w:color="auto" w:fill="auto"/>
            <w:vAlign w:val="center"/>
          </w:tcPr>
          <w:p w14:paraId="198292E1">
            <w:pPr>
              <w:widowControl w:val="0"/>
              <w:tabs>
                <w:tab w:val="left" w:pos="0"/>
                <w:tab w:val="left" w:pos="547"/>
              </w:tabs>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12</w:t>
            </w:r>
          </w:p>
        </w:tc>
        <w:tc>
          <w:tcPr>
            <w:tcW w:w="3278" w:type="pct"/>
            <w:tcBorders>
              <w:top w:val="single" w:color="auto" w:sz="2" w:space="0"/>
            </w:tcBorders>
            <w:shd w:val="clear" w:color="auto" w:fill="auto"/>
            <w:vAlign w:val="center"/>
          </w:tcPr>
          <w:p w14:paraId="414993B6">
            <w:pPr>
              <w:widowControl w:val="0"/>
              <w:spacing w:line="320" w:lineRule="exact"/>
              <w:ind w:firstLine="420"/>
              <w:jc w:val="both"/>
              <w:rPr>
                <w:rFonts w:cs="仿宋" w:asciiTheme="minorEastAsia" w:hAnsiTheme="minorEastAsia"/>
                <w:b/>
                <w:bCs/>
                <w:kern w:val="2"/>
                <w:sz w:val="21"/>
                <w:szCs w:val="21"/>
              </w:rPr>
            </w:pPr>
            <w:r>
              <w:rPr>
                <w:rFonts w:hint="eastAsia" w:cs="仿宋" w:asciiTheme="minorEastAsia" w:hAnsiTheme="minorEastAsia"/>
                <w:b/>
                <w:bCs/>
                <w:kern w:val="2"/>
                <w:sz w:val="21"/>
                <w:szCs w:val="21"/>
              </w:rPr>
              <w:t>验收与售后：</w:t>
            </w:r>
          </w:p>
          <w:p w14:paraId="3EB47C04">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一、评审内容：</w:t>
            </w:r>
          </w:p>
          <w:p w14:paraId="2D06898F">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结合本项目的实际，供应商应依据国家相关规定提出工程验收保修方案，内容包含：①验收方案②维修措施③保修责任及保修承诺④响应时间。</w:t>
            </w:r>
          </w:p>
          <w:p w14:paraId="6ED80033">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二、评审标准：</w:t>
            </w:r>
          </w:p>
          <w:p w14:paraId="6F8C88C7">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1.完整性：内容必须全面，对评审内容中的各项要求有详细描述；</w:t>
            </w:r>
          </w:p>
          <w:p w14:paraId="7D683BFE">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2.落实性：切合项目具体情况，提出责任明确、要求具体的方案；</w:t>
            </w:r>
          </w:p>
          <w:p w14:paraId="22D2694D">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3.针对性：内容能够紧扣项目实际情况，内容科学合理。</w:t>
            </w:r>
          </w:p>
          <w:p w14:paraId="7D1E6358">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三、赋分标准</w:t>
            </w:r>
          </w:p>
          <w:p w14:paraId="11D625E7">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①验收方案：每完全满足一项评审标准得1分，不满足得0分。满分3分；</w:t>
            </w:r>
          </w:p>
          <w:p w14:paraId="5F78B701">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②维修措施：每完全满足一项评审标准得1分，不满足得0分。满分3分；</w:t>
            </w:r>
          </w:p>
          <w:p w14:paraId="35118206">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③保修责任及保修承诺：每完全满足一项评审标准得1分，不满足得0分。满分3分；</w:t>
            </w:r>
          </w:p>
          <w:p w14:paraId="7BB5DFCA">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④响应时间：每完全满足一项评审标准得1分，不满足得0分。满分3分。</w:t>
            </w:r>
          </w:p>
        </w:tc>
        <w:tc>
          <w:tcPr>
            <w:tcW w:w="471" w:type="pct"/>
            <w:vMerge w:val="restart"/>
            <w:tcBorders>
              <w:top w:val="single" w:color="auto" w:sz="2" w:space="0"/>
            </w:tcBorders>
            <w:shd w:val="clear" w:color="auto" w:fill="auto"/>
            <w:vAlign w:val="center"/>
          </w:tcPr>
          <w:p w14:paraId="0B5750C1">
            <w:pPr>
              <w:widowControl w:val="0"/>
              <w:spacing w:line="320" w:lineRule="exact"/>
              <w:jc w:val="both"/>
              <w:rPr>
                <w:rFonts w:cs="仿宋" w:asciiTheme="minorEastAsia" w:hAnsiTheme="minorEastAsia"/>
                <w:kern w:val="2"/>
                <w:sz w:val="21"/>
                <w:szCs w:val="21"/>
              </w:rPr>
            </w:pPr>
          </w:p>
        </w:tc>
      </w:tr>
      <w:tr w14:paraId="0D797A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390" w:type="pct"/>
            <w:vMerge w:val="continue"/>
            <w:shd w:val="clear" w:color="auto" w:fill="auto"/>
            <w:vAlign w:val="center"/>
          </w:tcPr>
          <w:p w14:paraId="37D85EBB">
            <w:pPr>
              <w:widowControl w:val="0"/>
              <w:spacing w:line="320" w:lineRule="exact"/>
              <w:jc w:val="both"/>
              <w:rPr>
                <w:rFonts w:cs="仿宋" w:asciiTheme="minorEastAsia" w:hAnsiTheme="minorEastAsia"/>
                <w:bCs/>
                <w:kern w:val="2"/>
                <w:sz w:val="21"/>
                <w:szCs w:val="21"/>
              </w:rPr>
            </w:pPr>
            <w:bookmarkStart w:id="16" w:name="_Hlk211435802"/>
          </w:p>
        </w:tc>
        <w:tc>
          <w:tcPr>
            <w:tcW w:w="343" w:type="pct"/>
            <w:vMerge w:val="continue"/>
            <w:shd w:val="clear" w:color="auto" w:fill="auto"/>
            <w:vAlign w:val="center"/>
          </w:tcPr>
          <w:p w14:paraId="02B6FCA3">
            <w:pPr>
              <w:widowControl w:val="0"/>
              <w:spacing w:line="320" w:lineRule="exact"/>
              <w:jc w:val="center"/>
              <w:rPr>
                <w:rFonts w:cs="仿宋" w:asciiTheme="minorEastAsia" w:hAnsiTheme="minorEastAsia"/>
                <w:kern w:val="2"/>
                <w:sz w:val="21"/>
                <w:szCs w:val="21"/>
              </w:rPr>
            </w:pPr>
          </w:p>
        </w:tc>
        <w:tc>
          <w:tcPr>
            <w:tcW w:w="517" w:type="pct"/>
            <w:shd w:val="clear" w:color="auto" w:fill="auto"/>
            <w:vAlign w:val="center"/>
          </w:tcPr>
          <w:p w14:paraId="41069E61">
            <w:pPr>
              <w:widowControl w:val="0"/>
              <w:tabs>
                <w:tab w:val="left" w:pos="0"/>
                <w:tab w:val="left" w:pos="547"/>
              </w:tabs>
              <w:spacing w:line="320" w:lineRule="exact"/>
              <w:jc w:val="center"/>
              <w:rPr>
                <w:rFonts w:cs="仿宋" w:asciiTheme="minorEastAsia" w:hAnsiTheme="minorEastAsia"/>
                <w:kern w:val="2"/>
                <w:sz w:val="21"/>
                <w:szCs w:val="21"/>
              </w:rPr>
            </w:pPr>
            <w:r>
              <w:rPr>
                <w:rFonts w:cs="仿宋" w:asciiTheme="minorEastAsia" w:hAnsiTheme="minorEastAsia"/>
                <w:kern w:val="2"/>
                <w:sz w:val="21"/>
                <w:szCs w:val="21"/>
              </w:rPr>
              <w:t>3</w:t>
            </w:r>
          </w:p>
        </w:tc>
        <w:tc>
          <w:tcPr>
            <w:tcW w:w="3278" w:type="pct"/>
            <w:tcBorders>
              <w:top w:val="single" w:color="auto" w:sz="2" w:space="0"/>
            </w:tcBorders>
            <w:shd w:val="clear" w:color="auto" w:fill="auto"/>
          </w:tcPr>
          <w:p w14:paraId="35F6CCAD">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项目部人员团队组成：</w:t>
            </w:r>
          </w:p>
          <w:p w14:paraId="5816E6BB">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一、评审内容：</w:t>
            </w:r>
          </w:p>
          <w:p w14:paraId="24496738">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项目部人员组成及架构。</w:t>
            </w:r>
          </w:p>
          <w:p w14:paraId="38E213FD">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b/>
                <w:kern w:val="2"/>
                <w:sz w:val="21"/>
                <w:szCs w:val="21"/>
              </w:rPr>
              <w:t>二、评审标准：</w:t>
            </w:r>
          </w:p>
          <w:p w14:paraId="31335E81">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1、完整性：组织机构的运行配备完善、各岗位人员分工明确合理。</w:t>
            </w:r>
            <w:r>
              <w:rPr>
                <w:rFonts w:hint="eastAsia" w:cs="仿宋" w:asciiTheme="minorEastAsia" w:hAnsiTheme="minorEastAsia"/>
                <w:kern w:val="2"/>
                <w:sz w:val="21"/>
                <w:szCs w:val="21"/>
              </w:rPr>
              <w:cr/>
            </w:r>
            <w:r>
              <w:rPr>
                <w:rFonts w:cs="仿宋" w:asciiTheme="minorEastAsia" w:hAnsiTheme="minorEastAsia"/>
                <w:kern w:val="2"/>
                <w:sz w:val="21"/>
                <w:szCs w:val="21"/>
              </w:rPr>
              <w:t xml:space="preserve">    </w:t>
            </w:r>
            <w:r>
              <w:rPr>
                <w:rFonts w:hint="eastAsia" w:cs="仿宋" w:asciiTheme="minorEastAsia" w:hAnsiTheme="minorEastAsia"/>
                <w:kern w:val="2"/>
                <w:sz w:val="21"/>
                <w:szCs w:val="21"/>
              </w:rPr>
              <w:t>2、针对性：人员数量充足，人员资格/年龄等符合采购需求。</w:t>
            </w:r>
            <w:r>
              <w:rPr>
                <w:rFonts w:hint="eastAsia" w:cs="仿宋" w:asciiTheme="minorEastAsia" w:hAnsiTheme="minorEastAsia"/>
                <w:kern w:val="2"/>
                <w:sz w:val="21"/>
                <w:szCs w:val="21"/>
              </w:rPr>
              <w:cr/>
            </w:r>
            <w:r>
              <w:rPr>
                <w:rFonts w:cs="仿宋" w:asciiTheme="minorEastAsia" w:hAnsiTheme="minorEastAsia"/>
                <w:kern w:val="2"/>
                <w:sz w:val="21"/>
                <w:szCs w:val="21"/>
              </w:rPr>
              <w:t xml:space="preserve">    </w:t>
            </w:r>
            <w:r>
              <w:rPr>
                <w:rFonts w:hint="eastAsia" w:cs="仿宋" w:asciiTheme="minorEastAsia" w:hAnsiTheme="minorEastAsia"/>
                <w:kern w:val="2"/>
                <w:sz w:val="21"/>
                <w:szCs w:val="21"/>
              </w:rPr>
              <w:t>3、专业性：人员相关岗位经验丰富，切合本项目实际情况。</w:t>
            </w:r>
          </w:p>
          <w:p w14:paraId="79AF7EB6">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三、赋分标准：</w:t>
            </w:r>
          </w:p>
          <w:p w14:paraId="0EEEA320">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项目部人员组成及架构：每完全满足一项评审标准得1分，不满足得0分。满分3分。</w:t>
            </w:r>
          </w:p>
        </w:tc>
        <w:tc>
          <w:tcPr>
            <w:tcW w:w="471" w:type="pct"/>
            <w:vMerge w:val="continue"/>
            <w:shd w:val="clear" w:color="auto" w:fill="auto"/>
            <w:vAlign w:val="center"/>
          </w:tcPr>
          <w:p w14:paraId="73F4B2BA">
            <w:pPr>
              <w:widowControl w:val="0"/>
              <w:spacing w:line="320" w:lineRule="exact"/>
              <w:jc w:val="both"/>
              <w:rPr>
                <w:rFonts w:cs="仿宋" w:asciiTheme="minorEastAsia" w:hAnsiTheme="minorEastAsia"/>
                <w:kern w:val="2"/>
                <w:sz w:val="21"/>
                <w:szCs w:val="21"/>
              </w:rPr>
            </w:pPr>
          </w:p>
        </w:tc>
      </w:tr>
      <w:bookmarkEnd w:id="16"/>
      <w:tr w14:paraId="3AD292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390" w:type="pct"/>
            <w:vMerge w:val="continue"/>
            <w:shd w:val="clear" w:color="auto" w:fill="auto"/>
            <w:vAlign w:val="center"/>
          </w:tcPr>
          <w:p w14:paraId="086E1C49">
            <w:pPr>
              <w:widowControl w:val="0"/>
              <w:spacing w:line="320" w:lineRule="exact"/>
              <w:jc w:val="both"/>
              <w:rPr>
                <w:rFonts w:cs="仿宋" w:asciiTheme="minorEastAsia" w:hAnsiTheme="minorEastAsia"/>
                <w:bCs/>
                <w:kern w:val="2"/>
                <w:sz w:val="21"/>
                <w:szCs w:val="21"/>
              </w:rPr>
            </w:pPr>
            <w:bookmarkStart w:id="17" w:name="_Hlk211435812"/>
          </w:p>
        </w:tc>
        <w:tc>
          <w:tcPr>
            <w:tcW w:w="343" w:type="pct"/>
            <w:vMerge w:val="continue"/>
            <w:shd w:val="clear" w:color="auto" w:fill="auto"/>
            <w:vAlign w:val="center"/>
          </w:tcPr>
          <w:p w14:paraId="033FE0DC">
            <w:pPr>
              <w:widowControl w:val="0"/>
              <w:spacing w:line="320" w:lineRule="exact"/>
              <w:jc w:val="center"/>
              <w:rPr>
                <w:rFonts w:cs="仿宋" w:asciiTheme="minorEastAsia" w:hAnsiTheme="minorEastAsia"/>
                <w:kern w:val="2"/>
                <w:sz w:val="21"/>
                <w:szCs w:val="21"/>
              </w:rPr>
            </w:pPr>
          </w:p>
        </w:tc>
        <w:tc>
          <w:tcPr>
            <w:tcW w:w="517" w:type="pct"/>
            <w:shd w:val="clear" w:color="auto" w:fill="auto"/>
            <w:vAlign w:val="center"/>
          </w:tcPr>
          <w:p w14:paraId="44A1FE36">
            <w:pPr>
              <w:widowControl w:val="0"/>
              <w:tabs>
                <w:tab w:val="left" w:pos="0"/>
                <w:tab w:val="left" w:pos="547"/>
              </w:tabs>
              <w:spacing w:line="320" w:lineRule="exact"/>
              <w:jc w:val="center"/>
              <w:rPr>
                <w:rFonts w:cs="仿宋" w:asciiTheme="minorEastAsia" w:hAnsiTheme="minorEastAsia"/>
                <w:kern w:val="2"/>
                <w:sz w:val="21"/>
                <w:szCs w:val="21"/>
              </w:rPr>
            </w:pPr>
            <w:r>
              <w:rPr>
                <w:rFonts w:hint="eastAsia" w:cs="仿宋" w:asciiTheme="minorEastAsia" w:hAnsiTheme="minorEastAsia"/>
                <w:kern w:val="2"/>
                <w:sz w:val="21"/>
                <w:szCs w:val="21"/>
              </w:rPr>
              <w:t>6</w:t>
            </w:r>
          </w:p>
        </w:tc>
        <w:tc>
          <w:tcPr>
            <w:tcW w:w="3278" w:type="pct"/>
            <w:shd w:val="clear" w:color="auto" w:fill="auto"/>
            <w:vAlign w:val="center"/>
          </w:tcPr>
          <w:p w14:paraId="15A2307E">
            <w:pPr>
              <w:widowControl w:val="0"/>
              <w:spacing w:line="320" w:lineRule="exact"/>
              <w:ind w:firstLine="420"/>
              <w:jc w:val="both"/>
              <w:rPr>
                <w:rFonts w:cs="仿宋" w:asciiTheme="minorEastAsia" w:hAnsiTheme="minorEastAsia"/>
                <w:b/>
                <w:kern w:val="2"/>
                <w:sz w:val="21"/>
                <w:szCs w:val="21"/>
              </w:rPr>
            </w:pPr>
            <w:r>
              <w:rPr>
                <w:rFonts w:hint="eastAsia" w:cs="仿宋" w:asciiTheme="minorEastAsia" w:hAnsiTheme="minorEastAsia"/>
                <w:b/>
                <w:kern w:val="2"/>
                <w:sz w:val="21"/>
                <w:szCs w:val="21"/>
              </w:rPr>
              <w:t>业绩：</w:t>
            </w:r>
          </w:p>
          <w:p w14:paraId="3B08B104">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提供2022年1月1日（以合同签订时间为准）以来类似施工项目的业绩证明文件（即合同或相应的验收文件），每出具一份业绩证明文件得3分，满分6分。</w:t>
            </w:r>
          </w:p>
          <w:p w14:paraId="0A2B1836">
            <w:pPr>
              <w:widowControl w:val="0"/>
              <w:spacing w:line="320" w:lineRule="exact"/>
              <w:ind w:firstLine="420"/>
              <w:jc w:val="both"/>
              <w:rPr>
                <w:rFonts w:cs="仿宋" w:asciiTheme="minorEastAsia" w:hAnsiTheme="minorEastAsia"/>
                <w:kern w:val="2"/>
                <w:sz w:val="21"/>
                <w:szCs w:val="21"/>
              </w:rPr>
            </w:pPr>
            <w:r>
              <w:rPr>
                <w:rFonts w:hint="eastAsia" w:ascii="宋体" w:hAnsi="宋体" w:eastAsia="宋体"/>
                <w:b/>
                <w:bCs/>
                <w:sz w:val="21"/>
                <w:szCs w:val="21"/>
              </w:rPr>
              <w:t>注：</w:t>
            </w:r>
            <w:r>
              <w:rPr>
                <w:rFonts w:hint="eastAsia" w:ascii="宋体" w:hAnsi="宋体" w:eastAsia="宋体"/>
                <w:sz w:val="21"/>
                <w:szCs w:val="21"/>
              </w:rPr>
              <w:t>供应商需提供合同关键页扫描件（至少应包含合同首页、合同金额所在页、签字盖章页），并加盖公章</w:t>
            </w:r>
            <w:r>
              <w:rPr>
                <w:rFonts w:hint="eastAsia" w:ascii="宋体" w:hAnsi="宋体" w:eastAsia="宋体" w:cs="Calibri Light"/>
                <w:sz w:val="21"/>
                <w:szCs w:val="21"/>
              </w:rPr>
              <w:t>。</w:t>
            </w:r>
          </w:p>
        </w:tc>
        <w:tc>
          <w:tcPr>
            <w:tcW w:w="471" w:type="pct"/>
            <w:vMerge w:val="continue"/>
            <w:shd w:val="clear" w:color="auto" w:fill="auto"/>
            <w:vAlign w:val="center"/>
          </w:tcPr>
          <w:p w14:paraId="324C7934">
            <w:pPr>
              <w:widowControl w:val="0"/>
              <w:spacing w:line="320" w:lineRule="exact"/>
              <w:jc w:val="both"/>
              <w:rPr>
                <w:rFonts w:cs="仿宋" w:asciiTheme="minorEastAsia" w:hAnsiTheme="minorEastAsia"/>
                <w:kern w:val="2"/>
                <w:sz w:val="21"/>
                <w:szCs w:val="21"/>
              </w:rPr>
            </w:pPr>
          </w:p>
        </w:tc>
      </w:tr>
      <w:bookmarkEnd w:id="14"/>
      <w:bookmarkEnd w:id="15"/>
      <w:bookmarkEnd w:id="17"/>
      <w:tr w14:paraId="3D9AF0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90" w:type="pct"/>
            <w:shd w:val="clear" w:color="auto" w:fill="auto"/>
            <w:vAlign w:val="center"/>
          </w:tcPr>
          <w:p w14:paraId="3B499927">
            <w:pPr>
              <w:widowControl w:val="0"/>
              <w:spacing w:line="320" w:lineRule="exact"/>
              <w:jc w:val="both"/>
              <w:rPr>
                <w:rFonts w:cs="仿宋" w:asciiTheme="minorEastAsia" w:hAnsiTheme="minorEastAsia"/>
                <w:kern w:val="2"/>
                <w:sz w:val="21"/>
                <w:szCs w:val="21"/>
              </w:rPr>
            </w:pPr>
            <w:r>
              <w:rPr>
                <w:rFonts w:hint="eastAsia" w:cs="仿宋" w:asciiTheme="minorEastAsia" w:hAnsiTheme="minorEastAsia"/>
                <w:kern w:val="2"/>
                <w:sz w:val="21"/>
                <w:szCs w:val="21"/>
              </w:rPr>
              <w:t>说明</w:t>
            </w:r>
          </w:p>
        </w:tc>
        <w:tc>
          <w:tcPr>
            <w:tcW w:w="4610" w:type="pct"/>
            <w:gridSpan w:val="4"/>
            <w:shd w:val="clear" w:color="auto" w:fill="auto"/>
            <w:vAlign w:val="center"/>
          </w:tcPr>
          <w:p w14:paraId="1185304F">
            <w:pPr>
              <w:widowControl w:val="0"/>
              <w:spacing w:line="320" w:lineRule="exact"/>
              <w:ind w:firstLine="420"/>
              <w:jc w:val="both"/>
              <w:rPr>
                <w:rFonts w:cs="仿宋" w:asciiTheme="minorEastAsia" w:hAnsiTheme="minorEastAsia"/>
                <w:kern w:val="2"/>
                <w:sz w:val="21"/>
                <w:szCs w:val="21"/>
              </w:rPr>
            </w:pPr>
            <w:r>
              <w:rPr>
                <w:rFonts w:hint="eastAsia" w:cs="仿宋" w:asciiTheme="minorEastAsia" w:hAnsiTheme="minorEastAsia"/>
                <w:kern w:val="2"/>
                <w:sz w:val="21"/>
                <w:szCs w:val="21"/>
              </w:rPr>
              <w:t>磋商小组成员必须按照本评审要素据实打分，各类数字计算均按“四舍五入”保留小数点后两位。</w:t>
            </w:r>
          </w:p>
        </w:tc>
      </w:tr>
    </w:tbl>
    <w:p w14:paraId="220414BB">
      <w:pPr>
        <w:pStyle w:val="81"/>
        <w:ind w:firstLine="482"/>
        <w:rPr>
          <w:b/>
        </w:rPr>
      </w:pPr>
    </w:p>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8" w:name="_Toc100219614"/>
      <w:r>
        <w:rPr>
          <w:rFonts w:hint="eastAsia"/>
        </w:rPr>
        <w:t>第三章　磋商内容及要求</w:t>
      </w:r>
      <w:bookmarkEnd w:id="18"/>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大队下辖西营消防站、张卜消防站、耿镇消防站（新队站）已验收交付，目前小型站取暖设施均为空调，大队拟安装空气能热水泵设备为动力源保障小型站冬季取暖需要，具体详见工程量清单。</w:t>
      </w:r>
    </w:p>
    <w:p w14:paraId="7307D21B">
      <w:pPr>
        <w:pStyle w:val="3"/>
        <w:jc w:val="both"/>
      </w:pPr>
      <w:r>
        <w:rPr>
          <w:rFonts w:hint="eastAsia"/>
        </w:rPr>
        <w:t>二、磋商内容</w:t>
      </w:r>
    </w:p>
    <w:p w14:paraId="3780CBCA">
      <w:pPr>
        <w:jc w:val="both"/>
      </w:pPr>
      <w:r>
        <w:rPr>
          <w:rFonts w:hint="eastAsia"/>
        </w:rPr>
        <w:t>（一）工程内容：西营消防站、张卜消防站、耿镇消防站（新队站）空气能热水泵设备采购安装。</w:t>
      </w:r>
    </w:p>
    <w:p w14:paraId="6316E8DC">
      <w:pPr>
        <w:jc w:val="both"/>
      </w:pPr>
      <w:r>
        <w:rPr>
          <w:rFonts w:hint="eastAsia"/>
        </w:rPr>
        <w:t>（二）工程地点：西安市</w:t>
      </w:r>
    </w:p>
    <w:p w14:paraId="00F03005">
      <w:pPr>
        <w:jc w:val="both"/>
      </w:pPr>
      <w:r>
        <w:rPr>
          <w:rFonts w:hint="eastAsia"/>
        </w:rPr>
        <w:t>（三）计划工期：45个日历日</w:t>
      </w:r>
    </w:p>
    <w:p w14:paraId="196ED91B">
      <w:pPr>
        <w:jc w:val="both"/>
      </w:pPr>
      <w:r>
        <w:rPr>
          <w:rFonts w:hint="eastAsia"/>
        </w:rPr>
        <w:t>（四）缺陷责任期：自工程通过竣工验收之日起2年</w:t>
      </w:r>
    </w:p>
    <w:p w14:paraId="3CBBC845">
      <w:pPr>
        <w:jc w:val="both"/>
      </w:pPr>
      <w:r>
        <w:rPr>
          <w:rFonts w:hint="eastAsia"/>
        </w:rPr>
        <w:t>（五）质量保修期：自工程竣工验收合格之日起2年</w:t>
      </w:r>
    </w:p>
    <w:p w14:paraId="26042384">
      <w:pPr>
        <w:pStyle w:val="3"/>
        <w:jc w:val="both"/>
      </w:pPr>
      <w:r>
        <w:t>三、施工要求</w:t>
      </w:r>
    </w:p>
    <w:p w14:paraId="68B4ED16">
      <w:pPr>
        <w:ind w:firstLine="480" w:firstLineChars="200"/>
        <w:jc w:val="both"/>
      </w:pPr>
      <w:r>
        <w:rPr>
          <w:rFonts w:hint="eastAsia"/>
        </w:rPr>
        <w:t>符合国家《建筑工程施工质量验收统一标准》（GB 50300）合格标准。</w:t>
      </w:r>
    </w:p>
    <w:p w14:paraId="1C8888A0">
      <w:pPr>
        <w:pStyle w:val="3"/>
        <w:jc w:val="both"/>
      </w:pPr>
      <w:r>
        <w:rPr>
          <w:rFonts w:hint="eastAsia"/>
        </w:rPr>
        <w:t>四、计价依据</w:t>
      </w:r>
    </w:p>
    <w:p w14:paraId="02FD2405">
      <w:pPr>
        <w:ind w:firstLine="480" w:firstLineChars="200"/>
        <w:jc w:val="both"/>
      </w:pPr>
      <w:r>
        <w:rPr>
          <w:rFonts w:hint="eastAsia"/>
        </w:rPr>
        <w:t>本工程的计价方式为“清单计价”，计价依据：</w:t>
      </w:r>
    </w:p>
    <w:p w14:paraId="445B748F">
      <w:pPr>
        <w:jc w:val="both"/>
      </w:pPr>
      <w:r>
        <w:t>（一）</w:t>
      </w:r>
      <w:r>
        <w:rPr>
          <w:rFonts w:hint="eastAsia"/>
        </w:rPr>
        <w:t>陕建管发（2025)10号：陕西省住房和城乡建设厅关于印发2025陕西省建设工程费用规则等计价依据的通知；</w:t>
      </w:r>
    </w:p>
    <w:p w14:paraId="03937A41">
      <w:pPr>
        <w:jc w:val="both"/>
      </w:pPr>
      <w:r>
        <w:rPr>
          <w:rFonts w:hint="eastAsia"/>
        </w:rPr>
        <w:t>（二）《陕西省建设工程工程量清单计价标准》(2025);</w:t>
      </w:r>
    </w:p>
    <w:p w14:paraId="4BC5D419">
      <w:pPr>
        <w:jc w:val="both"/>
      </w:pPr>
      <w:r>
        <w:rPr>
          <w:rFonts w:hint="eastAsia"/>
        </w:rPr>
        <w:t>（三）《陕西省建设工程费用规则》(2025)</w:t>
      </w:r>
    </w:p>
    <w:p w14:paraId="7F669DAB">
      <w:pPr>
        <w:jc w:val="both"/>
      </w:pPr>
      <w:r>
        <w:rPr>
          <w:rFonts w:hint="eastAsia"/>
        </w:rPr>
        <w:t>（四）《陕西省房屋建筑与装饰工程工程量计算标准》(2025)、《陕西省通用安装工程工程量计算标准》(2025);</w:t>
      </w:r>
    </w:p>
    <w:p w14:paraId="1EBB9A1E">
      <w:pPr>
        <w:jc w:val="both"/>
      </w:pPr>
      <w:r>
        <w:rPr>
          <w:rFonts w:hint="eastAsia"/>
        </w:rPr>
        <w:t>（五）《陕西省房屋建筑与装饰工程消耗量定额（2025)》《陕西省安装工程消耗量定额（2025)》;</w:t>
      </w:r>
    </w:p>
    <w:p w14:paraId="1E142114">
      <w:pPr>
        <w:jc w:val="both"/>
      </w:pPr>
      <w:r>
        <w:rPr>
          <w:rFonts w:hint="eastAsia"/>
        </w:rPr>
        <w:t>（六）《陕西省房屋建筑与装饰工程基价表》(2025)、《陕西省通用安装工程基价表》(2025);</w:t>
      </w:r>
    </w:p>
    <w:p w14:paraId="0545CE3E">
      <w:pPr>
        <w:jc w:val="both"/>
      </w:pPr>
      <w:r>
        <w:rPr>
          <w:rFonts w:hint="eastAsia"/>
        </w:rPr>
        <w:t>（七）材料价格以《陕西工程造价信息》2025年第7期材料信息价以及市场同期材料价；</w:t>
      </w:r>
    </w:p>
    <w:p w14:paraId="52AE7140">
      <w:pPr>
        <w:keepNext/>
        <w:spacing w:before="120" w:after="60"/>
        <w:outlineLvl w:val="1"/>
        <w:rPr>
          <w:rFonts w:ascii="Calibri" w:hAnsi="Calibri" w:eastAsia="黑体"/>
          <w:bCs/>
          <w:iCs/>
          <w:kern w:val="32"/>
          <w:sz w:val="28"/>
          <w:szCs w:val="28"/>
        </w:rPr>
      </w:pPr>
      <w:r>
        <w:rPr>
          <w:rFonts w:ascii="Calibri" w:hAnsi="Calibri" w:eastAsia="黑体"/>
          <w:bCs/>
          <w:iCs/>
          <w:kern w:val="32"/>
          <w:sz w:val="28"/>
          <w:szCs w:val="28"/>
        </w:rPr>
        <w:t>五、</w:t>
      </w:r>
      <w:r>
        <w:rPr>
          <w:rFonts w:hint="eastAsia" w:ascii="Calibri" w:hAnsi="Calibri" w:eastAsia="黑体"/>
          <w:bCs/>
          <w:iCs/>
          <w:kern w:val="32"/>
          <w:sz w:val="28"/>
          <w:szCs w:val="28"/>
        </w:rPr>
        <w:t>工程量清单</w:t>
      </w:r>
    </w:p>
    <w:p w14:paraId="093B952C">
      <w:pPr>
        <w:jc w:val="both"/>
        <w:rPr>
          <w:rFonts w:ascii="Calibri" w:hAnsi="Calibri" w:eastAsia="宋体" w:cs="Calibri"/>
          <w:color w:val="000000"/>
          <w:kern w:val="24"/>
        </w:rPr>
      </w:pPr>
      <w:r>
        <w:rPr>
          <w:rFonts w:hint="eastAsia" w:ascii="Calibri" w:hAnsi="Calibri" w:eastAsia="宋体" w:cs="Calibri"/>
          <w:color w:val="000000"/>
          <w:kern w:val="24"/>
        </w:rPr>
        <w:t>（一）工程量清单说明</w:t>
      </w:r>
    </w:p>
    <w:p w14:paraId="4DD66232">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本工程量清单是根据磋商文件中实际情况及相关工程量清单的计算规则编制，应与磋商文件一起阅读和理解，为磋商报价的共同基础。</w:t>
      </w:r>
    </w:p>
    <w:p w14:paraId="3481EE42">
      <w:pPr>
        <w:jc w:val="both"/>
        <w:rPr>
          <w:rFonts w:ascii="Calibri" w:hAnsi="Calibri" w:eastAsia="宋体" w:cs="Calibri"/>
          <w:color w:val="000000"/>
          <w:kern w:val="24"/>
        </w:rPr>
      </w:pPr>
      <w:r>
        <w:rPr>
          <w:rFonts w:hint="eastAsia" w:ascii="Calibri" w:hAnsi="Calibri" w:eastAsia="宋体" w:cs="Calibri"/>
          <w:color w:val="000000"/>
          <w:kern w:val="24"/>
        </w:rPr>
        <w:t>（二）磋商报价说明</w:t>
      </w:r>
    </w:p>
    <w:p w14:paraId="779E2880">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09849E21">
      <w:pPr>
        <w:jc w:val="both"/>
        <w:rPr>
          <w:rFonts w:ascii="Calibri" w:hAnsi="Calibri" w:eastAsia="宋体" w:cs="Calibri"/>
          <w:color w:val="000000"/>
          <w:kern w:val="24"/>
        </w:rPr>
      </w:pPr>
      <w:r>
        <w:rPr>
          <w:rFonts w:hint="eastAsia" w:ascii="Calibri" w:hAnsi="Calibri" w:eastAsia="宋体" w:cs="Calibri"/>
          <w:color w:val="000000"/>
          <w:kern w:val="24"/>
        </w:rPr>
        <w:t>（三）与本工程相关的特别说明</w:t>
      </w:r>
    </w:p>
    <w:p w14:paraId="3FB3138E">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本项目包工、包料、包工期、包质量、包安全、包调试、包垃圾外运、包文明施工，供应商要结合工程情况合理报价，按照采购人要求施工。</w:t>
      </w:r>
    </w:p>
    <w:p w14:paraId="540217EF">
      <w:pPr>
        <w:jc w:val="both"/>
        <w:rPr>
          <w:rFonts w:ascii="Calibri" w:hAnsi="Calibri" w:eastAsia="宋体" w:cs="Calibri"/>
          <w:color w:val="000000"/>
          <w:kern w:val="24"/>
        </w:rPr>
      </w:pPr>
      <w:r>
        <w:rPr>
          <w:rFonts w:hint="eastAsia" w:ascii="Calibri" w:hAnsi="Calibri" w:eastAsia="宋体" w:cs="Calibri"/>
          <w:color w:val="000000"/>
          <w:kern w:val="24"/>
        </w:rPr>
        <w:t>（四）工程量清单及图纸：供应商可在下载磋商文件（*.sxszf）后，点击“招标文件的其他材料”查看并下载工程量清单（*. xlsx）及图纸。</w:t>
      </w:r>
    </w:p>
    <w:p w14:paraId="71AF912A">
      <w:pPr>
        <w:pStyle w:val="3"/>
        <w:jc w:val="both"/>
      </w:pPr>
      <w:r>
        <w:rPr>
          <w:rFonts w:hint="eastAsia"/>
        </w:rPr>
        <w:t>六、商务要求</w:t>
      </w:r>
    </w:p>
    <w:p w14:paraId="647E0658">
      <w:pPr>
        <w:ind w:firstLine="480" w:firstLineChars="200"/>
        <w:jc w:val="both"/>
        <w:rPr>
          <w:rFonts w:ascii="Calibri" w:hAnsi="Calibri" w:eastAsia="黑体"/>
          <w:bCs/>
          <w:kern w:val="36"/>
          <w:sz w:val="32"/>
          <w:szCs w:val="32"/>
        </w:rPr>
      </w:pPr>
      <w:r>
        <w:rPr>
          <w:rFonts w:hint="eastAsia"/>
        </w:rPr>
        <w:t>款项结算：合同签订后，10个工作日内支付合同金额的40%预付款；主要设备进场后7个工作日内支付合同金额的30%工程款；工程施工竣工验收合格，供应商按采购人需求提供竣工图纸并编制结算书，双方共同确认的结算金额后，采购人接收到供应商正式发票10个工作日内，支付至结算金额的100%。</w:t>
      </w:r>
      <w:r>
        <w:cr/>
      </w:r>
      <w:r>
        <w:br w:type="page"/>
      </w:r>
    </w:p>
    <w:p w14:paraId="6ABFD21A">
      <w:pPr>
        <w:pStyle w:val="2"/>
        <w:spacing w:before="230" w:after="230"/>
        <w:rPr>
          <w:color w:val="C00000"/>
        </w:rPr>
      </w:pPr>
      <w:r>
        <w:rPr>
          <w:rFonts w:hint="eastAsia"/>
        </w:rPr>
        <w:t>第四章　合同草案条款</w:t>
      </w:r>
    </w:p>
    <w:p w14:paraId="2D3FD371">
      <w:pPr>
        <w:jc w:val="center"/>
        <w:rPr>
          <w:color w:val="C00000"/>
        </w:rPr>
      </w:pPr>
      <w:r>
        <w:rPr>
          <w:color w:val="C00000"/>
        </w:rPr>
        <w:t>（本合同为中小企业预留合同）</w:t>
      </w:r>
    </w:p>
    <w:p w14:paraId="2ABDBE3B">
      <w:pPr>
        <w:snapToGrid w:val="0"/>
        <w:spacing w:line="360" w:lineRule="auto"/>
        <w:ind w:firstLine="480" w:firstLineChars="200"/>
        <w:rPr>
          <w:b/>
        </w:rPr>
      </w:pPr>
    </w:p>
    <w:p w14:paraId="745F6760">
      <w:pPr>
        <w:snapToGrid w:val="0"/>
        <w:spacing w:line="360" w:lineRule="auto"/>
        <w:ind w:firstLine="480" w:firstLineChars="200"/>
        <w:rPr>
          <w:b/>
        </w:rPr>
      </w:pPr>
      <w:r>
        <w:rPr>
          <w:rFonts w:hint="eastAsia"/>
          <w:b/>
        </w:rPr>
        <w:t>甲方（采购人）：</w:t>
      </w:r>
      <w:r>
        <w:rPr>
          <w:rFonts w:hint="eastAsia"/>
        </w:rPr>
        <w:t xml:space="preserve">西安市消防救援支队      </w:t>
      </w:r>
      <w:r>
        <w:rPr>
          <w:rFonts w:hint="eastAsia"/>
          <w:b/>
        </w:rPr>
        <w:t xml:space="preserve">       </w:t>
      </w:r>
    </w:p>
    <w:p w14:paraId="0B0DC0E5">
      <w:pPr>
        <w:snapToGrid w:val="0"/>
        <w:spacing w:line="360" w:lineRule="auto"/>
        <w:ind w:firstLine="480" w:firstLineChars="200"/>
      </w:pPr>
      <w:r>
        <w:rPr>
          <w:rFonts w:hint="eastAsia"/>
          <w:b/>
        </w:rPr>
        <w:t>住所：</w:t>
      </w:r>
      <w:r>
        <w:rPr>
          <w:rFonts w:hint="eastAsia"/>
        </w:rPr>
        <w:t>陕西省西安市雁塔区科技七路10号</w:t>
      </w:r>
    </w:p>
    <w:p w14:paraId="29ADBDC7">
      <w:pPr>
        <w:snapToGrid w:val="0"/>
        <w:spacing w:line="360" w:lineRule="auto"/>
        <w:ind w:firstLine="480" w:firstLineChars="200"/>
        <w:rPr>
          <w:b/>
        </w:rPr>
      </w:pPr>
    </w:p>
    <w:p w14:paraId="095631B2">
      <w:pPr>
        <w:snapToGrid w:val="0"/>
        <w:spacing w:line="360" w:lineRule="auto"/>
        <w:ind w:firstLine="480" w:firstLineChars="200"/>
        <w:rPr>
          <w:b/>
        </w:rPr>
      </w:pPr>
      <w:r>
        <w:rPr>
          <w:rFonts w:hint="eastAsia"/>
          <w:b/>
        </w:rPr>
        <w:t>乙方（成交供应商）：</w:t>
      </w:r>
      <w:bookmarkStart w:id="19" w:name="OLE_LINK5"/>
      <w:r>
        <w:rPr>
          <w:rFonts w:hint="eastAsia"/>
          <w:b/>
          <w:u w:val="single"/>
        </w:rPr>
        <w:t xml:space="preserve">       </w:t>
      </w:r>
      <w:bookmarkStart w:id="20" w:name="OLE_LINK21"/>
      <w:r>
        <w:rPr>
          <w:rFonts w:hint="eastAsia"/>
          <w:b/>
          <w:u w:val="single"/>
        </w:rPr>
        <w:t xml:space="preserve">    </w:t>
      </w:r>
      <w:bookmarkEnd w:id="20"/>
      <w:r>
        <w:rPr>
          <w:rFonts w:hint="eastAsia"/>
          <w:b/>
          <w:u w:val="single"/>
        </w:rPr>
        <w:t xml:space="preserve">         </w:t>
      </w:r>
      <w:bookmarkEnd w:id="19"/>
      <w:r>
        <w:rPr>
          <w:rFonts w:hint="eastAsia"/>
          <w:b/>
        </w:rPr>
        <w:t xml:space="preserve">                               </w:t>
      </w:r>
    </w:p>
    <w:p w14:paraId="4ABD2832">
      <w:pPr>
        <w:snapToGrid w:val="0"/>
        <w:spacing w:line="360" w:lineRule="auto"/>
        <w:ind w:firstLine="480" w:firstLineChars="200"/>
        <w:rPr>
          <w:b/>
        </w:rPr>
      </w:pPr>
      <w:r>
        <w:rPr>
          <w:rFonts w:hint="eastAsia"/>
          <w:b/>
        </w:rPr>
        <w:t xml:space="preserve">住所： </w:t>
      </w:r>
      <w:r>
        <w:rPr>
          <w:rFonts w:hint="eastAsia"/>
          <w:b/>
          <w:u w:val="single"/>
        </w:rPr>
        <w:t xml:space="preserve">                    </w:t>
      </w:r>
      <w:r>
        <w:rPr>
          <w:rFonts w:hint="eastAsia"/>
          <w:b/>
        </w:rPr>
        <w:t xml:space="preserve">                              </w:t>
      </w:r>
    </w:p>
    <w:p w14:paraId="4C37982D">
      <w:pPr>
        <w:snapToGrid w:val="0"/>
        <w:spacing w:line="360" w:lineRule="auto"/>
        <w:ind w:firstLine="480" w:firstLineChars="200"/>
      </w:pPr>
    </w:p>
    <w:p w14:paraId="55BBD849">
      <w:pPr>
        <w:snapToGrid w:val="0"/>
        <w:spacing w:line="360" w:lineRule="auto"/>
        <w:ind w:firstLine="480" w:firstLineChars="200"/>
      </w:pPr>
      <w:r>
        <w:rPr>
          <w:rFonts w:hint="eastAsia"/>
        </w:rPr>
        <w:t>依照《中华人民共和国民法典》及其它有关法律、法规、规章及规范性文件的规定，结合本装修工程的具体情况，甲、乙双方在平等、自愿、协商一致的基础上，就乙方承包甲方的西安市消防救援支队高陵大队小型供热设施采购项目有关事宜（以下简称“本项目”或“本工程”），达成如下合同：</w:t>
      </w:r>
    </w:p>
    <w:p w14:paraId="6CB79694">
      <w:pPr>
        <w:snapToGrid w:val="0"/>
        <w:spacing w:line="360" w:lineRule="auto"/>
        <w:ind w:firstLine="480" w:firstLineChars="200"/>
        <w:rPr>
          <w:rFonts w:ascii="宋体" w:hAnsi="宋体" w:eastAsia="宋体" w:cs="仿宋"/>
          <w:b/>
          <w:bCs/>
        </w:rPr>
      </w:pPr>
      <w:r>
        <w:rPr>
          <w:rFonts w:hint="eastAsia" w:ascii="宋体" w:hAnsi="宋体" w:eastAsia="宋体" w:cs="仿宋"/>
          <w:b/>
          <w:bCs/>
        </w:rPr>
        <w:t>第1条 工程概况</w:t>
      </w:r>
    </w:p>
    <w:p w14:paraId="5A18A30D">
      <w:pPr>
        <w:snapToGrid w:val="0"/>
        <w:spacing w:line="360" w:lineRule="auto"/>
        <w:ind w:firstLine="480" w:firstLineChars="200"/>
        <w:rPr>
          <w:rFonts w:ascii="宋体" w:hAnsi="宋体" w:eastAsia="宋体" w:cs="仿宋"/>
        </w:rPr>
      </w:pPr>
      <w:r>
        <w:rPr>
          <w:rFonts w:hint="eastAsia" w:ascii="宋体" w:hAnsi="宋体" w:eastAsia="宋体" w:cs="仿宋"/>
        </w:rPr>
        <w:t>1.1 工程名称：西安市消防救援支队高陵大队小型站供暖设施采购项目</w:t>
      </w:r>
    </w:p>
    <w:p w14:paraId="7E340A27">
      <w:pPr>
        <w:snapToGrid w:val="0"/>
        <w:spacing w:line="360" w:lineRule="auto"/>
        <w:ind w:firstLine="480" w:firstLineChars="200"/>
        <w:rPr>
          <w:rFonts w:ascii="宋体" w:hAnsi="宋体" w:eastAsia="宋体" w:cs="仿宋"/>
        </w:rPr>
      </w:pPr>
      <w:r>
        <w:rPr>
          <w:rFonts w:hint="eastAsia" w:ascii="宋体" w:hAnsi="宋体" w:eastAsia="宋体" w:cs="仿宋"/>
        </w:rPr>
        <w:t>1.2 工程地点：</w:t>
      </w:r>
      <w:r>
        <w:rPr>
          <w:rFonts w:hint="eastAsia" w:ascii="宋体" w:hAnsi="宋体" w:eastAsia="宋体" w:cs="仿宋"/>
          <w:b/>
          <w:u w:val="single"/>
        </w:rPr>
        <w:t xml:space="preserve">        </w:t>
      </w:r>
      <w:r>
        <w:rPr>
          <w:rFonts w:hint="eastAsia" w:ascii="宋体" w:hAnsi="宋体" w:eastAsia="宋体" w:cs="仿宋"/>
        </w:rPr>
        <w:t xml:space="preserve">                                   </w:t>
      </w:r>
    </w:p>
    <w:p w14:paraId="2D76719B">
      <w:pPr>
        <w:snapToGrid w:val="0"/>
        <w:spacing w:line="360" w:lineRule="auto"/>
        <w:ind w:firstLine="480" w:firstLineChars="200"/>
        <w:rPr>
          <w:rFonts w:ascii="宋体" w:hAnsi="宋体" w:eastAsia="宋体" w:cs="仿宋"/>
        </w:rPr>
      </w:pPr>
      <w:r>
        <w:rPr>
          <w:rFonts w:hint="eastAsia" w:ascii="宋体" w:hAnsi="宋体" w:eastAsia="宋体" w:cs="仿宋"/>
        </w:rPr>
        <w:t xml:space="preserve">1.3 承包内容： 详见工程量清单                    </w:t>
      </w:r>
    </w:p>
    <w:p w14:paraId="33F10F77">
      <w:pPr>
        <w:snapToGrid w:val="0"/>
        <w:spacing w:line="360" w:lineRule="auto"/>
        <w:ind w:firstLine="480" w:firstLineChars="200"/>
        <w:rPr>
          <w:rFonts w:ascii="宋体" w:hAnsi="宋体" w:eastAsia="宋体" w:cs="仿宋"/>
        </w:rPr>
      </w:pPr>
      <w:r>
        <w:rPr>
          <w:rFonts w:hint="eastAsia" w:ascii="宋体" w:hAnsi="宋体" w:eastAsia="宋体" w:cs="仿宋"/>
        </w:rPr>
        <w:t xml:space="preserve">1.4 合同价格形式：固定综合单价          </w:t>
      </w:r>
    </w:p>
    <w:p w14:paraId="41EB1EFF">
      <w:pPr>
        <w:snapToGrid w:val="0"/>
        <w:spacing w:line="360" w:lineRule="auto"/>
        <w:ind w:firstLine="480" w:firstLineChars="200"/>
        <w:rPr>
          <w:rFonts w:ascii="宋体" w:hAnsi="宋体" w:eastAsia="宋体" w:cs="仿宋"/>
        </w:rPr>
      </w:pPr>
      <w:r>
        <w:rPr>
          <w:rFonts w:hint="eastAsia" w:ascii="宋体" w:hAnsi="宋体" w:eastAsia="宋体" w:cs="仿宋"/>
        </w:rPr>
        <w:t>1.5 工程期限:自开工之日起</w:t>
      </w:r>
      <w:r>
        <w:rPr>
          <w:rFonts w:hint="eastAsia" w:ascii="宋体" w:hAnsi="宋体" w:eastAsia="宋体" w:cs="仿宋"/>
          <w:u w:val="single"/>
        </w:rPr>
        <w:t xml:space="preserve">     </w:t>
      </w:r>
      <w:r>
        <w:rPr>
          <w:rFonts w:hint="eastAsia" w:ascii="宋体" w:hAnsi="宋体" w:eastAsia="宋体" w:cs="仿宋"/>
        </w:rPr>
        <w:t>日历天</w:t>
      </w:r>
    </w:p>
    <w:p w14:paraId="74110383">
      <w:pPr>
        <w:snapToGrid w:val="0"/>
        <w:spacing w:line="360" w:lineRule="auto"/>
        <w:ind w:firstLine="480" w:firstLineChars="200"/>
        <w:rPr>
          <w:rFonts w:ascii="宋体" w:hAnsi="宋体" w:eastAsia="宋体" w:cs="仿宋"/>
        </w:rPr>
      </w:pPr>
      <w:r>
        <w:rPr>
          <w:rFonts w:hint="eastAsia" w:ascii="宋体" w:hAnsi="宋体" w:eastAsia="宋体" w:cs="仿宋"/>
        </w:rPr>
        <w:t>开工日期</w:t>
      </w:r>
      <w:r>
        <w:rPr>
          <w:rFonts w:hint="eastAsia" w:ascii="宋体" w:hAnsi="宋体" w:eastAsia="宋体" w:cs="仿宋"/>
          <w:b/>
          <w:u w:val="single"/>
        </w:rPr>
        <w:t xml:space="preserve">    </w:t>
      </w:r>
      <w:r>
        <w:rPr>
          <w:rFonts w:hint="eastAsia" w:ascii="宋体" w:hAnsi="宋体" w:eastAsia="宋体" w:cs="仿宋"/>
        </w:rPr>
        <w:t>年</w:t>
      </w:r>
      <w:r>
        <w:rPr>
          <w:rFonts w:hint="eastAsia" w:ascii="宋体" w:hAnsi="宋体" w:eastAsia="宋体" w:cs="仿宋"/>
          <w:b/>
          <w:u w:val="single"/>
        </w:rPr>
        <w:t xml:space="preserve">    </w:t>
      </w:r>
      <w:r>
        <w:rPr>
          <w:rFonts w:hint="eastAsia" w:ascii="宋体" w:hAnsi="宋体" w:eastAsia="宋体" w:cs="仿宋"/>
        </w:rPr>
        <w:t xml:space="preserve"> 月</w:t>
      </w:r>
      <w:r>
        <w:rPr>
          <w:rFonts w:hint="eastAsia" w:ascii="宋体" w:hAnsi="宋体" w:eastAsia="宋体" w:cs="仿宋"/>
          <w:b/>
          <w:u w:val="single"/>
        </w:rPr>
        <w:t xml:space="preserve">    </w:t>
      </w:r>
      <w:r>
        <w:rPr>
          <w:rFonts w:hint="eastAsia" w:ascii="宋体" w:hAnsi="宋体" w:eastAsia="宋体" w:cs="仿宋"/>
        </w:rPr>
        <w:t>日（暂定，实际以经甲方书面确认的开工报告日期为准）</w:t>
      </w:r>
    </w:p>
    <w:p w14:paraId="4BC0A17D">
      <w:pPr>
        <w:snapToGrid w:val="0"/>
        <w:spacing w:line="360" w:lineRule="auto"/>
        <w:ind w:firstLine="480" w:firstLineChars="200"/>
        <w:rPr>
          <w:rFonts w:ascii="宋体" w:hAnsi="宋体" w:eastAsia="宋体" w:cs="仿宋"/>
        </w:rPr>
      </w:pPr>
      <w:r>
        <w:rPr>
          <w:rFonts w:hint="eastAsia" w:ascii="宋体" w:hAnsi="宋体" w:eastAsia="宋体" w:cs="仿宋"/>
        </w:rPr>
        <w:t>竣工日期</w:t>
      </w:r>
      <w:r>
        <w:rPr>
          <w:rFonts w:hint="eastAsia" w:ascii="宋体" w:hAnsi="宋体" w:eastAsia="宋体" w:cs="仿宋"/>
          <w:b/>
          <w:u w:val="single"/>
        </w:rPr>
        <w:t xml:space="preserve">    </w:t>
      </w:r>
      <w:r>
        <w:rPr>
          <w:rFonts w:hint="eastAsia" w:ascii="宋体" w:hAnsi="宋体" w:eastAsia="宋体" w:cs="仿宋"/>
        </w:rPr>
        <w:t xml:space="preserve"> 年</w:t>
      </w:r>
      <w:r>
        <w:rPr>
          <w:rFonts w:hint="eastAsia" w:ascii="宋体" w:hAnsi="宋体" w:eastAsia="宋体" w:cs="仿宋"/>
          <w:b/>
          <w:u w:val="single"/>
        </w:rPr>
        <w:t xml:space="preserve">    </w:t>
      </w:r>
      <w:r>
        <w:rPr>
          <w:rFonts w:hint="eastAsia" w:ascii="宋体" w:hAnsi="宋体" w:eastAsia="宋体" w:cs="仿宋"/>
        </w:rPr>
        <w:t xml:space="preserve"> 月</w:t>
      </w:r>
      <w:r>
        <w:rPr>
          <w:rFonts w:hint="eastAsia" w:ascii="宋体" w:hAnsi="宋体" w:eastAsia="宋体" w:cs="仿宋"/>
          <w:b/>
          <w:u w:val="single"/>
        </w:rPr>
        <w:t xml:space="preserve">    </w:t>
      </w:r>
      <w:r>
        <w:rPr>
          <w:rFonts w:hint="eastAsia" w:ascii="宋体" w:hAnsi="宋体" w:eastAsia="宋体" w:cs="仿宋"/>
        </w:rPr>
        <w:t>日；（暂定，实际以经甲方书面确认的竣工报告日期为准）</w:t>
      </w:r>
    </w:p>
    <w:p w14:paraId="38001DA4">
      <w:pPr>
        <w:snapToGrid w:val="0"/>
        <w:spacing w:line="360" w:lineRule="auto"/>
        <w:ind w:firstLine="480" w:firstLineChars="200"/>
        <w:rPr>
          <w:rFonts w:ascii="宋体" w:hAnsi="宋体" w:eastAsia="宋体" w:cs="仿宋"/>
        </w:rPr>
      </w:pPr>
      <w:r>
        <w:rPr>
          <w:rFonts w:hint="eastAsia" w:ascii="宋体" w:hAnsi="宋体" w:eastAsia="宋体" w:cs="仿宋"/>
        </w:rPr>
        <w:t>工期总日历天数与根据前述计划开竣工日期计算的工期天数不一致的，以工期总日历天数为准。</w:t>
      </w:r>
    </w:p>
    <w:p w14:paraId="777DDF43">
      <w:pPr>
        <w:snapToGrid w:val="0"/>
        <w:spacing w:line="360" w:lineRule="auto"/>
        <w:ind w:firstLine="480" w:firstLineChars="200"/>
        <w:rPr>
          <w:rFonts w:ascii="宋体" w:hAnsi="宋体" w:eastAsia="宋体" w:cs="仿宋"/>
        </w:rPr>
      </w:pPr>
      <w:r>
        <w:rPr>
          <w:rFonts w:hint="eastAsia" w:ascii="宋体" w:hAnsi="宋体" w:eastAsia="宋体" w:cs="仿宋"/>
        </w:rPr>
        <w:t>1.6 合同价款：本工程合同价为（人民币</w:t>
      </w:r>
      <w:r>
        <w:rPr>
          <w:rFonts w:hint="eastAsia" w:ascii="宋体" w:hAnsi="宋体" w:eastAsia="宋体" w:cs="仿宋"/>
          <w:b/>
          <w:u w:val="single"/>
        </w:rPr>
        <w:t xml:space="preserve">    </w:t>
      </w:r>
      <w:r>
        <w:rPr>
          <w:rFonts w:hint="eastAsia" w:ascii="宋体" w:hAnsi="宋体" w:eastAsia="宋体" w:cs="仿宋"/>
        </w:rPr>
        <w:t>元，金额大写：人民币</w:t>
      </w:r>
      <w:r>
        <w:rPr>
          <w:rFonts w:hint="eastAsia" w:ascii="宋体" w:hAnsi="宋体" w:eastAsia="宋体" w:cs="仿宋"/>
          <w:b/>
          <w:u w:val="single"/>
        </w:rPr>
        <w:t xml:space="preserve">    </w:t>
      </w:r>
      <w:r>
        <w:rPr>
          <w:rFonts w:hint="eastAsia" w:ascii="宋体" w:hAnsi="宋体" w:eastAsia="宋体" w:cs="仿宋"/>
        </w:rPr>
        <w:t>元整（含税）。合同价款是指本次服务内容所需的全部费用，包括完成采购内容所需的直接费、间接费、利润、税金及其他费用。</w:t>
      </w:r>
    </w:p>
    <w:p w14:paraId="32EB0081">
      <w:pPr>
        <w:snapToGrid w:val="0"/>
        <w:spacing w:line="360" w:lineRule="auto"/>
        <w:ind w:firstLine="480" w:firstLineChars="200"/>
        <w:rPr>
          <w:rFonts w:ascii="宋体" w:hAnsi="宋体" w:eastAsia="宋体" w:cs="仿宋"/>
        </w:rPr>
      </w:pPr>
      <w:r>
        <w:rPr>
          <w:rFonts w:hint="eastAsia" w:ascii="宋体" w:hAnsi="宋体" w:eastAsia="宋体" w:cs="仿宋"/>
        </w:rPr>
        <w:t>1.7 本合同后附乙方在签订合同前需向甲方提供成交报价的组成明细（或工程量清单计价组成的报价明细）</w:t>
      </w:r>
    </w:p>
    <w:p w14:paraId="4C386063">
      <w:pPr>
        <w:snapToGrid w:val="0"/>
        <w:spacing w:line="360" w:lineRule="auto"/>
        <w:ind w:firstLine="480" w:firstLineChars="200"/>
        <w:rPr>
          <w:rFonts w:ascii="宋体" w:hAnsi="宋体" w:eastAsia="宋体" w:cs="仿宋"/>
        </w:rPr>
      </w:pPr>
      <w:r>
        <w:rPr>
          <w:rFonts w:hint="eastAsia" w:ascii="宋体" w:hAnsi="宋体" w:eastAsia="宋体" w:cs="仿宋"/>
        </w:rPr>
        <w:t>1.8 组价依据：</w:t>
      </w:r>
    </w:p>
    <w:p w14:paraId="7C7F35BE">
      <w:pPr>
        <w:snapToGrid w:val="0"/>
        <w:spacing w:line="360" w:lineRule="auto"/>
        <w:ind w:firstLine="480" w:firstLineChars="200"/>
        <w:rPr>
          <w:rFonts w:ascii="宋体" w:hAnsi="宋体" w:eastAsia="宋体" w:cs="仿宋"/>
        </w:rPr>
      </w:pPr>
      <w:r>
        <w:rPr>
          <w:rFonts w:hint="eastAsia" w:ascii="宋体" w:hAnsi="宋体" w:eastAsia="宋体" w:cs="仿宋"/>
        </w:rPr>
        <w:t>（1）陕西省建设工程工程量清单计价计算标准（2025）、陕西省建设工程费用规则（2025）；</w:t>
      </w:r>
    </w:p>
    <w:p w14:paraId="373DB4E8">
      <w:pPr>
        <w:snapToGrid w:val="0"/>
        <w:spacing w:line="360" w:lineRule="auto"/>
        <w:ind w:firstLine="480" w:firstLineChars="200"/>
        <w:rPr>
          <w:rFonts w:ascii="宋体" w:hAnsi="宋体" w:eastAsia="宋体" w:cs="仿宋"/>
        </w:rPr>
      </w:pPr>
      <w:r>
        <w:rPr>
          <w:rFonts w:hint="eastAsia" w:ascii="宋体" w:hAnsi="宋体" w:eastAsia="宋体" w:cs="仿宋"/>
        </w:rPr>
        <w:t>（2）陕西省房屋建筑与装饰工程消耗量定额(2025)、陕西省通用安装工程消耗量定额(2025)；</w:t>
      </w:r>
    </w:p>
    <w:p w14:paraId="5551FDEC">
      <w:pPr>
        <w:snapToGrid w:val="0"/>
        <w:spacing w:line="360" w:lineRule="auto"/>
        <w:ind w:firstLine="480" w:firstLineChars="200"/>
        <w:rPr>
          <w:rFonts w:ascii="宋体" w:hAnsi="宋体" w:eastAsia="宋体" w:cs="仿宋"/>
        </w:rPr>
      </w:pPr>
      <w:r>
        <w:rPr>
          <w:rFonts w:hint="eastAsia" w:ascii="宋体" w:hAnsi="宋体" w:eastAsia="宋体" w:cs="仿宋"/>
        </w:rPr>
        <w:t>（3）陕西省建设工程施工机械台班费用定额(2025)、陕西省建设工程施工仪器仪表台班费用定额(2025)；</w:t>
      </w:r>
    </w:p>
    <w:p w14:paraId="4587382D">
      <w:pPr>
        <w:snapToGrid w:val="0"/>
        <w:spacing w:line="360" w:lineRule="auto"/>
        <w:ind w:firstLine="480" w:firstLineChars="200"/>
        <w:rPr>
          <w:rFonts w:ascii="宋体" w:hAnsi="宋体" w:eastAsia="宋体" w:cs="仿宋"/>
        </w:rPr>
      </w:pPr>
      <w:r>
        <w:rPr>
          <w:rFonts w:hint="eastAsia" w:ascii="宋体" w:hAnsi="宋体" w:eastAsia="宋体" w:cs="仿宋"/>
        </w:rPr>
        <w:t>（4）陕西省房屋建筑与装饰工程基价表(2025)、陕西省通用安装工程基价表(2025)；</w:t>
      </w:r>
    </w:p>
    <w:p w14:paraId="6F82F055">
      <w:pPr>
        <w:snapToGrid w:val="0"/>
        <w:spacing w:line="360" w:lineRule="auto"/>
        <w:ind w:firstLine="480" w:firstLineChars="200"/>
        <w:rPr>
          <w:rFonts w:ascii="宋体" w:hAnsi="宋体" w:eastAsia="宋体" w:cs="仿宋"/>
        </w:rPr>
      </w:pPr>
      <w:r>
        <w:rPr>
          <w:rFonts w:hint="eastAsia" w:ascii="宋体" w:hAnsi="宋体" w:eastAsia="宋体" w:cs="仿宋"/>
        </w:rPr>
        <w:t>（5）施工现场情况、工程特点及常规施工方案；</w:t>
      </w:r>
    </w:p>
    <w:p w14:paraId="0D8A0CF2">
      <w:pPr>
        <w:snapToGrid w:val="0"/>
        <w:spacing w:line="360" w:lineRule="auto"/>
        <w:ind w:firstLine="480" w:firstLineChars="200"/>
        <w:rPr>
          <w:rFonts w:ascii="宋体" w:hAnsi="宋体" w:eastAsia="宋体" w:cs="仿宋"/>
        </w:rPr>
      </w:pPr>
      <w:r>
        <w:rPr>
          <w:rFonts w:hint="eastAsia" w:ascii="宋体" w:hAnsi="宋体" w:eastAsia="宋体" w:cs="仿宋"/>
        </w:rPr>
        <w:t>（6）其他相关资料。</w:t>
      </w:r>
    </w:p>
    <w:p w14:paraId="041F64A1">
      <w:pPr>
        <w:snapToGrid w:val="0"/>
        <w:spacing w:line="360" w:lineRule="auto"/>
        <w:ind w:firstLine="480" w:firstLineChars="200"/>
        <w:rPr>
          <w:rFonts w:ascii="宋体" w:hAnsi="宋体" w:eastAsia="宋体" w:cs="仿宋"/>
          <w:b/>
          <w:bCs/>
        </w:rPr>
      </w:pPr>
      <w:r>
        <w:rPr>
          <w:rFonts w:hint="eastAsia" w:ascii="宋体" w:hAnsi="宋体" w:eastAsia="宋体" w:cs="仿宋"/>
          <w:b/>
          <w:bCs/>
        </w:rPr>
        <w:t>第2条 甲方工作</w:t>
      </w:r>
    </w:p>
    <w:p w14:paraId="43641741">
      <w:pPr>
        <w:snapToGrid w:val="0"/>
        <w:spacing w:line="360" w:lineRule="auto"/>
        <w:ind w:firstLine="480" w:firstLineChars="200"/>
        <w:rPr>
          <w:rFonts w:ascii="宋体" w:hAnsi="宋体" w:eastAsia="宋体" w:cs="仿宋"/>
        </w:rPr>
      </w:pPr>
      <w:r>
        <w:rPr>
          <w:rFonts w:hint="eastAsia" w:ascii="宋体" w:hAnsi="宋体" w:eastAsia="宋体" w:cs="仿宋"/>
        </w:rPr>
        <w:t>2.1 开工前 1 天，甲方向乙方进行技术交底。</w:t>
      </w:r>
    </w:p>
    <w:p w14:paraId="71DCFD3D">
      <w:pPr>
        <w:snapToGrid w:val="0"/>
        <w:spacing w:line="360" w:lineRule="auto"/>
        <w:ind w:firstLine="480" w:firstLineChars="200"/>
        <w:rPr>
          <w:rFonts w:ascii="宋体" w:hAnsi="宋体" w:eastAsia="宋体" w:cs="仿宋"/>
        </w:rPr>
      </w:pPr>
      <w:r>
        <w:rPr>
          <w:rFonts w:hint="eastAsia" w:ascii="宋体" w:hAnsi="宋体" w:eastAsia="宋体" w:cs="仿宋"/>
        </w:rPr>
        <w:t>2.2 向乙方提供施工所需的场地，清除场地内影响乙方开工的障碍，提供乙方施工所需的水源、电源（一级箱以前含一级箱甲方负责，一级箱以后乙方负责）等设施，施工期间水费、电费由乙方负责。</w:t>
      </w:r>
    </w:p>
    <w:p w14:paraId="45EC0B31">
      <w:pPr>
        <w:snapToGrid w:val="0"/>
        <w:spacing w:line="360" w:lineRule="auto"/>
        <w:ind w:firstLine="480" w:firstLineChars="200"/>
        <w:rPr>
          <w:rFonts w:ascii="宋体" w:hAnsi="宋体" w:eastAsia="宋体" w:cs="仿宋"/>
        </w:rPr>
      </w:pPr>
      <w:r>
        <w:rPr>
          <w:rFonts w:hint="eastAsia" w:ascii="宋体" w:hAnsi="宋体" w:eastAsia="宋体" w:cs="仿宋"/>
        </w:rPr>
        <w:t>2.3 协助乙方办理施工所涉及的各种申请、批件等手续，并提供一切便利条件。</w:t>
      </w:r>
    </w:p>
    <w:p w14:paraId="0B761E5C">
      <w:pPr>
        <w:snapToGrid w:val="0"/>
        <w:spacing w:line="360" w:lineRule="auto"/>
        <w:ind w:firstLine="480" w:firstLineChars="200"/>
        <w:rPr>
          <w:rFonts w:ascii="宋体" w:hAnsi="宋体" w:eastAsia="宋体" w:cs="仿宋"/>
        </w:rPr>
      </w:pPr>
      <w:r>
        <w:rPr>
          <w:rFonts w:hint="eastAsia" w:ascii="宋体" w:hAnsi="宋体" w:eastAsia="宋体" w:cs="仿宋"/>
        </w:rPr>
        <w:t>2.4 指派</w:t>
      </w:r>
      <w:r>
        <w:rPr>
          <w:rFonts w:hint="eastAsia" w:ascii="宋体" w:hAnsi="宋体" w:eastAsia="宋体" w:cs="仿宋"/>
          <w:b/>
          <w:u w:val="single"/>
        </w:rPr>
        <w:t xml:space="preserve">    </w:t>
      </w:r>
      <w:r>
        <w:rPr>
          <w:rFonts w:hint="eastAsia" w:ascii="宋体" w:hAnsi="宋体" w:eastAsia="宋体" w:cs="仿宋"/>
        </w:rPr>
        <w:t>为甲方驻工地代表，对合同履行、工程质量、材料使用、工程进度进行监督，组织相关检查并配合竣工验收、办理变更、登记手续和其他事宜。</w:t>
      </w:r>
    </w:p>
    <w:p w14:paraId="4D7774CE">
      <w:pPr>
        <w:snapToGrid w:val="0"/>
        <w:spacing w:line="360" w:lineRule="auto"/>
        <w:ind w:firstLine="480" w:firstLineChars="200"/>
        <w:rPr>
          <w:rFonts w:ascii="宋体" w:hAnsi="宋体" w:eastAsia="宋体" w:cs="仿宋"/>
          <w:b/>
          <w:bCs/>
        </w:rPr>
      </w:pPr>
      <w:r>
        <w:rPr>
          <w:rFonts w:hint="eastAsia" w:ascii="宋体" w:hAnsi="宋体" w:eastAsia="宋体" w:cs="仿宋"/>
          <w:b/>
          <w:bCs/>
        </w:rPr>
        <w:t>第3条 乙方工作</w:t>
      </w:r>
    </w:p>
    <w:p w14:paraId="7AC8E450">
      <w:pPr>
        <w:snapToGrid w:val="0"/>
        <w:spacing w:line="360" w:lineRule="auto"/>
        <w:ind w:firstLine="480" w:firstLineChars="200"/>
        <w:rPr>
          <w:rFonts w:ascii="宋体" w:hAnsi="宋体" w:eastAsia="宋体" w:cs="仿宋"/>
        </w:rPr>
      </w:pPr>
      <w:r>
        <w:rPr>
          <w:rFonts w:hint="eastAsia" w:ascii="宋体" w:hAnsi="宋体" w:eastAsia="宋体" w:cs="仿宋"/>
        </w:rPr>
        <w:t>3.1严格执行施工规范、安全操作规程。防火安全规定、环境保护规定。严格按照图纸进行施工，做好各项质量检查纪录。施工过程中，如发生安全事故，由乙方负责承担全部费用及法律责任，与甲方无关。</w:t>
      </w:r>
    </w:p>
    <w:p w14:paraId="07EBDD55">
      <w:pPr>
        <w:snapToGrid w:val="0"/>
        <w:spacing w:line="360" w:lineRule="auto"/>
        <w:ind w:firstLine="480" w:firstLineChars="200"/>
        <w:rPr>
          <w:rFonts w:ascii="宋体" w:hAnsi="宋体" w:eastAsia="宋体" w:cs="仿宋"/>
        </w:rPr>
      </w:pPr>
      <w:r>
        <w:rPr>
          <w:rFonts w:hint="eastAsia" w:ascii="宋体" w:hAnsi="宋体" w:eastAsia="宋体" w:cs="仿宋"/>
        </w:rPr>
        <w:t>3.2指派</w:t>
      </w:r>
      <w:r>
        <w:rPr>
          <w:rFonts w:hint="eastAsia" w:ascii="宋体" w:hAnsi="宋体" w:eastAsia="宋体" w:cs="仿宋"/>
          <w:b/>
          <w:u w:val="single"/>
        </w:rPr>
        <w:t xml:space="preserve">    </w:t>
      </w:r>
      <w:r>
        <w:rPr>
          <w:rFonts w:hint="eastAsia" w:ascii="宋体" w:hAnsi="宋体" w:eastAsia="宋体" w:cs="仿宋"/>
        </w:rPr>
        <w:t>为乙方项目经理，负责合同履行。按要求组织施工，保质、按期完成施工任务，解决由乙方负责的各项事宜。在施工过程中，如遇施工变更，工程量增减等情况，应及时与甲方沟通，按甲方要求进行调整。</w:t>
      </w:r>
    </w:p>
    <w:p w14:paraId="7E96BA8D">
      <w:pPr>
        <w:snapToGrid w:val="0"/>
        <w:spacing w:line="360" w:lineRule="auto"/>
        <w:ind w:firstLine="480" w:firstLineChars="200"/>
        <w:rPr>
          <w:rFonts w:ascii="宋体" w:hAnsi="宋体" w:eastAsia="宋体" w:cs="仿宋"/>
        </w:rPr>
      </w:pPr>
      <w:r>
        <w:rPr>
          <w:rFonts w:hint="eastAsia" w:ascii="宋体" w:hAnsi="宋体" w:eastAsia="宋体" w:cs="仿宋"/>
        </w:rPr>
        <w:t>3.3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14:paraId="777FA7A8">
      <w:pPr>
        <w:snapToGrid w:val="0"/>
        <w:spacing w:line="360" w:lineRule="auto"/>
        <w:ind w:firstLine="480" w:firstLineChars="200"/>
        <w:rPr>
          <w:rFonts w:ascii="宋体" w:hAnsi="宋体" w:eastAsia="宋体" w:cs="仿宋"/>
        </w:rPr>
      </w:pPr>
      <w:r>
        <w:rPr>
          <w:rFonts w:hint="eastAsia" w:ascii="宋体" w:hAnsi="宋体" w:eastAsia="宋体" w:cs="仿宋"/>
        </w:rPr>
        <w:t>3.4施工中未经甲方同意或有关部门批准，不得随意拆改原建筑物结构及各种设备管线。如确实需要拆改原建筑物结构或设备管线，需经甲方书面认可，如有需要同时负责到有关部门办理相应审批手续。</w:t>
      </w:r>
    </w:p>
    <w:p w14:paraId="774FE2B8">
      <w:pPr>
        <w:snapToGrid w:val="0"/>
        <w:spacing w:line="360" w:lineRule="auto"/>
        <w:ind w:firstLine="480" w:firstLineChars="200"/>
        <w:rPr>
          <w:rFonts w:ascii="宋体" w:hAnsi="宋体" w:eastAsia="宋体" w:cs="仿宋"/>
        </w:rPr>
      </w:pPr>
      <w:r>
        <w:rPr>
          <w:rFonts w:hint="eastAsia" w:ascii="宋体" w:hAnsi="宋体" w:eastAsia="宋体" w:cs="仿宋"/>
        </w:rPr>
        <w:t>3.5保证施工现场的整洁，每项工程完工后负责清扫施工现场，施工垃圾集中到甲方指定地点。</w:t>
      </w:r>
    </w:p>
    <w:p w14:paraId="4EB9B570">
      <w:pPr>
        <w:snapToGrid w:val="0"/>
        <w:spacing w:line="360" w:lineRule="auto"/>
        <w:ind w:firstLine="480" w:firstLineChars="200"/>
        <w:rPr>
          <w:rFonts w:ascii="宋体" w:hAnsi="宋体" w:eastAsia="宋体" w:cs="仿宋"/>
          <w:b/>
          <w:bCs/>
        </w:rPr>
      </w:pPr>
      <w:r>
        <w:rPr>
          <w:rFonts w:hint="eastAsia" w:ascii="宋体" w:hAnsi="宋体" w:eastAsia="宋体" w:cs="仿宋"/>
          <w:b/>
          <w:bCs/>
        </w:rPr>
        <w:t>第4条  关于工期的约定</w:t>
      </w:r>
    </w:p>
    <w:p w14:paraId="4572689F">
      <w:pPr>
        <w:snapToGrid w:val="0"/>
        <w:spacing w:line="360" w:lineRule="auto"/>
        <w:ind w:firstLine="480" w:firstLineChars="200"/>
        <w:rPr>
          <w:rFonts w:ascii="宋体" w:hAnsi="宋体" w:eastAsia="宋体" w:cs="仿宋"/>
        </w:rPr>
      </w:pPr>
      <w:r>
        <w:rPr>
          <w:rFonts w:hint="eastAsia" w:ascii="宋体" w:hAnsi="宋体" w:eastAsia="宋体" w:cs="仿宋"/>
        </w:rPr>
        <w:t>4.1甲方要求比合同约定的工期提前竣工时，应双方协商一致，并制定赶工方案，乙方因赶工采取的措施费用由甲方承担。</w:t>
      </w:r>
    </w:p>
    <w:p w14:paraId="51247AEC">
      <w:pPr>
        <w:snapToGrid w:val="0"/>
        <w:spacing w:line="360" w:lineRule="auto"/>
        <w:ind w:firstLine="480" w:firstLineChars="200"/>
        <w:rPr>
          <w:rFonts w:ascii="宋体" w:hAnsi="宋体" w:eastAsia="宋体" w:cs="仿宋"/>
        </w:rPr>
      </w:pPr>
      <w:r>
        <w:rPr>
          <w:rFonts w:hint="eastAsia" w:ascii="宋体" w:hAnsi="宋体" w:eastAsia="宋体" w:cs="仿宋"/>
        </w:rPr>
        <w:t>4.2因甲方未按约定完成工作，影响工期，工期顺延。</w:t>
      </w:r>
    </w:p>
    <w:p w14:paraId="7F8C7D6E">
      <w:pPr>
        <w:snapToGrid w:val="0"/>
        <w:spacing w:line="360" w:lineRule="auto"/>
        <w:ind w:firstLine="480" w:firstLineChars="200"/>
        <w:rPr>
          <w:rFonts w:ascii="宋体" w:hAnsi="宋体" w:eastAsia="宋体" w:cs="仿宋"/>
        </w:rPr>
      </w:pPr>
      <w:r>
        <w:rPr>
          <w:rFonts w:hint="eastAsia" w:ascii="宋体" w:hAnsi="宋体" w:eastAsia="宋体" w:cs="仿宋"/>
        </w:rPr>
        <w:t>4.3因可归咎于乙方的责任，导致该工程不能按期开工或中途无故停工，影响工期，工期不顺延，乙方应承担因未能按期完成工作而产生的全部后果。</w:t>
      </w:r>
    </w:p>
    <w:p w14:paraId="4BB4F306">
      <w:pPr>
        <w:snapToGrid w:val="0"/>
        <w:spacing w:line="360" w:lineRule="auto"/>
        <w:ind w:firstLine="480" w:firstLineChars="200"/>
        <w:rPr>
          <w:rFonts w:ascii="宋体" w:hAnsi="宋体" w:eastAsia="宋体" w:cs="仿宋"/>
        </w:rPr>
      </w:pPr>
      <w:r>
        <w:rPr>
          <w:rFonts w:hint="eastAsia" w:ascii="宋体" w:hAnsi="宋体" w:eastAsia="宋体" w:cs="仿宋"/>
        </w:rPr>
        <w:t>4.4因设计变更或非乙方原因造成的停电、停水、停气及不可抗力因素影响，导致停工，工期相应顺延。</w:t>
      </w:r>
    </w:p>
    <w:p w14:paraId="77DC1600">
      <w:pPr>
        <w:snapToGrid w:val="0"/>
        <w:spacing w:line="360" w:lineRule="auto"/>
        <w:ind w:firstLine="480" w:firstLineChars="200"/>
        <w:rPr>
          <w:rFonts w:ascii="宋体" w:hAnsi="宋体" w:eastAsia="宋体" w:cs="仿宋"/>
          <w:b/>
          <w:bCs/>
        </w:rPr>
      </w:pPr>
      <w:r>
        <w:rPr>
          <w:rFonts w:hint="eastAsia" w:ascii="宋体" w:hAnsi="宋体" w:eastAsia="宋体" w:cs="仿宋"/>
          <w:b/>
          <w:bCs/>
        </w:rPr>
        <w:t xml:space="preserve">第5条  工程变更 </w:t>
      </w:r>
    </w:p>
    <w:p w14:paraId="5145029F">
      <w:pPr>
        <w:snapToGrid w:val="0"/>
        <w:spacing w:line="360" w:lineRule="auto"/>
        <w:ind w:firstLine="480" w:firstLineChars="200"/>
        <w:rPr>
          <w:rFonts w:ascii="宋体" w:hAnsi="宋体" w:eastAsia="宋体" w:cs="仿宋"/>
        </w:rPr>
      </w:pPr>
      <w:r>
        <w:rPr>
          <w:rFonts w:hint="eastAsia" w:ascii="宋体" w:hAnsi="宋体" w:eastAsia="宋体" w:cs="仿宋"/>
        </w:rPr>
        <w:t>5.1 合同签订后，甲乙方中一方单方面要求解除合同，须按合同额的百分之五赔付对方违约金。</w:t>
      </w:r>
    </w:p>
    <w:p w14:paraId="5F827B15">
      <w:pPr>
        <w:snapToGrid w:val="0"/>
        <w:spacing w:line="360" w:lineRule="auto"/>
        <w:ind w:firstLine="480" w:firstLineChars="200"/>
        <w:rPr>
          <w:rFonts w:ascii="宋体" w:hAnsi="宋体" w:eastAsia="宋体" w:cs="仿宋"/>
        </w:rPr>
      </w:pPr>
      <w:r>
        <w:rPr>
          <w:rFonts w:hint="eastAsia" w:ascii="宋体" w:hAnsi="宋体" w:eastAsia="宋体" w:cs="仿宋"/>
        </w:rPr>
        <w:t>5.2工程项目或施工方式如需变更，双方应协商一致，合同履行中的各项协商事宜、项目变更等均须由乙方与甲方共同商定并签订补充合同，补充合同为本合同的一部分。发生变更后，乙方按甲方代表的要求，进行下列对工程影响的变更：</w:t>
      </w:r>
    </w:p>
    <w:p w14:paraId="2BB8AEFE">
      <w:pPr>
        <w:snapToGrid w:val="0"/>
        <w:spacing w:line="360" w:lineRule="auto"/>
        <w:ind w:firstLine="480" w:firstLineChars="200"/>
        <w:rPr>
          <w:rFonts w:ascii="宋体" w:hAnsi="宋体" w:eastAsia="宋体" w:cs="仿宋"/>
        </w:rPr>
      </w:pPr>
      <w:r>
        <w:rPr>
          <w:rFonts w:hint="eastAsia" w:ascii="宋体" w:hAnsi="宋体" w:eastAsia="宋体" w:cs="仿宋"/>
        </w:rPr>
        <w:t>（1）更改有关工程的性质、质量、规格；</w:t>
      </w:r>
    </w:p>
    <w:p w14:paraId="671E225C">
      <w:pPr>
        <w:snapToGrid w:val="0"/>
        <w:spacing w:line="360" w:lineRule="auto"/>
        <w:ind w:firstLine="480" w:firstLineChars="200"/>
        <w:rPr>
          <w:rFonts w:ascii="宋体" w:hAnsi="宋体" w:eastAsia="宋体" w:cs="仿宋"/>
        </w:rPr>
      </w:pPr>
      <w:r>
        <w:rPr>
          <w:rFonts w:hint="eastAsia" w:ascii="宋体" w:hAnsi="宋体" w:eastAsia="宋体" w:cs="仿宋"/>
        </w:rPr>
        <w:t>（2）更改有关部分的标高、基线、位置和尺寸；</w:t>
      </w:r>
    </w:p>
    <w:p w14:paraId="0A190655">
      <w:pPr>
        <w:snapToGrid w:val="0"/>
        <w:spacing w:line="360" w:lineRule="auto"/>
        <w:ind w:firstLine="480" w:firstLineChars="200"/>
        <w:rPr>
          <w:rFonts w:ascii="宋体" w:hAnsi="宋体" w:eastAsia="宋体" w:cs="仿宋"/>
        </w:rPr>
      </w:pPr>
      <w:r>
        <w:rPr>
          <w:rFonts w:hint="eastAsia" w:ascii="宋体" w:hAnsi="宋体" w:eastAsia="宋体" w:cs="仿宋"/>
        </w:rPr>
        <w:t>（3）更改已设计好的内容；</w:t>
      </w:r>
    </w:p>
    <w:p w14:paraId="7D14955C">
      <w:pPr>
        <w:snapToGrid w:val="0"/>
        <w:spacing w:line="360" w:lineRule="auto"/>
        <w:ind w:firstLine="480" w:firstLineChars="200"/>
        <w:rPr>
          <w:rFonts w:ascii="宋体" w:hAnsi="宋体" w:eastAsia="宋体" w:cs="仿宋"/>
        </w:rPr>
      </w:pPr>
      <w:r>
        <w:rPr>
          <w:rFonts w:hint="eastAsia" w:ascii="宋体" w:hAnsi="宋体" w:eastAsia="宋体" w:cs="仿宋"/>
        </w:rPr>
        <w:t>（4）改变有关工程施工时间和顺序。</w:t>
      </w:r>
    </w:p>
    <w:p w14:paraId="19B2EA41">
      <w:pPr>
        <w:snapToGrid w:val="0"/>
        <w:spacing w:line="360" w:lineRule="auto"/>
        <w:ind w:firstLine="480" w:firstLineChars="200"/>
        <w:rPr>
          <w:rFonts w:ascii="宋体" w:hAnsi="宋体" w:eastAsia="宋体" w:cs="仿宋"/>
        </w:rPr>
      </w:pPr>
      <w:r>
        <w:rPr>
          <w:rFonts w:hint="eastAsia" w:ascii="宋体" w:hAnsi="宋体" w:eastAsia="宋体" w:cs="仿宋"/>
        </w:rPr>
        <w:t>（5）合同预算清单项目外增减按预算清单单价执行，未见项由乙方按合同约定组价依据进行组价，所有主材需甲方进行认质认价，甲方审核确认后计入结算总价。</w:t>
      </w:r>
    </w:p>
    <w:p w14:paraId="7FD16E97">
      <w:pPr>
        <w:snapToGrid w:val="0"/>
        <w:spacing w:line="360" w:lineRule="auto"/>
        <w:ind w:firstLine="480" w:firstLineChars="200"/>
        <w:rPr>
          <w:rFonts w:ascii="宋体" w:hAnsi="宋体" w:eastAsia="宋体" w:cs="仿宋"/>
          <w:b/>
          <w:bCs/>
        </w:rPr>
      </w:pPr>
      <w:r>
        <w:rPr>
          <w:rFonts w:hint="eastAsia" w:ascii="宋体" w:hAnsi="宋体" w:eastAsia="宋体" w:cs="仿宋"/>
          <w:b/>
          <w:bCs/>
        </w:rPr>
        <w:t>第6条 关于工程质量及验收的约定</w:t>
      </w:r>
    </w:p>
    <w:p w14:paraId="208C92CA">
      <w:pPr>
        <w:snapToGrid w:val="0"/>
        <w:spacing w:line="360" w:lineRule="auto"/>
        <w:ind w:firstLine="480" w:firstLineChars="200"/>
        <w:rPr>
          <w:rFonts w:ascii="宋体" w:hAnsi="宋体" w:eastAsia="宋体" w:cs="仿宋"/>
        </w:rPr>
      </w:pPr>
      <w:r>
        <w:rPr>
          <w:rFonts w:hint="eastAsia" w:ascii="宋体" w:hAnsi="宋体" w:eastAsia="宋体" w:cs="仿宋"/>
        </w:rPr>
        <w:t>6.1本工程以作法说明、设计变更和《建筑工程施工质量验收统一标准》等国家制订的施工及验收规范为质量评定验收标准。</w:t>
      </w:r>
    </w:p>
    <w:p w14:paraId="4BE813A4">
      <w:pPr>
        <w:snapToGrid w:val="0"/>
        <w:spacing w:line="360" w:lineRule="auto"/>
        <w:ind w:firstLine="480" w:firstLineChars="200"/>
        <w:rPr>
          <w:rFonts w:ascii="宋体" w:hAnsi="宋体" w:eastAsia="宋体" w:cs="仿宋"/>
        </w:rPr>
      </w:pPr>
      <w:r>
        <w:rPr>
          <w:rFonts w:hint="eastAsia" w:ascii="宋体" w:hAnsi="宋体" w:eastAsia="宋体" w:cs="仿宋"/>
        </w:rPr>
        <w:t>6.2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214666A0">
      <w:pPr>
        <w:snapToGrid w:val="0"/>
        <w:spacing w:line="360" w:lineRule="auto"/>
        <w:ind w:firstLine="480" w:firstLineChars="200"/>
        <w:rPr>
          <w:rFonts w:ascii="宋体" w:hAnsi="宋体" w:eastAsia="宋体" w:cs="仿宋"/>
        </w:rPr>
      </w:pPr>
      <w:r>
        <w:rPr>
          <w:rFonts w:hint="eastAsia" w:ascii="宋体" w:hAnsi="宋体" w:eastAsia="宋体" w:cs="仿宋"/>
        </w:rPr>
        <w:t>6.3由于可归咎于乙方原因造成质量事故及损害，其返工费用及赔偿由乙方承担，工期不顺延。</w:t>
      </w:r>
    </w:p>
    <w:p w14:paraId="24DBDF1E">
      <w:pPr>
        <w:snapToGrid w:val="0"/>
        <w:spacing w:line="360" w:lineRule="auto"/>
        <w:ind w:firstLine="480" w:firstLineChars="200"/>
        <w:rPr>
          <w:rFonts w:ascii="宋体" w:hAnsi="宋体" w:eastAsia="宋体" w:cs="仿宋"/>
        </w:rPr>
      </w:pPr>
      <w:r>
        <w:rPr>
          <w:rFonts w:hint="eastAsia" w:ascii="宋体" w:hAnsi="宋体" w:eastAsia="宋体" w:cs="仿宋"/>
        </w:rPr>
        <w:t>6.4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220B5752">
      <w:pPr>
        <w:snapToGrid w:val="0"/>
        <w:spacing w:line="360" w:lineRule="auto"/>
        <w:ind w:firstLine="480" w:firstLineChars="200"/>
        <w:rPr>
          <w:rFonts w:ascii="宋体" w:hAnsi="宋体" w:eastAsia="宋体" w:cs="仿宋"/>
          <w:b/>
          <w:bCs/>
        </w:rPr>
      </w:pPr>
      <w:r>
        <w:rPr>
          <w:rFonts w:hint="eastAsia" w:ascii="宋体" w:hAnsi="宋体" w:eastAsia="宋体" w:cs="仿宋"/>
          <w:b/>
          <w:bCs/>
        </w:rPr>
        <w:t>第7条 关于工程价款及结算的约定</w:t>
      </w:r>
    </w:p>
    <w:p w14:paraId="2C42B5B9">
      <w:pPr>
        <w:snapToGrid w:val="0"/>
        <w:spacing w:line="360" w:lineRule="auto"/>
        <w:ind w:firstLine="480" w:firstLineChars="200"/>
        <w:rPr>
          <w:rFonts w:ascii="宋体" w:hAnsi="宋体" w:eastAsia="宋体" w:cs="仿宋"/>
        </w:rPr>
      </w:pPr>
      <w:r>
        <w:rPr>
          <w:rFonts w:hint="eastAsia" w:ascii="宋体" w:hAnsi="宋体" w:eastAsia="宋体" w:cs="仿宋"/>
        </w:rPr>
        <w:t>7.1合同签订后，10个工作日内支付合同金额的40%预付款；主要设备进场后7个工作日内支付合同金额的30%工程款；工程施工竣工验收合格，乙方按甲方需求提供竣工图纸并编制结算书，甲乙双方共同确认的结算金额后，甲方接收到乙方正式发票10个工作日内，支付至结算金额的100%。</w:t>
      </w:r>
      <w:r>
        <w:rPr>
          <w:rFonts w:ascii="宋体" w:hAnsi="宋体" w:eastAsia="宋体" w:cs="仿宋"/>
        </w:rPr>
        <w:cr/>
      </w:r>
      <w:r>
        <w:rPr>
          <w:rFonts w:ascii="宋体" w:hAnsi="宋体" w:eastAsia="宋体" w:cs="仿宋"/>
        </w:rPr>
        <w:t xml:space="preserve">    </w:t>
      </w:r>
      <w:r>
        <w:rPr>
          <w:rFonts w:hint="eastAsia" w:ascii="宋体" w:hAnsi="宋体" w:eastAsia="宋体" w:cs="仿宋"/>
        </w:rPr>
        <w:t>7.2甲方每次付款前，由乙方出具真实、合法、有效且符合甲方财务要求的、与待付支付款项等额的税率为</w:t>
      </w:r>
      <w:r>
        <w:rPr>
          <w:rFonts w:hint="eastAsia" w:ascii="宋体" w:hAnsi="宋体" w:eastAsia="宋体" w:cs="仿宋"/>
          <w:b/>
          <w:u w:val="single"/>
        </w:rPr>
        <w:t xml:space="preserve">    </w:t>
      </w:r>
      <w:r>
        <w:rPr>
          <w:rFonts w:hint="eastAsia" w:ascii="宋体" w:hAnsi="宋体" w:eastAsia="宋体" w:cs="仿宋"/>
        </w:rPr>
        <w:t xml:space="preserve"> %增值税专用发票。若乙方怠于履行以上开票义务或涉嫌开具虚假发票的，甲方可拒绝支付相应款项，且不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16423255">
      <w:pPr>
        <w:snapToGrid w:val="0"/>
        <w:spacing w:line="360" w:lineRule="auto"/>
        <w:ind w:firstLine="480" w:firstLineChars="200"/>
        <w:rPr>
          <w:rFonts w:ascii="宋体" w:hAnsi="宋体" w:eastAsia="宋体" w:cs="仿宋"/>
        </w:rPr>
      </w:pPr>
      <w:r>
        <w:rPr>
          <w:rFonts w:hint="eastAsia" w:ascii="宋体" w:hAnsi="宋体" w:eastAsia="宋体" w:cs="仿宋"/>
        </w:rPr>
        <w:t>乙方指定收款账户：</w:t>
      </w:r>
    </w:p>
    <w:p w14:paraId="04919C3B">
      <w:pPr>
        <w:snapToGrid w:val="0"/>
        <w:spacing w:line="360" w:lineRule="auto"/>
        <w:ind w:firstLine="480" w:firstLineChars="200"/>
        <w:rPr>
          <w:rFonts w:ascii="宋体" w:hAnsi="宋体" w:eastAsia="宋体" w:cs="仿宋"/>
        </w:rPr>
      </w:pPr>
      <w:r>
        <w:rPr>
          <w:rFonts w:hint="eastAsia" w:ascii="宋体" w:hAnsi="宋体" w:eastAsia="宋体" w:cs="仿宋"/>
        </w:rPr>
        <w:t>名称：</w:t>
      </w:r>
      <w:r>
        <w:rPr>
          <w:rFonts w:hint="eastAsia" w:ascii="宋体" w:hAnsi="宋体" w:eastAsia="宋体" w:cs="仿宋"/>
          <w:b/>
          <w:u w:val="single"/>
        </w:rPr>
        <w:t xml:space="preserve">                    </w:t>
      </w:r>
      <w:r>
        <w:rPr>
          <w:rFonts w:hint="eastAsia" w:ascii="宋体" w:hAnsi="宋体" w:eastAsia="宋体" w:cs="仿宋"/>
        </w:rPr>
        <w:t xml:space="preserve">        </w:t>
      </w:r>
    </w:p>
    <w:p w14:paraId="6123437F">
      <w:pPr>
        <w:snapToGrid w:val="0"/>
        <w:spacing w:line="360" w:lineRule="auto"/>
        <w:ind w:firstLine="480" w:firstLineChars="200"/>
        <w:rPr>
          <w:rFonts w:ascii="宋体" w:hAnsi="宋体" w:eastAsia="宋体" w:cs="仿宋"/>
        </w:rPr>
      </w:pPr>
      <w:r>
        <w:rPr>
          <w:rFonts w:hint="eastAsia" w:ascii="宋体" w:hAnsi="宋体" w:eastAsia="宋体" w:cs="仿宋"/>
        </w:rPr>
        <w:t>开户行：</w:t>
      </w:r>
      <w:r>
        <w:rPr>
          <w:rFonts w:hint="eastAsia" w:ascii="宋体" w:hAnsi="宋体" w:eastAsia="宋体" w:cs="仿宋"/>
          <w:b/>
          <w:u w:val="single"/>
        </w:rPr>
        <w:t xml:space="preserve">                    </w:t>
      </w:r>
      <w:r>
        <w:rPr>
          <w:rFonts w:hint="eastAsia" w:ascii="宋体" w:hAnsi="宋体" w:eastAsia="宋体" w:cs="仿宋"/>
        </w:rPr>
        <w:t xml:space="preserve">    </w:t>
      </w:r>
    </w:p>
    <w:p w14:paraId="20E14498">
      <w:pPr>
        <w:snapToGrid w:val="0"/>
        <w:spacing w:line="360" w:lineRule="auto"/>
        <w:ind w:firstLine="480" w:firstLineChars="200"/>
        <w:rPr>
          <w:rFonts w:ascii="宋体" w:hAnsi="宋体" w:eastAsia="宋体" w:cs="仿宋"/>
        </w:rPr>
      </w:pPr>
      <w:r>
        <w:rPr>
          <w:rFonts w:hint="eastAsia" w:ascii="宋体" w:hAnsi="宋体" w:eastAsia="宋体" w:cs="仿宋"/>
        </w:rPr>
        <w:t xml:space="preserve">账号：  </w:t>
      </w:r>
      <w:r>
        <w:rPr>
          <w:rFonts w:hint="eastAsia" w:ascii="宋体" w:hAnsi="宋体" w:eastAsia="宋体" w:cs="仿宋"/>
          <w:b/>
          <w:u w:val="single"/>
        </w:rPr>
        <w:t xml:space="preserve">                </w:t>
      </w:r>
    </w:p>
    <w:p w14:paraId="7D112C71">
      <w:pPr>
        <w:snapToGrid w:val="0"/>
        <w:spacing w:line="360" w:lineRule="auto"/>
        <w:ind w:firstLine="480" w:firstLineChars="200"/>
        <w:rPr>
          <w:rFonts w:ascii="宋体" w:hAnsi="宋体" w:eastAsia="宋体" w:cs="仿宋"/>
          <w:b/>
          <w:bCs/>
        </w:rPr>
      </w:pPr>
      <w:r>
        <w:rPr>
          <w:rFonts w:hint="eastAsia" w:ascii="宋体" w:hAnsi="宋体" w:eastAsia="宋体" w:cs="仿宋"/>
          <w:b/>
          <w:bCs/>
        </w:rPr>
        <w:t>第8条 关于材料供应的约定</w:t>
      </w:r>
    </w:p>
    <w:p w14:paraId="16E2F838">
      <w:pPr>
        <w:snapToGrid w:val="0"/>
        <w:spacing w:line="360" w:lineRule="auto"/>
        <w:ind w:firstLine="480" w:firstLineChars="200"/>
        <w:rPr>
          <w:rFonts w:ascii="宋体" w:hAnsi="宋体" w:eastAsia="宋体" w:cs="仿宋"/>
        </w:rPr>
      </w:pPr>
      <w:r>
        <w:rPr>
          <w:rFonts w:hint="eastAsia" w:ascii="宋体" w:hAnsi="宋体" w:eastAsia="宋体" w:cs="仿宋"/>
        </w:rPr>
        <w:t>8.1乙方负责采购的材料、设备，且均应为符合国家标准和设计要求的合格产品，并因按时供应到现场。</w:t>
      </w:r>
    </w:p>
    <w:p w14:paraId="1C5937EA">
      <w:pPr>
        <w:snapToGrid w:val="0"/>
        <w:spacing w:line="360" w:lineRule="auto"/>
        <w:ind w:firstLine="480" w:firstLineChars="200"/>
        <w:rPr>
          <w:rFonts w:ascii="宋体" w:hAnsi="宋体" w:eastAsia="宋体" w:cs="仿宋"/>
          <w:b/>
          <w:bCs/>
        </w:rPr>
      </w:pPr>
      <w:r>
        <w:rPr>
          <w:rFonts w:hint="eastAsia" w:ascii="宋体" w:hAnsi="宋体" w:eastAsia="宋体" w:cs="仿宋"/>
          <w:b/>
          <w:bCs/>
        </w:rPr>
        <w:t>第9条  有关安全生产和防火的约定</w:t>
      </w:r>
    </w:p>
    <w:p w14:paraId="25C2CEFF">
      <w:pPr>
        <w:snapToGrid w:val="0"/>
        <w:spacing w:line="360" w:lineRule="auto"/>
        <w:ind w:firstLine="480" w:firstLineChars="200"/>
        <w:rPr>
          <w:rFonts w:ascii="宋体" w:hAnsi="宋体" w:eastAsia="宋体" w:cs="仿宋"/>
        </w:rPr>
      </w:pPr>
      <w:r>
        <w:rPr>
          <w:rFonts w:hint="eastAsia" w:ascii="宋体" w:hAnsi="宋体" w:eastAsia="宋体" w:cs="仿宋"/>
        </w:rPr>
        <w:t>9.1乙方在施工期间应严格遵守包括但不限于《建筑安装工程安全技术规程》、《建筑安装工人安全操作规程》、《中华人民共和国消防条例》和其它相关的法规、规范。</w:t>
      </w:r>
    </w:p>
    <w:p w14:paraId="3D8BCEF3">
      <w:pPr>
        <w:snapToGrid w:val="0"/>
        <w:spacing w:line="360" w:lineRule="auto"/>
        <w:ind w:firstLine="480" w:firstLineChars="200"/>
        <w:rPr>
          <w:rFonts w:ascii="宋体" w:hAnsi="宋体" w:eastAsia="宋体" w:cs="仿宋"/>
        </w:rPr>
      </w:pPr>
      <w:r>
        <w:rPr>
          <w:rFonts w:hint="eastAsia" w:ascii="宋体" w:hAnsi="宋体" w:eastAsia="宋体" w:cs="仿宋"/>
        </w:rPr>
        <w:t>9.2由于乙方在施工生产过程中违反有关安全操作规程、消防条例，导致发生安全或火灾事故，乙方应承担由此引发的一切经济损失。</w:t>
      </w:r>
    </w:p>
    <w:p w14:paraId="378F109A">
      <w:pPr>
        <w:snapToGrid w:val="0"/>
        <w:spacing w:line="360" w:lineRule="auto"/>
        <w:ind w:firstLine="480" w:firstLineChars="200"/>
        <w:rPr>
          <w:rFonts w:ascii="宋体" w:hAnsi="宋体" w:eastAsia="宋体" w:cs="仿宋"/>
          <w:b/>
          <w:bCs/>
        </w:rPr>
      </w:pPr>
      <w:r>
        <w:rPr>
          <w:rFonts w:hint="eastAsia" w:ascii="宋体" w:hAnsi="宋体" w:eastAsia="宋体" w:cs="仿宋"/>
          <w:b/>
          <w:bCs/>
        </w:rPr>
        <w:t>第10条 工程停建或缓建</w:t>
      </w:r>
    </w:p>
    <w:p w14:paraId="067CB300">
      <w:pPr>
        <w:snapToGrid w:val="0"/>
        <w:spacing w:line="360" w:lineRule="auto"/>
        <w:ind w:firstLine="480" w:firstLineChars="200"/>
        <w:rPr>
          <w:rFonts w:ascii="宋体" w:hAnsi="宋体" w:eastAsia="宋体" w:cs="仿宋"/>
        </w:rPr>
      </w:pPr>
      <w:r>
        <w:rPr>
          <w:rFonts w:hint="eastAsia" w:ascii="宋体" w:hAnsi="宋体" w:eastAsia="宋体" w:cs="仿宋"/>
        </w:rPr>
        <w:t>10.1由于不可抗力及其它甲乙双方之外原因导致工程停建或缓建，使合同不能继续履行，乙方应妥善做好已完工程和已购材料、设备的保护和移交工作，按甲方要求将自有机构设备和人员撤出施工现场。</w:t>
      </w:r>
    </w:p>
    <w:p w14:paraId="78EBAC50">
      <w:pPr>
        <w:snapToGrid w:val="0"/>
        <w:spacing w:line="360" w:lineRule="auto"/>
        <w:ind w:firstLine="480" w:firstLineChars="200"/>
        <w:rPr>
          <w:rFonts w:ascii="宋体" w:hAnsi="宋体" w:eastAsia="宋体" w:cs="仿宋"/>
        </w:rPr>
      </w:pPr>
      <w:r>
        <w:rPr>
          <w:rFonts w:hint="eastAsia" w:ascii="宋体" w:hAnsi="宋体" w:eastAsia="宋体" w:cs="仿宋"/>
        </w:rPr>
        <w:t>10.2 甲方应为乙方撤出提供必要条件，支付以上的费用，并按合同规定支付已完工程价款。</w:t>
      </w:r>
    </w:p>
    <w:p w14:paraId="043E6470">
      <w:pPr>
        <w:snapToGrid w:val="0"/>
        <w:spacing w:line="360" w:lineRule="auto"/>
        <w:ind w:firstLine="480" w:firstLineChars="200"/>
        <w:rPr>
          <w:rFonts w:ascii="宋体" w:hAnsi="宋体" w:eastAsia="宋体" w:cs="仿宋"/>
        </w:rPr>
      </w:pPr>
      <w:r>
        <w:rPr>
          <w:rFonts w:hint="eastAsia" w:ascii="宋体" w:hAnsi="宋体" w:eastAsia="宋体" w:cs="仿宋"/>
        </w:rPr>
        <w:t>10.3已经定货的材料、设备由定货方负责退货，不能退还的货款和退货发生的费用，由双方协商确定。</w:t>
      </w:r>
    </w:p>
    <w:p w14:paraId="689FDB66">
      <w:pPr>
        <w:snapToGrid w:val="0"/>
        <w:spacing w:line="360" w:lineRule="auto"/>
        <w:ind w:firstLine="480" w:firstLineChars="200"/>
        <w:rPr>
          <w:rFonts w:ascii="宋体" w:hAnsi="宋体" w:eastAsia="宋体" w:cs="仿宋"/>
        </w:rPr>
      </w:pPr>
      <w:r>
        <w:rPr>
          <w:rFonts w:hint="eastAsia" w:ascii="宋体" w:hAnsi="宋体" w:eastAsia="宋体" w:cs="仿宋"/>
        </w:rPr>
        <w:t>10.4因甲方或乙方其他情况的需延期开工、停建或缓建由双方协商确定。</w:t>
      </w:r>
    </w:p>
    <w:p w14:paraId="57B0D988">
      <w:pPr>
        <w:snapToGrid w:val="0"/>
        <w:spacing w:line="360" w:lineRule="auto"/>
        <w:ind w:firstLine="480" w:firstLineChars="200"/>
        <w:rPr>
          <w:rFonts w:ascii="宋体" w:hAnsi="宋体" w:eastAsia="宋体" w:cs="仿宋"/>
          <w:b/>
          <w:bCs/>
        </w:rPr>
      </w:pPr>
      <w:r>
        <w:rPr>
          <w:rFonts w:hint="eastAsia" w:ascii="宋体" w:hAnsi="宋体" w:eastAsia="宋体" w:cs="仿宋"/>
          <w:b/>
          <w:bCs/>
        </w:rPr>
        <w:t>第11条 保修</w:t>
      </w:r>
    </w:p>
    <w:p w14:paraId="36960B73">
      <w:pPr>
        <w:snapToGrid w:val="0"/>
        <w:spacing w:line="360" w:lineRule="auto"/>
        <w:ind w:firstLine="480" w:firstLineChars="200"/>
        <w:rPr>
          <w:rFonts w:ascii="宋体" w:hAnsi="宋体" w:eastAsia="宋体" w:cs="仿宋"/>
        </w:rPr>
      </w:pPr>
      <w:r>
        <w:rPr>
          <w:rFonts w:hint="eastAsia" w:ascii="宋体" w:hAnsi="宋体" w:eastAsia="宋体" w:cs="仿宋"/>
        </w:rPr>
        <w:t>11.1本合同保修期为竣工验收合格之日算起，为期 24个月。保修范围为本合同中规定的乙方承包的项目及内容。</w:t>
      </w:r>
    </w:p>
    <w:p w14:paraId="35421AD6">
      <w:pPr>
        <w:snapToGrid w:val="0"/>
        <w:spacing w:line="360" w:lineRule="auto"/>
        <w:ind w:firstLine="480" w:firstLineChars="200"/>
        <w:rPr>
          <w:rFonts w:ascii="宋体" w:hAnsi="宋体" w:eastAsia="宋体" w:cs="仿宋"/>
        </w:rPr>
      </w:pPr>
      <w:r>
        <w:rPr>
          <w:rFonts w:hint="eastAsia" w:ascii="宋体" w:hAnsi="宋体" w:eastAsia="宋体" w:cs="仿宋"/>
        </w:rPr>
        <w:t>11.2保修期内，乙方应在接到修理通知之后1天内响应，三天内派人修理，否则甲方可委托其他单位或人员修理。由此产生的费用由乙方承担。因乙方原因造成返修的费用，由乙方支付。因乙方外原因造成返修费用，由责任方承担。</w:t>
      </w:r>
    </w:p>
    <w:p w14:paraId="440C5856">
      <w:pPr>
        <w:snapToGrid w:val="0"/>
        <w:spacing w:line="360" w:lineRule="auto"/>
        <w:ind w:firstLine="480" w:firstLineChars="200"/>
        <w:rPr>
          <w:rFonts w:ascii="宋体" w:hAnsi="宋体" w:eastAsia="宋体" w:cs="仿宋"/>
        </w:rPr>
      </w:pPr>
      <w:r>
        <w:rPr>
          <w:rFonts w:hint="eastAsia" w:ascii="宋体" w:hAnsi="宋体" w:eastAsia="宋体" w:cs="仿宋"/>
        </w:rPr>
        <w:t>11.3因不可抗力，人为损坏及使用期自然折旧等原因，不包含在保修范围内。</w:t>
      </w:r>
    </w:p>
    <w:p w14:paraId="28A5B7DB">
      <w:pPr>
        <w:snapToGrid w:val="0"/>
        <w:spacing w:line="360" w:lineRule="auto"/>
        <w:ind w:firstLine="480" w:firstLineChars="200"/>
        <w:rPr>
          <w:rFonts w:ascii="宋体" w:hAnsi="宋体" w:eastAsia="宋体" w:cs="仿宋"/>
          <w:b/>
          <w:bCs/>
        </w:rPr>
      </w:pPr>
      <w:r>
        <w:rPr>
          <w:rFonts w:hint="eastAsia" w:ascii="宋体" w:hAnsi="宋体" w:eastAsia="宋体" w:cs="仿宋"/>
          <w:b/>
          <w:bCs/>
        </w:rPr>
        <w:t>第12条 违约责任</w:t>
      </w:r>
    </w:p>
    <w:p w14:paraId="788B1383">
      <w:pPr>
        <w:snapToGrid w:val="0"/>
        <w:spacing w:line="360" w:lineRule="auto"/>
        <w:ind w:firstLine="480" w:firstLineChars="200"/>
        <w:rPr>
          <w:rFonts w:ascii="宋体" w:hAnsi="宋体" w:eastAsia="宋体" w:cs="仿宋"/>
        </w:rPr>
      </w:pPr>
      <w:r>
        <w:rPr>
          <w:rFonts w:hint="eastAsia" w:ascii="宋体" w:hAnsi="宋体" w:eastAsia="宋体" w:cs="仿宋"/>
        </w:rPr>
        <w:t>12.1乙方不得将本合同的全部或部分以任何形式转分给第三人，否则甲方有权解除合同并要求乙方承担本合同总额10%的违约金。</w:t>
      </w:r>
    </w:p>
    <w:p w14:paraId="0A788952">
      <w:pPr>
        <w:snapToGrid w:val="0"/>
        <w:spacing w:line="360" w:lineRule="auto"/>
        <w:ind w:firstLine="480" w:firstLineChars="200"/>
        <w:rPr>
          <w:rFonts w:ascii="宋体" w:hAnsi="宋体" w:eastAsia="宋体" w:cs="仿宋"/>
        </w:rPr>
      </w:pPr>
      <w:r>
        <w:rPr>
          <w:rFonts w:hint="eastAsia" w:ascii="宋体" w:hAnsi="宋体" w:eastAsia="宋体" w:cs="仿宋"/>
        </w:rPr>
        <w:t>12.2乙方逾期完工的，每逾期一日，甲方有权按日以本合同总额的【1%】收取违约金。逾期达到【15】日（含）的，甲方有权单方解除合同，并要求乙方承担本合同总额【20%】的违约金。以上款项甲方有权在应付款项中直接扣除。</w:t>
      </w:r>
    </w:p>
    <w:p w14:paraId="4D38C4A9">
      <w:pPr>
        <w:snapToGrid w:val="0"/>
        <w:spacing w:line="360" w:lineRule="auto"/>
        <w:ind w:firstLine="480" w:firstLineChars="200"/>
        <w:rPr>
          <w:rFonts w:ascii="宋体" w:hAnsi="宋体" w:eastAsia="宋体" w:cs="仿宋"/>
        </w:rPr>
      </w:pPr>
      <w:r>
        <w:rPr>
          <w:rFonts w:hint="eastAsia" w:ascii="宋体" w:hAnsi="宋体" w:eastAsia="宋体" w:cs="仿宋"/>
        </w:rPr>
        <w:t>12.3因可归咎于乙方原因造成甲方、乙方以及其他方人身、财产损失的，由乙方负责解决并承担相应法律责任。同时根据安全生产事故的严重程度，甲方有权单方解除合同，解除合同的通知送达乙方后合同即解除。同时，乙方还应按照以下标准向甲方支付违约金。</w:t>
      </w:r>
    </w:p>
    <w:p w14:paraId="15DD783D">
      <w:pPr>
        <w:snapToGrid w:val="0"/>
        <w:spacing w:line="360" w:lineRule="auto"/>
        <w:ind w:firstLine="480" w:firstLineChars="200"/>
        <w:rPr>
          <w:rFonts w:ascii="宋体" w:hAnsi="宋体" w:eastAsia="宋体" w:cs="仿宋"/>
        </w:rPr>
      </w:pPr>
      <w:r>
        <w:rPr>
          <w:rFonts w:hint="eastAsia" w:ascii="宋体" w:hAnsi="宋体" w:eastAsia="宋体" w:cs="仿宋"/>
        </w:rPr>
        <w:t>12.4工程质量不合格的，乙方应当立即采取补救措施，直至达到合同约定的质量标准，由此产生的费用和工期延误违约责任均由乙方承担，且每不合格一次，处以本合同总金额5%的违约金，工期不予顺延，所造成的损失由乙方承担；如累计达到三次将被视为实质性违约，甲方有权根据损失的大小，扣除部分直至全部质保金，并有权解除合同。乙方应赔偿甲方本合同总金额10%的违约金，该违约金不足以弥补甲方损失的，以实际损失为准。</w:t>
      </w:r>
    </w:p>
    <w:p w14:paraId="6C5A84C3">
      <w:pPr>
        <w:snapToGrid w:val="0"/>
        <w:spacing w:line="360" w:lineRule="auto"/>
        <w:ind w:firstLine="480" w:firstLineChars="200"/>
        <w:rPr>
          <w:rFonts w:ascii="宋体" w:hAnsi="宋体" w:eastAsia="宋体" w:cs="仿宋"/>
        </w:rPr>
      </w:pPr>
      <w:r>
        <w:rPr>
          <w:rFonts w:hint="eastAsia" w:ascii="宋体" w:hAnsi="宋体" w:eastAsia="宋体" w:cs="仿宋"/>
        </w:rPr>
        <w:t>12.5工程经竣工验收不合格的，在乙方完成整改后，应当重新组织竣工验收；经重新组织验收仍不合格的，甲方有权拒绝接收不合格的工程部分，且乙方应当无条件拆除并重新施工直至合格为止；乙方对不合格的工程部分不拆除、不重新施工的，甲方有权委托第三方解决，由此产生的包括拆除费、垃圾清运费、重新施工费等一切费用均由乙方承担。此外甲方有权单方解除合同，解除合同的通知送达乙方后合同即解除。同时，甲方有权要求乙方返还不合格工程部分所对应的已经支付的工程款项，并由乙方按照工程价款的15%向甲方支付违约金。</w:t>
      </w:r>
    </w:p>
    <w:p w14:paraId="67A42D6A">
      <w:pPr>
        <w:snapToGrid w:val="0"/>
        <w:spacing w:line="360" w:lineRule="auto"/>
        <w:ind w:firstLine="480" w:firstLineChars="200"/>
        <w:rPr>
          <w:rFonts w:ascii="宋体" w:hAnsi="宋体" w:eastAsia="宋体" w:cs="仿宋"/>
        </w:rPr>
      </w:pPr>
      <w:r>
        <w:rPr>
          <w:rFonts w:hint="eastAsia" w:ascii="宋体" w:hAnsi="宋体" w:eastAsia="宋体" w:cs="仿宋"/>
        </w:rPr>
        <w:t>12.6乙方承诺并保证在履行本合同及相关工作的过程中，均不违反任何法律法规、不侵犯任何第三人权利、不存在任何权利瑕疵，乙方与第三方发生的任何经济往来和债务纠纷均与甲方无关，否则由乙方自行承担由此造成的全部责任。若因可归咎于乙方或其工作人员原因导致甲方被诉讼、行政处罚时，乙方应负担甲方的所有费用，包含但不限于诉讼费、律师费及可能的和解费、罚款及损害赔偿等，若该等侵权行为造成甲方受到实际损失的，乙方应当赔偿甲方的全部损失(含实际损失和预期利益损失)。</w:t>
      </w:r>
    </w:p>
    <w:p w14:paraId="206F3006">
      <w:pPr>
        <w:snapToGrid w:val="0"/>
        <w:spacing w:line="360" w:lineRule="auto"/>
        <w:ind w:firstLine="480" w:firstLineChars="200"/>
        <w:rPr>
          <w:rFonts w:ascii="宋体" w:hAnsi="宋体" w:eastAsia="宋体" w:cs="仿宋"/>
          <w:b/>
          <w:bCs/>
        </w:rPr>
      </w:pPr>
      <w:r>
        <w:rPr>
          <w:rFonts w:hint="eastAsia" w:ascii="宋体" w:hAnsi="宋体" w:eastAsia="宋体" w:cs="仿宋"/>
          <w:b/>
          <w:bCs/>
        </w:rPr>
        <w:t>第13条 合同的终止和解除</w:t>
      </w:r>
    </w:p>
    <w:p w14:paraId="64921AF6">
      <w:pPr>
        <w:snapToGrid w:val="0"/>
        <w:spacing w:line="360" w:lineRule="auto"/>
        <w:ind w:firstLine="480" w:firstLineChars="200"/>
        <w:rPr>
          <w:rFonts w:ascii="宋体" w:hAnsi="宋体" w:eastAsia="宋体" w:cs="仿宋"/>
        </w:rPr>
      </w:pPr>
      <w:r>
        <w:rPr>
          <w:rFonts w:hint="eastAsia" w:ascii="宋体" w:hAnsi="宋体" w:eastAsia="宋体" w:cs="仿宋"/>
        </w:rPr>
        <w:t>13.1本合同期限内，经甲乙双方协商一致可以解除本合同，解除合同须双方签订书面的解除合同，本合同自解除合同生效之日解除。</w:t>
      </w:r>
    </w:p>
    <w:p w14:paraId="542145D4">
      <w:pPr>
        <w:snapToGrid w:val="0"/>
        <w:spacing w:line="360" w:lineRule="auto"/>
        <w:ind w:firstLine="480" w:firstLineChars="200"/>
        <w:rPr>
          <w:rFonts w:ascii="宋体" w:hAnsi="宋体" w:eastAsia="宋体" w:cs="仿宋"/>
        </w:rPr>
      </w:pPr>
      <w:r>
        <w:rPr>
          <w:rFonts w:hint="eastAsia" w:ascii="宋体" w:hAnsi="宋体" w:eastAsia="宋体" w:cs="仿宋"/>
        </w:rPr>
        <w:t>13.2发生以下情形之一时，甲方有权单方解除本合同，本合同自解除通知到达乙方时解除：</w:t>
      </w:r>
    </w:p>
    <w:p w14:paraId="1B80B687">
      <w:pPr>
        <w:snapToGrid w:val="0"/>
        <w:spacing w:line="360" w:lineRule="auto"/>
        <w:ind w:firstLine="480" w:firstLineChars="200"/>
        <w:rPr>
          <w:rFonts w:ascii="宋体" w:hAnsi="宋体" w:eastAsia="宋体" w:cs="仿宋"/>
        </w:rPr>
      </w:pPr>
      <w:r>
        <w:rPr>
          <w:rFonts w:hint="eastAsia" w:ascii="宋体" w:hAnsi="宋体" w:eastAsia="宋体" w:cs="仿宋"/>
        </w:rPr>
        <w:t>（1）乙方工作完成情况不能达到甲方标准，甲方向乙方提出限期整改要求，乙方未进行限期整改或整改后仍然不符合甲方要求的；</w:t>
      </w:r>
    </w:p>
    <w:p w14:paraId="33E70AB9">
      <w:pPr>
        <w:snapToGrid w:val="0"/>
        <w:spacing w:line="360" w:lineRule="auto"/>
        <w:ind w:firstLine="480" w:firstLineChars="200"/>
        <w:rPr>
          <w:rFonts w:ascii="宋体" w:hAnsi="宋体" w:eastAsia="宋体" w:cs="仿宋"/>
        </w:rPr>
      </w:pPr>
      <w:r>
        <w:rPr>
          <w:rFonts w:hint="eastAsia" w:ascii="宋体" w:hAnsi="宋体" w:eastAsia="宋体" w:cs="仿宋"/>
        </w:rPr>
        <w:t>（2）未经甲方事先书面同意，乙方擅自将本合同项下的全部或部分内容转包、分包或转让或开具虚假发票的；</w:t>
      </w:r>
    </w:p>
    <w:p w14:paraId="41931F18">
      <w:pPr>
        <w:snapToGrid w:val="0"/>
        <w:spacing w:line="360" w:lineRule="auto"/>
        <w:ind w:firstLine="480" w:firstLineChars="200"/>
        <w:rPr>
          <w:rFonts w:ascii="宋体" w:hAnsi="宋体" w:eastAsia="宋体" w:cs="仿宋"/>
        </w:rPr>
      </w:pPr>
      <w:r>
        <w:rPr>
          <w:rFonts w:hint="eastAsia" w:ascii="宋体" w:hAnsi="宋体" w:eastAsia="宋体" w:cs="仿宋"/>
        </w:rPr>
        <w:t>（3）因可归咎于乙方或乙方工作人员的原因，造成甲方重大损失的，或发生其他事故的，或导致本合同难以继续履行的；</w:t>
      </w:r>
    </w:p>
    <w:p w14:paraId="441CA4EC">
      <w:pPr>
        <w:snapToGrid w:val="0"/>
        <w:spacing w:line="360" w:lineRule="auto"/>
        <w:ind w:firstLine="480" w:firstLineChars="200"/>
        <w:rPr>
          <w:rFonts w:ascii="宋体" w:hAnsi="宋体" w:eastAsia="宋体" w:cs="仿宋"/>
        </w:rPr>
      </w:pPr>
      <w:r>
        <w:rPr>
          <w:rFonts w:hint="eastAsia" w:ascii="宋体" w:hAnsi="宋体" w:eastAsia="宋体" w:cs="仿宋"/>
        </w:rPr>
        <w:t>（4）乙方发生其他重大违法违约情形。</w:t>
      </w:r>
    </w:p>
    <w:p w14:paraId="19EFDD56">
      <w:pPr>
        <w:snapToGrid w:val="0"/>
        <w:spacing w:line="360" w:lineRule="auto"/>
        <w:ind w:firstLine="480" w:firstLineChars="200"/>
        <w:rPr>
          <w:rFonts w:ascii="宋体" w:hAnsi="宋体" w:eastAsia="宋体" w:cs="仿宋"/>
          <w:b/>
          <w:bCs/>
        </w:rPr>
      </w:pPr>
      <w:r>
        <w:rPr>
          <w:rFonts w:hint="eastAsia" w:ascii="宋体" w:hAnsi="宋体" w:eastAsia="宋体" w:cs="仿宋"/>
          <w:b/>
          <w:bCs/>
        </w:rPr>
        <w:t>第14条 争议或纠纷处理</w:t>
      </w:r>
    </w:p>
    <w:p w14:paraId="220AD96D">
      <w:pPr>
        <w:snapToGrid w:val="0"/>
        <w:spacing w:line="360" w:lineRule="auto"/>
        <w:ind w:firstLine="480" w:firstLineChars="200"/>
        <w:rPr>
          <w:rFonts w:ascii="宋体" w:hAnsi="宋体" w:eastAsia="宋体" w:cs="仿宋"/>
        </w:rPr>
      </w:pPr>
      <w:r>
        <w:rPr>
          <w:rFonts w:hint="eastAsia" w:ascii="宋体" w:hAnsi="宋体" w:eastAsia="宋体" w:cs="仿宋"/>
        </w:rPr>
        <w:t>14.1本合同在履行期间，双方发生争议时，在不影响工程进度的前提下，双方可采取协商解决或请有关部门进行调解。</w:t>
      </w:r>
    </w:p>
    <w:p w14:paraId="1543F262">
      <w:pPr>
        <w:snapToGrid w:val="0"/>
        <w:spacing w:line="360" w:lineRule="auto"/>
        <w:ind w:firstLine="480" w:firstLineChars="200"/>
        <w:rPr>
          <w:rFonts w:ascii="宋体" w:hAnsi="宋体" w:eastAsia="宋体" w:cs="仿宋"/>
        </w:rPr>
      </w:pPr>
      <w:r>
        <w:rPr>
          <w:rFonts w:hint="eastAsia" w:ascii="宋体" w:hAnsi="宋体" w:eastAsia="宋体" w:cs="仿宋"/>
        </w:rPr>
        <w:t>14.2当事人不愿意通过协商、调解解决或者协商调解不成的，本合同在执行中发生的争议双方以向西安仲裁委员会提出仲裁申请解决为宜。</w:t>
      </w:r>
    </w:p>
    <w:p w14:paraId="6AB64D86">
      <w:pPr>
        <w:snapToGrid w:val="0"/>
        <w:spacing w:line="360" w:lineRule="auto"/>
        <w:ind w:firstLine="480" w:firstLineChars="200"/>
        <w:rPr>
          <w:rFonts w:ascii="宋体" w:hAnsi="宋体" w:eastAsia="宋体" w:cs="仿宋"/>
        </w:rPr>
      </w:pPr>
      <w:r>
        <w:rPr>
          <w:rFonts w:hint="eastAsia" w:ascii="宋体" w:hAnsi="宋体" w:eastAsia="宋体" w:cs="仿宋"/>
        </w:rPr>
        <w:t>14.3本合同约定的双方地址适用于双方各类通知、合同等文件以及就合同发生纠纷时相关文件和法律文书的送达地址，同时包括在争议进入仲裁、民事诉讼程序后的一审、二审、再审和执行程序。</w:t>
      </w:r>
    </w:p>
    <w:p w14:paraId="6EC90929">
      <w:pPr>
        <w:snapToGrid w:val="0"/>
        <w:spacing w:line="360" w:lineRule="auto"/>
        <w:ind w:firstLine="480" w:firstLineChars="200"/>
        <w:rPr>
          <w:rFonts w:ascii="宋体" w:hAnsi="宋体" w:eastAsia="宋体" w:cs="仿宋"/>
          <w:b/>
          <w:bCs/>
        </w:rPr>
      </w:pPr>
      <w:r>
        <w:rPr>
          <w:rFonts w:hint="eastAsia" w:ascii="宋体" w:hAnsi="宋体" w:eastAsia="宋体" w:cs="仿宋"/>
          <w:b/>
          <w:bCs/>
        </w:rPr>
        <w:t>第15条 其他约定</w:t>
      </w:r>
    </w:p>
    <w:p w14:paraId="317150EC">
      <w:pPr>
        <w:snapToGrid w:val="0"/>
        <w:spacing w:line="360" w:lineRule="auto"/>
        <w:ind w:firstLine="480" w:firstLineChars="200"/>
        <w:rPr>
          <w:rFonts w:ascii="宋体" w:hAnsi="宋体" w:eastAsia="宋体" w:cs="仿宋"/>
        </w:rPr>
      </w:pPr>
      <w:r>
        <w:rPr>
          <w:rFonts w:hint="eastAsia" w:ascii="宋体" w:hAnsi="宋体" w:eastAsia="宋体" w:cs="仿宋"/>
        </w:rPr>
        <w:t>15.1本合同所含施工项目为施工设计图及工程量清单范围内包含的所有内容，清单内未计费部分视为该项费用已包括在其他价款的单价或合价内。</w:t>
      </w:r>
    </w:p>
    <w:p w14:paraId="633A3E48">
      <w:pPr>
        <w:snapToGrid w:val="0"/>
        <w:spacing w:line="360" w:lineRule="auto"/>
        <w:ind w:firstLine="480" w:firstLineChars="200"/>
        <w:rPr>
          <w:rFonts w:ascii="宋体" w:hAnsi="宋体" w:eastAsia="宋体" w:cs="仿宋"/>
          <w:b/>
          <w:bCs/>
        </w:rPr>
      </w:pPr>
      <w:r>
        <w:rPr>
          <w:rFonts w:hint="eastAsia" w:ascii="宋体" w:hAnsi="宋体" w:eastAsia="宋体" w:cs="仿宋"/>
          <w:b/>
          <w:bCs/>
        </w:rPr>
        <w:t>第16条 合同文件及解释顺序</w:t>
      </w:r>
    </w:p>
    <w:p w14:paraId="4C74341C">
      <w:pPr>
        <w:snapToGrid w:val="0"/>
        <w:spacing w:line="360" w:lineRule="auto"/>
        <w:ind w:firstLine="480" w:firstLineChars="200"/>
        <w:rPr>
          <w:rFonts w:ascii="宋体" w:hAnsi="宋体" w:eastAsia="宋体" w:cs="仿宋"/>
        </w:rPr>
      </w:pPr>
      <w:r>
        <w:rPr>
          <w:rFonts w:hint="eastAsia" w:ascii="宋体" w:hAnsi="宋体" w:eastAsia="宋体" w:cs="仿宋"/>
        </w:rPr>
        <w:t>16.1合同条款；</w:t>
      </w:r>
    </w:p>
    <w:p w14:paraId="20FFFBDA">
      <w:pPr>
        <w:snapToGrid w:val="0"/>
        <w:spacing w:line="360" w:lineRule="auto"/>
        <w:ind w:firstLine="480" w:firstLineChars="200"/>
        <w:rPr>
          <w:rFonts w:ascii="宋体" w:hAnsi="宋体" w:eastAsia="宋体" w:cs="仿宋"/>
        </w:rPr>
      </w:pPr>
      <w:r>
        <w:rPr>
          <w:rFonts w:hint="eastAsia" w:ascii="宋体" w:hAnsi="宋体" w:eastAsia="宋体" w:cs="仿宋"/>
        </w:rPr>
        <w:t>16.2工程量清单；</w:t>
      </w:r>
    </w:p>
    <w:p w14:paraId="176DA055">
      <w:pPr>
        <w:snapToGrid w:val="0"/>
        <w:spacing w:line="360" w:lineRule="auto"/>
        <w:ind w:firstLine="480" w:firstLineChars="200"/>
        <w:rPr>
          <w:rFonts w:ascii="宋体" w:hAnsi="宋体" w:eastAsia="宋体" w:cs="仿宋"/>
        </w:rPr>
      </w:pPr>
      <w:r>
        <w:rPr>
          <w:rFonts w:hint="eastAsia" w:ascii="宋体" w:hAnsi="宋体" w:eastAsia="宋体" w:cs="仿宋"/>
        </w:rPr>
        <w:t>16.3施工图。</w:t>
      </w:r>
    </w:p>
    <w:p w14:paraId="63AC90F4">
      <w:pPr>
        <w:snapToGrid w:val="0"/>
        <w:spacing w:line="360" w:lineRule="auto"/>
        <w:ind w:firstLine="480" w:firstLineChars="200"/>
        <w:rPr>
          <w:rFonts w:ascii="宋体" w:hAnsi="宋体" w:eastAsia="宋体" w:cs="仿宋"/>
          <w:b/>
          <w:bCs/>
        </w:rPr>
      </w:pPr>
      <w:r>
        <w:rPr>
          <w:rFonts w:hint="eastAsia" w:ascii="宋体" w:hAnsi="宋体" w:eastAsia="宋体" w:cs="仿宋"/>
          <w:b/>
          <w:bCs/>
        </w:rPr>
        <w:t>第17条 附则</w:t>
      </w:r>
    </w:p>
    <w:p w14:paraId="6E41C3B1">
      <w:pPr>
        <w:snapToGrid w:val="0"/>
        <w:spacing w:line="360" w:lineRule="auto"/>
        <w:ind w:firstLine="480" w:firstLineChars="200"/>
        <w:rPr>
          <w:rFonts w:ascii="宋体" w:hAnsi="宋体" w:eastAsia="宋体" w:cs="仿宋"/>
        </w:rPr>
      </w:pPr>
      <w:r>
        <w:rPr>
          <w:rFonts w:hint="eastAsia" w:ascii="宋体" w:hAnsi="宋体" w:eastAsia="宋体" w:cs="仿宋"/>
        </w:rPr>
        <w:t>17.1本合同一式陆份，双方各执叁份，具有同等法律效力。</w:t>
      </w:r>
    </w:p>
    <w:p w14:paraId="6BFD6272">
      <w:pPr>
        <w:snapToGrid w:val="0"/>
        <w:spacing w:line="360" w:lineRule="auto"/>
        <w:ind w:firstLine="480" w:firstLineChars="200"/>
        <w:rPr>
          <w:rFonts w:ascii="宋体" w:hAnsi="宋体" w:eastAsia="宋体" w:cs="仿宋"/>
        </w:rPr>
      </w:pPr>
      <w:r>
        <w:rPr>
          <w:rFonts w:hint="eastAsia" w:ascii="宋体" w:hAnsi="宋体" w:eastAsia="宋体" w:cs="仿宋"/>
        </w:rPr>
        <w:t>17.2本合同履行完成后自动终止。</w:t>
      </w:r>
    </w:p>
    <w:p w14:paraId="72B6A712">
      <w:pPr>
        <w:snapToGrid w:val="0"/>
        <w:spacing w:line="360" w:lineRule="auto"/>
        <w:ind w:firstLine="480" w:firstLineChars="200"/>
        <w:rPr>
          <w:rFonts w:ascii="宋体" w:hAnsi="宋体" w:eastAsia="宋体" w:cs="仿宋"/>
        </w:rPr>
      </w:pPr>
      <w:r>
        <w:rPr>
          <w:rFonts w:hint="eastAsia" w:ascii="宋体" w:hAnsi="宋体" w:eastAsia="宋体" w:cs="仿宋"/>
        </w:rPr>
        <w:t>17.3本合同经双方法定代表人或委托代理人（须持授权委托书）签字并加盖公章或合同专用章后生效。</w:t>
      </w:r>
    </w:p>
    <w:p w14:paraId="643460E3">
      <w:pPr>
        <w:snapToGrid w:val="0"/>
        <w:spacing w:line="360" w:lineRule="auto"/>
        <w:ind w:firstLine="480" w:firstLineChars="200"/>
        <w:rPr>
          <w:rFonts w:ascii="宋体" w:hAnsi="宋体" w:eastAsia="宋体" w:cs="仿宋"/>
        </w:rPr>
      </w:pPr>
      <w:r>
        <w:rPr>
          <w:rFonts w:hint="eastAsia" w:ascii="宋体" w:hAnsi="宋体" w:eastAsia="宋体" w:cs="仿宋"/>
        </w:rPr>
        <w:t>17.4本合同未尽事宜及任何与本合同有关内容、费用的变更等事宜，需由双方另行协商并形成书面补充合同，补充合同与本合同具有同等法律效力。</w:t>
      </w:r>
    </w:p>
    <w:p w14:paraId="4875CE57">
      <w:pPr>
        <w:snapToGrid w:val="0"/>
        <w:spacing w:line="360" w:lineRule="auto"/>
        <w:ind w:firstLine="480" w:firstLineChars="200"/>
        <w:rPr>
          <w:rFonts w:ascii="宋体" w:hAnsi="宋体" w:eastAsia="宋体" w:cs="仿宋"/>
        </w:rPr>
      </w:pPr>
      <w:r>
        <w:rPr>
          <w:rFonts w:hint="eastAsia" w:ascii="宋体" w:hAnsi="宋体" w:eastAsia="宋体" w:cs="仿宋"/>
        </w:rPr>
        <w:t>17.5为保证服务质量，执行本合同相关的所有通知、函件、及执行细节等，均应通过如下联系人及联系方式进行沟通：</w:t>
      </w:r>
    </w:p>
    <w:p w14:paraId="6E1D7C1D">
      <w:pPr>
        <w:snapToGrid w:val="0"/>
        <w:spacing w:line="360" w:lineRule="auto"/>
        <w:ind w:firstLine="480" w:firstLineChars="200"/>
        <w:rPr>
          <w:rFonts w:ascii="宋体" w:hAnsi="宋体" w:eastAsia="宋体" w:cs="仿宋"/>
        </w:rPr>
      </w:pPr>
    </w:p>
    <w:p w14:paraId="6A79AC54">
      <w:pPr>
        <w:snapToGrid w:val="0"/>
        <w:spacing w:line="360" w:lineRule="auto"/>
        <w:ind w:firstLine="480" w:firstLineChars="200"/>
        <w:rPr>
          <w:rFonts w:ascii="宋体" w:hAnsi="宋体" w:eastAsia="宋体" w:cs="仿宋"/>
        </w:rPr>
      </w:pPr>
      <w:r>
        <w:rPr>
          <w:rFonts w:hint="eastAsia" w:ascii="宋体" w:hAnsi="宋体" w:eastAsia="宋体" w:cs="仿宋"/>
        </w:rPr>
        <w:t xml:space="preserve">甲方联系人：           联系方式：                 </w:t>
      </w:r>
    </w:p>
    <w:p w14:paraId="58D512B7">
      <w:pPr>
        <w:snapToGrid w:val="0"/>
        <w:spacing w:line="360" w:lineRule="auto"/>
        <w:ind w:firstLine="480" w:firstLineChars="200"/>
        <w:rPr>
          <w:rFonts w:ascii="宋体" w:hAnsi="宋体" w:eastAsia="宋体" w:cs="仿宋"/>
        </w:rPr>
      </w:pPr>
      <w:r>
        <w:rPr>
          <w:rFonts w:hint="eastAsia" w:ascii="宋体" w:hAnsi="宋体" w:eastAsia="宋体" w:cs="仿宋"/>
        </w:rPr>
        <w:t xml:space="preserve">乙方联系人：           联系方式：               </w:t>
      </w:r>
    </w:p>
    <w:p w14:paraId="013BEE85">
      <w:pPr>
        <w:snapToGrid w:val="0"/>
        <w:spacing w:line="360" w:lineRule="auto"/>
        <w:ind w:firstLine="480" w:firstLineChars="200"/>
        <w:rPr>
          <w:rFonts w:ascii="宋体" w:hAnsi="宋体" w:eastAsia="宋体" w:cs="仿宋"/>
        </w:rPr>
      </w:pPr>
      <w:r>
        <w:rPr>
          <w:rFonts w:hint="eastAsia" w:ascii="宋体" w:hAnsi="宋体" w:eastAsia="宋体" w:cs="仿宋"/>
        </w:rPr>
        <w:t>如任意一方需要变更上述联系人的，应当于变更前3个工作日内通知对方，如因未及时通知对方导致核对迟延的，由迟延通知方承担责任。</w:t>
      </w:r>
    </w:p>
    <w:p w14:paraId="733A1757">
      <w:pPr>
        <w:snapToGrid w:val="0"/>
        <w:spacing w:line="360" w:lineRule="auto"/>
        <w:ind w:firstLine="480" w:firstLineChars="200"/>
        <w:rPr>
          <w:rFonts w:ascii="宋体" w:hAnsi="宋体" w:eastAsia="宋体" w:cs="仿宋"/>
        </w:rPr>
      </w:pPr>
    </w:p>
    <w:p w14:paraId="169E5933">
      <w:pPr>
        <w:snapToGrid w:val="0"/>
        <w:spacing w:line="360" w:lineRule="auto"/>
        <w:ind w:firstLine="480" w:firstLineChars="200"/>
        <w:rPr>
          <w:rFonts w:ascii="宋体" w:hAnsi="宋体" w:eastAsia="宋体" w:cs="仿宋"/>
        </w:rPr>
      </w:pPr>
      <w:r>
        <w:rPr>
          <w:rFonts w:hint="eastAsia" w:ascii="宋体" w:hAnsi="宋体" w:eastAsia="宋体" w:cs="仿宋"/>
        </w:rPr>
        <w:t xml:space="preserve">甲方（盖章）：                       乙方（盖章）      </w:t>
      </w:r>
    </w:p>
    <w:p w14:paraId="53D0AA74">
      <w:pPr>
        <w:snapToGrid w:val="0"/>
        <w:spacing w:line="360" w:lineRule="auto"/>
        <w:ind w:firstLine="480" w:firstLineChars="200"/>
        <w:rPr>
          <w:rFonts w:ascii="宋体" w:hAnsi="宋体" w:eastAsia="宋体" w:cs="仿宋"/>
        </w:rPr>
      </w:pPr>
      <w:r>
        <w:rPr>
          <w:rFonts w:hint="eastAsia" w:ascii="宋体" w:hAnsi="宋体" w:eastAsia="宋体" w:cs="仿宋"/>
        </w:rPr>
        <w:t>授权代表（签字）：                   授权代表（签字）：</w:t>
      </w:r>
    </w:p>
    <w:p w14:paraId="07281570">
      <w:pPr>
        <w:snapToGrid w:val="0"/>
        <w:spacing w:line="360" w:lineRule="auto"/>
        <w:ind w:firstLine="480" w:firstLineChars="200"/>
        <w:rPr>
          <w:rFonts w:ascii="宋体" w:hAnsi="宋体" w:eastAsia="宋体" w:cs="仿宋"/>
        </w:rPr>
      </w:pPr>
      <w:r>
        <w:rPr>
          <w:rFonts w:hint="eastAsia" w:ascii="宋体" w:hAnsi="宋体" w:eastAsia="宋体" w:cs="仿宋"/>
        </w:rPr>
        <w:t>电话：                                  电话：</w:t>
      </w:r>
    </w:p>
    <w:p w14:paraId="7FA0655A">
      <w:pPr>
        <w:snapToGrid w:val="0"/>
        <w:spacing w:line="360" w:lineRule="auto"/>
        <w:ind w:firstLine="480" w:firstLineChars="200"/>
        <w:rPr>
          <w:rFonts w:ascii="宋体" w:hAnsi="宋体" w:eastAsia="宋体" w:cs="仿宋"/>
        </w:rPr>
      </w:pPr>
      <w:r>
        <w:rPr>
          <w:rFonts w:hint="eastAsia" w:ascii="宋体" w:hAnsi="宋体" w:eastAsia="宋体" w:cs="仿宋"/>
        </w:rPr>
        <w:t>年     月     日                         年     月     日</w:t>
      </w:r>
    </w:p>
    <w:p w14:paraId="6FD31474">
      <w:pPr>
        <w:pStyle w:val="40"/>
        <w:spacing w:line="240" w:lineRule="auto"/>
        <w:ind w:firstLine="560" w:firstLineChars="200"/>
        <w:jc w:val="both"/>
        <w:rPr>
          <w:rFonts w:asciiTheme="minorHAnsi" w:hAnsiTheme="minorHAnsi" w:eastAsiaTheme="minorEastAsia"/>
          <w:color w:val="7030A0"/>
          <w:sz w:val="24"/>
          <w:szCs w:val="24"/>
        </w:rPr>
      </w:pPr>
      <w:r>
        <w:br w:type="page"/>
      </w:r>
    </w:p>
    <w:p w14:paraId="0FC4A7EB">
      <w:p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21" w:name="_Toc100219616"/>
      <w:r>
        <w:rPr>
          <w:rFonts w:hint="eastAsia"/>
        </w:rPr>
        <w:t>第五章　响应文件构成及格式</w:t>
      </w:r>
      <w:bookmarkEnd w:id="21"/>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14:paraId="7A022D50">
      <w:pPr>
        <w:pStyle w:val="40"/>
        <w:jc w:val="center"/>
        <w:rPr>
          <w:rFonts w:asciiTheme="minorHAnsi" w:hAnsiTheme="minorHAnsi" w:eastAsiaTheme="minorEastAsia"/>
          <w:b/>
          <w:color w:val="C00000"/>
          <w:sz w:val="24"/>
          <w:szCs w:val="24"/>
        </w:rPr>
      </w:pPr>
    </w:p>
    <w:p w14:paraId="14A98E19">
      <w:pPr>
        <w:jc w:val="center"/>
        <w:rPr>
          <w:rFonts w:ascii="Calibri" w:hAnsi="Calibri" w:eastAsia="宋体"/>
          <w:kern w:val="24"/>
        </w:rPr>
      </w:pPr>
      <w:bookmarkStart w:id="22" w:name="OLE_LINK11"/>
      <w:bookmarkStart w:id="23" w:name="OLE_LINK8"/>
    </w:p>
    <w:tbl>
      <w:tblPr>
        <w:tblStyle w:val="2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2141"/>
        <w:gridCol w:w="1984"/>
        <w:gridCol w:w="1701"/>
      </w:tblGrid>
      <w:tr w14:paraId="6FB8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84" w:type="dxa"/>
            <w:vMerge w:val="restart"/>
            <w:tcBorders>
              <w:top w:val="single" w:color="auto" w:sz="2" w:space="0"/>
              <w:left w:val="single" w:color="auto" w:sz="2" w:space="0"/>
              <w:tl2br w:val="single" w:color="auto" w:sz="2" w:space="0"/>
            </w:tcBorders>
          </w:tcPr>
          <w:p w14:paraId="47BD0D5A">
            <w:pPr>
              <w:spacing w:line="440" w:lineRule="exact"/>
              <w:ind w:right="280"/>
              <w:jc w:val="right"/>
              <w:rPr>
                <w:rFonts w:ascii="Calibri" w:hAnsi="Calibri" w:eastAsia="宋体" w:cs="Calibri"/>
                <w:b/>
                <w:color w:val="000000"/>
              </w:rPr>
            </w:pPr>
            <w:r>
              <w:rPr>
                <w:rFonts w:ascii="Calibri" w:hAnsi="Calibri" w:eastAsia="宋体" w:cs="Calibri"/>
                <w:b/>
                <w:color w:val="000000"/>
              </w:rPr>
              <w:t>报价内容</w:t>
            </w:r>
          </w:p>
          <w:p w14:paraId="3AB61F58">
            <w:pPr>
              <w:rPr>
                <w:rFonts w:ascii="Calibri" w:hAnsi="Calibri" w:eastAsia="宋体" w:cs="Calibri"/>
                <w:color w:val="000000"/>
              </w:rPr>
            </w:pPr>
          </w:p>
          <w:p w14:paraId="77DD5127">
            <w:pPr>
              <w:spacing w:line="440" w:lineRule="exact"/>
              <w:ind w:right="1540"/>
              <w:rPr>
                <w:rFonts w:ascii="Calibri" w:hAnsi="Calibri" w:eastAsia="宋体" w:cs="Calibri"/>
                <w:b/>
                <w:color w:val="000000"/>
              </w:rPr>
            </w:pPr>
            <w:r>
              <w:rPr>
                <w:rFonts w:ascii="Calibri" w:hAnsi="Calibri" w:eastAsia="宋体" w:cs="Calibri"/>
                <w:b/>
                <w:color w:val="000000"/>
              </w:rPr>
              <w:t>项目及</w:t>
            </w:r>
            <w:r>
              <w:rPr>
                <w:rFonts w:hint="eastAsia" w:ascii="Calibri" w:hAnsi="Calibri" w:eastAsia="宋体" w:cs="Calibri"/>
                <w:b/>
                <w:color w:val="000000"/>
              </w:rPr>
              <w:t>采购包</w:t>
            </w:r>
          </w:p>
        </w:tc>
        <w:tc>
          <w:tcPr>
            <w:tcW w:w="2141" w:type="dxa"/>
            <w:tcBorders>
              <w:top w:val="single" w:color="auto" w:sz="2" w:space="0"/>
            </w:tcBorders>
            <w:shd w:val="clear" w:color="auto" w:fill="F2F2F2"/>
            <w:vAlign w:val="center"/>
          </w:tcPr>
          <w:p w14:paraId="007F2B60">
            <w:pPr>
              <w:jc w:val="center"/>
              <w:rPr>
                <w:rFonts w:ascii="Calibri" w:hAnsi="Calibri" w:eastAsia="宋体" w:cs="Calibri"/>
                <w:b/>
              </w:rPr>
            </w:pPr>
            <w:r>
              <w:rPr>
                <w:rFonts w:ascii="Calibri" w:hAnsi="Calibri" w:eastAsia="宋体" w:cs="Calibri"/>
                <w:b/>
              </w:rPr>
              <w:t>A</w:t>
            </w:r>
          </w:p>
        </w:tc>
        <w:tc>
          <w:tcPr>
            <w:tcW w:w="1984" w:type="dxa"/>
            <w:tcBorders>
              <w:top w:val="single" w:color="auto" w:sz="2" w:space="0"/>
            </w:tcBorders>
            <w:shd w:val="clear" w:color="auto" w:fill="F2F2F2"/>
          </w:tcPr>
          <w:p w14:paraId="29AFAC10">
            <w:pPr>
              <w:jc w:val="center"/>
              <w:rPr>
                <w:rFonts w:ascii="Calibri" w:hAnsi="Calibri" w:eastAsia="宋体" w:cs="Calibri"/>
                <w:b/>
              </w:rPr>
            </w:pPr>
            <w:r>
              <w:rPr>
                <w:rFonts w:ascii="Calibri" w:hAnsi="Calibri" w:eastAsia="宋体" w:cs="Calibri"/>
                <w:b/>
              </w:rPr>
              <w:t>B</w:t>
            </w:r>
          </w:p>
        </w:tc>
        <w:tc>
          <w:tcPr>
            <w:tcW w:w="1701" w:type="dxa"/>
            <w:tcBorders>
              <w:top w:val="single" w:color="auto" w:sz="2" w:space="0"/>
              <w:right w:val="single" w:color="auto" w:sz="2" w:space="0"/>
            </w:tcBorders>
            <w:shd w:val="clear" w:color="auto" w:fill="F2F2F2"/>
            <w:vAlign w:val="center"/>
          </w:tcPr>
          <w:p w14:paraId="53689F67">
            <w:pPr>
              <w:jc w:val="center"/>
              <w:rPr>
                <w:rFonts w:ascii="Calibri" w:hAnsi="Calibri" w:eastAsia="宋体" w:cs="Calibri"/>
                <w:b/>
              </w:rPr>
            </w:pPr>
            <w:r>
              <w:rPr>
                <w:rFonts w:ascii="Calibri" w:hAnsi="Calibri" w:eastAsia="宋体" w:cs="Calibri"/>
                <w:b/>
              </w:rPr>
              <w:t>C</w:t>
            </w:r>
          </w:p>
        </w:tc>
      </w:tr>
      <w:tr w14:paraId="265A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4" w:type="dxa"/>
            <w:vMerge w:val="continue"/>
            <w:tcBorders>
              <w:left w:val="single" w:color="auto" w:sz="2" w:space="0"/>
              <w:tl2br w:val="single" w:color="auto" w:sz="2" w:space="0"/>
            </w:tcBorders>
          </w:tcPr>
          <w:p w14:paraId="063A7968">
            <w:pPr>
              <w:spacing w:line="440" w:lineRule="exact"/>
              <w:ind w:right="280"/>
              <w:jc w:val="right"/>
              <w:rPr>
                <w:rFonts w:ascii="Calibri" w:hAnsi="Calibri" w:eastAsia="宋体" w:cs="Calibri"/>
                <w:b/>
                <w:color w:val="000000"/>
              </w:rPr>
            </w:pPr>
          </w:p>
        </w:tc>
        <w:tc>
          <w:tcPr>
            <w:tcW w:w="2141" w:type="dxa"/>
            <w:vAlign w:val="center"/>
          </w:tcPr>
          <w:p w14:paraId="0C502F93">
            <w:pPr>
              <w:spacing w:line="440" w:lineRule="exact"/>
              <w:jc w:val="center"/>
              <w:rPr>
                <w:rFonts w:ascii="Calibri" w:hAnsi="Calibri" w:eastAsia="宋体"/>
                <w:b/>
              </w:rPr>
            </w:pPr>
            <w:r>
              <w:rPr>
                <w:rFonts w:ascii="Calibri" w:hAnsi="Calibri" w:eastAsia="宋体"/>
                <w:b/>
              </w:rPr>
              <w:t>磋商报价（元）</w:t>
            </w:r>
          </w:p>
        </w:tc>
        <w:tc>
          <w:tcPr>
            <w:tcW w:w="1984" w:type="dxa"/>
            <w:vAlign w:val="center"/>
          </w:tcPr>
          <w:p w14:paraId="7B3DD4FE">
            <w:pPr>
              <w:jc w:val="center"/>
              <w:rPr>
                <w:rFonts w:ascii="Calibri" w:hAnsi="Calibri" w:eastAsia="宋体"/>
                <w:b/>
              </w:rPr>
            </w:pPr>
            <w:r>
              <w:rPr>
                <w:rFonts w:hint="eastAsia" w:ascii="Calibri" w:hAnsi="Calibri" w:eastAsia="宋体"/>
                <w:b/>
              </w:rPr>
              <w:t>工程质量等级</w:t>
            </w:r>
          </w:p>
        </w:tc>
        <w:tc>
          <w:tcPr>
            <w:tcW w:w="1701" w:type="dxa"/>
            <w:tcBorders>
              <w:right w:val="single" w:color="auto" w:sz="2" w:space="0"/>
            </w:tcBorders>
            <w:vAlign w:val="center"/>
          </w:tcPr>
          <w:p w14:paraId="0E211621">
            <w:pPr>
              <w:jc w:val="center"/>
              <w:rPr>
                <w:rFonts w:ascii="Calibri" w:hAnsi="Calibri" w:eastAsia="宋体"/>
                <w:b/>
              </w:rPr>
            </w:pPr>
            <w:r>
              <w:rPr>
                <w:rFonts w:hint="eastAsia" w:ascii="Calibri" w:hAnsi="Calibri" w:eastAsia="宋体"/>
                <w:b/>
              </w:rPr>
              <w:t>工</w:t>
            </w:r>
            <w:r>
              <w:rPr>
                <w:rFonts w:ascii="Calibri" w:hAnsi="Calibri" w:eastAsia="宋体"/>
                <w:b/>
              </w:rPr>
              <w:t>期</w:t>
            </w:r>
          </w:p>
        </w:tc>
      </w:tr>
      <w:tr w14:paraId="70B2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984" w:type="dxa"/>
            <w:tcBorders>
              <w:left w:val="single" w:color="auto" w:sz="2" w:space="0"/>
            </w:tcBorders>
            <w:vAlign w:val="center"/>
          </w:tcPr>
          <w:p w14:paraId="7D01AC20">
            <w:pPr>
              <w:spacing w:line="440" w:lineRule="exact"/>
              <w:jc w:val="center"/>
              <w:rPr>
                <w:rFonts w:ascii="Calibri" w:hAnsi="Calibri" w:eastAsia="宋体" w:cs="Calibri"/>
                <w:color w:val="C00000"/>
                <w:sz w:val="21"/>
                <w:szCs w:val="21"/>
              </w:rPr>
            </w:pPr>
            <w:r>
              <w:rPr>
                <w:rFonts w:ascii="Calibri" w:hAnsi="Calibri" w:eastAsia="宋体" w:cs="Calibri"/>
                <w:color w:val="C00000"/>
                <w:sz w:val="21"/>
                <w:szCs w:val="21"/>
              </w:rPr>
              <w:t>［项目名称］</w:t>
            </w:r>
          </w:p>
          <w:p w14:paraId="44354056">
            <w:pPr>
              <w:spacing w:line="440" w:lineRule="exact"/>
              <w:jc w:val="center"/>
              <w:rPr>
                <w:rFonts w:ascii="Calibri" w:hAnsi="Calibri" w:eastAsia="宋体" w:cs="Calibri"/>
                <w:color w:val="000000"/>
              </w:rPr>
            </w:pPr>
            <w:r>
              <w:rPr>
                <w:rFonts w:hint="eastAsia" w:ascii="Calibri" w:hAnsi="Calibri" w:eastAsia="宋体" w:cs="Calibri"/>
                <w:color w:val="C00000"/>
                <w:sz w:val="21"/>
                <w:szCs w:val="21"/>
              </w:rPr>
              <w:t>采购包</w:t>
            </w:r>
            <w:r>
              <w:rPr>
                <w:rFonts w:ascii="Calibri" w:hAnsi="Calibri" w:eastAsia="宋体" w:cs="Calibri"/>
                <w:color w:val="C00000"/>
                <w:sz w:val="21"/>
                <w:szCs w:val="21"/>
              </w:rPr>
              <w:t>［___］</w:t>
            </w:r>
          </w:p>
        </w:tc>
        <w:tc>
          <w:tcPr>
            <w:tcW w:w="2141" w:type="dxa"/>
            <w:vAlign w:val="center"/>
          </w:tcPr>
          <w:p w14:paraId="49F1EEB2">
            <w:pPr>
              <w:spacing w:line="440" w:lineRule="exact"/>
              <w:jc w:val="center"/>
              <w:rPr>
                <w:rFonts w:ascii="Calibri" w:hAnsi="Calibri" w:eastAsia="宋体" w:cs="Calibri"/>
                <w:color w:val="000000"/>
              </w:rPr>
            </w:pPr>
          </w:p>
        </w:tc>
        <w:tc>
          <w:tcPr>
            <w:tcW w:w="1984" w:type="dxa"/>
          </w:tcPr>
          <w:p w14:paraId="615EF921">
            <w:pPr>
              <w:spacing w:line="440" w:lineRule="exact"/>
              <w:jc w:val="center"/>
              <w:rPr>
                <w:rFonts w:ascii="Calibri" w:hAnsi="Calibri" w:eastAsia="宋体" w:cs="Calibri"/>
                <w:color w:val="000000"/>
              </w:rPr>
            </w:pPr>
          </w:p>
        </w:tc>
        <w:tc>
          <w:tcPr>
            <w:tcW w:w="1701" w:type="dxa"/>
            <w:tcBorders>
              <w:right w:val="single" w:color="auto" w:sz="2" w:space="0"/>
            </w:tcBorders>
            <w:vAlign w:val="center"/>
          </w:tcPr>
          <w:p w14:paraId="1388585C">
            <w:pPr>
              <w:spacing w:line="440" w:lineRule="exact"/>
              <w:jc w:val="center"/>
              <w:rPr>
                <w:rFonts w:ascii="Calibri" w:hAnsi="Calibri" w:eastAsia="宋体" w:cs="Calibri"/>
                <w:color w:val="000000"/>
              </w:rPr>
            </w:pPr>
          </w:p>
        </w:tc>
      </w:tr>
    </w:tbl>
    <w:p w14:paraId="0835D900">
      <w:pPr>
        <w:rPr>
          <w:rFonts w:ascii="Calibri" w:hAnsi="Calibri" w:eastAsia="宋体"/>
        </w:rPr>
      </w:pPr>
      <w:r>
        <w:rPr>
          <w:rFonts w:ascii="Calibri" w:hAnsi="Calibri" w:eastAsia="宋体" w:cs="Calibri"/>
          <w:color w:val="000000"/>
        </w:rPr>
        <w:t>供应商：（</w:t>
      </w:r>
      <w:r>
        <w:rPr>
          <w:rFonts w:ascii="Calibri" w:hAnsi="Calibri" w:eastAsia="宋体" w:cs="Calibri"/>
          <w:i/>
          <w:color w:val="7030A0"/>
        </w:rPr>
        <w:t>供应商全称并加盖公章</w:t>
      </w:r>
      <w:r>
        <w:rPr>
          <w:rFonts w:ascii="Calibri" w:hAnsi="Calibri" w:eastAsia="宋体" w:cs="Calibri"/>
          <w:color w:val="000000"/>
        </w:rPr>
        <w:t>）</w:t>
      </w:r>
    </w:p>
    <w:p w14:paraId="14D27F7D">
      <w:pPr>
        <w:spacing w:before="230" w:beforeLines="50"/>
        <w:jc w:val="both"/>
        <w:rPr>
          <w:rFonts w:ascii="Calibri" w:hAnsi="Calibri" w:eastAsia="宋体"/>
          <w:kern w:val="24"/>
        </w:rPr>
      </w:pPr>
    </w:p>
    <w:p w14:paraId="6A719182">
      <w:pPr>
        <w:jc w:val="both"/>
        <w:rPr>
          <w:rFonts w:ascii="Calibri" w:hAnsi="Calibri" w:eastAsia="宋体"/>
          <w:kern w:val="24"/>
        </w:rPr>
      </w:pPr>
      <w:r>
        <w:rPr>
          <w:rFonts w:ascii="Calibri" w:hAnsi="Calibri" w:eastAsia="宋体"/>
          <w:kern w:val="24"/>
        </w:rPr>
        <w:t>〖注〗</w:t>
      </w:r>
    </w:p>
    <w:p w14:paraId="21E823C9">
      <w:pPr>
        <w:ind w:firstLine="480" w:firstLineChars="200"/>
        <w:jc w:val="both"/>
        <w:rPr>
          <w:rFonts w:ascii="Calibri" w:hAnsi="Calibri" w:eastAsia="宋体"/>
          <w:kern w:val="24"/>
        </w:rPr>
      </w:pPr>
      <w:r>
        <w:rPr>
          <w:rFonts w:hint="eastAsia" w:ascii="Calibri" w:hAnsi="Calibri" w:eastAsia="宋体"/>
          <w:kern w:val="24"/>
        </w:rPr>
        <w:t>（一）磋商报价由分部分项工程费、措施项目费、规费、税金组成。</w:t>
      </w:r>
    </w:p>
    <w:p w14:paraId="61B19DA6">
      <w:pPr>
        <w:ind w:firstLine="480" w:firstLineChars="200"/>
        <w:jc w:val="both"/>
        <w:rPr>
          <w:rFonts w:ascii="Calibri" w:hAnsi="Calibri" w:eastAsia="宋体"/>
          <w:kern w:val="24"/>
        </w:rPr>
      </w:pPr>
      <w:r>
        <w:rPr>
          <w:rFonts w:hint="eastAsia" w:ascii="Calibri" w:hAnsi="Calibri" w:eastAsia="宋体"/>
          <w:kern w:val="24"/>
        </w:rPr>
        <w:t>（二）以下情况按无效响应处理：</w:t>
      </w:r>
    </w:p>
    <w:p w14:paraId="75F9DC04">
      <w:pPr>
        <w:ind w:firstLine="480" w:firstLineChars="200"/>
        <w:jc w:val="both"/>
        <w:rPr>
          <w:rFonts w:ascii="Calibri" w:hAnsi="Calibri" w:eastAsia="宋体"/>
          <w:kern w:val="24"/>
        </w:rPr>
      </w:pPr>
      <w:r>
        <w:rPr>
          <w:rFonts w:hint="eastAsia" w:ascii="Calibri" w:hAnsi="Calibri" w:eastAsia="宋体"/>
          <w:kern w:val="24"/>
        </w:rPr>
        <w:t>1．A栏未填写阿拉伯数字，B栏未填写工程质量等级，C栏未填写工期。</w:t>
      </w:r>
    </w:p>
    <w:p w14:paraId="0D7A892E">
      <w:pPr>
        <w:ind w:firstLine="480" w:firstLineChars="200"/>
        <w:jc w:val="both"/>
        <w:rPr>
          <w:rFonts w:ascii="Calibri" w:hAnsi="Calibri" w:eastAsia="宋体"/>
          <w:kern w:val="24"/>
        </w:rPr>
      </w:pPr>
      <w:r>
        <w:rPr>
          <w:rFonts w:hint="eastAsia" w:ascii="Calibri" w:hAnsi="Calibri" w:eastAsia="宋体"/>
          <w:kern w:val="24"/>
        </w:rPr>
        <w:t>2．磋商报价超过本项目预算的。</w:t>
      </w:r>
    </w:p>
    <w:p w14:paraId="30ED69C7">
      <w:pPr>
        <w:wordWrap w:val="0"/>
        <w:spacing w:line="400" w:lineRule="exact"/>
        <w:jc w:val="both"/>
        <w:rPr>
          <w:rFonts w:ascii="Calibri Light" w:hAnsi="华文仿宋" w:eastAsia="华文仿宋"/>
          <w:sz w:val="28"/>
          <w:szCs w:val="28"/>
        </w:rPr>
      </w:pPr>
    </w:p>
    <w:bookmarkEnd w:id="22"/>
    <w:bookmarkEnd w:id="23"/>
    <w:p w14:paraId="1EFFB663">
      <w:pPr>
        <w:wordWrap w:val="0"/>
        <w:spacing w:line="400" w:lineRule="exact"/>
        <w:ind w:firstLine="560" w:firstLineChars="200"/>
        <w:jc w:val="both"/>
        <w:rPr>
          <w:rFonts w:ascii="Calibri Light" w:hAnsi="华文仿宋" w:eastAsia="华文仿宋"/>
          <w:sz w:val="28"/>
          <w:szCs w:val="28"/>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3640550B">
      <w:pPr>
        <w:ind w:firstLine="480" w:firstLineChars="200"/>
        <w:jc w:val="both"/>
        <w:rPr>
          <w:color w:val="00B05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3FF906A3">
      <w:pPr>
        <w:tabs>
          <w:tab w:val="left" w:pos="5670"/>
        </w:tabs>
        <w:ind w:firstLine="480" w:firstLineChars="200"/>
        <w:jc w:val="both"/>
        <w:rPr>
          <w:rFonts w:cs="Calibri Light"/>
          <w:color w:val="000000"/>
        </w:rPr>
      </w:pPr>
    </w:p>
    <w:p w14:paraId="4F807F78">
      <w:pPr>
        <w:tabs>
          <w:tab w:val="left" w:pos="5670"/>
        </w:tabs>
        <w:jc w:val="center"/>
        <w:rPr>
          <w:rFonts w:cs="Calibri Light"/>
          <w:b/>
          <w:color w:val="000000"/>
        </w:rPr>
      </w:pPr>
      <w:r>
        <w:rPr>
          <w:rFonts w:cs="Calibri Light"/>
          <w:b/>
          <w:color w:val="1F4E79"/>
          <w:sz w:val="28"/>
          <w:szCs w:val="36"/>
        </w:rPr>
        <w:t>『中小企业声明函』（工程类格式）</w:t>
      </w:r>
    </w:p>
    <w:p w14:paraId="7F7EBC8B">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的采购活动，工程的施工单位全部为符合政策要求的中小企业。相关企业（含联合体中的中小企业、签订分包意向协议的中小企业）的具体情况如下：</w:t>
      </w:r>
    </w:p>
    <w:p w14:paraId="3C142AAA">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CB5937F">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CE863E1">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A4C6237">
      <w:pPr>
        <w:ind w:firstLine="480" w:firstLineChars="200"/>
        <w:jc w:val="both"/>
      </w:pPr>
      <w:r>
        <w:t>以上企业，不属于大企业的分支机构，不存在控股股东为大企业的情形，也不存在与大企业的负责人为同一人的情形。</w:t>
      </w:r>
    </w:p>
    <w:p w14:paraId="6F60A9A6">
      <w:pPr>
        <w:ind w:firstLine="480" w:firstLineChars="200"/>
        <w:jc w:val="both"/>
      </w:pPr>
      <w:r>
        <w:t>本企业对上述声明内容的真实性负责。如有虚假，将依法承担相应责任。</w:t>
      </w:r>
    </w:p>
    <w:p w14:paraId="6A59450E">
      <w:pPr>
        <w:ind w:firstLine="480" w:firstLineChars="200"/>
        <w:jc w:val="both"/>
      </w:pPr>
    </w:p>
    <w:p w14:paraId="7DBB1EB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2DC9D298">
      <w:pPr>
        <w:tabs>
          <w:tab w:val="left" w:pos="5670"/>
        </w:tabs>
        <w:ind w:firstLine="480" w:firstLineChars="200"/>
        <w:jc w:val="both"/>
        <w:rPr>
          <w:rFonts w:cstheme="minorHAnsi"/>
          <w:color w:val="7030A0"/>
        </w:rPr>
      </w:pPr>
      <w:r>
        <w:rPr>
          <w:rFonts w:cs="Calibri Light"/>
          <w:color w:val="000000"/>
        </w:rPr>
        <w:t>日　期：　　年　月　日</w:t>
      </w:r>
    </w:p>
    <w:p w14:paraId="32A0EB82">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770AED3A">
      <w:pPr>
        <w:jc w:val="both"/>
        <w:rPr>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Theme="minorEastAsia" w:hAnsiTheme="minorEastAsia"/>
        </w:rPr>
      </w:pPr>
      <w:r>
        <w:rPr>
          <w:rFonts w:asciiTheme="minorEastAsia" w:hAnsiTheme="minorEastAsia"/>
        </w:rPr>
        <w:t>（一）技术（服务）条款响应</w:t>
      </w:r>
    </w:p>
    <w:p w14:paraId="6A34FB30">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54B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384EB5">
            <w:pPr>
              <w:jc w:val="center"/>
              <w:rPr>
                <w:rFonts w:asciiTheme="minorEastAsia" w:hAnsiTheme="minorEastAsia"/>
                <w:sz w:val="21"/>
                <w:szCs w:val="21"/>
              </w:rPr>
            </w:pPr>
          </w:p>
        </w:tc>
        <w:tc>
          <w:tcPr>
            <w:tcW w:w="3207" w:type="dxa"/>
            <w:shd w:val="clear" w:color="auto" w:fill="auto"/>
            <w:vAlign w:val="center"/>
          </w:tcPr>
          <w:p w14:paraId="6A307581">
            <w:pPr>
              <w:rPr>
                <w:rFonts w:asciiTheme="minorEastAsia" w:hAnsiTheme="minorEastAsia"/>
                <w:sz w:val="21"/>
                <w:szCs w:val="21"/>
              </w:rPr>
            </w:pPr>
          </w:p>
        </w:tc>
        <w:tc>
          <w:tcPr>
            <w:tcW w:w="3351" w:type="dxa"/>
            <w:shd w:val="clear" w:color="auto" w:fill="auto"/>
            <w:vAlign w:val="center"/>
          </w:tcPr>
          <w:p w14:paraId="6018CA86">
            <w:pPr>
              <w:rPr>
                <w:rFonts w:asciiTheme="minorEastAsia" w:hAnsiTheme="minorEastAsia"/>
                <w:sz w:val="21"/>
                <w:szCs w:val="21"/>
              </w:rPr>
            </w:pPr>
          </w:p>
        </w:tc>
        <w:tc>
          <w:tcPr>
            <w:tcW w:w="1798" w:type="dxa"/>
            <w:shd w:val="clear" w:color="auto" w:fill="auto"/>
            <w:vAlign w:val="center"/>
          </w:tcPr>
          <w:p w14:paraId="321E6FC4">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45B3092">
      <w:pPr>
        <w:rPr>
          <w:rFonts w:cstheme="minorHAnsi"/>
          <w:b/>
        </w:rPr>
      </w:pPr>
      <w:r>
        <w:rPr>
          <w:rFonts w:cstheme="minorHAnsi"/>
          <w:b/>
        </w:rPr>
        <w:br w:type="page"/>
      </w:r>
    </w:p>
    <w:p w14:paraId="77EAE1D6">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1．施工组织方案</w:t>
      </w:r>
    </w:p>
    <w:p w14:paraId="2EBB0BD4">
      <w:pPr>
        <w:rPr>
          <w:rFonts w:asciiTheme="minorEastAsia" w:hAnsiTheme="minorEastAsia"/>
        </w:rPr>
      </w:pP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1FD7C460">
      <w:pPr>
        <w:rPr>
          <w:rFonts w:cstheme="minorHAnsi"/>
          <w:b/>
        </w:rPr>
      </w:pPr>
      <w:r>
        <w:rPr>
          <w:rFonts w:cstheme="minorHAnsi"/>
          <w:b/>
        </w:rPr>
        <w:br w:type="page"/>
      </w: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．主材性能</w:t>
      </w:r>
    </w:p>
    <w:p w14:paraId="31119CD0">
      <w:pPr>
        <w:rPr>
          <w:rFonts w:asciiTheme="minorEastAsia" w:hAnsiTheme="minorEastAsia" w:cstheme="minorHAnsi"/>
          <w:b/>
          <w:color w:val="000000"/>
          <w:kern w:val="24"/>
        </w:rPr>
      </w:pPr>
    </w:p>
    <w:p w14:paraId="0BB9A80A">
      <w:pPr>
        <w:rPr>
          <w:rFonts w:asciiTheme="minorEastAsia" w:hAnsiTheme="minorEastAsia" w:cstheme="minorHAnsi"/>
          <w:b/>
          <w:color w:val="000000"/>
          <w:kern w:val="24"/>
        </w:rPr>
      </w:pPr>
    </w:p>
    <w:p w14:paraId="1C782DD1">
      <w:pPr>
        <w:rPr>
          <w:rFonts w:asciiTheme="minorEastAsia" w:hAnsiTheme="minorEastAsia" w:cstheme="minorHAnsi"/>
          <w:b/>
        </w:rPr>
      </w:pPr>
      <w:r>
        <w:rPr>
          <w:rFonts w:hint="eastAsia" w:asciiTheme="minorEastAsia" w:hAnsiTheme="minorEastAsia" w:cstheme="minorHAnsi"/>
          <w:b/>
        </w:rPr>
        <w:t>2.</w:t>
      </w:r>
      <w:r>
        <w:rPr>
          <w:rFonts w:hint="eastAsia"/>
        </w:rPr>
        <w:t xml:space="preserve"> </w:t>
      </w:r>
      <w:r>
        <w:rPr>
          <w:rFonts w:hint="eastAsia" w:asciiTheme="minorEastAsia" w:hAnsiTheme="minorEastAsia" w:cstheme="minorHAnsi"/>
          <w:b/>
        </w:rPr>
        <w:t>验收与售后</w:t>
      </w:r>
    </w:p>
    <w:p w14:paraId="3D06FEF0">
      <w:pPr>
        <w:rPr>
          <w:rFonts w:cstheme="minorHAnsi"/>
          <w:b/>
        </w:rPr>
      </w:pPr>
    </w:p>
    <w:p w14:paraId="49827016">
      <w:pPr>
        <w:rPr>
          <w:rFonts w:cstheme="minorHAnsi"/>
          <w:b/>
        </w:rPr>
      </w:pPr>
      <w:r>
        <w:rPr>
          <w:rFonts w:cstheme="minorHAnsi"/>
          <w:b/>
        </w:rPr>
        <w:t>……</w:t>
      </w: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3EAA2B4A">
      <w:pPr>
        <w:keepNext/>
        <w:spacing w:before="120" w:after="60"/>
        <w:ind w:firstLine="560" w:firstLineChars="200"/>
        <w:outlineLvl w:val="2"/>
        <w:rPr>
          <w:rFonts w:ascii="黑体" w:hAnsi="黑体" w:eastAsia="黑体"/>
          <w:kern w:val="28"/>
          <w:sz w:val="28"/>
          <w:szCs w:val="28"/>
        </w:rPr>
      </w:pPr>
      <w:r>
        <w:rPr>
          <w:rFonts w:hint="eastAsia" w:ascii="宋体" w:hAnsi="宋体" w:eastAsia="宋体" w:cs="宋体"/>
          <w:kern w:val="28"/>
          <w:sz w:val="28"/>
          <w:szCs w:val="28"/>
        </w:rPr>
        <w:t>已标价工程量清单。</w:t>
      </w:r>
    </w:p>
    <w:p w14:paraId="0C1D8066">
      <w:pPr>
        <w:rPr>
          <w:rFonts w:ascii="Calibri" w:hAnsi="华文仿宋"/>
          <w:b/>
        </w:rPr>
      </w:pPr>
    </w:p>
    <w:p w14:paraId="62D3921C">
      <w:pPr>
        <w:rPr>
          <w:rFonts w:cstheme="minorHAnsi"/>
        </w:rPr>
      </w:pPr>
    </w:p>
    <w:p w14:paraId="004BA9F8">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7" w:type="default"/>
      <w:footerReference r:id="rId28"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771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882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0E2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E97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D15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158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397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793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CC3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77C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AF8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876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135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95B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290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2F9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72DA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EAF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西安市消防救援支队高陵大队小型站供暖设施采购项目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西安市消防救援支队高陵大队小型站供暖设施采购项目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西安市消防救援支队高陵大队小型站供暖设施采购项目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0AA"/>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0"/>
    <w:rsid w:val="000403A2"/>
    <w:rsid w:val="00040799"/>
    <w:rsid w:val="00040973"/>
    <w:rsid w:val="00043830"/>
    <w:rsid w:val="000440AF"/>
    <w:rsid w:val="00044F32"/>
    <w:rsid w:val="00046D28"/>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2A7F"/>
    <w:rsid w:val="00084264"/>
    <w:rsid w:val="00084335"/>
    <w:rsid w:val="00084BF8"/>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CB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21C2"/>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28A5"/>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6D4"/>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192E"/>
    <w:rsid w:val="00232797"/>
    <w:rsid w:val="00233D53"/>
    <w:rsid w:val="002345B9"/>
    <w:rsid w:val="00235ECB"/>
    <w:rsid w:val="00236FF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0DC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B09"/>
    <w:rsid w:val="00357EC3"/>
    <w:rsid w:val="00360830"/>
    <w:rsid w:val="0036148F"/>
    <w:rsid w:val="00364896"/>
    <w:rsid w:val="00366A2C"/>
    <w:rsid w:val="003704E3"/>
    <w:rsid w:val="00371456"/>
    <w:rsid w:val="00373AE9"/>
    <w:rsid w:val="00374506"/>
    <w:rsid w:val="0037495D"/>
    <w:rsid w:val="0037531B"/>
    <w:rsid w:val="0037546B"/>
    <w:rsid w:val="00375819"/>
    <w:rsid w:val="00375C89"/>
    <w:rsid w:val="00376DAF"/>
    <w:rsid w:val="00381E43"/>
    <w:rsid w:val="0038204A"/>
    <w:rsid w:val="00382469"/>
    <w:rsid w:val="003833FB"/>
    <w:rsid w:val="00383F8F"/>
    <w:rsid w:val="003842B1"/>
    <w:rsid w:val="00384CD5"/>
    <w:rsid w:val="003872CB"/>
    <w:rsid w:val="00387AFC"/>
    <w:rsid w:val="00390290"/>
    <w:rsid w:val="0039216D"/>
    <w:rsid w:val="0039245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A62"/>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451"/>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6E29"/>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6ADE"/>
    <w:rsid w:val="005176F4"/>
    <w:rsid w:val="00517E19"/>
    <w:rsid w:val="005203BA"/>
    <w:rsid w:val="00521222"/>
    <w:rsid w:val="005220F8"/>
    <w:rsid w:val="00522932"/>
    <w:rsid w:val="00523F67"/>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C56"/>
    <w:rsid w:val="00544FDF"/>
    <w:rsid w:val="0054537C"/>
    <w:rsid w:val="00545E64"/>
    <w:rsid w:val="00547AD0"/>
    <w:rsid w:val="0055098B"/>
    <w:rsid w:val="005509F0"/>
    <w:rsid w:val="00551012"/>
    <w:rsid w:val="00553626"/>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671"/>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2C5A"/>
    <w:rsid w:val="005F3B5B"/>
    <w:rsid w:val="005F6909"/>
    <w:rsid w:val="005F6C88"/>
    <w:rsid w:val="0060005D"/>
    <w:rsid w:val="006022C0"/>
    <w:rsid w:val="00602E42"/>
    <w:rsid w:val="00603657"/>
    <w:rsid w:val="00603BB4"/>
    <w:rsid w:val="00604448"/>
    <w:rsid w:val="0060479B"/>
    <w:rsid w:val="00606561"/>
    <w:rsid w:val="006069D4"/>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2520B"/>
    <w:rsid w:val="00630CCB"/>
    <w:rsid w:val="00631E71"/>
    <w:rsid w:val="0063350A"/>
    <w:rsid w:val="006340A0"/>
    <w:rsid w:val="00634FB6"/>
    <w:rsid w:val="0063581A"/>
    <w:rsid w:val="00636BF4"/>
    <w:rsid w:val="00637FE9"/>
    <w:rsid w:val="00640100"/>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46E"/>
    <w:rsid w:val="00654D4B"/>
    <w:rsid w:val="00656003"/>
    <w:rsid w:val="00657150"/>
    <w:rsid w:val="006571DD"/>
    <w:rsid w:val="0065774D"/>
    <w:rsid w:val="0065792C"/>
    <w:rsid w:val="00661AA7"/>
    <w:rsid w:val="00662E32"/>
    <w:rsid w:val="00664343"/>
    <w:rsid w:val="00664736"/>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297F"/>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2C4A"/>
    <w:rsid w:val="007732E5"/>
    <w:rsid w:val="007735B7"/>
    <w:rsid w:val="00773A1F"/>
    <w:rsid w:val="007747FE"/>
    <w:rsid w:val="007750D4"/>
    <w:rsid w:val="00775725"/>
    <w:rsid w:val="00775864"/>
    <w:rsid w:val="00776280"/>
    <w:rsid w:val="0078129F"/>
    <w:rsid w:val="00781798"/>
    <w:rsid w:val="00781A2A"/>
    <w:rsid w:val="00786C3D"/>
    <w:rsid w:val="0079003B"/>
    <w:rsid w:val="0079090A"/>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169"/>
    <w:rsid w:val="007E1576"/>
    <w:rsid w:val="007E1F6F"/>
    <w:rsid w:val="007E2BD2"/>
    <w:rsid w:val="007E51CC"/>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1F2F"/>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12ED"/>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57F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5D46"/>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26BA0"/>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57266"/>
    <w:rsid w:val="0096047F"/>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4EA"/>
    <w:rsid w:val="009A2BFF"/>
    <w:rsid w:val="009A5BD6"/>
    <w:rsid w:val="009A6D30"/>
    <w:rsid w:val="009A7843"/>
    <w:rsid w:val="009A7CBC"/>
    <w:rsid w:val="009B039A"/>
    <w:rsid w:val="009B206F"/>
    <w:rsid w:val="009B25B7"/>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875"/>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6DA0"/>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6A6"/>
    <w:rsid w:val="00A72C38"/>
    <w:rsid w:val="00A72FBB"/>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6E51"/>
    <w:rsid w:val="00B104AA"/>
    <w:rsid w:val="00B10972"/>
    <w:rsid w:val="00B11872"/>
    <w:rsid w:val="00B13758"/>
    <w:rsid w:val="00B13979"/>
    <w:rsid w:val="00B15E4F"/>
    <w:rsid w:val="00B2012B"/>
    <w:rsid w:val="00B204EF"/>
    <w:rsid w:val="00B20B29"/>
    <w:rsid w:val="00B20C2C"/>
    <w:rsid w:val="00B20CB9"/>
    <w:rsid w:val="00B20D52"/>
    <w:rsid w:val="00B2167C"/>
    <w:rsid w:val="00B22598"/>
    <w:rsid w:val="00B239F5"/>
    <w:rsid w:val="00B24691"/>
    <w:rsid w:val="00B246D3"/>
    <w:rsid w:val="00B24DB4"/>
    <w:rsid w:val="00B25171"/>
    <w:rsid w:val="00B256EC"/>
    <w:rsid w:val="00B262C9"/>
    <w:rsid w:val="00B26A2C"/>
    <w:rsid w:val="00B26BDA"/>
    <w:rsid w:val="00B30526"/>
    <w:rsid w:val="00B3125B"/>
    <w:rsid w:val="00B31B0D"/>
    <w:rsid w:val="00B327B5"/>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3AD6"/>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54D2"/>
    <w:rsid w:val="00B96111"/>
    <w:rsid w:val="00B971AD"/>
    <w:rsid w:val="00B975ED"/>
    <w:rsid w:val="00B97961"/>
    <w:rsid w:val="00B979E2"/>
    <w:rsid w:val="00B97D1F"/>
    <w:rsid w:val="00B97E9D"/>
    <w:rsid w:val="00BA1740"/>
    <w:rsid w:val="00BA25DB"/>
    <w:rsid w:val="00BA316F"/>
    <w:rsid w:val="00BA38E0"/>
    <w:rsid w:val="00BA4649"/>
    <w:rsid w:val="00BA51C2"/>
    <w:rsid w:val="00BA5A55"/>
    <w:rsid w:val="00BA619F"/>
    <w:rsid w:val="00BA63A9"/>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16"/>
    <w:rsid w:val="00BC71FD"/>
    <w:rsid w:val="00BD15BE"/>
    <w:rsid w:val="00BD23DC"/>
    <w:rsid w:val="00BD2E19"/>
    <w:rsid w:val="00BD3BF3"/>
    <w:rsid w:val="00BD5316"/>
    <w:rsid w:val="00BD6613"/>
    <w:rsid w:val="00BD7A29"/>
    <w:rsid w:val="00BE1F49"/>
    <w:rsid w:val="00BE32FA"/>
    <w:rsid w:val="00BE41BE"/>
    <w:rsid w:val="00BE4EBB"/>
    <w:rsid w:val="00BE6D7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0172"/>
    <w:rsid w:val="00C1262A"/>
    <w:rsid w:val="00C1444A"/>
    <w:rsid w:val="00C144BA"/>
    <w:rsid w:val="00C15E59"/>
    <w:rsid w:val="00C15E84"/>
    <w:rsid w:val="00C16C84"/>
    <w:rsid w:val="00C17537"/>
    <w:rsid w:val="00C20D1A"/>
    <w:rsid w:val="00C21B89"/>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B56"/>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05C5"/>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42B8"/>
    <w:rsid w:val="00D16D4C"/>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874C6"/>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3163"/>
    <w:rsid w:val="00DA7EC9"/>
    <w:rsid w:val="00DB18FC"/>
    <w:rsid w:val="00DB1DFA"/>
    <w:rsid w:val="00DB240D"/>
    <w:rsid w:val="00DB2716"/>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2C0"/>
    <w:rsid w:val="00E046DC"/>
    <w:rsid w:val="00E05F80"/>
    <w:rsid w:val="00E0664E"/>
    <w:rsid w:val="00E07564"/>
    <w:rsid w:val="00E07EB9"/>
    <w:rsid w:val="00E1001B"/>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6FC4"/>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0F17"/>
    <w:rsid w:val="00E518FB"/>
    <w:rsid w:val="00E51911"/>
    <w:rsid w:val="00E533B0"/>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5892"/>
    <w:rsid w:val="00E97186"/>
    <w:rsid w:val="00E97F6C"/>
    <w:rsid w:val="00EA04D2"/>
    <w:rsid w:val="00EA14BA"/>
    <w:rsid w:val="00EA3A41"/>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C7B69"/>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344"/>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AF"/>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6E76"/>
    <w:rsid w:val="00F67278"/>
    <w:rsid w:val="00F67ABE"/>
    <w:rsid w:val="00F710E9"/>
    <w:rsid w:val="00F733F0"/>
    <w:rsid w:val="00F745E2"/>
    <w:rsid w:val="00F75E36"/>
    <w:rsid w:val="00F75F28"/>
    <w:rsid w:val="00F76A72"/>
    <w:rsid w:val="00F77340"/>
    <w:rsid w:val="00F8042D"/>
    <w:rsid w:val="00F814D0"/>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407E"/>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477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0"/>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0"/>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TOC 标题11"/>
    <w:basedOn w:val="2"/>
    <w:next w:val="1"/>
    <w:semiHidden/>
    <w:unhideWhenUsed/>
    <w:qFormat/>
    <w:uiPriority w:val="39"/>
    <w:pPr>
      <w:numPr>
        <w:numId w:val="0"/>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6622-4682-4913-A70D-B68364674A1D}">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26</Pages>
  <Words>236</Words>
  <Characters>255</Characters>
  <Lines>952</Lines>
  <Paragraphs>1049</Paragraphs>
  <TotalTime>19</TotalTime>
  <ScaleCrop>false</ScaleCrop>
  <LinksUpToDate>false</LinksUpToDate>
  <CharactersWithSpaces>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2025-10-21T07:01:00Z</dcterms:created>
  <dc:creator>admin</dc:creator>
  <cp:lastModifiedBy>常巧利</cp:lastModifiedBy>
  <cp:lastPrinted>2025-10-13T08:56:00Z</cp:lastPrinted>
  <dcterms:modified xsi:type="dcterms:W3CDTF">2025-11-18T07:24:58Z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2F794536023C41208937DC20B4DBB931_13</vt:lpwstr>
  </property>
</Properties>
</file>