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BB5F4">
      <w:pPr>
        <w:pStyle w:val="4"/>
        <w:jc w:val="center"/>
        <w:outlineLvl w:val="1"/>
        <w:rPr>
          <w:rFonts w:hint="default"/>
        </w:rPr>
      </w:pPr>
      <w:r>
        <w:rPr>
          <w:rFonts w:ascii="仿宋_GB2312" w:hAnsi="仿宋_GB2312" w:eastAsia="仿宋_GB2312" w:cs="仿宋_GB2312"/>
          <w:b/>
          <w:sz w:val="36"/>
        </w:rPr>
        <w:t>第三章 磋商项目技术、服务、商务及其他要求</w:t>
      </w:r>
    </w:p>
    <w:p w14:paraId="445DFF9B">
      <w:pPr>
        <w:pStyle w:val="4"/>
        <w:ind w:firstLine="480"/>
        <w:rPr>
          <w:rFonts w:hint="default"/>
        </w:rPr>
      </w:pPr>
      <w:r>
        <w:rPr>
          <w:rFonts w:ascii="仿宋_GB2312" w:hAnsi="仿宋_GB2312" w:eastAsia="仿宋_GB2312" w:cs="仿宋_GB2312"/>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3BBDAA6E">
      <w:pPr>
        <w:pStyle w:val="4"/>
        <w:outlineLvl w:val="2"/>
        <w:rPr>
          <w:rFonts w:hint="default"/>
        </w:rPr>
      </w:pPr>
      <w:r>
        <w:rPr>
          <w:rFonts w:ascii="仿宋_GB2312" w:hAnsi="仿宋_GB2312" w:eastAsia="仿宋_GB2312" w:cs="仿宋_GB2312"/>
          <w:b/>
          <w:sz w:val="28"/>
        </w:rPr>
        <w:t>3.1采购项目概况</w:t>
      </w:r>
    </w:p>
    <w:p w14:paraId="1D502EAF">
      <w:pPr>
        <w:pStyle w:val="4"/>
        <w:ind w:firstLine="480" w:firstLineChars="200"/>
        <w:outlineLvl w:val="2"/>
        <w:rPr>
          <w:rFonts w:hint="eastAsia" w:ascii="仿宋" w:hAnsi="仿宋" w:eastAsia="仿宋" w:cs="仿宋"/>
          <w:sz w:val="24"/>
          <w:szCs w:val="24"/>
          <w:lang w:eastAsia="zh-CN"/>
        </w:rPr>
      </w:pPr>
      <w:r>
        <w:rPr>
          <w:rFonts w:hint="eastAsia" w:ascii="仿宋" w:hAnsi="仿宋" w:eastAsia="仿宋" w:cs="仿宋"/>
          <w:sz w:val="24"/>
          <w:szCs w:val="24"/>
        </w:rPr>
        <w:t>为</w:t>
      </w:r>
      <w:r>
        <w:rPr>
          <w:rFonts w:hint="eastAsia" w:ascii="仿宋" w:hAnsi="仿宋" w:eastAsia="仿宋" w:cs="仿宋"/>
          <w:sz w:val="24"/>
          <w:szCs w:val="24"/>
          <w:lang w:eastAsia="zh-CN"/>
        </w:rPr>
        <w:t>贯彻落实党中央国务院关于“进一步简政放权，深化行政审批制度改革”</w:t>
      </w:r>
      <w:r>
        <w:rPr>
          <w:rFonts w:hint="eastAsia" w:ascii="仿宋" w:hAnsi="仿宋" w:eastAsia="仿宋" w:cs="仿宋"/>
          <w:sz w:val="24"/>
          <w:szCs w:val="24"/>
        </w:rPr>
        <w:t>精神，</w:t>
      </w:r>
      <w:r>
        <w:rPr>
          <w:rFonts w:hint="eastAsia" w:ascii="仿宋" w:hAnsi="仿宋" w:eastAsia="仿宋" w:cs="仿宋"/>
          <w:color w:val="000000"/>
          <w:kern w:val="0"/>
          <w:sz w:val="24"/>
          <w:szCs w:val="24"/>
          <w:lang w:val="en-US" w:eastAsia="zh-CN" w:bidi="ar"/>
        </w:rPr>
        <w:t>推动文物保护项目管理制度的改革创新，实现文物保护项目行政审批和技术评估的分离，文物保护项目技术评估工作由专业评估咨询机构承担。</w:t>
      </w:r>
      <w:r>
        <w:rPr>
          <w:rFonts w:hint="eastAsia" w:ascii="仿宋" w:hAnsi="仿宋" w:eastAsia="仿宋" w:cs="仿宋"/>
          <w:i w:val="0"/>
          <w:iCs w:val="0"/>
          <w:caps w:val="0"/>
          <w:color w:val="3D3D3D"/>
          <w:spacing w:val="0"/>
          <w:sz w:val="24"/>
          <w:szCs w:val="24"/>
          <w:shd w:val="clear" w:color="auto" w:fill="FFFFFF"/>
        </w:rPr>
        <w:t>围绕工程立项、方案报审、施工组织、竣工验收等环节，</w:t>
      </w:r>
      <w:r>
        <w:rPr>
          <w:rFonts w:hint="eastAsia" w:ascii="仿宋" w:hAnsi="仿宋" w:eastAsia="仿宋" w:cs="仿宋"/>
          <w:i w:val="0"/>
          <w:iCs w:val="0"/>
          <w:caps w:val="0"/>
          <w:color w:val="3D3D3D"/>
          <w:spacing w:val="0"/>
          <w:sz w:val="24"/>
          <w:szCs w:val="24"/>
          <w:shd w:val="clear" w:color="auto" w:fill="FFFFFF"/>
          <w:lang w:eastAsia="zh-CN"/>
        </w:rPr>
        <w:t>咨询评估机构</w:t>
      </w:r>
      <w:r>
        <w:rPr>
          <w:rFonts w:hint="eastAsia" w:ascii="仿宋" w:hAnsi="仿宋" w:eastAsia="仿宋" w:cs="仿宋"/>
          <w:sz w:val="24"/>
          <w:szCs w:val="24"/>
        </w:rPr>
        <w:t>根据《中华人民共和国文物保护法》《中华人民共和国文物保护法实施条例》《文物保护工程管理办法》</w:t>
      </w:r>
      <w:r>
        <w:rPr>
          <w:rFonts w:hint="eastAsia" w:ascii="仿宋" w:hAnsi="仿宋" w:eastAsia="仿宋" w:cs="仿宋"/>
          <w:bCs/>
          <w:sz w:val="24"/>
          <w:szCs w:val="24"/>
          <w:shd w:val="clear" w:color="auto" w:fill="FFFFFF"/>
        </w:rPr>
        <w:t>等有关规章制度</w:t>
      </w:r>
      <w:r>
        <w:rPr>
          <w:rFonts w:hint="eastAsia" w:ascii="仿宋" w:hAnsi="仿宋" w:eastAsia="仿宋" w:cs="仿宋"/>
          <w:sz w:val="24"/>
          <w:szCs w:val="24"/>
        </w:rPr>
        <w:t>，结合我省</w:t>
      </w:r>
      <w:r>
        <w:rPr>
          <w:rFonts w:hint="eastAsia" w:ascii="仿宋" w:hAnsi="仿宋" w:eastAsia="仿宋" w:cs="仿宋"/>
          <w:sz w:val="24"/>
          <w:szCs w:val="24"/>
          <w:lang w:eastAsia="zh-CN"/>
        </w:rPr>
        <w:t>文物保护</w:t>
      </w:r>
      <w:r>
        <w:rPr>
          <w:rFonts w:hint="eastAsia" w:ascii="仿宋" w:hAnsi="仿宋" w:eastAsia="仿宋" w:cs="仿宋"/>
          <w:sz w:val="24"/>
          <w:szCs w:val="24"/>
        </w:rPr>
        <w:t>项目</w:t>
      </w:r>
      <w:r>
        <w:rPr>
          <w:rFonts w:hint="eastAsia" w:ascii="仿宋" w:hAnsi="仿宋" w:eastAsia="仿宋" w:cs="仿宋"/>
          <w:sz w:val="24"/>
          <w:szCs w:val="24"/>
          <w:lang w:eastAsia="zh-CN"/>
        </w:rPr>
        <w:t>管理</w:t>
      </w:r>
      <w:r>
        <w:rPr>
          <w:rFonts w:hint="eastAsia" w:ascii="仿宋" w:hAnsi="仿宋" w:eastAsia="仿宋" w:cs="仿宋"/>
          <w:sz w:val="24"/>
          <w:szCs w:val="24"/>
        </w:rPr>
        <w:t>工作的实际情况，组织</w:t>
      </w:r>
      <w:r>
        <w:rPr>
          <w:rFonts w:hint="eastAsia" w:ascii="仿宋" w:hAnsi="仿宋" w:eastAsia="仿宋" w:cs="仿宋"/>
          <w:sz w:val="24"/>
          <w:szCs w:val="24"/>
          <w:lang w:eastAsia="zh-CN"/>
        </w:rPr>
        <w:t>相关</w:t>
      </w:r>
      <w:r>
        <w:rPr>
          <w:rFonts w:hint="eastAsia" w:ascii="仿宋" w:hAnsi="仿宋" w:eastAsia="仿宋" w:cs="仿宋"/>
          <w:sz w:val="24"/>
          <w:szCs w:val="24"/>
        </w:rPr>
        <w:t>专家对项目的立项</w:t>
      </w:r>
      <w:r>
        <w:rPr>
          <w:rFonts w:hint="eastAsia" w:ascii="仿宋" w:hAnsi="仿宋" w:eastAsia="仿宋" w:cs="仿宋"/>
          <w:sz w:val="24"/>
          <w:szCs w:val="24"/>
          <w:lang w:eastAsia="zh-CN"/>
        </w:rPr>
        <w:t>计划书</w:t>
      </w:r>
      <w:r>
        <w:rPr>
          <w:rFonts w:hint="eastAsia" w:ascii="仿宋" w:hAnsi="仿宋" w:eastAsia="仿宋" w:cs="仿宋"/>
          <w:sz w:val="24"/>
          <w:szCs w:val="24"/>
        </w:rPr>
        <w:t>、</w:t>
      </w:r>
      <w:r>
        <w:rPr>
          <w:rFonts w:hint="eastAsia" w:ascii="仿宋" w:hAnsi="仿宋" w:eastAsia="仿宋" w:cs="仿宋"/>
          <w:sz w:val="24"/>
          <w:szCs w:val="24"/>
          <w:lang w:eastAsia="zh-CN"/>
        </w:rPr>
        <w:t>文物保护工程技术方案、文物保护工程项目竣工验收</w:t>
      </w:r>
      <w:r>
        <w:rPr>
          <w:rFonts w:hint="eastAsia" w:ascii="仿宋" w:hAnsi="仿宋" w:eastAsia="仿宋" w:cs="仿宋"/>
          <w:sz w:val="24"/>
          <w:szCs w:val="24"/>
        </w:rPr>
        <w:t>进行技术评估，</w:t>
      </w:r>
      <w:r>
        <w:rPr>
          <w:rFonts w:hint="eastAsia" w:ascii="仿宋" w:hAnsi="仿宋" w:eastAsia="仿宋" w:cs="仿宋"/>
          <w:sz w:val="24"/>
          <w:szCs w:val="24"/>
          <w:lang w:eastAsia="zh-CN"/>
        </w:rPr>
        <w:t>确保</w:t>
      </w:r>
      <w:r>
        <w:rPr>
          <w:rFonts w:hint="eastAsia" w:ascii="仿宋" w:hAnsi="仿宋" w:eastAsia="仿宋" w:cs="仿宋"/>
          <w:sz w:val="24"/>
          <w:szCs w:val="24"/>
        </w:rPr>
        <w:t>项目</w:t>
      </w:r>
      <w:r>
        <w:rPr>
          <w:rFonts w:hint="eastAsia" w:ascii="仿宋" w:hAnsi="仿宋" w:eastAsia="仿宋" w:cs="仿宋"/>
          <w:sz w:val="24"/>
          <w:szCs w:val="24"/>
          <w:lang w:eastAsia="zh-CN"/>
        </w:rPr>
        <w:t>评估</w:t>
      </w:r>
      <w:r>
        <w:rPr>
          <w:rFonts w:hint="eastAsia" w:ascii="仿宋" w:hAnsi="仿宋" w:eastAsia="仿宋" w:cs="仿宋"/>
          <w:sz w:val="24"/>
          <w:szCs w:val="24"/>
        </w:rPr>
        <w:t>工作质量和效率</w:t>
      </w:r>
      <w:r>
        <w:rPr>
          <w:rFonts w:hint="eastAsia" w:ascii="仿宋" w:hAnsi="仿宋" w:eastAsia="仿宋" w:cs="仿宋"/>
          <w:sz w:val="24"/>
          <w:szCs w:val="24"/>
          <w:lang w:eastAsia="zh-CN"/>
        </w:rPr>
        <w:t>。</w:t>
      </w:r>
    </w:p>
    <w:p w14:paraId="1F6F6A41">
      <w:pPr>
        <w:pStyle w:val="4"/>
        <w:outlineLvl w:val="2"/>
        <w:rPr>
          <w:rFonts w:hint="default"/>
        </w:rPr>
      </w:pPr>
      <w:r>
        <w:rPr>
          <w:rFonts w:ascii="仿宋_GB2312" w:hAnsi="仿宋_GB2312" w:eastAsia="仿宋_GB2312" w:cs="仿宋_GB2312"/>
          <w:b/>
          <w:sz w:val="28"/>
        </w:rPr>
        <w:t>3.2服务内容及服务要求</w:t>
      </w:r>
    </w:p>
    <w:p w14:paraId="16F7B4AD">
      <w:pPr>
        <w:pStyle w:val="4"/>
        <w:outlineLvl w:val="3"/>
        <w:rPr>
          <w:rFonts w:hint="default"/>
        </w:rPr>
      </w:pPr>
      <w:r>
        <w:rPr>
          <w:rFonts w:ascii="仿宋_GB2312" w:hAnsi="仿宋_GB2312" w:eastAsia="仿宋_GB2312" w:cs="仿宋_GB2312"/>
          <w:b/>
          <w:sz w:val="24"/>
        </w:rPr>
        <w:t>3.2.1服务内容</w:t>
      </w:r>
    </w:p>
    <w:p w14:paraId="6322B173">
      <w:pPr>
        <w:pStyle w:val="4"/>
        <w:rPr>
          <w:rFonts w:hint="default"/>
          <w:sz w:val="24"/>
          <w:szCs w:val="24"/>
        </w:rPr>
      </w:pPr>
      <w:r>
        <w:rPr>
          <w:rFonts w:ascii="仿宋_GB2312" w:hAnsi="仿宋_GB2312" w:eastAsia="仿宋_GB2312" w:cs="仿宋_GB2312"/>
          <w:sz w:val="24"/>
          <w:szCs w:val="24"/>
        </w:rPr>
        <w:t>采购包1：</w:t>
      </w:r>
    </w:p>
    <w:p w14:paraId="1BB8873F">
      <w:pPr>
        <w:pStyle w:val="4"/>
        <w:ind w:firstLine="480" w:firstLineChars="200"/>
        <w:rPr>
          <w:rFonts w:hint="default"/>
          <w:sz w:val="24"/>
          <w:szCs w:val="24"/>
        </w:rPr>
      </w:pPr>
      <w:r>
        <w:rPr>
          <w:rFonts w:ascii="仿宋_GB2312" w:hAnsi="仿宋_GB2312" w:eastAsia="仿宋_GB2312" w:cs="仿宋_GB2312"/>
          <w:sz w:val="24"/>
          <w:szCs w:val="24"/>
        </w:rPr>
        <w:t>采购包预算金额（元）:</w:t>
      </w:r>
      <w:r>
        <w:rPr>
          <w:rFonts w:ascii="仿宋_GB2312" w:hAnsi="仿宋_GB2312" w:eastAsia="仿宋_GB2312" w:cs="仿宋_GB2312"/>
          <w:sz w:val="24"/>
          <w:szCs w:val="24"/>
          <w:lang w:eastAsia="zh-CN"/>
        </w:rPr>
        <w:t>1</w:t>
      </w:r>
      <w:r>
        <w:rPr>
          <w:rFonts w:ascii="仿宋_GB2312" w:hAnsi="仿宋_GB2312" w:eastAsia="仿宋_GB2312" w:cs="仿宋_GB2312"/>
          <w:sz w:val="24"/>
          <w:szCs w:val="24"/>
        </w:rPr>
        <w:t>,</w:t>
      </w:r>
      <w:r>
        <w:rPr>
          <w:rFonts w:ascii="仿宋_GB2312" w:hAnsi="仿宋_GB2312" w:eastAsia="仿宋_GB2312" w:cs="仿宋_GB2312"/>
          <w:sz w:val="24"/>
          <w:szCs w:val="24"/>
          <w:lang w:eastAsia="zh-CN"/>
        </w:rPr>
        <w:t>00</w:t>
      </w:r>
      <w:r>
        <w:rPr>
          <w:rFonts w:ascii="仿宋_GB2312" w:hAnsi="仿宋_GB2312" w:eastAsia="仿宋_GB2312" w:cs="仿宋_GB2312"/>
          <w:sz w:val="24"/>
          <w:szCs w:val="24"/>
        </w:rPr>
        <w:t>0,000.00</w:t>
      </w:r>
    </w:p>
    <w:p w14:paraId="3FA45F05">
      <w:pPr>
        <w:pStyle w:val="4"/>
        <w:ind w:firstLine="480" w:firstLineChars="200"/>
        <w:rPr>
          <w:rFonts w:hint="default"/>
          <w:sz w:val="24"/>
          <w:szCs w:val="24"/>
        </w:rPr>
      </w:pPr>
      <w:r>
        <w:rPr>
          <w:rFonts w:ascii="仿宋_GB2312" w:hAnsi="仿宋_GB2312" w:eastAsia="仿宋_GB2312" w:cs="仿宋_GB2312"/>
          <w:sz w:val="24"/>
          <w:szCs w:val="24"/>
        </w:rPr>
        <w:t>采购包最高限价（元）:</w:t>
      </w:r>
      <w:r>
        <w:rPr>
          <w:rFonts w:ascii="仿宋_GB2312" w:hAnsi="仿宋_GB2312" w:eastAsia="仿宋_GB2312" w:cs="仿宋_GB2312"/>
          <w:sz w:val="24"/>
          <w:szCs w:val="24"/>
          <w:lang w:eastAsia="zh-CN"/>
        </w:rPr>
        <w:t>1</w:t>
      </w:r>
      <w:r>
        <w:rPr>
          <w:rFonts w:ascii="仿宋_GB2312" w:hAnsi="仿宋_GB2312" w:eastAsia="仿宋_GB2312" w:cs="仿宋_GB2312"/>
          <w:sz w:val="24"/>
          <w:szCs w:val="24"/>
        </w:rPr>
        <w:t>,</w:t>
      </w:r>
      <w:r>
        <w:rPr>
          <w:rFonts w:ascii="仿宋_GB2312" w:hAnsi="仿宋_GB2312" w:eastAsia="仿宋_GB2312" w:cs="仿宋_GB2312"/>
          <w:sz w:val="24"/>
          <w:szCs w:val="24"/>
          <w:lang w:eastAsia="zh-CN"/>
        </w:rPr>
        <w:t>00</w:t>
      </w:r>
      <w:r>
        <w:rPr>
          <w:rFonts w:ascii="仿宋_GB2312" w:hAnsi="仿宋_GB2312" w:eastAsia="仿宋_GB2312" w:cs="仿宋_GB2312"/>
          <w:sz w:val="24"/>
          <w:szCs w:val="24"/>
        </w:rPr>
        <w:t>0,000.00</w:t>
      </w:r>
    </w:p>
    <w:p w14:paraId="0D51487D">
      <w:pPr>
        <w:pStyle w:val="4"/>
        <w:ind w:firstLine="480" w:firstLineChars="200"/>
        <w:rPr>
          <w:rFonts w:hint="default"/>
          <w:sz w:val="24"/>
          <w:szCs w:val="24"/>
        </w:rPr>
      </w:pPr>
      <w:r>
        <w:rPr>
          <w:rFonts w:ascii="仿宋_GB2312" w:hAnsi="仿宋_GB2312" w:eastAsia="仿宋_GB2312" w:cs="仿宋_GB2312"/>
          <w:sz w:val="24"/>
          <w:szCs w:val="24"/>
        </w:rPr>
        <w:t>供应商报价不允许超过标的金额</w:t>
      </w:r>
    </w:p>
    <w:p w14:paraId="02314FD3">
      <w:pPr>
        <w:pStyle w:val="4"/>
        <w:ind w:firstLine="480" w:firstLineChars="200"/>
        <w:rPr>
          <w:rFonts w:hint="default"/>
          <w:sz w:val="24"/>
          <w:szCs w:val="24"/>
        </w:rPr>
      </w:pPr>
      <w:r>
        <w:rPr>
          <w:rFonts w:ascii="仿宋_GB2312" w:hAnsi="仿宋_GB2312" w:eastAsia="仿宋_GB2312" w:cs="仿宋_GB2312"/>
          <w:sz w:val="24"/>
          <w:szCs w:val="24"/>
        </w:rPr>
        <w:t>（招单价的）供应商报价不允许超过标的单价</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2"/>
        <w:gridCol w:w="763"/>
        <w:gridCol w:w="763"/>
        <w:gridCol w:w="1656"/>
        <w:gridCol w:w="763"/>
        <w:gridCol w:w="763"/>
        <w:gridCol w:w="763"/>
        <w:gridCol w:w="763"/>
        <w:gridCol w:w="763"/>
        <w:gridCol w:w="763"/>
      </w:tblGrid>
      <w:tr w14:paraId="7E372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pct"/>
          </w:tcPr>
          <w:p w14:paraId="678B0826">
            <w:pPr>
              <w:pStyle w:val="4"/>
              <w:rPr>
                <w:rFonts w:hint="default"/>
                <w:sz w:val="24"/>
                <w:szCs w:val="24"/>
              </w:rPr>
            </w:pPr>
            <w:r>
              <w:rPr>
                <w:rFonts w:ascii="仿宋_GB2312" w:hAnsi="仿宋_GB2312" w:eastAsia="仿宋_GB2312" w:cs="仿宋_GB2312"/>
                <w:sz w:val="24"/>
                <w:szCs w:val="24"/>
              </w:rPr>
              <w:t>序号</w:t>
            </w:r>
          </w:p>
        </w:tc>
        <w:tc>
          <w:tcPr>
            <w:tcW w:w="467" w:type="pct"/>
          </w:tcPr>
          <w:p w14:paraId="74024DE3">
            <w:pPr>
              <w:pStyle w:val="4"/>
              <w:rPr>
                <w:rFonts w:hint="default"/>
                <w:sz w:val="24"/>
                <w:szCs w:val="24"/>
              </w:rPr>
            </w:pPr>
            <w:r>
              <w:rPr>
                <w:rFonts w:ascii="仿宋_GB2312" w:hAnsi="仿宋_GB2312" w:eastAsia="仿宋_GB2312" w:cs="仿宋_GB2312"/>
                <w:sz w:val="24"/>
                <w:szCs w:val="24"/>
              </w:rPr>
              <w:t>标的名称</w:t>
            </w:r>
          </w:p>
        </w:tc>
        <w:tc>
          <w:tcPr>
            <w:tcW w:w="467" w:type="pct"/>
          </w:tcPr>
          <w:p w14:paraId="10981E4B">
            <w:pPr>
              <w:pStyle w:val="4"/>
              <w:rPr>
                <w:rFonts w:hint="default"/>
                <w:sz w:val="24"/>
                <w:szCs w:val="24"/>
              </w:rPr>
            </w:pPr>
            <w:r>
              <w:rPr>
                <w:rFonts w:ascii="仿宋_GB2312" w:hAnsi="仿宋_GB2312" w:eastAsia="仿宋_GB2312" w:cs="仿宋_GB2312"/>
                <w:sz w:val="24"/>
                <w:szCs w:val="24"/>
              </w:rPr>
              <w:t>数量</w:t>
            </w:r>
          </w:p>
        </w:tc>
        <w:tc>
          <w:tcPr>
            <w:tcW w:w="796" w:type="pct"/>
          </w:tcPr>
          <w:p w14:paraId="0A3DC15D">
            <w:pPr>
              <w:pStyle w:val="4"/>
              <w:rPr>
                <w:rFonts w:hint="default"/>
                <w:sz w:val="24"/>
                <w:szCs w:val="24"/>
              </w:rPr>
            </w:pPr>
            <w:r>
              <w:rPr>
                <w:rFonts w:ascii="仿宋_GB2312" w:hAnsi="仿宋_GB2312" w:eastAsia="仿宋_GB2312" w:cs="仿宋_GB2312"/>
                <w:sz w:val="24"/>
                <w:szCs w:val="24"/>
              </w:rPr>
              <w:t>标的金额（元）</w:t>
            </w:r>
          </w:p>
        </w:tc>
        <w:tc>
          <w:tcPr>
            <w:tcW w:w="467" w:type="pct"/>
          </w:tcPr>
          <w:p w14:paraId="2CA9E5D2">
            <w:pPr>
              <w:pStyle w:val="4"/>
              <w:rPr>
                <w:rFonts w:hint="default"/>
                <w:sz w:val="24"/>
                <w:szCs w:val="24"/>
              </w:rPr>
            </w:pPr>
            <w:r>
              <w:rPr>
                <w:rFonts w:ascii="仿宋_GB2312" w:hAnsi="仿宋_GB2312" w:eastAsia="仿宋_GB2312" w:cs="仿宋_GB2312"/>
                <w:sz w:val="24"/>
                <w:szCs w:val="24"/>
              </w:rPr>
              <w:t>计量单位</w:t>
            </w:r>
          </w:p>
        </w:tc>
        <w:tc>
          <w:tcPr>
            <w:tcW w:w="467" w:type="pct"/>
          </w:tcPr>
          <w:p w14:paraId="4EECE14D">
            <w:pPr>
              <w:pStyle w:val="4"/>
              <w:rPr>
                <w:rFonts w:hint="default"/>
                <w:sz w:val="24"/>
                <w:szCs w:val="24"/>
              </w:rPr>
            </w:pPr>
            <w:r>
              <w:rPr>
                <w:rFonts w:ascii="仿宋_GB2312" w:hAnsi="仿宋_GB2312" w:eastAsia="仿宋_GB2312" w:cs="仿宋_GB2312"/>
                <w:sz w:val="24"/>
                <w:szCs w:val="24"/>
              </w:rPr>
              <w:t>所属行业</w:t>
            </w:r>
          </w:p>
        </w:tc>
        <w:tc>
          <w:tcPr>
            <w:tcW w:w="467" w:type="pct"/>
          </w:tcPr>
          <w:p w14:paraId="57CC2A3B">
            <w:pPr>
              <w:pStyle w:val="4"/>
              <w:rPr>
                <w:rFonts w:hint="default"/>
                <w:sz w:val="24"/>
                <w:szCs w:val="24"/>
              </w:rPr>
            </w:pPr>
            <w:r>
              <w:rPr>
                <w:rFonts w:ascii="仿宋_GB2312" w:hAnsi="仿宋_GB2312" w:eastAsia="仿宋_GB2312" w:cs="仿宋_GB2312"/>
                <w:sz w:val="24"/>
                <w:szCs w:val="24"/>
              </w:rPr>
              <w:t>是否核心产品</w:t>
            </w:r>
          </w:p>
        </w:tc>
        <w:tc>
          <w:tcPr>
            <w:tcW w:w="467" w:type="pct"/>
          </w:tcPr>
          <w:p w14:paraId="48A6651F">
            <w:pPr>
              <w:pStyle w:val="4"/>
              <w:rPr>
                <w:rFonts w:hint="default"/>
                <w:sz w:val="24"/>
                <w:szCs w:val="24"/>
              </w:rPr>
            </w:pPr>
            <w:r>
              <w:rPr>
                <w:rFonts w:ascii="仿宋_GB2312" w:hAnsi="仿宋_GB2312" w:eastAsia="仿宋_GB2312" w:cs="仿宋_GB2312"/>
                <w:sz w:val="24"/>
                <w:szCs w:val="24"/>
              </w:rPr>
              <w:t>是否允许进口产品</w:t>
            </w:r>
          </w:p>
        </w:tc>
        <w:tc>
          <w:tcPr>
            <w:tcW w:w="467" w:type="pct"/>
          </w:tcPr>
          <w:p w14:paraId="71FE26A0">
            <w:pPr>
              <w:pStyle w:val="4"/>
              <w:rPr>
                <w:rFonts w:hint="default"/>
                <w:sz w:val="24"/>
                <w:szCs w:val="24"/>
              </w:rPr>
            </w:pPr>
            <w:r>
              <w:rPr>
                <w:rFonts w:ascii="仿宋_GB2312" w:hAnsi="仿宋_GB2312" w:eastAsia="仿宋_GB2312" w:cs="仿宋_GB2312"/>
                <w:sz w:val="24"/>
                <w:szCs w:val="24"/>
              </w:rPr>
              <w:t>是否属于节能产品</w:t>
            </w:r>
          </w:p>
        </w:tc>
        <w:tc>
          <w:tcPr>
            <w:tcW w:w="467" w:type="pct"/>
          </w:tcPr>
          <w:p w14:paraId="3F8E7B50">
            <w:pPr>
              <w:pStyle w:val="4"/>
              <w:rPr>
                <w:rFonts w:hint="default"/>
                <w:sz w:val="24"/>
                <w:szCs w:val="24"/>
              </w:rPr>
            </w:pPr>
            <w:r>
              <w:rPr>
                <w:rFonts w:ascii="仿宋_GB2312" w:hAnsi="仿宋_GB2312" w:eastAsia="仿宋_GB2312" w:cs="仿宋_GB2312"/>
                <w:sz w:val="24"/>
                <w:szCs w:val="24"/>
              </w:rPr>
              <w:t>是否属于环境标志产品</w:t>
            </w:r>
          </w:p>
        </w:tc>
      </w:tr>
      <w:tr w14:paraId="0A910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pct"/>
          </w:tcPr>
          <w:p w14:paraId="0B3396EB">
            <w:pPr>
              <w:pStyle w:val="4"/>
              <w:rPr>
                <w:rFonts w:hint="default"/>
                <w:sz w:val="24"/>
                <w:szCs w:val="24"/>
              </w:rPr>
            </w:pPr>
            <w:r>
              <w:rPr>
                <w:rFonts w:ascii="仿宋_GB2312" w:hAnsi="仿宋_GB2312" w:eastAsia="仿宋_GB2312" w:cs="仿宋_GB2312"/>
                <w:sz w:val="24"/>
                <w:szCs w:val="24"/>
              </w:rPr>
              <w:t>1</w:t>
            </w:r>
          </w:p>
        </w:tc>
        <w:tc>
          <w:tcPr>
            <w:tcW w:w="467" w:type="pct"/>
          </w:tcPr>
          <w:p w14:paraId="4D2A2A78">
            <w:pPr>
              <w:pStyle w:val="4"/>
              <w:rPr>
                <w:rFonts w:hint="default"/>
                <w:sz w:val="24"/>
                <w:szCs w:val="24"/>
              </w:rPr>
            </w:pPr>
            <w:r>
              <w:rPr>
                <w:rFonts w:ascii="仿宋_GB2312" w:hAnsi="仿宋_GB2312" w:eastAsia="仿宋_GB2312" w:cs="仿宋_GB2312"/>
                <w:sz w:val="24"/>
                <w:szCs w:val="24"/>
              </w:rPr>
              <w:t>文物保护项目咨询验收评审服务</w:t>
            </w:r>
          </w:p>
        </w:tc>
        <w:tc>
          <w:tcPr>
            <w:tcW w:w="467" w:type="pct"/>
          </w:tcPr>
          <w:p w14:paraId="208F8FA0">
            <w:pPr>
              <w:pStyle w:val="4"/>
              <w:jc w:val="right"/>
              <w:rPr>
                <w:rFonts w:hint="default"/>
                <w:sz w:val="24"/>
                <w:szCs w:val="24"/>
              </w:rPr>
            </w:pPr>
            <w:r>
              <w:rPr>
                <w:rFonts w:ascii="仿宋_GB2312" w:hAnsi="仿宋_GB2312" w:eastAsia="仿宋_GB2312" w:cs="仿宋_GB2312"/>
                <w:sz w:val="24"/>
                <w:szCs w:val="24"/>
              </w:rPr>
              <w:t>1.00</w:t>
            </w:r>
          </w:p>
        </w:tc>
        <w:tc>
          <w:tcPr>
            <w:tcW w:w="796" w:type="pct"/>
          </w:tcPr>
          <w:p w14:paraId="3807B0DD">
            <w:pPr>
              <w:pStyle w:val="4"/>
              <w:jc w:val="right"/>
              <w:rPr>
                <w:rFonts w:hint="default"/>
                <w:sz w:val="24"/>
                <w:szCs w:val="24"/>
              </w:rPr>
            </w:pPr>
            <w:r>
              <w:rPr>
                <w:rFonts w:ascii="仿宋_GB2312" w:hAnsi="仿宋_GB2312" w:eastAsia="仿宋_GB2312" w:cs="仿宋_GB2312"/>
                <w:sz w:val="24"/>
                <w:szCs w:val="24"/>
                <w:lang w:eastAsia="zh-CN"/>
              </w:rPr>
              <w:t>1</w:t>
            </w:r>
            <w:r>
              <w:rPr>
                <w:rFonts w:ascii="仿宋_GB2312" w:hAnsi="仿宋_GB2312" w:eastAsia="仿宋_GB2312" w:cs="仿宋_GB2312"/>
                <w:sz w:val="24"/>
                <w:szCs w:val="24"/>
              </w:rPr>
              <w:t>,</w:t>
            </w:r>
            <w:r>
              <w:rPr>
                <w:rFonts w:ascii="仿宋_GB2312" w:hAnsi="仿宋_GB2312" w:eastAsia="仿宋_GB2312" w:cs="仿宋_GB2312"/>
                <w:sz w:val="24"/>
                <w:szCs w:val="24"/>
                <w:lang w:eastAsia="zh-CN"/>
              </w:rPr>
              <w:t>00</w:t>
            </w:r>
            <w:r>
              <w:rPr>
                <w:rFonts w:ascii="仿宋_GB2312" w:hAnsi="仿宋_GB2312" w:eastAsia="仿宋_GB2312" w:cs="仿宋_GB2312"/>
                <w:sz w:val="24"/>
                <w:szCs w:val="24"/>
              </w:rPr>
              <w:t>0,000.00</w:t>
            </w:r>
          </w:p>
        </w:tc>
        <w:tc>
          <w:tcPr>
            <w:tcW w:w="467" w:type="pct"/>
          </w:tcPr>
          <w:p w14:paraId="7DE3A543">
            <w:pPr>
              <w:pStyle w:val="4"/>
              <w:rPr>
                <w:rFonts w:hint="default"/>
                <w:sz w:val="24"/>
                <w:szCs w:val="24"/>
              </w:rPr>
            </w:pPr>
            <w:r>
              <w:rPr>
                <w:rFonts w:ascii="仿宋_GB2312" w:hAnsi="仿宋_GB2312" w:eastAsia="仿宋_GB2312" w:cs="仿宋_GB2312"/>
                <w:sz w:val="24"/>
                <w:szCs w:val="24"/>
              </w:rPr>
              <w:t>项</w:t>
            </w:r>
          </w:p>
        </w:tc>
        <w:tc>
          <w:tcPr>
            <w:tcW w:w="467" w:type="pct"/>
          </w:tcPr>
          <w:p w14:paraId="26C1BAAB">
            <w:pPr>
              <w:pStyle w:val="4"/>
              <w:rPr>
                <w:rFonts w:hint="default"/>
                <w:sz w:val="24"/>
                <w:szCs w:val="24"/>
              </w:rPr>
            </w:pPr>
            <w:r>
              <w:rPr>
                <w:rFonts w:ascii="仿宋_GB2312" w:hAnsi="仿宋_GB2312" w:eastAsia="仿宋_GB2312" w:cs="仿宋_GB2312"/>
                <w:sz w:val="24"/>
                <w:szCs w:val="24"/>
              </w:rPr>
              <w:t>商务服务业</w:t>
            </w:r>
          </w:p>
        </w:tc>
        <w:tc>
          <w:tcPr>
            <w:tcW w:w="467" w:type="pct"/>
          </w:tcPr>
          <w:p w14:paraId="5527BB57">
            <w:pPr>
              <w:pStyle w:val="4"/>
              <w:rPr>
                <w:rFonts w:hint="default"/>
                <w:sz w:val="24"/>
                <w:szCs w:val="24"/>
              </w:rPr>
            </w:pPr>
            <w:r>
              <w:rPr>
                <w:rFonts w:ascii="仿宋_GB2312" w:hAnsi="仿宋_GB2312" w:eastAsia="仿宋_GB2312" w:cs="仿宋_GB2312"/>
                <w:sz w:val="24"/>
                <w:szCs w:val="24"/>
              </w:rPr>
              <w:t>否</w:t>
            </w:r>
          </w:p>
        </w:tc>
        <w:tc>
          <w:tcPr>
            <w:tcW w:w="467" w:type="pct"/>
          </w:tcPr>
          <w:p w14:paraId="2BD3B834">
            <w:pPr>
              <w:pStyle w:val="4"/>
              <w:rPr>
                <w:rFonts w:hint="default"/>
                <w:sz w:val="24"/>
                <w:szCs w:val="24"/>
              </w:rPr>
            </w:pPr>
            <w:r>
              <w:rPr>
                <w:rFonts w:ascii="仿宋_GB2312" w:hAnsi="仿宋_GB2312" w:eastAsia="仿宋_GB2312" w:cs="仿宋_GB2312"/>
                <w:sz w:val="24"/>
                <w:szCs w:val="24"/>
              </w:rPr>
              <w:t>否</w:t>
            </w:r>
          </w:p>
        </w:tc>
        <w:tc>
          <w:tcPr>
            <w:tcW w:w="467" w:type="pct"/>
          </w:tcPr>
          <w:p w14:paraId="3B5B3801">
            <w:pPr>
              <w:pStyle w:val="4"/>
              <w:rPr>
                <w:rFonts w:hint="default"/>
                <w:sz w:val="24"/>
                <w:szCs w:val="24"/>
              </w:rPr>
            </w:pPr>
            <w:r>
              <w:rPr>
                <w:rFonts w:ascii="仿宋_GB2312" w:hAnsi="仿宋_GB2312" w:eastAsia="仿宋_GB2312" w:cs="仿宋_GB2312"/>
                <w:sz w:val="24"/>
                <w:szCs w:val="24"/>
              </w:rPr>
              <w:t>否</w:t>
            </w:r>
          </w:p>
        </w:tc>
        <w:tc>
          <w:tcPr>
            <w:tcW w:w="467" w:type="pct"/>
          </w:tcPr>
          <w:p w14:paraId="0E3AC9CC">
            <w:pPr>
              <w:pStyle w:val="4"/>
              <w:rPr>
                <w:rFonts w:hint="default"/>
                <w:sz w:val="24"/>
                <w:szCs w:val="24"/>
              </w:rPr>
            </w:pPr>
            <w:r>
              <w:rPr>
                <w:rFonts w:ascii="仿宋_GB2312" w:hAnsi="仿宋_GB2312" w:eastAsia="仿宋_GB2312" w:cs="仿宋_GB2312"/>
                <w:sz w:val="24"/>
                <w:szCs w:val="24"/>
              </w:rPr>
              <w:t>否</w:t>
            </w:r>
          </w:p>
        </w:tc>
      </w:tr>
    </w:tbl>
    <w:p w14:paraId="4BE7ADF3">
      <w:pPr>
        <w:pStyle w:val="4"/>
        <w:outlineLvl w:val="2"/>
        <w:rPr>
          <w:rFonts w:hint="default"/>
        </w:rPr>
      </w:pPr>
      <w:r>
        <w:rPr>
          <w:rFonts w:ascii="仿宋_GB2312" w:hAnsi="仿宋_GB2312" w:eastAsia="仿宋_GB2312" w:cs="仿宋_GB2312"/>
          <w:b/>
          <w:sz w:val="28"/>
        </w:rPr>
        <w:t>3.2.2服务要求</w:t>
      </w:r>
    </w:p>
    <w:p w14:paraId="500558C6">
      <w:pPr>
        <w:pStyle w:val="4"/>
        <w:rPr>
          <w:rFonts w:hint="default"/>
          <w:sz w:val="24"/>
          <w:szCs w:val="24"/>
        </w:rPr>
      </w:pPr>
      <w:r>
        <w:rPr>
          <w:rFonts w:ascii="仿宋_GB2312" w:hAnsi="仿宋_GB2312" w:eastAsia="仿宋_GB2312" w:cs="仿宋_GB2312"/>
          <w:sz w:val="24"/>
          <w:szCs w:val="24"/>
        </w:rPr>
        <w:t>采购包1：</w:t>
      </w:r>
    </w:p>
    <w:p w14:paraId="45796B04">
      <w:pPr>
        <w:pStyle w:val="4"/>
        <w:rPr>
          <w:rFonts w:hint="default"/>
          <w:sz w:val="24"/>
          <w:szCs w:val="24"/>
        </w:rPr>
      </w:pPr>
      <w:r>
        <w:rPr>
          <w:rFonts w:ascii="仿宋_GB2312" w:hAnsi="仿宋_GB2312" w:eastAsia="仿宋_GB2312" w:cs="仿宋_GB2312"/>
          <w:sz w:val="24"/>
          <w:szCs w:val="24"/>
        </w:rPr>
        <w:t>标的名称：文物保护项目咨询验收评审服务</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166"/>
        <w:gridCol w:w="6672"/>
      </w:tblGrid>
      <w:tr w14:paraId="2490E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tcPr>
          <w:p w14:paraId="49BABC3B">
            <w:pPr>
              <w:pStyle w:val="4"/>
              <w:rPr>
                <w:rFonts w:hint="default"/>
                <w:sz w:val="24"/>
                <w:szCs w:val="24"/>
              </w:rPr>
            </w:pPr>
            <w:r>
              <w:rPr>
                <w:rFonts w:ascii="仿宋_GB2312" w:hAnsi="仿宋_GB2312" w:eastAsia="仿宋_GB2312" w:cs="仿宋_GB2312"/>
                <w:sz w:val="24"/>
                <w:szCs w:val="24"/>
              </w:rPr>
              <w:t>序号</w:t>
            </w:r>
          </w:p>
        </w:tc>
        <w:tc>
          <w:tcPr>
            <w:tcW w:w="684" w:type="pct"/>
          </w:tcPr>
          <w:p w14:paraId="4CDE5D79">
            <w:pPr>
              <w:pStyle w:val="4"/>
              <w:rPr>
                <w:rFonts w:hint="default"/>
                <w:sz w:val="24"/>
                <w:szCs w:val="24"/>
              </w:rPr>
            </w:pPr>
            <w:r>
              <w:rPr>
                <w:rFonts w:ascii="仿宋_GB2312" w:hAnsi="仿宋_GB2312" w:eastAsia="仿宋_GB2312" w:cs="仿宋_GB2312"/>
                <w:sz w:val="24"/>
                <w:szCs w:val="24"/>
              </w:rPr>
              <w:t>参数性质</w:t>
            </w:r>
          </w:p>
        </w:tc>
        <w:tc>
          <w:tcPr>
            <w:tcW w:w="3913" w:type="pct"/>
          </w:tcPr>
          <w:p w14:paraId="4AEEF70C">
            <w:pPr>
              <w:pStyle w:val="4"/>
              <w:rPr>
                <w:rFonts w:hint="default"/>
                <w:sz w:val="24"/>
                <w:szCs w:val="24"/>
              </w:rPr>
            </w:pPr>
            <w:r>
              <w:rPr>
                <w:rFonts w:ascii="仿宋_GB2312" w:hAnsi="仿宋_GB2312" w:eastAsia="仿宋_GB2312" w:cs="仿宋_GB2312"/>
                <w:sz w:val="24"/>
                <w:szCs w:val="24"/>
              </w:rPr>
              <w:t>技术参数与性能指标</w:t>
            </w:r>
          </w:p>
        </w:tc>
      </w:tr>
      <w:tr w14:paraId="069BA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tcPr>
          <w:p w14:paraId="730B2E72">
            <w:pPr>
              <w:pStyle w:val="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84" w:type="pct"/>
          </w:tcPr>
          <w:p w14:paraId="74E0DB41">
            <w:pPr>
              <w:rPr>
                <w:sz w:val="24"/>
                <w:szCs w:val="24"/>
              </w:rPr>
            </w:pPr>
          </w:p>
        </w:tc>
        <w:tc>
          <w:tcPr>
            <w:tcW w:w="3913" w:type="pct"/>
          </w:tcPr>
          <w:p w14:paraId="4E4FEB67">
            <w:pPr>
              <w:pStyle w:val="4"/>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一</w:t>
            </w:r>
            <w:r>
              <w:rPr>
                <w:rFonts w:ascii="仿宋_GB2312" w:hAnsi="仿宋_GB2312" w:eastAsia="仿宋_GB2312" w:cs="仿宋_GB2312"/>
                <w:b/>
                <w:bCs/>
                <w:sz w:val="24"/>
                <w:szCs w:val="24"/>
              </w:rPr>
              <w:t>、项目内容</w:t>
            </w:r>
          </w:p>
          <w:p w14:paraId="475FEE0C">
            <w:pPr>
              <w:pStyle w:val="4"/>
              <w:rPr>
                <w:rFonts w:hint="default" w:ascii="仿宋_GB2312" w:hAnsi="仿宋_GB2312" w:eastAsia="仿宋_GB2312" w:cs="仿宋_GB2312"/>
                <w:sz w:val="24"/>
                <w:szCs w:val="24"/>
              </w:rPr>
            </w:pPr>
            <w:r>
              <w:rPr>
                <w:rFonts w:ascii="仿宋_GB2312" w:hAnsi="仿宋_GB2312" w:eastAsia="仿宋_GB2312" w:cs="仿宋_GB2312"/>
                <w:sz w:val="24"/>
                <w:szCs w:val="24"/>
              </w:rPr>
              <w:t>（一）项目立项计划书评审</w:t>
            </w:r>
          </w:p>
          <w:p w14:paraId="5FE42F11">
            <w:pPr>
              <w:pStyle w:val="4"/>
              <w:rPr>
                <w:rFonts w:hint="default" w:ascii="仿宋_GB2312" w:hAnsi="仿宋_GB2312" w:eastAsia="仿宋_GB2312" w:cs="仿宋_GB2312"/>
                <w:sz w:val="24"/>
                <w:szCs w:val="24"/>
              </w:rPr>
            </w:pPr>
            <w:r>
              <w:rPr>
                <w:rFonts w:ascii="仿宋_GB2312" w:hAnsi="仿宋_GB2312" w:eastAsia="仿宋_GB2312" w:cs="仿宋_GB2312"/>
                <w:sz w:val="24"/>
                <w:szCs w:val="24"/>
              </w:rPr>
              <w:t>采取集中会审、现场审核或专家函审等方式，及时组织项目立项报告评审或者项目计划确认。不同意立项的项目，明确项目暂缓原因或项目《计划书》存在的问题。</w:t>
            </w:r>
          </w:p>
          <w:p w14:paraId="436D13BB">
            <w:pPr>
              <w:pStyle w:val="4"/>
              <w:rPr>
                <w:rFonts w:hint="default" w:ascii="仿宋_GB2312" w:hAnsi="仿宋_GB2312" w:eastAsia="仿宋_GB2312" w:cs="仿宋_GB2312"/>
                <w:sz w:val="24"/>
                <w:szCs w:val="24"/>
              </w:rPr>
            </w:pPr>
            <w:r>
              <w:rPr>
                <w:rFonts w:ascii="仿宋_GB2312" w:hAnsi="仿宋_GB2312" w:eastAsia="仿宋_GB2312" w:cs="仿宋_GB2312"/>
                <w:sz w:val="24"/>
                <w:szCs w:val="24"/>
              </w:rPr>
              <w:t>（二）</w:t>
            </w:r>
            <w:r>
              <w:rPr>
                <w:rFonts w:ascii="仿宋_GB2312" w:hAnsi="仿宋_GB2312" w:eastAsia="仿宋_GB2312" w:cs="仿宋_GB2312"/>
                <w:sz w:val="24"/>
                <w:szCs w:val="24"/>
                <w:lang w:eastAsia="zh-CN"/>
              </w:rPr>
              <w:t>项目技术</w:t>
            </w:r>
            <w:r>
              <w:rPr>
                <w:rFonts w:ascii="仿宋_GB2312" w:hAnsi="仿宋_GB2312" w:eastAsia="仿宋_GB2312" w:cs="仿宋_GB2312"/>
                <w:sz w:val="24"/>
                <w:szCs w:val="24"/>
              </w:rPr>
              <w:t>方案评审</w:t>
            </w:r>
          </w:p>
          <w:p w14:paraId="553D55E8">
            <w:pPr>
              <w:pStyle w:val="4"/>
              <w:rPr>
                <w:rFonts w:hint="default" w:ascii="仿宋_GB2312" w:hAnsi="仿宋_GB2312" w:eastAsia="仿宋_GB2312" w:cs="仿宋_GB2312"/>
                <w:sz w:val="24"/>
                <w:szCs w:val="24"/>
              </w:rPr>
            </w:pPr>
            <w:r>
              <w:rPr>
                <w:rFonts w:ascii="仿宋_GB2312" w:hAnsi="仿宋_GB2312" w:eastAsia="仿宋_GB2312" w:cs="仿宋_GB2312"/>
                <w:sz w:val="24"/>
                <w:szCs w:val="24"/>
              </w:rPr>
              <w:t>采取专家集中会审、现场审核或专家函审等形式组织设计方案评审。每位专家针对项目设计方案、现场勘查报告、风险评估报告、设计说明、设计方案图纸、工程概（预）算进行总体评价，分别提出具体意见和建议</w:t>
            </w:r>
            <w:r>
              <w:rPr>
                <w:rFonts w:ascii="仿宋_GB2312" w:hAnsi="仿宋_GB2312" w:eastAsia="仿宋_GB2312" w:cs="仿宋_GB2312"/>
                <w:sz w:val="24"/>
                <w:szCs w:val="24"/>
                <w:lang w:eastAsia="zh-CN"/>
              </w:rPr>
              <w:t>,并形成项目</w:t>
            </w:r>
            <w:r>
              <w:rPr>
                <w:rFonts w:ascii="仿宋_GB2312" w:hAnsi="仿宋_GB2312" w:eastAsia="仿宋_GB2312" w:cs="仿宋_GB2312"/>
                <w:sz w:val="24"/>
                <w:szCs w:val="24"/>
              </w:rPr>
              <w:t>评审意见。</w:t>
            </w:r>
          </w:p>
          <w:p w14:paraId="1AB87894">
            <w:pPr>
              <w:pStyle w:val="4"/>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（三）竣工验收评估</w:t>
            </w:r>
          </w:p>
          <w:p w14:paraId="16198CC2">
            <w:pPr>
              <w:pStyle w:val="4"/>
              <w:rPr>
                <w:rFonts w:hint="default" w:ascii="仿宋_GB2312" w:hAnsi="仿宋_GB2312" w:eastAsia="仿宋_GB2312" w:cs="仿宋_GB2312"/>
                <w:sz w:val="24"/>
                <w:szCs w:val="24"/>
              </w:rPr>
            </w:pPr>
            <w:r>
              <w:rPr>
                <w:rFonts w:ascii="仿宋_GB2312" w:hAnsi="仿宋_GB2312" w:eastAsia="仿宋_GB2312" w:cs="仿宋_GB2312"/>
                <w:sz w:val="24"/>
                <w:szCs w:val="24"/>
                <w:lang w:eastAsia="zh-CN"/>
              </w:rPr>
              <w:t>采取专家现场验收形式，对国家或省级文物行政部门批准实施的文物保护工程、消防、安防、防雷以及科技保护等项目，按照规定程序及时组织验收，形成验收意见，并作出合格或不合格的验收结论。</w:t>
            </w:r>
          </w:p>
        </w:tc>
      </w:tr>
      <w:tr w14:paraId="7C9B2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tcPr>
          <w:p w14:paraId="4FD46D35">
            <w:pPr>
              <w:pStyle w:val="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84" w:type="pct"/>
          </w:tcPr>
          <w:p w14:paraId="6927F69D">
            <w:pPr>
              <w:rPr>
                <w:sz w:val="24"/>
                <w:szCs w:val="24"/>
              </w:rPr>
            </w:pPr>
          </w:p>
        </w:tc>
        <w:tc>
          <w:tcPr>
            <w:tcW w:w="3913" w:type="pct"/>
          </w:tcPr>
          <w:p w14:paraId="6A9C238F">
            <w:pPr>
              <w:pStyle w:val="4"/>
              <w:rPr>
                <w:rFonts w:hint="default" w:ascii="仿宋_GB2312" w:hAnsi="仿宋_GB2312" w:eastAsia="仿宋_GB2312" w:cs="仿宋_GB2312"/>
                <w:b/>
                <w:bCs/>
                <w:sz w:val="24"/>
                <w:szCs w:val="24"/>
              </w:rPr>
            </w:pPr>
            <w:bookmarkStart w:id="1" w:name="_GoBack"/>
            <w:r>
              <w:rPr>
                <w:rFonts w:hint="eastAsia" w:ascii="仿宋_GB2312" w:hAnsi="仿宋_GB2312" w:eastAsia="仿宋_GB2312" w:cs="仿宋_GB2312"/>
                <w:b/>
                <w:bCs/>
                <w:sz w:val="24"/>
                <w:szCs w:val="24"/>
                <w:lang w:val="en-US" w:eastAsia="zh-CN"/>
              </w:rPr>
              <w:t>二</w:t>
            </w:r>
            <w:r>
              <w:rPr>
                <w:rFonts w:ascii="仿宋_GB2312" w:hAnsi="仿宋_GB2312" w:eastAsia="仿宋_GB2312" w:cs="仿宋_GB2312"/>
                <w:b/>
                <w:bCs/>
                <w:sz w:val="24"/>
                <w:szCs w:val="24"/>
                <w:lang w:eastAsia="zh-CN"/>
              </w:rPr>
              <w:t>、服务技术要求</w:t>
            </w:r>
          </w:p>
          <w:p w14:paraId="3E9E13FC">
            <w:pPr>
              <w:pStyle w:val="4"/>
              <w:rPr>
                <w:rFonts w:hint="default" w:ascii="仿宋_GB2312" w:hAnsi="仿宋_GB2312" w:eastAsia="仿宋_GB2312" w:cs="仿宋_GB2312"/>
                <w:sz w:val="24"/>
                <w:szCs w:val="24"/>
              </w:rPr>
            </w:pPr>
            <w:r>
              <w:rPr>
                <w:rFonts w:ascii="仿宋_GB2312" w:hAnsi="仿宋_GB2312" w:eastAsia="仿宋_GB2312" w:cs="仿宋_GB2312"/>
                <w:sz w:val="24"/>
                <w:szCs w:val="24"/>
                <w:lang w:eastAsia="zh-CN"/>
              </w:rPr>
              <w:t>（一）成交供应商应按国家技术规范、标准、规程及采购人提出的要求，完成文物保护单位文物保护项目咨询评估报告，并对其负责。</w:t>
            </w:r>
          </w:p>
          <w:p w14:paraId="1FECAF7F">
            <w:pPr>
              <w:pStyle w:val="4"/>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（二）供应商提供服务时，服务要求应按不低于国家、省、市有关部门规定的质量标准执行。</w:t>
            </w:r>
          </w:p>
          <w:p w14:paraId="0F13DF4A">
            <w:pPr>
              <w:pStyle w:val="4"/>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（三）咨询评估机构不得从事与其审核范围相同的文物项目方案编制及工程实施工作。</w:t>
            </w:r>
          </w:p>
          <w:p w14:paraId="34CA055D">
            <w:pPr>
              <w:pStyle w:val="4"/>
              <w:rPr>
                <w:rFonts w:hint="default" w:ascii="仿宋_GB2312" w:hAnsi="仿宋_GB2312" w:eastAsia="仿宋_GB2312" w:cs="仿宋_GB2312"/>
                <w:sz w:val="24"/>
                <w:szCs w:val="24"/>
              </w:rPr>
            </w:pPr>
            <w:bookmarkStart w:id="0" w:name="OLE_LINK2"/>
            <w:r>
              <w:rPr>
                <w:rFonts w:ascii="仿宋_GB2312" w:hAnsi="仿宋_GB2312" w:eastAsia="仿宋_GB2312" w:cs="仿宋_GB2312"/>
                <w:sz w:val="24"/>
                <w:szCs w:val="24"/>
                <w:lang w:eastAsia="zh-CN"/>
              </w:rPr>
              <w:t>（四）评估工作应遵循客观、公正、科学的原则，对文物保护项目进行咨询评估，提出明确的修改意见，出具同意或否决的评估结论，形成评估报告，并对评估报告负责。</w:t>
            </w:r>
          </w:p>
          <w:bookmarkEnd w:id="0"/>
          <w:p w14:paraId="19C524DC">
            <w:pPr>
              <w:pStyle w:val="4"/>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五）评估机构应依据项目的实际情况独立出具评估结论，不受其他机构或个人影响，不接受与评估相关各方提供的其他利益；评估机构应严格按照规定流程、时限进行评估工作，确保评估工作的质量和时效性；评估机构应严格执行评估回避制度和评估保密制度。与评估工作存在利害关系者应主动申明并予以回避，未经授权或许可，不应擅自泄露评估资料、专家姓名等有关评估信息；评估机构出具的评估意见应具体、科学、合理、有可操作性，评估机构对评估意见及评估结论负责。</w:t>
            </w:r>
          </w:p>
          <w:bookmarkEnd w:id="1"/>
        </w:tc>
      </w:tr>
    </w:tbl>
    <w:p w14:paraId="4C7F1DB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A0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2025-11-18T09:00:19Z</dcterms:created>
  <dc:creator>Administrator</dc:creator>
  <cp:lastModifiedBy>Administrator</cp:lastModifiedBy>
  <dcterms:modified xsi:type="dcterms:W3CDTF">2025-11-18T09:02:23Z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eyJoZGlkIjoiOGI1NjUzZTFhYWM0NmYwYjE1NTBlNzgxOGI1YTIyMDMifQ==</vt:lpwstr>
  </property>
  <property fmtid="{D5CDD505-2E9C-101B-9397-08002B2CF9AE}" pid="4" name="ICV">
    <vt:lpwstr>04575CFD80C24A16A1A77E6F9748106E_12</vt:lpwstr>
  </property>
</Properties>
</file>