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3D66A">
      <w:pPr>
        <w:autoSpaceDE w:val="0"/>
        <w:autoSpaceDN w:val="0"/>
        <w:adjustRightInd w:val="0"/>
        <w:snapToGrid w:val="0"/>
        <w:spacing w:line="360" w:lineRule="auto"/>
        <w:jc w:val="left"/>
        <w:rPr>
          <w:rFonts w:eastAsia="仿宋_GB2312"/>
          <w:b/>
          <w:bCs/>
          <w:sz w:val="30"/>
          <w:szCs w:val="30"/>
          <w:lang w:val="zh-CN"/>
        </w:rPr>
      </w:pPr>
    </w:p>
    <w:p w14:paraId="355ACA77">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14:paraId="437A4962">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SCZD2025-CS-2744-001</w:t>
      </w:r>
    </w:p>
    <w:p w14:paraId="7747A0FE">
      <w:pPr>
        <w:tabs>
          <w:tab w:val="left" w:pos="5670"/>
        </w:tabs>
        <w:autoSpaceDE w:val="0"/>
        <w:autoSpaceDN w:val="0"/>
        <w:adjustRightInd w:val="0"/>
        <w:snapToGrid w:val="0"/>
        <w:spacing w:line="360" w:lineRule="auto"/>
        <w:jc w:val="center"/>
        <w:rPr>
          <w:rFonts w:eastAsia="仿宋_GB2312"/>
          <w:sz w:val="30"/>
          <w:szCs w:val="30"/>
        </w:rPr>
      </w:pPr>
    </w:p>
    <w:p w14:paraId="1018EC0F">
      <w:pPr>
        <w:tabs>
          <w:tab w:val="left" w:pos="5670"/>
        </w:tabs>
        <w:autoSpaceDE w:val="0"/>
        <w:autoSpaceDN w:val="0"/>
        <w:adjustRightInd w:val="0"/>
        <w:snapToGrid w:val="0"/>
        <w:spacing w:line="360" w:lineRule="auto"/>
        <w:jc w:val="center"/>
        <w:rPr>
          <w:rFonts w:eastAsia="仿宋_GB2312"/>
          <w:sz w:val="32"/>
          <w:szCs w:val="32"/>
        </w:rPr>
      </w:pPr>
    </w:p>
    <w:p w14:paraId="3E3EA7E8">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5C4D80E1">
      <w:pPr>
        <w:tabs>
          <w:tab w:val="left" w:pos="5670"/>
        </w:tabs>
        <w:autoSpaceDE w:val="0"/>
        <w:autoSpaceDN w:val="0"/>
        <w:adjustRightInd w:val="0"/>
        <w:snapToGrid w:val="0"/>
        <w:spacing w:line="360" w:lineRule="auto"/>
        <w:jc w:val="center"/>
        <w:rPr>
          <w:rFonts w:eastAsia="仿宋_GB2312"/>
          <w:sz w:val="32"/>
          <w:szCs w:val="32"/>
        </w:rPr>
      </w:pPr>
    </w:p>
    <w:p w14:paraId="103FE47D">
      <w:pPr>
        <w:autoSpaceDE w:val="0"/>
        <w:autoSpaceDN w:val="0"/>
        <w:adjustRightInd w:val="0"/>
        <w:snapToGrid w:val="0"/>
        <w:spacing w:line="360" w:lineRule="auto"/>
        <w:jc w:val="center"/>
        <w:rPr>
          <w:rFonts w:eastAsia="仿宋_GB2312"/>
          <w:b/>
          <w:bCs/>
          <w:sz w:val="44"/>
          <w:szCs w:val="44"/>
        </w:rPr>
      </w:pPr>
      <w:r>
        <w:rPr>
          <w:rFonts w:hint="default" w:eastAsia="仿宋_GB2312"/>
          <w:b/>
          <w:bCs/>
          <w:sz w:val="44"/>
          <w:szCs w:val="44"/>
        </w:rPr>
        <w:t>西安市精神卫生中心网络安全等级保护测评服务</w:t>
      </w:r>
    </w:p>
    <w:p w14:paraId="635D4F35">
      <w:pPr>
        <w:tabs>
          <w:tab w:val="left" w:pos="5670"/>
        </w:tabs>
        <w:autoSpaceDE w:val="0"/>
        <w:autoSpaceDN w:val="0"/>
        <w:adjustRightInd w:val="0"/>
        <w:snapToGrid w:val="0"/>
        <w:spacing w:line="360" w:lineRule="auto"/>
        <w:jc w:val="center"/>
        <w:rPr>
          <w:rFonts w:eastAsia="仿宋_GB2312"/>
          <w:b/>
          <w:bCs/>
          <w:sz w:val="36"/>
          <w:szCs w:val="36"/>
          <w:lang w:val="zh-CN"/>
        </w:rPr>
      </w:pPr>
    </w:p>
    <w:p w14:paraId="25B5FBF0">
      <w:pPr>
        <w:tabs>
          <w:tab w:val="left" w:pos="5670"/>
        </w:tabs>
        <w:autoSpaceDE w:val="0"/>
        <w:autoSpaceDN w:val="0"/>
        <w:adjustRightInd w:val="0"/>
        <w:snapToGrid w:val="0"/>
        <w:spacing w:line="360" w:lineRule="auto"/>
        <w:jc w:val="center"/>
        <w:rPr>
          <w:rFonts w:eastAsia="仿宋_GB2312"/>
          <w:b/>
          <w:bCs/>
          <w:sz w:val="52"/>
          <w:szCs w:val="52"/>
          <w:lang w:val="zh-CN"/>
        </w:rPr>
      </w:pPr>
    </w:p>
    <w:p w14:paraId="67D013BC">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14:paraId="33D035B3">
      <w:pPr>
        <w:tabs>
          <w:tab w:val="left" w:pos="5670"/>
        </w:tabs>
        <w:autoSpaceDE w:val="0"/>
        <w:autoSpaceDN w:val="0"/>
        <w:adjustRightInd w:val="0"/>
        <w:snapToGrid w:val="0"/>
        <w:spacing w:line="360" w:lineRule="auto"/>
        <w:jc w:val="center"/>
        <w:rPr>
          <w:rFonts w:eastAsia="仿宋_GB2312"/>
          <w:sz w:val="50"/>
          <w:szCs w:val="50"/>
        </w:rPr>
      </w:pPr>
    </w:p>
    <w:p w14:paraId="0D4710A5">
      <w:pPr>
        <w:tabs>
          <w:tab w:val="left" w:pos="5670"/>
        </w:tabs>
        <w:autoSpaceDE w:val="0"/>
        <w:autoSpaceDN w:val="0"/>
        <w:adjustRightInd w:val="0"/>
        <w:snapToGrid w:val="0"/>
        <w:spacing w:line="360" w:lineRule="auto"/>
        <w:jc w:val="center"/>
        <w:rPr>
          <w:rFonts w:eastAsia="仿宋_GB2312"/>
          <w:sz w:val="50"/>
          <w:szCs w:val="50"/>
        </w:rPr>
      </w:pPr>
    </w:p>
    <w:p w14:paraId="5393AF58">
      <w:pPr>
        <w:tabs>
          <w:tab w:val="left" w:pos="5670"/>
        </w:tabs>
        <w:autoSpaceDE w:val="0"/>
        <w:autoSpaceDN w:val="0"/>
        <w:adjustRightInd w:val="0"/>
        <w:snapToGrid w:val="0"/>
        <w:spacing w:line="360" w:lineRule="auto"/>
        <w:jc w:val="center"/>
        <w:rPr>
          <w:rFonts w:eastAsia="仿宋_GB2312"/>
          <w:sz w:val="50"/>
          <w:szCs w:val="50"/>
        </w:rPr>
      </w:pPr>
    </w:p>
    <w:p w14:paraId="4C5D26E9">
      <w:pPr>
        <w:tabs>
          <w:tab w:val="left" w:pos="5670"/>
        </w:tabs>
        <w:autoSpaceDE w:val="0"/>
        <w:autoSpaceDN w:val="0"/>
        <w:adjustRightInd w:val="0"/>
        <w:snapToGrid w:val="0"/>
        <w:spacing w:line="360" w:lineRule="auto"/>
        <w:jc w:val="center"/>
        <w:rPr>
          <w:rFonts w:eastAsia="仿宋_GB2312"/>
          <w:b/>
          <w:bCs/>
          <w:sz w:val="30"/>
          <w:szCs w:val="30"/>
        </w:rPr>
      </w:pPr>
    </w:p>
    <w:p w14:paraId="2EC81370">
      <w:pPr>
        <w:tabs>
          <w:tab w:val="left" w:pos="5670"/>
        </w:tabs>
        <w:autoSpaceDE w:val="0"/>
        <w:autoSpaceDN w:val="0"/>
        <w:adjustRightInd w:val="0"/>
        <w:snapToGrid w:val="0"/>
        <w:spacing w:line="360" w:lineRule="auto"/>
        <w:jc w:val="center"/>
        <w:rPr>
          <w:rFonts w:eastAsia="仿宋_GB2312"/>
          <w:b/>
          <w:bCs/>
          <w:sz w:val="30"/>
          <w:szCs w:val="30"/>
        </w:rPr>
      </w:pPr>
    </w:p>
    <w:p w14:paraId="68F1D587">
      <w:pPr>
        <w:tabs>
          <w:tab w:val="left" w:pos="5670"/>
        </w:tabs>
        <w:autoSpaceDE w:val="0"/>
        <w:autoSpaceDN w:val="0"/>
        <w:adjustRightInd w:val="0"/>
        <w:snapToGrid w:val="0"/>
        <w:spacing w:line="360" w:lineRule="auto"/>
        <w:jc w:val="center"/>
        <w:rPr>
          <w:rFonts w:eastAsia="仿宋_GB2312"/>
          <w:b/>
          <w:bCs/>
          <w:sz w:val="30"/>
          <w:szCs w:val="30"/>
        </w:rPr>
      </w:pPr>
    </w:p>
    <w:p w14:paraId="7AF88348">
      <w:pPr>
        <w:pStyle w:val="23"/>
        <w:rPr>
          <w:rFonts w:ascii="Times New Roman" w:hAnsi="Times New Roman" w:eastAsia="仿宋_GB2312"/>
          <w:b/>
          <w:bCs/>
          <w:sz w:val="30"/>
          <w:szCs w:val="30"/>
        </w:rPr>
      </w:pPr>
    </w:p>
    <w:p w14:paraId="47B81F49">
      <w:pPr>
        <w:pStyle w:val="23"/>
        <w:rPr>
          <w:rFonts w:ascii="Times New Roman" w:hAnsi="Times New Roman" w:eastAsia="仿宋_GB2312"/>
          <w:b/>
          <w:bCs/>
          <w:sz w:val="30"/>
          <w:szCs w:val="30"/>
        </w:rPr>
      </w:pPr>
    </w:p>
    <w:p w14:paraId="4522D3C4">
      <w:pPr>
        <w:pStyle w:val="23"/>
        <w:rPr>
          <w:rFonts w:ascii="Times New Roman" w:hAnsi="Times New Roman" w:eastAsia="仿宋_GB2312"/>
          <w:b/>
          <w:bCs/>
          <w:sz w:val="30"/>
          <w:szCs w:val="30"/>
        </w:rPr>
      </w:pPr>
    </w:p>
    <w:p w14:paraId="11347B4E">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0EFAD125">
      <w:pPr>
        <w:tabs>
          <w:tab w:val="left" w:pos="5460"/>
        </w:tabs>
        <w:autoSpaceDE w:val="0"/>
        <w:autoSpaceDN w:val="0"/>
        <w:adjustRightInd w:val="0"/>
        <w:snapToGrid w:val="0"/>
        <w:spacing w:line="360" w:lineRule="auto"/>
        <w:jc w:val="center"/>
        <w:rPr>
          <w:rFonts w:eastAsia="仿宋_GB2312"/>
          <w:sz w:val="32"/>
          <w:szCs w:val="32"/>
        </w:rPr>
      </w:pPr>
      <w:r>
        <w:rPr>
          <w:rFonts w:eastAsia="仿宋_GB2312"/>
          <w:b/>
          <w:bCs/>
          <w:sz w:val="30"/>
          <w:szCs w:val="30"/>
          <w:lang w:val="zh-CN"/>
        </w:rPr>
        <w:t>二〇</w:t>
      </w:r>
      <w:r>
        <w:rPr>
          <w:rFonts w:hint="eastAsia" w:eastAsia="仿宋_GB2312"/>
          <w:b/>
          <w:bCs/>
          <w:sz w:val="30"/>
          <w:szCs w:val="30"/>
          <w:lang w:val="en-US" w:eastAsia="zh-CN"/>
        </w:rPr>
        <w:t>二五</w:t>
      </w:r>
      <w:r>
        <w:rPr>
          <w:rFonts w:eastAsia="仿宋_GB2312"/>
          <w:b/>
          <w:bCs/>
          <w:sz w:val="30"/>
          <w:szCs w:val="30"/>
          <w:lang w:val="zh-CN"/>
        </w:rPr>
        <w:t>年</w:t>
      </w:r>
      <w:r>
        <w:rPr>
          <w:rFonts w:hint="eastAsia" w:eastAsia="仿宋_GB2312"/>
          <w:b/>
          <w:bCs/>
          <w:sz w:val="30"/>
          <w:szCs w:val="30"/>
          <w:lang w:val="en-US" w:eastAsia="zh-CN"/>
        </w:rPr>
        <w:t>十一</w:t>
      </w:r>
      <w:r>
        <w:rPr>
          <w:rFonts w:eastAsia="仿宋_GB2312"/>
          <w:b/>
          <w:bCs/>
          <w:sz w:val="30"/>
          <w:szCs w:val="30"/>
          <w:lang w:val="zh-CN"/>
        </w:rPr>
        <w:t>月</w:t>
      </w:r>
      <w:r>
        <w:rPr>
          <w:rFonts w:eastAsia="仿宋_GB2312"/>
          <w:sz w:val="32"/>
          <w:szCs w:val="32"/>
        </w:rPr>
        <w:br w:type="page"/>
      </w:r>
    </w:p>
    <w:p w14:paraId="34BF990B">
      <w:pPr>
        <w:pStyle w:val="23"/>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14:paraId="01F056B6">
      <w:pPr>
        <w:pStyle w:val="2"/>
        <w:ind w:firstLine="0" w:firstLineChars="0"/>
        <w:jc w:val="center"/>
        <w:rPr>
          <w:rFonts w:eastAsia="仿宋_GB2312"/>
          <w:b/>
          <w:sz w:val="32"/>
          <w:szCs w:val="32"/>
        </w:rPr>
      </w:pPr>
      <w:r>
        <w:rPr>
          <w:rFonts w:eastAsia="仿宋_GB2312"/>
          <w:b/>
          <w:sz w:val="32"/>
          <w:szCs w:val="32"/>
        </w:rPr>
        <w:t>目  录</w:t>
      </w:r>
    </w:p>
    <w:p w14:paraId="300A6778">
      <w:pPr>
        <w:pStyle w:val="36"/>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14:paraId="007BFB2C">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14:paraId="45D2AD31">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"_Toc68590967" </w:instrText>
      </w:r>
      <w:r>
        <w:fldChar w:fldCharType="separate"/>
      </w:r>
      <w:r>
        <w:rPr>
          <w:rStyle w:val="59"/>
          <w:rFonts w:hint="default" w:ascii="Times New Roman" w:hAnsi="Times New Roman" w:eastAsia="仿宋_GB2312" w:cs="Times New Roman"/>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14:paraId="29C9A1AE">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"_Toc68590968" </w:instrText>
      </w:r>
      <w:r>
        <w:fldChar w:fldCharType="separate"/>
      </w:r>
      <w:r>
        <w:rPr>
          <w:rStyle w:val="59"/>
          <w:rFonts w:hint="default" w:ascii="Times New Roman" w:hAnsi="Times New Roman" w:eastAsia="仿宋_GB2312" w:cs="Times New Roman"/>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14:paraId="7FEE79C9">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"_Toc68590969" </w:instrText>
      </w:r>
      <w:r>
        <w:fldChar w:fldCharType="separate"/>
      </w:r>
      <w:r>
        <w:rPr>
          <w:rStyle w:val="59"/>
          <w:rFonts w:hint="default" w:ascii="Times New Roman" w:hAnsi="Times New Roman" w:eastAsia="仿宋_GB2312" w:cs="Times New Roman"/>
          <w:color w:val="auto"/>
          <w:sz w:val="28"/>
          <w:szCs w:val="28"/>
        </w:rPr>
        <w:t>一、总  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14:paraId="31075269">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"_Toc68590970" </w:instrText>
      </w:r>
      <w:r>
        <w:fldChar w:fldCharType="separate"/>
      </w:r>
      <w:r>
        <w:rPr>
          <w:rStyle w:val="59"/>
          <w:rFonts w:hint="default" w:ascii="Times New Roman" w:hAnsi="Times New Roman" w:eastAsia="仿宋_GB2312" w:cs="Times New Roman"/>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14:paraId="69804382">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"_Toc68590971" </w:instrText>
      </w:r>
      <w:r>
        <w:fldChar w:fldCharType="separate"/>
      </w:r>
      <w:r>
        <w:rPr>
          <w:rStyle w:val="59"/>
          <w:rFonts w:hint="default" w:ascii="Times New Roman" w:hAnsi="Times New Roman" w:eastAsia="仿宋_GB2312" w:cs="Times New Roman"/>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14:paraId="521D5A31">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"_Toc68590972" </w:instrText>
      </w:r>
      <w:r>
        <w:fldChar w:fldCharType="separate"/>
      </w:r>
      <w:r>
        <w:rPr>
          <w:rStyle w:val="59"/>
          <w:rFonts w:hint="default" w:ascii="Times New Roman" w:hAnsi="Times New Roman" w:eastAsia="仿宋_GB2312" w:cs="Times New Roman"/>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fldChar w:fldCharType="separate"/>
      </w:r>
      <w:r>
        <w:rPr>
          <w:rFonts w:eastAsia="仿宋_GB2312"/>
          <w:sz w:val="28"/>
          <w:szCs w:val="28"/>
        </w:rPr>
        <w:t>11</w:t>
      </w:r>
      <w:r>
        <w:rPr>
          <w:rFonts w:eastAsia="仿宋_GB2312"/>
          <w:sz w:val="28"/>
          <w:szCs w:val="28"/>
        </w:rPr>
        <w:fldChar w:fldCharType="end"/>
      </w:r>
      <w:r>
        <w:rPr>
          <w:rFonts w:eastAsia="仿宋_GB2312"/>
          <w:sz w:val="28"/>
          <w:szCs w:val="28"/>
        </w:rPr>
        <w:fldChar w:fldCharType="end"/>
      </w:r>
    </w:p>
    <w:p w14:paraId="78048903">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"_Toc68590973" </w:instrText>
      </w:r>
      <w:r>
        <w:fldChar w:fldCharType="separate"/>
      </w:r>
      <w:r>
        <w:rPr>
          <w:rStyle w:val="59"/>
          <w:rFonts w:hint="default" w:ascii="Times New Roman" w:hAnsi="Times New Roman" w:eastAsia="仿宋_GB2312" w:cs="Times New Roman"/>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fldChar w:fldCharType="separate"/>
      </w:r>
      <w:r>
        <w:rPr>
          <w:rFonts w:eastAsia="仿宋_GB2312"/>
          <w:sz w:val="28"/>
          <w:szCs w:val="28"/>
        </w:rPr>
        <w:t>12</w:t>
      </w:r>
      <w:r>
        <w:rPr>
          <w:rFonts w:eastAsia="仿宋_GB2312"/>
          <w:sz w:val="28"/>
          <w:szCs w:val="28"/>
        </w:rPr>
        <w:fldChar w:fldCharType="end"/>
      </w:r>
      <w:r>
        <w:rPr>
          <w:rFonts w:eastAsia="仿宋_GB2312"/>
          <w:sz w:val="28"/>
          <w:szCs w:val="28"/>
        </w:rPr>
        <w:fldChar w:fldCharType="end"/>
      </w:r>
    </w:p>
    <w:p w14:paraId="61928F5B">
      <w:pPr>
        <w:pStyle w:val="40"/>
        <w:tabs>
          <w:tab w:val="right" w:leader="dot" w:pos="8296"/>
        </w:tabs>
        <w:rPr>
          <w:rFonts w:eastAsia="仿宋_GB2312"/>
          <w:smallCaps w:val="0"/>
          <w:kern w:val="2"/>
          <w:sz w:val="28"/>
          <w:szCs w:val="28"/>
        </w:rPr>
      </w:pPr>
      <w:r>
        <w:t xml:space="preserve">        </w:t>
      </w:r>
      <w:r>
        <w:fldChar w:fldCharType="begin"/>
      </w:r>
      <w:r>
        <w:instrText xml:space="preserve"> HYPERLINK \l "_Toc68590974" </w:instrText>
      </w:r>
      <w:r>
        <w:fldChar w:fldCharType="separate"/>
      </w:r>
      <w:r>
        <w:rPr>
          <w:rStyle w:val="59"/>
          <w:rFonts w:hint="default" w:ascii="Times New Roman" w:hAnsi="Times New Roman" w:eastAsia="仿宋_GB2312" w:cs="Times New Roman"/>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fldChar w:fldCharType="separate"/>
      </w:r>
      <w:r>
        <w:rPr>
          <w:rFonts w:eastAsia="仿宋_GB2312"/>
          <w:sz w:val="28"/>
          <w:szCs w:val="28"/>
        </w:rPr>
        <w:t>16</w:t>
      </w:r>
      <w:r>
        <w:rPr>
          <w:rFonts w:eastAsia="仿宋_GB2312"/>
          <w:sz w:val="28"/>
          <w:szCs w:val="28"/>
        </w:rPr>
        <w:fldChar w:fldCharType="end"/>
      </w:r>
      <w:r>
        <w:rPr>
          <w:rFonts w:eastAsia="仿宋_GB2312"/>
          <w:sz w:val="28"/>
          <w:szCs w:val="28"/>
        </w:rPr>
        <w:fldChar w:fldCharType="end"/>
      </w:r>
    </w:p>
    <w:p w14:paraId="2C1B981A">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25</w:t>
      </w:r>
      <w:r>
        <w:rPr>
          <w:rFonts w:ascii="Times New Roman" w:eastAsia="仿宋_GB2312"/>
          <w:sz w:val="28"/>
          <w:szCs w:val="28"/>
        </w:rPr>
        <w:fldChar w:fldCharType="end"/>
      </w:r>
      <w:r>
        <w:rPr>
          <w:rFonts w:ascii="Times New Roman" w:eastAsia="仿宋_GB2312"/>
          <w:sz w:val="28"/>
          <w:szCs w:val="28"/>
        </w:rPr>
        <w:fldChar w:fldCharType="end"/>
      </w:r>
    </w:p>
    <w:p w14:paraId="79B8EA1E">
      <w:pPr>
        <w:pStyle w:val="40"/>
        <w:tabs>
          <w:tab w:val="right" w:leader="dot" w:pos="8296"/>
        </w:tabs>
        <w:rPr>
          <w:rFonts w:eastAsia="仿宋_GB2312"/>
          <w:smallCaps w:val="0"/>
          <w:kern w:val="2"/>
          <w:sz w:val="28"/>
          <w:szCs w:val="28"/>
        </w:rPr>
      </w:pPr>
      <w:r>
        <w:fldChar w:fldCharType="begin"/>
      </w:r>
      <w:r>
        <w:instrText xml:space="preserve"> HYPERLINK \l "_Toc68590976" </w:instrText>
      </w:r>
      <w:r>
        <w:fldChar w:fldCharType="separate"/>
      </w:r>
      <w:r>
        <w:rPr>
          <w:rStyle w:val="59"/>
          <w:rFonts w:hint="default" w:ascii="Times New Roman" w:hAnsi="Times New Roman" w:eastAsia="仿宋_GB2312" w:cs="Times New Roman"/>
          <w:color w:val="auto"/>
          <w:sz w:val="28"/>
          <w:szCs w:val="28"/>
        </w:rPr>
        <w:t>1.评审方法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_Toc68590976 \h </w:instrText>
      </w:r>
      <w:r>
        <w:rPr>
          <w:rFonts w:eastAsia="仿宋_GB2312"/>
          <w:sz w:val="28"/>
          <w:szCs w:val="28"/>
        </w:rPr>
        <w:fldChar w:fldCharType="separate"/>
      </w:r>
      <w:r>
        <w:rPr>
          <w:rFonts w:eastAsia="仿宋_GB2312"/>
          <w:sz w:val="28"/>
          <w:szCs w:val="28"/>
        </w:rPr>
        <w:t>25</w:t>
      </w:r>
      <w:r>
        <w:rPr>
          <w:rFonts w:eastAsia="仿宋_GB2312"/>
          <w:sz w:val="28"/>
          <w:szCs w:val="28"/>
        </w:rPr>
        <w:fldChar w:fldCharType="end"/>
      </w:r>
      <w:r>
        <w:rPr>
          <w:rFonts w:eastAsia="仿宋_GB2312"/>
          <w:sz w:val="28"/>
          <w:szCs w:val="28"/>
        </w:rPr>
        <w:fldChar w:fldCharType="end"/>
      </w:r>
    </w:p>
    <w:p w14:paraId="1274C0A5">
      <w:pPr>
        <w:pStyle w:val="40"/>
        <w:tabs>
          <w:tab w:val="right" w:leader="dot" w:pos="8296"/>
        </w:tabs>
        <w:rPr>
          <w:rFonts w:eastAsia="仿宋_GB2312"/>
          <w:smallCaps w:val="0"/>
          <w:kern w:val="2"/>
          <w:sz w:val="28"/>
          <w:szCs w:val="28"/>
        </w:rPr>
      </w:pPr>
      <w:r>
        <w:fldChar w:fldCharType="begin"/>
      </w:r>
      <w:r>
        <w:instrText xml:space="preserve"> HYPERLINK \l "_Toc68590977" </w:instrText>
      </w:r>
      <w:r>
        <w:fldChar w:fldCharType="separate"/>
      </w:r>
      <w:r>
        <w:rPr>
          <w:rStyle w:val="59"/>
          <w:rFonts w:hint="default" w:ascii="Times New Roman" w:hAnsi="Times New Roman" w:eastAsia="仿宋_GB2312" w:cs="Times New Roman"/>
          <w:color w:val="auto"/>
          <w:sz w:val="28"/>
          <w:szCs w:val="28"/>
        </w:rPr>
        <w:t>2.评审标准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_Toc68590977 \h </w:instrText>
      </w:r>
      <w:r>
        <w:rPr>
          <w:rFonts w:eastAsia="仿宋_GB2312"/>
          <w:sz w:val="28"/>
          <w:szCs w:val="28"/>
        </w:rPr>
        <w:fldChar w:fldCharType="separate"/>
      </w:r>
      <w:r>
        <w:rPr>
          <w:rFonts w:eastAsia="仿宋_GB2312"/>
          <w:sz w:val="28"/>
          <w:szCs w:val="28"/>
        </w:rPr>
        <w:t>25</w:t>
      </w:r>
      <w:r>
        <w:rPr>
          <w:rFonts w:eastAsia="仿宋_GB2312"/>
          <w:sz w:val="28"/>
          <w:szCs w:val="28"/>
        </w:rPr>
        <w:fldChar w:fldCharType="end"/>
      </w:r>
      <w:r>
        <w:rPr>
          <w:rFonts w:eastAsia="仿宋_GB2312"/>
          <w:sz w:val="28"/>
          <w:szCs w:val="28"/>
        </w:rPr>
        <w:fldChar w:fldCharType="end"/>
      </w:r>
    </w:p>
    <w:p w14:paraId="66FF8D3A">
      <w:pPr>
        <w:pStyle w:val="40"/>
        <w:tabs>
          <w:tab w:val="right" w:leader="dot" w:pos="8296"/>
        </w:tabs>
        <w:rPr>
          <w:rFonts w:eastAsia="仿宋_GB2312"/>
          <w:smallCaps w:val="0"/>
          <w:kern w:val="2"/>
          <w:sz w:val="28"/>
          <w:szCs w:val="28"/>
        </w:rPr>
      </w:pPr>
      <w:r>
        <w:fldChar w:fldCharType="begin"/>
      </w:r>
      <w:r>
        <w:instrText xml:space="preserve"> HYPERLINK \l "_Toc68590978" </w:instrText>
      </w:r>
      <w:r>
        <w:fldChar w:fldCharType="separate"/>
      </w:r>
      <w:r>
        <w:rPr>
          <w:rStyle w:val="59"/>
          <w:rFonts w:hint="default" w:ascii="Times New Roman" w:hAnsi="Times New Roman" w:eastAsia="仿宋_GB2312" w:cs="Times New Roman"/>
          <w:color w:val="auto"/>
          <w:sz w:val="28"/>
          <w:szCs w:val="28"/>
        </w:rPr>
        <w:t>3.评审程序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_Toc68590978 \h </w:instrText>
      </w:r>
      <w:r>
        <w:rPr>
          <w:rFonts w:eastAsia="仿宋_GB2312"/>
          <w:sz w:val="28"/>
          <w:szCs w:val="28"/>
        </w:rPr>
        <w:fldChar w:fldCharType="separate"/>
      </w:r>
      <w:r>
        <w:rPr>
          <w:rFonts w:eastAsia="仿宋_GB2312"/>
          <w:sz w:val="28"/>
          <w:szCs w:val="28"/>
        </w:rPr>
        <w:t>27</w:t>
      </w:r>
      <w:r>
        <w:rPr>
          <w:rFonts w:eastAsia="仿宋_GB2312"/>
          <w:sz w:val="28"/>
          <w:szCs w:val="28"/>
        </w:rPr>
        <w:fldChar w:fldCharType="end"/>
      </w:r>
      <w:r>
        <w:rPr>
          <w:rFonts w:eastAsia="仿宋_GB2312"/>
          <w:sz w:val="28"/>
          <w:szCs w:val="28"/>
        </w:rPr>
        <w:fldChar w:fldCharType="end"/>
      </w:r>
    </w:p>
    <w:p w14:paraId="089D0EDE">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36</w:t>
      </w:r>
      <w:r>
        <w:rPr>
          <w:rFonts w:ascii="Times New Roman" w:eastAsia="仿宋_GB2312"/>
          <w:sz w:val="28"/>
          <w:szCs w:val="28"/>
        </w:rPr>
        <w:fldChar w:fldCharType="end"/>
      </w:r>
      <w:r>
        <w:rPr>
          <w:rFonts w:ascii="Times New Roman" w:eastAsia="仿宋_GB2312"/>
          <w:sz w:val="28"/>
          <w:szCs w:val="28"/>
        </w:rPr>
        <w:fldChar w:fldCharType="end"/>
      </w:r>
    </w:p>
    <w:p w14:paraId="1AF5ECDF">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43</w:t>
      </w:r>
      <w:r>
        <w:rPr>
          <w:rFonts w:ascii="Times New Roman" w:eastAsia="仿宋_GB2312"/>
          <w:sz w:val="28"/>
          <w:szCs w:val="28"/>
        </w:rPr>
        <w:fldChar w:fldCharType="end"/>
      </w:r>
      <w:r>
        <w:rPr>
          <w:rFonts w:ascii="Times New Roman" w:eastAsia="仿宋_GB2312"/>
          <w:sz w:val="28"/>
          <w:szCs w:val="28"/>
        </w:rPr>
        <w:fldChar w:fldCharType="end"/>
      </w:r>
    </w:p>
    <w:p w14:paraId="443A6FB6">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68</w:t>
      </w:r>
      <w:r>
        <w:rPr>
          <w:rFonts w:ascii="Times New Roman" w:eastAsia="仿宋_GB2312"/>
          <w:sz w:val="28"/>
          <w:szCs w:val="28"/>
        </w:rPr>
        <w:fldChar w:fldCharType="end"/>
      </w:r>
      <w:r>
        <w:rPr>
          <w:rFonts w:ascii="Times New Roman" w:eastAsia="仿宋_GB2312"/>
          <w:sz w:val="28"/>
          <w:szCs w:val="28"/>
        </w:rPr>
        <w:fldChar w:fldCharType="end"/>
      </w:r>
    </w:p>
    <w:p w14:paraId="54E09BE9">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14:paraId="737930A1">
      <w:pPr>
        <w:rPr>
          <w:rFonts w:eastAsia="仿宋_GB2312"/>
          <w:szCs w:val="20"/>
        </w:rPr>
      </w:pPr>
      <w:r>
        <w:rPr>
          <w:rFonts w:eastAsia="仿宋_GB2312"/>
          <w:szCs w:val="20"/>
        </w:rPr>
        <w:br w:type="page"/>
      </w:r>
    </w:p>
    <w:p w14:paraId="603F7D8B">
      <w:pPr>
        <w:pStyle w:val="23"/>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14:paraId="694DCB46">
      <w:pPr>
        <w:pStyle w:val="46"/>
        <w:spacing w:line="360" w:lineRule="auto"/>
        <w:rPr>
          <w:rStyle w:val="204"/>
          <w:rFonts w:ascii="Times New Roman" w:hAnsi="Times New Roman" w:eastAsia="宋体"/>
          <w:sz w:val="36"/>
          <w:szCs w:val="36"/>
        </w:rPr>
      </w:pPr>
      <w:bookmarkStart w:id="0" w:name="_Toc415499894"/>
      <w:bookmarkStart w:id="1" w:name="_Toc68590965"/>
      <w:bookmarkStart w:id="2" w:name="_Toc58504445"/>
      <w:bookmarkStart w:id="3" w:name="_Toc21755"/>
      <w:bookmarkStart w:id="4" w:name="_Toc503063420"/>
      <w:bookmarkStart w:id="5" w:name="_Toc500747187"/>
      <w:bookmarkStart w:id="6" w:name="_Toc499711041"/>
      <w:bookmarkStart w:id="7" w:name="_Toc496324577"/>
      <w:bookmarkStart w:id="8" w:name="_Toc177817333"/>
      <w:bookmarkStart w:id="9" w:name="_Toc500746964"/>
      <w:bookmarkStart w:id="10" w:name="_Toc500747060"/>
      <w:bookmarkStart w:id="11" w:name="_Toc499711882"/>
      <w:bookmarkStart w:id="12" w:name="_Toc53722839"/>
      <w:bookmarkStart w:id="13" w:name="_Toc176882541"/>
      <w:bookmarkStart w:id="14" w:name="_Toc492955413"/>
      <w:bookmarkStart w:id="15" w:name="_Toc70687138"/>
      <w:bookmarkStart w:id="16" w:name="_Toc177995472"/>
      <w:bookmarkStart w:id="17" w:name="_Toc177189234"/>
      <w:bookmarkStart w:id="18" w:name="_Toc385992325"/>
      <w:bookmarkStart w:id="19" w:name="_Toc385992324"/>
      <w:r>
        <w:rPr>
          <w:rStyle w:val="204"/>
          <w:rFonts w:ascii="Times New Roman" w:hAnsi="Times New Roman" w:eastAsia="宋体"/>
          <w:sz w:val="36"/>
          <w:szCs w:val="36"/>
        </w:rPr>
        <w:t>第一章  磋商公告</w:t>
      </w:r>
      <w:bookmarkEnd w:id="0"/>
      <w:bookmarkEnd w:id="1"/>
      <w:bookmarkEnd w:id="2"/>
      <w:bookmarkEnd w:id="3"/>
    </w:p>
    <w:p w14:paraId="3FCB91BC">
      <w:pPr>
        <w:spacing w:line="500" w:lineRule="exact"/>
        <w:jc w:val="center"/>
        <w:rPr>
          <w:rFonts w:eastAsia="仿宋_GB2312"/>
          <w:b/>
          <w:sz w:val="28"/>
          <w:szCs w:val="28"/>
        </w:rPr>
      </w:pPr>
      <w:r>
        <w:rPr>
          <w:rFonts w:hint="default" w:eastAsia="仿宋_GB2312"/>
          <w:b/>
          <w:sz w:val="28"/>
          <w:szCs w:val="28"/>
        </w:rPr>
        <w:t>西安市精神卫生中心网络安全等级保护测评服务竞争性磋商公告</w:t>
      </w:r>
    </w:p>
    <w:p w14:paraId="6E92A033">
      <w:pPr>
        <w:spacing w:line="520" w:lineRule="exact"/>
        <w:outlineLvl w:val="1"/>
        <w:rPr>
          <w:rFonts w:hint="eastAsia" w:ascii="仿宋_GB2312" w:hAnsi="仿宋_GB2312" w:eastAsia="仿宋_GB2312" w:cs="仿宋_GB2312"/>
          <w:sz w:val="24"/>
        </w:rPr>
      </w:pPr>
      <w:bookmarkStart w:id="614" w:name="_GoBack"/>
      <w:bookmarkEnd w:id="614"/>
      <w:r>
        <w:rPr>
          <w:rFonts w:hint="eastAsia" w:ascii="仿宋_GB2312" w:hAnsi="仿宋_GB2312" w:eastAsia="仿宋_GB2312" w:cs="仿宋_GB2312"/>
          <w:sz w:val="24"/>
        </w:rPr>
        <w:t>项目概况</w:t>
      </w:r>
    </w:p>
    <w:p w14:paraId="4F1AAEAE">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网络安全等级保护测评服务采购项目的潜在供应商应在西安市雁塔区锦业路1号都市之门C座9层招标四部获取采购文件，并于 2025年11月17日 09时00分 （北京时间）前提交响应文件。</w:t>
      </w:r>
    </w:p>
    <w:p w14:paraId="5ECCEAA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一、项目基本情况</w:t>
      </w:r>
    </w:p>
    <w:p w14:paraId="41E1C96B">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项目编号：SCZD2025-CS-2744-001</w:t>
      </w:r>
    </w:p>
    <w:p w14:paraId="3107C547">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项目名称：网络安全等级保护测评服务</w:t>
      </w:r>
    </w:p>
    <w:p w14:paraId="1BF0DD3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采购方式：竞争性磋商</w:t>
      </w:r>
    </w:p>
    <w:p w14:paraId="6AEBAA0B">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预算金额：290,000.00元</w:t>
      </w:r>
    </w:p>
    <w:p w14:paraId="0A32299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采购需求：</w:t>
      </w:r>
    </w:p>
    <w:p w14:paraId="5D452D21">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合同包1(网络安全等级保护测评服务项目):</w:t>
      </w:r>
    </w:p>
    <w:p w14:paraId="2414608A">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合同包预算金额：290,000.00元</w:t>
      </w:r>
    </w:p>
    <w:p w14:paraId="75EA0F6E">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合同包最高限价：290,000.00元</w:t>
      </w:r>
    </w:p>
    <w:tbl>
      <w:tblPr>
        <w:tblStyle w:val="50"/>
        <w:tblW w:w="51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5"/>
        <w:gridCol w:w="2109"/>
        <w:gridCol w:w="2514"/>
        <w:gridCol w:w="1131"/>
        <w:gridCol w:w="1541"/>
        <w:gridCol w:w="1268"/>
      </w:tblGrid>
      <w:tr w14:paraId="568F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4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AF48B7">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品目号</w:t>
            </w:r>
          </w:p>
        </w:tc>
        <w:tc>
          <w:tcPr>
            <w:tcW w:w="11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DD17CD">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品目名称</w:t>
            </w:r>
          </w:p>
        </w:tc>
        <w:tc>
          <w:tcPr>
            <w:tcW w:w="1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7E2D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采购标的</w:t>
            </w:r>
          </w:p>
        </w:tc>
        <w:tc>
          <w:tcPr>
            <w:tcW w:w="5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17785D">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数量（单位）</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E20D9">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技术规格、参数及要求</w:t>
            </w:r>
          </w:p>
        </w:tc>
        <w:tc>
          <w:tcPr>
            <w:tcW w:w="6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2BA46">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品目预算(元)</w:t>
            </w:r>
          </w:p>
        </w:tc>
      </w:tr>
      <w:tr w14:paraId="5CF1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D365B">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1-1</w:t>
            </w:r>
          </w:p>
        </w:tc>
        <w:tc>
          <w:tcPr>
            <w:tcW w:w="11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BEF6B">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测试评估认证服务</w:t>
            </w:r>
          </w:p>
        </w:tc>
        <w:tc>
          <w:tcPr>
            <w:tcW w:w="1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CB8D5D">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网络安全等级保护测评服务</w:t>
            </w:r>
          </w:p>
        </w:tc>
        <w:tc>
          <w:tcPr>
            <w:tcW w:w="5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F85ECF">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1(项)</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60E220">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详见采购文件</w:t>
            </w:r>
          </w:p>
        </w:tc>
        <w:tc>
          <w:tcPr>
            <w:tcW w:w="6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61799A">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290,000.00</w:t>
            </w:r>
          </w:p>
        </w:tc>
      </w:tr>
    </w:tbl>
    <w:p w14:paraId="60B6E2F4">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本合同包不接受联合体投标</w:t>
      </w:r>
    </w:p>
    <w:p w14:paraId="31FB9CB8">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合同履行期限：2025年12月31日前完成医院信息化建设系统、陕西省严重精神障碍信息管理平台、互联网医院信息系统、门户网站系统等级保护测评服务。</w:t>
      </w:r>
    </w:p>
    <w:p w14:paraId="3112ED4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二、申请人的资格要求：</w:t>
      </w:r>
    </w:p>
    <w:p w14:paraId="16AA5F2D">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3AC8A1B5">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2.落实政府采购政策需满足的资格要求：</w:t>
      </w:r>
    </w:p>
    <w:p w14:paraId="06D7AB2A">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合同包1(网络安全等级保护测评服务项目)落实政府采购政策需满足的资格要求如下:</w:t>
      </w:r>
    </w:p>
    <w:p w14:paraId="0A56FC0F">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本项目专门面向中小企业。</w:t>
      </w:r>
    </w:p>
    <w:p w14:paraId="3424633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3.本项目的特定资格要求：</w:t>
      </w:r>
    </w:p>
    <w:p w14:paraId="77C31F0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合同包1(网络安全等级保护测评服务项目)特定资格要求如下:</w:t>
      </w:r>
    </w:p>
    <w:p w14:paraId="758EE7D8">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rPr>
        <w:t>1、供应商在递交响应文件截止时间前被“信用中国”网站（www.creditchina.gov.cn）和中国政府采购网（www.ccgp.gov.cn）上被列入失信被执行人、重大税收违法失信主体、政府采购严重违法失信行为记录名单的，不得参加磋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法定代表人参加的，须提供本人身份证复印件加盖公章；法定代表人授权他人参加的，须提供法定代表人委托授权书原件加盖公章，并提供被授权代表的身份证复印件加盖公章，并提供授权代表本单位证明（养老保险缴纳证明）；</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3、供应商不得存在下列情形之一： （1）单位负责人为同一人或者存在直接控股、管理关系的不同供应商，不得参加同一合同项下的政府采购活动； （2）为本项目提供整体设计、规范编制或者项目管理、监理、检测等服务的供应商，不得再参加该采购项目的其他采购活动。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4、具有公安部第三研究所颁发的有效期内的《网络安全等级测评与检测评估机构服务认证证书》</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5、需免费获取采购文件，未免费获取采购文件的供应商均无资格参加磋商。</w:t>
      </w:r>
    </w:p>
    <w:p w14:paraId="5FD3444C">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三、获取采购文件</w:t>
      </w:r>
    </w:p>
    <w:p w14:paraId="777D1668">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时间： 2025年11月07日 至 2025年11月13日 ，每天上午 08:00:00 至 12:00:00 ，下午 12:00:00 至 18:00:00 （北京时间）</w:t>
      </w:r>
    </w:p>
    <w:p w14:paraId="674EC434">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途径：西安市雁塔区锦业路1号都市之门C座9层招标四部</w:t>
      </w:r>
    </w:p>
    <w:p w14:paraId="085536FB">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方式：现场获取</w:t>
      </w:r>
    </w:p>
    <w:p w14:paraId="29353B1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售价： 0元</w:t>
      </w:r>
    </w:p>
    <w:p w14:paraId="34CF432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四、响应文件提交</w:t>
      </w:r>
    </w:p>
    <w:p w14:paraId="2B4B6577">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截止时间： 2025年11月17日 09时00分00秒 （北京时间）</w:t>
      </w:r>
    </w:p>
    <w:p w14:paraId="54C776D5">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地点：西安市雁塔区锦业路1号都市之门C座9层第二会议室</w:t>
      </w:r>
    </w:p>
    <w:p w14:paraId="5704FE7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五、开启</w:t>
      </w:r>
    </w:p>
    <w:p w14:paraId="50981F4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时间： 2025年11月17日 09时00分00秒 （北京时间）</w:t>
      </w:r>
    </w:p>
    <w:p w14:paraId="1736D1A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地点：西安市雁塔区锦业路1号都市之门C座9层第二会议室</w:t>
      </w:r>
    </w:p>
    <w:p w14:paraId="23B7860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六、公告期限</w:t>
      </w:r>
    </w:p>
    <w:p w14:paraId="02D55DDB">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自本公告发布之日起3个工作日。</w:t>
      </w:r>
    </w:p>
    <w:p w14:paraId="36A78C2E">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七、其他补充事宜</w:t>
      </w:r>
    </w:p>
    <w:p w14:paraId="76ECC707">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71235B4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9CACDAA">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1.3《关于运用政府采购政策支持乡村产业振兴的通知》（财库〔2021〕19 号）、《关于印发&lt;关于深入开展政府采购脱贫地区农副产品工作推进乡村产业振兴的实施意见&gt;的通知》（财库〔2021〕20 号）。</w:t>
      </w:r>
    </w:p>
    <w:p w14:paraId="1F810AF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1.4《国家互联网信息办公室 工业和信息化部 公安部 财政部 国家认证认可监督管理委员会关于调整网络安全专用产品安全管理有关事项的公告》（2023年第1号）。</w:t>
      </w:r>
    </w:p>
    <w:p w14:paraId="1E6ED7C1">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1.5《陕西省财政厅关于加快推进我省中小企业政府采购信用融资工作的通知》（陕财办采〔2020〕15 号）、《陕西省财政厅关于印发&lt;陕西省中小企业政府采购信用融资办法&gt;的通知》（陕财办采〔2018〕23 号）。</w:t>
      </w:r>
    </w:p>
    <w:p w14:paraId="2E1CD83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4644783E">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若享受以上政策优惠的企业，提供相应声明函或品目清单范围内产品的有效认证证书或相关证明。</w:t>
      </w:r>
    </w:p>
    <w:p w14:paraId="5E9257A8">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凡有意参与本项目的供应商请将单位介绍信及被授权人身份证（加盖公章）扫描件发送至616497136@qq.com邮箱（邮件标题写明项目名称，邮件正文须提供：单位名称+联系人+联系电话+联系邮箱），经代理机构项目负责人确认后获取。</w:t>
      </w:r>
    </w:p>
    <w:p w14:paraId="6302A0A7">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八、对本次招标提出询问，请按以下方式联系。</w:t>
      </w:r>
    </w:p>
    <w:p w14:paraId="5561726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1.采购人信息</w:t>
      </w:r>
    </w:p>
    <w:p w14:paraId="0BAC9D8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名称：西安市精神卫生中心</w:t>
      </w:r>
    </w:p>
    <w:p w14:paraId="4B87165D">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地址：西安市长安区康和路666号</w:t>
      </w:r>
    </w:p>
    <w:p w14:paraId="190FE60A">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联系方式：029-63609379</w:t>
      </w:r>
    </w:p>
    <w:p w14:paraId="5E04A83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2.采购代理机构信息</w:t>
      </w:r>
    </w:p>
    <w:p w14:paraId="12D943F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名称：陕西省采购招标有限责任公司</w:t>
      </w:r>
    </w:p>
    <w:p w14:paraId="1148256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地址：西安市高新区锦业一路都市之门C座9层</w:t>
      </w:r>
    </w:p>
    <w:p w14:paraId="6743D891">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联系方式：15009283469</w:t>
      </w:r>
    </w:p>
    <w:p w14:paraId="3C6C7AC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3.项目联系方式</w:t>
      </w:r>
    </w:p>
    <w:p w14:paraId="3435A85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项目联系人：周乐、雷鹏</w:t>
      </w:r>
    </w:p>
    <w:p w14:paraId="43BFF27A">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电话：15009283469</w:t>
      </w:r>
    </w:p>
    <w:p w14:paraId="7709E5E7">
      <w:pPr>
        <w:spacing w:line="520" w:lineRule="exact"/>
        <w:ind w:firstLine="480" w:firstLineChars="200"/>
        <w:jc w:val="right"/>
        <w:rPr>
          <w:rFonts w:hint="eastAsia" w:ascii="仿宋_GB2312" w:hAnsi="仿宋_GB2312" w:eastAsia="仿宋_GB2312" w:cs="仿宋_GB2312"/>
          <w:sz w:val="24"/>
        </w:rPr>
      </w:pPr>
      <w:r>
        <w:rPr>
          <w:rFonts w:hint="eastAsia" w:ascii="仿宋_GB2312" w:hAnsi="仿宋_GB2312" w:eastAsia="仿宋_GB2312" w:cs="仿宋_GB2312"/>
          <w:sz w:val="24"/>
        </w:rPr>
        <w:t>陕西省采购招标有限责任公司</w:t>
      </w:r>
    </w:p>
    <w:p w14:paraId="6C7EE063">
      <w:pPr>
        <w:spacing w:line="520" w:lineRule="exact"/>
        <w:ind w:firstLine="480" w:firstLineChars="200"/>
        <w:jc w:val="right"/>
        <w:rPr>
          <w:rFonts w:hint="eastAsia" w:ascii="仿宋_GB2312" w:hAnsi="仿宋_GB2312" w:eastAsia="仿宋_GB2312" w:cs="仿宋_GB2312"/>
          <w:sz w:val="24"/>
        </w:rPr>
      </w:pPr>
      <w:r>
        <w:rPr>
          <w:rFonts w:hint="eastAsia" w:ascii="仿宋_GB2312" w:hAnsi="仿宋_GB2312" w:eastAsia="仿宋_GB2312" w:cs="仿宋_GB2312"/>
          <w:sz w:val="24"/>
        </w:rPr>
        <w:t>2025年11月06日</w:t>
      </w:r>
    </w:p>
    <w:p w14:paraId="614E814E">
      <w:pPr>
        <w:spacing w:line="520" w:lineRule="exact"/>
        <w:ind w:firstLine="480" w:firstLineChars="200"/>
        <w:rPr>
          <w:rFonts w:eastAsia="仿宋_GB2312"/>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03C940DA">
      <w:pPr>
        <w:pStyle w:val="46"/>
        <w:spacing w:line="360" w:lineRule="auto"/>
        <w:rPr>
          <w:rStyle w:val="204"/>
          <w:rFonts w:ascii="Times New Roman" w:hAnsi="Times New Roman" w:eastAsia="宋体"/>
          <w:sz w:val="36"/>
          <w:szCs w:val="36"/>
        </w:rPr>
      </w:pPr>
      <w:bookmarkStart w:id="20" w:name="_Toc184043011"/>
      <w:bookmarkStart w:id="21" w:name="_Toc232395211"/>
      <w:bookmarkStart w:id="22" w:name="_Toc21126"/>
      <w:bookmarkStart w:id="23" w:name="_Toc249515389"/>
      <w:bookmarkStart w:id="24" w:name="_Toc232176271"/>
      <w:bookmarkStart w:id="25" w:name="_Toc415499895"/>
      <w:bookmarkStart w:id="26" w:name="_Toc58504446"/>
      <w:bookmarkStart w:id="27" w:name="_Toc256342142"/>
      <w:bookmarkStart w:id="28" w:name="_Toc249525158"/>
      <w:bookmarkStart w:id="29" w:name="_Toc249515277"/>
      <w:bookmarkStart w:id="30" w:name="_Toc230013631"/>
      <w:bookmarkStart w:id="31" w:name="_Toc68590966"/>
      <w:bookmarkStart w:id="32" w:name="_Toc230583540"/>
      <w:bookmarkStart w:id="33" w:name="_Toc230099796"/>
      <w:bookmarkStart w:id="34" w:name="_Toc500747188"/>
      <w:bookmarkStart w:id="35" w:name="_Toc230583541"/>
      <w:bookmarkStart w:id="36" w:name="_Toc230013632"/>
      <w:bookmarkStart w:id="37" w:name="_Toc53722840"/>
      <w:bookmarkStart w:id="38" w:name="_Toc496324578"/>
      <w:bookmarkStart w:id="39" w:name="_Toc184043012"/>
      <w:bookmarkStart w:id="40" w:name="_Toc177995473"/>
      <w:bookmarkStart w:id="41" w:name="_Toc256342143"/>
      <w:bookmarkStart w:id="42" w:name="_Toc232176272"/>
      <w:bookmarkStart w:id="43" w:name="_Toc230099797"/>
      <w:bookmarkStart w:id="44" w:name="_Toc503063421"/>
      <w:bookmarkStart w:id="45" w:name="_Toc249525159"/>
      <w:bookmarkStart w:id="46" w:name="_Toc500746965"/>
      <w:bookmarkStart w:id="47" w:name="_Toc499711883"/>
      <w:bookmarkStart w:id="48" w:name="_Toc499711042"/>
      <w:bookmarkStart w:id="49" w:name="_Toc492955414"/>
      <w:bookmarkStart w:id="50" w:name="_Toc249515278"/>
      <w:bookmarkStart w:id="51" w:name="_Toc70687139"/>
      <w:bookmarkStart w:id="52" w:name="_Toc177189235"/>
      <w:bookmarkStart w:id="53" w:name="_Toc249515390"/>
      <w:bookmarkStart w:id="54" w:name="_Toc177817334"/>
      <w:bookmarkStart w:id="55" w:name="_Toc232395212"/>
      <w:bookmarkStart w:id="56" w:name="_Toc176882542"/>
      <w:bookmarkStart w:id="57" w:name="_Toc500747061"/>
      <w:r>
        <w:rPr>
          <w:rStyle w:val="204"/>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B96134F">
      <w:pPr>
        <w:pStyle w:val="79"/>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02BA59A">
      <w:pPr>
        <w:rPr>
          <w:rFonts w:eastAsia="仿宋_GB2312"/>
        </w:rPr>
      </w:pPr>
    </w:p>
    <w:p w14:paraId="570239BD">
      <w:pPr>
        <w:rPr>
          <w:rFonts w:eastAsia="仿宋_GB2312"/>
          <w:sz w:val="24"/>
        </w:rPr>
      </w:pPr>
      <w:r>
        <w:rPr>
          <w:rFonts w:eastAsia="仿宋_GB2312"/>
          <w:sz w:val="24"/>
        </w:rPr>
        <w:t>本表是对供应商须知的具体补充和修改，如有矛盾，均以本表为准。</w:t>
      </w:r>
    </w:p>
    <w:p w14:paraId="4362E596">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325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2A922963">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385992326"/>
            <w:bookmarkStart w:id="61" w:name="_Toc500747190"/>
            <w:bookmarkStart w:id="62" w:name="_Toc499711885"/>
            <w:bookmarkStart w:id="63" w:name="_Toc500747063"/>
            <w:bookmarkStart w:id="64" w:name="_Toc496324580"/>
            <w:bookmarkStart w:id="65" w:name="_Toc492955416"/>
            <w:bookmarkStart w:id="66" w:name="_Toc500746967"/>
            <w:bookmarkStart w:id="67" w:name="_Toc499711044"/>
            <w:bookmarkStart w:id="68" w:name="_Toc389620165"/>
            <w:bookmarkStart w:id="69" w:name="_Toc503063423"/>
            <w:r>
              <w:rPr>
                <w:rFonts w:ascii="Times New Roman" w:hAnsi="Times New Roman" w:eastAsia="仿宋_GB2312"/>
                <w:b/>
                <w:sz w:val="24"/>
                <w:szCs w:val="24"/>
              </w:rPr>
              <w:t>条款号</w:t>
            </w:r>
          </w:p>
        </w:tc>
        <w:tc>
          <w:tcPr>
            <w:tcW w:w="7650" w:type="dxa"/>
            <w:vAlign w:val="center"/>
          </w:tcPr>
          <w:p w14:paraId="14C206DB">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14:paraId="6F8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3AEE5DC6">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14:paraId="5FEC6DD5">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项目名称：</w:t>
            </w:r>
            <w:r>
              <w:rPr>
                <w:rFonts w:hint="default" w:ascii="Times New Roman" w:hAnsi="Times New Roman" w:eastAsia="仿宋_GB2312"/>
                <w:sz w:val="24"/>
                <w:szCs w:val="24"/>
              </w:rPr>
              <w:t>西安市精神卫生中心网络安全等级保护测评服务</w:t>
            </w:r>
          </w:p>
          <w:p w14:paraId="5971A0B3">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项目编号：</w:t>
            </w:r>
            <w:r>
              <w:rPr>
                <w:rFonts w:hint="eastAsia" w:ascii="Times New Roman" w:hAnsi="Times New Roman" w:eastAsia="仿宋_GB2312"/>
                <w:sz w:val="24"/>
                <w:szCs w:val="24"/>
              </w:rPr>
              <w:t>SCZD2025-CS-2744-001</w:t>
            </w:r>
          </w:p>
          <w:p w14:paraId="67CC28B8">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w:t>
            </w:r>
            <w:r>
              <w:rPr>
                <w:rFonts w:hint="eastAsia" w:ascii="Times New Roman" w:hAnsi="Times New Roman" w:eastAsia="仿宋_GB2312"/>
                <w:sz w:val="24"/>
                <w:szCs w:val="24"/>
                <w:lang w:val="en-US" w:eastAsia="zh-CN"/>
              </w:rPr>
              <w:t>自筹</w:t>
            </w:r>
            <w:r>
              <w:rPr>
                <w:rFonts w:ascii="Times New Roman" w:hAnsi="Times New Roman" w:eastAsia="仿宋_GB2312"/>
                <w:sz w:val="24"/>
                <w:szCs w:val="24"/>
              </w:rPr>
              <w:t>资金</w:t>
            </w:r>
          </w:p>
          <w:p w14:paraId="79C24501">
            <w:pPr>
              <w:pStyle w:val="29"/>
              <w:adjustRightInd w:val="0"/>
              <w:snapToGrid w:val="0"/>
              <w:spacing w:line="240" w:lineRule="auto"/>
              <w:rPr>
                <w:rFonts w:hint="eastAsia" w:ascii="Times New Roman" w:hAnsi="Times New Roman" w:eastAsia="仿宋_GB2312"/>
                <w:sz w:val="24"/>
                <w:szCs w:val="24"/>
              </w:rPr>
            </w:pPr>
            <w:r>
              <w:rPr>
                <w:rFonts w:ascii="Times New Roman" w:hAnsi="Times New Roman" w:eastAsia="仿宋_GB2312"/>
                <w:sz w:val="24"/>
                <w:szCs w:val="24"/>
              </w:rPr>
              <w:t>预算金额：</w:t>
            </w:r>
            <w:r>
              <w:rPr>
                <w:rFonts w:hint="eastAsia" w:ascii="Times New Roman" w:hAnsi="Times New Roman" w:eastAsia="仿宋_GB2312"/>
                <w:sz w:val="24"/>
                <w:szCs w:val="24"/>
              </w:rPr>
              <w:t>290,000.00元</w:t>
            </w:r>
          </w:p>
          <w:p w14:paraId="1C586743">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14:paraId="163B8162">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14:paraId="67D63983">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项目所属行业：</w:t>
            </w:r>
            <w:r>
              <w:rPr>
                <w:rFonts w:hint="eastAsia" w:ascii="Times New Roman" w:hAnsi="Times New Roman" w:eastAsia="仿宋_GB2312"/>
                <w:sz w:val="24"/>
                <w:szCs w:val="24"/>
                <w:lang w:val="en-US" w:eastAsia="zh-CN"/>
              </w:rPr>
              <w:t>软件和信息技术服务业</w:t>
            </w:r>
          </w:p>
        </w:tc>
      </w:tr>
      <w:tr w14:paraId="381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5222199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14:paraId="4F617C82">
            <w:pPr>
              <w:pStyle w:val="29"/>
              <w:adjustRightInd w:val="0"/>
              <w:snapToGrid w:val="0"/>
              <w:spacing w:line="240" w:lineRule="auto"/>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采购人</w:t>
            </w:r>
            <w:r>
              <w:rPr>
                <w:rFonts w:hint="eastAsia" w:ascii="Times New Roman" w:hAnsi="Times New Roman" w:eastAsia="仿宋_GB2312"/>
                <w:sz w:val="24"/>
                <w:szCs w:val="24"/>
              </w:rPr>
              <w:t>：西安市精神卫生中心</w:t>
            </w:r>
          </w:p>
          <w:p w14:paraId="2B2D5FEA">
            <w:pPr>
              <w:pStyle w:val="29"/>
              <w:adjustRightInd w:val="0"/>
              <w:snapToGrid w:val="0"/>
              <w:spacing w:line="240" w:lineRule="auto"/>
              <w:rPr>
                <w:rFonts w:hint="eastAsia" w:ascii="Times New Roman" w:hAnsi="Times New Roman" w:eastAsia="仿宋_GB2312"/>
                <w:sz w:val="24"/>
                <w:szCs w:val="24"/>
              </w:rPr>
            </w:pPr>
            <w:r>
              <w:rPr>
                <w:rFonts w:hint="eastAsia" w:ascii="Times New Roman" w:hAnsi="Times New Roman" w:eastAsia="仿宋_GB2312"/>
                <w:sz w:val="24"/>
                <w:szCs w:val="24"/>
              </w:rPr>
              <w:t>地址：西安市长安区康和路666号</w:t>
            </w:r>
          </w:p>
          <w:p w14:paraId="2A90914C">
            <w:pPr>
              <w:pStyle w:val="29"/>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sz w:val="24"/>
                <w:szCs w:val="24"/>
              </w:rPr>
              <w:t>联系方式：029-63609379</w:t>
            </w:r>
          </w:p>
        </w:tc>
      </w:tr>
      <w:tr w14:paraId="4EEA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ECA2368">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14:paraId="2662394F">
            <w:pPr>
              <w:pStyle w:val="29"/>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采购代理机构：陕西省采购招标有限责任公司</w:t>
            </w:r>
          </w:p>
          <w:p w14:paraId="60D353F2">
            <w:pPr>
              <w:spacing w:line="360" w:lineRule="auto"/>
              <w:rPr>
                <w:rFonts w:eastAsia="仿宋_GB2312"/>
                <w:sz w:val="24"/>
                <w:u w:val="single"/>
              </w:rPr>
            </w:pPr>
            <w:r>
              <w:rPr>
                <w:rFonts w:eastAsia="仿宋_GB2312"/>
                <w:sz w:val="24"/>
              </w:rPr>
              <w:t>地址：</w:t>
            </w:r>
            <w:r>
              <w:rPr>
                <w:rFonts w:hint="eastAsia" w:eastAsia="仿宋_GB2312"/>
                <w:sz w:val="24"/>
                <w:lang w:val="en-US" w:eastAsia="zh-CN"/>
              </w:rPr>
              <w:t>西安市高新区锦业路1号都市之门C座9层</w:t>
            </w:r>
            <w:r>
              <w:rPr>
                <w:rFonts w:eastAsia="仿宋_GB2312"/>
                <w:sz w:val="24"/>
                <w:u w:val="single"/>
              </w:rPr>
              <w:t xml:space="preserve">                          </w:t>
            </w:r>
          </w:p>
          <w:p w14:paraId="6BF6E651">
            <w:pPr>
              <w:pStyle w:val="29"/>
              <w:adjustRightInd w:val="0"/>
              <w:snapToGrid w:val="0"/>
              <w:spacing w:line="240" w:lineRule="auto"/>
              <w:rPr>
                <w:rFonts w:ascii="Times New Roman" w:hAnsi="Times New Roman" w:eastAsia="仿宋_GB2312"/>
                <w:sz w:val="24"/>
                <w:szCs w:val="24"/>
              </w:rPr>
            </w:pPr>
            <w:r>
              <w:rPr>
                <w:rFonts w:eastAsia="仿宋_GB2312"/>
                <w:sz w:val="24"/>
              </w:rPr>
              <w:t>联系人：</w:t>
            </w:r>
            <w:r>
              <w:rPr>
                <w:rFonts w:hint="eastAsia" w:eastAsia="仿宋_GB2312"/>
                <w:sz w:val="24"/>
                <w:u w:val="single"/>
                <w:lang w:val="en-US" w:eastAsia="zh-CN"/>
              </w:rPr>
              <w:t>周乐、雷鹏</w:t>
            </w:r>
            <w:r>
              <w:rPr>
                <w:rFonts w:eastAsia="仿宋_GB2312"/>
                <w:sz w:val="24"/>
                <w:u w:val="single" w:color="FFFFFF"/>
              </w:rPr>
              <w:t xml:space="preserve"> </w:t>
            </w:r>
            <w:r>
              <w:rPr>
                <w:rFonts w:eastAsia="仿宋_GB2312"/>
                <w:sz w:val="24"/>
              </w:rPr>
              <w:t>电话：</w:t>
            </w:r>
            <w:r>
              <w:rPr>
                <w:rFonts w:hint="eastAsia" w:eastAsia="仿宋_GB2312" w:cs="Times New Roman"/>
                <w:sz w:val="24"/>
                <w:u w:val="single"/>
                <w:lang w:val="en-US" w:eastAsia="zh-CN"/>
              </w:rPr>
              <w:t xml:space="preserve">15009283469  </w:t>
            </w:r>
            <w:r>
              <w:rPr>
                <w:rFonts w:hint="eastAsia" w:eastAsia="仿宋_GB2312"/>
                <w:sz w:val="24"/>
                <w:u w:val="single"/>
                <w:lang w:val="en-US" w:eastAsia="zh-CN"/>
              </w:rPr>
              <w:t xml:space="preserve"> </w:t>
            </w:r>
          </w:p>
        </w:tc>
      </w:tr>
      <w:tr w14:paraId="29AE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18F72D79">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14:paraId="19B701F9">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14:paraId="0A1E3732">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14:paraId="10A8F680">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14:paraId="20389E7E">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14:paraId="1EBD90E1">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14:paraId="59C6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5FD387B">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14:paraId="253E49DD">
            <w:pPr>
              <w:pStyle w:val="15"/>
              <w:spacing w:line="360" w:lineRule="auto"/>
              <w:rPr>
                <w:rFonts w:ascii="Times New Roman" w:eastAsia="仿宋_GB2312" w:cs="Times New Roman"/>
                <w:color w:val="auto"/>
              </w:rPr>
            </w:pPr>
            <w:r>
              <w:rPr>
                <w:rFonts w:ascii="Times New Roman" w:eastAsia="仿宋_GB2312" w:cs="Times New Roman"/>
                <w:color w:val="auto"/>
                <w:kern w:val="2"/>
              </w:rPr>
              <w:t xml:space="preserve">对供应商的资格要求：见磋商公告 </w:t>
            </w:r>
          </w:p>
        </w:tc>
      </w:tr>
      <w:tr w14:paraId="654C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5286C26">
            <w:pPr>
              <w:pStyle w:val="29"/>
              <w:adjustRightInd w:val="0"/>
              <w:snapToGrid w:val="0"/>
              <w:spacing w:line="240" w:lineRule="auto"/>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3.2</w:t>
            </w:r>
          </w:p>
        </w:tc>
        <w:tc>
          <w:tcPr>
            <w:tcW w:w="7650" w:type="dxa"/>
            <w:shd w:val="clear" w:color="auto" w:fill="auto"/>
            <w:vAlign w:val="center"/>
          </w:tcPr>
          <w:p w14:paraId="758A5307">
            <w:pPr>
              <w:pStyle w:val="15"/>
              <w:spacing w:line="360" w:lineRule="auto"/>
              <w:rPr>
                <w:rFonts w:ascii="Times New Roman" w:hAnsi="Times New Roman" w:eastAsia="仿宋_GB2312" w:cs="Times New Roman"/>
                <w:color w:val="auto"/>
                <w:kern w:val="2"/>
                <w:sz w:val="24"/>
                <w:szCs w:val="24"/>
                <w:highlight w:val="none"/>
                <w:lang w:val="en-US" w:eastAsia="zh-CN" w:bidi="ar-SA"/>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0B23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60B4F8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5D7537C0">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p>
        </w:tc>
      </w:tr>
      <w:tr w14:paraId="4A5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DEEABD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4C6650DE">
            <w:pPr>
              <w:pStyle w:val="15"/>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 xml:space="preserve"> （否）</w:t>
            </w:r>
          </w:p>
        </w:tc>
      </w:tr>
      <w:tr w14:paraId="4E9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DACB1F2">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14:paraId="1DA79620">
            <w:pPr>
              <w:pStyle w:val="15"/>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ascii="Times New Roman" w:eastAsia="仿宋_GB2312" w:cs="Times New Roman"/>
                <w:color w:val="auto"/>
                <w:u w:val="single"/>
              </w:rPr>
              <w:t xml:space="preserve"> </w:t>
            </w:r>
            <w:r>
              <w:rPr>
                <w:rFonts w:hint="eastAsia" w:ascii="Times New Roman" w:eastAsia="仿宋_GB2312" w:cs="Times New Roman"/>
                <w:color w:val="auto"/>
                <w:u w:val="single"/>
                <w:lang w:val="en-US" w:eastAsia="zh-CN"/>
              </w:rPr>
              <w:t>是</w:t>
            </w:r>
            <w:r>
              <w:rPr>
                <w:rFonts w:ascii="Times New Roman" w:eastAsia="仿宋_GB2312" w:cs="Times New Roman"/>
                <w:color w:val="auto"/>
                <w:u w:val="single"/>
              </w:rPr>
              <w:t xml:space="preserve"> </w:t>
            </w:r>
            <w:r>
              <w:rPr>
                <w:rFonts w:ascii="Times New Roman" w:eastAsia="仿宋_GB2312" w:cs="Times New Roman"/>
                <w:color w:val="auto"/>
              </w:rPr>
              <w:t>（是、否</w:t>
            </w:r>
            <w:r>
              <w:rPr>
                <w:rFonts w:hint="eastAsia" w:ascii="Times New Roman" w:eastAsia="仿宋_GB2312" w:cs="Times New Roman"/>
                <w:color w:val="auto"/>
              </w:rPr>
              <w:t>、预留份额</w:t>
            </w:r>
            <w:r>
              <w:rPr>
                <w:rFonts w:hint="eastAsia" w:ascii="Times New Roman" w:eastAsia="仿宋_GB2312" w:cs="Times New Roman"/>
                <w:color w:val="auto"/>
                <w:u w:val="single"/>
              </w:rPr>
              <w:t xml:space="preserve">    %</w:t>
            </w:r>
            <w:r>
              <w:rPr>
                <w:rFonts w:ascii="Times New Roman" w:eastAsia="仿宋_GB2312" w:cs="Times New Roman"/>
                <w:color w:val="auto"/>
              </w:rPr>
              <w:t>）</w:t>
            </w:r>
          </w:p>
        </w:tc>
      </w:tr>
      <w:tr w14:paraId="4282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7CF5B78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14:paraId="358F5776">
            <w:pPr>
              <w:spacing w:line="312" w:lineRule="auto"/>
              <w:rPr>
                <w:rFonts w:eastAsia="仿宋_GB2312"/>
                <w:sz w:val="24"/>
              </w:rPr>
            </w:pPr>
            <w:r>
              <w:rPr>
                <w:rFonts w:eastAsia="仿宋_GB2312"/>
                <w:sz w:val="24"/>
              </w:rPr>
              <w:t>服务响应报价为提供磋商文件要求服务的所有费用，包括但不限于提供项目实施费、</w:t>
            </w:r>
            <w:r>
              <w:rPr>
                <w:rFonts w:hint="eastAsia" w:eastAsia="仿宋_GB2312"/>
                <w:sz w:val="24"/>
                <w:lang w:val="en-US" w:eastAsia="zh-CN"/>
              </w:rPr>
              <w:t>差旅费</w:t>
            </w:r>
            <w:r>
              <w:rPr>
                <w:rFonts w:eastAsia="仿宋_GB2312"/>
                <w:sz w:val="24"/>
              </w:rPr>
              <w:t>、管理费、供应商应缴纳的所有税费、规费、保险费（如果有）等全部费用。</w:t>
            </w:r>
          </w:p>
          <w:p w14:paraId="4C6471F7">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14:paraId="5939D26A">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14:paraId="274C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0" w:type="dxa"/>
            <w:vAlign w:val="center"/>
          </w:tcPr>
          <w:p w14:paraId="19007C57">
            <w:pPr>
              <w:pStyle w:val="29"/>
              <w:adjustRightInd w:val="0"/>
              <w:snapToGrid w:val="0"/>
              <w:spacing w:line="240" w:lineRule="auto"/>
              <w:jc w:val="center"/>
              <w:rPr>
                <w:rFonts w:ascii="Times New Roman" w:hAnsi="Times New Roman" w:eastAsia="仿宋_GB2312"/>
                <w:sz w:val="24"/>
                <w:szCs w:val="24"/>
              </w:rPr>
            </w:pPr>
          </w:p>
          <w:p w14:paraId="0EE4A5F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14:paraId="3EC1F8C6">
            <w:pPr>
              <w:pStyle w:val="29"/>
              <w:adjustRightInd w:val="0"/>
              <w:snapToGrid w:val="0"/>
              <w:spacing w:line="240" w:lineRule="auto"/>
              <w:rPr>
                <w:rFonts w:ascii="Times New Roman" w:hAnsi="Times New Roman" w:eastAsia="仿宋_GB2312"/>
                <w:sz w:val="24"/>
                <w:szCs w:val="24"/>
              </w:rPr>
            </w:pPr>
          </w:p>
        </w:tc>
        <w:tc>
          <w:tcPr>
            <w:tcW w:w="7650" w:type="dxa"/>
            <w:vAlign w:val="center"/>
          </w:tcPr>
          <w:p w14:paraId="582FCDD6">
            <w:pPr>
              <w:tabs>
                <w:tab w:val="left" w:pos="588"/>
              </w:tabs>
              <w:spacing w:line="360" w:lineRule="auto"/>
              <w:rPr>
                <w:rFonts w:hint="default" w:eastAsia="仿宋_GB2312"/>
                <w:sz w:val="24"/>
                <w:highlight w:val="none"/>
                <w:lang w:val="en-US" w:eastAsia="zh-CN"/>
              </w:rPr>
            </w:pPr>
            <w:r>
              <w:rPr>
                <w:rFonts w:hint="eastAsia" w:eastAsia="仿宋_GB2312"/>
                <w:sz w:val="24"/>
                <w:highlight w:val="none"/>
                <w:lang w:val="en-US" w:eastAsia="zh-CN"/>
              </w:rPr>
              <w:t>本项目不需要递交磋商保证金</w:t>
            </w:r>
            <w:r>
              <w:rPr>
                <w:rFonts w:hint="default" w:eastAsia="仿宋_GB2312"/>
                <w:sz w:val="24"/>
                <w:highlight w:val="none"/>
                <w:lang w:val="en-US" w:eastAsia="zh-CN"/>
              </w:rPr>
              <w:t>。</w:t>
            </w:r>
          </w:p>
        </w:tc>
      </w:tr>
      <w:tr w14:paraId="569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0" w:type="dxa"/>
            <w:vAlign w:val="center"/>
          </w:tcPr>
          <w:p w14:paraId="30351674">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14:paraId="0EBACA45">
            <w:pPr>
              <w:tabs>
                <w:tab w:val="left" w:pos="588"/>
              </w:tabs>
              <w:spacing w:line="360" w:lineRule="auto"/>
              <w:rPr>
                <w:rFonts w:hint="default" w:eastAsia="仿宋_GB2312"/>
                <w:sz w:val="24"/>
                <w:highlight w:val="none"/>
                <w:lang w:val="en-US" w:eastAsia="zh-CN"/>
              </w:rPr>
            </w:pPr>
            <w:r>
              <w:rPr>
                <w:rFonts w:hint="default" w:eastAsia="仿宋_GB2312"/>
                <w:sz w:val="24"/>
                <w:highlight w:val="none"/>
                <w:lang w:val="en-US" w:eastAsia="zh-CN"/>
              </w:rPr>
              <w:t>磋商有效期：自响应文件递交</w:t>
            </w:r>
            <w:r>
              <w:rPr>
                <w:rFonts w:hint="eastAsia" w:eastAsia="仿宋_GB2312"/>
                <w:sz w:val="24"/>
                <w:highlight w:val="none"/>
                <w:lang w:val="en-US" w:eastAsia="zh-CN"/>
              </w:rPr>
              <w:t>截止</w:t>
            </w:r>
            <w:r>
              <w:rPr>
                <w:rFonts w:hint="default" w:eastAsia="仿宋_GB2312"/>
                <w:sz w:val="24"/>
                <w:highlight w:val="none"/>
                <w:lang w:val="en-US" w:eastAsia="zh-CN"/>
              </w:rPr>
              <w:t>之日起  60  日历天。</w:t>
            </w:r>
          </w:p>
        </w:tc>
      </w:tr>
      <w:tr w14:paraId="3F54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80" w:type="dxa"/>
            <w:vAlign w:val="center"/>
          </w:tcPr>
          <w:p w14:paraId="56B22EF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14:paraId="74E1B87D">
            <w:pPr>
              <w:pStyle w:val="29"/>
              <w:adjustRightInd w:val="0"/>
              <w:snapToGrid w:val="0"/>
              <w:spacing w:line="240" w:lineRule="auto"/>
              <w:rPr>
                <w:rFonts w:ascii="Times New Roman" w:hAnsi="Times New Roman" w:eastAsia="仿宋_GB2312" w:cs="Times New Roman"/>
                <w:sz w:val="24"/>
              </w:rPr>
            </w:pPr>
            <w:r>
              <w:rPr>
                <w:rFonts w:ascii="Times New Roman" w:hAnsi="Times New Roman" w:eastAsia="仿宋_GB2312" w:cs="Times New Roman"/>
                <w:sz w:val="24"/>
              </w:rPr>
              <w:t>本项目需提交纸质版</w:t>
            </w:r>
            <w:r>
              <w:rPr>
                <w:rFonts w:hint="eastAsia" w:ascii="Times New Roman" w:hAnsi="Times New Roman" w:eastAsia="仿宋_GB2312" w:cs="Times New Roman"/>
                <w:sz w:val="24"/>
                <w:lang w:val="en-US" w:eastAsia="zh-CN"/>
              </w:rPr>
              <w:t>响应</w:t>
            </w:r>
            <w:r>
              <w:rPr>
                <w:rFonts w:ascii="Times New Roman" w:hAnsi="Times New Roman" w:eastAsia="仿宋_GB2312" w:cs="Times New Roman"/>
                <w:sz w:val="24"/>
              </w:rPr>
              <w:t>文件</w:t>
            </w:r>
            <w:r>
              <w:rPr>
                <w:rFonts w:hint="eastAsia" w:ascii="Times New Roman" w:hAnsi="Times New Roman" w:eastAsia="仿宋_GB2312" w:cs="Times New Roman"/>
                <w:sz w:val="24"/>
                <w:lang w:val="en-US" w:eastAsia="zh-CN"/>
              </w:rPr>
              <w:t>正本1套，副本2套</w:t>
            </w:r>
            <w:r>
              <w:rPr>
                <w:rFonts w:ascii="Times New Roman" w:hAnsi="Times New Roman" w:eastAsia="仿宋_GB2312" w:cs="Times New Roman"/>
                <w:sz w:val="24"/>
              </w:rPr>
              <w:t>。</w:t>
            </w:r>
          </w:p>
        </w:tc>
      </w:tr>
      <w:tr w14:paraId="62D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080" w:type="dxa"/>
            <w:vAlign w:val="center"/>
          </w:tcPr>
          <w:p w14:paraId="3F302A61">
            <w:pPr>
              <w:pStyle w:val="29"/>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14:paraId="56527C28">
            <w:pPr>
              <w:tabs>
                <w:tab w:val="left" w:pos="588"/>
              </w:tabs>
              <w:spacing w:line="360" w:lineRule="auto"/>
              <w:rPr>
                <w:rFonts w:hint="eastAsia" w:eastAsia="仿宋_GB2312"/>
                <w:sz w:val="24"/>
                <w:highlight w:val="none"/>
              </w:rPr>
            </w:pPr>
            <w:r>
              <w:rPr>
                <w:rFonts w:hint="default" w:eastAsia="仿宋_GB2312"/>
                <w:sz w:val="24"/>
                <w:highlight w:val="none"/>
                <w:lang w:val="en-US" w:eastAsia="zh-CN"/>
              </w:rPr>
              <w:t>响应</w:t>
            </w:r>
            <w:r>
              <w:rPr>
                <w:rFonts w:eastAsia="仿宋_GB2312"/>
                <w:sz w:val="24"/>
                <w:highlight w:val="none"/>
              </w:rPr>
              <w:t>时间：</w:t>
            </w:r>
            <w:r>
              <w:rPr>
                <w:rFonts w:hint="eastAsia" w:eastAsia="仿宋_GB2312"/>
                <w:sz w:val="24"/>
                <w:highlight w:val="none"/>
              </w:rPr>
              <w:t> 2025年11月17日 09时00分00秒 （北京时间）</w:t>
            </w:r>
          </w:p>
          <w:p w14:paraId="43A7FFDD">
            <w:pPr>
              <w:tabs>
                <w:tab w:val="left" w:pos="588"/>
              </w:tabs>
              <w:spacing w:line="360" w:lineRule="auto"/>
              <w:rPr>
                <w:rFonts w:eastAsia="仿宋_GB2312"/>
                <w:sz w:val="24"/>
                <w:highlight w:val="none"/>
              </w:rPr>
            </w:pPr>
            <w:r>
              <w:rPr>
                <w:rFonts w:hint="default" w:eastAsia="仿宋_GB2312"/>
                <w:sz w:val="24"/>
                <w:highlight w:val="none"/>
                <w:lang w:val="en-US" w:eastAsia="zh-CN"/>
              </w:rPr>
              <w:t>响应</w:t>
            </w:r>
            <w:r>
              <w:rPr>
                <w:rFonts w:eastAsia="仿宋_GB2312"/>
                <w:sz w:val="24"/>
                <w:highlight w:val="none"/>
              </w:rPr>
              <w:t>地点：</w:t>
            </w:r>
            <w:r>
              <w:rPr>
                <w:rFonts w:hint="eastAsia" w:ascii="仿宋_GB2312" w:hAnsi="仿宋_GB2312" w:eastAsia="仿宋_GB2312" w:cs="仿宋_GB2312"/>
                <w:sz w:val="24"/>
              </w:rPr>
              <w:t>西安市雁塔区锦业路1号都市之门C座9层第二会议室</w:t>
            </w:r>
          </w:p>
        </w:tc>
      </w:tr>
      <w:tr w14:paraId="081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733F483A">
            <w:pPr>
              <w:pStyle w:val="29"/>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21.1</w:t>
            </w:r>
          </w:p>
        </w:tc>
        <w:tc>
          <w:tcPr>
            <w:tcW w:w="7650" w:type="dxa"/>
            <w:vAlign w:val="center"/>
          </w:tcPr>
          <w:p w14:paraId="78E931E7">
            <w:pPr>
              <w:spacing w:line="360" w:lineRule="exact"/>
              <w:rPr>
                <w:rFonts w:eastAsia="仿宋_GB2312"/>
                <w:sz w:val="24"/>
                <w:highlight w:val="none"/>
              </w:rPr>
            </w:pPr>
            <w:r>
              <w:rPr>
                <w:rFonts w:eastAsia="仿宋_GB2312"/>
                <w:sz w:val="24"/>
                <w:highlight w:val="none"/>
              </w:rPr>
              <w:t>磋商小组由</w:t>
            </w:r>
            <w:r>
              <w:rPr>
                <w:rFonts w:eastAsia="仿宋_GB2312"/>
                <w:b/>
                <w:bCs/>
                <w:sz w:val="24"/>
                <w:highlight w:val="none"/>
                <w:u w:val="single"/>
              </w:rPr>
              <w:t>（ 3 ）</w:t>
            </w:r>
            <w:r>
              <w:rPr>
                <w:rFonts w:eastAsia="仿宋_GB2312"/>
                <w:sz w:val="24"/>
                <w:highlight w:val="none"/>
              </w:rPr>
              <w:t>人组成，其中评审专家</w:t>
            </w:r>
            <w:r>
              <w:rPr>
                <w:rFonts w:eastAsia="仿宋_GB2312"/>
                <w:sz w:val="24"/>
                <w:highlight w:val="none"/>
                <w:u w:val="single"/>
              </w:rPr>
              <w:t xml:space="preserve"> </w:t>
            </w:r>
            <w:r>
              <w:rPr>
                <w:rFonts w:hint="eastAsia" w:eastAsia="仿宋_GB2312"/>
                <w:sz w:val="24"/>
                <w:highlight w:val="none"/>
                <w:u w:val="single"/>
                <w:lang w:val="en-US" w:eastAsia="zh-CN"/>
              </w:rPr>
              <w:t>2</w:t>
            </w:r>
            <w:r>
              <w:rPr>
                <w:rFonts w:eastAsia="仿宋_GB2312"/>
                <w:sz w:val="24"/>
                <w:highlight w:val="none"/>
                <w:u w:val="single"/>
              </w:rPr>
              <w:t xml:space="preserve"> </w:t>
            </w:r>
            <w:r>
              <w:rPr>
                <w:rFonts w:eastAsia="仿宋_GB2312"/>
                <w:sz w:val="24"/>
                <w:highlight w:val="none"/>
              </w:rPr>
              <w:t>人，采购人代表</w:t>
            </w:r>
            <w:r>
              <w:rPr>
                <w:rFonts w:eastAsia="仿宋_GB2312"/>
                <w:sz w:val="24"/>
                <w:highlight w:val="none"/>
                <w:u w:val="single"/>
              </w:rPr>
              <w:t xml:space="preserve"> </w:t>
            </w:r>
            <w:r>
              <w:rPr>
                <w:rFonts w:hint="eastAsia" w:eastAsia="仿宋_GB2312"/>
                <w:sz w:val="24"/>
                <w:highlight w:val="none"/>
                <w:u w:val="single"/>
                <w:lang w:val="en-US" w:eastAsia="zh-CN"/>
              </w:rPr>
              <w:t>1</w:t>
            </w:r>
            <w:r>
              <w:rPr>
                <w:rFonts w:eastAsia="仿宋_GB2312"/>
                <w:sz w:val="24"/>
                <w:highlight w:val="none"/>
                <w:u w:val="single"/>
              </w:rPr>
              <w:t xml:space="preserve"> </w:t>
            </w:r>
            <w:r>
              <w:rPr>
                <w:rFonts w:eastAsia="仿宋_GB2312"/>
                <w:sz w:val="24"/>
                <w:highlight w:val="none"/>
              </w:rPr>
              <w:t>人。</w:t>
            </w:r>
          </w:p>
        </w:tc>
      </w:tr>
      <w:tr w14:paraId="0A1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63F79691">
            <w:pPr>
              <w:pStyle w:val="29"/>
              <w:adjustRightInd w:val="0"/>
              <w:snapToGrid w:val="0"/>
              <w:spacing w:line="240" w:lineRule="auto"/>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23.2.2</w:t>
            </w:r>
          </w:p>
        </w:tc>
        <w:tc>
          <w:tcPr>
            <w:tcW w:w="7650" w:type="dxa"/>
            <w:vAlign w:val="center"/>
          </w:tcPr>
          <w:p w14:paraId="4320639F">
            <w:pPr>
              <w:spacing w:line="360" w:lineRule="auto"/>
              <w:rPr>
                <w:rFonts w:hint="eastAsia" w:eastAsia="仿宋_GB2312"/>
                <w:sz w:val="24"/>
                <w:highlight w:val="none"/>
                <w:u w:val="single"/>
                <w:lang w:val="en-US" w:eastAsia="zh-CN"/>
              </w:rPr>
            </w:pPr>
            <w:r>
              <w:rPr>
                <w:rFonts w:hint="eastAsia" w:eastAsia="仿宋_GB2312"/>
                <w:sz w:val="24"/>
                <w:highlight w:val="none"/>
                <w:u w:val="none"/>
                <w:lang w:val="en-US" w:eastAsia="zh-CN"/>
              </w:rPr>
              <w:t>本项目涉及的政府强制采购产品：</w:t>
            </w:r>
            <w:r>
              <w:rPr>
                <w:rFonts w:hint="eastAsia" w:eastAsia="仿宋_GB2312"/>
                <w:sz w:val="24"/>
                <w:highlight w:val="none"/>
                <w:u w:val="single"/>
                <w:lang w:val="en-US" w:eastAsia="zh-CN"/>
              </w:rPr>
              <w:t>无</w:t>
            </w:r>
          </w:p>
          <w:p w14:paraId="47714B65">
            <w:pPr>
              <w:spacing w:line="360" w:lineRule="exact"/>
              <w:rPr>
                <w:rFonts w:eastAsia="仿宋_GB2312"/>
                <w:sz w:val="24"/>
                <w:highlight w:val="none"/>
              </w:rPr>
            </w:pPr>
            <w:r>
              <w:rPr>
                <w:rFonts w:hint="eastAsia" w:eastAsia="仿宋_GB2312"/>
                <w:sz w:val="24"/>
                <w:highlight w:val="none"/>
                <w:lang w:val="en-US" w:eastAsia="zh-CN"/>
              </w:rPr>
              <w:t>本项目涉及的</w:t>
            </w:r>
            <w:r>
              <w:rPr>
                <w:rFonts w:hint="eastAsia" w:eastAsia="仿宋_GB2312"/>
                <w:sz w:val="24"/>
                <w:highlight w:val="none"/>
              </w:rPr>
              <w:t>网络关键设备和网络安全专用产品</w:t>
            </w:r>
            <w:r>
              <w:rPr>
                <w:rFonts w:hint="eastAsia" w:eastAsia="仿宋_GB2312"/>
                <w:sz w:val="24"/>
                <w:highlight w:val="none"/>
                <w:lang w:eastAsia="zh-CN"/>
              </w:rPr>
              <w:t>：</w:t>
            </w:r>
            <w:r>
              <w:rPr>
                <w:rFonts w:hint="eastAsia" w:eastAsia="仿宋_GB2312"/>
                <w:sz w:val="24"/>
                <w:highlight w:val="none"/>
                <w:u w:val="single"/>
                <w:lang w:val="en-US" w:eastAsia="zh-CN"/>
              </w:rPr>
              <w:t>无</w:t>
            </w:r>
          </w:p>
        </w:tc>
      </w:tr>
      <w:tr w14:paraId="6866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F052798">
            <w:pPr>
              <w:jc w:val="center"/>
              <w:rPr>
                <w:rFonts w:eastAsia="仿宋_GB2312"/>
                <w:sz w:val="24"/>
                <w:highlight w:val="none"/>
              </w:rPr>
            </w:pPr>
            <w:r>
              <w:rPr>
                <w:rFonts w:eastAsia="仿宋_GB2312"/>
                <w:sz w:val="24"/>
                <w:highlight w:val="none"/>
              </w:rPr>
              <w:t>28.1</w:t>
            </w:r>
          </w:p>
        </w:tc>
        <w:tc>
          <w:tcPr>
            <w:tcW w:w="7650" w:type="dxa"/>
            <w:vAlign w:val="center"/>
          </w:tcPr>
          <w:p w14:paraId="27D17DA2">
            <w:pPr>
              <w:jc w:val="left"/>
              <w:rPr>
                <w:rFonts w:eastAsia="仿宋_GB2312"/>
                <w:sz w:val="24"/>
                <w:highlight w:val="none"/>
              </w:rPr>
            </w:pPr>
            <w:r>
              <w:rPr>
                <w:rFonts w:eastAsia="仿宋_GB2312"/>
                <w:sz w:val="24"/>
                <w:highlight w:val="none"/>
              </w:rPr>
              <w:t>□ 本项目要求履约保证金，金额为成交合同金额的</w:t>
            </w:r>
            <w:r>
              <w:rPr>
                <w:rFonts w:eastAsia="仿宋_GB2312"/>
                <w:b/>
                <w:sz w:val="24"/>
                <w:highlight w:val="none"/>
                <w:u w:val="single"/>
              </w:rPr>
              <w:t xml:space="preserve">5% </w:t>
            </w:r>
          </w:p>
          <w:p w14:paraId="4405B540">
            <w:pPr>
              <w:pStyle w:val="23"/>
              <w:rPr>
                <w:rFonts w:ascii="Times New Roman" w:hAnsi="Times New Roman" w:eastAsia="仿宋_GB2312"/>
                <w:highlight w:val="none"/>
              </w:rPr>
            </w:pPr>
          </w:p>
          <w:p w14:paraId="2FCFE801">
            <w:pPr>
              <w:jc w:val="left"/>
              <w:rPr>
                <w:rFonts w:eastAsia="仿宋_GB2312"/>
                <w:highlight w:val="none"/>
              </w:rPr>
            </w:pPr>
            <w:r>
              <w:rPr>
                <w:rFonts w:hint="eastAsia" w:eastAsia="仿宋_GB2312"/>
                <w:sz w:val="24"/>
                <w:highlight w:val="none"/>
                <w:lang w:eastAsia="zh-CN"/>
              </w:rPr>
              <w:t>☑</w:t>
            </w:r>
            <w:r>
              <w:rPr>
                <w:rFonts w:eastAsia="仿宋_GB2312"/>
                <w:sz w:val="24"/>
                <w:highlight w:val="none"/>
              </w:rPr>
              <w:t>本项目不要求履约保证金。</w:t>
            </w:r>
          </w:p>
        </w:tc>
      </w:tr>
    </w:tbl>
    <w:p w14:paraId="3BC35B78">
      <w:pPr>
        <w:rPr>
          <w:rFonts w:eastAsia="仿宋_GB2312"/>
          <w:sz w:val="30"/>
          <w:szCs w:val="30"/>
          <w:highlight w:val="none"/>
        </w:rPr>
      </w:pPr>
      <w:bookmarkStart w:id="70" w:name="_Toc256342144"/>
      <w:bookmarkStart w:id="71" w:name="_Toc177189236"/>
      <w:bookmarkStart w:id="72" w:name="_Toc232176273"/>
      <w:bookmarkStart w:id="73" w:name="_Toc177995474"/>
      <w:bookmarkStart w:id="74" w:name="_Toc249515391"/>
      <w:bookmarkStart w:id="75" w:name="_Toc232395213"/>
      <w:bookmarkStart w:id="76" w:name="_Toc176882543"/>
      <w:bookmarkStart w:id="77" w:name="_Toc184043013"/>
      <w:bookmarkStart w:id="78" w:name="_Toc249525160"/>
      <w:bookmarkStart w:id="79" w:name="_Toc70687140"/>
      <w:bookmarkStart w:id="80" w:name="_Toc230099798"/>
      <w:bookmarkStart w:id="81" w:name="_Toc249515279"/>
      <w:bookmarkStart w:id="82" w:name="_Toc230583542"/>
      <w:bookmarkStart w:id="83" w:name="_Toc177817335"/>
      <w:bookmarkStart w:id="84" w:name="_Toc53722841"/>
      <w:bookmarkStart w:id="85" w:name="_Toc230013633"/>
      <w:r>
        <w:rPr>
          <w:rFonts w:eastAsia="仿宋_GB2312"/>
          <w:sz w:val="30"/>
          <w:szCs w:val="30"/>
          <w:highlight w:val="none"/>
        </w:rPr>
        <w:br w:type="page"/>
      </w:r>
    </w:p>
    <w:p w14:paraId="450159F6">
      <w:pPr>
        <w:pStyle w:val="79"/>
        <w:spacing w:before="24" w:after="24"/>
        <w:jc w:val="center"/>
        <w:rPr>
          <w:rFonts w:eastAsia="仿宋_GB2312"/>
          <w:szCs w:val="32"/>
          <w:highlight w:val="none"/>
        </w:rPr>
      </w:pPr>
      <w:bookmarkStart w:id="86" w:name="_Toc68590968"/>
      <w:r>
        <w:rPr>
          <w:rFonts w:eastAsia="仿宋_GB2312"/>
          <w:szCs w:val="32"/>
          <w:highlight w:val="none"/>
        </w:rPr>
        <w:t>（二）供应商须知</w:t>
      </w:r>
      <w:bookmarkEnd w:id="86"/>
    </w:p>
    <w:p w14:paraId="424F55F5">
      <w:pPr>
        <w:pStyle w:val="79"/>
        <w:spacing w:before="24" w:after="24"/>
        <w:jc w:val="center"/>
        <w:rPr>
          <w:rFonts w:eastAsia="仿宋_GB2312"/>
          <w:sz w:val="30"/>
          <w:szCs w:val="30"/>
          <w:highlight w:val="none"/>
        </w:rPr>
      </w:pPr>
      <w:bookmarkStart w:id="87" w:name="_Toc68590969"/>
      <w:r>
        <w:rPr>
          <w:rFonts w:eastAsia="仿宋_GB2312"/>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255AA6AC">
      <w:pPr>
        <w:rPr>
          <w:rFonts w:eastAsia="仿宋_GB2312"/>
          <w:highlight w:val="none"/>
        </w:rPr>
      </w:pPr>
    </w:p>
    <w:p w14:paraId="20CA38CC">
      <w:pPr>
        <w:pStyle w:val="6"/>
        <w:rPr>
          <w:rFonts w:ascii="Times New Roman" w:hAnsi="Times New Roman" w:eastAsia="仿宋_GB2312"/>
          <w:b/>
          <w:sz w:val="24"/>
          <w:szCs w:val="21"/>
          <w:highlight w:val="none"/>
        </w:rPr>
      </w:pPr>
      <w:bookmarkStart w:id="88" w:name="_Hlt14560612"/>
      <w:bookmarkEnd w:id="88"/>
      <w:bookmarkStart w:id="89" w:name="_Toc249525161"/>
      <w:bookmarkStart w:id="90" w:name="_Toc184043014"/>
      <w:bookmarkStart w:id="91" w:name="_Toc25504"/>
      <w:bookmarkStart w:id="92" w:name="_Toc249515280"/>
      <w:bookmarkStart w:id="93" w:name="_Toc249515392"/>
      <w:r>
        <w:rPr>
          <w:rFonts w:ascii="Times New Roman" w:hAnsi="Times New Roman" w:eastAsia="仿宋_GB2312"/>
          <w:b/>
          <w:sz w:val="24"/>
          <w:szCs w:val="21"/>
          <w:highlight w:val="none"/>
        </w:rPr>
        <w:t>1.     项目说明</w:t>
      </w:r>
      <w:bookmarkEnd w:id="89"/>
      <w:bookmarkEnd w:id="90"/>
      <w:bookmarkEnd w:id="91"/>
      <w:bookmarkEnd w:id="92"/>
      <w:bookmarkEnd w:id="93"/>
    </w:p>
    <w:p w14:paraId="7BB85B3D">
      <w:pPr>
        <w:pStyle w:val="65"/>
        <w:widowControl w:val="0"/>
        <w:tabs>
          <w:tab w:val="left" w:pos="588"/>
        </w:tabs>
        <w:spacing w:before="0" w:beforeAutospacing="0" w:after="0" w:afterAutospacing="0"/>
        <w:textAlignment w:val="auto"/>
        <w:rPr>
          <w:rFonts w:eastAsia="仿宋_GB2312"/>
          <w:kern w:val="24"/>
          <w:szCs w:val="21"/>
          <w:highlight w:val="none"/>
        </w:rPr>
      </w:pPr>
      <w:r>
        <w:rPr>
          <w:rFonts w:eastAsia="仿宋_GB2312"/>
          <w:kern w:val="24"/>
          <w:szCs w:val="21"/>
          <w:highlight w:val="none"/>
        </w:rPr>
        <w:t>1.1    项目说明：</w:t>
      </w:r>
      <w:r>
        <w:rPr>
          <w:rFonts w:eastAsia="仿宋_GB2312"/>
          <w:b/>
          <w:kern w:val="24"/>
          <w:szCs w:val="21"/>
          <w:highlight w:val="none"/>
        </w:rPr>
        <w:t>见供应商须知前附表</w:t>
      </w:r>
      <w:r>
        <w:rPr>
          <w:rFonts w:eastAsia="仿宋_GB2312"/>
          <w:kern w:val="24"/>
          <w:szCs w:val="21"/>
          <w:highlight w:val="none"/>
        </w:rPr>
        <w:t>。</w:t>
      </w:r>
    </w:p>
    <w:p w14:paraId="265E2EAC">
      <w:pPr>
        <w:pStyle w:val="6"/>
        <w:rPr>
          <w:rFonts w:ascii="Times New Roman" w:hAnsi="Times New Roman" w:eastAsia="仿宋_GB2312"/>
          <w:b/>
          <w:sz w:val="24"/>
          <w:szCs w:val="21"/>
          <w:highlight w:val="none"/>
        </w:rPr>
      </w:pPr>
      <w:bookmarkStart w:id="94" w:name="_Toc249515393"/>
      <w:bookmarkStart w:id="95" w:name="_Toc31509"/>
      <w:bookmarkStart w:id="96" w:name="_Toc249515281"/>
      <w:bookmarkStart w:id="97" w:name="_Toc184043015"/>
      <w:bookmarkStart w:id="98" w:name="_Toc249525162"/>
      <w:bookmarkStart w:id="99" w:name="_Toc70687142"/>
      <w:r>
        <w:rPr>
          <w:rFonts w:ascii="Times New Roman" w:hAnsi="Times New Roman" w:eastAsia="仿宋_GB2312"/>
          <w:b/>
          <w:sz w:val="24"/>
          <w:szCs w:val="21"/>
          <w:highlight w:val="none"/>
        </w:rPr>
        <w:t>2.     定义</w:t>
      </w:r>
      <w:bookmarkEnd w:id="94"/>
      <w:bookmarkEnd w:id="95"/>
      <w:bookmarkEnd w:id="96"/>
      <w:bookmarkEnd w:id="97"/>
      <w:bookmarkEnd w:id="98"/>
      <w:bookmarkEnd w:id="99"/>
    </w:p>
    <w:p w14:paraId="4DA7BCF6">
      <w:pPr>
        <w:tabs>
          <w:tab w:val="left" w:pos="588"/>
        </w:tabs>
        <w:spacing w:line="360" w:lineRule="auto"/>
        <w:rPr>
          <w:rFonts w:eastAsia="仿宋_GB2312"/>
          <w:sz w:val="24"/>
          <w:highlight w:val="none"/>
        </w:rPr>
      </w:pPr>
      <w:r>
        <w:rPr>
          <w:rFonts w:eastAsia="仿宋_GB2312"/>
          <w:sz w:val="24"/>
          <w:highlight w:val="none"/>
        </w:rPr>
        <w:t>2.1    采购人：</w:t>
      </w:r>
      <w:r>
        <w:rPr>
          <w:rFonts w:eastAsia="仿宋_GB2312"/>
          <w:b/>
          <w:sz w:val="24"/>
          <w:highlight w:val="none"/>
        </w:rPr>
        <w:t>见供应商须知前附表</w:t>
      </w:r>
      <w:r>
        <w:rPr>
          <w:rFonts w:eastAsia="仿宋_GB2312"/>
          <w:sz w:val="24"/>
          <w:highlight w:val="none"/>
        </w:rPr>
        <w:t>。</w:t>
      </w:r>
    </w:p>
    <w:p w14:paraId="4E920F09">
      <w:pPr>
        <w:pStyle w:val="23"/>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2.2    采购代理机构：</w:t>
      </w:r>
      <w:r>
        <w:rPr>
          <w:rFonts w:ascii="Times New Roman" w:hAnsi="Times New Roman" w:eastAsia="仿宋_GB2312"/>
          <w:b/>
          <w:kern w:val="24"/>
          <w:sz w:val="24"/>
          <w:szCs w:val="21"/>
          <w:highlight w:val="none"/>
        </w:rPr>
        <w:t>见供应商须知前附表</w:t>
      </w:r>
      <w:r>
        <w:rPr>
          <w:rFonts w:ascii="Times New Roman" w:hAnsi="Times New Roman" w:eastAsia="仿宋_GB2312"/>
          <w:kern w:val="24"/>
          <w:sz w:val="24"/>
          <w:szCs w:val="21"/>
          <w:highlight w:val="none"/>
        </w:rPr>
        <w:t>。</w:t>
      </w:r>
    </w:p>
    <w:p w14:paraId="0948A3EB">
      <w:pPr>
        <w:pStyle w:val="23"/>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    供应商：指响应磋商文件要求、参加竞争性磋商采购的法人、其他组织或者自然人。本次政府采购项目邀请供应商方式见</w:t>
      </w:r>
      <w:r>
        <w:rPr>
          <w:rFonts w:ascii="Times New Roman" w:hAnsi="Times New Roman" w:eastAsia="仿宋_GB2312"/>
          <w:b/>
          <w:sz w:val="24"/>
          <w:highlight w:val="none"/>
        </w:rPr>
        <w:t>供应商须知前附表。</w:t>
      </w:r>
    </w:p>
    <w:p w14:paraId="737B7AD1">
      <w:pPr>
        <w:pStyle w:val="23"/>
        <w:tabs>
          <w:tab w:val="left" w:pos="360"/>
        </w:tabs>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2.4    磋商小组：指依据《中华人民共和国政府采购法》和财政部《政府采购竞争性磋商采购方式管理暂行办法》有关规定组建，依法依规履行其职责和义务的</w:t>
      </w:r>
      <w:r>
        <w:rPr>
          <w:rFonts w:hint="eastAsia" w:ascii="Times New Roman" w:hAnsi="Times New Roman" w:eastAsia="仿宋_GB2312"/>
          <w:sz w:val="24"/>
          <w:highlight w:val="none"/>
          <w:lang w:val="en-US" w:eastAsia="zh-CN"/>
        </w:rPr>
        <w:t>组织</w:t>
      </w:r>
      <w:r>
        <w:rPr>
          <w:rFonts w:ascii="Times New Roman" w:hAnsi="Times New Roman" w:eastAsia="仿宋_GB2312"/>
          <w:sz w:val="24"/>
          <w:highlight w:val="none"/>
        </w:rPr>
        <w:t>。</w:t>
      </w:r>
    </w:p>
    <w:p w14:paraId="5EC403DB">
      <w:pPr>
        <w:pStyle w:val="6"/>
        <w:rPr>
          <w:rFonts w:ascii="Times New Roman" w:hAnsi="Times New Roman" w:eastAsia="仿宋_GB2312"/>
          <w:b/>
          <w:sz w:val="24"/>
          <w:szCs w:val="21"/>
          <w:highlight w:val="none"/>
        </w:rPr>
      </w:pPr>
      <w:bookmarkStart w:id="100" w:name="_Toc249525163"/>
      <w:bookmarkStart w:id="101" w:name="_Toc385992329"/>
      <w:bookmarkStart w:id="102" w:name="_Toc184043016"/>
      <w:bookmarkStart w:id="103" w:name="_Toc249515394"/>
      <w:bookmarkStart w:id="104" w:name="_Toc23705"/>
      <w:bookmarkStart w:id="105" w:name="_Toc249515282"/>
      <w:bookmarkStart w:id="106" w:name="_Toc389620168"/>
      <w:bookmarkStart w:id="107" w:name="_Toc70687143"/>
      <w:r>
        <w:rPr>
          <w:rFonts w:ascii="Times New Roman" w:hAnsi="Times New Roman" w:eastAsia="仿宋_GB2312"/>
          <w:b/>
          <w:sz w:val="24"/>
          <w:szCs w:val="21"/>
          <w:highlight w:val="none"/>
        </w:rPr>
        <w:t>3.     合格的供应商</w:t>
      </w:r>
      <w:bookmarkEnd w:id="100"/>
      <w:bookmarkEnd w:id="101"/>
      <w:bookmarkEnd w:id="102"/>
      <w:bookmarkEnd w:id="103"/>
      <w:bookmarkEnd w:id="104"/>
      <w:bookmarkEnd w:id="105"/>
      <w:bookmarkEnd w:id="106"/>
      <w:bookmarkEnd w:id="107"/>
    </w:p>
    <w:p w14:paraId="23F26B64">
      <w:pPr>
        <w:tabs>
          <w:tab w:val="left" w:pos="588"/>
        </w:tabs>
        <w:spacing w:line="360" w:lineRule="auto"/>
        <w:rPr>
          <w:rFonts w:eastAsia="仿宋_GB2312"/>
          <w:kern w:val="24"/>
          <w:sz w:val="24"/>
          <w:szCs w:val="21"/>
          <w:highlight w:val="none"/>
        </w:rPr>
      </w:pPr>
      <w:r>
        <w:rPr>
          <w:rFonts w:eastAsia="仿宋_GB2312"/>
          <w:kern w:val="24"/>
          <w:sz w:val="24"/>
          <w:szCs w:val="21"/>
          <w:highlight w:val="none"/>
        </w:rPr>
        <w:t>3.1    供应商基本资质要求详见</w:t>
      </w:r>
      <w:r>
        <w:rPr>
          <w:rFonts w:eastAsia="仿宋_GB2312"/>
          <w:b/>
          <w:kern w:val="24"/>
          <w:sz w:val="24"/>
          <w:szCs w:val="21"/>
          <w:highlight w:val="none"/>
        </w:rPr>
        <w:t>供应商须知前附表</w:t>
      </w:r>
      <w:r>
        <w:rPr>
          <w:rFonts w:eastAsia="仿宋_GB2312"/>
          <w:kern w:val="24"/>
          <w:sz w:val="24"/>
          <w:szCs w:val="21"/>
          <w:highlight w:val="none"/>
        </w:rPr>
        <w:t>。</w:t>
      </w:r>
    </w:p>
    <w:p w14:paraId="23C1D10B">
      <w:pPr>
        <w:tabs>
          <w:tab w:val="left" w:pos="588"/>
        </w:tabs>
        <w:spacing w:line="360" w:lineRule="auto"/>
        <w:rPr>
          <w:rFonts w:eastAsia="仿宋_GB2312"/>
          <w:kern w:val="24"/>
          <w:sz w:val="24"/>
          <w:szCs w:val="21"/>
          <w:highlight w:val="none"/>
        </w:rPr>
      </w:pPr>
      <w:r>
        <w:rPr>
          <w:rFonts w:eastAsia="仿宋_GB2312"/>
          <w:kern w:val="24"/>
          <w:sz w:val="24"/>
          <w:szCs w:val="21"/>
          <w:highlight w:val="none"/>
        </w:rPr>
        <w:t>3.2    本项目将执行在政府采购活动中查询及使用信用记录的规定，具体要求为：</w:t>
      </w:r>
    </w:p>
    <w:p w14:paraId="06A597B2">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3.2.1  供应商应当未被列入失信被执行人、</w:t>
      </w:r>
      <w:r>
        <w:rPr>
          <w:rFonts w:hint="eastAsia" w:eastAsia="仿宋_GB2312"/>
          <w:kern w:val="24"/>
          <w:sz w:val="24"/>
          <w:szCs w:val="21"/>
          <w:highlight w:val="none"/>
        </w:rPr>
        <w:t>重大</w:t>
      </w:r>
      <w:r>
        <w:rPr>
          <w:rFonts w:eastAsia="仿宋_GB2312"/>
          <w:sz w:val="24"/>
          <w:highlight w:val="none"/>
        </w:rPr>
        <w:t>税收违法</w:t>
      </w:r>
      <w:r>
        <w:rPr>
          <w:rFonts w:hint="eastAsia" w:eastAsia="仿宋_GB2312"/>
          <w:sz w:val="24"/>
          <w:highlight w:val="none"/>
        </w:rPr>
        <w:t>失信主体</w:t>
      </w:r>
      <w:r>
        <w:rPr>
          <w:rFonts w:eastAsia="仿宋_GB2312"/>
          <w:kern w:val="24"/>
          <w:sz w:val="24"/>
          <w:szCs w:val="21"/>
          <w:highlight w:val="none"/>
        </w:rPr>
        <w:t>、政府采购严重违法失信行为记录名单，否则不得参与政府采购活动。</w:t>
      </w:r>
    </w:p>
    <w:p w14:paraId="1A94F639">
      <w:pPr>
        <w:tabs>
          <w:tab w:val="left" w:pos="588"/>
        </w:tabs>
        <w:spacing w:line="360" w:lineRule="auto"/>
        <w:rPr>
          <w:rFonts w:eastAsia="仿宋_GB2312"/>
          <w:kern w:val="24"/>
          <w:sz w:val="24"/>
          <w:szCs w:val="21"/>
          <w:highlight w:val="none"/>
        </w:rPr>
      </w:pPr>
      <w:r>
        <w:rPr>
          <w:rFonts w:eastAsia="仿宋_GB2312"/>
          <w:kern w:val="24"/>
          <w:sz w:val="24"/>
          <w:szCs w:val="21"/>
          <w:highlight w:val="none"/>
        </w:rPr>
        <w:t>3.2.2  信用信息查询的时间：</w:t>
      </w:r>
      <w:r>
        <w:rPr>
          <w:rFonts w:hint="eastAsia" w:eastAsia="仿宋_GB2312"/>
          <w:kern w:val="24"/>
          <w:sz w:val="24"/>
          <w:szCs w:val="21"/>
          <w:highlight w:val="none"/>
          <w:lang w:val="en-US" w:eastAsia="zh-CN"/>
        </w:rPr>
        <w:t>对本项目供应商进行</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r>
        <w:rPr>
          <w:rFonts w:eastAsia="仿宋_GB2312"/>
          <w:kern w:val="24"/>
          <w:sz w:val="24"/>
          <w:szCs w:val="21"/>
          <w:highlight w:val="none"/>
        </w:rPr>
        <w:t xml:space="preserve"> </w:t>
      </w:r>
    </w:p>
    <w:p w14:paraId="16D877B3">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3.2.3  查询渠道：“信用中国”网站（www.creditchina.gov.cn）和中国政府采购网（www.ccgp.gov.cn）； </w:t>
      </w:r>
    </w:p>
    <w:p w14:paraId="68CA15B8">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3.2.4  信用信息查询记录和证据留存具体方式：将供应商的查询结果网页截图作为查询记录和证据，与其他采购文件一并保存； </w:t>
      </w:r>
    </w:p>
    <w:p w14:paraId="285C2BF6">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2</w:t>
      </w:r>
      <w:r>
        <w:rPr>
          <w:rFonts w:eastAsia="仿宋_GB2312"/>
          <w:kern w:val="24"/>
          <w:sz w:val="24"/>
          <w:szCs w:val="21"/>
          <w:highlight w:val="none"/>
        </w:rPr>
        <w:t>.5  信用信息的使用规则：采购人或采购代理机构若发现参与本项目政府采购活动的供应商</w:t>
      </w:r>
      <w:r>
        <w:rPr>
          <w:rFonts w:hint="eastAsia" w:eastAsia="仿宋_GB2312"/>
          <w:kern w:val="24"/>
          <w:sz w:val="24"/>
          <w:szCs w:val="21"/>
          <w:highlight w:val="none"/>
        </w:rPr>
        <w:t>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r>
        <w:rPr>
          <w:rFonts w:hint="eastAsia" w:eastAsia="仿宋_GB2312"/>
          <w:kern w:val="24"/>
          <w:sz w:val="24"/>
          <w:szCs w:val="21"/>
          <w:highlight w:val="none"/>
          <w:lang w:eastAsia="zh-CN"/>
        </w:rPr>
        <w:t>的</w:t>
      </w:r>
      <w:r>
        <w:rPr>
          <w:rFonts w:eastAsia="仿宋_GB2312"/>
          <w:kern w:val="24"/>
          <w:sz w:val="24"/>
          <w:szCs w:val="21"/>
          <w:highlight w:val="none"/>
        </w:rPr>
        <w:t>，将信用信息查询记录提交给磋商小组，作无效文件进行处理。</w:t>
      </w:r>
    </w:p>
    <w:p w14:paraId="482CD0A5">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3</w:t>
      </w:r>
      <w:r>
        <w:rPr>
          <w:rFonts w:eastAsia="仿宋_GB2312"/>
          <w:kern w:val="24"/>
          <w:sz w:val="24"/>
          <w:szCs w:val="21"/>
          <w:highlight w:val="none"/>
        </w:rPr>
        <w:t xml:space="preserve">    供应商必须向采购人或采购代理机构</w:t>
      </w:r>
      <w:r>
        <w:rPr>
          <w:rFonts w:hint="eastAsia" w:eastAsia="仿宋_GB2312"/>
          <w:kern w:val="24"/>
          <w:sz w:val="24"/>
          <w:szCs w:val="21"/>
          <w:highlight w:val="none"/>
        </w:rPr>
        <w:t>获取</w:t>
      </w:r>
      <w:r>
        <w:rPr>
          <w:rFonts w:eastAsia="仿宋_GB2312"/>
          <w:kern w:val="24"/>
          <w:sz w:val="24"/>
          <w:szCs w:val="21"/>
          <w:highlight w:val="none"/>
        </w:rPr>
        <w:t>磋商文件，未向采购人或采购代理机构</w:t>
      </w:r>
      <w:r>
        <w:rPr>
          <w:rFonts w:hint="eastAsia" w:eastAsia="仿宋_GB2312"/>
          <w:kern w:val="24"/>
          <w:sz w:val="24"/>
          <w:szCs w:val="21"/>
          <w:highlight w:val="none"/>
        </w:rPr>
        <w:t>获取</w:t>
      </w:r>
      <w:r>
        <w:rPr>
          <w:rFonts w:eastAsia="仿宋_GB2312"/>
          <w:kern w:val="24"/>
          <w:sz w:val="24"/>
          <w:szCs w:val="21"/>
          <w:highlight w:val="none"/>
        </w:rPr>
        <w:t>磋商文件的潜在供应商均无资格参加本次采购</w:t>
      </w:r>
      <w:r>
        <w:rPr>
          <w:rFonts w:hint="eastAsia" w:eastAsia="仿宋_GB2312"/>
          <w:kern w:val="24"/>
          <w:sz w:val="24"/>
          <w:szCs w:val="21"/>
          <w:highlight w:val="none"/>
          <w:lang w:val="en-US" w:eastAsia="zh-CN"/>
        </w:rPr>
        <w:t>活动</w:t>
      </w:r>
      <w:r>
        <w:rPr>
          <w:rFonts w:eastAsia="仿宋_GB2312"/>
          <w:kern w:val="24"/>
          <w:sz w:val="24"/>
          <w:szCs w:val="21"/>
          <w:highlight w:val="none"/>
        </w:rPr>
        <w:t>。</w:t>
      </w:r>
    </w:p>
    <w:p w14:paraId="3EBCE7E0">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0BB7FCC9">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033C8C17">
      <w:pPr>
        <w:pStyle w:val="23"/>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19E2A8E2">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6168F2A4">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42A64021">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5DF47D7B">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45D91219">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14:paraId="080261B6">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7E8F0120">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779D37DE">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14:paraId="028BA71D">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5A4BE5EA">
      <w:pPr>
        <w:pStyle w:val="6"/>
        <w:rPr>
          <w:rFonts w:ascii="Times New Roman" w:hAnsi="Times New Roman" w:eastAsia="仿宋_GB2312"/>
          <w:b/>
          <w:sz w:val="24"/>
          <w:szCs w:val="21"/>
        </w:rPr>
      </w:pPr>
      <w:bookmarkStart w:id="108" w:name="_Toc249515395"/>
      <w:bookmarkStart w:id="109" w:name="_Toc26580"/>
      <w:bookmarkStart w:id="110" w:name="_Toc389620169"/>
      <w:bookmarkStart w:id="111" w:name="_Toc385992330"/>
      <w:bookmarkStart w:id="112" w:name="_Toc184043017"/>
      <w:bookmarkStart w:id="113" w:name="_Toc249515283"/>
      <w:bookmarkStart w:id="114" w:name="_Toc70687144"/>
      <w:bookmarkStart w:id="115" w:name="_Toc249525164"/>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14:paraId="167E86D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14:paraId="2586BCF5">
      <w:pPr>
        <w:pStyle w:val="23"/>
        <w:rPr>
          <w:rFonts w:ascii="Times New Roman" w:hAnsi="Times New Roman" w:eastAsia="仿宋_GB2312"/>
        </w:rPr>
      </w:pPr>
    </w:p>
    <w:p w14:paraId="2891F123">
      <w:pPr>
        <w:pStyle w:val="79"/>
        <w:spacing w:before="24" w:after="24"/>
        <w:ind w:left="3313"/>
        <w:rPr>
          <w:rFonts w:eastAsia="仿宋_GB2312"/>
          <w:sz w:val="30"/>
          <w:szCs w:val="30"/>
        </w:rPr>
      </w:pPr>
      <w:bookmarkStart w:id="116" w:name="_Toc68590970"/>
      <w:r>
        <w:rPr>
          <w:rFonts w:eastAsia="仿宋_GB2312"/>
          <w:sz w:val="30"/>
          <w:szCs w:val="30"/>
        </w:rPr>
        <w:t>二、磋商文件说明</w:t>
      </w:r>
      <w:bookmarkEnd w:id="116"/>
    </w:p>
    <w:p w14:paraId="2A4A321E">
      <w:pPr>
        <w:rPr>
          <w:rFonts w:eastAsia="仿宋_GB2312"/>
        </w:rPr>
      </w:pPr>
    </w:p>
    <w:p w14:paraId="6AE886C3">
      <w:pPr>
        <w:pStyle w:val="6"/>
        <w:numPr>
          <w:ilvl w:val="0"/>
          <w:numId w:val="5"/>
        </w:numPr>
        <w:rPr>
          <w:rFonts w:ascii="Times New Roman" w:hAnsi="Times New Roman" w:eastAsia="仿宋_GB2312"/>
          <w:b/>
          <w:sz w:val="24"/>
          <w:szCs w:val="21"/>
        </w:rPr>
      </w:pPr>
      <w:bookmarkStart w:id="117" w:name="_Toc128"/>
      <w:bookmarkStart w:id="118" w:name="_Toc249515397"/>
      <w:bookmarkStart w:id="119" w:name="_Toc389620171"/>
      <w:bookmarkStart w:id="120" w:name="_Toc184043019"/>
      <w:bookmarkStart w:id="121" w:name="_Toc249525166"/>
      <w:bookmarkStart w:id="122" w:name="_Toc70687146"/>
      <w:bookmarkStart w:id="123" w:name="_Toc249515285"/>
      <w:bookmarkStart w:id="124" w:name="_Toc385992332"/>
      <w:r>
        <w:rPr>
          <w:rFonts w:ascii="Times New Roman" w:hAnsi="Times New Roman" w:eastAsia="仿宋_GB2312"/>
          <w:b/>
          <w:sz w:val="24"/>
          <w:szCs w:val="21"/>
        </w:rPr>
        <w:t xml:space="preserve">    通知</w:t>
      </w:r>
      <w:bookmarkEnd w:id="117"/>
    </w:p>
    <w:p w14:paraId="30CFBA9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采购人可主动地或在解答</w:t>
      </w:r>
      <w:r>
        <w:rPr>
          <w:rFonts w:hint="eastAsia" w:eastAsia="仿宋_GB2312"/>
          <w:kern w:val="24"/>
          <w:sz w:val="24"/>
          <w:szCs w:val="21"/>
          <w:lang w:val="en-US" w:eastAsia="zh-CN"/>
        </w:rPr>
        <w:t>供应商</w:t>
      </w:r>
      <w:r>
        <w:rPr>
          <w:rFonts w:eastAsia="仿宋_GB2312"/>
          <w:kern w:val="24"/>
          <w:sz w:val="24"/>
          <w:szCs w:val="21"/>
        </w:rPr>
        <w:t>提出的澄清问题时对</w:t>
      </w:r>
      <w:r>
        <w:rPr>
          <w:rFonts w:hint="eastAsia" w:eastAsia="仿宋_GB2312"/>
          <w:kern w:val="24"/>
          <w:sz w:val="24"/>
          <w:szCs w:val="21"/>
          <w:lang w:val="en-US" w:eastAsia="zh-CN"/>
        </w:rPr>
        <w:t>采购</w:t>
      </w:r>
      <w:r>
        <w:rPr>
          <w:rFonts w:eastAsia="仿宋_GB2312"/>
          <w:kern w:val="24"/>
          <w:sz w:val="24"/>
          <w:szCs w:val="21"/>
        </w:rPr>
        <w:t>文件进行澄清或修改。采购代理机构将以发布澄清（更正）公告的方式，澄清或修改</w:t>
      </w:r>
      <w:r>
        <w:rPr>
          <w:rFonts w:hint="eastAsia" w:eastAsia="仿宋_GB2312"/>
          <w:kern w:val="24"/>
          <w:sz w:val="24"/>
          <w:szCs w:val="21"/>
          <w:lang w:val="en-US" w:eastAsia="zh-CN"/>
        </w:rPr>
        <w:t>采购</w:t>
      </w:r>
      <w:r>
        <w:rPr>
          <w:rFonts w:eastAsia="仿宋_GB2312"/>
          <w:kern w:val="24"/>
          <w:sz w:val="24"/>
          <w:szCs w:val="21"/>
        </w:rPr>
        <w:t>文件，澄清或修改内容作为</w:t>
      </w:r>
      <w:r>
        <w:rPr>
          <w:rFonts w:hint="eastAsia" w:eastAsia="仿宋_GB2312"/>
          <w:kern w:val="24"/>
          <w:sz w:val="24"/>
          <w:szCs w:val="21"/>
          <w:lang w:val="en-US" w:eastAsia="zh-CN"/>
        </w:rPr>
        <w:t>采购</w:t>
      </w:r>
      <w:r>
        <w:rPr>
          <w:rFonts w:eastAsia="仿宋_GB2312"/>
          <w:kern w:val="24"/>
          <w:sz w:val="24"/>
          <w:szCs w:val="21"/>
        </w:rPr>
        <w:t>文件的组成部分。</w:t>
      </w:r>
    </w:p>
    <w:p w14:paraId="13DF1BBE">
      <w:pPr>
        <w:pStyle w:val="6"/>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14:paraId="4928B57E">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w:t>
      </w:r>
      <w:r>
        <w:rPr>
          <w:rFonts w:hint="eastAsia" w:eastAsia="仿宋_GB2312"/>
          <w:sz w:val="24"/>
          <w:lang w:val="en-US" w:eastAsia="zh-CN"/>
        </w:rPr>
        <w:t>六</w:t>
      </w:r>
      <w:r>
        <w:rPr>
          <w:rFonts w:eastAsia="仿宋_GB2312"/>
          <w:sz w:val="24"/>
        </w:rPr>
        <w:t>章内容：</w:t>
      </w:r>
    </w:p>
    <w:p w14:paraId="591392A9">
      <w:pPr>
        <w:pStyle w:val="23"/>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14:paraId="1E58B4C3">
      <w:pPr>
        <w:pStyle w:val="23"/>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14:paraId="03F4AA68">
      <w:pPr>
        <w:pStyle w:val="23"/>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14:paraId="6D5F6A20">
      <w:pPr>
        <w:pStyle w:val="23"/>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14:paraId="048899FC">
      <w:pPr>
        <w:pStyle w:val="23"/>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14:paraId="438DC759">
      <w:pPr>
        <w:pStyle w:val="23"/>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14:paraId="3560D76D">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38193D1">
      <w:pPr>
        <w:pStyle w:val="6"/>
        <w:rPr>
          <w:rFonts w:ascii="Times New Roman" w:hAnsi="Times New Roman" w:eastAsia="仿宋_GB2312"/>
          <w:b/>
          <w:sz w:val="24"/>
          <w:szCs w:val="21"/>
        </w:rPr>
      </w:pPr>
      <w:bookmarkStart w:id="126" w:name="_Toc184043020"/>
      <w:bookmarkStart w:id="127" w:name="_Toc389620172"/>
      <w:bookmarkStart w:id="128" w:name="_Toc249525167"/>
      <w:bookmarkStart w:id="129" w:name="_Toc249515398"/>
      <w:bookmarkStart w:id="130" w:name="_Toc249515286"/>
      <w:bookmarkStart w:id="131" w:name="_Toc385992333"/>
      <w:bookmarkStart w:id="132" w:name="_Toc70687147"/>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14:paraId="3F9BF5BA">
      <w:pPr>
        <w:tabs>
          <w:tab w:val="left" w:pos="588"/>
        </w:tabs>
        <w:spacing w:line="360" w:lineRule="auto"/>
        <w:ind w:left="840" w:hanging="840" w:hangingChars="350"/>
        <w:rPr>
          <w:rFonts w:eastAsia="仿宋_GB2312"/>
          <w:sz w:val="24"/>
        </w:rPr>
      </w:pPr>
      <w:bookmarkStart w:id="134" w:name="_Toc385992334"/>
      <w:bookmarkStart w:id="135" w:name="_Toc70687148"/>
      <w:bookmarkStart w:id="136" w:name="_Toc389620173"/>
      <w:r>
        <w:rPr>
          <w:rFonts w:eastAsia="仿宋_GB2312"/>
          <w:sz w:val="24"/>
        </w:rPr>
        <w:t xml:space="preserve">7.1    </w:t>
      </w:r>
      <w:bookmarkEnd w:id="134"/>
      <w:bookmarkEnd w:id="135"/>
      <w:bookmarkEnd w:id="136"/>
      <w:bookmarkStart w:id="137" w:name="_Toc500746969"/>
      <w:bookmarkStart w:id="138" w:name="_Toc500747065"/>
      <w:bookmarkStart w:id="139" w:name="_Toc499711046"/>
      <w:bookmarkStart w:id="140" w:name="_Toc492955418"/>
      <w:bookmarkStart w:id="141" w:name="_Toc385992335"/>
      <w:bookmarkStart w:id="142" w:name="_Toc53722843"/>
      <w:bookmarkStart w:id="143" w:name="_Toc496324582"/>
      <w:bookmarkStart w:id="144" w:name="_Toc499711887"/>
      <w:bookmarkStart w:id="145" w:name="_Toc503063425"/>
      <w:bookmarkStart w:id="146" w:name="_Toc389620174"/>
      <w:bookmarkStart w:id="147" w:name="_Toc70687149"/>
      <w:bookmarkStart w:id="148" w:name="_Toc500747192"/>
      <w:r>
        <w:rPr>
          <w:rFonts w:eastAsia="仿宋_GB2312"/>
          <w:sz w:val="24"/>
        </w:rPr>
        <w:t>在首次响应文件递交截止时间前，采购人或采购代理机构可以对已发出的磋商文件进行必要的澄清或修改，澄清或修改的内容为磋商文件的组成部分。</w:t>
      </w:r>
    </w:p>
    <w:p w14:paraId="5501F4BD">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14:paraId="4C188BEC">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14:paraId="3F75A8E4">
      <w:pPr>
        <w:pStyle w:val="23"/>
      </w:pPr>
    </w:p>
    <w:p w14:paraId="741B7D0F">
      <w:pPr>
        <w:pStyle w:val="79"/>
        <w:spacing w:before="24" w:after="24"/>
        <w:ind w:left="3313"/>
        <w:rPr>
          <w:rFonts w:eastAsia="仿宋_GB2312"/>
          <w:sz w:val="30"/>
          <w:szCs w:val="30"/>
        </w:rPr>
      </w:pPr>
      <w:bookmarkStart w:id="149" w:name="_Toc177995476"/>
      <w:bookmarkStart w:id="150" w:name="_Toc232395215"/>
      <w:bookmarkStart w:id="151" w:name="_Toc249515288"/>
      <w:bookmarkStart w:id="152" w:name="_Toc249515400"/>
      <w:bookmarkStart w:id="153" w:name="_Toc230099800"/>
      <w:bookmarkStart w:id="154" w:name="_Toc177189238"/>
      <w:bookmarkStart w:id="155" w:name="_Toc256342146"/>
      <w:bookmarkStart w:id="156" w:name="_Toc230013635"/>
      <w:bookmarkStart w:id="157" w:name="_Toc249525169"/>
      <w:bookmarkStart w:id="158" w:name="_Toc68590971"/>
      <w:bookmarkStart w:id="159" w:name="_Toc184043022"/>
      <w:bookmarkStart w:id="160" w:name="_Toc177817337"/>
      <w:bookmarkStart w:id="161" w:name="_Toc230583544"/>
      <w:bookmarkStart w:id="162" w:name="_Toc176882545"/>
      <w:bookmarkStart w:id="163" w:name="_Toc232176275"/>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77DD467">
      <w:pPr>
        <w:pStyle w:val="6"/>
        <w:rPr>
          <w:rFonts w:ascii="Times New Roman" w:hAnsi="Times New Roman" w:eastAsia="仿宋_GB2312"/>
          <w:b/>
          <w:sz w:val="24"/>
          <w:szCs w:val="21"/>
        </w:rPr>
      </w:pPr>
      <w:bookmarkStart w:id="164" w:name="_Toc30150"/>
      <w:bookmarkStart w:id="165" w:name="_Toc249515401"/>
      <w:bookmarkStart w:id="166" w:name="_Toc70687150"/>
      <w:bookmarkStart w:id="167" w:name="_Toc249515289"/>
      <w:bookmarkStart w:id="168" w:name="_Toc249525170"/>
      <w:bookmarkStart w:id="169" w:name="_Toc184043023"/>
      <w:bookmarkStart w:id="170" w:name="_Toc385992337"/>
      <w:bookmarkStart w:id="171" w:name="_Toc389620176"/>
      <w:r>
        <w:rPr>
          <w:rFonts w:ascii="Times New Roman" w:hAnsi="Times New Roman" w:eastAsia="仿宋_GB2312"/>
          <w:b/>
          <w:sz w:val="24"/>
          <w:szCs w:val="21"/>
        </w:rPr>
        <w:t>8.     响应文件语言</w:t>
      </w:r>
      <w:bookmarkEnd w:id="164"/>
      <w:bookmarkEnd w:id="165"/>
      <w:bookmarkEnd w:id="166"/>
      <w:bookmarkEnd w:id="167"/>
      <w:bookmarkEnd w:id="168"/>
      <w:bookmarkEnd w:id="169"/>
    </w:p>
    <w:p w14:paraId="69821237">
      <w:pPr>
        <w:tabs>
          <w:tab w:val="left" w:pos="588"/>
        </w:tabs>
        <w:spacing w:line="360" w:lineRule="auto"/>
        <w:rPr>
          <w:rFonts w:eastAsia="仿宋_GB2312"/>
          <w:sz w:val="24"/>
        </w:rPr>
      </w:pPr>
      <w:r>
        <w:rPr>
          <w:rFonts w:eastAsia="仿宋_GB2312"/>
          <w:sz w:val="24"/>
        </w:rPr>
        <w:t>8.1    响应文件及与响应相关的所有文件均应以中文书写。</w:t>
      </w:r>
    </w:p>
    <w:p w14:paraId="4A2B6D09">
      <w:pPr>
        <w:pStyle w:val="6"/>
        <w:rPr>
          <w:rFonts w:ascii="Times New Roman" w:hAnsi="Times New Roman" w:eastAsia="仿宋_GB2312"/>
          <w:b/>
          <w:sz w:val="24"/>
          <w:szCs w:val="21"/>
        </w:rPr>
      </w:pPr>
      <w:bookmarkStart w:id="172" w:name="_Toc70687151"/>
      <w:bookmarkStart w:id="173" w:name="_Toc184043024"/>
      <w:bookmarkStart w:id="174" w:name="_Toc249525171"/>
      <w:bookmarkStart w:id="175" w:name="_Toc249515290"/>
      <w:bookmarkStart w:id="176" w:name="_Toc18327"/>
      <w:bookmarkStart w:id="177" w:name="_Toc249515402"/>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14:paraId="3D6CBD69">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14:paraId="34281FBC">
      <w:pPr>
        <w:pStyle w:val="6"/>
        <w:rPr>
          <w:rFonts w:ascii="Times New Roman" w:hAnsi="Times New Roman" w:eastAsia="仿宋_GB2312"/>
          <w:b/>
          <w:sz w:val="24"/>
          <w:szCs w:val="21"/>
        </w:rPr>
      </w:pPr>
      <w:bookmarkStart w:id="178" w:name="_Toc249515403"/>
      <w:bookmarkStart w:id="179" w:name="_Toc249525172"/>
      <w:bookmarkStart w:id="180" w:name="_Toc249515291"/>
      <w:bookmarkStart w:id="181" w:name="_Toc29318"/>
      <w:bookmarkStart w:id="182" w:name="_Toc389620177"/>
      <w:bookmarkStart w:id="183" w:name="_Toc70687152"/>
      <w:bookmarkStart w:id="184" w:name="_Toc184043025"/>
      <w:bookmarkStart w:id="185" w:name="_Toc385992338"/>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14:paraId="158290CE">
      <w:pPr>
        <w:tabs>
          <w:tab w:val="left" w:pos="588"/>
        </w:tabs>
        <w:spacing w:line="360" w:lineRule="auto"/>
        <w:ind w:left="840" w:hanging="840" w:hangingChars="350"/>
        <w:rPr>
          <w:rFonts w:eastAsia="仿宋_GB2312"/>
          <w:sz w:val="24"/>
        </w:rPr>
      </w:pPr>
      <w:r>
        <w:rPr>
          <w:rFonts w:eastAsia="仿宋_GB2312"/>
          <w:sz w:val="24"/>
        </w:rPr>
        <w:t>10.1   供应商应完整地按照磋商文件提供的响应文件格式及要求编写响应文件。响应文件中资格审查和符合性审查涉及的事项不满足要求的，其响应文件将被认定为无效。</w:t>
      </w:r>
    </w:p>
    <w:p w14:paraId="5053556E">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14:paraId="492B4BD2">
      <w:pPr>
        <w:pStyle w:val="6"/>
        <w:rPr>
          <w:rFonts w:ascii="Times New Roman" w:hAnsi="Times New Roman" w:eastAsia="仿宋_GB2312"/>
          <w:b/>
          <w:sz w:val="24"/>
          <w:szCs w:val="21"/>
        </w:rPr>
      </w:pPr>
      <w:bookmarkStart w:id="186" w:name="_Toc184043026"/>
      <w:bookmarkStart w:id="187" w:name="_Toc249525173"/>
      <w:bookmarkStart w:id="188" w:name="_Toc389620178"/>
      <w:bookmarkStart w:id="189" w:name="_Toc26312"/>
      <w:bookmarkStart w:id="190" w:name="_Toc385992339"/>
      <w:bookmarkStart w:id="191" w:name="_Toc249515292"/>
      <w:bookmarkStart w:id="192" w:name="_Toc249515404"/>
      <w:bookmarkStart w:id="193" w:name="_Toc70687153"/>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14:paraId="6F7A7A5C">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14:paraId="192DCD1A">
      <w:pPr>
        <w:pStyle w:val="6"/>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14:paraId="6170857B">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14:paraId="31C28509">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w:t>
      </w:r>
      <w:r>
        <w:rPr>
          <w:rFonts w:hint="eastAsia" w:eastAsia="仿宋_GB2312"/>
          <w:kern w:val="24"/>
          <w:sz w:val="24"/>
          <w:szCs w:val="21"/>
          <w:lang w:eastAsia="zh-CN"/>
        </w:rPr>
        <w:t>委托代理人</w:t>
      </w:r>
      <w:r>
        <w:rPr>
          <w:rFonts w:eastAsia="仿宋_GB2312"/>
          <w:kern w:val="24"/>
          <w:sz w:val="24"/>
          <w:szCs w:val="21"/>
        </w:rPr>
        <w:t>签署并加盖公章。响应分项报价表上的价格应按磋商文件第六章的格式填写。</w:t>
      </w:r>
    </w:p>
    <w:p w14:paraId="628B9604">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E9B9AEA">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521F530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服务（或工程、或产品）</w:t>
      </w:r>
      <w:r>
        <w:rPr>
          <w:rFonts w:eastAsia="仿宋_GB2312"/>
          <w:kern w:val="24"/>
          <w:sz w:val="24"/>
          <w:szCs w:val="21"/>
        </w:rPr>
        <w:t>只允许有一个报价，采购人不接受有任何选择的报价。</w:t>
      </w:r>
    </w:p>
    <w:p w14:paraId="3893226B">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14:paraId="35551711">
      <w:pPr>
        <w:pStyle w:val="6"/>
        <w:rPr>
          <w:rFonts w:ascii="Times New Roman" w:hAnsi="Times New Roman" w:eastAsia="仿宋_GB2312"/>
          <w:b/>
          <w:sz w:val="24"/>
          <w:szCs w:val="21"/>
        </w:rPr>
      </w:pPr>
      <w:bookmarkStart w:id="195" w:name="_Toc385992341"/>
      <w:bookmarkStart w:id="196" w:name="_Toc20687"/>
      <w:bookmarkStart w:id="197" w:name="_Toc70687155"/>
      <w:bookmarkStart w:id="198" w:name="_Toc249515406"/>
      <w:bookmarkStart w:id="199" w:name="_Toc249515294"/>
      <w:bookmarkStart w:id="200" w:name="_Toc184043028"/>
      <w:bookmarkStart w:id="201" w:name="_Toc249525175"/>
      <w:bookmarkStart w:id="202" w:name="_Toc389620180"/>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14:paraId="74AFA948">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14:paraId="226049F2">
      <w:pPr>
        <w:pStyle w:val="6"/>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14:paraId="4333EB4D">
      <w:pPr>
        <w:numPr>
          <w:ilvl w:val="0"/>
          <w:numId w:val="0"/>
        </w:numPr>
        <w:tabs>
          <w:tab w:val="left" w:pos="588"/>
        </w:tabs>
        <w:spacing w:line="360" w:lineRule="auto"/>
        <w:rPr>
          <w:rFonts w:hint="default" w:eastAsia="仿宋_GB2312"/>
          <w:kern w:val="24"/>
          <w:sz w:val="24"/>
          <w:szCs w:val="21"/>
          <w:lang w:val="en-US" w:eastAsia="zh-CN"/>
        </w:rPr>
      </w:pPr>
      <w:r>
        <w:rPr>
          <w:rFonts w:hint="eastAsia" w:eastAsia="仿宋"/>
          <w:color w:val="auto"/>
          <w:sz w:val="24"/>
          <w:highlight w:val="none"/>
          <w:lang w:val="en-US" w:eastAsia="zh-CN"/>
        </w:rPr>
        <w:t xml:space="preserve">14.1   </w:t>
      </w:r>
      <w:r>
        <w:rPr>
          <w:rFonts w:eastAsia="仿宋"/>
          <w:color w:val="auto"/>
          <w:sz w:val="24"/>
          <w:highlight w:val="none"/>
        </w:rPr>
        <w:t>详见</w:t>
      </w:r>
      <w:r>
        <w:rPr>
          <w:rFonts w:hint="eastAsia" w:eastAsia="仿宋"/>
          <w:color w:val="auto"/>
          <w:sz w:val="24"/>
          <w:highlight w:val="none"/>
          <w:u w:val="single"/>
          <w:lang w:val="en-US" w:eastAsia="zh-CN"/>
        </w:rPr>
        <w:t>供应商</w:t>
      </w:r>
      <w:r>
        <w:rPr>
          <w:rFonts w:eastAsia="仿宋"/>
          <w:color w:val="auto"/>
          <w:sz w:val="24"/>
          <w:highlight w:val="none"/>
          <w:u w:val="single"/>
        </w:rPr>
        <w:t>须知前附表</w:t>
      </w:r>
      <w:r>
        <w:rPr>
          <w:rFonts w:eastAsia="仿宋"/>
          <w:color w:val="auto"/>
          <w:sz w:val="24"/>
          <w:highlight w:val="none"/>
          <w:lang w:val="zh-CN"/>
        </w:rPr>
        <w:t>。</w:t>
      </w:r>
    </w:p>
    <w:p w14:paraId="6576631B">
      <w:pPr>
        <w:pStyle w:val="6"/>
        <w:rPr>
          <w:rFonts w:ascii="Times New Roman" w:hAnsi="Times New Roman" w:eastAsia="仿宋_GB2312"/>
          <w:b/>
          <w:sz w:val="24"/>
          <w:szCs w:val="21"/>
        </w:rPr>
      </w:pPr>
      <w:bookmarkStart w:id="206" w:name="_Toc249515296"/>
      <w:bookmarkStart w:id="207" w:name="_Toc249525177"/>
      <w:bookmarkStart w:id="208" w:name="_Toc249515408"/>
      <w:bookmarkStart w:id="209" w:name="_Toc7949"/>
      <w:r>
        <w:rPr>
          <w:rFonts w:ascii="Times New Roman" w:hAnsi="Times New Roman" w:eastAsia="仿宋_GB2312"/>
          <w:b/>
          <w:sz w:val="24"/>
          <w:szCs w:val="21"/>
        </w:rPr>
        <w:t>15.    磋商有效期</w:t>
      </w:r>
      <w:bookmarkEnd w:id="206"/>
      <w:bookmarkEnd w:id="207"/>
      <w:bookmarkEnd w:id="208"/>
      <w:bookmarkEnd w:id="209"/>
    </w:p>
    <w:p w14:paraId="4A552ACA">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14:paraId="72692AAE">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特殊情况下，采购人可于原磋商有效期满之前要求供应商延长有效期，要求与答复均应为书面形式。对于同意该要求的供应商，既不要求也不允许其修改响应文件，但将要求其相应延长磋商保证金的有效期。</w:t>
      </w:r>
    </w:p>
    <w:p w14:paraId="3B3722D7">
      <w:pPr>
        <w:pStyle w:val="6"/>
        <w:rPr>
          <w:rFonts w:ascii="Times New Roman" w:hAnsi="Times New Roman" w:eastAsia="仿宋_GB2312"/>
          <w:b/>
          <w:sz w:val="24"/>
          <w:szCs w:val="21"/>
        </w:rPr>
      </w:pPr>
      <w:bookmarkStart w:id="210" w:name="_Toc184043033"/>
      <w:bookmarkStart w:id="211" w:name="_Toc249525178"/>
      <w:bookmarkStart w:id="212" w:name="_Toc16612"/>
      <w:bookmarkStart w:id="213" w:name="_Toc70687160"/>
      <w:bookmarkStart w:id="214" w:name="_Toc385992346"/>
      <w:bookmarkStart w:id="215" w:name="_Toc249515409"/>
      <w:bookmarkStart w:id="216" w:name="_Toc389620185"/>
      <w:bookmarkStart w:id="217" w:name="_Toc249515297"/>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14:paraId="57DC1865">
      <w:pPr>
        <w:tabs>
          <w:tab w:val="left" w:pos="588"/>
        </w:tabs>
        <w:spacing w:line="360" w:lineRule="auto"/>
        <w:ind w:left="840" w:hanging="840" w:hangingChars="350"/>
        <w:rPr>
          <w:rFonts w:eastAsia="仿宋_GB2312"/>
          <w:sz w:val="24"/>
        </w:rPr>
      </w:pPr>
      <w:bookmarkStart w:id="218" w:name="_Toc499711888"/>
      <w:bookmarkStart w:id="219" w:name="_Toc249515298"/>
      <w:bookmarkStart w:id="220" w:name="_Toc503063426"/>
      <w:bookmarkStart w:id="221" w:name="_Toc184043034"/>
      <w:bookmarkStart w:id="222" w:name="_Toc230583545"/>
      <w:bookmarkStart w:id="223" w:name="_Toc499711047"/>
      <w:bookmarkStart w:id="224" w:name="_Toc389620186"/>
      <w:bookmarkStart w:id="225" w:name="_Toc385992347"/>
      <w:bookmarkStart w:id="226" w:name="_Toc500747193"/>
      <w:bookmarkStart w:id="227" w:name="_Toc176882546"/>
      <w:bookmarkStart w:id="228" w:name="_Toc230099801"/>
      <w:bookmarkStart w:id="229" w:name="_Toc53722844"/>
      <w:bookmarkStart w:id="230" w:name="_Toc177995477"/>
      <w:bookmarkStart w:id="231" w:name="_Toc256342147"/>
      <w:bookmarkStart w:id="232" w:name="_Toc496324583"/>
      <w:bookmarkStart w:id="233" w:name="_Toc492955419"/>
      <w:bookmarkStart w:id="234" w:name="_Toc70687161"/>
      <w:bookmarkStart w:id="235" w:name="_Toc177189239"/>
      <w:bookmarkStart w:id="236" w:name="_Toc500746970"/>
      <w:bookmarkStart w:id="237" w:name="_Toc500747066"/>
      <w:bookmarkStart w:id="238" w:name="_Toc249515410"/>
      <w:bookmarkStart w:id="239" w:name="_Toc232176276"/>
      <w:bookmarkStart w:id="240" w:name="_Toc177817338"/>
      <w:bookmarkStart w:id="241" w:name="_Toc230013636"/>
      <w:bookmarkStart w:id="242" w:name="_Toc249525179"/>
      <w:bookmarkStart w:id="243" w:name="_Toc232395216"/>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6A054D7E">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76729B4B">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58AFAC5C">
      <w:pPr>
        <w:tabs>
          <w:tab w:val="left" w:pos="588"/>
        </w:tabs>
        <w:spacing w:line="360" w:lineRule="auto"/>
        <w:ind w:left="840" w:hanging="840" w:hangingChars="350"/>
        <w:rPr>
          <w:rFonts w:eastAsia="仿宋_GB2312"/>
          <w:sz w:val="24"/>
        </w:rPr>
      </w:pPr>
      <w:r>
        <w:rPr>
          <w:rFonts w:eastAsia="仿宋_GB2312"/>
          <w:sz w:val="24"/>
        </w:rPr>
        <w:t>16.4   任何行间插字、涂改或增删，必须由</w:t>
      </w:r>
      <w:r>
        <w:rPr>
          <w:rFonts w:hint="eastAsia" w:eastAsia="仿宋_GB2312"/>
          <w:sz w:val="24"/>
          <w:lang w:val="en-US" w:eastAsia="zh-CN"/>
        </w:rPr>
        <w:t>供应商</w:t>
      </w:r>
      <w:r>
        <w:rPr>
          <w:rFonts w:eastAsia="仿宋_GB2312"/>
          <w:sz w:val="24"/>
        </w:rPr>
        <w:t>的法定代表人或委托代理人在每一修改处签字。</w:t>
      </w:r>
    </w:p>
    <w:p w14:paraId="2829253B">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14:paraId="71AE3040">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32BED832">
      <w:pPr>
        <w:tabs>
          <w:tab w:val="left" w:pos="588"/>
        </w:tabs>
        <w:spacing w:line="360" w:lineRule="auto"/>
        <w:ind w:left="840" w:hanging="840" w:hangingChars="350"/>
        <w:rPr>
          <w:rFonts w:eastAsia="仿宋_GB2312"/>
          <w:sz w:val="24"/>
        </w:rPr>
      </w:pPr>
      <w:bookmarkStart w:id="244" w:name="_Hlt491765640"/>
      <w:bookmarkEnd w:id="244"/>
      <w:r>
        <w:rPr>
          <w:rFonts w:eastAsia="仿宋_GB2312"/>
          <w:sz w:val="24"/>
        </w:rPr>
        <w:t>16.7   响应文件应按照“资格证明文件”和“商务及技术文件”分成两部分，并用不可拆装的方式分别装订成册。</w:t>
      </w:r>
    </w:p>
    <w:p w14:paraId="12D0B859">
      <w:pPr>
        <w:pStyle w:val="23"/>
      </w:pPr>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27CA934D">
      <w:pPr>
        <w:pStyle w:val="79"/>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45"/>
    </w:p>
    <w:p w14:paraId="4BFE646C">
      <w:pPr>
        <w:rPr>
          <w:rFonts w:eastAsia="仿宋_GB2312"/>
        </w:rPr>
      </w:pPr>
    </w:p>
    <w:p w14:paraId="07C411A0">
      <w:pPr>
        <w:pStyle w:val="6"/>
        <w:rPr>
          <w:rFonts w:ascii="Times New Roman" w:hAnsi="Times New Roman" w:eastAsia="仿宋_GB2312"/>
          <w:b/>
          <w:sz w:val="24"/>
          <w:szCs w:val="21"/>
        </w:rPr>
      </w:pPr>
      <w:bookmarkStart w:id="246" w:name="_Toc249525180"/>
      <w:bookmarkStart w:id="247" w:name="_Toc385992348"/>
      <w:bookmarkStart w:id="248" w:name="_Toc389620187"/>
      <w:bookmarkStart w:id="249" w:name="_Toc4042"/>
      <w:bookmarkStart w:id="250" w:name="_Toc70687162"/>
      <w:bookmarkStart w:id="251" w:name="_Toc249515411"/>
      <w:bookmarkStart w:id="252" w:name="_Toc184043035"/>
      <w:bookmarkStart w:id="253" w:name="_Toc249515299"/>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14:paraId="098D8FD2">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w:t>
      </w:r>
      <w:r>
        <w:rPr>
          <w:rFonts w:hint="eastAsia" w:eastAsia="仿宋_GB2312"/>
          <w:kern w:val="0"/>
          <w:sz w:val="24"/>
          <w:szCs w:val="21"/>
          <w:lang w:eastAsia="zh-CN"/>
        </w:rPr>
        <w:t>委托代理人</w:t>
      </w:r>
      <w:r>
        <w:rPr>
          <w:rFonts w:eastAsia="仿宋_GB2312"/>
          <w:kern w:val="0"/>
          <w:sz w:val="24"/>
          <w:szCs w:val="21"/>
        </w:rPr>
        <w:t>签字。</w:t>
      </w:r>
    </w:p>
    <w:p w14:paraId="1CD5E19D">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14:paraId="6AF3F238">
      <w:pPr>
        <w:pStyle w:val="23"/>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14:paraId="3EA42733">
      <w:pPr>
        <w:pStyle w:val="6"/>
        <w:rPr>
          <w:rFonts w:ascii="Times New Roman" w:hAnsi="Times New Roman" w:eastAsia="仿宋_GB2312"/>
          <w:b/>
          <w:sz w:val="24"/>
          <w:szCs w:val="21"/>
        </w:rPr>
      </w:pPr>
      <w:bookmarkStart w:id="258" w:name="_Toc249515412"/>
      <w:bookmarkStart w:id="259" w:name="_Toc249515300"/>
      <w:bookmarkStart w:id="260" w:name="_Toc249525181"/>
      <w:bookmarkStart w:id="261" w:name="_Toc3117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14:paraId="7C60F600">
      <w:pPr>
        <w:tabs>
          <w:tab w:val="left" w:pos="588"/>
        </w:tabs>
        <w:spacing w:line="360" w:lineRule="auto"/>
        <w:rPr>
          <w:rFonts w:eastAsia="仿宋_GB2312"/>
          <w:sz w:val="24"/>
        </w:rPr>
      </w:pPr>
      <w:bookmarkStart w:id="262" w:name="_Toc184043037"/>
      <w:bookmarkStart w:id="263" w:name="_Toc385992350"/>
      <w:bookmarkStart w:id="264" w:name="_Toc70687164"/>
      <w:bookmarkStart w:id="265" w:name="_Toc389620189"/>
      <w:r>
        <w:rPr>
          <w:rFonts w:eastAsia="仿宋_GB2312"/>
          <w:sz w:val="24"/>
        </w:rPr>
        <w:t>18.1   响应文件递交截止时间和地点见</w:t>
      </w:r>
      <w:r>
        <w:rPr>
          <w:rFonts w:eastAsia="仿宋_GB2312"/>
          <w:b/>
          <w:sz w:val="24"/>
        </w:rPr>
        <w:t>供应商须知前附表</w:t>
      </w:r>
      <w:r>
        <w:rPr>
          <w:rFonts w:eastAsia="仿宋_GB2312"/>
          <w:sz w:val="24"/>
        </w:rPr>
        <w:t>。</w:t>
      </w:r>
    </w:p>
    <w:p w14:paraId="79AF10E4">
      <w:pPr>
        <w:tabs>
          <w:tab w:val="left" w:pos="588"/>
        </w:tabs>
        <w:spacing w:line="360" w:lineRule="auto"/>
        <w:ind w:left="840" w:hanging="840" w:hangingChars="350"/>
        <w:rPr>
          <w:rFonts w:eastAsia="仿宋_GB2312"/>
          <w:sz w:val="24"/>
        </w:rPr>
      </w:pPr>
      <w:r>
        <w:rPr>
          <w:rFonts w:eastAsia="仿宋_GB2312"/>
          <w:sz w:val="24"/>
        </w:rPr>
        <w:t>18.2   供应商须由其合法的授权</w:t>
      </w:r>
      <w:r>
        <w:rPr>
          <w:rFonts w:hint="eastAsia" w:eastAsia="仿宋_GB2312"/>
          <w:sz w:val="24"/>
          <w:lang w:val="en-US" w:eastAsia="zh-CN"/>
        </w:rPr>
        <w:t>委托代理</w:t>
      </w:r>
      <w:r>
        <w:rPr>
          <w:rFonts w:eastAsia="仿宋_GB2312"/>
          <w:sz w:val="24"/>
        </w:rPr>
        <w:t>人在响应文件递交截止时间之前将响应文件在响应文件递交地点送达采购人并签字确认。供应商须承担因未送达并签字所造成的一切责任。</w:t>
      </w:r>
    </w:p>
    <w:p w14:paraId="59CFF1A3">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14:paraId="1DB461E2">
      <w:pPr>
        <w:pStyle w:val="6"/>
        <w:rPr>
          <w:rFonts w:ascii="Times New Roman" w:hAnsi="Times New Roman" w:eastAsia="仿宋_GB2312"/>
          <w:b/>
          <w:sz w:val="24"/>
          <w:szCs w:val="21"/>
        </w:rPr>
      </w:pPr>
      <w:bookmarkStart w:id="266" w:name="_Toc7175"/>
      <w:bookmarkStart w:id="267" w:name="_Toc249515301"/>
      <w:bookmarkStart w:id="268" w:name="_Toc249525182"/>
      <w:bookmarkStart w:id="269" w:name="_Toc249515413"/>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14:paraId="27EF5080">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7C7BC399">
      <w:pPr>
        <w:pStyle w:val="6"/>
        <w:rPr>
          <w:rFonts w:ascii="Times New Roman" w:hAnsi="Times New Roman" w:eastAsia="仿宋_GB2312"/>
          <w:b/>
          <w:sz w:val="24"/>
          <w:szCs w:val="21"/>
        </w:rPr>
      </w:pPr>
      <w:bookmarkStart w:id="270" w:name="_Toc249515414"/>
      <w:bookmarkStart w:id="271" w:name="_Toc249525183"/>
      <w:bookmarkStart w:id="272" w:name="_Toc385992351"/>
      <w:bookmarkStart w:id="273" w:name="_Toc184043038"/>
      <w:bookmarkStart w:id="274" w:name="_Toc70687165"/>
      <w:bookmarkStart w:id="275" w:name="_Toc10272"/>
      <w:bookmarkStart w:id="276" w:name="_Toc389620190"/>
      <w:bookmarkStart w:id="277" w:name="_Toc249515302"/>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14:paraId="4A3F18DF">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37FE83B4">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14:paraId="3D3EC1FA">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14:paraId="2B7D69C0">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14:paraId="3EB9DB03">
      <w:pPr>
        <w:pStyle w:val="23"/>
      </w:pPr>
    </w:p>
    <w:p w14:paraId="308860C9">
      <w:pPr>
        <w:pStyle w:val="79"/>
        <w:spacing w:before="24" w:after="24"/>
        <w:ind w:left="3313"/>
        <w:rPr>
          <w:rFonts w:eastAsia="仿宋_GB2312"/>
          <w:sz w:val="30"/>
          <w:szCs w:val="30"/>
        </w:rPr>
      </w:pPr>
      <w:bookmarkStart w:id="278" w:name="_Hlt491765712"/>
      <w:bookmarkEnd w:id="278"/>
      <w:bookmarkStart w:id="279" w:name="_Hlt497729441"/>
      <w:bookmarkEnd w:id="279"/>
      <w:bookmarkStart w:id="280" w:name="_Toc249515303"/>
      <w:bookmarkStart w:id="281" w:name="_Toc249525184"/>
      <w:bookmarkStart w:id="282" w:name="_Toc256342148"/>
      <w:bookmarkStart w:id="283" w:name="_Toc249515415"/>
      <w:bookmarkStart w:id="284" w:name="_Toc68590973"/>
      <w:bookmarkStart w:id="285" w:name="_Toc500747067"/>
      <w:bookmarkStart w:id="286" w:name="_Toc499711048"/>
      <w:bookmarkStart w:id="287" w:name="_Toc176882547"/>
      <w:bookmarkStart w:id="288" w:name="_Toc70687166"/>
      <w:bookmarkStart w:id="289" w:name="_Toc500747194"/>
      <w:bookmarkStart w:id="290" w:name="_Toc184043039"/>
      <w:bookmarkStart w:id="291" w:name="_Toc499711889"/>
      <w:bookmarkStart w:id="292" w:name="_Toc389620191"/>
      <w:bookmarkStart w:id="293" w:name="_Toc177189240"/>
      <w:bookmarkStart w:id="294" w:name="_Toc177995478"/>
      <w:bookmarkStart w:id="295" w:name="_Toc177817339"/>
      <w:bookmarkStart w:id="296" w:name="_Toc496324584"/>
      <w:bookmarkStart w:id="297" w:name="_Toc503063427"/>
      <w:bookmarkStart w:id="298" w:name="_Toc385992352"/>
      <w:bookmarkStart w:id="299" w:name="_Toc53722845"/>
      <w:bookmarkStart w:id="300" w:name="_Toc500746971"/>
      <w:bookmarkStart w:id="301" w:name="_Toc492955420"/>
      <w:r>
        <w:rPr>
          <w:rFonts w:eastAsia="仿宋_GB2312"/>
          <w:sz w:val="30"/>
          <w:szCs w:val="30"/>
        </w:rPr>
        <w:t>五、评审与</w:t>
      </w:r>
      <w:bookmarkEnd w:id="280"/>
      <w:bookmarkEnd w:id="281"/>
      <w:bookmarkEnd w:id="282"/>
      <w:bookmarkEnd w:id="283"/>
      <w:r>
        <w:rPr>
          <w:rFonts w:eastAsia="仿宋_GB2312"/>
          <w:sz w:val="30"/>
          <w:szCs w:val="30"/>
        </w:rPr>
        <w:t>磋商</w:t>
      </w:r>
      <w:bookmarkEnd w:id="284"/>
    </w:p>
    <w:p w14:paraId="66096A6A">
      <w:pPr>
        <w:pStyle w:val="6"/>
        <w:numPr>
          <w:ilvl w:val="0"/>
          <w:numId w:val="6"/>
        </w:numPr>
        <w:rPr>
          <w:rFonts w:ascii="Times New Roman" w:hAnsi="Times New Roman" w:eastAsia="仿宋_GB2312"/>
          <w:b/>
          <w:sz w:val="24"/>
        </w:rPr>
      </w:pPr>
      <w:bookmarkStart w:id="302" w:name="_Toc249515305"/>
      <w:bookmarkStart w:id="303" w:name="_Toc16042"/>
      <w:bookmarkStart w:id="304" w:name="_Toc249525186"/>
      <w:bookmarkStart w:id="305" w:name="_Toc249515417"/>
      <w:r>
        <w:rPr>
          <w:rFonts w:ascii="Times New Roman" w:hAnsi="Times New Roman" w:eastAsia="仿宋_GB2312"/>
          <w:b/>
          <w:sz w:val="24"/>
        </w:rPr>
        <w:t xml:space="preserve">   磋商小组</w:t>
      </w:r>
      <w:bookmarkEnd w:id="302"/>
      <w:bookmarkEnd w:id="303"/>
      <w:bookmarkEnd w:id="304"/>
      <w:bookmarkEnd w:id="305"/>
    </w:p>
    <w:p w14:paraId="719740DE">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14:paraId="668F653E">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14:paraId="3AF5793F">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14:paraId="6AC88B28">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14:paraId="6266D476">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14:paraId="0EDB5874">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14:paraId="0D5A536B">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14:paraId="49F3C376">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14:paraId="4F099C07">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14:paraId="5F8F5E9B">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14:paraId="3218BD04">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14:paraId="35E74DF5">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6F4212F5">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126F5661">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14:paraId="05BE2608">
      <w:pPr>
        <w:pStyle w:val="6"/>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14:paraId="648F5E2B">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14:paraId="4AFF286B">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14:paraId="1E1E3356">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14:paraId="5D1DA571">
      <w:pPr>
        <w:pStyle w:val="6"/>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14:paraId="46720407">
      <w:pPr>
        <w:pStyle w:val="6"/>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14:paraId="17CD59C3">
      <w:pPr>
        <w:pStyle w:val="6"/>
        <w:rPr>
          <w:rFonts w:ascii="Times New Roman" w:hAnsi="Times New Roman" w:eastAsia="仿宋_GB2312"/>
          <w:b/>
          <w:sz w:val="24"/>
          <w:szCs w:val="21"/>
        </w:rPr>
      </w:pPr>
      <w:bookmarkStart w:id="306" w:name="_Toc249515306"/>
      <w:bookmarkStart w:id="307" w:name="_Toc249515418"/>
      <w:bookmarkStart w:id="308" w:name="_Toc83547667"/>
      <w:bookmarkStart w:id="309" w:name="_Toc249525187"/>
      <w:bookmarkStart w:id="310" w:name="_Toc20608"/>
      <w:r>
        <w:rPr>
          <w:rFonts w:ascii="Times New Roman" w:hAnsi="Times New Roman" w:eastAsia="仿宋_GB2312"/>
          <w:b/>
          <w:sz w:val="24"/>
          <w:szCs w:val="21"/>
        </w:rPr>
        <w:t>23.    磋商程序</w:t>
      </w:r>
    </w:p>
    <w:p w14:paraId="54C64805">
      <w:pPr>
        <w:pStyle w:val="6"/>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14:paraId="0E5EF86D">
      <w:pPr>
        <w:pStyle w:val="23"/>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w:t>
      </w:r>
      <w:r>
        <w:rPr>
          <w:rFonts w:hint="eastAsia" w:ascii="Times New Roman" w:hAnsi="Times New Roman" w:eastAsia="仿宋_GB2312"/>
          <w:sz w:val="24"/>
          <w:szCs w:val="32"/>
          <w:lang w:val="en-US" w:eastAsia="zh-CN"/>
        </w:rPr>
        <w:t>在线</w:t>
      </w:r>
      <w:r>
        <w:rPr>
          <w:rFonts w:ascii="Times New Roman" w:hAnsi="Times New Roman" w:eastAsia="仿宋_GB2312"/>
          <w:sz w:val="24"/>
          <w:szCs w:val="32"/>
        </w:rPr>
        <w:t>签</w:t>
      </w:r>
      <w:r>
        <w:rPr>
          <w:rFonts w:hint="eastAsia" w:ascii="Times New Roman" w:hAnsi="Times New Roman" w:eastAsia="仿宋_GB2312"/>
          <w:sz w:val="24"/>
          <w:szCs w:val="32"/>
          <w:lang w:val="en-US" w:eastAsia="zh-CN"/>
        </w:rPr>
        <w:t>到</w:t>
      </w:r>
      <w:r>
        <w:rPr>
          <w:rFonts w:ascii="Times New Roman" w:hAnsi="Times New Roman" w:eastAsia="仿宋_GB2312"/>
          <w:sz w:val="24"/>
          <w:szCs w:val="32"/>
        </w:rPr>
        <w:t>以证明其出席。</w:t>
      </w:r>
      <w:bookmarkEnd w:id="312"/>
    </w:p>
    <w:p w14:paraId="2F29C72F">
      <w:pPr>
        <w:pStyle w:val="23"/>
        <w:ind w:left="840" w:leftChars="400"/>
        <w:rPr>
          <w:rFonts w:ascii="Times New Roman" w:hAnsi="Times New Roman" w:eastAsia="仿宋_GB2312"/>
          <w:sz w:val="24"/>
          <w:szCs w:val="32"/>
        </w:rPr>
      </w:pPr>
      <w:r>
        <w:rPr>
          <w:rFonts w:ascii="Times New Roman" w:hAnsi="Times New Roman" w:eastAsia="仿宋_GB2312"/>
          <w:sz w:val="24"/>
          <w:szCs w:val="32"/>
        </w:rPr>
        <w:t>（2）</w:t>
      </w:r>
      <w:r>
        <w:rPr>
          <w:rFonts w:eastAsia="仿宋"/>
          <w:color w:val="auto"/>
          <w:sz w:val="24"/>
          <w:highlight w:val="none"/>
        </w:rPr>
        <w:t>由采购人或采购代理机构当众组织</w:t>
      </w:r>
      <w:r>
        <w:rPr>
          <w:rFonts w:hint="eastAsia" w:eastAsia="仿宋"/>
          <w:color w:val="auto"/>
          <w:sz w:val="24"/>
          <w:highlight w:val="none"/>
          <w:lang w:val="en-US" w:eastAsia="zh-CN"/>
        </w:rPr>
        <w:t>供应商</w:t>
      </w:r>
      <w:r>
        <w:rPr>
          <w:rFonts w:eastAsia="仿宋"/>
          <w:color w:val="auto"/>
          <w:sz w:val="24"/>
          <w:highlight w:val="none"/>
        </w:rPr>
        <w:t>各自解密</w:t>
      </w:r>
      <w:r>
        <w:rPr>
          <w:rFonts w:hint="eastAsia" w:eastAsia="仿宋"/>
          <w:color w:val="auto"/>
          <w:sz w:val="24"/>
          <w:highlight w:val="none"/>
          <w:lang w:val="en-US" w:eastAsia="zh-CN"/>
        </w:rPr>
        <w:t>响应</w:t>
      </w:r>
      <w:r>
        <w:rPr>
          <w:rFonts w:eastAsia="仿宋"/>
          <w:color w:val="auto"/>
          <w:sz w:val="24"/>
          <w:highlight w:val="none"/>
        </w:rPr>
        <w:t>文件</w:t>
      </w:r>
      <w:r>
        <w:rPr>
          <w:rFonts w:ascii="Times New Roman" w:hAnsi="Times New Roman" w:eastAsia="仿宋_GB2312"/>
          <w:sz w:val="24"/>
          <w:szCs w:val="32"/>
        </w:rPr>
        <w:t>。</w:t>
      </w:r>
    </w:p>
    <w:p w14:paraId="40F41819">
      <w:pPr>
        <w:pStyle w:val="6"/>
        <w:tabs>
          <w:tab w:val="left" w:pos="360"/>
        </w:tabs>
        <w:rPr>
          <w:rFonts w:ascii="Times New Roman" w:hAnsi="Times New Roman" w:eastAsia="仿宋_GB2312"/>
          <w:b/>
          <w:sz w:val="24"/>
          <w:szCs w:val="21"/>
        </w:rPr>
      </w:pPr>
      <w:bookmarkStart w:id="313"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3"/>
    </w:p>
    <w:p w14:paraId="07157DC5">
      <w:pPr>
        <w:tabs>
          <w:tab w:val="left" w:pos="360"/>
          <w:tab w:val="left" w:pos="588"/>
        </w:tabs>
        <w:spacing w:line="360" w:lineRule="auto"/>
        <w:ind w:left="843" w:hanging="843" w:hangingChars="350"/>
        <w:rPr>
          <w:rFonts w:eastAsia="仿宋_GB2312"/>
          <w:sz w:val="24"/>
        </w:rPr>
      </w:pPr>
      <w:bookmarkStart w:id="314" w:name="_Toc83547671"/>
      <w:r>
        <w:rPr>
          <w:rFonts w:eastAsia="仿宋_GB2312"/>
          <w:b/>
          <w:sz w:val="24"/>
        </w:rPr>
        <w:t>23.2.1 响应文件的资格性审查</w:t>
      </w:r>
    </w:p>
    <w:p w14:paraId="46BCB720">
      <w:pPr>
        <w:tabs>
          <w:tab w:val="left" w:pos="360"/>
          <w:tab w:val="left" w:pos="588"/>
        </w:tabs>
        <w:spacing w:line="360" w:lineRule="auto"/>
        <w:ind w:left="630" w:leftChars="300"/>
        <w:rPr>
          <w:rFonts w:eastAsia="仿宋_GB2312"/>
          <w:sz w:val="24"/>
        </w:rPr>
      </w:pP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14:paraId="460A7A43">
      <w:pPr>
        <w:pStyle w:val="23"/>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14:paraId="04D06D22">
      <w:pPr>
        <w:pStyle w:val="23"/>
        <w:ind w:left="840" w:leftChars="400"/>
        <w:rPr>
          <w:rFonts w:ascii="Times New Roman" w:hAnsi="Times New Roman" w:eastAsia="仿宋_GB2312"/>
          <w:sz w:val="24"/>
        </w:rPr>
      </w:pPr>
      <w:r>
        <w:rPr>
          <w:rFonts w:ascii="Times New Roman" w:hAnsi="Times New Roman" w:eastAsia="仿宋_GB2312"/>
          <w:sz w:val="24"/>
        </w:rPr>
        <w:t>（2）供应商没有经过正常渠道购买或免费领取磋商文件或供应商的名称与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14:paraId="67D593D9">
      <w:pPr>
        <w:pStyle w:val="23"/>
        <w:ind w:left="840" w:leftChars="400"/>
        <w:rPr>
          <w:rFonts w:ascii="Times New Roman" w:hAnsi="Times New Roman" w:eastAsia="仿宋_GB2312"/>
          <w:sz w:val="24"/>
        </w:rPr>
      </w:pPr>
      <w:r>
        <w:rPr>
          <w:rFonts w:ascii="Times New Roman" w:hAnsi="Times New Roman" w:eastAsia="仿宋_GB2312"/>
          <w:sz w:val="24"/>
        </w:rPr>
        <w:t>（3）磋商响应文件中未提交法定代表人</w:t>
      </w:r>
      <w:r>
        <w:rPr>
          <w:rFonts w:hint="eastAsia" w:ascii="Times New Roman" w:hAnsi="Times New Roman" w:eastAsia="仿宋_GB2312"/>
          <w:sz w:val="24"/>
          <w:lang w:val="en-US" w:eastAsia="zh-CN"/>
        </w:rPr>
        <w:t>委托</w:t>
      </w:r>
      <w:r>
        <w:rPr>
          <w:rFonts w:ascii="Times New Roman" w:hAnsi="Times New Roman" w:eastAsia="仿宋_GB2312"/>
          <w:sz w:val="24"/>
        </w:rPr>
        <w:t>授权书（法定代表人直接参加磋商未按要求提交其有效身份证）或</w:t>
      </w:r>
      <w:r>
        <w:rPr>
          <w:rFonts w:hint="eastAsia" w:ascii="Times New Roman" w:hAnsi="Times New Roman" w:eastAsia="仿宋_GB2312"/>
          <w:sz w:val="24"/>
          <w:lang w:val="en-US" w:eastAsia="zh-CN"/>
        </w:rPr>
        <w:t>委托</w:t>
      </w:r>
      <w:r>
        <w:rPr>
          <w:rFonts w:ascii="Times New Roman" w:hAnsi="Times New Roman" w:eastAsia="仿宋_GB2312"/>
          <w:sz w:val="24"/>
        </w:rPr>
        <w:t>授权书的合法性或有效性不符合磋商文件规定。</w:t>
      </w:r>
      <w:r>
        <w:rPr>
          <w:rFonts w:hint="eastAsia" w:ascii="Times New Roman" w:hAnsi="Times New Roman" w:eastAsia="仿宋_GB2312"/>
          <w:sz w:val="24"/>
          <w:lang w:eastAsia="zh-CN"/>
        </w:rPr>
        <w:t>委托代理人</w:t>
      </w:r>
      <w:r>
        <w:rPr>
          <w:rFonts w:ascii="Times New Roman" w:hAnsi="Times New Roman" w:eastAsia="仿宋_GB2312"/>
          <w:sz w:val="24"/>
        </w:rPr>
        <w:t>本单位证明的有效性或符合性不符合要求的。</w:t>
      </w:r>
    </w:p>
    <w:p w14:paraId="6581BB63">
      <w:pPr>
        <w:pStyle w:val="23"/>
        <w:ind w:left="840" w:leftChars="400"/>
        <w:rPr>
          <w:rFonts w:hint="eastAsia" w:ascii="Times New Roman" w:hAnsi="Times New Roman" w:eastAsia="仿宋_GB2312"/>
          <w:sz w:val="24"/>
        </w:rPr>
      </w:pPr>
      <w:r>
        <w:rPr>
          <w:rFonts w:ascii="Times New Roman" w:hAnsi="Times New Roman" w:eastAsia="仿宋_GB2312"/>
          <w:sz w:val="24"/>
        </w:rPr>
        <w:t>（4）</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p>
    <w:p w14:paraId="1F00E13E">
      <w:pPr>
        <w:pStyle w:val="23"/>
        <w:ind w:left="840" w:leftChars="400"/>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5</w:t>
      </w:r>
      <w:r>
        <w:rPr>
          <w:rFonts w:hint="eastAsia" w:ascii="Times New Roman" w:hAnsi="Times New Roman" w:eastAsia="仿宋_GB2312"/>
          <w:sz w:val="24"/>
          <w:lang w:eastAsia="zh-CN"/>
        </w:rPr>
        <w:t>）</w:t>
      </w:r>
      <w:r>
        <w:rPr>
          <w:rFonts w:ascii="Times New Roman" w:hAnsi="Times New Roman" w:eastAsia="仿宋_GB2312"/>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73D58B">
      <w:pPr>
        <w:pStyle w:val="23"/>
        <w:ind w:left="840" w:leftChars="400"/>
        <w:rPr>
          <w:rFonts w:hint="eastAsia"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6</w:t>
      </w:r>
      <w:r>
        <w:rPr>
          <w:rFonts w:hint="eastAsia" w:ascii="Times New Roman" w:hAnsi="Times New Roman" w:eastAsia="仿宋_GB2312"/>
          <w:sz w:val="24"/>
          <w:lang w:eastAsia="zh-CN"/>
        </w:rPr>
        <w:t>）</w:t>
      </w:r>
      <w:r>
        <w:rPr>
          <w:rFonts w:hint="eastAsia" w:ascii="Times New Roman" w:hAnsi="Times New Roman" w:eastAsia="仿宋_GB2312"/>
          <w:sz w:val="24"/>
        </w:rPr>
        <w:t>采购人或采购代理机构经办人将查询网页打印并存档备查。</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不良信用记录以采购人或采购代理机构查询结果为准。</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自行提供的与网站信息不一致的其他证明材料亦不作为资格审查依据。</w:t>
      </w:r>
    </w:p>
    <w:p w14:paraId="15BD706E">
      <w:pPr>
        <w:pStyle w:val="23"/>
        <w:ind w:left="840" w:leftChars="400"/>
        <w:rPr>
          <w:rFonts w:ascii="Times New Roman" w:hAnsi="Times New Roman" w:eastAsia="仿宋_GB2312"/>
          <w:sz w:val="24"/>
        </w:rPr>
      </w:pPr>
      <w:r>
        <w:rPr>
          <w:rFonts w:hint="eastAsia" w:ascii="Times New Roman" w:hAnsi="Times New Roman" w:eastAsia="仿宋_GB2312"/>
          <w:sz w:val="24"/>
        </w:rPr>
        <w:t>在本</w:t>
      </w:r>
      <w:r>
        <w:rPr>
          <w:rFonts w:hint="eastAsia" w:ascii="Times New Roman" w:hAnsi="Times New Roman" w:eastAsia="仿宋_GB2312"/>
          <w:sz w:val="24"/>
          <w:lang w:val="en-US" w:eastAsia="zh-CN"/>
        </w:rPr>
        <w:t>采购</w:t>
      </w:r>
      <w:r>
        <w:rPr>
          <w:rFonts w:hint="eastAsia" w:ascii="Times New Roman" w:hAnsi="Times New Roman" w:eastAsia="仿宋_GB2312"/>
          <w:sz w:val="24"/>
        </w:rPr>
        <w:t>文件规定的查询时间之外，网站信息发生的任何变更均不作为资格审查依据。</w:t>
      </w:r>
    </w:p>
    <w:p w14:paraId="541A54F4">
      <w:pPr>
        <w:pStyle w:val="23"/>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14:paraId="0D21C63B">
      <w:pPr>
        <w:pStyle w:val="23"/>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14:paraId="237D17DF">
      <w:pPr>
        <w:pStyle w:val="23"/>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w:t>
      </w:r>
      <w:r>
        <w:rPr>
          <w:rFonts w:hint="eastAsia" w:ascii="Times New Roman" w:hAnsi="Times New Roman" w:eastAsia="仿宋_GB2312"/>
          <w:sz w:val="24"/>
          <w:lang w:eastAsia="zh-CN"/>
        </w:rPr>
        <w:t>委托代理人</w:t>
      </w:r>
      <w:r>
        <w:rPr>
          <w:rFonts w:ascii="Times New Roman" w:hAnsi="Times New Roman" w:eastAsia="仿宋_GB2312"/>
          <w:sz w:val="24"/>
        </w:rPr>
        <w:t>签字。</w:t>
      </w:r>
    </w:p>
    <w:p w14:paraId="36ADBBE6">
      <w:pPr>
        <w:pStyle w:val="23"/>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14:paraId="533FE340">
      <w:pPr>
        <w:pStyle w:val="23"/>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14:paraId="7E2E55B4">
      <w:pPr>
        <w:pStyle w:val="23"/>
        <w:ind w:left="840" w:leftChars="400"/>
        <w:rPr>
          <w:rFonts w:ascii="Times New Roman" w:hAnsi="Times New Roman" w:eastAsia="仿宋_GB2312"/>
          <w:sz w:val="24"/>
        </w:rPr>
      </w:pPr>
      <w:r>
        <w:rPr>
          <w:rFonts w:ascii="Times New Roman" w:hAnsi="Times New Roman" w:eastAsia="仿宋_GB2312"/>
          <w:sz w:val="24"/>
        </w:rPr>
        <w:t>（5）首次磋商报价超出采购预算</w:t>
      </w:r>
      <w:r>
        <w:rPr>
          <w:rFonts w:hint="eastAsia" w:ascii="Times New Roman" w:hAnsi="Times New Roman" w:eastAsia="仿宋_GB2312"/>
          <w:sz w:val="24"/>
          <w:lang w:val="en-US" w:eastAsia="zh-CN"/>
        </w:rPr>
        <w:t>或最高限价</w:t>
      </w:r>
      <w:r>
        <w:rPr>
          <w:rFonts w:ascii="Times New Roman" w:hAnsi="Times New Roman" w:eastAsia="仿宋_GB2312"/>
          <w:sz w:val="24"/>
        </w:rPr>
        <w:t>。</w:t>
      </w:r>
    </w:p>
    <w:p w14:paraId="417B74B2">
      <w:pPr>
        <w:pStyle w:val="23"/>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14:paraId="2E898859">
      <w:pPr>
        <w:pStyle w:val="23"/>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14:paraId="25D3DC1A">
      <w:pPr>
        <w:pStyle w:val="23"/>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14:paraId="1C8826F0">
      <w:pPr>
        <w:pStyle w:val="23"/>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14:paraId="2321A692">
      <w:pPr>
        <w:pStyle w:val="23"/>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14:paraId="64495526">
      <w:pPr>
        <w:pStyle w:val="23"/>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14:paraId="0856A9FE">
      <w:pPr>
        <w:pStyle w:val="23"/>
        <w:ind w:left="840" w:leftChars="400"/>
        <w:rPr>
          <w:rFonts w:hint="eastAsia" w:ascii="Times New Roman" w:hAnsi="Times New Roman" w:eastAsia="仿宋_GB2312"/>
          <w:sz w:val="24"/>
          <w:highlight w:val="none"/>
          <w:lang w:eastAsia="zh-CN"/>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12</w:t>
      </w:r>
      <w:r>
        <w:rPr>
          <w:rFonts w:hint="eastAsia" w:ascii="Times New Roman" w:hAnsi="Times New Roman" w:eastAsia="仿宋_GB2312"/>
          <w:sz w:val="24"/>
          <w:highlight w:val="none"/>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6F311270">
      <w:pPr>
        <w:pStyle w:val="23"/>
        <w:ind w:left="840" w:leftChars="400"/>
        <w:rPr>
          <w:highlight w:val="none"/>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13</w:t>
      </w:r>
      <w:r>
        <w:rPr>
          <w:rFonts w:hint="eastAsia" w:ascii="Times New Roman" w:hAnsi="Times New Roman" w:eastAsia="仿宋_GB2312"/>
          <w:sz w:val="24"/>
          <w:highlight w:val="none"/>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008975AF">
      <w:pPr>
        <w:pStyle w:val="6"/>
        <w:tabs>
          <w:tab w:val="left" w:pos="360"/>
        </w:tabs>
        <w:rPr>
          <w:rFonts w:ascii="Times New Roman" w:hAnsi="Times New Roman" w:eastAsia="仿宋_GB2312"/>
          <w:b/>
          <w:sz w:val="24"/>
          <w:szCs w:val="21"/>
        </w:rPr>
      </w:pPr>
      <w:bookmarkStart w:id="315" w:name="_Toc58504512"/>
      <w:r>
        <w:rPr>
          <w:rFonts w:ascii="Times New Roman" w:hAnsi="Times New Roman" w:eastAsia="仿宋_GB2312"/>
          <w:b/>
          <w:sz w:val="24"/>
          <w:szCs w:val="21"/>
        </w:rPr>
        <w:t>23.3   磋商</w:t>
      </w:r>
      <w:bookmarkEnd w:id="315"/>
    </w:p>
    <w:p w14:paraId="3852771F">
      <w:pPr>
        <w:pStyle w:val="23"/>
        <w:ind w:left="840" w:hanging="840" w:hangingChars="350"/>
        <w:rPr>
          <w:rFonts w:ascii="Times New Roman" w:hAnsi="Times New Roman" w:eastAsia="仿宋_GB2312"/>
          <w:sz w:val="24"/>
        </w:rPr>
      </w:pPr>
      <w:bookmarkStart w:id="316" w:name="_Toc58504513"/>
      <w:r>
        <w:rPr>
          <w:rFonts w:ascii="Times New Roman" w:hAnsi="Times New Roman" w:eastAsia="仿宋_GB2312"/>
          <w:sz w:val="24"/>
        </w:rPr>
        <w:t>23.3.1 磋商小组集中与各供应商分别进行磋商，并给所有参加磋商供应商平等的磋商机会。</w:t>
      </w:r>
      <w:bookmarkEnd w:id="316"/>
    </w:p>
    <w:p w14:paraId="13479BBB">
      <w:pPr>
        <w:pStyle w:val="23"/>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Times New Roman" w:hAnsi="Times New Roman" w:eastAsia="仿宋_GB2312"/>
          <w:sz w:val="24"/>
          <w:lang w:eastAsia="zh-CN"/>
        </w:rPr>
        <w:t>委托代理人</w:t>
      </w:r>
      <w:r>
        <w:rPr>
          <w:rFonts w:ascii="Times New Roman" w:hAnsi="Times New Roman" w:eastAsia="仿宋_GB2312"/>
          <w:sz w:val="24"/>
        </w:rPr>
        <w:t>签字或者加盖公章。澄清、说明或者更正不得超出响应范围，或者改变响应文件的实质性内容。</w:t>
      </w:r>
    </w:p>
    <w:p w14:paraId="0E59C8C2">
      <w:pPr>
        <w:pStyle w:val="23"/>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4CF69A5F">
      <w:pPr>
        <w:pStyle w:val="23"/>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14:paraId="590C8FFB">
      <w:pPr>
        <w:pStyle w:val="23"/>
        <w:ind w:left="840" w:leftChars="400"/>
        <w:rPr>
          <w:rFonts w:ascii="Times New Roman" w:hAnsi="Times New Roman" w:eastAsia="仿宋_GB2312"/>
          <w:sz w:val="24"/>
          <w:highlight w:val="none"/>
        </w:rPr>
      </w:pPr>
      <w:r>
        <w:rPr>
          <w:rFonts w:ascii="Times New Roman" w:hAnsi="Times New Roman" w:eastAsia="仿宋_GB2312"/>
          <w:sz w:val="24"/>
        </w:rPr>
        <w:t>（1）供应商</w:t>
      </w:r>
      <w:r>
        <w:rPr>
          <w:rFonts w:ascii="Times New Roman" w:hAnsi="Times New Roman" w:eastAsia="仿宋_GB2312"/>
          <w:sz w:val="24"/>
          <w:highlight w:val="none"/>
        </w:rPr>
        <w:t>未按要求确认磋商小组确定的本项目最终技术需求的；</w:t>
      </w:r>
    </w:p>
    <w:p w14:paraId="2EFF82A5">
      <w:pPr>
        <w:pStyle w:val="23"/>
        <w:ind w:left="840" w:leftChars="400"/>
        <w:rPr>
          <w:rFonts w:ascii="Times New Roman" w:hAnsi="Times New Roman" w:eastAsia="仿宋_GB2312"/>
          <w:sz w:val="24"/>
          <w:highlight w:val="none"/>
        </w:rPr>
      </w:pPr>
      <w:r>
        <w:rPr>
          <w:rFonts w:ascii="Times New Roman" w:hAnsi="Times New Roman" w:eastAsia="仿宋_GB2312"/>
          <w:sz w:val="24"/>
          <w:highlight w:val="none"/>
        </w:rPr>
        <w:t>（2）最后报价未实质性响应磋商小组确定的本项目最终技术需求的，或附有采购人无法接受的条件的。</w:t>
      </w:r>
    </w:p>
    <w:p w14:paraId="32D2C18F">
      <w:pPr>
        <w:pStyle w:val="23"/>
        <w:rPr>
          <w:rFonts w:ascii="Times New Roman" w:hAnsi="Times New Roman" w:eastAsia="仿宋_GB2312"/>
          <w:b/>
          <w:sz w:val="24"/>
          <w:szCs w:val="21"/>
          <w:highlight w:val="none"/>
        </w:rPr>
      </w:pPr>
      <w:r>
        <w:rPr>
          <w:rFonts w:ascii="Times New Roman" w:hAnsi="Times New Roman" w:eastAsia="仿宋_GB2312"/>
          <w:b/>
          <w:sz w:val="24"/>
          <w:szCs w:val="21"/>
          <w:highlight w:val="none"/>
        </w:rPr>
        <w:t>23.4   最后报价</w:t>
      </w:r>
    </w:p>
    <w:p w14:paraId="0B335DCE">
      <w:pPr>
        <w:pStyle w:val="23"/>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23.4.1 磋商结束后，磋商小组要求所有实质性响应的供应商在规定时间内提交最后报价，提交最后报价的供应商不少于3家。最后报价是供应商响应文件的有效组成部分。</w:t>
      </w:r>
    </w:p>
    <w:p w14:paraId="7C585AC0">
      <w:pPr>
        <w:pStyle w:val="23"/>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23.4.2 最后报价应按报价的格式内容填写，并且同时提交最后响应报价表、最后报价明细表、最后节能、环境标志产品明细表等内容。各供应商在提交</w:t>
      </w:r>
      <w:r>
        <w:rPr>
          <w:rFonts w:hint="eastAsia" w:ascii="Times New Roman" w:hAnsi="Times New Roman" w:eastAsia="仿宋_GB2312"/>
          <w:sz w:val="24"/>
          <w:highlight w:val="none"/>
          <w:lang w:val="en-US" w:eastAsia="zh-CN"/>
        </w:rPr>
        <w:t>最后</w:t>
      </w:r>
      <w:r>
        <w:rPr>
          <w:rFonts w:ascii="Times New Roman" w:hAnsi="Times New Roman" w:eastAsia="仿宋_GB2312"/>
          <w:sz w:val="24"/>
          <w:highlight w:val="none"/>
        </w:rPr>
        <w:t>时，应对加盖公章，</w:t>
      </w:r>
      <w:r>
        <w:rPr>
          <w:rFonts w:hint="eastAsia" w:ascii="Times New Roman" w:hAnsi="Times New Roman" w:eastAsia="仿宋_GB2312"/>
          <w:sz w:val="24"/>
          <w:highlight w:val="none"/>
          <w:lang w:val="en-US" w:eastAsia="zh-CN"/>
        </w:rPr>
        <w:t>或</w:t>
      </w:r>
      <w:r>
        <w:rPr>
          <w:rFonts w:ascii="Times New Roman" w:hAnsi="Times New Roman" w:eastAsia="仿宋_GB2312"/>
          <w:sz w:val="24"/>
          <w:highlight w:val="none"/>
        </w:rPr>
        <w:t>由法定代表人或</w:t>
      </w:r>
      <w:r>
        <w:rPr>
          <w:rFonts w:hint="eastAsia" w:ascii="Times New Roman" w:hAnsi="Times New Roman" w:eastAsia="仿宋_GB2312"/>
          <w:sz w:val="24"/>
          <w:highlight w:val="none"/>
          <w:lang w:eastAsia="zh-CN"/>
        </w:rPr>
        <w:t>委托代理人</w:t>
      </w:r>
      <w:r>
        <w:rPr>
          <w:rFonts w:ascii="Times New Roman" w:hAnsi="Times New Roman" w:eastAsia="仿宋_GB2312"/>
          <w:sz w:val="24"/>
          <w:highlight w:val="none"/>
        </w:rPr>
        <w:t>签字。</w:t>
      </w:r>
    </w:p>
    <w:p w14:paraId="53318D55">
      <w:pPr>
        <w:pStyle w:val="6"/>
        <w:rPr>
          <w:rFonts w:ascii="Times New Roman" w:hAnsi="Times New Roman" w:eastAsia="仿宋_GB2312"/>
          <w:b/>
          <w:bCs/>
          <w:sz w:val="24"/>
          <w:szCs w:val="21"/>
          <w:highlight w:val="none"/>
        </w:rPr>
      </w:pPr>
      <w:bookmarkStart w:id="317" w:name="_Toc149720839"/>
      <w:bookmarkStart w:id="318" w:name="_Toc142311048"/>
      <w:bookmarkStart w:id="319" w:name="_Toc195842911"/>
      <w:bookmarkStart w:id="320" w:name="_Toc150509297"/>
      <w:bookmarkStart w:id="321" w:name="_Toc150774646"/>
      <w:bookmarkStart w:id="322" w:name="_Toc151190173"/>
      <w:bookmarkStart w:id="323" w:name="_Toc164229387"/>
      <w:bookmarkStart w:id="324" w:name="_Toc127151747"/>
      <w:bookmarkStart w:id="325" w:name="_Toc520356170"/>
      <w:bookmarkStart w:id="326" w:name="_Toc249515422"/>
      <w:bookmarkStart w:id="327" w:name="_Toc249515310"/>
      <w:bookmarkStart w:id="328" w:name="_Toc127161460"/>
      <w:bookmarkStart w:id="329" w:name="_Toc249525191"/>
      <w:bookmarkStart w:id="330" w:name="_Toc13753"/>
      <w:bookmarkStart w:id="331" w:name="_Toc164608815"/>
      <w:bookmarkStart w:id="332" w:name="_Toc151193934"/>
      <w:bookmarkStart w:id="333" w:name="_Toc151193860"/>
      <w:bookmarkStart w:id="334" w:name="_Toc150480784"/>
      <w:bookmarkStart w:id="335" w:name="_Toc164229241"/>
      <w:bookmarkStart w:id="336" w:name="_Toc164351640"/>
      <w:bookmarkStart w:id="337" w:name="_Ref467307010"/>
      <w:bookmarkStart w:id="338" w:name="_Toc127151546"/>
      <w:bookmarkStart w:id="339" w:name="_Toc151193788"/>
      <w:bookmarkStart w:id="340" w:name="_Toc151193644"/>
      <w:bookmarkStart w:id="341" w:name="_Toc150774751"/>
      <w:bookmarkStart w:id="342" w:name="_Toc164608660"/>
      <w:bookmarkStart w:id="343" w:name="_Toc151193716"/>
      <w:r>
        <w:rPr>
          <w:rFonts w:ascii="Times New Roman" w:hAnsi="Times New Roman" w:eastAsia="仿宋_GB2312"/>
          <w:b/>
          <w:bCs/>
          <w:sz w:val="24"/>
          <w:szCs w:val="21"/>
          <w:highlight w:val="none"/>
        </w:rPr>
        <w:t>24.    评审办法及</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Pr>
          <w:rFonts w:ascii="Times New Roman" w:hAnsi="Times New Roman" w:eastAsia="仿宋_GB2312"/>
          <w:b/>
          <w:bCs/>
          <w:sz w:val="24"/>
          <w:szCs w:val="21"/>
          <w:highlight w:val="none"/>
        </w:rPr>
        <w:t>落实政府采购政策，详见第三章。</w:t>
      </w:r>
    </w:p>
    <w:p w14:paraId="5142B36E">
      <w:pPr>
        <w:rPr>
          <w:rFonts w:eastAsia="仿宋_GB2312"/>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4"/>
    <w:p w14:paraId="417B2E2E">
      <w:pPr>
        <w:pStyle w:val="79"/>
        <w:spacing w:before="24" w:after="24"/>
        <w:jc w:val="center"/>
        <w:rPr>
          <w:rFonts w:eastAsia="仿宋_GB2312"/>
          <w:sz w:val="30"/>
          <w:szCs w:val="30"/>
          <w:highlight w:val="none"/>
        </w:rPr>
      </w:pPr>
      <w:bookmarkStart w:id="344" w:name="_Hlt491765714"/>
      <w:bookmarkEnd w:id="344"/>
      <w:bookmarkStart w:id="345" w:name="_Hlt497729446"/>
      <w:bookmarkEnd w:id="345"/>
      <w:bookmarkStart w:id="346" w:name="_Toc249525192"/>
      <w:bookmarkStart w:id="347" w:name="_Toc232176278"/>
      <w:bookmarkStart w:id="348" w:name="_Toc249515423"/>
      <w:bookmarkStart w:id="349" w:name="_Toc256342149"/>
      <w:bookmarkStart w:id="350" w:name="_Toc68590974"/>
      <w:bookmarkStart w:id="351" w:name="_Toc249515311"/>
      <w:bookmarkStart w:id="352" w:name="_Toc232395218"/>
      <w:bookmarkStart w:id="353" w:name="_Toc496324585"/>
      <w:bookmarkStart w:id="354" w:name="_Toc492955421"/>
      <w:bookmarkStart w:id="355" w:name="_Toc177817340"/>
      <w:bookmarkStart w:id="356" w:name="_Toc500747195"/>
      <w:bookmarkStart w:id="357" w:name="_Toc70687174"/>
      <w:bookmarkStart w:id="358" w:name="_Toc177189241"/>
      <w:bookmarkStart w:id="359" w:name="_Toc53722846"/>
      <w:bookmarkStart w:id="360" w:name="_Toc385992360"/>
      <w:bookmarkStart w:id="361" w:name="_Toc177995479"/>
      <w:bookmarkStart w:id="362" w:name="_Toc500747068"/>
      <w:bookmarkStart w:id="363" w:name="_Toc503063428"/>
      <w:bookmarkStart w:id="364" w:name="_Toc500746972"/>
      <w:bookmarkStart w:id="365" w:name="_Toc176882548"/>
      <w:bookmarkStart w:id="366" w:name="_Toc389620199"/>
      <w:bookmarkStart w:id="367" w:name="_Toc499711890"/>
      <w:bookmarkStart w:id="368" w:name="_Toc499711049"/>
      <w:bookmarkStart w:id="369" w:name="_Toc184043047"/>
      <w:r>
        <w:rPr>
          <w:rFonts w:eastAsia="仿宋_GB2312"/>
          <w:sz w:val="30"/>
          <w:szCs w:val="30"/>
          <w:highlight w:val="none"/>
        </w:rPr>
        <w:t>六、确定成交单位、授予合同</w:t>
      </w:r>
      <w:bookmarkEnd w:id="346"/>
      <w:bookmarkEnd w:id="347"/>
      <w:bookmarkEnd w:id="348"/>
      <w:bookmarkEnd w:id="349"/>
      <w:bookmarkEnd w:id="350"/>
      <w:bookmarkEnd w:id="351"/>
      <w:bookmarkEnd w:id="352"/>
    </w:p>
    <w:p w14:paraId="62E58D63">
      <w:pPr>
        <w:rPr>
          <w:rFonts w:eastAsia="仿宋_GB2312"/>
          <w:highlight w:val="none"/>
        </w:rPr>
      </w:pP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575B1A05">
      <w:pPr>
        <w:pStyle w:val="6"/>
        <w:numPr>
          <w:ilvl w:val="0"/>
          <w:numId w:val="7"/>
        </w:numPr>
        <w:rPr>
          <w:rFonts w:ascii="Times New Roman" w:hAnsi="Times New Roman" w:eastAsia="仿宋_GB2312"/>
          <w:b/>
          <w:bCs/>
          <w:sz w:val="24"/>
          <w:szCs w:val="21"/>
          <w:highlight w:val="none"/>
        </w:rPr>
      </w:pPr>
      <w:bookmarkStart w:id="370" w:name="_Toc27151"/>
      <w:bookmarkStart w:id="371" w:name="_Toc70687175"/>
      <w:bookmarkStart w:id="372" w:name="_Toc249515312"/>
      <w:bookmarkStart w:id="373" w:name="_Toc389620200"/>
      <w:bookmarkStart w:id="374" w:name="_Toc249515424"/>
      <w:bookmarkStart w:id="375" w:name="_Toc184043048"/>
      <w:bookmarkStart w:id="376" w:name="_Toc249525193"/>
      <w:bookmarkStart w:id="377" w:name="_Toc385992361"/>
      <w:r>
        <w:rPr>
          <w:rFonts w:ascii="Times New Roman" w:hAnsi="Times New Roman" w:eastAsia="仿宋_GB2312"/>
          <w:b/>
          <w:bCs/>
          <w:sz w:val="24"/>
          <w:szCs w:val="21"/>
          <w:highlight w:val="none"/>
        </w:rPr>
        <w:t xml:space="preserve">   </w:t>
      </w:r>
      <w:r>
        <w:rPr>
          <w:rFonts w:hint="eastAsia" w:ascii="Times New Roman" w:hAnsi="Times New Roman" w:eastAsia="仿宋_GB2312"/>
          <w:b/>
          <w:bCs/>
          <w:sz w:val="24"/>
          <w:szCs w:val="21"/>
          <w:highlight w:val="none"/>
        </w:rPr>
        <w:t xml:space="preserve"> </w:t>
      </w:r>
      <w:r>
        <w:rPr>
          <w:rFonts w:ascii="Times New Roman" w:hAnsi="Times New Roman" w:eastAsia="仿宋_GB2312"/>
          <w:b/>
          <w:bCs/>
          <w:sz w:val="24"/>
          <w:szCs w:val="21"/>
          <w:highlight w:val="none"/>
        </w:rPr>
        <w:t>确定成交</w:t>
      </w:r>
      <w:bookmarkEnd w:id="370"/>
      <w:bookmarkEnd w:id="371"/>
      <w:bookmarkEnd w:id="372"/>
      <w:bookmarkEnd w:id="373"/>
      <w:bookmarkEnd w:id="374"/>
      <w:bookmarkEnd w:id="375"/>
      <w:bookmarkEnd w:id="376"/>
      <w:bookmarkEnd w:id="377"/>
      <w:r>
        <w:rPr>
          <w:rFonts w:ascii="Times New Roman" w:hAnsi="Times New Roman" w:eastAsia="仿宋_GB2312"/>
          <w:b/>
          <w:bCs/>
          <w:sz w:val="24"/>
          <w:szCs w:val="21"/>
          <w:highlight w:val="none"/>
        </w:rPr>
        <w:t>单位</w:t>
      </w:r>
    </w:p>
    <w:p w14:paraId="49117749">
      <w:pPr>
        <w:tabs>
          <w:tab w:val="left" w:pos="588"/>
        </w:tabs>
        <w:spacing w:line="360" w:lineRule="auto"/>
        <w:rPr>
          <w:rFonts w:eastAsia="仿宋_GB2312"/>
          <w:sz w:val="24"/>
          <w:highlight w:val="none"/>
        </w:rPr>
      </w:pPr>
      <w:r>
        <w:rPr>
          <w:rFonts w:eastAsia="仿宋_GB2312"/>
          <w:sz w:val="24"/>
          <w:highlight w:val="none"/>
        </w:rPr>
        <w:t>25.1   采购代理机构应在评审结束后两个工作日内，将评审报告送采购人。</w:t>
      </w:r>
    </w:p>
    <w:p w14:paraId="01205881">
      <w:pPr>
        <w:tabs>
          <w:tab w:val="left" w:pos="588"/>
        </w:tabs>
        <w:spacing w:line="360" w:lineRule="auto"/>
        <w:ind w:left="840" w:hanging="840" w:hangingChars="350"/>
        <w:rPr>
          <w:rFonts w:eastAsia="仿宋_GB2312"/>
          <w:sz w:val="24"/>
          <w:highlight w:val="none"/>
        </w:rPr>
      </w:pPr>
      <w:r>
        <w:rPr>
          <w:rFonts w:eastAsia="仿宋_GB2312"/>
          <w:sz w:val="24"/>
          <w:highlight w:val="none"/>
        </w:rPr>
        <w:t>25.2   采购人在收到评审报告后五个工作日内，根据评审报告对评审过程及结果进行严格审核后确定成交供应商，复函采购代理机构。</w:t>
      </w:r>
    </w:p>
    <w:p w14:paraId="48298817">
      <w:pPr>
        <w:tabs>
          <w:tab w:val="left" w:pos="588"/>
        </w:tabs>
        <w:spacing w:line="360" w:lineRule="auto"/>
        <w:ind w:left="840" w:hanging="840" w:hangingChars="350"/>
        <w:rPr>
          <w:rFonts w:eastAsia="仿宋_GB2312"/>
          <w:sz w:val="24"/>
          <w:highlight w:val="none"/>
        </w:rPr>
      </w:pPr>
      <w:r>
        <w:rPr>
          <w:rFonts w:eastAsia="仿宋_GB2312"/>
          <w:sz w:val="24"/>
          <w:highlight w:val="none"/>
        </w:rPr>
        <w:t>25.3   采购代理机构在接到采购人的成交复函后，</w:t>
      </w:r>
      <w:r>
        <w:rPr>
          <w:rFonts w:hint="eastAsia" w:eastAsia="仿宋_GB2312"/>
          <w:sz w:val="24"/>
          <w:highlight w:val="none"/>
        </w:rPr>
        <w:t>两个工作日内</w:t>
      </w:r>
      <w:r>
        <w:rPr>
          <w:rFonts w:eastAsia="仿宋_GB2312"/>
          <w:sz w:val="24"/>
          <w:highlight w:val="none"/>
        </w:rPr>
        <w:t>在财政部门指定的政府采购信息发布媒体上公告，公告期限为一个工作日，并向成交供应商发出成交通知书。成交通知书是合同文件的组成部分。</w:t>
      </w:r>
    </w:p>
    <w:p w14:paraId="71FA9655">
      <w:pPr>
        <w:pStyle w:val="6"/>
        <w:rPr>
          <w:rFonts w:ascii="Times New Roman" w:hAnsi="Times New Roman" w:eastAsia="仿宋_GB2312"/>
          <w:b/>
          <w:bCs/>
          <w:sz w:val="24"/>
          <w:szCs w:val="21"/>
          <w:highlight w:val="none"/>
        </w:rPr>
      </w:pPr>
      <w:bookmarkStart w:id="378" w:name="_Toc389620204"/>
      <w:bookmarkStart w:id="379" w:name="_Toc385992365"/>
      <w:r>
        <w:rPr>
          <w:rFonts w:ascii="Times New Roman" w:hAnsi="Times New Roman" w:eastAsia="仿宋_GB2312"/>
          <w:b/>
          <w:bCs/>
          <w:sz w:val="24"/>
          <w:szCs w:val="21"/>
          <w:highlight w:val="none"/>
        </w:rPr>
        <w:t xml:space="preserve">26.    </w:t>
      </w:r>
      <w:r>
        <w:rPr>
          <w:rFonts w:hint="eastAsia" w:ascii="Times New Roman" w:hAnsi="Times New Roman" w:eastAsia="仿宋_GB2312"/>
          <w:b/>
          <w:bCs/>
          <w:sz w:val="24"/>
          <w:szCs w:val="21"/>
          <w:highlight w:val="none"/>
          <w:lang w:val="en-US" w:eastAsia="zh-CN"/>
        </w:rPr>
        <w:t>采购</w:t>
      </w:r>
      <w:r>
        <w:rPr>
          <w:rFonts w:ascii="Times New Roman" w:hAnsi="Times New Roman" w:eastAsia="仿宋_GB2312"/>
          <w:b/>
          <w:bCs/>
          <w:sz w:val="24"/>
          <w:szCs w:val="21"/>
          <w:highlight w:val="none"/>
        </w:rPr>
        <w:t>合同</w:t>
      </w:r>
    </w:p>
    <w:p w14:paraId="1ED44B03">
      <w:pPr>
        <w:tabs>
          <w:tab w:val="left" w:pos="588"/>
        </w:tabs>
        <w:spacing w:line="360" w:lineRule="auto"/>
        <w:ind w:left="840" w:hanging="840" w:hangingChars="350"/>
        <w:rPr>
          <w:rFonts w:eastAsia="仿宋_GB2312"/>
          <w:sz w:val="24"/>
          <w:highlight w:val="none"/>
        </w:rPr>
      </w:pPr>
      <w:r>
        <w:rPr>
          <w:rFonts w:eastAsia="仿宋_GB2312"/>
          <w:sz w:val="24"/>
          <w:highlight w:val="none"/>
        </w:rPr>
        <w:t>26.1   自成交通知书发出后</w:t>
      </w:r>
      <w:r>
        <w:rPr>
          <w:rFonts w:hint="eastAsia" w:eastAsia="仿宋_GB2312"/>
          <w:sz w:val="24"/>
          <w:highlight w:val="none"/>
          <w:lang w:val="en-US" w:eastAsia="zh-CN"/>
        </w:rPr>
        <w:t>三十</w:t>
      </w:r>
      <w:r>
        <w:rPr>
          <w:rFonts w:eastAsia="仿宋_GB2312"/>
          <w:sz w:val="24"/>
          <w:highlight w:val="none"/>
        </w:rPr>
        <w:t>日内，按照磋商文件和成交供应商响应文件的约定，采购人与成交供应商洽谈合同条款，并签订</w:t>
      </w:r>
      <w:r>
        <w:rPr>
          <w:rFonts w:hint="eastAsia" w:eastAsia="仿宋_GB2312"/>
          <w:sz w:val="24"/>
          <w:highlight w:val="none"/>
          <w:lang w:val="en-US" w:eastAsia="zh-CN"/>
        </w:rPr>
        <w:t>采购</w:t>
      </w:r>
      <w:r>
        <w:rPr>
          <w:rFonts w:eastAsia="仿宋_GB2312"/>
          <w:sz w:val="24"/>
          <w:highlight w:val="none"/>
        </w:rPr>
        <w:t>合同。磋商文件及成交供应商的响应文件均作为</w:t>
      </w:r>
      <w:r>
        <w:rPr>
          <w:rFonts w:hint="eastAsia" w:eastAsia="仿宋_GB2312"/>
          <w:sz w:val="24"/>
          <w:highlight w:val="none"/>
          <w:lang w:val="en-US" w:eastAsia="zh-CN"/>
        </w:rPr>
        <w:t>采购</w:t>
      </w:r>
      <w:r>
        <w:rPr>
          <w:rFonts w:eastAsia="仿宋_GB2312"/>
          <w:sz w:val="24"/>
          <w:highlight w:val="none"/>
        </w:rPr>
        <w:t>合同的组成部分。</w:t>
      </w:r>
    </w:p>
    <w:p w14:paraId="215F86B3">
      <w:pPr>
        <w:spacing w:line="360" w:lineRule="auto"/>
        <w:ind w:left="840" w:hanging="840" w:hangingChars="350"/>
        <w:rPr>
          <w:rFonts w:eastAsia="仿宋_GB2312"/>
          <w:sz w:val="24"/>
          <w:highlight w:val="none"/>
        </w:rPr>
      </w:pPr>
      <w:r>
        <w:rPr>
          <w:rFonts w:eastAsia="仿宋_GB2312"/>
          <w:sz w:val="24"/>
          <w:highlight w:val="none"/>
        </w:rPr>
        <w:t>26.2   确定成交单位后，成交供应商因自身原因未按程序签订</w:t>
      </w:r>
      <w:r>
        <w:rPr>
          <w:rFonts w:hint="eastAsia" w:eastAsia="仿宋_GB2312"/>
          <w:sz w:val="24"/>
          <w:highlight w:val="none"/>
          <w:lang w:val="en-US" w:eastAsia="zh-CN"/>
        </w:rPr>
        <w:t>采购</w:t>
      </w:r>
      <w:r>
        <w:rPr>
          <w:rFonts w:eastAsia="仿宋_GB2312"/>
          <w:sz w:val="24"/>
          <w:highlight w:val="none"/>
        </w:rPr>
        <w:t>合同，采购人将取消其成交资格，可以不退还其投标保证金，并上报行政监督管理部门记入不良行为记录。采购人可以按照</w:t>
      </w:r>
      <w:r>
        <w:rPr>
          <w:rFonts w:hint="eastAsia" w:eastAsia="仿宋_GB2312"/>
          <w:sz w:val="24"/>
          <w:highlight w:val="none"/>
          <w:lang w:val="en-US" w:eastAsia="zh-CN"/>
        </w:rPr>
        <w:t>评审</w:t>
      </w:r>
      <w:r>
        <w:rPr>
          <w:rFonts w:eastAsia="仿宋_GB2312"/>
          <w:sz w:val="24"/>
          <w:highlight w:val="none"/>
        </w:rPr>
        <w:t>报告推荐的</w:t>
      </w:r>
      <w:r>
        <w:rPr>
          <w:rFonts w:hint="eastAsia" w:eastAsia="仿宋_GB2312"/>
          <w:sz w:val="24"/>
          <w:highlight w:val="none"/>
          <w:lang w:val="en-US" w:eastAsia="zh-CN"/>
        </w:rPr>
        <w:t>成交</w:t>
      </w:r>
      <w:r>
        <w:rPr>
          <w:rFonts w:eastAsia="仿宋_GB2312"/>
          <w:sz w:val="24"/>
          <w:highlight w:val="none"/>
        </w:rPr>
        <w:t>候选人排序，确定下一</w:t>
      </w:r>
      <w:r>
        <w:rPr>
          <w:rFonts w:hint="eastAsia" w:eastAsia="仿宋_GB2312"/>
          <w:sz w:val="24"/>
          <w:highlight w:val="none"/>
          <w:lang w:val="en-US" w:eastAsia="zh-CN"/>
        </w:rPr>
        <w:t>成交</w:t>
      </w:r>
      <w:r>
        <w:rPr>
          <w:rFonts w:eastAsia="仿宋_GB2312"/>
          <w:sz w:val="24"/>
          <w:highlight w:val="none"/>
        </w:rPr>
        <w:t>候选人为</w:t>
      </w:r>
      <w:r>
        <w:rPr>
          <w:rFonts w:hint="eastAsia" w:eastAsia="仿宋_GB2312"/>
          <w:sz w:val="24"/>
          <w:highlight w:val="none"/>
          <w:lang w:val="en-US" w:eastAsia="zh-CN"/>
        </w:rPr>
        <w:t>成交</w:t>
      </w:r>
      <w:r>
        <w:rPr>
          <w:rFonts w:eastAsia="仿宋_GB2312"/>
          <w:sz w:val="24"/>
          <w:highlight w:val="none"/>
        </w:rPr>
        <w:t>人，也可以重新开展采购活动。</w:t>
      </w:r>
    </w:p>
    <w:p w14:paraId="664E3AF0">
      <w:pPr>
        <w:spacing w:line="360" w:lineRule="auto"/>
        <w:ind w:left="840" w:hanging="840" w:hangingChars="350"/>
        <w:rPr>
          <w:rFonts w:hint="default" w:eastAsia="仿宋_GB2312"/>
          <w:sz w:val="24"/>
          <w:highlight w:val="none"/>
          <w:lang w:val="en-US" w:eastAsia="zh-CN"/>
        </w:rPr>
      </w:pPr>
      <w:r>
        <w:rPr>
          <w:rFonts w:hint="eastAsia" w:eastAsia="仿宋_GB2312"/>
          <w:sz w:val="24"/>
          <w:highlight w:val="none"/>
          <w:lang w:val="en-US" w:eastAsia="zh-CN"/>
        </w:rPr>
        <w:t xml:space="preserve">26.3   </w:t>
      </w:r>
      <w:r>
        <w:rPr>
          <w:rFonts w:eastAsia="仿宋_GB2312"/>
          <w:sz w:val="24"/>
          <w:highlight w:val="none"/>
        </w:rPr>
        <w:t>当出现法规规定的</w:t>
      </w:r>
      <w:r>
        <w:rPr>
          <w:rFonts w:hint="eastAsia" w:eastAsia="仿宋_GB2312"/>
          <w:sz w:val="24"/>
          <w:highlight w:val="none"/>
          <w:lang w:val="en-US" w:eastAsia="zh-CN"/>
        </w:rPr>
        <w:t>成交</w:t>
      </w:r>
      <w:r>
        <w:rPr>
          <w:rFonts w:eastAsia="仿宋_GB2312"/>
          <w:sz w:val="24"/>
          <w:highlight w:val="none"/>
        </w:rPr>
        <w:t>无效或</w:t>
      </w:r>
      <w:r>
        <w:rPr>
          <w:rFonts w:hint="eastAsia" w:eastAsia="仿宋_GB2312"/>
          <w:sz w:val="24"/>
          <w:highlight w:val="none"/>
          <w:lang w:val="en-US" w:eastAsia="zh-CN"/>
        </w:rPr>
        <w:t>成交</w:t>
      </w:r>
      <w:r>
        <w:rPr>
          <w:rFonts w:eastAsia="仿宋_GB2312"/>
          <w:sz w:val="24"/>
          <w:highlight w:val="none"/>
        </w:rPr>
        <w:t>结果无效情形时，采购人可与排名下一位的</w:t>
      </w:r>
      <w:r>
        <w:rPr>
          <w:rFonts w:hint="eastAsia" w:eastAsia="仿宋_GB2312"/>
          <w:sz w:val="24"/>
          <w:highlight w:val="none"/>
          <w:lang w:val="en-US" w:eastAsia="zh-CN"/>
        </w:rPr>
        <w:t>成交</w:t>
      </w:r>
      <w:r>
        <w:rPr>
          <w:rFonts w:eastAsia="仿宋_GB2312"/>
          <w:sz w:val="24"/>
          <w:highlight w:val="none"/>
        </w:rPr>
        <w:t>候选人另行签订</w:t>
      </w:r>
      <w:r>
        <w:rPr>
          <w:rFonts w:hint="eastAsia" w:eastAsia="仿宋_GB2312"/>
          <w:sz w:val="24"/>
          <w:highlight w:val="none"/>
          <w:lang w:val="en-US" w:eastAsia="zh-CN"/>
        </w:rPr>
        <w:t>采购</w:t>
      </w:r>
      <w:r>
        <w:rPr>
          <w:rFonts w:eastAsia="仿宋_GB2312"/>
          <w:sz w:val="24"/>
          <w:highlight w:val="none"/>
        </w:rPr>
        <w:t>合同，或依法重新开展采购活动。</w:t>
      </w:r>
    </w:p>
    <w:p w14:paraId="18D64076">
      <w:pPr>
        <w:tabs>
          <w:tab w:val="left" w:pos="588"/>
        </w:tabs>
        <w:spacing w:line="360" w:lineRule="auto"/>
        <w:ind w:left="840" w:hanging="840" w:hangingChars="350"/>
        <w:rPr>
          <w:rFonts w:eastAsia="仿宋_GB2312"/>
          <w:sz w:val="24"/>
          <w:highlight w:val="none"/>
        </w:rPr>
      </w:pPr>
      <w:r>
        <w:rPr>
          <w:rFonts w:eastAsia="仿宋_GB2312"/>
          <w:sz w:val="24"/>
          <w:highlight w:val="none"/>
        </w:rPr>
        <w:t>26.</w:t>
      </w:r>
      <w:r>
        <w:rPr>
          <w:rFonts w:hint="eastAsia" w:eastAsia="仿宋_GB2312"/>
          <w:sz w:val="24"/>
          <w:highlight w:val="none"/>
          <w:lang w:val="en-US" w:eastAsia="zh-CN"/>
        </w:rPr>
        <w:t>4</w:t>
      </w:r>
      <w:r>
        <w:rPr>
          <w:rFonts w:eastAsia="仿宋_GB2312"/>
          <w:sz w:val="24"/>
          <w:highlight w:val="none"/>
        </w:rPr>
        <w:t xml:space="preserve">   成交供应商</w:t>
      </w:r>
      <w:r>
        <w:rPr>
          <w:rFonts w:hint="eastAsia" w:eastAsia="仿宋_GB2312"/>
          <w:sz w:val="24"/>
          <w:highlight w:val="none"/>
          <w:lang w:val="en-US" w:eastAsia="zh-CN"/>
        </w:rPr>
        <w:t>需在</w:t>
      </w:r>
      <w:r>
        <w:rPr>
          <w:rFonts w:eastAsia="仿宋_GB2312"/>
          <w:sz w:val="24"/>
          <w:highlight w:val="none"/>
        </w:rPr>
        <w:t>签订</w:t>
      </w:r>
      <w:r>
        <w:rPr>
          <w:rFonts w:hint="eastAsia" w:eastAsia="仿宋_GB2312"/>
          <w:sz w:val="24"/>
          <w:highlight w:val="none"/>
          <w:lang w:val="en-US" w:eastAsia="zh-CN"/>
        </w:rPr>
        <w:t>采购</w:t>
      </w:r>
      <w:r>
        <w:rPr>
          <w:rFonts w:eastAsia="仿宋_GB2312"/>
          <w:sz w:val="24"/>
          <w:highlight w:val="none"/>
        </w:rPr>
        <w:t>合同后</w:t>
      </w:r>
      <w:r>
        <w:rPr>
          <w:rFonts w:hint="eastAsia" w:eastAsia="仿宋_GB2312"/>
          <w:sz w:val="24"/>
          <w:highlight w:val="none"/>
          <w:lang w:val="en-US" w:eastAsia="zh-CN"/>
        </w:rPr>
        <w:t>三日内</w:t>
      </w:r>
      <w:r>
        <w:rPr>
          <w:rFonts w:eastAsia="仿宋_GB2312"/>
          <w:sz w:val="24"/>
          <w:highlight w:val="none"/>
        </w:rPr>
        <w:t>，持合同原件到采购代理机构办理保证金退还手续。</w:t>
      </w:r>
    </w:p>
    <w:p w14:paraId="69C794E9">
      <w:pPr>
        <w:pStyle w:val="6"/>
        <w:rPr>
          <w:rFonts w:ascii="Times New Roman" w:hAnsi="Times New Roman" w:eastAsia="仿宋_GB2312"/>
          <w:b/>
          <w:bCs/>
          <w:sz w:val="24"/>
          <w:szCs w:val="21"/>
          <w:highlight w:val="none"/>
        </w:rPr>
      </w:pPr>
      <w:r>
        <w:rPr>
          <w:rFonts w:ascii="Times New Roman" w:hAnsi="Times New Roman" w:eastAsia="仿宋_GB2312"/>
          <w:b/>
          <w:bCs/>
          <w:sz w:val="24"/>
          <w:szCs w:val="21"/>
          <w:highlight w:val="none"/>
        </w:rPr>
        <w:t>27.    询问与质疑 </w:t>
      </w:r>
    </w:p>
    <w:p w14:paraId="570E40AA">
      <w:pPr>
        <w:tabs>
          <w:tab w:val="left" w:pos="588"/>
        </w:tabs>
        <w:spacing w:line="360" w:lineRule="auto"/>
        <w:rPr>
          <w:rFonts w:eastAsia="仿宋_GB2312"/>
          <w:sz w:val="24"/>
          <w:highlight w:val="none"/>
        </w:rPr>
      </w:pPr>
      <w:r>
        <w:rPr>
          <w:rFonts w:eastAsia="仿宋_GB2312"/>
          <w:sz w:val="24"/>
          <w:highlight w:val="none"/>
        </w:rPr>
        <w:t>27.1   供应商对政府采购活动事项有疑问的，可以向采购人或采购代理机构提出询问。</w:t>
      </w:r>
    </w:p>
    <w:p w14:paraId="70F0D8EC">
      <w:pPr>
        <w:tabs>
          <w:tab w:val="left" w:pos="588"/>
        </w:tabs>
        <w:spacing w:line="360" w:lineRule="auto"/>
        <w:ind w:left="840" w:hanging="840" w:hangingChars="350"/>
        <w:rPr>
          <w:rFonts w:eastAsia="仿宋_GB2312"/>
          <w:sz w:val="24"/>
          <w:highlight w:val="none"/>
        </w:rPr>
      </w:pPr>
      <w:r>
        <w:rPr>
          <w:rFonts w:eastAsia="仿宋_GB2312"/>
          <w:sz w:val="24"/>
          <w:highlight w:val="none"/>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538701A8">
      <w:pPr>
        <w:spacing w:line="360" w:lineRule="auto"/>
        <w:ind w:left="840" w:hanging="840" w:hangingChars="350"/>
        <w:rPr>
          <w:rFonts w:eastAsia="仿宋_GB2312"/>
          <w:sz w:val="24"/>
          <w:highlight w:val="none"/>
        </w:rPr>
      </w:pPr>
      <w:r>
        <w:rPr>
          <w:rFonts w:eastAsia="仿宋_GB2312"/>
          <w:sz w:val="24"/>
          <w:highlight w:val="none"/>
        </w:rPr>
        <w:t>27.3   质疑供应商应按照财政部制定的《政府采购质疑函范本》格式（可从</w:t>
      </w:r>
      <w:r>
        <w:rPr>
          <w:rFonts w:hint="eastAsia" w:eastAsia="仿宋_GB2312"/>
          <w:sz w:val="24"/>
          <w:highlight w:val="none"/>
          <w:lang w:val="en-US" w:eastAsia="zh-CN"/>
        </w:rPr>
        <w:t>中国政府采购网首页下载专区</w:t>
      </w:r>
      <w:r>
        <w:rPr>
          <w:rFonts w:eastAsia="仿宋_GB2312"/>
          <w:sz w:val="24"/>
          <w:highlight w:val="none"/>
        </w:rPr>
        <w:t>下载）和《政府采购质疑和投诉办法》的要求，在法定质疑期内以书面形式提出质疑，针对同一采购程序环节的质疑应一次性提出。</w:t>
      </w:r>
    </w:p>
    <w:p w14:paraId="6D0124A1">
      <w:pPr>
        <w:spacing w:line="360" w:lineRule="auto"/>
        <w:ind w:left="840" w:leftChars="400"/>
        <w:rPr>
          <w:rFonts w:eastAsia="仿宋_GB2312"/>
          <w:sz w:val="24"/>
          <w:highlight w:val="none"/>
        </w:rPr>
      </w:pPr>
      <w:r>
        <w:rPr>
          <w:rFonts w:eastAsia="仿宋_GB2312"/>
          <w:sz w:val="24"/>
          <w:highlight w:val="none"/>
        </w:rPr>
        <w:t>超出法定质疑期提交的质疑将被拒绝。</w:t>
      </w:r>
    </w:p>
    <w:p w14:paraId="045F8107">
      <w:pPr>
        <w:spacing w:line="360" w:lineRule="auto"/>
        <w:ind w:left="851" w:leftChars="405" w:hanging="1"/>
        <w:rPr>
          <w:rFonts w:eastAsia="仿宋_GB2312"/>
          <w:sz w:val="24"/>
          <w:highlight w:val="none"/>
        </w:rPr>
      </w:pPr>
      <w:r>
        <w:rPr>
          <w:rFonts w:eastAsia="仿宋_GB2312"/>
          <w:sz w:val="24"/>
          <w:highlight w:val="none"/>
        </w:rPr>
        <w:t>重复或分次提出的、内容或形式不符合《政府采购质疑和投诉办法》的，质疑</w:t>
      </w:r>
      <w:r>
        <w:rPr>
          <w:rFonts w:hint="eastAsia" w:eastAsia="仿宋_GB2312"/>
          <w:sz w:val="24"/>
          <w:highlight w:val="none"/>
        </w:rPr>
        <w:t>投标人</w:t>
      </w:r>
      <w:r>
        <w:rPr>
          <w:rFonts w:eastAsia="仿宋_GB2312"/>
          <w:sz w:val="24"/>
          <w:highlight w:val="none"/>
        </w:rPr>
        <w:t>将依法承担不利后果。</w:t>
      </w:r>
    </w:p>
    <w:p w14:paraId="7D4B9ADD">
      <w:pPr>
        <w:tabs>
          <w:tab w:val="left" w:pos="588"/>
        </w:tabs>
        <w:spacing w:line="360" w:lineRule="auto"/>
        <w:rPr>
          <w:rFonts w:eastAsia="仿宋_GB2312"/>
          <w:sz w:val="24"/>
          <w:highlight w:val="none"/>
        </w:rPr>
      </w:pPr>
      <w:r>
        <w:rPr>
          <w:rFonts w:eastAsia="仿宋_GB2312"/>
          <w:sz w:val="24"/>
          <w:highlight w:val="none"/>
        </w:rPr>
        <w:t>27.4   供应商提出质疑应当提交质疑函和必要的证明材料。质疑函应当包括下列内容：</w:t>
      </w:r>
    </w:p>
    <w:p w14:paraId="4B27D27A">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highlight w:val="none"/>
        </w:rPr>
      </w:pPr>
      <w:r>
        <w:rPr>
          <w:rFonts w:hint="default" w:ascii="Times New Roman" w:hAnsi="Times New Roman" w:eastAsia="仿宋_GB2312" w:cs="Times New Roman"/>
          <w:kern w:val="2"/>
          <w:sz w:val="24"/>
          <w:szCs w:val="22"/>
          <w:highlight w:val="none"/>
          <w:lang w:val="en-US" w:eastAsia="zh-CN" w:bidi="ar-SA"/>
        </w:rPr>
        <w:t>（1）</w:t>
      </w:r>
      <w:r>
        <w:rPr>
          <w:rFonts w:ascii="Times New Roman" w:hAnsi="Times New Roman" w:eastAsia="仿宋_GB2312"/>
          <w:sz w:val="24"/>
          <w:highlight w:val="none"/>
        </w:rPr>
        <w:t>供应商的姓名或者名称、地址、邮编、联系人及联系电话；</w:t>
      </w:r>
    </w:p>
    <w:p w14:paraId="40834036">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highlight w:val="none"/>
        </w:rPr>
      </w:pPr>
      <w:r>
        <w:rPr>
          <w:rFonts w:hint="default" w:ascii="Times New Roman" w:hAnsi="Times New Roman" w:eastAsia="仿宋_GB2312" w:cs="Times New Roman"/>
          <w:kern w:val="2"/>
          <w:sz w:val="24"/>
          <w:szCs w:val="22"/>
          <w:highlight w:val="none"/>
          <w:lang w:val="en-US" w:eastAsia="zh-CN" w:bidi="ar-SA"/>
        </w:rPr>
        <w:t>（2）</w:t>
      </w:r>
      <w:r>
        <w:rPr>
          <w:rFonts w:ascii="Times New Roman" w:hAnsi="Times New Roman" w:eastAsia="仿宋_GB2312"/>
          <w:sz w:val="24"/>
          <w:highlight w:val="none"/>
        </w:rPr>
        <w:t>质疑项目的名称、编号；</w:t>
      </w:r>
    </w:p>
    <w:p w14:paraId="6BE36A11">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highlight w:val="none"/>
        </w:rPr>
      </w:pPr>
      <w:r>
        <w:rPr>
          <w:rFonts w:hint="default" w:ascii="Times New Roman" w:hAnsi="Times New Roman" w:eastAsia="仿宋_GB2312" w:cs="Times New Roman"/>
          <w:kern w:val="2"/>
          <w:sz w:val="24"/>
          <w:szCs w:val="22"/>
          <w:highlight w:val="none"/>
          <w:lang w:val="en-US" w:eastAsia="zh-CN" w:bidi="ar-SA"/>
        </w:rPr>
        <w:t>（3）</w:t>
      </w:r>
      <w:r>
        <w:rPr>
          <w:rFonts w:ascii="Times New Roman" w:hAnsi="Times New Roman" w:eastAsia="仿宋_GB2312"/>
          <w:sz w:val="24"/>
          <w:highlight w:val="none"/>
        </w:rPr>
        <w:t>具体、明确的质疑事项和与质疑事项相关的请求；</w:t>
      </w:r>
    </w:p>
    <w:p w14:paraId="4006A996">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highlight w:val="none"/>
        </w:rPr>
      </w:pPr>
      <w:r>
        <w:rPr>
          <w:rFonts w:hint="default" w:ascii="Times New Roman" w:hAnsi="Times New Roman" w:eastAsia="仿宋_GB2312" w:cs="Times New Roman"/>
          <w:kern w:val="2"/>
          <w:sz w:val="24"/>
          <w:szCs w:val="22"/>
          <w:highlight w:val="none"/>
          <w:lang w:val="en-US" w:eastAsia="zh-CN" w:bidi="ar-SA"/>
        </w:rPr>
        <w:t>（4）</w:t>
      </w:r>
      <w:r>
        <w:rPr>
          <w:rFonts w:ascii="Times New Roman" w:hAnsi="Times New Roman" w:eastAsia="仿宋_GB2312"/>
          <w:sz w:val="24"/>
          <w:highlight w:val="none"/>
        </w:rPr>
        <w:t>事实依据；</w:t>
      </w:r>
    </w:p>
    <w:p w14:paraId="40944BA3">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（5）</w:t>
      </w:r>
      <w:r>
        <w:rPr>
          <w:rFonts w:ascii="Times New Roman" w:hAnsi="Times New Roman" w:eastAsia="仿宋_GB2312"/>
          <w:sz w:val="24"/>
        </w:rPr>
        <w:t>必要的法律依据；</w:t>
      </w:r>
    </w:p>
    <w:p w14:paraId="7F3BBA65">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（6）</w:t>
      </w:r>
      <w:r>
        <w:rPr>
          <w:rFonts w:ascii="Times New Roman" w:hAnsi="Times New Roman" w:eastAsia="仿宋_GB2312"/>
          <w:sz w:val="24"/>
        </w:rPr>
        <w:t>提出质疑的日期。</w:t>
      </w:r>
    </w:p>
    <w:p w14:paraId="7E885D70">
      <w:pPr>
        <w:pStyle w:val="69"/>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w:t>
      </w:r>
      <w:r>
        <w:rPr>
          <w:rFonts w:hint="eastAsia" w:ascii="Times New Roman" w:hAnsi="Times New Roman" w:eastAsia="仿宋_GB2312"/>
          <w:sz w:val="24"/>
          <w:lang w:val="en-US" w:eastAsia="zh-CN"/>
        </w:rPr>
        <w:t>主要</w:t>
      </w:r>
      <w:r>
        <w:rPr>
          <w:rFonts w:ascii="Times New Roman" w:hAnsi="Times New Roman" w:eastAsia="仿宋_GB2312"/>
          <w:sz w:val="24"/>
        </w:rPr>
        <w:t>负责人签字或盖章，并加盖公章。</w:t>
      </w:r>
      <w:r>
        <w:rPr>
          <w:rFonts w:hint="eastAsia" w:ascii="Times New Roman" w:hAnsi="Times New Roman" w:eastAsia="仿宋_GB2312"/>
          <w:sz w:val="24"/>
        </w:rPr>
        <w:t>供应商可以委托代理人进行质疑和投诉</w:t>
      </w:r>
      <w:r>
        <w:rPr>
          <w:rFonts w:hint="eastAsia" w:ascii="Times New Roman" w:hAnsi="Times New Roman" w:eastAsia="仿宋_GB2312"/>
          <w:sz w:val="24"/>
          <w:lang w:eastAsia="zh-CN"/>
        </w:rPr>
        <w:t>，</w:t>
      </w:r>
      <w:r>
        <w:rPr>
          <w:rFonts w:hint="eastAsia" w:ascii="Times New Roman" w:hAnsi="Times New Roman" w:eastAsia="仿宋_GB2312"/>
          <w:sz w:val="24"/>
        </w:rPr>
        <w:t>其授权委托书应当载明代理人的姓名或者名称、代理事项、具体权限、期限和相关事项。</w:t>
      </w:r>
    </w:p>
    <w:p w14:paraId="1EB5E0DD">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14:paraId="0D79BB41">
      <w:pPr>
        <w:tabs>
          <w:tab w:val="left" w:pos="588"/>
        </w:tabs>
        <w:spacing w:line="360" w:lineRule="auto"/>
        <w:ind w:left="840" w:leftChars="400"/>
        <w:rPr>
          <w:rFonts w:eastAsia="仿宋_GB2312"/>
          <w:sz w:val="24"/>
        </w:rPr>
      </w:pPr>
      <w:r>
        <w:rPr>
          <w:rFonts w:eastAsia="仿宋_GB2312"/>
          <w:sz w:val="24"/>
        </w:rPr>
        <w:t>联系人：</w:t>
      </w:r>
      <w:r>
        <w:rPr>
          <w:rFonts w:hint="eastAsia" w:eastAsia="仿宋_GB2312"/>
          <w:sz w:val="24"/>
        </w:rPr>
        <w:t>综合办公室</w:t>
      </w:r>
      <w:r>
        <w:rPr>
          <w:rFonts w:eastAsia="仿宋_GB2312"/>
          <w:sz w:val="24"/>
        </w:rPr>
        <w:t>，联系电话：029-85235014</w:t>
      </w:r>
    </w:p>
    <w:p w14:paraId="4F1E3AB8">
      <w:pPr>
        <w:tabs>
          <w:tab w:val="left" w:pos="588"/>
        </w:tabs>
        <w:spacing w:line="360" w:lineRule="auto"/>
        <w:ind w:left="840" w:hanging="840" w:hangingChars="350"/>
        <w:rPr>
          <w:rFonts w:eastAsia="仿宋_GB2312"/>
          <w:sz w:val="24"/>
          <w:highlight w:val="none"/>
        </w:rPr>
      </w:pPr>
      <w:r>
        <w:rPr>
          <w:rFonts w:eastAsia="仿宋_GB2312"/>
          <w:sz w:val="24"/>
        </w:rPr>
        <w:t>27.6   供应商进行虚假和恶意质疑的，采购代理机构将提供相关资料报监督机构，按其</w:t>
      </w:r>
      <w:r>
        <w:rPr>
          <w:rFonts w:eastAsia="仿宋_GB2312"/>
          <w:sz w:val="24"/>
          <w:highlight w:val="none"/>
        </w:rPr>
        <w:t>情况进行相应处理。</w:t>
      </w:r>
    </w:p>
    <w:bookmarkEnd w:id="378"/>
    <w:bookmarkEnd w:id="379"/>
    <w:p w14:paraId="22D95BDD">
      <w:pPr>
        <w:pStyle w:val="6"/>
        <w:rPr>
          <w:rFonts w:ascii="Times New Roman" w:hAnsi="Times New Roman" w:eastAsia="仿宋_GB2312"/>
          <w:b/>
          <w:bCs/>
          <w:sz w:val="24"/>
          <w:szCs w:val="21"/>
          <w:highlight w:val="none"/>
        </w:rPr>
      </w:pPr>
      <w:bookmarkStart w:id="380" w:name="_Toc25547"/>
      <w:r>
        <w:rPr>
          <w:rFonts w:ascii="Times New Roman" w:hAnsi="Times New Roman" w:eastAsia="仿宋_GB2312"/>
          <w:b/>
          <w:bCs/>
          <w:sz w:val="24"/>
          <w:szCs w:val="21"/>
          <w:highlight w:val="none"/>
        </w:rPr>
        <w:t>28.    履约保证金</w:t>
      </w:r>
    </w:p>
    <w:p w14:paraId="5C1F7265">
      <w:pPr>
        <w:rPr>
          <w:highlight w:val="none"/>
        </w:rPr>
      </w:pPr>
    </w:p>
    <w:p w14:paraId="32F76C6F">
      <w:pPr>
        <w:tabs>
          <w:tab w:val="left" w:pos="588"/>
        </w:tabs>
        <w:spacing w:line="360" w:lineRule="auto"/>
        <w:rPr>
          <w:rFonts w:eastAsia="仿宋_GB2312"/>
          <w:sz w:val="24"/>
          <w:highlight w:val="none"/>
        </w:rPr>
      </w:pPr>
      <w:r>
        <w:rPr>
          <w:rFonts w:eastAsia="仿宋_GB2312"/>
          <w:sz w:val="24"/>
          <w:highlight w:val="none"/>
        </w:rPr>
        <w:t>28.1   履约保证金金额见</w:t>
      </w:r>
      <w:r>
        <w:rPr>
          <w:rFonts w:eastAsia="仿宋_GB2312"/>
          <w:b/>
          <w:sz w:val="24"/>
          <w:highlight w:val="none"/>
        </w:rPr>
        <w:t>供应商须知前附表</w:t>
      </w:r>
      <w:r>
        <w:rPr>
          <w:rFonts w:eastAsia="仿宋_GB2312"/>
          <w:sz w:val="24"/>
          <w:highlight w:val="none"/>
        </w:rPr>
        <w:t>。</w:t>
      </w:r>
    </w:p>
    <w:p w14:paraId="75B2F787">
      <w:pPr>
        <w:tabs>
          <w:tab w:val="left" w:pos="588"/>
        </w:tabs>
        <w:spacing w:line="360" w:lineRule="auto"/>
        <w:rPr>
          <w:rFonts w:eastAsia="仿宋_GB2312"/>
          <w:sz w:val="24"/>
          <w:highlight w:val="none"/>
        </w:rPr>
      </w:pPr>
      <w:r>
        <w:rPr>
          <w:rFonts w:eastAsia="仿宋_GB2312"/>
          <w:sz w:val="24"/>
          <w:highlight w:val="none"/>
        </w:rPr>
        <w:t>28.2   履约保证金缴纳时间：合同</w:t>
      </w:r>
      <w:r>
        <w:rPr>
          <w:rFonts w:hint="eastAsia" w:eastAsia="仿宋_GB2312"/>
          <w:sz w:val="24"/>
          <w:highlight w:val="none"/>
          <w:lang w:val="en-US" w:eastAsia="zh-CN"/>
        </w:rPr>
        <w:t>签订后5个工作日内</w:t>
      </w:r>
      <w:r>
        <w:rPr>
          <w:rFonts w:eastAsia="仿宋_GB2312"/>
          <w:sz w:val="24"/>
          <w:highlight w:val="none"/>
        </w:rPr>
        <w:t>必须交纳至采购人。</w:t>
      </w:r>
    </w:p>
    <w:p w14:paraId="6985C2C0">
      <w:pPr>
        <w:tabs>
          <w:tab w:val="left" w:pos="588"/>
        </w:tabs>
        <w:spacing w:line="360" w:lineRule="auto"/>
        <w:ind w:left="840" w:hanging="840" w:hangingChars="350"/>
        <w:rPr>
          <w:rFonts w:eastAsia="仿宋_GB2312"/>
          <w:sz w:val="24"/>
          <w:highlight w:val="none"/>
        </w:rPr>
      </w:pPr>
      <w:r>
        <w:rPr>
          <w:rFonts w:eastAsia="仿宋_GB2312"/>
          <w:sz w:val="24"/>
          <w:highlight w:val="none"/>
        </w:rPr>
        <w:t>28.3   履约保证金缴纳形式：成交供应商应当以支票、汇票、本票、保函（格式见附件2）等非现金形式缴纳。</w:t>
      </w:r>
    </w:p>
    <w:p w14:paraId="103CBB9E">
      <w:pPr>
        <w:tabs>
          <w:tab w:val="left" w:pos="588"/>
        </w:tabs>
        <w:spacing w:line="360" w:lineRule="auto"/>
        <w:rPr>
          <w:rFonts w:eastAsia="仿宋_GB2312"/>
          <w:sz w:val="24"/>
          <w:highlight w:val="none"/>
        </w:rPr>
      </w:pPr>
      <w:r>
        <w:rPr>
          <w:rFonts w:eastAsia="仿宋_GB2312"/>
          <w:sz w:val="24"/>
          <w:highlight w:val="none"/>
        </w:rPr>
        <w:t>28.4   履约保证金收取单位名称：</w:t>
      </w:r>
    </w:p>
    <w:p w14:paraId="66660C9C">
      <w:pPr>
        <w:tabs>
          <w:tab w:val="left" w:pos="588"/>
        </w:tabs>
        <w:spacing w:line="360" w:lineRule="auto"/>
        <w:ind w:left="840" w:leftChars="400"/>
        <w:rPr>
          <w:rFonts w:eastAsia="仿宋_GB2312"/>
          <w:sz w:val="24"/>
          <w:highlight w:val="none"/>
        </w:rPr>
      </w:pPr>
      <w:r>
        <w:rPr>
          <w:rFonts w:eastAsia="仿宋_GB2312"/>
          <w:sz w:val="24"/>
          <w:highlight w:val="none"/>
        </w:rPr>
        <w:t>开户银行：</w:t>
      </w:r>
    </w:p>
    <w:p w14:paraId="0E695C41">
      <w:pPr>
        <w:tabs>
          <w:tab w:val="left" w:pos="588"/>
        </w:tabs>
        <w:spacing w:line="360" w:lineRule="auto"/>
        <w:ind w:left="840" w:leftChars="400"/>
        <w:rPr>
          <w:rFonts w:eastAsia="仿宋_GB2312"/>
          <w:sz w:val="24"/>
          <w:highlight w:val="none"/>
        </w:rPr>
      </w:pPr>
      <w:r>
        <w:rPr>
          <w:rFonts w:eastAsia="仿宋_GB2312"/>
          <w:sz w:val="24"/>
          <w:highlight w:val="none"/>
        </w:rPr>
        <w:t>账号：</w:t>
      </w:r>
    </w:p>
    <w:p w14:paraId="0FEE599A">
      <w:pPr>
        <w:tabs>
          <w:tab w:val="left" w:pos="588"/>
        </w:tabs>
        <w:spacing w:line="360" w:lineRule="auto"/>
        <w:ind w:left="840" w:leftChars="400"/>
        <w:rPr>
          <w:rFonts w:eastAsia="仿宋_GB2312"/>
          <w:sz w:val="24"/>
          <w:highlight w:val="none"/>
        </w:rPr>
      </w:pPr>
      <w:r>
        <w:rPr>
          <w:rFonts w:eastAsia="仿宋_GB2312"/>
          <w:sz w:val="24"/>
          <w:highlight w:val="none"/>
        </w:rPr>
        <w:t>联系人：               联系电话：</w:t>
      </w:r>
    </w:p>
    <w:p w14:paraId="5A5D337C">
      <w:pPr>
        <w:tabs>
          <w:tab w:val="left" w:pos="588"/>
        </w:tabs>
        <w:spacing w:line="360" w:lineRule="auto"/>
        <w:rPr>
          <w:rFonts w:eastAsia="仿宋_GB2312"/>
          <w:sz w:val="24"/>
          <w:highlight w:val="none"/>
        </w:rPr>
      </w:pPr>
      <w:r>
        <w:rPr>
          <w:rFonts w:eastAsia="仿宋_GB2312"/>
          <w:sz w:val="24"/>
          <w:highlight w:val="none"/>
        </w:rPr>
        <w:t>28.5   履约保证金退还的方式、时间、条件：*****</w:t>
      </w:r>
    </w:p>
    <w:p w14:paraId="34BEB630">
      <w:pPr>
        <w:tabs>
          <w:tab w:val="left" w:pos="588"/>
        </w:tabs>
        <w:spacing w:line="360" w:lineRule="auto"/>
        <w:rPr>
          <w:rFonts w:eastAsia="仿宋_GB2312"/>
          <w:sz w:val="24"/>
          <w:highlight w:val="none"/>
        </w:rPr>
      </w:pPr>
      <w:r>
        <w:rPr>
          <w:rFonts w:eastAsia="仿宋_GB2312"/>
          <w:sz w:val="24"/>
          <w:highlight w:val="none"/>
        </w:rPr>
        <w:t>28.6   履约保证金不予退还的情况：****</w:t>
      </w:r>
    </w:p>
    <w:p w14:paraId="16422EAF">
      <w:pPr>
        <w:tabs>
          <w:tab w:val="left" w:pos="588"/>
        </w:tabs>
        <w:spacing w:line="360" w:lineRule="auto"/>
        <w:rPr>
          <w:rFonts w:eastAsia="仿宋_GB2312"/>
          <w:sz w:val="24"/>
          <w:highlight w:val="none"/>
        </w:rPr>
      </w:pPr>
      <w:r>
        <w:rPr>
          <w:rFonts w:eastAsia="仿宋_GB2312"/>
          <w:sz w:val="24"/>
          <w:highlight w:val="none"/>
        </w:rPr>
        <w:t>28.7   逾期退还履约保证金的违约责任：****</w:t>
      </w:r>
    </w:p>
    <w:p w14:paraId="74AE6940">
      <w:pPr>
        <w:pStyle w:val="6"/>
        <w:rPr>
          <w:rFonts w:ascii="Times New Roman" w:hAnsi="Times New Roman" w:eastAsia="仿宋_GB2312"/>
          <w:b/>
          <w:bCs/>
          <w:sz w:val="24"/>
          <w:szCs w:val="21"/>
          <w:highlight w:val="none"/>
        </w:rPr>
      </w:pPr>
      <w:r>
        <w:rPr>
          <w:rFonts w:ascii="Times New Roman" w:hAnsi="Times New Roman" w:eastAsia="仿宋_GB2312"/>
          <w:b/>
          <w:bCs/>
          <w:sz w:val="24"/>
          <w:szCs w:val="21"/>
          <w:highlight w:val="none"/>
        </w:rPr>
        <w:t>29.    成交服务费</w:t>
      </w:r>
      <w:bookmarkEnd w:id="380"/>
    </w:p>
    <w:p w14:paraId="6B9F6637">
      <w:pPr>
        <w:tabs>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w:t>
      </w:r>
      <w:r>
        <w:rPr>
          <w:rFonts w:hint="eastAsia" w:eastAsia="仿宋_GB2312"/>
          <w:sz w:val="24"/>
          <w:lang w:val="en-US" w:eastAsia="zh-CN"/>
        </w:rPr>
        <w:t>下浮30%</w:t>
      </w:r>
      <w:r>
        <w:rPr>
          <w:rFonts w:eastAsia="仿宋_GB2312"/>
          <w:sz w:val="24"/>
        </w:rPr>
        <w:t>收取</w:t>
      </w:r>
      <w:r>
        <w:rPr>
          <w:rFonts w:hint="eastAsia" w:eastAsia="仿宋_GB2312"/>
          <w:sz w:val="24"/>
          <w:lang w:eastAsia="zh-CN"/>
        </w:rPr>
        <w:t>，</w:t>
      </w:r>
      <w:r>
        <w:rPr>
          <w:rFonts w:hint="eastAsia" w:eastAsia="仿宋_GB2312"/>
          <w:sz w:val="24"/>
          <w:lang w:val="en-US" w:eastAsia="zh-CN"/>
        </w:rPr>
        <w:t>若低于5000元按照5000元收取</w:t>
      </w:r>
      <w:r>
        <w:rPr>
          <w:rFonts w:eastAsia="仿宋_GB2312"/>
          <w:sz w:val="24"/>
        </w:rPr>
        <w:t>。</w:t>
      </w:r>
    </w:p>
    <w:p w14:paraId="3A983F2A">
      <w:pPr>
        <w:snapToGrid w:val="0"/>
        <w:spacing w:line="360" w:lineRule="auto"/>
        <w:rPr>
          <w:rFonts w:eastAsia="仿宋_GB2312"/>
          <w:sz w:val="24"/>
        </w:rPr>
      </w:pPr>
      <w:r>
        <w:rPr>
          <w:rFonts w:eastAsia="仿宋_GB2312"/>
          <w:sz w:val="24"/>
        </w:rPr>
        <w:t>29.2   成交单位的代理服务费交纳信息</w:t>
      </w:r>
    </w:p>
    <w:p w14:paraId="11E7C0A2">
      <w:pPr>
        <w:snapToGrid w:val="0"/>
        <w:spacing w:line="360" w:lineRule="auto"/>
        <w:ind w:firstLine="840" w:firstLineChars="350"/>
        <w:rPr>
          <w:rFonts w:eastAsia="仿宋_GB2312"/>
          <w:sz w:val="24"/>
        </w:rPr>
      </w:pPr>
      <w:r>
        <w:rPr>
          <w:rFonts w:eastAsia="仿宋_GB2312"/>
          <w:sz w:val="24"/>
        </w:rPr>
        <w:t>银行户名：陕西省采购招标有限责任公司</w:t>
      </w:r>
    </w:p>
    <w:p w14:paraId="32F534B2">
      <w:pPr>
        <w:snapToGrid w:val="0"/>
        <w:spacing w:line="360" w:lineRule="auto"/>
        <w:ind w:firstLine="840" w:firstLineChars="350"/>
        <w:rPr>
          <w:rFonts w:eastAsia="仿宋_GB2312"/>
          <w:sz w:val="24"/>
        </w:rPr>
      </w:pPr>
      <w:r>
        <w:rPr>
          <w:rFonts w:eastAsia="仿宋_GB2312"/>
          <w:sz w:val="24"/>
        </w:rPr>
        <w:t>开户银行：中国光大银行西安友谊路支行</w:t>
      </w:r>
    </w:p>
    <w:p w14:paraId="0C804BD4">
      <w:pPr>
        <w:snapToGrid w:val="0"/>
        <w:spacing w:line="360" w:lineRule="auto"/>
        <w:ind w:firstLine="840" w:firstLineChars="350"/>
        <w:rPr>
          <w:rFonts w:eastAsia="仿宋_GB2312"/>
          <w:sz w:val="24"/>
        </w:rPr>
      </w:pPr>
      <w:r>
        <w:rPr>
          <w:rFonts w:eastAsia="仿宋_GB2312"/>
          <w:sz w:val="24"/>
        </w:rPr>
        <w:t>账    号：78560188000095264</w:t>
      </w:r>
    </w:p>
    <w:p w14:paraId="1788A6D8">
      <w:pPr>
        <w:snapToGrid w:val="0"/>
        <w:spacing w:line="360" w:lineRule="auto"/>
        <w:ind w:firstLine="840" w:firstLineChars="350"/>
        <w:rPr>
          <w:rFonts w:eastAsia="仿宋_GB2312"/>
          <w:sz w:val="24"/>
        </w:rPr>
      </w:pPr>
      <w:r>
        <w:rPr>
          <w:rFonts w:eastAsia="仿宋_GB2312"/>
          <w:sz w:val="24"/>
        </w:rPr>
        <w:t>联 系 人：</w:t>
      </w:r>
      <w:r>
        <w:rPr>
          <w:rFonts w:hint="eastAsia" w:eastAsia="仿宋_GB2312"/>
          <w:sz w:val="24"/>
        </w:rPr>
        <w:t>财务部</w:t>
      </w:r>
      <w:r>
        <w:rPr>
          <w:rFonts w:eastAsia="仿宋_GB2312"/>
          <w:sz w:val="24"/>
        </w:rPr>
        <w:t xml:space="preserve">   联系电话：029-85263975</w:t>
      </w:r>
    </w:p>
    <w:p w14:paraId="01A79C7A">
      <w:pPr>
        <w:snapToGrid w:val="0"/>
        <w:spacing w:line="360" w:lineRule="auto"/>
        <w:rPr>
          <w:rFonts w:eastAsia="仿宋_GB2312"/>
          <w:sz w:val="24"/>
        </w:rPr>
      </w:pPr>
      <w:r>
        <w:rPr>
          <w:rFonts w:hint="eastAsia" w:eastAsia="仿宋_GB2312"/>
          <w:sz w:val="24"/>
        </w:rPr>
        <w:t>29.3    成交服务费已包含在供应商的响应报价中，不在响应分项报价表中单独列项。</w:t>
      </w:r>
    </w:p>
    <w:p w14:paraId="26886FE0">
      <w:pPr>
        <w:pStyle w:val="6"/>
        <w:numPr>
          <w:ilvl w:val="0"/>
          <w:numId w:val="8"/>
        </w:numPr>
        <w:rPr>
          <w:rFonts w:ascii="Times New Roman" w:hAnsi="Times New Roman" w:eastAsia="仿宋_GB2312"/>
          <w:b/>
          <w:bCs/>
          <w:sz w:val="24"/>
          <w:szCs w:val="21"/>
        </w:rPr>
      </w:pPr>
      <w:bookmarkStart w:id="381" w:name="_Toc1585"/>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采购人追加采购数量的权力</w:t>
      </w:r>
      <w:bookmarkEnd w:id="381"/>
    </w:p>
    <w:p w14:paraId="2348950E">
      <w:pPr>
        <w:tabs>
          <w:tab w:val="left" w:pos="588"/>
        </w:tabs>
        <w:spacing w:line="360" w:lineRule="auto"/>
        <w:ind w:left="840" w:leftChars="400"/>
        <w:rPr>
          <w:rFonts w:eastAsia="仿宋_GB2312"/>
          <w:sz w:val="24"/>
        </w:rPr>
      </w:pPr>
      <w:bookmarkStart w:id="382" w:name="_Toc385992366"/>
      <w:bookmarkStart w:id="383"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0979139">
      <w:pPr>
        <w:pStyle w:val="6"/>
        <w:numPr>
          <w:ilvl w:val="0"/>
          <w:numId w:val="8"/>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052429D1">
      <w:pPr>
        <w:pStyle w:val="23"/>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6FA16164">
      <w:pPr>
        <w:pStyle w:val="23"/>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14:paraId="00F9E92F">
      <w:pPr>
        <w:pStyle w:val="6"/>
        <w:numPr>
          <w:ilvl w:val="0"/>
          <w:numId w:val="8"/>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14:paraId="06E7F71B">
      <w:pPr>
        <w:pStyle w:val="23"/>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14:paraId="72F480A9">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57968745">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78BBC65A">
      <w:pPr>
        <w:pStyle w:val="23"/>
        <w:tabs>
          <w:tab w:val="left" w:pos="567"/>
        </w:tabs>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6F47E3AA">
      <w:pPr>
        <w:pStyle w:val="23"/>
        <w:ind w:left="772"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6A100A62">
      <w:pPr>
        <w:pStyle w:val="23"/>
        <w:tabs>
          <w:tab w:val="left" w:pos="567"/>
        </w:tabs>
        <w:rPr>
          <w:rFonts w:ascii="Times New Roman" w:hAnsi="Times New Roman" w:eastAsia="仿宋_GB2312"/>
          <w:sz w:val="24"/>
          <w:szCs w:val="32"/>
        </w:rPr>
      </w:pPr>
    </w:p>
    <w:p w14:paraId="0ACAD94B">
      <w:pPr>
        <w:pStyle w:val="23"/>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1D1E94A9">
      <w:pPr>
        <w:rPr>
          <w:rFonts w:eastAsia="仿宋_GB2312"/>
          <w:b/>
          <w:szCs w:val="21"/>
        </w:rPr>
      </w:pPr>
      <w:r>
        <w:rPr>
          <w:rFonts w:eastAsia="仿宋_GB2312"/>
        </w:rPr>
        <w:t xml:space="preserve"> </w:t>
      </w:r>
      <w:r>
        <w:rPr>
          <w:rFonts w:eastAsia="仿宋_GB2312"/>
          <w:b/>
          <w:szCs w:val="21"/>
        </w:rPr>
        <w:t>一、陕西建行（E政通）</w:t>
      </w:r>
    </w:p>
    <w:p w14:paraId="1B423FAB">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2F37CE06">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2A3ABEF4">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1777E14E">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5C8B2C3A">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0D3459FA">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2CD4FF04">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7FB63205">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53652D74">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7DD23C9E">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73E760C8">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E0B27F7">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280EF819">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232320E6">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5F2751D6">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5D548A89">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6D36D61A">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7BE4D594">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3801A8D9">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2EB7BAD2">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7282D76E">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5243E0F3">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3185F77A">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54EDDFA8">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2EA497F5">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0494BC88">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22EE5EAD">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06FDC423">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20E3675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4F7110CA">
      <w:pPr>
        <w:rPr>
          <w:rFonts w:eastAsia="仿宋_GB2312"/>
          <w:b/>
          <w:szCs w:val="21"/>
        </w:rPr>
      </w:pPr>
      <w:r>
        <w:rPr>
          <w:rFonts w:eastAsia="仿宋_GB2312"/>
          <w:b/>
          <w:szCs w:val="21"/>
        </w:rPr>
        <w:t>三、工商银行（政采贷）</w:t>
      </w:r>
    </w:p>
    <w:p w14:paraId="7390CF9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2CCE57AB">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45BD1556">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998AB29">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0F21FF17">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236F053F">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3CC5CA23">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77636BF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1382678B">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3AD0609">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167AE1A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658EB9B5">
      <w:pPr>
        <w:rPr>
          <w:rFonts w:eastAsia="仿宋_GB2312"/>
          <w:b/>
          <w:szCs w:val="21"/>
        </w:rPr>
      </w:pPr>
      <w:r>
        <w:rPr>
          <w:rFonts w:eastAsia="仿宋_GB2312"/>
          <w:b/>
          <w:szCs w:val="21"/>
        </w:rPr>
        <w:t>四、中信银行 （政采e贷）</w:t>
      </w:r>
    </w:p>
    <w:p w14:paraId="5AF4E3D9">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142B96E3">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6B377DCE">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156B490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522F2291">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7103D7C1">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09EF0273">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46B5F569">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2FDAC06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73ED101D">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367D8A39">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2DBE1804">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2EC2C13B">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14AD40A8">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2049CC57">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794C9F5F">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7FD7E5D4">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58F47668">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334AEE44">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37A45F2D">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77EFB76F">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717610F1">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171EC3A4">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5A40C964">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6E66C9FB">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7CDA63D2">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20FC0094">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346C2BD3">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21B6D8A3">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1E8B2760">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6E4EC985">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38F40D41">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11F3AC33">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5E67FD5F">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0B10866A">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19CFD66C">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5D46D4BF">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4397177F">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3AFE8BDB">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6E1F69B3">
      <w:pPr>
        <w:rPr>
          <w:rFonts w:eastAsia="仿宋_GB2312"/>
          <w:b/>
          <w:szCs w:val="21"/>
        </w:rPr>
      </w:pPr>
      <w:r>
        <w:rPr>
          <w:rFonts w:eastAsia="仿宋_GB2312"/>
          <w:b/>
          <w:szCs w:val="21"/>
        </w:rPr>
        <w:t>六、浦发银行 （政采e贷）</w:t>
      </w:r>
    </w:p>
    <w:p w14:paraId="58D5FE0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6236DB8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625BA76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1C8F5F0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4D3363B5">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2DE61FD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40A0B0A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710606C3">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7BD1CCA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7847825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09003BF">
      <w:pPr>
        <w:rPr>
          <w:rFonts w:eastAsia="仿宋_GB2312"/>
          <w:szCs w:val="21"/>
        </w:rPr>
      </w:pPr>
    </w:p>
    <w:p w14:paraId="55AB6FFD">
      <w:pPr>
        <w:rPr>
          <w:rFonts w:eastAsia="仿宋_GB2312"/>
          <w:b/>
          <w:szCs w:val="21"/>
        </w:rPr>
      </w:pPr>
      <w:r>
        <w:rPr>
          <w:rFonts w:eastAsia="仿宋_GB2312"/>
          <w:b/>
          <w:szCs w:val="21"/>
        </w:rPr>
        <w:t>七、兴业银行（政采贷）</w:t>
      </w:r>
    </w:p>
    <w:p w14:paraId="4125576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06AE2B52">
      <w:pPr>
        <w:rPr>
          <w:rFonts w:eastAsia="仿宋_GB2312"/>
          <w:b/>
          <w:szCs w:val="21"/>
        </w:rPr>
      </w:pPr>
      <w:r>
        <w:rPr>
          <w:rFonts w:eastAsia="仿宋_GB2312"/>
          <w:b/>
          <w:szCs w:val="21"/>
        </w:rPr>
        <w:t>八、中国民生银行（政采贷）</w:t>
      </w:r>
    </w:p>
    <w:p w14:paraId="7712A88E">
      <w:pPr>
        <w:ind w:left="2310" w:leftChars="200" w:hanging="1890" w:hangingChars="900"/>
        <w:rPr>
          <w:rFonts w:eastAsia="仿宋_GB2312"/>
          <w:szCs w:val="21"/>
        </w:rPr>
      </w:pPr>
      <w:r>
        <w:rPr>
          <w:rFonts w:eastAsia="仿宋_GB2312"/>
          <w:szCs w:val="21"/>
        </w:rPr>
        <w:t>民生银行西安分行  联系人：陈经理 联系电话：61815275 /18821669199</w:t>
      </w:r>
    </w:p>
    <w:p w14:paraId="47967329">
      <w:pPr>
        <w:ind w:left="2310" w:leftChars="200" w:hanging="1890" w:hangingChars="900"/>
        <w:rPr>
          <w:rFonts w:eastAsia="仿宋_GB2312"/>
          <w:szCs w:val="21"/>
        </w:rPr>
      </w:pPr>
      <w:r>
        <w:rPr>
          <w:rFonts w:eastAsia="仿宋_GB2312"/>
          <w:szCs w:val="21"/>
        </w:rPr>
        <w:t xml:space="preserve">联系人：王经理 联系电话：61815280 /18591953690 </w:t>
      </w:r>
    </w:p>
    <w:p w14:paraId="4AA9CB89">
      <w:pPr>
        <w:rPr>
          <w:rFonts w:eastAsia="仿宋_GB2312"/>
          <w:b/>
          <w:szCs w:val="21"/>
        </w:rPr>
      </w:pPr>
      <w:r>
        <w:rPr>
          <w:rFonts w:eastAsia="仿宋_GB2312"/>
          <w:b/>
          <w:szCs w:val="21"/>
        </w:rPr>
        <w:t>九、浙商银行 （政采贷）</w:t>
      </w:r>
    </w:p>
    <w:p w14:paraId="5752B7A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2F1AD2A7">
      <w:pPr>
        <w:rPr>
          <w:rFonts w:eastAsia="仿宋_GB2312"/>
          <w:b/>
          <w:szCs w:val="21"/>
        </w:rPr>
      </w:pPr>
      <w:r>
        <w:rPr>
          <w:rFonts w:eastAsia="仿宋_GB2312"/>
          <w:b/>
          <w:szCs w:val="21"/>
        </w:rPr>
        <w:t xml:space="preserve">十、 招商银行（政采贷） </w:t>
      </w:r>
    </w:p>
    <w:p w14:paraId="2E4D7F3D">
      <w:pPr>
        <w:ind w:firstLine="420" w:firstLineChars="200"/>
        <w:rPr>
          <w:rFonts w:eastAsia="仿宋_GB2312"/>
          <w:szCs w:val="21"/>
        </w:rPr>
      </w:pPr>
      <w:r>
        <w:rPr>
          <w:rFonts w:eastAsia="仿宋_GB2312"/>
          <w:szCs w:val="21"/>
        </w:rPr>
        <w:t>招商银行西安分行   联系人：任瑾；85438988</w:t>
      </w:r>
    </w:p>
    <w:p w14:paraId="0445F2FB">
      <w:pPr>
        <w:rPr>
          <w:rFonts w:eastAsia="仿宋_GB2312"/>
          <w:b/>
          <w:szCs w:val="21"/>
        </w:rPr>
      </w:pPr>
      <w:r>
        <w:rPr>
          <w:rFonts w:eastAsia="仿宋_GB2312"/>
          <w:b/>
          <w:szCs w:val="21"/>
        </w:rPr>
        <w:t xml:space="preserve">十一、 长安银行（小微贷） </w:t>
      </w:r>
    </w:p>
    <w:p w14:paraId="105D2853">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5226A68B">
      <w:pPr>
        <w:ind w:firstLine="420" w:firstLineChars="200"/>
        <w:rPr>
          <w:rFonts w:eastAsia="仿宋_GB2312"/>
          <w:szCs w:val="21"/>
        </w:rPr>
      </w:pPr>
      <w:r>
        <w:rPr>
          <w:rFonts w:eastAsia="仿宋_GB2312"/>
          <w:szCs w:val="21"/>
        </w:rPr>
        <w:t xml:space="preserve">联系人：陈瑶 13629266833 </w:t>
      </w:r>
    </w:p>
    <w:bookmarkEnd w:id="382"/>
    <w:bookmarkEnd w:id="383"/>
    <w:p w14:paraId="5DFA04A7">
      <w:pPr>
        <w:rPr>
          <w:rFonts w:ascii="仿宋_GB2312" w:hAnsi="仿宋_GB2312" w:eastAsia="仿宋_GB2312" w:cs="仿宋_GB2312"/>
          <w:b/>
          <w:szCs w:val="21"/>
        </w:rPr>
      </w:pPr>
      <w:bookmarkStart w:id="384" w:name="_Toc184114070"/>
      <w:bookmarkStart w:id="385" w:name="_Toc184025279"/>
      <w:bookmarkStart w:id="386" w:name="_Toc230099802"/>
      <w:bookmarkStart w:id="387" w:name="_Toc230013637"/>
      <w:r>
        <w:rPr>
          <w:rFonts w:hint="eastAsia" w:ascii="仿宋_GB2312" w:hAnsi="仿宋_GB2312" w:eastAsia="仿宋_GB2312" w:cs="仿宋_GB2312"/>
          <w:b/>
          <w:szCs w:val="21"/>
        </w:rPr>
        <w:t>十二、网商银行（合同贷）</w:t>
      </w:r>
    </w:p>
    <w:p w14:paraId="15C7C1A5">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14:paraId="59533A26">
      <w:pPr>
        <w:pStyle w:val="23"/>
        <w:tabs>
          <w:tab w:val="left" w:pos="567"/>
        </w:tabs>
        <w:rPr>
          <w:rFonts w:ascii="仿宋_GB2312" w:hAnsi="仿宋_GB2312" w:eastAsia="仿宋_GB2312" w:cs="仿宋_GB2312"/>
          <w:szCs w:val="21"/>
        </w:rPr>
      </w:pPr>
    </w:p>
    <w:p w14:paraId="6A1F82EA">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14:paraId="500ED337">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pacing w:line="240" w:lineRule="exact"/>
              <w:jc w:val="center"/>
              <w:rPr>
                <w:rFonts w:ascii="仿宋_GB2312" w:hAnsi="仿宋_GB2312" w:eastAsia="仿宋_GB2312" w:cs="仿宋_GB2312"/>
                <w:szCs w:val="21"/>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14:paraId="79D706A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pacing w:line="240" w:lineRule="exact"/>
              <w:jc w:val="center"/>
              <w:rPr>
                <w:rFonts w:ascii="仿宋_GB2312" w:hAnsi="仿宋_GB2312" w:eastAsia="仿宋_GB2312" w:cs="仿宋_GB2312"/>
                <w:szCs w:val="21"/>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14:paraId="18C4D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pacing w:line="240" w:lineRule="exact"/>
              <w:jc w:val="center"/>
              <w:rPr>
                <w:rFonts w:ascii="仿宋_GB2312" w:hAnsi="仿宋_GB2312" w:eastAsia="仿宋_GB2312" w:cs="仿宋_GB2312"/>
                <w:szCs w:val="21"/>
              </w:rPr>
            </w:pPr>
          </w:p>
        </w:tc>
      </w:tr>
      <w:tr w14:paraId="6B3A57B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pacing w:line="240" w:lineRule="exact"/>
              <w:jc w:val="center"/>
              <w:rPr>
                <w:rFonts w:ascii="仿宋_GB2312" w:hAnsi="仿宋_GB2312" w:eastAsia="仿宋_GB2312" w:cs="仿宋_GB2312"/>
                <w:szCs w:val="21"/>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14:paraId="5C523ED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pacing w:line="240" w:lineRule="exact"/>
              <w:jc w:val="center"/>
              <w:rPr>
                <w:rFonts w:ascii="仿宋_GB2312" w:hAnsi="仿宋_GB2312" w:eastAsia="仿宋_GB2312" w:cs="仿宋_GB2312"/>
                <w:szCs w:val="21"/>
              </w:rPr>
            </w:pPr>
          </w:p>
        </w:tc>
      </w:tr>
      <w:tr w14:paraId="1D7F939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pacing w:line="240" w:lineRule="exact"/>
              <w:jc w:val="center"/>
              <w:rPr>
                <w:rFonts w:ascii="仿宋_GB2312" w:hAnsi="仿宋_GB2312" w:eastAsia="仿宋_GB2312" w:cs="仿宋_GB2312"/>
                <w:szCs w:val="21"/>
              </w:rPr>
            </w:pPr>
          </w:p>
        </w:tc>
      </w:tr>
      <w:tr w14:paraId="7DA8C0C2">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14:paraId="3F7B5B8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14:paraId="6629081D">
      <w:pPr>
        <w:pStyle w:val="23"/>
        <w:tabs>
          <w:tab w:val="left" w:pos="567"/>
        </w:tabs>
        <w:rPr>
          <w:rFonts w:ascii="仿宋_GB2312" w:hAnsi="仿宋_GB2312" w:eastAsia="仿宋_GB2312" w:cs="仿宋_GB2312"/>
          <w:szCs w:val="21"/>
        </w:rPr>
      </w:pPr>
    </w:p>
    <w:p w14:paraId="0DBA4DB1">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15991595662</w:t>
            </w:r>
          </w:p>
        </w:tc>
      </w:tr>
    </w:tbl>
    <w:p w14:paraId="71FA1B5B">
      <w:pPr>
        <w:tabs>
          <w:tab w:val="left" w:pos="588"/>
        </w:tabs>
        <w:spacing w:line="360" w:lineRule="auto"/>
        <w:rPr>
          <w:rFonts w:eastAsia="仿宋_GB2312"/>
          <w:sz w:val="24"/>
        </w:rPr>
      </w:pPr>
      <w:r>
        <w:rPr>
          <w:rFonts w:eastAsia="仿宋_GB2312"/>
          <w:sz w:val="24"/>
        </w:rPr>
        <w:br w:type="page"/>
      </w:r>
    </w:p>
    <w:bookmarkEnd w:id="384"/>
    <w:bookmarkEnd w:id="385"/>
    <w:bookmarkEnd w:id="386"/>
    <w:bookmarkEnd w:id="387"/>
    <w:p w14:paraId="78BB099D">
      <w:pPr>
        <w:pStyle w:val="46"/>
        <w:spacing w:line="360" w:lineRule="auto"/>
        <w:rPr>
          <w:rStyle w:val="204"/>
          <w:rFonts w:ascii="Times New Roman" w:hAnsi="Times New Roman" w:eastAsia="宋体"/>
          <w:sz w:val="36"/>
          <w:szCs w:val="36"/>
        </w:rPr>
      </w:pPr>
      <w:bookmarkStart w:id="388" w:name="_Toc68590975"/>
      <w:bookmarkStart w:id="389" w:name="_Toc58504447"/>
      <w:bookmarkStart w:id="390" w:name="_Toc17469"/>
      <w:r>
        <w:rPr>
          <w:rStyle w:val="204"/>
          <w:rFonts w:ascii="Times New Roman" w:hAnsi="Times New Roman" w:eastAsia="宋体"/>
          <w:sz w:val="36"/>
          <w:szCs w:val="36"/>
        </w:rPr>
        <w:t>第三章  评审办法和标准</w:t>
      </w:r>
      <w:bookmarkEnd w:id="388"/>
    </w:p>
    <w:p w14:paraId="18D7CB7B">
      <w:pPr>
        <w:tabs>
          <w:tab w:val="left" w:pos="360"/>
          <w:tab w:val="left" w:pos="588"/>
        </w:tabs>
        <w:spacing w:line="360" w:lineRule="auto"/>
        <w:ind w:left="840"/>
        <w:rPr>
          <w:rFonts w:eastAsia="仿宋_GB2312"/>
          <w:sz w:val="24"/>
        </w:rPr>
      </w:pPr>
    </w:p>
    <w:p w14:paraId="6A6D2998">
      <w:pPr>
        <w:pStyle w:val="79"/>
        <w:spacing w:before="24" w:after="24"/>
        <w:rPr>
          <w:rFonts w:eastAsia="仿宋_GB2312"/>
          <w:sz w:val="28"/>
          <w:szCs w:val="28"/>
        </w:rPr>
      </w:pPr>
      <w:bookmarkStart w:id="391" w:name="_Toc7005040"/>
      <w:bookmarkStart w:id="392" w:name="_Toc68590976"/>
      <w:r>
        <w:rPr>
          <w:rFonts w:eastAsia="仿宋_GB2312"/>
          <w:sz w:val="28"/>
          <w:szCs w:val="28"/>
        </w:rPr>
        <w:t>1.</w:t>
      </w:r>
      <w:r>
        <w:rPr>
          <w:rFonts w:hint="eastAsia" w:eastAsia="仿宋_GB2312"/>
          <w:sz w:val="28"/>
          <w:szCs w:val="28"/>
        </w:rPr>
        <w:t xml:space="preserve"> </w:t>
      </w:r>
      <w:r>
        <w:rPr>
          <w:rFonts w:eastAsia="仿宋_GB2312"/>
          <w:sz w:val="28"/>
          <w:szCs w:val="28"/>
        </w:rPr>
        <w:t>评审方法</w:t>
      </w:r>
      <w:bookmarkEnd w:id="391"/>
      <w:bookmarkEnd w:id="392"/>
    </w:p>
    <w:p w14:paraId="6DA11B37">
      <w:pPr>
        <w:pStyle w:val="23"/>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7BAAD347">
      <w:pPr>
        <w:pStyle w:val="79"/>
        <w:spacing w:before="24" w:after="24"/>
        <w:rPr>
          <w:rFonts w:eastAsia="仿宋_GB2312"/>
          <w:sz w:val="28"/>
          <w:szCs w:val="28"/>
        </w:rPr>
      </w:pPr>
      <w:bookmarkStart w:id="393" w:name="_Toc68590977"/>
      <w:bookmarkStart w:id="394" w:name="_Toc7005041"/>
      <w:r>
        <w:rPr>
          <w:rFonts w:eastAsia="仿宋_GB2312"/>
          <w:sz w:val="28"/>
          <w:szCs w:val="28"/>
        </w:rPr>
        <w:t>2.</w:t>
      </w:r>
      <w:r>
        <w:rPr>
          <w:rFonts w:hint="eastAsia" w:eastAsia="仿宋_GB2312"/>
          <w:sz w:val="28"/>
          <w:szCs w:val="28"/>
        </w:rPr>
        <w:t xml:space="preserve"> </w:t>
      </w:r>
      <w:r>
        <w:rPr>
          <w:rFonts w:eastAsia="仿宋_GB2312"/>
          <w:sz w:val="28"/>
          <w:szCs w:val="28"/>
        </w:rPr>
        <w:t>评审标准</w:t>
      </w:r>
      <w:bookmarkEnd w:id="393"/>
      <w:bookmarkEnd w:id="394"/>
    </w:p>
    <w:p w14:paraId="4D1A958A">
      <w:pPr>
        <w:pStyle w:val="23"/>
        <w:rPr>
          <w:rFonts w:ascii="Times New Roman" w:hAnsi="Times New Roman" w:eastAsia="仿宋_GB2312"/>
          <w:sz w:val="24"/>
        </w:rPr>
      </w:pPr>
      <w:r>
        <w:rPr>
          <w:rFonts w:ascii="Times New Roman" w:hAnsi="Times New Roman" w:eastAsia="仿宋_GB2312"/>
          <w:sz w:val="24"/>
        </w:rPr>
        <w:t>2.1 资格审查和符合性评审标准：见附表一和附表二。</w:t>
      </w:r>
    </w:p>
    <w:p w14:paraId="079E93B3">
      <w:pPr>
        <w:pStyle w:val="23"/>
        <w:rPr>
          <w:rFonts w:ascii="Times New Roman" w:hAnsi="Times New Roman" w:eastAsia="仿宋_GB2312"/>
          <w:sz w:val="24"/>
        </w:rPr>
      </w:pPr>
      <w:r>
        <w:rPr>
          <w:rFonts w:ascii="Times New Roman" w:hAnsi="Times New Roman" w:eastAsia="仿宋_GB2312"/>
          <w:sz w:val="24"/>
        </w:rPr>
        <w:t>2.2 分值构成：总分100分，其中</w:t>
      </w:r>
    </w:p>
    <w:p w14:paraId="015C11A6">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商务部分分值： </w:t>
      </w:r>
      <w:r>
        <w:rPr>
          <w:rFonts w:hint="eastAsia" w:ascii="Times New Roman" w:hAnsi="Times New Roman" w:eastAsia="仿宋_GB2312"/>
          <w:sz w:val="24"/>
          <w:highlight w:val="none"/>
          <w:lang w:val="en-US" w:eastAsia="zh-CN"/>
        </w:rPr>
        <w:t>20</w:t>
      </w:r>
      <w:r>
        <w:rPr>
          <w:rFonts w:ascii="Times New Roman" w:hAnsi="Times New Roman" w:eastAsia="仿宋_GB2312"/>
          <w:sz w:val="24"/>
          <w:highlight w:val="none"/>
        </w:rPr>
        <w:t xml:space="preserve">分；  </w:t>
      </w:r>
    </w:p>
    <w:p w14:paraId="606C5B28">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 xml:space="preserve">技术部分分值： </w:t>
      </w:r>
      <w:r>
        <w:rPr>
          <w:rFonts w:hint="eastAsia" w:ascii="Times New Roman" w:hAnsi="Times New Roman" w:eastAsia="仿宋_GB2312"/>
          <w:sz w:val="24"/>
          <w:highlight w:val="none"/>
          <w:lang w:val="en-US" w:eastAsia="zh-CN"/>
        </w:rPr>
        <w:t>70</w:t>
      </w:r>
      <w:r>
        <w:rPr>
          <w:rFonts w:ascii="Times New Roman" w:hAnsi="Times New Roman" w:eastAsia="仿宋_GB2312"/>
          <w:sz w:val="24"/>
          <w:highlight w:val="none"/>
        </w:rPr>
        <w:t xml:space="preserve">分；  </w:t>
      </w:r>
    </w:p>
    <w:p w14:paraId="58EDFADB">
      <w:pPr>
        <w:pStyle w:val="23"/>
        <w:ind w:firstLine="480" w:firstLineChars="200"/>
        <w:rPr>
          <w:rFonts w:ascii="Times New Roman" w:hAnsi="Times New Roman" w:eastAsia="仿宋_GB2312"/>
          <w:sz w:val="24"/>
        </w:rPr>
      </w:pPr>
      <w:r>
        <w:rPr>
          <w:rFonts w:ascii="Times New Roman" w:hAnsi="Times New Roman" w:eastAsia="仿宋_GB2312"/>
          <w:sz w:val="24"/>
          <w:highlight w:val="none"/>
        </w:rPr>
        <w:t>报价部分分值：</w:t>
      </w:r>
      <w:r>
        <w:rPr>
          <w:rFonts w:hint="eastAsia" w:ascii="Times New Roman" w:hAnsi="Times New Roman" w:eastAsia="仿宋_GB2312"/>
          <w:sz w:val="24"/>
          <w:highlight w:val="none"/>
          <w:lang w:val="en-US" w:eastAsia="zh-CN"/>
        </w:rPr>
        <w:t xml:space="preserve"> 10</w:t>
      </w:r>
      <w:r>
        <w:rPr>
          <w:rFonts w:ascii="Times New Roman" w:hAnsi="Times New Roman" w:eastAsia="仿宋_GB2312"/>
          <w:sz w:val="24"/>
          <w:highlight w:val="none"/>
        </w:rPr>
        <w:t>分。</w:t>
      </w:r>
    </w:p>
    <w:p w14:paraId="6A37AF89">
      <w:pPr>
        <w:pStyle w:val="23"/>
        <w:rPr>
          <w:rFonts w:ascii="Times New Roman" w:hAnsi="Times New Roman" w:eastAsia="仿宋_GB2312"/>
          <w:sz w:val="24"/>
        </w:rPr>
      </w:pPr>
      <w:bookmarkStart w:id="395" w:name="_Ref426362114"/>
      <w:r>
        <w:rPr>
          <w:rFonts w:ascii="Times New Roman" w:hAnsi="Times New Roman" w:eastAsia="仿宋_GB2312"/>
          <w:sz w:val="24"/>
        </w:rPr>
        <w:t>2.3 商务和技术评审标准</w:t>
      </w:r>
      <w:bookmarkEnd w:id="395"/>
    </w:p>
    <w:p w14:paraId="538A0A94">
      <w:pPr>
        <w:pStyle w:val="23"/>
        <w:rPr>
          <w:rFonts w:ascii="Times New Roman" w:hAnsi="Times New Roman" w:eastAsia="仿宋_GB2312"/>
          <w:sz w:val="24"/>
        </w:rPr>
      </w:pPr>
      <w:bookmarkStart w:id="396" w:name="_Ref426362140"/>
      <w:r>
        <w:rPr>
          <w:rFonts w:ascii="Times New Roman" w:hAnsi="Times New Roman" w:eastAsia="仿宋_GB2312"/>
          <w:sz w:val="24"/>
        </w:rPr>
        <w:t>2.3.1商务部分评分标准：见附表</w:t>
      </w:r>
      <w:bookmarkEnd w:id="396"/>
      <w:r>
        <w:rPr>
          <w:rFonts w:ascii="Times New Roman" w:hAnsi="Times New Roman" w:eastAsia="仿宋_GB2312"/>
          <w:sz w:val="24"/>
        </w:rPr>
        <w:t>三</w:t>
      </w:r>
      <w:r>
        <w:rPr>
          <w:rFonts w:hint="eastAsia" w:ascii="Times New Roman" w:hAnsi="Times New Roman" w:eastAsia="仿宋_GB2312"/>
          <w:sz w:val="24"/>
        </w:rPr>
        <w:t>。</w:t>
      </w:r>
    </w:p>
    <w:p w14:paraId="5B3F9BE7">
      <w:pPr>
        <w:pStyle w:val="23"/>
        <w:rPr>
          <w:rFonts w:ascii="Times New Roman" w:hAnsi="Times New Roman" w:eastAsia="仿宋_GB2312"/>
          <w:sz w:val="24"/>
        </w:rPr>
      </w:pPr>
      <w:bookmarkStart w:id="397" w:name="_Ref426362158"/>
      <w:r>
        <w:rPr>
          <w:rFonts w:ascii="Times New Roman" w:hAnsi="Times New Roman" w:eastAsia="仿宋_GB2312"/>
          <w:sz w:val="24"/>
        </w:rPr>
        <w:t>2.3.2技术部分评分标准：见附表</w:t>
      </w:r>
      <w:bookmarkEnd w:id="397"/>
      <w:r>
        <w:rPr>
          <w:rFonts w:hint="eastAsia" w:ascii="Times New Roman" w:hAnsi="Times New Roman" w:eastAsia="仿宋_GB2312"/>
          <w:sz w:val="24"/>
        </w:rPr>
        <w:t>三。</w:t>
      </w:r>
    </w:p>
    <w:p w14:paraId="2781720B">
      <w:pPr>
        <w:pStyle w:val="23"/>
        <w:rPr>
          <w:rFonts w:ascii="Times New Roman" w:hAnsi="Times New Roman" w:eastAsia="仿宋_GB2312"/>
          <w:sz w:val="24"/>
        </w:rPr>
      </w:pPr>
      <w:bookmarkStart w:id="398" w:name="_Ref426362176"/>
      <w:r>
        <w:rPr>
          <w:rFonts w:ascii="Times New Roman" w:hAnsi="Times New Roman" w:eastAsia="仿宋_GB2312"/>
          <w:sz w:val="24"/>
        </w:rPr>
        <w:t>2.3.3报价评分标准：</w:t>
      </w:r>
      <w:bookmarkEnd w:id="398"/>
      <w:r>
        <w:rPr>
          <w:rFonts w:ascii="Times New Roman" w:hAnsi="Times New Roman" w:eastAsia="仿宋_GB2312"/>
          <w:sz w:val="24"/>
        </w:rPr>
        <w:t>见附表</w:t>
      </w:r>
      <w:r>
        <w:rPr>
          <w:rFonts w:hint="eastAsia" w:ascii="Times New Roman" w:hAnsi="Times New Roman" w:eastAsia="仿宋_GB2312"/>
          <w:sz w:val="24"/>
        </w:rPr>
        <w:t>三。</w:t>
      </w:r>
    </w:p>
    <w:p w14:paraId="74836666">
      <w:pPr>
        <w:tabs>
          <w:tab w:val="left" w:pos="588"/>
        </w:tabs>
        <w:spacing w:line="360" w:lineRule="auto"/>
        <w:ind w:left="638" w:leftChars="0" w:hanging="638" w:hangingChars="266"/>
        <w:rPr>
          <w:rFonts w:eastAsia="仿宋_GB2312"/>
          <w:sz w:val="24"/>
          <w:highlight w:val="none"/>
        </w:rPr>
      </w:pPr>
      <w:r>
        <w:rPr>
          <w:rFonts w:ascii="Times New Roman" w:hAnsi="Times New Roman" w:eastAsia="仿宋_GB2312"/>
          <w:sz w:val="24"/>
          <w:highlight w:val="none"/>
        </w:rPr>
        <w:t>（1）</w:t>
      </w:r>
      <w:r>
        <w:rPr>
          <w:rFonts w:hint="eastAsia" w:eastAsia="仿宋_GB2312"/>
          <w:sz w:val="24"/>
          <w:highlight w:val="none"/>
        </w:rPr>
        <w:t>若</w:t>
      </w:r>
      <w:r>
        <w:rPr>
          <w:rFonts w:eastAsia="仿宋_GB2312"/>
          <w:sz w:val="24"/>
          <w:highlight w:val="none"/>
        </w:rPr>
        <w:t>项目</w:t>
      </w:r>
      <w:r>
        <w:rPr>
          <w:rFonts w:hint="eastAsia" w:eastAsia="仿宋_GB2312"/>
          <w:sz w:val="24"/>
          <w:highlight w:val="none"/>
        </w:rPr>
        <w:t>未专门面向中小企业采购，</w:t>
      </w:r>
      <w:r>
        <w:rPr>
          <w:rFonts w:eastAsia="仿宋_GB2312"/>
          <w:sz w:val="24"/>
          <w:highlight w:val="none"/>
        </w:rPr>
        <w:t>对小微型企业、监狱企业、残疾人福利性单位产品的价格给予</w:t>
      </w:r>
      <w:r>
        <w:rPr>
          <w:rFonts w:hint="eastAsia" w:eastAsia="仿宋_GB2312"/>
          <w:i/>
          <w:iCs/>
          <w:highlight w:val="none"/>
          <w:u w:val="single"/>
          <w:lang w:val="en-US" w:eastAsia="zh-CN"/>
        </w:rPr>
        <w:t>1</w:t>
      </w:r>
      <w:r>
        <w:rPr>
          <w:rFonts w:eastAsia="仿宋_GB2312"/>
          <w:i/>
          <w:iCs/>
          <w:highlight w:val="none"/>
          <w:u w:val="single"/>
        </w:rPr>
        <w:t>0</w:t>
      </w:r>
      <w:r>
        <w:rPr>
          <w:rFonts w:hint="eastAsia" w:eastAsia="仿宋_GB2312"/>
          <w:i/>
          <w:iCs/>
          <w:highlight w:val="none"/>
          <w:u w:val="single"/>
          <w:lang w:val="en-US" w:eastAsia="zh-CN"/>
        </w:rPr>
        <w:t>%</w:t>
      </w:r>
      <w:r>
        <w:rPr>
          <w:rFonts w:eastAsia="仿宋_GB2312"/>
          <w:sz w:val="24"/>
          <w:highlight w:val="none"/>
        </w:rPr>
        <w:t>的扣除，用扣除后的价格参与评审。</w:t>
      </w:r>
      <w:r>
        <w:rPr>
          <w:rFonts w:hint="eastAsia" w:eastAsia="仿宋_GB2312"/>
          <w:sz w:val="24"/>
          <w:highlight w:val="none"/>
        </w:rPr>
        <w:t>若项目专门面向中小企业采购，则不再进行价格扣除。</w:t>
      </w:r>
    </w:p>
    <w:p w14:paraId="06541A9F">
      <w:pPr>
        <w:pStyle w:val="23"/>
        <w:ind w:left="636" w:leftChars="303" w:firstLine="0" w:firstLineChars="0"/>
        <w:rPr>
          <w:rFonts w:ascii="Times New Roman" w:hAnsi="Times New Roman" w:eastAsia="仿宋_GB2312"/>
          <w:sz w:val="24"/>
          <w:highlight w:val="none"/>
        </w:rPr>
      </w:pPr>
      <w:r>
        <w:rPr>
          <w:rFonts w:hint="eastAsia" w:ascii="Times New Roman" w:hAnsi="Times New Roman" w:eastAsia="仿宋_GB2312"/>
          <w:sz w:val="24"/>
          <w:highlight w:val="none"/>
        </w:rPr>
        <w:t>①</w:t>
      </w:r>
      <w:r>
        <w:rPr>
          <w:rFonts w:ascii="Times New Roman" w:hAnsi="Times New Roman" w:eastAsia="仿宋_GB2312"/>
          <w:sz w:val="24"/>
          <w:highlight w:val="none"/>
        </w:rPr>
        <w:t>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highlight w:val="none"/>
        </w:rPr>
        <w:t>（</w:t>
      </w:r>
      <w:r>
        <w:rPr>
          <w:rFonts w:ascii="Times New Roman" w:hAnsi="Times New Roman" w:eastAsia="仿宋_GB2312"/>
          <w:sz w:val="24"/>
          <w:highlight w:val="none"/>
        </w:rPr>
        <w:t>含新疆生产建设兵团</w:t>
      </w:r>
      <w:r>
        <w:rPr>
          <w:rFonts w:hint="eastAsia" w:ascii="Times New Roman" w:hAnsi="Times New Roman" w:eastAsia="仿宋_GB2312"/>
          <w:sz w:val="24"/>
          <w:highlight w:val="none"/>
        </w:rPr>
        <w:t>）</w:t>
      </w:r>
      <w:r>
        <w:rPr>
          <w:rFonts w:ascii="Times New Roman" w:hAnsi="Times New Roman" w:eastAsia="仿宋_GB2312"/>
          <w:sz w:val="24"/>
          <w:highlight w:val="none"/>
        </w:rPr>
        <w:t>出具的属于监狱企业的证明；残疾人福利性单位应符合《财政部</w:t>
      </w:r>
      <w:r>
        <w:rPr>
          <w:rFonts w:hint="eastAsia" w:ascii="Times New Roman" w:hAnsi="Times New Roman" w:eastAsia="仿宋_GB2312"/>
          <w:sz w:val="24"/>
          <w:highlight w:val="none"/>
          <w:lang w:val="en-US" w:eastAsia="zh-CN"/>
        </w:rPr>
        <w:t xml:space="preserve"> </w:t>
      </w:r>
      <w:r>
        <w:rPr>
          <w:rFonts w:ascii="Times New Roman" w:hAnsi="Times New Roman" w:eastAsia="仿宋_GB2312"/>
          <w:sz w:val="24"/>
          <w:highlight w:val="none"/>
        </w:rPr>
        <w:t>民政部</w:t>
      </w:r>
      <w:r>
        <w:rPr>
          <w:rFonts w:hint="eastAsia" w:ascii="Times New Roman" w:hAnsi="Times New Roman" w:eastAsia="仿宋_GB2312"/>
          <w:sz w:val="24"/>
          <w:highlight w:val="none"/>
          <w:lang w:val="en-US" w:eastAsia="zh-CN"/>
        </w:rPr>
        <w:t xml:space="preserve"> </w:t>
      </w:r>
      <w:r>
        <w:rPr>
          <w:rFonts w:ascii="Times New Roman" w:hAnsi="Times New Roman" w:eastAsia="仿宋_GB2312"/>
          <w:sz w:val="24"/>
          <w:highlight w:val="none"/>
        </w:rPr>
        <w:t>中国残疾人联合会关于促进残疾人就业政府采购政策的通知》（财库〔2017〕141号）文件规定，并提供《残疾人福利性单位声明函》。</w:t>
      </w:r>
    </w:p>
    <w:p w14:paraId="2E6C4F18">
      <w:pPr>
        <w:pStyle w:val="23"/>
        <w:ind w:left="636" w:leftChars="303" w:firstLine="0" w:firstLineChars="0"/>
        <w:rPr>
          <w:rFonts w:ascii="Times New Roman" w:hAnsi="Times New Roman" w:eastAsia="仿宋_GB2312"/>
          <w:sz w:val="24"/>
          <w:highlight w:val="none"/>
        </w:rPr>
      </w:pPr>
      <w:r>
        <w:rPr>
          <w:rFonts w:hint="eastAsia" w:ascii="Times New Roman" w:hAnsi="Times New Roman" w:eastAsia="仿宋_GB2312"/>
          <w:sz w:val="24"/>
          <w:highlight w:val="none"/>
        </w:rPr>
        <w:t>②</w:t>
      </w:r>
      <w:r>
        <w:rPr>
          <w:rFonts w:ascii="Times New Roman" w:hAnsi="Times New Roman" w:eastAsia="仿宋_GB2312"/>
          <w:sz w:val="24"/>
          <w:highlight w:val="none"/>
        </w:rPr>
        <w:t>对于同时属于小微企业、监狱企业或残疾人福利性单位的，不重复进行价格扣除。</w:t>
      </w:r>
    </w:p>
    <w:p w14:paraId="440367A0">
      <w:pPr>
        <w:pStyle w:val="23"/>
        <w:ind w:left="636" w:leftChars="303" w:firstLine="0" w:firstLineChars="0"/>
        <w:rPr>
          <w:rFonts w:ascii="Times New Roman" w:hAnsi="Times New Roman" w:eastAsia="仿宋_GB2312"/>
          <w:sz w:val="24"/>
          <w:highlight w:val="none"/>
        </w:rPr>
      </w:pPr>
      <w:r>
        <w:rPr>
          <w:rFonts w:hint="eastAsia" w:ascii="Times New Roman" w:hAnsi="Times New Roman" w:eastAsia="仿宋_GB2312"/>
          <w:sz w:val="24"/>
          <w:highlight w:val="none"/>
        </w:rPr>
        <w:t>③</w:t>
      </w:r>
      <w:r>
        <w:rPr>
          <w:rFonts w:ascii="Times New Roman" w:hAnsi="Times New Roman" w:eastAsia="仿宋_GB2312"/>
          <w:sz w:val="24"/>
          <w:highlight w:val="none"/>
        </w:rPr>
        <w:t>如允许与小微企业组成联合体或向其分包的，且合同额占总金额30%以上的，给予</w:t>
      </w:r>
      <w:r>
        <w:rPr>
          <w:rFonts w:ascii="Times New Roman" w:hAnsi="Times New Roman" w:eastAsia="仿宋_GB2312"/>
          <w:i/>
          <w:iCs/>
          <w:sz w:val="24"/>
          <w:highlight w:val="none"/>
          <w:u w:val="single"/>
        </w:rPr>
        <w:t>4%（工程为1%）</w:t>
      </w:r>
      <w:r>
        <w:rPr>
          <w:rFonts w:ascii="Times New Roman" w:hAnsi="Times New Roman" w:eastAsia="仿宋_GB2312"/>
          <w:sz w:val="24"/>
          <w:highlight w:val="none"/>
        </w:rPr>
        <w:t>的扣除。联合体各方均为小型、微型企业和监狱企业的，联合体视同为小型、微型企业和监狱企业。</w:t>
      </w:r>
    </w:p>
    <w:p w14:paraId="329C00B4">
      <w:pPr>
        <w:tabs>
          <w:tab w:val="left" w:pos="588"/>
        </w:tabs>
        <w:spacing w:line="360" w:lineRule="auto"/>
        <w:ind w:left="638" w:leftChars="0" w:hanging="638" w:hangingChars="266"/>
        <w:rPr>
          <w:rFonts w:eastAsia="仿宋_GB2312"/>
          <w:sz w:val="24"/>
          <w:highlight w:val="none"/>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2</w:t>
      </w:r>
      <w:r>
        <w:rPr>
          <w:rFonts w:hint="eastAsia" w:ascii="Times New Roman" w:hAnsi="Times New Roman" w:eastAsia="仿宋_GB2312"/>
          <w:sz w:val="24"/>
          <w:highlight w:val="none"/>
          <w:lang w:eastAsia="zh-CN"/>
        </w:rPr>
        <w:t>）</w:t>
      </w:r>
      <w:r>
        <w:rPr>
          <w:rFonts w:hint="eastAsia" w:eastAsia="仿宋_GB2312"/>
          <w:sz w:val="24"/>
          <w:highlight w:val="none"/>
          <w:lang w:val="en-US" w:eastAsia="zh-CN"/>
        </w:rPr>
        <w:t>供应商提供服务所伴随</w:t>
      </w:r>
      <w:r>
        <w:rPr>
          <w:rFonts w:eastAsia="仿宋_GB2312"/>
          <w:sz w:val="24"/>
          <w:highlight w:val="none"/>
        </w:rPr>
        <w:t>产品为节能、环境标志产品，符合</w:t>
      </w:r>
      <w:r>
        <w:rPr>
          <w:rFonts w:hint="eastAsia" w:eastAsia="仿宋_GB2312"/>
          <w:sz w:val="24"/>
          <w:highlight w:val="none"/>
          <w:lang w:val="en-US" w:eastAsia="zh-CN"/>
        </w:rPr>
        <w:t>采购</w:t>
      </w:r>
      <w:r>
        <w:rPr>
          <w:rFonts w:eastAsia="仿宋_GB2312"/>
          <w:sz w:val="24"/>
          <w:highlight w:val="none"/>
        </w:rPr>
        <w:t>文件要求的，可优先采购，价格扣除百分比计算公式为：节能、环境标志产品清单中的产品价格占响应总价的</w:t>
      </w:r>
      <w:r>
        <w:rPr>
          <w:rFonts w:eastAsia="仿宋_GB2312"/>
          <w:b/>
          <w:sz w:val="24"/>
          <w:highlight w:val="none"/>
        </w:rPr>
        <w:t>百分比×5%</w:t>
      </w:r>
      <w:r>
        <w:rPr>
          <w:rFonts w:eastAsia="仿宋_GB2312"/>
          <w:sz w:val="24"/>
          <w:highlight w:val="none"/>
        </w:rPr>
        <w:t>，用扣除后的价格参与评审。</w:t>
      </w:r>
    </w:p>
    <w:p w14:paraId="5E4F43BA">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①</w:t>
      </w:r>
      <w:r>
        <w:rPr>
          <w:rFonts w:eastAsia="仿宋_GB2312"/>
          <w:sz w:val="24"/>
          <w:highlight w:val="none"/>
        </w:rPr>
        <w:t>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4D0418AD">
      <w:pPr>
        <w:tabs>
          <w:tab w:val="left" w:pos="588"/>
        </w:tabs>
        <w:spacing w:line="360" w:lineRule="auto"/>
        <w:ind w:left="636" w:leftChars="303" w:firstLine="0" w:firstLineChars="0"/>
        <w:rPr>
          <w:rFonts w:hint="eastAsia" w:eastAsia="仿宋_GB2312"/>
          <w:sz w:val="24"/>
          <w:highlight w:val="none"/>
          <w:lang w:eastAsia="zh-CN"/>
        </w:rPr>
      </w:pPr>
      <w:r>
        <w:rPr>
          <w:rFonts w:hint="eastAsia" w:eastAsia="仿宋_GB2312"/>
          <w:sz w:val="24"/>
          <w:highlight w:val="none"/>
        </w:rPr>
        <w:t>②</w:t>
      </w:r>
      <w:r>
        <w:rPr>
          <w:rFonts w:eastAsia="仿宋_GB2312"/>
          <w:sz w:val="24"/>
          <w:highlight w:val="none"/>
        </w:rPr>
        <w:t>以在有效期之内的，国家确定的认证机构出具的节能产品、环境标志产品认证证书为依据，复印件须加盖供应商公章，否则不予扣除</w:t>
      </w:r>
      <w:r>
        <w:rPr>
          <w:rFonts w:hint="eastAsia" w:eastAsia="仿宋_GB2312"/>
          <w:sz w:val="24"/>
          <w:highlight w:val="none"/>
          <w:lang w:eastAsia="zh-CN"/>
        </w:rPr>
        <w:t>。</w:t>
      </w:r>
    </w:p>
    <w:p w14:paraId="74A80797">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③</w:t>
      </w:r>
      <w:r>
        <w:rPr>
          <w:rFonts w:eastAsia="仿宋_GB2312"/>
          <w:sz w:val="24"/>
          <w:highlight w:val="none"/>
        </w:rPr>
        <w:t>供应商在响应文件中对所响应产品为节能、环境标志品目清单中的产品，在谈判报价时必须对此类产品单独分项报价，未提供节能、环境标志产品计分明细表不予扣除。 </w:t>
      </w:r>
    </w:p>
    <w:p w14:paraId="55482597">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④</w:t>
      </w:r>
      <w:r>
        <w:rPr>
          <w:rFonts w:eastAsia="仿宋_GB2312"/>
          <w:sz w:val="24"/>
          <w:highlight w:val="none"/>
        </w:rPr>
        <w:t>若节能、环境标志清单内的产品仅是构成响应产品的部件、组件或零件的，则该产品不享受鼓励优惠政策。</w:t>
      </w:r>
    </w:p>
    <w:p w14:paraId="331C42CB">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⑤</w:t>
      </w:r>
      <w:r>
        <w:rPr>
          <w:rFonts w:eastAsia="仿宋_GB2312"/>
          <w:sz w:val="24"/>
          <w:highlight w:val="none"/>
        </w:rPr>
        <w:t>同一包内的节能、环境标志产品部分计分只对属于清单内的非强制类产品进行计分，强制类产品不给予扣除。 </w:t>
      </w:r>
    </w:p>
    <w:p w14:paraId="676B7947">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⑥</w:t>
      </w:r>
      <w:r>
        <w:rPr>
          <w:rFonts w:eastAsia="仿宋_GB2312"/>
          <w:sz w:val="24"/>
          <w:highlight w:val="none"/>
        </w:rPr>
        <w:t>节能、环境标志产品不重复扣除。</w:t>
      </w:r>
    </w:p>
    <w:p w14:paraId="22C4298B">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w:t>
      </w:r>
      <w:r>
        <w:rPr>
          <w:rFonts w:hint="eastAsia" w:ascii="Times New Roman" w:hAnsi="Times New Roman" w:eastAsia="仿宋_GB2312"/>
          <w:sz w:val="24"/>
          <w:highlight w:val="none"/>
          <w:lang w:val="en-US" w:eastAsia="zh-CN"/>
        </w:rPr>
        <w:t>3</w:t>
      </w:r>
      <w:r>
        <w:rPr>
          <w:rFonts w:ascii="Times New Roman" w:hAnsi="Times New Roman" w:eastAsia="仿宋_GB2312"/>
          <w:sz w:val="24"/>
          <w:highlight w:val="none"/>
        </w:rPr>
        <w:t>）评审基准价。有效响应文件中的最后报价并按本款（1）和（2）进行调整的最低报价为评审基准价。</w:t>
      </w:r>
    </w:p>
    <w:p w14:paraId="19E427D2">
      <w:pPr>
        <w:pStyle w:val="23"/>
        <w:ind w:firstLine="480" w:firstLineChars="200"/>
        <w:rPr>
          <w:rFonts w:hint="eastAsia" w:ascii="Times New Roman" w:hAnsi="Times New Roman" w:eastAsia="仿宋_GB2312"/>
          <w:sz w:val="24"/>
          <w:highlight w:val="none"/>
          <w:lang w:eastAsia="zh-CN"/>
        </w:rPr>
      </w:pPr>
      <w:r>
        <w:rPr>
          <w:rFonts w:ascii="Times New Roman" w:hAnsi="Times New Roman" w:eastAsia="仿宋_GB2312"/>
          <w:sz w:val="24"/>
          <w:highlight w:val="none"/>
        </w:rPr>
        <w:t>（</w:t>
      </w:r>
      <w:r>
        <w:rPr>
          <w:rFonts w:hint="eastAsia" w:ascii="Times New Roman" w:hAnsi="Times New Roman" w:eastAsia="仿宋_GB2312"/>
          <w:sz w:val="24"/>
          <w:highlight w:val="none"/>
          <w:lang w:val="en-US" w:eastAsia="zh-CN"/>
        </w:rPr>
        <w:t>4</w:t>
      </w:r>
      <w:r>
        <w:rPr>
          <w:rFonts w:ascii="Times New Roman" w:hAnsi="Times New Roman" w:eastAsia="仿宋_GB2312"/>
          <w:sz w:val="24"/>
          <w:highlight w:val="none"/>
        </w:rPr>
        <w:t>）供应商报价（按本款（1）和（2）进行调整后价格）得分=</w:t>
      </w:r>
      <w:r>
        <w:rPr>
          <w:rFonts w:hint="eastAsia" w:ascii="Times New Roman" w:hAnsi="Times New Roman" w:eastAsia="仿宋_GB2312"/>
          <w:sz w:val="24"/>
          <w:highlight w:val="none"/>
        </w:rPr>
        <w:t>（</w:t>
      </w:r>
      <w:r>
        <w:rPr>
          <w:rFonts w:ascii="Times New Roman" w:hAnsi="Times New Roman" w:eastAsia="仿宋_GB2312"/>
          <w:sz w:val="24"/>
          <w:highlight w:val="none"/>
        </w:rPr>
        <w:t>评审基准价／最后报价</w:t>
      </w:r>
      <w:r>
        <w:rPr>
          <w:rFonts w:hint="eastAsia" w:ascii="Times New Roman" w:hAnsi="Times New Roman" w:eastAsia="仿宋_GB2312"/>
          <w:sz w:val="24"/>
          <w:highlight w:val="none"/>
        </w:rPr>
        <w:t>）</w:t>
      </w:r>
      <w:r>
        <w:rPr>
          <w:rFonts w:ascii="Times New Roman" w:hAnsi="Times New Roman" w:eastAsia="仿宋_GB2312"/>
          <w:sz w:val="24"/>
          <w:highlight w:val="none"/>
        </w:rPr>
        <w:t>×价格分分值</w:t>
      </w:r>
      <w:r>
        <w:rPr>
          <w:rFonts w:hint="eastAsia" w:ascii="Times New Roman" w:hAnsi="Times New Roman" w:eastAsia="仿宋_GB2312"/>
          <w:sz w:val="24"/>
          <w:highlight w:val="none"/>
          <w:lang w:eastAsia="zh-CN"/>
        </w:rPr>
        <w:t>。</w:t>
      </w:r>
    </w:p>
    <w:p w14:paraId="0232D2ED">
      <w:pPr>
        <w:tabs>
          <w:tab w:val="left" w:pos="588"/>
        </w:tabs>
        <w:spacing w:line="360" w:lineRule="auto"/>
        <w:rPr>
          <w:rFonts w:hint="default" w:eastAsia="仿宋_GB2312"/>
          <w:sz w:val="24"/>
          <w:lang w:val="en-US" w:eastAsia="zh-CN"/>
        </w:rPr>
      </w:pPr>
      <w:r>
        <w:rPr>
          <w:rFonts w:hint="eastAsia" w:eastAsia="仿宋_GB2312"/>
          <w:sz w:val="24"/>
          <w:highlight w:val="none"/>
          <w:lang w:val="en-US" w:eastAsia="zh-CN"/>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w:t>
      </w:r>
      <w:r>
        <w:rPr>
          <w:rFonts w:hint="eastAsia" w:eastAsia="仿宋_GB2312"/>
          <w:sz w:val="24"/>
          <w:lang w:val="en-US" w:eastAsia="zh-CN"/>
        </w:rPr>
        <w:t>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3DD58552">
      <w:pPr>
        <w:tabs>
          <w:tab w:val="left" w:pos="588"/>
        </w:tabs>
        <w:spacing w:line="360" w:lineRule="auto"/>
        <w:rPr>
          <w:rFonts w:eastAsia="仿宋_GB2312"/>
          <w:sz w:val="24"/>
        </w:rPr>
      </w:pPr>
      <w:r>
        <w:rPr>
          <w:rFonts w:eastAsia="仿宋_GB2312"/>
          <w:sz w:val="24"/>
        </w:rPr>
        <w:t>2.3.</w:t>
      </w:r>
      <w:r>
        <w:rPr>
          <w:rFonts w:hint="eastAsia" w:eastAsia="仿宋_GB2312"/>
          <w:sz w:val="24"/>
          <w:lang w:val="en-US" w:eastAsia="zh-CN"/>
        </w:rPr>
        <w:t>5</w:t>
      </w:r>
      <w:r>
        <w:rPr>
          <w:rFonts w:eastAsia="仿宋_GB2312"/>
          <w:sz w:val="24"/>
        </w:rPr>
        <w:t xml:space="preserve"> 响应文件出现下列情况之一者，磋商小组在评审过程中按以下原则修正：</w:t>
      </w:r>
    </w:p>
    <w:p w14:paraId="423894FF">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14:paraId="36DCA8C8">
      <w:pPr>
        <w:tabs>
          <w:tab w:val="left" w:pos="588"/>
        </w:tabs>
        <w:spacing w:line="360" w:lineRule="auto"/>
        <w:ind w:firstLine="480" w:firstLineChars="200"/>
        <w:rPr>
          <w:rFonts w:eastAsia="仿宋_GB2312"/>
          <w:sz w:val="24"/>
        </w:rPr>
      </w:pPr>
      <w:r>
        <w:rPr>
          <w:rFonts w:eastAsia="仿宋_GB2312"/>
          <w:sz w:val="24"/>
        </w:rPr>
        <w:t>（2）总价金额与按单价汇总金额不一致的，以单价金额计算结果为准；</w:t>
      </w:r>
    </w:p>
    <w:p w14:paraId="5A602E6E">
      <w:pPr>
        <w:tabs>
          <w:tab w:val="left" w:pos="588"/>
        </w:tabs>
        <w:spacing w:line="360" w:lineRule="auto"/>
        <w:ind w:firstLine="480" w:firstLineChars="200"/>
        <w:rPr>
          <w:rFonts w:eastAsia="仿宋_GB2312"/>
          <w:sz w:val="24"/>
        </w:rPr>
      </w:pPr>
      <w:r>
        <w:rPr>
          <w:rFonts w:eastAsia="仿宋_GB2312"/>
          <w:sz w:val="24"/>
        </w:rPr>
        <w:t>（3）单价金额小数点有明显错位的，应以总价为准，并修改单价；</w:t>
      </w:r>
    </w:p>
    <w:p w14:paraId="1304B100">
      <w:pPr>
        <w:tabs>
          <w:tab w:val="left" w:pos="588"/>
        </w:tabs>
        <w:spacing w:line="360" w:lineRule="auto"/>
        <w:ind w:firstLine="480" w:firstLineChars="200"/>
        <w:rPr>
          <w:rFonts w:eastAsia="仿宋_GB2312"/>
          <w:sz w:val="24"/>
        </w:rPr>
      </w:pPr>
      <w:r>
        <w:rPr>
          <w:rFonts w:eastAsia="仿宋_GB2312"/>
          <w:sz w:val="24"/>
        </w:rPr>
        <w:t>（4）对不同文字文本响应文件的解释发生异议的，以中文文本为准；</w:t>
      </w:r>
    </w:p>
    <w:p w14:paraId="0420166F">
      <w:pPr>
        <w:tabs>
          <w:tab w:val="left" w:pos="588"/>
        </w:tabs>
        <w:spacing w:line="360" w:lineRule="auto"/>
        <w:ind w:firstLine="480" w:firstLineChars="200"/>
        <w:rPr>
          <w:rFonts w:eastAsia="仿宋_GB2312"/>
          <w:sz w:val="24"/>
        </w:rPr>
      </w:pPr>
      <w:r>
        <w:rPr>
          <w:rFonts w:eastAsia="仿宋_GB2312"/>
          <w:sz w:val="24"/>
        </w:rPr>
        <w:t>（5）文字与图表不一致的，以文字为准；</w:t>
      </w:r>
    </w:p>
    <w:p w14:paraId="4D55A5D6">
      <w:pPr>
        <w:tabs>
          <w:tab w:val="left" w:pos="588"/>
        </w:tabs>
        <w:spacing w:line="360" w:lineRule="auto"/>
        <w:ind w:firstLine="480" w:firstLineChars="200"/>
        <w:rPr>
          <w:rFonts w:eastAsia="仿宋_GB2312"/>
          <w:sz w:val="24"/>
        </w:rPr>
      </w:pPr>
      <w:r>
        <w:rPr>
          <w:rFonts w:eastAsia="仿宋_GB2312"/>
          <w:sz w:val="24"/>
        </w:rPr>
        <w:t>（6）正本与副本不一致的，以正本为准；</w:t>
      </w:r>
    </w:p>
    <w:p w14:paraId="396CB981">
      <w:pPr>
        <w:tabs>
          <w:tab w:val="left" w:pos="588"/>
        </w:tabs>
        <w:spacing w:line="360" w:lineRule="auto"/>
        <w:ind w:firstLine="480" w:firstLineChars="200"/>
        <w:rPr>
          <w:rFonts w:eastAsia="仿宋_GB2312"/>
          <w:sz w:val="24"/>
        </w:rPr>
      </w:pPr>
      <w:r>
        <w:rPr>
          <w:rFonts w:eastAsia="仿宋_GB2312"/>
          <w:sz w:val="24"/>
        </w:rPr>
        <w:t>（7）响应文件的文字叙述与制造厂商的产品样本/检测报告不符时，以产品样本/检测报告为准。</w:t>
      </w:r>
    </w:p>
    <w:p w14:paraId="53CD4748">
      <w:pPr>
        <w:pStyle w:val="79"/>
        <w:spacing w:before="24" w:after="24"/>
        <w:rPr>
          <w:rFonts w:eastAsia="仿宋_GB2312"/>
          <w:sz w:val="28"/>
          <w:szCs w:val="28"/>
        </w:rPr>
      </w:pPr>
      <w:bookmarkStart w:id="399" w:name="_Toc7005042"/>
      <w:bookmarkStart w:id="400" w:name="_Toc68590978"/>
      <w:r>
        <w:rPr>
          <w:rFonts w:eastAsia="仿宋_GB2312"/>
          <w:sz w:val="28"/>
          <w:szCs w:val="28"/>
        </w:rPr>
        <w:t>3.</w:t>
      </w:r>
      <w:r>
        <w:rPr>
          <w:rFonts w:hint="eastAsia" w:eastAsia="仿宋_GB2312"/>
          <w:sz w:val="28"/>
          <w:szCs w:val="28"/>
        </w:rPr>
        <w:t xml:space="preserve"> </w:t>
      </w:r>
      <w:r>
        <w:rPr>
          <w:rFonts w:eastAsia="仿宋_GB2312"/>
          <w:sz w:val="28"/>
          <w:szCs w:val="28"/>
        </w:rPr>
        <w:t>评审程序</w:t>
      </w:r>
      <w:bookmarkEnd w:id="399"/>
      <w:bookmarkEnd w:id="400"/>
    </w:p>
    <w:p w14:paraId="423461B0">
      <w:pPr>
        <w:pStyle w:val="23"/>
        <w:rPr>
          <w:rFonts w:ascii="Times New Roman" w:hAnsi="Times New Roman" w:eastAsia="仿宋_GB2312"/>
          <w:b/>
          <w:sz w:val="24"/>
        </w:rPr>
      </w:pPr>
      <w:bookmarkStart w:id="401" w:name="_Toc7005043"/>
      <w:r>
        <w:rPr>
          <w:rFonts w:ascii="Times New Roman" w:hAnsi="Times New Roman" w:eastAsia="仿宋_GB2312"/>
          <w:b/>
          <w:sz w:val="24"/>
        </w:rPr>
        <w:t>3.1</w:t>
      </w:r>
      <w:r>
        <w:rPr>
          <w:rFonts w:hint="eastAsia" w:ascii="Times New Roman" w:hAnsi="Times New Roman" w:eastAsia="仿宋_GB2312"/>
          <w:b/>
          <w:sz w:val="24"/>
        </w:rPr>
        <w:t xml:space="preserve"> </w:t>
      </w:r>
      <w:r>
        <w:rPr>
          <w:rFonts w:ascii="Times New Roman" w:hAnsi="Times New Roman" w:eastAsia="仿宋_GB2312"/>
          <w:b/>
          <w:sz w:val="24"/>
        </w:rPr>
        <w:t>资格审查及符合性审查</w:t>
      </w:r>
      <w:bookmarkEnd w:id="401"/>
    </w:p>
    <w:p w14:paraId="7D8F6D44">
      <w:pPr>
        <w:pStyle w:val="23"/>
        <w:rPr>
          <w:rFonts w:ascii="Times New Roman" w:hAnsi="Times New Roman" w:eastAsia="仿宋_GB2312"/>
          <w:sz w:val="24"/>
        </w:rPr>
      </w:pPr>
      <w:r>
        <w:rPr>
          <w:rFonts w:ascii="Times New Roman" w:hAnsi="Times New Roman" w:eastAsia="仿宋_GB2312"/>
          <w:sz w:val="24"/>
        </w:rPr>
        <w:t xml:space="preserve">3.1.1 </w:t>
      </w:r>
      <w:r>
        <w:rPr>
          <w:rFonts w:ascii="Times New Roman" w:hAnsi="Times New Roman" w:eastAsia="仿宋_GB2312"/>
          <w:i/>
          <w:sz w:val="24"/>
          <w:u w:val="single"/>
        </w:rPr>
        <w:t>采购人或采购代理机构</w:t>
      </w:r>
      <w:r>
        <w:rPr>
          <w:rFonts w:hint="eastAsia" w:ascii="Times New Roman" w:hAnsi="Times New Roman" w:eastAsia="仿宋_GB2312"/>
          <w:i/>
          <w:sz w:val="24"/>
          <w:u w:val="single"/>
          <w:lang w:val="en-US" w:eastAsia="zh-CN"/>
        </w:rPr>
        <w:t xml:space="preserve"> </w:t>
      </w:r>
      <w:r>
        <w:rPr>
          <w:rFonts w:ascii="Times New Roman" w:hAnsi="Times New Roman" w:eastAsia="仿宋_GB2312"/>
          <w:sz w:val="24"/>
        </w:rPr>
        <w:t>按附表一所列审查标准对供应商资格进行审查，以确定供应商是否具备磋商资格。</w:t>
      </w:r>
    </w:p>
    <w:p w14:paraId="25DDD514">
      <w:pPr>
        <w:pStyle w:val="23"/>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14:paraId="485916F4">
      <w:pPr>
        <w:pStyle w:val="23"/>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14CE67E">
      <w:pPr>
        <w:pStyle w:val="23"/>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14:paraId="653439F9">
      <w:pPr>
        <w:pStyle w:val="23"/>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14:paraId="29B95068">
      <w:pPr>
        <w:pStyle w:val="23"/>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14:paraId="5C5FC479">
      <w:pPr>
        <w:pStyle w:val="23"/>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14:paraId="596A3E41">
      <w:pPr>
        <w:pStyle w:val="23"/>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14:paraId="3D63B583">
      <w:pPr>
        <w:pStyle w:val="23"/>
        <w:rPr>
          <w:rFonts w:ascii="Times New Roman" w:hAnsi="Times New Roman" w:eastAsia="仿宋_GB2312"/>
          <w:b/>
          <w:sz w:val="24"/>
        </w:rPr>
      </w:pPr>
      <w:bookmarkStart w:id="402" w:name="_Toc7005044"/>
      <w:r>
        <w:rPr>
          <w:rFonts w:ascii="Times New Roman" w:hAnsi="Times New Roman" w:eastAsia="仿宋_GB2312"/>
          <w:b/>
          <w:sz w:val="24"/>
        </w:rPr>
        <w:t>3.2 磋商</w:t>
      </w:r>
      <w:bookmarkEnd w:id="402"/>
    </w:p>
    <w:p w14:paraId="6DA4F61A">
      <w:pPr>
        <w:pStyle w:val="23"/>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14:paraId="162564DD">
      <w:pPr>
        <w:pStyle w:val="23"/>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6C04A11C">
      <w:pPr>
        <w:pStyle w:val="23"/>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14:paraId="3DEE8BF0">
      <w:pPr>
        <w:pStyle w:val="23"/>
        <w:rPr>
          <w:rFonts w:ascii="Times New Roman" w:hAnsi="Times New Roman" w:eastAsia="仿宋_GB2312"/>
          <w:b/>
          <w:sz w:val="24"/>
        </w:rPr>
      </w:pPr>
      <w:bookmarkStart w:id="403" w:name="_Toc7005045"/>
      <w:r>
        <w:rPr>
          <w:rFonts w:ascii="Times New Roman" w:hAnsi="Times New Roman" w:eastAsia="仿宋_GB2312"/>
          <w:b/>
          <w:sz w:val="24"/>
        </w:rPr>
        <w:t>3.3</w:t>
      </w:r>
      <w:r>
        <w:rPr>
          <w:rFonts w:hint="eastAsia" w:ascii="Times New Roman" w:hAnsi="Times New Roman" w:eastAsia="仿宋_GB2312"/>
          <w:b/>
          <w:sz w:val="24"/>
        </w:rPr>
        <w:t xml:space="preserve"> </w:t>
      </w:r>
      <w:r>
        <w:rPr>
          <w:rFonts w:ascii="Times New Roman" w:hAnsi="Times New Roman" w:eastAsia="仿宋_GB2312"/>
          <w:b/>
          <w:sz w:val="24"/>
        </w:rPr>
        <w:t>评审</w:t>
      </w:r>
      <w:bookmarkEnd w:id="403"/>
    </w:p>
    <w:p w14:paraId="196E59E0">
      <w:pPr>
        <w:pStyle w:val="23"/>
        <w:rPr>
          <w:rFonts w:ascii="Times New Roman" w:hAnsi="Times New Roman" w:eastAsia="仿宋_GB2312"/>
          <w:sz w:val="24"/>
        </w:rPr>
      </w:pPr>
      <w:r>
        <w:rPr>
          <w:rFonts w:ascii="Times New Roman" w:hAnsi="Times New Roman" w:eastAsia="仿宋_GB2312"/>
          <w:sz w:val="24"/>
        </w:rPr>
        <w:t>3.3.1 比较与评价</w:t>
      </w:r>
    </w:p>
    <w:p w14:paraId="319E6B82">
      <w:pPr>
        <w:pStyle w:val="23"/>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14:paraId="03B48DAD">
      <w:pPr>
        <w:pStyle w:val="23"/>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83046D5">
      <w:pPr>
        <w:pStyle w:val="23"/>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14:paraId="358720E2">
      <w:pPr>
        <w:pStyle w:val="23"/>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14:paraId="1CB29672">
      <w:pPr>
        <w:pStyle w:val="23"/>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14:paraId="750BB596">
      <w:pPr>
        <w:pStyle w:val="23"/>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14:paraId="3EA197BC">
      <w:pPr>
        <w:pStyle w:val="23"/>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14:paraId="058DC9CD">
      <w:pPr>
        <w:pStyle w:val="23"/>
        <w:rPr>
          <w:rFonts w:ascii="Times New Roman" w:hAnsi="Times New Roman" w:eastAsia="仿宋_GB2312"/>
          <w:sz w:val="24"/>
        </w:rPr>
      </w:pPr>
      <w:r>
        <w:rPr>
          <w:rFonts w:ascii="Times New Roman" w:hAnsi="Times New Roman" w:eastAsia="仿宋_GB2312"/>
          <w:sz w:val="24"/>
        </w:rPr>
        <w:t>3.3.4供应商得分=A＋B＋C</w:t>
      </w:r>
    </w:p>
    <w:p w14:paraId="2988C352">
      <w:pPr>
        <w:pStyle w:val="23"/>
        <w:rPr>
          <w:rFonts w:ascii="Times New Roman" w:hAnsi="Times New Roman" w:eastAsia="仿宋_GB2312"/>
          <w:b/>
          <w:sz w:val="24"/>
        </w:rPr>
      </w:pPr>
      <w:r>
        <w:rPr>
          <w:rFonts w:ascii="Times New Roman" w:hAnsi="Times New Roman" w:eastAsia="仿宋_GB2312"/>
          <w:b/>
          <w:sz w:val="24"/>
        </w:rPr>
        <w:t>3.4 评审结果</w:t>
      </w:r>
    </w:p>
    <w:p w14:paraId="144AB23B">
      <w:pPr>
        <w:pStyle w:val="23"/>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14:paraId="39BBDE86">
      <w:pPr>
        <w:pStyle w:val="23"/>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14:paraId="73C5E4C8">
      <w:pPr>
        <w:pStyle w:val="23"/>
        <w:rPr>
          <w:rFonts w:ascii="Times New Roman" w:hAnsi="Times New Roman" w:eastAsia="仿宋_GB2312"/>
          <w:sz w:val="24"/>
        </w:rPr>
      </w:pPr>
      <w:r>
        <w:rPr>
          <w:rFonts w:ascii="Times New Roman" w:hAnsi="Times New Roman" w:eastAsia="仿宋_GB2312"/>
          <w:sz w:val="24"/>
        </w:rPr>
        <w:br w:type="page"/>
      </w:r>
    </w:p>
    <w:p w14:paraId="1F3AFD81">
      <w:pPr>
        <w:spacing w:line="360" w:lineRule="auto"/>
        <w:jc w:val="center"/>
        <w:rPr>
          <w:rFonts w:eastAsia="仿宋_GB2312"/>
          <w:b/>
          <w:sz w:val="30"/>
          <w:szCs w:val="30"/>
        </w:rPr>
      </w:pPr>
      <w:r>
        <w:rPr>
          <w:rFonts w:eastAsia="仿宋_GB2312"/>
          <w:b/>
          <w:sz w:val="30"/>
          <w:szCs w:val="30"/>
        </w:rPr>
        <w:t>附表一 资格审查表</w:t>
      </w:r>
    </w:p>
    <w:tbl>
      <w:tblPr>
        <w:tblStyle w:val="298"/>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0D1A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68E10727">
            <w:pPr>
              <w:pStyle w:val="297"/>
              <w:keepNext w:val="0"/>
              <w:keepLines w:val="0"/>
              <w:pageBreakBefore w:val="0"/>
              <w:widowControl w:val="0"/>
              <w:kinsoku/>
              <w:wordWrap/>
              <w:overflowPunct/>
              <w:topLinePunct w:val="0"/>
              <w:autoSpaceDE/>
              <w:autoSpaceDN/>
              <w:bidi w:val="0"/>
              <w:adjustRightInd/>
              <w:snapToGrid/>
              <w:spacing w:line="240" w:lineRule="auto"/>
              <w:ind w:left="117" w:right="111" w:firstLine="17"/>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pacing w:val="-17"/>
                <w:sz w:val="21"/>
                <w:szCs w:val="21"/>
                <w:lang w:val="en-US" w:eastAsia="zh-CN"/>
              </w:rPr>
              <w:t>序号</w:t>
            </w:r>
          </w:p>
        </w:tc>
        <w:tc>
          <w:tcPr>
            <w:tcW w:w="2228" w:type="dxa"/>
            <w:vAlign w:val="center"/>
          </w:tcPr>
          <w:p w14:paraId="254633F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pacing w:val="-5"/>
                <w:sz w:val="21"/>
                <w:szCs w:val="21"/>
                <w:lang w:val="en-US" w:eastAsia="zh-CN"/>
              </w:rPr>
              <w:t>审查要素</w:t>
            </w:r>
          </w:p>
        </w:tc>
        <w:tc>
          <w:tcPr>
            <w:tcW w:w="4966" w:type="dxa"/>
            <w:vAlign w:val="center"/>
          </w:tcPr>
          <w:p w14:paraId="131A7381">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lang w:val="en-US" w:eastAsia="zh-CN"/>
              </w:rPr>
              <w:t>审查</w:t>
            </w:r>
            <w:r>
              <w:rPr>
                <w:rFonts w:hint="eastAsia" w:ascii="仿宋_GB2312" w:hAnsi="仿宋_GB2312" w:eastAsia="仿宋_GB2312" w:cs="仿宋_GB2312"/>
                <w:b/>
                <w:bCs/>
                <w:spacing w:val="-4"/>
                <w:sz w:val="21"/>
                <w:szCs w:val="21"/>
              </w:rPr>
              <w:t>标准</w:t>
            </w:r>
          </w:p>
        </w:tc>
        <w:tc>
          <w:tcPr>
            <w:tcW w:w="1122" w:type="dxa"/>
            <w:vAlign w:val="center"/>
          </w:tcPr>
          <w:p w14:paraId="3394984B">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pacing w:val="-4"/>
                <w:sz w:val="21"/>
                <w:szCs w:val="21"/>
                <w:lang w:val="en-US" w:eastAsia="zh-CN"/>
              </w:rPr>
            </w:pPr>
            <w:r>
              <w:rPr>
                <w:rFonts w:hint="eastAsia" w:ascii="仿宋_GB2312" w:hAnsi="仿宋_GB2312" w:eastAsia="仿宋_GB2312" w:cs="仿宋_GB2312"/>
                <w:b/>
                <w:bCs/>
                <w:spacing w:val="-4"/>
                <w:sz w:val="21"/>
                <w:szCs w:val="21"/>
                <w:lang w:val="en-US" w:eastAsia="zh-CN"/>
              </w:rPr>
              <w:t>审查结论</w:t>
            </w:r>
          </w:p>
        </w:tc>
      </w:tr>
      <w:tr w14:paraId="7C1A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7D2987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228" w:type="dxa"/>
            <w:vAlign w:val="center"/>
          </w:tcPr>
          <w:p w14:paraId="54C25064">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法人或者其他组织、自然人的营业执照等证明</w:t>
            </w:r>
            <w:r>
              <w:rPr>
                <w:rFonts w:hint="eastAsia" w:ascii="仿宋_GB2312" w:hAnsi="仿宋_GB2312" w:eastAsia="仿宋_GB2312" w:cs="仿宋_GB2312"/>
                <w:spacing w:val="-3"/>
                <w:sz w:val="21"/>
                <w:szCs w:val="21"/>
              </w:rPr>
              <w:t>文件</w:t>
            </w:r>
          </w:p>
        </w:tc>
        <w:tc>
          <w:tcPr>
            <w:tcW w:w="4966" w:type="dxa"/>
            <w:vAlign w:val="top"/>
          </w:tcPr>
          <w:p w14:paraId="6395A277">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1</w:t>
            </w:r>
            <w:r>
              <w:rPr>
                <w:rFonts w:hint="eastAsia" w:ascii="仿宋_GB2312" w:hAnsi="仿宋_GB2312" w:eastAsia="仿宋_GB2312" w:cs="仿宋_GB2312"/>
                <w:spacing w:val="0"/>
                <w:sz w:val="21"/>
                <w:szCs w:val="21"/>
                <w:lang w:eastAsia="zh-CN"/>
              </w:rPr>
              <w:t>）供应商是企业（包括合伙企业）的，应提供其在市场监督管理部门注册的有效“营业执照”的复印件；</w:t>
            </w:r>
          </w:p>
          <w:p w14:paraId="0F443128">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val="en-US" w:eastAsia="zh-CN"/>
              </w:rPr>
              <w:t>（2）供应商</w:t>
            </w:r>
            <w:r>
              <w:rPr>
                <w:rFonts w:hint="eastAsia" w:ascii="仿宋_GB2312" w:hAnsi="仿宋_GB2312" w:eastAsia="仿宋_GB2312" w:cs="仿宋_GB2312"/>
                <w:spacing w:val="0"/>
                <w:sz w:val="21"/>
                <w:szCs w:val="21"/>
                <w:lang w:eastAsia="zh-CN"/>
              </w:rPr>
              <w:t>是事业单位的，应提供其有效的“事业单位法人证书”复印件；</w:t>
            </w:r>
          </w:p>
          <w:p w14:paraId="4A763F14">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3</w:t>
            </w:r>
            <w:r>
              <w:rPr>
                <w:rFonts w:hint="eastAsia" w:ascii="仿宋_GB2312" w:hAnsi="仿宋_GB2312" w:eastAsia="仿宋_GB2312" w:cs="仿宋_GB2312"/>
                <w:spacing w:val="0"/>
                <w:sz w:val="21"/>
                <w:szCs w:val="21"/>
                <w:lang w:eastAsia="zh-CN"/>
              </w:rPr>
              <w:t>）供应商是非企业专业服务机构的，应提供其有效的“执业许可证”复印件；</w:t>
            </w:r>
          </w:p>
          <w:p w14:paraId="57A0526C">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4</w:t>
            </w:r>
            <w:r>
              <w:rPr>
                <w:rFonts w:hint="eastAsia" w:ascii="仿宋_GB2312" w:hAnsi="仿宋_GB2312" w:eastAsia="仿宋_GB2312" w:cs="仿宋_GB2312"/>
                <w:spacing w:val="0"/>
                <w:sz w:val="21"/>
                <w:szCs w:val="21"/>
                <w:lang w:eastAsia="zh-CN"/>
              </w:rPr>
              <w:t>）供应商是民办非企业单位的，应提供其有效的登记证书复印件；</w:t>
            </w:r>
          </w:p>
          <w:p w14:paraId="7D152FF7">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5</w:t>
            </w:r>
            <w:r>
              <w:rPr>
                <w:rFonts w:hint="eastAsia" w:ascii="仿宋_GB2312" w:hAnsi="仿宋_GB2312" w:eastAsia="仿宋_GB2312" w:cs="仿宋_GB2312"/>
                <w:spacing w:val="0"/>
                <w:sz w:val="21"/>
                <w:szCs w:val="21"/>
                <w:lang w:eastAsia="zh-CN"/>
              </w:rPr>
              <w:t>）供应商是个体工商户的，应提供其有效的“营 业执照”复印件；</w:t>
            </w:r>
          </w:p>
          <w:p w14:paraId="7BDE3B8B">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6</w:t>
            </w:r>
            <w:r>
              <w:rPr>
                <w:rFonts w:hint="eastAsia" w:ascii="仿宋_GB2312" w:hAnsi="仿宋_GB2312" w:eastAsia="仿宋_GB2312" w:cs="仿宋_GB2312"/>
                <w:spacing w:val="0"/>
                <w:sz w:val="21"/>
                <w:szCs w:val="21"/>
                <w:lang w:eastAsia="zh-CN"/>
              </w:rPr>
              <w:t>）供应商是自然人的，应提供其有效的自然人身份证明复印件。</w:t>
            </w:r>
          </w:p>
        </w:tc>
        <w:tc>
          <w:tcPr>
            <w:tcW w:w="1122" w:type="dxa"/>
            <w:vAlign w:val="top"/>
          </w:tcPr>
          <w:p w14:paraId="3F7678A2">
            <w:pPr>
              <w:pStyle w:val="297"/>
              <w:keepNext w:val="0"/>
              <w:keepLines w:val="0"/>
              <w:pageBreakBefore w:val="0"/>
              <w:widowControl w:val="0"/>
              <w:kinsoku/>
              <w:wordWrap/>
              <w:overflowPunct/>
              <w:topLinePunct w:val="0"/>
              <w:autoSpaceDE/>
              <w:autoSpaceDN/>
              <w:bidi w:val="0"/>
              <w:adjustRightInd/>
              <w:snapToGrid/>
              <w:spacing w:line="240" w:lineRule="auto"/>
              <w:ind w:left="531" w:right="239" w:hanging="409"/>
              <w:textAlignment w:val="auto"/>
              <w:rPr>
                <w:rFonts w:hint="eastAsia" w:ascii="仿宋_GB2312" w:hAnsi="仿宋_GB2312" w:eastAsia="仿宋_GB2312" w:cs="仿宋_GB2312"/>
                <w:spacing w:val="0"/>
                <w:position w:val="-5"/>
                <w:sz w:val="21"/>
                <w:szCs w:val="21"/>
              </w:rPr>
            </w:pPr>
          </w:p>
        </w:tc>
      </w:tr>
      <w:tr w14:paraId="6F85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2418F7B6">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228" w:type="dxa"/>
            <w:vMerge w:val="restart"/>
            <w:vAlign w:val="center"/>
          </w:tcPr>
          <w:p w14:paraId="3F032184">
            <w:pPr>
              <w:pStyle w:val="29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财务状况报告：提供（1）或提供（2）</w:t>
            </w:r>
          </w:p>
        </w:tc>
        <w:tc>
          <w:tcPr>
            <w:tcW w:w="4966" w:type="dxa"/>
            <w:vAlign w:val="top"/>
          </w:tcPr>
          <w:p w14:paraId="05DE286B">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（1）提供递交</w:t>
            </w:r>
            <w:r>
              <w:rPr>
                <w:rFonts w:hint="eastAsia" w:ascii="仿宋_GB2312" w:hAnsi="仿宋_GB2312" w:eastAsia="仿宋_GB2312" w:cs="仿宋_GB2312"/>
                <w:spacing w:val="0"/>
                <w:sz w:val="21"/>
                <w:szCs w:val="21"/>
                <w:lang w:val="en-US" w:eastAsia="zh-CN"/>
              </w:rPr>
              <w:t>2024</w:t>
            </w:r>
            <w:r>
              <w:rPr>
                <w:rFonts w:hint="eastAsia" w:ascii="仿宋_GB2312" w:hAnsi="仿宋_GB2312" w:eastAsia="仿宋_GB2312" w:cs="仿宋_GB2312"/>
                <w:spacing w:val="0"/>
                <w:sz w:val="21"/>
                <w:szCs w:val="21"/>
              </w:rPr>
              <w:t>年度经审计的财务报告，应满足以下要求：</w:t>
            </w:r>
          </w:p>
          <w:p w14:paraId="523F4BF1">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C701A2C">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②</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是指上述指定年度整个会计年度财务报表（不要求必须是经审计的），复印件至少须包括资产负债表、收入支出表（或收入费用表）、财政补助收入支出表。</w:t>
            </w:r>
          </w:p>
          <w:p w14:paraId="5959538C">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③</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是指上述指定年度整个会计年度财务报表（不要求必须是经审计的），复印件至少须包括资产负债表、收入费用表。</w:t>
            </w:r>
          </w:p>
          <w:p w14:paraId="2112459B">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lang w:eastAsia="zh-CN"/>
              </w:rPr>
              <w:t>④</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是指上述指定年度整个会计年度财务报表（不要求必须是经审计的），复印件至少须包括资产负债表、业务活动表、现金流量表。</w:t>
            </w:r>
          </w:p>
          <w:p w14:paraId="3A60F8CF">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0"/>
                <w:sz w:val="21"/>
                <w:szCs w:val="21"/>
              </w:rPr>
              <w:t>⑤</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是上述四种情况以外情况的，按照其依法适用的会计制度、财务规则或会计准则提供 财务报表复印件（不要求必须是经审计的）。</w:t>
            </w:r>
          </w:p>
        </w:tc>
        <w:tc>
          <w:tcPr>
            <w:tcW w:w="1122" w:type="dxa"/>
            <w:vAlign w:val="top"/>
          </w:tcPr>
          <w:p w14:paraId="0B51FBD4">
            <w:pPr>
              <w:pStyle w:val="297"/>
              <w:keepNext w:val="0"/>
              <w:keepLines w:val="0"/>
              <w:pageBreakBefore w:val="0"/>
              <w:widowControl w:val="0"/>
              <w:kinsoku/>
              <w:wordWrap/>
              <w:overflowPunct/>
              <w:topLinePunct w:val="0"/>
              <w:autoSpaceDE/>
              <w:autoSpaceDN/>
              <w:bidi w:val="0"/>
              <w:adjustRightInd/>
              <w:snapToGrid/>
              <w:spacing w:line="240" w:lineRule="auto"/>
              <w:ind w:left="533" w:right="238" w:hanging="408"/>
              <w:jc w:val="both"/>
              <w:textAlignment w:val="auto"/>
              <w:rPr>
                <w:rFonts w:hint="eastAsia" w:ascii="仿宋_GB2312" w:hAnsi="仿宋_GB2312" w:eastAsia="仿宋_GB2312" w:cs="仿宋_GB2312"/>
                <w:spacing w:val="0"/>
                <w:position w:val="-5"/>
                <w:sz w:val="21"/>
                <w:szCs w:val="21"/>
              </w:rPr>
            </w:pPr>
          </w:p>
        </w:tc>
      </w:tr>
      <w:tr w14:paraId="2D45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vAlign w:val="top"/>
          </w:tcPr>
          <w:p w14:paraId="33D42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p>
        </w:tc>
        <w:tc>
          <w:tcPr>
            <w:tcW w:w="2228" w:type="dxa"/>
            <w:vMerge w:val="continue"/>
            <w:vAlign w:val="top"/>
          </w:tcPr>
          <w:p w14:paraId="558818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p>
        </w:tc>
        <w:tc>
          <w:tcPr>
            <w:tcW w:w="4966" w:type="dxa"/>
            <w:vAlign w:val="top"/>
          </w:tcPr>
          <w:p w14:paraId="7E9156FF">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（2）提供资信证明原件或复印件，应满足以下要</w:t>
            </w:r>
            <w:r>
              <w:rPr>
                <w:rFonts w:hint="eastAsia" w:ascii="仿宋_GB2312" w:hAnsi="仿宋_GB2312" w:eastAsia="仿宋_GB2312" w:cs="仿宋_GB2312"/>
                <w:spacing w:val="-17"/>
                <w:sz w:val="21"/>
                <w:szCs w:val="21"/>
              </w:rPr>
              <w:t>求：</w:t>
            </w:r>
          </w:p>
          <w:p w14:paraId="47959D52">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①</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rPr>
              <w:t>前三个月内由</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rPr>
              <w:t>开户银行出具。</w:t>
            </w:r>
          </w:p>
          <w:p w14:paraId="379B3283">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②</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无论开具银行是否标明“复印无效”，</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提供的复印件在本次投标中予以认可（即不因“复印无效”字样而认定资信证明复印件无效）。</w:t>
            </w:r>
          </w:p>
          <w:p w14:paraId="59B76027">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③</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银行出具的存款证明不能替代银行资信证明。</w:t>
            </w:r>
          </w:p>
        </w:tc>
        <w:tc>
          <w:tcPr>
            <w:tcW w:w="1122" w:type="dxa"/>
            <w:vAlign w:val="top"/>
          </w:tcPr>
          <w:p w14:paraId="5B4158E1">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spacing w:val="-2"/>
                <w:sz w:val="21"/>
                <w:szCs w:val="21"/>
              </w:rPr>
            </w:pPr>
          </w:p>
        </w:tc>
      </w:tr>
      <w:tr w14:paraId="624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06D1A212">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3</w:t>
            </w:r>
          </w:p>
        </w:tc>
        <w:tc>
          <w:tcPr>
            <w:tcW w:w="2228" w:type="dxa"/>
            <w:vAlign w:val="center"/>
          </w:tcPr>
          <w:p w14:paraId="45DA1A49">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依法缴纳税收的相关材</w:t>
            </w:r>
            <w:r>
              <w:rPr>
                <w:rFonts w:hint="eastAsia" w:ascii="仿宋_GB2312" w:hAnsi="仿宋_GB2312" w:eastAsia="仿宋_GB2312" w:cs="仿宋_GB2312"/>
                <w:sz w:val="21"/>
                <w:szCs w:val="21"/>
              </w:rPr>
              <w:t>料</w:t>
            </w:r>
          </w:p>
        </w:tc>
        <w:tc>
          <w:tcPr>
            <w:tcW w:w="4966" w:type="dxa"/>
            <w:vAlign w:val="top"/>
          </w:tcPr>
          <w:p w14:paraId="31A482C2">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lang w:eastAsia="zh-CN"/>
              </w:rPr>
              <w:t>）供应商</w:t>
            </w:r>
            <w:r>
              <w:rPr>
                <w:rFonts w:hint="default" w:ascii="Times New Roman" w:hAnsi="Times New Roman" w:eastAsia="仿宋_GB2312" w:cs="Times New Roman"/>
                <w:sz w:val="21"/>
                <w:szCs w:val="21"/>
              </w:rPr>
              <w:t>应提供</w:t>
            </w:r>
            <w:r>
              <w:rPr>
                <w:rFonts w:hint="default" w:ascii="Times New Roman" w:hAnsi="Times New Roman" w:eastAsia="仿宋_GB2312" w:cs="Times New Roman"/>
                <w:sz w:val="21"/>
                <w:szCs w:val="21"/>
                <w:lang w:val="en-US" w:eastAsia="zh-CN"/>
              </w:rPr>
              <w:t>递交响应文件</w:t>
            </w:r>
            <w:r>
              <w:rPr>
                <w:rFonts w:hint="default" w:ascii="Times New Roman" w:hAnsi="Times New Roman" w:eastAsia="仿宋_GB2312" w:cs="Times New Roman"/>
                <w:sz w:val="21"/>
                <w:szCs w:val="21"/>
              </w:rPr>
              <w:t>截止时间前近六个月中任何一个月缴纳</w:t>
            </w:r>
            <w:r>
              <w:rPr>
                <w:rFonts w:hint="eastAsia" w:ascii="Times New Roman" w:hAnsi="Times New Roman" w:eastAsia="仿宋_GB2312" w:cs="Times New Roman"/>
                <w:sz w:val="21"/>
                <w:szCs w:val="21"/>
                <w:lang w:val="en-US" w:eastAsia="zh-CN"/>
              </w:rPr>
              <w:t>税收</w:t>
            </w:r>
            <w:r>
              <w:rPr>
                <w:rFonts w:hint="default" w:ascii="Times New Roman" w:hAnsi="Times New Roman" w:eastAsia="仿宋_GB2312" w:cs="Times New Roman"/>
                <w:sz w:val="21"/>
                <w:szCs w:val="21"/>
              </w:rPr>
              <w:t>的凭证，时间以税款所属时期为准（银行出具的缴税凭证或税务机关出具的证明的复印件，并加盖本单位公章）</w:t>
            </w:r>
            <w:r>
              <w:rPr>
                <w:rFonts w:hint="default" w:ascii="Times New Roman" w:hAnsi="Times New Roman" w:eastAsia="仿宋_GB2312" w:cs="Times New Roman"/>
                <w:spacing w:val="0"/>
                <w:sz w:val="21"/>
                <w:szCs w:val="21"/>
                <w:lang w:eastAsia="zh-CN"/>
              </w:rPr>
              <w:t>。</w:t>
            </w:r>
          </w:p>
          <w:p w14:paraId="4D2B6D7B">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eastAsia="zh-CN"/>
              </w:rPr>
              <w:t>）供应商</w:t>
            </w:r>
            <w:r>
              <w:rPr>
                <w:rFonts w:hint="default" w:ascii="Times New Roman" w:hAnsi="Times New Roman" w:eastAsia="仿宋_GB2312" w:cs="Times New Roman"/>
                <w:sz w:val="21"/>
                <w:szCs w:val="21"/>
              </w:rPr>
              <w:t>采用汇算清缴方式缴纳企业所得税的，应提</w:t>
            </w:r>
            <w:r>
              <w:rPr>
                <w:rFonts w:hint="default" w:ascii="Times New Roman" w:hAnsi="Times New Roman" w:eastAsia="仿宋_GB2312" w:cs="Times New Roman"/>
                <w:sz w:val="21"/>
                <w:szCs w:val="21"/>
                <w:lang w:val="en-US" w:eastAsia="zh-CN"/>
              </w:rPr>
              <w:t>供递交响应文件</w:t>
            </w:r>
            <w:r>
              <w:rPr>
                <w:rFonts w:hint="default" w:ascii="Times New Roman" w:hAnsi="Times New Roman" w:eastAsia="仿宋_GB2312" w:cs="Times New Roman"/>
                <w:sz w:val="21"/>
                <w:szCs w:val="21"/>
              </w:rPr>
              <w:t>截止时间前近六个月中任何一个月缴纳增值税和最近一期缴纳企业所得税的凭证，时间以税款所属时期为准（银行出具的缴税凭证或税务机关出具的证明的复印件，并加盖本单位公章）</w:t>
            </w:r>
            <w:r>
              <w:rPr>
                <w:rFonts w:hint="default" w:ascii="Times New Roman" w:hAnsi="Times New Roman" w:eastAsia="仿宋_GB2312" w:cs="Times New Roman"/>
                <w:sz w:val="21"/>
                <w:szCs w:val="21"/>
                <w:lang w:eastAsia="zh-CN"/>
              </w:rPr>
              <w:t>。</w:t>
            </w:r>
          </w:p>
          <w:p w14:paraId="4C7F3613">
            <w:pPr>
              <w:pStyle w:val="297"/>
              <w:keepNext w:val="0"/>
              <w:keepLines w:val="0"/>
              <w:pageBreakBefore w:val="0"/>
              <w:widowControl w:val="0"/>
              <w:kinsoku/>
              <w:wordWrap/>
              <w:overflowPunct/>
              <w:topLinePunct w:val="0"/>
              <w:autoSpaceDE/>
              <w:autoSpaceDN/>
              <w:bidi w:val="0"/>
              <w:adjustRightInd/>
              <w:snapToGrid/>
              <w:spacing w:line="240" w:lineRule="auto"/>
              <w:ind w:left="109" w:right="179"/>
              <w:jc w:val="both"/>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lang w:val="en-US" w:eastAsia="zh-CN"/>
              </w:rPr>
              <w:t>3</w:t>
            </w: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缴纳凭证复印件须清晰可辨，并能显示出</w:t>
            </w:r>
            <w:r>
              <w:rPr>
                <w:rFonts w:hint="default" w:ascii="Times New Roman" w:hAnsi="Times New Roman" w:eastAsia="仿宋_GB2312" w:cs="Times New Roman"/>
                <w:spacing w:val="0"/>
                <w:sz w:val="21"/>
                <w:szCs w:val="21"/>
                <w:lang w:eastAsia="zh-CN"/>
              </w:rPr>
              <w:t>供应商</w:t>
            </w:r>
            <w:r>
              <w:rPr>
                <w:rFonts w:hint="default" w:ascii="Times New Roman" w:hAnsi="Times New Roman" w:eastAsia="仿宋_GB2312" w:cs="Times New Roman"/>
                <w:spacing w:val="0"/>
                <w:sz w:val="21"/>
                <w:szCs w:val="21"/>
              </w:rPr>
              <w:t>名称和所缴纳税种种类，单位代扣代缴的个人所得税不能作为单位纳税的凭证</w:t>
            </w:r>
            <w:r>
              <w:rPr>
                <w:rFonts w:hint="default" w:ascii="Times New Roman" w:hAnsi="Times New Roman" w:eastAsia="仿宋_GB2312" w:cs="Times New Roman"/>
                <w:spacing w:val="0"/>
                <w:sz w:val="21"/>
                <w:szCs w:val="21"/>
                <w:lang w:eastAsia="zh-CN"/>
              </w:rPr>
              <w:t>。</w:t>
            </w:r>
          </w:p>
          <w:p w14:paraId="4C3C01BE">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_GB2312" w:hAnsi="仿宋_GB2312" w:eastAsia="仿宋_GB2312" w:cs="仿宋_GB2312"/>
                <w:spacing w:val="0"/>
                <w:sz w:val="21"/>
                <w:szCs w:val="21"/>
              </w:rPr>
            </w:pP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lang w:val="en-US" w:eastAsia="zh-CN"/>
              </w:rPr>
              <w:t>4</w:t>
            </w: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依法免税的</w:t>
            </w:r>
            <w:r>
              <w:rPr>
                <w:rFonts w:hint="default" w:ascii="Times New Roman" w:hAnsi="Times New Roman" w:eastAsia="仿宋_GB2312" w:cs="Times New Roman"/>
                <w:spacing w:val="0"/>
                <w:sz w:val="21"/>
                <w:szCs w:val="21"/>
                <w:lang w:eastAsia="zh-CN"/>
              </w:rPr>
              <w:t>供应商</w:t>
            </w:r>
            <w:r>
              <w:rPr>
                <w:rFonts w:hint="default" w:ascii="Times New Roman" w:hAnsi="Times New Roman" w:eastAsia="仿宋_GB2312" w:cs="Times New Roman"/>
                <w:spacing w:val="0"/>
                <w:sz w:val="21"/>
                <w:szCs w:val="21"/>
              </w:rPr>
              <w:t>，应提供相应文件证明其依法免税</w:t>
            </w:r>
            <w:r>
              <w:rPr>
                <w:rFonts w:hint="eastAsia" w:ascii="仿宋_GB2312" w:hAnsi="仿宋_GB2312" w:eastAsia="仿宋_GB2312" w:cs="仿宋_GB2312"/>
                <w:spacing w:val="0"/>
                <w:sz w:val="21"/>
                <w:szCs w:val="21"/>
              </w:rPr>
              <w:t>。</w:t>
            </w:r>
          </w:p>
        </w:tc>
        <w:tc>
          <w:tcPr>
            <w:tcW w:w="1122" w:type="dxa"/>
            <w:vAlign w:val="top"/>
          </w:tcPr>
          <w:p w14:paraId="3788970C">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_GB2312" w:hAnsi="仿宋_GB2312" w:eastAsia="仿宋_GB2312" w:cs="仿宋_GB2312"/>
                <w:spacing w:val="0"/>
                <w:sz w:val="21"/>
                <w:szCs w:val="21"/>
              </w:rPr>
            </w:pPr>
          </w:p>
        </w:tc>
      </w:tr>
      <w:tr w14:paraId="54A8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5240419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4</w:t>
            </w:r>
          </w:p>
        </w:tc>
        <w:tc>
          <w:tcPr>
            <w:tcW w:w="2228" w:type="dxa"/>
            <w:vAlign w:val="center"/>
          </w:tcPr>
          <w:p w14:paraId="1F7D8866">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依法缴纳社会保障资金</w:t>
            </w:r>
            <w:r>
              <w:rPr>
                <w:rFonts w:hint="eastAsia" w:ascii="仿宋_GB2312" w:hAnsi="仿宋_GB2312" w:eastAsia="仿宋_GB2312" w:cs="仿宋_GB2312"/>
                <w:spacing w:val="-5"/>
                <w:sz w:val="21"/>
                <w:szCs w:val="21"/>
              </w:rPr>
              <w:t>的相关材料</w:t>
            </w:r>
          </w:p>
        </w:tc>
        <w:tc>
          <w:tcPr>
            <w:tcW w:w="4966" w:type="dxa"/>
            <w:vAlign w:val="top"/>
          </w:tcPr>
          <w:p w14:paraId="287C05CD">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spacing w:val="0"/>
                <w:sz w:val="21"/>
                <w:szCs w:val="21"/>
                <w:lang w:val="en-US" w:eastAsia="zh-CN"/>
              </w:rPr>
            </w:pPr>
            <w:r>
              <w:rPr>
                <w:rFonts w:hint="eastAsia" w:eastAsia="仿宋_GB2312"/>
                <w:sz w:val="21"/>
                <w:szCs w:val="21"/>
                <w:lang w:eastAsia="zh-CN"/>
              </w:rPr>
              <w:t>（</w:t>
            </w:r>
            <w:r>
              <w:rPr>
                <w:rFonts w:hint="eastAsia" w:eastAsia="仿宋_GB2312"/>
                <w:sz w:val="21"/>
                <w:szCs w:val="21"/>
                <w:lang w:val="en-US" w:eastAsia="zh-CN"/>
              </w:rPr>
              <w:t>1</w:t>
            </w:r>
            <w:r>
              <w:rPr>
                <w:rFonts w:hint="eastAsia" w:eastAsia="仿宋_GB2312"/>
                <w:sz w:val="21"/>
                <w:szCs w:val="21"/>
                <w:lang w:eastAsia="zh-CN"/>
              </w:rPr>
              <w:t>）供应商</w:t>
            </w:r>
            <w:r>
              <w:rPr>
                <w:rFonts w:eastAsia="仿宋_GB2312"/>
                <w:sz w:val="21"/>
                <w:szCs w:val="21"/>
              </w:rPr>
              <w:t>应提供</w:t>
            </w:r>
            <w:r>
              <w:rPr>
                <w:rFonts w:hint="eastAsia" w:eastAsia="仿宋_GB2312"/>
                <w:sz w:val="21"/>
                <w:szCs w:val="21"/>
                <w:lang w:val="en-US" w:eastAsia="zh-CN"/>
              </w:rPr>
              <w:t>递交响应文件</w:t>
            </w:r>
            <w:r>
              <w:rPr>
                <w:rFonts w:hint="eastAsia" w:eastAsia="仿宋_GB2312"/>
                <w:sz w:val="21"/>
                <w:szCs w:val="21"/>
              </w:rPr>
              <w:t>截止时间</w:t>
            </w:r>
            <w:r>
              <w:rPr>
                <w:rFonts w:hint="eastAsia" w:eastAsia="仿宋_GB2312"/>
                <w:sz w:val="21"/>
                <w:szCs w:val="21"/>
                <w:lang w:val="en-US" w:eastAsia="zh-CN"/>
              </w:rPr>
              <w:t>前</w:t>
            </w:r>
            <w:r>
              <w:rPr>
                <w:rFonts w:eastAsia="仿宋_GB2312"/>
                <w:sz w:val="21"/>
                <w:szCs w:val="21"/>
              </w:rPr>
              <w:t>近六个月中至少一个月的缴纳社会保险的凭据（专用收据或社会保险缴纳清单），并加盖本单位公章</w:t>
            </w:r>
            <w:r>
              <w:rPr>
                <w:rFonts w:hint="eastAsia" w:eastAsia="仿宋_GB2312"/>
                <w:sz w:val="21"/>
                <w:szCs w:val="21"/>
                <w:lang w:eastAsia="zh-CN"/>
              </w:rPr>
              <w:t>。</w:t>
            </w:r>
          </w:p>
          <w:p w14:paraId="2A1D600C">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2</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凭证复印件须清晰可辨，并能显示出</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名称和所缴纳的社保的种类</w:t>
            </w:r>
            <w:r>
              <w:rPr>
                <w:rFonts w:hint="eastAsia" w:ascii="仿宋_GB2312" w:hAnsi="仿宋_GB2312" w:eastAsia="仿宋_GB2312" w:cs="仿宋_GB2312"/>
                <w:spacing w:val="0"/>
                <w:sz w:val="21"/>
                <w:szCs w:val="21"/>
                <w:lang w:eastAsia="zh-CN"/>
              </w:rPr>
              <w:t>。</w:t>
            </w:r>
          </w:p>
          <w:p w14:paraId="7F65771E">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3</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依法不需要缴纳社会保障资金的，应提供相应文件说明其依法不需要缴纳的证明材料复印件</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并加盖本单位公章</w:t>
            </w:r>
            <w:r>
              <w:rPr>
                <w:rFonts w:hint="eastAsia" w:ascii="仿宋_GB2312" w:hAnsi="仿宋_GB2312" w:eastAsia="仿宋_GB2312" w:cs="仿宋_GB2312"/>
                <w:spacing w:val="0"/>
                <w:sz w:val="21"/>
                <w:szCs w:val="21"/>
                <w:lang w:eastAsia="zh-CN"/>
              </w:rPr>
              <w:t>。</w:t>
            </w:r>
          </w:p>
        </w:tc>
        <w:tc>
          <w:tcPr>
            <w:tcW w:w="1122" w:type="dxa"/>
            <w:vAlign w:val="top"/>
          </w:tcPr>
          <w:p w14:paraId="4F057761">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_GB2312" w:hAnsi="仿宋_GB2312" w:eastAsia="仿宋_GB2312" w:cs="仿宋_GB2312"/>
                <w:spacing w:val="0"/>
                <w:sz w:val="21"/>
                <w:szCs w:val="21"/>
              </w:rPr>
            </w:pPr>
          </w:p>
        </w:tc>
      </w:tr>
      <w:tr w14:paraId="7D4E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5E44EF4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5</w:t>
            </w:r>
          </w:p>
        </w:tc>
        <w:tc>
          <w:tcPr>
            <w:tcW w:w="2228" w:type="dxa"/>
            <w:vAlign w:val="center"/>
          </w:tcPr>
          <w:p w14:paraId="0A111405">
            <w:pPr>
              <w:pStyle w:val="297"/>
              <w:keepNext w:val="0"/>
              <w:keepLines w:val="0"/>
              <w:pageBreakBefore w:val="0"/>
              <w:widowControl w:val="0"/>
              <w:kinsoku/>
              <w:wordWrap/>
              <w:overflowPunct/>
              <w:topLinePunct w:val="0"/>
              <w:autoSpaceDE/>
              <w:autoSpaceDN/>
              <w:bidi w:val="0"/>
              <w:adjustRightInd/>
              <w:snapToGrid/>
              <w:spacing w:line="240" w:lineRule="auto"/>
              <w:ind w:left="108" w:right="279" w:firstLine="4"/>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具备履行合同所必需的</w:t>
            </w:r>
            <w:r>
              <w:rPr>
                <w:rFonts w:hint="eastAsia" w:ascii="仿宋_GB2312" w:hAnsi="仿宋_GB2312" w:eastAsia="仿宋_GB2312" w:cs="仿宋_GB2312"/>
                <w:spacing w:val="-1"/>
                <w:sz w:val="21"/>
                <w:szCs w:val="21"/>
              </w:rPr>
              <w:t>设备和专业技术能力的</w:t>
            </w:r>
            <w:r>
              <w:rPr>
                <w:rFonts w:hint="eastAsia" w:ascii="仿宋_GB2312" w:hAnsi="仿宋_GB2312" w:eastAsia="仿宋_GB2312" w:cs="仿宋_GB2312"/>
                <w:spacing w:val="-2"/>
                <w:sz w:val="21"/>
                <w:szCs w:val="21"/>
              </w:rPr>
              <w:t>证明材料</w:t>
            </w:r>
          </w:p>
        </w:tc>
        <w:tc>
          <w:tcPr>
            <w:tcW w:w="4966" w:type="dxa"/>
            <w:vAlign w:val="center"/>
          </w:tcPr>
          <w:p w14:paraId="2EB419A0">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资格证明文件附件6-5</w:t>
            </w:r>
            <w:r>
              <w:rPr>
                <w:rFonts w:hint="eastAsia" w:ascii="仿宋_GB2312" w:hAnsi="仿宋_GB2312" w:eastAsia="仿宋_GB2312" w:cs="仿宋_GB2312"/>
                <w:spacing w:val="0"/>
                <w:sz w:val="21"/>
                <w:szCs w:val="21"/>
              </w:rPr>
              <w:t>格式作出相关承诺</w:t>
            </w:r>
            <w:r>
              <w:rPr>
                <w:rFonts w:hint="eastAsia" w:ascii="仿宋_GB2312" w:hAnsi="仿宋_GB2312" w:eastAsia="仿宋_GB2312" w:cs="仿宋_GB2312"/>
                <w:spacing w:val="0"/>
                <w:sz w:val="21"/>
                <w:szCs w:val="21"/>
                <w:lang w:eastAsia="zh-CN"/>
              </w:rPr>
              <w:t>。</w:t>
            </w:r>
          </w:p>
        </w:tc>
        <w:tc>
          <w:tcPr>
            <w:tcW w:w="1122" w:type="dxa"/>
            <w:vAlign w:val="center"/>
          </w:tcPr>
          <w:p w14:paraId="36CCF81D">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p>
        </w:tc>
      </w:tr>
      <w:tr w14:paraId="2EA0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D319387">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6</w:t>
            </w:r>
          </w:p>
        </w:tc>
        <w:tc>
          <w:tcPr>
            <w:tcW w:w="2228" w:type="dxa"/>
            <w:vAlign w:val="center"/>
          </w:tcPr>
          <w:p w14:paraId="690393CF">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参加政府采购活动前3年内在经营活动中没有重大违法记录的书面声明</w:t>
            </w:r>
          </w:p>
        </w:tc>
        <w:tc>
          <w:tcPr>
            <w:tcW w:w="4966" w:type="dxa"/>
            <w:vAlign w:val="center"/>
          </w:tcPr>
          <w:p w14:paraId="4DAF9601">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按照资格证明文件附件6-6格式作出相关承诺。</w:t>
            </w:r>
          </w:p>
        </w:tc>
        <w:tc>
          <w:tcPr>
            <w:tcW w:w="1122" w:type="dxa"/>
            <w:vAlign w:val="center"/>
          </w:tcPr>
          <w:p w14:paraId="72C17FD7">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p>
        </w:tc>
      </w:tr>
      <w:tr w14:paraId="2BBF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1547F156">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pacing w:val="-4"/>
                <w:sz w:val="21"/>
                <w:szCs w:val="21"/>
                <w:lang w:val="en-US" w:eastAsia="zh-CN"/>
              </w:rPr>
            </w:pPr>
            <w:r>
              <w:rPr>
                <w:rFonts w:hint="eastAsia" w:ascii="仿宋_GB2312" w:hAnsi="仿宋_GB2312" w:eastAsia="仿宋_GB2312" w:cs="仿宋_GB2312"/>
                <w:b/>
                <w:bCs/>
                <w:spacing w:val="-4"/>
                <w:sz w:val="21"/>
                <w:szCs w:val="21"/>
                <w:lang w:val="en-US" w:eastAsia="zh-CN"/>
              </w:rPr>
              <w:t>7</w:t>
            </w:r>
          </w:p>
        </w:tc>
        <w:tc>
          <w:tcPr>
            <w:tcW w:w="2228" w:type="dxa"/>
            <w:vAlign w:val="center"/>
          </w:tcPr>
          <w:p w14:paraId="5D603088">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b/>
                <w:bCs/>
                <w:spacing w:val="0"/>
                <w:sz w:val="21"/>
                <w:szCs w:val="21"/>
                <w:lang w:val="en-US" w:eastAsia="zh-CN"/>
              </w:rPr>
            </w:pPr>
            <w:r>
              <w:rPr>
                <w:rFonts w:hint="eastAsia" w:ascii="仿宋_GB2312" w:hAnsi="仿宋_GB2312" w:eastAsia="仿宋_GB2312" w:cs="仿宋_GB2312"/>
                <w:b/>
                <w:bCs/>
                <w:spacing w:val="0"/>
                <w:sz w:val="21"/>
                <w:szCs w:val="21"/>
                <w:lang w:val="en-US" w:eastAsia="zh-CN"/>
              </w:rPr>
              <w:t>具有公安部第三研究所颁发的有效期内的《网络安全等级测评与检测评估机构服务认证证书》</w:t>
            </w:r>
          </w:p>
        </w:tc>
        <w:tc>
          <w:tcPr>
            <w:tcW w:w="4966" w:type="dxa"/>
            <w:vAlign w:val="center"/>
          </w:tcPr>
          <w:p w14:paraId="3F162DFA">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b/>
                <w:bCs/>
                <w:spacing w:val="0"/>
                <w:sz w:val="21"/>
                <w:szCs w:val="21"/>
                <w:lang w:val="en-US" w:eastAsia="zh-CN"/>
              </w:rPr>
            </w:pPr>
            <w:r>
              <w:rPr>
                <w:rFonts w:hint="eastAsia" w:ascii="仿宋_GB2312" w:hAnsi="仿宋_GB2312" w:eastAsia="仿宋_GB2312" w:cs="仿宋_GB2312"/>
                <w:b/>
                <w:bCs/>
                <w:spacing w:val="0"/>
                <w:sz w:val="21"/>
                <w:szCs w:val="21"/>
                <w:lang w:val="en-US" w:eastAsia="zh-CN"/>
              </w:rPr>
              <w:t>具有公安部第三研究所颁发的有效期内的《网络安全等级测评与检测评估机构服务认证证书》</w:t>
            </w:r>
          </w:p>
        </w:tc>
        <w:tc>
          <w:tcPr>
            <w:tcW w:w="1122" w:type="dxa"/>
            <w:vAlign w:val="center"/>
          </w:tcPr>
          <w:p w14:paraId="50637EE3">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b/>
                <w:bCs/>
                <w:spacing w:val="0"/>
                <w:sz w:val="21"/>
                <w:szCs w:val="21"/>
              </w:rPr>
            </w:pPr>
          </w:p>
        </w:tc>
      </w:tr>
      <w:tr w14:paraId="0CCE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08" w:type="dxa"/>
            <w:vAlign w:val="center"/>
          </w:tcPr>
          <w:p w14:paraId="609AA801">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pacing w:val="-4"/>
                <w:sz w:val="21"/>
                <w:szCs w:val="21"/>
                <w:highlight w:val="none"/>
                <w:lang w:val="en-US" w:eastAsia="zh-CN"/>
              </w:rPr>
            </w:pPr>
            <w:r>
              <w:rPr>
                <w:rFonts w:hint="eastAsia" w:ascii="仿宋_GB2312" w:hAnsi="仿宋_GB2312" w:eastAsia="仿宋_GB2312" w:cs="仿宋_GB2312"/>
                <w:b/>
                <w:bCs/>
                <w:spacing w:val="-4"/>
                <w:sz w:val="21"/>
                <w:szCs w:val="21"/>
                <w:highlight w:val="none"/>
                <w:lang w:val="en-US" w:eastAsia="zh-CN"/>
              </w:rPr>
              <w:t>8</w:t>
            </w:r>
          </w:p>
        </w:tc>
        <w:tc>
          <w:tcPr>
            <w:tcW w:w="2228" w:type="dxa"/>
            <w:vAlign w:val="center"/>
          </w:tcPr>
          <w:p w14:paraId="11B435D2">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b/>
                <w:bCs/>
                <w:spacing w:val="0"/>
                <w:sz w:val="21"/>
                <w:szCs w:val="21"/>
                <w:highlight w:val="none"/>
                <w:lang w:val="en-US" w:eastAsia="zh-CN"/>
              </w:rPr>
            </w:pPr>
            <w:r>
              <w:rPr>
                <w:rFonts w:hint="eastAsia" w:ascii="仿宋_GB2312" w:hAnsi="仿宋_GB2312" w:eastAsia="仿宋_GB2312" w:cs="仿宋_GB2312"/>
                <w:b/>
                <w:bCs/>
                <w:spacing w:val="0"/>
                <w:sz w:val="21"/>
                <w:szCs w:val="21"/>
                <w:highlight w:val="none"/>
                <w:lang w:val="en-US" w:eastAsia="zh-CN"/>
              </w:rPr>
              <w:t>本项目专门面向中小企业</w:t>
            </w:r>
          </w:p>
        </w:tc>
        <w:tc>
          <w:tcPr>
            <w:tcW w:w="4966" w:type="dxa"/>
            <w:vAlign w:val="center"/>
          </w:tcPr>
          <w:p w14:paraId="584743EF">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b/>
                <w:bCs/>
                <w:spacing w:val="0"/>
                <w:sz w:val="21"/>
                <w:szCs w:val="21"/>
                <w:highlight w:val="none"/>
                <w:lang w:val="en-US" w:eastAsia="zh-CN"/>
              </w:rPr>
            </w:pPr>
            <w:r>
              <w:rPr>
                <w:rFonts w:hint="eastAsia" w:ascii="仿宋_GB2312" w:hAnsi="仿宋_GB2312" w:eastAsia="仿宋_GB2312" w:cs="仿宋_GB2312"/>
                <w:b/>
                <w:bCs/>
                <w:spacing w:val="0"/>
                <w:sz w:val="21"/>
                <w:szCs w:val="21"/>
                <w:highlight w:val="none"/>
                <w:lang w:val="en-US" w:eastAsia="zh-CN"/>
              </w:rPr>
              <w:t>本项目由符合政策要求的中小企业承接。</w:t>
            </w:r>
          </w:p>
        </w:tc>
        <w:tc>
          <w:tcPr>
            <w:tcW w:w="1122" w:type="dxa"/>
            <w:vAlign w:val="center"/>
          </w:tcPr>
          <w:p w14:paraId="79ADCA20">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b/>
                <w:bCs/>
                <w:spacing w:val="0"/>
                <w:sz w:val="21"/>
                <w:szCs w:val="21"/>
                <w:highlight w:val="yellow"/>
              </w:rPr>
            </w:pPr>
          </w:p>
        </w:tc>
      </w:tr>
      <w:tr w14:paraId="4ED7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4F857A0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lang w:val="en-US" w:eastAsia="zh-CN"/>
              </w:rPr>
              <w:t>9</w:t>
            </w:r>
          </w:p>
        </w:tc>
        <w:tc>
          <w:tcPr>
            <w:tcW w:w="2228" w:type="dxa"/>
            <w:vAlign w:val="center"/>
          </w:tcPr>
          <w:p w14:paraId="75A5AD4A">
            <w:pPr>
              <w:pStyle w:val="297"/>
              <w:keepNext w:val="0"/>
              <w:keepLines w:val="0"/>
              <w:pageBreakBefore w:val="0"/>
              <w:widowControl w:val="0"/>
              <w:kinsoku/>
              <w:wordWrap/>
              <w:overflowPunct/>
              <w:topLinePunct w:val="0"/>
              <w:autoSpaceDE/>
              <w:autoSpaceDN/>
              <w:bidi w:val="0"/>
              <w:adjustRightInd/>
              <w:snapToGrid/>
              <w:spacing w:line="240" w:lineRule="auto"/>
              <w:ind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信用信息</w:t>
            </w:r>
          </w:p>
        </w:tc>
        <w:tc>
          <w:tcPr>
            <w:tcW w:w="4966" w:type="dxa"/>
            <w:vAlign w:val="top"/>
          </w:tcPr>
          <w:p w14:paraId="6EB6DD5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供应商未被列入“信用中国”网站(www.creditchina.gov.cn)“失信被执行人或重大税收违法失信主体或政府采购严重违法失信行为”记录名单；</w:t>
            </w:r>
          </w:p>
          <w:p w14:paraId="6AB6E286">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不处于中国政府采购网(www.ccgp.gov.cn)“政府采购严重违法失信行为信息记录”中的禁止参加政府采购活动期间。（以代理机构于</w:t>
            </w:r>
            <w:r>
              <w:rPr>
                <w:rFonts w:hint="eastAsia" w:ascii="仿宋_GB2312" w:hAnsi="仿宋_GB2312" w:eastAsia="仿宋_GB2312" w:cs="仿宋_GB2312"/>
                <w:spacing w:val="0"/>
                <w:sz w:val="21"/>
                <w:szCs w:val="21"/>
                <w:lang w:val="en-US" w:eastAsia="zh-CN"/>
              </w:rPr>
              <w:t>开启响应文件</w:t>
            </w:r>
            <w:r>
              <w:rPr>
                <w:rFonts w:hint="eastAsia" w:ascii="仿宋_GB2312" w:hAnsi="仿宋_GB2312" w:eastAsia="仿宋_GB2312" w:cs="仿宋_GB2312"/>
                <w:spacing w:val="0"/>
                <w:sz w:val="21"/>
                <w:szCs w:val="21"/>
              </w:rPr>
              <w:t>当天</w:t>
            </w:r>
            <w:r>
              <w:rPr>
                <w:rFonts w:hint="eastAsia" w:ascii="仿宋_GB2312" w:hAnsi="仿宋_GB2312" w:eastAsia="仿宋_GB2312" w:cs="仿宋_GB2312"/>
                <w:spacing w:val="0"/>
                <w:sz w:val="21"/>
                <w:szCs w:val="21"/>
                <w:lang w:val="en-US" w:eastAsia="zh-CN"/>
              </w:rPr>
              <w:t>进行资格审查时</w:t>
            </w:r>
            <w:r>
              <w:rPr>
                <w:rFonts w:hint="eastAsia" w:ascii="仿宋_GB2312" w:hAnsi="仿宋_GB2312" w:eastAsia="仿宋_GB2312" w:cs="仿宋_GB2312"/>
                <w:spacing w:val="0"/>
                <w:sz w:val="21"/>
                <w:szCs w:val="21"/>
              </w:rPr>
              <w:t>在“信用中国”网站（www.creditchina.gov.cn）及中国政府采购网(www.ccgp.gov.cn)查询结果为准）。</w:t>
            </w:r>
          </w:p>
        </w:tc>
        <w:tc>
          <w:tcPr>
            <w:tcW w:w="1122" w:type="dxa"/>
            <w:vAlign w:val="top"/>
          </w:tcPr>
          <w:p w14:paraId="4ED38C18">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6534A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730B1987">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10</w:t>
            </w:r>
          </w:p>
        </w:tc>
        <w:tc>
          <w:tcPr>
            <w:tcW w:w="2228" w:type="dxa"/>
            <w:vAlign w:val="center"/>
          </w:tcPr>
          <w:p w14:paraId="767336CF">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单位负责人为同一人或者存在直接控股、管理关系的不同供应商，不得参加同一合同项下的政府采购活动</w:t>
            </w:r>
          </w:p>
        </w:tc>
        <w:tc>
          <w:tcPr>
            <w:tcW w:w="4966" w:type="dxa"/>
            <w:vAlign w:val="center"/>
          </w:tcPr>
          <w:p w14:paraId="4952237A">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资格证明文件附件6-7</w:t>
            </w:r>
            <w:r>
              <w:rPr>
                <w:rFonts w:hint="eastAsia" w:ascii="仿宋_GB2312" w:hAnsi="仿宋_GB2312" w:eastAsia="仿宋_GB2312" w:cs="仿宋_GB2312"/>
                <w:spacing w:val="0"/>
                <w:sz w:val="21"/>
                <w:szCs w:val="21"/>
              </w:rPr>
              <w:t>格式</w:t>
            </w:r>
            <w:r>
              <w:rPr>
                <w:rFonts w:hint="eastAsia" w:ascii="仿宋_GB2312" w:hAnsi="仿宋_GB2312" w:eastAsia="仿宋_GB2312" w:cs="仿宋_GB2312"/>
                <w:spacing w:val="0"/>
                <w:sz w:val="21"/>
                <w:szCs w:val="21"/>
                <w:lang w:val="en-US" w:eastAsia="zh-CN"/>
              </w:rPr>
              <w:t>做出说明</w:t>
            </w:r>
          </w:p>
        </w:tc>
        <w:tc>
          <w:tcPr>
            <w:tcW w:w="1122" w:type="dxa"/>
            <w:vAlign w:val="center"/>
          </w:tcPr>
          <w:p w14:paraId="7BD94306">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1F3A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242E5F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11</w:t>
            </w:r>
          </w:p>
        </w:tc>
        <w:tc>
          <w:tcPr>
            <w:tcW w:w="2228" w:type="dxa"/>
            <w:vAlign w:val="center"/>
          </w:tcPr>
          <w:p w14:paraId="1496648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为本项目提供整体设计、规范编制或者项目管理、监理、检测等服务的供应商，不得再参加该采购项目的其他采购活动</w:t>
            </w:r>
          </w:p>
        </w:tc>
        <w:tc>
          <w:tcPr>
            <w:tcW w:w="4966" w:type="dxa"/>
            <w:vAlign w:val="center"/>
          </w:tcPr>
          <w:p w14:paraId="452A101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资格证明文件附件6-8</w:t>
            </w:r>
            <w:r>
              <w:rPr>
                <w:rFonts w:hint="eastAsia" w:ascii="仿宋_GB2312" w:hAnsi="仿宋_GB2312" w:eastAsia="仿宋_GB2312" w:cs="仿宋_GB2312"/>
                <w:spacing w:val="0"/>
                <w:sz w:val="21"/>
                <w:szCs w:val="21"/>
              </w:rPr>
              <w:t>格式</w:t>
            </w:r>
            <w:r>
              <w:rPr>
                <w:rFonts w:hint="eastAsia" w:ascii="仿宋_GB2312" w:hAnsi="仿宋_GB2312" w:eastAsia="仿宋_GB2312" w:cs="仿宋_GB2312"/>
                <w:spacing w:val="0"/>
                <w:sz w:val="21"/>
                <w:szCs w:val="21"/>
                <w:lang w:val="en-US" w:eastAsia="zh-CN"/>
              </w:rPr>
              <w:t>做出声明。供应商不属于</w:t>
            </w:r>
            <w:r>
              <w:rPr>
                <w:rFonts w:hint="eastAsia" w:ascii="仿宋_GB2312" w:hAnsi="仿宋_GB2312" w:eastAsia="仿宋_GB2312" w:cs="仿宋_GB2312"/>
                <w:sz w:val="21"/>
                <w:szCs w:val="21"/>
                <w:lang w:val="en-US" w:eastAsia="zh-CN"/>
              </w:rPr>
              <w:t>为本项目提供整体设计、规范编制或者项目管理、监理、检测等服务的供应商。</w:t>
            </w:r>
          </w:p>
        </w:tc>
        <w:tc>
          <w:tcPr>
            <w:tcW w:w="1122" w:type="dxa"/>
            <w:vAlign w:val="center"/>
          </w:tcPr>
          <w:p w14:paraId="352E43F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49A2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174070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12</w:t>
            </w:r>
          </w:p>
        </w:tc>
        <w:tc>
          <w:tcPr>
            <w:tcW w:w="2228" w:type="dxa"/>
            <w:vAlign w:val="center"/>
          </w:tcPr>
          <w:p w14:paraId="56D14C8E">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已向采购代理机构获取采购文件</w:t>
            </w:r>
          </w:p>
        </w:tc>
        <w:tc>
          <w:tcPr>
            <w:tcW w:w="4966" w:type="dxa"/>
            <w:vAlign w:val="center"/>
          </w:tcPr>
          <w:p w14:paraId="377837D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需向采购代理机构获取</w:t>
            </w:r>
            <w:r>
              <w:rPr>
                <w:rFonts w:hint="eastAsia" w:ascii="仿宋_GB2312" w:hAnsi="仿宋_GB2312" w:eastAsia="仿宋_GB2312" w:cs="仿宋_GB2312"/>
                <w:spacing w:val="0"/>
                <w:sz w:val="21"/>
                <w:szCs w:val="21"/>
                <w:lang w:val="en-US" w:eastAsia="zh-CN"/>
              </w:rPr>
              <w:t>采购</w:t>
            </w:r>
            <w:r>
              <w:rPr>
                <w:rFonts w:hint="eastAsia" w:ascii="仿宋_GB2312" w:hAnsi="仿宋_GB2312" w:eastAsia="仿宋_GB2312" w:cs="仿宋_GB2312"/>
                <w:spacing w:val="0"/>
                <w:sz w:val="21"/>
                <w:szCs w:val="21"/>
              </w:rPr>
              <w:t>文件，未向采购代理机构获取</w:t>
            </w:r>
            <w:r>
              <w:rPr>
                <w:rFonts w:hint="eastAsia" w:ascii="仿宋_GB2312" w:hAnsi="仿宋_GB2312" w:eastAsia="仿宋_GB2312" w:cs="仿宋_GB2312"/>
                <w:spacing w:val="0"/>
                <w:sz w:val="21"/>
                <w:szCs w:val="21"/>
                <w:lang w:val="en-US" w:eastAsia="zh-CN"/>
              </w:rPr>
              <w:t>采购</w:t>
            </w:r>
            <w:r>
              <w:rPr>
                <w:rFonts w:hint="eastAsia" w:ascii="仿宋_GB2312" w:hAnsi="仿宋_GB2312" w:eastAsia="仿宋_GB2312" w:cs="仿宋_GB2312"/>
                <w:spacing w:val="0"/>
                <w:sz w:val="21"/>
                <w:szCs w:val="21"/>
              </w:rPr>
              <w:t>文件的供应商均无资格参加</w:t>
            </w:r>
            <w:r>
              <w:rPr>
                <w:rFonts w:hint="eastAsia" w:ascii="仿宋_GB2312" w:hAnsi="仿宋_GB2312" w:eastAsia="仿宋_GB2312" w:cs="仿宋_GB2312"/>
                <w:spacing w:val="0"/>
                <w:sz w:val="21"/>
                <w:szCs w:val="21"/>
                <w:lang w:val="en-US" w:eastAsia="zh-CN"/>
              </w:rPr>
              <w:t>磋商</w:t>
            </w:r>
            <w:r>
              <w:rPr>
                <w:rFonts w:hint="eastAsia" w:ascii="仿宋_GB2312" w:hAnsi="仿宋_GB2312" w:eastAsia="仿宋_GB2312" w:cs="仿宋_GB2312"/>
                <w:spacing w:val="0"/>
                <w:sz w:val="21"/>
                <w:szCs w:val="21"/>
              </w:rPr>
              <w:t>。</w:t>
            </w:r>
          </w:p>
        </w:tc>
        <w:tc>
          <w:tcPr>
            <w:tcW w:w="1122" w:type="dxa"/>
            <w:vAlign w:val="center"/>
          </w:tcPr>
          <w:p w14:paraId="7B75991D">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0FC4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4B4CA222">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13</w:t>
            </w:r>
          </w:p>
        </w:tc>
        <w:tc>
          <w:tcPr>
            <w:tcW w:w="2228" w:type="dxa"/>
            <w:vAlign w:val="center"/>
          </w:tcPr>
          <w:p w14:paraId="483F64C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法定代表人/单位负责人身份证明书、授权委托书及授权代表在本单位缴纳养老保险证明</w:t>
            </w:r>
          </w:p>
        </w:tc>
        <w:tc>
          <w:tcPr>
            <w:tcW w:w="4966" w:type="dxa"/>
            <w:vAlign w:val="center"/>
          </w:tcPr>
          <w:p w14:paraId="27474C2A">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（1）法定代表人或单位负责人参加磋商的，应提供法定代表人或单位负责人身份证明；</w:t>
            </w:r>
          </w:p>
          <w:p w14:paraId="1DFCB5B4">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（2）授权代表参加磋商的，应提供法定代表人或单位负责人身份证明、</w:t>
            </w:r>
            <w:r>
              <w:rPr>
                <w:rFonts w:hint="eastAsia" w:ascii="仿宋_GB2312" w:hAnsi="仿宋_GB2312" w:eastAsia="仿宋_GB2312" w:cs="仿宋_GB2312"/>
                <w:sz w:val="21"/>
                <w:szCs w:val="21"/>
                <w:lang w:val="en-US" w:eastAsia="zh-CN"/>
              </w:rPr>
              <w:t>授权委托书及授权代表在本单位缴纳养老保险证明。</w:t>
            </w:r>
          </w:p>
        </w:tc>
        <w:tc>
          <w:tcPr>
            <w:tcW w:w="1122" w:type="dxa"/>
            <w:vAlign w:val="center"/>
          </w:tcPr>
          <w:p w14:paraId="7108DD8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lang w:val="en-US" w:eastAsia="zh-CN"/>
              </w:rPr>
            </w:pPr>
          </w:p>
        </w:tc>
      </w:tr>
      <w:tr w14:paraId="4ED54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8145676">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14</w:t>
            </w:r>
          </w:p>
        </w:tc>
        <w:tc>
          <w:tcPr>
            <w:tcW w:w="2228" w:type="dxa"/>
            <w:vAlign w:val="center"/>
          </w:tcPr>
          <w:p w14:paraId="5FFE420D">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法律、行政法规规定的其他条件</w:t>
            </w:r>
          </w:p>
        </w:tc>
        <w:tc>
          <w:tcPr>
            <w:tcW w:w="4966" w:type="dxa"/>
            <w:vAlign w:val="center"/>
          </w:tcPr>
          <w:p w14:paraId="1F3B7079">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z w:val="21"/>
                <w:szCs w:val="21"/>
                <w:lang w:val="en-US" w:eastAsia="zh-CN"/>
              </w:rPr>
              <w:t>不存在违反法律法规的情况</w:t>
            </w:r>
          </w:p>
        </w:tc>
        <w:tc>
          <w:tcPr>
            <w:tcW w:w="1122" w:type="dxa"/>
            <w:vAlign w:val="center"/>
          </w:tcPr>
          <w:p w14:paraId="16397849">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p>
        </w:tc>
      </w:tr>
      <w:tr w14:paraId="2E8F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D99EEF8">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审查结论</w:t>
            </w:r>
          </w:p>
        </w:tc>
        <w:tc>
          <w:tcPr>
            <w:tcW w:w="6088" w:type="dxa"/>
            <w:gridSpan w:val="2"/>
            <w:vAlign w:val="center"/>
          </w:tcPr>
          <w:p w14:paraId="682739F0">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z w:val="21"/>
                <w:szCs w:val="21"/>
                <w:lang w:val="en-US" w:eastAsia="zh-CN"/>
              </w:rPr>
              <w:t>通过/不通过</w:t>
            </w:r>
          </w:p>
        </w:tc>
      </w:tr>
      <w:tr w14:paraId="5005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672CF09">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不通过原因说明</w:t>
            </w:r>
          </w:p>
        </w:tc>
        <w:tc>
          <w:tcPr>
            <w:tcW w:w="6088" w:type="dxa"/>
            <w:gridSpan w:val="2"/>
            <w:vAlign w:val="center"/>
          </w:tcPr>
          <w:p w14:paraId="2A2A93C3">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p>
        </w:tc>
      </w:tr>
    </w:tbl>
    <w:p w14:paraId="07762EE3">
      <w:pPr>
        <w:bidi w:val="0"/>
        <w:spacing w:line="240" w:lineRule="auto"/>
        <w:rPr>
          <w:rFonts w:hint="eastAsia" w:ascii="Times New Roman" w:hAnsi="Times New Roman" w:eastAsia="仿宋_GB2312" w:cs="Times New Roman"/>
          <w:lang w:val="en-US" w:eastAsia="zh-CN"/>
        </w:rPr>
      </w:pPr>
      <w:r>
        <w:rPr>
          <w:rFonts w:hint="eastAsia" w:eastAsia="仿宋_GB2312" w:cs="Times New Roman"/>
          <w:lang w:val="en-US" w:eastAsia="zh-CN"/>
        </w:rPr>
        <w:t>注</w:t>
      </w:r>
      <w:r>
        <w:rPr>
          <w:rFonts w:hint="eastAsia" w:ascii="Times New Roman" w:hAnsi="Times New Roman" w:eastAsia="仿宋_GB2312" w:cs="Times New Roman"/>
          <w:lang w:val="en-US" w:eastAsia="zh-CN"/>
        </w:rPr>
        <w:t>：</w:t>
      </w:r>
    </w:p>
    <w:p w14:paraId="6DC47169">
      <w:pPr>
        <w:bidi w:val="0"/>
        <w:spacing w:line="240" w:lineRule="auto"/>
        <w:rPr>
          <w:rFonts w:hint="default" w:ascii="Times New Roman" w:hAnsi="Times New Roman" w:eastAsia="仿宋_GB2312" w:cs="Times New Roman"/>
        </w:rPr>
      </w:pPr>
      <w:r>
        <w:rPr>
          <w:rFonts w:hint="default" w:ascii="Times New Roman" w:hAnsi="Times New Roman" w:eastAsia="仿宋_GB2312" w:cs="Times New Roman"/>
        </w:rPr>
        <w:t>1．采购人或采购代理机构对</w:t>
      </w:r>
      <w:r>
        <w:rPr>
          <w:rFonts w:hint="default" w:ascii="Times New Roman" w:hAnsi="Times New Roman" w:eastAsia="仿宋_GB2312" w:cs="Times New Roman"/>
          <w:lang w:val="en-US" w:eastAsia="zh-CN"/>
        </w:rPr>
        <w:t>供应商</w:t>
      </w:r>
      <w:r>
        <w:rPr>
          <w:rFonts w:hint="eastAsia" w:ascii="Times New Roman" w:hAnsi="Times New Roman" w:eastAsia="仿宋_GB2312" w:cs="Times New Roman"/>
          <w:lang w:val="en-US" w:eastAsia="zh-CN"/>
        </w:rPr>
        <w:t>的响应文件</w:t>
      </w:r>
      <w:r>
        <w:rPr>
          <w:rFonts w:hint="default" w:ascii="Times New Roman" w:hAnsi="Times New Roman" w:eastAsia="仿宋_GB2312" w:cs="Times New Roman"/>
        </w:rPr>
        <w:t>是否满足要求逐条标注评审意见，</w:t>
      </w:r>
      <w:r>
        <w:rPr>
          <w:rFonts w:hint="default" w:ascii="Times New Roman" w:hAnsi="Times New Roman" w:eastAsia="仿宋_GB2312" w:cs="Times New Roman"/>
          <w:lang w:val="en-US" w:eastAsia="zh-CN"/>
        </w:rPr>
        <w:t>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不符合的</w:t>
      </w:r>
      <w:r>
        <w:rPr>
          <w:rFonts w:hint="default" w:ascii="Times New Roman" w:hAnsi="Times New Roman" w:eastAsia="仿宋_GB2312" w:cs="Times New Roman"/>
        </w:rPr>
        <w:t>标记为“×”；</w:t>
      </w:r>
    </w:p>
    <w:p w14:paraId="4287DE35">
      <w:pPr>
        <w:bidi w:val="0"/>
        <w:spacing w:line="240" w:lineRule="auto"/>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结论栏统一填写为“通过”或“不通过” ，出现一个“×”为“不通过”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不进入后续评审</w:t>
      </w:r>
      <w:r>
        <w:rPr>
          <w:rFonts w:hint="default" w:ascii="Times New Roman" w:hAnsi="Times New Roman" w:eastAsia="仿宋_GB2312" w:cs="Times New Roman"/>
        </w:rPr>
        <w:t>；</w:t>
      </w:r>
    </w:p>
    <w:p w14:paraId="5C87EA5C">
      <w:pPr>
        <w:bidi w:val="0"/>
        <w:spacing w:line="240" w:lineRule="auto"/>
        <w:rPr>
          <w:rFonts w:eastAsia="仿宋_GB2312"/>
          <w:b/>
          <w:szCs w:val="30"/>
        </w:rPr>
      </w:pPr>
      <w:r>
        <w:rPr>
          <w:rFonts w:hint="default" w:ascii="Times New Roman" w:hAnsi="Times New Roman" w:eastAsia="仿宋_GB2312" w:cs="Times New Roman"/>
        </w:rPr>
        <w:t>3．对</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结论为“不通过”的，要说明原因。</w:t>
      </w:r>
      <w:r>
        <w:rPr>
          <w:rFonts w:hint="default" w:ascii="Times New Roman" w:hAnsi="Times New Roman" w:eastAsia="仿宋_GB2312" w:cs="Times New Roman"/>
          <w:b w:val="0"/>
          <w:bCs/>
          <w:szCs w:val="24"/>
        </w:rPr>
        <w:br w:type="page"/>
      </w:r>
    </w:p>
    <w:p w14:paraId="74195B4F">
      <w:pPr>
        <w:spacing w:line="360" w:lineRule="auto"/>
        <w:jc w:val="center"/>
        <w:rPr>
          <w:rFonts w:eastAsia="仿宋_GB2312"/>
          <w:b/>
          <w:sz w:val="28"/>
          <w:szCs w:val="28"/>
        </w:rPr>
      </w:pPr>
      <w:r>
        <w:rPr>
          <w:rFonts w:eastAsia="仿宋_GB2312"/>
          <w:b/>
          <w:sz w:val="30"/>
          <w:szCs w:val="30"/>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7B32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F399A88">
            <w:pPr>
              <w:pStyle w:val="23"/>
              <w:tabs>
                <w:tab w:val="left" w:pos="567"/>
              </w:tabs>
              <w:spacing w:before="0" w:line="240" w:lineRule="auto"/>
              <w:jc w:val="center"/>
              <w:rPr>
                <w:rFonts w:hint="eastAsia" w:ascii="仿宋_GB2312" w:eastAsia="仿宋_GB2312"/>
                <w:b/>
                <w:bCs/>
              </w:rPr>
            </w:pPr>
            <w:r>
              <w:rPr>
                <w:rFonts w:hint="eastAsia" w:ascii="仿宋_GB2312" w:eastAsia="仿宋_GB2312"/>
                <w:b/>
                <w:bCs/>
              </w:rPr>
              <w:t>序号</w:t>
            </w:r>
          </w:p>
        </w:tc>
        <w:tc>
          <w:tcPr>
            <w:tcW w:w="1512" w:type="dxa"/>
            <w:noWrap w:val="0"/>
            <w:vAlign w:val="center"/>
          </w:tcPr>
          <w:p w14:paraId="72220560">
            <w:pPr>
              <w:pStyle w:val="23"/>
              <w:tabs>
                <w:tab w:val="left" w:pos="567"/>
              </w:tabs>
              <w:spacing w:before="0" w:line="240" w:lineRule="auto"/>
              <w:jc w:val="center"/>
              <w:rPr>
                <w:rFonts w:hint="eastAsia" w:ascii="仿宋_GB2312" w:eastAsia="仿宋_GB2312"/>
                <w:b/>
                <w:bCs/>
                <w:lang w:val="en-US" w:eastAsia="zh-CN"/>
              </w:rPr>
            </w:pPr>
            <w:r>
              <w:rPr>
                <w:rFonts w:hint="eastAsia" w:ascii="仿宋_GB2312" w:eastAsia="仿宋_GB2312"/>
                <w:b/>
                <w:bCs/>
              </w:rPr>
              <w:t>审查</w:t>
            </w:r>
            <w:r>
              <w:rPr>
                <w:rFonts w:hint="eastAsia" w:ascii="仿宋_GB2312" w:eastAsia="仿宋_GB2312"/>
                <w:b/>
                <w:bCs/>
                <w:lang w:val="en-US" w:eastAsia="zh-CN"/>
              </w:rPr>
              <w:t>要素</w:t>
            </w:r>
          </w:p>
        </w:tc>
        <w:tc>
          <w:tcPr>
            <w:tcW w:w="5370" w:type="dxa"/>
            <w:noWrap w:val="0"/>
            <w:vAlign w:val="center"/>
          </w:tcPr>
          <w:p w14:paraId="6180ABC1">
            <w:pPr>
              <w:pStyle w:val="23"/>
              <w:tabs>
                <w:tab w:val="left" w:pos="567"/>
              </w:tabs>
              <w:spacing w:before="0" w:line="240" w:lineRule="auto"/>
              <w:jc w:val="center"/>
              <w:rPr>
                <w:rFonts w:hint="default" w:ascii="仿宋_GB2312" w:eastAsia="仿宋_GB2312"/>
                <w:b/>
                <w:bCs/>
                <w:lang w:val="en-US" w:eastAsia="zh-CN"/>
              </w:rPr>
            </w:pPr>
            <w:r>
              <w:rPr>
                <w:rFonts w:hint="eastAsia" w:ascii="仿宋_GB2312" w:eastAsia="仿宋_GB2312"/>
                <w:b/>
                <w:bCs/>
                <w:lang w:val="en-US" w:eastAsia="zh-CN"/>
              </w:rPr>
              <w:t>审查标准</w:t>
            </w:r>
          </w:p>
        </w:tc>
        <w:tc>
          <w:tcPr>
            <w:tcW w:w="1623" w:type="dxa"/>
            <w:noWrap w:val="0"/>
            <w:vAlign w:val="center"/>
          </w:tcPr>
          <w:p w14:paraId="6F977F19">
            <w:pPr>
              <w:pStyle w:val="23"/>
              <w:tabs>
                <w:tab w:val="left" w:pos="567"/>
              </w:tabs>
              <w:spacing w:before="0" w:line="240" w:lineRule="auto"/>
              <w:jc w:val="center"/>
              <w:rPr>
                <w:rFonts w:hint="default" w:ascii="仿宋_GB2312" w:eastAsia="仿宋_GB2312"/>
                <w:b/>
                <w:bCs/>
                <w:lang w:val="en-US" w:eastAsia="zh-CN"/>
              </w:rPr>
            </w:pPr>
            <w:r>
              <w:rPr>
                <w:rFonts w:hint="eastAsia" w:ascii="仿宋_GB2312" w:eastAsia="仿宋_GB2312"/>
                <w:b/>
                <w:bCs/>
                <w:lang w:val="en-US" w:eastAsia="zh-CN"/>
              </w:rPr>
              <w:t>审查结果</w:t>
            </w:r>
          </w:p>
        </w:tc>
      </w:tr>
      <w:tr w14:paraId="0D4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E905ACB">
            <w:pPr>
              <w:pStyle w:val="23"/>
              <w:tabs>
                <w:tab w:val="left" w:pos="567"/>
              </w:tabs>
              <w:spacing w:before="0" w:line="240" w:lineRule="auto"/>
              <w:jc w:val="center"/>
              <w:rPr>
                <w:rFonts w:hint="eastAsia" w:ascii="仿宋_GB2312" w:eastAsia="仿宋_GB2312"/>
              </w:rPr>
            </w:pPr>
            <w:r>
              <w:rPr>
                <w:rFonts w:hint="eastAsia" w:ascii="仿宋_GB2312" w:eastAsia="仿宋_GB2312"/>
              </w:rPr>
              <w:t>1</w:t>
            </w:r>
          </w:p>
        </w:tc>
        <w:tc>
          <w:tcPr>
            <w:tcW w:w="1512" w:type="dxa"/>
            <w:noWrap w:val="0"/>
            <w:vAlign w:val="center"/>
          </w:tcPr>
          <w:p w14:paraId="36F14745">
            <w:pPr>
              <w:pStyle w:val="23"/>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响应文件</w:t>
            </w:r>
            <w:r>
              <w:rPr>
                <w:rFonts w:hint="eastAsia" w:ascii="仿宋_GB2312" w:eastAsia="仿宋_GB2312"/>
              </w:rPr>
              <w:t>签署、盖章</w:t>
            </w:r>
          </w:p>
        </w:tc>
        <w:tc>
          <w:tcPr>
            <w:tcW w:w="5370" w:type="dxa"/>
            <w:noWrap w:val="0"/>
            <w:vAlign w:val="center"/>
          </w:tcPr>
          <w:p w14:paraId="57FF0C66">
            <w:pPr>
              <w:pStyle w:val="23"/>
              <w:tabs>
                <w:tab w:val="left" w:pos="567"/>
              </w:tabs>
              <w:spacing w:line="240" w:lineRule="auto"/>
              <w:rPr>
                <w:rFonts w:hint="eastAsia" w:ascii="仿宋_GB2312" w:eastAsia="仿宋_GB2312"/>
              </w:rPr>
            </w:pPr>
            <w:r>
              <w:rPr>
                <w:rFonts w:hint="eastAsia" w:ascii="仿宋_GB2312" w:eastAsia="仿宋_GB2312"/>
                <w:lang w:val="en-US" w:eastAsia="zh-CN"/>
              </w:rPr>
              <w:t>响应</w:t>
            </w:r>
            <w:r>
              <w:rPr>
                <w:rFonts w:hint="eastAsia" w:ascii="仿宋_GB2312" w:eastAsia="仿宋_GB2312"/>
              </w:rPr>
              <w:t>文件按</w:t>
            </w:r>
            <w:r>
              <w:rPr>
                <w:rFonts w:hint="eastAsia" w:ascii="仿宋_GB2312" w:eastAsia="仿宋_GB2312"/>
                <w:lang w:val="en-US" w:eastAsia="zh-CN"/>
              </w:rPr>
              <w:t>采购</w:t>
            </w:r>
            <w:r>
              <w:rPr>
                <w:rFonts w:hint="eastAsia" w:ascii="仿宋_GB2312" w:eastAsia="仿宋_GB2312"/>
              </w:rPr>
              <w:t>文件要求签署、盖章</w:t>
            </w:r>
          </w:p>
        </w:tc>
        <w:tc>
          <w:tcPr>
            <w:tcW w:w="1623" w:type="dxa"/>
            <w:noWrap w:val="0"/>
            <w:vAlign w:val="center"/>
          </w:tcPr>
          <w:p w14:paraId="247766F3">
            <w:pPr>
              <w:pStyle w:val="23"/>
              <w:tabs>
                <w:tab w:val="left" w:pos="567"/>
              </w:tabs>
              <w:spacing w:line="240" w:lineRule="auto"/>
              <w:rPr>
                <w:rFonts w:hint="eastAsia" w:ascii="仿宋_GB2312" w:eastAsia="仿宋_GB2312"/>
              </w:rPr>
            </w:pPr>
          </w:p>
        </w:tc>
      </w:tr>
      <w:tr w14:paraId="116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CD82B70">
            <w:pPr>
              <w:pStyle w:val="23"/>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2</w:t>
            </w:r>
          </w:p>
        </w:tc>
        <w:tc>
          <w:tcPr>
            <w:tcW w:w="1512" w:type="dxa"/>
            <w:noWrap w:val="0"/>
            <w:vAlign w:val="center"/>
          </w:tcPr>
          <w:p w14:paraId="13AA783F">
            <w:pPr>
              <w:pStyle w:val="23"/>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响应文件有效期</w:t>
            </w:r>
          </w:p>
        </w:tc>
        <w:tc>
          <w:tcPr>
            <w:tcW w:w="5370" w:type="dxa"/>
            <w:noWrap w:val="0"/>
            <w:vAlign w:val="center"/>
          </w:tcPr>
          <w:p w14:paraId="505C6016">
            <w:pPr>
              <w:pStyle w:val="23"/>
              <w:tabs>
                <w:tab w:val="left" w:pos="567"/>
              </w:tabs>
              <w:spacing w:line="240" w:lineRule="auto"/>
              <w:rPr>
                <w:rFonts w:hint="eastAsia" w:ascii="仿宋_GB2312" w:eastAsia="仿宋_GB2312"/>
                <w:lang w:eastAsia="zh-CN"/>
              </w:rPr>
            </w:pPr>
            <w:r>
              <w:rPr>
                <w:rFonts w:hint="eastAsia" w:ascii="仿宋_GB2312" w:eastAsia="仿宋_GB2312"/>
                <w:lang w:val="en-US" w:eastAsia="zh-CN"/>
              </w:rPr>
              <w:t>响应文件有效期</w:t>
            </w:r>
            <w:r>
              <w:rPr>
                <w:rFonts w:hint="eastAsia" w:ascii="仿宋_GB2312" w:eastAsia="仿宋_GB2312"/>
              </w:rPr>
              <w:t>有效期</w:t>
            </w:r>
            <w:r>
              <w:rPr>
                <w:rFonts w:hint="eastAsia" w:ascii="仿宋_GB2312" w:eastAsia="仿宋_GB2312"/>
                <w:lang w:val="en-US" w:eastAsia="zh-CN"/>
              </w:rPr>
              <w:t>满足采购</w:t>
            </w:r>
            <w:r>
              <w:rPr>
                <w:rFonts w:hint="eastAsia" w:ascii="仿宋_GB2312" w:eastAsia="仿宋_GB2312"/>
              </w:rPr>
              <w:t>文件要求</w:t>
            </w:r>
          </w:p>
        </w:tc>
        <w:tc>
          <w:tcPr>
            <w:tcW w:w="1623" w:type="dxa"/>
            <w:noWrap w:val="0"/>
            <w:vAlign w:val="center"/>
          </w:tcPr>
          <w:p w14:paraId="5A4636F4">
            <w:pPr>
              <w:pStyle w:val="23"/>
              <w:tabs>
                <w:tab w:val="left" w:pos="567"/>
              </w:tabs>
              <w:spacing w:line="240" w:lineRule="auto"/>
              <w:rPr>
                <w:rFonts w:hint="eastAsia" w:ascii="仿宋_GB2312" w:eastAsia="仿宋_GB2312"/>
              </w:rPr>
            </w:pPr>
          </w:p>
        </w:tc>
      </w:tr>
      <w:tr w14:paraId="4B1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8DE6801">
            <w:pPr>
              <w:pStyle w:val="23"/>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3</w:t>
            </w:r>
          </w:p>
        </w:tc>
        <w:tc>
          <w:tcPr>
            <w:tcW w:w="1512" w:type="dxa"/>
            <w:noWrap w:val="0"/>
            <w:vAlign w:val="center"/>
          </w:tcPr>
          <w:p w14:paraId="60C7E43E">
            <w:pPr>
              <w:pStyle w:val="23"/>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首次磋商</w:t>
            </w:r>
            <w:r>
              <w:rPr>
                <w:rFonts w:hint="eastAsia" w:ascii="仿宋_GB2312" w:eastAsia="仿宋_GB2312"/>
              </w:rPr>
              <w:t>报价</w:t>
            </w:r>
          </w:p>
        </w:tc>
        <w:tc>
          <w:tcPr>
            <w:tcW w:w="5370" w:type="dxa"/>
            <w:noWrap w:val="0"/>
            <w:vAlign w:val="center"/>
          </w:tcPr>
          <w:p w14:paraId="39890C7A">
            <w:pPr>
              <w:pStyle w:val="23"/>
              <w:tabs>
                <w:tab w:val="left" w:pos="567"/>
              </w:tabs>
              <w:spacing w:before="0" w:line="240" w:lineRule="auto"/>
              <w:rPr>
                <w:rFonts w:hint="eastAsia" w:ascii="仿宋_GB2312" w:eastAsia="仿宋_GB2312"/>
              </w:rPr>
            </w:pPr>
            <w:r>
              <w:rPr>
                <w:rFonts w:hint="eastAsia" w:ascii="仿宋_GB2312" w:eastAsia="仿宋_GB2312"/>
                <w:lang w:val="en-US" w:eastAsia="zh-CN"/>
              </w:rPr>
              <w:t>供应商首次磋商</w:t>
            </w:r>
            <w:r>
              <w:rPr>
                <w:rFonts w:hint="eastAsia" w:ascii="仿宋_GB2312" w:eastAsia="仿宋_GB2312"/>
              </w:rPr>
              <w:t>报价</w:t>
            </w:r>
            <w:r>
              <w:rPr>
                <w:rFonts w:hint="eastAsia" w:ascii="仿宋_GB2312" w:eastAsia="仿宋_GB2312"/>
                <w:lang w:val="en-US" w:eastAsia="zh-CN"/>
              </w:rPr>
              <w:t>没有</w:t>
            </w:r>
            <w:r>
              <w:rPr>
                <w:rFonts w:hint="eastAsia" w:ascii="仿宋_GB2312" w:eastAsia="仿宋_GB2312"/>
              </w:rPr>
              <w:t>超出采购预算或最高限价</w:t>
            </w:r>
          </w:p>
        </w:tc>
        <w:tc>
          <w:tcPr>
            <w:tcW w:w="1623" w:type="dxa"/>
            <w:noWrap w:val="0"/>
            <w:vAlign w:val="center"/>
          </w:tcPr>
          <w:p w14:paraId="089CE0B7">
            <w:pPr>
              <w:pStyle w:val="23"/>
              <w:tabs>
                <w:tab w:val="left" w:pos="567"/>
              </w:tabs>
              <w:spacing w:before="0" w:line="240" w:lineRule="auto"/>
              <w:rPr>
                <w:rFonts w:hint="eastAsia" w:ascii="仿宋_GB2312" w:eastAsia="仿宋_GB2312"/>
              </w:rPr>
            </w:pPr>
          </w:p>
        </w:tc>
      </w:tr>
      <w:tr w14:paraId="4310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319B9A4">
            <w:pPr>
              <w:pStyle w:val="23"/>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4</w:t>
            </w:r>
          </w:p>
        </w:tc>
        <w:tc>
          <w:tcPr>
            <w:tcW w:w="1512" w:type="dxa"/>
            <w:noWrap w:val="0"/>
            <w:vAlign w:val="center"/>
          </w:tcPr>
          <w:p w14:paraId="7F777C75">
            <w:pPr>
              <w:pStyle w:val="23"/>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预防不正当竞争</w:t>
            </w:r>
          </w:p>
        </w:tc>
        <w:tc>
          <w:tcPr>
            <w:tcW w:w="5370" w:type="dxa"/>
            <w:noWrap w:val="0"/>
            <w:vAlign w:val="center"/>
          </w:tcPr>
          <w:p w14:paraId="729F9770">
            <w:pPr>
              <w:pStyle w:val="23"/>
              <w:tabs>
                <w:tab w:val="left" w:pos="567"/>
              </w:tabs>
              <w:spacing w:before="0" w:line="240" w:lineRule="auto"/>
              <w:rPr>
                <w:rFonts w:hint="eastAsia" w:ascii="仿宋_GB2312" w:eastAsia="仿宋_GB2312"/>
                <w:lang w:val="en-US" w:eastAsia="zh-CN"/>
              </w:rPr>
            </w:pPr>
            <w:r>
              <w:rPr>
                <w:rFonts w:hint="eastAsia" w:ascii="仿宋_GB2312" w:eastAsia="仿宋_GB2312"/>
                <w:lang w:val="en-US" w:eastAsia="zh-CN"/>
              </w:rPr>
              <w:t>供应商</w:t>
            </w:r>
            <w:r>
              <w:rPr>
                <w:rFonts w:hint="eastAsia" w:ascii="仿宋_GB2312" w:eastAsia="仿宋_GB2312"/>
              </w:rPr>
              <w:t>的报价</w:t>
            </w:r>
            <w:r>
              <w:rPr>
                <w:rFonts w:hint="eastAsia" w:ascii="仿宋_GB2312" w:eastAsia="仿宋_GB2312"/>
                <w:lang w:val="en-US" w:eastAsia="zh-CN"/>
              </w:rPr>
              <w:t>不存在</w:t>
            </w:r>
            <w:r>
              <w:rPr>
                <w:rFonts w:hint="eastAsia" w:ascii="仿宋_GB2312" w:eastAsia="仿宋_GB2312"/>
              </w:rPr>
              <w:t>明显低于其他通过符合性审查投标人的报价，有可能影响</w:t>
            </w:r>
            <w:r>
              <w:rPr>
                <w:rFonts w:hint="eastAsia" w:ascii="仿宋_GB2312" w:eastAsia="仿宋_GB2312"/>
                <w:lang w:val="en-US" w:eastAsia="zh-CN"/>
              </w:rPr>
              <w:t>服务</w:t>
            </w:r>
            <w:r>
              <w:rPr>
                <w:rFonts w:hint="eastAsia" w:ascii="仿宋_GB2312" w:eastAsia="仿宋_GB2312"/>
              </w:rPr>
              <w:t>质量或者不能诚信履约的，且</w:t>
            </w:r>
            <w:r>
              <w:rPr>
                <w:rFonts w:hint="eastAsia" w:ascii="仿宋_GB2312" w:eastAsia="仿宋_GB2312"/>
                <w:lang w:val="en-US" w:eastAsia="zh-CN"/>
              </w:rPr>
              <w:t>供应商</w:t>
            </w:r>
            <w:r>
              <w:rPr>
                <w:rFonts w:hint="eastAsia" w:ascii="仿宋_GB2312" w:eastAsia="仿宋_GB2312"/>
              </w:rPr>
              <w:t>不能证明其报价合理性的</w:t>
            </w:r>
            <w:r>
              <w:rPr>
                <w:rFonts w:hint="eastAsia" w:ascii="仿宋_GB2312" w:eastAsia="仿宋_GB2312"/>
                <w:lang w:val="en-US" w:eastAsia="zh-CN"/>
              </w:rPr>
              <w:t>情况</w:t>
            </w:r>
          </w:p>
        </w:tc>
        <w:tc>
          <w:tcPr>
            <w:tcW w:w="1623" w:type="dxa"/>
            <w:noWrap w:val="0"/>
            <w:vAlign w:val="center"/>
          </w:tcPr>
          <w:p w14:paraId="2E5FB07A">
            <w:pPr>
              <w:pStyle w:val="23"/>
              <w:tabs>
                <w:tab w:val="left" w:pos="567"/>
              </w:tabs>
              <w:spacing w:before="0" w:line="240" w:lineRule="auto"/>
              <w:rPr>
                <w:rFonts w:hint="eastAsia" w:ascii="仿宋_GB2312" w:eastAsia="仿宋_GB2312"/>
              </w:rPr>
            </w:pPr>
          </w:p>
        </w:tc>
      </w:tr>
      <w:tr w14:paraId="0AE2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D11404E">
            <w:pPr>
              <w:pStyle w:val="23"/>
              <w:tabs>
                <w:tab w:val="left" w:pos="567"/>
              </w:tabs>
              <w:spacing w:before="0" w:line="240" w:lineRule="auto"/>
              <w:jc w:val="center"/>
              <w:rPr>
                <w:rFonts w:hint="default"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5</w:t>
            </w:r>
          </w:p>
        </w:tc>
        <w:tc>
          <w:tcPr>
            <w:tcW w:w="1512" w:type="dxa"/>
            <w:noWrap w:val="0"/>
            <w:vAlign w:val="center"/>
          </w:tcPr>
          <w:p w14:paraId="3F37C7F9">
            <w:pPr>
              <w:pStyle w:val="23"/>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响应</w:t>
            </w:r>
            <w:r>
              <w:rPr>
                <w:rFonts w:hint="eastAsia" w:ascii="仿宋_GB2312" w:eastAsia="仿宋_GB2312"/>
              </w:rPr>
              <w:t>内容</w:t>
            </w:r>
          </w:p>
        </w:tc>
        <w:tc>
          <w:tcPr>
            <w:tcW w:w="5370" w:type="dxa"/>
            <w:noWrap w:val="0"/>
            <w:vAlign w:val="center"/>
          </w:tcPr>
          <w:p w14:paraId="5EDD4036">
            <w:pPr>
              <w:pStyle w:val="23"/>
              <w:tabs>
                <w:tab w:val="left" w:pos="567"/>
              </w:tabs>
              <w:spacing w:before="0" w:line="240" w:lineRule="auto"/>
              <w:rPr>
                <w:rFonts w:hint="default" w:ascii="仿宋_GB2312" w:eastAsia="仿宋_GB2312"/>
                <w:highlight w:val="none"/>
                <w:lang w:val="en-US" w:eastAsia="zh-CN"/>
              </w:rPr>
            </w:pPr>
            <w:r>
              <w:rPr>
                <w:rFonts w:hint="eastAsia" w:ascii="仿宋_GB2312" w:hAnsi="宋体" w:eastAsia="仿宋_GB2312" w:cs="Times New Roman"/>
                <w:highlight w:val="none"/>
                <w:lang w:val="en-US" w:eastAsia="zh-CN"/>
              </w:rPr>
              <w:t>响应</w:t>
            </w:r>
            <w:r>
              <w:rPr>
                <w:rFonts w:hint="eastAsia" w:ascii="仿宋_GB2312" w:hAnsi="宋体" w:eastAsia="仿宋_GB2312" w:cs="Times New Roman"/>
                <w:highlight w:val="none"/>
              </w:rPr>
              <w:t>内容</w:t>
            </w:r>
            <w:r>
              <w:rPr>
                <w:rFonts w:hint="eastAsia" w:ascii="仿宋_GB2312" w:hAnsi="宋体" w:eastAsia="仿宋_GB2312" w:cs="Times New Roman"/>
                <w:highlight w:val="none"/>
                <w:lang w:val="en-US" w:eastAsia="zh-CN"/>
              </w:rPr>
              <w:t>满足采购</w:t>
            </w:r>
            <w:r>
              <w:rPr>
                <w:rFonts w:hint="eastAsia" w:ascii="仿宋_GB2312" w:hAnsi="宋体" w:eastAsia="仿宋_GB2312" w:cs="Times New Roman"/>
                <w:highlight w:val="none"/>
              </w:rPr>
              <w:t>文件的商务、技术等实质性要求，</w:t>
            </w:r>
            <w:r>
              <w:rPr>
                <w:rFonts w:hint="eastAsia" w:ascii="仿宋_GB2312" w:hAnsi="宋体" w:eastAsia="仿宋_GB2312" w:cs="Times New Roman"/>
                <w:highlight w:val="none"/>
                <w:lang w:val="en-US" w:eastAsia="zh-CN"/>
              </w:rPr>
              <w:t>不</w:t>
            </w:r>
            <w:r>
              <w:rPr>
                <w:rFonts w:hint="eastAsia" w:ascii="仿宋_GB2312" w:eastAsia="仿宋_GB2312"/>
                <w:highlight w:val="none"/>
                <w:lang w:val="en-US" w:eastAsia="zh-CN"/>
              </w:rPr>
              <w:t>存在</w:t>
            </w:r>
            <w:r>
              <w:rPr>
                <w:rFonts w:hint="eastAsia" w:ascii="仿宋_GB2312" w:eastAsia="仿宋_GB2312"/>
                <w:highlight w:val="none"/>
              </w:rPr>
              <w:t>采购档次降低或影响采购性能、功能</w:t>
            </w:r>
            <w:r>
              <w:rPr>
                <w:rFonts w:hint="eastAsia" w:ascii="仿宋_GB2312" w:eastAsia="仿宋_GB2312"/>
                <w:highlight w:val="none"/>
                <w:lang w:eastAsia="zh-CN"/>
              </w:rPr>
              <w:t>的</w:t>
            </w:r>
            <w:r>
              <w:rPr>
                <w:rFonts w:hint="eastAsia" w:ascii="仿宋_GB2312" w:eastAsia="仿宋_GB2312"/>
                <w:highlight w:val="none"/>
                <w:lang w:val="en-US" w:eastAsia="zh-CN"/>
              </w:rPr>
              <w:t>情形</w:t>
            </w:r>
          </w:p>
        </w:tc>
        <w:tc>
          <w:tcPr>
            <w:tcW w:w="1623" w:type="dxa"/>
            <w:noWrap w:val="0"/>
            <w:vAlign w:val="center"/>
          </w:tcPr>
          <w:p w14:paraId="443339FC">
            <w:pPr>
              <w:pStyle w:val="23"/>
              <w:tabs>
                <w:tab w:val="left" w:pos="567"/>
              </w:tabs>
              <w:spacing w:before="0" w:line="240" w:lineRule="auto"/>
              <w:rPr>
                <w:rFonts w:hint="eastAsia" w:ascii="仿宋_GB2312" w:eastAsia="仿宋_GB2312"/>
              </w:rPr>
            </w:pPr>
          </w:p>
        </w:tc>
      </w:tr>
      <w:tr w14:paraId="174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64BEE83">
            <w:pPr>
              <w:pStyle w:val="23"/>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6</w:t>
            </w:r>
          </w:p>
        </w:tc>
        <w:tc>
          <w:tcPr>
            <w:tcW w:w="1512" w:type="dxa"/>
            <w:noWrap w:val="0"/>
            <w:vAlign w:val="center"/>
          </w:tcPr>
          <w:p w14:paraId="42E04C69">
            <w:pPr>
              <w:pStyle w:val="23"/>
              <w:tabs>
                <w:tab w:val="left" w:pos="567"/>
              </w:tabs>
              <w:spacing w:before="0" w:line="240" w:lineRule="auto"/>
              <w:jc w:val="center"/>
              <w:rPr>
                <w:rFonts w:hint="default" w:ascii="仿宋_GB2312" w:eastAsia="仿宋_GB2312" w:cs="Times New Roman"/>
                <w:lang w:val="en-US" w:eastAsia="zh-CN"/>
              </w:rPr>
            </w:pPr>
            <w:r>
              <w:rPr>
                <w:rFonts w:hint="eastAsia" w:ascii="仿宋_GB2312" w:eastAsia="仿宋_GB2312" w:cs="Times New Roman"/>
                <w:lang w:val="en-US" w:eastAsia="zh-CN"/>
              </w:rPr>
              <w:t>附加条件</w:t>
            </w:r>
          </w:p>
        </w:tc>
        <w:tc>
          <w:tcPr>
            <w:tcW w:w="5370" w:type="dxa"/>
            <w:noWrap w:val="0"/>
            <w:vAlign w:val="center"/>
          </w:tcPr>
          <w:p w14:paraId="47F04670">
            <w:pPr>
              <w:pStyle w:val="23"/>
              <w:tabs>
                <w:tab w:val="left" w:pos="567"/>
              </w:tabs>
              <w:spacing w:before="0" w:line="240" w:lineRule="auto"/>
              <w:rPr>
                <w:rFonts w:hint="eastAsia" w:ascii="仿宋_GB2312" w:eastAsia="仿宋_GB2312" w:cs="Times New Roman"/>
                <w:lang w:val="en-US" w:eastAsia="zh-CN"/>
              </w:rPr>
            </w:pPr>
            <w:r>
              <w:rPr>
                <w:rFonts w:hint="eastAsia" w:ascii="仿宋_GB2312" w:eastAsia="仿宋_GB2312" w:cs="Times New Roman"/>
                <w:lang w:val="en-US" w:eastAsia="zh-CN"/>
              </w:rPr>
              <w:t>响应文件不含有采购人不能接受的附加条件。</w:t>
            </w:r>
          </w:p>
        </w:tc>
        <w:tc>
          <w:tcPr>
            <w:tcW w:w="1623" w:type="dxa"/>
            <w:noWrap w:val="0"/>
            <w:vAlign w:val="center"/>
          </w:tcPr>
          <w:p w14:paraId="4BF0EFCD">
            <w:pPr>
              <w:pStyle w:val="23"/>
              <w:tabs>
                <w:tab w:val="left" w:pos="567"/>
              </w:tabs>
              <w:spacing w:before="0" w:line="240" w:lineRule="auto"/>
              <w:rPr>
                <w:rFonts w:hint="eastAsia" w:ascii="仿宋_GB2312" w:eastAsia="仿宋_GB2312"/>
              </w:rPr>
            </w:pPr>
          </w:p>
        </w:tc>
      </w:tr>
      <w:tr w14:paraId="78F0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0253377B">
            <w:pPr>
              <w:pStyle w:val="23"/>
              <w:tabs>
                <w:tab w:val="left" w:pos="567"/>
              </w:tabs>
              <w:spacing w:before="0" w:line="240" w:lineRule="auto"/>
              <w:jc w:val="center"/>
              <w:rPr>
                <w:rFonts w:hint="default" w:ascii="仿宋_GB2312" w:hAnsi="Tahoma" w:eastAsia="仿宋_GB2312" w:cs="Times New Roman"/>
                <w:kern w:val="2"/>
                <w:sz w:val="21"/>
                <w:szCs w:val="24"/>
                <w:lang w:val="en-US" w:eastAsia="zh-CN" w:bidi="ar-SA"/>
              </w:rPr>
            </w:pPr>
            <w:r>
              <w:rPr>
                <w:rFonts w:hint="eastAsia" w:ascii="仿宋_GB2312" w:eastAsia="仿宋_GB2312" w:cs="Times New Roman"/>
                <w:kern w:val="2"/>
                <w:sz w:val="21"/>
                <w:szCs w:val="24"/>
                <w:lang w:val="en-US" w:eastAsia="zh-CN" w:bidi="ar-SA"/>
              </w:rPr>
              <w:t>7</w:t>
            </w:r>
          </w:p>
        </w:tc>
        <w:tc>
          <w:tcPr>
            <w:tcW w:w="1512" w:type="dxa"/>
            <w:shd w:val="clear" w:color="auto" w:fill="auto"/>
            <w:noWrap w:val="0"/>
            <w:vAlign w:val="center"/>
          </w:tcPr>
          <w:p w14:paraId="7C826444">
            <w:pPr>
              <w:pStyle w:val="23"/>
              <w:tabs>
                <w:tab w:val="left" w:pos="567"/>
              </w:tabs>
              <w:spacing w:before="0" w:line="240" w:lineRule="auto"/>
              <w:jc w:val="center"/>
              <w:rPr>
                <w:rFonts w:hint="eastAsia" w:ascii="仿宋_GB2312" w:eastAsia="仿宋_GB2312" w:cs="Times New Roman"/>
                <w:lang w:val="en-US" w:eastAsia="zh-CN"/>
              </w:rPr>
            </w:pPr>
            <w:r>
              <w:rPr>
                <w:rFonts w:hint="eastAsia" w:ascii="仿宋_GB2312" w:eastAsia="仿宋_GB2312" w:cs="Times New Roman"/>
                <w:lang w:val="en-US" w:eastAsia="zh-CN"/>
              </w:rPr>
              <w:t>公平竞争</w:t>
            </w:r>
          </w:p>
        </w:tc>
        <w:tc>
          <w:tcPr>
            <w:tcW w:w="5370" w:type="dxa"/>
            <w:shd w:val="clear" w:color="auto" w:fill="auto"/>
            <w:noWrap w:val="0"/>
            <w:vAlign w:val="center"/>
          </w:tcPr>
          <w:p w14:paraId="41838431">
            <w:pPr>
              <w:pStyle w:val="23"/>
              <w:tabs>
                <w:tab w:val="left" w:pos="567"/>
              </w:tabs>
              <w:spacing w:before="0" w:line="240" w:lineRule="auto"/>
              <w:rPr>
                <w:rFonts w:hint="eastAsia" w:ascii="仿宋_GB2312" w:eastAsia="仿宋_GB2312" w:cs="Times New Roman"/>
              </w:rPr>
            </w:pPr>
            <w:r>
              <w:rPr>
                <w:rFonts w:hint="eastAsia" w:ascii="仿宋_GB2312" w:eastAsia="仿宋_GB2312" w:cs="Times New Roman"/>
              </w:rPr>
              <w:t>遵循公平竞争的原则，没有弄虚作假、恶意串通或妨碍其他投标人的竞争行为，损害采购人或者其他投标人的合法权益。</w:t>
            </w:r>
          </w:p>
          <w:p w14:paraId="53A5BB2F">
            <w:pPr>
              <w:pStyle w:val="23"/>
              <w:tabs>
                <w:tab w:val="left" w:pos="567"/>
              </w:tabs>
              <w:spacing w:before="0" w:line="240" w:lineRule="auto"/>
              <w:rPr>
                <w:rFonts w:hint="eastAsia" w:ascii="仿宋_GB2312" w:eastAsia="仿宋_GB2312" w:cs="Times New Roman"/>
                <w:lang w:val="en-US" w:eastAsia="zh-CN"/>
              </w:rPr>
            </w:pPr>
            <w:r>
              <w:rPr>
                <w:rFonts w:hint="eastAsia" w:ascii="仿宋_GB2312" w:eastAsia="仿宋_GB2312" w:cs="Times New Roman"/>
                <w:lang w:eastAsia="zh-CN"/>
              </w:rPr>
              <w:t>（</w:t>
            </w:r>
            <w:r>
              <w:rPr>
                <w:rFonts w:hint="eastAsia" w:ascii="仿宋_GB2312" w:eastAsia="仿宋_GB2312" w:cs="Times New Roman"/>
              </w:rPr>
              <w:t>弄虚作假、串通投标的情形见附注</w:t>
            </w:r>
            <w:r>
              <w:rPr>
                <w:rFonts w:hint="eastAsia" w:ascii="仿宋_GB2312" w:eastAsia="仿宋_GB2312" w:cs="Times New Roman"/>
                <w:lang w:eastAsia="zh-CN"/>
              </w:rPr>
              <w:t>）</w:t>
            </w:r>
          </w:p>
        </w:tc>
        <w:tc>
          <w:tcPr>
            <w:tcW w:w="1623" w:type="dxa"/>
            <w:noWrap w:val="0"/>
            <w:vAlign w:val="center"/>
          </w:tcPr>
          <w:p w14:paraId="5B48FD73">
            <w:pPr>
              <w:pStyle w:val="23"/>
              <w:tabs>
                <w:tab w:val="left" w:pos="567"/>
              </w:tabs>
              <w:spacing w:before="0" w:line="240" w:lineRule="auto"/>
              <w:rPr>
                <w:rFonts w:hint="eastAsia" w:ascii="仿宋_GB2312" w:eastAsia="仿宋_GB2312"/>
              </w:rPr>
            </w:pPr>
          </w:p>
        </w:tc>
      </w:tr>
      <w:tr w14:paraId="307D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41F5ADB5">
            <w:pPr>
              <w:pStyle w:val="23"/>
              <w:tabs>
                <w:tab w:val="left" w:pos="567"/>
              </w:tabs>
              <w:spacing w:before="0" w:line="240" w:lineRule="auto"/>
              <w:jc w:val="center"/>
              <w:rPr>
                <w:rFonts w:hint="default" w:ascii="仿宋_GB2312" w:eastAsia="仿宋_GB2312" w:cs="Times New Roman"/>
                <w:kern w:val="2"/>
                <w:sz w:val="21"/>
                <w:szCs w:val="24"/>
                <w:lang w:val="en-US" w:eastAsia="zh-CN" w:bidi="ar-SA"/>
              </w:rPr>
            </w:pPr>
            <w:r>
              <w:rPr>
                <w:rFonts w:hint="eastAsia" w:ascii="仿宋_GB2312" w:eastAsia="仿宋_GB2312" w:cs="Times New Roman"/>
                <w:kern w:val="2"/>
                <w:sz w:val="21"/>
                <w:szCs w:val="24"/>
                <w:lang w:val="en-US" w:eastAsia="zh-CN" w:bidi="ar-SA"/>
              </w:rPr>
              <w:t>8</w:t>
            </w:r>
          </w:p>
        </w:tc>
        <w:tc>
          <w:tcPr>
            <w:tcW w:w="1512" w:type="dxa"/>
            <w:shd w:val="clear" w:color="auto" w:fill="auto"/>
            <w:noWrap w:val="0"/>
            <w:vAlign w:val="center"/>
          </w:tcPr>
          <w:p w14:paraId="19FE2D9A">
            <w:pPr>
              <w:pStyle w:val="23"/>
              <w:tabs>
                <w:tab w:val="left" w:pos="567"/>
              </w:tabs>
              <w:spacing w:before="0" w:line="240" w:lineRule="auto"/>
              <w:jc w:val="center"/>
              <w:rPr>
                <w:rFonts w:hint="eastAsia" w:ascii="仿宋_GB2312" w:hAnsi="宋体" w:eastAsia="仿宋_GB2312" w:cs="Times New Roman"/>
                <w:highlight w:val="none"/>
                <w:lang w:val="en-US" w:eastAsia="zh-CN"/>
              </w:rPr>
            </w:pPr>
            <w:r>
              <w:rPr>
                <w:rFonts w:hint="eastAsia" w:ascii="仿宋_GB2312" w:hAnsi="宋体" w:eastAsia="仿宋_GB2312" w:cs="Times New Roman"/>
                <w:highlight w:val="none"/>
                <w:lang w:eastAsia="zh-CN"/>
              </w:rPr>
              <w:t>非西安市精神卫生中心职工家属开办企业</w:t>
            </w:r>
          </w:p>
        </w:tc>
        <w:tc>
          <w:tcPr>
            <w:tcW w:w="5370" w:type="dxa"/>
            <w:shd w:val="clear" w:color="auto" w:fill="auto"/>
            <w:noWrap w:val="0"/>
            <w:vAlign w:val="center"/>
          </w:tcPr>
          <w:p w14:paraId="112B1243">
            <w:pPr>
              <w:pStyle w:val="23"/>
              <w:tabs>
                <w:tab w:val="left" w:pos="567"/>
              </w:tabs>
              <w:spacing w:before="0" w:line="240" w:lineRule="auto"/>
              <w:rPr>
                <w:rFonts w:hint="default" w:ascii="仿宋_GB2312" w:hAnsi="宋体" w:eastAsia="仿宋_GB2312" w:cs="Times New Roman"/>
                <w:highlight w:val="none"/>
                <w:lang w:val="en-US" w:eastAsia="zh-CN"/>
              </w:rPr>
            </w:pPr>
            <w:r>
              <w:rPr>
                <w:rFonts w:hint="eastAsia" w:ascii="仿宋_GB2312" w:hAnsi="宋体" w:eastAsia="仿宋_GB2312" w:cs="Times New Roman"/>
                <w:highlight w:val="none"/>
              </w:rPr>
              <w:t>供应商企业关系关联承诺书</w:t>
            </w:r>
            <w:r>
              <w:rPr>
                <w:rFonts w:hint="eastAsia" w:ascii="仿宋_GB2312" w:hAnsi="宋体" w:eastAsia="仿宋_GB2312" w:cs="Times New Roman"/>
                <w:highlight w:val="none"/>
                <w:lang w:val="en-US" w:eastAsia="zh-CN"/>
              </w:rPr>
              <w:t>签字盖章</w:t>
            </w:r>
          </w:p>
        </w:tc>
        <w:tc>
          <w:tcPr>
            <w:tcW w:w="1623" w:type="dxa"/>
            <w:noWrap w:val="0"/>
            <w:vAlign w:val="center"/>
          </w:tcPr>
          <w:p w14:paraId="09D69D6A">
            <w:pPr>
              <w:pStyle w:val="23"/>
              <w:tabs>
                <w:tab w:val="left" w:pos="567"/>
              </w:tabs>
              <w:spacing w:before="0" w:line="240" w:lineRule="auto"/>
              <w:rPr>
                <w:rFonts w:hint="eastAsia" w:ascii="仿宋_GB2312" w:eastAsia="仿宋_GB2312"/>
              </w:rPr>
            </w:pPr>
          </w:p>
        </w:tc>
      </w:tr>
      <w:tr w14:paraId="57FD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9FA0231">
            <w:pPr>
              <w:pStyle w:val="23"/>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9</w:t>
            </w:r>
          </w:p>
        </w:tc>
        <w:tc>
          <w:tcPr>
            <w:tcW w:w="1512" w:type="dxa"/>
            <w:noWrap w:val="0"/>
            <w:vAlign w:val="center"/>
          </w:tcPr>
          <w:p w14:paraId="1AC9C1BC">
            <w:pPr>
              <w:pStyle w:val="23"/>
              <w:tabs>
                <w:tab w:val="left" w:pos="567"/>
              </w:tabs>
              <w:spacing w:before="0" w:line="240" w:lineRule="auto"/>
              <w:jc w:val="center"/>
              <w:rPr>
                <w:rFonts w:hint="eastAsia" w:ascii="仿宋_GB2312" w:eastAsia="仿宋_GB2312"/>
              </w:rPr>
            </w:pPr>
            <w:r>
              <w:rPr>
                <w:rFonts w:hint="eastAsia" w:ascii="仿宋_GB2312" w:eastAsia="仿宋_GB2312"/>
              </w:rPr>
              <w:t>其它</w:t>
            </w:r>
          </w:p>
        </w:tc>
        <w:tc>
          <w:tcPr>
            <w:tcW w:w="5370" w:type="dxa"/>
            <w:noWrap w:val="0"/>
            <w:vAlign w:val="center"/>
          </w:tcPr>
          <w:p w14:paraId="4C95503A">
            <w:pPr>
              <w:pStyle w:val="23"/>
              <w:tabs>
                <w:tab w:val="left" w:pos="567"/>
              </w:tabs>
              <w:spacing w:before="0" w:line="240" w:lineRule="auto"/>
              <w:rPr>
                <w:rFonts w:hint="default" w:ascii="仿宋_GB2312" w:eastAsia="仿宋_GB2312"/>
                <w:lang w:val="en-US" w:eastAsia="zh-CN"/>
              </w:rPr>
            </w:pPr>
            <w:r>
              <w:rPr>
                <w:rFonts w:hint="eastAsia" w:ascii="仿宋_GB2312" w:eastAsia="仿宋_GB2312"/>
                <w:lang w:val="en-US" w:eastAsia="zh-CN"/>
              </w:rPr>
              <w:t>不</w:t>
            </w:r>
            <w:r>
              <w:rPr>
                <w:rFonts w:hint="eastAsia" w:ascii="仿宋_GB2312" w:eastAsia="仿宋_GB2312"/>
              </w:rPr>
              <w:t>存在其它不符合法律法规或</w:t>
            </w:r>
            <w:r>
              <w:rPr>
                <w:rFonts w:hint="eastAsia" w:ascii="仿宋_GB2312" w:eastAsia="仿宋_GB2312"/>
                <w:lang w:val="en-US" w:eastAsia="zh-CN"/>
              </w:rPr>
              <w:t>采购</w:t>
            </w:r>
            <w:r>
              <w:rPr>
                <w:rFonts w:hint="eastAsia" w:ascii="仿宋_GB2312" w:eastAsia="仿宋_GB2312"/>
              </w:rPr>
              <w:t>文件规定的</w:t>
            </w:r>
            <w:r>
              <w:rPr>
                <w:rFonts w:hint="eastAsia" w:ascii="仿宋_GB2312" w:eastAsia="仿宋_GB2312"/>
                <w:lang w:val="en-US" w:eastAsia="zh-CN"/>
              </w:rPr>
              <w:t>响应</w:t>
            </w:r>
            <w:r>
              <w:rPr>
                <w:rFonts w:hint="eastAsia" w:ascii="仿宋_GB2312" w:eastAsia="仿宋_GB2312"/>
              </w:rPr>
              <w:t>无效条款</w:t>
            </w:r>
            <w:r>
              <w:rPr>
                <w:rFonts w:hint="eastAsia" w:ascii="仿宋_GB2312" w:eastAsia="仿宋_GB2312"/>
                <w:lang w:eastAsia="zh-CN"/>
              </w:rPr>
              <w:t>的</w:t>
            </w:r>
            <w:r>
              <w:rPr>
                <w:rFonts w:hint="eastAsia" w:ascii="仿宋_GB2312" w:eastAsia="仿宋_GB2312"/>
                <w:lang w:val="en-US" w:eastAsia="zh-CN"/>
              </w:rPr>
              <w:t>情形</w:t>
            </w:r>
          </w:p>
        </w:tc>
        <w:tc>
          <w:tcPr>
            <w:tcW w:w="1623" w:type="dxa"/>
            <w:noWrap w:val="0"/>
            <w:vAlign w:val="center"/>
          </w:tcPr>
          <w:p w14:paraId="47C96FE9">
            <w:pPr>
              <w:pStyle w:val="23"/>
              <w:tabs>
                <w:tab w:val="left" w:pos="567"/>
              </w:tabs>
              <w:spacing w:before="0" w:line="240" w:lineRule="auto"/>
              <w:rPr>
                <w:rFonts w:hint="eastAsia" w:ascii="仿宋_GB2312" w:eastAsia="仿宋_GB2312"/>
              </w:rPr>
            </w:pPr>
          </w:p>
        </w:tc>
      </w:tr>
      <w:tr w14:paraId="6ACA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471B02C3">
            <w:pPr>
              <w:pStyle w:val="23"/>
              <w:tabs>
                <w:tab w:val="left" w:pos="567"/>
              </w:tabs>
              <w:spacing w:before="0" w:line="240" w:lineRule="auto"/>
              <w:jc w:val="center"/>
              <w:rPr>
                <w:rFonts w:hint="default" w:ascii="仿宋_GB2312" w:eastAsia="仿宋_GB2312"/>
                <w:lang w:val="en-US" w:eastAsia="zh-CN"/>
              </w:rPr>
            </w:pPr>
            <w:r>
              <w:rPr>
                <w:rFonts w:hint="eastAsia" w:ascii="仿宋_GB2312" w:eastAsia="仿宋_GB2312"/>
                <w:b/>
                <w:bCs/>
                <w:lang w:val="en-US" w:eastAsia="zh-CN"/>
              </w:rPr>
              <w:t>审查结论</w:t>
            </w:r>
          </w:p>
        </w:tc>
        <w:tc>
          <w:tcPr>
            <w:tcW w:w="6993" w:type="dxa"/>
            <w:gridSpan w:val="2"/>
            <w:noWrap w:val="0"/>
            <w:vAlign w:val="center"/>
          </w:tcPr>
          <w:p w14:paraId="31BD246F">
            <w:pPr>
              <w:pStyle w:val="23"/>
              <w:tabs>
                <w:tab w:val="left" w:pos="567"/>
              </w:tabs>
              <w:spacing w:before="0" w:line="240" w:lineRule="auto"/>
              <w:rPr>
                <w:rFonts w:hint="eastAsia" w:ascii="仿宋_GB2312" w:eastAsia="仿宋_GB2312"/>
              </w:rPr>
            </w:pPr>
            <w:r>
              <w:rPr>
                <w:rFonts w:hint="eastAsia" w:ascii="仿宋_GB2312" w:eastAsia="仿宋_GB2312"/>
                <w:lang w:val="en-US" w:eastAsia="zh-CN"/>
              </w:rPr>
              <w:t>通过/不通过</w:t>
            </w:r>
          </w:p>
        </w:tc>
      </w:tr>
      <w:tr w14:paraId="29E8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509E7338">
            <w:pPr>
              <w:pStyle w:val="23"/>
              <w:tabs>
                <w:tab w:val="left" w:pos="567"/>
              </w:tabs>
              <w:spacing w:before="0" w:line="240" w:lineRule="auto"/>
              <w:jc w:val="center"/>
              <w:rPr>
                <w:rFonts w:hint="eastAsia" w:ascii="仿宋_GB2312" w:eastAsia="仿宋_GB2312"/>
              </w:rPr>
            </w:pPr>
            <w:r>
              <w:rPr>
                <w:rFonts w:hint="eastAsia" w:ascii="仿宋_GB2312" w:hAnsi="仿宋_GB2312" w:eastAsia="仿宋_GB2312" w:cs="仿宋_GB2312"/>
                <w:sz w:val="24"/>
                <w:szCs w:val="24"/>
                <w:lang w:val="en-US" w:eastAsia="zh-CN"/>
              </w:rPr>
              <w:t>不通过原因说明</w:t>
            </w:r>
          </w:p>
        </w:tc>
        <w:tc>
          <w:tcPr>
            <w:tcW w:w="6993" w:type="dxa"/>
            <w:gridSpan w:val="2"/>
            <w:noWrap w:val="0"/>
            <w:vAlign w:val="center"/>
          </w:tcPr>
          <w:p w14:paraId="3210DD4A">
            <w:pPr>
              <w:pStyle w:val="23"/>
              <w:tabs>
                <w:tab w:val="left" w:pos="567"/>
              </w:tabs>
              <w:spacing w:before="0" w:line="240" w:lineRule="auto"/>
              <w:rPr>
                <w:rFonts w:hint="eastAsia" w:ascii="仿宋_GB2312" w:eastAsia="仿宋_GB2312"/>
              </w:rPr>
            </w:pPr>
          </w:p>
        </w:tc>
      </w:tr>
    </w:tbl>
    <w:p w14:paraId="2695907C">
      <w:pPr>
        <w:tabs>
          <w:tab w:val="left" w:pos="1260"/>
          <w:tab w:val="left" w:pos="1620"/>
        </w:tabs>
        <w:adjustRightInd w:val="0"/>
        <w:spacing w:line="360" w:lineRule="auto"/>
        <w:jc w:val="left"/>
        <w:textAlignment w:val="baseline"/>
        <w:rPr>
          <w:rFonts w:eastAsia="仿宋_GB2312"/>
          <w:bCs/>
          <w:szCs w:val="21"/>
        </w:rPr>
      </w:pPr>
    </w:p>
    <w:p w14:paraId="33849080">
      <w:pPr>
        <w:pStyle w:val="23"/>
        <w:tabs>
          <w:tab w:val="left" w:pos="567"/>
        </w:tabs>
        <w:bidi w:val="0"/>
        <w:rPr>
          <w:rFonts w:eastAsia="仿宋_GB2312"/>
          <w:bCs/>
          <w:szCs w:val="21"/>
        </w:rPr>
      </w:pPr>
      <w:r>
        <w:rPr>
          <w:rFonts w:eastAsia="仿宋_GB2312"/>
          <w:bCs/>
          <w:szCs w:val="21"/>
        </w:rPr>
        <w:t>注：</w:t>
      </w:r>
    </w:p>
    <w:p w14:paraId="2DE9089C">
      <w:pPr>
        <w:pStyle w:val="23"/>
        <w:tabs>
          <w:tab w:val="left" w:pos="567"/>
        </w:tabs>
        <w:bidi w:val="0"/>
        <w:rPr>
          <w:rFonts w:eastAsia="仿宋_GB2312"/>
          <w:bCs/>
          <w:szCs w:val="21"/>
        </w:rPr>
      </w:pPr>
      <w:r>
        <w:rPr>
          <w:rFonts w:eastAsia="仿宋_GB2312"/>
          <w:bCs/>
          <w:szCs w:val="21"/>
        </w:rPr>
        <w:t>1、</w:t>
      </w:r>
      <w:r>
        <w:rPr>
          <w:rFonts w:hint="default" w:ascii="Times New Roman" w:hAnsi="Times New Roman" w:eastAsia="仿宋_GB2312" w:cs="Times New Roman"/>
        </w:rPr>
        <w:t>对投标</w:t>
      </w:r>
      <w:r>
        <w:rPr>
          <w:rFonts w:hint="eastAsia" w:ascii="Times New Roman" w:hAnsi="Times New Roman" w:eastAsia="仿宋_GB2312" w:cs="Times New Roman"/>
          <w:lang w:val="en-US" w:eastAsia="zh-CN"/>
        </w:rPr>
        <w:t>文件</w:t>
      </w:r>
      <w:r>
        <w:rPr>
          <w:rFonts w:hint="default" w:ascii="Times New Roman" w:hAnsi="Times New Roman" w:eastAsia="仿宋_GB2312" w:cs="Times New Roman"/>
        </w:rPr>
        <w:t>是否满足要求逐条标注</w:t>
      </w:r>
      <w:r>
        <w:rPr>
          <w:rFonts w:hint="eastAsia" w:ascii="Times New Roman" w:hAnsi="Times New Roman" w:eastAsia="仿宋_GB2312" w:cs="Times New Roman"/>
          <w:lang w:val="en-US" w:eastAsia="zh-CN"/>
        </w:rPr>
        <w:t>审查</w:t>
      </w:r>
      <w:r>
        <w:rPr>
          <w:rFonts w:hint="default" w:ascii="Times New Roman" w:hAnsi="Times New Roman" w:eastAsia="仿宋_GB2312" w:cs="Times New Roman"/>
        </w:rPr>
        <w:t>意见，</w:t>
      </w:r>
      <w:r>
        <w:rPr>
          <w:rFonts w:hint="default" w:ascii="Times New Roman" w:hAnsi="Times New Roman" w:eastAsia="仿宋_GB2312" w:cs="Times New Roman"/>
          <w:lang w:val="en-US" w:eastAsia="zh-CN"/>
        </w:rPr>
        <w:t>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不符合的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结论栏统一填写为“通过”或“不通过” ，出现一个“×”为“不通过”</w:t>
      </w:r>
      <w:r>
        <w:rPr>
          <w:rFonts w:hint="default" w:ascii="Times New Roman" w:hAnsi="Times New Roman" w:eastAsia="仿宋_GB2312" w:cs="Times New Roman"/>
          <w:lang w:eastAsia="zh-CN"/>
        </w:rPr>
        <w:t>，不进入后续评审</w:t>
      </w:r>
      <w:r>
        <w:rPr>
          <w:rFonts w:hint="default" w:ascii="Times New Roman" w:hAnsi="Times New Roman" w:eastAsia="仿宋_GB2312" w:cs="Times New Roman"/>
        </w:rPr>
        <w:t>；对</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结论为“不通过”的，要说明原因。</w:t>
      </w:r>
    </w:p>
    <w:p w14:paraId="6CA979E1">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2、有下列情形之一的，视为供应商相互串通：</w:t>
      </w:r>
    </w:p>
    <w:p w14:paraId="69C5EDC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（1）不同供应商的响应文件由同一单位或者个人编制；</w:t>
      </w:r>
    </w:p>
    <w:p w14:paraId="07A2A7EF">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（2）不同供应商委托同一单位或者个人办理参与磋商事宜；</w:t>
      </w:r>
    </w:p>
    <w:p w14:paraId="504C2AC6">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（3）不同供应商的响应文件载明的项目管理成员或者联系人员为同一人；</w:t>
      </w:r>
    </w:p>
    <w:p w14:paraId="1A229486">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（4）不同供应商的响应文件异常一致或者报价呈规律性差异；</w:t>
      </w:r>
    </w:p>
    <w:p w14:paraId="696C4793">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（5）不同供应商的响应文件相互混装；</w:t>
      </w:r>
    </w:p>
    <w:p w14:paraId="74AC5F64">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（6）不同供应商的磋商保证金从同一单位或者个人的账户转出。</w:t>
      </w:r>
    </w:p>
    <w:p w14:paraId="2A38FAB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3、有下列情形之一的，属于提供虚假材料谋取成交的行为：</w:t>
      </w:r>
    </w:p>
    <w:p w14:paraId="095237A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（1）使用伪造、变造的许可证件；</w:t>
      </w:r>
    </w:p>
    <w:p w14:paraId="58B2808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（2）提供虚假的财务状况或者业绩；</w:t>
      </w:r>
    </w:p>
    <w:p w14:paraId="3ED46F85">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（3）提供虚假的项目负责人或者主要技术人员简历、劳动关系证明；</w:t>
      </w:r>
    </w:p>
    <w:p w14:paraId="0F2B0388">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（4）提供虚假的信用状况；</w:t>
      </w:r>
    </w:p>
    <w:p w14:paraId="25DBD3D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（5）其他弄虚作假的行为。</w:t>
      </w:r>
    </w:p>
    <w:p w14:paraId="0AFDA97E">
      <w:pPr>
        <w:tabs>
          <w:tab w:val="left" w:pos="1260"/>
          <w:tab w:val="left" w:pos="1620"/>
        </w:tabs>
        <w:adjustRightInd w:val="0"/>
        <w:spacing w:line="360" w:lineRule="auto"/>
        <w:jc w:val="left"/>
        <w:textAlignment w:val="baseline"/>
        <w:rPr>
          <w:rFonts w:eastAsia="仿宋_GB2312"/>
          <w:bCs/>
          <w:szCs w:val="21"/>
        </w:rPr>
      </w:pPr>
      <w:r>
        <w:rPr>
          <w:rFonts w:hint="eastAsia" w:eastAsia="仿宋_GB2312"/>
          <w:bCs/>
          <w:szCs w:val="21"/>
          <w:lang w:val="en-US" w:eastAsia="zh-CN"/>
        </w:rPr>
        <w:t>4、</w:t>
      </w:r>
      <w:r>
        <w:rPr>
          <w:rFonts w:hint="eastAsia" w:eastAsia="仿宋_GB2312"/>
          <w:bCs/>
          <w:szCs w:val="21"/>
        </w:rPr>
        <w:t>如</w:t>
      </w:r>
      <w:r>
        <w:rPr>
          <w:rFonts w:hint="eastAsia" w:eastAsia="仿宋_GB2312"/>
          <w:bCs/>
          <w:szCs w:val="21"/>
          <w:lang w:val="en-US" w:eastAsia="zh-CN"/>
        </w:rPr>
        <w:t>供应商</w:t>
      </w:r>
      <w:r>
        <w:rPr>
          <w:rFonts w:hint="eastAsia" w:eastAsia="仿宋_GB2312"/>
          <w:bCs/>
          <w:szCs w:val="21"/>
        </w:rPr>
        <w:t>为提供服务所伴随的货物为政府强制采购的产品，</w:t>
      </w:r>
      <w:r>
        <w:rPr>
          <w:rFonts w:hint="eastAsia" w:eastAsia="仿宋_GB2312"/>
          <w:bCs/>
          <w:szCs w:val="21"/>
          <w:lang w:val="en-US" w:eastAsia="zh-CN"/>
        </w:rPr>
        <w:t>供应商</w:t>
      </w:r>
      <w:r>
        <w:rPr>
          <w:rFonts w:hint="eastAsia" w:eastAsia="仿宋_GB2312"/>
          <w:bCs/>
          <w:szCs w:val="21"/>
        </w:rPr>
        <w:t>所投产品应属于品目清单的强制采购部分。</w:t>
      </w:r>
      <w:r>
        <w:rPr>
          <w:rFonts w:hint="eastAsia" w:eastAsia="仿宋_GB2312"/>
          <w:bCs/>
          <w:szCs w:val="21"/>
          <w:lang w:val="en-US" w:eastAsia="zh-CN"/>
        </w:rPr>
        <w:t>供应商</w:t>
      </w:r>
      <w:r>
        <w:rPr>
          <w:rFonts w:hint="eastAsia" w:eastAsia="仿宋_GB2312"/>
          <w:bCs/>
          <w:szCs w:val="21"/>
        </w:rPr>
        <w:t>应提供有效期内的认证证书或相关证明，否则其</w:t>
      </w:r>
      <w:r>
        <w:rPr>
          <w:rFonts w:hint="eastAsia" w:eastAsia="仿宋_GB2312"/>
          <w:bCs/>
          <w:szCs w:val="21"/>
          <w:lang w:val="en-US" w:eastAsia="zh-CN"/>
        </w:rPr>
        <w:t>响应文件</w:t>
      </w:r>
      <w:r>
        <w:rPr>
          <w:rFonts w:hint="eastAsia" w:eastAsia="仿宋_GB2312"/>
          <w:bCs/>
          <w:szCs w:val="21"/>
        </w:rPr>
        <w:t>将被认定为无效。</w:t>
      </w:r>
    </w:p>
    <w:p w14:paraId="3E5B3FA9">
      <w:pPr>
        <w:tabs>
          <w:tab w:val="left" w:pos="1260"/>
          <w:tab w:val="left" w:pos="1620"/>
        </w:tabs>
        <w:adjustRightInd w:val="0"/>
        <w:spacing w:line="360" w:lineRule="auto"/>
        <w:jc w:val="left"/>
        <w:textAlignment w:val="baseline"/>
        <w:rPr>
          <w:rFonts w:hint="eastAsia" w:eastAsia="仿宋_GB2312"/>
          <w:bCs/>
          <w:szCs w:val="21"/>
        </w:rPr>
      </w:pPr>
      <w:r>
        <w:rPr>
          <w:rFonts w:hint="eastAsia" w:eastAsia="仿宋_GB2312"/>
          <w:bCs/>
          <w:szCs w:val="21"/>
          <w:lang w:val="en-US" w:eastAsia="zh-CN"/>
        </w:rPr>
        <w:t>5、</w:t>
      </w:r>
      <w:r>
        <w:rPr>
          <w:rFonts w:hint="eastAsia" w:eastAsia="仿宋_GB2312"/>
          <w:bCs/>
          <w:szCs w:val="21"/>
        </w:rPr>
        <w:t>如</w:t>
      </w:r>
      <w:r>
        <w:rPr>
          <w:rFonts w:hint="eastAsia" w:eastAsia="仿宋_GB2312"/>
          <w:bCs/>
          <w:szCs w:val="21"/>
          <w:lang w:val="en-US" w:eastAsia="zh-CN"/>
        </w:rPr>
        <w:t>供应商</w:t>
      </w:r>
      <w:r>
        <w:rPr>
          <w:rFonts w:hint="eastAsia" w:eastAsia="仿宋_GB2312"/>
          <w:bCs/>
          <w:szCs w:val="21"/>
        </w:rPr>
        <w:t>为提供服务所伴随的货物属于网络关键设备和网络安全专用产品的，</w:t>
      </w:r>
      <w:r>
        <w:rPr>
          <w:rFonts w:hint="eastAsia" w:eastAsia="仿宋_GB2312"/>
          <w:bCs/>
          <w:szCs w:val="21"/>
          <w:lang w:val="en-US" w:eastAsia="zh-CN"/>
        </w:rPr>
        <w:t>供应商</w:t>
      </w:r>
      <w:r>
        <w:rPr>
          <w:rFonts w:hint="eastAsia" w:eastAsia="仿宋_GB2312"/>
          <w:bCs/>
          <w:szCs w:val="21"/>
        </w:rPr>
        <w:t>所投产品应为经具备资格的机构安全认证合格或者安全检测符合要求的产品。</w:t>
      </w:r>
      <w:r>
        <w:rPr>
          <w:rFonts w:hint="eastAsia" w:eastAsia="仿宋_GB2312"/>
          <w:bCs/>
          <w:szCs w:val="21"/>
          <w:lang w:val="en-US" w:eastAsia="zh-CN"/>
        </w:rPr>
        <w:t>供应商</w:t>
      </w:r>
      <w:r>
        <w:rPr>
          <w:rFonts w:hint="eastAsia" w:eastAsia="仿宋_GB2312"/>
          <w:bCs/>
          <w:szCs w:val="21"/>
        </w:rPr>
        <w:t>应提供相关证明，否则其</w:t>
      </w:r>
      <w:r>
        <w:rPr>
          <w:rFonts w:hint="eastAsia" w:eastAsia="仿宋_GB2312"/>
          <w:bCs/>
          <w:szCs w:val="21"/>
          <w:lang w:val="en-US" w:eastAsia="zh-CN"/>
        </w:rPr>
        <w:t>响应文件</w:t>
      </w:r>
      <w:r>
        <w:rPr>
          <w:rFonts w:hint="eastAsia" w:eastAsia="仿宋_GB2312"/>
          <w:bCs/>
          <w:szCs w:val="21"/>
        </w:rPr>
        <w:t>将被认定为无效。</w:t>
      </w:r>
    </w:p>
    <w:p w14:paraId="4F8C033B">
      <w:pPr>
        <w:tabs>
          <w:tab w:val="left" w:pos="1260"/>
          <w:tab w:val="left" w:pos="1620"/>
        </w:tabs>
        <w:adjustRightInd w:val="0"/>
        <w:spacing w:line="360" w:lineRule="auto"/>
        <w:jc w:val="left"/>
        <w:textAlignment w:val="baseline"/>
        <w:rPr>
          <w:rFonts w:eastAsia="仿宋_GB2312"/>
          <w:b/>
          <w:szCs w:val="21"/>
        </w:rPr>
      </w:pPr>
    </w:p>
    <w:p w14:paraId="5EE3E3CC">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14:paraId="072EE9A3">
      <w:pPr>
        <w:jc w:val="center"/>
        <w:rPr>
          <w:rFonts w:hint="eastAsia" w:eastAsia="仿宋_GB2312"/>
          <w:b/>
          <w:sz w:val="30"/>
          <w:szCs w:val="30"/>
          <w:lang w:eastAsia="zh-CN"/>
        </w:rPr>
      </w:pPr>
      <w:bookmarkStart w:id="404" w:name="_Toc414446034"/>
      <w:bookmarkStart w:id="405" w:name="_Toc410631198"/>
      <w:bookmarkStart w:id="406" w:name="_Toc7005048"/>
      <w:r>
        <w:rPr>
          <w:rFonts w:eastAsia="仿宋_GB2312"/>
          <w:b/>
          <w:sz w:val="30"/>
          <w:szCs w:val="30"/>
        </w:rPr>
        <w:t>附表三 评审</w:t>
      </w:r>
      <w:bookmarkEnd w:id="404"/>
      <w:bookmarkEnd w:id="405"/>
      <w:bookmarkEnd w:id="406"/>
      <w:r>
        <w:rPr>
          <w:rFonts w:hint="eastAsia" w:eastAsia="仿宋_GB2312"/>
          <w:b/>
          <w:sz w:val="30"/>
          <w:szCs w:val="30"/>
          <w:lang w:val="en-US" w:eastAsia="zh-CN"/>
        </w:rPr>
        <w:t>标准</w:t>
      </w:r>
    </w:p>
    <w:tbl>
      <w:tblPr>
        <w:tblStyle w:val="50"/>
        <w:tblW w:w="9738" w:type="dxa"/>
        <w:tblInd w:w="-36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1336"/>
        <w:gridCol w:w="6555"/>
        <w:gridCol w:w="1014"/>
      </w:tblGrid>
      <w:tr w14:paraId="3E7C2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4" w:hRule="atLeast"/>
        </w:trPr>
        <w:tc>
          <w:tcPr>
            <w:tcW w:w="833" w:type="dxa"/>
            <w:vAlign w:val="center"/>
          </w:tcPr>
          <w:p w14:paraId="7C389E10">
            <w:pPr>
              <w:pStyle w:val="299"/>
              <w:jc w:val="center"/>
              <w:rPr>
                <w:sz w:val="24"/>
                <w:szCs w:val="24"/>
              </w:rPr>
            </w:pPr>
            <w:r>
              <w:rPr>
                <w:rFonts w:ascii="仿宋_GB2312" w:hAnsi="仿宋_GB2312" w:eastAsia="仿宋_GB2312" w:cs="仿宋_GB2312"/>
                <w:sz w:val="24"/>
                <w:szCs w:val="24"/>
              </w:rPr>
              <w:t>评审因素分类</w:t>
            </w:r>
          </w:p>
        </w:tc>
        <w:tc>
          <w:tcPr>
            <w:tcW w:w="1336" w:type="dxa"/>
            <w:vAlign w:val="center"/>
          </w:tcPr>
          <w:p w14:paraId="484997E1">
            <w:pPr>
              <w:pStyle w:val="299"/>
              <w:jc w:val="center"/>
              <w:rPr>
                <w:sz w:val="24"/>
                <w:szCs w:val="24"/>
              </w:rPr>
            </w:pPr>
            <w:r>
              <w:rPr>
                <w:rFonts w:ascii="仿宋_GB2312" w:hAnsi="仿宋_GB2312" w:eastAsia="仿宋_GB2312" w:cs="仿宋_GB2312"/>
                <w:sz w:val="24"/>
                <w:szCs w:val="24"/>
              </w:rPr>
              <w:t xml:space="preserve"> 评审项</w:t>
            </w:r>
          </w:p>
        </w:tc>
        <w:tc>
          <w:tcPr>
            <w:tcW w:w="6555" w:type="dxa"/>
            <w:vAlign w:val="center"/>
          </w:tcPr>
          <w:p w14:paraId="5BCE959A">
            <w:pPr>
              <w:pStyle w:val="299"/>
              <w:jc w:val="center"/>
              <w:rPr>
                <w:sz w:val="24"/>
                <w:szCs w:val="24"/>
              </w:rPr>
            </w:pPr>
            <w:r>
              <w:rPr>
                <w:rFonts w:ascii="仿宋_GB2312" w:hAnsi="仿宋_GB2312" w:eastAsia="仿宋_GB2312" w:cs="仿宋_GB2312"/>
                <w:sz w:val="24"/>
                <w:szCs w:val="24"/>
              </w:rPr>
              <w:t xml:space="preserve"> 详细描述</w:t>
            </w:r>
          </w:p>
        </w:tc>
        <w:tc>
          <w:tcPr>
            <w:tcW w:w="1014" w:type="dxa"/>
            <w:vAlign w:val="center"/>
          </w:tcPr>
          <w:p w14:paraId="166E126D">
            <w:pPr>
              <w:pStyle w:val="299"/>
              <w:jc w:val="center"/>
              <w:rPr>
                <w:sz w:val="24"/>
                <w:szCs w:val="24"/>
              </w:rPr>
            </w:pPr>
            <w:r>
              <w:rPr>
                <w:rFonts w:ascii="仿宋_GB2312" w:hAnsi="仿宋_GB2312" w:eastAsia="仿宋_GB2312" w:cs="仿宋_GB2312"/>
                <w:sz w:val="24"/>
                <w:szCs w:val="24"/>
              </w:rPr>
              <w:t xml:space="preserve"> 分值</w:t>
            </w:r>
          </w:p>
        </w:tc>
      </w:tr>
      <w:tr w14:paraId="46BCF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0" w:hRule="atLeast"/>
        </w:trPr>
        <w:tc>
          <w:tcPr>
            <w:tcW w:w="833" w:type="dxa"/>
            <w:vMerge w:val="restart"/>
            <w:vAlign w:val="center"/>
          </w:tcPr>
          <w:p w14:paraId="403CC435">
            <w:pPr>
              <w:pStyle w:val="29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技术部分</w:t>
            </w:r>
          </w:p>
        </w:tc>
        <w:tc>
          <w:tcPr>
            <w:tcW w:w="1336" w:type="dxa"/>
            <w:vAlign w:val="center"/>
          </w:tcPr>
          <w:p w14:paraId="4B337CE7">
            <w:pPr>
              <w:pStyle w:val="299"/>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测评</w:t>
            </w:r>
            <w:r>
              <w:rPr>
                <w:rFonts w:hint="default"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lang w:val="en-US" w:eastAsia="zh-CN"/>
              </w:rPr>
              <w:t>方案</w:t>
            </w:r>
          </w:p>
        </w:tc>
        <w:tc>
          <w:tcPr>
            <w:tcW w:w="6555" w:type="dxa"/>
            <w:vAlign w:val="center"/>
          </w:tcPr>
          <w:p w14:paraId="62E64167">
            <w:pPr>
              <w:pStyle w:val="299"/>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val="en-US" w:eastAsia="zh-CN"/>
              </w:rPr>
              <w:t>供应商根据国家相关标准并结合</w:t>
            </w:r>
            <w:r>
              <w:rPr>
                <w:rFonts w:hint="eastAsia" w:ascii="仿宋_GB2312" w:hAnsi="仿宋_GB2312" w:eastAsia="仿宋_GB2312" w:cs="仿宋_GB2312"/>
                <w:color w:val="auto"/>
                <w:sz w:val="24"/>
                <w:szCs w:val="24"/>
                <w:lang w:val="en-US" w:eastAsia="zh-Hans"/>
              </w:rPr>
              <w:t>本项目实际需求，提供</w:t>
            </w:r>
            <w:r>
              <w:rPr>
                <w:rFonts w:hint="eastAsia" w:ascii="仿宋_GB2312" w:hAnsi="仿宋_GB2312" w:eastAsia="仿宋_GB2312" w:cs="仿宋_GB2312"/>
                <w:color w:val="auto"/>
                <w:sz w:val="24"/>
                <w:szCs w:val="24"/>
                <w:lang w:val="en-US" w:eastAsia="zh-CN"/>
              </w:rPr>
              <w:t>完整的等级保护测评</w:t>
            </w:r>
            <w:r>
              <w:rPr>
                <w:rFonts w:hint="default"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lang w:val="en-US" w:eastAsia="zh-CN"/>
              </w:rPr>
              <w:t>方案</w:t>
            </w:r>
            <w:r>
              <w:rPr>
                <w:rFonts w:hint="eastAsia" w:ascii="仿宋_GB2312" w:hAnsi="仿宋_GB2312" w:eastAsia="仿宋_GB2312" w:cs="仿宋_GB2312"/>
                <w:color w:val="auto"/>
                <w:sz w:val="24"/>
                <w:szCs w:val="24"/>
                <w:lang w:val="en-US" w:eastAsia="zh-Hans"/>
              </w:rPr>
              <w:t>，</w:t>
            </w:r>
            <w:r>
              <w:rPr>
                <w:rFonts w:hint="eastAsia" w:ascii="仿宋_GB2312" w:hAnsi="仿宋_GB2312" w:eastAsia="仿宋_GB2312" w:cs="仿宋_GB2312"/>
                <w:color w:val="auto"/>
                <w:sz w:val="24"/>
                <w:szCs w:val="24"/>
                <w:lang w:val="en-US" w:eastAsia="zh-CN"/>
              </w:rPr>
              <w:t>内容包括①定级备案、②系统调研、③初测评、④差距测评、⑤复测评等内容，并对测评流程具有详细</w:t>
            </w:r>
            <w:r>
              <w:rPr>
                <w:rFonts w:hint="eastAsia" w:ascii="仿宋_GB2312" w:hAnsi="仿宋_GB2312" w:eastAsia="仿宋_GB2312" w:cs="仿宋_GB2312"/>
                <w:color w:val="auto"/>
                <w:sz w:val="24"/>
                <w:szCs w:val="24"/>
                <w:lang w:val="en-US" w:eastAsia="zh-Hans"/>
              </w:rPr>
              <w:t>说明。</w:t>
            </w:r>
          </w:p>
          <w:p w14:paraId="3E20D14E">
            <w:pPr>
              <w:pStyle w:val="29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以上5项内容：每项内容内容完整、可实施、且有针对性得3分；内容完整、可实施得2分；方案基本完整得1分；未提供不得分。</w:t>
            </w:r>
          </w:p>
          <w:p w14:paraId="6F755BC5">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本项满分15分。</w:t>
            </w:r>
          </w:p>
        </w:tc>
        <w:tc>
          <w:tcPr>
            <w:tcW w:w="1014" w:type="dxa"/>
            <w:vAlign w:val="center"/>
          </w:tcPr>
          <w:p w14:paraId="3D38356A">
            <w:pPr>
              <w:pStyle w:val="299"/>
              <w:jc w:val="center"/>
              <w:rPr>
                <w:rFonts w:ascii="仿宋_GB2312" w:hAnsi="仿宋_GB2312" w:eastAsia="仿宋_GB2312" w:cs="仿宋_GB2312"/>
                <w:sz w:val="32"/>
                <w:szCs w:val="32"/>
              </w:rPr>
            </w:pPr>
            <w:r>
              <w:rPr>
                <w:rFonts w:hint="eastAsia" w:ascii="仿宋_GB2312" w:hAnsi="仿宋_GB2312" w:eastAsia="仿宋_GB2312" w:cs="仿宋_GB2312"/>
                <w:sz w:val="22"/>
                <w:szCs w:val="22"/>
                <w:lang w:val="en-US" w:eastAsia="zh-CN"/>
              </w:rPr>
              <w:t>15</w:t>
            </w:r>
            <w:r>
              <w:rPr>
                <w:rFonts w:ascii="仿宋_GB2312" w:hAnsi="仿宋_GB2312" w:eastAsia="仿宋_GB2312" w:cs="仿宋_GB2312"/>
                <w:sz w:val="22"/>
                <w:szCs w:val="22"/>
              </w:rPr>
              <w:t>.0000</w:t>
            </w:r>
          </w:p>
        </w:tc>
      </w:tr>
      <w:tr w14:paraId="5856E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53" w:hRule="atLeast"/>
        </w:trPr>
        <w:tc>
          <w:tcPr>
            <w:tcW w:w="833" w:type="dxa"/>
            <w:vMerge w:val="continue"/>
            <w:vAlign w:val="center"/>
          </w:tcPr>
          <w:p w14:paraId="4DDA7BCF">
            <w:pPr>
              <w:pStyle w:val="299"/>
              <w:rPr>
                <w:sz w:val="24"/>
                <w:szCs w:val="24"/>
              </w:rPr>
            </w:pPr>
          </w:p>
        </w:tc>
        <w:tc>
          <w:tcPr>
            <w:tcW w:w="1336" w:type="dxa"/>
            <w:tcBorders>
              <w:bottom w:val="single" w:color="auto" w:sz="4" w:space="0"/>
            </w:tcBorders>
            <w:vAlign w:val="center"/>
          </w:tcPr>
          <w:p w14:paraId="6669A2B5">
            <w:pPr>
              <w:pStyle w:val="29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测评</w:t>
            </w:r>
            <w:r>
              <w:rPr>
                <w:rFonts w:hint="default"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lang w:val="en-US" w:eastAsia="zh-CN"/>
              </w:rPr>
              <w:t>方案</w:t>
            </w:r>
          </w:p>
        </w:tc>
        <w:tc>
          <w:tcPr>
            <w:tcW w:w="6555" w:type="dxa"/>
            <w:vAlign w:val="center"/>
          </w:tcPr>
          <w:p w14:paraId="24CD7F6E">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提供整个测评项目实施过程中的①风险防范措施②保密责任③赔偿承诺④针对实施过程中可能出现的突发事件、紧急故障等方面制定风险管理方案⑤应急处置方案（供应商在所提供方案中应充分对本次项目的技术难点、风险进行准确分析，解决难题；要评估后期实施中可能出现的突发状况，并制定相应的风险管理和应急处置方案，确保服务工作有序推进）。</w:t>
            </w:r>
          </w:p>
          <w:p w14:paraId="3CCA2453">
            <w:pPr>
              <w:pStyle w:val="29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以上5项内容：每项内容内容完整、可实施、且有针对性得2分；内容完整、可实施得1分；方案基本完整得0.5分；未提供不得分。</w:t>
            </w:r>
          </w:p>
          <w:p w14:paraId="64B366DB">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本项满分</w:t>
            </w:r>
            <w:r>
              <w:rPr>
                <w:rFonts w:hint="default"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val="en-US" w:eastAsia="zh-CN"/>
              </w:rPr>
              <w:t>分。</w:t>
            </w:r>
          </w:p>
        </w:tc>
        <w:tc>
          <w:tcPr>
            <w:tcW w:w="1014" w:type="dxa"/>
            <w:vAlign w:val="center"/>
          </w:tcPr>
          <w:p w14:paraId="2862F495">
            <w:pPr>
              <w:pStyle w:val="299"/>
              <w:jc w:val="center"/>
              <w:rPr>
                <w:rFonts w:ascii="仿宋_GB2312" w:hAnsi="仿宋_GB2312" w:eastAsia="仿宋_GB2312" w:cs="仿宋_GB2312"/>
                <w:sz w:val="32"/>
                <w:szCs w:val="32"/>
              </w:rPr>
            </w:pPr>
            <w:r>
              <w:rPr>
                <w:rFonts w:hint="eastAsia" w:ascii="仿宋_GB2312" w:hAnsi="仿宋_GB2312" w:eastAsia="仿宋_GB2312" w:cs="仿宋_GB2312"/>
                <w:sz w:val="22"/>
                <w:szCs w:val="22"/>
                <w:lang w:val="en-US" w:eastAsia="zh-CN"/>
              </w:rPr>
              <w:t>10</w:t>
            </w:r>
            <w:r>
              <w:rPr>
                <w:rFonts w:ascii="仿宋_GB2312" w:hAnsi="仿宋_GB2312" w:eastAsia="仿宋_GB2312" w:cs="仿宋_GB2312"/>
                <w:sz w:val="22"/>
                <w:szCs w:val="22"/>
              </w:rPr>
              <w:t>.0000</w:t>
            </w:r>
          </w:p>
        </w:tc>
      </w:tr>
      <w:tr w14:paraId="096C9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61" w:hRule="atLeast"/>
        </w:trPr>
        <w:tc>
          <w:tcPr>
            <w:tcW w:w="833" w:type="dxa"/>
            <w:vMerge w:val="continue"/>
            <w:vAlign w:val="center"/>
          </w:tcPr>
          <w:p w14:paraId="405C895A">
            <w:pPr>
              <w:pStyle w:val="299"/>
              <w:rPr>
                <w:rFonts w:ascii="仿宋_GB2312" w:hAnsi="仿宋_GB2312" w:eastAsia="仿宋_GB2312" w:cs="仿宋_GB2312"/>
                <w:sz w:val="24"/>
                <w:szCs w:val="24"/>
              </w:rPr>
            </w:pPr>
          </w:p>
        </w:tc>
        <w:tc>
          <w:tcPr>
            <w:tcW w:w="1336" w:type="dxa"/>
            <w:tcBorders>
              <w:top w:val="single" w:color="auto" w:sz="4" w:space="0"/>
            </w:tcBorders>
            <w:vAlign w:val="center"/>
          </w:tcPr>
          <w:p w14:paraId="0FDD0481">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测评</w:t>
            </w:r>
            <w:r>
              <w:rPr>
                <w:rFonts w:hint="default"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lang w:val="en-US" w:eastAsia="zh-CN"/>
              </w:rPr>
              <w:t>方案</w:t>
            </w:r>
          </w:p>
        </w:tc>
        <w:tc>
          <w:tcPr>
            <w:tcW w:w="6555" w:type="dxa"/>
            <w:vAlign w:val="center"/>
          </w:tcPr>
          <w:p w14:paraId="01F9114B">
            <w:pPr>
              <w:pStyle w:val="2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针对本项目</w:t>
            </w:r>
            <w:r>
              <w:rPr>
                <w:rFonts w:hint="eastAsia" w:ascii="仿宋_GB2312" w:hAnsi="仿宋_GB2312" w:eastAsia="仿宋_GB2312" w:cs="仿宋_GB2312"/>
                <w:sz w:val="24"/>
                <w:szCs w:val="24"/>
                <w:lang w:val="en-US" w:eastAsia="zh-CN"/>
              </w:rPr>
              <w:t>的①项目质量管理、②过程控制、③监控手段，能保证技术人员按照相应的操作指导规范实施测评；明确每项工作的④时间安排⑤操作人员</w:t>
            </w:r>
            <w:r>
              <w:rPr>
                <w:rFonts w:hint="eastAsia" w:ascii="仿宋_GB2312" w:hAnsi="仿宋_GB2312" w:eastAsia="仿宋_GB2312" w:cs="仿宋_GB2312"/>
                <w:sz w:val="24"/>
                <w:szCs w:val="24"/>
              </w:rPr>
              <w:t>。</w:t>
            </w:r>
          </w:p>
          <w:p w14:paraId="5B928502">
            <w:pPr>
              <w:pStyle w:val="29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以上5项内容：每项内容内容完整、可实施、且有针对性得2分；内容完整、可实施得1分；方案基本完整得0.5分；未提供不得分。</w:t>
            </w:r>
          </w:p>
          <w:p w14:paraId="36F55158">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本项满分</w:t>
            </w:r>
            <w:r>
              <w:rPr>
                <w:rFonts w:hint="default"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val="en-US" w:eastAsia="zh-CN"/>
              </w:rPr>
              <w:t>分。</w:t>
            </w:r>
          </w:p>
        </w:tc>
        <w:tc>
          <w:tcPr>
            <w:tcW w:w="1014" w:type="dxa"/>
            <w:shd w:val="clear" w:color="auto" w:fill="auto"/>
            <w:vAlign w:val="center"/>
          </w:tcPr>
          <w:p w14:paraId="0F984788">
            <w:pPr>
              <w:pStyle w:val="299"/>
              <w:jc w:val="center"/>
              <w:rPr>
                <w:rFonts w:ascii="仿宋_GB2312" w:hAnsi="仿宋_GB2312" w:eastAsia="仿宋_GB2312" w:cs="仿宋_GB2312"/>
                <w:sz w:val="36"/>
                <w:szCs w:val="44"/>
              </w:rPr>
            </w:pPr>
            <w:r>
              <w:rPr>
                <w:rFonts w:hint="eastAsia" w:ascii="仿宋_GB2312" w:hAnsi="仿宋_GB2312" w:eastAsia="仿宋_GB2312" w:cs="仿宋_GB2312"/>
                <w:sz w:val="22"/>
                <w:szCs w:val="22"/>
                <w:lang w:val="en-US" w:eastAsia="zh-CN"/>
              </w:rPr>
              <w:t>10</w:t>
            </w:r>
            <w:r>
              <w:rPr>
                <w:rFonts w:ascii="仿宋_GB2312" w:hAnsi="仿宋_GB2312" w:eastAsia="仿宋_GB2312" w:cs="仿宋_GB2312"/>
                <w:sz w:val="22"/>
                <w:szCs w:val="22"/>
              </w:rPr>
              <w:t>.0000</w:t>
            </w:r>
          </w:p>
        </w:tc>
      </w:tr>
      <w:tr w14:paraId="6F53A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8" w:hRule="atLeast"/>
        </w:trPr>
        <w:tc>
          <w:tcPr>
            <w:tcW w:w="833" w:type="dxa"/>
            <w:vMerge w:val="continue"/>
            <w:vAlign w:val="center"/>
          </w:tcPr>
          <w:p w14:paraId="143C1CDE">
            <w:pPr>
              <w:pStyle w:val="299"/>
              <w:rPr>
                <w:rFonts w:ascii="仿宋_GB2312" w:hAnsi="仿宋_GB2312" w:eastAsia="仿宋_GB2312" w:cs="仿宋_GB2312"/>
                <w:sz w:val="24"/>
                <w:szCs w:val="24"/>
              </w:rPr>
            </w:pPr>
          </w:p>
        </w:tc>
        <w:tc>
          <w:tcPr>
            <w:tcW w:w="1336" w:type="dxa"/>
            <w:tcBorders>
              <w:bottom w:val="single" w:color="auto" w:sz="4" w:space="0"/>
            </w:tcBorders>
            <w:vAlign w:val="center"/>
          </w:tcPr>
          <w:p w14:paraId="2794494E">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测评</w:t>
            </w:r>
            <w:r>
              <w:rPr>
                <w:rFonts w:hint="default"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lang w:val="en-US" w:eastAsia="zh-CN"/>
              </w:rPr>
              <w:t>方案</w:t>
            </w:r>
          </w:p>
        </w:tc>
        <w:tc>
          <w:tcPr>
            <w:tcW w:w="6555" w:type="dxa"/>
            <w:vAlign w:val="center"/>
          </w:tcPr>
          <w:p w14:paraId="01C3E415">
            <w:pPr>
              <w:pStyle w:val="29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针对项目组成员工作分配及项目实施进度具有科学合理安排，按照方案响应程度，</w:t>
            </w:r>
            <w:r>
              <w:rPr>
                <w:rFonts w:hint="eastAsia" w:ascii="仿宋_GB2312" w:hAnsi="仿宋_GB2312" w:eastAsia="仿宋_GB2312" w:cs="仿宋_GB2312"/>
                <w:sz w:val="24"/>
                <w:szCs w:val="24"/>
                <w:highlight w:val="none"/>
                <w:lang w:val="en-US" w:eastAsia="zh-CN"/>
              </w:rPr>
              <w:t>①</w:t>
            </w:r>
            <w:r>
              <w:rPr>
                <w:rFonts w:hint="eastAsia" w:ascii="仿宋_GB2312" w:hAnsi="仿宋_GB2312" w:eastAsia="仿宋_GB2312" w:cs="仿宋_GB2312"/>
                <w:sz w:val="24"/>
                <w:szCs w:val="24"/>
                <w:highlight w:val="none"/>
              </w:rPr>
              <w:t>成员工作分配科学，</w:t>
            </w:r>
            <w:r>
              <w:rPr>
                <w:rFonts w:hint="eastAsia" w:ascii="仿宋_GB2312" w:hAnsi="仿宋_GB2312" w:eastAsia="仿宋_GB2312" w:cs="仿宋_GB2312"/>
                <w:sz w:val="24"/>
                <w:szCs w:val="24"/>
                <w:highlight w:val="none"/>
                <w:lang w:val="en-US" w:eastAsia="zh-CN"/>
              </w:rPr>
              <w:t>②</w:t>
            </w:r>
            <w:r>
              <w:rPr>
                <w:rFonts w:hint="eastAsia" w:ascii="仿宋_GB2312" w:hAnsi="仿宋_GB2312" w:eastAsia="仿宋_GB2312" w:cs="仿宋_GB2312"/>
                <w:sz w:val="24"/>
                <w:szCs w:val="24"/>
                <w:highlight w:val="none"/>
              </w:rPr>
              <w:t>进度安排科学紧凑。</w:t>
            </w:r>
          </w:p>
          <w:p w14:paraId="64A94DCA">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以上2项内容：每项内容内容完整、可实施、且有针对性得2.5分；内容完整、可实施得1分；方案基本完整得0.5分；未提供不得分。</w:t>
            </w:r>
          </w:p>
        </w:tc>
        <w:tc>
          <w:tcPr>
            <w:tcW w:w="1014" w:type="dxa"/>
            <w:shd w:val="clear" w:color="auto" w:fill="auto"/>
            <w:vAlign w:val="center"/>
          </w:tcPr>
          <w:p w14:paraId="4B00F74F">
            <w:pPr>
              <w:pStyle w:val="299"/>
              <w:jc w:val="center"/>
              <w:rPr>
                <w:rFonts w:ascii="仿宋_GB2312" w:hAnsi="仿宋_GB2312" w:eastAsia="仿宋_GB2312" w:cs="仿宋_GB2312"/>
                <w:sz w:val="36"/>
                <w:szCs w:val="44"/>
              </w:rPr>
            </w:pPr>
            <w:r>
              <w:rPr>
                <w:rFonts w:hint="eastAsia" w:ascii="仿宋_GB2312" w:hAnsi="仿宋_GB2312" w:eastAsia="仿宋_GB2312" w:cs="仿宋_GB2312"/>
                <w:sz w:val="22"/>
                <w:szCs w:val="22"/>
                <w:lang w:val="en-US" w:eastAsia="zh-CN"/>
              </w:rPr>
              <w:t>5</w:t>
            </w:r>
            <w:r>
              <w:rPr>
                <w:rFonts w:ascii="仿宋_GB2312" w:hAnsi="仿宋_GB2312" w:eastAsia="仿宋_GB2312" w:cs="仿宋_GB2312"/>
                <w:sz w:val="22"/>
                <w:szCs w:val="22"/>
              </w:rPr>
              <w:t>.0000</w:t>
            </w:r>
          </w:p>
        </w:tc>
      </w:tr>
      <w:tr w14:paraId="2F891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93" w:hRule="atLeast"/>
        </w:trPr>
        <w:tc>
          <w:tcPr>
            <w:tcW w:w="833" w:type="dxa"/>
            <w:vMerge w:val="continue"/>
            <w:vAlign w:val="center"/>
          </w:tcPr>
          <w:p w14:paraId="17B1EFCB">
            <w:pPr>
              <w:pStyle w:val="299"/>
              <w:rPr>
                <w:rFonts w:hint="default" w:ascii="仿宋_GB2312" w:hAnsi="仿宋_GB2312" w:eastAsia="仿宋_GB2312" w:cs="仿宋_GB2312"/>
                <w:sz w:val="24"/>
                <w:szCs w:val="24"/>
                <w:lang w:val="en-US" w:eastAsia="zh-CN"/>
              </w:rPr>
            </w:pPr>
          </w:p>
        </w:tc>
        <w:tc>
          <w:tcPr>
            <w:tcW w:w="1336" w:type="dxa"/>
            <w:tcBorders>
              <w:top w:val="single" w:color="auto" w:sz="4" w:space="0"/>
            </w:tcBorders>
            <w:vAlign w:val="center"/>
          </w:tcPr>
          <w:p w14:paraId="5C471D2C">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团队技术能力</w:t>
            </w:r>
          </w:p>
        </w:tc>
        <w:tc>
          <w:tcPr>
            <w:tcW w:w="6555" w:type="dxa"/>
            <w:vAlign w:val="center"/>
          </w:tcPr>
          <w:p w14:paraId="1645F916">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针对本项目派往现场的测评团队中至少包含</w:t>
            </w:r>
            <w:r>
              <w:rPr>
                <w:rFonts w:hint="default"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rPr>
              <w:t>名高级测评师，</w:t>
            </w:r>
            <w:r>
              <w:rPr>
                <w:rFonts w:hint="default"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rPr>
              <w:t>名中级测评师，</w:t>
            </w:r>
            <w:r>
              <w:rPr>
                <w:rFonts w:hint="default"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val="en-US" w:eastAsia="zh-CN"/>
              </w:rPr>
              <w:t>名</w:t>
            </w:r>
            <w:r>
              <w:rPr>
                <w:rFonts w:hint="eastAsia" w:ascii="仿宋_GB2312" w:hAnsi="仿宋_GB2312" w:eastAsia="仿宋_GB2312" w:cs="仿宋_GB2312"/>
                <w:sz w:val="24"/>
                <w:szCs w:val="24"/>
                <w:lang w:val="en-US" w:eastAsia="zh-Hans"/>
              </w:rPr>
              <w:t>初</w:t>
            </w:r>
            <w:r>
              <w:rPr>
                <w:rFonts w:hint="eastAsia" w:ascii="仿宋_GB2312" w:hAnsi="仿宋_GB2312" w:eastAsia="仿宋_GB2312" w:cs="仿宋_GB2312"/>
                <w:sz w:val="24"/>
                <w:szCs w:val="24"/>
                <w:lang w:val="en-US" w:eastAsia="zh-CN"/>
              </w:rPr>
              <w:t>级测评师</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满足条件得2分；</w:t>
            </w:r>
            <w:r>
              <w:rPr>
                <w:rFonts w:hint="eastAsia" w:ascii="仿宋_GB2312" w:hAnsi="仿宋_GB2312" w:eastAsia="仿宋_GB2312" w:cs="仿宋_GB2312"/>
                <w:sz w:val="24"/>
                <w:szCs w:val="24"/>
                <w:lang w:val="en-US" w:eastAsia="zh-Hans"/>
              </w:rPr>
              <w:t>每增加</w:t>
            </w:r>
            <w:r>
              <w:rPr>
                <w:rFonts w:hint="default" w:ascii="仿宋_GB2312" w:hAnsi="仿宋_GB2312" w:eastAsia="仿宋_GB2312" w:cs="仿宋_GB2312"/>
                <w:sz w:val="24"/>
                <w:szCs w:val="24"/>
                <w:lang w:val="en-US" w:eastAsia="zh-Hans"/>
              </w:rPr>
              <w:t>1</w:t>
            </w:r>
            <w:r>
              <w:rPr>
                <w:rFonts w:hint="eastAsia" w:ascii="仿宋_GB2312" w:hAnsi="仿宋_GB2312" w:eastAsia="仿宋_GB2312" w:cs="仿宋_GB2312"/>
                <w:sz w:val="24"/>
                <w:szCs w:val="24"/>
                <w:lang w:val="en-US" w:eastAsia="zh-Hans"/>
              </w:rPr>
              <w:t>名高级测评师</w:t>
            </w:r>
            <w:r>
              <w:rPr>
                <w:rFonts w:hint="default" w:ascii="仿宋_GB2312" w:hAnsi="仿宋_GB2312" w:eastAsia="仿宋_GB2312" w:cs="仿宋_GB2312"/>
                <w:sz w:val="24"/>
                <w:szCs w:val="24"/>
                <w:lang w:val="en-US" w:eastAsia="zh-Hans"/>
              </w:rPr>
              <w:t>，</w:t>
            </w:r>
            <w:r>
              <w:rPr>
                <w:rFonts w:hint="eastAsia" w:ascii="仿宋_GB2312" w:hAnsi="仿宋_GB2312" w:eastAsia="仿宋_GB2312" w:cs="仿宋_GB2312"/>
                <w:sz w:val="24"/>
                <w:szCs w:val="24"/>
                <w:lang w:val="en-US" w:eastAsia="zh-Hans"/>
              </w:rPr>
              <w:t>加</w:t>
            </w:r>
            <w:r>
              <w:rPr>
                <w:rFonts w:hint="default" w:ascii="仿宋_GB2312" w:hAnsi="仿宋_GB2312" w:eastAsia="仿宋_GB2312" w:cs="仿宋_GB2312"/>
                <w:sz w:val="24"/>
                <w:szCs w:val="24"/>
                <w:lang w:val="en-US" w:eastAsia="zh-Hans"/>
              </w:rPr>
              <w:t>1</w:t>
            </w:r>
            <w:r>
              <w:rPr>
                <w:rFonts w:hint="eastAsia" w:ascii="仿宋_GB2312" w:hAnsi="仿宋_GB2312" w:eastAsia="仿宋_GB2312" w:cs="仿宋_GB2312"/>
                <w:sz w:val="24"/>
                <w:szCs w:val="24"/>
                <w:lang w:val="en-US" w:eastAsia="zh-Hans"/>
              </w:rPr>
              <w:t>分</w:t>
            </w:r>
            <w:r>
              <w:rPr>
                <w:rFonts w:hint="eastAsia" w:ascii="仿宋_GB2312" w:hAnsi="仿宋_GB2312" w:eastAsia="仿宋_GB2312" w:cs="仿宋_GB2312"/>
                <w:sz w:val="24"/>
                <w:szCs w:val="24"/>
                <w:lang w:val="en-US" w:eastAsia="zh-CN"/>
              </w:rPr>
              <w:t>。</w:t>
            </w:r>
          </w:p>
          <w:p w14:paraId="0C0789C2">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w:t>
            </w:r>
            <w:r>
              <w:rPr>
                <w:rFonts w:hint="eastAsia" w:ascii="仿宋_GB2312" w:hAnsi="仿宋_GB2312" w:eastAsia="仿宋_GB2312" w:cs="仿宋_GB2312"/>
                <w:sz w:val="24"/>
                <w:szCs w:val="24"/>
                <w:lang w:val="en-US" w:eastAsia="zh-Hans"/>
              </w:rPr>
              <w:t>共计</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b/>
                <w:bCs/>
                <w:sz w:val="24"/>
                <w:szCs w:val="24"/>
                <w:lang w:val="en-US" w:eastAsia="zh-CN"/>
              </w:rPr>
              <w:t>以近三个月社保缴纳证明及全国网络安全等级保护网查询结果为准。</w:t>
            </w:r>
          </w:p>
        </w:tc>
        <w:tc>
          <w:tcPr>
            <w:tcW w:w="1014" w:type="dxa"/>
            <w:shd w:val="clear" w:color="auto" w:fill="auto"/>
            <w:vAlign w:val="center"/>
          </w:tcPr>
          <w:p w14:paraId="17100E36">
            <w:pPr>
              <w:pStyle w:val="299"/>
              <w:jc w:val="center"/>
              <w:rPr>
                <w:rFonts w:ascii="仿宋_GB2312" w:hAnsi="仿宋_GB2312" w:eastAsia="仿宋_GB2312" w:cs="仿宋_GB2312"/>
                <w:sz w:val="36"/>
                <w:szCs w:val="44"/>
              </w:rPr>
            </w:pPr>
            <w:r>
              <w:rPr>
                <w:rFonts w:hint="eastAsia" w:ascii="仿宋_GB2312" w:hAnsi="仿宋_GB2312" w:eastAsia="仿宋_GB2312" w:cs="仿宋_GB2312"/>
                <w:sz w:val="22"/>
                <w:szCs w:val="22"/>
                <w:lang w:val="en-US" w:eastAsia="zh-CN"/>
              </w:rPr>
              <w:t>5</w:t>
            </w:r>
            <w:r>
              <w:rPr>
                <w:rFonts w:ascii="仿宋_GB2312" w:hAnsi="仿宋_GB2312" w:eastAsia="仿宋_GB2312" w:cs="仿宋_GB2312"/>
                <w:sz w:val="22"/>
                <w:szCs w:val="22"/>
              </w:rPr>
              <w:t>.0000</w:t>
            </w:r>
          </w:p>
        </w:tc>
      </w:tr>
      <w:tr w14:paraId="29CB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5" w:hRule="atLeast"/>
        </w:trPr>
        <w:tc>
          <w:tcPr>
            <w:tcW w:w="833" w:type="dxa"/>
            <w:vMerge w:val="continue"/>
            <w:vAlign w:val="center"/>
          </w:tcPr>
          <w:p w14:paraId="5D9A9487">
            <w:pPr>
              <w:pStyle w:val="299"/>
              <w:rPr>
                <w:rFonts w:ascii="仿宋_GB2312" w:hAnsi="仿宋_GB2312" w:eastAsia="仿宋_GB2312" w:cs="仿宋_GB2312"/>
                <w:sz w:val="24"/>
                <w:szCs w:val="24"/>
              </w:rPr>
            </w:pPr>
          </w:p>
        </w:tc>
        <w:tc>
          <w:tcPr>
            <w:tcW w:w="1336" w:type="dxa"/>
            <w:vAlign w:val="center"/>
          </w:tcPr>
          <w:p w14:paraId="749E1134">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团队技术能力</w:t>
            </w:r>
          </w:p>
        </w:tc>
        <w:tc>
          <w:tcPr>
            <w:tcW w:w="6555" w:type="dxa"/>
            <w:vAlign w:val="center"/>
          </w:tcPr>
          <w:p w14:paraId="55433E46">
            <w:pPr>
              <w:pStyle w:val="299"/>
              <w:rPr>
                <w:rFonts w:hint="default"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CN"/>
              </w:rPr>
              <w:t>针对本项目项目组成员具有测评师证书</w:t>
            </w:r>
            <w:r>
              <w:rPr>
                <w:rFonts w:hint="eastAsia" w:ascii="仿宋_GB2312" w:hAnsi="仿宋_GB2312" w:eastAsia="仿宋_GB2312" w:cs="仿宋_GB2312"/>
                <w:sz w:val="24"/>
                <w:szCs w:val="24"/>
                <w:lang w:val="en-US" w:eastAsia="zh-Hans"/>
              </w:rPr>
              <w:t>同时</w:t>
            </w:r>
            <w:r>
              <w:rPr>
                <w:rFonts w:hint="eastAsia" w:ascii="仿宋_GB2312" w:hAnsi="仿宋_GB2312" w:eastAsia="仿宋_GB2312" w:cs="仿宋_GB2312"/>
                <w:sz w:val="24"/>
                <w:szCs w:val="24"/>
                <w:lang w:val="en-US" w:eastAsia="zh-CN"/>
              </w:rPr>
              <w:t>具备高级信息系统项目管理师证书（软考）、信息安全工程师（中级）证书（软考）、</w:t>
            </w:r>
            <w:r>
              <w:rPr>
                <w:rFonts w:hint="eastAsia" w:ascii="仿宋_GB2312" w:hAnsi="仿宋_GB2312" w:eastAsia="仿宋_GB2312" w:cs="仿宋_GB2312"/>
                <w:sz w:val="24"/>
                <w:szCs w:val="24"/>
                <w:lang w:val="en-US" w:eastAsia="zh-Hans"/>
              </w:rPr>
              <w:t>或</w:t>
            </w:r>
            <w:r>
              <w:rPr>
                <w:rFonts w:hint="eastAsia" w:ascii="仿宋_GB2312" w:hAnsi="仿宋_GB2312" w:eastAsia="仿宋_GB2312" w:cs="仿宋_GB2312"/>
                <w:sz w:val="24"/>
                <w:szCs w:val="24"/>
                <w:lang w:val="en-US" w:eastAsia="zh-CN"/>
              </w:rPr>
              <w:t>信息安全保障人员-CISAW证书（风险管理）</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Hans"/>
              </w:rPr>
              <w:t>网络安全应用检测专业测评人员证书（NSATP-A）</w:t>
            </w:r>
            <w:r>
              <w:rPr>
                <w:rFonts w:hint="default" w:ascii="仿宋_GB2312" w:hAnsi="仿宋_GB2312" w:eastAsia="仿宋_GB2312" w:cs="仿宋_GB2312"/>
                <w:sz w:val="24"/>
                <w:szCs w:val="24"/>
                <w:lang w:val="en-US" w:eastAsia="zh-Hans"/>
              </w:rPr>
              <w:t>、</w:t>
            </w:r>
            <w:r>
              <w:rPr>
                <w:rFonts w:hint="eastAsia" w:ascii="仿宋_GB2312" w:hAnsi="仿宋_GB2312" w:eastAsia="仿宋_GB2312" w:cs="仿宋_GB2312"/>
                <w:sz w:val="24"/>
                <w:szCs w:val="24"/>
                <w:lang w:val="en-US" w:eastAsia="zh-Hans"/>
              </w:rPr>
              <w:t>注册网络安全测评讲师证书等</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Hans"/>
              </w:rPr>
              <w:t>每提供</w:t>
            </w:r>
            <w:r>
              <w:rPr>
                <w:rFonts w:hint="default" w:ascii="仿宋_GB2312" w:hAnsi="仿宋_GB2312" w:eastAsia="仿宋_GB2312" w:cs="仿宋_GB2312"/>
                <w:sz w:val="24"/>
                <w:szCs w:val="24"/>
                <w:lang w:val="en-US" w:eastAsia="zh-Hans"/>
              </w:rPr>
              <w:t>1</w:t>
            </w:r>
            <w:r>
              <w:rPr>
                <w:rFonts w:hint="eastAsia" w:ascii="仿宋_GB2312" w:hAnsi="仿宋_GB2312" w:eastAsia="仿宋_GB2312" w:cs="仿宋_GB2312"/>
                <w:sz w:val="24"/>
                <w:szCs w:val="24"/>
                <w:lang w:val="en-US" w:eastAsia="zh-Hans"/>
              </w:rPr>
              <w:t>类证书</w:t>
            </w:r>
            <w:r>
              <w:rPr>
                <w:rFonts w:hint="default" w:ascii="仿宋_GB2312" w:hAnsi="仿宋_GB2312" w:eastAsia="仿宋_GB2312" w:cs="仿宋_GB2312"/>
                <w:sz w:val="24"/>
                <w:szCs w:val="24"/>
                <w:lang w:val="en-US" w:eastAsia="zh-Hans"/>
              </w:rPr>
              <w:t>，</w:t>
            </w:r>
            <w:r>
              <w:rPr>
                <w:rFonts w:hint="eastAsia" w:ascii="仿宋_GB2312" w:hAnsi="仿宋_GB2312" w:eastAsia="仿宋_GB2312" w:cs="仿宋_GB2312"/>
                <w:sz w:val="24"/>
                <w:szCs w:val="24"/>
                <w:lang w:val="en-US" w:eastAsia="zh-Hans"/>
              </w:rPr>
              <w:t>得</w:t>
            </w:r>
            <w:r>
              <w:rPr>
                <w:rFonts w:hint="default" w:ascii="仿宋_GB2312" w:hAnsi="仿宋_GB2312" w:eastAsia="仿宋_GB2312" w:cs="仿宋_GB2312"/>
                <w:sz w:val="24"/>
                <w:szCs w:val="24"/>
                <w:lang w:val="en-US" w:eastAsia="zh-Hans"/>
              </w:rPr>
              <w:t>1</w:t>
            </w:r>
            <w:r>
              <w:rPr>
                <w:rFonts w:hint="eastAsia" w:ascii="仿宋_GB2312" w:hAnsi="仿宋_GB2312" w:eastAsia="仿宋_GB2312" w:cs="仿宋_GB2312"/>
                <w:sz w:val="24"/>
                <w:szCs w:val="24"/>
                <w:lang w:val="en-US" w:eastAsia="zh-Hans"/>
              </w:rPr>
              <w:t>分</w:t>
            </w:r>
            <w:r>
              <w:rPr>
                <w:rFonts w:hint="default" w:ascii="仿宋_GB2312" w:hAnsi="仿宋_GB2312" w:eastAsia="仿宋_GB2312" w:cs="仿宋_GB2312"/>
                <w:sz w:val="24"/>
                <w:szCs w:val="24"/>
                <w:lang w:val="en-US" w:eastAsia="zh-Hans"/>
              </w:rPr>
              <w:t>。</w:t>
            </w:r>
          </w:p>
          <w:p w14:paraId="20D581F3">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本项共计5分。</w:t>
            </w:r>
            <w:r>
              <w:rPr>
                <w:rFonts w:hint="eastAsia" w:ascii="仿宋_GB2312" w:hAnsi="仿宋_GB2312" w:eastAsia="仿宋_GB2312" w:cs="仿宋_GB2312"/>
                <w:b/>
                <w:bCs/>
                <w:sz w:val="24"/>
                <w:szCs w:val="24"/>
              </w:rPr>
              <w:t>以近三个月社保缴纳证明为准。</w:t>
            </w:r>
          </w:p>
        </w:tc>
        <w:tc>
          <w:tcPr>
            <w:tcW w:w="1014" w:type="dxa"/>
            <w:shd w:val="clear" w:color="auto" w:fill="auto"/>
            <w:vAlign w:val="center"/>
          </w:tcPr>
          <w:p w14:paraId="7B87A323">
            <w:pPr>
              <w:pStyle w:val="299"/>
              <w:jc w:val="center"/>
              <w:rPr>
                <w:rFonts w:ascii="仿宋_GB2312" w:hAnsi="仿宋_GB2312" w:eastAsia="仿宋_GB2312" w:cs="仿宋_GB2312"/>
                <w:sz w:val="36"/>
                <w:szCs w:val="44"/>
              </w:rPr>
            </w:pPr>
            <w:r>
              <w:rPr>
                <w:rFonts w:hint="eastAsia" w:ascii="仿宋_GB2312" w:hAnsi="仿宋_GB2312" w:eastAsia="仿宋_GB2312" w:cs="仿宋_GB2312"/>
                <w:sz w:val="22"/>
                <w:szCs w:val="22"/>
                <w:lang w:val="en-US" w:eastAsia="zh-CN"/>
              </w:rPr>
              <w:t>5</w:t>
            </w:r>
            <w:r>
              <w:rPr>
                <w:rFonts w:ascii="仿宋_GB2312" w:hAnsi="仿宋_GB2312" w:eastAsia="仿宋_GB2312" w:cs="仿宋_GB2312"/>
                <w:sz w:val="22"/>
                <w:szCs w:val="22"/>
              </w:rPr>
              <w:t>.0000</w:t>
            </w:r>
          </w:p>
        </w:tc>
      </w:tr>
      <w:tr w14:paraId="475C5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7" w:hRule="atLeast"/>
        </w:trPr>
        <w:tc>
          <w:tcPr>
            <w:tcW w:w="833" w:type="dxa"/>
            <w:vMerge w:val="continue"/>
            <w:vAlign w:val="center"/>
          </w:tcPr>
          <w:p w14:paraId="5BB61E8F">
            <w:pPr>
              <w:rPr>
                <w:sz w:val="28"/>
                <w:szCs w:val="36"/>
              </w:rPr>
            </w:pPr>
          </w:p>
        </w:tc>
        <w:tc>
          <w:tcPr>
            <w:tcW w:w="1336" w:type="dxa"/>
            <w:vAlign w:val="center"/>
          </w:tcPr>
          <w:p w14:paraId="115B911B">
            <w:pPr>
              <w:pStyle w:val="299"/>
              <w:rPr>
                <w:sz w:val="24"/>
                <w:szCs w:val="24"/>
              </w:rPr>
            </w:pPr>
            <w:r>
              <w:rPr>
                <w:rFonts w:hint="eastAsia" w:ascii="仿宋_GB2312" w:hAnsi="仿宋_GB2312" w:eastAsia="仿宋_GB2312" w:cs="仿宋_GB2312"/>
                <w:sz w:val="24"/>
                <w:szCs w:val="24"/>
                <w:lang w:val="en-US" w:eastAsia="zh-Hans"/>
              </w:rPr>
              <w:t>售后服务</w:t>
            </w:r>
          </w:p>
        </w:tc>
        <w:tc>
          <w:tcPr>
            <w:tcW w:w="6555" w:type="dxa"/>
            <w:vAlign w:val="center"/>
          </w:tcPr>
          <w:p w14:paraId="56FCA41D">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为保障测评项目结束后的</w:t>
            </w:r>
            <w:r>
              <w:rPr>
                <w:rFonts w:hint="eastAsia" w:ascii="仿宋_GB2312" w:hAnsi="仿宋_GB2312" w:eastAsia="仿宋_GB2312" w:cs="仿宋_GB2312"/>
                <w:sz w:val="24"/>
                <w:szCs w:val="24"/>
                <w:lang w:val="en-US" w:eastAsia="zh-Hans"/>
              </w:rPr>
              <w:t>售后服务</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eastAsia="zh-CN"/>
              </w:rPr>
              <w:t>服务商</w:t>
            </w:r>
            <w:r>
              <w:rPr>
                <w:rFonts w:hint="eastAsia" w:ascii="仿宋_GB2312" w:hAnsi="仿宋_GB2312" w:eastAsia="仿宋_GB2312" w:cs="仿宋_GB2312"/>
                <w:sz w:val="24"/>
                <w:szCs w:val="24"/>
                <w:lang w:val="en-US" w:eastAsia="zh-CN"/>
              </w:rPr>
              <w:t>须提供完善的售后服务，包括①应急响应服务、②电话支持服务、③配合检查服务、④安全咨询服务</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⑤</w:t>
            </w:r>
            <w:r>
              <w:rPr>
                <w:rFonts w:hint="eastAsia" w:ascii="仿宋_GB2312" w:hAnsi="仿宋_GB2312" w:eastAsia="仿宋_GB2312" w:cs="仿宋_GB2312"/>
                <w:sz w:val="24"/>
                <w:szCs w:val="24"/>
                <w:lang w:val="en-US" w:eastAsia="zh-Hans"/>
              </w:rPr>
              <w:t>安全培训</w:t>
            </w:r>
            <w:r>
              <w:rPr>
                <w:rFonts w:hint="eastAsia" w:ascii="仿宋_GB2312" w:hAnsi="仿宋_GB2312" w:eastAsia="仿宋_GB2312" w:cs="仿宋_GB2312"/>
                <w:sz w:val="24"/>
                <w:szCs w:val="24"/>
                <w:lang w:val="en-US" w:eastAsia="zh-CN"/>
              </w:rPr>
              <w:t>等内容，能提供以上服务并做出相应说明，服务内容完善并有详细的说明。</w:t>
            </w:r>
          </w:p>
          <w:p w14:paraId="0A89DC54">
            <w:pPr>
              <w:pStyle w:val="29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以上5项内容：每项内容内容完整、可实施、且有针对性得2分；内容完整、可实施得1分；方案基本完整得0.5分；未提供不得分。</w:t>
            </w:r>
          </w:p>
          <w:p w14:paraId="4D37E7D4">
            <w:pPr>
              <w:pStyle w:val="299"/>
              <w:rPr>
                <w:rFonts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本项满分</w:t>
            </w:r>
            <w:r>
              <w:rPr>
                <w:rFonts w:hint="default"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val="en-US" w:eastAsia="zh-CN"/>
              </w:rPr>
              <w:t>分。</w:t>
            </w:r>
          </w:p>
        </w:tc>
        <w:tc>
          <w:tcPr>
            <w:tcW w:w="1014" w:type="dxa"/>
            <w:vAlign w:val="center"/>
          </w:tcPr>
          <w:p w14:paraId="1C77BDF7">
            <w:pPr>
              <w:pStyle w:val="299"/>
              <w:jc w:val="center"/>
              <w:rPr>
                <w:sz w:val="36"/>
                <w:szCs w:val="44"/>
              </w:rPr>
            </w:pPr>
            <w:r>
              <w:rPr>
                <w:rFonts w:ascii="仿宋_GB2312" w:hAnsi="仿宋_GB2312" w:eastAsia="仿宋_GB2312" w:cs="仿宋_GB2312"/>
                <w:sz w:val="22"/>
                <w:szCs w:val="22"/>
              </w:rPr>
              <w:t>10.0000</w:t>
            </w:r>
          </w:p>
        </w:tc>
      </w:tr>
      <w:tr w14:paraId="69385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1" w:hRule="atLeast"/>
        </w:trPr>
        <w:tc>
          <w:tcPr>
            <w:tcW w:w="833" w:type="dxa"/>
            <w:vMerge w:val="continue"/>
            <w:tcBorders>
              <w:bottom w:val="single" w:color="auto" w:sz="4" w:space="0"/>
            </w:tcBorders>
            <w:vAlign w:val="center"/>
          </w:tcPr>
          <w:p w14:paraId="0FA9D096">
            <w:pPr>
              <w:rPr>
                <w:sz w:val="28"/>
                <w:szCs w:val="36"/>
              </w:rPr>
            </w:pPr>
          </w:p>
        </w:tc>
        <w:tc>
          <w:tcPr>
            <w:tcW w:w="1336" w:type="dxa"/>
            <w:vAlign w:val="center"/>
          </w:tcPr>
          <w:p w14:paraId="429FE82C">
            <w:pPr>
              <w:pStyle w:val="29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质量保证</w:t>
            </w:r>
          </w:p>
        </w:tc>
        <w:tc>
          <w:tcPr>
            <w:tcW w:w="6555" w:type="dxa"/>
            <w:vAlign w:val="center"/>
          </w:tcPr>
          <w:p w14:paraId="7E9B7550">
            <w:pPr>
              <w:pStyle w:val="29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为保证项目质量，具备自研的网络安全等级保护测评、渗透测试或安全核查服务工具等，提供</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个以上（含</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个）得</w:t>
            </w:r>
            <w:r>
              <w:rPr>
                <w:rFonts w:hint="default" w:ascii="仿宋_GB2312" w:hAnsi="仿宋_GB2312" w:eastAsia="仿宋_GB2312" w:cs="仿宋_GB2312"/>
                <w:sz w:val="24"/>
                <w:szCs w:val="24"/>
              </w:rPr>
              <w:t>10</w:t>
            </w:r>
            <w:r>
              <w:rPr>
                <w:rFonts w:hint="eastAsia" w:ascii="仿宋_GB2312" w:hAnsi="仿宋_GB2312" w:eastAsia="仿宋_GB2312" w:cs="仿宋_GB2312"/>
                <w:sz w:val="24"/>
                <w:szCs w:val="24"/>
              </w:rPr>
              <w:t>分。提供</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个以上（含</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个）得</w:t>
            </w:r>
            <w:r>
              <w:rPr>
                <w:rFonts w:hint="default" w:ascii="仿宋_GB2312" w:hAnsi="仿宋_GB2312" w:eastAsia="仿宋_GB2312" w:cs="仿宋_GB2312"/>
                <w:sz w:val="24"/>
                <w:szCs w:val="24"/>
              </w:rPr>
              <w:t>5</w:t>
            </w:r>
            <w:r>
              <w:rPr>
                <w:rFonts w:hint="eastAsia" w:ascii="仿宋_GB2312" w:hAnsi="仿宋_GB2312" w:eastAsia="仿宋_GB2312" w:cs="仿宋_GB2312"/>
                <w:sz w:val="24"/>
                <w:szCs w:val="24"/>
              </w:rPr>
              <w:t>分，提供</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个以下不得分。</w:t>
            </w:r>
            <w:r>
              <w:rPr>
                <w:rFonts w:hint="eastAsia" w:ascii="仿宋_GB2312" w:hAnsi="仿宋_GB2312" w:eastAsia="仿宋_GB2312" w:cs="仿宋_GB2312"/>
                <w:sz w:val="24"/>
                <w:szCs w:val="24"/>
                <w:lang w:val="en-US" w:eastAsia="zh-CN"/>
              </w:rPr>
              <w:t>以提供软件著作权证书为准。</w:t>
            </w:r>
          </w:p>
        </w:tc>
        <w:tc>
          <w:tcPr>
            <w:tcW w:w="1014" w:type="dxa"/>
            <w:vAlign w:val="center"/>
          </w:tcPr>
          <w:p w14:paraId="75887EF8">
            <w:pPr>
              <w:pStyle w:val="299"/>
              <w:jc w:val="center"/>
              <w:rPr>
                <w:rFonts w:ascii="仿宋_GB2312" w:hAnsi="仿宋_GB2312" w:eastAsia="仿宋_GB2312" w:cs="仿宋_GB2312"/>
                <w:sz w:val="36"/>
                <w:szCs w:val="44"/>
              </w:rPr>
            </w:pPr>
            <w:r>
              <w:rPr>
                <w:rFonts w:hint="eastAsia" w:ascii="仿宋_GB2312" w:hAnsi="仿宋_GB2312" w:eastAsia="仿宋_GB2312" w:cs="仿宋_GB2312"/>
                <w:sz w:val="22"/>
                <w:szCs w:val="22"/>
                <w:lang w:val="en-US" w:eastAsia="zh-CN"/>
              </w:rPr>
              <w:t>10.0000</w:t>
            </w:r>
          </w:p>
        </w:tc>
      </w:tr>
      <w:tr w14:paraId="6191D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5" w:hRule="atLeast"/>
        </w:trPr>
        <w:tc>
          <w:tcPr>
            <w:tcW w:w="833" w:type="dxa"/>
            <w:vMerge w:val="restart"/>
            <w:tcBorders>
              <w:top w:val="single" w:color="auto" w:sz="4" w:space="0"/>
            </w:tcBorders>
            <w:vAlign w:val="center"/>
          </w:tcPr>
          <w:p w14:paraId="0E703211">
            <w:pP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商务部分</w:t>
            </w:r>
          </w:p>
        </w:tc>
        <w:tc>
          <w:tcPr>
            <w:tcW w:w="1336" w:type="dxa"/>
            <w:vAlign w:val="center"/>
          </w:tcPr>
          <w:p w14:paraId="447DD5F8">
            <w:pPr>
              <w:pStyle w:val="29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企业实力</w:t>
            </w:r>
          </w:p>
        </w:tc>
        <w:tc>
          <w:tcPr>
            <w:tcW w:w="6555" w:type="dxa"/>
            <w:vAlign w:val="center"/>
          </w:tcPr>
          <w:p w14:paraId="148EBCB5">
            <w:pPr>
              <w:pStyle w:val="299"/>
              <w:keepNext w:val="0"/>
              <w:keepLines w:val="0"/>
              <w:pageBreakBefore w:val="0"/>
              <w:widowControl/>
              <w:numPr>
                <w:ilvl w:val="0"/>
                <w:numId w:val="9"/>
              </w:numPr>
              <w:kinsoku/>
              <w:wordWrap/>
              <w:overflowPunct/>
              <w:topLinePunct w:val="0"/>
              <w:autoSpaceDE/>
              <w:autoSpaceDN/>
              <w:bidi w:val="0"/>
              <w:adjustRightInd/>
              <w:snapToGrid/>
              <w:ind w:left="0" w:leftChars="0" w:firstLine="0" w:firstLineChars="0"/>
              <w:textAlignment w:val="auto"/>
              <w:rPr>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lang w:val="en-US" w:eastAsia="zh-Hans"/>
              </w:rPr>
              <w:t>具有中国网络安全审查技术与认证中心颁发的信息安全风险评估服务资质</w:t>
            </w:r>
            <w:r>
              <w:rPr>
                <w:rFonts w:hint="default" w:ascii="仿宋_GB2312" w:hAnsi="仿宋_GB2312" w:eastAsia="仿宋_GB2312" w:cs="仿宋_GB2312"/>
                <w:sz w:val="24"/>
                <w:szCs w:val="24"/>
                <w:lang w:val="en-US" w:eastAsia="zh-Hans"/>
              </w:rPr>
              <w:t>，</w:t>
            </w:r>
            <w:r>
              <w:rPr>
                <w:rFonts w:hint="eastAsia" w:ascii="仿宋_GB2312" w:hAnsi="仿宋_GB2312" w:eastAsia="仿宋_GB2312" w:cs="仿宋_GB2312"/>
                <w:sz w:val="24"/>
                <w:szCs w:val="24"/>
                <w:lang w:val="en-US" w:eastAsia="zh-Hans"/>
              </w:rPr>
              <w:t>一级资质证书得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Hans"/>
              </w:rPr>
              <w:t>分</w:t>
            </w:r>
            <w:r>
              <w:rPr>
                <w:rFonts w:hint="eastAsia" w:ascii="仿宋_GB2312" w:hAnsi="仿宋_GB2312" w:eastAsia="仿宋_GB2312" w:cs="仿宋_GB2312"/>
                <w:sz w:val="24"/>
                <w:szCs w:val="24"/>
                <w:lang w:val="en-US" w:eastAsia="zh-CN"/>
              </w:rPr>
              <w:t>，二级资质证书</w:t>
            </w:r>
            <w:r>
              <w:rPr>
                <w:rFonts w:hint="eastAsia" w:ascii="仿宋_GB2312" w:hAnsi="仿宋_GB2312" w:eastAsia="仿宋_GB2312" w:cs="仿宋_GB2312"/>
                <w:sz w:val="24"/>
                <w:szCs w:val="24"/>
                <w:lang w:val="en-US" w:eastAsia="zh-Hans"/>
              </w:rPr>
              <w:t>得</w:t>
            </w:r>
            <w:r>
              <w:rPr>
                <w:rFonts w:hint="eastAsia" w:ascii="仿宋_GB2312" w:hAnsi="仿宋_GB2312" w:eastAsia="仿宋_GB2312" w:cs="仿宋_GB2312"/>
                <w:sz w:val="24"/>
                <w:szCs w:val="24"/>
                <w:lang w:val="en-US" w:eastAsia="zh-CN"/>
              </w:rPr>
              <w:t>1分，其他情况不得分；</w:t>
            </w:r>
          </w:p>
          <w:p w14:paraId="35F76C36">
            <w:pPr>
              <w:pStyle w:val="299"/>
              <w:keepNext w:val="0"/>
              <w:keepLines w:val="0"/>
              <w:pageBreakBefore w:val="0"/>
              <w:widowControl/>
              <w:numPr>
                <w:ilvl w:val="0"/>
                <w:numId w:val="9"/>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lang w:val="en-US" w:eastAsia="zh-Hans"/>
              </w:rPr>
              <w:t>具有中国网络安全审查技术与认证中心颁发的信息安全应急处理服务资质</w:t>
            </w:r>
            <w:r>
              <w:rPr>
                <w:rFonts w:hint="default" w:ascii="仿宋_GB2312" w:hAnsi="仿宋_GB2312" w:eastAsia="仿宋_GB2312" w:cs="仿宋_GB2312"/>
                <w:sz w:val="24"/>
                <w:szCs w:val="24"/>
                <w:lang w:val="en-US" w:eastAsia="zh-Hans"/>
              </w:rPr>
              <w:t>，</w:t>
            </w:r>
            <w:r>
              <w:rPr>
                <w:rFonts w:hint="eastAsia" w:ascii="仿宋_GB2312" w:hAnsi="仿宋_GB2312" w:eastAsia="仿宋_GB2312" w:cs="仿宋_GB2312"/>
                <w:sz w:val="24"/>
                <w:szCs w:val="24"/>
                <w:lang w:val="en-US" w:eastAsia="zh-Hans"/>
              </w:rPr>
              <w:t>一级资质证书得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Hans"/>
              </w:rPr>
              <w:t>分</w:t>
            </w:r>
            <w:r>
              <w:rPr>
                <w:rFonts w:hint="eastAsia" w:ascii="仿宋_GB2312" w:hAnsi="仿宋_GB2312" w:eastAsia="仿宋_GB2312" w:cs="仿宋_GB2312"/>
                <w:sz w:val="24"/>
                <w:szCs w:val="24"/>
                <w:lang w:val="en-US" w:eastAsia="zh-CN"/>
              </w:rPr>
              <w:t>，二级资质证书</w:t>
            </w:r>
            <w:r>
              <w:rPr>
                <w:rFonts w:hint="eastAsia" w:ascii="仿宋_GB2312" w:hAnsi="仿宋_GB2312" w:eastAsia="仿宋_GB2312" w:cs="仿宋_GB2312"/>
                <w:sz w:val="24"/>
                <w:szCs w:val="24"/>
                <w:lang w:val="en-US" w:eastAsia="zh-Hans"/>
              </w:rPr>
              <w:t>得</w:t>
            </w:r>
            <w:r>
              <w:rPr>
                <w:rFonts w:hint="eastAsia" w:ascii="仿宋_GB2312" w:hAnsi="仿宋_GB2312" w:eastAsia="仿宋_GB2312" w:cs="仿宋_GB2312"/>
                <w:sz w:val="24"/>
                <w:szCs w:val="24"/>
                <w:lang w:val="en-US" w:eastAsia="zh-CN"/>
              </w:rPr>
              <w:t>1分，其他情况不得分；</w:t>
            </w:r>
          </w:p>
          <w:p w14:paraId="611F3492">
            <w:pPr>
              <w:pStyle w:val="299"/>
              <w:keepNext w:val="0"/>
              <w:keepLines w:val="0"/>
              <w:pageBreakBefore w:val="0"/>
              <w:widowControl/>
              <w:numPr>
                <w:ilvl w:val="0"/>
                <w:numId w:val="9"/>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lang w:val="en-US" w:eastAsia="zh-Hans"/>
              </w:rPr>
              <w:t>具有中国网络安全审查技术与认证中心颁发的信息系统</w:t>
            </w:r>
            <w:r>
              <w:rPr>
                <w:rFonts w:hint="eastAsia" w:ascii="仿宋_GB2312" w:hAnsi="仿宋_GB2312" w:eastAsia="仿宋_GB2312" w:cs="仿宋_GB2312"/>
                <w:sz w:val="24"/>
                <w:szCs w:val="24"/>
                <w:lang w:val="en-US" w:eastAsia="zh-CN"/>
              </w:rPr>
              <w:t>安全运维</w:t>
            </w:r>
            <w:r>
              <w:rPr>
                <w:rFonts w:hint="eastAsia" w:ascii="仿宋_GB2312" w:hAnsi="仿宋_GB2312" w:eastAsia="仿宋_GB2312" w:cs="仿宋_GB2312"/>
                <w:sz w:val="24"/>
                <w:szCs w:val="24"/>
                <w:lang w:val="en-US" w:eastAsia="zh-Hans"/>
              </w:rPr>
              <w:t>服务资质</w:t>
            </w:r>
            <w:r>
              <w:rPr>
                <w:rFonts w:hint="default" w:ascii="仿宋_GB2312" w:hAnsi="仿宋_GB2312" w:eastAsia="仿宋_GB2312" w:cs="仿宋_GB2312"/>
                <w:sz w:val="24"/>
                <w:szCs w:val="24"/>
                <w:lang w:val="en-US" w:eastAsia="zh-Hans"/>
              </w:rPr>
              <w:t>，</w:t>
            </w:r>
            <w:r>
              <w:rPr>
                <w:rFonts w:hint="eastAsia" w:ascii="仿宋_GB2312" w:hAnsi="仿宋_GB2312" w:eastAsia="仿宋_GB2312" w:cs="仿宋_GB2312"/>
                <w:sz w:val="24"/>
                <w:szCs w:val="24"/>
                <w:lang w:val="en-US" w:eastAsia="zh-Hans"/>
              </w:rPr>
              <w:t>一级资质证书得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Hans"/>
              </w:rPr>
              <w:t>分</w:t>
            </w:r>
            <w:r>
              <w:rPr>
                <w:rFonts w:hint="eastAsia" w:ascii="仿宋_GB2312" w:hAnsi="仿宋_GB2312" w:eastAsia="仿宋_GB2312" w:cs="仿宋_GB2312"/>
                <w:sz w:val="24"/>
                <w:szCs w:val="24"/>
                <w:lang w:val="en-US" w:eastAsia="zh-CN"/>
              </w:rPr>
              <w:t>，二级资质证书</w:t>
            </w:r>
            <w:r>
              <w:rPr>
                <w:rFonts w:hint="eastAsia" w:ascii="仿宋_GB2312" w:hAnsi="仿宋_GB2312" w:eastAsia="仿宋_GB2312" w:cs="仿宋_GB2312"/>
                <w:sz w:val="24"/>
                <w:szCs w:val="24"/>
                <w:lang w:val="en-US" w:eastAsia="zh-Hans"/>
              </w:rPr>
              <w:t>得</w:t>
            </w:r>
            <w:r>
              <w:rPr>
                <w:rFonts w:hint="eastAsia" w:ascii="仿宋_GB2312" w:hAnsi="仿宋_GB2312" w:eastAsia="仿宋_GB2312" w:cs="仿宋_GB2312"/>
                <w:sz w:val="24"/>
                <w:szCs w:val="24"/>
                <w:lang w:val="en-US" w:eastAsia="zh-CN"/>
              </w:rPr>
              <w:t>1分，其他情况不得分；</w:t>
            </w:r>
          </w:p>
          <w:p w14:paraId="59B96C12">
            <w:pPr>
              <w:pStyle w:val="299"/>
              <w:keepNext w:val="0"/>
              <w:keepLines w:val="0"/>
              <w:pageBreakBefore w:val="0"/>
              <w:widowControl/>
              <w:numPr>
                <w:ilvl w:val="0"/>
                <w:numId w:val="9"/>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lang w:val="en-US" w:eastAsia="zh-Hans"/>
              </w:rPr>
              <w:t>具有中国网络安全审查技术与认证中心颁发的信息系统灾难备份与恢复服务资质得</w:t>
            </w:r>
            <w:r>
              <w:rPr>
                <w:rFonts w:hint="eastAsia" w:ascii="仿宋_GB2312" w:hAnsi="仿宋_GB2312" w:eastAsia="仿宋_GB2312" w:cs="仿宋_GB2312"/>
                <w:sz w:val="24"/>
                <w:szCs w:val="24"/>
                <w:lang w:val="en-US" w:eastAsia="zh-CN"/>
              </w:rPr>
              <w:t>1分。</w:t>
            </w:r>
          </w:p>
        </w:tc>
        <w:tc>
          <w:tcPr>
            <w:tcW w:w="1014" w:type="dxa"/>
            <w:vAlign w:val="center"/>
          </w:tcPr>
          <w:p w14:paraId="1772547B">
            <w:pPr>
              <w:pStyle w:val="299"/>
              <w:jc w:val="center"/>
              <w:rPr>
                <w:sz w:val="32"/>
                <w:szCs w:val="32"/>
              </w:rPr>
            </w:pPr>
            <w:r>
              <w:rPr>
                <w:rFonts w:hint="eastAsia" w:ascii="仿宋_GB2312" w:hAnsi="仿宋_GB2312" w:eastAsia="仿宋_GB2312" w:cs="仿宋_GB2312"/>
                <w:sz w:val="22"/>
                <w:szCs w:val="22"/>
                <w:lang w:val="en-US" w:eastAsia="zh-CN"/>
              </w:rPr>
              <w:t>10</w:t>
            </w:r>
            <w:r>
              <w:rPr>
                <w:rFonts w:ascii="仿宋_GB2312" w:hAnsi="仿宋_GB2312" w:eastAsia="仿宋_GB2312" w:cs="仿宋_GB2312"/>
                <w:sz w:val="22"/>
                <w:szCs w:val="22"/>
              </w:rPr>
              <w:t>.0000</w:t>
            </w:r>
          </w:p>
        </w:tc>
      </w:tr>
      <w:tr w14:paraId="39E37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4" w:hRule="atLeast"/>
        </w:trPr>
        <w:tc>
          <w:tcPr>
            <w:tcW w:w="833" w:type="dxa"/>
            <w:vMerge w:val="continue"/>
            <w:vAlign w:val="center"/>
          </w:tcPr>
          <w:p w14:paraId="48DFB12D">
            <w:pPr>
              <w:rPr>
                <w:rFonts w:hint="default" w:ascii="仿宋_GB2312" w:hAnsi="仿宋_GB2312" w:eastAsia="仿宋_GB2312" w:cs="仿宋_GB2312"/>
                <w:kern w:val="0"/>
                <w:sz w:val="24"/>
                <w:szCs w:val="24"/>
                <w:lang w:val="en-US" w:eastAsia="zh-CN"/>
              </w:rPr>
            </w:pPr>
          </w:p>
        </w:tc>
        <w:tc>
          <w:tcPr>
            <w:tcW w:w="1336" w:type="dxa"/>
            <w:vAlign w:val="center"/>
          </w:tcPr>
          <w:p w14:paraId="772B5021">
            <w:pPr>
              <w:pStyle w:val="29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业绩</w:t>
            </w:r>
          </w:p>
        </w:tc>
        <w:tc>
          <w:tcPr>
            <w:tcW w:w="6555" w:type="dxa"/>
            <w:vAlign w:val="center"/>
          </w:tcPr>
          <w:p w14:paraId="71D1FF57">
            <w:pPr>
              <w:pStyle w:val="29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具有近三年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2022年11月1日至今</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Hans"/>
              </w:rPr>
              <w:t>同类项目</w:t>
            </w:r>
            <w:r>
              <w:rPr>
                <w:rFonts w:hint="eastAsia" w:ascii="仿宋_GB2312" w:hAnsi="仿宋_GB2312" w:eastAsia="仿宋_GB2312" w:cs="仿宋_GB2312"/>
                <w:sz w:val="24"/>
                <w:szCs w:val="24"/>
                <w:highlight w:val="none"/>
              </w:rPr>
              <w:t>业绩，每个1分，最高累计至10分。业绩证明文件需提供合同关键页并加盖单位公章，其他情况不得分。</w:t>
            </w:r>
          </w:p>
        </w:tc>
        <w:tc>
          <w:tcPr>
            <w:tcW w:w="1014" w:type="dxa"/>
            <w:vAlign w:val="center"/>
          </w:tcPr>
          <w:p w14:paraId="6B3A464B">
            <w:pPr>
              <w:pStyle w:val="299"/>
              <w:jc w:val="center"/>
              <w:rPr>
                <w:rFonts w:ascii="仿宋_GB2312" w:hAnsi="仿宋_GB2312" w:eastAsia="仿宋_GB2312" w:cs="仿宋_GB2312"/>
                <w:sz w:val="32"/>
                <w:szCs w:val="32"/>
              </w:rPr>
            </w:pPr>
            <w:r>
              <w:rPr>
                <w:rFonts w:hint="eastAsia" w:ascii="仿宋_GB2312" w:hAnsi="仿宋_GB2312" w:eastAsia="仿宋_GB2312" w:cs="仿宋_GB2312"/>
                <w:sz w:val="22"/>
                <w:szCs w:val="22"/>
                <w:lang w:val="en-US" w:eastAsia="zh-CN"/>
              </w:rPr>
              <w:t>10</w:t>
            </w:r>
            <w:r>
              <w:rPr>
                <w:rFonts w:ascii="仿宋_GB2312" w:hAnsi="仿宋_GB2312" w:eastAsia="仿宋_GB2312" w:cs="仿宋_GB2312"/>
                <w:sz w:val="22"/>
                <w:szCs w:val="22"/>
              </w:rPr>
              <w:t>.0000</w:t>
            </w:r>
          </w:p>
        </w:tc>
      </w:tr>
      <w:tr w14:paraId="5F88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7" w:hRule="atLeast"/>
        </w:trPr>
        <w:tc>
          <w:tcPr>
            <w:tcW w:w="833" w:type="dxa"/>
            <w:vAlign w:val="center"/>
          </w:tcPr>
          <w:p w14:paraId="4B7F4631">
            <w:pPr>
              <w:pStyle w:val="299"/>
              <w:rPr>
                <w:rFonts w:ascii="仿宋_GB2312" w:hAnsi="仿宋_GB2312" w:eastAsia="仿宋_GB2312" w:cs="仿宋_GB2312"/>
                <w:sz w:val="24"/>
                <w:szCs w:val="24"/>
              </w:rPr>
            </w:pPr>
            <w:r>
              <w:rPr>
                <w:rFonts w:ascii="仿宋_GB2312" w:hAnsi="仿宋_GB2312" w:eastAsia="仿宋_GB2312" w:cs="仿宋_GB2312"/>
                <w:sz w:val="24"/>
                <w:szCs w:val="24"/>
              </w:rPr>
              <w:t>价格分</w:t>
            </w:r>
          </w:p>
        </w:tc>
        <w:tc>
          <w:tcPr>
            <w:tcW w:w="1336" w:type="dxa"/>
            <w:vAlign w:val="center"/>
          </w:tcPr>
          <w:p w14:paraId="42E088B2">
            <w:pPr>
              <w:pStyle w:val="299"/>
              <w:rPr>
                <w:sz w:val="24"/>
                <w:szCs w:val="24"/>
              </w:rPr>
            </w:pPr>
            <w:r>
              <w:rPr>
                <w:rFonts w:ascii="仿宋_GB2312" w:hAnsi="仿宋_GB2312" w:eastAsia="仿宋_GB2312" w:cs="仿宋_GB2312"/>
                <w:sz w:val="24"/>
                <w:szCs w:val="24"/>
              </w:rPr>
              <w:t>价格分</w:t>
            </w:r>
          </w:p>
        </w:tc>
        <w:tc>
          <w:tcPr>
            <w:tcW w:w="6555" w:type="dxa"/>
            <w:vAlign w:val="center"/>
          </w:tcPr>
          <w:p w14:paraId="053C4A37">
            <w:pPr>
              <w:pStyle w:val="299"/>
              <w:rPr>
                <w:sz w:val="24"/>
                <w:szCs w:val="24"/>
              </w:rPr>
            </w:pPr>
            <w:r>
              <w:rPr>
                <w:rFonts w:ascii="仿宋_GB2312" w:hAnsi="仿宋_GB2312" w:eastAsia="仿宋_GB2312" w:cs="仿宋_GB2312"/>
                <w:sz w:val="24"/>
                <w:szCs w:val="24"/>
              </w:rPr>
              <w:t>价格分统一采用低价优先法计算，即满足</w:t>
            </w:r>
            <w:r>
              <w:rPr>
                <w:rFonts w:hint="eastAsia" w:ascii="仿宋_GB2312" w:hAnsi="仿宋_GB2312" w:eastAsia="仿宋_GB2312" w:cs="仿宋_GB2312"/>
                <w:sz w:val="24"/>
                <w:szCs w:val="24"/>
                <w:lang w:val="en-US" w:eastAsia="zh-CN"/>
              </w:rPr>
              <w:t>磋商</w:t>
            </w:r>
            <w:r>
              <w:rPr>
                <w:rFonts w:ascii="仿宋_GB2312" w:hAnsi="仿宋_GB2312" w:eastAsia="仿宋_GB2312" w:cs="仿宋_GB2312"/>
                <w:sz w:val="24"/>
                <w:szCs w:val="24"/>
              </w:rPr>
              <w:t>文件要求且</w:t>
            </w:r>
            <w:r>
              <w:rPr>
                <w:rFonts w:hint="eastAsia" w:ascii="仿宋_GB2312" w:hAnsi="仿宋_GB2312" w:eastAsia="仿宋_GB2312" w:cs="仿宋_GB2312"/>
                <w:sz w:val="24"/>
                <w:szCs w:val="24"/>
                <w:lang w:val="en-US" w:eastAsia="zh-CN"/>
              </w:rPr>
              <w:t>最后报价</w:t>
            </w:r>
            <w:r>
              <w:rPr>
                <w:rFonts w:ascii="仿宋_GB2312" w:hAnsi="仿宋_GB2312" w:eastAsia="仿宋_GB2312" w:cs="仿宋_GB2312"/>
                <w:sz w:val="24"/>
                <w:szCs w:val="24"/>
              </w:rPr>
              <w:t>最低为</w:t>
            </w:r>
            <w:r>
              <w:rPr>
                <w:rFonts w:hint="eastAsia" w:ascii="仿宋_GB2312" w:hAnsi="仿宋_GB2312" w:eastAsia="仿宋_GB2312" w:cs="仿宋_GB2312"/>
                <w:sz w:val="24"/>
                <w:szCs w:val="24"/>
                <w:lang w:val="en-US" w:eastAsia="zh-CN"/>
              </w:rPr>
              <w:t>评审基准价</w:t>
            </w:r>
            <w:r>
              <w:rPr>
                <w:rFonts w:ascii="仿宋_GB2312" w:hAnsi="仿宋_GB2312" w:eastAsia="仿宋_GB2312" w:cs="仿宋_GB2312"/>
                <w:sz w:val="24"/>
                <w:szCs w:val="24"/>
              </w:rPr>
              <w:t>，其价格分为满分。其他</w:t>
            </w:r>
            <w:r>
              <w:rPr>
                <w:rFonts w:hint="eastAsia" w:ascii="仿宋_GB2312" w:hAnsi="仿宋_GB2312" w:eastAsia="仿宋_GB2312" w:cs="仿宋_GB2312"/>
                <w:sz w:val="24"/>
                <w:szCs w:val="24"/>
                <w:lang w:val="en-US" w:eastAsia="zh-CN"/>
              </w:rPr>
              <w:t>供应商</w:t>
            </w:r>
            <w:r>
              <w:rPr>
                <w:rFonts w:ascii="仿宋_GB2312" w:hAnsi="仿宋_GB2312" w:eastAsia="仿宋_GB2312" w:cs="仿宋_GB2312"/>
                <w:sz w:val="24"/>
                <w:szCs w:val="24"/>
              </w:rPr>
              <w:t>的价格分统一按照下列公式计算：报价得分=(</w:t>
            </w:r>
            <w:r>
              <w:rPr>
                <w:rFonts w:hint="eastAsia" w:ascii="仿宋_GB2312" w:hAnsi="仿宋_GB2312" w:eastAsia="仿宋_GB2312" w:cs="仿宋_GB2312"/>
                <w:sz w:val="24"/>
                <w:szCs w:val="24"/>
                <w:lang w:val="en-US" w:eastAsia="zh-CN"/>
              </w:rPr>
              <w:t>评审</w:t>
            </w:r>
            <w:r>
              <w:rPr>
                <w:rFonts w:ascii="仿宋_GB2312" w:hAnsi="仿宋_GB2312" w:eastAsia="仿宋_GB2312" w:cs="仿宋_GB2312"/>
                <w:sz w:val="24"/>
                <w:szCs w:val="24"/>
              </w:rPr>
              <w:t>基准价／</w:t>
            </w:r>
            <w:r>
              <w:rPr>
                <w:rFonts w:hint="eastAsia" w:ascii="仿宋_GB2312" w:hAnsi="仿宋_GB2312" w:eastAsia="仿宋_GB2312" w:cs="仿宋_GB2312"/>
                <w:sz w:val="24"/>
                <w:szCs w:val="24"/>
                <w:lang w:val="en-US" w:eastAsia="zh-CN"/>
              </w:rPr>
              <w:t>磋商后最后报价</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 计算分数时四舍五入取小数点后两位。</w:t>
            </w:r>
          </w:p>
        </w:tc>
        <w:tc>
          <w:tcPr>
            <w:tcW w:w="1014" w:type="dxa"/>
            <w:vAlign w:val="center"/>
          </w:tcPr>
          <w:p w14:paraId="2A5E4525">
            <w:pPr>
              <w:pStyle w:val="299"/>
              <w:jc w:val="center"/>
              <w:rPr>
                <w:sz w:val="32"/>
                <w:szCs w:val="32"/>
              </w:rPr>
            </w:pPr>
            <w:r>
              <w:rPr>
                <w:rFonts w:hint="eastAsia" w:ascii="仿宋_GB2312" w:hAnsi="仿宋_GB2312" w:eastAsia="仿宋_GB2312" w:cs="仿宋_GB2312"/>
                <w:sz w:val="22"/>
                <w:szCs w:val="22"/>
                <w:lang w:val="en-US" w:eastAsia="zh-CN"/>
              </w:rPr>
              <w:t>10</w:t>
            </w:r>
            <w:r>
              <w:rPr>
                <w:rFonts w:ascii="仿宋_GB2312" w:hAnsi="仿宋_GB2312" w:eastAsia="仿宋_GB2312" w:cs="仿宋_GB2312"/>
                <w:sz w:val="22"/>
                <w:szCs w:val="22"/>
              </w:rPr>
              <w:t>.0000</w:t>
            </w:r>
          </w:p>
        </w:tc>
      </w:tr>
    </w:tbl>
    <w:p w14:paraId="2C5BA803">
      <w:pPr>
        <w:jc w:val="both"/>
        <w:rPr>
          <w:rFonts w:eastAsia="仿宋_GB2312"/>
          <w:b/>
          <w:kern w:val="0"/>
          <w:sz w:val="30"/>
          <w:szCs w:val="30"/>
        </w:rPr>
      </w:pPr>
      <w:r>
        <w:rPr>
          <w:rFonts w:eastAsia="仿宋_GB2312"/>
          <w:szCs w:val="21"/>
        </w:rPr>
        <w:br w:type="page"/>
      </w:r>
    </w:p>
    <w:p w14:paraId="1908425F">
      <w:pPr>
        <w:pStyle w:val="46"/>
        <w:spacing w:line="360" w:lineRule="auto"/>
        <w:rPr>
          <w:rStyle w:val="204"/>
          <w:rFonts w:ascii="Times New Roman" w:hAnsi="Times New Roman" w:eastAsia="宋体"/>
          <w:sz w:val="36"/>
          <w:szCs w:val="36"/>
        </w:rPr>
      </w:pPr>
      <w:bookmarkStart w:id="407" w:name="_Toc68590979"/>
      <w:r>
        <w:rPr>
          <w:rStyle w:val="204"/>
          <w:rFonts w:ascii="Times New Roman" w:hAnsi="Times New Roman" w:eastAsia="宋体"/>
          <w:sz w:val="36"/>
          <w:szCs w:val="36"/>
        </w:rPr>
        <w:t xml:space="preserve">第四章  </w:t>
      </w:r>
      <w:bookmarkEnd w:id="19"/>
      <w:bookmarkEnd w:id="389"/>
      <w:bookmarkEnd w:id="390"/>
      <w:bookmarkEnd w:id="407"/>
      <w:bookmarkStart w:id="408" w:name="_Toc503063458"/>
      <w:bookmarkStart w:id="409" w:name="_Toc500747106"/>
      <w:bookmarkStart w:id="410" w:name="_Toc28450"/>
      <w:bookmarkStart w:id="411" w:name="_Toc500747233"/>
      <w:bookmarkStart w:id="412" w:name="_Toc232395222"/>
      <w:bookmarkStart w:id="413" w:name="_Toc249515369"/>
      <w:bookmarkStart w:id="414" w:name="_Toc249525250"/>
      <w:bookmarkStart w:id="415" w:name="_Toc177817344"/>
      <w:bookmarkStart w:id="416" w:name="_Toc249515482"/>
      <w:bookmarkStart w:id="417" w:name="_Toc499711928"/>
      <w:bookmarkStart w:id="418" w:name="_Toc177189245"/>
      <w:bookmarkStart w:id="419" w:name="_Toc230583552"/>
      <w:bookmarkStart w:id="420" w:name="_Toc496324623"/>
      <w:bookmarkStart w:id="421" w:name="_Toc230013638"/>
      <w:bookmarkStart w:id="422" w:name="_Toc177995483"/>
      <w:bookmarkStart w:id="423" w:name="_Toc70687202"/>
      <w:bookmarkStart w:id="424" w:name="_Toc256342152"/>
      <w:bookmarkStart w:id="425" w:name="_Toc230099803"/>
      <w:bookmarkStart w:id="426" w:name="_Toc176882552"/>
      <w:bookmarkStart w:id="427" w:name="_Toc232176282"/>
      <w:bookmarkStart w:id="428" w:name="_Toc184043058"/>
      <w:bookmarkStart w:id="429" w:name="_Toc53722865"/>
      <w:bookmarkStart w:id="430" w:name="_Toc415499897"/>
      <w:bookmarkStart w:id="431" w:name="_Toc492955459"/>
      <w:bookmarkStart w:id="432" w:name="_Toc499711087"/>
      <w:bookmarkStart w:id="433" w:name="_Toc500747010"/>
      <w:r>
        <w:rPr>
          <w:rStyle w:val="204"/>
          <w:rFonts w:ascii="Times New Roman" w:hAnsi="Times New Roman" w:eastAsia="宋体"/>
          <w:sz w:val="36"/>
          <w:szCs w:val="36"/>
        </w:rPr>
        <w:t>拟签订的合同文本</w:t>
      </w:r>
    </w:p>
    <w:p w14:paraId="291B8361">
      <w:pPr>
        <w:keepNext w:val="0"/>
        <w:keepLines w:val="0"/>
        <w:pageBreakBefore w:val="0"/>
        <w:numPr>
          <w:ilvl w:val="0"/>
          <w:numId w:val="0"/>
        </w:numPr>
        <w:kinsoku/>
        <w:wordWrap/>
        <w:overflowPunct/>
        <w:autoSpaceDE/>
        <w:autoSpaceDN/>
        <w:bidi w:val="0"/>
        <w:adjustRightInd/>
        <w:snapToGrid/>
        <w:spacing w:line="360" w:lineRule="auto"/>
        <w:ind w:left="0" w:leftChars="0" w:right="0" w:rightChars="0"/>
        <w:jc w:val="left"/>
        <w:textAlignment w:val="auto"/>
        <w:rPr>
          <w:rFonts w:hint="eastAsia" w:ascii="仿宋" w:hAnsi="仿宋" w:eastAsia="仿宋" w:cs="仿宋"/>
          <w:color w:val="auto"/>
          <w:sz w:val="24"/>
          <w:szCs w:val="24"/>
          <w:highlight w:val="none"/>
          <w:lang w:val="en-US" w:eastAsia="zh-CN"/>
        </w:rPr>
      </w:pPr>
    </w:p>
    <w:p w14:paraId="10A363C4">
      <w:pPr>
        <w:adjustRightInd w:val="0"/>
        <w:snapToGrid w:val="0"/>
        <w:spacing w:line="360" w:lineRule="auto"/>
        <w:ind w:firstLine="883" w:firstLineChars="20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西安市精神卫生中心</w:t>
      </w:r>
    </w:p>
    <w:p w14:paraId="3078B4FC">
      <w:pPr>
        <w:adjustRightInd w:val="0"/>
        <w:snapToGrid w:val="0"/>
        <w:spacing w:line="360" w:lineRule="auto"/>
        <w:ind w:firstLine="883" w:firstLineChars="20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eastAsia="zh-Hans"/>
        </w:rPr>
        <w:t>网络安全等级保护测评服务</w:t>
      </w:r>
      <w:r>
        <w:rPr>
          <w:rFonts w:hint="eastAsia" w:ascii="仿宋_GB2312" w:hAnsi="仿宋_GB2312" w:eastAsia="仿宋_GB2312" w:cs="仿宋_GB2312"/>
          <w:b/>
          <w:bCs/>
          <w:sz w:val="44"/>
          <w:szCs w:val="44"/>
        </w:rPr>
        <w:t>项目合同</w:t>
      </w:r>
    </w:p>
    <w:p w14:paraId="3029F097">
      <w:pPr>
        <w:spacing w:line="360" w:lineRule="auto"/>
        <w:ind w:firstLine="480" w:firstLineChars="200"/>
        <w:rPr>
          <w:rFonts w:hint="eastAsia" w:ascii="仿宋" w:hAnsi="仿宋" w:eastAsia="仿宋"/>
          <w:sz w:val="24"/>
        </w:rPr>
      </w:pPr>
      <w:r>
        <w:rPr>
          <w:rFonts w:hint="eastAsia" w:ascii="仿宋" w:hAnsi="仿宋" w:eastAsia="仿宋"/>
          <w:sz w:val="24"/>
        </w:rPr>
        <w:t>甲方：西安市精神卫生中心</w:t>
      </w:r>
    </w:p>
    <w:p w14:paraId="5F2198B1">
      <w:pPr>
        <w:pStyle w:val="2"/>
        <w:rPr>
          <w:rFonts w:hint="default" w:eastAsia="仿宋"/>
          <w:lang w:val="en-US" w:eastAsia="zh-CN"/>
        </w:rPr>
      </w:pPr>
      <w:r>
        <w:rPr>
          <w:rFonts w:hint="eastAsia" w:ascii="仿宋" w:hAnsi="仿宋" w:eastAsia="仿宋"/>
          <w:sz w:val="24"/>
          <w:lang w:val="en-US" w:eastAsia="zh-CN"/>
        </w:rPr>
        <w:t>地址：西安市长安区康和路666号</w:t>
      </w:r>
    </w:p>
    <w:p w14:paraId="1A036E02">
      <w:pPr>
        <w:tabs>
          <w:tab w:val="left" w:pos="480"/>
        </w:tabs>
        <w:spacing w:line="360" w:lineRule="auto"/>
        <w:ind w:firstLine="480" w:firstLineChars="200"/>
        <w:rPr>
          <w:rFonts w:hint="eastAsia" w:ascii="仿宋" w:hAnsi="仿宋" w:eastAsia="仿宋"/>
          <w:sz w:val="24"/>
          <w:lang w:val="en-US" w:eastAsia="zh-CN"/>
        </w:rPr>
      </w:pPr>
      <w:r>
        <w:rPr>
          <w:rFonts w:hint="eastAsia" w:ascii="仿宋" w:hAnsi="仿宋" w:eastAsia="仿宋"/>
          <w:sz w:val="24"/>
        </w:rPr>
        <w:t>乙方：</w:t>
      </w:r>
    </w:p>
    <w:p w14:paraId="0A7169A4">
      <w:pPr>
        <w:pStyle w:val="2"/>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地址：</w:t>
      </w:r>
    </w:p>
    <w:p w14:paraId="6C0198C0">
      <w:pPr>
        <w:spacing w:line="360" w:lineRule="auto"/>
        <w:ind w:firstLine="480" w:firstLineChars="200"/>
        <w:rPr>
          <w:rFonts w:ascii="仿宋" w:hAnsi="仿宋" w:eastAsia="仿宋"/>
          <w:sz w:val="24"/>
        </w:rPr>
      </w:pPr>
      <w:r>
        <w:rPr>
          <w:rFonts w:hint="eastAsia" w:ascii="仿宋" w:hAnsi="仿宋" w:eastAsia="仿宋"/>
          <w:sz w:val="24"/>
        </w:rPr>
        <w:t>依据《中华人民共和国政府采购法》、《中华人民共和国招标投标法》、《中华人民共和国民法典》以及该项目的招标文件、成交供应商应标文件正本和澄清表（函）、中标通知书，经甲、乙双方协商，达成如下条款。</w:t>
      </w:r>
    </w:p>
    <w:p w14:paraId="0BA6574B">
      <w:pPr>
        <w:tabs>
          <w:tab w:val="left" w:pos="480"/>
        </w:tabs>
        <w:spacing w:line="360" w:lineRule="auto"/>
        <w:ind w:firstLine="482" w:firstLineChars="200"/>
        <w:rPr>
          <w:rFonts w:ascii="仿宋" w:hAnsi="仿宋" w:eastAsia="仿宋"/>
          <w:b/>
          <w:sz w:val="24"/>
        </w:rPr>
      </w:pPr>
      <w:r>
        <w:rPr>
          <w:rFonts w:hint="eastAsia" w:ascii="仿宋" w:hAnsi="仿宋" w:eastAsia="仿宋"/>
          <w:b/>
          <w:sz w:val="24"/>
        </w:rPr>
        <w:t>一、合同标的物内容及数量</w:t>
      </w:r>
      <w:r>
        <w:rPr>
          <w:rFonts w:hint="eastAsia" w:ascii="仿宋" w:hAnsi="仿宋" w:eastAsia="仿宋"/>
          <w:sz w:val="24"/>
        </w:rPr>
        <w:t>（以磋商响应文件正本和澄清表〈函〉为准）</w:t>
      </w:r>
    </w:p>
    <w:tbl>
      <w:tblPr>
        <w:tblStyle w:val="50"/>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404"/>
        <w:gridCol w:w="1325"/>
        <w:gridCol w:w="1288"/>
        <w:gridCol w:w="1100"/>
        <w:gridCol w:w="1770"/>
      </w:tblGrid>
      <w:tr w14:paraId="380A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F903277">
            <w:pPr>
              <w:tabs>
                <w:tab w:val="left" w:pos="480"/>
              </w:tabs>
              <w:spacing w:line="360" w:lineRule="auto"/>
              <w:jc w:val="center"/>
              <w:rPr>
                <w:rFonts w:ascii="仿宋" w:hAnsi="仿宋" w:eastAsia="仿宋"/>
                <w:sz w:val="24"/>
              </w:rPr>
            </w:pPr>
            <w:r>
              <w:rPr>
                <w:rFonts w:hint="eastAsia" w:ascii="仿宋" w:hAnsi="仿宋" w:eastAsia="仿宋"/>
                <w:sz w:val="24"/>
              </w:rPr>
              <w:t>序号</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61C493F0">
            <w:pPr>
              <w:tabs>
                <w:tab w:val="left" w:pos="480"/>
              </w:tabs>
              <w:spacing w:line="360" w:lineRule="auto"/>
              <w:jc w:val="center"/>
              <w:rPr>
                <w:rFonts w:ascii="仿宋" w:hAnsi="仿宋" w:eastAsia="仿宋"/>
                <w:sz w:val="24"/>
              </w:rPr>
            </w:pPr>
            <w:r>
              <w:rPr>
                <w:rFonts w:hint="eastAsia" w:ascii="仿宋" w:hAnsi="仿宋" w:eastAsia="仿宋"/>
                <w:sz w:val="24"/>
              </w:rPr>
              <w:t>货物名称</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3D95D85">
            <w:pPr>
              <w:tabs>
                <w:tab w:val="left" w:pos="480"/>
              </w:tabs>
              <w:spacing w:line="360" w:lineRule="auto"/>
              <w:jc w:val="center"/>
              <w:rPr>
                <w:rFonts w:ascii="仿宋" w:hAnsi="仿宋" w:eastAsia="仿宋"/>
                <w:sz w:val="24"/>
              </w:rPr>
            </w:pPr>
            <w:r>
              <w:rPr>
                <w:rFonts w:hint="eastAsia" w:ascii="仿宋" w:hAnsi="仿宋" w:eastAsia="仿宋"/>
                <w:sz w:val="24"/>
              </w:rPr>
              <w:t>规格型号</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65BEF3A">
            <w:pPr>
              <w:tabs>
                <w:tab w:val="left" w:pos="480"/>
              </w:tabs>
              <w:spacing w:line="360" w:lineRule="auto"/>
              <w:jc w:val="center"/>
              <w:rPr>
                <w:rFonts w:ascii="仿宋" w:hAnsi="仿宋" w:eastAsia="仿宋"/>
                <w:sz w:val="24"/>
              </w:rPr>
            </w:pPr>
            <w:r>
              <w:rPr>
                <w:rFonts w:hint="eastAsia" w:ascii="仿宋" w:hAnsi="仿宋" w:eastAsia="仿宋"/>
                <w:sz w:val="24"/>
              </w:rPr>
              <w:t>数量</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E4FA890">
            <w:pPr>
              <w:tabs>
                <w:tab w:val="left" w:pos="480"/>
              </w:tabs>
              <w:spacing w:line="360" w:lineRule="auto"/>
              <w:jc w:val="center"/>
              <w:rPr>
                <w:rFonts w:ascii="仿宋" w:hAnsi="仿宋" w:eastAsia="仿宋"/>
                <w:sz w:val="24"/>
              </w:rPr>
            </w:pPr>
            <w:r>
              <w:rPr>
                <w:rFonts w:hint="eastAsia" w:ascii="仿宋" w:hAnsi="仿宋" w:eastAsia="仿宋"/>
                <w:sz w:val="24"/>
              </w:rPr>
              <w:t>产地</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9B740DA">
            <w:pPr>
              <w:tabs>
                <w:tab w:val="left" w:pos="480"/>
              </w:tabs>
              <w:spacing w:line="360" w:lineRule="auto"/>
              <w:jc w:val="center"/>
              <w:rPr>
                <w:rFonts w:ascii="仿宋" w:hAnsi="仿宋" w:eastAsia="仿宋"/>
                <w:sz w:val="24"/>
              </w:rPr>
            </w:pPr>
            <w:r>
              <w:rPr>
                <w:rFonts w:hint="eastAsia" w:ascii="仿宋" w:hAnsi="仿宋" w:eastAsia="仿宋"/>
                <w:sz w:val="24"/>
              </w:rPr>
              <w:t>价格（元）</w:t>
            </w:r>
          </w:p>
        </w:tc>
      </w:tr>
      <w:tr w14:paraId="0E7E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4452AEE">
            <w:pPr>
              <w:tabs>
                <w:tab w:val="left" w:pos="480"/>
              </w:tabs>
              <w:spacing w:line="360" w:lineRule="auto"/>
              <w:jc w:val="center"/>
              <w:rPr>
                <w:rFonts w:ascii="仿宋" w:hAnsi="仿宋" w:eastAsia="仿宋"/>
                <w:sz w:val="24"/>
              </w:rPr>
            </w:pPr>
            <w:r>
              <w:rPr>
                <w:rFonts w:hint="eastAsia" w:ascii="仿宋" w:hAnsi="仿宋" w:eastAsia="仿宋"/>
                <w:sz w:val="24"/>
              </w:rPr>
              <w:t>1</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4AB59B99">
            <w:pPr>
              <w:tabs>
                <w:tab w:val="left" w:pos="480"/>
              </w:tabs>
              <w:spacing w:line="360" w:lineRule="auto"/>
              <w:jc w:val="center"/>
              <w:rPr>
                <w:rFonts w:ascii="仿宋" w:hAnsi="仿宋" w:eastAsia="仿宋"/>
                <w:sz w:val="24"/>
              </w:rPr>
            </w:pPr>
            <w:r>
              <w:rPr>
                <w:rFonts w:hint="eastAsia" w:ascii="仿宋" w:hAnsi="仿宋" w:eastAsia="仿宋"/>
                <w:sz w:val="24"/>
              </w:rPr>
              <w:t>医院信息化建设系统</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5038BCF">
            <w:pPr>
              <w:tabs>
                <w:tab w:val="left" w:pos="480"/>
              </w:tabs>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三级</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297D55D">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337ECA8">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1DC3E41">
            <w:pPr>
              <w:tabs>
                <w:tab w:val="left" w:pos="480"/>
              </w:tabs>
              <w:spacing w:line="360" w:lineRule="auto"/>
              <w:jc w:val="center"/>
              <w:rPr>
                <w:rFonts w:hint="default" w:ascii="仿宋" w:hAnsi="仿宋" w:eastAsia="仿宋"/>
                <w:sz w:val="24"/>
                <w:lang w:val="en-US" w:eastAsia="zh-CN"/>
              </w:rPr>
            </w:pPr>
          </w:p>
        </w:tc>
      </w:tr>
      <w:tr w14:paraId="19B0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B21BE9D">
            <w:pPr>
              <w:tabs>
                <w:tab w:val="left" w:pos="480"/>
              </w:tabs>
              <w:spacing w:line="360" w:lineRule="auto"/>
              <w:jc w:val="center"/>
              <w:rPr>
                <w:rFonts w:ascii="仿宋" w:hAnsi="仿宋" w:eastAsia="仿宋"/>
                <w:sz w:val="24"/>
              </w:rPr>
            </w:pPr>
            <w:r>
              <w:rPr>
                <w:rFonts w:hint="eastAsia" w:ascii="仿宋" w:hAnsi="仿宋" w:eastAsia="仿宋"/>
                <w:sz w:val="24"/>
              </w:rPr>
              <w:t>2</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B743938">
            <w:pPr>
              <w:tabs>
                <w:tab w:val="left" w:pos="480"/>
              </w:tabs>
              <w:spacing w:line="360" w:lineRule="auto"/>
              <w:jc w:val="center"/>
              <w:rPr>
                <w:rFonts w:ascii="仿宋" w:hAnsi="仿宋" w:eastAsia="仿宋"/>
                <w:sz w:val="24"/>
              </w:rPr>
            </w:pPr>
            <w:r>
              <w:rPr>
                <w:rFonts w:hint="eastAsia" w:ascii="仿宋" w:hAnsi="仿宋" w:eastAsia="仿宋"/>
                <w:sz w:val="24"/>
              </w:rPr>
              <w:t>陕西省严重精神障碍信息管理平台</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6BFBED9">
            <w:pPr>
              <w:spacing w:line="360" w:lineRule="auto"/>
              <w:jc w:val="center"/>
              <w:rPr>
                <w:rFonts w:ascii="仿宋" w:hAnsi="仿宋" w:eastAsia="仿宋"/>
                <w:sz w:val="24"/>
                <w:lang w:eastAsia="zh-Hans"/>
              </w:rPr>
            </w:pPr>
            <w:r>
              <w:rPr>
                <w:rFonts w:hint="eastAsia" w:ascii="仿宋" w:hAnsi="仿宋" w:eastAsia="仿宋"/>
                <w:sz w:val="24"/>
                <w:lang w:val="en-US" w:eastAsia="zh-CN"/>
              </w:rPr>
              <w:t>三级</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CE8FDA2">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61E00AA">
            <w:pPr>
              <w:spacing w:line="360" w:lineRule="auto"/>
              <w:jc w:val="center"/>
              <w:rPr>
                <w:rFonts w:ascii="仿宋" w:hAnsi="仿宋" w:eastAsia="仿宋"/>
                <w:sz w:val="24"/>
              </w:rPr>
            </w:pPr>
            <w:r>
              <w:rPr>
                <w:rFonts w:hint="eastAsia" w:ascii="仿宋" w:hAnsi="仿宋" w:eastAsia="仿宋"/>
                <w:sz w:val="24"/>
                <w:lang w:val="en-US" w:eastAsia="zh-CN"/>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51796F">
            <w:pPr>
              <w:tabs>
                <w:tab w:val="left" w:pos="480"/>
              </w:tabs>
              <w:spacing w:line="360" w:lineRule="auto"/>
              <w:jc w:val="center"/>
              <w:rPr>
                <w:rFonts w:ascii="仿宋" w:hAnsi="仿宋" w:eastAsia="仿宋"/>
                <w:sz w:val="24"/>
              </w:rPr>
            </w:pPr>
          </w:p>
        </w:tc>
      </w:tr>
      <w:tr w14:paraId="1B3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E4E1B5A">
            <w:pPr>
              <w:tabs>
                <w:tab w:val="left" w:pos="480"/>
              </w:tabs>
              <w:spacing w:line="360" w:lineRule="auto"/>
              <w:jc w:val="center"/>
              <w:rPr>
                <w:rFonts w:ascii="仿宋" w:hAnsi="仿宋" w:eastAsia="仿宋"/>
                <w:sz w:val="24"/>
              </w:rPr>
            </w:pPr>
            <w:r>
              <w:rPr>
                <w:rFonts w:hint="eastAsia" w:ascii="仿宋" w:hAnsi="仿宋" w:eastAsia="仿宋"/>
                <w:sz w:val="24"/>
              </w:rPr>
              <w:t>3</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687536DC">
            <w:pPr>
              <w:tabs>
                <w:tab w:val="left" w:pos="480"/>
              </w:tabs>
              <w:spacing w:line="360" w:lineRule="auto"/>
              <w:jc w:val="center"/>
              <w:rPr>
                <w:rFonts w:ascii="仿宋" w:hAnsi="仿宋" w:eastAsia="仿宋"/>
                <w:sz w:val="24"/>
              </w:rPr>
            </w:pPr>
            <w:r>
              <w:rPr>
                <w:rFonts w:hint="eastAsia" w:ascii="仿宋" w:hAnsi="仿宋" w:eastAsia="仿宋"/>
                <w:sz w:val="24"/>
              </w:rPr>
              <w:t>互联网医院信息系统</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1731837">
            <w:pPr>
              <w:spacing w:line="360" w:lineRule="auto"/>
              <w:jc w:val="center"/>
              <w:rPr>
                <w:rFonts w:ascii="仿宋" w:hAnsi="仿宋" w:eastAsia="仿宋"/>
                <w:sz w:val="24"/>
                <w:lang w:eastAsia="zh-Hans"/>
              </w:rPr>
            </w:pPr>
            <w:r>
              <w:rPr>
                <w:rFonts w:hint="eastAsia" w:ascii="仿宋" w:hAnsi="仿宋" w:eastAsia="仿宋"/>
                <w:sz w:val="24"/>
                <w:lang w:val="en-US" w:eastAsia="zh-CN"/>
              </w:rPr>
              <w:t>三级</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3E606E5">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13008B7">
            <w:pPr>
              <w:spacing w:line="360" w:lineRule="auto"/>
              <w:jc w:val="center"/>
              <w:rPr>
                <w:rFonts w:ascii="仿宋" w:hAnsi="仿宋" w:eastAsia="仿宋"/>
                <w:sz w:val="24"/>
              </w:rPr>
            </w:pPr>
            <w:r>
              <w:rPr>
                <w:rFonts w:hint="eastAsia" w:ascii="仿宋" w:hAnsi="仿宋" w:eastAsia="仿宋"/>
                <w:sz w:val="24"/>
                <w:lang w:val="en-US" w:eastAsia="zh-CN"/>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A14A75">
            <w:pPr>
              <w:tabs>
                <w:tab w:val="left" w:pos="480"/>
              </w:tabs>
              <w:spacing w:line="360" w:lineRule="auto"/>
              <w:jc w:val="center"/>
              <w:rPr>
                <w:rFonts w:hint="default" w:ascii="仿宋" w:hAnsi="仿宋" w:eastAsia="仿宋"/>
                <w:sz w:val="24"/>
                <w:lang w:val="en-US" w:eastAsia="zh-CN"/>
              </w:rPr>
            </w:pPr>
          </w:p>
        </w:tc>
      </w:tr>
      <w:tr w14:paraId="5107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175789C">
            <w:pPr>
              <w:tabs>
                <w:tab w:val="left" w:pos="204"/>
                <w:tab w:val="left" w:pos="480"/>
              </w:tabs>
              <w:spacing w:line="360" w:lineRule="auto"/>
              <w:jc w:val="left"/>
              <w:rPr>
                <w:rFonts w:hint="default" w:ascii="仿宋" w:hAnsi="仿宋" w:eastAsia="仿宋"/>
                <w:sz w:val="24"/>
                <w:lang w:val="en-US" w:eastAsia="zh-CN"/>
              </w:rPr>
            </w:pPr>
            <w:r>
              <w:rPr>
                <w:rFonts w:hint="eastAsia" w:ascii="仿宋" w:hAnsi="仿宋" w:eastAsia="仿宋"/>
                <w:sz w:val="24"/>
                <w:lang w:eastAsia="zh-CN"/>
              </w:rPr>
              <w:tab/>
            </w:r>
            <w:r>
              <w:rPr>
                <w:rFonts w:hint="eastAsia" w:ascii="仿宋" w:hAnsi="仿宋" w:eastAsia="仿宋"/>
                <w:sz w:val="24"/>
                <w:lang w:val="en-US" w:eastAsia="zh-CN"/>
              </w:rPr>
              <w:t>4</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45632BC2">
            <w:pPr>
              <w:tabs>
                <w:tab w:val="left" w:pos="480"/>
              </w:tabs>
              <w:spacing w:line="360" w:lineRule="auto"/>
              <w:jc w:val="center"/>
              <w:rPr>
                <w:rFonts w:hint="eastAsia" w:ascii="仿宋" w:hAnsi="仿宋" w:eastAsia="仿宋"/>
                <w:sz w:val="24"/>
                <w:lang w:eastAsia="zh-CN"/>
              </w:rPr>
            </w:pPr>
            <w:r>
              <w:rPr>
                <w:rFonts w:hint="eastAsia" w:ascii="仿宋" w:hAnsi="仿宋" w:eastAsia="仿宋"/>
                <w:sz w:val="24"/>
                <w:lang w:eastAsia="zh-CN"/>
              </w:rPr>
              <w:t>医院官方网站系统</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659D344">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二级</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64609BE">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29FD5F5">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824333C">
            <w:pPr>
              <w:tabs>
                <w:tab w:val="left" w:pos="480"/>
              </w:tabs>
              <w:spacing w:line="360" w:lineRule="auto"/>
              <w:jc w:val="center"/>
              <w:rPr>
                <w:rFonts w:hint="eastAsia" w:ascii="仿宋" w:hAnsi="仿宋" w:eastAsia="仿宋"/>
                <w:sz w:val="24"/>
                <w:lang w:val="en-US" w:eastAsia="zh-CN"/>
              </w:rPr>
            </w:pPr>
          </w:p>
        </w:tc>
      </w:tr>
      <w:tr w14:paraId="4D96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0A4FD94">
            <w:pPr>
              <w:tabs>
                <w:tab w:val="left" w:pos="480"/>
              </w:tabs>
              <w:spacing w:line="360" w:lineRule="auto"/>
              <w:jc w:val="center"/>
              <w:rPr>
                <w:rFonts w:ascii="仿宋" w:hAnsi="仿宋" w:eastAsia="仿宋"/>
                <w:sz w:val="24"/>
              </w:rPr>
            </w:pPr>
            <w:r>
              <w:rPr>
                <w:rFonts w:hint="eastAsia" w:ascii="仿宋" w:hAnsi="仿宋" w:eastAsia="仿宋"/>
                <w:sz w:val="24"/>
              </w:rPr>
              <w:t>说明</w:t>
            </w:r>
          </w:p>
        </w:tc>
        <w:tc>
          <w:tcPr>
            <w:tcW w:w="7887" w:type="dxa"/>
            <w:gridSpan w:val="5"/>
            <w:tcBorders>
              <w:top w:val="single" w:color="auto" w:sz="4" w:space="0"/>
              <w:left w:val="single" w:color="auto" w:sz="4" w:space="0"/>
              <w:bottom w:val="single" w:color="auto" w:sz="4" w:space="0"/>
              <w:right w:val="single" w:color="auto" w:sz="4" w:space="0"/>
            </w:tcBorders>
            <w:noWrap w:val="0"/>
            <w:vAlign w:val="center"/>
          </w:tcPr>
          <w:p w14:paraId="559ECA22">
            <w:pPr>
              <w:tabs>
                <w:tab w:val="left" w:pos="480"/>
              </w:tabs>
              <w:spacing w:line="360" w:lineRule="auto"/>
              <w:rPr>
                <w:rFonts w:ascii="仿宋" w:hAnsi="仿宋" w:eastAsia="仿宋"/>
                <w:sz w:val="24"/>
              </w:rPr>
            </w:pPr>
            <w:r>
              <w:rPr>
                <w:rFonts w:hint="eastAsia" w:ascii="仿宋" w:hAnsi="仿宋" w:eastAsia="仿宋"/>
                <w:sz w:val="24"/>
              </w:rPr>
              <w:t>配套设备、资料按照乙方响应文件承诺执行。</w:t>
            </w:r>
          </w:p>
        </w:tc>
      </w:tr>
    </w:tbl>
    <w:p w14:paraId="47A978DA">
      <w:pPr>
        <w:tabs>
          <w:tab w:val="left" w:pos="480"/>
        </w:tabs>
        <w:spacing w:line="360" w:lineRule="auto"/>
        <w:ind w:firstLine="472" w:firstLineChars="196"/>
        <w:rPr>
          <w:rFonts w:ascii="仿宋" w:hAnsi="仿宋" w:eastAsia="仿宋"/>
          <w:b/>
          <w:sz w:val="24"/>
        </w:rPr>
      </w:pPr>
      <w:r>
        <w:rPr>
          <w:rFonts w:hint="eastAsia" w:ascii="仿宋" w:hAnsi="仿宋" w:eastAsia="仿宋"/>
          <w:b/>
          <w:sz w:val="24"/>
        </w:rPr>
        <w:t>二、合同价款</w:t>
      </w:r>
    </w:p>
    <w:p w14:paraId="316D9927">
      <w:pPr>
        <w:tabs>
          <w:tab w:val="left" w:pos="480"/>
        </w:tabs>
        <w:spacing w:line="360" w:lineRule="auto"/>
        <w:ind w:firstLine="480" w:firstLineChars="200"/>
        <w:rPr>
          <w:rFonts w:ascii="仿宋" w:hAnsi="仿宋" w:eastAsia="仿宋"/>
          <w:sz w:val="24"/>
        </w:rPr>
      </w:pPr>
      <w:r>
        <w:rPr>
          <w:rFonts w:hint="eastAsia" w:ascii="仿宋" w:hAnsi="仿宋" w:eastAsia="仿宋"/>
          <w:sz w:val="24"/>
        </w:rPr>
        <w:t>（一）合同总价款为人民币（大写）</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ascii="仿宋" w:hAnsi="仿宋" w:eastAsia="仿宋"/>
          <w:sz w:val="24"/>
          <w:u w:val="single"/>
        </w:rPr>
        <w:t xml:space="preserve">     </w:t>
      </w:r>
      <w:r>
        <w:rPr>
          <w:rFonts w:hint="eastAsia" w:ascii="仿宋" w:hAnsi="仿宋" w:eastAsia="仿宋"/>
          <w:sz w:val="24"/>
        </w:rPr>
        <w:t>。</w:t>
      </w:r>
    </w:p>
    <w:p w14:paraId="4CCAE4D2">
      <w:pPr>
        <w:tabs>
          <w:tab w:val="left" w:pos="480"/>
        </w:tabs>
        <w:spacing w:line="360" w:lineRule="auto"/>
        <w:ind w:firstLine="480" w:firstLineChars="200"/>
        <w:rPr>
          <w:rFonts w:ascii="仿宋" w:hAnsi="仿宋" w:eastAsia="仿宋"/>
          <w:sz w:val="24"/>
        </w:rPr>
      </w:pPr>
      <w:r>
        <w:rPr>
          <w:rFonts w:hint="eastAsia" w:ascii="仿宋" w:hAnsi="仿宋" w:eastAsia="仿宋"/>
          <w:sz w:val="24"/>
        </w:rPr>
        <w:t>（二）合同总价包括：</w:t>
      </w:r>
      <w:r>
        <w:rPr>
          <w:rFonts w:hint="eastAsia" w:ascii="仿宋" w:hAnsi="仿宋" w:eastAsia="仿宋"/>
          <w:sz w:val="24"/>
          <w:lang w:eastAsia="zh-Hans"/>
        </w:rPr>
        <w:t>等级保护测评服务费</w:t>
      </w:r>
      <w:r>
        <w:rPr>
          <w:rFonts w:ascii="仿宋" w:hAnsi="仿宋" w:eastAsia="仿宋"/>
          <w:sz w:val="24"/>
          <w:lang w:eastAsia="zh-Hans"/>
        </w:rPr>
        <w:t>、</w:t>
      </w:r>
      <w:r>
        <w:rPr>
          <w:rFonts w:hint="eastAsia" w:ascii="仿宋" w:hAnsi="仿宋" w:eastAsia="仿宋"/>
          <w:sz w:val="24"/>
          <w:lang w:eastAsia="zh-Hans"/>
        </w:rPr>
        <w:t>培训费</w:t>
      </w:r>
      <w:r>
        <w:rPr>
          <w:rFonts w:hint="eastAsia" w:ascii="仿宋" w:hAnsi="仿宋" w:eastAsia="仿宋"/>
          <w:sz w:val="24"/>
        </w:rPr>
        <w:t>及其它乙方履行合同义务所需的全部费用。</w:t>
      </w:r>
    </w:p>
    <w:p w14:paraId="3AE8CD73">
      <w:pPr>
        <w:tabs>
          <w:tab w:val="left" w:pos="480"/>
        </w:tabs>
        <w:spacing w:line="360" w:lineRule="auto"/>
        <w:ind w:firstLine="480" w:firstLineChars="200"/>
        <w:rPr>
          <w:rFonts w:ascii="仿宋" w:hAnsi="仿宋" w:eastAsia="仿宋"/>
          <w:sz w:val="24"/>
        </w:rPr>
      </w:pPr>
      <w:r>
        <w:rPr>
          <w:rFonts w:hint="eastAsia" w:ascii="仿宋" w:hAnsi="仿宋" w:eastAsia="仿宋"/>
          <w:sz w:val="24"/>
        </w:rPr>
        <w:t>（三）合同总价一次性包死，不受市场价格变化因素的影响。除合同总价外，甲方不再另行支付其他任何费用。</w:t>
      </w:r>
    </w:p>
    <w:p w14:paraId="1A81E341">
      <w:pPr>
        <w:tabs>
          <w:tab w:val="left" w:pos="480"/>
        </w:tabs>
        <w:spacing w:line="360" w:lineRule="auto"/>
        <w:ind w:firstLine="472" w:firstLineChars="196"/>
        <w:rPr>
          <w:rFonts w:ascii="仿宋" w:hAnsi="仿宋" w:eastAsia="仿宋"/>
          <w:b/>
          <w:sz w:val="24"/>
        </w:rPr>
      </w:pPr>
      <w:r>
        <w:rPr>
          <w:rFonts w:hint="eastAsia" w:ascii="仿宋" w:hAnsi="仿宋" w:eastAsia="仿宋"/>
          <w:b/>
          <w:sz w:val="24"/>
        </w:rPr>
        <w:t>三、款项结算</w:t>
      </w:r>
    </w:p>
    <w:p w14:paraId="4A46B301">
      <w:pPr>
        <w:widowControl/>
        <w:tabs>
          <w:tab w:val="left" w:pos="480"/>
        </w:tabs>
        <w:autoSpaceDE w:val="0"/>
        <w:autoSpaceDN w:val="0"/>
        <w:spacing w:line="360" w:lineRule="auto"/>
        <w:ind w:right="-33" w:firstLine="480" w:firstLineChars="200"/>
        <w:textAlignment w:val="bottom"/>
        <w:rPr>
          <w:rFonts w:hint="eastAsia" w:ascii="仿宋" w:hAnsi="仿宋" w:eastAsia="仿宋"/>
          <w:sz w:val="24"/>
        </w:rPr>
      </w:pPr>
      <w:r>
        <w:rPr>
          <w:rFonts w:hint="eastAsia" w:ascii="仿宋" w:hAnsi="仿宋" w:eastAsia="仿宋"/>
          <w:sz w:val="24"/>
        </w:rPr>
        <w:t>（一）</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31</w:t>
      </w:r>
      <w:r>
        <w:rPr>
          <w:rFonts w:hint="eastAsia" w:ascii="仿宋" w:hAnsi="仿宋" w:eastAsia="仿宋"/>
          <w:sz w:val="24"/>
        </w:rPr>
        <w:t>日前完成</w:t>
      </w:r>
      <w:r>
        <w:rPr>
          <w:rFonts w:hint="eastAsia" w:ascii="仿宋" w:hAnsi="仿宋" w:eastAsia="仿宋"/>
          <w:sz w:val="24"/>
          <w:lang w:val="en-US" w:eastAsia="zh-CN"/>
        </w:rPr>
        <w:t>甲方</w:t>
      </w:r>
      <w:r>
        <w:rPr>
          <w:rFonts w:hint="eastAsia" w:ascii="仿宋" w:hAnsi="仿宋" w:eastAsia="仿宋"/>
          <w:sz w:val="24"/>
        </w:rPr>
        <w:t>信息化建设系统、陕西省严重精神障碍信息管理平台、互联网医院信息系统</w:t>
      </w:r>
      <w:r>
        <w:rPr>
          <w:rFonts w:hint="eastAsia" w:ascii="仿宋" w:hAnsi="仿宋" w:eastAsia="仿宋"/>
          <w:sz w:val="24"/>
          <w:lang w:eastAsia="zh-CN"/>
        </w:rPr>
        <w:t>、</w:t>
      </w:r>
      <w:r>
        <w:rPr>
          <w:rFonts w:hint="eastAsia" w:ascii="仿宋" w:hAnsi="仿宋" w:eastAsia="仿宋"/>
          <w:sz w:val="24"/>
          <w:lang w:val="en-US" w:eastAsia="zh-CN"/>
        </w:rPr>
        <w:t>甲方</w:t>
      </w:r>
      <w:r>
        <w:rPr>
          <w:rFonts w:hint="eastAsia" w:ascii="仿宋" w:hAnsi="仿宋" w:eastAsia="仿宋"/>
          <w:sz w:val="24"/>
          <w:lang w:eastAsia="zh-CN"/>
        </w:rPr>
        <w:t>官方网站系统</w:t>
      </w:r>
      <w:r>
        <w:rPr>
          <w:rFonts w:hint="eastAsia" w:ascii="仿宋" w:hAnsi="仿宋" w:eastAsia="仿宋"/>
          <w:sz w:val="24"/>
        </w:rPr>
        <w:t>等级保护测评服务，</w:t>
      </w:r>
      <w:r>
        <w:rPr>
          <w:rFonts w:hint="eastAsia" w:ascii="仿宋" w:hAnsi="仿宋" w:eastAsia="仿宋"/>
          <w:sz w:val="24"/>
          <w:lang w:val="en-US" w:eastAsia="zh-CN"/>
        </w:rPr>
        <w:t>由</w:t>
      </w:r>
      <w:r>
        <w:rPr>
          <w:rFonts w:hint="eastAsia" w:ascii="仿宋" w:hAnsi="仿宋" w:eastAsia="仿宋"/>
          <w:sz w:val="24"/>
        </w:rPr>
        <w:t>乙方出具《信息安全等级保护测评报告》纸质版加盖公章</w:t>
      </w:r>
      <w:r>
        <w:rPr>
          <w:rFonts w:hint="eastAsia" w:ascii="仿宋" w:hAnsi="仿宋" w:eastAsia="仿宋"/>
          <w:sz w:val="24"/>
          <w:lang w:val="en-US" w:eastAsia="zh-CN"/>
        </w:rPr>
        <w:t>提交甲方</w:t>
      </w:r>
      <w:r>
        <w:rPr>
          <w:rFonts w:hint="eastAsia" w:ascii="仿宋" w:hAnsi="仿宋" w:eastAsia="仿宋"/>
          <w:sz w:val="24"/>
        </w:rPr>
        <w:t>，经甲方验收合格且甲方收到乙方开具的符合甲方要求的等额增值税发票后，一个月内支付合同总价款的95%，乙方逾期向甲方出具发票的，甲方付款期限相应顺延，且不承担任何责任。</w:t>
      </w:r>
    </w:p>
    <w:p w14:paraId="03A21C6C">
      <w:pPr>
        <w:widowControl/>
        <w:tabs>
          <w:tab w:val="left" w:pos="480"/>
        </w:tabs>
        <w:autoSpaceDE w:val="0"/>
        <w:autoSpaceDN w:val="0"/>
        <w:spacing w:line="360" w:lineRule="auto"/>
        <w:ind w:right="-33" w:firstLine="480" w:firstLineChars="200"/>
        <w:textAlignment w:val="bottom"/>
        <w:rPr>
          <w:rFonts w:ascii="仿宋" w:hAnsi="仿宋" w:eastAsia="仿宋"/>
          <w:sz w:val="24"/>
        </w:rPr>
      </w:pPr>
      <w:r>
        <w:rPr>
          <w:rFonts w:hint="eastAsia" w:ascii="仿宋" w:hAnsi="仿宋" w:eastAsia="仿宋"/>
          <w:sz w:val="24"/>
        </w:rPr>
        <w:t>（</w:t>
      </w:r>
      <w:r>
        <w:rPr>
          <w:rFonts w:hint="eastAsia" w:ascii="仿宋" w:hAnsi="仿宋" w:eastAsia="仿宋"/>
          <w:sz w:val="24"/>
          <w:lang w:eastAsia="zh-Hans"/>
        </w:rPr>
        <w:t>二</w:t>
      </w:r>
      <w:r>
        <w:rPr>
          <w:rFonts w:hint="eastAsia" w:ascii="仿宋" w:hAnsi="仿宋" w:eastAsia="仿宋"/>
          <w:sz w:val="24"/>
        </w:rPr>
        <w:t xml:space="preserve">）保修期结束前进行二次验收合格后，如无质量、技术、服务、安全等问题，一个月内支付合同总价款的5%。 </w:t>
      </w:r>
    </w:p>
    <w:p w14:paraId="393BBD80">
      <w:pPr>
        <w:tabs>
          <w:tab w:val="left" w:pos="480"/>
        </w:tabs>
        <w:spacing w:line="360" w:lineRule="auto"/>
        <w:ind w:firstLine="480" w:firstLineChars="200"/>
        <w:rPr>
          <w:rFonts w:hint="eastAsia" w:ascii="仿宋" w:hAnsi="仿宋" w:eastAsia="仿宋"/>
          <w:sz w:val="24"/>
        </w:rPr>
      </w:pPr>
      <w:r>
        <w:rPr>
          <w:rFonts w:hint="eastAsia" w:ascii="仿宋" w:hAnsi="仿宋" w:eastAsia="仿宋"/>
          <w:sz w:val="24"/>
        </w:rPr>
        <w:t>（</w:t>
      </w:r>
      <w:r>
        <w:rPr>
          <w:rFonts w:hint="eastAsia" w:ascii="仿宋" w:hAnsi="仿宋" w:eastAsia="仿宋"/>
          <w:sz w:val="24"/>
          <w:lang w:eastAsia="zh-Hans"/>
        </w:rPr>
        <w:t>三</w:t>
      </w:r>
      <w:r>
        <w:rPr>
          <w:rFonts w:hint="eastAsia" w:ascii="仿宋" w:hAnsi="仿宋" w:eastAsia="仿宋"/>
          <w:sz w:val="24"/>
        </w:rPr>
        <w:t>）支付方式：银行转账。</w:t>
      </w:r>
    </w:p>
    <w:p w14:paraId="30C27520">
      <w:pPr>
        <w:pStyle w:val="2"/>
        <w:rPr>
          <w:rFonts w:hint="eastAsia"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账户全称：</w:t>
      </w:r>
    </w:p>
    <w:p w14:paraId="31BB2DA2">
      <w:pPr>
        <w:pStyle w:val="2"/>
        <w:rPr>
          <w:rFonts w:hint="eastAsia"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账    号：</w:t>
      </w:r>
    </w:p>
    <w:p w14:paraId="2D116402">
      <w:pPr>
        <w:pStyle w:val="2"/>
        <w:rPr>
          <w:rFonts w:hint="eastAsia"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开 户 行：</w:t>
      </w:r>
    </w:p>
    <w:p w14:paraId="6298F38A">
      <w:pPr>
        <w:pStyle w:val="2"/>
        <w:ind w:firstLine="480" w:firstLineChars="200"/>
        <w:rPr>
          <w:rFonts w:hint="eastAsia"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甲方仅认可上述指定账户并向该账户付款。甲方有权拒绝向指定账户之外的任何账户付款，并且由此导致的付款延迟责任由乙方承担。</w:t>
      </w:r>
    </w:p>
    <w:p w14:paraId="4961B5FF">
      <w:pPr>
        <w:tabs>
          <w:tab w:val="left" w:pos="480"/>
        </w:tabs>
        <w:spacing w:line="360" w:lineRule="auto"/>
        <w:ind w:firstLine="480" w:firstLineChars="200"/>
        <w:rPr>
          <w:rFonts w:ascii="仿宋" w:hAnsi="仿宋" w:eastAsia="仿宋"/>
          <w:bCs/>
          <w:sz w:val="24"/>
        </w:rPr>
      </w:pPr>
      <w:r>
        <w:rPr>
          <w:rFonts w:hint="eastAsia" w:ascii="仿宋" w:hAnsi="仿宋" w:eastAsia="仿宋"/>
          <w:sz w:val="24"/>
        </w:rPr>
        <w:t>（</w:t>
      </w:r>
      <w:r>
        <w:rPr>
          <w:rFonts w:hint="eastAsia" w:ascii="仿宋" w:hAnsi="仿宋" w:eastAsia="仿宋"/>
          <w:sz w:val="24"/>
          <w:lang w:eastAsia="zh-Hans"/>
        </w:rPr>
        <w:t>四</w:t>
      </w:r>
      <w:r>
        <w:rPr>
          <w:rFonts w:hint="eastAsia" w:ascii="仿宋" w:hAnsi="仿宋" w:eastAsia="仿宋"/>
          <w:sz w:val="24"/>
        </w:rPr>
        <w:t>）结算方式：</w:t>
      </w:r>
      <w:r>
        <w:rPr>
          <w:rFonts w:hint="eastAsia" w:ascii="仿宋" w:hAnsi="仿宋" w:eastAsia="仿宋"/>
          <w:bCs/>
          <w:sz w:val="24"/>
        </w:rPr>
        <w:t>乙方持发票（按</w:t>
      </w:r>
      <w:r>
        <w:rPr>
          <w:rFonts w:hint="eastAsia" w:ascii="仿宋" w:hAnsi="仿宋" w:eastAsia="仿宋"/>
          <w:sz w:val="24"/>
        </w:rPr>
        <w:t>合同总价值开具）</w:t>
      </w:r>
      <w:r>
        <w:rPr>
          <w:rFonts w:hint="eastAsia" w:ascii="仿宋" w:hAnsi="仿宋" w:eastAsia="仿宋"/>
          <w:bCs/>
          <w:sz w:val="24"/>
        </w:rPr>
        <w:t>，中标通知书、本合同、发票复印件、项目验收单，与甲方办理资金结算手续。乙方未按照约定提供发票时，甲方有权拒付费用且不承担任何责任。</w:t>
      </w:r>
    </w:p>
    <w:p w14:paraId="42907D82">
      <w:pPr>
        <w:tabs>
          <w:tab w:val="left" w:pos="480"/>
        </w:tabs>
        <w:spacing w:line="360" w:lineRule="auto"/>
        <w:ind w:firstLine="472" w:firstLineChars="196"/>
        <w:rPr>
          <w:rFonts w:ascii="仿宋" w:hAnsi="仿宋" w:eastAsia="仿宋"/>
          <w:b/>
          <w:sz w:val="24"/>
          <w:lang w:val="zh-CN"/>
        </w:rPr>
      </w:pPr>
      <w:bookmarkStart w:id="434" w:name="_Toc6099"/>
      <w:r>
        <w:rPr>
          <w:rFonts w:hint="eastAsia" w:ascii="仿宋" w:hAnsi="仿宋" w:eastAsia="仿宋"/>
          <w:b/>
          <w:sz w:val="24"/>
        </w:rPr>
        <w:t>四、</w:t>
      </w:r>
      <w:r>
        <w:rPr>
          <w:rFonts w:hint="eastAsia" w:ascii="仿宋" w:hAnsi="仿宋" w:eastAsia="仿宋"/>
          <w:b/>
          <w:sz w:val="24"/>
          <w:lang w:val="zh-CN"/>
        </w:rPr>
        <w:t>知识产权</w:t>
      </w:r>
      <w:bookmarkEnd w:id="434"/>
    </w:p>
    <w:p w14:paraId="21618B7B">
      <w:pPr>
        <w:tabs>
          <w:tab w:val="left" w:pos="480"/>
        </w:tabs>
        <w:spacing w:line="360" w:lineRule="auto"/>
        <w:ind w:firstLine="470" w:firstLineChars="196"/>
        <w:rPr>
          <w:rFonts w:hint="default" w:ascii="仿宋" w:hAnsi="仿宋" w:eastAsia="仿宋"/>
          <w:b/>
          <w:sz w:val="24"/>
          <w:lang w:val="en-US" w:eastAsia="zh-CN"/>
        </w:rPr>
      </w:pPr>
      <w:r>
        <w:rPr>
          <w:rFonts w:hint="eastAsia" w:ascii="仿宋" w:hAnsi="仿宋" w:eastAsia="仿宋"/>
          <w:bCs/>
          <w:sz w:val="24"/>
        </w:rPr>
        <w:t>乙方</w:t>
      </w:r>
      <w:r>
        <w:rPr>
          <w:rFonts w:hint="eastAsia" w:ascii="仿宋" w:hAnsi="仿宋" w:eastAsia="仿宋"/>
          <w:bCs/>
          <w:sz w:val="24"/>
          <w:lang w:val="zh-CN"/>
        </w:rPr>
        <w:t>应保证磋商响应技术服务不会出现因第三方提出侵犯其专利权、商标权或其它知识产权而引发法律或经济纠纷，否则由</w:t>
      </w:r>
      <w:r>
        <w:rPr>
          <w:rFonts w:hint="eastAsia" w:ascii="仿宋" w:hAnsi="仿宋" w:eastAsia="仿宋"/>
          <w:bCs/>
          <w:sz w:val="24"/>
          <w:lang w:val="en-US" w:eastAsia="zh-CN"/>
        </w:rPr>
        <w:t>乙方</w:t>
      </w:r>
      <w:r>
        <w:rPr>
          <w:rFonts w:hint="eastAsia" w:ascii="仿宋" w:hAnsi="仿宋" w:eastAsia="仿宋"/>
          <w:bCs/>
          <w:sz w:val="24"/>
          <w:lang w:val="zh-CN"/>
        </w:rPr>
        <w:t>承担全部责任。任何被</w:t>
      </w:r>
      <w:r>
        <w:rPr>
          <w:rFonts w:hint="eastAsia" w:ascii="仿宋" w:hAnsi="仿宋" w:eastAsia="仿宋"/>
          <w:bCs/>
          <w:sz w:val="24"/>
          <w:lang w:val="en-US" w:eastAsia="zh-CN"/>
        </w:rPr>
        <w:t>乙方</w:t>
      </w:r>
      <w:r>
        <w:rPr>
          <w:rFonts w:hint="eastAsia" w:ascii="仿宋" w:hAnsi="仿宋" w:eastAsia="仿宋"/>
          <w:bCs/>
          <w:sz w:val="24"/>
          <w:lang w:val="zh-CN"/>
        </w:rPr>
        <w:t>用于未经授权的商业目的行为所造成的违约或侵权责任由</w:t>
      </w:r>
      <w:r>
        <w:rPr>
          <w:rFonts w:hint="eastAsia" w:ascii="仿宋" w:hAnsi="仿宋" w:eastAsia="仿宋"/>
          <w:bCs/>
          <w:sz w:val="24"/>
        </w:rPr>
        <w:t>乙方</w:t>
      </w:r>
      <w:r>
        <w:rPr>
          <w:rFonts w:hint="eastAsia" w:ascii="仿宋" w:hAnsi="仿宋" w:eastAsia="仿宋"/>
          <w:bCs/>
          <w:sz w:val="24"/>
          <w:lang w:val="zh-CN"/>
        </w:rPr>
        <w:t>承但。</w:t>
      </w:r>
      <w:r>
        <w:rPr>
          <w:rFonts w:hint="eastAsia" w:ascii="仿宋" w:hAnsi="仿宋" w:eastAsia="仿宋"/>
          <w:bCs/>
          <w:sz w:val="24"/>
          <w:lang w:val="en-US" w:eastAsia="zh-CN"/>
        </w:rPr>
        <w:t>甲方因此遭索赔的，有权向乙方追偿。</w:t>
      </w:r>
    </w:p>
    <w:p w14:paraId="7CCF103C">
      <w:pPr>
        <w:tabs>
          <w:tab w:val="left" w:pos="480"/>
        </w:tabs>
        <w:spacing w:line="360" w:lineRule="auto"/>
        <w:ind w:firstLine="472" w:firstLineChars="196"/>
        <w:rPr>
          <w:rFonts w:ascii="仿宋" w:hAnsi="仿宋" w:eastAsia="仿宋"/>
          <w:b/>
          <w:sz w:val="24"/>
        </w:rPr>
      </w:pPr>
      <w:r>
        <w:rPr>
          <w:rFonts w:hint="eastAsia" w:ascii="仿宋" w:hAnsi="仿宋" w:eastAsia="仿宋"/>
          <w:b/>
          <w:sz w:val="24"/>
        </w:rPr>
        <w:t>五、双方的权利和义务</w:t>
      </w:r>
    </w:p>
    <w:p w14:paraId="57B95DDC">
      <w:pPr>
        <w:tabs>
          <w:tab w:val="left" w:pos="480"/>
        </w:tabs>
        <w:spacing w:line="360" w:lineRule="auto"/>
        <w:ind w:firstLine="480" w:firstLineChars="200"/>
        <w:rPr>
          <w:rFonts w:ascii="仿宋" w:hAnsi="仿宋" w:eastAsia="仿宋"/>
          <w:sz w:val="24"/>
        </w:rPr>
      </w:pPr>
      <w:r>
        <w:rPr>
          <w:rFonts w:hint="eastAsia" w:ascii="仿宋" w:hAnsi="仿宋" w:eastAsia="仿宋"/>
          <w:sz w:val="24"/>
        </w:rPr>
        <w:t>（一）甲方的权利和义务</w:t>
      </w:r>
    </w:p>
    <w:p w14:paraId="613D735D">
      <w:pPr>
        <w:tabs>
          <w:tab w:val="left" w:pos="480"/>
        </w:tabs>
        <w:spacing w:line="360" w:lineRule="auto"/>
        <w:ind w:firstLine="480" w:firstLineChars="200"/>
        <w:rPr>
          <w:rFonts w:ascii="仿宋" w:hAnsi="仿宋" w:eastAsia="仿宋"/>
          <w:sz w:val="24"/>
        </w:rPr>
      </w:pPr>
      <w:r>
        <w:rPr>
          <w:rFonts w:hint="eastAsia" w:ascii="仿宋" w:hAnsi="仿宋" w:eastAsia="仿宋"/>
          <w:sz w:val="24"/>
        </w:rPr>
        <w:t>甲方权利：严格按照招标文件要求、投标文件</w:t>
      </w:r>
      <w:r>
        <w:rPr>
          <w:rFonts w:hint="eastAsia" w:ascii="仿宋" w:hAnsi="仿宋" w:eastAsia="仿宋"/>
          <w:sz w:val="24"/>
          <w:lang w:val="en-US" w:eastAsia="zh-CN"/>
        </w:rPr>
        <w:t>响应内容</w:t>
      </w:r>
      <w:r>
        <w:rPr>
          <w:rFonts w:hint="eastAsia" w:ascii="仿宋" w:hAnsi="仿宋" w:eastAsia="仿宋"/>
          <w:sz w:val="24"/>
        </w:rPr>
        <w:t>、合同约定和标准验收。按照合同约定，甲方应向乙方提供为完成</w:t>
      </w:r>
      <w:r>
        <w:rPr>
          <w:rFonts w:hint="eastAsia" w:ascii="仿宋" w:hAnsi="仿宋" w:eastAsia="仿宋"/>
          <w:sz w:val="24"/>
          <w:lang w:eastAsia="zh-Hans"/>
        </w:rPr>
        <w:t>网络安全等级保护测评</w:t>
      </w:r>
      <w:r>
        <w:rPr>
          <w:rFonts w:hint="eastAsia" w:ascii="仿宋" w:hAnsi="仿宋" w:eastAsia="仿宋"/>
          <w:sz w:val="24"/>
        </w:rPr>
        <w:t>服务工作所需要的信息、资料和其他相关协助。如乙方未按本协议约定按约履行合同义务，甲方则有权按照违约事宜在合同价款中予以扣除相应违约金。由此给甲方造成的损失，乙方应当承担赔偿责任。</w:t>
      </w:r>
    </w:p>
    <w:p w14:paraId="6DA48F31">
      <w:pPr>
        <w:tabs>
          <w:tab w:val="left" w:pos="480"/>
        </w:tabs>
        <w:spacing w:line="360" w:lineRule="auto"/>
        <w:ind w:firstLine="480" w:firstLineChars="200"/>
        <w:rPr>
          <w:rFonts w:ascii="仿宋" w:hAnsi="仿宋" w:eastAsia="仿宋"/>
          <w:sz w:val="24"/>
        </w:rPr>
      </w:pPr>
      <w:r>
        <w:rPr>
          <w:rFonts w:hint="eastAsia" w:ascii="仿宋" w:hAnsi="仿宋" w:eastAsia="仿宋"/>
          <w:sz w:val="24"/>
        </w:rPr>
        <w:t>甲方对乙方提供的工作成果进行验收，如发现与合同约定不符或不满足甲方需求，有权拒绝接受该工作成果。该工作成果已经提供给甲方的，甲方有权就与合同约定不符，或不满足甲方需求的部分，拒绝支付相应工作成果的合同价款。如造成甲方无法实现合同目的，甲方有权拒绝接受全部工作成果并拒绝支付全部合同价款。</w:t>
      </w:r>
    </w:p>
    <w:p w14:paraId="0C6B348F">
      <w:pPr>
        <w:tabs>
          <w:tab w:val="left" w:pos="480"/>
        </w:tabs>
        <w:spacing w:line="360" w:lineRule="auto"/>
        <w:ind w:firstLine="480" w:firstLineChars="200"/>
        <w:rPr>
          <w:rFonts w:ascii="仿宋" w:hAnsi="仿宋" w:eastAsia="仿宋"/>
          <w:sz w:val="24"/>
        </w:rPr>
      </w:pPr>
      <w:r>
        <w:rPr>
          <w:rFonts w:hint="eastAsia" w:ascii="仿宋" w:hAnsi="仿宋" w:eastAsia="仿宋"/>
          <w:sz w:val="24"/>
        </w:rPr>
        <w:t>甲方义务：提供实施场地，积极</w:t>
      </w:r>
      <w:r>
        <w:rPr>
          <w:rFonts w:hint="eastAsia" w:ascii="仿宋" w:hAnsi="仿宋" w:eastAsia="仿宋"/>
          <w:sz w:val="24"/>
          <w:lang w:eastAsia="zh-Hans"/>
        </w:rPr>
        <w:t>各个信息系统测评</w:t>
      </w:r>
      <w:r>
        <w:rPr>
          <w:rFonts w:hint="eastAsia" w:ascii="仿宋" w:hAnsi="仿宋" w:eastAsia="仿宋"/>
          <w:sz w:val="24"/>
        </w:rPr>
        <w:t>、问题处理和实施等工作。积极配合乙方验收、付款等工作。</w:t>
      </w:r>
    </w:p>
    <w:p w14:paraId="24487618">
      <w:pPr>
        <w:tabs>
          <w:tab w:val="left" w:pos="480"/>
        </w:tabs>
        <w:spacing w:line="360" w:lineRule="auto"/>
        <w:ind w:firstLine="480" w:firstLineChars="200"/>
        <w:rPr>
          <w:rFonts w:ascii="仿宋" w:hAnsi="仿宋" w:eastAsia="仿宋"/>
          <w:sz w:val="24"/>
        </w:rPr>
      </w:pPr>
      <w:r>
        <w:rPr>
          <w:rFonts w:hint="eastAsia" w:ascii="仿宋" w:hAnsi="仿宋" w:eastAsia="仿宋"/>
          <w:sz w:val="24"/>
        </w:rPr>
        <w:t>（二）乙方的权利和义务：</w:t>
      </w:r>
    </w:p>
    <w:p w14:paraId="029C65F7">
      <w:pPr>
        <w:tabs>
          <w:tab w:val="left" w:pos="480"/>
        </w:tabs>
        <w:spacing w:line="360" w:lineRule="auto"/>
        <w:ind w:firstLine="480" w:firstLineChars="200"/>
        <w:rPr>
          <w:rFonts w:ascii="仿宋" w:hAnsi="仿宋" w:eastAsia="仿宋"/>
          <w:sz w:val="24"/>
        </w:rPr>
      </w:pPr>
      <w:r>
        <w:rPr>
          <w:rFonts w:hint="eastAsia" w:ascii="仿宋" w:hAnsi="仿宋" w:eastAsia="仿宋"/>
          <w:sz w:val="24"/>
        </w:rPr>
        <w:t>乙方权利：按照合同约定要求甲方及时付款。</w:t>
      </w:r>
    </w:p>
    <w:p w14:paraId="7440F194">
      <w:pPr>
        <w:tabs>
          <w:tab w:val="left" w:pos="480"/>
        </w:tabs>
        <w:spacing w:line="360" w:lineRule="auto"/>
        <w:ind w:firstLine="480" w:firstLineChars="200"/>
        <w:rPr>
          <w:rFonts w:hint="eastAsia" w:ascii="仿宋" w:hAnsi="仿宋" w:eastAsia="仿宋"/>
          <w:sz w:val="24"/>
        </w:rPr>
      </w:pPr>
      <w:r>
        <w:rPr>
          <w:rFonts w:hint="eastAsia" w:ascii="仿宋" w:hAnsi="仿宋" w:eastAsia="仿宋"/>
          <w:sz w:val="24"/>
        </w:rPr>
        <w:t>乙方义务：按照合同约定时间，按甲方指定地点提供乙方保证按照招标文件实施要求进行测评服务：第一阶段：等级保护需对系统的安全物理环境、安全通信网络、安全区域边界、安全计算环境、安全管理中心、安全管理制度、安全管理机构、安全管理人员、安全建设管理、安全运维管理共10个层面进行安全等级保护测评。测评指标须符合招标文件中“等级保护技术要求（三级）”。</w:t>
      </w:r>
    </w:p>
    <w:p w14:paraId="7842C54A">
      <w:pPr>
        <w:tabs>
          <w:tab w:val="left" w:pos="480"/>
        </w:tabs>
        <w:spacing w:line="360" w:lineRule="auto"/>
        <w:ind w:firstLine="480" w:firstLineChars="200"/>
        <w:rPr>
          <w:rFonts w:hint="eastAsia" w:ascii="仿宋" w:hAnsi="仿宋" w:eastAsia="仿宋"/>
          <w:sz w:val="24"/>
        </w:rPr>
      </w:pPr>
      <w:r>
        <w:rPr>
          <w:rFonts w:hint="eastAsia" w:ascii="仿宋" w:hAnsi="仿宋" w:eastAsia="仿宋"/>
          <w:sz w:val="24"/>
        </w:rPr>
        <w:t>第二阶段：渗透检测，通过模拟恶意黑客的攻击方法，来评估计算机信息系统是否安全的一种评估方法。这个过程包括对系统的任何弱点、技术缺陷或漏洞的主动分析。</w:t>
      </w:r>
    </w:p>
    <w:p w14:paraId="17FD61FD">
      <w:pPr>
        <w:tabs>
          <w:tab w:val="left" w:pos="480"/>
        </w:tabs>
        <w:spacing w:line="360" w:lineRule="auto"/>
        <w:ind w:firstLine="240" w:firstLineChars="100"/>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第三阶段：建设整改咨询及安全加固（不涉及硬件）建设整改咨询工作以等级测评和渗透检测发现的安全问题为工作重点，编写《信息系统安全建设整改建议》；将信息系统的安全建设整改需求落实到可操作的安全技术和管理上，提出能够实现的技术参数或制度及其具体规范。之后在甲方依据相关《信息系统安全建设整改建议》开展建设整改工作时，将提供建设整改过程中的与建设整改相关的咨询服务，并负责对甲方进行一次网络安全意识宣传培训。对信息系统安全整改建议进行确认，并依照建议，协助进行漏洞修复，补丁升级等非硬件层面的安全加固，制定可执行的安全整改方案和计划，然后协助分步实施安全整改工作。</w:t>
      </w:r>
    </w:p>
    <w:p w14:paraId="4C9A47E8">
      <w:pPr>
        <w:tabs>
          <w:tab w:val="left" w:pos="480"/>
        </w:tabs>
        <w:spacing w:line="360" w:lineRule="auto"/>
        <w:ind w:firstLine="480" w:firstLineChars="200"/>
        <w:rPr>
          <w:rFonts w:ascii="仿宋" w:hAnsi="仿宋" w:eastAsia="仿宋"/>
          <w:sz w:val="24"/>
        </w:rPr>
      </w:pPr>
      <w:r>
        <w:rPr>
          <w:rFonts w:hint="eastAsia" w:ascii="仿宋" w:hAnsi="仿宋" w:eastAsia="仿宋"/>
          <w:sz w:val="24"/>
        </w:rPr>
        <w:t>项目期间乙方人员须严格遵守甲方相关管理规定。不应因</w:t>
      </w:r>
      <w:r>
        <w:rPr>
          <w:rFonts w:hint="eastAsia" w:ascii="仿宋" w:hAnsi="仿宋" w:eastAsia="仿宋"/>
          <w:sz w:val="24"/>
          <w:lang w:val="en-US" w:eastAsia="zh-CN"/>
        </w:rPr>
        <w:t>乙方</w:t>
      </w:r>
      <w:r>
        <w:rPr>
          <w:rFonts w:hint="eastAsia" w:ascii="仿宋" w:hAnsi="仿宋" w:eastAsia="仿宋"/>
          <w:sz w:val="24"/>
        </w:rPr>
        <w:t>人员责任出现失窃或其他安全事故。甲方支付的服务费中已包含安全措施费等相关费用，乙方人员给甲方或任何第三方造成人身或财产损失的，甲方有权要求乙方赔偿，甲方因此遭遇索赔的，有权向乙方追偿。</w:t>
      </w:r>
    </w:p>
    <w:p w14:paraId="3D9CC550">
      <w:pPr>
        <w:spacing w:line="360" w:lineRule="auto"/>
        <w:rPr>
          <w:rFonts w:ascii="仿宋" w:hAnsi="仿宋" w:eastAsia="仿宋"/>
          <w:sz w:val="24"/>
        </w:rPr>
      </w:pPr>
      <w:r>
        <w:rPr>
          <w:rFonts w:hint="eastAsia" w:ascii="仿宋" w:hAnsi="仿宋" w:eastAsia="仿宋"/>
          <w:sz w:val="24"/>
        </w:rPr>
        <w:t xml:space="preserve">    六</w:t>
      </w:r>
      <w:r>
        <w:rPr>
          <w:rFonts w:hint="eastAsia" w:ascii="仿宋" w:hAnsi="仿宋" w:eastAsia="仿宋"/>
          <w:b/>
          <w:sz w:val="24"/>
        </w:rPr>
        <w:t>、交货条件：</w:t>
      </w:r>
    </w:p>
    <w:p w14:paraId="6A5F5A66">
      <w:pPr>
        <w:tabs>
          <w:tab w:val="left" w:pos="480"/>
        </w:tabs>
        <w:spacing w:line="360" w:lineRule="auto"/>
        <w:ind w:firstLine="480" w:firstLineChars="200"/>
        <w:rPr>
          <w:rFonts w:ascii="仿宋" w:hAnsi="仿宋" w:eastAsia="仿宋"/>
          <w:sz w:val="24"/>
        </w:rPr>
      </w:pPr>
      <w:r>
        <w:rPr>
          <w:rFonts w:hint="eastAsia" w:ascii="仿宋" w:hAnsi="仿宋" w:eastAsia="仿宋"/>
          <w:sz w:val="24"/>
        </w:rPr>
        <w:t>（一）交货地点：甲方指定地点。</w:t>
      </w:r>
    </w:p>
    <w:p w14:paraId="36C963DE">
      <w:pPr>
        <w:tabs>
          <w:tab w:val="left" w:pos="480"/>
        </w:tabs>
        <w:spacing w:line="360" w:lineRule="auto"/>
        <w:ind w:firstLine="480" w:firstLineChars="200"/>
        <w:rPr>
          <w:rFonts w:hint="eastAsia" w:ascii="仿宋" w:hAnsi="仿宋" w:eastAsia="仿宋"/>
          <w:sz w:val="24"/>
          <w:lang w:eastAsia="zh-Hans"/>
        </w:rPr>
      </w:pPr>
      <w:r>
        <w:rPr>
          <w:rFonts w:hint="eastAsia" w:ascii="仿宋" w:hAnsi="仿宋" w:eastAsia="仿宋"/>
          <w:sz w:val="24"/>
        </w:rPr>
        <w:t xml:space="preserve">（二）交货期： </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31</w:t>
      </w:r>
      <w:r>
        <w:rPr>
          <w:rFonts w:hint="eastAsia" w:ascii="仿宋" w:hAnsi="仿宋" w:eastAsia="仿宋"/>
          <w:sz w:val="24"/>
        </w:rPr>
        <w:t>日</w:t>
      </w:r>
      <w:r>
        <w:rPr>
          <w:rFonts w:hint="eastAsia" w:ascii="仿宋" w:hAnsi="仿宋" w:eastAsia="仿宋"/>
          <w:sz w:val="24"/>
          <w:lang w:eastAsia="zh-Hans"/>
        </w:rPr>
        <w:t>前完成医院信息化建设系统、陕西省严重精神障碍信息管理平台、互联网医院信息系统</w:t>
      </w:r>
      <w:r>
        <w:rPr>
          <w:rFonts w:hint="eastAsia" w:ascii="仿宋" w:hAnsi="仿宋" w:eastAsia="仿宋"/>
          <w:sz w:val="24"/>
          <w:lang w:eastAsia="zh-CN"/>
        </w:rPr>
        <w:t>、医院官方网站系统</w:t>
      </w:r>
      <w:r>
        <w:rPr>
          <w:rFonts w:hint="eastAsia" w:ascii="仿宋" w:hAnsi="仿宋" w:eastAsia="仿宋"/>
          <w:sz w:val="24"/>
          <w:lang w:eastAsia="zh-Hans"/>
        </w:rPr>
        <w:t>等级保护测评服务</w:t>
      </w:r>
      <w:r>
        <w:rPr>
          <w:rFonts w:hint="eastAsia" w:ascii="仿宋" w:hAnsi="仿宋" w:eastAsia="仿宋"/>
          <w:b/>
          <w:sz w:val="24"/>
        </w:rPr>
        <w:t>。</w:t>
      </w:r>
    </w:p>
    <w:p w14:paraId="51F2E50E">
      <w:pPr>
        <w:tabs>
          <w:tab w:val="left" w:pos="480"/>
        </w:tabs>
        <w:spacing w:line="360" w:lineRule="auto"/>
        <w:ind w:firstLine="472" w:firstLineChars="196"/>
        <w:rPr>
          <w:rFonts w:ascii="仿宋" w:hAnsi="仿宋" w:eastAsia="仿宋"/>
          <w:b/>
          <w:sz w:val="24"/>
        </w:rPr>
      </w:pPr>
      <w:r>
        <w:rPr>
          <w:rFonts w:hint="eastAsia" w:ascii="仿宋" w:hAnsi="仿宋" w:eastAsia="仿宋"/>
          <w:b/>
          <w:sz w:val="24"/>
        </w:rPr>
        <w:t>七、质量保证</w:t>
      </w:r>
    </w:p>
    <w:p w14:paraId="268FA006">
      <w:pPr>
        <w:tabs>
          <w:tab w:val="left" w:pos="480"/>
        </w:tabs>
        <w:spacing w:line="360" w:lineRule="auto"/>
        <w:ind w:firstLine="470" w:firstLineChars="196"/>
        <w:rPr>
          <w:rFonts w:ascii="仿宋" w:hAnsi="仿宋" w:eastAsia="仿宋"/>
          <w:sz w:val="24"/>
        </w:rPr>
      </w:pPr>
      <w:r>
        <w:rPr>
          <w:rFonts w:hint="eastAsia" w:ascii="仿宋" w:hAnsi="仿宋" w:eastAsia="仿宋"/>
          <w:sz w:val="24"/>
        </w:rPr>
        <w:t>乙方所供</w:t>
      </w:r>
      <w:r>
        <w:rPr>
          <w:rFonts w:hint="eastAsia" w:ascii="仿宋" w:hAnsi="仿宋" w:eastAsia="仿宋"/>
          <w:sz w:val="24"/>
          <w:lang w:val="en-US" w:eastAsia="zh-CN"/>
        </w:rPr>
        <w:t>服务</w:t>
      </w:r>
      <w:r>
        <w:rPr>
          <w:rFonts w:hint="eastAsia" w:ascii="仿宋" w:hAnsi="仿宋" w:eastAsia="仿宋"/>
          <w:sz w:val="24"/>
        </w:rPr>
        <w:t>必须执行下列条款：</w:t>
      </w:r>
    </w:p>
    <w:p w14:paraId="6106C86D">
      <w:pPr>
        <w:spacing w:line="360" w:lineRule="auto"/>
        <w:ind w:firstLine="420"/>
        <w:rPr>
          <w:rFonts w:ascii="仿宋" w:hAnsi="仿宋" w:eastAsia="仿宋"/>
          <w:sz w:val="24"/>
        </w:rPr>
      </w:pPr>
      <w:r>
        <w:rPr>
          <w:rFonts w:hint="eastAsia" w:ascii="仿宋" w:hAnsi="仿宋" w:eastAsia="仿宋"/>
          <w:sz w:val="24"/>
        </w:rPr>
        <w:t>（</w:t>
      </w:r>
      <w:r>
        <w:rPr>
          <w:rFonts w:hint="eastAsia" w:ascii="仿宋" w:hAnsi="仿宋" w:eastAsia="仿宋"/>
          <w:sz w:val="24"/>
          <w:lang w:eastAsia="zh-Hans"/>
        </w:rPr>
        <w:t>一</w:t>
      </w:r>
      <w:r>
        <w:rPr>
          <w:rFonts w:hint="eastAsia" w:ascii="仿宋" w:hAnsi="仿宋" w:eastAsia="仿宋"/>
          <w:sz w:val="24"/>
        </w:rPr>
        <w:t>）乙方保证提供给甲方的等级保护测评报告符合国家和公安部颁布标准及合同规定的要求。</w:t>
      </w:r>
    </w:p>
    <w:p w14:paraId="4C1A1FEA">
      <w:pPr>
        <w:spacing w:line="360" w:lineRule="auto"/>
        <w:ind w:firstLine="420"/>
        <w:rPr>
          <w:rFonts w:ascii="仿宋" w:hAnsi="仿宋" w:eastAsia="仿宋"/>
          <w:sz w:val="24"/>
        </w:rPr>
      </w:pPr>
      <w:r>
        <w:rPr>
          <w:rFonts w:hint="eastAsia" w:ascii="仿宋" w:hAnsi="仿宋" w:eastAsia="仿宋"/>
          <w:sz w:val="24"/>
        </w:rPr>
        <w:t>（</w:t>
      </w:r>
      <w:r>
        <w:rPr>
          <w:rFonts w:hint="eastAsia" w:ascii="仿宋" w:hAnsi="仿宋" w:eastAsia="仿宋"/>
          <w:sz w:val="24"/>
          <w:lang w:eastAsia="zh-Hans"/>
        </w:rPr>
        <w:t>二</w:t>
      </w:r>
      <w:r>
        <w:rPr>
          <w:rFonts w:hint="eastAsia" w:ascii="仿宋" w:hAnsi="仿宋" w:eastAsia="仿宋"/>
          <w:sz w:val="24"/>
        </w:rPr>
        <w:t>）乙方保证在项目实施过程中不影响甲方的信息系统正常运行。</w:t>
      </w:r>
    </w:p>
    <w:p w14:paraId="29A8D84E">
      <w:pPr>
        <w:spacing w:line="360" w:lineRule="auto"/>
        <w:ind w:firstLine="420"/>
        <w:rPr>
          <w:rFonts w:ascii="仿宋" w:hAnsi="仿宋" w:eastAsia="仿宋"/>
          <w:sz w:val="24"/>
        </w:rPr>
      </w:pPr>
      <w:r>
        <w:rPr>
          <w:rFonts w:hint="eastAsia" w:ascii="仿宋" w:hAnsi="仿宋" w:eastAsia="仿宋"/>
          <w:sz w:val="24"/>
        </w:rPr>
        <w:t>（</w:t>
      </w:r>
      <w:r>
        <w:rPr>
          <w:rFonts w:hint="eastAsia" w:ascii="仿宋" w:hAnsi="仿宋" w:eastAsia="仿宋"/>
          <w:sz w:val="24"/>
          <w:lang w:eastAsia="zh-Hans"/>
        </w:rPr>
        <w:t>三</w:t>
      </w:r>
      <w:r>
        <w:rPr>
          <w:rFonts w:hint="eastAsia" w:ascii="仿宋" w:hAnsi="仿宋" w:eastAsia="仿宋"/>
          <w:sz w:val="24"/>
        </w:rPr>
        <w:t>）乙方保证向甲方提供的技术资料是清晰的、正确的、完整的、符合等级保护评测标准的。</w:t>
      </w:r>
    </w:p>
    <w:p w14:paraId="3A69A299">
      <w:pPr>
        <w:spacing w:line="360" w:lineRule="auto"/>
        <w:ind w:firstLine="420"/>
        <w:rPr>
          <w:rFonts w:ascii="仿宋" w:hAnsi="仿宋" w:eastAsia="仿宋"/>
          <w:sz w:val="24"/>
        </w:rPr>
      </w:pPr>
      <w:r>
        <w:rPr>
          <w:rFonts w:hint="eastAsia" w:ascii="仿宋" w:hAnsi="仿宋" w:eastAsia="仿宋"/>
          <w:sz w:val="24"/>
        </w:rPr>
        <w:t>（</w:t>
      </w:r>
      <w:r>
        <w:rPr>
          <w:rFonts w:hint="eastAsia" w:ascii="仿宋" w:hAnsi="仿宋" w:eastAsia="仿宋"/>
          <w:sz w:val="24"/>
          <w:lang w:eastAsia="zh-Hans"/>
        </w:rPr>
        <w:t>四</w:t>
      </w:r>
      <w:r>
        <w:rPr>
          <w:rFonts w:hint="eastAsia" w:ascii="仿宋" w:hAnsi="仿宋" w:eastAsia="仿宋"/>
          <w:sz w:val="24"/>
        </w:rPr>
        <w:t>）如因乙方提供的相关资料或提供的技术资料错误，或乙方在现场的技术人员指导有错误而使报告不能达到评测要求，乙方负责修改，由此引起的费用由乙方承担。乙方</w:t>
      </w:r>
      <w:r>
        <w:rPr>
          <w:rFonts w:hint="eastAsia" w:ascii="仿宋" w:hAnsi="仿宋" w:eastAsia="仿宋"/>
          <w:sz w:val="24"/>
          <w:highlight w:val="none"/>
        </w:rPr>
        <w:t>逾期</w:t>
      </w:r>
      <w:r>
        <w:rPr>
          <w:rFonts w:hint="eastAsia" w:ascii="仿宋" w:hAnsi="仿宋" w:eastAsia="仿宋"/>
          <w:sz w:val="24"/>
          <w:highlight w:val="none"/>
          <w:lang w:val="en-US" w:eastAsia="zh-CN"/>
        </w:rPr>
        <w:t>30</w:t>
      </w:r>
      <w:r>
        <w:rPr>
          <w:rFonts w:hint="eastAsia" w:ascii="仿宋" w:hAnsi="仿宋" w:eastAsia="仿宋"/>
          <w:sz w:val="24"/>
          <w:highlight w:val="none"/>
        </w:rPr>
        <w:t>个工作日仍</w:t>
      </w:r>
      <w:r>
        <w:rPr>
          <w:rFonts w:hint="eastAsia" w:ascii="仿宋" w:hAnsi="仿宋" w:eastAsia="仿宋"/>
          <w:sz w:val="24"/>
        </w:rPr>
        <w:t>不能提供达到甲方要求的报告，甲方有权解除合同，乙方应当支付相当于合同金额5%的违约金</w:t>
      </w:r>
      <w:r>
        <w:rPr>
          <w:rFonts w:hint="eastAsia" w:ascii="仿宋" w:hAnsi="仿宋" w:eastAsia="仿宋"/>
          <w:sz w:val="24"/>
          <w:lang w:eastAsia="zh-CN"/>
        </w:rPr>
        <w:t>，</w:t>
      </w:r>
      <w:r>
        <w:rPr>
          <w:rFonts w:hint="eastAsia" w:ascii="仿宋" w:hAnsi="仿宋" w:eastAsia="仿宋"/>
          <w:sz w:val="24"/>
          <w:lang w:val="en-US" w:eastAsia="zh-CN"/>
        </w:rPr>
        <w:t>违约金不足以弥补甲方损失的，乙方应另行承担</w:t>
      </w:r>
      <w:r>
        <w:rPr>
          <w:rFonts w:hint="eastAsia" w:ascii="仿宋" w:hAnsi="仿宋" w:eastAsia="仿宋"/>
          <w:sz w:val="24"/>
        </w:rPr>
        <w:t>。</w:t>
      </w:r>
    </w:p>
    <w:p w14:paraId="415DBEE0">
      <w:pPr>
        <w:spacing w:line="360" w:lineRule="auto"/>
        <w:ind w:firstLine="420"/>
        <w:rPr>
          <w:rFonts w:ascii="仿宋" w:hAnsi="仿宋" w:eastAsia="仿宋"/>
          <w:sz w:val="24"/>
        </w:rPr>
      </w:pPr>
      <w:r>
        <w:rPr>
          <w:rFonts w:hint="eastAsia" w:ascii="仿宋" w:hAnsi="仿宋" w:eastAsia="仿宋"/>
          <w:sz w:val="24"/>
        </w:rPr>
        <w:t>（</w:t>
      </w:r>
      <w:r>
        <w:rPr>
          <w:rFonts w:hint="eastAsia" w:ascii="仿宋" w:hAnsi="仿宋" w:eastAsia="仿宋"/>
          <w:sz w:val="24"/>
          <w:lang w:eastAsia="zh-Hans"/>
        </w:rPr>
        <w:t>五</w:t>
      </w:r>
      <w:r>
        <w:rPr>
          <w:rFonts w:hint="eastAsia" w:ascii="仿宋" w:hAnsi="仿宋" w:eastAsia="仿宋"/>
          <w:sz w:val="24"/>
        </w:rPr>
        <w:t xml:space="preserve">）甲方应配合乙方的工作，按时提供相应的数据、信息和资料，并保证其正确性、真实性，如果由于甲方提供的数据、信息和资料有误或不能如期提供，影响工作质量和进度的，乙方无需承担逾期责任；甲方逾期40个工作日不提供约定的物质技术条件的，乙方有权解除合同。 </w:t>
      </w:r>
    </w:p>
    <w:p w14:paraId="19736192">
      <w:pPr>
        <w:spacing w:line="360" w:lineRule="auto"/>
        <w:ind w:firstLine="482" w:firstLineChars="200"/>
        <w:rPr>
          <w:rFonts w:ascii="仿宋" w:hAnsi="仿宋" w:eastAsia="仿宋"/>
          <w:b/>
          <w:sz w:val="24"/>
        </w:rPr>
      </w:pPr>
      <w:r>
        <w:rPr>
          <w:rFonts w:hint="eastAsia" w:ascii="仿宋" w:hAnsi="仿宋" w:eastAsia="仿宋"/>
          <w:b/>
          <w:sz w:val="24"/>
          <w:lang w:val="en-US" w:eastAsia="zh-CN"/>
        </w:rPr>
        <w:t>八</w:t>
      </w:r>
      <w:r>
        <w:rPr>
          <w:rFonts w:hint="eastAsia" w:ascii="仿宋" w:hAnsi="仿宋" w:eastAsia="仿宋"/>
          <w:b/>
          <w:sz w:val="24"/>
        </w:rPr>
        <w:t>、售后服务要求</w:t>
      </w:r>
    </w:p>
    <w:p w14:paraId="7B921EA3">
      <w:pPr>
        <w:pStyle w:val="300"/>
        <w:ind w:firstLine="480"/>
        <w:rPr>
          <w:rFonts w:hint="default" w:ascii="仿宋" w:hAnsi="仿宋" w:eastAsia="仿宋"/>
          <w:sz w:val="24"/>
          <w:lang w:val="en-US" w:eastAsia="zh-CN"/>
        </w:rPr>
      </w:pPr>
      <w:r>
        <w:rPr>
          <w:rFonts w:hint="eastAsia" w:ascii="仿宋" w:hAnsi="仿宋" w:eastAsia="仿宋"/>
          <w:sz w:val="24"/>
          <w:lang w:val="en-US" w:eastAsia="zh-Hans"/>
        </w:rPr>
        <w:t>所有系统测评工作完成，验收合格之日起提供</w:t>
      </w:r>
      <w:r>
        <w:rPr>
          <w:rFonts w:hint="eastAsia" w:ascii="仿宋" w:hAnsi="仿宋" w:eastAsia="仿宋"/>
          <w:sz w:val="24"/>
          <w:lang w:val="en-US" w:eastAsia="zh-CN"/>
        </w:rPr>
        <w:t>1</w:t>
      </w:r>
      <w:r>
        <w:rPr>
          <w:rFonts w:hint="eastAsia" w:ascii="仿宋" w:hAnsi="仿宋" w:eastAsia="仿宋"/>
          <w:sz w:val="24"/>
          <w:lang w:val="en-US" w:eastAsia="zh-Hans"/>
        </w:rPr>
        <w:t>年的售后服务，包括但不限于护网值守服务</w:t>
      </w:r>
      <w:r>
        <w:rPr>
          <w:rFonts w:ascii="仿宋" w:hAnsi="仿宋" w:eastAsia="仿宋"/>
          <w:sz w:val="24"/>
          <w:lang w:eastAsia="zh-Hans"/>
        </w:rPr>
        <w:t>、</w:t>
      </w:r>
      <w:r>
        <w:rPr>
          <w:rFonts w:hint="eastAsia" w:ascii="仿宋" w:hAnsi="仿宋" w:eastAsia="仿宋"/>
          <w:sz w:val="24"/>
          <w:lang w:val="en-US" w:eastAsia="zh-Hans"/>
        </w:rPr>
        <w:t>安全培训服务、安全建设整改咨询服务、安全检查服务、配合检查服务（7*24小时响应</w:t>
      </w:r>
      <w:r>
        <w:rPr>
          <w:rFonts w:hint="eastAsia" w:ascii="仿宋" w:hAnsi="仿宋" w:eastAsia="仿宋"/>
          <w:sz w:val="24"/>
          <w:lang w:val="en-US" w:eastAsia="zh-CN"/>
        </w:rPr>
        <w:t>，</w:t>
      </w:r>
      <w:r>
        <w:rPr>
          <w:rFonts w:hint="eastAsia" w:ascii="仿宋" w:hAnsi="仿宋" w:eastAsia="仿宋"/>
          <w:sz w:val="24"/>
          <w:highlight w:val="none"/>
          <w:lang w:val="en-US" w:eastAsia="zh-CN"/>
        </w:rPr>
        <w:t>【1】小时内解决问题</w:t>
      </w:r>
      <w:r>
        <w:rPr>
          <w:rFonts w:hint="eastAsia" w:ascii="仿宋" w:hAnsi="仿宋" w:eastAsia="仿宋"/>
          <w:sz w:val="24"/>
          <w:highlight w:val="none"/>
          <w:lang w:val="en-US" w:eastAsia="zh-Hans"/>
        </w:rPr>
        <w:t>）、应急响应服务（7*24小时响应</w:t>
      </w:r>
      <w:r>
        <w:rPr>
          <w:rFonts w:hint="eastAsia" w:ascii="仿宋" w:hAnsi="仿宋" w:eastAsia="仿宋"/>
          <w:sz w:val="24"/>
          <w:highlight w:val="none"/>
          <w:lang w:val="en-US" w:eastAsia="zh-CN"/>
        </w:rPr>
        <w:t>，【1】小时内解决问题</w:t>
      </w:r>
      <w:r>
        <w:rPr>
          <w:rFonts w:hint="eastAsia" w:ascii="仿宋" w:hAnsi="仿宋" w:eastAsia="仿宋"/>
          <w:sz w:val="24"/>
          <w:highlight w:val="none"/>
          <w:lang w:val="en-US" w:eastAsia="zh-Hans"/>
        </w:rPr>
        <w:t>）、电话支持服务（7*24小时响应</w:t>
      </w:r>
      <w:r>
        <w:rPr>
          <w:rFonts w:hint="eastAsia" w:ascii="仿宋" w:hAnsi="仿宋" w:eastAsia="仿宋"/>
          <w:sz w:val="24"/>
          <w:highlight w:val="none"/>
          <w:lang w:val="en-US" w:eastAsia="zh-CN"/>
        </w:rPr>
        <w:t>，【1】小时内解决问题</w:t>
      </w:r>
      <w:r>
        <w:rPr>
          <w:rFonts w:hint="eastAsia" w:ascii="仿宋" w:hAnsi="仿宋" w:eastAsia="仿宋"/>
          <w:sz w:val="24"/>
          <w:highlight w:val="none"/>
          <w:lang w:val="en-US" w:eastAsia="zh-Hans"/>
        </w:rPr>
        <w:t>）、安</w:t>
      </w:r>
      <w:r>
        <w:rPr>
          <w:rFonts w:hint="eastAsia" w:ascii="仿宋" w:hAnsi="仿宋" w:eastAsia="仿宋"/>
          <w:sz w:val="24"/>
          <w:lang w:val="en-US" w:eastAsia="zh-Hans"/>
        </w:rPr>
        <w:t>全咨询服务、安全巡检服务、安全漏扫服务、配置检查服务、安全事件通报服务、安全监测服务（7*24小时监测）、制度体系建设服务、重大敏感期期间安全保障服务</w:t>
      </w:r>
      <w:r>
        <w:rPr>
          <w:rFonts w:ascii="仿宋" w:hAnsi="仿宋" w:eastAsia="仿宋"/>
          <w:sz w:val="24"/>
          <w:lang w:eastAsia="zh-Hans"/>
        </w:rPr>
        <w:t>（</w:t>
      </w:r>
      <w:r>
        <w:rPr>
          <w:rFonts w:hint="eastAsia" w:ascii="仿宋" w:hAnsi="仿宋" w:eastAsia="仿宋"/>
          <w:sz w:val="24"/>
          <w:lang w:val="en-US" w:eastAsia="zh-Hans"/>
        </w:rPr>
        <w:t>护网</w:t>
      </w:r>
      <w:r>
        <w:rPr>
          <w:rFonts w:ascii="仿宋" w:hAnsi="仿宋" w:eastAsia="仿宋"/>
          <w:sz w:val="24"/>
          <w:lang w:eastAsia="zh-Hans"/>
        </w:rPr>
        <w:t>）</w:t>
      </w:r>
      <w:r>
        <w:rPr>
          <w:rFonts w:hint="eastAsia" w:ascii="仿宋" w:hAnsi="仿宋" w:eastAsia="仿宋"/>
          <w:sz w:val="24"/>
          <w:lang w:val="en-US" w:eastAsia="zh-Hans"/>
        </w:rPr>
        <w:t>、安全运维服务、勒索病毒专项防护解决服务、主机咨询及加固服务、CTF攻防培训服务、系统上线检测服务、数据库运维审计及运维安全服务、安全域访问关系梳理服务、CISP培训支持服务、代码审计服务、应急演练服务、舆情监测服务、攻防演练服务、资产梳理服务、安全专家服务、事件调查/溯源分析服务、威胁情报服务、信息暴露面监测服务、可用性检测服务、国家网络安全周宣传服务</w:t>
      </w:r>
      <w:r>
        <w:rPr>
          <w:rFonts w:ascii="仿宋" w:hAnsi="仿宋" w:eastAsia="仿宋"/>
          <w:sz w:val="24"/>
          <w:lang w:eastAsia="zh-Hans"/>
        </w:rPr>
        <w:t>（</w:t>
      </w:r>
      <w:r>
        <w:rPr>
          <w:rFonts w:hint="eastAsia" w:ascii="仿宋" w:hAnsi="仿宋" w:eastAsia="仿宋"/>
          <w:sz w:val="24"/>
          <w:lang w:val="en-US" w:eastAsia="zh-Hans"/>
        </w:rPr>
        <w:t>资料手册制作</w:t>
      </w:r>
      <w:r>
        <w:rPr>
          <w:rFonts w:ascii="仿宋" w:hAnsi="仿宋" w:eastAsia="仿宋"/>
          <w:sz w:val="24"/>
          <w:lang w:eastAsia="zh-Hans"/>
        </w:rPr>
        <w:t>）</w:t>
      </w:r>
      <w:r>
        <w:rPr>
          <w:rFonts w:hint="eastAsia" w:ascii="仿宋" w:hAnsi="仿宋" w:eastAsia="仿宋"/>
          <w:sz w:val="24"/>
          <w:lang w:val="en-US" w:eastAsia="zh-Hans"/>
        </w:rPr>
        <w:t>、管理制度编制服务。</w:t>
      </w:r>
      <w:r>
        <w:rPr>
          <w:rFonts w:hint="eastAsia" w:ascii="仿宋" w:hAnsi="仿宋" w:eastAsia="仿宋"/>
          <w:sz w:val="24"/>
          <w:lang w:val="en-US" w:eastAsia="zh-CN"/>
        </w:rPr>
        <w:t>乙方未按照上述标准提供售后服务的，除按合同约定承担违约责任外，甲方有权委托第三方进行服务，所产生的相应费用由乙方承担。</w:t>
      </w:r>
    </w:p>
    <w:p w14:paraId="58CF3738">
      <w:pPr>
        <w:pStyle w:val="300"/>
        <w:ind w:firstLine="602" w:firstLineChars="250"/>
        <w:rPr>
          <w:rFonts w:ascii="仿宋" w:hAnsi="仿宋" w:eastAsia="仿宋"/>
          <w:b/>
          <w:sz w:val="24"/>
          <w:szCs w:val="24"/>
          <w:lang w:val="en-US"/>
        </w:rPr>
      </w:pPr>
      <w:r>
        <w:rPr>
          <w:rFonts w:hint="eastAsia" w:ascii="仿宋" w:hAnsi="仿宋" w:eastAsia="仿宋"/>
          <w:b/>
          <w:sz w:val="24"/>
          <w:szCs w:val="24"/>
          <w:lang w:val="en-US" w:eastAsia="zh-CN"/>
        </w:rPr>
        <w:t>九</w:t>
      </w:r>
      <w:r>
        <w:rPr>
          <w:rFonts w:hint="eastAsia" w:ascii="仿宋" w:hAnsi="仿宋" w:eastAsia="仿宋"/>
          <w:b/>
          <w:sz w:val="24"/>
          <w:szCs w:val="24"/>
          <w:lang w:val="en-US"/>
        </w:rPr>
        <w:t>.人员要求</w:t>
      </w:r>
    </w:p>
    <w:p w14:paraId="65A5E1B0">
      <w:pPr>
        <w:pStyle w:val="300"/>
        <w:ind w:firstLine="480"/>
        <w:rPr>
          <w:rFonts w:ascii="仿宋" w:hAnsi="仿宋" w:eastAsia="仿宋"/>
          <w:sz w:val="24"/>
          <w:szCs w:val="24"/>
          <w:lang w:val="en-US"/>
        </w:rPr>
      </w:pPr>
      <w:r>
        <w:rPr>
          <w:rFonts w:hint="eastAsia" w:ascii="仿宋" w:hAnsi="仿宋" w:eastAsia="仿宋"/>
          <w:sz w:val="24"/>
        </w:rPr>
        <w:t>（一）</w:t>
      </w:r>
      <w:r>
        <w:rPr>
          <w:rFonts w:hint="eastAsia" w:ascii="仿宋" w:hAnsi="仿宋" w:eastAsia="仿宋"/>
          <w:sz w:val="24"/>
          <w:szCs w:val="24"/>
          <w:lang w:val="en-US"/>
        </w:rPr>
        <w:t>乙方需在西安市具备本地化服务机构及本地的工程师团队，并提供办公地址以及联系电话；</w:t>
      </w:r>
    </w:p>
    <w:p w14:paraId="3AAD018D">
      <w:pPr>
        <w:pStyle w:val="301"/>
        <w:spacing w:line="480" w:lineRule="exact"/>
        <w:ind w:firstLine="480"/>
        <w:rPr>
          <w:rFonts w:ascii="仿宋" w:hAnsi="仿宋" w:eastAsia="仿宋"/>
          <w:sz w:val="24"/>
          <w:szCs w:val="24"/>
        </w:rPr>
      </w:pPr>
      <w:r>
        <w:rPr>
          <w:rFonts w:hint="eastAsia" w:ascii="仿宋" w:hAnsi="仿宋" w:eastAsia="仿宋"/>
          <w:sz w:val="24"/>
          <w:szCs w:val="24"/>
        </w:rPr>
        <w:t>（二）</w:t>
      </w:r>
      <w:r>
        <w:rPr>
          <w:rFonts w:hint="eastAsia" w:ascii="仿宋" w:hAnsi="仿宋" w:eastAsia="仿宋"/>
          <w:sz w:val="24"/>
          <w:szCs w:val="24"/>
          <w:lang w:eastAsia="zh-Hans"/>
        </w:rPr>
        <w:t>乙方参与此项目不少于6人，现场测评人员不得少于4人，其中至少包含1名高级测评师，3名中级测评师。</w:t>
      </w:r>
      <w:r>
        <w:rPr>
          <w:rFonts w:hint="eastAsia" w:ascii="仿宋" w:hAnsi="仿宋" w:eastAsia="仿宋"/>
          <w:sz w:val="24"/>
          <w:szCs w:val="24"/>
        </w:rPr>
        <w:t>乙方</w:t>
      </w:r>
      <w:r>
        <w:rPr>
          <w:rFonts w:hint="eastAsia" w:ascii="仿宋" w:hAnsi="仿宋" w:eastAsia="仿宋"/>
          <w:sz w:val="24"/>
          <w:szCs w:val="24"/>
          <w:lang w:eastAsia="zh-Hans"/>
        </w:rPr>
        <w:t>必须为本项目成立本地化等级保护测评小组，由测评小组组长统一负责，测评小组组长具有一定的技术及管理知识和经验，能容易地与客户沟通，能很好的执行与完成测评工作，并根据适当情况增加测评人员</w:t>
      </w:r>
      <w:r>
        <w:rPr>
          <w:rFonts w:hint="eastAsia" w:ascii="仿宋" w:hAnsi="仿宋" w:eastAsia="仿宋"/>
          <w:sz w:val="24"/>
          <w:szCs w:val="24"/>
        </w:rPr>
        <w:t>，并随时响应甲方的技术需求；</w:t>
      </w:r>
    </w:p>
    <w:p w14:paraId="19F76416">
      <w:pPr>
        <w:pStyle w:val="300"/>
        <w:ind w:firstLine="480"/>
        <w:rPr>
          <w:rFonts w:ascii="仿宋" w:hAnsi="仿宋" w:eastAsia="仿宋"/>
          <w:sz w:val="24"/>
          <w:szCs w:val="24"/>
          <w:lang w:val="en-US"/>
        </w:rPr>
      </w:pPr>
      <w:r>
        <w:rPr>
          <w:rFonts w:hint="eastAsia" w:ascii="仿宋" w:hAnsi="仿宋" w:eastAsia="仿宋"/>
          <w:sz w:val="24"/>
        </w:rPr>
        <w:t>（</w:t>
      </w:r>
      <w:r>
        <w:rPr>
          <w:rFonts w:hint="eastAsia" w:ascii="仿宋" w:hAnsi="仿宋" w:eastAsia="仿宋"/>
          <w:sz w:val="24"/>
          <w:lang w:val="en-US" w:eastAsia="zh-Hans"/>
        </w:rPr>
        <w:t>三</w:t>
      </w:r>
      <w:r>
        <w:rPr>
          <w:rFonts w:hint="eastAsia" w:ascii="仿宋" w:hAnsi="仿宋" w:eastAsia="仿宋"/>
          <w:sz w:val="24"/>
        </w:rPr>
        <w:t>）</w:t>
      </w:r>
      <w:r>
        <w:rPr>
          <w:rFonts w:hint="eastAsia" w:ascii="仿宋" w:hAnsi="仿宋" w:eastAsia="仿宋"/>
          <w:sz w:val="24"/>
          <w:szCs w:val="24"/>
          <w:lang w:val="en-US"/>
        </w:rPr>
        <w:t>甲方有权根据实施情况要求更换项目经理和其他实施人员。</w:t>
      </w:r>
    </w:p>
    <w:p w14:paraId="43E2234C">
      <w:pPr>
        <w:pStyle w:val="300"/>
        <w:ind w:firstLine="480"/>
        <w:rPr>
          <w:rFonts w:ascii="仿宋" w:hAnsi="仿宋" w:eastAsia="仿宋"/>
          <w:sz w:val="24"/>
          <w:szCs w:val="24"/>
          <w:lang w:val="en-US"/>
        </w:rPr>
      </w:pPr>
      <w:r>
        <w:rPr>
          <w:rFonts w:hint="eastAsia" w:ascii="仿宋" w:hAnsi="仿宋" w:eastAsia="仿宋"/>
          <w:sz w:val="24"/>
          <w:szCs w:val="24"/>
          <w:lang w:val="en-US"/>
        </w:rPr>
        <w:t>（四）本项目的测评人员需具有1年或1年以上测评工作经验，项目经理和质量负责人必须具备丰富的安全服务经验及相关资质认证，并提供人员管理及配备方案，并确保人员稳定。如需更换测评人员，须由甲方同意。</w:t>
      </w:r>
    </w:p>
    <w:p w14:paraId="0A736819">
      <w:pPr>
        <w:tabs>
          <w:tab w:val="left" w:pos="480"/>
        </w:tabs>
        <w:spacing w:line="360" w:lineRule="auto"/>
        <w:ind w:firstLine="482" w:firstLineChars="200"/>
        <w:rPr>
          <w:rFonts w:ascii="仿宋" w:hAnsi="仿宋" w:eastAsia="仿宋"/>
          <w:b/>
          <w:sz w:val="24"/>
        </w:rPr>
      </w:pPr>
      <w:r>
        <w:rPr>
          <w:rFonts w:hint="eastAsia" w:ascii="仿宋" w:hAnsi="仿宋" w:eastAsia="仿宋"/>
          <w:b/>
          <w:sz w:val="24"/>
        </w:rPr>
        <w:t>十、验收</w:t>
      </w:r>
    </w:p>
    <w:p w14:paraId="6D61DEF7">
      <w:pPr>
        <w:tabs>
          <w:tab w:val="left" w:pos="48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eastAsia="zh-Hans"/>
        </w:rPr>
        <w:t>一</w:t>
      </w:r>
      <w:r>
        <w:rPr>
          <w:rFonts w:hint="eastAsia" w:ascii="仿宋" w:hAnsi="仿宋" w:eastAsia="仿宋"/>
          <w:sz w:val="24"/>
          <w:szCs w:val="24"/>
        </w:rPr>
        <w:t>）甲方对乙方提供的工作成果进行验收，如发现与合同约定不符或不满足甲方需求，有权拒绝接受该工作成果。</w:t>
      </w:r>
    </w:p>
    <w:p w14:paraId="190E2E52">
      <w:pPr>
        <w:tabs>
          <w:tab w:val="left" w:pos="480"/>
        </w:tabs>
        <w:spacing w:line="360" w:lineRule="auto"/>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二</w:t>
      </w:r>
      <w:r>
        <w:rPr>
          <w:rFonts w:hint="eastAsia" w:ascii="仿宋" w:hAnsi="仿宋" w:eastAsia="仿宋"/>
          <w:sz w:val="24"/>
        </w:rPr>
        <w:t>）验收依据：</w:t>
      </w:r>
    </w:p>
    <w:p w14:paraId="6F14A78B">
      <w:pPr>
        <w:tabs>
          <w:tab w:val="left" w:pos="480"/>
        </w:tabs>
        <w:spacing w:line="360" w:lineRule="auto"/>
        <w:ind w:firstLine="480" w:firstLineChars="200"/>
        <w:rPr>
          <w:rFonts w:ascii="仿宋" w:hAnsi="仿宋" w:eastAsia="仿宋"/>
          <w:sz w:val="24"/>
        </w:rPr>
      </w:pPr>
      <w:r>
        <w:rPr>
          <w:rFonts w:hint="eastAsia" w:ascii="仿宋" w:hAnsi="仿宋" w:eastAsia="仿宋"/>
          <w:sz w:val="24"/>
        </w:rPr>
        <w:t>1、磋商文件、磋商响应文件、澄清表（函）；</w:t>
      </w:r>
    </w:p>
    <w:p w14:paraId="0A9DF6EB">
      <w:pPr>
        <w:tabs>
          <w:tab w:val="left" w:pos="480"/>
        </w:tabs>
        <w:spacing w:line="360" w:lineRule="auto"/>
        <w:ind w:firstLine="480" w:firstLineChars="200"/>
        <w:rPr>
          <w:rFonts w:ascii="仿宋" w:hAnsi="仿宋" w:eastAsia="仿宋"/>
          <w:sz w:val="24"/>
        </w:rPr>
      </w:pPr>
      <w:r>
        <w:rPr>
          <w:rFonts w:hint="eastAsia" w:ascii="仿宋" w:hAnsi="仿宋" w:eastAsia="仿宋"/>
          <w:sz w:val="24"/>
        </w:rPr>
        <w:t>2、本合同及附件文本；</w:t>
      </w:r>
    </w:p>
    <w:p w14:paraId="03CD393E">
      <w:pPr>
        <w:tabs>
          <w:tab w:val="left" w:pos="480"/>
        </w:tabs>
        <w:spacing w:line="360" w:lineRule="auto"/>
        <w:ind w:firstLine="480" w:firstLineChars="200"/>
        <w:rPr>
          <w:rFonts w:ascii="仿宋" w:hAnsi="仿宋" w:eastAsia="仿宋"/>
          <w:sz w:val="24"/>
        </w:rPr>
      </w:pPr>
      <w:r>
        <w:rPr>
          <w:rFonts w:hint="eastAsia" w:ascii="仿宋" w:hAnsi="仿宋" w:eastAsia="仿宋"/>
          <w:sz w:val="24"/>
        </w:rPr>
        <w:t>3、国家相应的标准、规范。</w:t>
      </w:r>
    </w:p>
    <w:p w14:paraId="01213E5F">
      <w:pPr>
        <w:tabs>
          <w:tab w:val="left" w:pos="480"/>
        </w:tabs>
        <w:spacing w:line="360" w:lineRule="auto"/>
        <w:ind w:firstLine="482" w:firstLineChars="200"/>
        <w:rPr>
          <w:rFonts w:ascii="仿宋" w:hAnsi="仿宋" w:eastAsia="仿宋"/>
          <w:b/>
          <w:sz w:val="24"/>
        </w:rPr>
      </w:pPr>
      <w:r>
        <w:rPr>
          <w:rFonts w:hint="eastAsia" w:ascii="仿宋" w:hAnsi="仿宋" w:eastAsia="仿宋"/>
          <w:b/>
          <w:sz w:val="24"/>
        </w:rPr>
        <w:t>十</w:t>
      </w:r>
      <w:r>
        <w:rPr>
          <w:rFonts w:hint="eastAsia" w:ascii="仿宋" w:hAnsi="仿宋" w:eastAsia="仿宋"/>
          <w:b/>
          <w:sz w:val="24"/>
          <w:lang w:val="en-US" w:eastAsia="zh-CN"/>
        </w:rPr>
        <w:t>一</w:t>
      </w:r>
      <w:r>
        <w:rPr>
          <w:rFonts w:hint="eastAsia" w:ascii="仿宋" w:hAnsi="仿宋" w:eastAsia="仿宋"/>
          <w:b/>
          <w:sz w:val="24"/>
        </w:rPr>
        <w:t>、违约责任</w:t>
      </w:r>
    </w:p>
    <w:p w14:paraId="39E4C018">
      <w:pPr>
        <w:tabs>
          <w:tab w:val="left" w:pos="480"/>
        </w:tabs>
        <w:spacing w:line="360" w:lineRule="auto"/>
        <w:ind w:firstLine="480" w:firstLineChars="200"/>
        <w:rPr>
          <w:rFonts w:ascii="仿宋" w:hAnsi="仿宋" w:eastAsia="仿宋"/>
          <w:sz w:val="24"/>
        </w:rPr>
      </w:pPr>
      <w:r>
        <w:rPr>
          <w:rFonts w:hint="eastAsia" w:ascii="仿宋" w:hAnsi="仿宋" w:eastAsia="仿宋"/>
          <w:sz w:val="24"/>
        </w:rPr>
        <w:t>（一）按《政府采购法》、《中华人民共和国民法典》中的相关条款执行。</w:t>
      </w:r>
    </w:p>
    <w:p w14:paraId="07E582B4">
      <w:pPr>
        <w:tabs>
          <w:tab w:val="left" w:pos="480"/>
        </w:tabs>
        <w:spacing w:line="360" w:lineRule="auto"/>
        <w:ind w:firstLine="480" w:firstLineChars="200"/>
        <w:rPr>
          <w:rFonts w:ascii="仿宋" w:hAnsi="仿宋" w:eastAsia="仿宋"/>
          <w:sz w:val="24"/>
        </w:rPr>
      </w:pPr>
      <w:r>
        <w:rPr>
          <w:rFonts w:hint="eastAsia" w:ascii="仿宋" w:hAnsi="仿宋" w:eastAsia="仿宋"/>
          <w:sz w:val="24"/>
        </w:rPr>
        <w:t>（二）未按合同要求提供</w:t>
      </w:r>
      <w:r>
        <w:rPr>
          <w:rFonts w:hint="eastAsia" w:ascii="仿宋" w:hAnsi="仿宋" w:eastAsia="仿宋"/>
          <w:sz w:val="24"/>
          <w:lang w:eastAsia="zh-Hans"/>
        </w:rPr>
        <w:t>安全服务</w:t>
      </w:r>
      <w:r>
        <w:rPr>
          <w:rFonts w:hint="eastAsia" w:ascii="仿宋" w:hAnsi="仿宋" w:eastAsia="仿宋"/>
          <w:sz w:val="24"/>
        </w:rPr>
        <w:t>不能满足磋商文件技术要求，乙方必须在【3】日内无条件免费更换或整改，提高技术，完善质量，同时需向甲方支</w:t>
      </w:r>
      <w:r>
        <w:rPr>
          <w:rFonts w:hint="eastAsia" w:ascii="仿宋" w:hAnsi="仿宋" w:eastAsia="仿宋"/>
          <w:sz w:val="24"/>
          <w:highlight w:val="none"/>
        </w:rPr>
        <w:t>付【</w:t>
      </w:r>
      <w:r>
        <w:rPr>
          <w:rFonts w:hint="eastAsia" w:ascii="仿宋" w:hAnsi="仿宋" w:eastAsia="仿宋"/>
          <w:sz w:val="24"/>
          <w:highlight w:val="none"/>
          <w:lang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hint="eastAsia" w:ascii="仿宋" w:hAnsi="仿宋" w:eastAsia="仿宋"/>
          <w:sz w:val="24"/>
        </w:rPr>
        <w:t>的违约金；乙方拒不整改调整或整改调整【1】次后仍无法达到磋商文件要求的，甲方会同鉴定方有权解除合同，合同自书面解除通知送达乙方之日起解除，乙方应当按照合同总价的【1】%向甲方支付违约金，违约金不足以弥补甲方损失的，乙方需另行支付。同时，甲方有权对乙方的违约行为报监管机构进行相应的处罚。</w:t>
      </w:r>
    </w:p>
    <w:p w14:paraId="650E4733">
      <w:pPr>
        <w:tabs>
          <w:tab w:val="left" w:pos="480"/>
        </w:tabs>
        <w:spacing w:line="360" w:lineRule="auto"/>
        <w:ind w:firstLine="480" w:firstLineChars="200"/>
        <w:rPr>
          <w:rFonts w:ascii="仿宋" w:hAnsi="仿宋" w:eastAsia="仿宋"/>
          <w:sz w:val="24"/>
        </w:rPr>
      </w:pPr>
      <w:r>
        <w:rPr>
          <w:rFonts w:hint="eastAsia" w:ascii="仿宋" w:hAnsi="仿宋" w:eastAsia="仿宋"/>
          <w:sz w:val="24"/>
        </w:rPr>
        <w:t>（三）乙方未按照合同约定期限履行义务时，每迟延一天，应当按照合同总价款的</w:t>
      </w:r>
      <w:r>
        <w:rPr>
          <w:rFonts w:hint="eastAsia" w:ascii="仿宋" w:hAnsi="仿宋" w:eastAsia="仿宋"/>
          <w:sz w:val="24"/>
          <w:u w:val="single"/>
        </w:rPr>
        <w:t xml:space="preserve">5 </w:t>
      </w:r>
      <w:r>
        <w:rPr>
          <w:rFonts w:hint="eastAsia" w:ascii="仿宋" w:hAnsi="仿宋" w:eastAsia="仿宋"/>
          <w:sz w:val="24"/>
        </w:rPr>
        <w:t>‰向甲方支付违约金；累计迟延【7】天时，视为乙方根本违约，甲方有权单方解除合同，合同自甲方书面解除通知送达乙方之日起解除，乙方应当按照合同总价的</w:t>
      </w:r>
      <w:r>
        <w:rPr>
          <w:rFonts w:hint="eastAsia" w:ascii="仿宋" w:hAnsi="仿宋" w:eastAsia="仿宋"/>
          <w:sz w:val="24"/>
          <w:highlight w:val="none"/>
        </w:rPr>
        <w:t>【</w:t>
      </w:r>
      <w:r>
        <w:rPr>
          <w:rFonts w:hint="eastAsia" w:ascii="仿宋" w:hAnsi="仿宋" w:eastAsia="仿宋"/>
          <w:sz w:val="24"/>
          <w:highlight w:val="none"/>
          <w:lang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hint="eastAsia" w:ascii="仿宋" w:hAnsi="仿宋" w:eastAsia="仿宋"/>
          <w:sz w:val="24"/>
        </w:rPr>
        <w:t>向甲方支付违约金，违约金不足以弥补甲方损失的，乙方需另行支付。</w:t>
      </w:r>
    </w:p>
    <w:p w14:paraId="3CEB83E1">
      <w:pPr>
        <w:tabs>
          <w:tab w:val="left" w:pos="480"/>
        </w:tabs>
        <w:spacing w:line="360" w:lineRule="auto"/>
        <w:ind w:firstLine="480" w:firstLineChars="200"/>
        <w:rPr>
          <w:rFonts w:hint="default" w:ascii="仿宋" w:hAnsi="仿宋" w:eastAsia="仿宋"/>
          <w:sz w:val="24"/>
          <w:lang w:val="en-US" w:eastAsia="zh-CN"/>
        </w:rPr>
      </w:pPr>
      <w:r>
        <w:rPr>
          <w:rFonts w:hint="eastAsia" w:ascii="仿宋" w:hAnsi="仿宋" w:eastAsia="仿宋"/>
          <w:sz w:val="24"/>
        </w:rPr>
        <w:t>（四）乙方应就履行本合同所获取的甲方一切非公开信息进行保密，不得向第三方泄露，亦不得将上述信息用于其他商业目的，否则，甲方有权单方解除合同，合同自甲方书面解除通知送达乙方之日起解除，乙方应当按照合同总价的</w:t>
      </w:r>
      <w:r>
        <w:rPr>
          <w:rFonts w:hint="eastAsia" w:ascii="仿宋" w:hAnsi="仿宋" w:eastAsia="仿宋"/>
          <w:sz w:val="24"/>
          <w:highlight w:val="none"/>
        </w:rPr>
        <w:t>【</w:t>
      </w:r>
      <w:r>
        <w:rPr>
          <w:rFonts w:hint="eastAsia" w:ascii="仿宋" w:hAnsi="仿宋" w:eastAsia="仿宋"/>
          <w:sz w:val="24"/>
          <w:highlight w:val="none"/>
          <w:lang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hint="eastAsia" w:ascii="仿宋" w:hAnsi="仿宋" w:eastAsia="仿宋"/>
          <w:sz w:val="24"/>
        </w:rPr>
        <w:t>向甲方支付违约金，违约金不足以弥补甲方损失的，乙方需另行支付。</w:t>
      </w:r>
      <w:r>
        <w:rPr>
          <w:rFonts w:hint="eastAsia" w:ascii="仿宋" w:hAnsi="仿宋" w:eastAsia="仿宋"/>
          <w:sz w:val="24"/>
          <w:lang w:val="en-US" w:eastAsia="zh-CN"/>
        </w:rPr>
        <w:t>该条款不因合同终止而失效。</w:t>
      </w:r>
    </w:p>
    <w:p w14:paraId="705F8464">
      <w:pPr>
        <w:tabs>
          <w:tab w:val="left" w:pos="480"/>
        </w:tabs>
        <w:spacing w:line="360" w:lineRule="auto"/>
        <w:ind w:firstLine="480" w:firstLineChars="200"/>
        <w:rPr>
          <w:rFonts w:ascii="仿宋" w:hAnsi="仿宋" w:eastAsia="仿宋"/>
          <w:sz w:val="24"/>
        </w:rPr>
      </w:pPr>
      <w:r>
        <w:rPr>
          <w:rFonts w:hint="eastAsia" w:ascii="仿宋" w:hAnsi="仿宋" w:eastAsia="仿宋"/>
          <w:sz w:val="24"/>
        </w:rPr>
        <w:t>（五）乙方应确保本合同项下系统安全、平稳运行，不会对甲方既有系统、数据安全造成影响，否则应当就甲方因此产生的损失承担全部赔偿责任。</w:t>
      </w:r>
    </w:p>
    <w:p w14:paraId="7E8D3B62">
      <w:pPr>
        <w:tabs>
          <w:tab w:val="left" w:pos="480"/>
        </w:tabs>
        <w:spacing w:line="360" w:lineRule="auto"/>
        <w:ind w:firstLine="480" w:firstLineChars="200"/>
        <w:rPr>
          <w:rFonts w:ascii="仿宋" w:hAnsi="仿宋" w:eastAsia="仿宋"/>
          <w:sz w:val="24"/>
        </w:rPr>
      </w:pPr>
      <w:r>
        <w:rPr>
          <w:rFonts w:hint="eastAsia" w:ascii="仿宋" w:hAnsi="仿宋" w:eastAsia="仿宋"/>
          <w:sz w:val="24"/>
        </w:rPr>
        <w:t>（六）乙方违约时，甲方为主张权利而支出的各项费用由乙方承担。</w:t>
      </w:r>
    </w:p>
    <w:p w14:paraId="62D7CB1F">
      <w:pPr>
        <w:tabs>
          <w:tab w:val="left" w:pos="480"/>
        </w:tabs>
        <w:spacing w:line="360" w:lineRule="auto"/>
        <w:ind w:firstLine="480" w:firstLineChars="200"/>
        <w:rPr>
          <w:rFonts w:ascii="仿宋" w:hAnsi="仿宋" w:eastAsia="仿宋"/>
          <w:sz w:val="24"/>
        </w:rPr>
      </w:pPr>
      <w:r>
        <w:rPr>
          <w:rFonts w:hint="eastAsia" w:ascii="仿宋" w:hAnsi="仿宋" w:eastAsia="仿宋"/>
          <w:sz w:val="24"/>
        </w:rPr>
        <w:t>（七）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577B3E42">
      <w:pPr>
        <w:pStyle w:val="2"/>
      </w:pPr>
      <w:r>
        <w:rPr>
          <w:rFonts w:hint="eastAsia" w:ascii="仿宋" w:hAnsi="仿宋" w:eastAsia="仿宋"/>
          <w:sz w:val="24"/>
          <w:szCs w:val="24"/>
        </w:rPr>
        <w:t>（八）合同履行期间，乙方不得将服务工作全部或部分转包或分包给第三人，否则甲方有权单方解除合同，并要求乙方承担合同总价【</w:t>
      </w:r>
      <w:r>
        <w:rPr>
          <w:rFonts w:hint="eastAsia" w:ascii="仿宋" w:hAnsi="仿宋" w:eastAsia="仿宋"/>
          <w:sz w:val="24"/>
          <w:szCs w:val="24"/>
          <w:lang w:val="en-US" w:eastAsia="zh-CN"/>
        </w:rPr>
        <w:t xml:space="preserve">  </w:t>
      </w:r>
      <w:r>
        <w:rPr>
          <w:rFonts w:hint="eastAsia" w:ascii="仿宋" w:hAnsi="仿宋" w:eastAsia="仿宋"/>
          <w:sz w:val="24"/>
          <w:szCs w:val="24"/>
        </w:rPr>
        <w:t>】%的违约金。</w:t>
      </w:r>
    </w:p>
    <w:p w14:paraId="370FF970">
      <w:pPr>
        <w:tabs>
          <w:tab w:val="left" w:pos="480"/>
        </w:tabs>
        <w:spacing w:line="360" w:lineRule="auto"/>
        <w:ind w:firstLine="482" w:firstLineChars="200"/>
        <w:rPr>
          <w:rFonts w:ascii="仿宋" w:hAnsi="仿宋" w:eastAsia="仿宋"/>
          <w:b/>
          <w:sz w:val="24"/>
        </w:rPr>
      </w:pPr>
      <w:r>
        <w:rPr>
          <w:rFonts w:hint="eastAsia" w:ascii="仿宋" w:hAnsi="仿宋" w:eastAsia="仿宋"/>
          <w:b/>
          <w:sz w:val="24"/>
        </w:rPr>
        <w:t>十</w:t>
      </w:r>
      <w:r>
        <w:rPr>
          <w:rFonts w:hint="eastAsia" w:ascii="仿宋" w:hAnsi="仿宋" w:eastAsia="仿宋"/>
          <w:b/>
          <w:sz w:val="24"/>
          <w:lang w:val="en-US" w:eastAsia="zh-CN"/>
        </w:rPr>
        <w:t>二</w:t>
      </w:r>
      <w:r>
        <w:rPr>
          <w:rFonts w:hint="eastAsia" w:ascii="仿宋" w:hAnsi="仿宋" w:eastAsia="仿宋"/>
          <w:b/>
          <w:sz w:val="24"/>
        </w:rPr>
        <w:t>、合同争议解决的方式</w:t>
      </w:r>
    </w:p>
    <w:p w14:paraId="7276A5E3">
      <w:pPr>
        <w:tabs>
          <w:tab w:val="left" w:pos="480"/>
        </w:tabs>
        <w:spacing w:line="360" w:lineRule="auto"/>
        <w:ind w:firstLine="480" w:firstLineChars="200"/>
        <w:rPr>
          <w:rFonts w:ascii="仿宋" w:hAnsi="仿宋" w:eastAsia="仿宋"/>
          <w:sz w:val="24"/>
        </w:rPr>
      </w:pPr>
      <w:r>
        <w:rPr>
          <w:rFonts w:hint="eastAsia" w:ascii="仿宋" w:hAnsi="仿宋" w:eastAsia="仿宋"/>
          <w:sz w:val="24"/>
        </w:rPr>
        <w:t>本合同在履行过程中发生的争议，由甲、乙双方当事人协商解决，协商不成的，任意一方有权向甲方所在地人民法院起诉。</w:t>
      </w:r>
    </w:p>
    <w:p w14:paraId="184DC086">
      <w:pPr>
        <w:tabs>
          <w:tab w:val="left" w:pos="480"/>
        </w:tabs>
        <w:spacing w:line="360" w:lineRule="auto"/>
        <w:ind w:firstLine="472" w:firstLineChars="196"/>
        <w:rPr>
          <w:rFonts w:ascii="仿宋" w:hAnsi="仿宋" w:eastAsia="仿宋"/>
          <w:b/>
          <w:sz w:val="24"/>
        </w:rPr>
      </w:pPr>
      <w:r>
        <w:rPr>
          <w:rFonts w:hint="eastAsia" w:ascii="仿宋" w:hAnsi="仿宋" w:eastAsia="仿宋"/>
          <w:b/>
          <w:sz w:val="24"/>
        </w:rPr>
        <w:t>十</w:t>
      </w:r>
      <w:r>
        <w:rPr>
          <w:rFonts w:hint="eastAsia" w:ascii="仿宋" w:hAnsi="仿宋" w:eastAsia="仿宋"/>
          <w:b/>
          <w:sz w:val="24"/>
          <w:lang w:val="en-US" w:eastAsia="zh-CN"/>
        </w:rPr>
        <w:t>三</w:t>
      </w:r>
      <w:r>
        <w:rPr>
          <w:rFonts w:hint="eastAsia" w:ascii="仿宋" w:hAnsi="仿宋" w:eastAsia="仿宋"/>
          <w:b/>
          <w:sz w:val="24"/>
        </w:rPr>
        <w:t>、合同生效</w:t>
      </w:r>
    </w:p>
    <w:p w14:paraId="43B28736">
      <w:pPr>
        <w:tabs>
          <w:tab w:val="left" w:pos="480"/>
        </w:tabs>
        <w:spacing w:line="360" w:lineRule="auto"/>
        <w:ind w:firstLine="480" w:firstLineChars="200"/>
        <w:rPr>
          <w:rFonts w:ascii="仿宋" w:hAnsi="仿宋" w:eastAsia="仿宋"/>
          <w:sz w:val="24"/>
        </w:rPr>
      </w:pPr>
      <w:r>
        <w:rPr>
          <w:rFonts w:hint="eastAsia" w:ascii="仿宋" w:hAnsi="仿宋" w:eastAsia="仿宋"/>
          <w:sz w:val="24"/>
        </w:rPr>
        <w:t>本合同一式</w:t>
      </w:r>
      <w:r>
        <w:rPr>
          <w:rFonts w:hint="eastAsia" w:ascii="仿宋" w:hAnsi="仿宋" w:eastAsia="仿宋"/>
          <w:sz w:val="24"/>
          <w:u w:val="single"/>
        </w:rPr>
        <w:t xml:space="preserve">  </w:t>
      </w:r>
      <w:r>
        <w:rPr>
          <w:rFonts w:hint="eastAsia" w:ascii="仿宋" w:hAnsi="仿宋" w:eastAsia="仿宋"/>
          <w:sz w:val="24"/>
        </w:rPr>
        <w:t>份，甲方</w:t>
      </w:r>
      <w:r>
        <w:rPr>
          <w:rFonts w:hint="eastAsia" w:ascii="仿宋" w:hAnsi="仿宋" w:eastAsia="仿宋"/>
          <w:sz w:val="24"/>
          <w:u w:val="single"/>
        </w:rPr>
        <w:t xml:space="preserve">  </w:t>
      </w:r>
      <w:r>
        <w:rPr>
          <w:rFonts w:hint="eastAsia" w:ascii="仿宋" w:hAnsi="仿宋" w:eastAsia="仿宋"/>
          <w:sz w:val="24"/>
        </w:rPr>
        <w:t>份、乙方</w:t>
      </w:r>
      <w:r>
        <w:rPr>
          <w:rFonts w:hint="eastAsia" w:ascii="仿宋" w:hAnsi="仿宋" w:eastAsia="仿宋"/>
          <w:sz w:val="24"/>
          <w:u w:val="single"/>
        </w:rPr>
        <w:t xml:space="preserve">  </w:t>
      </w:r>
      <w:r>
        <w:rPr>
          <w:rFonts w:hint="eastAsia" w:ascii="仿宋" w:hAnsi="仿宋" w:eastAsia="仿宋"/>
          <w:sz w:val="24"/>
        </w:rPr>
        <w:t>份，具有同等法律效力。本合同自甲、乙双签字盖章后生效，合同执行完毕后，自动终止（合同的服务承诺则长期有效）。</w:t>
      </w:r>
    </w:p>
    <w:p w14:paraId="2533C6B2">
      <w:pPr>
        <w:tabs>
          <w:tab w:val="left" w:pos="480"/>
        </w:tabs>
        <w:spacing w:line="360" w:lineRule="auto"/>
        <w:ind w:firstLine="472" w:firstLineChars="196"/>
        <w:rPr>
          <w:rFonts w:ascii="仿宋" w:hAnsi="仿宋" w:eastAsia="仿宋"/>
          <w:b/>
          <w:sz w:val="24"/>
        </w:rPr>
      </w:pPr>
      <w:r>
        <w:rPr>
          <w:rFonts w:hint="eastAsia" w:ascii="仿宋" w:hAnsi="仿宋" w:eastAsia="仿宋"/>
          <w:b/>
          <w:sz w:val="24"/>
        </w:rPr>
        <w:t>十</w:t>
      </w:r>
      <w:r>
        <w:rPr>
          <w:rFonts w:hint="eastAsia" w:ascii="仿宋" w:hAnsi="仿宋" w:eastAsia="仿宋"/>
          <w:b/>
          <w:sz w:val="24"/>
          <w:lang w:val="en-US" w:eastAsia="zh-CN"/>
        </w:rPr>
        <w:t>四</w:t>
      </w:r>
      <w:r>
        <w:rPr>
          <w:rFonts w:hint="eastAsia" w:ascii="仿宋" w:hAnsi="仿宋" w:eastAsia="仿宋"/>
          <w:b/>
          <w:sz w:val="24"/>
        </w:rPr>
        <w:t>、其他事项</w:t>
      </w:r>
    </w:p>
    <w:p w14:paraId="0F58E79F">
      <w:pPr>
        <w:tabs>
          <w:tab w:val="left" w:pos="480"/>
        </w:tabs>
        <w:spacing w:line="360" w:lineRule="auto"/>
        <w:ind w:firstLine="480" w:firstLineChars="200"/>
        <w:rPr>
          <w:rFonts w:ascii="仿宋" w:hAnsi="仿宋" w:eastAsia="仿宋"/>
          <w:sz w:val="24"/>
        </w:rPr>
      </w:pPr>
      <w:r>
        <w:rPr>
          <w:rFonts w:hint="eastAsia" w:ascii="仿宋" w:hAnsi="仿宋" w:eastAsia="仿宋"/>
          <w:sz w:val="24"/>
        </w:rPr>
        <w:t>（一）鉴定方作为采购代理机构对合同进行确认。</w:t>
      </w:r>
    </w:p>
    <w:p w14:paraId="227E1FA9">
      <w:pPr>
        <w:tabs>
          <w:tab w:val="left" w:pos="480"/>
        </w:tabs>
        <w:spacing w:line="360" w:lineRule="auto"/>
        <w:ind w:firstLine="480" w:firstLineChars="200"/>
        <w:rPr>
          <w:rFonts w:ascii="仿宋" w:hAnsi="仿宋" w:eastAsia="仿宋"/>
          <w:sz w:val="24"/>
        </w:rPr>
      </w:pPr>
      <w:r>
        <w:rPr>
          <w:rFonts w:hint="eastAsia" w:ascii="仿宋" w:hAnsi="仿宋" w:eastAsia="仿宋"/>
          <w:sz w:val="24"/>
        </w:rPr>
        <w:t>（二）西安市财政局政府采购管理处在合同的履行期间以及履行期后，可以随时检查项目的执行情况，对采购内容、标准进行调查核实，并对发现的问题进行处理。</w:t>
      </w:r>
    </w:p>
    <w:p w14:paraId="4528C1D0">
      <w:pPr>
        <w:tabs>
          <w:tab w:val="left" w:pos="480"/>
        </w:tabs>
        <w:spacing w:line="360" w:lineRule="auto"/>
        <w:ind w:firstLine="480" w:firstLineChars="200"/>
        <w:rPr>
          <w:rFonts w:hint="eastAsia" w:ascii="仿宋" w:hAnsi="仿宋" w:eastAsia="仿宋"/>
          <w:sz w:val="24"/>
          <w:lang w:eastAsia="zh-CN"/>
        </w:rPr>
      </w:pPr>
      <w:r>
        <w:rPr>
          <w:rFonts w:hint="eastAsia" w:ascii="仿宋" w:hAnsi="仿宋" w:eastAsia="仿宋"/>
          <w:sz w:val="24"/>
        </w:rPr>
        <w:t>（三）招标文件、应标文件、澄清表（函）、中标通知书、合同附件均成为合同不可分割的部分。</w:t>
      </w:r>
    </w:p>
    <w:p w14:paraId="7A4474E2">
      <w:pPr>
        <w:tabs>
          <w:tab w:val="left" w:pos="480"/>
        </w:tabs>
        <w:spacing w:line="360" w:lineRule="auto"/>
        <w:ind w:firstLine="480" w:firstLineChars="200"/>
        <w:rPr>
          <w:rFonts w:ascii="仿宋" w:hAnsi="仿宋" w:eastAsia="仿宋"/>
          <w:sz w:val="24"/>
        </w:rPr>
      </w:pPr>
      <w:r>
        <w:rPr>
          <w:rFonts w:hint="eastAsia" w:ascii="仿宋" w:hAnsi="仿宋" w:eastAsia="仿宋"/>
          <w:sz w:val="24"/>
        </w:rPr>
        <w:t>（四）合同未尽事宜，由甲、乙双方协商，经鉴定方确认后，作为合同补充，与原合同具有同等法律效力。</w:t>
      </w:r>
    </w:p>
    <w:p w14:paraId="20EE1B91">
      <w:pPr>
        <w:tabs>
          <w:tab w:val="left" w:pos="480"/>
        </w:tabs>
        <w:spacing w:line="360" w:lineRule="auto"/>
        <w:ind w:firstLine="480" w:firstLineChars="200"/>
        <w:rPr>
          <w:rFonts w:ascii="仿宋" w:hAnsi="仿宋" w:eastAsia="仿宋"/>
          <w:sz w:val="24"/>
        </w:rPr>
      </w:pPr>
      <w:r>
        <w:rPr>
          <w:rFonts w:hint="eastAsia" w:ascii="仿宋" w:hAnsi="仿宋" w:eastAsia="仿宋"/>
          <w:sz w:val="24"/>
        </w:rPr>
        <w:t>（五）合同一经签订，不得擅自变更、中止或终止合同。对确需变更、调整或中止、终止合同的，应按规定履行相应的手续。</w:t>
      </w:r>
    </w:p>
    <w:p w14:paraId="11A1478C">
      <w:pPr>
        <w:tabs>
          <w:tab w:val="left" w:pos="480"/>
        </w:tabs>
        <w:spacing w:line="360" w:lineRule="auto"/>
        <w:ind w:firstLine="480" w:firstLineChars="200"/>
        <w:rPr>
          <w:rFonts w:ascii="仿宋" w:hAnsi="仿宋" w:eastAsia="仿宋"/>
          <w:sz w:val="24"/>
        </w:rPr>
      </w:pPr>
      <w:r>
        <w:rPr>
          <w:rFonts w:hint="eastAsia" w:ascii="仿宋" w:hAnsi="仿宋" w:eastAsia="仿宋"/>
          <w:sz w:val="24"/>
        </w:rPr>
        <w:t>（六）本合同按照中华人民共和国的现行法律进行解释。</w:t>
      </w:r>
    </w:p>
    <w:p w14:paraId="6D16B9E7">
      <w:pPr>
        <w:tabs>
          <w:tab w:val="left" w:pos="480"/>
        </w:tabs>
        <w:spacing w:line="360" w:lineRule="auto"/>
        <w:rPr>
          <w:rFonts w:ascii="仿宋" w:hAnsi="仿宋" w:eastAsia="仿宋"/>
          <w:sz w:val="24"/>
        </w:rPr>
      </w:pPr>
      <w:r>
        <w:rPr>
          <w:rFonts w:hint="eastAsia" w:ascii="仿宋" w:hAnsi="仿宋" w:eastAsia="仿宋"/>
          <w:sz w:val="24"/>
        </w:rPr>
        <w:t xml:space="preserve">甲  方：（公章）                    乙  方：（公章） </w:t>
      </w:r>
    </w:p>
    <w:p w14:paraId="6D984B62">
      <w:pPr>
        <w:tabs>
          <w:tab w:val="left" w:pos="480"/>
        </w:tabs>
        <w:spacing w:line="360" w:lineRule="auto"/>
        <w:rPr>
          <w:rFonts w:ascii="仿宋" w:hAnsi="仿宋" w:eastAsia="仿宋"/>
          <w:sz w:val="24"/>
        </w:rPr>
      </w:pPr>
      <w:r>
        <w:rPr>
          <w:rFonts w:hint="eastAsia" w:ascii="仿宋" w:hAnsi="仿宋" w:eastAsia="仿宋"/>
          <w:sz w:val="24"/>
        </w:rPr>
        <w:t xml:space="preserve">              </w:t>
      </w:r>
    </w:p>
    <w:tbl>
      <w:tblPr>
        <w:tblStyle w:val="50"/>
        <w:tblW w:w="0" w:type="auto"/>
        <w:tblInd w:w="0" w:type="dxa"/>
        <w:tblLayout w:type="autofit"/>
        <w:tblCellMar>
          <w:top w:w="0" w:type="dxa"/>
          <w:left w:w="108" w:type="dxa"/>
          <w:bottom w:w="0" w:type="dxa"/>
          <w:right w:w="108" w:type="dxa"/>
        </w:tblCellMar>
      </w:tblPr>
      <w:tblGrid>
        <w:gridCol w:w="4077"/>
        <w:gridCol w:w="4445"/>
      </w:tblGrid>
      <w:tr w14:paraId="31E5C44E">
        <w:tblPrEx>
          <w:tblCellMar>
            <w:top w:w="0" w:type="dxa"/>
            <w:left w:w="108" w:type="dxa"/>
            <w:bottom w:w="0" w:type="dxa"/>
            <w:right w:w="108" w:type="dxa"/>
          </w:tblCellMar>
        </w:tblPrEx>
        <w:tc>
          <w:tcPr>
            <w:tcW w:w="4077" w:type="dxa"/>
            <w:noWrap w:val="0"/>
            <w:vAlign w:val="top"/>
          </w:tcPr>
          <w:p w14:paraId="55338CAC">
            <w:pPr>
              <w:tabs>
                <w:tab w:val="left" w:pos="480"/>
              </w:tabs>
              <w:spacing w:line="360" w:lineRule="auto"/>
              <w:rPr>
                <w:rFonts w:ascii="仿宋" w:hAnsi="仿宋" w:eastAsia="仿宋"/>
                <w:sz w:val="24"/>
              </w:rPr>
            </w:pPr>
            <w:r>
              <w:rPr>
                <w:rFonts w:hint="eastAsia" w:ascii="仿宋" w:hAnsi="仿宋" w:eastAsia="仿宋"/>
                <w:sz w:val="24"/>
              </w:rPr>
              <w:t>单位名称：西安市精神卫生中心</w:t>
            </w:r>
          </w:p>
          <w:p w14:paraId="33BCCEA3">
            <w:pPr>
              <w:pStyle w:val="23"/>
            </w:pPr>
          </w:p>
          <w:p w14:paraId="1913B0C4">
            <w:pPr>
              <w:tabs>
                <w:tab w:val="left" w:pos="480"/>
              </w:tabs>
              <w:spacing w:line="360" w:lineRule="auto"/>
              <w:rPr>
                <w:rFonts w:ascii="仿宋" w:hAnsi="仿宋" w:eastAsia="仿宋"/>
                <w:sz w:val="24"/>
              </w:rPr>
            </w:pPr>
            <w:r>
              <w:rPr>
                <w:rFonts w:hint="eastAsia" w:ascii="仿宋" w:hAnsi="仿宋" w:eastAsia="仿宋"/>
                <w:sz w:val="24"/>
              </w:rPr>
              <w:t>法定代表人或经办人：</w:t>
            </w:r>
          </w:p>
          <w:p w14:paraId="21BB5248">
            <w:pPr>
              <w:pStyle w:val="23"/>
            </w:pPr>
          </w:p>
          <w:p w14:paraId="378618DB">
            <w:pPr>
              <w:tabs>
                <w:tab w:val="left" w:pos="480"/>
              </w:tabs>
              <w:spacing w:line="360" w:lineRule="auto"/>
              <w:rPr>
                <w:rFonts w:ascii="仿宋" w:hAnsi="仿宋" w:eastAsia="仿宋"/>
                <w:sz w:val="24"/>
              </w:rPr>
            </w:pPr>
            <w:r>
              <w:rPr>
                <w:rFonts w:hint="eastAsia" w:ascii="仿宋" w:hAnsi="仿宋" w:eastAsia="仿宋"/>
                <w:sz w:val="24"/>
              </w:rPr>
              <w:t xml:space="preserve">签订日期：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c>
          <w:tcPr>
            <w:tcW w:w="4445" w:type="dxa"/>
            <w:noWrap w:val="0"/>
            <w:vAlign w:val="top"/>
          </w:tcPr>
          <w:p w14:paraId="543E583D">
            <w:pPr>
              <w:tabs>
                <w:tab w:val="left" w:pos="480"/>
              </w:tabs>
              <w:spacing w:line="360" w:lineRule="auto"/>
              <w:ind w:firstLine="240" w:firstLineChars="100"/>
              <w:rPr>
                <w:rFonts w:hint="default" w:ascii="仿宋" w:hAnsi="仿宋" w:eastAsia="仿宋"/>
                <w:sz w:val="24"/>
                <w:lang w:val="en-US" w:eastAsia="zh-CN"/>
              </w:rPr>
            </w:pPr>
            <w:r>
              <w:rPr>
                <w:rFonts w:hint="eastAsia" w:ascii="仿宋" w:hAnsi="仿宋" w:eastAsia="仿宋"/>
                <w:sz w:val="24"/>
              </w:rPr>
              <w:t>单位名称：</w:t>
            </w:r>
          </w:p>
          <w:p w14:paraId="4E634E90">
            <w:pPr>
              <w:pStyle w:val="23"/>
            </w:pPr>
          </w:p>
          <w:p w14:paraId="75774CBE">
            <w:pPr>
              <w:tabs>
                <w:tab w:val="left" w:pos="480"/>
              </w:tabs>
              <w:spacing w:line="360" w:lineRule="auto"/>
              <w:ind w:firstLine="240" w:firstLineChars="100"/>
              <w:rPr>
                <w:rFonts w:ascii="仿宋" w:hAnsi="仿宋" w:eastAsia="仿宋"/>
                <w:sz w:val="24"/>
              </w:rPr>
            </w:pPr>
            <w:r>
              <w:rPr>
                <w:rFonts w:hint="eastAsia" w:ascii="仿宋" w:hAnsi="仿宋" w:eastAsia="仿宋"/>
                <w:sz w:val="24"/>
              </w:rPr>
              <w:t xml:space="preserve">法定代表人或经办人：              </w:t>
            </w:r>
          </w:p>
          <w:p w14:paraId="57B5F503">
            <w:pPr>
              <w:tabs>
                <w:tab w:val="left" w:pos="480"/>
              </w:tabs>
              <w:spacing w:line="360" w:lineRule="auto"/>
              <w:ind w:firstLine="240" w:firstLineChars="100"/>
              <w:rPr>
                <w:rFonts w:ascii="仿宋" w:hAnsi="仿宋" w:eastAsia="仿宋"/>
                <w:sz w:val="24"/>
              </w:rPr>
            </w:pPr>
            <w:r>
              <w:rPr>
                <w:rFonts w:hint="eastAsia" w:ascii="仿宋" w:hAnsi="仿宋" w:eastAsia="仿宋"/>
                <w:sz w:val="24"/>
              </w:rPr>
              <w:t xml:space="preserve">                                        </w:t>
            </w:r>
          </w:p>
          <w:p w14:paraId="369FDB35">
            <w:pPr>
              <w:tabs>
                <w:tab w:val="left" w:pos="480"/>
              </w:tabs>
              <w:spacing w:line="360" w:lineRule="auto"/>
              <w:ind w:firstLine="240" w:firstLineChars="100"/>
              <w:rPr>
                <w:rFonts w:ascii="仿宋" w:hAnsi="仿宋" w:eastAsia="仿宋"/>
                <w:sz w:val="24"/>
              </w:rPr>
            </w:pPr>
            <w:r>
              <w:rPr>
                <w:rFonts w:hint="eastAsia" w:ascii="仿宋" w:hAnsi="仿宋" w:eastAsia="仿宋"/>
                <w:sz w:val="24"/>
              </w:rPr>
              <w:t xml:space="preserve">签订日期：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14:paraId="19A43097"/>
    <w:p w14:paraId="15AD0A18">
      <w:pPr>
        <w:pStyle w:val="23"/>
        <w:rPr>
          <w:rStyle w:val="204"/>
          <w:rFonts w:ascii="Times New Roman" w:hAnsi="Times New Roman" w:eastAsia="宋体"/>
          <w:sz w:val="36"/>
          <w:szCs w:val="36"/>
        </w:rPr>
      </w:pPr>
      <w:r>
        <w:rPr>
          <w:rFonts w:ascii="Times New Roman" w:hAnsi="Times New Roman" w:eastAsia="仿宋_GB2312"/>
          <w:sz w:val="24"/>
        </w:rPr>
        <w:br w:type="page"/>
      </w:r>
      <w:bookmarkStart w:id="435" w:name="_Toc68590980"/>
      <w:bookmarkStart w:id="436" w:name="_Toc58504448"/>
    </w:p>
    <w:p w14:paraId="00246D60">
      <w:pPr>
        <w:pStyle w:val="46"/>
        <w:spacing w:line="360" w:lineRule="auto"/>
        <w:rPr>
          <w:rStyle w:val="204"/>
          <w:rFonts w:ascii="Times New Roman" w:hAnsi="Times New Roman" w:eastAsia="宋体"/>
          <w:sz w:val="36"/>
          <w:szCs w:val="36"/>
        </w:rPr>
      </w:pPr>
      <w:r>
        <w:rPr>
          <w:rStyle w:val="204"/>
          <w:rFonts w:ascii="Times New Roman" w:hAnsi="Times New Roman" w:eastAsia="宋体"/>
          <w:sz w:val="36"/>
          <w:szCs w:val="36"/>
        </w:rPr>
        <w:t>第五章  采购内容及要求</w:t>
      </w:r>
      <w:bookmarkEnd w:id="435"/>
      <w:bookmarkEnd w:id="436"/>
    </w:p>
    <w:p w14:paraId="6E5D2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一、项目概况</w:t>
      </w:r>
    </w:p>
    <w:p w14:paraId="106FD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仿宋_GB2312"/>
          <w:sz w:val="24"/>
          <w:lang w:eastAsia="zh-CN"/>
        </w:rPr>
      </w:pPr>
      <w:r>
        <w:rPr>
          <w:rFonts w:hint="eastAsia" w:eastAsia="仿宋_GB2312"/>
          <w:sz w:val="24"/>
        </w:rPr>
        <w:t>根据国家《信息安全等级保护管理办法》(公通字[2007]43号)、《关于推动信息安全等级保护测评体系建设和开展等级测评工作的通知》（公信安[2010]303号）、《陕西省信息安全等级保护安全建设整改工作指导意见》（陕等保办2011 2号）等相关文件要求，对“</w:t>
      </w:r>
      <w:r>
        <w:rPr>
          <w:rFonts w:hint="eastAsia" w:eastAsia="仿宋_GB2312"/>
          <w:sz w:val="24"/>
          <w:lang w:eastAsia="zh-Hans"/>
        </w:rPr>
        <w:t>医院信息化建设系统、陕西省严重精神障碍信息管理平台、</w:t>
      </w:r>
      <w:r>
        <w:rPr>
          <w:rFonts w:hint="eastAsia" w:eastAsia="仿宋_GB2312"/>
          <w:sz w:val="24"/>
          <w:lang w:val="en-US" w:eastAsia="zh-Hans"/>
        </w:rPr>
        <w:t>互联网医院</w:t>
      </w:r>
      <w:r>
        <w:rPr>
          <w:rFonts w:hint="eastAsia" w:eastAsia="仿宋_GB2312"/>
          <w:sz w:val="24"/>
          <w:lang w:eastAsia="zh-Hans"/>
        </w:rPr>
        <w:t>系统、</w:t>
      </w:r>
      <w:r>
        <w:rPr>
          <w:rFonts w:hint="eastAsia" w:eastAsia="仿宋_GB2312"/>
          <w:sz w:val="24"/>
          <w:lang w:val="en-US" w:eastAsia="zh-Hans"/>
        </w:rPr>
        <w:t>门户网站系统</w:t>
      </w:r>
      <w:r>
        <w:rPr>
          <w:rFonts w:hint="eastAsia" w:eastAsia="仿宋_GB2312"/>
          <w:sz w:val="24"/>
        </w:rPr>
        <w:t>”实施网络安全等级保护测评工作。</w:t>
      </w:r>
      <w:r>
        <w:rPr>
          <w:rFonts w:hint="eastAsia" w:eastAsia="仿宋_GB2312"/>
          <w:sz w:val="24"/>
          <w:lang w:eastAsia="zh-CN"/>
        </w:rPr>
        <w:t>具体要求：医院信息化建设系统、陕西省严重精神障碍信息管理平台、</w:t>
      </w:r>
      <w:r>
        <w:rPr>
          <w:rFonts w:hint="eastAsia" w:eastAsia="仿宋_GB2312"/>
          <w:sz w:val="24"/>
          <w:lang w:val="en-US" w:eastAsia="zh-Hans"/>
        </w:rPr>
        <w:t>互联网医院</w:t>
      </w:r>
      <w:r>
        <w:rPr>
          <w:rFonts w:hint="eastAsia" w:eastAsia="仿宋_GB2312"/>
          <w:sz w:val="24"/>
          <w:lang w:eastAsia="zh-Hans"/>
        </w:rPr>
        <w:t>系统</w:t>
      </w:r>
      <w:r>
        <w:rPr>
          <w:rFonts w:hint="eastAsia" w:eastAsia="仿宋_GB2312"/>
          <w:sz w:val="24"/>
          <w:lang w:eastAsia="zh-CN"/>
        </w:rPr>
        <w:t>达到三级；</w:t>
      </w:r>
      <w:r>
        <w:rPr>
          <w:rFonts w:hint="eastAsia" w:eastAsia="仿宋_GB2312"/>
          <w:sz w:val="24"/>
          <w:lang w:val="en-US" w:eastAsia="zh-Hans"/>
        </w:rPr>
        <w:t>门户网站系统</w:t>
      </w:r>
      <w:r>
        <w:rPr>
          <w:rFonts w:hint="eastAsia" w:eastAsia="仿宋_GB2312"/>
          <w:sz w:val="24"/>
          <w:lang w:val="en-US" w:eastAsia="zh-CN"/>
        </w:rPr>
        <w:t>达到二级。</w:t>
      </w:r>
    </w:p>
    <w:p w14:paraId="26326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保障信息系统安全可控在控。通过调研、分析信息系统建设情况，准确掌握</w:t>
      </w:r>
      <w:r>
        <w:rPr>
          <w:rFonts w:hint="eastAsia" w:eastAsia="仿宋_GB2312"/>
          <w:sz w:val="24"/>
          <w:lang w:val="en-US" w:eastAsia="zh-Hans"/>
        </w:rPr>
        <w:t>信息</w:t>
      </w:r>
      <w:r>
        <w:rPr>
          <w:rFonts w:hint="eastAsia" w:eastAsia="仿宋_GB2312"/>
          <w:sz w:val="24"/>
        </w:rPr>
        <w:t>系统</w:t>
      </w:r>
      <w:r>
        <w:rPr>
          <w:rFonts w:hint="eastAsia" w:eastAsia="仿宋_GB2312"/>
          <w:sz w:val="24"/>
          <w:lang w:val="en-US" w:eastAsia="zh-Hans"/>
        </w:rPr>
        <w:t>网络</w:t>
      </w:r>
      <w:r>
        <w:rPr>
          <w:rFonts w:hint="eastAsia" w:eastAsia="仿宋_GB2312"/>
          <w:sz w:val="24"/>
        </w:rPr>
        <w:t>安全防护情况，确保</w:t>
      </w:r>
      <w:r>
        <w:rPr>
          <w:rFonts w:hint="eastAsia" w:eastAsia="仿宋_GB2312"/>
          <w:sz w:val="24"/>
          <w:lang w:val="en-US" w:eastAsia="zh-Hans"/>
        </w:rPr>
        <w:t>信息系统</w:t>
      </w:r>
      <w:r>
        <w:rPr>
          <w:rFonts w:hint="eastAsia" w:eastAsia="仿宋_GB2312"/>
          <w:sz w:val="24"/>
        </w:rPr>
        <w:t>可控在控，提升信息系统综合防护能力。据国家相关等级保护测评要求，结合</w:t>
      </w:r>
      <w:r>
        <w:rPr>
          <w:rFonts w:hint="eastAsia" w:eastAsia="仿宋_GB2312"/>
          <w:sz w:val="24"/>
          <w:lang w:val="en-US" w:eastAsia="zh-Hans"/>
        </w:rPr>
        <w:t>信息</w:t>
      </w:r>
      <w:r>
        <w:rPr>
          <w:rFonts w:hint="eastAsia" w:eastAsia="仿宋_GB2312"/>
          <w:sz w:val="24"/>
        </w:rPr>
        <w:t>系统等级保护建设情况，开展信息系统等级保护测评、安全服务保障和整改工作，达到国家对</w:t>
      </w:r>
      <w:r>
        <w:rPr>
          <w:rFonts w:hint="eastAsia" w:eastAsia="仿宋_GB2312"/>
          <w:sz w:val="24"/>
          <w:lang w:val="en-US" w:eastAsia="zh-Hans"/>
        </w:rPr>
        <w:t>网络</w:t>
      </w:r>
      <w:r>
        <w:rPr>
          <w:rFonts w:hint="eastAsia" w:eastAsia="仿宋_GB2312"/>
          <w:sz w:val="24"/>
        </w:rPr>
        <w:t>安全等级保护的相关要求。以确保</w:t>
      </w:r>
      <w:r>
        <w:rPr>
          <w:rFonts w:hint="eastAsia" w:eastAsia="仿宋_GB2312"/>
          <w:sz w:val="24"/>
          <w:lang w:val="en-US" w:eastAsia="zh-Hans"/>
        </w:rPr>
        <w:t>信息</w:t>
      </w:r>
      <w:r>
        <w:rPr>
          <w:rFonts w:hint="eastAsia" w:eastAsia="仿宋_GB2312"/>
          <w:sz w:val="24"/>
        </w:rPr>
        <w:t>系统</w:t>
      </w:r>
      <w:r>
        <w:rPr>
          <w:rFonts w:hint="eastAsia" w:eastAsia="仿宋_GB2312"/>
          <w:sz w:val="24"/>
          <w:lang w:val="en-US" w:eastAsia="zh-Hans"/>
        </w:rPr>
        <w:t>网络</w:t>
      </w:r>
      <w:r>
        <w:rPr>
          <w:rFonts w:hint="eastAsia" w:eastAsia="仿宋_GB2312"/>
          <w:sz w:val="24"/>
        </w:rPr>
        <w:t>安全等级保护建设工作落实《信息安全技术 信息系统安全等级保护基本要求》（GBT22239-2019）的要求，保证信息系统具备相应等级的基本安全保护能力。</w:t>
      </w:r>
    </w:p>
    <w:p w14:paraId="37153D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二、服务内容（包括工作区域、工作内容等）</w:t>
      </w:r>
    </w:p>
    <w:p w14:paraId="606F6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37" w:name="_Toc15505"/>
      <w:bookmarkStart w:id="438" w:name="_Toc7595"/>
      <w:bookmarkStart w:id="439" w:name="_Toc101952904"/>
      <w:bookmarkStart w:id="440" w:name="_Toc21662"/>
      <w:bookmarkStart w:id="441" w:name="_Toc101876403"/>
      <w:bookmarkStart w:id="442" w:name="_Toc443928380"/>
      <w:r>
        <w:rPr>
          <w:rFonts w:hint="eastAsia" w:eastAsia="仿宋_GB2312"/>
          <w:sz w:val="24"/>
        </w:rPr>
        <w:t>定级备案</w:t>
      </w:r>
      <w:bookmarkEnd w:id="437"/>
      <w:bookmarkEnd w:id="438"/>
      <w:bookmarkEnd w:id="439"/>
      <w:bookmarkEnd w:id="440"/>
      <w:bookmarkEnd w:id="441"/>
      <w:bookmarkEnd w:id="442"/>
    </w:p>
    <w:p w14:paraId="2319A1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按照等级保护相关制度要求，依据</w:t>
      </w:r>
      <w:r>
        <w:rPr>
          <w:rFonts w:hint="eastAsia" w:eastAsia="仿宋_GB2312"/>
          <w:sz w:val="24"/>
          <w:lang w:val="en-US" w:eastAsia="zh-Hans"/>
        </w:rPr>
        <w:t>准确</w:t>
      </w:r>
      <w:r>
        <w:rPr>
          <w:rFonts w:hint="eastAsia" w:eastAsia="仿宋_GB2312"/>
          <w:sz w:val="24"/>
        </w:rPr>
        <w:t>定级的原则，</w:t>
      </w:r>
      <w:r>
        <w:rPr>
          <w:rFonts w:hint="eastAsia" w:eastAsia="仿宋_GB2312"/>
          <w:sz w:val="24"/>
          <w:lang w:val="en-US" w:eastAsia="zh-Hans"/>
        </w:rPr>
        <w:t>协助并指导</w:t>
      </w:r>
      <w:r>
        <w:rPr>
          <w:rFonts w:hint="eastAsia" w:eastAsia="仿宋_GB2312"/>
          <w:sz w:val="24"/>
        </w:rPr>
        <w:t>完成</w:t>
      </w:r>
      <w:r>
        <w:rPr>
          <w:rFonts w:hint="eastAsia" w:eastAsia="仿宋_GB2312"/>
          <w:sz w:val="24"/>
          <w:lang w:val="en-US" w:eastAsia="zh-Hans"/>
        </w:rPr>
        <w:t>互联网医院信息</w:t>
      </w:r>
      <w:r>
        <w:rPr>
          <w:rFonts w:hint="eastAsia" w:eastAsia="仿宋_GB2312"/>
          <w:sz w:val="24"/>
        </w:rPr>
        <w:t>系统定级报告的编制、备案表的填写，组织相关专家对定级结果进行评审，完善相关资料，递交至</w:t>
      </w:r>
      <w:r>
        <w:rPr>
          <w:rFonts w:hint="eastAsia" w:eastAsia="仿宋_GB2312"/>
          <w:sz w:val="24"/>
          <w:lang w:val="en-US" w:eastAsia="zh-Hans"/>
        </w:rPr>
        <w:t>网安支队</w:t>
      </w:r>
      <w:r>
        <w:rPr>
          <w:rFonts w:hint="eastAsia" w:eastAsia="仿宋_GB2312"/>
          <w:sz w:val="24"/>
        </w:rPr>
        <w:t>完成定级备案工作,具体如下：</w:t>
      </w:r>
    </w:p>
    <w:p w14:paraId="4B056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object>
          <v:shape id="_x0000_i1025" o:spt="75" type="#_x0000_t75" style="height:240pt;width:108.65pt;" o:ole="t" filled="f" o:preferrelative="t" stroked="f" coordsize="21600,21600">
            <v:path/>
            <v:fill on="f" focussize="0,0"/>
            <v:stroke on="f"/>
            <v:imagedata r:id="rId16" o:title=""/>
            <o:lock v:ext="edit" aspectratio="t"/>
            <w10:wrap type="none"/>
            <w10:anchorlock/>
          </v:shape>
          <o:OLEObject Type="Embed" ProgID="Visio.Drawing.15" ShapeID="_x0000_i1025" DrawAspect="Content" ObjectID="_1468075725" r:id="rId15">
            <o:LockedField>false</o:LockedField>
          </o:OLEObject>
        </w:object>
      </w:r>
    </w:p>
    <w:p w14:paraId="2FAB28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 xml:space="preserve">图 </w:t>
      </w:r>
      <w:r>
        <w:rPr>
          <w:rFonts w:hint="eastAsia" w:eastAsia="仿宋_GB2312"/>
          <w:sz w:val="24"/>
        </w:rPr>
        <w:fldChar w:fldCharType="begin"/>
      </w:r>
      <w:r>
        <w:rPr>
          <w:rFonts w:hint="eastAsia" w:eastAsia="仿宋_GB2312"/>
          <w:sz w:val="24"/>
        </w:rPr>
        <w:instrText xml:space="preserve"> SEQ 图 \* ARABIC </w:instrText>
      </w:r>
      <w:r>
        <w:rPr>
          <w:rFonts w:hint="eastAsia" w:eastAsia="仿宋_GB2312"/>
          <w:sz w:val="24"/>
        </w:rPr>
        <w:fldChar w:fldCharType="separate"/>
      </w:r>
      <w:r>
        <w:rPr>
          <w:rFonts w:hint="eastAsia" w:eastAsia="仿宋_GB2312"/>
          <w:sz w:val="24"/>
        </w:rPr>
        <w:t>1</w:t>
      </w:r>
      <w:r>
        <w:rPr>
          <w:rFonts w:hint="eastAsia" w:eastAsia="仿宋_GB2312"/>
          <w:sz w:val="24"/>
        </w:rPr>
        <w:fldChar w:fldCharType="end"/>
      </w:r>
      <w:r>
        <w:rPr>
          <w:rFonts w:hint="eastAsia" w:eastAsia="仿宋_GB2312"/>
          <w:sz w:val="24"/>
        </w:rPr>
        <w:t xml:space="preserve"> 定级备案工作流程</w:t>
      </w:r>
    </w:p>
    <w:p w14:paraId="5A68FA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安全保护等级初步确定为第二级及以上的等级保护对象,其网络运营者依据以上标准流程组织进行专家评审、主管部门核准和备案审核最终确定其安全保护等级。</w:t>
      </w:r>
    </w:p>
    <w:p w14:paraId="49F015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第一步：确定定级对象</w:t>
      </w:r>
    </w:p>
    <w:p w14:paraId="1AA858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各行业主管部门、运营使用单位要组织开展对所属信息系统的摸底调查，全面掌握信息系统的数量、分布、业务类型、应用或服务范围、系统结构等基本情况，按照《管理办法》和《定级指南》的要求，确定定级对象。</w:t>
      </w:r>
    </w:p>
    <w:p w14:paraId="652777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第二步：初步确定等级</w:t>
      </w:r>
    </w:p>
    <w:p w14:paraId="6965ED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各信息系统主管部门和运营使用单位要按照《管理办法》和《定级指南》，初步确定定级对象的安全保护等级。</w:t>
      </w:r>
    </w:p>
    <w:p w14:paraId="677B7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第三步：专家评审</w:t>
      </w:r>
    </w:p>
    <w:p w14:paraId="585560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初步确定信息系统安全保护等级后，可以聘请专家进行评审。</w:t>
      </w:r>
    </w:p>
    <w:p w14:paraId="37ACB6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第四步：主管部门核准</w:t>
      </w:r>
    </w:p>
    <w:p w14:paraId="4828E0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信息系统运营使用单位有上级行业主管部门的，所确定的信息系统安全保护等级应当报上级行业主管部门审批同意。</w:t>
      </w:r>
    </w:p>
    <w:p w14:paraId="1C9AF5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第四步：备案</w:t>
      </w:r>
    </w:p>
    <w:p w14:paraId="23D42F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val="en-US" w:eastAsia="zh-Hans"/>
        </w:rPr>
        <w:t>提交备案材料，由公安网安部门进行审核，审核通过颁发《信息系统等级保护备案证明》。</w:t>
      </w:r>
    </w:p>
    <w:p w14:paraId="6DF802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43" w:name="_Toc746092982"/>
      <w:bookmarkStart w:id="444" w:name="_Toc26575"/>
      <w:bookmarkStart w:id="445" w:name="_Toc4636"/>
      <w:bookmarkStart w:id="446" w:name="_Toc14616"/>
      <w:bookmarkStart w:id="447" w:name="_Toc101952905"/>
      <w:bookmarkStart w:id="448" w:name="_Toc101876404"/>
      <w:r>
        <w:rPr>
          <w:rFonts w:hint="eastAsia" w:eastAsia="仿宋_GB2312"/>
          <w:sz w:val="24"/>
        </w:rPr>
        <w:t>等级测评</w:t>
      </w:r>
      <w:bookmarkEnd w:id="443"/>
      <w:bookmarkEnd w:id="444"/>
      <w:bookmarkEnd w:id="445"/>
      <w:bookmarkEnd w:id="446"/>
      <w:bookmarkEnd w:id="447"/>
      <w:bookmarkEnd w:id="448"/>
    </w:p>
    <w:p w14:paraId="1E81CD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根据网络安全法和等级保护相关规范标准要求，完成以上</w:t>
      </w:r>
      <w:r>
        <w:rPr>
          <w:rFonts w:hint="eastAsia" w:eastAsia="仿宋_GB2312"/>
          <w:sz w:val="24"/>
          <w:lang w:eastAsia="zh-Hans"/>
        </w:rPr>
        <w:t>4</w:t>
      </w:r>
      <w:r>
        <w:rPr>
          <w:rFonts w:hint="eastAsia" w:eastAsia="仿宋_GB2312"/>
          <w:sz w:val="24"/>
          <w:lang w:val="en-US" w:eastAsia="zh-Hans"/>
        </w:rPr>
        <w:t>个系统系统定级备案工作，并开展</w:t>
      </w:r>
      <w:r>
        <w:rPr>
          <w:rFonts w:hint="eastAsia" w:eastAsia="仿宋_GB2312"/>
          <w:sz w:val="24"/>
          <w:lang w:eastAsia="zh-Hans"/>
        </w:rPr>
        <w:t>4</w:t>
      </w:r>
      <w:r>
        <w:rPr>
          <w:rFonts w:hint="eastAsia" w:eastAsia="仿宋_GB2312"/>
          <w:sz w:val="24"/>
          <w:lang w:val="en-US" w:eastAsia="zh-Hans"/>
        </w:rPr>
        <w:t>个系统网络安全等级保护测评工作。</w:t>
      </w:r>
    </w:p>
    <w:p w14:paraId="544DD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网络安全等级保护测评过程中要求测评机构严格按照下列流程开展工作，具体工作流程如下图所示：</w:t>
      </w:r>
    </w:p>
    <w:p w14:paraId="225C4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drawing>
          <wp:inline distT="0" distB="0" distL="114300" distR="114300">
            <wp:extent cx="4942205" cy="8344535"/>
            <wp:effectExtent l="0" t="0" r="10795" b="1841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7"/>
                    <a:stretch>
                      <a:fillRect/>
                    </a:stretch>
                  </pic:blipFill>
                  <pic:spPr>
                    <a:xfrm>
                      <a:off x="0" y="0"/>
                      <a:ext cx="4942205" cy="8344535"/>
                    </a:xfrm>
                    <a:prstGeom prst="rect">
                      <a:avLst/>
                    </a:prstGeom>
                    <a:noFill/>
                    <a:ln w="9525">
                      <a:noFill/>
                    </a:ln>
                  </pic:spPr>
                </pic:pic>
              </a:graphicData>
            </a:graphic>
          </wp:inline>
        </w:drawing>
      </w:r>
    </w:p>
    <w:p w14:paraId="7F4CC6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 xml:space="preserve">图 </w:t>
      </w:r>
      <w:r>
        <w:rPr>
          <w:rFonts w:hint="eastAsia" w:eastAsia="仿宋_GB2312"/>
          <w:sz w:val="24"/>
        </w:rPr>
        <w:fldChar w:fldCharType="begin"/>
      </w:r>
      <w:r>
        <w:rPr>
          <w:rFonts w:hint="eastAsia" w:eastAsia="仿宋_GB2312"/>
          <w:sz w:val="24"/>
        </w:rPr>
        <w:instrText xml:space="preserve"> SEQ 图 \* ARABIC </w:instrText>
      </w:r>
      <w:r>
        <w:rPr>
          <w:rFonts w:hint="eastAsia" w:eastAsia="仿宋_GB2312"/>
          <w:sz w:val="24"/>
        </w:rPr>
        <w:fldChar w:fldCharType="separate"/>
      </w:r>
      <w:r>
        <w:rPr>
          <w:rFonts w:hint="eastAsia" w:eastAsia="仿宋_GB2312"/>
          <w:sz w:val="24"/>
        </w:rPr>
        <w:t>2</w:t>
      </w:r>
      <w:r>
        <w:rPr>
          <w:rFonts w:hint="eastAsia" w:eastAsia="仿宋_GB2312"/>
          <w:sz w:val="24"/>
        </w:rPr>
        <w:fldChar w:fldCharType="end"/>
      </w:r>
      <w:r>
        <w:rPr>
          <w:rFonts w:hint="eastAsia" w:eastAsia="仿宋_GB2312"/>
          <w:sz w:val="24"/>
        </w:rPr>
        <w:t xml:space="preserve"> 网络安全等级保护测评流程</w:t>
      </w:r>
    </w:p>
    <w:p w14:paraId="0BC0C9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bookmarkStart w:id="449" w:name="_Toc359339957"/>
      <w:bookmarkEnd w:id="449"/>
      <w:r>
        <w:rPr>
          <w:rFonts w:hint="eastAsia" w:eastAsia="仿宋_GB2312"/>
          <w:sz w:val="24"/>
          <w:lang w:val="en-US" w:eastAsia="zh-Hans"/>
        </w:rPr>
        <w:t>测评准备阶段：是开展等级测评工作的前提和基础，是整个等级测评过程有效性的保证。测评准备工作是否充分直接关系到后续工作能否顺利开展。本活动的主要任务是掌握被测系统的详细情况，准备测试工具，为编制测评方案做好准备。</w:t>
      </w:r>
    </w:p>
    <w:p w14:paraId="79BFB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方案编制阶段：是开展等级测评工作的关键活动，为现场测评提供最基本的文档和指导方案。本活动的主要任务是确定与被测信息系统相适应的测评对象、测评指标及测评内容等，并根据需要重用或开发测评指导书，形成测评方案。</w:t>
      </w:r>
    </w:p>
    <w:p w14:paraId="6C2E1A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现场测评阶段：是开展等级测评工作的核心活动。本活动的主要任务是按照测评方案的总体要求，严格按照测评指导书执行，分步实施所有测评项目，以了解系统的真实保护情况，获取足够证据，发现系统存在的安全问题。</w:t>
      </w:r>
    </w:p>
    <w:p w14:paraId="734A2C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分析与报告编制阶段：是给出等级测评工作结果的活动，是总结被测系统整体安全保护能力的综合评价活动。本活动的主要任务是根据现场测评结果和《等级测评过程指南》的有关要求，通过单项测评结果判定、单元测评结果判定、整体测评和风险分析等方法，找出整个系统的安全保护现状与相应等级的保护要求之间的差距，并分析这些差距导致被测系统面临的风险，从而给出等级测评结论，形成《信息系统安全等级测评报告》文本。</w:t>
      </w:r>
    </w:p>
    <w:p w14:paraId="743296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50" w:name="_Toc29235"/>
      <w:bookmarkStart w:id="451" w:name="_Toc427733641"/>
      <w:bookmarkStart w:id="452" w:name="_Toc3431"/>
      <w:bookmarkStart w:id="453" w:name="_Toc28189"/>
      <w:bookmarkStart w:id="454" w:name="_Toc14219"/>
      <w:bookmarkStart w:id="455" w:name="_Toc101876405"/>
      <w:bookmarkStart w:id="456" w:name="_Toc27362"/>
      <w:bookmarkStart w:id="457" w:name="_Toc7557"/>
      <w:bookmarkStart w:id="458" w:name="_Toc8869"/>
      <w:bookmarkStart w:id="459" w:name="_Toc37222295"/>
      <w:bookmarkStart w:id="460" w:name="_Toc101952906"/>
      <w:r>
        <w:rPr>
          <w:rFonts w:hint="eastAsia" w:eastAsia="仿宋_GB2312"/>
          <w:sz w:val="24"/>
        </w:rPr>
        <w:t>测评准备活动</w:t>
      </w:r>
      <w:bookmarkEnd w:id="450"/>
      <w:bookmarkEnd w:id="451"/>
      <w:bookmarkEnd w:id="452"/>
      <w:bookmarkEnd w:id="453"/>
      <w:bookmarkEnd w:id="454"/>
      <w:bookmarkEnd w:id="455"/>
      <w:bookmarkEnd w:id="456"/>
      <w:bookmarkEnd w:id="457"/>
      <w:bookmarkEnd w:id="458"/>
      <w:bookmarkEnd w:id="459"/>
      <w:bookmarkEnd w:id="460"/>
      <w:r>
        <w:rPr>
          <w:rFonts w:hint="eastAsia" w:eastAsia="仿宋_GB2312"/>
          <w:sz w:val="24"/>
        </w:rPr>
        <w:t xml:space="preserve"> </w:t>
      </w:r>
    </w:p>
    <w:p w14:paraId="1F5BBC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61" w:name="_Toc5045"/>
      <w:bookmarkStart w:id="462" w:name="_Toc11223"/>
      <w:bookmarkStart w:id="463" w:name="_Toc6380"/>
      <w:r>
        <w:rPr>
          <w:rFonts w:hint="eastAsia" w:eastAsia="仿宋_GB2312"/>
          <w:sz w:val="24"/>
        </w:rPr>
        <w:t>测评准备活动工作流程</w:t>
      </w:r>
      <w:bookmarkEnd w:id="461"/>
      <w:bookmarkEnd w:id="462"/>
      <w:bookmarkEnd w:id="463"/>
    </w:p>
    <w:p w14:paraId="138319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测评准备活动的目标是顺利启动测评项目，收集定级对象相关资料，准备测评所需资料，为编制测评方案打下良好的基础。</w:t>
      </w:r>
    </w:p>
    <w:p w14:paraId="5C31E0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val="en-US" w:eastAsia="zh-Hans"/>
        </w:rPr>
        <w:t>测评准备活动包括工作启动、信息收集和分析、工具和表单准备三项主要任务。这三项任务的基本工作流程见下图。</w:t>
      </w:r>
    </w:p>
    <w:p w14:paraId="052776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drawing>
          <wp:inline distT="0" distB="0" distL="114300" distR="114300">
            <wp:extent cx="2340610" cy="3578225"/>
            <wp:effectExtent l="0" t="0" r="2540" b="317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8"/>
                    <a:stretch>
                      <a:fillRect/>
                    </a:stretch>
                  </pic:blipFill>
                  <pic:spPr>
                    <a:xfrm>
                      <a:off x="0" y="0"/>
                      <a:ext cx="2340610" cy="3578225"/>
                    </a:xfrm>
                    <a:prstGeom prst="rect">
                      <a:avLst/>
                    </a:prstGeom>
                    <a:noFill/>
                    <a:ln w="9525">
                      <a:noFill/>
                    </a:ln>
                  </pic:spPr>
                </pic:pic>
              </a:graphicData>
            </a:graphic>
          </wp:inline>
        </w:drawing>
      </w:r>
    </w:p>
    <w:p w14:paraId="1BF2A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 xml:space="preserve">图 </w:t>
      </w:r>
      <w:r>
        <w:rPr>
          <w:rFonts w:hint="eastAsia" w:eastAsia="仿宋_GB2312"/>
          <w:sz w:val="24"/>
        </w:rPr>
        <w:fldChar w:fldCharType="begin"/>
      </w:r>
      <w:r>
        <w:rPr>
          <w:rFonts w:hint="eastAsia" w:eastAsia="仿宋_GB2312"/>
          <w:sz w:val="24"/>
        </w:rPr>
        <w:instrText xml:space="preserve"> SEQ 图 \* ARABIC </w:instrText>
      </w:r>
      <w:r>
        <w:rPr>
          <w:rFonts w:hint="eastAsia" w:eastAsia="仿宋_GB2312"/>
          <w:sz w:val="24"/>
        </w:rPr>
        <w:fldChar w:fldCharType="separate"/>
      </w:r>
      <w:r>
        <w:rPr>
          <w:rFonts w:hint="eastAsia" w:eastAsia="仿宋_GB2312"/>
          <w:sz w:val="24"/>
        </w:rPr>
        <w:t>3</w:t>
      </w:r>
      <w:r>
        <w:rPr>
          <w:rFonts w:hint="eastAsia" w:eastAsia="仿宋_GB2312"/>
          <w:sz w:val="24"/>
        </w:rPr>
        <w:fldChar w:fldCharType="end"/>
      </w:r>
      <w:r>
        <w:rPr>
          <w:rFonts w:hint="eastAsia" w:eastAsia="仿宋_GB2312"/>
          <w:sz w:val="24"/>
        </w:rPr>
        <w:t xml:space="preserve"> 测评准备活动工作流程</w:t>
      </w:r>
    </w:p>
    <w:p w14:paraId="2AD51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64" w:name="_Toc6620"/>
      <w:bookmarkStart w:id="465" w:name="_Toc30107"/>
      <w:bookmarkStart w:id="466" w:name="_Toc9419"/>
      <w:r>
        <w:rPr>
          <w:rFonts w:hint="eastAsia" w:eastAsia="仿宋_GB2312"/>
          <w:sz w:val="24"/>
        </w:rPr>
        <w:t>测评准备活动主要任务</w:t>
      </w:r>
      <w:bookmarkEnd w:id="464"/>
      <w:bookmarkEnd w:id="465"/>
      <w:bookmarkEnd w:id="466"/>
    </w:p>
    <w:p w14:paraId="692C0F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工作启动</w:t>
      </w:r>
    </w:p>
    <w:p w14:paraId="5E520F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在工作启动任务中，测评机构组建等级测评项目组，获取运营单位及定级对象的基本情况，从基本资料、人员、计划安排等方面为整个等级测评项目的实施做好充分准备。</w:t>
      </w:r>
    </w:p>
    <w:p w14:paraId="1F433B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输入：委托测评协议书任务描述：</w:t>
      </w:r>
    </w:p>
    <w:p w14:paraId="3EFA8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a)根据测评双方签订的委托测评协议书和系统规模，测评机构组建测评项目组，从人员方面做好准备，并编制项目计划书。</w:t>
      </w:r>
    </w:p>
    <w:p w14:paraId="187901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b)测评机构要求运营单位提供基本资料，为全面初步了解被测定级对象准备资料。输出/产品：项目计划书。</w:t>
      </w:r>
    </w:p>
    <w:p w14:paraId="1A8D0D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信息收集和分析</w:t>
      </w:r>
    </w:p>
    <w:p w14:paraId="42A26C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测评机构通过查阅被测定级对象已有资料或使用系统调查表格的方式，了解整个系统的构成和保护情况以及责任部门相关情况，为编写测评方案、开展现场测评和安全评估工作奠定基础。</w:t>
      </w:r>
    </w:p>
    <w:p w14:paraId="348E1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输入：项目计划书，系统调查表格，被测定级对象相关料。</w:t>
      </w:r>
    </w:p>
    <w:p w14:paraId="35113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7446AC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a)测评机构收集等级测评需要的相关资料，包括运营单位的管理架构、技术体系、运行情况、建设方案、建设过程中相关测试文档等。</w:t>
      </w:r>
    </w:p>
    <w:p w14:paraId="65502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b)测评机构将系统调查表格提交给运营单位，督促被测定级对象相关人员准确填写调查表格。</w:t>
      </w:r>
    </w:p>
    <w:p w14:paraId="48EA0C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c)测评机构收回填写完成的调查表格，并分析调查结果，了解和熟悉被测定级对象的实际情况。这些信息可以参考自查报告或上次等级测评报告结果。</w:t>
      </w:r>
    </w:p>
    <w:p w14:paraId="46750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在对收集到的信息进行分析时，可采用如下方法：</w:t>
      </w:r>
    </w:p>
    <w:p w14:paraId="26776B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1)采用系统分析方法对整体网络结构和系统组成进行分析，包括网络结构、对外边界、定级对象的数量和级别、不同安全保护等级定级对象的分布情况和承载应用情况等；</w:t>
      </w:r>
    </w:p>
    <w:p w14:paraId="3B4F2F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2)采用分解与综合分析方法对定级对象边界和系统构成组件进行分析，包括物理与逻辑边界、硬件资源、软件资源、信息资源；</w:t>
      </w:r>
    </w:p>
    <w:p w14:paraId="70B03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3)采用对比与类比分析方法对定级对象的相互关联进行分析，包括应用架构方式、应用处理流程、处理信息类型、业务数据处理流程、服务对象、用户数量等。</w:t>
      </w:r>
    </w:p>
    <w:p w14:paraId="2D5EF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d)如果调查表格信息填写存在不准确、不完善或有相互矛盾的地方，测评机构应与填表人进行沟通和确认，必要时安排一次现场调查，与相关人员进行面对面的沟通和确认，确保系统信息调查的准确性和完整性。</w:t>
      </w:r>
    </w:p>
    <w:p w14:paraId="24B76F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输出/产品：填好的调查表格，各种与被测定级对象相关的技术资料。</w:t>
      </w:r>
    </w:p>
    <w:p w14:paraId="2C665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工具和表单准备</w:t>
      </w:r>
    </w:p>
    <w:p w14:paraId="033CE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测评项目组成员在进行现场测评之前，应熟悉被测定级对象、调试测评工具、准备各种表单等等。</w:t>
      </w:r>
    </w:p>
    <w:p w14:paraId="37E57B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输入：填好的调查表格，各种与被测定级对象相关的技术资料。</w:t>
      </w:r>
    </w:p>
    <w:p w14:paraId="3884C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66A38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a)测评人员调试本次测评过程中将用到的测评工具，包括漏洞扫描工具、渗透性测试工具和协议分析工具等。</w:t>
      </w:r>
    </w:p>
    <w:p w14:paraId="5EC75B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b)测评人员在测评环境模拟被测定级对象架构，为开发相关的网络及主机设备等测评对象测评指导书做好准备，并进行必要的工具验证。</w:t>
      </w:r>
    </w:p>
    <w:p w14:paraId="4AF585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c)准备和打印表单，主要包括：风险告知书、文档交接单、会议记录表单、会议签到表单等。</w:t>
      </w:r>
    </w:p>
    <w:p w14:paraId="0C8A56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val="en-US" w:eastAsia="zh-Hans"/>
        </w:rPr>
        <w:t>输出/产品：选用的测评工具清单，打印的各类表单。</w:t>
      </w:r>
    </w:p>
    <w:p w14:paraId="4B5E9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67" w:name="_Toc15219"/>
      <w:bookmarkStart w:id="468" w:name="_Toc19573"/>
      <w:r>
        <w:rPr>
          <w:rFonts w:hint="eastAsia" w:eastAsia="仿宋_GB2312"/>
          <w:sz w:val="24"/>
        </w:rPr>
        <w:t>测评准备活动输出文档</w:t>
      </w:r>
      <w:bookmarkEnd w:id="467"/>
      <w:bookmarkEnd w:id="468"/>
    </w:p>
    <w:p w14:paraId="279780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测评准备活动的输出文档及其内容如下表所示。</w:t>
      </w:r>
    </w:p>
    <w:p w14:paraId="77A99E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表 4 测评准备活动输出文档及其内容</w:t>
      </w:r>
    </w:p>
    <w:tbl>
      <w:tblPr>
        <w:tblStyle w:val="50"/>
        <w:tblpPr w:leftFromText="180" w:rightFromText="180" w:vertAnchor="text" w:horzAnchor="margin" w:tblpY="323"/>
        <w:tblW w:w="5000" w:type="pct"/>
        <w:tblInd w:w="-1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autofit"/>
        <w:tblCellMar>
          <w:top w:w="0" w:type="dxa"/>
          <w:left w:w="0" w:type="dxa"/>
          <w:bottom w:w="0" w:type="dxa"/>
          <w:right w:w="0" w:type="dxa"/>
        </w:tblCellMar>
      </w:tblPr>
      <w:tblGrid>
        <w:gridCol w:w="1780"/>
        <w:gridCol w:w="2669"/>
        <w:gridCol w:w="4641"/>
      </w:tblGrid>
      <w:tr w14:paraId="53FD47E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0" w:hRule="atLeast"/>
          <w:tblHeader/>
        </w:trPr>
        <w:tc>
          <w:tcPr>
            <w:tcW w:w="979" w:type="pct"/>
            <w:tcBorders>
              <w:right w:val="single" w:color="231F20" w:sz="4" w:space="0"/>
            </w:tcBorders>
            <w:noWrap w:val="0"/>
            <w:vAlign w:val="center"/>
          </w:tcPr>
          <w:p w14:paraId="50F7FC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任务</w:t>
            </w:r>
          </w:p>
        </w:tc>
        <w:tc>
          <w:tcPr>
            <w:tcW w:w="1468" w:type="pct"/>
            <w:tcBorders>
              <w:left w:val="single" w:color="231F20" w:sz="4" w:space="0"/>
              <w:right w:val="single" w:color="231F20" w:sz="4" w:space="0"/>
            </w:tcBorders>
            <w:noWrap w:val="0"/>
            <w:vAlign w:val="center"/>
          </w:tcPr>
          <w:p w14:paraId="3428AB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输出文档</w:t>
            </w:r>
          </w:p>
        </w:tc>
        <w:tc>
          <w:tcPr>
            <w:tcW w:w="2553" w:type="pct"/>
            <w:tcBorders>
              <w:left w:val="single" w:color="231F20" w:sz="4" w:space="0"/>
            </w:tcBorders>
            <w:noWrap w:val="0"/>
            <w:vAlign w:val="center"/>
          </w:tcPr>
          <w:p w14:paraId="5D3235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文档内容</w:t>
            </w:r>
          </w:p>
        </w:tc>
      </w:tr>
      <w:tr w14:paraId="3B42765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0" w:hRule="atLeast"/>
        </w:trPr>
        <w:tc>
          <w:tcPr>
            <w:tcW w:w="979" w:type="pct"/>
            <w:tcBorders>
              <w:bottom w:val="single" w:color="231F20" w:sz="4" w:space="0"/>
              <w:right w:val="single" w:color="231F20" w:sz="4" w:space="0"/>
            </w:tcBorders>
            <w:noWrap w:val="0"/>
            <w:vAlign w:val="center"/>
          </w:tcPr>
          <w:p w14:paraId="57DB11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工作启动</w:t>
            </w:r>
          </w:p>
        </w:tc>
        <w:tc>
          <w:tcPr>
            <w:tcW w:w="1468" w:type="pct"/>
            <w:tcBorders>
              <w:left w:val="single" w:color="231F20" w:sz="4" w:space="0"/>
              <w:bottom w:val="single" w:color="231F20" w:sz="4" w:space="0"/>
              <w:right w:val="single" w:color="231F20" w:sz="4" w:space="0"/>
            </w:tcBorders>
            <w:noWrap w:val="0"/>
            <w:vAlign w:val="center"/>
          </w:tcPr>
          <w:p w14:paraId="2DCAF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项目计划书</w:t>
            </w:r>
          </w:p>
        </w:tc>
        <w:tc>
          <w:tcPr>
            <w:tcW w:w="2553" w:type="pct"/>
            <w:tcBorders>
              <w:left w:val="single" w:color="231F20" w:sz="4" w:space="0"/>
              <w:bottom w:val="single" w:color="231F20" w:sz="4" w:space="0"/>
            </w:tcBorders>
            <w:noWrap w:val="0"/>
            <w:vAlign w:val="center"/>
          </w:tcPr>
          <w:p w14:paraId="0BE62B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项目概述、工作依据、技术思路、工作内容和项目组织等。</w:t>
            </w:r>
          </w:p>
        </w:tc>
      </w:tr>
      <w:tr w14:paraId="53B979A8">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0" w:hRule="atLeast"/>
        </w:trPr>
        <w:tc>
          <w:tcPr>
            <w:tcW w:w="979" w:type="pct"/>
            <w:tcBorders>
              <w:top w:val="single" w:color="231F20" w:sz="4" w:space="0"/>
              <w:bottom w:val="single" w:color="231F20" w:sz="4" w:space="0"/>
              <w:right w:val="single" w:color="231F20" w:sz="4" w:space="0"/>
            </w:tcBorders>
            <w:noWrap w:val="0"/>
            <w:vAlign w:val="center"/>
          </w:tcPr>
          <w:p w14:paraId="2F353E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信息收集和分析</w:t>
            </w:r>
          </w:p>
        </w:tc>
        <w:tc>
          <w:tcPr>
            <w:tcW w:w="1468" w:type="pct"/>
            <w:tcBorders>
              <w:top w:val="single" w:color="231F20" w:sz="4" w:space="0"/>
              <w:left w:val="single" w:color="231F20" w:sz="4" w:space="0"/>
              <w:bottom w:val="single" w:color="231F20" w:sz="4" w:space="0"/>
              <w:right w:val="single" w:color="231F20" w:sz="4" w:space="0"/>
            </w:tcBorders>
            <w:noWrap w:val="0"/>
            <w:vAlign w:val="center"/>
          </w:tcPr>
          <w:p w14:paraId="0CA241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填好的调查表格，各种与被测定级对象相关的技术资料。</w:t>
            </w:r>
          </w:p>
        </w:tc>
        <w:tc>
          <w:tcPr>
            <w:tcW w:w="2553" w:type="pct"/>
            <w:tcBorders>
              <w:top w:val="single" w:color="231F20" w:sz="4" w:space="0"/>
              <w:left w:val="single" w:color="231F20" w:sz="4" w:space="0"/>
              <w:bottom w:val="single" w:color="231F20" w:sz="4" w:space="0"/>
            </w:tcBorders>
            <w:noWrap w:val="0"/>
            <w:vAlign w:val="center"/>
          </w:tcPr>
          <w:p w14:paraId="710384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被测定级对象的安全保护等级、业务情况、数据情况、网络情况、软硬件情况、管理模式和相关部门及角色等。</w:t>
            </w:r>
          </w:p>
        </w:tc>
      </w:tr>
      <w:tr w14:paraId="6A06228B">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0" w:hRule="atLeast"/>
        </w:trPr>
        <w:tc>
          <w:tcPr>
            <w:tcW w:w="979" w:type="pct"/>
            <w:tcBorders>
              <w:top w:val="single" w:color="231F20" w:sz="4" w:space="0"/>
              <w:right w:val="single" w:color="231F20" w:sz="4" w:space="0"/>
            </w:tcBorders>
            <w:noWrap w:val="0"/>
            <w:vAlign w:val="center"/>
          </w:tcPr>
          <w:p w14:paraId="5AB71F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工具和表单准备</w:t>
            </w:r>
          </w:p>
        </w:tc>
        <w:tc>
          <w:tcPr>
            <w:tcW w:w="1468" w:type="pct"/>
            <w:tcBorders>
              <w:top w:val="single" w:color="231F20" w:sz="4" w:space="0"/>
              <w:left w:val="single" w:color="231F20" w:sz="4" w:space="0"/>
              <w:right w:val="single" w:color="231F20" w:sz="4" w:space="0"/>
            </w:tcBorders>
            <w:noWrap w:val="0"/>
            <w:vAlign w:val="center"/>
          </w:tcPr>
          <w:p w14:paraId="5C8A87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选用的测评工具清单打印的各类表单、风险告知书、文档交接单、会议记录表单、会议签到表单。</w:t>
            </w:r>
          </w:p>
        </w:tc>
        <w:tc>
          <w:tcPr>
            <w:tcW w:w="2553" w:type="pct"/>
            <w:tcBorders>
              <w:top w:val="single" w:color="231F20" w:sz="4" w:space="0"/>
              <w:left w:val="single" w:color="231F20" w:sz="4" w:space="0"/>
            </w:tcBorders>
            <w:noWrap w:val="0"/>
            <w:vAlign w:val="center"/>
          </w:tcPr>
          <w:p w14:paraId="3F9C24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风险告知、交接的文档名称、会议记录、会议签到表。</w:t>
            </w:r>
          </w:p>
        </w:tc>
      </w:tr>
    </w:tbl>
    <w:p w14:paraId="45C515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69" w:name="_Toc10223"/>
      <w:bookmarkStart w:id="470" w:name="_Toc18159"/>
      <w:r>
        <w:rPr>
          <w:rFonts w:hint="eastAsia" w:eastAsia="仿宋_GB2312"/>
          <w:sz w:val="24"/>
        </w:rPr>
        <w:t>测评准备活动双方职责</w:t>
      </w:r>
      <w:bookmarkEnd w:id="469"/>
      <w:bookmarkEnd w:id="470"/>
    </w:p>
    <w:p w14:paraId="63EF1A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表 5 测评准备活动双方职责</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12"/>
        <w:gridCol w:w="4974"/>
      </w:tblGrid>
      <w:tr w14:paraId="4903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546" w:type="dxa"/>
            <w:noWrap w:val="0"/>
            <w:vAlign w:val="top"/>
          </w:tcPr>
          <w:p w14:paraId="238F7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测评机构</w:t>
            </w:r>
          </w:p>
        </w:tc>
        <w:tc>
          <w:tcPr>
            <w:tcW w:w="5250" w:type="dxa"/>
            <w:noWrap w:val="0"/>
            <w:vAlign w:val="top"/>
          </w:tcPr>
          <w:p w14:paraId="37CC4B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运营单位</w:t>
            </w:r>
          </w:p>
        </w:tc>
      </w:tr>
      <w:tr w14:paraId="44E9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46" w:type="dxa"/>
            <w:noWrap w:val="0"/>
            <w:vAlign w:val="top"/>
          </w:tcPr>
          <w:p w14:paraId="0E476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a)组建等级测评项目组。</w:t>
            </w:r>
          </w:p>
          <w:p w14:paraId="491703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b)指出运营单位应提供的基本资料。</w:t>
            </w:r>
          </w:p>
          <w:p w14:paraId="0240C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c)准备被测定级对象基本情况调查表格，并提交给运营单位。</w:t>
            </w:r>
          </w:p>
          <w:p w14:paraId="7A856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d)向运营单位介绍安全测评工作流程和方法。</w:t>
            </w:r>
          </w:p>
          <w:p w14:paraId="19D68E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e)向运营单位说明测评工作可能带来的风险和规避方法。</w:t>
            </w:r>
          </w:p>
          <w:p w14:paraId="56D23C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f)了解运营单位的信息化建设以及被测定级对象的基本情况。</w:t>
            </w:r>
          </w:p>
          <w:p w14:paraId="616322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g)初步分析系统的安全状况。</w:t>
            </w:r>
          </w:p>
          <w:p w14:paraId="053B19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h)准备测评工具和文档。</w:t>
            </w:r>
          </w:p>
        </w:tc>
        <w:tc>
          <w:tcPr>
            <w:tcW w:w="5250" w:type="dxa"/>
            <w:noWrap w:val="0"/>
            <w:vAlign w:val="top"/>
          </w:tcPr>
          <w:p w14:paraId="3CC3F5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a)向测评机构介绍本单位的信息化建设及发展情况。</w:t>
            </w:r>
          </w:p>
          <w:p w14:paraId="1B385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b)提供测评机构需要的相关资料。</w:t>
            </w:r>
          </w:p>
          <w:p w14:paraId="694D42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c)为测评人员的信息收集工作提供支持和协调。</w:t>
            </w:r>
          </w:p>
          <w:p w14:paraId="7E8746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d)准确填写调查表格。</w:t>
            </w:r>
          </w:p>
          <w:p w14:paraId="202231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e)根据被测定级对象的具体情况，如业务运行高峰期、网络布置情况等，为测评时间安排提供适宜的建议。</w:t>
            </w:r>
          </w:p>
          <w:p w14:paraId="0B5B05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f)制定应急预案。</w:t>
            </w:r>
          </w:p>
        </w:tc>
      </w:tr>
    </w:tbl>
    <w:p w14:paraId="3134CB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71" w:name="_Toc31586"/>
      <w:bookmarkStart w:id="472" w:name="_Toc37222296"/>
      <w:bookmarkStart w:id="473" w:name="_Toc13405"/>
      <w:bookmarkStart w:id="474" w:name="_Toc1291537778"/>
      <w:bookmarkStart w:id="475" w:name="_Toc1827"/>
      <w:bookmarkStart w:id="476" w:name="_Toc25652"/>
      <w:bookmarkStart w:id="477" w:name="_Toc7799"/>
      <w:bookmarkStart w:id="478" w:name="_Toc101952907"/>
      <w:bookmarkStart w:id="479" w:name="_Toc101876406"/>
      <w:bookmarkStart w:id="480" w:name="_Toc15377"/>
      <w:bookmarkStart w:id="481" w:name="_Toc3171"/>
      <w:r>
        <w:rPr>
          <w:rFonts w:hint="eastAsia" w:eastAsia="仿宋_GB2312"/>
          <w:sz w:val="24"/>
        </w:rPr>
        <w:t>方案编制活动</w:t>
      </w:r>
      <w:bookmarkEnd w:id="471"/>
      <w:bookmarkEnd w:id="472"/>
      <w:bookmarkEnd w:id="473"/>
      <w:bookmarkEnd w:id="474"/>
      <w:bookmarkEnd w:id="475"/>
      <w:bookmarkEnd w:id="476"/>
      <w:bookmarkEnd w:id="477"/>
      <w:bookmarkEnd w:id="478"/>
      <w:bookmarkEnd w:id="479"/>
      <w:bookmarkEnd w:id="480"/>
      <w:bookmarkEnd w:id="481"/>
    </w:p>
    <w:p w14:paraId="7AEEE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82" w:name="_Toc21253"/>
      <w:bookmarkStart w:id="483" w:name="_Toc20353"/>
      <w:bookmarkStart w:id="484" w:name="_Toc2157"/>
      <w:r>
        <w:rPr>
          <w:rFonts w:hint="eastAsia" w:eastAsia="仿宋_GB2312"/>
          <w:sz w:val="24"/>
        </w:rPr>
        <w:t>方案编制活动工作流程</w:t>
      </w:r>
      <w:bookmarkEnd w:id="482"/>
      <w:bookmarkEnd w:id="483"/>
      <w:bookmarkEnd w:id="484"/>
    </w:p>
    <w:p w14:paraId="5A9B61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方案编制活动的目标是整理测评准备活动中获取的定级对象相关资料，为现场测评活动提供最基本的文档和指导方案。</w:t>
      </w:r>
    </w:p>
    <w:p w14:paraId="4FDFD2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方案编制活动包括测评对象确定、测评指标确定、测评内容确定、工具测试方法确定、测评指导书开发及测评方案编制六项主要任务，基本工作流程见下图。</w:t>
      </w:r>
    </w:p>
    <w:p w14:paraId="253B1D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drawing>
          <wp:inline distT="0" distB="0" distL="114300" distR="114300">
            <wp:extent cx="4695825" cy="4200525"/>
            <wp:effectExtent l="0" t="0" r="9525" b="9525"/>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9"/>
                    <a:stretch>
                      <a:fillRect/>
                    </a:stretch>
                  </pic:blipFill>
                  <pic:spPr>
                    <a:xfrm>
                      <a:off x="0" y="0"/>
                      <a:ext cx="4695825" cy="4200525"/>
                    </a:xfrm>
                    <a:prstGeom prst="rect">
                      <a:avLst/>
                    </a:prstGeom>
                    <a:noFill/>
                    <a:ln w="9525">
                      <a:noFill/>
                    </a:ln>
                  </pic:spPr>
                </pic:pic>
              </a:graphicData>
            </a:graphic>
          </wp:inline>
        </w:drawing>
      </w:r>
    </w:p>
    <w:p w14:paraId="68FD60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 xml:space="preserve">图 </w:t>
      </w:r>
      <w:r>
        <w:rPr>
          <w:rFonts w:hint="eastAsia" w:eastAsia="仿宋_GB2312"/>
          <w:sz w:val="24"/>
        </w:rPr>
        <w:fldChar w:fldCharType="begin"/>
      </w:r>
      <w:r>
        <w:rPr>
          <w:rFonts w:hint="eastAsia" w:eastAsia="仿宋_GB2312"/>
          <w:sz w:val="24"/>
        </w:rPr>
        <w:instrText xml:space="preserve"> SEQ 图 \* ARABIC </w:instrText>
      </w:r>
      <w:r>
        <w:rPr>
          <w:rFonts w:hint="eastAsia" w:eastAsia="仿宋_GB2312"/>
          <w:sz w:val="24"/>
        </w:rPr>
        <w:fldChar w:fldCharType="separate"/>
      </w:r>
      <w:r>
        <w:rPr>
          <w:rFonts w:hint="eastAsia" w:eastAsia="仿宋_GB2312"/>
          <w:sz w:val="24"/>
        </w:rPr>
        <w:t>4</w:t>
      </w:r>
      <w:r>
        <w:rPr>
          <w:rFonts w:hint="eastAsia" w:eastAsia="仿宋_GB2312"/>
          <w:sz w:val="24"/>
        </w:rPr>
        <w:fldChar w:fldCharType="end"/>
      </w:r>
      <w:r>
        <w:rPr>
          <w:rFonts w:hint="eastAsia" w:eastAsia="仿宋_GB2312"/>
          <w:sz w:val="24"/>
        </w:rPr>
        <w:t xml:space="preserve"> 方案编制活动基本工作流程</w:t>
      </w:r>
    </w:p>
    <w:p w14:paraId="1C9F9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85" w:name="_Toc8983"/>
      <w:bookmarkStart w:id="486" w:name="_Toc23596"/>
      <w:bookmarkStart w:id="487" w:name="_Toc24161"/>
      <w:r>
        <w:rPr>
          <w:rFonts w:hint="eastAsia" w:eastAsia="仿宋_GB2312"/>
          <w:sz w:val="24"/>
        </w:rPr>
        <w:t>方案编制活动主要任务</w:t>
      </w:r>
      <w:bookmarkEnd w:id="485"/>
      <w:bookmarkEnd w:id="486"/>
      <w:bookmarkEnd w:id="487"/>
    </w:p>
    <w:p w14:paraId="082D3F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测评对象确定</w:t>
      </w:r>
    </w:p>
    <w:p w14:paraId="528000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根据系统调查结果，分析整个被测定级对象业务流程、数据流程、范围、特点及各个设备及组件的主要功能，确定出本次测评的测评对象。</w:t>
      </w:r>
    </w:p>
    <w:p w14:paraId="7CD268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输入：填好的调查表格，各种与被测定级对象相关的技术资料。</w:t>
      </w:r>
    </w:p>
    <w:p w14:paraId="5AEB00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73AF33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a)识别并描述被测定级对象的整体结构</w:t>
      </w:r>
    </w:p>
    <w:p w14:paraId="354CE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根据调查表格获得的被测定级对象基本情况，识别出被测定级对象的整体结构并加以描述。</w:t>
      </w:r>
    </w:p>
    <w:p w14:paraId="13C743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b)识别并描述被测定级对象的边界</w:t>
      </w:r>
    </w:p>
    <w:p w14:paraId="1654BC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根据填好的调查表格，识别出被测定级对象边界及边界设备并加以描述。</w:t>
      </w:r>
    </w:p>
    <w:p w14:paraId="344A51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c)识别并描述被测定级对象的网络区域</w:t>
      </w:r>
    </w:p>
    <w:p w14:paraId="13D74F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一般定级对象都会根据业务类型及其重要程度将定级对象划分为不同的区域。根据区域划分情况描述每个区域内的主要业务应用、业务流程、区域的边界以及它们之间的连接情况等。</w:t>
      </w:r>
    </w:p>
    <w:p w14:paraId="69EB02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d)识别并描述被测定级对象的主要设备</w:t>
      </w:r>
    </w:p>
    <w:p w14:paraId="15688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描述系统中的设备时以区域为线索，具体描述各个区域内部署的设备，并说明各个设备主要承载的业务、软件安装情况以及各个设备之间的主要连接情况等。</w:t>
      </w:r>
    </w:p>
    <w:p w14:paraId="051B71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e)确定测评对象</w:t>
      </w:r>
    </w:p>
    <w:p w14:paraId="256D6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结合被测定级对象的安全级别和重要程度，综合分析系统中各个设备和组件的功能、特点，从被测定级对象构成组件的重要性、安全性、共享性、全面性和恰当性等几方面属性确定出技术层面的测评对象，并将与被测定级对象相关的人员及管理文档确定为测评对象。</w:t>
      </w:r>
    </w:p>
    <w:p w14:paraId="2E041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f)描述测评对象</w:t>
      </w:r>
    </w:p>
    <w:p w14:paraId="28DAD1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描述测评对象时，根据类别加以描述，包括机房、业务应用软件、主机操作系统、数据库管理系统、网络互联设备、安全设备、访谈人员及安全管理文档等。</w:t>
      </w:r>
    </w:p>
    <w:p w14:paraId="754269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val="en-US" w:eastAsia="zh-Hans"/>
        </w:rPr>
        <w:t>输出/产品：测评方案的测评对象部分。</w:t>
      </w:r>
    </w:p>
    <w:p w14:paraId="326BB8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测评指标确定</w:t>
      </w:r>
    </w:p>
    <w:p w14:paraId="35C008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根据被测定级对象定级结果确定出本次测评的基本测评指标，根据运营单位及被测定级对象业务自身需求确定出本次测评的特殊测评指标。</w:t>
      </w:r>
    </w:p>
    <w:p w14:paraId="07BAB6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输入：填好的调查表格，GB17859，GB/T22239，行业规范，业务需求文档。</w:t>
      </w:r>
    </w:p>
    <w:p w14:paraId="04865D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3EA9E2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根据被测定级对象的定级结果，包括业务信息安全保护等级和系统服务安全保护等级，得出被测定级对象的系统服务保证类(A类)基本安全要求、业务信息安全类(S类)基本安全要求以及通用安全保护类（G类)基本安全要求的组合情况。</w:t>
      </w:r>
    </w:p>
    <w:p w14:paraId="2D5C50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b)根据被测定级对象的A类、S类及G类基本安全要求的组合情况，从GB/T22239、行业规范中选择相应等级的基本安全要求作为基本测评指标。</w:t>
      </w:r>
    </w:p>
    <w:p w14:paraId="660ADD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c)根据被测定级对象实际情况，确定不适用测评指标。</w:t>
      </w:r>
    </w:p>
    <w:p w14:paraId="5213B6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d)根据运营单位及被测定级对象业务自身需求，确定特殊测评指标。</w:t>
      </w:r>
    </w:p>
    <w:p w14:paraId="3ACCA6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e)对确定的基本测评指标和特殊测评指标进行描述，并分析给出指标不适用的原因。</w:t>
      </w:r>
    </w:p>
    <w:p w14:paraId="743A00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输出/产品：测评方案的测评指标部分。</w:t>
      </w:r>
    </w:p>
    <w:p w14:paraId="10C22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测评内容确定</w:t>
      </w:r>
    </w:p>
    <w:p w14:paraId="6EDB72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本条确定现场测评的具体实施内容，即单项测评内容。</w:t>
      </w:r>
    </w:p>
    <w:p w14:paraId="7F436D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输入：填好的系统调查表格，测评方案的测评对象部分，测评方案的测评指标部分。</w:t>
      </w:r>
    </w:p>
    <w:p w14:paraId="4C805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58BA50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依据GB/T22239，将前面已经得到的测评指标和测评对象结合起来，将测评指标映射到各测评对象上，然后结合测评对象的特点，说明各测评对象所采取的测评方法。由此构成可以具体实施测评的单项测评内容。测评内容是测评人员开发测评指导书的基础。</w:t>
      </w:r>
    </w:p>
    <w:p w14:paraId="09E7A0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输出/产品：测评方案的测评实施部分。</w:t>
      </w:r>
    </w:p>
    <w:p w14:paraId="5FE319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工具测试方法确定</w:t>
      </w:r>
    </w:p>
    <w:p w14:paraId="1C4CBC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在等级测评中，应使用测试工具进行测试，测试工具可能用到漏洞扫描器、渗透测试工具及协议分析仪等。</w:t>
      </w:r>
    </w:p>
    <w:p w14:paraId="00E00D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输入：测评方案的测评实施部分，GB/T22239选用的测评工具清单。</w:t>
      </w:r>
    </w:p>
    <w:p w14:paraId="0170B5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24B8C4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a)确定工具测试环境，根据被测系统的实时性要求，可选择生产环境或与生产环境各项安全配置相同的备份环境、生产验证环境或测试环境作为工具测试环境。</w:t>
      </w:r>
    </w:p>
    <w:p w14:paraId="41C27F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b)确定需要进行测试的测评对象。</w:t>
      </w:r>
    </w:p>
    <w:p w14:paraId="2A9C1A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选择测试路径。测试工具的接入采取从外到内，从其他网络到本地网络的逐步逐点接入，即：测试工具从被测定级对象边界外接入、在被测定级对象内部与测评对象不同区域网络及同一网络区域内接入等几种方式。</w:t>
      </w:r>
    </w:p>
    <w:p w14:paraId="493C93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d)根据测试路径，确定测试工具的接入点。</w:t>
      </w:r>
    </w:p>
    <w:p w14:paraId="49114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从被测定级对象边界外接入时，测试工具一般接在系统边界设备(通常为交换设备)上。在该点接入漏洞扫描器，扫描探测被测定级对象设备对外暴露的安全漏洞情况。在该接入点接入协议分析仪，捕获应用程序的网络数据包，查看其安全加密和完整性保护情况。在该接入点使用渗透测试工具集，试图利用被测定级对象设备的安全漏洞，跨过系统边界，侵入被测定级对象设备。</w:t>
      </w:r>
    </w:p>
    <w:p w14:paraId="2E0819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从系统内部与测评对象不同网络区域接入时，测试工具一般接在与被测对象不在同一网络区域的内部核心交换设备上。在该点接入扫描器，直接扫描测试内部各设备对本单位其他不同网络所暴露的安全漏洞情况。在该接入点接入网络拓扑发现工具，探测定级对象的网络拓扑情况。</w:t>
      </w:r>
    </w:p>
    <w:p w14:paraId="59526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在系统内部与测评对象同一网络区域内接入时，测试工具一般接在与被测对象在同一网络区域的交换设备上。在该点接入扫描器，在本地直接测试各被测设备对本地网络暴露的安全漏洞情况。一般来说，该点扫描探测出的漏洞数应该是最多的，它说明设备在没有网络安全保护措施下的安全状况。</w:t>
      </w:r>
    </w:p>
    <w:p w14:paraId="5126EB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e)结合网络拓扑图，描述测试工具的接入点、测试目的、测试途径和测试对象等相关内容。</w:t>
      </w:r>
    </w:p>
    <w:p w14:paraId="50DFE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输出/产品：测评方案的工具测试方法及内容部分。</w:t>
      </w:r>
    </w:p>
    <w:p w14:paraId="550B60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测评指导书开发</w:t>
      </w:r>
    </w:p>
    <w:p w14:paraId="79AC81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测评指导书是具体指导测评人员如何进行测评活动的文档，应尽可能详实、充分。</w:t>
      </w:r>
    </w:p>
    <w:p w14:paraId="63994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输入：测评方案的单项测评实施部分、工具测试内容及方法部分。</w:t>
      </w:r>
    </w:p>
    <w:p w14:paraId="3353F2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474E0E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a)描述单个测评对象，包括测评对象的名称、位置信息、用途、管理人员等信息。</w:t>
      </w:r>
    </w:p>
    <w:p w14:paraId="18684C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b)根据GB/T28448的单项测评实施确定测评活动，包括测评项、测评方法、操作步骤和预期结果等四部分。</w:t>
      </w:r>
    </w:p>
    <w:p w14:paraId="02988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项是指GB/T22239中对该测评对象在该用例中的要求，在GB/T28448中对应每个单项测评中的“测评指标”。测评方法是指访谈、核查和测试三种方法。核查具体到测评对象上可细化为文档审查、实地察看和配置核查，每个测评项可能对应多个测评方法。操作步骤是指在现场测评活动中应执行的命令或步骤，涉及到测试时，应描述工具测试路径及接入点等。预期结果是指按照操作步骤在正常的情况下应得到的结果和获取的证据。</w:t>
      </w:r>
    </w:p>
    <w:p w14:paraId="6A86DE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c)单项测评一般以表格形式设计和描述测评项、测评方法、操作步骤和预期结果等内容。整体测评则一般以文字描述的方式表述，以测评用例的方式进行组织。</w:t>
      </w:r>
    </w:p>
    <w:p w14:paraId="1AC451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d)根据测评指导书，形成测评结果记录表格。</w:t>
      </w:r>
    </w:p>
    <w:p w14:paraId="75E850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输出/产品：测评指导书，测评结果记录表格。</w:t>
      </w:r>
    </w:p>
    <w:p w14:paraId="79BE71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测评方案编制</w:t>
      </w:r>
    </w:p>
    <w:p w14:paraId="4D4760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测评方案是等级测评工作实施的基础，指导等级测评工作的现场实施活动。测评方案应包括但不局限于以下内容：项目概述、测评对象、测评指标、测评内容、测评方法等。</w:t>
      </w:r>
    </w:p>
    <w:p w14:paraId="28480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委托测评协议书，填好的调研表格，各种与被测定级对象相关的技术资料，选用的测评工具清单，GB/T22239或行业规范中相应等级的基本要求，测评方案的测评对象、测评指标、单项测评实施部分、工具测试方法及内容部分等。</w:t>
      </w:r>
    </w:p>
    <w:p w14:paraId="221B19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4CCC2C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a)根据委托测评协议书和填好的调研表格，提取项目来源、运营单位整体信息化建设情况及被测定级对象与单位其他系统之间的连接情况等。</w:t>
      </w:r>
    </w:p>
    <w:p w14:paraId="0516C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b)根据等级保护过程中的等级测评实施要求，将测评活动所依据的标准罗列出来。</w:t>
      </w:r>
    </w:p>
    <w:p w14:paraId="18633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c)参阅委托测评协议书和被测定级对象情况，估算现场测评工作量。工作量根据测评对象的数量和工具测试的接入点及测试内容等情况进行估算。</w:t>
      </w:r>
    </w:p>
    <w:p w14:paraId="67CC28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d)根据测评项目组成员安排，编制工作安排情况。</w:t>
      </w:r>
    </w:p>
    <w:p w14:paraId="356F8C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e)根据以往测评经验以及被测定级对象规模，编制具体测评计划，包括现场工作人员的分工和时间安排。</w:t>
      </w:r>
    </w:p>
    <w:p w14:paraId="2E0FFF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f)汇总上述内容及方案编制活动的其他任务获取的内容形成测评方案文稿。</w:t>
      </w:r>
    </w:p>
    <w:p w14:paraId="7BB858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g)评审和提交测评方案。测评方案初稿应通过测评项目组全体成员评审，修改完成后形成提交稿。然后，测评机构将测评方案提交给运营单位签字认可。</w:t>
      </w:r>
    </w:p>
    <w:p w14:paraId="1D956F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h)根据测评方案制定风险规避实施方案。</w:t>
      </w:r>
    </w:p>
    <w:p w14:paraId="49241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输出/产品：经过评审和确认的测评方案文本，风险规避实施方案文本。</w:t>
      </w:r>
    </w:p>
    <w:p w14:paraId="4ED61B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88" w:name="_Toc27533"/>
      <w:bookmarkStart w:id="489" w:name="_Toc17096"/>
      <w:bookmarkStart w:id="490" w:name="_Toc12897"/>
      <w:r>
        <w:rPr>
          <w:rFonts w:hint="eastAsia" w:eastAsia="仿宋_GB2312"/>
          <w:sz w:val="24"/>
        </w:rPr>
        <w:t>方案编制活动输出文档</w:t>
      </w:r>
      <w:bookmarkEnd w:id="488"/>
      <w:bookmarkEnd w:id="489"/>
      <w:bookmarkEnd w:id="490"/>
    </w:p>
    <w:p w14:paraId="1E4D1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方案编制活动的输出文档及其内容如下表所示。</w:t>
      </w:r>
    </w:p>
    <w:p w14:paraId="223772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表 6 方案编制活动输出文档及其内容</w:t>
      </w:r>
    </w:p>
    <w:tbl>
      <w:tblPr>
        <w:tblStyle w:val="50"/>
        <w:tblW w:w="4930" w:type="pct"/>
        <w:jc w:val="center"/>
        <w:tblLayout w:type="autofit"/>
        <w:tblCellMar>
          <w:top w:w="0" w:type="dxa"/>
          <w:left w:w="108" w:type="dxa"/>
          <w:bottom w:w="0" w:type="dxa"/>
          <w:right w:w="108" w:type="dxa"/>
        </w:tblCellMar>
      </w:tblPr>
      <w:tblGrid>
        <w:gridCol w:w="2078"/>
        <w:gridCol w:w="3576"/>
        <w:gridCol w:w="3502"/>
      </w:tblGrid>
      <w:tr w14:paraId="24354207">
        <w:tblPrEx>
          <w:tblCellMar>
            <w:top w:w="0" w:type="dxa"/>
            <w:left w:w="108" w:type="dxa"/>
            <w:bottom w:w="0" w:type="dxa"/>
            <w:right w:w="108" w:type="dxa"/>
          </w:tblCellMar>
        </w:tblPrEx>
        <w:trPr>
          <w:trHeight w:val="20" w:hRule="atLeast"/>
          <w:tblHeader/>
          <w:jc w:val="center"/>
        </w:trPr>
        <w:tc>
          <w:tcPr>
            <w:tcW w:w="1298" w:type="pct"/>
            <w:tcBorders>
              <w:top w:val="single" w:color="000000" w:sz="4" w:space="0"/>
              <w:left w:val="single" w:color="000000" w:sz="4" w:space="0"/>
              <w:bottom w:val="single" w:color="000000" w:sz="4" w:space="0"/>
              <w:right w:val="single" w:color="000000" w:sz="4" w:space="0"/>
            </w:tcBorders>
            <w:noWrap w:val="0"/>
            <w:vAlign w:val="center"/>
          </w:tcPr>
          <w:p w14:paraId="4F6100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任务</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14:paraId="09A5BE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输出文档</w:t>
            </w:r>
          </w:p>
        </w:tc>
        <w:tc>
          <w:tcPr>
            <w:tcW w:w="2075" w:type="pct"/>
            <w:tcBorders>
              <w:top w:val="single" w:color="000000" w:sz="4" w:space="0"/>
              <w:left w:val="single" w:color="000000" w:sz="4" w:space="0"/>
              <w:bottom w:val="single" w:color="000000" w:sz="4" w:space="0"/>
              <w:right w:val="single" w:color="000000" w:sz="4" w:space="0"/>
            </w:tcBorders>
            <w:noWrap w:val="0"/>
            <w:vAlign w:val="center"/>
          </w:tcPr>
          <w:p w14:paraId="04D32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文档内容</w:t>
            </w:r>
          </w:p>
        </w:tc>
      </w:tr>
      <w:tr w14:paraId="76BDC026">
        <w:tblPrEx>
          <w:tblCellMar>
            <w:top w:w="0" w:type="dxa"/>
            <w:left w:w="108" w:type="dxa"/>
            <w:bottom w:w="0" w:type="dxa"/>
            <w:right w:w="108" w:type="dxa"/>
          </w:tblCellMar>
        </w:tblPrEx>
        <w:trPr>
          <w:trHeight w:val="20" w:hRule="atLeast"/>
          <w:jc w:val="center"/>
        </w:trPr>
        <w:tc>
          <w:tcPr>
            <w:tcW w:w="1298" w:type="pct"/>
            <w:tcBorders>
              <w:top w:val="single" w:color="000000" w:sz="4" w:space="0"/>
              <w:left w:val="single" w:color="000000" w:sz="4" w:space="0"/>
              <w:bottom w:val="single" w:color="000000" w:sz="4" w:space="0"/>
              <w:right w:val="single" w:color="000000" w:sz="4" w:space="0"/>
            </w:tcBorders>
            <w:noWrap w:val="0"/>
            <w:vAlign w:val="center"/>
          </w:tcPr>
          <w:p w14:paraId="14EDB6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测评对象确定</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14:paraId="58F3B1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测评方案的测评对象部分</w:t>
            </w:r>
          </w:p>
        </w:tc>
        <w:tc>
          <w:tcPr>
            <w:tcW w:w="2075" w:type="pct"/>
            <w:tcBorders>
              <w:top w:val="single" w:color="000000" w:sz="4" w:space="0"/>
              <w:left w:val="single" w:color="000000" w:sz="4" w:space="0"/>
              <w:bottom w:val="single" w:color="000000" w:sz="4" w:space="0"/>
              <w:right w:val="single" w:color="000000" w:sz="4" w:space="0"/>
            </w:tcBorders>
            <w:noWrap w:val="0"/>
            <w:vAlign w:val="center"/>
          </w:tcPr>
          <w:p w14:paraId="30CEF0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被测定级对象的整体结构、边界、网络区域、重要节点、测评对象等</w:t>
            </w:r>
          </w:p>
        </w:tc>
      </w:tr>
      <w:tr w14:paraId="381FB94A">
        <w:tblPrEx>
          <w:tblCellMar>
            <w:top w:w="0" w:type="dxa"/>
            <w:left w:w="108" w:type="dxa"/>
            <w:bottom w:w="0" w:type="dxa"/>
            <w:right w:w="108" w:type="dxa"/>
          </w:tblCellMar>
        </w:tblPrEx>
        <w:trPr>
          <w:trHeight w:val="20" w:hRule="atLeast"/>
          <w:jc w:val="center"/>
        </w:trPr>
        <w:tc>
          <w:tcPr>
            <w:tcW w:w="1298" w:type="pct"/>
            <w:tcBorders>
              <w:top w:val="single" w:color="000000" w:sz="4" w:space="0"/>
              <w:left w:val="single" w:color="000000" w:sz="4" w:space="0"/>
              <w:bottom w:val="single" w:color="000000" w:sz="4" w:space="0"/>
              <w:right w:val="single" w:color="000000" w:sz="4" w:space="0"/>
            </w:tcBorders>
            <w:noWrap w:val="0"/>
            <w:vAlign w:val="center"/>
          </w:tcPr>
          <w:p w14:paraId="14922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测评指标确定</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14:paraId="60959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测评方案的测评指标部分</w:t>
            </w:r>
          </w:p>
        </w:tc>
        <w:tc>
          <w:tcPr>
            <w:tcW w:w="2075" w:type="pct"/>
            <w:tcBorders>
              <w:top w:val="single" w:color="000000" w:sz="4" w:space="0"/>
              <w:left w:val="single" w:color="000000" w:sz="4" w:space="0"/>
              <w:bottom w:val="single" w:color="000000" w:sz="4" w:space="0"/>
              <w:right w:val="single" w:color="000000" w:sz="4" w:space="0"/>
            </w:tcBorders>
            <w:noWrap w:val="0"/>
            <w:vAlign w:val="center"/>
          </w:tcPr>
          <w:p w14:paraId="47428D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被测定级对象定级结果、测评指标</w:t>
            </w:r>
          </w:p>
        </w:tc>
      </w:tr>
      <w:tr w14:paraId="00F47CE1">
        <w:tblPrEx>
          <w:tblCellMar>
            <w:top w:w="0" w:type="dxa"/>
            <w:left w:w="108" w:type="dxa"/>
            <w:bottom w:w="0" w:type="dxa"/>
            <w:right w:w="108" w:type="dxa"/>
          </w:tblCellMar>
        </w:tblPrEx>
        <w:trPr>
          <w:trHeight w:val="20" w:hRule="atLeast"/>
          <w:jc w:val="center"/>
        </w:trPr>
        <w:tc>
          <w:tcPr>
            <w:tcW w:w="1298" w:type="pct"/>
            <w:tcBorders>
              <w:top w:val="single" w:color="000000" w:sz="4" w:space="0"/>
              <w:left w:val="single" w:color="000000" w:sz="4" w:space="0"/>
              <w:bottom w:val="single" w:color="000000" w:sz="4" w:space="0"/>
              <w:right w:val="single" w:color="000000" w:sz="4" w:space="0"/>
            </w:tcBorders>
            <w:noWrap w:val="0"/>
            <w:vAlign w:val="center"/>
          </w:tcPr>
          <w:p w14:paraId="75DD92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测评内容确定</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14:paraId="46CB53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测评方案的单项测评实施部分</w:t>
            </w:r>
          </w:p>
        </w:tc>
        <w:tc>
          <w:tcPr>
            <w:tcW w:w="2075" w:type="pct"/>
            <w:tcBorders>
              <w:top w:val="single" w:color="000000" w:sz="4" w:space="0"/>
              <w:left w:val="single" w:color="000000" w:sz="4" w:space="0"/>
              <w:bottom w:val="single" w:color="000000" w:sz="4" w:space="0"/>
              <w:right w:val="single" w:color="000000" w:sz="4" w:space="0"/>
            </w:tcBorders>
            <w:noWrap w:val="0"/>
            <w:vAlign w:val="center"/>
          </w:tcPr>
          <w:p w14:paraId="10B894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单项测评实施内容</w:t>
            </w:r>
          </w:p>
        </w:tc>
      </w:tr>
      <w:tr w14:paraId="74DDAE0C">
        <w:tblPrEx>
          <w:tblCellMar>
            <w:top w:w="0" w:type="dxa"/>
            <w:left w:w="108" w:type="dxa"/>
            <w:bottom w:w="0" w:type="dxa"/>
            <w:right w:w="108" w:type="dxa"/>
          </w:tblCellMar>
        </w:tblPrEx>
        <w:trPr>
          <w:trHeight w:val="20" w:hRule="atLeast"/>
          <w:jc w:val="center"/>
        </w:trPr>
        <w:tc>
          <w:tcPr>
            <w:tcW w:w="1298" w:type="pct"/>
            <w:tcBorders>
              <w:top w:val="single" w:color="000000" w:sz="4" w:space="0"/>
              <w:left w:val="single" w:color="000000" w:sz="4" w:space="0"/>
              <w:bottom w:val="single" w:color="000000" w:sz="4" w:space="0"/>
              <w:right w:val="single" w:color="000000" w:sz="4" w:space="0"/>
            </w:tcBorders>
            <w:noWrap w:val="0"/>
            <w:vAlign w:val="center"/>
          </w:tcPr>
          <w:p w14:paraId="6FBDD6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工具测试方法确定</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14:paraId="55E053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测评方案的工具测试方法及内容部分</w:t>
            </w:r>
          </w:p>
        </w:tc>
        <w:tc>
          <w:tcPr>
            <w:tcW w:w="2075" w:type="pct"/>
            <w:tcBorders>
              <w:top w:val="single" w:color="000000" w:sz="4" w:space="0"/>
              <w:left w:val="single" w:color="000000" w:sz="4" w:space="0"/>
              <w:bottom w:val="single" w:color="000000" w:sz="4" w:space="0"/>
              <w:right w:val="single" w:color="000000" w:sz="4" w:space="0"/>
            </w:tcBorders>
            <w:noWrap w:val="0"/>
            <w:vAlign w:val="center"/>
          </w:tcPr>
          <w:p w14:paraId="69FD1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工具测试接入点及测试方法</w:t>
            </w:r>
          </w:p>
        </w:tc>
      </w:tr>
      <w:tr w14:paraId="1CF21DB8">
        <w:tblPrEx>
          <w:tblCellMar>
            <w:top w:w="0" w:type="dxa"/>
            <w:left w:w="108" w:type="dxa"/>
            <w:bottom w:w="0" w:type="dxa"/>
            <w:right w:w="108" w:type="dxa"/>
          </w:tblCellMar>
        </w:tblPrEx>
        <w:trPr>
          <w:trHeight w:val="20" w:hRule="atLeast"/>
          <w:jc w:val="center"/>
        </w:trPr>
        <w:tc>
          <w:tcPr>
            <w:tcW w:w="1298" w:type="pct"/>
            <w:tcBorders>
              <w:top w:val="single" w:color="000000" w:sz="4" w:space="0"/>
              <w:left w:val="single" w:color="000000" w:sz="4" w:space="0"/>
              <w:bottom w:val="single" w:color="000000" w:sz="4" w:space="0"/>
              <w:right w:val="single" w:color="000000" w:sz="4" w:space="0"/>
            </w:tcBorders>
            <w:noWrap w:val="0"/>
            <w:vAlign w:val="center"/>
          </w:tcPr>
          <w:p w14:paraId="7CF28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测评指导书开发</w:t>
            </w:r>
          </w:p>
        </w:tc>
        <w:tc>
          <w:tcPr>
            <w:tcW w:w="1626" w:type="pct"/>
            <w:tcBorders>
              <w:top w:val="single" w:color="000000" w:sz="4" w:space="0"/>
              <w:left w:val="single" w:color="000000" w:sz="4" w:space="0"/>
              <w:bottom w:val="single" w:color="000000" w:sz="4" w:space="0"/>
              <w:right w:val="single" w:color="000000" w:sz="4" w:space="0"/>
            </w:tcBorders>
            <w:noWrap/>
            <w:vAlign w:val="center"/>
          </w:tcPr>
          <w:p w14:paraId="48CA4E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测评指导书、测评结果记录表格</w:t>
            </w:r>
          </w:p>
        </w:tc>
        <w:tc>
          <w:tcPr>
            <w:tcW w:w="2075" w:type="pct"/>
            <w:tcBorders>
              <w:top w:val="single" w:color="000000" w:sz="4" w:space="0"/>
              <w:left w:val="single" w:color="000000" w:sz="4" w:space="0"/>
              <w:bottom w:val="single" w:color="000000" w:sz="4" w:space="0"/>
              <w:right w:val="single" w:color="000000" w:sz="4" w:space="0"/>
            </w:tcBorders>
            <w:noWrap w:val="0"/>
            <w:vAlign w:val="center"/>
          </w:tcPr>
          <w:p w14:paraId="29EC5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各测评对象的测评内容及方法</w:t>
            </w:r>
          </w:p>
          <w:p w14:paraId="565C9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测评结果记录表格表头</w:t>
            </w:r>
          </w:p>
        </w:tc>
      </w:tr>
      <w:tr w14:paraId="4A1D0699">
        <w:tblPrEx>
          <w:tblCellMar>
            <w:top w:w="0" w:type="dxa"/>
            <w:left w:w="108" w:type="dxa"/>
            <w:bottom w:w="0" w:type="dxa"/>
            <w:right w:w="108" w:type="dxa"/>
          </w:tblCellMar>
        </w:tblPrEx>
        <w:trPr>
          <w:trHeight w:val="20" w:hRule="atLeast"/>
          <w:jc w:val="center"/>
        </w:trPr>
        <w:tc>
          <w:tcPr>
            <w:tcW w:w="1298" w:type="pct"/>
            <w:tcBorders>
              <w:top w:val="single" w:color="000000" w:sz="4" w:space="0"/>
              <w:left w:val="single" w:color="000000" w:sz="4" w:space="0"/>
              <w:bottom w:val="single" w:color="000000" w:sz="4" w:space="0"/>
              <w:right w:val="single" w:color="000000" w:sz="4" w:space="0"/>
            </w:tcBorders>
            <w:noWrap w:val="0"/>
            <w:vAlign w:val="center"/>
          </w:tcPr>
          <w:p w14:paraId="483460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测评方案编制</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14:paraId="18AD0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经过评审和确认的测评方案文本风险规避实施方案文本</w:t>
            </w:r>
          </w:p>
        </w:tc>
        <w:tc>
          <w:tcPr>
            <w:tcW w:w="2075" w:type="pct"/>
            <w:tcBorders>
              <w:top w:val="single" w:color="000000" w:sz="4" w:space="0"/>
              <w:left w:val="single" w:color="000000" w:sz="4" w:space="0"/>
              <w:bottom w:val="single" w:color="000000" w:sz="4" w:space="0"/>
              <w:right w:val="single" w:color="000000" w:sz="4" w:space="0"/>
            </w:tcBorders>
            <w:noWrap w:val="0"/>
            <w:vAlign w:val="center"/>
          </w:tcPr>
          <w:p w14:paraId="2E08C2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项目概述、测评对象、测评指标、测试工具接入点、单项测评实施内容等</w:t>
            </w:r>
            <w:r>
              <w:rPr>
                <w:rFonts w:hint="eastAsia" w:eastAsia="仿宋_GB2312"/>
                <w:sz w:val="24"/>
              </w:rPr>
              <w:br w:type="textWrapping"/>
            </w:r>
            <w:r>
              <w:rPr>
                <w:rFonts w:hint="eastAsia" w:eastAsia="仿宋_GB2312"/>
                <w:sz w:val="24"/>
              </w:rPr>
              <w:t>风险规避措施等</w:t>
            </w:r>
          </w:p>
        </w:tc>
      </w:tr>
    </w:tbl>
    <w:p w14:paraId="2B46B7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91" w:name="_Toc18080"/>
      <w:bookmarkStart w:id="492" w:name="_Toc12812"/>
      <w:bookmarkStart w:id="493" w:name="_Toc27632"/>
      <w:r>
        <w:rPr>
          <w:rFonts w:hint="eastAsia" w:eastAsia="仿宋_GB2312"/>
          <w:sz w:val="24"/>
        </w:rPr>
        <w:t>方案编制活动中双方职责</w:t>
      </w:r>
      <w:bookmarkEnd w:id="491"/>
      <w:bookmarkEnd w:id="492"/>
      <w:bookmarkEnd w:id="493"/>
    </w:p>
    <w:p w14:paraId="23643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表 7方案编制活动双方职责</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27"/>
        <w:gridCol w:w="4859"/>
      </w:tblGrid>
      <w:tr w14:paraId="622D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711" w:type="dxa"/>
            <w:noWrap w:val="0"/>
            <w:vAlign w:val="top"/>
          </w:tcPr>
          <w:p w14:paraId="2FEB76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测评机构</w:t>
            </w:r>
          </w:p>
        </w:tc>
        <w:tc>
          <w:tcPr>
            <w:tcW w:w="5175" w:type="dxa"/>
            <w:noWrap w:val="0"/>
            <w:vAlign w:val="top"/>
          </w:tcPr>
          <w:p w14:paraId="6E22CF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运营单位</w:t>
            </w:r>
          </w:p>
        </w:tc>
      </w:tr>
      <w:tr w14:paraId="71A0E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noWrap w:val="0"/>
            <w:vAlign w:val="top"/>
          </w:tcPr>
          <w:p w14:paraId="76C175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a)详细分析被测定级对象的整体结构、边界、网络区域、设备部署情况等。</w:t>
            </w:r>
          </w:p>
          <w:p w14:paraId="2FF2C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b)初步判断被测定级对象的安全薄弱点。</w:t>
            </w:r>
          </w:p>
          <w:p w14:paraId="0CFE7E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c)分析确定测评对象、测评指标、确定测评内容和工具测试方法。</w:t>
            </w:r>
          </w:p>
          <w:p w14:paraId="4A7F7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d)编制测评方案文本，并对其进行内部评审。</w:t>
            </w:r>
          </w:p>
          <w:p w14:paraId="62590F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e)制定风险规避实施方案。</w:t>
            </w:r>
          </w:p>
        </w:tc>
        <w:tc>
          <w:tcPr>
            <w:tcW w:w="5175" w:type="dxa"/>
            <w:noWrap w:val="0"/>
            <w:vAlign w:val="top"/>
          </w:tcPr>
          <w:p w14:paraId="37F9C7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a)为测评机构完成测评方案提供有关信息和资料。</w:t>
            </w:r>
          </w:p>
          <w:p w14:paraId="53B5F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b)评审和确认测评方案文本。</w:t>
            </w:r>
          </w:p>
          <w:p w14:paraId="33DF7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c)评审和确认测评机构提供的风险规避实施方案。</w:t>
            </w:r>
          </w:p>
          <w:p w14:paraId="27BF6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d)若确定不在生产环境开展测评，则部署配置与生产环境各项安全配置相同的备份环境、生产验证环境或测试环境作为测试环境。</w:t>
            </w:r>
          </w:p>
        </w:tc>
      </w:tr>
    </w:tbl>
    <w:p w14:paraId="388453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494" w:name="_Toc101876407"/>
      <w:bookmarkStart w:id="495" w:name="_Toc19513"/>
      <w:bookmarkStart w:id="496" w:name="_Toc101952908"/>
      <w:bookmarkStart w:id="497" w:name="_Toc110730970"/>
      <w:bookmarkStart w:id="498" w:name="_Toc8670"/>
      <w:bookmarkStart w:id="499" w:name="_Toc37222297"/>
      <w:bookmarkStart w:id="500" w:name="_Toc13990"/>
      <w:bookmarkStart w:id="501" w:name="_Toc24210"/>
      <w:bookmarkStart w:id="502" w:name="_Toc24618"/>
      <w:bookmarkStart w:id="503" w:name="_Toc14508"/>
      <w:bookmarkStart w:id="504" w:name="_Toc5932"/>
      <w:r>
        <w:rPr>
          <w:rFonts w:hint="eastAsia" w:eastAsia="仿宋_GB2312"/>
          <w:sz w:val="24"/>
        </w:rPr>
        <w:t>现场测评活动</w:t>
      </w:r>
      <w:bookmarkEnd w:id="494"/>
      <w:bookmarkEnd w:id="495"/>
      <w:bookmarkEnd w:id="496"/>
      <w:bookmarkEnd w:id="497"/>
      <w:bookmarkEnd w:id="498"/>
      <w:bookmarkEnd w:id="499"/>
      <w:bookmarkEnd w:id="500"/>
      <w:bookmarkEnd w:id="501"/>
      <w:bookmarkEnd w:id="502"/>
      <w:bookmarkEnd w:id="503"/>
      <w:bookmarkEnd w:id="504"/>
    </w:p>
    <w:p w14:paraId="667EF4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05" w:name="_Toc29316"/>
      <w:bookmarkStart w:id="506" w:name="_Toc9012"/>
      <w:bookmarkStart w:id="507" w:name="_Toc18541"/>
      <w:r>
        <w:rPr>
          <w:rFonts w:hint="eastAsia" w:eastAsia="仿宋_GB2312"/>
          <w:sz w:val="24"/>
        </w:rPr>
        <w:t>现场测评活动工作流程</w:t>
      </w:r>
      <w:bookmarkEnd w:id="505"/>
      <w:bookmarkEnd w:id="506"/>
      <w:bookmarkEnd w:id="507"/>
    </w:p>
    <w:p w14:paraId="1858F2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现场测评活动通过与被测单位进行沟通和协调，为现场测评的顺利开展打下良好基础，依据测评方案实施现场测评工作，将测评方案和测评方法等内容具体落实到现场测评活动中。现场测评工作应取得报告编制活动所需的、足够的证据和资料。</w:t>
      </w:r>
    </w:p>
    <w:p w14:paraId="23F7C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val="en-US" w:eastAsia="zh-Hans"/>
        </w:rPr>
        <w:t>现场测评活动包括现场测评准备、现场测评和结果记录、结果确认和资料归还三项主要任务，基本工作流程见下图。</w:t>
      </w:r>
    </w:p>
    <w:p w14:paraId="5A9021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drawing>
          <wp:inline distT="0" distB="0" distL="114300" distR="114300">
            <wp:extent cx="2578735" cy="4382770"/>
            <wp:effectExtent l="0" t="0" r="12065" b="1778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20"/>
                    <a:stretch>
                      <a:fillRect/>
                    </a:stretch>
                  </pic:blipFill>
                  <pic:spPr>
                    <a:xfrm>
                      <a:off x="0" y="0"/>
                      <a:ext cx="2578735" cy="4382770"/>
                    </a:xfrm>
                    <a:prstGeom prst="rect">
                      <a:avLst/>
                    </a:prstGeom>
                    <a:noFill/>
                    <a:ln w="9525">
                      <a:noFill/>
                    </a:ln>
                  </pic:spPr>
                </pic:pic>
              </a:graphicData>
            </a:graphic>
          </wp:inline>
        </w:drawing>
      </w:r>
    </w:p>
    <w:p w14:paraId="4FF7D0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 xml:space="preserve">图 </w:t>
      </w:r>
      <w:r>
        <w:rPr>
          <w:rFonts w:hint="eastAsia" w:eastAsia="仿宋_GB2312"/>
          <w:sz w:val="24"/>
        </w:rPr>
        <w:fldChar w:fldCharType="begin"/>
      </w:r>
      <w:r>
        <w:rPr>
          <w:rFonts w:hint="eastAsia" w:eastAsia="仿宋_GB2312"/>
          <w:sz w:val="24"/>
        </w:rPr>
        <w:instrText xml:space="preserve"> SEQ 图 \* ARABIC </w:instrText>
      </w:r>
      <w:r>
        <w:rPr>
          <w:rFonts w:hint="eastAsia" w:eastAsia="仿宋_GB2312"/>
          <w:sz w:val="24"/>
        </w:rPr>
        <w:fldChar w:fldCharType="separate"/>
      </w:r>
      <w:r>
        <w:rPr>
          <w:rFonts w:hint="eastAsia" w:eastAsia="仿宋_GB2312"/>
          <w:sz w:val="24"/>
        </w:rPr>
        <w:t>5</w:t>
      </w:r>
      <w:r>
        <w:rPr>
          <w:rFonts w:hint="eastAsia" w:eastAsia="仿宋_GB2312"/>
          <w:sz w:val="24"/>
        </w:rPr>
        <w:fldChar w:fldCharType="end"/>
      </w:r>
      <w:r>
        <w:rPr>
          <w:rFonts w:hint="eastAsia" w:eastAsia="仿宋_GB2312"/>
          <w:sz w:val="24"/>
        </w:rPr>
        <w:t xml:space="preserve"> 现场测评活动的基本工作流程</w:t>
      </w:r>
    </w:p>
    <w:p w14:paraId="42383D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08" w:name="_Toc11826"/>
      <w:bookmarkStart w:id="509" w:name="_Toc29705"/>
      <w:bookmarkStart w:id="510" w:name="_Toc21911"/>
      <w:r>
        <w:rPr>
          <w:rFonts w:hint="eastAsia" w:eastAsia="仿宋_GB2312"/>
          <w:sz w:val="24"/>
        </w:rPr>
        <w:t>现场测评活动主要任务</w:t>
      </w:r>
      <w:bookmarkEnd w:id="508"/>
      <w:bookmarkEnd w:id="509"/>
      <w:bookmarkEnd w:id="510"/>
    </w:p>
    <w:p w14:paraId="3CA437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现场测评准备</w:t>
      </w:r>
    </w:p>
    <w:p w14:paraId="5CF71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本任务启动现场测评，是保证测评机构能够顺利实施测评的前提。</w:t>
      </w:r>
    </w:p>
    <w:p w14:paraId="54FA4E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输入：经过评审和确认的测评方案文本，风险规避实施方案文本，风险告知书，现场测评工作计划。</w:t>
      </w:r>
    </w:p>
    <w:p w14:paraId="575B51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1CBEC0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a)运营单位对风险告知书签字确认，了解测评过程中存在的安全风险，做好相应的应急和备份工作。</w:t>
      </w:r>
    </w:p>
    <w:p w14:paraId="1D448F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b)运营单位协助测评机构获得定级对象相关方的现场测评授权。</w:t>
      </w:r>
    </w:p>
    <w:p w14:paraId="33AF66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c)召开测评现场首次会，测评机构介绍现场测评工作安排，相关方对测评计划和测评方案中的测评内容和方法等进行沟通。</w:t>
      </w:r>
    </w:p>
    <w:p w14:paraId="638806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d)测评相关方确认现场测评需要的各种资源，包括测评配合人员和需要提供的测评环境等。</w:t>
      </w:r>
    </w:p>
    <w:p w14:paraId="6EF193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输出/产品：会议记录、测评方案、现场测评工作计划和风险告知书、现场测评授权书等。</w:t>
      </w:r>
    </w:p>
    <w:p w14:paraId="7F7D51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现场测评和结果记录</w:t>
      </w:r>
    </w:p>
    <w:p w14:paraId="3E267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本任务主要是测评人员按照测评指导书实施测评，并将测评过程中获取的证据源进行详细、准确记录。</w:t>
      </w:r>
    </w:p>
    <w:p w14:paraId="273DB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输入：现场测评工作计划，现场测评授权书，测评指导书，测评结果记录表格。</w:t>
      </w:r>
    </w:p>
    <w:p w14:paraId="2DE975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68979B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a)测评人员与测评配合人员确认测评对象中的关键数据已经进行了备份。</w:t>
      </w:r>
    </w:p>
    <w:p w14:paraId="5BB2EC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b)测评人员确认具备测评工作开展的条件，测评对象工作正常，系统处于一个相对良好的状况。</w:t>
      </w:r>
    </w:p>
    <w:p w14:paraId="24C7F1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c)测评人员根据测评指导书实施现场测评，获取相关证据和信息。现场测评一般包括访谈、核查和测试三种测评方式。</w:t>
      </w:r>
    </w:p>
    <w:p w14:paraId="7CA7B9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d)测评结束后，测评人员与测评配合人员及时确认测评工作是否对测评对象造成不良影响，测评对象及系统是否工作正常。</w:t>
      </w:r>
    </w:p>
    <w:p w14:paraId="7B0015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val="en-US" w:eastAsia="zh-Hans"/>
        </w:rPr>
        <w:t>输出/产品：各类测评结果记录。</w:t>
      </w:r>
    </w:p>
    <w:p w14:paraId="3FC53C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结果确认和资料归还</w:t>
      </w:r>
    </w:p>
    <w:p w14:paraId="1D2E5C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本任务主要是将测评过程中得到的证据源记录进行确认，并将测评过程中借阅的文档归还。</w:t>
      </w:r>
    </w:p>
    <w:p w14:paraId="126D3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输入：各类测评结果记录，工具测试完成后的电子输出记录。</w:t>
      </w:r>
    </w:p>
    <w:p w14:paraId="397F11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11C75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a)测评人员在现场测评完成之后，应首先汇总现场测评的测评记录，对漏掉和需要进一步验证的内容实施补充测评。</w:t>
      </w:r>
    </w:p>
    <w:p w14:paraId="1FA779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b)召开测评现场结束会，测评双方对测评过程中得到的证据源记录进行现场沟通和确认。</w:t>
      </w:r>
    </w:p>
    <w:p w14:paraId="25AD8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c)测评机构归还测评过程中借阅的所有文档资料，并由运营单位文档资料提供者签字确认。</w:t>
      </w:r>
    </w:p>
    <w:p w14:paraId="27F14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输出/产品：经过运营单位确认的测评证据和证据源记录。</w:t>
      </w:r>
    </w:p>
    <w:p w14:paraId="7AB85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11" w:name="_Toc22956"/>
      <w:bookmarkStart w:id="512" w:name="_Toc10643"/>
      <w:r>
        <w:rPr>
          <w:rFonts w:hint="eastAsia" w:eastAsia="仿宋_GB2312"/>
          <w:sz w:val="24"/>
        </w:rPr>
        <w:t>现场测评活动输出文档</w:t>
      </w:r>
      <w:bookmarkEnd w:id="511"/>
      <w:bookmarkEnd w:id="512"/>
    </w:p>
    <w:p w14:paraId="6EF8BB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bookmarkStart w:id="513" w:name="_Hlk37149387"/>
      <w:r>
        <w:rPr>
          <w:rFonts w:hint="eastAsia" w:eastAsia="仿宋_GB2312"/>
          <w:sz w:val="24"/>
          <w:lang w:val="en-US" w:eastAsia="zh-Hans"/>
        </w:rPr>
        <w:t>现场测评活动的输出文档及其内容如下表所示。</w:t>
      </w:r>
      <w:bookmarkEnd w:id="513"/>
    </w:p>
    <w:p w14:paraId="6F1260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14" w:name="_Hlk37149324"/>
      <w:r>
        <w:rPr>
          <w:rFonts w:hint="eastAsia" w:eastAsia="仿宋_GB2312"/>
          <w:sz w:val="24"/>
        </w:rPr>
        <w:t>表 8 现场测评活动输出文档及其内容</w:t>
      </w:r>
      <w:bookmarkEnd w:id="514"/>
    </w:p>
    <w:tbl>
      <w:tblPr>
        <w:tblStyle w:val="50"/>
        <w:tblW w:w="4984" w:type="pct"/>
        <w:jc w:val="center"/>
        <w:tblLayout w:type="autofit"/>
        <w:tblCellMar>
          <w:top w:w="0" w:type="dxa"/>
          <w:left w:w="108" w:type="dxa"/>
          <w:bottom w:w="0" w:type="dxa"/>
          <w:right w:w="108" w:type="dxa"/>
        </w:tblCellMar>
      </w:tblPr>
      <w:tblGrid>
        <w:gridCol w:w="2118"/>
        <w:gridCol w:w="3829"/>
        <w:gridCol w:w="3309"/>
      </w:tblGrid>
      <w:tr w14:paraId="214C8A6B">
        <w:tblPrEx>
          <w:tblCellMar>
            <w:top w:w="0" w:type="dxa"/>
            <w:left w:w="108" w:type="dxa"/>
            <w:bottom w:w="0" w:type="dxa"/>
            <w:right w:w="108" w:type="dxa"/>
          </w:tblCellMar>
        </w:tblPrEx>
        <w:trPr>
          <w:trHeight w:val="35" w:hRule="atLeast"/>
          <w:tblHeader/>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F3F1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任务</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6F7CCB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输出文档</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031C01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文档内容</w:t>
            </w:r>
          </w:p>
        </w:tc>
      </w:tr>
      <w:tr w14:paraId="47D2348D">
        <w:tblPrEx>
          <w:tblCellMar>
            <w:top w:w="0" w:type="dxa"/>
            <w:left w:w="108" w:type="dxa"/>
            <w:bottom w:w="0" w:type="dxa"/>
            <w:right w:w="108" w:type="dxa"/>
          </w:tblCellMar>
        </w:tblPrEx>
        <w:trPr>
          <w:trHeight w:val="20" w:hRule="atLeast"/>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191BB3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现场测评准备</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25D2BE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会议记录，确认的风险告知书、测评方案和现场测评工作计划，现场测评授权书</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6E34B2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工作计划和内容安排，双方人员的协调，运营单位应提供的配合</w:t>
            </w:r>
          </w:p>
        </w:tc>
      </w:tr>
      <w:tr w14:paraId="3D3290B7">
        <w:tblPrEx>
          <w:tblCellMar>
            <w:top w:w="0" w:type="dxa"/>
            <w:left w:w="108" w:type="dxa"/>
            <w:bottom w:w="0" w:type="dxa"/>
            <w:right w:w="108" w:type="dxa"/>
          </w:tblCellMar>
        </w:tblPrEx>
        <w:trPr>
          <w:trHeight w:val="20" w:hRule="atLeast"/>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33B038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访谈</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5C406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技术和管理安全测评的测评结果记录</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385EB3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访谈记录</w:t>
            </w:r>
          </w:p>
        </w:tc>
      </w:tr>
      <w:tr w14:paraId="4B3FD394">
        <w:tblPrEx>
          <w:tblCellMar>
            <w:top w:w="0" w:type="dxa"/>
            <w:left w:w="108" w:type="dxa"/>
            <w:bottom w:w="0" w:type="dxa"/>
            <w:right w:w="108" w:type="dxa"/>
          </w:tblCellMar>
        </w:tblPrEx>
        <w:trPr>
          <w:trHeight w:val="20" w:hRule="atLeast"/>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7ACABB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文档审查</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3B18C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技术和管理安全测评的测评结果记录</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0DF05B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安全策略、技术文档、管理制度和管理执行过程文档的记录</w:t>
            </w:r>
          </w:p>
        </w:tc>
      </w:tr>
      <w:tr w14:paraId="615303C2">
        <w:tblPrEx>
          <w:tblCellMar>
            <w:top w:w="0" w:type="dxa"/>
            <w:left w:w="108" w:type="dxa"/>
            <w:bottom w:w="0" w:type="dxa"/>
            <w:right w:w="108" w:type="dxa"/>
          </w:tblCellMar>
        </w:tblPrEx>
        <w:trPr>
          <w:trHeight w:val="20" w:hRule="atLeast"/>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25FA9D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实地查看</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602306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技术安全和管理安全测评结果记录</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67679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核查内容的记录</w:t>
            </w:r>
          </w:p>
        </w:tc>
      </w:tr>
      <w:tr w14:paraId="531E2ED9">
        <w:tblPrEx>
          <w:tblCellMar>
            <w:top w:w="0" w:type="dxa"/>
            <w:left w:w="108" w:type="dxa"/>
            <w:bottom w:w="0" w:type="dxa"/>
            <w:right w:w="108" w:type="dxa"/>
          </w:tblCellMar>
        </w:tblPrEx>
        <w:trPr>
          <w:trHeight w:val="20" w:hRule="atLeast"/>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70EA8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配置核查</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01B025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技术安全测评的测评结果记录</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4F6C7F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核查内容的记录</w:t>
            </w:r>
          </w:p>
        </w:tc>
      </w:tr>
      <w:tr w14:paraId="142DBAC7">
        <w:tblPrEx>
          <w:tblCellMar>
            <w:top w:w="0" w:type="dxa"/>
            <w:left w:w="108" w:type="dxa"/>
            <w:bottom w:w="0" w:type="dxa"/>
            <w:right w:w="108" w:type="dxa"/>
          </w:tblCellMar>
        </w:tblPrEx>
        <w:trPr>
          <w:trHeight w:val="20" w:hRule="atLeast"/>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5DF3F0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工具测试</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3E81F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技术安全测评的测评结果记录，工具测试完成后的电子输出记录，备份的测试结果文件</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48C5E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漏洞扫描、渗透性测试、性能测试、入侵检测和协议分析等内容的技术测试结果</w:t>
            </w:r>
          </w:p>
        </w:tc>
      </w:tr>
      <w:tr w14:paraId="65EC56B3">
        <w:tblPrEx>
          <w:tblCellMar>
            <w:top w:w="0" w:type="dxa"/>
            <w:left w:w="108" w:type="dxa"/>
            <w:bottom w:w="0" w:type="dxa"/>
            <w:right w:w="108" w:type="dxa"/>
          </w:tblCellMar>
        </w:tblPrEx>
        <w:trPr>
          <w:trHeight w:val="20" w:hRule="atLeast"/>
          <w:jc w:val="center"/>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14A2D6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测评结果确认和资料归还</w:t>
            </w:r>
          </w:p>
        </w:tc>
        <w:tc>
          <w:tcPr>
            <w:tcW w:w="2068" w:type="pct"/>
            <w:tcBorders>
              <w:top w:val="single" w:color="000000" w:sz="4" w:space="0"/>
              <w:left w:val="single" w:color="000000" w:sz="4" w:space="0"/>
              <w:bottom w:val="single" w:color="000000" w:sz="4" w:space="0"/>
              <w:right w:val="single" w:color="000000" w:sz="4" w:space="0"/>
            </w:tcBorders>
            <w:noWrap w:val="0"/>
            <w:vAlign w:val="center"/>
          </w:tcPr>
          <w:p w14:paraId="258C2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经过运营单位确认的测评证据和证据源记录</w:t>
            </w:r>
          </w:p>
        </w:tc>
        <w:tc>
          <w:tcPr>
            <w:tcW w:w="1787" w:type="pct"/>
            <w:tcBorders>
              <w:top w:val="single" w:color="000000" w:sz="4" w:space="0"/>
              <w:left w:val="single" w:color="000000" w:sz="4" w:space="0"/>
              <w:bottom w:val="single" w:color="000000" w:sz="4" w:space="0"/>
              <w:right w:val="single" w:color="000000" w:sz="4" w:space="0"/>
            </w:tcBorders>
            <w:noWrap w:val="0"/>
            <w:vAlign w:val="center"/>
          </w:tcPr>
          <w:p w14:paraId="47C630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测评中获取的证据和证据源</w:t>
            </w:r>
          </w:p>
        </w:tc>
      </w:tr>
    </w:tbl>
    <w:p w14:paraId="4C088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15" w:name="_Toc31723"/>
      <w:bookmarkStart w:id="516" w:name="_Toc11606"/>
      <w:bookmarkStart w:id="517" w:name="_Toc28250"/>
      <w:r>
        <w:rPr>
          <w:rFonts w:hint="eastAsia" w:eastAsia="仿宋_GB2312"/>
          <w:sz w:val="24"/>
        </w:rPr>
        <w:br w:type="page"/>
      </w:r>
    </w:p>
    <w:p w14:paraId="35FDE5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现场测评活动中双方职责</w:t>
      </w:r>
      <w:bookmarkEnd w:id="515"/>
      <w:bookmarkEnd w:id="516"/>
      <w:bookmarkEnd w:id="517"/>
    </w:p>
    <w:p w14:paraId="18D662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表 9 现场测评活动中双方职责</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85"/>
        <w:gridCol w:w="5301"/>
      </w:tblGrid>
      <w:tr w14:paraId="13D2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4261" w:type="dxa"/>
            <w:noWrap w:val="0"/>
            <w:vAlign w:val="top"/>
          </w:tcPr>
          <w:p w14:paraId="58C17C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测评机构</w:t>
            </w:r>
          </w:p>
        </w:tc>
        <w:tc>
          <w:tcPr>
            <w:tcW w:w="5565" w:type="dxa"/>
            <w:noWrap w:val="0"/>
            <w:vAlign w:val="top"/>
          </w:tcPr>
          <w:p w14:paraId="0791B8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运营单位</w:t>
            </w:r>
          </w:p>
        </w:tc>
      </w:tr>
      <w:tr w14:paraId="5365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noWrap w:val="0"/>
            <w:vAlign w:val="center"/>
          </w:tcPr>
          <w:p w14:paraId="7CF550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a)测评人员开展测评前确认被测定级对象具备测评工作开展的条件，测评对象工作正常。</w:t>
            </w:r>
          </w:p>
          <w:p w14:paraId="36B954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b)测评人员利用访谈、文档审查、配置核查、工具测试和实地察看的方法开展现场测评工作，并获取相关证据。</w:t>
            </w:r>
          </w:p>
        </w:tc>
        <w:tc>
          <w:tcPr>
            <w:tcW w:w="5565" w:type="dxa"/>
            <w:noWrap w:val="0"/>
            <w:vAlign w:val="top"/>
          </w:tcPr>
          <w:p w14:paraId="55C4C8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a)测评前备份系统和数据，并了解测评工作基本情况。</w:t>
            </w:r>
          </w:p>
          <w:p w14:paraId="28A6B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b)协助测评机构获得现场测评授权。</w:t>
            </w:r>
          </w:p>
          <w:p w14:paraId="1B83E5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c)安排测评配合人员，配合测评工作的开展。</w:t>
            </w:r>
          </w:p>
          <w:p w14:paraId="1269C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d)对风险告知书进行签字确认。</w:t>
            </w:r>
          </w:p>
          <w:p w14:paraId="08817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e)配合人员如实回答测评人员的问询，对某些需要验证的内容上机进行操作。</w:t>
            </w:r>
          </w:p>
          <w:p w14:paraId="634A4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f)配合人员协助测评人员实施工具测试并提供有效建议，降低安全测评对系统运行的影响。</w:t>
            </w:r>
          </w:p>
          <w:p w14:paraId="79CAA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g)配合人员协助测评人员完成业务相关内容的问询、验证和测试。</w:t>
            </w:r>
          </w:p>
          <w:p w14:paraId="189DB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h)配合人员对测评证据和证据源进行确认。</w:t>
            </w:r>
          </w:p>
          <w:p w14:paraId="0A1F6C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i)配合人员确认测试后被测设备状态完好。</w:t>
            </w:r>
          </w:p>
          <w:p w14:paraId="79C603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(系统部署在公有云的测评委托单位职责还包括《GB/T28449-2018信息安全技术网络安全等级保护测评过程指南》附录C中相关内容)</w:t>
            </w:r>
          </w:p>
        </w:tc>
      </w:tr>
    </w:tbl>
    <w:p w14:paraId="0238FF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18" w:name="_Toc101876408"/>
      <w:bookmarkStart w:id="519" w:name="_Toc4863"/>
      <w:bookmarkStart w:id="520" w:name="_Toc1334574488"/>
      <w:bookmarkStart w:id="521" w:name="_Toc101952909"/>
      <w:bookmarkStart w:id="522" w:name="_Toc37222298"/>
      <w:bookmarkStart w:id="523" w:name="_Toc19879"/>
      <w:bookmarkStart w:id="524" w:name="_Toc1031"/>
      <w:bookmarkStart w:id="525" w:name="_Toc3701"/>
      <w:bookmarkStart w:id="526" w:name="_Toc24812"/>
      <w:bookmarkStart w:id="527" w:name="_Toc4073"/>
      <w:bookmarkStart w:id="528" w:name="_Toc3213"/>
      <w:r>
        <w:rPr>
          <w:rFonts w:hint="eastAsia" w:eastAsia="仿宋_GB2312"/>
          <w:sz w:val="24"/>
        </w:rPr>
        <w:t>报告编制活动</w:t>
      </w:r>
      <w:bookmarkEnd w:id="518"/>
      <w:bookmarkEnd w:id="519"/>
      <w:bookmarkEnd w:id="520"/>
      <w:bookmarkEnd w:id="521"/>
      <w:bookmarkEnd w:id="522"/>
      <w:bookmarkEnd w:id="523"/>
      <w:bookmarkEnd w:id="524"/>
      <w:bookmarkEnd w:id="525"/>
      <w:bookmarkEnd w:id="526"/>
      <w:bookmarkEnd w:id="527"/>
      <w:bookmarkEnd w:id="528"/>
    </w:p>
    <w:p w14:paraId="47B968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29" w:name="_Toc8887"/>
      <w:bookmarkStart w:id="530" w:name="_Toc21180"/>
      <w:bookmarkStart w:id="531" w:name="_Toc2775"/>
      <w:r>
        <w:rPr>
          <w:rFonts w:hint="eastAsia" w:eastAsia="仿宋_GB2312"/>
          <w:sz w:val="24"/>
        </w:rPr>
        <w:t>报告编制活动工作流程</w:t>
      </w:r>
      <w:bookmarkEnd w:id="529"/>
      <w:bookmarkEnd w:id="530"/>
      <w:bookmarkEnd w:id="531"/>
    </w:p>
    <w:p w14:paraId="39B84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在现场测评工作结束后，测评机构应对现场测评获得的测评结果(或称测评证据)进行汇总分析，形成等级测评结论，并编制测评报告。</w:t>
      </w:r>
    </w:p>
    <w:p w14:paraId="078A19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人员在初步判定单项测评结果后，还需进行单元测评结果判定、整体测评、系统安全保障评估，经过整体测评后，有的单项测评结果可能会有所变化，需进一步修订单项测评结果，而后针对安全问题进行风险评估，形成等级测评结论。分析与报告编制活动包括单项测评结果判定、单元测评结果判定、整体测评、系统安全保障评估、安全问题风险评估、等级测评结论形成及测评报告编制七项主要任务，基本工作流程见下图。</w:t>
      </w:r>
    </w:p>
    <w:p w14:paraId="37D22D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drawing>
          <wp:inline distT="0" distB="0" distL="114300" distR="114300">
            <wp:extent cx="2508885" cy="6091555"/>
            <wp:effectExtent l="0" t="0" r="5715"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1"/>
                    <a:stretch>
                      <a:fillRect/>
                    </a:stretch>
                  </pic:blipFill>
                  <pic:spPr>
                    <a:xfrm>
                      <a:off x="0" y="0"/>
                      <a:ext cx="2508885" cy="6091555"/>
                    </a:xfrm>
                    <a:prstGeom prst="rect">
                      <a:avLst/>
                    </a:prstGeom>
                    <a:noFill/>
                    <a:ln w="9525">
                      <a:noFill/>
                    </a:ln>
                  </pic:spPr>
                </pic:pic>
              </a:graphicData>
            </a:graphic>
          </wp:inline>
        </w:drawing>
      </w:r>
    </w:p>
    <w:p w14:paraId="4804F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 xml:space="preserve">图 </w:t>
      </w:r>
      <w:r>
        <w:rPr>
          <w:rFonts w:hint="eastAsia" w:eastAsia="仿宋_GB2312"/>
          <w:sz w:val="24"/>
        </w:rPr>
        <w:fldChar w:fldCharType="begin"/>
      </w:r>
      <w:r>
        <w:rPr>
          <w:rFonts w:hint="eastAsia" w:eastAsia="仿宋_GB2312"/>
          <w:sz w:val="24"/>
        </w:rPr>
        <w:instrText xml:space="preserve"> SEQ 图 \* ARABIC </w:instrText>
      </w:r>
      <w:r>
        <w:rPr>
          <w:rFonts w:hint="eastAsia" w:eastAsia="仿宋_GB2312"/>
          <w:sz w:val="24"/>
        </w:rPr>
        <w:fldChar w:fldCharType="separate"/>
      </w:r>
      <w:r>
        <w:rPr>
          <w:rFonts w:hint="eastAsia" w:eastAsia="仿宋_GB2312"/>
          <w:sz w:val="24"/>
        </w:rPr>
        <w:t>6</w:t>
      </w:r>
      <w:r>
        <w:rPr>
          <w:rFonts w:hint="eastAsia" w:eastAsia="仿宋_GB2312"/>
          <w:sz w:val="24"/>
        </w:rPr>
        <w:fldChar w:fldCharType="end"/>
      </w:r>
      <w:r>
        <w:rPr>
          <w:rFonts w:hint="eastAsia" w:eastAsia="仿宋_GB2312"/>
          <w:sz w:val="24"/>
        </w:rPr>
        <w:t xml:space="preserve"> 报告编制活动基本工作流程</w:t>
      </w:r>
    </w:p>
    <w:p w14:paraId="2B54BC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32" w:name="_Toc15183"/>
      <w:bookmarkStart w:id="533" w:name="_Toc27096"/>
      <w:bookmarkStart w:id="534" w:name="_Toc9810"/>
      <w:r>
        <w:rPr>
          <w:rFonts w:hint="eastAsia" w:eastAsia="仿宋_GB2312"/>
          <w:sz w:val="24"/>
        </w:rPr>
        <w:t>报告编制活动主要任务</w:t>
      </w:r>
      <w:bookmarkEnd w:id="532"/>
      <w:bookmarkEnd w:id="533"/>
      <w:bookmarkEnd w:id="534"/>
    </w:p>
    <w:p w14:paraId="19A7BC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单项测评结果判定</w:t>
      </w:r>
    </w:p>
    <w:p w14:paraId="2F8619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本任务主要是针对单个测评项，结合具体测评对象，客观、准确地分析测评证据，形成初步单项测评结果，单项测评结果是形成等级测评结论的基础。</w:t>
      </w:r>
    </w:p>
    <w:p w14:paraId="5CEB9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输入：经过运营单位确认的测评证据和证据源记录，测评指导书。</w:t>
      </w:r>
    </w:p>
    <w:p w14:paraId="3075C7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172999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a)针对每个测评项，分析该测评项所对抗的威胁在被测定级对象中是否存在，如果不存在，则该测评项应标为不适用项。</w:t>
      </w:r>
    </w:p>
    <w:p w14:paraId="3C9D3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b)分析单个测评项的测评证据，并与要求内容的预期测评结果相比较，给出单项测评结果和符合程度得分。</w:t>
      </w:r>
    </w:p>
    <w:p w14:paraId="6220F1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如果测评证据表明所有要求内容与预期测评结果一致，则判定该测评项的单项测评结果为符合；如果测评证据表明所有要求内容与预期测评结果不一致，判定该测评项的单项测评结果为不符合；否则判定该测评项的单项测评结果为部分符合。</w:t>
      </w:r>
    </w:p>
    <w:p w14:paraId="37834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输出/产品：测评报告的等级测评结果记录部分。</w:t>
      </w:r>
    </w:p>
    <w:p w14:paraId="42B312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单元测评结果判定</w:t>
      </w:r>
    </w:p>
    <w:p w14:paraId="529C21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本任务主要是将单项测评结果进行汇总，分别统计不同测评对象的单项测评结果，从而判定单元测评结果。</w:t>
      </w:r>
    </w:p>
    <w:p w14:paraId="75593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输入：测评报告的等级测评结果记录部分。</w:t>
      </w:r>
    </w:p>
    <w:p w14:paraId="6C1BB9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1511E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a)按层面分别汇总不同测评对象对应测评指标的单项测评结果情况，包括测评多少项，符合要求的多少项等内容。</w:t>
      </w:r>
    </w:p>
    <w:p w14:paraId="7801B2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b)分析每个控制点下所有测评项的符合情况，给出单元测评结果。单元测评结果判定规则如下：</w:t>
      </w:r>
    </w:p>
    <w:p w14:paraId="26C09C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——控制点包含的所有适用测评项的单项测评结果均为符合，则对应该控制点的单元测评结果为符合；</w:t>
      </w:r>
    </w:p>
    <w:p w14:paraId="6D924E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——控制点包含的所有适用测评项的单项测评结果均为不符合，则对应该控制点的单元测评结果为不符合；</w:t>
      </w:r>
    </w:p>
    <w:p w14:paraId="43FFC9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——控制点包含的所有测评项均为不适用项，则对应该控制点的单元测评结果为不适用；</w:t>
      </w:r>
    </w:p>
    <w:p w14:paraId="23197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——控制点包含的所有适用测评项的单项测评结果不全为符合或不符合，则对应该控制点的单元测评结果为部分符合。</w:t>
      </w:r>
    </w:p>
    <w:p w14:paraId="00F3A1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输出/产品：测评报告的单元测评小结部分。</w:t>
      </w:r>
    </w:p>
    <w:p w14:paraId="79EBEA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整体测评</w:t>
      </w:r>
    </w:p>
    <w:p w14:paraId="5FDB89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针对单项测评结果的不符合项及部分符合项，采取逐条判定的方法，从安全控制点间、层面间出发考虑，给出整体测评的具体结果。</w:t>
      </w:r>
    </w:p>
    <w:p w14:paraId="3EC470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输入：测评报告的等级测评结果记录部分和单项测评结果。任务描述：</w:t>
      </w:r>
    </w:p>
    <w:p w14:paraId="3A1E3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针对测评对象“部分符合”及“不符合”要求的单个测评项，分析与该测评项相关的其他测评项能否和它发生关联关系，发生什么样的关联关系，这些关联关系产生的作用是否可以“弥补”该测评项的不足或“削弱”该测评项实现的保护能力，以及该测评项的测评结果是否会影响与其有关联关系的其他测评项的测评结果。具体整体测评方法参见GB/T28448。</w:t>
      </w:r>
    </w:p>
    <w:p w14:paraId="13A058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b)针对测评对象“部分符合”及“不符合”要求的单个测评项，分析与该测评项相关的其他层面的</w:t>
      </w:r>
    </w:p>
    <w:p w14:paraId="092DD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测评对象能否和它发生关联关系，发生什么样的关联关系，这些关联关系产生的作用是否可以</w:t>
      </w:r>
    </w:p>
    <w:p w14:paraId="436C0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“弥补”该测评项的不足或“削弱”该测评项实现的保护能力，以及该测评项的测评结果是否会影响与其有关联关系的其他测评项的测评结果。</w:t>
      </w:r>
    </w:p>
    <w:p w14:paraId="58C0A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c)根据整体测评分析情况，修正单项测评结果符合程度得分和问题严重程度值。输出/产品：测评报告的整体测评部分。</w:t>
      </w:r>
    </w:p>
    <w:p w14:paraId="42A97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系统安全保障评估</w:t>
      </w:r>
    </w:p>
    <w:p w14:paraId="385B26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综合单项测评和整体测评结果，计算修正后的安全控制点得分和层面得分，并根据得分情况对被测定级对象的安全保障情况进行总体评价。</w:t>
      </w:r>
    </w:p>
    <w:p w14:paraId="4C2B7F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输入：测评报告的等级测评结果记录部分和整体测评部分。</w:t>
      </w:r>
    </w:p>
    <w:p w14:paraId="071B42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3AF3B8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a)根据整体测评结果，计算修正后的每个测评对象的单项测评结果和符合程度得分。</w:t>
      </w:r>
    </w:p>
    <w:p w14:paraId="6F0FE9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b)根据各对象的单项符合程度得分，计算安全控制点得分。</w:t>
      </w:r>
    </w:p>
    <w:p w14:paraId="28E55A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c)根据安全控制点得分，计算安全层面得分。</w:t>
      </w:r>
    </w:p>
    <w:p w14:paraId="682FBF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d)根据安全控制点得分和安全层面得分，总体评价被测定级对象已采取的有效保护措施和存在的主要安全问题情况。</w:t>
      </w:r>
    </w:p>
    <w:p w14:paraId="784428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输出：测评报告的系统安全保障评估部分。</w:t>
      </w:r>
    </w:p>
    <w:p w14:paraId="322D3B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安全问题风险分析</w:t>
      </w:r>
    </w:p>
    <w:p w14:paraId="1A18C4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测评人员依据等级保护的相关规范和标准，采用风险分析的方法分析等级测评结果中存在的安全问题可能对被测定级对象安全造成的影响。</w:t>
      </w:r>
    </w:p>
    <w:p w14:paraId="609975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输入：填好的调查表格，测评报告的单项测评结果、整体测评部分。</w:t>
      </w:r>
    </w:p>
    <w:p w14:paraId="0EB78C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42D7AD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a)针对整体测评后的单项测评结果中部分符合项或不符合项所产生的安全问题，结合关联测评对象和威胁，分析可能对定级对象、单位、社会及国家造成的安全危害。</w:t>
      </w:r>
    </w:p>
    <w:p w14:paraId="1CB9B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b)结合安全问题所影响业务的重要程度、相关系统组件的重要程度、安全问题严重程度以及安全事件影响范围等综合分析可能造成的安全危害中的最大安全危害(损失)结果。</w:t>
      </w:r>
    </w:p>
    <w:p w14:paraId="10FD92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c)根据最大安全危害严重程度进一步确定定级对象面临的风险等级，结果为“高”“中”或“低”。输出：测评报告的安全问题风险分析部分。</w:t>
      </w:r>
    </w:p>
    <w:p w14:paraId="612198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等级测评结论形成</w:t>
      </w:r>
    </w:p>
    <w:p w14:paraId="7D2BBA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测评人员在系统安全保障评估、安全问题风险评估的基础上，找出系统保护现状与GB/T22239之间的差距，并形成等级测评结论。</w:t>
      </w:r>
    </w:p>
    <w:p w14:paraId="3C0FE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输入：测评报告的系统安全保障评估部分、安全问题风险评估部分。</w:t>
      </w:r>
    </w:p>
    <w:p w14:paraId="3F39C3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2C6A4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根据单项测评结果和风险评估结果，计算定级对象综合得分，并得出等级测评结论。</w:t>
      </w:r>
    </w:p>
    <w:p w14:paraId="57E80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等级测评结论分为三种情况：</w:t>
      </w:r>
    </w:p>
    <w:p w14:paraId="070AE4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等级测评结论主要由被测系统单项符合性进行判定，符合性判定根据被测系统各层面安全保护情况与相应等级安全保护要求的符合程度进行确定。具体判定依据如下表所示。</w:t>
      </w:r>
    </w:p>
    <w:p w14:paraId="2169E6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35" w:name="_Toc43455341"/>
      <w:bookmarkStart w:id="536" w:name="_Toc534702761"/>
      <w:r>
        <w:rPr>
          <w:rFonts w:hint="eastAsia" w:eastAsia="仿宋_GB2312"/>
          <w:sz w:val="24"/>
        </w:rPr>
        <w:t>表 等级测评结论判定依据</w:t>
      </w:r>
      <w:bookmarkEnd w:id="535"/>
      <w:bookmarkEnd w:id="536"/>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6"/>
        <w:gridCol w:w="7070"/>
      </w:tblGrid>
      <w:tr w14:paraId="62C3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1193" w:type="pct"/>
            <w:shd w:val="clear" w:color="auto" w:fill="A5A5A5" w:themeFill="background1" w:themeFillShade="A6"/>
            <w:tcMar>
              <w:top w:w="57" w:type="dxa"/>
              <w:bottom w:w="57" w:type="dxa"/>
            </w:tcMar>
            <w:vAlign w:val="center"/>
          </w:tcPr>
          <w:p w14:paraId="52EF32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等级测评结论</w:t>
            </w:r>
          </w:p>
        </w:tc>
        <w:tc>
          <w:tcPr>
            <w:tcW w:w="3807" w:type="pct"/>
            <w:shd w:val="clear" w:color="auto" w:fill="A5A5A5" w:themeFill="background1" w:themeFillShade="A6"/>
            <w:tcMar>
              <w:top w:w="57" w:type="dxa"/>
              <w:bottom w:w="57" w:type="dxa"/>
            </w:tcMar>
            <w:vAlign w:val="center"/>
          </w:tcPr>
          <w:p w14:paraId="224E31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判定依据</w:t>
            </w:r>
          </w:p>
        </w:tc>
      </w:tr>
      <w:tr w14:paraId="6897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Mar>
              <w:top w:w="57" w:type="dxa"/>
              <w:bottom w:w="57" w:type="dxa"/>
            </w:tcMar>
            <w:vAlign w:val="center"/>
          </w:tcPr>
          <w:p w14:paraId="0F4946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符合</w:t>
            </w:r>
          </w:p>
        </w:tc>
        <w:tc>
          <w:tcPr>
            <w:tcW w:w="3807" w:type="pct"/>
            <w:tcMar>
              <w:top w:w="57" w:type="dxa"/>
              <w:bottom w:w="57" w:type="dxa"/>
            </w:tcMar>
            <w:vAlign w:val="center"/>
          </w:tcPr>
          <w:p w14:paraId="6788D0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被测系统符合率高于90%，且无重大风险隐患。</w:t>
            </w:r>
          </w:p>
        </w:tc>
      </w:tr>
      <w:tr w14:paraId="545B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Mar>
              <w:top w:w="57" w:type="dxa"/>
              <w:bottom w:w="57" w:type="dxa"/>
            </w:tcMar>
            <w:vAlign w:val="center"/>
          </w:tcPr>
          <w:p w14:paraId="2EF88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基本符合</w:t>
            </w:r>
          </w:p>
        </w:tc>
        <w:tc>
          <w:tcPr>
            <w:tcW w:w="3807" w:type="pct"/>
            <w:tcMar>
              <w:top w:w="57" w:type="dxa"/>
              <w:bottom w:w="57" w:type="dxa"/>
            </w:tcMar>
            <w:vAlign w:val="center"/>
          </w:tcPr>
          <w:p w14:paraId="445E54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被测系统符合率高于60%，低于90%；或者符合率为[90%,100%]且存在重大风险隐患。</w:t>
            </w:r>
          </w:p>
        </w:tc>
      </w:tr>
      <w:tr w14:paraId="3C8C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Mar>
              <w:top w:w="57" w:type="dxa"/>
              <w:bottom w:w="57" w:type="dxa"/>
            </w:tcMar>
            <w:vAlign w:val="center"/>
          </w:tcPr>
          <w:p w14:paraId="7467F1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不符合</w:t>
            </w:r>
          </w:p>
        </w:tc>
        <w:tc>
          <w:tcPr>
            <w:tcW w:w="3807" w:type="pct"/>
            <w:tcMar>
              <w:top w:w="57" w:type="dxa"/>
              <w:bottom w:w="57" w:type="dxa"/>
            </w:tcMar>
            <w:vAlign w:val="center"/>
          </w:tcPr>
          <w:p w14:paraId="4A97A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被测系统符合率低于60%。</w:t>
            </w:r>
          </w:p>
        </w:tc>
      </w:tr>
    </w:tbl>
    <w:p w14:paraId="211316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依据GB/T 22239—2019《信息安全技术 网络安全等级保护基本要求》和GB/T 28448—2019《信息安全技术 网络安全等级保护测评要求》的第[二/三]级要求，经对[被测对象名称]的安全保护状况进行综合分析评价后，等级测评结论如下：</w:t>
      </w:r>
    </w:p>
    <w:p w14:paraId="3840B9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1、符合：</w:t>
      </w:r>
    </w:p>
    <w:p w14:paraId="393A9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[被测对象名称]本次等级测评的符合率为[90%, 100%]，且不存在重大风险隐患，等级测评结论判定为符合。</w:t>
      </w:r>
    </w:p>
    <w:p w14:paraId="04AA9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2、基本符合：</w:t>
      </w:r>
    </w:p>
    <w:p w14:paraId="2C4EC2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[被测对象名称]本次等级测评的符合率为[60%, 90%)，或者符合率为[90%, 100%]且存在重大风险隐患，等级测评结论判定为基本符合。</w:t>
      </w:r>
    </w:p>
    <w:p w14:paraId="38E27C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3、不符合：</w:t>
      </w:r>
    </w:p>
    <w:p w14:paraId="4E6EFA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[被测对象名称]本次等级测评的符合率为[0，60%)，等级测评结论判定为不符合。</w:t>
      </w:r>
    </w:p>
    <w:p w14:paraId="199C72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测评报告编制</w:t>
      </w:r>
    </w:p>
    <w:p w14:paraId="528DAD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根据报告编制活动各分析过程形成等级测评报告。等级测评报告格式符合公安机关发布的《信息安全等级保护测评报告模版》</w:t>
      </w:r>
      <w:r>
        <w:rPr>
          <w:rFonts w:hint="eastAsia" w:eastAsia="仿宋_GB2312"/>
          <w:sz w:val="24"/>
          <w:lang w:eastAsia="zh-Hans"/>
        </w:rPr>
        <w:t>（2025）</w:t>
      </w:r>
      <w:r>
        <w:rPr>
          <w:rFonts w:hint="eastAsia" w:eastAsia="仿宋_GB2312"/>
          <w:sz w:val="24"/>
          <w:lang w:val="en-US" w:eastAsia="zh-Hans"/>
        </w:rPr>
        <w:t>。</w:t>
      </w:r>
    </w:p>
    <w:p w14:paraId="13D3AF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输入：测评方案，《信息系统安全等级测评报告模版》，测评结果分析内容。</w:t>
      </w:r>
    </w:p>
    <w:p w14:paraId="5A87E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任务描述：</w:t>
      </w:r>
    </w:p>
    <w:p w14:paraId="15CB0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a)测评人员整理前面几项任务的输出/产品，按照《信息系统安全等级测评报告模版》编制测评报告相应部分。每个被测定级对象应单独出具测评报告。</w:t>
      </w:r>
    </w:p>
    <w:p w14:paraId="24E03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b)针对被测定级对象存在的安全隐患，从系统安全角度提出相应的改进建议，编制测评报告的问题处置建议部分。</w:t>
      </w:r>
    </w:p>
    <w:p w14:paraId="309AF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c)测评报告编制完成后，测评机构应根据测评协议书、运营单位提交的相关文档、测评原始记录和其他辅助信息，对测评报告进行评审。</w:t>
      </w:r>
    </w:p>
    <w:p w14:paraId="1F3654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d)评审通过后，由项目负责人签字确认并提交给运营单位。</w:t>
      </w:r>
    </w:p>
    <w:p w14:paraId="7C978A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输出/产品：经过评审和确认的被测定级对象等级测评报告。</w:t>
      </w:r>
    </w:p>
    <w:p w14:paraId="134D6D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37" w:name="_Toc25260"/>
      <w:bookmarkStart w:id="538" w:name="_Toc30243"/>
      <w:bookmarkStart w:id="539" w:name="_Toc9743"/>
      <w:r>
        <w:rPr>
          <w:rFonts w:hint="eastAsia" w:eastAsia="仿宋_GB2312"/>
          <w:sz w:val="24"/>
        </w:rPr>
        <w:t>报告编制活动输出文档</w:t>
      </w:r>
      <w:bookmarkEnd w:id="537"/>
      <w:bookmarkEnd w:id="538"/>
      <w:bookmarkEnd w:id="539"/>
    </w:p>
    <w:p w14:paraId="55978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报告编制活动的输出文档及其内容如下表所示。</w:t>
      </w:r>
    </w:p>
    <w:p w14:paraId="40636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表 10 报告编制活动输出文档及其内容</w:t>
      </w:r>
    </w:p>
    <w:tbl>
      <w:tblPr>
        <w:tblStyle w:val="50"/>
        <w:tblW w:w="4962" w:type="pct"/>
        <w:jc w:val="center"/>
        <w:tblLayout w:type="autofit"/>
        <w:tblCellMar>
          <w:top w:w="0" w:type="dxa"/>
          <w:left w:w="108" w:type="dxa"/>
          <w:bottom w:w="0" w:type="dxa"/>
          <w:right w:w="108" w:type="dxa"/>
        </w:tblCellMar>
      </w:tblPr>
      <w:tblGrid>
        <w:gridCol w:w="1834"/>
        <w:gridCol w:w="2619"/>
        <w:gridCol w:w="4762"/>
      </w:tblGrid>
      <w:tr w14:paraId="0FE8A4F5">
        <w:tblPrEx>
          <w:tblCellMar>
            <w:top w:w="0" w:type="dxa"/>
            <w:left w:w="108" w:type="dxa"/>
            <w:bottom w:w="0" w:type="dxa"/>
            <w:right w:w="108" w:type="dxa"/>
          </w:tblCellMar>
        </w:tblPrEx>
        <w:trPr>
          <w:trHeight w:val="630" w:hRule="atLeast"/>
          <w:tblHeader/>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62BA6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任务</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42F0AC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输出文档</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4BABA2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文档内容</w:t>
            </w:r>
          </w:p>
        </w:tc>
      </w:tr>
      <w:tr w14:paraId="6661E68F">
        <w:tblPrEx>
          <w:tblCellMar>
            <w:top w:w="0" w:type="dxa"/>
            <w:left w:w="108" w:type="dxa"/>
            <w:bottom w:w="0" w:type="dxa"/>
            <w:right w:w="108" w:type="dxa"/>
          </w:tblCellMar>
        </w:tblPrEx>
        <w:trPr>
          <w:trHeight w:val="630" w:hRule="atLeast"/>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7D74DE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单项测评结果判定</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2F5FC6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等级测评报告的等级测评结果记录部分</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03C067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分析测评对象的安全现状与标准中相应等级基本要求项的符合情况，给出单项测评结果和符合程度得分</w:t>
            </w:r>
          </w:p>
        </w:tc>
      </w:tr>
      <w:tr w14:paraId="3A74B111">
        <w:tblPrEx>
          <w:tblCellMar>
            <w:top w:w="0" w:type="dxa"/>
            <w:left w:w="108" w:type="dxa"/>
            <w:bottom w:w="0" w:type="dxa"/>
            <w:right w:w="108" w:type="dxa"/>
          </w:tblCellMar>
        </w:tblPrEx>
        <w:trPr>
          <w:trHeight w:val="315" w:hRule="atLeast"/>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51969D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单元测评结果判定</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20156B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等级测评报告的单元测评小结部分</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71DF6F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汇总统计单项测评结果，分析计算控制点符合情况、存在的安全问题</w:t>
            </w:r>
          </w:p>
        </w:tc>
      </w:tr>
      <w:tr w14:paraId="0FE71412">
        <w:tblPrEx>
          <w:tblCellMar>
            <w:top w:w="0" w:type="dxa"/>
            <w:left w:w="108" w:type="dxa"/>
            <w:bottom w:w="0" w:type="dxa"/>
            <w:right w:w="108" w:type="dxa"/>
          </w:tblCellMar>
        </w:tblPrEx>
        <w:trPr>
          <w:trHeight w:val="630" w:hRule="atLeast"/>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363FAC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整体测评</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498650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等级测评报告的整体测评部分</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5F69A9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分析被测定级对象整体安全状况及对单项测评结果的影响情况，给出安全问题严重程度及对应的要求项符合程度得分修正值</w:t>
            </w:r>
          </w:p>
        </w:tc>
      </w:tr>
      <w:tr w14:paraId="6332AA9A">
        <w:tblPrEx>
          <w:tblCellMar>
            <w:top w:w="0" w:type="dxa"/>
            <w:left w:w="108" w:type="dxa"/>
            <w:bottom w:w="0" w:type="dxa"/>
            <w:right w:w="108" w:type="dxa"/>
          </w:tblCellMar>
        </w:tblPrEx>
        <w:trPr>
          <w:trHeight w:val="945" w:hRule="atLeast"/>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3BAFD2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系统安全保障评估</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96D2D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测评报告的系统安全保障评估部分</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3559B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汇总被测定级对象已采取的安全保护措施情况，计算安全控制点得分及安全层面得分，并总体评价被测定级对象已采取的有效保护措施和存在的主要安全问题情况</w:t>
            </w:r>
          </w:p>
        </w:tc>
      </w:tr>
      <w:tr w14:paraId="4B58064B">
        <w:tblPrEx>
          <w:tblCellMar>
            <w:top w:w="0" w:type="dxa"/>
            <w:left w:w="108" w:type="dxa"/>
            <w:bottom w:w="0" w:type="dxa"/>
            <w:right w:w="108" w:type="dxa"/>
          </w:tblCellMar>
        </w:tblPrEx>
        <w:trPr>
          <w:trHeight w:val="630" w:hRule="atLeast"/>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71A6E7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安全问题风险分析</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0CC57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等级测评报告的安全问题风险评估部分</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68B3EF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分析被测定级对象存在安全问题可能对定级对象、单位、社会及国家造成的最大安全危害(损失)，并给出风险等级</w:t>
            </w:r>
          </w:p>
        </w:tc>
      </w:tr>
      <w:tr w14:paraId="758F117B">
        <w:tblPrEx>
          <w:tblCellMar>
            <w:top w:w="0" w:type="dxa"/>
            <w:left w:w="108" w:type="dxa"/>
            <w:bottom w:w="0" w:type="dxa"/>
            <w:right w:w="108" w:type="dxa"/>
          </w:tblCellMar>
        </w:tblPrEx>
        <w:trPr>
          <w:trHeight w:val="315" w:hRule="atLeast"/>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6D2293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等级测评结论形成</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AE742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等级测评报告的等级测评结论部分</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6022F0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对测评结果进行分析，形成等级测评结论，并给出综合得分</w:t>
            </w:r>
          </w:p>
        </w:tc>
      </w:tr>
      <w:tr w14:paraId="1E4881E7">
        <w:tblPrEx>
          <w:tblCellMar>
            <w:top w:w="0" w:type="dxa"/>
            <w:left w:w="108" w:type="dxa"/>
            <w:bottom w:w="0" w:type="dxa"/>
            <w:right w:w="108" w:type="dxa"/>
          </w:tblCellMar>
        </w:tblPrEx>
        <w:trPr>
          <w:trHeight w:val="630" w:hRule="atLeast"/>
          <w:jc w:val="center"/>
        </w:trPr>
        <w:tc>
          <w:tcPr>
            <w:tcW w:w="995" w:type="pct"/>
            <w:tcBorders>
              <w:top w:val="single" w:color="000000" w:sz="4" w:space="0"/>
              <w:left w:val="single" w:color="000000" w:sz="4" w:space="0"/>
              <w:bottom w:val="single" w:color="000000" w:sz="4" w:space="0"/>
              <w:right w:val="single" w:color="000000" w:sz="4" w:space="0"/>
            </w:tcBorders>
            <w:noWrap w:val="0"/>
            <w:vAlign w:val="center"/>
          </w:tcPr>
          <w:p w14:paraId="5E641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测评报告编制</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C4A92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经过评审和确认的被测定级对象等测评报告</w:t>
            </w:r>
          </w:p>
        </w:tc>
        <w:tc>
          <w:tcPr>
            <w:tcW w:w="2584" w:type="pct"/>
            <w:tcBorders>
              <w:top w:val="single" w:color="000000" w:sz="4" w:space="0"/>
              <w:left w:val="single" w:color="000000" w:sz="4" w:space="0"/>
              <w:bottom w:val="single" w:color="000000" w:sz="4" w:space="0"/>
              <w:right w:val="single" w:color="000000" w:sz="4" w:space="0"/>
            </w:tcBorders>
            <w:noWrap w:val="0"/>
            <w:vAlign w:val="center"/>
          </w:tcPr>
          <w:p w14:paraId="2C8689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等级测评结果记录，单元测评结果汇总及结果分析，整体测评过程及结果，风险分析过程及结果，等级测评结论，问题处置建议等</w:t>
            </w:r>
          </w:p>
        </w:tc>
      </w:tr>
    </w:tbl>
    <w:p w14:paraId="16A96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bookmarkStart w:id="540" w:name="_Toc5269"/>
      <w:bookmarkStart w:id="541" w:name="_Toc28813"/>
      <w:bookmarkStart w:id="542" w:name="_Toc8755"/>
      <w:r>
        <w:rPr>
          <w:rFonts w:hint="eastAsia" w:eastAsia="仿宋_GB2312"/>
          <w:sz w:val="24"/>
        </w:rPr>
        <w:t>报告编制活动中双方职责</w:t>
      </w:r>
      <w:bookmarkEnd w:id="540"/>
      <w:bookmarkEnd w:id="541"/>
      <w:bookmarkEnd w:id="542"/>
    </w:p>
    <w:p w14:paraId="4E0D27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 xml:space="preserve">表 </w:t>
      </w:r>
      <w:r>
        <w:rPr>
          <w:rFonts w:hint="eastAsia" w:eastAsia="仿宋_GB2312"/>
          <w:sz w:val="24"/>
        </w:rPr>
        <w:fldChar w:fldCharType="begin"/>
      </w:r>
      <w:r>
        <w:rPr>
          <w:rFonts w:hint="eastAsia" w:eastAsia="仿宋_GB2312"/>
          <w:sz w:val="24"/>
        </w:rPr>
        <w:instrText xml:space="preserve"> SEQ 表 \* ARABIC </w:instrText>
      </w:r>
      <w:r>
        <w:rPr>
          <w:rFonts w:hint="eastAsia" w:eastAsia="仿宋_GB2312"/>
          <w:sz w:val="24"/>
        </w:rPr>
        <w:fldChar w:fldCharType="separate"/>
      </w:r>
      <w:r>
        <w:rPr>
          <w:rFonts w:hint="eastAsia" w:eastAsia="仿宋_GB2312"/>
          <w:sz w:val="24"/>
        </w:rPr>
        <w:t>11</w:t>
      </w:r>
      <w:r>
        <w:rPr>
          <w:rFonts w:hint="eastAsia" w:eastAsia="仿宋_GB2312"/>
          <w:sz w:val="24"/>
        </w:rPr>
        <w:fldChar w:fldCharType="end"/>
      </w:r>
      <w:r>
        <w:rPr>
          <w:rFonts w:hint="eastAsia" w:eastAsia="仿宋_GB2312"/>
          <w:sz w:val="24"/>
        </w:rPr>
        <w:t xml:space="preserve"> 报告编制活动中双方职责</w:t>
      </w:r>
    </w:p>
    <w:tbl>
      <w:tblPr>
        <w:tblStyle w:val="50"/>
        <w:tblW w:w="9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4"/>
        <w:gridCol w:w="3955"/>
      </w:tblGrid>
      <w:tr w14:paraId="60A2C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344" w:type="dxa"/>
            <w:noWrap w:val="0"/>
            <w:vAlign w:val="top"/>
          </w:tcPr>
          <w:p w14:paraId="77114A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测评机构</w:t>
            </w:r>
          </w:p>
        </w:tc>
        <w:tc>
          <w:tcPr>
            <w:tcW w:w="3955" w:type="dxa"/>
            <w:noWrap w:val="0"/>
            <w:vAlign w:val="top"/>
          </w:tcPr>
          <w:p w14:paraId="6C5F5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运营单位</w:t>
            </w:r>
          </w:p>
        </w:tc>
      </w:tr>
      <w:tr w14:paraId="1C6B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4" w:type="dxa"/>
            <w:noWrap w:val="0"/>
            <w:vAlign w:val="top"/>
          </w:tcPr>
          <w:p w14:paraId="0614C0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a)分析并判定单项测评结果和整体测评结果。</w:t>
            </w:r>
          </w:p>
          <w:p w14:paraId="572D61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b)分析评价被测定级对象存在的风险情况。</w:t>
            </w:r>
          </w:p>
          <w:p w14:paraId="64F58E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c)根据测评结果形成等级测评结论。</w:t>
            </w:r>
          </w:p>
          <w:p w14:paraId="70E15A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d)编制等级测评报告，说明系统存在的安全隐患和缺陷，并给出改进建议。</w:t>
            </w:r>
          </w:p>
          <w:p w14:paraId="18CFA8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e)评审等级测评报告，并将评审过的等级测评报告按照分发范围进行分发。</w:t>
            </w:r>
          </w:p>
          <w:p w14:paraId="3D459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f)将生成的过程文档(包括电子文档)归档保存，并将测评过程中在测评用介质和测试工具中生成或存放的所有电子文档清除。</w:t>
            </w:r>
          </w:p>
        </w:tc>
        <w:tc>
          <w:tcPr>
            <w:tcW w:w="3955" w:type="dxa"/>
            <w:noWrap w:val="0"/>
            <w:vAlign w:val="top"/>
          </w:tcPr>
          <w:p w14:paraId="39FAD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a)签收测评报告。</w:t>
            </w:r>
          </w:p>
          <w:p w14:paraId="42D5D2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b)向分管公安机关备案测评报告。</w:t>
            </w:r>
          </w:p>
        </w:tc>
      </w:tr>
    </w:tbl>
    <w:p w14:paraId="755F9A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三、技术要求（如有，一般适合于技术服务项目）</w:t>
      </w:r>
    </w:p>
    <w:p w14:paraId="28B4E4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r>
        <w:rPr>
          <w:rFonts w:hint="eastAsia" w:eastAsia="仿宋_GB2312"/>
          <w:sz w:val="24"/>
          <w:lang w:val="en-US" w:eastAsia="zh-Hans"/>
        </w:rPr>
        <w:t>网络</w:t>
      </w:r>
      <w:r>
        <w:rPr>
          <w:rFonts w:hint="eastAsia" w:eastAsia="仿宋_GB2312"/>
          <w:sz w:val="24"/>
          <w:lang w:val="en-US" w:eastAsia="zh-CN"/>
        </w:rPr>
        <w:t>安全等级保护工作共分为五步，分别是：“定级、备案、建设整改、等级测评、监督检查”。该项目主要完成系统的安全测评工作，依据安全技术和安全管理两个方面的测评要求，分别从安全物理环境、安全通信网络、安全区域边界、安全计算环境、安全管理中心、安全管理制度、安全管理机构、安全管理人员、安全建设管理、安全运维管理十个安全类别进行安全测评。</w:t>
      </w:r>
    </w:p>
    <w:p w14:paraId="474FCB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r>
        <w:rPr>
          <w:rFonts w:hint="eastAsia" w:eastAsia="仿宋_GB2312"/>
          <w:sz w:val="24"/>
          <w:lang w:val="en-US" w:eastAsia="zh-CN"/>
        </w:rPr>
        <w:t>1.定级要求</w:t>
      </w:r>
    </w:p>
    <w:p w14:paraId="4ABE3A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r>
        <w:rPr>
          <w:rFonts w:hint="eastAsia" w:eastAsia="仿宋_GB2312"/>
          <w:sz w:val="24"/>
          <w:lang w:val="en-US" w:eastAsia="zh-CN"/>
        </w:rPr>
        <w:t>该项工作开展的主要依据是《网络安全等级保护定级指南》（G</w:t>
      </w:r>
      <w:r>
        <w:rPr>
          <w:rFonts w:hint="eastAsia" w:eastAsia="仿宋_GB2312"/>
          <w:sz w:val="24"/>
          <w:lang w:val="en-US" w:eastAsia="zh-Hans"/>
        </w:rPr>
        <w:t>B</w:t>
      </w:r>
      <w:r>
        <w:rPr>
          <w:rFonts w:hint="eastAsia" w:eastAsia="仿宋_GB2312"/>
          <w:sz w:val="24"/>
          <w:lang w:val="en-US" w:eastAsia="zh-CN"/>
        </w:rPr>
        <w:t>/T 22240-2020）确定系统等级。</w:t>
      </w:r>
    </w:p>
    <w:p w14:paraId="41A691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bookmarkStart w:id="543" w:name="_Toc420584915"/>
      <w:r>
        <w:rPr>
          <w:rFonts w:hint="eastAsia" w:eastAsia="仿宋_GB2312"/>
          <w:sz w:val="24"/>
          <w:lang w:val="en-US" w:eastAsia="zh-CN"/>
        </w:rPr>
        <w:t>2.备案</w:t>
      </w:r>
      <w:bookmarkEnd w:id="543"/>
    </w:p>
    <w:p w14:paraId="007B4B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r>
        <w:rPr>
          <w:rFonts w:hint="eastAsia" w:eastAsia="仿宋_GB2312"/>
          <w:sz w:val="24"/>
          <w:lang w:val="en-US" w:eastAsia="zh-CN"/>
        </w:rPr>
        <w:t>信息系统的安全保护等级确定后，二级以上（含二级）信息系统的运营使用单位或主管部门应到属地公安机关办理备案手续。按照国家政策要求，跨省或者全国统一联网运行的信息系统在各地运行、应用的分支系统，向当地设区的市级以上公安机关备案。该项目系统应向归属地网络安全监察支队申请重要信息系统备案。</w:t>
      </w:r>
    </w:p>
    <w:p w14:paraId="451DA3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r>
        <w:rPr>
          <w:rFonts w:hint="eastAsia" w:eastAsia="仿宋_GB2312"/>
          <w:sz w:val="24"/>
          <w:lang w:val="en-US" w:eastAsia="zh-CN"/>
        </w:rPr>
        <w:t>完成备案的信息系统，将获得公安机关颁发的《信息系统安全等级保护备案证明》。</w:t>
      </w:r>
    </w:p>
    <w:p w14:paraId="2187EE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bookmarkStart w:id="544" w:name="_Toc359339955"/>
      <w:bookmarkEnd w:id="544"/>
      <w:bookmarkStart w:id="545" w:name="_Toc359487272"/>
      <w:bookmarkStart w:id="546" w:name="_Toc359486626"/>
      <w:bookmarkStart w:id="547" w:name="_Toc359485979"/>
      <w:bookmarkStart w:id="548" w:name="_Toc359487172"/>
      <w:bookmarkStart w:id="549" w:name="_Toc359486791"/>
      <w:r>
        <w:rPr>
          <w:rFonts w:hint="eastAsia" w:eastAsia="仿宋_GB2312"/>
          <w:sz w:val="24"/>
          <w:lang w:val="en-US" w:eastAsia="zh-CN"/>
        </w:rPr>
        <w:t>3.等级保护测评要求</w:t>
      </w:r>
      <w:bookmarkEnd w:id="545"/>
      <w:bookmarkEnd w:id="546"/>
      <w:bookmarkEnd w:id="547"/>
      <w:bookmarkEnd w:id="548"/>
      <w:bookmarkEnd w:id="549"/>
    </w:p>
    <w:p w14:paraId="69D0C1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r>
        <w:rPr>
          <w:rFonts w:hint="eastAsia" w:eastAsia="仿宋_GB2312"/>
          <w:sz w:val="24"/>
          <w:lang w:val="en-US" w:eastAsia="zh-CN"/>
        </w:rPr>
        <w:t xml:space="preserve">服务商在测评过程中要求按照《计算机信息系统安全保护等级划分准则》（GB17859-1999）、《信息安全技术 </w:t>
      </w:r>
      <w:r>
        <w:rPr>
          <w:rFonts w:hint="eastAsia" w:eastAsia="仿宋_GB2312"/>
          <w:sz w:val="24"/>
          <w:lang w:val="en-US" w:eastAsia="zh-Hans"/>
        </w:rPr>
        <w:t>网络</w:t>
      </w:r>
      <w:r>
        <w:rPr>
          <w:rFonts w:hint="eastAsia" w:eastAsia="仿宋_GB2312"/>
          <w:sz w:val="24"/>
          <w:lang w:val="en-US" w:eastAsia="zh-CN"/>
        </w:rPr>
        <w:t>安全等级保护实施指南》（GB/T25058-2019）、《信息安全技术 网络安全等级保护基本要求》（GB/T22239-2019）、《信息安全技术 网络安全等级保护测评要求》（GB/T28448-2019）、《信息安全技术 网络安全等级保护测评过程指南》（GB/T28449-2018）等相关的标准规范开展等级测评工作，对系统的安全物理环境、安全通信网络、安全区域边界、安全计算环境、安全管理中心、安全管理制度、安全管理机构、安全管理人员、安全建设管理、安全运维管理共10个层面进行安全等级保护测评。</w:t>
      </w:r>
    </w:p>
    <w:p w14:paraId="2FFF74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四、服务要求（如对人员配置、专业设备、服务标准等）</w:t>
      </w:r>
    </w:p>
    <w:p w14:paraId="287D7C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1. 测评人员要求：本项目的测评人员需具有1年或1年以上测评工作经验，项目经理和质量负责人必须具备丰富的安全服务经验及相关资质认证，并提供人员管理及配备方案，并确保人员稳定。如需更换测评人员，须由采购单位同意。</w:t>
      </w:r>
    </w:p>
    <w:p w14:paraId="6CF0ED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CN"/>
        </w:rPr>
      </w:pPr>
      <w:r>
        <w:rPr>
          <w:rFonts w:hint="eastAsia" w:eastAsia="仿宋_GB2312"/>
          <w:sz w:val="24"/>
          <w:lang w:val="en-US" w:eastAsia="zh-Hans"/>
        </w:rPr>
        <w:t>2. 人员配备：服务商参与此项目不少于</w:t>
      </w:r>
      <w:r>
        <w:rPr>
          <w:rFonts w:hint="eastAsia" w:eastAsia="仿宋_GB2312"/>
          <w:sz w:val="24"/>
          <w:lang w:eastAsia="zh-Hans"/>
        </w:rPr>
        <w:t>8</w:t>
      </w:r>
      <w:r>
        <w:rPr>
          <w:rFonts w:hint="eastAsia" w:eastAsia="仿宋_GB2312"/>
          <w:sz w:val="24"/>
          <w:lang w:val="en-US" w:eastAsia="zh-Hans"/>
        </w:rPr>
        <w:t>人，现场测评人员不得少于4人，其中至少包含1名高级测评师，3名中级测评师。</w:t>
      </w:r>
      <w:r>
        <w:rPr>
          <w:rFonts w:hint="eastAsia" w:eastAsia="仿宋_GB2312"/>
          <w:sz w:val="24"/>
          <w:lang w:val="en-US" w:eastAsia="zh-CN"/>
        </w:rPr>
        <w:t>供应商</w:t>
      </w:r>
      <w:r>
        <w:rPr>
          <w:rFonts w:hint="eastAsia" w:eastAsia="仿宋_GB2312"/>
          <w:sz w:val="24"/>
          <w:lang w:val="en-US" w:eastAsia="zh-Hans"/>
        </w:rPr>
        <w:t>必须为本项目成立本地化等级保护测评小组，由测评小组组长统一负责，测评小组组长具有一定的技术及管理知识和经验，能容易地与客户沟通，能很好的执行与完成测评工作，并根据适当情况增加测评人员。</w:t>
      </w:r>
    </w:p>
    <w:p w14:paraId="323BD8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五、商务要求</w:t>
      </w:r>
    </w:p>
    <w:p w14:paraId="6ADD26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（一）服务期限</w:t>
      </w:r>
    </w:p>
    <w:p w14:paraId="7E056F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eastAsia="zh-Hans"/>
        </w:rPr>
      </w:pPr>
      <w:r>
        <w:rPr>
          <w:rFonts w:hint="eastAsia" w:eastAsia="仿宋_GB2312"/>
          <w:sz w:val="24"/>
          <w:lang w:eastAsia="zh-Hans"/>
        </w:rPr>
        <w:t>1、2025</w:t>
      </w:r>
      <w:r>
        <w:rPr>
          <w:rFonts w:hint="eastAsia" w:eastAsia="仿宋_GB2312"/>
          <w:sz w:val="24"/>
        </w:rPr>
        <w:t>年12月31日</w:t>
      </w:r>
      <w:r>
        <w:rPr>
          <w:rFonts w:hint="eastAsia" w:eastAsia="仿宋_GB2312"/>
          <w:sz w:val="24"/>
          <w:lang w:val="en-US" w:eastAsia="zh-Hans"/>
        </w:rPr>
        <w:t>前完成</w:t>
      </w:r>
      <w:r>
        <w:rPr>
          <w:rFonts w:hint="eastAsia" w:eastAsia="仿宋_GB2312"/>
          <w:sz w:val="24"/>
          <w:lang w:eastAsia="zh-Hans"/>
        </w:rPr>
        <w:t>医院信息化建设系统、陕西省严重精神障碍信息管理平台、</w:t>
      </w:r>
      <w:r>
        <w:rPr>
          <w:rFonts w:hint="eastAsia" w:eastAsia="仿宋_GB2312"/>
          <w:sz w:val="24"/>
          <w:lang w:val="en-US" w:eastAsia="zh-Hans"/>
        </w:rPr>
        <w:t>互联网医院信息系统</w:t>
      </w:r>
      <w:r>
        <w:rPr>
          <w:rFonts w:hint="eastAsia" w:eastAsia="仿宋_GB2312"/>
          <w:sz w:val="24"/>
          <w:lang w:val="en-US" w:eastAsia="zh-CN"/>
        </w:rPr>
        <w:t>、</w:t>
      </w:r>
      <w:r>
        <w:rPr>
          <w:rFonts w:hint="eastAsia" w:eastAsia="仿宋_GB2312"/>
          <w:sz w:val="24"/>
          <w:lang w:val="en-US" w:eastAsia="zh-Hans"/>
        </w:rPr>
        <w:t>门户网站系统等级保护测评服务</w:t>
      </w:r>
      <w:r>
        <w:rPr>
          <w:rFonts w:hint="eastAsia" w:eastAsia="仿宋_GB2312"/>
          <w:sz w:val="24"/>
          <w:lang w:eastAsia="zh-Hans"/>
        </w:rPr>
        <w:t>；</w:t>
      </w:r>
    </w:p>
    <w:p w14:paraId="617B4A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eastAsia="zh-Hans"/>
        </w:rPr>
        <w:t>2、</w:t>
      </w:r>
      <w:r>
        <w:rPr>
          <w:rFonts w:hint="eastAsia" w:eastAsia="仿宋_GB2312"/>
          <w:sz w:val="24"/>
          <w:lang w:val="en-US" w:eastAsia="zh-Hans"/>
        </w:rPr>
        <w:t>免费提供</w:t>
      </w:r>
      <w:r>
        <w:rPr>
          <w:rFonts w:hint="eastAsia" w:eastAsia="仿宋_GB2312"/>
          <w:sz w:val="24"/>
          <w:lang w:eastAsia="zh-Hans"/>
        </w:rPr>
        <w:t>1</w:t>
      </w:r>
      <w:r>
        <w:rPr>
          <w:rFonts w:hint="eastAsia" w:eastAsia="仿宋_GB2312"/>
          <w:sz w:val="24"/>
          <w:lang w:val="en-US" w:eastAsia="zh-Hans"/>
        </w:rPr>
        <w:t>年售后服务</w:t>
      </w:r>
      <w:r>
        <w:rPr>
          <w:rFonts w:hint="eastAsia" w:eastAsia="仿宋_GB2312"/>
          <w:sz w:val="24"/>
          <w:lang w:eastAsia="zh-Hans"/>
        </w:rPr>
        <w:t>。</w:t>
      </w:r>
    </w:p>
    <w:p w14:paraId="1C1044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（二）款项结算</w:t>
      </w:r>
    </w:p>
    <w:p w14:paraId="422919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eastAsia="zh-Hans"/>
        </w:rPr>
      </w:pPr>
      <w:r>
        <w:rPr>
          <w:rFonts w:hint="eastAsia" w:eastAsia="仿宋_GB2312"/>
          <w:sz w:val="24"/>
          <w:lang w:eastAsia="zh-Hans"/>
        </w:rPr>
        <w:t>1、2025年12月31日</w:t>
      </w:r>
      <w:r>
        <w:rPr>
          <w:rFonts w:hint="eastAsia" w:eastAsia="仿宋_GB2312"/>
          <w:sz w:val="24"/>
          <w:lang w:val="en-US" w:eastAsia="zh-Hans"/>
        </w:rPr>
        <w:t>前完成</w:t>
      </w:r>
      <w:r>
        <w:rPr>
          <w:rFonts w:hint="eastAsia" w:eastAsia="仿宋_GB2312"/>
          <w:sz w:val="24"/>
          <w:lang w:eastAsia="zh-Hans"/>
        </w:rPr>
        <w:t>医院信息化建设系统、陕西省严重精神障碍信息管理平台、</w:t>
      </w:r>
      <w:r>
        <w:rPr>
          <w:rFonts w:hint="eastAsia" w:eastAsia="仿宋_GB2312"/>
          <w:sz w:val="24"/>
          <w:lang w:val="en-US" w:eastAsia="zh-Hans"/>
        </w:rPr>
        <w:t>互联网医院信息系统</w:t>
      </w:r>
      <w:r>
        <w:rPr>
          <w:rFonts w:hint="eastAsia" w:eastAsia="仿宋_GB2312"/>
          <w:sz w:val="24"/>
          <w:lang w:eastAsia="zh-Hans"/>
        </w:rPr>
        <w:t>、</w:t>
      </w:r>
      <w:r>
        <w:rPr>
          <w:rFonts w:hint="eastAsia" w:eastAsia="仿宋_GB2312"/>
          <w:sz w:val="24"/>
          <w:lang w:val="en-US" w:eastAsia="zh-Hans"/>
        </w:rPr>
        <w:t>门户网站系统等级保护测评服务</w:t>
      </w:r>
      <w:r>
        <w:rPr>
          <w:rFonts w:hint="eastAsia" w:eastAsia="仿宋_GB2312"/>
          <w:sz w:val="24"/>
          <w:lang w:eastAsia="zh-Hans"/>
        </w:rPr>
        <w:t>，</w:t>
      </w:r>
      <w:r>
        <w:rPr>
          <w:rFonts w:hint="eastAsia" w:eastAsia="仿宋_GB2312"/>
          <w:sz w:val="24"/>
          <w:lang w:val="en-US" w:eastAsia="zh-Hans"/>
        </w:rPr>
        <w:t>接收乙方出具的《信息安全等级保护测评报告》纸质版加盖公章，经甲方验收合格且甲方收到乙方开具的符合甲方要求的等额增值税发票后</w:t>
      </w:r>
      <w:r>
        <w:rPr>
          <w:rFonts w:hint="eastAsia" w:eastAsia="仿宋_GB2312"/>
          <w:sz w:val="24"/>
          <w:lang w:eastAsia="zh-Hans"/>
        </w:rPr>
        <w:t>，一个月内支付合同总价款的95%，否则，甲方付款期限顺延，且不承担任何责任。</w:t>
      </w:r>
    </w:p>
    <w:p w14:paraId="051A49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eastAsia="zh-Hans"/>
        </w:rPr>
        <w:t>2、</w:t>
      </w:r>
      <w:r>
        <w:rPr>
          <w:rFonts w:hint="eastAsia" w:eastAsia="仿宋_GB2312"/>
          <w:sz w:val="24"/>
          <w:lang w:val="en-US" w:eastAsia="zh-CN"/>
        </w:rPr>
        <w:t>质保期</w:t>
      </w:r>
      <w:r>
        <w:rPr>
          <w:rFonts w:hint="eastAsia" w:eastAsia="仿宋_GB2312"/>
          <w:sz w:val="24"/>
          <w:lang w:eastAsia="zh-Hans"/>
        </w:rPr>
        <w:t>结束前进行二次验收合格后，如无质量、技术、服务、安全等问题，一个月内支付合同总价款的5%。</w:t>
      </w:r>
    </w:p>
    <w:p w14:paraId="18FC3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六、其他</w:t>
      </w:r>
    </w:p>
    <w:p w14:paraId="22D8E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w:t>
      </w:r>
      <w:r>
        <w:rPr>
          <w:rFonts w:hint="eastAsia" w:eastAsia="仿宋_GB2312"/>
          <w:sz w:val="24"/>
          <w:lang w:val="en-US" w:eastAsia="zh-CN"/>
        </w:rPr>
        <w:t>一</w:t>
      </w:r>
      <w:r>
        <w:rPr>
          <w:rFonts w:hint="eastAsia" w:eastAsia="仿宋_GB2312"/>
          <w:sz w:val="24"/>
        </w:rPr>
        <w:t>）进度要求</w:t>
      </w:r>
    </w:p>
    <w:p w14:paraId="69462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lang w:eastAsia="zh-Hans"/>
        </w:rPr>
        <w:t>2025年12月31日</w:t>
      </w:r>
      <w:r>
        <w:rPr>
          <w:rFonts w:hint="eastAsia" w:eastAsia="仿宋_GB2312"/>
          <w:sz w:val="24"/>
          <w:lang w:val="en-US" w:eastAsia="zh-Hans"/>
        </w:rPr>
        <w:t>前完成</w:t>
      </w:r>
      <w:r>
        <w:rPr>
          <w:rFonts w:hint="eastAsia" w:eastAsia="仿宋_GB2312"/>
          <w:sz w:val="24"/>
          <w:lang w:eastAsia="zh-Hans"/>
        </w:rPr>
        <w:t>医院信息化建设系统、陕西省严重精神障碍信息管理平台、</w:t>
      </w:r>
      <w:r>
        <w:rPr>
          <w:rFonts w:hint="eastAsia" w:eastAsia="仿宋_GB2312"/>
          <w:sz w:val="24"/>
          <w:lang w:val="en-US" w:eastAsia="zh-Hans"/>
        </w:rPr>
        <w:t>互联网医院信息系统</w:t>
      </w:r>
      <w:r>
        <w:rPr>
          <w:rFonts w:hint="eastAsia" w:eastAsia="仿宋_GB2312"/>
          <w:sz w:val="24"/>
          <w:lang w:eastAsia="zh-Hans"/>
        </w:rPr>
        <w:t>、</w:t>
      </w:r>
      <w:r>
        <w:rPr>
          <w:rFonts w:hint="eastAsia" w:eastAsia="仿宋_GB2312"/>
          <w:sz w:val="24"/>
          <w:lang w:val="en-US" w:eastAsia="zh-Hans"/>
        </w:rPr>
        <w:t>门户网站系统等级保护测评服务</w:t>
      </w:r>
      <w:r>
        <w:rPr>
          <w:rFonts w:hint="eastAsia" w:eastAsia="仿宋_GB2312"/>
          <w:sz w:val="24"/>
          <w:lang w:eastAsia="zh-Hans"/>
        </w:rPr>
        <w:t>。</w:t>
      </w:r>
    </w:p>
    <w:p w14:paraId="5AB60E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w:t>
      </w:r>
      <w:r>
        <w:rPr>
          <w:rFonts w:hint="eastAsia" w:eastAsia="仿宋_GB2312"/>
          <w:sz w:val="24"/>
          <w:lang w:val="en-US" w:eastAsia="zh-CN"/>
        </w:rPr>
        <w:t>二</w:t>
      </w:r>
      <w:r>
        <w:rPr>
          <w:rFonts w:hint="eastAsia" w:eastAsia="仿宋_GB2312"/>
          <w:sz w:val="24"/>
        </w:rPr>
        <w:t>）成果交付要求</w:t>
      </w:r>
    </w:p>
    <w:p w14:paraId="6E0866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《信息系统安全等级测评报告》（每系统一份）；</w:t>
      </w:r>
    </w:p>
    <w:p w14:paraId="2FA6BB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lang w:val="en-US" w:eastAsia="zh-Hans"/>
        </w:rPr>
      </w:pPr>
      <w:r>
        <w:rPr>
          <w:rFonts w:hint="eastAsia" w:eastAsia="仿宋_GB2312"/>
          <w:sz w:val="24"/>
          <w:lang w:val="en-US" w:eastAsia="zh-Hans"/>
        </w:rPr>
        <w:t>《信息系统整改建议书》（每系统一份）。</w:t>
      </w:r>
    </w:p>
    <w:p w14:paraId="38D61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4"/>
        </w:rPr>
      </w:pPr>
      <w:r>
        <w:rPr>
          <w:rFonts w:hint="eastAsia" w:eastAsia="仿宋_GB2312"/>
          <w:sz w:val="24"/>
        </w:rPr>
        <w:t>（</w:t>
      </w:r>
      <w:r>
        <w:rPr>
          <w:rFonts w:hint="eastAsia" w:eastAsia="仿宋_GB2312"/>
          <w:sz w:val="24"/>
          <w:lang w:val="en-US" w:eastAsia="zh-CN"/>
        </w:rPr>
        <w:t>三</w:t>
      </w:r>
      <w:r>
        <w:rPr>
          <w:rFonts w:hint="eastAsia" w:eastAsia="仿宋_GB2312"/>
          <w:sz w:val="24"/>
        </w:rPr>
        <w:t>）质量验收标准或规范</w:t>
      </w:r>
    </w:p>
    <w:p w14:paraId="5AE66366">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_GB2312"/>
          <w:sz w:val="24"/>
        </w:rPr>
      </w:pPr>
      <w:r>
        <w:rPr>
          <w:rFonts w:hint="eastAsia" w:eastAsia="仿宋_GB2312"/>
          <w:sz w:val="24"/>
          <w:lang w:val="en-US" w:eastAsia="zh-Hans"/>
        </w:rPr>
        <w:t>服务商在测评过程中要求按照《计算机信息系统安全保护等级划分准则》（GB17859-1999）、《信息安全技术 网络安全等级保护实施指南》（GB/T25058-2019）、《信息安全技术 网络安全等级保护基本要求》（GB/T22239-2019）、《信息安全技术 网络安全等级保护测评要求》（GB/T28448-2019）、《信息安全技术 网络安全等级保护测评过程指南》（GB/T28449-2018）等相关的标准规范开展等级测评工作，并提交相关测报告。</w:t>
      </w:r>
      <w:r>
        <w:rPr>
          <w:rFonts w:eastAsia="仿宋_GB2312"/>
          <w:sz w:val="24"/>
        </w:rPr>
        <w:br w:type="page"/>
      </w:r>
    </w:p>
    <w:p w14:paraId="3633E216">
      <w:pPr>
        <w:rPr>
          <w:rFonts w:eastAsia="仿宋_GB2312"/>
          <w:bCs/>
        </w:rPr>
      </w:pPr>
    </w:p>
    <w:p w14:paraId="6B464C23">
      <w:pPr>
        <w:pStyle w:val="46"/>
        <w:spacing w:line="360" w:lineRule="auto"/>
        <w:rPr>
          <w:rFonts w:ascii="Times New Roman" w:hAnsi="Times New Roman" w:eastAsiaTheme="minorEastAsia"/>
        </w:rPr>
      </w:pPr>
      <w:bookmarkStart w:id="550" w:name="_Toc415499899"/>
      <w:bookmarkStart w:id="551" w:name="_Toc31008"/>
      <w:bookmarkStart w:id="552" w:name="_Toc58504449"/>
      <w:bookmarkStart w:id="553" w:name="_Toc389620241"/>
      <w:bookmarkStart w:id="554" w:name="_Toc68590981"/>
      <w:bookmarkStart w:id="555" w:name="_Toc385992401"/>
      <w:r>
        <w:rPr>
          <w:rStyle w:val="204"/>
          <w:rFonts w:ascii="Times New Roman" w:hAnsi="Times New Roman" w:eastAsia="宋体"/>
          <w:sz w:val="36"/>
          <w:szCs w:val="36"/>
        </w:rPr>
        <w:t>第六章  磋商响应文件格式</w:t>
      </w:r>
      <w:bookmarkEnd w:id="550"/>
      <w:bookmarkEnd w:id="551"/>
      <w:bookmarkEnd w:id="552"/>
      <w:bookmarkEnd w:id="553"/>
      <w:bookmarkEnd w:id="554"/>
      <w:bookmarkEnd w:id="555"/>
      <w:r>
        <w:rPr>
          <w:rFonts w:ascii="Times New Roman" w:hAnsi="Times New Roman" w:eastAsiaTheme="minorEastAsia"/>
        </w:rPr>
        <w:br w:type="page"/>
      </w:r>
      <w:r>
        <w:rPr>
          <w:rFonts w:ascii="Times New Roman" w:hAnsi="Times New Roman" w:eastAsiaTheme="minorEastAsia"/>
        </w:rPr>
        <w:t xml:space="preserve">                                 </w:t>
      </w:r>
    </w:p>
    <w:p w14:paraId="7FA57B37">
      <w:pPr>
        <w:pStyle w:val="160"/>
        <w:ind w:firstLine="6586" w:firstLineChars="2050"/>
        <w:rPr>
          <w:rFonts w:ascii="Times New Roman"/>
          <w:bCs/>
          <w:lang w:val="zh-CN"/>
        </w:rPr>
      </w:pPr>
      <w:bookmarkStart w:id="556" w:name="_Toc62196433"/>
      <w:r>
        <w:rPr>
          <w:rFonts w:ascii="Times New Roman"/>
          <w:lang w:val="zh-CN"/>
        </w:rPr>
        <w:t>正本/副本</w:t>
      </w:r>
      <w:bookmarkEnd w:id="556"/>
    </w:p>
    <w:p w14:paraId="3D904350">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14:paraId="0A212DFA">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14:paraId="0E07A8C3">
      <w:pPr>
        <w:tabs>
          <w:tab w:val="left" w:pos="5670"/>
        </w:tabs>
        <w:autoSpaceDE w:val="0"/>
        <w:autoSpaceDN w:val="0"/>
        <w:adjustRightInd w:val="0"/>
        <w:snapToGrid w:val="0"/>
        <w:spacing w:line="360" w:lineRule="auto"/>
        <w:jc w:val="center"/>
        <w:rPr>
          <w:rFonts w:eastAsia="仿宋_GB2312"/>
          <w:sz w:val="19"/>
          <w:szCs w:val="19"/>
        </w:rPr>
      </w:pPr>
    </w:p>
    <w:p w14:paraId="1256DB32">
      <w:pPr>
        <w:tabs>
          <w:tab w:val="left" w:pos="5670"/>
        </w:tabs>
        <w:autoSpaceDE w:val="0"/>
        <w:autoSpaceDN w:val="0"/>
        <w:adjustRightInd w:val="0"/>
        <w:snapToGrid w:val="0"/>
        <w:spacing w:line="360" w:lineRule="auto"/>
        <w:jc w:val="center"/>
        <w:rPr>
          <w:rFonts w:eastAsia="仿宋_GB2312"/>
          <w:sz w:val="19"/>
          <w:szCs w:val="19"/>
        </w:rPr>
      </w:pPr>
    </w:p>
    <w:p w14:paraId="2A5DD607">
      <w:pPr>
        <w:tabs>
          <w:tab w:val="left" w:pos="5670"/>
        </w:tabs>
        <w:autoSpaceDE w:val="0"/>
        <w:autoSpaceDN w:val="0"/>
        <w:adjustRightInd w:val="0"/>
        <w:snapToGrid w:val="0"/>
        <w:spacing w:line="360" w:lineRule="auto"/>
        <w:jc w:val="center"/>
        <w:rPr>
          <w:rFonts w:eastAsia="仿宋_GB2312"/>
          <w:sz w:val="19"/>
          <w:szCs w:val="19"/>
        </w:rPr>
      </w:pPr>
    </w:p>
    <w:p w14:paraId="5EA9E914">
      <w:pPr>
        <w:autoSpaceDE w:val="0"/>
        <w:autoSpaceDN w:val="0"/>
        <w:adjustRightInd w:val="0"/>
        <w:snapToGrid w:val="0"/>
        <w:spacing w:line="360" w:lineRule="auto"/>
        <w:jc w:val="center"/>
        <w:rPr>
          <w:rFonts w:hint="default" w:eastAsia="仿宋_GB2312"/>
          <w:b/>
          <w:bCs/>
          <w:sz w:val="44"/>
          <w:szCs w:val="44"/>
        </w:rPr>
      </w:pPr>
      <w:r>
        <w:rPr>
          <w:rFonts w:hint="default" w:eastAsia="仿宋_GB2312"/>
          <w:b/>
          <w:bCs/>
          <w:sz w:val="44"/>
          <w:szCs w:val="44"/>
        </w:rPr>
        <w:t>西安市精神卫生中心</w:t>
      </w:r>
    </w:p>
    <w:p w14:paraId="25C00EB5">
      <w:pPr>
        <w:autoSpaceDE w:val="0"/>
        <w:autoSpaceDN w:val="0"/>
        <w:adjustRightInd w:val="0"/>
        <w:snapToGrid w:val="0"/>
        <w:spacing w:line="360" w:lineRule="auto"/>
        <w:jc w:val="center"/>
        <w:rPr>
          <w:rFonts w:eastAsia="仿宋_GB2312"/>
          <w:b/>
          <w:bCs/>
          <w:sz w:val="44"/>
          <w:szCs w:val="44"/>
        </w:rPr>
      </w:pPr>
      <w:r>
        <w:rPr>
          <w:rFonts w:hint="default" w:eastAsia="仿宋_GB2312"/>
          <w:b/>
          <w:bCs/>
          <w:sz w:val="44"/>
          <w:szCs w:val="44"/>
        </w:rPr>
        <w:t>网络安全等级保护测评服务</w:t>
      </w:r>
    </w:p>
    <w:p w14:paraId="5AA14631">
      <w:pPr>
        <w:tabs>
          <w:tab w:val="left" w:pos="5670"/>
        </w:tabs>
        <w:autoSpaceDE w:val="0"/>
        <w:autoSpaceDN w:val="0"/>
        <w:adjustRightInd w:val="0"/>
        <w:snapToGrid w:val="0"/>
        <w:spacing w:line="360" w:lineRule="auto"/>
        <w:jc w:val="center"/>
        <w:rPr>
          <w:rFonts w:eastAsia="仿宋_GB2312"/>
          <w:b/>
          <w:bCs/>
          <w:sz w:val="36"/>
          <w:szCs w:val="36"/>
          <w:lang w:val="zh-CN"/>
        </w:rPr>
      </w:pPr>
    </w:p>
    <w:p w14:paraId="6AEE6C3E">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2E6E3B7D">
      <w:pPr>
        <w:pStyle w:val="196"/>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14:paraId="7750404A"/>
    <w:p w14:paraId="24EAD99A">
      <w:pPr>
        <w:pStyle w:val="23"/>
        <w:rPr>
          <w:rFonts w:ascii="Times New Roman" w:hAnsi="Times New Roman"/>
        </w:rPr>
      </w:pPr>
    </w:p>
    <w:p w14:paraId="4C620B0A">
      <w:pPr>
        <w:pStyle w:val="23"/>
        <w:rPr>
          <w:rFonts w:ascii="Times New Roman" w:hAnsi="Times New Roman"/>
        </w:rPr>
      </w:pPr>
    </w:p>
    <w:p w14:paraId="34716329">
      <w:pPr>
        <w:pStyle w:val="23"/>
        <w:rPr>
          <w:rFonts w:ascii="Times New Roman" w:hAnsi="Times New Roman"/>
        </w:rPr>
      </w:pPr>
    </w:p>
    <w:p w14:paraId="19506523">
      <w:pPr>
        <w:autoSpaceDE w:val="0"/>
        <w:autoSpaceDN w:val="0"/>
        <w:adjustRightInd w:val="0"/>
        <w:snapToGrid w:val="0"/>
        <w:spacing w:line="360" w:lineRule="auto"/>
        <w:rPr>
          <w:rFonts w:eastAsia="仿宋_GB2312"/>
          <w:b/>
          <w:bCs/>
          <w:sz w:val="32"/>
          <w:szCs w:val="32"/>
          <w:lang w:val="zh-CN"/>
        </w:rPr>
      </w:pPr>
    </w:p>
    <w:p w14:paraId="1C92E142">
      <w:pPr>
        <w:autoSpaceDE w:val="0"/>
        <w:autoSpaceDN w:val="0"/>
        <w:adjustRightInd w:val="0"/>
        <w:snapToGrid w:val="0"/>
        <w:spacing w:line="360" w:lineRule="auto"/>
        <w:rPr>
          <w:rFonts w:eastAsia="仿宋_GB2312"/>
          <w:b/>
          <w:bCs/>
          <w:sz w:val="32"/>
          <w:szCs w:val="32"/>
          <w:lang w:val="zh-CN"/>
        </w:rPr>
      </w:pPr>
    </w:p>
    <w:p w14:paraId="464A8100">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375A60DF">
      <w:pPr>
        <w:autoSpaceDE w:val="0"/>
        <w:autoSpaceDN w:val="0"/>
        <w:adjustRightInd w:val="0"/>
        <w:snapToGrid w:val="0"/>
        <w:spacing w:line="360" w:lineRule="auto"/>
        <w:rPr>
          <w:rFonts w:eastAsia="仿宋_GB2312"/>
          <w:sz w:val="30"/>
          <w:szCs w:val="30"/>
        </w:rPr>
      </w:pPr>
    </w:p>
    <w:p w14:paraId="0E2273F2">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2AA3ED21">
      <w:pPr>
        <w:autoSpaceDE w:val="0"/>
        <w:autoSpaceDN w:val="0"/>
        <w:adjustRightInd w:val="0"/>
        <w:snapToGrid w:val="0"/>
        <w:spacing w:line="360" w:lineRule="auto"/>
        <w:rPr>
          <w:rFonts w:eastAsia="仿宋_GB2312"/>
          <w:b/>
          <w:bCs/>
          <w:sz w:val="32"/>
          <w:szCs w:val="32"/>
        </w:rPr>
      </w:pPr>
    </w:p>
    <w:p w14:paraId="36252F1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4D85DAF4">
      <w:pPr>
        <w:pStyle w:val="23"/>
        <w:rPr>
          <w:rFonts w:ascii="Times New Roman" w:hAnsi="Times New Roman"/>
        </w:rPr>
      </w:pPr>
      <w:r>
        <w:rPr>
          <w:rFonts w:ascii="Times New Roman" w:hAnsi="Times New Roman"/>
        </w:rPr>
        <w:br w:type="page"/>
      </w:r>
    </w:p>
    <w:p w14:paraId="0D290C7F">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14:paraId="4878C632">
      <w:pPr>
        <w:pStyle w:val="5"/>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注：自然人投标的或法定代表人投标的无需提供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557"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557"/>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zh-CN"/>
        </w:rPr>
        <w:t>）</w:t>
      </w:r>
    </w:p>
    <w:p w14:paraId="7A173FF4">
      <w:pPr>
        <w:autoSpaceDE w:val="0"/>
        <w:autoSpaceDN w:val="0"/>
        <w:adjustRightInd w:val="0"/>
        <w:spacing w:line="348" w:lineRule="auto"/>
        <w:jc w:val="center"/>
        <w:rPr>
          <w:rFonts w:ascii="仿宋" w:hAnsi="仿宋" w:eastAsia="仿宋"/>
          <w:sz w:val="28"/>
          <w:szCs w:val="28"/>
          <w:lang w:val="zh-CN"/>
        </w:rPr>
      </w:pPr>
    </w:p>
    <w:p w14:paraId="60C17C67">
      <w:pPr>
        <w:autoSpaceDE w:val="0"/>
        <w:autoSpaceDN w:val="0"/>
        <w:adjustRightInd w:val="0"/>
        <w:spacing w:line="348" w:lineRule="auto"/>
        <w:jc w:val="center"/>
        <w:rPr>
          <w:rFonts w:ascii="仿宋" w:hAnsi="仿宋" w:eastAsia="仿宋"/>
          <w:sz w:val="28"/>
          <w:szCs w:val="28"/>
          <w:lang w:val="zh-CN"/>
        </w:rPr>
      </w:pPr>
    </w:p>
    <w:p w14:paraId="6B81AC60">
      <w:pPr>
        <w:autoSpaceDE w:val="0"/>
        <w:autoSpaceDN w:val="0"/>
        <w:adjustRightInd w:val="0"/>
        <w:spacing w:line="348" w:lineRule="auto"/>
        <w:jc w:val="center"/>
        <w:rPr>
          <w:rFonts w:ascii="仿宋" w:hAnsi="仿宋" w:eastAsia="仿宋"/>
          <w:sz w:val="28"/>
          <w:szCs w:val="28"/>
          <w:lang w:val="zh-CN"/>
        </w:rPr>
      </w:pPr>
    </w:p>
    <w:p w14:paraId="7F8231FA">
      <w:pPr>
        <w:pStyle w:val="23"/>
      </w:pPr>
    </w:p>
    <w:p w14:paraId="40427E90">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14:paraId="64C0E9C5">
      <w:pPr>
        <w:rPr>
          <w:rFonts w:eastAsia="仿宋_GB2312"/>
          <w:b/>
          <w:bCs/>
          <w:sz w:val="32"/>
          <w:szCs w:val="32"/>
          <w:lang w:val="zh-CN"/>
        </w:rPr>
      </w:pPr>
      <w:r>
        <w:rPr>
          <w:rFonts w:eastAsia="仿宋_GB2312"/>
          <w:b/>
          <w:bCs/>
          <w:sz w:val="32"/>
          <w:szCs w:val="32"/>
          <w:lang w:val="zh-CN"/>
        </w:rPr>
        <w:br w:type="page"/>
      </w:r>
    </w:p>
    <w:p w14:paraId="10E27636">
      <w:pPr>
        <w:pStyle w:val="23"/>
      </w:pPr>
    </w:p>
    <w:p w14:paraId="6D9899B2">
      <w:pPr>
        <w:pStyle w:val="5"/>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14:paraId="7CEB787C">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58C28191">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2. </w:t>
      </w:r>
      <w:r>
        <w:rPr>
          <w:rFonts w:eastAsia="仿宋_GB2312"/>
          <w:sz w:val="24"/>
        </w:rPr>
        <w:t>供应商</w:t>
      </w:r>
      <w:r>
        <w:rPr>
          <w:rFonts w:hint="eastAsia" w:eastAsia="仿宋_GB2312"/>
          <w:sz w:val="24"/>
        </w:rPr>
        <w:t>提供递交</w:t>
      </w:r>
      <w:r>
        <w:rPr>
          <w:rFonts w:hint="eastAsia" w:eastAsia="仿宋_GB2312"/>
          <w:sz w:val="24"/>
          <w:lang w:val="en-US" w:eastAsia="zh-CN"/>
        </w:rPr>
        <w:t>2024年度</w:t>
      </w:r>
      <w:r>
        <w:rPr>
          <w:rFonts w:hint="eastAsia" w:eastAsia="仿宋_GB2312"/>
          <w:sz w:val="24"/>
        </w:rPr>
        <w:t>经审计的财务报告复印件</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），或本年度基本</w:t>
      </w:r>
      <w:r>
        <w:rPr>
          <w:rFonts w:hint="eastAsia" w:eastAsia="仿宋_GB2312"/>
          <w:sz w:val="24"/>
          <w:lang w:val="en-US" w:eastAsia="zh-CN"/>
        </w:rPr>
        <w:t>账户</w:t>
      </w:r>
      <w:r>
        <w:rPr>
          <w:rFonts w:eastAsia="仿宋_GB2312"/>
          <w:sz w:val="24"/>
        </w:rPr>
        <w:t>开户银行出具的资信证明（格式要求见附件6-2）；</w:t>
      </w:r>
    </w:p>
    <w:p w14:paraId="720DCBFB">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6CA1C2EE">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3ACD7143">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2623A569">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65D5CA62">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283177F8">
      <w:pPr>
        <w:tabs>
          <w:tab w:val="left" w:pos="993"/>
          <w:tab w:val="left" w:pos="1030"/>
          <w:tab w:val="left" w:pos="8364"/>
        </w:tabs>
        <w:snapToGrid w:val="0"/>
        <w:spacing w:after="120" w:afterLines="50" w:line="360" w:lineRule="auto"/>
        <w:ind w:left="420" w:right="-57" w:rightChars="-27"/>
        <w:jc w:val="left"/>
        <w:rPr>
          <w:rFonts w:hint="eastAsia" w:ascii="Times New Roman" w:hAnsi="Times New Roman" w:eastAsia="仿宋_GB2312" w:cs="Times New Roman"/>
          <w:sz w:val="24"/>
          <w:lang w:val="en-US" w:eastAsia="zh-CN"/>
        </w:rPr>
      </w:pPr>
      <w:r>
        <w:rPr>
          <w:rFonts w:hint="eastAsia" w:eastAsia="仿宋_GB2312"/>
          <w:sz w:val="24"/>
        </w:rPr>
        <w:t xml:space="preserve">8. </w:t>
      </w:r>
      <w:r>
        <w:rPr>
          <w:rFonts w:eastAsia="仿宋_GB2312"/>
          <w:sz w:val="24"/>
        </w:rPr>
        <w:t>证明供应商符合特定资格条件的证明材料</w:t>
      </w:r>
      <w:r>
        <w:rPr>
          <w:rFonts w:hint="eastAsia" w:ascii="Times New Roman" w:hAnsi="Times New Roman" w:eastAsia="仿宋_GB2312" w:cs="Times New Roman"/>
          <w:sz w:val="24"/>
          <w:lang w:val="en-US" w:eastAsia="zh-CN"/>
        </w:rPr>
        <w:t>。</w:t>
      </w:r>
    </w:p>
    <w:p w14:paraId="5B2AA23A">
      <w:pPr>
        <w:snapToGrid w:val="0"/>
        <w:spacing w:line="360" w:lineRule="auto"/>
        <w:ind w:firstLine="480" w:firstLineChars="200"/>
        <w:rPr>
          <w:rFonts w:hint="default" w:ascii="Times New Roman" w:hAnsi="Times New Roman" w:eastAsia="仿宋_GB2312" w:cs="Times New Roman"/>
          <w:sz w:val="24"/>
          <w:lang w:val="en-US" w:eastAsia="zh-CN"/>
        </w:rPr>
      </w:pPr>
    </w:p>
    <w:p w14:paraId="73C37957">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要求：1</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以上资格证明文件须提供原件或加盖投标人红色公章的复印件。</w:t>
      </w:r>
    </w:p>
    <w:p w14:paraId="4230CAD9">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 xml:space="preserve">      2</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联合体投标应提供联合体各方满足以上要求的证明文件。</w:t>
      </w:r>
    </w:p>
    <w:p w14:paraId="51C707D2">
      <w:pPr>
        <w:pStyle w:val="29"/>
        <w:tabs>
          <w:tab w:val="left" w:pos="5580"/>
        </w:tabs>
        <w:spacing w:line="360" w:lineRule="auto"/>
        <w:ind w:left="1075" w:leftChars="512" w:firstLine="183" w:firstLineChars="76"/>
        <w:rPr>
          <w:rFonts w:ascii="Times New Roman" w:hAnsi="Times New Roman" w:eastAsia="仿宋_GB2312"/>
          <w:b/>
          <w:sz w:val="24"/>
        </w:rPr>
      </w:pPr>
      <w:r>
        <w:rPr>
          <w:rFonts w:ascii="Times New Roman" w:hAnsi="Times New Roman" w:eastAsia="仿宋_GB2312"/>
          <w:b/>
          <w:sz w:val="24"/>
        </w:rPr>
        <w:t>3</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《资格证明文件》</w:t>
      </w:r>
      <w:r>
        <w:rPr>
          <w:rFonts w:hint="eastAsia" w:ascii="Times New Roman" w:hAnsi="Times New Roman" w:eastAsia="仿宋_GB2312"/>
          <w:b/>
          <w:sz w:val="24"/>
          <w:lang w:val="en-US" w:eastAsia="zh-CN"/>
        </w:rPr>
        <w:t>需</w:t>
      </w:r>
      <w:r>
        <w:rPr>
          <w:rFonts w:ascii="Times New Roman" w:hAnsi="Times New Roman" w:eastAsia="仿宋_GB2312"/>
          <w:b/>
          <w:sz w:val="24"/>
        </w:rPr>
        <w:t>与《商务及技术文件》分开。</w:t>
      </w:r>
    </w:p>
    <w:p w14:paraId="01D58962">
      <w:pPr>
        <w:tabs>
          <w:tab w:val="left" w:pos="993"/>
          <w:tab w:val="left" w:pos="1030"/>
          <w:tab w:val="left" w:pos="8364"/>
        </w:tabs>
        <w:snapToGrid w:val="0"/>
        <w:spacing w:after="120" w:afterLines="50" w:line="360" w:lineRule="auto"/>
        <w:ind w:left="420" w:right="-57" w:rightChars="-27"/>
        <w:jc w:val="left"/>
        <w:rPr>
          <w:rFonts w:hint="eastAsia" w:eastAsia="仿宋_GB2312"/>
          <w:sz w:val="24"/>
        </w:rPr>
      </w:pPr>
    </w:p>
    <w:p w14:paraId="4195CDF2">
      <w:pPr>
        <w:adjustRightInd w:val="0"/>
        <w:spacing w:line="360" w:lineRule="auto"/>
        <w:ind w:firstLine="480" w:firstLineChars="200"/>
        <w:jc w:val="left"/>
        <w:textAlignment w:val="baseline"/>
        <w:rPr>
          <w:rFonts w:eastAsia="仿宋_GB2312"/>
          <w:sz w:val="24"/>
        </w:rPr>
      </w:pPr>
    </w:p>
    <w:p w14:paraId="27F698B6">
      <w:pPr>
        <w:rPr>
          <w:rFonts w:eastAsia="仿宋_GB2312"/>
          <w:b/>
          <w:sz w:val="24"/>
        </w:rPr>
      </w:pPr>
      <w:bookmarkStart w:id="558" w:name="_Toc7005120"/>
      <w:r>
        <w:rPr>
          <w:rFonts w:eastAsia="仿宋_GB2312"/>
          <w:b/>
          <w:sz w:val="24"/>
        </w:rPr>
        <w:br w:type="page"/>
      </w:r>
    </w:p>
    <w:p w14:paraId="02BBE994">
      <w:pPr>
        <w:jc w:val="left"/>
        <w:outlineLvl w:val="2"/>
        <w:rPr>
          <w:rFonts w:eastAsia="仿宋_GB2312"/>
          <w:b/>
          <w:sz w:val="24"/>
        </w:rPr>
      </w:pPr>
      <w:r>
        <w:rPr>
          <w:rFonts w:eastAsia="仿宋_GB2312"/>
          <w:b/>
          <w:sz w:val="24"/>
        </w:rPr>
        <w:t>6-1  供应商的企业法人营业执照副本复印件（加盖公章）</w:t>
      </w:r>
      <w:bookmarkEnd w:id="558"/>
    </w:p>
    <w:p w14:paraId="335A4763">
      <w:pPr>
        <w:jc w:val="left"/>
        <w:rPr>
          <w:rFonts w:eastAsia="仿宋_GB2312"/>
          <w:sz w:val="24"/>
        </w:rPr>
      </w:pPr>
    </w:p>
    <w:p w14:paraId="3C27D427">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28744621">
      <w:pPr>
        <w:adjustRightInd w:val="0"/>
        <w:spacing w:line="360" w:lineRule="atLeast"/>
        <w:jc w:val="left"/>
        <w:textAlignment w:val="baseline"/>
        <w:rPr>
          <w:rFonts w:eastAsia="仿宋_GB2312"/>
          <w:b/>
          <w:sz w:val="28"/>
        </w:rPr>
      </w:pPr>
    </w:p>
    <w:p w14:paraId="740E3086">
      <w:pPr>
        <w:adjustRightInd w:val="0"/>
        <w:spacing w:line="360" w:lineRule="atLeast"/>
        <w:jc w:val="left"/>
        <w:textAlignment w:val="baseline"/>
        <w:rPr>
          <w:rFonts w:eastAsia="仿宋_GB2312"/>
          <w:b/>
          <w:sz w:val="28"/>
        </w:rPr>
      </w:pPr>
      <w:r>
        <w:rPr>
          <w:rFonts w:eastAsia="仿宋_GB2312"/>
          <w:b/>
          <w:sz w:val="28"/>
        </w:rPr>
        <w:t xml:space="preserve"> </w:t>
      </w:r>
    </w:p>
    <w:p w14:paraId="30A01603">
      <w:pPr>
        <w:jc w:val="left"/>
        <w:outlineLvl w:val="2"/>
        <w:rPr>
          <w:rFonts w:hint="eastAsia" w:eastAsia="仿宋_GB2312"/>
          <w:b/>
          <w:sz w:val="24"/>
          <w:lang w:eastAsia="zh-CN"/>
        </w:rPr>
      </w:pPr>
      <w:bookmarkStart w:id="559" w:name="_Ref527015333"/>
      <w:bookmarkStart w:id="560" w:name="_Toc7005121"/>
      <w:r>
        <w:rPr>
          <w:rFonts w:eastAsia="仿宋_GB2312"/>
          <w:b/>
          <w:sz w:val="24"/>
        </w:rPr>
        <w:t>6-</w:t>
      </w:r>
      <w:r>
        <w:rPr>
          <w:rFonts w:hint="eastAsia" w:eastAsia="仿宋_GB2312"/>
          <w:b/>
          <w:sz w:val="24"/>
        </w:rPr>
        <w:t xml:space="preserve">2  </w:t>
      </w:r>
      <w:r>
        <w:rPr>
          <w:rFonts w:eastAsia="仿宋_GB2312"/>
          <w:b/>
          <w:sz w:val="24"/>
        </w:rPr>
        <w:t>经审计的财务报</w:t>
      </w:r>
      <w:bookmarkEnd w:id="559"/>
      <w:bookmarkEnd w:id="560"/>
      <w:r>
        <w:rPr>
          <w:rFonts w:hint="eastAsia" w:eastAsia="仿宋_GB2312"/>
          <w:b/>
          <w:sz w:val="24"/>
          <w:lang w:val="en-US" w:eastAsia="zh-CN"/>
        </w:rPr>
        <w:t>告</w:t>
      </w:r>
    </w:p>
    <w:p w14:paraId="6CC7D2F4">
      <w:pPr>
        <w:spacing w:line="360" w:lineRule="auto"/>
        <w:rPr>
          <w:rFonts w:eastAsia="仿宋_GB2312"/>
          <w:szCs w:val="21"/>
        </w:rPr>
      </w:pPr>
    </w:p>
    <w:p w14:paraId="3196C381">
      <w:pPr>
        <w:tabs>
          <w:tab w:val="left" w:pos="993"/>
          <w:tab w:val="left" w:pos="1030"/>
          <w:tab w:val="left" w:pos="8364"/>
        </w:tabs>
        <w:snapToGrid w:val="0"/>
        <w:spacing w:after="120" w:afterLines="50"/>
        <w:ind w:right="-57" w:rightChars="-27"/>
        <w:rPr>
          <w:rFonts w:eastAsia="仿宋_GB2312"/>
          <w:sz w:val="24"/>
        </w:rPr>
      </w:pPr>
      <w:r>
        <w:rPr>
          <w:rFonts w:eastAsia="仿宋_GB2312"/>
          <w:sz w:val="24"/>
        </w:rPr>
        <w:t>供应商</w:t>
      </w:r>
      <w:r>
        <w:rPr>
          <w:rFonts w:hint="eastAsia" w:eastAsia="仿宋_GB2312"/>
          <w:sz w:val="24"/>
        </w:rPr>
        <w:t>提供</w:t>
      </w:r>
      <w:r>
        <w:rPr>
          <w:rFonts w:hint="eastAsia" w:eastAsia="仿宋_GB2312"/>
          <w:sz w:val="24"/>
          <w:lang w:val="en-US" w:eastAsia="zh-CN"/>
        </w:rPr>
        <w:t>2024</w:t>
      </w:r>
      <w:r>
        <w:rPr>
          <w:rFonts w:hint="eastAsia" w:eastAsia="仿宋_GB2312"/>
          <w:sz w:val="24"/>
        </w:rPr>
        <w:t>年度经审计的财务报告</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）复印件或扫描件</w:t>
      </w:r>
      <w:r>
        <w:rPr>
          <w:rFonts w:hint="eastAsia" w:eastAsia="仿宋_GB2312"/>
          <w:sz w:val="24"/>
          <w:lang w:eastAsia="zh-CN"/>
        </w:rPr>
        <w:t>，</w:t>
      </w:r>
      <w:r>
        <w:rPr>
          <w:rFonts w:eastAsia="仿宋_GB2312"/>
          <w:sz w:val="24"/>
        </w:rPr>
        <w:t>所有复印件或扫描件需加盖单位公章。</w:t>
      </w:r>
    </w:p>
    <w:p w14:paraId="32E84B9B">
      <w:pPr>
        <w:spacing w:line="360" w:lineRule="auto"/>
        <w:rPr>
          <w:rFonts w:eastAsia="仿宋_GB2312"/>
          <w:szCs w:val="21"/>
        </w:rPr>
      </w:pPr>
    </w:p>
    <w:p w14:paraId="021CB381">
      <w:pPr>
        <w:tabs>
          <w:tab w:val="left" w:pos="993"/>
          <w:tab w:val="left" w:pos="1030"/>
          <w:tab w:val="left" w:pos="8364"/>
        </w:tabs>
        <w:snapToGrid w:val="0"/>
        <w:spacing w:after="120" w:afterLines="50"/>
        <w:ind w:left="420" w:right="-57" w:rightChars="-27"/>
        <w:jc w:val="left"/>
        <w:rPr>
          <w:rFonts w:eastAsia="仿宋_GB2312"/>
          <w:b/>
          <w:spacing w:val="20"/>
          <w:sz w:val="24"/>
        </w:rPr>
      </w:pPr>
    </w:p>
    <w:p w14:paraId="7490C2CB">
      <w:pPr>
        <w:jc w:val="left"/>
        <w:outlineLvl w:val="2"/>
        <w:rPr>
          <w:rFonts w:eastAsia="仿宋_GB2312"/>
          <w:b/>
          <w:sz w:val="24"/>
        </w:rPr>
      </w:pPr>
      <w:bookmarkStart w:id="561" w:name="_Toc7005122"/>
      <w:r>
        <w:rPr>
          <w:rFonts w:eastAsia="仿宋_GB2312"/>
          <w:b/>
          <w:sz w:val="24"/>
        </w:rPr>
        <w:t xml:space="preserve">或  6-2 </w:t>
      </w:r>
      <w:bookmarkEnd w:id="561"/>
      <w:r>
        <w:rPr>
          <w:rFonts w:hint="eastAsia" w:ascii="仿宋_GB2312" w:hAnsi="仿宋_GB2312" w:eastAsia="仿宋_GB2312" w:cs="仿宋_GB2312"/>
          <w:b/>
          <w:sz w:val="24"/>
          <w:lang w:val="en-US" w:eastAsia="zh-CN"/>
        </w:rPr>
        <w:t xml:space="preserve"> </w:t>
      </w:r>
      <w:r>
        <w:rPr>
          <w:rFonts w:hint="eastAsia" w:eastAsia="仿宋_GB2312"/>
          <w:b/>
          <w:sz w:val="24"/>
          <w:szCs w:val="32"/>
        </w:rPr>
        <w:t>递交</w:t>
      </w:r>
      <w:r>
        <w:rPr>
          <w:rFonts w:hint="eastAsia" w:eastAsia="仿宋_GB2312"/>
          <w:b/>
          <w:sz w:val="24"/>
          <w:szCs w:val="32"/>
          <w:lang w:val="en-US" w:eastAsia="zh-CN"/>
        </w:rPr>
        <w:t>响应</w:t>
      </w:r>
      <w:r>
        <w:rPr>
          <w:rFonts w:hint="eastAsia" w:eastAsia="仿宋_GB2312"/>
          <w:b/>
          <w:sz w:val="24"/>
          <w:szCs w:val="32"/>
        </w:rPr>
        <w:t>文件截止时间前三个月内</w:t>
      </w:r>
      <w:r>
        <w:rPr>
          <w:rFonts w:hint="eastAsia" w:eastAsia="仿宋_GB2312"/>
          <w:b/>
          <w:sz w:val="24"/>
          <w:szCs w:val="32"/>
          <w:lang w:val="en-US" w:eastAsia="zh-CN"/>
        </w:rPr>
        <w:t>供应商基本账户</w:t>
      </w:r>
      <w:r>
        <w:rPr>
          <w:rFonts w:hint="eastAsia" w:eastAsia="仿宋_GB2312"/>
          <w:b/>
          <w:sz w:val="24"/>
          <w:szCs w:val="32"/>
        </w:rPr>
        <w:t>开户银行出具的资信证明</w:t>
      </w:r>
    </w:p>
    <w:p w14:paraId="42F5084E">
      <w:pPr>
        <w:spacing w:line="360" w:lineRule="auto"/>
        <w:rPr>
          <w:rFonts w:eastAsia="仿宋_GB2312"/>
          <w:szCs w:val="21"/>
        </w:rPr>
      </w:pPr>
    </w:p>
    <w:p w14:paraId="52AD8F8F">
      <w:pPr>
        <w:widowControl/>
        <w:jc w:val="left"/>
        <w:rPr>
          <w:rFonts w:eastAsia="仿宋_GB2312"/>
          <w:b/>
          <w:spacing w:val="20"/>
          <w:sz w:val="24"/>
        </w:rPr>
      </w:pPr>
    </w:p>
    <w:p w14:paraId="4EF10BFE">
      <w:pPr>
        <w:tabs>
          <w:tab w:val="left" w:pos="5580"/>
        </w:tabs>
        <w:spacing w:before="120" w:line="360" w:lineRule="auto"/>
        <w:ind w:firstLine="480" w:firstLineChars="200"/>
        <w:rPr>
          <w:rFonts w:eastAsia="仿宋_GB2312"/>
          <w:sz w:val="24"/>
        </w:rPr>
      </w:pPr>
    </w:p>
    <w:p w14:paraId="3B750A95">
      <w:pPr>
        <w:jc w:val="left"/>
        <w:outlineLvl w:val="2"/>
        <w:rPr>
          <w:rFonts w:eastAsia="仿宋_GB2312"/>
          <w:b/>
          <w:sz w:val="24"/>
        </w:rPr>
      </w:pPr>
      <w:bookmarkStart w:id="562" w:name="_Toc7005123"/>
      <w:r>
        <w:rPr>
          <w:rFonts w:eastAsia="仿宋_GB2312"/>
          <w:b/>
          <w:sz w:val="24"/>
        </w:rPr>
        <w:t>6-3</w:t>
      </w:r>
      <w:r>
        <w:rPr>
          <w:rFonts w:hint="eastAsia" w:eastAsia="仿宋_GB2312"/>
          <w:b/>
          <w:sz w:val="24"/>
        </w:rPr>
        <w:t xml:space="preserve">  </w:t>
      </w:r>
      <w:r>
        <w:rPr>
          <w:rFonts w:eastAsia="仿宋_GB2312"/>
          <w:b/>
          <w:sz w:val="24"/>
        </w:rPr>
        <w:t>依法缴纳税收的证明</w:t>
      </w:r>
      <w:bookmarkEnd w:id="562"/>
    </w:p>
    <w:p w14:paraId="4D8B77F3">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14:paraId="3A74712A">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14:paraId="0FA3EB65">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w:t>
      </w:r>
      <w:r>
        <w:rPr>
          <w:rFonts w:hint="eastAsia" w:eastAsia="仿宋_GB2312"/>
          <w:sz w:val="24"/>
        </w:rPr>
        <w:t xml:space="preserve">. </w:t>
      </w:r>
      <w:r>
        <w:rPr>
          <w:rFonts w:eastAsia="仿宋_GB2312"/>
          <w:sz w:val="24"/>
        </w:rPr>
        <w:t>供应商应提供</w:t>
      </w:r>
      <w:r>
        <w:rPr>
          <w:rFonts w:hint="eastAsia" w:eastAsia="仿宋_GB2312"/>
          <w:sz w:val="24"/>
        </w:rPr>
        <w:t>自磋商响应文件递交截止时间前</w:t>
      </w:r>
      <w:r>
        <w:rPr>
          <w:rFonts w:eastAsia="仿宋_GB2312"/>
          <w:sz w:val="24"/>
        </w:rPr>
        <w:t>近六个月中任何一个月缴纳</w:t>
      </w:r>
      <w:r>
        <w:rPr>
          <w:rFonts w:hint="eastAsia" w:eastAsia="仿宋_GB2312"/>
          <w:sz w:val="24"/>
          <w:lang w:val="en-US" w:eastAsia="zh-CN"/>
        </w:rPr>
        <w:t>税收</w:t>
      </w:r>
      <w:r>
        <w:rPr>
          <w:rFonts w:eastAsia="仿宋_GB2312"/>
          <w:sz w:val="24"/>
        </w:rPr>
        <w:t>的凭证</w:t>
      </w:r>
      <w:r>
        <w:rPr>
          <w:rFonts w:hint="eastAsia" w:eastAsia="仿宋_GB2312"/>
          <w:sz w:val="24"/>
        </w:rPr>
        <w:t>，时间以税款所属时期为准</w:t>
      </w:r>
      <w:r>
        <w:rPr>
          <w:rFonts w:eastAsia="仿宋_GB2312"/>
          <w:sz w:val="24"/>
        </w:rPr>
        <w:t>（银行出具的缴税凭证或税务机关出具的证明的复印件，并加盖本单位公章）。</w:t>
      </w:r>
    </w:p>
    <w:p w14:paraId="63CA7DA5">
      <w:pPr>
        <w:tabs>
          <w:tab w:val="left" w:pos="993"/>
          <w:tab w:val="left" w:pos="1030"/>
          <w:tab w:val="left" w:pos="8364"/>
        </w:tabs>
        <w:snapToGrid w:val="0"/>
        <w:spacing w:after="120" w:afterLines="50"/>
        <w:ind w:left="479" w:leftChars="228" w:right="-57" w:rightChars="-27"/>
        <w:jc w:val="left"/>
      </w:pPr>
      <w:r>
        <w:rPr>
          <w:rFonts w:hint="eastAsia" w:eastAsia="仿宋_GB2312"/>
          <w:sz w:val="24"/>
        </w:rPr>
        <w:t>供应商采用汇算清缴方式缴纳企业所得税的，应提供自响应文件递交截止时间前近六个月中任何一个月缴纳增值税</w:t>
      </w:r>
      <w:r>
        <w:rPr>
          <w:rFonts w:hint="eastAsia" w:eastAsia="仿宋_GB2312"/>
          <w:sz w:val="24"/>
          <w:lang w:val="en-US" w:eastAsia="zh-CN"/>
        </w:rPr>
        <w:t>或</w:t>
      </w:r>
      <w:r>
        <w:rPr>
          <w:rFonts w:hint="eastAsia" w:eastAsia="仿宋_GB2312"/>
          <w:sz w:val="24"/>
        </w:rPr>
        <w:t>最近一期缴纳企业所得税的凭证，时间以税款所属时期为准（银行出具的缴税凭证或税务机关出具的证明的复印件，并加盖本单位公章）。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sz w:val="24"/>
        </w:rPr>
      </w:pPr>
      <w:r>
        <w:rPr>
          <w:rFonts w:eastAsia="仿宋_GB2312"/>
          <w:sz w:val="24"/>
        </w:rPr>
        <w:t>2</w:t>
      </w:r>
      <w:r>
        <w:rPr>
          <w:rFonts w:hint="eastAsia" w:eastAsia="仿宋_GB2312"/>
          <w:sz w:val="24"/>
        </w:rPr>
        <w:t xml:space="preserve">. </w:t>
      </w:r>
      <w:r>
        <w:rPr>
          <w:rFonts w:eastAsia="仿宋_GB2312"/>
          <w:sz w:val="24"/>
        </w:rPr>
        <w:t>依法免税</w:t>
      </w:r>
      <w:r>
        <w:rPr>
          <w:rFonts w:hint="eastAsia" w:eastAsia="仿宋_GB2312"/>
          <w:sz w:val="24"/>
        </w:rPr>
        <w:t>或无须缴纳税收</w:t>
      </w:r>
      <w:r>
        <w:rPr>
          <w:rFonts w:eastAsia="仿宋_GB2312"/>
          <w:sz w:val="24"/>
        </w:rPr>
        <w:t>的</w:t>
      </w:r>
      <w:r>
        <w:rPr>
          <w:rFonts w:hint="eastAsia" w:eastAsia="仿宋_GB2312"/>
          <w:sz w:val="24"/>
          <w:lang w:val="en-US" w:eastAsia="zh-CN"/>
        </w:rPr>
        <w:t>供应商</w:t>
      </w:r>
      <w:r>
        <w:rPr>
          <w:rFonts w:eastAsia="仿宋_GB2312"/>
          <w:sz w:val="24"/>
        </w:rPr>
        <w:t>，应提供相应证明</w:t>
      </w:r>
      <w:r>
        <w:rPr>
          <w:rFonts w:hint="eastAsia" w:eastAsia="仿宋_GB2312"/>
          <w:sz w:val="24"/>
          <w:lang w:val="en-US" w:eastAsia="zh-CN"/>
        </w:rPr>
        <w:t>文件</w:t>
      </w:r>
      <w:r>
        <w:rPr>
          <w:rFonts w:eastAsia="仿宋_GB2312"/>
          <w:sz w:val="24"/>
        </w:rPr>
        <w:t>。</w:t>
      </w:r>
    </w:p>
    <w:p w14:paraId="53AA84B2">
      <w:pPr>
        <w:tabs>
          <w:tab w:val="left" w:pos="993"/>
          <w:tab w:val="left" w:pos="1030"/>
          <w:tab w:val="left" w:pos="8364"/>
        </w:tabs>
        <w:snapToGrid w:val="0"/>
        <w:spacing w:after="120" w:afterLines="50"/>
        <w:ind w:right="-57" w:rightChars="-27"/>
        <w:jc w:val="left"/>
        <w:rPr>
          <w:rFonts w:eastAsia="仿宋_GB2312"/>
          <w:sz w:val="24"/>
        </w:rPr>
      </w:pPr>
    </w:p>
    <w:p w14:paraId="04709374">
      <w:pPr>
        <w:jc w:val="left"/>
        <w:outlineLvl w:val="2"/>
        <w:rPr>
          <w:rFonts w:eastAsia="仿宋_GB2312"/>
          <w:b/>
          <w:sz w:val="24"/>
        </w:rPr>
      </w:pPr>
      <w:bookmarkStart w:id="563" w:name="_Toc7005124"/>
      <w:r>
        <w:rPr>
          <w:rFonts w:eastAsia="仿宋_GB2312"/>
          <w:b/>
          <w:sz w:val="24"/>
        </w:rPr>
        <w:t>6-4</w:t>
      </w:r>
      <w:r>
        <w:rPr>
          <w:rFonts w:hint="eastAsia" w:eastAsia="仿宋_GB2312"/>
          <w:b/>
          <w:sz w:val="24"/>
        </w:rPr>
        <w:t xml:space="preserve">  </w:t>
      </w:r>
      <w:r>
        <w:rPr>
          <w:rFonts w:eastAsia="仿宋_GB2312"/>
          <w:b/>
          <w:sz w:val="24"/>
        </w:rPr>
        <w:t>社会保障资金缴纳记录</w:t>
      </w:r>
      <w:bookmarkEnd w:id="563"/>
    </w:p>
    <w:p w14:paraId="24B03D7F">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14:paraId="3C15A1E4">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14:paraId="77D10C5C">
      <w:pPr>
        <w:tabs>
          <w:tab w:val="left" w:pos="993"/>
          <w:tab w:val="left" w:pos="1030"/>
          <w:tab w:val="left" w:pos="8364"/>
        </w:tabs>
        <w:snapToGrid w:val="0"/>
        <w:spacing w:after="120" w:afterLines="50"/>
        <w:ind w:left="460" w:leftChars="219" w:right="-57" w:rightChars="-27" w:firstLine="19" w:firstLineChars="8"/>
        <w:jc w:val="left"/>
        <w:rPr>
          <w:rFonts w:eastAsia="仿宋_GB2312"/>
          <w:sz w:val="24"/>
        </w:rPr>
      </w:pPr>
      <w:r>
        <w:rPr>
          <w:rFonts w:hint="eastAsia" w:eastAsia="仿宋_GB2312"/>
          <w:sz w:val="24"/>
        </w:rPr>
        <w:t xml:space="preserve">1. </w:t>
      </w:r>
      <w:r>
        <w:rPr>
          <w:rFonts w:eastAsia="仿宋_GB2312"/>
          <w:sz w:val="24"/>
        </w:rPr>
        <w:t>供应商应提供</w:t>
      </w:r>
      <w:r>
        <w:rPr>
          <w:rFonts w:hint="eastAsia" w:eastAsia="仿宋_GB2312"/>
          <w:sz w:val="24"/>
        </w:rPr>
        <w:t>自磋商响应文件递交截止时间前近</w:t>
      </w:r>
      <w:r>
        <w:rPr>
          <w:rFonts w:eastAsia="仿宋_GB2312"/>
          <w:sz w:val="24"/>
        </w:rPr>
        <w:t>六个月中至少一个月的社会缴纳社会保险的凭据（专用收据或社会保险缴纳清单），并加盖本单位公章。</w:t>
      </w:r>
    </w:p>
    <w:p w14:paraId="4C32F41A">
      <w:pPr>
        <w:tabs>
          <w:tab w:val="left" w:pos="993"/>
          <w:tab w:val="left" w:pos="1030"/>
          <w:tab w:val="left" w:pos="8364"/>
        </w:tabs>
        <w:snapToGrid w:val="0"/>
        <w:spacing w:after="120" w:afterLines="50"/>
        <w:ind w:left="479" w:leftChars="228" w:right="-57" w:rightChars="-27"/>
        <w:jc w:val="left"/>
        <w:rPr>
          <w:rFonts w:eastAsia="仿宋_GB2312"/>
          <w:sz w:val="24"/>
        </w:rPr>
      </w:pPr>
      <w:r>
        <w:rPr>
          <w:rFonts w:hint="eastAsia" w:eastAsia="仿宋_GB2312"/>
          <w:sz w:val="24"/>
        </w:rPr>
        <w:t xml:space="preserve">2. </w:t>
      </w:r>
      <w:r>
        <w:rPr>
          <w:rFonts w:eastAsia="仿宋_GB2312"/>
          <w:sz w:val="24"/>
        </w:rPr>
        <w:t>不需要缴纳社会保障资金的供应商，应提供相应文件证明其不需要缴纳社会保障资金。</w:t>
      </w:r>
    </w:p>
    <w:p w14:paraId="34F242E3">
      <w:pPr>
        <w:rPr>
          <w:rFonts w:eastAsia="仿宋_GB2312"/>
          <w:b/>
          <w:bCs/>
          <w:sz w:val="24"/>
        </w:rPr>
      </w:pPr>
      <w:bookmarkStart w:id="564" w:name="_Toc7005125"/>
    </w:p>
    <w:p w14:paraId="6844A1B6">
      <w:pPr>
        <w:pStyle w:val="23"/>
      </w:pPr>
    </w:p>
    <w:p w14:paraId="19C768CB">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564"/>
      <w:r>
        <w:rPr>
          <w:rFonts w:eastAsia="仿宋_GB2312"/>
          <w:b/>
          <w:sz w:val="24"/>
        </w:rPr>
        <w:t xml:space="preserve">                                                                                                                                                                                                                                                                                                                                                                                                                                                                                                                                                                                                                                                                                                      </w:t>
      </w:r>
    </w:p>
    <w:p w14:paraId="7980E87D">
      <w:pPr>
        <w:ind w:firstLine="480"/>
        <w:rPr>
          <w:rFonts w:eastAsia="仿宋_GB2312"/>
          <w:kern w:val="0"/>
          <w:sz w:val="24"/>
        </w:rPr>
      </w:pPr>
    </w:p>
    <w:p w14:paraId="36560EF5">
      <w:pPr>
        <w:ind w:firstLine="480"/>
        <w:rPr>
          <w:rFonts w:eastAsia="仿宋_GB2312"/>
          <w:kern w:val="0"/>
          <w:sz w:val="24"/>
        </w:rPr>
      </w:pPr>
    </w:p>
    <w:p w14:paraId="35061589">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14:paraId="1D9121BC">
      <w:pPr>
        <w:ind w:firstLine="480"/>
        <w:rPr>
          <w:rFonts w:eastAsia="仿宋_GB2312"/>
          <w:kern w:val="0"/>
          <w:sz w:val="24"/>
        </w:rPr>
      </w:pPr>
    </w:p>
    <w:p w14:paraId="50337E9C">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17E80112">
      <w:pPr>
        <w:ind w:firstLine="480"/>
        <w:rPr>
          <w:rFonts w:eastAsia="仿宋_GB2312"/>
          <w:b/>
          <w:sz w:val="24"/>
        </w:rPr>
      </w:pPr>
    </w:p>
    <w:p w14:paraId="2D2D1F09">
      <w:pPr>
        <w:ind w:firstLine="480"/>
        <w:rPr>
          <w:rFonts w:eastAsia="仿宋_GB2312"/>
          <w:b/>
          <w:sz w:val="24"/>
        </w:rPr>
      </w:pPr>
    </w:p>
    <w:p w14:paraId="6FABC99A">
      <w:pPr>
        <w:ind w:firstLine="480"/>
        <w:rPr>
          <w:rFonts w:eastAsia="仿宋_GB2312"/>
          <w:b/>
          <w:sz w:val="24"/>
        </w:rPr>
      </w:pPr>
    </w:p>
    <w:p w14:paraId="3F60B479">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3DC8EA8">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07BFECBF">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0BDCD151">
      <w:pPr>
        <w:ind w:right="280"/>
        <w:rPr>
          <w:rFonts w:eastAsia="仿宋_GB2312"/>
          <w:sz w:val="24"/>
        </w:rPr>
      </w:pPr>
    </w:p>
    <w:p w14:paraId="4BEFF08A">
      <w:pPr>
        <w:tabs>
          <w:tab w:val="left" w:pos="5580"/>
        </w:tabs>
        <w:spacing w:before="120" w:line="360" w:lineRule="auto"/>
        <w:ind w:firstLine="480" w:firstLineChars="200"/>
        <w:rPr>
          <w:rFonts w:eastAsia="仿宋_GB2312"/>
          <w:sz w:val="24"/>
        </w:rPr>
      </w:pPr>
    </w:p>
    <w:p w14:paraId="42964A1E">
      <w:pPr>
        <w:widowControl/>
        <w:jc w:val="left"/>
        <w:rPr>
          <w:rFonts w:eastAsia="仿宋_GB2312"/>
          <w:b/>
          <w:sz w:val="24"/>
        </w:rPr>
      </w:pPr>
    </w:p>
    <w:p w14:paraId="3C0F8CDC">
      <w:pPr>
        <w:jc w:val="left"/>
        <w:outlineLvl w:val="2"/>
        <w:rPr>
          <w:rFonts w:eastAsia="仿宋_GB2312"/>
          <w:b/>
          <w:sz w:val="24"/>
          <w:szCs w:val="22"/>
        </w:rPr>
      </w:pPr>
      <w:bookmarkStart w:id="565" w:name="_Toc7005126"/>
      <w:r>
        <w:rPr>
          <w:rFonts w:hint="eastAsia" w:eastAsia="仿宋_GB2312"/>
          <w:b/>
          <w:sz w:val="24"/>
          <w:szCs w:val="22"/>
        </w:rPr>
        <w:t xml:space="preserve">6-6  </w:t>
      </w:r>
      <w:r>
        <w:rPr>
          <w:rFonts w:eastAsia="仿宋_GB2312"/>
          <w:b/>
          <w:sz w:val="24"/>
          <w:szCs w:val="22"/>
        </w:rPr>
        <w:t>供应商参加政府采购活动前3年内在经营活动中没有重大违法记录的书面声明（格式）</w:t>
      </w:r>
      <w:bookmarkEnd w:id="565"/>
    </w:p>
    <w:p w14:paraId="1372F29B">
      <w:pPr>
        <w:jc w:val="center"/>
        <w:rPr>
          <w:rFonts w:eastAsia="仿宋_GB2312"/>
          <w:sz w:val="24"/>
        </w:rPr>
      </w:pPr>
    </w:p>
    <w:p w14:paraId="051E6141">
      <w:pPr>
        <w:jc w:val="center"/>
        <w:rPr>
          <w:rFonts w:eastAsia="仿宋_GB2312"/>
          <w:b/>
          <w:sz w:val="24"/>
        </w:rPr>
      </w:pPr>
      <w:r>
        <w:rPr>
          <w:rFonts w:eastAsia="仿宋_GB2312"/>
          <w:b/>
          <w:sz w:val="24"/>
        </w:rPr>
        <w:t>声明函</w:t>
      </w:r>
    </w:p>
    <w:p w14:paraId="0303F103">
      <w:pPr>
        <w:jc w:val="center"/>
        <w:rPr>
          <w:rFonts w:eastAsia="仿宋_GB2312"/>
          <w:sz w:val="24"/>
        </w:rPr>
      </w:pPr>
    </w:p>
    <w:p w14:paraId="60BC3D9E">
      <w:pPr>
        <w:tabs>
          <w:tab w:val="left" w:pos="5580"/>
        </w:tabs>
        <w:spacing w:before="120" w:line="360" w:lineRule="auto"/>
        <w:rPr>
          <w:rFonts w:eastAsia="仿宋_GB2312"/>
          <w:sz w:val="24"/>
        </w:rPr>
      </w:pPr>
      <w:r>
        <w:rPr>
          <w:rFonts w:eastAsia="仿宋_GB2312"/>
          <w:sz w:val="24"/>
        </w:rPr>
        <w:t xml:space="preserve">陕西省采购招标有限责任公司：  </w:t>
      </w:r>
    </w:p>
    <w:p w14:paraId="5BBE39E8">
      <w:pPr>
        <w:tabs>
          <w:tab w:val="left" w:pos="5580"/>
        </w:tabs>
        <w:spacing w:before="120" w:line="360" w:lineRule="auto"/>
        <w:ind w:firstLine="480" w:firstLineChars="200"/>
        <w:rPr>
          <w:rFonts w:eastAsia="仿宋_GB2312"/>
          <w:sz w:val="24"/>
        </w:rPr>
      </w:pPr>
      <w:r>
        <w:rPr>
          <w:rFonts w:hint="eastAsia" w:eastAsia="仿宋_GB2312"/>
          <w:sz w:val="24"/>
        </w:rPr>
        <w:t>我公司郑重承诺在参加本项目政府采购活动前三年内，在经营活动中无重大违法记录。</w:t>
      </w:r>
    </w:p>
    <w:p w14:paraId="6DD8AFC8">
      <w:pPr>
        <w:tabs>
          <w:tab w:val="left" w:pos="5580"/>
        </w:tabs>
        <w:spacing w:before="120" w:line="360" w:lineRule="auto"/>
        <w:ind w:firstLine="480" w:firstLineChars="200"/>
        <w:rPr>
          <w:rFonts w:eastAsia="仿宋_GB2312"/>
          <w:sz w:val="24"/>
        </w:rPr>
      </w:pPr>
      <w:r>
        <w:rPr>
          <w:rFonts w:eastAsia="仿宋_GB2312"/>
          <w:sz w:val="24"/>
        </w:rPr>
        <w:t>特此声明。</w:t>
      </w:r>
    </w:p>
    <w:p w14:paraId="59A9DA16">
      <w:pPr>
        <w:tabs>
          <w:tab w:val="left" w:pos="5580"/>
        </w:tabs>
        <w:spacing w:before="120" w:line="360" w:lineRule="auto"/>
        <w:ind w:firstLine="480" w:firstLineChars="200"/>
        <w:rPr>
          <w:rFonts w:eastAsia="仿宋_GB2312"/>
          <w:sz w:val="24"/>
        </w:rPr>
      </w:pPr>
    </w:p>
    <w:p w14:paraId="1A7C5C7B">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39532A6B">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1E7584E0">
      <w:pPr>
        <w:spacing w:after="120"/>
        <w:ind w:firstLine="480" w:firstLineChars="200"/>
        <w:rPr>
          <w:rFonts w:eastAsia="仿宋_GB2312"/>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66CAC3E">
      <w:pPr>
        <w:rPr>
          <w:rFonts w:eastAsia="仿宋_GB2312"/>
        </w:rPr>
      </w:pPr>
      <w:r>
        <w:rPr>
          <w:rFonts w:eastAsia="仿宋_GB2312"/>
        </w:rPr>
        <w:br w:type="page"/>
      </w:r>
    </w:p>
    <w:p w14:paraId="760FDC92">
      <w:pPr>
        <w:jc w:val="left"/>
        <w:outlineLvl w:val="2"/>
        <w:rPr>
          <w:rFonts w:eastAsia="仿宋_GB2312"/>
          <w:b/>
          <w:sz w:val="24"/>
          <w:szCs w:val="22"/>
        </w:rPr>
      </w:pPr>
      <w:bookmarkStart w:id="566" w:name="_Toc7005127"/>
      <w:r>
        <w:rPr>
          <w:rFonts w:hint="eastAsia" w:eastAsia="仿宋_GB2312"/>
          <w:b/>
          <w:sz w:val="24"/>
          <w:szCs w:val="22"/>
        </w:rPr>
        <w:t xml:space="preserve">6-7  </w:t>
      </w:r>
      <w:r>
        <w:rPr>
          <w:rFonts w:eastAsia="仿宋_GB2312"/>
          <w:b/>
          <w:sz w:val="24"/>
          <w:szCs w:val="22"/>
        </w:rPr>
        <w:t>供应商控股股东名称、控股公司的名称和存在管理、被管理关系的单位名称说明</w:t>
      </w:r>
      <w:bookmarkEnd w:id="566"/>
    </w:p>
    <w:p w14:paraId="5FA6661E">
      <w:pPr>
        <w:ind w:firstLine="420"/>
        <w:rPr>
          <w:rFonts w:eastAsia="仿宋_GB2312"/>
          <w:szCs w:val="21"/>
        </w:rPr>
      </w:pPr>
    </w:p>
    <w:p w14:paraId="7F20895A">
      <w:pPr>
        <w:rPr>
          <w:rFonts w:eastAsia="仿宋_GB2312"/>
          <w:sz w:val="24"/>
        </w:rPr>
      </w:pPr>
    </w:p>
    <w:p w14:paraId="24A75D39">
      <w:pPr>
        <w:rPr>
          <w:rFonts w:eastAsia="仿宋_GB2312"/>
          <w:sz w:val="24"/>
        </w:rPr>
      </w:pPr>
      <w:r>
        <w:rPr>
          <w:rFonts w:eastAsia="仿宋_GB2312"/>
          <w:sz w:val="24"/>
        </w:rPr>
        <w:t>陕西省采购招标有限责任公司：</w:t>
      </w:r>
    </w:p>
    <w:p w14:paraId="126FB003">
      <w:pPr>
        <w:spacing w:after="120"/>
        <w:rPr>
          <w:rFonts w:eastAsia="仿宋_GB2312"/>
        </w:rPr>
      </w:pPr>
    </w:p>
    <w:p w14:paraId="3B0E8A5B">
      <w:pPr>
        <w:ind w:firstLine="426"/>
        <w:rPr>
          <w:rFonts w:eastAsia="仿宋_GB2312"/>
          <w:sz w:val="24"/>
        </w:rPr>
      </w:pPr>
      <w:r>
        <w:rPr>
          <w:rFonts w:eastAsia="仿宋_GB2312"/>
          <w:sz w:val="24"/>
        </w:rPr>
        <w:t>与我方的法定代表人（单位负责人）为同一人的企业如下：</w:t>
      </w:r>
    </w:p>
    <w:p w14:paraId="13FDC79B">
      <w:pPr>
        <w:ind w:firstLine="426"/>
        <w:rPr>
          <w:rFonts w:eastAsia="仿宋_GB2312"/>
          <w:sz w:val="24"/>
        </w:rPr>
      </w:pPr>
    </w:p>
    <w:p w14:paraId="68254224">
      <w:pPr>
        <w:ind w:firstLine="426"/>
        <w:rPr>
          <w:rFonts w:eastAsia="仿宋_GB2312"/>
          <w:sz w:val="24"/>
        </w:rPr>
      </w:pPr>
      <w:r>
        <w:rPr>
          <w:rFonts w:eastAsia="仿宋_GB2312"/>
          <w:sz w:val="24"/>
        </w:rPr>
        <w:t>我方的控股股东如下：</w:t>
      </w:r>
    </w:p>
    <w:p w14:paraId="0BE23D89">
      <w:pPr>
        <w:ind w:firstLine="426"/>
        <w:rPr>
          <w:rFonts w:eastAsia="仿宋_GB2312"/>
          <w:sz w:val="24"/>
        </w:rPr>
      </w:pPr>
    </w:p>
    <w:p w14:paraId="1B92C7B2">
      <w:pPr>
        <w:ind w:firstLine="426"/>
        <w:rPr>
          <w:rFonts w:eastAsia="仿宋_GB2312"/>
          <w:sz w:val="24"/>
        </w:rPr>
      </w:pPr>
      <w:r>
        <w:rPr>
          <w:rFonts w:eastAsia="仿宋_GB2312"/>
          <w:sz w:val="24"/>
        </w:rPr>
        <w:t>我方直接控股的企业如下：</w:t>
      </w:r>
    </w:p>
    <w:p w14:paraId="4F97B80E">
      <w:pPr>
        <w:ind w:firstLine="426"/>
        <w:rPr>
          <w:rFonts w:eastAsia="仿宋_GB2312"/>
          <w:sz w:val="24"/>
        </w:rPr>
      </w:pPr>
    </w:p>
    <w:p w14:paraId="0A8B553C">
      <w:pPr>
        <w:ind w:firstLine="426"/>
        <w:rPr>
          <w:rFonts w:eastAsia="仿宋_GB2312"/>
          <w:sz w:val="24"/>
        </w:rPr>
      </w:pPr>
      <w:r>
        <w:rPr>
          <w:rFonts w:eastAsia="仿宋_GB2312"/>
          <w:sz w:val="24"/>
        </w:rPr>
        <w:t>与我方存在管理、被管理关系的单位名称如下：</w:t>
      </w:r>
    </w:p>
    <w:p w14:paraId="72C70A44">
      <w:pPr>
        <w:ind w:firstLine="426"/>
        <w:rPr>
          <w:rFonts w:eastAsia="仿宋_GB2312"/>
          <w:sz w:val="24"/>
        </w:rPr>
      </w:pPr>
    </w:p>
    <w:p w14:paraId="2F670FC9">
      <w:pPr>
        <w:ind w:firstLine="426"/>
        <w:rPr>
          <w:rFonts w:eastAsia="仿宋_GB2312"/>
          <w:szCs w:val="21"/>
        </w:rPr>
      </w:pPr>
    </w:p>
    <w:p w14:paraId="339B9009">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6A168C9E">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8E629FC">
      <w:pPr>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7F995D7">
      <w:pPr>
        <w:pStyle w:val="23"/>
      </w:pPr>
    </w:p>
    <w:p w14:paraId="2648D61C">
      <w:pPr>
        <w:ind w:firstLine="420" w:firstLineChars="200"/>
        <w:rPr>
          <w:rFonts w:eastAsia="仿宋_GB2312"/>
          <w:szCs w:val="21"/>
        </w:rPr>
      </w:pPr>
    </w:p>
    <w:p w14:paraId="2E678025">
      <w:pPr>
        <w:ind w:firstLine="420" w:firstLineChars="200"/>
        <w:rPr>
          <w:rFonts w:eastAsia="仿宋_GB2312"/>
          <w:szCs w:val="21"/>
        </w:rPr>
      </w:pPr>
    </w:p>
    <w:p w14:paraId="0CB15673">
      <w:pPr>
        <w:jc w:val="left"/>
        <w:outlineLvl w:val="2"/>
        <w:rPr>
          <w:rFonts w:eastAsia="仿宋_GB2312"/>
          <w:b/>
          <w:sz w:val="24"/>
          <w:szCs w:val="22"/>
        </w:rPr>
      </w:pPr>
      <w:bookmarkStart w:id="567" w:name="_Toc7005128"/>
      <w:r>
        <w:rPr>
          <w:rFonts w:hint="eastAsia" w:eastAsia="仿宋_GB2312"/>
          <w:b/>
          <w:sz w:val="24"/>
          <w:szCs w:val="22"/>
        </w:rPr>
        <w:t xml:space="preserve">6-8  </w:t>
      </w:r>
      <w:r>
        <w:rPr>
          <w:rFonts w:eastAsia="仿宋_GB2312"/>
          <w:b/>
          <w:sz w:val="24"/>
          <w:szCs w:val="22"/>
        </w:rPr>
        <w:t>供应商是否属于为本项目提供整体设计、规范编制或者项目管理、监理、检测等服务的供应商声明</w:t>
      </w:r>
      <w:bookmarkEnd w:id="567"/>
    </w:p>
    <w:p w14:paraId="565B02DA">
      <w:pPr>
        <w:ind w:firstLine="420"/>
        <w:rPr>
          <w:rFonts w:eastAsia="仿宋_GB2312"/>
          <w:szCs w:val="21"/>
        </w:rPr>
      </w:pPr>
    </w:p>
    <w:p w14:paraId="1353244A">
      <w:pPr>
        <w:spacing w:line="360" w:lineRule="auto"/>
        <w:rPr>
          <w:rFonts w:eastAsia="仿宋_GB2312"/>
          <w:szCs w:val="21"/>
        </w:rPr>
      </w:pPr>
    </w:p>
    <w:p w14:paraId="06A16DED">
      <w:pPr>
        <w:spacing w:line="360" w:lineRule="auto"/>
        <w:rPr>
          <w:rFonts w:eastAsia="仿宋_GB2312"/>
          <w:sz w:val="24"/>
        </w:rPr>
      </w:pPr>
      <w:r>
        <w:rPr>
          <w:rFonts w:eastAsia="仿宋_GB2312"/>
          <w:sz w:val="24"/>
        </w:rPr>
        <w:t>陕西省采购招标有限责任公司：</w:t>
      </w:r>
    </w:p>
    <w:p w14:paraId="4DFE1C94">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74B53885">
      <w:pPr>
        <w:ind w:firstLine="426"/>
        <w:rPr>
          <w:rFonts w:eastAsia="仿宋_GB2312"/>
          <w:sz w:val="24"/>
        </w:rPr>
      </w:pPr>
    </w:p>
    <w:p w14:paraId="434585D6">
      <w:pPr>
        <w:ind w:firstLine="426"/>
        <w:rPr>
          <w:rFonts w:eastAsia="仿宋_GB2312"/>
          <w:szCs w:val="21"/>
        </w:rPr>
      </w:pPr>
    </w:p>
    <w:p w14:paraId="733B5CB0">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8284D59">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87B7223">
      <w:pPr>
        <w:widowControl/>
        <w:ind w:firstLine="480" w:firstLineChars="200"/>
        <w:jc w:val="left"/>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C110BBF">
      <w:pPr>
        <w:pStyle w:val="23"/>
        <w:rPr>
          <w:rFonts w:eastAsia="仿宋_GB2312"/>
          <w:sz w:val="24"/>
        </w:rPr>
      </w:pPr>
    </w:p>
    <w:p w14:paraId="52848043">
      <w:pPr>
        <w:rPr>
          <w:rFonts w:eastAsia="仿宋_GB2312"/>
          <w:sz w:val="24"/>
        </w:rPr>
      </w:pPr>
    </w:p>
    <w:p w14:paraId="427AB99E">
      <w:pPr>
        <w:spacing w:after="120"/>
        <w:rPr>
          <w:rFonts w:eastAsia="仿宋_GB2312"/>
          <w:b/>
          <w:sz w:val="24"/>
        </w:rPr>
      </w:pPr>
      <w:bookmarkStart w:id="568" w:name="_Toc7005129"/>
      <w:r>
        <w:rPr>
          <w:rFonts w:eastAsia="仿宋_GB2312"/>
          <w:b/>
          <w:sz w:val="24"/>
        </w:rPr>
        <w:t>6-9</w:t>
      </w:r>
      <w:r>
        <w:rPr>
          <w:rFonts w:hint="eastAsia" w:eastAsia="仿宋_GB2312"/>
          <w:b/>
          <w:sz w:val="24"/>
        </w:rPr>
        <w:t xml:space="preserve">  </w:t>
      </w:r>
      <w:r>
        <w:rPr>
          <w:rFonts w:eastAsia="仿宋_GB2312"/>
          <w:b/>
          <w:sz w:val="24"/>
        </w:rPr>
        <w:t>证明供应商符合特定资格条件的证明材料</w:t>
      </w:r>
      <w:bookmarkEnd w:id="568"/>
      <w:r>
        <w:rPr>
          <w:rFonts w:eastAsia="仿宋_GB2312"/>
          <w:b/>
          <w:sz w:val="24"/>
        </w:rPr>
        <w:t>：</w:t>
      </w:r>
    </w:p>
    <w:p w14:paraId="3430378D">
      <w:pPr>
        <w:pStyle w:val="23"/>
        <w:rPr>
          <w:rFonts w:ascii="Times New Roman" w:hAnsi="Times New Roman"/>
        </w:rPr>
      </w:pPr>
      <w:r>
        <w:rPr>
          <w:rFonts w:ascii="Times New Roman" w:hAnsi="Times New Roman"/>
        </w:rPr>
        <w:br w:type="page"/>
      </w:r>
    </w:p>
    <w:p w14:paraId="50680A27">
      <w:pPr>
        <w:spacing w:after="120"/>
        <w:rPr>
          <w:rFonts w:eastAsia="仿宋_GB2312"/>
        </w:rPr>
      </w:pPr>
    </w:p>
    <w:p w14:paraId="1186BD90">
      <w:pPr>
        <w:pStyle w:val="196"/>
        <w:ind w:firstLine="6927" w:firstLineChars="2300"/>
        <w:rPr>
          <w:rFonts w:ascii="Times New Roman"/>
          <w:b/>
          <w:sz w:val="30"/>
          <w:szCs w:val="30"/>
          <w:lang w:val="zh-CN"/>
        </w:rPr>
      </w:pPr>
      <w:r>
        <w:rPr>
          <w:rFonts w:ascii="Times New Roman"/>
          <w:b/>
          <w:sz w:val="30"/>
          <w:szCs w:val="30"/>
          <w:lang w:val="zh-CN"/>
        </w:rPr>
        <w:t>正本/副本</w:t>
      </w:r>
    </w:p>
    <w:p w14:paraId="5098916B">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14:paraId="7EF136A3">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14:paraId="606CA1E9">
      <w:pPr>
        <w:tabs>
          <w:tab w:val="left" w:pos="5670"/>
        </w:tabs>
        <w:autoSpaceDE w:val="0"/>
        <w:autoSpaceDN w:val="0"/>
        <w:adjustRightInd w:val="0"/>
        <w:snapToGrid w:val="0"/>
        <w:spacing w:line="360" w:lineRule="auto"/>
        <w:jc w:val="center"/>
        <w:rPr>
          <w:rFonts w:eastAsia="仿宋_GB2312"/>
          <w:sz w:val="19"/>
          <w:szCs w:val="19"/>
        </w:rPr>
      </w:pPr>
    </w:p>
    <w:p w14:paraId="66C46A6A">
      <w:pPr>
        <w:tabs>
          <w:tab w:val="left" w:pos="5670"/>
        </w:tabs>
        <w:autoSpaceDE w:val="0"/>
        <w:autoSpaceDN w:val="0"/>
        <w:adjustRightInd w:val="0"/>
        <w:snapToGrid w:val="0"/>
        <w:spacing w:line="360" w:lineRule="auto"/>
        <w:jc w:val="center"/>
        <w:rPr>
          <w:rFonts w:eastAsia="仿宋_GB2312"/>
          <w:sz w:val="19"/>
          <w:szCs w:val="19"/>
        </w:rPr>
      </w:pPr>
    </w:p>
    <w:p w14:paraId="7C518515">
      <w:pPr>
        <w:tabs>
          <w:tab w:val="left" w:pos="5670"/>
        </w:tabs>
        <w:autoSpaceDE w:val="0"/>
        <w:autoSpaceDN w:val="0"/>
        <w:adjustRightInd w:val="0"/>
        <w:snapToGrid w:val="0"/>
        <w:spacing w:line="360" w:lineRule="auto"/>
        <w:jc w:val="center"/>
        <w:rPr>
          <w:rFonts w:eastAsia="仿宋_GB2312"/>
          <w:sz w:val="19"/>
          <w:szCs w:val="19"/>
        </w:rPr>
      </w:pPr>
    </w:p>
    <w:p w14:paraId="5ACD37C8">
      <w:pPr>
        <w:autoSpaceDE w:val="0"/>
        <w:autoSpaceDN w:val="0"/>
        <w:adjustRightInd w:val="0"/>
        <w:snapToGrid w:val="0"/>
        <w:spacing w:line="360" w:lineRule="auto"/>
        <w:jc w:val="center"/>
        <w:rPr>
          <w:rFonts w:hint="default" w:eastAsia="仿宋_GB2312"/>
          <w:b/>
          <w:bCs/>
          <w:sz w:val="44"/>
          <w:szCs w:val="44"/>
        </w:rPr>
      </w:pPr>
      <w:r>
        <w:rPr>
          <w:rFonts w:hint="default" w:eastAsia="仿宋_GB2312"/>
          <w:b/>
          <w:bCs/>
          <w:sz w:val="44"/>
          <w:szCs w:val="44"/>
        </w:rPr>
        <w:t>西安市精神卫生中心</w:t>
      </w:r>
    </w:p>
    <w:p w14:paraId="08765EEB">
      <w:pPr>
        <w:autoSpaceDE w:val="0"/>
        <w:autoSpaceDN w:val="0"/>
        <w:adjustRightInd w:val="0"/>
        <w:snapToGrid w:val="0"/>
        <w:spacing w:line="360" w:lineRule="auto"/>
        <w:jc w:val="center"/>
        <w:rPr>
          <w:rFonts w:eastAsia="仿宋_GB2312"/>
          <w:b/>
          <w:bCs/>
          <w:sz w:val="44"/>
          <w:szCs w:val="44"/>
        </w:rPr>
      </w:pPr>
      <w:r>
        <w:rPr>
          <w:rFonts w:hint="default" w:eastAsia="仿宋_GB2312"/>
          <w:b/>
          <w:bCs/>
          <w:sz w:val="44"/>
          <w:szCs w:val="44"/>
        </w:rPr>
        <w:t>网络安全等级保护测评服务</w:t>
      </w:r>
    </w:p>
    <w:p w14:paraId="20946746">
      <w:pPr>
        <w:tabs>
          <w:tab w:val="left" w:pos="5670"/>
        </w:tabs>
        <w:autoSpaceDE w:val="0"/>
        <w:autoSpaceDN w:val="0"/>
        <w:adjustRightInd w:val="0"/>
        <w:snapToGrid w:val="0"/>
        <w:spacing w:line="360" w:lineRule="auto"/>
        <w:jc w:val="center"/>
        <w:rPr>
          <w:rFonts w:eastAsia="仿宋_GB2312"/>
          <w:b/>
          <w:bCs/>
          <w:sz w:val="36"/>
          <w:szCs w:val="36"/>
          <w:lang w:val="zh-CN"/>
        </w:rPr>
      </w:pPr>
    </w:p>
    <w:p w14:paraId="5702340F">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2831FED7">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6"/>
        </w:rPr>
        <w:t>商务及技术文件</w:t>
      </w:r>
      <w:r>
        <w:rPr>
          <w:rFonts w:eastAsia="黑体"/>
          <w:b/>
          <w:bCs/>
          <w:sz w:val="32"/>
          <w:szCs w:val="32"/>
          <w:lang w:val="zh-CN"/>
        </w:rPr>
        <w:t>）</w:t>
      </w:r>
    </w:p>
    <w:p w14:paraId="344679F7">
      <w:pPr>
        <w:autoSpaceDE w:val="0"/>
        <w:autoSpaceDN w:val="0"/>
        <w:adjustRightInd w:val="0"/>
        <w:snapToGrid w:val="0"/>
        <w:spacing w:line="360" w:lineRule="auto"/>
        <w:rPr>
          <w:rFonts w:eastAsia="仿宋_GB2312"/>
          <w:b/>
          <w:bCs/>
          <w:sz w:val="32"/>
          <w:szCs w:val="32"/>
          <w:lang w:val="zh-CN"/>
        </w:rPr>
      </w:pPr>
    </w:p>
    <w:p w14:paraId="49782C4A">
      <w:pPr>
        <w:autoSpaceDE w:val="0"/>
        <w:autoSpaceDN w:val="0"/>
        <w:adjustRightInd w:val="0"/>
        <w:snapToGrid w:val="0"/>
        <w:spacing w:line="360" w:lineRule="auto"/>
        <w:rPr>
          <w:rFonts w:eastAsia="仿宋_GB2312"/>
          <w:b/>
          <w:bCs/>
          <w:sz w:val="32"/>
          <w:szCs w:val="32"/>
          <w:lang w:val="zh-CN"/>
        </w:rPr>
      </w:pPr>
    </w:p>
    <w:p w14:paraId="4E7FE6B2">
      <w:pPr>
        <w:autoSpaceDE w:val="0"/>
        <w:autoSpaceDN w:val="0"/>
        <w:adjustRightInd w:val="0"/>
        <w:snapToGrid w:val="0"/>
        <w:spacing w:line="360" w:lineRule="auto"/>
        <w:rPr>
          <w:rFonts w:eastAsia="仿宋_GB2312"/>
          <w:b/>
          <w:bCs/>
          <w:sz w:val="32"/>
          <w:szCs w:val="32"/>
          <w:lang w:val="zh-CN"/>
        </w:rPr>
      </w:pPr>
    </w:p>
    <w:p w14:paraId="607B940F">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443256D1">
      <w:pPr>
        <w:autoSpaceDE w:val="0"/>
        <w:autoSpaceDN w:val="0"/>
        <w:adjustRightInd w:val="0"/>
        <w:snapToGrid w:val="0"/>
        <w:spacing w:line="360" w:lineRule="auto"/>
        <w:rPr>
          <w:rFonts w:eastAsia="仿宋_GB2312"/>
          <w:sz w:val="30"/>
          <w:szCs w:val="30"/>
        </w:rPr>
      </w:pPr>
    </w:p>
    <w:p w14:paraId="425EC6E3">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0C59800C">
      <w:pPr>
        <w:autoSpaceDE w:val="0"/>
        <w:autoSpaceDN w:val="0"/>
        <w:adjustRightInd w:val="0"/>
        <w:snapToGrid w:val="0"/>
        <w:spacing w:line="360" w:lineRule="auto"/>
        <w:rPr>
          <w:rFonts w:eastAsia="仿宋_GB2312"/>
          <w:b/>
          <w:bCs/>
          <w:sz w:val="32"/>
          <w:szCs w:val="32"/>
        </w:rPr>
      </w:pPr>
    </w:p>
    <w:p w14:paraId="372980C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3CD0CB35">
      <w:pPr>
        <w:pStyle w:val="23"/>
        <w:rPr>
          <w:rFonts w:ascii="Times New Roman" w:hAnsi="Times New Roman"/>
        </w:rPr>
      </w:pPr>
      <w:r>
        <w:rPr>
          <w:rFonts w:ascii="Times New Roman" w:hAnsi="Times New Roman"/>
        </w:rPr>
        <w:br w:type="page"/>
      </w:r>
    </w:p>
    <w:p w14:paraId="01CB930B">
      <w:pPr>
        <w:autoSpaceDE w:val="0"/>
        <w:autoSpaceDN w:val="0"/>
        <w:adjustRightInd w:val="0"/>
        <w:snapToGrid w:val="0"/>
        <w:spacing w:line="360" w:lineRule="auto"/>
        <w:ind w:firstLine="964" w:firstLineChars="300"/>
        <w:rPr>
          <w:rFonts w:eastAsia="仿宋_GB2312"/>
          <w:b/>
          <w:bCs/>
          <w:sz w:val="32"/>
          <w:szCs w:val="32"/>
          <w:u w:val="single"/>
        </w:rPr>
      </w:pPr>
    </w:p>
    <w:p w14:paraId="7AABEE5A">
      <w:pPr>
        <w:pStyle w:val="23"/>
        <w:rPr>
          <w:rFonts w:ascii="Times New Roman" w:hAnsi="Times New Roman" w:eastAsia="仿宋_GB2312"/>
        </w:rPr>
      </w:pPr>
    </w:p>
    <w:p w14:paraId="1FEDCC90">
      <w:pPr>
        <w:pStyle w:val="5"/>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14:paraId="114A42E3">
      <w:pPr>
        <w:spacing w:after="120"/>
        <w:ind w:firstLine="315" w:firstLineChars="150"/>
        <w:rPr>
          <w:rFonts w:eastAsia="仿宋_GB2312"/>
        </w:rPr>
      </w:pPr>
    </w:p>
    <w:p w14:paraId="198924B9">
      <w:pPr>
        <w:spacing w:after="120" w:line="480" w:lineRule="auto"/>
        <w:ind w:firstLine="360" w:firstLineChars="150"/>
        <w:rPr>
          <w:rFonts w:eastAsia="仿宋_GB2312"/>
          <w:sz w:val="24"/>
        </w:rPr>
      </w:pPr>
      <w:r>
        <w:rPr>
          <w:rFonts w:eastAsia="仿宋_GB2312"/>
          <w:sz w:val="24"/>
        </w:rPr>
        <w:t>第一部分  磋商响应函</w:t>
      </w:r>
    </w:p>
    <w:p w14:paraId="28DFAD36">
      <w:pPr>
        <w:spacing w:after="120" w:line="480" w:lineRule="auto"/>
        <w:ind w:firstLine="360" w:firstLineChars="150"/>
        <w:rPr>
          <w:rFonts w:eastAsia="仿宋_GB2312"/>
          <w:sz w:val="24"/>
        </w:rPr>
      </w:pPr>
      <w:r>
        <w:rPr>
          <w:rFonts w:eastAsia="仿宋_GB2312"/>
          <w:sz w:val="24"/>
        </w:rPr>
        <w:t xml:space="preserve">第二部分  磋商响应报价表 </w:t>
      </w:r>
    </w:p>
    <w:p w14:paraId="353CBFF3">
      <w:pPr>
        <w:spacing w:after="120" w:line="480" w:lineRule="auto"/>
        <w:ind w:firstLine="360" w:firstLineChars="150"/>
        <w:rPr>
          <w:rFonts w:eastAsia="仿宋_GB2312"/>
          <w:sz w:val="24"/>
        </w:rPr>
      </w:pPr>
      <w:r>
        <w:rPr>
          <w:rFonts w:eastAsia="仿宋_GB2312"/>
          <w:sz w:val="24"/>
        </w:rPr>
        <w:t>第三部分  偏离表</w:t>
      </w:r>
    </w:p>
    <w:p w14:paraId="6525297E">
      <w:pPr>
        <w:spacing w:after="120" w:line="480" w:lineRule="auto"/>
        <w:ind w:firstLine="360" w:firstLineChars="150"/>
        <w:rPr>
          <w:rFonts w:eastAsia="仿宋_GB2312"/>
          <w:sz w:val="24"/>
        </w:rPr>
      </w:pPr>
      <w:r>
        <w:rPr>
          <w:rFonts w:eastAsia="仿宋_GB2312"/>
          <w:sz w:val="24"/>
        </w:rPr>
        <w:t>第四部分  响应方案说明</w:t>
      </w:r>
    </w:p>
    <w:p w14:paraId="2860CF6A">
      <w:pPr>
        <w:spacing w:after="120" w:line="480" w:lineRule="auto"/>
        <w:ind w:firstLine="360" w:firstLineChars="150"/>
        <w:rPr>
          <w:rFonts w:eastAsia="仿宋_GB2312"/>
          <w:sz w:val="24"/>
        </w:rPr>
      </w:pPr>
      <w:r>
        <w:rPr>
          <w:rFonts w:eastAsia="仿宋_GB2312"/>
          <w:sz w:val="24"/>
        </w:rPr>
        <w:t xml:space="preserve">第五部分  </w:t>
      </w:r>
      <w:r>
        <w:rPr>
          <w:rFonts w:hint="eastAsia" w:eastAsia="仿宋_GB2312"/>
          <w:sz w:val="24"/>
        </w:rPr>
        <w:t>中小</w:t>
      </w:r>
      <w:r>
        <w:rPr>
          <w:rFonts w:eastAsia="仿宋_GB2312"/>
          <w:sz w:val="24"/>
        </w:rPr>
        <w:t>企业、监狱企业、残疾人福利单位声明函或证明</w:t>
      </w:r>
    </w:p>
    <w:p w14:paraId="02AA5FFC">
      <w:pPr>
        <w:pStyle w:val="23"/>
        <w:spacing w:line="480" w:lineRule="auto"/>
        <w:ind w:firstLine="480"/>
        <w:rPr>
          <w:rFonts w:ascii="Times New Roman" w:hAnsi="Times New Roman" w:eastAsia="仿宋_GB2312"/>
          <w:sz w:val="24"/>
        </w:rPr>
      </w:pPr>
    </w:p>
    <w:p w14:paraId="19722481">
      <w:pPr>
        <w:pStyle w:val="23"/>
        <w:ind w:firstLine="480"/>
        <w:rPr>
          <w:rFonts w:ascii="Times New Roman" w:hAnsi="Times New Roman" w:eastAsia="仿宋_GB2312"/>
          <w:sz w:val="24"/>
        </w:rPr>
      </w:pPr>
    </w:p>
    <w:p w14:paraId="2318B93C">
      <w:pPr>
        <w:widowControl/>
        <w:jc w:val="left"/>
        <w:rPr>
          <w:rFonts w:eastAsia="仿宋_GB2312"/>
        </w:rPr>
      </w:pPr>
      <w:r>
        <w:rPr>
          <w:rFonts w:eastAsia="仿宋_GB2312"/>
        </w:rPr>
        <w:br w:type="page"/>
      </w:r>
    </w:p>
    <w:p w14:paraId="08B4A4AB">
      <w:pPr>
        <w:pStyle w:val="5"/>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14:paraId="6B7197DC">
      <w:pPr>
        <w:autoSpaceDE w:val="0"/>
        <w:autoSpaceDN w:val="0"/>
        <w:adjustRightInd w:val="0"/>
        <w:snapToGrid w:val="0"/>
        <w:spacing w:line="312" w:lineRule="auto"/>
        <w:rPr>
          <w:rFonts w:eastAsia="仿宋_GB2312"/>
          <w:b/>
          <w:bCs/>
          <w:sz w:val="24"/>
          <w:lang w:val="zh-CN"/>
        </w:rPr>
      </w:pPr>
    </w:p>
    <w:p w14:paraId="070A8BE5">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1779F0E0">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14:paraId="7AACDE09">
      <w:pPr>
        <w:numPr>
          <w:ilvl w:val="0"/>
          <w:numId w:val="10"/>
        </w:numPr>
        <w:autoSpaceDE w:val="0"/>
        <w:autoSpaceDN w:val="0"/>
        <w:adjustRightInd w:val="0"/>
        <w:snapToGrid w:val="0"/>
        <w:spacing w:line="312" w:lineRule="auto"/>
        <w:ind w:firstLine="630"/>
        <w:rPr>
          <w:rFonts w:eastAsia="仿宋_GB2312"/>
          <w:sz w:val="24"/>
          <w:lang w:val="zh-CN"/>
        </w:rPr>
      </w:pPr>
      <w:r>
        <w:rPr>
          <w:rFonts w:eastAsia="仿宋_GB2312"/>
          <w:sz w:val="24"/>
          <w:lang w:val="zh-CN"/>
        </w:rPr>
        <w:t>愿意按照竞争性磋商文件中的要求，提供采购产品及技术服务，完成合同的责任和义务。</w:t>
      </w:r>
    </w:p>
    <w:p w14:paraId="09CF1023">
      <w:pPr>
        <w:numPr>
          <w:ilvl w:val="0"/>
          <w:numId w:val="10"/>
        </w:numPr>
        <w:autoSpaceDE w:val="0"/>
        <w:autoSpaceDN w:val="0"/>
        <w:adjustRightInd w:val="0"/>
        <w:snapToGrid w:val="0"/>
        <w:spacing w:line="312" w:lineRule="auto"/>
        <w:ind w:firstLine="630"/>
        <w:rPr>
          <w:rFonts w:eastAsia="仿宋_GB2312"/>
          <w:sz w:val="24"/>
        </w:rPr>
      </w:pP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hint="eastAsia" w:eastAsia="仿宋_GB2312"/>
          <w:sz w:val="24"/>
          <w:lang w:val="zh-CN"/>
        </w:rPr>
        <w:t>¥</w:t>
      </w:r>
      <w:r>
        <w:rPr>
          <w:rFonts w:eastAsia="仿宋_GB2312"/>
          <w:sz w:val="24"/>
          <w:lang w:val="zh-CN"/>
        </w:rPr>
        <w:t>：</w:t>
      </w:r>
      <w:r>
        <w:rPr>
          <w:rFonts w:eastAsia="仿宋_GB2312"/>
          <w:sz w:val="24"/>
          <w:u w:val="single"/>
        </w:rPr>
        <w:t xml:space="preserve">        </w:t>
      </w:r>
      <w:r>
        <w:rPr>
          <w:rFonts w:eastAsia="仿宋_GB2312"/>
          <w:sz w:val="24"/>
          <w:lang w:val="zh-CN"/>
        </w:rPr>
        <w:t>元），并对其后的磋商报价负法律责任。</w:t>
      </w:r>
    </w:p>
    <w:p w14:paraId="112C97F8">
      <w:pPr>
        <w:autoSpaceDE w:val="0"/>
        <w:autoSpaceDN w:val="0"/>
        <w:adjustRightInd w:val="0"/>
        <w:snapToGrid w:val="0"/>
        <w:spacing w:line="312" w:lineRule="auto"/>
        <w:ind w:firstLine="630"/>
        <w:rPr>
          <w:rFonts w:eastAsia="仿宋_GB2312"/>
          <w:sz w:val="24"/>
          <w:lang w:val="zh-CN"/>
        </w:rPr>
      </w:pPr>
      <w:r>
        <w:rPr>
          <w:rFonts w:hint="eastAsia" w:eastAsia="仿宋_GB2312"/>
          <w:sz w:val="24"/>
          <w:lang w:val="en-US" w:eastAsia="zh-CN"/>
        </w:rPr>
        <w:t>三</w:t>
      </w:r>
      <w:r>
        <w:rPr>
          <w:rFonts w:eastAsia="仿宋_GB2312"/>
          <w:sz w:val="24"/>
          <w:lang w:val="zh-CN"/>
        </w:rPr>
        <w:t>、我方已详细阅读了竞争性磋商文件，完全理解并放弃提出含糊不清或易形成歧义的表述和资料。</w:t>
      </w:r>
    </w:p>
    <w:p w14:paraId="54EA0381">
      <w:pPr>
        <w:autoSpaceDE w:val="0"/>
        <w:autoSpaceDN w:val="0"/>
        <w:adjustRightInd w:val="0"/>
        <w:snapToGrid w:val="0"/>
        <w:spacing w:line="312" w:lineRule="auto"/>
        <w:ind w:firstLine="630"/>
        <w:rPr>
          <w:rFonts w:eastAsia="仿宋_GB2312"/>
          <w:sz w:val="24"/>
          <w:lang w:val="zh-CN"/>
        </w:rPr>
      </w:pPr>
      <w:r>
        <w:rPr>
          <w:rFonts w:hint="eastAsia" w:eastAsia="仿宋_GB2312"/>
          <w:sz w:val="24"/>
          <w:lang w:val="en-US" w:eastAsia="zh-CN"/>
        </w:rPr>
        <w:t>四</w:t>
      </w:r>
      <w:r>
        <w:rPr>
          <w:rFonts w:eastAsia="仿宋_GB2312"/>
          <w:sz w:val="24"/>
          <w:lang w:val="zh-CN"/>
        </w:rPr>
        <w:t>、同意向贵方提供可能要求的与本次磋商有关的任何证据或资料，且尊重磋商小组的评审结论和结果。</w:t>
      </w:r>
    </w:p>
    <w:p w14:paraId="1555B726">
      <w:pPr>
        <w:autoSpaceDE w:val="0"/>
        <w:autoSpaceDN w:val="0"/>
        <w:adjustRightInd w:val="0"/>
        <w:snapToGrid w:val="0"/>
        <w:spacing w:line="312" w:lineRule="auto"/>
        <w:ind w:firstLine="630"/>
        <w:rPr>
          <w:rFonts w:eastAsia="仿宋_GB2312"/>
          <w:sz w:val="24"/>
        </w:rPr>
      </w:pPr>
      <w:r>
        <w:rPr>
          <w:rFonts w:hint="eastAsia" w:eastAsia="仿宋_GB2312"/>
          <w:sz w:val="24"/>
          <w:lang w:val="en-US" w:eastAsia="zh-CN"/>
        </w:rPr>
        <w:t>五</w:t>
      </w:r>
      <w:r>
        <w:rPr>
          <w:rFonts w:eastAsia="仿宋_GB2312"/>
          <w:sz w:val="24"/>
          <w:lang w:val="zh-CN"/>
        </w:rPr>
        <w:t>、我方的响应文件有效期为自磋商之日起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14:paraId="65C41B34">
      <w:pPr>
        <w:autoSpaceDE w:val="0"/>
        <w:autoSpaceDN w:val="0"/>
        <w:adjustRightInd w:val="0"/>
        <w:snapToGrid w:val="0"/>
        <w:spacing w:line="312" w:lineRule="auto"/>
        <w:ind w:firstLine="630"/>
        <w:rPr>
          <w:rFonts w:eastAsia="仿宋_GB2312"/>
          <w:sz w:val="24"/>
          <w:lang w:val="zh-CN"/>
        </w:rPr>
      </w:pPr>
      <w:r>
        <w:rPr>
          <w:rFonts w:hint="eastAsia" w:eastAsia="仿宋_GB2312"/>
          <w:sz w:val="24"/>
          <w:lang w:val="en-US" w:eastAsia="zh-CN"/>
        </w:rPr>
        <w:t>六</w:t>
      </w:r>
      <w:r>
        <w:rPr>
          <w:rFonts w:eastAsia="仿宋_GB2312"/>
          <w:sz w:val="24"/>
          <w:lang w:val="zh-CN"/>
        </w:rPr>
        <w:t>、如我方成交：</w:t>
      </w:r>
    </w:p>
    <w:p w14:paraId="42244F72">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14:paraId="608454E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14:paraId="7087032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（3）我方承诺按合同约定的期限和地点，提供符合磋商文件要求的全部服务。</w:t>
      </w:r>
    </w:p>
    <w:p w14:paraId="1A66115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17F5085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282E1C36">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7044B546">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450B432D">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66518936">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14:paraId="5E70DAB2">
      <w:pPr>
        <w:pStyle w:val="23"/>
        <w:rPr>
          <w:rFonts w:ascii="Times New Roman" w:hAnsi="Times New Roman" w:eastAsia="仿宋_GB2312"/>
        </w:rPr>
      </w:pPr>
    </w:p>
    <w:p w14:paraId="7F94AFA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497A1BA2">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097B31E">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2B2028B">
      <w:pPr>
        <w:pStyle w:val="23"/>
        <w:rPr>
          <w:rFonts w:ascii="Times New Roman" w:hAnsi="Times New Roman" w:eastAsia="仿宋_GB2312"/>
        </w:rPr>
      </w:pPr>
    </w:p>
    <w:p w14:paraId="0E5BE795">
      <w:pPr>
        <w:pStyle w:val="5"/>
        <w:jc w:val="center"/>
        <w:rPr>
          <w:rFonts w:ascii="Times New Roman" w:eastAsia="仿宋"/>
          <w:b/>
          <w:bCs/>
        </w:rPr>
      </w:pPr>
      <w:bookmarkStart w:id="569" w:name="_Hlt520356241"/>
      <w:bookmarkEnd w:id="569"/>
      <w:r>
        <w:rPr>
          <w:rFonts w:ascii="Times New Roman"/>
        </w:rPr>
        <w:br w:type="page"/>
      </w:r>
      <w:bookmarkStart w:id="570" w:name="_Toc230099805"/>
      <w:bookmarkStart w:id="571" w:name="_Toc415499901"/>
      <w:bookmarkStart w:id="572" w:name="_Toc232395224"/>
      <w:bookmarkStart w:id="573" w:name="_Toc8496"/>
      <w:bookmarkStart w:id="574" w:name="_Toc249515371"/>
      <w:bookmarkStart w:id="575" w:name="_Toc230013640"/>
      <w:bookmarkStart w:id="576" w:name="_Toc256342154"/>
      <w:bookmarkStart w:id="577" w:name="_Toc249525252"/>
      <w:bookmarkStart w:id="578" w:name="_Toc232176284"/>
      <w:bookmarkStart w:id="579" w:name="_Toc230583554"/>
      <w:r>
        <w:rPr>
          <w:rFonts w:ascii="仿宋_GB2312" w:hAnsi="仿宋_GB2312" w:eastAsia="仿宋_GB2312" w:cs="仿宋_GB2312"/>
          <w:b/>
          <w:bCs/>
          <w:lang w:val="zh-CN"/>
        </w:rPr>
        <w:t>第二部分  磋商响应报价表</w:t>
      </w:r>
    </w:p>
    <w:p w14:paraId="17194CEB">
      <w:pPr>
        <w:autoSpaceDE w:val="0"/>
        <w:autoSpaceDN w:val="0"/>
        <w:adjustRightInd w:val="0"/>
        <w:snapToGrid w:val="0"/>
        <w:spacing w:line="360" w:lineRule="auto"/>
        <w:jc w:val="center"/>
        <w:rPr>
          <w:rFonts w:eastAsia="仿宋_GB2312"/>
          <w:b/>
          <w:bCs/>
          <w:sz w:val="32"/>
          <w:szCs w:val="32"/>
        </w:rPr>
      </w:pPr>
    </w:p>
    <w:p w14:paraId="5301E863">
      <w:pPr>
        <w:pStyle w:val="6"/>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w:t>
      </w:r>
      <w:r>
        <w:rPr>
          <w:rFonts w:hint="eastAsia" w:ascii="仿宋_GB2312" w:hAnsi="仿宋_GB2312" w:eastAsia="仿宋_GB2312" w:cs="仿宋_GB2312"/>
          <w:b/>
          <w:bCs/>
          <w:sz w:val="28"/>
          <w:szCs w:val="36"/>
        </w:rPr>
        <w:t>一览</w:t>
      </w:r>
      <w:r>
        <w:rPr>
          <w:rFonts w:hint="eastAsia" w:ascii="仿宋_GB2312" w:hAnsi="仿宋_GB2312" w:eastAsia="仿宋_GB2312" w:cs="仿宋_GB2312"/>
          <w:b/>
          <w:bCs/>
          <w:sz w:val="28"/>
          <w:szCs w:val="36"/>
          <w:lang w:val="zh-CN"/>
        </w:rPr>
        <w:t>表</w:t>
      </w:r>
    </w:p>
    <w:p w14:paraId="6D3F025C">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360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1EB22F9B">
            <w:pPr>
              <w:pStyle w:val="23"/>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14:paraId="40AF6AAF">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4155A116">
            <w:pPr>
              <w:pStyle w:val="23"/>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14:paraId="1168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1882" w:type="dxa"/>
            <w:vAlign w:val="center"/>
          </w:tcPr>
          <w:p w14:paraId="29747AA8">
            <w:pPr>
              <w:pStyle w:val="23"/>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14:paraId="23FF2BC5">
            <w:pPr>
              <w:pStyle w:val="23"/>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14:paraId="5305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0CD895C">
            <w:pPr>
              <w:pStyle w:val="23"/>
              <w:rPr>
                <w:rFonts w:hint="default" w:ascii="Times New Roman" w:hAnsi="Times New Roman" w:eastAsia="仿宋_GB2312"/>
                <w:b/>
                <w:sz w:val="24"/>
                <w:lang w:val="en-US" w:eastAsia="zh-CN"/>
              </w:rPr>
            </w:pPr>
            <w:r>
              <w:rPr>
                <w:rFonts w:hint="eastAsia" w:ascii="Times New Roman" w:hAnsi="Times New Roman" w:eastAsia="仿宋_GB2312"/>
                <w:b/>
                <w:sz w:val="24"/>
                <w:lang w:val="en-US" w:eastAsia="zh-CN"/>
              </w:rPr>
              <w:t>服务期限</w:t>
            </w:r>
          </w:p>
        </w:tc>
        <w:tc>
          <w:tcPr>
            <w:tcW w:w="6697" w:type="dxa"/>
            <w:vAlign w:val="center"/>
          </w:tcPr>
          <w:p w14:paraId="6B94563E">
            <w:pPr>
              <w:pStyle w:val="23"/>
              <w:rPr>
                <w:rFonts w:ascii="Times New Roman" w:hAnsi="Times New Roman" w:eastAsia="仿宋_GB2312"/>
                <w:sz w:val="24"/>
              </w:rPr>
            </w:pPr>
          </w:p>
        </w:tc>
      </w:tr>
      <w:tr w14:paraId="555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2FEE98C1">
            <w:pPr>
              <w:pStyle w:val="23"/>
              <w:rPr>
                <w:rFonts w:ascii="Times New Roman" w:hAnsi="Times New Roman" w:eastAsia="仿宋_GB2312"/>
                <w:b/>
                <w:sz w:val="24"/>
              </w:rPr>
            </w:pPr>
            <w:r>
              <w:rPr>
                <w:rFonts w:hint="eastAsia" w:ascii="Times New Roman" w:hAnsi="Times New Roman" w:eastAsia="仿宋_GB2312"/>
                <w:b/>
                <w:sz w:val="24"/>
                <w:lang w:val="en-US" w:eastAsia="zh-CN"/>
              </w:rPr>
              <w:t>服务</w:t>
            </w:r>
            <w:r>
              <w:rPr>
                <w:rFonts w:ascii="Times New Roman" w:hAnsi="Times New Roman" w:eastAsia="仿宋_GB2312"/>
                <w:b/>
                <w:sz w:val="24"/>
              </w:rPr>
              <w:t>地点</w:t>
            </w:r>
          </w:p>
        </w:tc>
        <w:tc>
          <w:tcPr>
            <w:tcW w:w="6697" w:type="dxa"/>
            <w:vAlign w:val="center"/>
          </w:tcPr>
          <w:p w14:paraId="16465E3A">
            <w:pPr>
              <w:pStyle w:val="23"/>
              <w:rPr>
                <w:rFonts w:ascii="Times New Roman" w:hAnsi="Times New Roman" w:eastAsia="仿宋_GB2312"/>
                <w:sz w:val="24"/>
              </w:rPr>
            </w:pPr>
          </w:p>
        </w:tc>
      </w:tr>
      <w:tr w14:paraId="5AD4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2C032A6C">
            <w:pPr>
              <w:pStyle w:val="23"/>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14:paraId="4563B4C1">
            <w:pPr>
              <w:pStyle w:val="23"/>
              <w:rPr>
                <w:rFonts w:ascii="Times New Roman" w:hAnsi="Times New Roman" w:eastAsia="仿宋_GB2312"/>
                <w:sz w:val="24"/>
              </w:rPr>
            </w:pPr>
          </w:p>
        </w:tc>
      </w:tr>
    </w:tbl>
    <w:p w14:paraId="401BA713">
      <w:pPr>
        <w:pStyle w:val="23"/>
        <w:rPr>
          <w:rFonts w:ascii="Times New Roman" w:hAnsi="Times New Roman" w:eastAsia="仿宋_GB2312"/>
          <w:lang w:val="zh-CN"/>
        </w:rPr>
      </w:pPr>
    </w:p>
    <w:p w14:paraId="3EFFE54E">
      <w:pPr>
        <w:autoSpaceDE w:val="0"/>
        <w:autoSpaceDN w:val="0"/>
        <w:adjustRightInd w:val="0"/>
        <w:snapToGrid w:val="0"/>
        <w:spacing w:line="360" w:lineRule="auto"/>
        <w:ind w:firstLine="960" w:firstLineChars="400"/>
        <w:rPr>
          <w:rFonts w:eastAsia="仿宋_GB2312"/>
          <w:sz w:val="24"/>
          <w:lang w:val="zh-CN"/>
        </w:rPr>
      </w:pPr>
    </w:p>
    <w:p w14:paraId="0ACB851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A180FDD">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F43D37D">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78FC923">
      <w:pPr>
        <w:adjustRightInd w:val="0"/>
        <w:snapToGrid w:val="0"/>
        <w:spacing w:line="360" w:lineRule="auto"/>
        <w:jc w:val="center"/>
        <w:rPr>
          <w:rFonts w:eastAsia="仿宋_GB2312"/>
          <w:b/>
          <w:sz w:val="42"/>
        </w:rPr>
      </w:pPr>
    </w:p>
    <w:p w14:paraId="6E7B3CD7">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14:paraId="722CDDBB">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7C010F7F">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24B7DDD5">
      <w:r>
        <w:rPr>
          <w:rFonts w:eastAsia="仿宋_GB2312"/>
          <w:sz w:val="24"/>
        </w:rPr>
        <w:t>项目名称：</w:t>
      </w:r>
    </w:p>
    <w:tbl>
      <w:tblPr>
        <w:tblStyle w:val="50"/>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89"/>
        <w:gridCol w:w="1277"/>
        <w:gridCol w:w="1642"/>
        <w:gridCol w:w="1459"/>
        <w:gridCol w:w="911"/>
      </w:tblGrid>
      <w:tr w14:paraId="7A0E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20" w:type="dxa"/>
            <w:noWrap w:val="0"/>
            <w:vAlign w:val="center"/>
          </w:tcPr>
          <w:p w14:paraId="6FED5C43">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789" w:type="dxa"/>
            <w:noWrap w:val="0"/>
            <w:vAlign w:val="center"/>
          </w:tcPr>
          <w:p w14:paraId="013841E3">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服务内容</w:t>
            </w:r>
          </w:p>
        </w:tc>
        <w:tc>
          <w:tcPr>
            <w:tcW w:w="1277" w:type="dxa"/>
            <w:noWrap w:val="0"/>
            <w:vAlign w:val="center"/>
          </w:tcPr>
          <w:p w14:paraId="6AC9F229">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1642" w:type="dxa"/>
            <w:noWrap w:val="0"/>
            <w:vAlign w:val="center"/>
          </w:tcPr>
          <w:p w14:paraId="4A621D74">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单价（元）</w:t>
            </w:r>
          </w:p>
        </w:tc>
        <w:tc>
          <w:tcPr>
            <w:tcW w:w="1459" w:type="dxa"/>
            <w:noWrap w:val="0"/>
            <w:vAlign w:val="center"/>
          </w:tcPr>
          <w:p w14:paraId="2578A542">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小计（元）</w:t>
            </w:r>
          </w:p>
        </w:tc>
        <w:tc>
          <w:tcPr>
            <w:tcW w:w="911" w:type="dxa"/>
            <w:noWrap w:val="0"/>
            <w:vAlign w:val="center"/>
          </w:tcPr>
          <w:p w14:paraId="08373956">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0B85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32D45AFE">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2789" w:type="dxa"/>
            <w:noWrap w:val="0"/>
            <w:vAlign w:val="center"/>
          </w:tcPr>
          <w:p w14:paraId="61B83E47">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180857A2">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55B22678">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7E9A78E9">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0C21CE11">
            <w:pPr>
              <w:adjustRightInd w:val="0"/>
              <w:snapToGrid w:val="0"/>
              <w:spacing w:line="360" w:lineRule="auto"/>
              <w:rPr>
                <w:rFonts w:hint="eastAsia" w:ascii="仿宋_GB2312" w:hAnsi="仿宋_GB2312" w:eastAsia="仿宋_GB2312" w:cs="仿宋_GB2312"/>
                <w:color w:val="auto"/>
                <w:sz w:val="24"/>
                <w:highlight w:val="none"/>
              </w:rPr>
            </w:pPr>
          </w:p>
        </w:tc>
      </w:tr>
      <w:tr w14:paraId="3D25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19CD0E54">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c>
          <w:tcPr>
            <w:tcW w:w="2789" w:type="dxa"/>
            <w:noWrap w:val="0"/>
            <w:vAlign w:val="center"/>
          </w:tcPr>
          <w:p w14:paraId="56ED9F24">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4CB39361">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40B15089">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77F9A07C">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4E916C9B">
            <w:pPr>
              <w:adjustRightInd w:val="0"/>
              <w:snapToGrid w:val="0"/>
              <w:spacing w:line="360" w:lineRule="auto"/>
              <w:rPr>
                <w:rFonts w:hint="eastAsia" w:ascii="仿宋_GB2312" w:hAnsi="仿宋_GB2312" w:eastAsia="仿宋_GB2312" w:cs="仿宋_GB2312"/>
                <w:color w:val="auto"/>
                <w:sz w:val="24"/>
                <w:highlight w:val="none"/>
              </w:rPr>
            </w:pPr>
          </w:p>
        </w:tc>
      </w:tr>
      <w:tr w14:paraId="103D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627CBFA1">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c>
          <w:tcPr>
            <w:tcW w:w="2789" w:type="dxa"/>
            <w:noWrap w:val="0"/>
            <w:vAlign w:val="center"/>
          </w:tcPr>
          <w:p w14:paraId="28A03382">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6EEF0FE3">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1A707E03">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5881A914">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649232FE">
            <w:pPr>
              <w:adjustRightInd w:val="0"/>
              <w:snapToGrid w:val="0"/>
              <w:spacing w:line="360" w:lineRule="auto"/>
              <w:rPr>
                <w:rFonts w:hint="eastAsia" w:ascii="仿宋_GB2312" w:hAnsi="仿宋_GB2312" w:eastAsia="仿宋_GB2312" w:cs="仿宋_GB2312"/>
                <w:color w:val="auto"/>
                <w:sz w:val="24"/>
                <w:highlight w:val="none"/>
              </w:rPr>
            </w:pPr>
          </w:p>
        </w:tc>
      </w:tr>
      <w:tr w14:paraId="0408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3E775862">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p>
        </w:tc>
        <w:tc>
          <w:tcPr>
            <w:tcW w:w="2789" w:type="dxa"/>
            <w:noWrap w:val="0"/>
            <w:vAlign w:val="center"/>
          </w:tcPr>
          <w:p w14:paraId="6AB29B49">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6ADBF939">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7E036814">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1FF30B8C">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08201528">
            <w:pPr>
              <w:adjustRightInd w:val="0"/>
              <w:snapToGrid w:val="0"/>
              <w:spacing w:line="360" w:lineRule="auto"/>
              <w:rPr>
                <w:rFonts w:hint="eastAsia" w:ascii="仿宋_GB2312" w:hAnsi="仿宋_GB2312" w:eastAsia="仿宋_GB2312" w:cs="仿宋_GB2312"/>
                <w:color w:val="auto"/>
                <w:sz w:val="24"/>
                <w:highlight w:val="none"/>
              </w:rPr>
            </w:pPr>
          </w:p>
        </w:tc>
      </w:tr>
      <w:tr w14:paraId="03A2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10BCE1D0">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789" w:type="dxa"/>
            <w:noWrap w:val="0"/>
            <w:vAlign w:val="center"/>
          </w:tcPr>
          <w:p w14:paraId="3BA5BAAA">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312B1E61">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30BF2CED">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41FBFD6D">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28D66E0D">
            <w:pPr>
              <w:adjustRightInd w:val="0"/>
              <w:snapToGrid w:val="0"/>
              <w:spacing w:line="360" w:lineRule="auto"/>
              <w:rPr>
                <w:rFonts w:hint="eastAsia" w:ascii="仿宋_GB2312" w:hAnsi="仿宋_GB2312" w:eastAsia="仿宋_GB2312" w:cs="仿宋_GB2312"/>
                <w:color w:val="auto"/>
                <w:sz w:val="24"/>
                <w:highlight w:val="none"/>
              </w:rPr>
            </w:pPr>
          </w:p>
        </w:tc>
      </w:tr>
      <w:tr w14:paraId="25EB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4B482774">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07E67D9F">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6D9ACDF8">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1C79D059">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1CEFAA1B">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6DAC9CFC">
            <w:pPr>
              <w:adjustRightInd w:val="0"/>
              <w:snapToGrid w:val="0"/>
              <w:spacing w:line="360" w:lineRule="auto"/>
              <w:rPr>
                <w:rFonts w:hint="eastAsia" w:ascii="仿宋_GB2312" w:hAnsi="仿宋_GB2312" w:eastAsia="仿宋_GB2312" w:cs="仿宋_GB2312"/>
                <w:color w:val="auto"/>
                <w:sz w:val="24"/>
                <w:highlight w:val="none"/>
              </w:rPr>
            </w:pPr>
          </w:p>
        </w:tc>
      </w:tr>
      <w:tr w14:paraId="2EA9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54F07A3F">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4FE5E5B2">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3FA92E92">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4C414EE2">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4C433827">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1894BD7">
            <w:pPr>
              <w:adjustRightInd w:val="0"/>
              <w:snapToGrid w:val="0"/>
              <w:spacing w:line="360" w:lineRule="auto"/>
              <w:rPr>
                <w:rFonts w:hint="eastAsia" w:ascii="仿宋_GB2312" w:hAnsi="仿宋_GB2312" w:eastAsia="仿宋_GB2312" w:cs="仿宋_GB2312"/>
                <w:color w:val="auto"/>
                <w:sz w:val="24"/>
                <w:highlight w:val="none"/>
              </w:rPr>
            </w:pPr>
          </w:p>
        </w:tc>
      </w:tr>
      <w:tr w14:paraId="438E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4035B06D">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679E7B15">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7AA4658B">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59616AD8">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3C1A12B8">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B8CEFCC">
            <w:pPr>
              <w:adjustRightInd w:val="0"/>
              <w:snapToGrid w:val="0"/>
              <w:spacing w:line="360" w:lineRule="auto"/>
              <w:rPr>
                <w:rFonts w:hint="eastAsia" w:ascii="仿宋_GB2312" w:hAnsi="仿宋_GB2312" w:eastAsia="仿宋_GB2312" w:cs="仿宋_GB2312"/>
                <w:color w:val="auto"/>
                <w:sz w:val="24"/>
                <w:highlight w:val="none"/>
              </w:rPr>
            </w:pPr>
          </w:p>
        </w:tc>
      </w:tr>
      <w:tr w14:paraId="63E6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24A07E16">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5B5C8BB5">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480313E8">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1902F11C">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5F99DEF5">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1697DFA3">
            <w:pPr>
              <w:adjustRightInd w:val="0"/>
              <w:snapToGrid w:val="0"/>
              <w:spacing w:line="360" w:lineRule="auto"/>
              <w:rPr>
                <w:rFonts w:hint="eastAsia" w:ascii="仿宋_GB2312" w:hAnsi="仿宋_GB2312" w:eastAsia="仿宋_GB2312" w:cs="仿宋_GB2312"/>
                <w:color w:val="auto"/>
                <w:sz w:val="24"/>
                <w:highlight w:val="none"/>
              </w:rPr>
            </w:pPr>
          </w:p>
        </w:tc>
      </w:tr>
      <w:tr w14:paraId="2530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2CE8A94E">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2522040B">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40D5FC49">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5F3F554D">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77E7CDC8">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1297AA77">
            <w:pPr>
              <w:adjustRightInd w:val="0"/>
              <w:snapToGrid w:val="0"/>
              <w:spacing w:line="360" w:lineRule="auto"/>
              <w:rPr>
                <w:rFonts w:hint="eastAsia" w:ascii="仿宋_GB2312" w:hAnsi="仿宋_GB2312" w:eastAsia="仿宋_GB2312" w:cs="仿宋_GB2312"/>
                <w:color w:val="auto"/>
                <w:sz w:val="24"/>
                <w:highlight w:val="none"/>
              </w:rPr>
            </w:pPr>
          </w:p>
        </w:tc>
      </w:tr>
      <w:tr w14:paraId="12B4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41E7F07C">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78950F54">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23D850BE">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17EB4A7F">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3E1774EF">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075D70E5">
            <w:pPr>
              <w:adjustRightInd w:val="0"/>
              <w:snapToGrid w:val="0"/>
              <w:spacing w:line="360" w:lineRule="auto"/>
              <w:rPr>
                <w:rFonts w:hint="eastAsia" w:ascii="仿宋_GB2312" w:hAnsi="仿宋_GB2312" w:eastAsia="仿宋_GB2312" w:cs="仿宋_GB2312"/>
                <w:color w:val="auto"/>
                <w:sz w:val="24"/>
                <w:highlight w:val="none"/>
              </w:rPr>
            </w:pPr>
          </w:p>
        </w:tc>
      </w:tr>
      <w:tr w14:paraId="6DEA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5E859DC2">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1EB2AFA3">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4E5C8662">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1795E673">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17CC284D">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6FB7ED97">
            <w:pPr>
              <w:adjustRightInd w:val="0"/>
              <w:snapToGrid w:val="0"/>
              <w:spacing w:line="360" w:lineRule="auto"/>
              <w:rPr>
                <w:rFonts w:hint="eastAsia" w:ascii="仿宋_GB2312" w:hAnsi="仿宋_GB2312" w:eastAsia="仿宋_GB2312" w:cs="仿宋_GB2312"/>
                <w:color w:val="auto"/>
                <w:sz w:val="24"/>
                <w:highlight w:val="none"/>
              </w:rPr>
            </w:pPr>
          </w:p>
        </w:tc>
      </w:tr>
      <w:tr w14:paraId="4B40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2AF32D11">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675DBCE7">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087BDE43">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0B2C71D2">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095AFCC8">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37FF62A">
            <w:pPr>
              <w:adjustRightInd w:val="0"/>
              <w:snapToGrid w:val="0"/>
              <w:spacing w:line="360" w:lineRule="auto"/>
              <w:rPr>
                <w:rFonts w:hint="eastAsia" w:ascii="仿宋_GB2312" w:hAnsi="仿宋_GB2312" w:eastAsia="仿宋_GB2312" w:cs="仿宋_GB2312"/>
                <w:color w:val="auto"/>
                <w:sz w:val="24"/>
                <w:highlight w:val="none"/>
              </w:rPr>
            </w:pPr>
          </w:p>
        </w:tc>
      </w:tr>
      <w:tr w14:paraId="161C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738E4193">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36A9121F">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41C2C87A">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15458C6C">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7ADB8158">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33182DDA">
            <w:pPr>
              <w:adjustRightInd w:val="0"/>
              <w:snapToGrid w:val="0"/>
              <w:spacing w:line="360" w:lineRule="auto"/>
              <w:rPr>
                <w:rFonts w:hint="eastAsia" w:ascii="仿宋_GB2312" w:hAnsi="仿宋_GB2312" w:eastAsia="仿宋_GB2312" w:cs="仿宋_GB2312"/>
                <w:color w:val="auto"/>
                <w:sz w:val="24"/>
                <w:highlight w:val="none"/>
              </w:rPr>
            </w:pPr>
          </w:p>
        </w:tc>
      </w:tr>
      <w:tr w14:paraId="2CBD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0" w:type="dxa"/>
            <w:noWrap w:val="0"/>
            <w:vAlign w:val="center"/>
          </w:tcPr>
          <w:p w14:paraId="10B5CA22">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315BBE6E">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7A05ACAE">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4183302A">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0FE73943">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1319DB04">
            <w:pPr>
              <w:adjustRightInd w:val="0"/>
              <w:snapToGrid w:val="0"/>
              <w:spacing w:line="360" w:lineRule="auto"/>
              <w:rPr>
                <w:rFonts w:hint="eastAsia" w:ascii="仿宋_GB2312" w:hAnsi="仿宋_GB2312" w:eastAsia="仿宋_GB2312" w:cs="仿宋_GB2312"/>
                <w:color w:val="auto"/>
                <w:sz w:val="24"/>
                <w:highlight w:val="none"/>
              </w:rPr>
            </w:pPr>
          </w:p>
        </w:tc>
      </w:tr>
    </w:tbl>
    <w:p w14:paraId="26D3E2D0">
      <w:pPr>
        <w:spacing w:line="360" w:lineRule="auto"/>
        <w:ind w:firstLine="1920" w:firstLineChars="800"/>
        <w:rPr>
          <w:rFonts w:eastAsia="仿宋_GB2312"/>
          <w:sz w:val="24"/>
        </w:rPr>
      </w:pPr>
    </w:p>
    <w:p w14:paraId="5DD29192">
      <w:pPr>
        <w:spacing w:line="360" w:lineRule="auto"/>
        <w:ind w:firstLine="1920" w:firstLineChars="800"/>
        <w:rPr>
          <w:rFonts w:eastAsia="仿宋_GB2312"/>
          <w:sz w:val="24"/>
        </w:rPr>
      </w:pPr>
    </w:p>
    <w:p w14:paraId="0AB8670D">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5BF3515">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D55885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60009D59">
      <w:pPr>
        <w:adjustRightInd w:val="0"/>
        <w:snapToGrid w:val="0"/>
        <w:spacing w:line="360" w:lineRule="auto"/>
        <w:ind w:firstLine="480" w:firstLineChars="200"/>
        <w:rPr>
          <w:rFonts w:eastAsia="仿宋_GB2312"/>
          <w:sz w:val="24"/>
        </w:rPr>
      </w:pPr>
      <w:r>
        <w:rPr>
          <w:rFonts w:eastAsia="仿宋_GB2312"/>
          <w:sz w:val="24"/>
        </w:rPr>
        <w:t xml:space="preserve">                            </w:t>
      </w:r>
    </w:p>
    <w:p w14:paraId="7D428A8F">
      <w:pPr>
        <w:pStyle w:val="23"/>
        <w:rPr>
          <w:rFonts w:ascii="Times New Roman" w:hAnsi="Times New Roman" w:eastAsia="仿宋_GB2312"/>
        </w:rPr>
      </w:pPr>
      <w:r>
        <w:rPr>
          <w:rFonts w:ascii="Times New Roman" w:hAnsi="Times New Roman" w:eastAsia="仿宋_GB2312"/>
        </w:rPr>
        <w:br w:type="page"/>
      </w:r>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570"/>
    <w:bookmarkEnd w:id="571"/>
    <w:bookmarkEnd w:id="572"/>
    <w:bookmarkEnd w:id="573"/>
    <w:bookmarkEnd w:id="574"/>
    <w:bookmarkEnd w:id="575"/>
    <w:bookmarkEnd w:id="576"/>
    <w:bookmarkEnd w:id="577"/>
    <w:bookmarkEnd w:id="578"/>
    <w:bookmarkEnd w:id="579"/>
    <w:p w14:paraId="08300104">
      <w:pPr>
        <w:pStyle w:val="29"/>
        <w:rPr>
          <w:rFonts w:ascii="Times New Roman" w:hAnsi="Times New Roman" w:eastAsia="仿宋_GB2312"/>
          <w:u w:val="single"/>
        </w:rPr>
      </w:pPr>
      <w:bookmarkStart w:id="580" w:name="_Toc70687203"/>
      <w:bookmarkStart w:id="581" w:name="_Toc415499902"/>
      <w:bookmarkStart w:id="582" w:name="_Toc53722866"/>
      <w:bookmarkStart w:id="583" w:name="_Toc499711088"/>
      <w:bookmarkStart w:id="584" w:name="_Toc500747011"/>
      <w:bookmarkStart w:id="585" w:name="_Toc385992402"/>
      <w:bookmarkStart w:id="586" w:name="_Toc230013641"/>
      <w:bookmarkStart w:id="587" w:name="_Toc177817345"/>
      <w:bookmarkStart w:id="588" w:name="_Toc249515372"/>
      <w:bookmarkStart w:id="589" w:name="_Toc232395225"/>
      <w:bookmarkStart w:id="590" w:name="_Toc503063459"/>
      <w:bookmarkStart w:id="591" w:name="_Toc176882553"/>
      <w:bookmarkStart w:id="592" w:name="_Toc230583555"/>
      <w:bookmarkStart w:id="593" w:name="_Toc499711929"/>
      <w:bookmarkStart w:id="594" w:name="_Toc184043059"/>
      <w:bookmarkStart w:id="595" w:name="_Toc389620242"/>
      <w:bookmarkStart w:id="596" w:name="_Toc256342155"/>
      <w:bookmarkStart w:id="597" w:name="_Toc500747107"/>
      <w:bookmarkStart w:id="598" w:name="_Toc83547687"/>
      <w:bookmarkStart w:id="599" w:name="_Toc225933091"/>
      <w:bookmarkStart w:id="600" w:name="_Toc496324624"/>
      <w:bookmarkStart w:id="601" w:name="_Toc177189246"/>
      <w:bookmarkStart w:id="602" w:name="_Toc232176285"/>
      <w:bookmarkStart w:id="603" w:name="_Toc500747234"/>
      <w:bookmarkStart w:id="604" w:name="_Toc492955460"/>
      <w:bookmarkStart w:id="605" w:name="_Toc230099806"/>
      <w:bookmarkStart w:id="606" w:name="_Toc249525253"/>
      <w:bookmarkStart w:id="607" w:name="_Toc177995484"/>
    </w:p>
    <w:p w14:paraId="6BE1E423">
      <w:pPr>
        <w:pStyle w:val="5"/>
        <w:jc w:val="center"/>
        <w:rPr>
          <w:rFonts w:ascii="仿宋_GB2312" w:hAnsi="仿宋_GB2312" w:eastAsia="仿宋_GB2312" w:cs="仿宋_GB2312"/>
          <w:b/>
          <w:bCs/>
        </w:rPr>
      </w:pPr>
      <w:r>
        <w:rPr>
          <w:rFonts w:ascii="仿宋_GB2312" w:hAnsi="仿宋_GB2312" w:eastAsia="仿宋_GB2312" w:cs="仿宋_GB2312"/>
          <w:b/>
          <w:bCs/>
        </w:rPr>
        <w:t>第三部分  偏离表</w:t>
      </w:r>
    </w:p>
    <w:p w14:paraId="03D1CBC3">
      <w:pPr>
        <w:rPr>
          <w:rFonts w:eastAsia="仿宋_GB2312"/>
        </w:rPr>
      </w:pPr>
    </w:p>
    <w:p w14:paraId="71E33525">
      <w:pPr>
        <w:pStyle w:val="23"/>
        <w:jc w:val="center"/>
        <w:rPr>
          <w:rFonts w:ascii="Times New Roman" w:hAnsi="Times New Roman" w:eastAsia="仿宋_GB2312"/>
          <w:sz w:val="24"/>
        </w:rPr>
      </w:pPr>
      <w:r>
        <w:rPr>
          <w:rFonts w:hint="eastAsia" w:ascii="仿宋_GB2312" w:hAnsi="仿宋_GB2312" w:eastAsia="仿宋_GB2312" w:cs="仿宋_GB2312"/>
          <w:b/>
          <w:bCs/>
          <w:sz w:val="28"/>
          <w:szCs w:val="36"/>
          <w:lang w:val="en-US" w:eastAsia="zh-CN"/>
        </w:rPr>
        <w:t>一</w:t>
      </w:r>
      <w:r>
        <w:rPr>
          <w:rFonts w:ascii="仿宋_GB2312" w:hAnsi="仿宋_GB2312" w:eastAsia="仿宋_GB2312" w:cs="仿宋_GB2312"/>
          <w:b/>
          <w:bCs/>
          <w:sz w:val="28"/>
          <w:szCs w:val="36"/>
        </w:rPr>
        <w:t>、</w:t>
      </w:r>
      <w:r>
        <w:rPr>
          <w:rFonts w:hint="eastAsia" w:ascii="仿宋_GB2312" w:hAnsi="仿宋_GB2312" w:eastAsia="仿宋_GB2312" w:cs="仿宋_GB2312"/>
          <w:b/>
          <w:bCs/>
          <w:sz w:val="28"/>
          <w:szCs w:val="36"/>
          <w:lang w:val="en-US" w:eastAsia="zh-CN"/>
        </w:rPr>
        <w:t>商务</w:t>
      </w:r>
      <w:r>
        <w:rPr>
          <w:rFonts w:ascii="仿宋_GB2312" w:hAnsi="仿宋_GB2312" w:eastAsia="仿宋_GB2312" w:cs="仿宋_GB2312"/>
          <w:b/>
          <w:bCs/>
          <w:sz w:val="28"/>
          <w:szCs w:val="36"/>
        </w:rPr>
        <w:t>偏离表</w:t>
      </w:r>
    </w:p>
    <w:p w14:paraId="5570DCFC">
      <w:pPr>
        <w:pStyle w:val="23"/>
        <w:rPr>
          <w:rFonts w:ascii="Times New Roman" w:hAnsi="Times New Roman" w:eastAsia="仿宋_GB2312"/>
          <w:sz w:val="24"/>
        </w:rPr>
      </w:pPr>
      <w:r>
        <w:rPr>
          <w:rFonts w:ascii="Times New Roman" w:hAnsi="Times New Roman" w:eastAsia="仿宋_GB2312"/>
          <w:sz w:val="24"/>
        </w:rPr>
        <w:t>项目编号：</w:t>
      </w:r>
    </w:p>
    <w:p w14:paraId="10C302C8">
      <w:pPr>
        <w:pStyle w:val="23"/>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21D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02193635">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14:paraId="0D5E68AA">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14:paraId="3B7B9C31">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14:paraId="2F3F102B">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14:paraId="55573DDC">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14:paraId="7606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A9A343B">
            <w:pPr>
              <w:pStyle w:val="29"/>
              <w:jc w:val="center"/>
              <w:rPr>
                <w:rFonts w:ascii="Times New Roman" w:hAnsi="Times New Roman" w:eastAsia="仿宋_GB2312"/>
                <w:sz w:val="24"/>
                <w:szCs w:val="24"/>
              </w:rPr>
            </w:pPr>
          </w:p>
        </w:tc>
        <w:tc>
          <w:tcPr>
            <w:tcW w:w="2835" w:type="dxa"/>
            <w:vAlign w:val="top"/>
          </w:tcPr>
          <w:p w14:paraId="467F88F2">
            <w:pPr>
              <w:pStyle w:val="29"/>
              <w:jc w:val="center"/>
              <w:rPr>
                <w:rFonts w:ascii="Times New Roman" w:hAnsi="Times New Roman" w:eastAsia="仿宋_GB2312"/>
                <w:sz w:val="24"/>
                <w:szCs w:val="24"/>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服务</w:t>
            </w:r>
            <w:r>
              <w:rPr>
                <w:rFonts w:hint="eastAsia" w:ascii="仿宋_GB2312" w:hAnsi="仿宋_GB2312" w:eastAsia="仿宋_GB2312" w:cs="仿宋_GB2312"/>
                <w:sz w:val="24"/>
                <w:szCs w:val="24"/>
                <w:highlight w:val="none"/>
              </w:rPr>
              <w:t>地点）</w:t>
            </w:r>
          </w:p>
        </w:tc>
        <w:tc>
          <w:tcPr>
            <w:tcW w:w="1701" w:type="dxa"/>
          </w:tcPr>
          <w:p w14:paraId="55A9BF8C">
            <w:pPr>
              <w:pStyle w:val="29"/>
              <w:jc w:val="center"/>
              <w:rPr>
                <w:rFonts w:ascii="Times New Roman" w:hAnsi="Times New Roman" w:eastAsia="仿宋_GB2312"/>
                <w:sz w:val="24"/>
                <w:szCs w:val="24"/>
              </w:rPr>
            </w:pPr>
          </w:p>
        </w:tc>
        <w:tc>
          <w:tcPr>
            <w:tcW w:w="1417" w:type="dxa"/>
          </w:tcPr>
          <w:p w14:paraId="1B45F3C3">
            <w:pPr>
              <w:pStyle w:val="29"/>
              <w:jc w:val="center"/>
              <w:rPr>
                <w:rFonts w:ascii="Times New Roman" w:hAnsi="Times New Roman" w:eastAsia="仿宋_GB2312"/>
                <w:sz w:val="24"/>
                <w:szCs w:val="24"/>
              </w:rPr>
            </w:pPr>
          </w:p>
        </w:tc>
        <w:tc>
          <w:tcPr>
            <w:tcW w:w="2195" w:type="dxa"/>
          </w:tcPr>
          <w:p w14:paraId="44353288">
            <w:pPr>
              <w:pStyle w:val="29"/>
              <w:jc w:val="center"/>
              <w:rPr>
                <w:rFonts w:ascii="Times New Roman" w:hAnsi="Times New Roman" w:eastAsia="仿宋_GB2312"/>
                <w:sz w:val="24"/>
                <w:szCs w:val="24"/>
              </w:rPr>
            </w:pPr>
          </w:p>
        </w:tc>
      </w:tr>
      <w:tr w14:paraId="6D49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E6FEDFB">
            <w:pPr>
              <w:pStyle w:val="29"/>
              <w:ind w:left="1080" w:leftChars="257" w:hanging="540"/>
              <w:rPr>
                <w:rFonts w:ascii="Times New Roman" w:hAnsi="Times New Roman" w:eastAsia="仿宋_GB2312"/>
                <w:sz w:val="24"/>
                <w:szCs w:val="24"/>
              </w:rPr>
            </w:pPr>
          </w:p>
        </w:tc>
        <w:tc>
          <w:tcPr>
            <w:tcW w:w="2835" w:type="dxa"/>
            <w:vAlign w:val="center"/>
          </w:tcPr>
          <w:p w14:paraId="5CBFEF2B">
            <w:pPr>
              <w:spacing w:line="360" w:lineRule="auto"/>
              <w:jc w:val="center"/>
              <w:rPr>
                <w:rFonts w:eastAsia="仿宋_GB2312"/>
                <w:bCs/>
                <w:sz w:val="24"/>
              </w:rPr>
            </w:pP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服务期</w:t>
            </w:r>
            <w:r>
              <w:rPr>
                <w:rFonts w:hint="eastAsia" w:ascii="仿宋_GB2312" w:hAnsi="仿宋_GB2312" w:eastAsia="仿宋_GB2312" w:cs="仿宋_GB2312"/>
                <w:bCs/>
                <w:sz w:val="24"/>
                <w:highlight w:val="none"/>
              </w:rPr>
              <w:t>）</w:t>
            </w:r>
          </w:p>
        </w:tc>
        <w:tc>
          <w:tcPr>
            <w:tcW w:w="1701" w:type="dxa"/>
          </w:tcPr>
          <w:p w14:paraId="371C658F">
            <w:pPr>
              <w:pStyle w:val="29"/>
              <w:ind w:left="1080" w:leftChars="257" w:hanging="540"/>
              <w:jc w:val="center"/>
              <w:rPr>
                <w:rFonts w:ascii="Times New Roman" w:hAnsi="Times New Roman" w:eastAsia="仿宋_GB2312"/>
                <w:sz w:val="24"/>
                <w:szCs w:val="24"/>
              </w:rPr>
            </w:pPr>
          </w:p>
        </w:tc>
        <w:tc>
          <w:tcPr>
            <w:tcW w:w="1417" w:type="dxa"/>
          </w:tcPr>
          <w:p w14:paraId="0E8FE981">
            <w:pPr>
              <w:pStyle w:val="29"/>
              <w:ind w:left="1080" w:leftChars="257" w:hanging="540"/>
              <w:jc w:val="center"/>
              <w:rPr>
                <w:rFonts w:ascii="Times New Roman" w:hAnsi="Times New Roman" w:eastAsia="仿宋_GB2312"/>
                <w:sz w:val="24"/>
                <w:szCs w:val="24"/>
              </w:rPr>
            </w:pPr>
          </w:p>
        </w:tc>
        <w:tc>
          <w:tcPr>
            <w:tcW w:w="2195" w:type="dxa"/>
          </w:tcPr>
          <w:p w14:paraId="53679644">
            <w:pPr>
              <w:pStyle w:val="29"/>
              <w:ind w:left="1080" w:leftChars="257" w:hanging="540"/>
              <w:rPr>
                <w:rFonts w:ascii="Times New Roman" w:hAnsi="Times New Roman" w:eastAsia="仿宋_GB2312"/>
                <w:sz w:val="24"/>
                <w:szCs w:val="24"/>
              </w:rPr>
            </w:pPr>
          </w:p>
        </w:tc>
      </w:tr>
      <w:tr w14:paraId="6FCF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1DEBB09">
            <w:pPr>
              <w:pStyle w:val="29"/>
              <w:ind w:left="1080" w:leftChars="257" w:hanging="540"/>
              <w:rPr>
                <w:rFonts w:ascii="Times New Roman" w:hAnsi="Times New Roman" w:eastAsia="仿宋_GB2312"/>
                <w:sz w:val="24"/>
                <w:szCs w:val="24"/>
              </w:rPr>
            </w:pPr>
          </w:p>
        </w:tc>
        <w:tc>
          <w:tcPr>
            <w:tcW w:w="2835" w:type="dxa"/>
            <w:vAlign w:val="center"/>
          </w:tcPr>
          <w:p w14:paraId="721959D0">
            <w:pPr>
              <w:spacing w:line="360" w:lineRule="auto"/>
              <w:jc w:val="center"/>
              <w:rPr>
                <w:rFonts w:eastAsia="仿宋_GB2312"/>
                <w:bCs/>
                <w:sz w:val="24"/>
              </w:rPr>
            </w:pPr>
            <w:r>
              <w:rPr>
                <w:rFonts w:hint="eastAsia" w:ascii="仿宋_GB2312" w:hAnsi="仿宋_GB2312" w:eastAsia="仿宋_GB2312" w:cs="仿宋_GB2312"/>
                <w:bCs/>
                <w:sz w:val="24"/>
                <w:highlight w:val="none"/>
              </w:rPr>
              <w:t>（付款方式）</w:t>
            </w:r>
          </w:p>
        </w:tc>
        <w:tc>
          <w:tcPr>
            <w:tcW w:w="1701" w:type="dxa"/>
          </w:tcPr>
          <w:p w14:paraId="7CBFC693">
            <w:pPr>
              <w:pStyle w:val="29"/>
              <w:ind w:left="1080" w:leftChars="257" w:hanging="540"/>
              <w:rPr>
                <w:rFonts w:ascii="Times New Roman" w:hAnsi="Times New Roman" w:eastAsia="仿宋_GB2312"/>
                <w:sz w:val="24"/>
                <w:szCs w:val="24"/>
              </w:rPr>
            </w:pPr>
          </w:p>
        </w:tc>
        <w:tc>
          <w:tcPr>
            <w:tcW w:w="1417" w:type="dxa"/>
          </w:tcPr>
          <w:p w14:paraId="17113EDB">
            <w:pPr>
              <w:pStyle w:val="29"/>
              <w:ind w:left="1080" w:leftChars="257" w:hanging="540"/>
              <w:rPr>
                <w:rFonts w:ascii="Times New Roman" w:hAnsi="Times New Roman" w:eastAsia="仿宋_GB2312"/>
                <w:sz w:val="24"/>
                <w:szCs w:val="24"/>
              </w:rPr>
            </w:pPr>
          </w:p>
        </w:tc>
        <w:tc>
          <w:tcPr>
            <w:tcW w:w="2195" w:type="dxa"/>
          </w:tcPr>
          <w:p w14:paraId="0A941BF7">
            <w:pPr>
              <w:pStyle w:val="29"/>
              <w:ind w:left="1080" w:leftChars="257" w:hanging="540"/>
              <w:rPr>
                <w:rFonts w:ascii="Times New Roman" w:hAnsi="Times New Roman" w:eastAsia="仿宋_GB2312"/>
                <w:sz w:val="24"/>
                <w:szCs w:val="24"/>
              </w:rPr>
            </w:pPr>
          </w:p>
        </w:tc>
      </w:tr>
      <w:tr w14:paraId="2AD5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54DC09A">
            <w:pPr>
              <w:pStyle w:val="29"/>
              <w:ind w:left="1080" w:leftChars="257" w:hanging="540"/>
              <w:rPr>
                <w:rFonts w:ascii="Times New Roman" w:hAnsi="Times New Roman" w:eastAsia="仿宋_GB2312"/>
                <w:sz w:val="24"/>
                <w:szCs w:val="24"/>
              </w:rPr>
            </w:pPr>
          </w:p>
        </w:tc>
        <w:tc>
          <w:tcPr>
            <w:tcW w:w="2835" w:type="dxa"/>
            <w:vAlign w:val="center"/>
          </w:tcPr>
          <w:p w14:paraId="74602396">
            <w:pPr>
              <w:spacing w:line="360" w:lineRule="auto"/>
              <w:jc w:val="center"/>
              <w:rPr>
                <w:rFonts w:eastAsia="仿宋_GB2312"/>
                <w:bCs/>
                <w:sz w:val="24"/>
              </w:rPr>
            </w:pPr>
            <w:r>
              <w:rPr>
                <w:rFonts w:eastAsia="仿宋_GB2312"/>
                <w:sz w:val="24"/>
              </w:rPr>
              <w:t>….</w:t>
            </w:r>
          </w:p>
        </w:tc>
        <w:tc>
          <w:tcPr>
            <w:tcW w:w="1701" w:type="dxa"/>
          </w:tcPr>
          <w:p w14:paraId="1C825689">
            <w:pPr>
              <w:pStyle w:val="29"/>
              <w:ind w:left="1080" w:leftChars="257" w:hanging="540"/>
              <w:rPr>
                <w:rFonts w:ascii="Times New Roman" w:hAnsi="Times New Roman" w:eastAsia="仿宋_GB2312"/>
                <w:sz w:val="24"/>
                <w:szCs w:val="24"/>
              </w:rPr>
            </w:pPr>
          </w:p>
        </w:tc>
        <w:tc>
          <w:tcPr>
            <w:tcW w:w="1417" w:type="dxa"/>
          </w:tcPr>
          <w:p w14:paraId="06768946">
            <w:pPr>
              <w:pStyle w:val="29"/>
              <w:ind w:left="1080" w:leftChars="257" w:hanging="540"/>
              <w:rPr>
                <w:rFonts w:ascii="Times New Roman" w:hAnsi="Times New Roman" w:eastAsia="仿宋_GB2312"/>
                <w:sz w:val="24"/>
                <w:szCs w:val="24"/>
              </w:rPr>
            </w:pPr>
          </w:p>
        </w:tc>
        <w:tc>
          <w:tcPr>
            <w:tcW w:w="2195" w:type="dxa"/>
          </w:tcPr>
          <w:p w14:paraId="6CA39CA5">
            <w:pPr>
              <w:pStyle w:val="29"/>
              <w:ind w:left="1080" w:leftChars="257" w:hanging="540"/>
              <w:rPr>
                <w:rFonts w:ascii="Times New Roman" w:hAnsi="Times New Roman" w:eastAsia="仿宋_GB2312"/>
                <w:sz w:val="24"/>
                <w:szCs w:val="24"/>
              </w:rPr>
            </w:pPr>
          </w:p>
        </w:tc>
      </w:tr>
      <w:tr w14:paraId="7192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B818C7E">
            <w:pPr>
              <w:pStyle w:val="29"/>
              <w:ind w:left="1080" w:leftChars="257" w:hanging="540"/>
              <w:rPr>
                <w:rFonts w:ascii="Times New Roman" w:hAnsi="Times New Roman" w:eastAsia="仿宋_GB2312"/>
                <w:sz w:val="24"/>
                <w:szCs w:val="24"/>
              </w:rPr>
            </w:pPr>
          </w:p>
        </w:tc>
        <w:tc>
          <w:tcPr>
            <w:tcW w:w="2835" w:type="dxa"/>
            <w:vAlign w:val="center"/>
          </w:tcPr>
          <w:p w14:paraId="1B0282D4">
            <w:pPr>
              <w:spacing w:line="360" w:lineRule="auto"/>
              <w:jc w:val="center"/>
              <w:rPr>
                <w:rFonts w:eastAsia="仿宋_GB2312"/>
                <w:bCs/>
                <w:sz w:val="24"/>
              </w:rPr>
            </w:pPr>
          </w:p>
        </w:tc>
        <w:tc>
          <w:tcPr>
            <w:tcW w:w="1701" w:type="dxa"/>
          </w:tcPr>
          <w:p w14:paraId="67E853E7">
            <w:pPr>
              <w:pStyle w:val="29"/>
              <w:ind w:left="1080" w:leftChars="257" w:hanging="540"/>
              <w:rPr>
                <w:rFonts w:ascii="Times New Roman" w:hAnsi="Times New Roman" w:eastAsia="仿宋_GB2312"/>
                <w:sz w:val="24"/>
                <w:szCs w:val="24"/>
              </w:rPr>
            </w:pPr>
          </w:p>
        </w:tc>
        <w:tc>
          <w:tcPr>
            <w:tcW w:w="1417" w:type="dxa"/>
          </w:tcPr>
          <w:p w14:paraId="1A49CB25">
            <w:pPr>
              <w:pStyle w:val="29"/>
              <w:ind w:left="1080" w:leftChars="257" w:hanging="540"/>
              <w:rPr>
                <w:rFonts w:ascii="Times New Roman" w:hAnsi="Times New Roman" w:eastAsia="仿宋_GB2312"/>
                <w:sz w:val="24"/>
                <w:szCs w:val="24"/>
              </w:rPr>
            </w:pPr>
          </w:p>
        </w:tc>
        <w:tc>
          <w:tcPr>
            <w:tcW w:w="2195" w:type="dxa"/>
          </w:tcPr>
          <w:p w14:paraId="27505E4B">
            <w:pPr>
              <w:pStyle w:val="29"/>
              <w:ind w:left="1080" w:leftChars="257" w:hanging="540"/>
              <w:rPr>
                <w:rFonts w:ascii="Times New Roman" w:hAnsi="Times New Roman" w:eastAsia="仿宋_GB2312"/>
                <w:sz w:val="24"/>
                <w:szCs w:val="24"/>
              </w:rPr>
            </w:pPr>
          </w:p>
        </w:tc>
      </w:tr>
      <w:tr w14:paraId="57A3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87CD21A">
            <w:pPr>
              <w:pStyle w:val="29"/>
              <w:ind w:left="1080" w:leftChars="257" w:hanging="540"/>
              <w:rPr>
                <w:rFonts w:ascii="Times New Roman" w:hAnsi="Times New Roman" w:eastAsia="仿宋_GB2312"/>
                <w:sz w:val="24"/>
                <w:szCs w:val="24"/>
              </w:rPr>
            </w:pPr>
          </w:p>
        </w:tc>
        <w:tc>
          <w:tcPr>
            <w:tcW w:w="2835" w:type="dxa"/>
          </w:tcPr>
          <w:p w14:paraId="6E92D948">
            <w:pPr>
              <w:pStyle w:val="29"/>
              <w:ind w:left="1080" w:leftChars="257" w:hanging="540"/>
              <w:rPr>
                <w:rFonts w:ascii="Times New Roman" w:hAnsi="Times New Roman" w:eastAsia="仿宋_GB2312"/>
                <w:sz w:val="24"/>
                <w:szCs w:val="24"/>
              </w:rPr>
            </w:pPr>
          </w:p>
        </w:tc>
        <w:tc>
          <w:tcPr>
            <w:tcW w:w="1701" w:type="dxa"/>
          </w:tcPr>
          <w:p w14:paraId="5FB0A151">
            <w:pPr>
              <w:pStyle w:val="29"/>
              <w:ind w:left="1080" w:leftChars="257" w:hanging="540"/>
              <w:rPr>
                <w:rFonts w:ascii="Times New Roman" w:hAnsi="Times New Roman" w:eastAsia="仿宋_GB2312"/>
                <w:sz w:val="24"/>
                <w:szCs w:val="24"/>
              </w:rPr>
            </w:pPr>
          </w:p>
        </w:tc>
        <w:tc>
          <w:tcPr>
            <w:tcW w:w="1417" w:type="dxa"/>
          </w:tcPr>
          <w:p w14:paraId="67F03C39">
            <w:pPr>
              <w:pStyle w:val="29"/>
              <w:ind w:left="1080" w:leftChars="257" w:hanging="540"/>
              <w:rPr>
                <w:rFonts w:ascii="Times New Roman" w:hAnsi="Times New Roman" w:eastAsia="仿宋_GB2312"/>
                <w:sz w:val="24"/>
                <w:szCs w:val="24"/>
              </w:rPr>
            </w:pPr>
          </w:p>
        </w:tc>
        <w:tc>
          <w:tcPr>
            <w:tcW w:w="2195" w:type="dxa"/>
          </w:tcPr>
          <w:p w14:paraId="0684F99E">
            <w:pPr>
              <w:pStyle w:val="29"/>
              <w:ind w:left="1080" w:leftChars="257" w:hanging="540"/>
              <w:rPr>
                <w:rFonts w:ascii="Times New Roman" w:hAnsi="Times New Roman" w:eastAsia="仿宋_GB2312"/>
                <w:sz w:val="24"/>
                <w:szCs w:val="24"/>
              </w:rPr>
            </w:pPr>
          </w:p>
        </w:tc>
      </w:tr>
      <w:tr w14:paraId="248F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E2C36BD">
            <w:pPr>
              <w:pStyle w:val="29"/>
              <w:ind w:left="1080" w:leftChars="257" w:hanging="540"/>
              <w:rPr>
                <w:rFonts w:ascii="Times New Roman" w:hAnsi="Times New Roman" w:eastAsia="仿宋_GB2312"/>
                <w:sz w:val="24"/>
                <w:szCs w:val="24"/>
              </w:rPr>
            </w:pPr>
          </w:p>
        </w:tc>
        <w:tc>
          <w:tcPr>
            <w:tcW w:w="2835" w:type="dxa"/>
          </w:tcPr>
          <w:p w14:paraId="2E6B3503">
            <w:pPr>
              <w:pStyle w:val="29"/>
              <w:ind w:left="1080" w:leftChars="257" w:hanging="540"/>
              <w:rPr>
                <w:rFonts w:ascii="Times New Roman" w:hAnsi="Times New Roman" w:eastAsia="仿宋_GB2312"/>
                <w:sz w:val="24"/>
                <w:szCs w:val="24"/>
              </w:rPr>
            </w:pPr>
          </w:p>
        </w:tc>
        <w:tc>
          <w:tcPr>
            <w:tcW w:w="1701" w:type="dxa"/>
          </w:tcPr>
          <w:p w14:paraId="57E53AD9">
            <w:pPr>
              <w:pStyle w:val="29"/>
              <w:ind w:left="1080" w:leftChars="257" w:hanging="540"/>
              <w:rPr>
                <w:rFonts w:ascii="Times New Roman" w:hAnsi="Times New Roman" w:eastAsia="仿宋_GB2312"/>
                <w:sz w:val="24"/>
                <w:szCs w:val="24"/>
              </w:rPr>
            </w:pPr>
          </w:p>
        </w:tc>
        <w:tc>
          <w:tcPr>
            <w:tcW w:w="1417" w:type="dxa"/>
          </w:tcPr>
          <w:p w14:paraId="6C2443C6">
            <w:pPr>
              <w:pStyle w:val="29"/>
              <w:ind w:left="1080" w:leftChars="257" w:hanging="540"/>
              <w:rPr>
                <w:rFonts w:ascii="Times New Roman" w:hAnsi="Times New Roman" w:eastAsia="仿宋_GB2312"/>
                <w:sz w:val="24"/>
                <w:szCs w:val="24"/>
              </w:rPr>
            </w:pPr>
          </w:p>
        </w:tc>
        <w:tc>
          <w:tcPr>
            <w:tcW w:w="2195" w:type="dxa"/>
          </w:tcPr>
          <w:p w14:paraId="47F613F1">
            <w:pPr>
              <w:pStyle w:val="29"/>
              <w:ind w:left="1080" w:leftChars="257" w:hanging="540"/>
              <w:rPr>
                <w:rFonts w:ascii="Times New Roman" w:hAnsi="Times New Roman" w:eastAsia="仿宋_GB2312"/>
                <w:sz w:val="24"/>
                <w:szCs w:val="24"/>
              </w:rPr>
            </w:pPr>
          </w:p>
        </w:tc>
      </w:tr>
    </w:tbl>
    <w:p w14:paraId="7113DB2F">
      <w:pPr>
        <w:pStyle w:val="29"/>
        <w:ind w:left="1080" w:leftChars="257" w:hanging="540"/>
        <w:rPr>
          <w:rFonts w:ascii="Times New Roman" w:hAnsi="Times New Roman" w:eastAsia="仿宋_GB2312"/>
          <w:sz w:val="24"/>
          <w:szCs w:val="24"/>
        </w:rPr>
      </w:pPr>
    </w:p>
    <w:p w14:paraId="4B788CE8">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39FD9C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4859E8BF">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1E96E248">
      <w:pPr>
        <w:snapToGrid w:val="0"/>
        <w:spacing w:after="120" w:afterLines="50"/>
        <w:ind w:left="850" w:leftChars="203" w:hanging="424" w:hangingChars="202"/>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788CECF3">
      <w:pPr>
        <w:snapToGrid w:val="0"/>
        <w:spacing w:after="120"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正偏离是指应答的条件高于磋商文件要求，负偏离是指应答的条件低于磋商文件要求，正偏离项目不作扣分处理。</w:t>
      </w:r>
    </w:p>
    <w:p w14:paraId="6FDDDF05">
      <w:pPr>
        <w:snapToGrid w:val="0"/>
        <w:spacing w:after="120"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供应商须完整填写响应表。如果未完整填写本表的各项内容则视作供应商已经对磋商文件相关要求和内容完全理解并同意，其报价为在此基础上的完全价格。</w:t>
      </w:r>
    </w:p>
    <w:p w14:paraId="1175A51F">
      <w:pPr>
        <w:snapToGrid w:val="0"/>
        <w:spacing w:after="120"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333309AA">
      <w:pPr>
        <w:pStyle w:val="29"/>
        <w:ind w:left="1080" w:leftChars="257" w:hanging="540"/>
        <w:rPr>
          <w:rFonts w:ascii="Times New Roman" w:hAnsi="Times New Roman" w:eastAsia="仿宋_GB2312"/>
          <w:sz w:val="24"/>
          <w:szCs w:val="24"/>
        </w:rPr>
      </w:pPr>
    </w:p>
    <w:p w14:paraId="49D8007C">
      <w:pPr>
        <w:rPr>
          <w:rFonts w:ascii="仿宋_GB2312" w:hAnsi="仿宋_GB2312" w:eastAsia="仿宋_GB2312" w:cs="仿宋_GB2312"/>
          <w:b/>
          <w:bCs/>
          <w:sz w:val="28"/>
          <w:szCs w:val="36"/>
        </w:rPr>
      </w:pPr>
      <w:bookmarkStart w:id="608" w:name="_Toc7005136"/>
      <w:bookmarkStart w:id="609" w:name="_Toc410631184"/>
      <w:bookmarkStart w:id="610" w:name="_Toc416103825"/>
      <w:bookmarkStart w:id="611" w:name="_Toc414445775"/>
      <w:r>
        <w:rPr>
          <w:rFonts w:ascii="仿宋_GB2312" w:hAnsi="仿宋_GB2312" w:eastAsia="仿宋_GB2312" w:cs="仿宋_GB2312"/>
          <w:b/>
          <w:bCs/>
          <w:sz w:val="28"/>
          <w:szCs w:val="36"/>
        </w:rPr>
        <w:br w:type="page"/>
      </w:r>
    </w:p>
    <w:p w14:paraId="3E31425F">
      <w:pPr>
        <w:pStyle w:val="6"/>
        <w:jc w:val="center"/>
        <w:rPr>
          <w:rFonts w:ascii="Times New Roman" w:hAnsi="Times New Roman" w:eastAsia="仿宋_GB2312"/>
        </w:rPr>
      </w:pPr>
      <w:r>
        <w:rPr>
          <w:rFonts w:ascii="仿宋_GB2312" w:hAnsi="仿宋_GB2312" w:eastAsia="仿宋_GB2312" w:cs="仿宋_GB2312"/>
          <w:b/>
          <w:bCs/>
          <w:sz w:val="28"/>
          <w:szCs w:val="36"/>
        </w:rPr>
        <w:t>二、技术偏离表</w:t>
      </w:r>
      <w:bookmarkEnd w:id="608"/>
      <w:bookmarkEnd w:id="609"/>
      <w:bookmarkEnd w:id="610"/>
      <w:bookmarkEnd w:id="611"/>
    </w:p>
    <w:p w14:paraId="7C96FE21">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7CE0E656">
      <w:pPr>
        <w:pStyle w:val="23"/>
      </w:pPr>
      <w:r>
        <w:rPr>
          <w:rFonts w:ascii="Times New Roman" w:hAnsi="Times New Roman" w:eastAsia="仿宋_GB2312"/>
          <w:sz w:val="24"/>
        </w:rPr>
        <w:t>项目名称：</w:t>
      </w:r>
    </w:p>
    <w:tbl>
      <w:tblPr>
        <w:tblStyle w:val="50"/>
        <w:tblW w:w="99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1344"/>
        <w:gridCol w:w="1903"/>
      </w:tblGrid>
      <w:tr w14:paraId="5338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A7935F0">
            <w:pPr>
              <w:spacing w:line="400" w:lineRule="exact"/>
              <w:jc w:val="center"/>
              <w:rPr>
                <w:rFonts w:eastAsia="仿宋_GB2312"/>
                <w:sz w:val="24"/>
              </w:rPr>
            </w:pPr>
            <w:r>
              <w:rPr>
                <w:rFonts w:eastAsia="仿宋_GB2312"/>
                <w:sz w:val="24"/>
              </w:rPr>
              <w:t>磋商文件条目号</w:t>
            </w:r>
          </w:p>
        </w:tc>
        <w:tc>
          <w:tcPr>
            <w:tcW w:w="1932" w:type="dxa"/>
          </w:tcPr>
          <w:p w14:paraId="6129103A">
            <w:pPr>
              <w:spacing w:line="400" w:lineRule="exact"/>
              <w:jc w:val="center"/>
              <w:rPr>
                <w:rFonts w:eastAsia="仿宋_GB2312"/>
                <w:sz w:val="24"/>
              </w:rPr>
            </w:pPr>
            <w:r>
              <w:rPr>
                <w:rFonts w:eastAsia="仿宋_GB2312"/>
                <w:sz w:val="24"/>
              </w:rPr>
              <w:t>技术条款要求</w:t>
            </w:r>
          </w:p>
        </w:tc>
        <w:tc>
          <w:tcPr>
            <w:tcW w:w="1236" w:type="dxa"/>
          </w:tcPr>
          <w:p w14:paraId="415B8027">
            <w:pPr>
              <w:spacing w:line="400" w:lineRule="exact"/>
              <w:jc w:val="center"/>
              <w:rPr>
                <w:rFonts w:eastAsia="仿宋_GB2312"/>
                <w:sz w:val="24"/>
              </w:rPr>
            </w:pPr>
            <w:r>
              <w:rPr>
                <w:rFonts w:eastAsia="仿宋_GB2312"/>
                <w:sz w:val="24"/>
              </w:rPr>
              <w:t>完全响应</w:t>
            </w:r>
          </w:p>
        </w:tc>
        <w:tc>
          <w:tcPr>
            <w:tcW w:w="1236" w:type="dxa"/>
          </w:tcPr>
          <w:p w14:paraId="557B51E1">
            <w:pPr>
              <w:spacing w:line="400" w:lineRule="exact"/>
              <w:jc w:val="center"/>
              <w:rPr>
                <w:rFonts w:eastAsia="仿宋_GB2312"/>
                <w:sz w:val="24"/>
              </w:rPr>
            </w:pPr>
            <w:r>
              <w:rPr>
                <w:rFonts w:eastAsia="仿宋_GB2312"/>
                <w:sz w:val="24"/>
              </w:rPr>
              <w:t>有偏离</w:t>
            </w:r>
          </w:p>
        </w:tc>
        <w:tc>
          <w:tcPr>
            <w:tcW w:w="1344" w:type="dxa"/>
          </w:tcPr>
          <w:p w14:paraId="3A10FCEF">
            <w:pPr>
              <w:spacing w:line="400" w:lineRule="exact"/>
              <w:jc w:val="center"/>
              <w:rPr>
                <w:rFonts w:eastAsia="仿宋_GB2312"/>
                <w:sz w:val="24"/>
              </w:rPr>
            </w:pPr>
            <w:r>
              <w:rPr>
                <w:rFonts w:eastAsia="仿宋_GB2312"/>
                <w:sz w:val="24"/>
              </w:rPr>
              <w:t>偏离简述</w:t>
            </w:r>
          </w:p>
        </w:tc>
        <w:tc>
          <w:tcPr>
            <w:tcW w:w="1903" w:type="dxa"/>
            <w:shd w:val="clear" w:color="auto" w:fill="auto"/>
            <w:vAlign w:val="top"/>
          </w:tcPr>
          <w:p w14:paraId="343CDE02">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备注</w:t>
            </w:r>
          </w:p>
        </w:tc>
      </w:tr>
      <w:tr w14:paraId="64AA1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53DF524">
            <w:pPr>
              <w:spacing w:line="400" w:lineRule="exact"/>
              <w:rPr>
                <w:rFonts w:eastAsia="仿宋_GB2312"/>
                <w:sz w:val="24"/>
              </w:rPr>
            </w:pPr>
          </w:p>
        </w:tc>
        <w:tc>
          <w:tcPr>
            <w:tcW w:w="1932" w:type="dxa"/>
          </w:tcPr>
          <w:p w14:paraId="677CE3B2">
            <w:pPr>
              <w:spacing w:line="400" w:lineRule="exact"/>
              <w:rPr>
                <w:rFonts w:eastAsia="仿宋_GB2312"/>
                <w:sz w:val="24"/>
              </w:rPr>
            </w:pPr>
          </w:p>
        </w:tc>
        <w:tc>
          <w:tcPr>
            <w:tcW w:w="1236" w:type="dxa"/>
          </w:tcPr>
          <w:p w14:paraId="377EBF1B">
            <w:pPr>
              <w:spacing w:line="400" w:lineRule="exact"/>
              <w:rPr>
                <w:rFonts w:eastAsia="仿宋_GB2312"/>
                <w:sz w:val="24"/>
              </w:rPr>
            </w:pPr>
          </w:p>
        </w:tc>
        <w:tc>
          <w:tcPr>
            <w:tcW w:w="1236" w:type="dxa"/>
          </w:tcPr>
          <w:p w14:paraId="376B5B91">
            <w:pPr>
              <w:spacing w:line="400" w:lineRule="exact"/>
              <w:rPr>
                <w:rFonts w:eastAsia="仿宋_GB2312"/>
                <w:sz w:val="24"/>
              </w:rPr>
            </w:pPr>
          </w:p>
        </w:tc>
        <w:tc>
          <w:tcPr>
            <w:tcW w:w="1344" w:type="dxa"/>
          </w:tcPr>
          <w:p w14:paraId="7B9ABBFE">
            <w:pPr>
              <w:spacing w:line="400" w:lineRule="exact"/>
              <w:rPr>
                <w:rFonts w:eastAsia="仿宋_GB2312"/>
                <w:sz w:val="24"/>
              </w:rPr>
            </w:pPr>
          </w:p>
        </w:tc>
        <w:tc>
          <w:tcPr>
            <w:tcW w:w="1903" w:type="dxa"/>
            <w:shd w:val="clear" w:color="auto" w:fill="auto"/>
            <w:vAlign w:val="top"/>
          </w:tcPr>
          <w:p w14:paraId="495FAC5E">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页/第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行</w:t>
            </w:r>
          </w:p>
        </w:tc>
      </w:tr>
      <w:tr w14:paraId="2956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FECA739">
            <w:pPr>
              <w:spacing w:line="400" w:lineRule="exact"/>
              <w:rPr>
                <w:rFonts w:eastAsia="仿宋_GB2312"/>
                <w:sz w:val="24"/>
              </w:rPr>
            </w:pPr>
          </w:p>
        </w:tc>
        <w:tc>
          <w:tcPr>
            <w:tcW w:w="1932" w:type="dxa"/>
          </w:tcPr>
          <w:p w14:paraId="6ABFEE1E">
            <w:pPr>
              <w:spacing w:line="400" w:lineRule="exact"/>
              <w:rPr>
                <w:rFonts w:eastAsia="仿宋_GB2312"/>
                <w:sz w:val="24"/>
              </w:rPr>
            </w:pPr>
          </w:p>
        </w:tc>
        <w:tc>
          <w:tcPr>
            <w:tcW w:w="1236" w:type="dxa"/>
          </w:tcPr>
          <w:p w14:paraId="6540D44B">
            <w:pPr>
              <w:spacing w:line="400" w:lineRule="exact"/>
              <w:rPr>
                <w:rFonts w:eastAsia="仿宋_GB2312"/>
                <w:sz w:val="24"/>
              </w:rPr>
            </w:pPr>
          </w:p>
        </w:tc>
        <w:tc>
          <w:tcPr>
            <w:tcW w:w="1236" w:type="dxa"/>
          </w:tcPr>
          <w:p w14:paraId="6F65EE26">
            <w:pPr>
              <w:spacing w:line="400" w:lineRule="exact"/>
              <w:rPr>
                <w:rFonts w:eastAsia="仿宋_GB2312"/>
                <w:sz w:val="24"/>
              </w:rPr>
            </w:pPr>
          </w:p>
        </w:tc>
        <w:tc>
          <w:tcPr>
            <w:tcW w:w="1344" w:type="dxa"/>
          </w:tcPr>
          <w:p w14:paraId="0764E2CE">
            <w:pPr>
              <w:spacing w:line="400" w:lineRule="exact"/>
              <w:rPr>
                <w:rFonts w:eastAsia="仿宋_GB2312"/>
                <w:sz w:val="24"/>
              </w:rPr>
            </w:pPr>
          </w:p>
        </w:tc>
        <w:tc>
          <w:tcPr>
            <w:tcW w:w="1903" w:type="dxa"/>
            <w:shd w:val="clear" w:color="auto" w:fill="auto"/>
            <w:vAlign w:val="top"/>
          </w:tcPr>
          <w:p w14:paraId="41A16C60">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页/第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行</w:t>
            </w:r>
          </w:p>
        </w:tc>
      </w:tr>
      <w:tr w14:paraId="2C90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9EC97C5">
            <w:pPr>
              <w:spacing w:line="400" w:lineRule="exact"/>
              <w:rPr>
                <w:rFonts w:eastAsia="仿宋_GB2312"/>
                <w:sz w:val="24"/>
              </w:rPr>
            </w:pPr>
          </w:p>
        </w:tc>
        <w:tc>
          <w:tcPr>
            <w:tcW w:w="1932" w:type="dxa"/>
          </w:tcPr>
          <w:p w14:paraId="3D8F651E">
            <w:pPr>
              <w:spacing w:line="400" w:lineRule="exact"/>
              <w:rPr>
                <w:rFonts w:eastAsia="仿宋_GB2312"/>
                <w:sz w:val="24"/>
              </w:rPr>
            </w:pPr>
          </w:p>
        </w:tc>
        <w:tc>
          <w:tcPr>
            <w:tcW w:w="1236" w:type="dxa"/>
          </w:tcPr>
          <w:p w14:paraId="75D98B11">
            <w:pPr>
              <w:spacing w:line="400" w:lineRule="exact"/>
              <w:rPr>
                <w:rFonts w:eastAsia="仿宋_GB2312"/>
                <w:sz w:val="24"/>
              </w:rPr>
            </w:pPr>
          </w:p>
        </w:tc>
        <w:tc>
          <w:tcPr>
            <w:tcW w:w="1236" w:type="dxa"/>
          </w:tcPr>
          <w:p w14:paraId="63249314">
            <w:pPr>
              <w:spacing w:line="400" w:lineRule="exact"/>
              <w:rPr>
                <w:rFonts w:eastAsia="仿宋_GB2312"/>
                <w:sz w:val="24"/>
              </w:rPr>
            </w:pPr>
          </w:p>
        </w:tc>
        <w:tc>
          <w:tcPr>
            <w:tcW w:w="1344" w:type="dxa"/>
          </w:tcPr>
          <w:p w14:paraId="5218BEA0">
            <w:pPr>
              <w:spacing w:line="400" w:lineRule="exact"/>
              <w:rPr>
                <w:rFonts w:eastAsia="仿宋_GB2312"/>
                <w:sz w:val="24"/>
              </w:rPr>
            </w:pPr>
          </w:p>
        </w:tc>
        <w:tc>
          <w:tcPr>
            <w:tcW w:w="1903" w:type="dxa"/>
            <w:shd w:val="clear" w:color="auto" w:fill="auto"/>
            <w:vAlign w:val="top"/>
          </w:tcPr>
          <w:p w14:paraId="6DBED0B3">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页/第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行</w:t>
            </w:r>
          </w:p>
        </w:tc>
      </w:tr>
      <w:tr w14:paraId="6B5E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E0ECD06">
            <w:pPr>
              <w:spacing w:line="400" w:lineRule="exact"/>
              <w:rPr>
                <w:rFonts w:eastAsia="仿宋_GB2312"/>
                <w:sz w:val="24"/>
              </w:rPr>
            </w:pPr>
          </w:p>
        </w:tc>
        <w:tc>
          <w:tcPr>
            <w:tcW w:w="1932" w:type="dxa"/>
          </w:tcPr>
          <w:p w14:paraId="5B4842EE">
            <w:pPr>
              <w:spacing w:line="400" w:lineRule="exact"/>
              <w:rPr>
                <w:rFonts w:eastAsia="仿宋_GB2312"/>
                <w:sz w:val="24"/>
              </w:rPr>
            </w:pPr>
          </w:p>
        </w:tc>
        <w:tc>
          <w:tcPr>
            <w:tcW w:w="1236" w:type="dxa"/>
          </w:tcPr>
          <w:p w14:paraId="423DAB34">
            <w:pPr>
              <w:spacing w:line="400" w:lineRule="exact"/>
              <w:rPr>
                <w:rFonts w:eastAsia="仿宋_GB2312"/>
                <w:sz w:val="24"/>
              </w:rPr>
            </w:pPr>
          </w:p>
        </w:tc>
        <w:tc>
          <w:tcPr>
            <w:tcW w:w="1236" w:type="dxa"/>
          </w:tcPr>
          <w:p w14:paraId="39A73839">
            <w:pPr>
              <w:spacing w:line="400" w:lineRule="exact"/>
              <w:rPr>
                <w:rFonts w:eastAsia="仿宋_GB2312"/>
                <w:sz w:val="24"/>
              </w:rPr>
            </w:pPr>
          </w:p>
        </w:tc>
        <w:tc>
          <w:tcPr>
            <w:tcW w:w="1344" w:type="dxa"/>
          </w:tcPr>
          <w:p w14:paraId="6EC8720A">
            <w:pPr>
              <w:spacing w:line="400" w:lineRule="exact"/>
              <w:rPr>
                <w:rFonts w:eastAsia="仿宋_GB2312"/>
                <w:sz w:val="24"/>
              </w:rPr>
            </w:pPr>
          </w:p>
        </w:tc>
        <w:tc>
          <w:tcPr>
            <w:tcW w:w="1903" w:type="dxa"/>
            <w:shd w:val="clear" w:color="auto" w:fill="auto"/>
            <w:vAlign w:val="top"/>
          </w:tcPr>
          <w:p w14:paraId="0D770CE2">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页/第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行</w:t>
            </w:r>
          </w:p>
        </w:tc>
      </w:tr>
      <w:tr w14:paraId="0A763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206372A">
            <w:pPr>
              <w:spacing w:line="400" w:lineRule="exact"/>
              <w:rPr>
                <w:rFonts w:eastAsia="仿宋_GB2312"/>
                <w:sz w:val="24"/>
              </w:rPr>
            </w:pPr>
          </w:p>
        </w:tc>
        <w:tc>
          <w:tcPr>
            <w:tcW w:w="1932" w:type="dxa"/>
          </w:tcPr>
          <w:p w14:paraId="33788197">
            <w:pPr>
              <w:spacing w:line="400" w:lineRule="exact"/>
              <w:rPr>
                <w:rFonts w:eastAsia="仿宋_GB2312"/>
                <w:sz w:val="24"/>
              </w:rPr>
            </w:pPr>
          </w:p>
        </w:tc>
        <w:tc>
          <w:tcPr>
            <w:tcW w:w="1236" w:type="dxa"/>
          </w:tcPr>
          <w:p w14:paraId="42E74AE6">
            <w:pPr>
              <w:spacing w:line="400" w:lineRule="exact"/>
              <w:rPr>
                <w:rFonts w:eastAsia="仿宋_GB2312"/>
                <w:sz w:val="24"/>
              </w:rPr>
            </w:pPr>
          </w:p>
        </w:tc>
        <w:tc>
          <w:tcPr>
            <w:tcW w:w="1236" w:type="dxa"/>
          </w:tcPr>
          <w:p w14:paraId="79996BDE">
            <w:pPr>
              <w:spacing w:line="400" w:lineRule="exact"/>
              <w:rPr>
                <w:rFonts w:eastAsia="仿宋_GB2312"/>
                <w:sz w:val="24"/>
              </w:rPr>
            </w:pPr>
          </w:p>
        </w:tc>
        <w:tc>
          <w:tcPr>
            <w:tcW w:w="1344" w:type="dxa"/>
          </w:tcPr>
          <w:p w14:paraId="2A76F68A">
            <w:pPr>
              <w:spacing w:line="400" w:lineRule="exact"/>
              <w:rPr>
                <w:rFonts w:eastAsia="仿宋_GB2312"/>
                <w:sz w:val="24"/>
              </w:rPr>
            </w:pPr>
          </w:p>
        </w:tc>
        <w:tc>
          <w:tcPr>
            <w:tcW w:w="1903" w:type="dxa"/>
            <w:shd w:val="clear" w:color="auto" w:fill="auto"/>
            <w:vAlign w:val="top"/>
          </w:tcPr>
          <w:p w14:paraId="54954F0A">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页/第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行</w:t>
            </w:r>
          </w:p>
        </w:tc>
      </w:tr>
      <w:tr w14:paraId="0B5DE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AEBA3C">
            <w:pPr>
              <w:spacing w:line="400" w:lineRule="exact"/>
              <w:rPr>
                <w:rFonts w:eastAsia="仿宋_GB2312"/>
                <w:sz w:val="24"/>
              </w:rPr>
            </w:pPr>
          </w:p>
        </w:tc>
        <w:tc>
          <w:tcPr>
            <w:tcW w:w="1932" w:type="dxa"/>
          </w:tcPr>
          <w:p w14:paraId="57A2689E">
            <w:pPr>
              <w:spacing w:line="400" w:lineRule="exact"/>
              <w:rPr>
                <w:rFonts w:eastAsia="仿宋_GB2312"/>
                <w:bCs/>
                <w:sz w:val="24"/>
              </w:rPr>
            </w:pPr>
          </w:p>
        </w:tc>
        <w:tc>
          <w:tcPr>
            <w:tcW w:w="1236" w:type="dxa"/>
          </w:tcPr>
          <w:p w14:paraId="2F8E1ADB">
            <w:pPr>
              <w:spacing w:line="400" w:lineRule="exact"/>
              <w:rPr>
                <w:rFonts w:eastAsia="仿宋_GB2312"/>
                <w:sz w:val="24"/>
              </w:rPr>
            </w:pPr>
          </w:p>
        </w:tc>
        <w:tc>
          <w:tcPr>
            <w:tcW w:w="1236" w:type="dxa"/>
          </w:tcPr>
          <w:p w14:paraId="2FBB1B22">
            <w:pPr>
              <w:spacing w:line="400" w:lineRule="exact"/>
              <w:rPr>
                <w:rFonts w:eastAsia="仿宋_GB2312"/>
                <w:sz w:val="24"/>
              </w:rPr>
            </w:pPr>
          </w:p>
        </w:tc>
        <w:tc>
          <w:tcPr>
            <w:tcW w:w="1344" w:type="dxa"/>
          </w:tcPr>
          <w:p w14:paraId="108BACFC">
            <w:pPr>
              <w:spacing w:line="400" w:lineRule="exact"/>
              <w:rPr>
                <w:rFonts w:eastAsia="仿宋_GB2312"/>
                <w:sz w:val="24"/>
              </w:rPr>
            </w:pPr>
          </w:p>
        </w:tc>
        <w:tc>
          <w:tcPr>
            <w:tcW w:w="1903" w:type="dxa"/>
            <w:shd w:val="clear" w:color="auto" w:fill="auto"/>
            <w:vAlign w:val="top"/>
          </w:tcPr>
          <w:p w14:paraId="28661FEE">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页/第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行</w:t>
            </w:r>
          </w:p>
        </w:tc>
      </w:tr>
      <w:tr w14:paraId="759C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CE2E86">
            <w:pPr>
              <w:spacing w:line="400" w:lineRule="exact"/>
              <w:rPr>
                <w:rFonts w:eastAsia="仿宋_GB2312"/>
                <w:sz w:val="24"/>
              </w:rPr>
            </w:pPr>
          </w:p>
        </w:tc>
        <w:tc>
          <w:tcPr>
            <w:tcW w:w="1932" w:type="dxa"/>
          </w:tcPr>
          <w:p w14:paraId="6FB9FE05">
            <w:pPr>
              <w:spacing w:line="400" w:lineRule="exact"/>
              <w:rPr>
                <w:rFonts w:eastAsia="仿宋_GB2312"/>
                <w:bCs/>
                <w:sz w:val="24"/>
              </w:rPr>
            </w:pPr>
          </w:p>
        </w:tc>
        <w:tc>
          <w:tcPr>
            <w:tcW w:w="1236" w:type="dxa"/>
          </w:tcPr>
          <w:p w14:paraId="30044C89">
            <w:pPr>
              <w:spacing w:line="400" w:lineRule="exact"/>
              <w:rPr>
                <w:rFonts w:eastAsia="仿宋_GB2312"/>
                <w:sz w:val="24"/>
              </w:rPr>
            </w:pPr>
          </w:p>
        </w:tc>
        <w:tc>
          <w:tcPr>
            <w:tcW w:w="1236" w:type="dxa"/>
          </w:tcPr>
          <w:p w14:paraId="6D714437">
            <w:pPr>
              <w:spacing w:line="400" w:lineRule="exact"/>
              <w:rPr>
                <w:rFonts w:eastAsia="仿宋_GB2312"/>
                <w:sz w:val="24"/>
              </w:rPr>
            </w:pPr>
          </w:p>
        </w:tc>
        <w:tc>
          <w:tcPr>
            <w:tcW w:w="1344" w:type="dxa"/>
          </w:tcPr>
          <w:p w14:paraId="36C980B4">
            <w:pPr>
              <w:spacing w:line="400" w:lineRule="exact"/>
              <w:rPr>
                <w:rFonts w:eastAsia="仿宋_GB2312"/>
                <w:sz w:val="24"/>
              </w:rPr>
            </w:pPr>
          </w:p>
        </w:tc>
        <w:tc>
          <w:tcPr>
            <w:tcW w:w="1903" w:type="dxa"/>
            <w:shd w:val="clear" w:color="auto" w:fill="auto"/>
            <w:vAlign w:val="top"/>
          </w:tcPr>
          <w:p w14:paraId="5E6CD5FE">
            <w:pPr>
              <w:spacing w:line="4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highlight w:val="none"/>
                <w:lang w:val="en-US" w:eastAsia="zh-CN"/>
              </w:rPr>
              <w:t>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页/第</w:t>
            </w:r>
            <w:r>
              <w:rPr>
                <w:rFonts w:hint="eastAsia" w:eastAsia="仿宋_GB2312"/>
                <w:sz w:val="24"/>
                <w:highlight w:val="none"/>
                <w:u w:val="single"/>
                <w:lang w:val="en-US" w:eastAsia="zh-CN"/>
              </w:rPr>
              <w:t xml:space="preserve">  </w:t>
            </w:r>
            <w:r>
              <w:rPr>
                <w:rFonts w:hint="eastAsia" w:eastAsia="仿宋_GB2312"/>
                <w:sz w:val="24"/>
                <w:highlight w:val="none"/>
                <w:lang w:val="en-US" w:eastAsia="zh-CN"/>
              </w:rPr>
              <w:t>行</w:t>
            </w:r>
          </w:p>
        </w:tc>
      </w:tr>
    </w:tbl>
    <w:p w14:paraId="243504CD">
      <w:pPr>
        <w:spacing w:line="360" w:lineRule="auto"/>
        <w:ind w:firstLine="1920" w:firstLineChars="800"/>
        <w:rPr>
          <w:rFonts w:eastAsia="仿宋_GB2312"/>
          <w:sz w:val="24"/>
        </w:rPr>
      </w:pPr>
    </w:p>
    <w:p w14:paraId="67C3149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7DA9974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C38E4C6">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75AD460E">
      <w:pPr>
        <w:spacing w:line="360" w:lineRule="auto"/>
        <w:rPr>
          <w:rFonts w:eastAsia="仿宋_GB2312"/>
        </w:rPr>
      </w:pPr>
    </w:p>
    <w:p w14:paraId="6849F504">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1F94F74E">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14:paraId="4DB6D710">
      <w:pPr>
        <w:tabs>
          <w:tab w:val="left" w:pos="1200"/>
        </w:tabs>
        <w:snapToGrid w:val="0"/>
        <w:spacing w:after="120" w:afterLines="50"/>
        <w:ind w:left="850" w:leftChars="203" w:hanging="424" w:hangingChars="202"/>
        <w:rPr>
          <w:rFonts w:eastAsia="仿宋_GB2312"/>
        </w:rPr>
      </w:pPr>
      <w:r>
        <w:rPr>
          <w:rFonts w:eastAsia="仿宋_GB2312"/>
        </w:rPr>
        <w:t>3</w:t>
      </w:r>
      <w:r>
        <w:rPr>
          <w:rFonts w:hint="eastAsia" w:eastAsia="仿宋_GB2312"/>
          <w:lang w:val="en-US" w:eastAsia="zh-CN"/>
        </w:rPr>
        <w:t>.</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14:paraId="6D2756B1">
      <w:pPr>
        <w:tabs>
          <w:tab w:val="left" w:pos="1200"/>
        </w:tabs>
        <w:snapToGrid w:val="0"/>
        <w:spacing w:after="120" w:afterLines="50"/>
        <w:ind w:left="850" w:leftChars="203" w:hanging="424" w:hangingChars="202"/>
        <w:rPr>
          <w:rFonts w:eastAsia="仿宋_GB2312"/>
        </w:rPr>
      </w:pPr>
      <w:r>
        <w:rPr>
          <w:rFonts w:eastAsia="仿宋_GB2312"/>
        </w:rPr>
        <w:t>4</w:t>
      </w:r>
      <w:r>
        <w:rPr>
          <w:rFonts w:hint="eastAsia" w:eastAsia="仿宋_GB2312"/>
          <w:lang w:val="en-US" w:eastAsia="zh-CN"/>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4063FB68">
      <w:pPr>
        <w:autoSpaceDE w:val="0"/>
        <w:autoSpaceDN w:val="0"/>
        <w:adjustRightInd w:val="0"/>
        <w:snapToGrid w:val="0"/>
        <w:spacing w:line="360" w:lineRule="auto"/>
        <w:jc w:val="center"/>
        <w:rPr>
          <w:rFonts w:eastAsia="仿宋_GB2312"/>
          <w:b/>
          <w:sz w:val="32"/>
          <w:szCs w:val="32"/>
        </w:rPr>
      </w:pPr>
    </w:p>
    <w:p w14:paraId="16153421">
      <w:pPr>
        <w:autoSpaceDE w:val="0"/>
        <w:autoSpaceDN w:val="0"/>
        <w:adjustRightInd w:val="0"/>
        <w:snapToGrid w:val="0"/>
        <w:spacing w:line="360" w:lineRule="auto"/>
        <w:jc w:val="center"/>
        <w:rPr>
          <w:rFonts w:eastAsia="仿宋_GB2312"/>
          <w:b/>
          <w:bCs/>
          <w:sz w:val="24"/>
        </w:rPr>
      </w:pPr>
      <w:r>
        <w:rPr>
          <w:rFonts w:eastAsia="仿宋_GB2312"/>
        </w:rPr>
        <w:br w:type="page"/>
      </w:r>
    </w:p>
    <w:p w14:paraId="3F2965E8">
      <w:pPr>
        <w:pStyle w:val="5"/>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14:paraId="41715891">
      <w:pPr>
        <w:pStyle w:val="23"/>
        <w:rPr>
          <w:rFonts w:ascii="Times New Roman" w:hAnsi="Times New Roman" w:eastAsia="仿宋_GB2312"/>
          <w:lang w:val="zh-CN"/>
        </w:rPr>
      </w:pPr>
    </w:p>
    <w:p w14:paraId="0F9B5B34">
      <w:pPr>
        <w:autoSpaceDE w:val="0"/>
        <w:autoSpaceDN w:val="0"/>
        <w:adjustRightInd w:val="0"/>
        <w:spacing w:line="360" w:lineRule="auto"/>
        <w:jc w:val="center"/>
        <w:rPr>
          <w:rFonts w:eastAsia="仿宋_GB2312"/>
          <w:b/>
          <w:bCs/>
          <w:sz w:val="28"/>
          <w:szCs w:val="28"/>
          <w:lang w:val="zh-CN"/>
        </w:rPr>
      </w:pPr>
      <w:r>
        <w:rPr>
          <w:rFonts w:eastAsia="仿宋_GB2312"/>
          <w:b/>
          <w:bCs/>
          <w:sz w:val="28"/>
          <w:szCs w:val="28"/>
          <w:lang w:val="zh-CN"/>
        </w:rPr>
        <w:t>（格式自拟，内容需符合评审办法中要求的内容要求）</w:t>
      </w:r>
    </w:p>
    <w:p w14:paraId="1C2E2136">
      <w:pPr>
        <w:pStyle w:val="23"/>
        <w:rPr>
          <w:rFonts w:ascii="Times New Roman" w:hAnsi="Times New Roman" w:eastAsia="仿宋_GB2312"/>
          <w:lang w:val="zh-CN"/>
        </w:rPr>
      </w:pPr>
      <w:r>
        <w:rPr>
          <w:rFonts w:ascii="Times New Roman" w:hAnsi="Times New Roman" w:eastAsia="仿宋_GB2312"/>
          <w:lang w:val="zh-CN"/>
        </w:rPr>
        <w:br w:type="page"/>
      </w:r>
    </w:p>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6A01F700">
      <w:pPr>
        <w:spacing w:after="120"/>
        <w:rPr>
          <w:rFonts w:eastAsia="仿宋_GB2312"/>
        </w:rPr>
      </w:pPr>
    </w:p>
    <w:p w14:paraId="13B72F2B">
      <w:pPr>
        <w:pStyle w:val="5"/>
        <w:ind w:left="0" w:leftChars="0" w:firstLine="0" w:firstLineChars="0"/>
        <w:jc w:val="both"/>
        <w:rPr>
          <w:rFonts w:ascii="仿宋_GB2312" w:hAnsi="仿宋_GB2312" w:eastAsia="仿宋_GB2312" w:cs="仿宋_GB2312"/>
          <w:b/>
          <w:bCs/>
        </w:rPr>
      </w:pPr>
      <w:r>
        <w:rPr>
          <w:rFonts w:ascii="仿宋_GB2312" w:hAnsi="仿宋_GB2312" w:eastAsia="仿宋_GB2312" w:cs="仿宋_GB2312"/>
          <w:b/>
          <w:bCs/>
        </w:rPr>
        <w:t xml:space="preserve">第五部分 </w:t>
      </w:r>
      <w:r>
        <w:rPr>
          <w:rFonts w:hint="eastAsia" w:ascii="仿宋_GB2312" w:hAnsi="仿宋_GB2312" w:eastAsia="仿宋_GB2312" w:cs="仿宋_GB2312"/>
          <w:b/>
          <w:bCs/>
        </w:rPr>
        <w:t>中小</w:t>
      </w:r>
      <w:r>
        <w:rPr>
          <w:rFonts w:ascii="仿宋_GB2312" w:hAnsi="仿宋_GB2312" w:eastAsia="仿宋_GB2312" w:cs="仿宋_GB2312"/>
          <w:b/>
          <w:bCs/>
        </w:rPr>
        <w:t>企业、监狱企业、残疾人福利单位声明函或证明</w:t>
      </w:r>
    </w:p>
    <w:p w14:paraId="1149D948">
      <w:pPr>
        <w:pStyle w:val="196"/>
        <w:rPr>
          <w:rFonts w:ascii="Times New Roman" w:eastAsia="仿宋"/>
          <w:b/>
          <w:bCs/>
          <w:sz w:val="32"/>
          <w:szCs w:val="32"/>
        </w:rPr>
      </w:pPr>
    </w:p>
    <w:p w14:paraId="0A945307">
      <w:pPr>
        <w:ind w:left="315" w:leftChars="150" w:firstLine="270" w:firstLineChars="150"/>
        <w:rPr>
          <w:rFonts w:eastAsia="仿宋_GB2312"/>
          <w:kern w:val="0"/>
          <w:sz w:val="18"/>
          <w:szCs w:val="18"/>
        </w:rPr>
      </w:pPr>
      <w:bookmarkStart w:id="612" w:name="_Toc7005133"/>
    </w:p>
    <w:p w14:paraId="3D00C2B9">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中小企业声明函</w:t>
      </w:r>
      <w:r>
        <w:rPr>
          <w:rFonts w:hint="eastAsia" w:ascii="仿宋_GB2312" w:hAnsi="仿宋_GB2312" w:eastAsia="仿宋_GB2312" w:cs="仿宋_GB2312"/>
          <w:b/>
          <w:bCs/>
          <w:sz w:val="28"/>
          <w:szCs w:val="36"/>
        </w:rPr>
        <w:t>（</w:t>
      </w:r>
      <w:r>
        <w:rPr>
          <w:rFonts w:ascii="仿宋_GB2312" w:hAnsi="仿宋_GB2312" w:eastAsia="仿宋_GB2312" w:cs="仿宋_GB2312"/>
          <w:b/>
          <w:bCs/>
          <w:sz w:val="28"/>
          <w:szCs w:val="36"/>
        </w:rPr>
        <w:t>服务</w:t>
      </w:r>
      <w:r>
        <w:rPr>
          <w:rFonts w:hint="eastAsia" w:ascii="仿宋_GB2312" w:hAnsi="仿宋_GB2312" w:eastAsia="仿宋_GB2312" w:cs="仿宋_GB2312"/>
          <w:b/>
          <w:bCs/>
          <w:sz w:val="28"/>
          <w:szCs w:val="36"/>
        </w:rPr>
        <w:t>）</w:t>
      </w:r>
    </w:p>
    <w:p w14:paraId="2C39E1CD">
      <w:pPr>
        <w:rPr>
          <w:rFonts w:eastAsia="仿宋_GB2312"/>
          <w:kern w:val="0"/>
          <w:sz w:val="30"/>
          <w:szCs w:val="30"/>
        </w:rPr>
      </w:pPr>
    </w:p>
    <w:p w14:paraId="13C3D5D5">
      <w:pPr>
        <w:spacing w:line="560" w:lineRule="exact"/>
        <w:ind w:firstLine="480" w:firstLineChars="200"/>
        <w:rPr>
          <w:rFonts w:eastAsia="仿宋_GB2312"/>
          <w:kern w:val="0"/>
          <w:sz w:val="24"/>
        </w:rPr>
      </w:pPr>
      <w:r>
        <w:rPr>
          <w:rFonts w:eastAsia="仿宋_GB2312"/>
          <w:kern w:val="0"/>
          <w:sz w:val="24"/>
        </w:rPr>
        <w:t>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郑重声明，根据《政府采购促进中小企业发展管理办法》</w:t>
      </w:r>
      <w:r>
        <w:rPr>
          <w:rFonts w:hint="eastAsia" w:eastAsia="仿宋_GB2312"/>
          <w:kern w:val="0"/>
          <w:sz w:val="24"/>
        </w:rPr>
        <w:t>（</w:t>
      </w:r>
      <w:r>
        <w:rPr>
          <w:rFonts w:eastAsia="仿宋_GB2312"/>
          <w:kern w:val="0"/>
          <w:sz w:val="24"/>
        </w:rPr>
        <w:t>财库</w:t>
      </w:r>
      <w:r>
        <w:rPr>
          <w:rFonts w:hint="eastAsia" w:eastAsia="仿宋_GB2312"/>
          <w:kern w:val="0"/>
          <w:sz w:val="24"/>
        </w:rPr>
        <w:t>﹝</w:t>
      </w:r>
      <w:r>
        <w:rPr>
          <w:rFonts w:eastAsia="仿宋_GB2312"/>
          <w:kern w:val="0"/>
          <w:sz w:val="24"/>
        </w:rPr>
        <w:t>2020</w:t>
      </w:r>
      <w:r>
        <w:rPr>
          <w:rFonts w:hint="eastAsia" w:eastAsia="仿宋_GB2312"/>
          <w:kern w:val="0"/>
          <w:sz w:val="24"/>
        </w:rPr>
        <w:t>﹞</w:t>
      </w:r>
      <w:r>
        <w:rPr>
          <w:rFonts w:eastAsia="仿宋_GB2312"/>
          <w:kern w:val="0"/>
          <w:sz w:val="24"/>
        </w:rPr>
        <w:t>46号</w:t>
      </w:r>
      <w:r>
        <w:rPr>
          <w:rFonts w:hint="eastAsia" w:eastAsia="仿宋_GB2312"/>
          <w:kern w:val="0"/>
          <w:sz w:val="24"/>
        </w:rPr>
        <w:t>）</w:t>
      </w:r>
      <w:r>
        <w:rPr>
          <w:rFonts w:eastAsia="仿宋_GB2312"/>
          <w:kern w:val="0"/>
          <w:sz w:val="24"/>
        </w:rPr>
        <w:t>的规定，本公司参加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活动，服务全部由符合政策要求的中小企业承接。相关企业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14:paraId="0986DC88">
      <w:pPr>
        <w:pStyle w:val="69"/>
        <w:numPr>
          <w:ilvl w:val="0"/>
          <w:numId w:val="11"/>
        </w:numPr>
        <w:spacing w:line="560" w:lineRule="exact"/>
        <w:ind w:left="0" w:firstLine="600"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；承建</w:t>
      </w:r>
      <w:r>
        <w:rPr>
          <w:rFonts w:hint="eastAsia" w:ascii="Times New Roman" w:hAnsi="Times New Roman" w:eastAsia="仿宋_GB2312"/>
          <w:kern w:val="0"/>
          <w:sz w:val="24"/>
          <w:szCs w:val="24"/>
        </w:rPr>
        <w:t>（</w:t>
      </w:r>
      <w:r>
        <w:rPr>
          <w:rFonts w:ascii="Times New Roman" w:hAnsi="Times New Roman" w:eastAsia="仿宋_GB2312"/>
          <w:kern w:val="0"/>
          <w:sz w:val="24"/>
          <w:szCs w:val="24"/>
        </w:rPr>
        <w:t>承接</w:t>
      </w:r>
      <w:r>
        <w:rPr>
          <w:rFonts w:hint="eastAsia" w:ascii="Times New Roman" w:hAnsi="Times New Roman" w:eastAsia="仿宋_GB2312"/>
          <w:kern w:val="0"/>
          <w:sz w:val="24"/>
          <w:szCs w:val="24"/>
        </w:rPr>
        <w:t>）</w:t>
      </w:r>
      <w:r>
        <w:rPr>
          <w:rFonts w:ascii="Times New Roman" w:hAnsi="Times New Roman" w:eastAsia="仿宋_GB2312"/>
          <w:kern w:val="0"/>
          <w:sz w:val="24"/>
          <w:szCs w:val="24"/>
        </w:rPr>
        <w:t>企业为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w:t>
      </w:r>
      <w:r>
        <w:rPr>
          <w:rFonts w:hint="eastAsia" w:ascii="Times New Roman" w:hAnsi="Times New Roman" w:eastAsia="仿宋_GB2312"/>
          <w:kern w:val="0"/>
          <w:sz w:val="24"/>
          <w:szCs w:val="24"/>
          <w:u w:val="single"/>
        </w:rPr>
        <w:t>企业</w:t>
      </w:r>
      <w:r>
        <w:rPr>
          <w:rFonts w:ascii="Times New Roman" w:hAnsi="Times New Roman" w:eastAsia="仿宋_GB2312"/>
          <w:kern w:val="0"/>
          <w:sz w:val="24"/>
          <w:szCs w:val="24"/>
          <w:u w:val="single"/>
        </w:rPr>
        <w:t>、小型企业、微型企业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w:t>
      </w:r>
    </w:p>
    <w:p w14:paraId="3B82EAE3">
      <w:pPr>
        <w:spacing w:line="560" w:lineRule="exact"/>
        <w:ind w:left="17" w:leftChars="8" w:firstLine="460" w:firstLineChars="192"/>
        <w:rPr>
          <w:rFonts w:eastAsia="仿宋_GB2312"/>
          <w:kern w:val="0"/>
          <w:sz w:val="24"/>
        </w:rPr>
      </w:pPr>
      <w:r>
        <w:rPr>
          <w:rFonts w:eastAsia="仿宋_GB2312"/>
          <w:kern w:val="0"/>
          <w:sz w:val="24"/>
        </w:rPr>
        <w:t>2.</w:t>
      </w:r>
      <w:r>
        <w:rPr>
          <w:rFonts w:hint="eastAsia" w:eastAsia="仿宋_GB2312"/>
          <w:kern w:val="0"/>
          <w:sz w:val="24"/>
        </w:rPr>
        <w:t xml:space="preserve"> </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标的名称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采购文件中</w:t>
      </w:r>
      <w:r>
        <w:rPr>
          <w:rFonts w:hint="eastAsia" w:eastAsia="仿宋_GB2312"/>
          <w:kern w:val="0"/>
          <w:sz w:val="24"/>
          <w:u w:val="single"/>
        </w:rPr>
        <w:t>明确</w:t>
      </w:r>
      <w:r>
        <w:rPr>
          <w:rFonts w:eastAsia="仿宋_GB2312"/>
          <w:kern w:val="0"/>
          <w:sz w:val="24"/>
          <w:u w:val="single"/>
        </w:rPr>
        <w:t>的所属行业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；承建</w:t>
      </w:r>
      <w:r>
        <w:rPr>
          <w:rFonts w:hint="eastAsia" w:eastAsia="仿宋_GB2312"/>
          <w:kern w:val="0"/>
          <w:sz w:val="24"/>
        </w:rPr>
        <w:t>（</w:t>
      </w:r>
      <w:r>
        <w:rPr>
          <w:rFonts w:eastAsia="仿宋_GB2312"/>
          <w:kern w:val="0"/>
          <w:sz w:val="24"/>
        </w:rPr>
        <w:t>承接</w:t>
      </w:r>
      <w:r>
        <w:rPr>
          <w:rFonts w:hint="eastAsia" w:eastAsia="仿宋_GB2312"/>
          <w:kern w:val="0"/>
          <w:sz w:val="24"/>
        </w:rPr>
        <w:t>）</w:t>
      </w:r>
      <w:r>
        <w:rPr>
          <w:rFonts w:eastAsia="仿宋_GB2312"/>
          <w:kern w:val="0"/>
          <w:sz w:val="24"/>
        </w:rPr>
        <w:t>企业为</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企业名称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中型</w:t>
      </w:r>
      <w:r>
        <w:rPr>
          <w:rFonts w:hint="eastAsia" w:eastAsia="仿宋_GB2312"/>
          <w:kern w:val="0"/>
          <w:sz w:val="24"/>
          <w:u w:val="single"/>
        </w:rPr>
        <w:t>企业</w:t>
      </w:r>
      <w:r>
        <w:rPr>
          <w:rFonts w:eastAsia="仿宋_GB2312"/>
          <w:kern w:val="0"/>
          <w:sz w:val="24"/>
          <w:u w:val="single"/>
        </w:rPr>
        <w:t>、小型企业、微型企业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w:t>
      </w:r>
    </w:p>
    <w:p w14:paraId="664E22BE">
      <w:pPr>
        <w:spacing w:line="560" w:lineRule="exact"/>
        <w:ind w:firstLine="480" w:firstLineChars="200"/>
        <w:rPr>
          <w:rFonts w:eastAsia="仿宋_GB2312"/>
          <w:kern w:val="0"/>
          <w:sz w:val="24"/>
        </w:rPr>
      </w:pPr>
      <w:r>
        <w:rPr>
          <w:rFonts w:eastAsia="仿宋_GB2312"/>
          <w:kern w:val="0"/>
          <w:sz w:val="24"/>
        </w:rPr>
        <w:t>……</w:t>
      </w:r>
    </w:p>
    <w:p w14:paraId="0C46BEAC">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14:paraId="5BA2FA31">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14:paraId="4E0E49CB">
      <w:pPr>
        <w:spacing w:line="560" w:lineRule="exact"/>
        <w:rPr>
          <w:rFonts w:eastAsia="仿宋_GB2312"/>
          <w:kern w:val="0"/>
          <w:sz w:val="24"/>
        </w:rPr>
      </w:pPr>
      <w:r>
        <w:rPr>
          <w:rFonts w:eastAsia="仿宋_GB2312"/>
          <w:kern w:val="0"/>
          <w:sz w:val="24"/>
        </w:rPr>
        <w:t xml:space="preserve">                                  企业名称</w:t>
      </w:r>
      <w:r>
        <w:rPr>
          <w:rFonts w:hint="eastAsia" w:eastAsia="仿宋_GB2312"/>
          <w:kern w:val="0"/>
          <w:sz w:val="24"/>
        </w:rPr>
        <w:t>（</w:t>
      </w:r>
      <w:r>
        <w:rPr>
          <w:rFonts w:eastAsia="仿宋_GB2312"/>
          <w:kern w:val="0"/>
          <w:sz w:val="24"/>
        </w:rPr>
        <w:t>盖章</w:t>
      </w:r>
      <w:r>
        <w:rPr>
          <w:rFonts w:hint="eastAsia" w:eastAsia="仿宋_GB2312"/>
          <w:kern w:val="0"/>
          <w:sz w:val="24"/>
        </w:rPr>
        <w:t>）：</w:t>
      </w:r>
    </w:p>
    <w:p w14:paraId="45496351">
      <w:pPr>
        <w:spacing w:line="560" w:lineRule="exact"/>
        <w:ind w:firstLine="4320" w:firstLineChars="1800"/>
        <w:rPr>
          <w:rFonts w:eastAsia="仿宋_GB2312"/>
          <w:kern w:val="0"/>
          <w:sz w:val="24"/>
        </w:rPr>
      </w:pPr>
      <w:r>
        <w:rPr>
          <w:rFonts w:eastAsia="仿宋_GB2312"/>
          <w:kern w:val="0"/>
          <w:sz w:val="24"/>
        </w:rPr>
        <w:t>日期：</w:t>
      </w:r>
    </w:p>
    <w:p w14:paraId="4CB1AB4B">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14:paraId="3EC330FF">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14:paraId="63E308CE">
      <w:pPr>
        <w:rPr>
          <w:rFonts w:eastAsia="仿宋_GB2312"/>
          <w:b/>
          <w:sz w:val="28"/>
          <w:szCs w:val="28"/>
        </w:rPr>
      </w:pPr>
      <w:r>
        <w:rPr>
          <w:rFonts w:eastAsia="仿宋_GB2312"/>
          <w:b/>
          <w:sz w:val="28"/>
          <w:szCs w:val="28"/>
        </w:rPr>
        <w:br w:type="page"/>
      </w:r>
    </w:p>
    <w:bookmarkEnd w:id="612"/>
    <w:p w14:paraId="52648AB5">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14:paraId="41119A0D">
      <w:pPr>
        <w:spacing w:line="360" w:lineRule="auto"/>
        <w:rPr>
          <w:rFonts w:eastAsia="仿宋_GB2312"/>
          <w:b/>
          <w:kern w:val="0"/>
          <w:sz w:val="24"/>
          <w:szCs w:val="20"/>
        </w:rPr>
      </w:pPr>
    </w:p>
    <w:p w14:paraId="1C7873D7">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0E763D80">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14:paraId="1912F6F4">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6CCB6816">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73A82A14">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69C6E41B">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100A4569">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65CC01E">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1607975E">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C4224B9">
      <w:pPr>
        <w:widowControl/>
        <w:spacing w:before="100" w:beforeAutospacing="1" w:after="100" w:afterAutospacing="1" w:line="360" w:lineRule="auto"/>
        <w:jc w:val="left"/>
        <w:rPr>
          <w:rFonts w:eastAsia="仿宋_GB2312"/>
          <w:kern w:val="0"/>
          <w:sz w:val="24"/>
          <w:u w:val="single"/>
        </w:rPr>
      </w:pPr>
    </w:p>
    <w:p w14:paraId="6945E4EA">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7FF6D4F8">
      <w:pPr>
        <w:rPr>
          <w:rFonts w:eastAsia="仿宋_GB2312"/>
          <w:sz w:val="32"/>
          <w:szCs w:val="32"/>
        </w:rPr>
      </w:pPr>
    </w:p>
    <w:p w14:paraId="72383944">
      <w:pPr>
        <w:pStyle w:val="6"/>
        <w:jc w:val="center"/>
        <w:rPr>
          <w:rFonts w:ascii="Times New Roman" w:hAnsi="Times New Roman" w:eastAsia="仿宋_GB2312"/>
          <w:b/>
          <w:sz w:val="32"/>
          <w:szCs w:val="32"/>
        </w:rPr>
      </w:pPr>
      <w:bookmarkStart w:id="613"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613"/>
    </w:p>
    <w:p w14:paraId="280539CD">
      <w:pPr>
        <w:spacing w:after="120"/>
        <w:rPr>
          <w:rFonts w:eastAsia="仿宋_GB2312"/>
        </w:rPr>
      </w:pPr>
    </w:p>
    <w:p w14:paraId="18751D03">
      <w:pPr>
        <w:jc w:val="center"/>
        <w:rPr>
          <w:rFonts w:eastAsia="仿宋_GB2312"/>
          <w:sz w:val="24"/>
        </w:rPr>
      </w:pPr>
      <w:r>
        <w:rPr>
          <w:rFonts w:eastAsia="仿宋_GB2312"/>
          <w:sz w:val="24"/>
        </w:rPr>
        <w:t>（注：符合条件的残疾人福利性单位请提供本函，不符合的不提供本函）</w:t>
      </w:r>
    </w:p>
    <w:p w14:paraId="4B8B9828">
      <w:pPr>
        <w:rPr>
          <w:rFonts w:eastAsia="仿宋_GB2312"/>
          <w:sz w:val="24"/>
        </w:rPr>
      </w:pPr>
    </w:p>
    <w:p w14:paraId="544F899B">
      <w:pPr>
        <w:spacing w:line="360" w:lineRule="auto"/>
        <w:rPr>
          <w:rFonts w:eastAsia="仿宋_GB2312"/>
          <w:sz w:val="24"/>
        </w:rPr>
      </w:pPr>
    </w:p>
    <w:p w14:paraId="76E3BDC6">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2E3A67">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3F3A922E">
      <w:pPr>
        <w:spacing w:line="360" w:lineRule="auto"/>
        <w:rPr>
          <w:rFonts w:eastAsia="仿宋_GB2312"/>
          <w:sz w:val="24"/>
        </w:rPr>
      </w:pPr>
    </w:p>
    <w:p w14:paraId="068A95AA">
      <w:pPr>
        <w:rPr>
          <w:rFonts w:eastAsia="仿宋_GB2312"/>
          <w:sz w:val="24"/>
        </w:rPr>
      </w:pPr>
      <w:r>
        <w:rPr>
          <w:rFonts w:eastAsia="仿宋_GB2312"/>
          <w:sz w:val="24"/>
        </w:rPr>
        <w:t xml:space="preserve"> </w:t>
      </w:r>
    </w:p>
    <w:p w14:paraId="0B2652B3">
      <w:pPr>
        <w:rPr>
          <w:rFonts w:eastAsia="仿宋_GB2312"/>
          <w:sz w:val="24"/>
        </w:rPr>
      </w:pPr>
    </w:p>
    <w:p w14:paraId="22CD9BA1">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430DBE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F74A38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47599CE">
      <w:pPr>
        <w:ind w:firstLine="3600" w:firstLineChars="1500"/>
        <w:rPr>
          <w:rFonts w:eastAsia="仿宋_GB2312"/>
          <w:sz w:val="24"/>
        </w:rPr>
      </w:pPr>
    </w:p>
    <w:p w14:paraId="6414D23F">
      <w:pPr>
        <w:rPr>
          <w:rFonts w:eastAsia="仿宋_GB2312"/>
          <w:sz w:val="24"/>
        </w:rPr>
      </w:pPr>
    </w:p>
    <w:p w14:paraId="5D8ECAC5">
      <w:pPr>
        <w:snapToGrid w:val="0"/>
        <w:spacing w:before="120" w:beforeLines="50"/>
        <w:jc w:val="center"/>
        <w:rPr>
          <w:rFonts w:eastAsia="仿宋_GB2312"/>
          <w:b/>
          <w:sz w:val="24"/>
          <w:szCs w:val="21"/>
        </w:rPr>
      </w:pPr>
    </w:p>
    <w:p w14:paraId="213D408B">
      <w:pPr>
        <w:widowControl/>
        <w:jc w:val="left"/>
        <w:rPr>
          <w:rFonts w:eastAsia="仿宋_GB2312"/>
          <w:sz w:val="24"/>
        </w:rPr>
      </w:pPr>
      <w:r>
        <w:rPr>
          <w:rFonts w:eastAsia="仿宋_GB2312"/>
          <w:sz w:val="24"/>
        </w:rPr>
        <w:br w:type="page"/>
      </w:r>
    </w:p>
    <w:p w14:paraId="559BFB19">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AF94F19">
      <w:pPr>
        <w:spacing w:line="360" w:lineRule="auto"/>
        <w:ind w:firstLine="1920" w:firstLineChars="800"/>
        <w:rPr>
          <w:rFonts w:eastAsia="仿宋_GB2312"/>
          <w:sz w:val="32"/>
          <w:u w:val="single"/>
        </w:rPr>
      </w:pPr>
      <w:r>
        <w:rPr>
          <w:rFonts w:eastAsia="仿宋_GB2312"/>
          <w:sz w:val="24"/>
        </w:rPr>
        <w:t>日    期：</w:t>
      </w:r>
      <w:r>
        <w:rPr>
          <w:rFonts w:eastAsia="仿宋_GB2312"/>
          <w:sz w:val="32"/>
          <w:u w:val="single"/>
        </w:rPr>
        <w:t xml:space="preserve">    </w:t>
      </w:r>
    </w:p>
    <w:p w14:paraId="40119C42">
      <w:pPr>
        <w:rPr>
          <w:rFonts w:eastAsia="仿宋_GB2312"/>
          <w:sz w:val="32"/>
          <w:u w:val="single"/>
        </w:rPr>
      </w:pPr>
      <w:r>
        <w:rPr>
          <w:rFonts w:eastAsia="仿宋_GB2312"/>
          <w:sz w:val="32"/>
          <w:u w:val="single"/>
        </w:rPr>
        <w:br w:type="page"/>
      </w:r>
    </w:p>
    <w:p w14:paraId="01266831">
      <w:pPr>
        <w:pStyle w:val="6"/>
        <w:jc w:val="center"/>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lang w:val="en-US" w:eastAsia="zh-CN"/>
        </w:rPr>
        <w:t>五、</w:t>
      </w:r>
      <w:r>
        <w:rPr>
          <w:rFonts w:hint="eastAsia" w:ascii="仿宋_GB2312" w:hAnsi="仿宋_GB2312" w:eastAsia="仿宋_GB2312" w:cs="仿宋_GB2312"/>
          <w:b/>
          <w:bCs/>
          <w:sz w:val="28"/>
          <w:szCs w:val="36"/>
        </w:rPr>
        <w:t>供应商企业关系关联承诺书</w:t>
      </w:r>
    </w:p>
    <w:p w14:paraId="1DBE8E91">
      <w:pPr>
        <w:spacing w:line="360" w:lineRule="auto"/>
        <w:ind w:firstLine="480" w:firstLineChars="200"/>
        <w:rPr>
          <w:rFonts w:hint="eastAsia" w:ascii="Times New Roman" w:hAnsi="Times New Roman" w:eastAsia="仿宋_GB2312" w:cs="Times New Roman"/>
          <w:sz w:val="24"/>
        </w:rPr>
      </w:pPr>
    </w:p>
    <w:p w14:paraId="02544723">
      <w:pPr>
        <w:spacing w:line="360" w:lineRule="auto"/>
        <w:ind w:firstLine="480" w:firstLineChars="200"/>
        <w:rPr>
          <w:rFonts w:hint="eastAsia" w:ascii="Times New Roman" w:hAnsi="Times New Roman" w:eastAsia="仿宋_GB2312" w:cs="Times New Roman"/>
          <w:sz w:val="24"/>
        </w:rPr>
      </w:pPr>
      <w:r>
        <w:rPr>
          <w:rFonts w:hint="eastAsia" w:ascii="Times New Roman" w:hAnsi="Times New Roman" w:eastAsia="仿宋_GB2312" w:cs="Times New Roman"/>
          <w:sz w:val="24"/>
        </w:rPr>
        <w:t>我方承诺,不存在相关法律法规规定禁止投标的情形,并作如下说明和承诺:</w:t>
      </w:r>
    </w:p>
    <w:p w14:paraId="1D0F15EE">
      <w:pPr>
        <w:spacing w:line="360" w:lineRule="auto"/>
        <w:ind w:firstLine="480" w:firstLineChars="200"/>
        <w:rPr>
          <w:rFonts w:hint="eastAsia" w:ascii="Times New Roman" w:hAnsi="Times New Roman" w:eastAsia="仿宋_GB2312" w:cs="Times New Roman"/>
          <w:sz w:val="24"/>
        </w:rPr>
      </w:pPr>
      <w:r>
        <w:rPr>
          <w:rFonts w:hint="eastAsia" w:ascii="Times New Roman" w:hAnsi="Times New Roman" w:eastAsia="仿宋_GB2312" w:cs="Times New Roman"/>
          <w:sz w:val="24"/>
        </w:rPr>
        <w:t>1.我方与采购人、采购人单位职工及其亲属投资开办或控股的企业不存在利害关系及其他可能影响投标公正性的情形。</w:t>
      </w:r>
    </w:p>
    <w:p w14:paraId="1092F0B0">
      <w:pPr>
        <w:spacing w:line="360" w:lineRule="auto"/>
        <w:ind w:firstLine="480" w:firstLineChars="200"/>
        <w:rPr>
          <w:rFonts w:hint="eastAsia" w:ascii="Times New Roman" w:hAnsi="Times New Roman" w:eastAsia="仿宋_GB2312" w:cs="Times New Roman"/>
          <w:sz w:val="24"/>
        </w:rPr>
      </w:pPr>
      <w:r>
        <w:rPr>
          <w:rFonts w:hint="eastAsia" w:ascii="Times New Roman" w:hAnsi="Times New Roman" w:eastAsia="仿宋_GB2312" w:cs="Times New Roman"/>
          <w:sz w:val="24"/>
        </w:rPr>
        <w:t>2.我方在本项目投标中,不存在与其他供应商单位负责人为同一人或者存在直接控股、管理关系。</w:t>
      </w:r>
    </w:p>
    <w:p w14:paraId="787AA0ED">
      <w:pPr>
        <w:spacing w:line="360" w:lineRule="auto"/>
        <w:ind w:firstLine="480" w:firstLineChars="200"/>
        <w:rPr>
          <w:rFonts w:hint="eastAsia" w:ascii="Times New Roman" w:hAnsi="Times New Roman" w:eastAsia="仿宋_GB2312" w:cs="Times New Roman"/>
          <w:sz w:val="24"/>
        </w:rPr>
      </w:pPr>
      <w:r>
        <w:rPr>
          <w:rFonts w:hint="eastAsia" w:ascii="Times New Roman" w:hAnsi="Times New Roman" w:eastAsia="仿宋_GB2312" w:cs="Times New Roman"/>
          <w:sz w:val="24"/>
        </w:rPr>
        <w:t>3.我方没有为采购项目提供其他服务;</w:t>
      </w:r>
    </w:p>
    <w:p w14:paraId="7AC70AA9">
      <w:pPr>
        <w:spacing w:line="360" w:lineRule="auto"/>
        <w:ind w:firstLine="480" w:firstLineChars="200"/>
        <w:rPr>
          <w:rFonts w:hint="eastAsia" w:ascii="Times New Roman" w:hAnsi="Times New Roman" w:eastAsia="仿宋_GB2312" w:cs="Times New Roman"/>
          <w:sz w:val="24"/>
        </w:rPr>
      </w:pPr>
      <w:r>
        <w:rPr>
          <w:rFonts w:hint="eastAsia" w:ascii="Times New Roman" w:hAnsi="Times New Roman" w:eastAsia="仿宋_GB2312" w:cs="Times New Roman"/>
          <w:sz w:val="24"/>
        </w:rPr>
        <w:t>我方承诺以上说明真实有效,无虚假内容或隐瞒。如有虚假，承担相应责任。</w:t>
      </w:r>
    </w:p>
    <w:p w14:paraId="3F6318FD">
      <w:pPr>
        <w:spacing w:line="360" w:lineRule="auto"/>
        <w:ind w:firstLine="1920" w:firstLineChars="800"/>
        <w:jc w:val="right"/>
        <w:rPr>
          <w:rFonts w:hint="eastAsia" w:eastAsia="仿宋_GB2312"/>
          <w:sz w:val="24"/>
        </w:rPr>
      </w:pPr>
    </w:p>
    <w:p w14:paraId="4D8A3014">
      <w:pPr>
        <w:spacing w:line="360" w:lineRule="auto"/>
        <w:ind w:firstLine="1920" w:firstLineChars="800"/>
        <w:jc w:val="center"/>
        <w:rPr>
          <w:rFonts w:eastAsia="仿宋_GB2312"/>
          <w:sz w:val="24"/>
        </w:rPr>
      </w:pPr>
      <w:r>
        <w:rPr>
          <w:rFonts w:hint="eastAsia" w:eastAsia="仿宋_GB2312"/>
          <w:sz w:val="24"/>
          <w:lang w:val="en-US" w:eastAsia="zh-CN"/>
        </w:rPr>
        <w:t xml:space="preserve"> </w:t>
      </w: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A41A2D1">
      <w:pPr>
        <w:spacing w:line="360" w:lineRule="auto"/>
        <w:ind w:firstLine="1920" w:firstLineChars="800"/>
        <w:jc w:val="right"/>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jc w:val="center"/>
        <w:rPr>
          <w:rFonts w:eastAsia="仿宋_GB2312"/>
          <w:kern w:val="0"/>
          <w:sz w:val="24"/>
          <w:u w:val="single"/>
        </w:rPr>
      </w:pPr>
      <w:r>
        <w:rPr>
          <w:rFonts w:hint="eastAsia" w:eastAsia="仿宋_GB2312"/>
          <w:sz w:val="24"/>
          <w:lang w:val="en-US" w:eastAsia="zh-CN"/>
        </w:rPr>
        <w:t xml:space="preserve">          </w:t>
      </w:r>
      <w:r>
        <w:rPr>
          <w:rFonts w:eastAsia="仿宋_GB2312"/>
          <w:sz w:val="24"/>
        </w:rPr>
        <w:t>日    期：</w:t>
      </w:r>
      <w:r>
        <w:rPr>
          <w:rFonts w:ascii="Times New Roman" w:hAnsi="Times New Roman" w:eastAsia="仿宋_GB2312" w:cs="Times New Roman"/>
          <w:sz w:val="24"/>
        </w:rPr>
        <w:t xml:space="preserve">   </w:t>
      </w:r>
      <w:r>
        <w:rPr>
          <w:rFonts w:eastAsia="仿宋_GB2312"/>
          <w:sz w:val="32"/>
          <w:u w:val="single"/>
        </w:rPr>
        <w:t xml:space="preserve">   </w:t>
      </w:r>
    </w:p>
    <w:p w14:paraId="33F4AD18">
      <w:pPr>
        <w:pStyle w:val="23"/>
        <w:jc w:val="right"/>
        <w:rPr>
          <w:rFonts w:ascii="Times New Roman" w:eastAsia="仿宋"/>
          <w:b/>
          <w:sz w:val="32"/>
          <w:szCs w:val="32"/>
        </w:rPr>
      </w:pPr>
      <w:r>
        <w:rPr>
          <w:rFonts w:ascii="Times New Roman" w:hAnsi="Times New Roman"/>
        </w:rPr>
        <w:br w:type="page"/>
      </w:r>
    </w:p>
    <w:p w14:paraId="2A9C7533">
      <w:pPr>
        <w:rPr>
          <w:rFonts w:eastAsia="仿宋_GB2312"/>
          <w:sz w:val="24"/>
        </w:rPr>
      </w:pPr>
    </w:p>
    <w:p w14:paraId="155EFE86">
      <w:pPr>
        <w:pStyle w:val="6"/>
        <w:rPr>
          <w:rFonts w:hint="default" w:ascii="仿宋" w:hAnsi="仿宋" w:eastAsia="仿宋" w:cs="仿宋"/>
          <w:b/>
          <w:color w:val="auto"/>
          <w:kern w:val="0"/>
          <w:sz w:val="32"/>
          <w:szCs w:val="32"/>
          <w:highlight w:val="none"/>
          <w:shd w:val="clear" w:color="auto" w:fill="FFFFFF"/>
          <w:lang w:val="en-US" w:eastAsia="zh-CN" w:bidi="ar-SA"/>
        </w:rPr>
      </w:pPr>
      <w:r>
        <w:rPr>
          <w:rFonts w:hint="eastAsia" w:ascii="仿宋" w:hAnsi="仿宋" w:eastAsia="仿宋" w:cs="仿宋"/>
          <w:b/>
          <w:color w:val="auto"/>
          <w:kern w:val="0"/>
          <w:sz w:val="32"/>
          <w:szCs w:val="32"/>
          <w:highlight w:val="none"/>
          <w:shd w:val="clear" w:color="auto" w:fill="FFFFFF"/>
          <w:lang w:val="zh-CN" w:eastAsia="zh-CN" w:bidi="ar-SA"/>
        </w:rPr>
        <w:t>附件</w:t>
      </w:r>
      <w:r>
        <w:rPr>
          <w:rFonts w:hint="eastAsia" w:ascii="仿宋" w:hAnsi="仿宋" w:eastAsia="仿宋" w:cs="仿宋"/>
          <w:b/>
          <w:color w:val="auto"/>
          <w:kern w:val="0"/>
          <w:sz w:val="32"/>
          <w:szCs w:val="32"/>
          <w:highlight w:val="none"/>
          <w:shd w:val="clear" w:color="auto" w:fill="FFFFFF"/>
          <w:lang w:val="en-US" w:eastAsia="zh-CN" w:bidi="ar-SA"/>
        </w:rPr>
        <w:t>1</w:t>
      </w:r>
    </w:p>
    <w:p w14:paraId="5CCFDBD8">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w:t>
      </w:r>
      <w:r>
        <w:rPr>
          <w:rFonts w:hint="eastAsia" w:ascii="仿宋_GB2312" w:hAnsi="仿宋_GB2312" w:eastAsia="仿宋_GB2312" w:cs="仿宋_GB2312"/>
          <w:b/>
          <w:bCs/>
          <w:sz w:val="28"/>
          <w:szCs w:val="36"/>
        </w:rPr>
        <w:t>一览</w:t>
      </w:r>
      <w:r>
        <w:rPr>
          <w:rFonts w:ascii="仿宋_GB2312" w:hAnsi="仿宋_GB2312" w:eastAsia="仿宋_GB2312" w:cs="仿宋_GB2312"/>
          <w:b/>
          <w:bCs/>
          <w:sz w:val="28"/>
          <w:szCs w:val="36"/>
        </w:rPr>
        <w:t>表</w:t>
      </w:r>
    </w:p>
    <w:p w14:paraId="06D98B20">
      <w:pPr>
        <w:pStyle w:val="23"/>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276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54B01511">
            <w:pPr>
              <w:spacing w:after="120"/>
              <w:rPr>
                <w:rFonts w:eastAsia="仿宋_GB2312"/>
                <w:b/>
                <w:sz w:val="24"/>
              </w:rPr>
            </w:pPr>
            <w:r>
              <w:rPr>
                <w:rFonts w:eastAsia="仿宋_GB2312"/>
                <w:sz w:val="24"/>
                <w:lang w:val="zh-CN"/>
              </w:rPr>
              <w:br w:type="page"/>
            </w:r>
            <w:r>
              <w:rPr>
                <w:rFonts w:eastAsia="仿宋_GB2312"/>
                <w:b/>
                <w:sz w:val="24"/>
              </w:rPr>
              <w:t>项目编号及</w:t>
            </w:r>
          </w:p>
          <w:p w14:paraId="7524C6F0">
            <w:pPr>
              <w:spacing w:after="120"/>
              <w:rPr>
                <w:rFonts w:eastAsia="仿宋_GB2312"/>
                <w:b/>
                <w:sz w:val="24"/>
              </w:rPr>
            </w:pPr>
            <w:r>
              <w:rPr>
                <w:rFonts w:eastAsia="仿宋_GB2312"/>
                <w:b/>
                <w:sz w:val="24"/>
              </w:rPr>
              <w:t>项目名称</w:t>
            </w:r>
          </w:p>
        </w:tc>
        <w:tc>
          <w:tcPr>
            <w:tcW w:w="6981" w:type="dxa"/>
            <w:vAlign w:val="center"/>
          </w:tcPr>
          <w:p w14:paraId="2492A151">
            <w:pPr>
              <w:spacing w:after="120"/>
              <w:rPr>
                <w:rFonts w:eastAsia="仿宋_GB2312"/>
                <w:sz w:val="24"/>
                <w:u w:val="single"/>
              </w:rPr>
            </w:pPr>
            <w:r>
              <w:rPr>
                <w:rFonts w:eastAsia="仿宋_GB2312"/>
                <w:sz w:val="24"/>
              </w:rPr>
              <w:t>项目编号：</w:t>
            </w:r>
            <w:r>
              <w:rPr>
                <w:rFonts w:eastAsia="仿宋_GB2312"/>
                <w:sz w:val="24"/>
                <w:u w:val="single"/>
              </w:rPr>
              <w:t xml:space="preserve">              </w:t>
            </w:r>
          </w:p>
          <w:p w14:paraId="6FAA9DA1">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1F86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5C147011">
            <w:pPr>
              <w:spacing w:after="120"/>
              <w:rPr>
                <w:rFonts w:eastAsia="仿宋_GB2312"/>
                <w:b/>
                <w:sz w:val="24"/>
              </w:rPr>
            </w:pPr>
            <w:r>
              <w:rPr>
                <w:rFonts w:eastAsia="仿宋_GB2312"/>
                <w:b/>
                <w:sz w:val="24"/>
              </w:rPr>
              <w:t>响应总价</w:t>
            </w:r>
          </w:p>
        </w:tc>
        <w:tc>
          <w:tcPr>
            <w:tcW w:w="6981" w:type="dxa"/>
            <w:vAlign w:val="center"/>
          </w:tcPr>
          <w:p w14:paraId="3C1AE956">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（小写：</w:t>
            </w:r>
            <w:r>
              <w:rPr>
                <w:rFonts w:eastAsia="宋体"/>
                <w:sz w:val="24"/>
              </w:rPr>
              <w:t>¥</w:t>
            </w:r>
            <w:r>
              <w:rPr>
                <w:rFonts w:eastAsia="仿宋_GB2312"/>
                <w:sz w:val="24"/>
                <w:u w:val="single"/>
              </w:rPr>
              <w:t xml:space="preserve">      </w:t>
            </w:r>
            <w:r>
              <w:rPr>
                <w:rFonts w:eastAsia="仿宋_GB2312"/>
                <w:sz w:val="24"/>
              </w:rPr>
              <w:t>元）</w:t>
            </w:r>
          </w:p>
        </w:tc>
      </w:tr>
      <w:tr w14:paraId="4464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3CA793EF">
            <w:pPr>
              <w:spacing w:after="120"/>
              <w:rPr>
                <w:rFonts w:hint="default" w:eastAsia="仿宋_GB2312"/>
                <w:b/>
                <w:sz w:val="24"/>
                <w:lang w:val="en-US" w:eastAsia="zh-CN"/>
              </w:rPr>
            </w:pPr>
            <w:r>
              <w:rPr>
                <w:rFonts w:hint="eastAsia" w:eastAsia="仿宋_GB2312"/>
                <w:b/>
                <w:sz w:val="24"/>
                <w:lang w:val="en-US" w:eastAsia="zh-CN"/>
              </w:rPr>
              <w:t>服务期限</w:t>
            </w:r>
          </w:p>
        </w:tc>
        <w:tc>
          <w:tcPr>
            <w:tcW w:w="6981" w:type="dxa"/>
            <w:vAlign w:val="center"/>
          </w:tcPr>
          <w:p w14:paraId="2D00926E">
            <w:pPr>
              <w:spacing w:after="120"/>
              <w:rPr>
                <w:rFonts w:eastAsia="仿宋_GB2312"/>
                <w:sz w:val="24"/>
              </w:rPr>
            </w:pPr>
          </w:p>
        </w:tc>
      </w:tr>
      <w:tr w14:paraId="4E8E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210BCFA">
            <w:pPr>
              <w:spacing w:after="120"/>
              <w:rPr>
                <w:rFonts w:eastAsia="仿宋_GB2312"/>
                <w:b/>
                <w:sz w:val="24"/>
              </w:rPr>
            </w:pPr>
            <w:r>
              <w:rPr>
                <w:rFonts w:hint="eastAsia" w:eastAsia="仿宋_GB2312"/>
                <w:b/>
                <w:sz w:val="24"/>
                <w:lang w:val="en-US" w:eastAsia="zh-CN"/>
              </w:rPr>
              <w:t>服务</w:t>
            </w:r>
            <w:r>
              <w:rPr>
                <w:rFonts w:eastAsia="仿宋_GB2312"/>
                <w:b/>
                <w:sz w:val="24"/>
              </w:rPr>
              <w:t>地点</w:t>
            </w:r>
          </w:p>
        </w:tc>
        <w:tc>
          <w:tcPr>
            <w:tcW w:w="6981" w:type="dxa"/>
            <w:vAlign w:val="center"/>
          </w:tcPr>
          <w:p w14:paraId="4894D1D2">
            <w:pPr>
              <w:spacing w:after="120"/>
              <w:rPr>
                <w:rFonts w:eastAsia="仿宋_GB2312"/>
                <w:sz w:val="24"/>
              </w:rPr>
            </w:pPr>
          </w:p>
        </w:tc>
      </w:tr>
      <w:tr w14:paraId="304E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3D68B368">
            <w:pPr>
              <w:spacing w:after="120"/>
              <w:rPr>
                <w:rFonts w:eastAsia="仿宋_GB2312"/>
                <w:b/>
                <w:sz w:val="24"/>
              </w:rPr>
            </w:pPr>
            <w:r>
              <w:rPr>
                <w:rFonts w:eastAsia="仿宋_GB2312"/>
                <w:b/>
                <w:sz w:val="24"/>
              </w:rPr>
              <w:t>备注</w:t>
            </w:r>
          </w:p>
        </w:tc>
        <w:tc>
          <w:tcPr>
            <w:tcW w:w="6981" w:type="dxa"/>
            <w:vAlign w:val="center"/>
          </w:tcPr>
          <w:p w14:paraId="1E83F158">
            <w:pPr>
              <w:spacing w:after="120"/>
              <w:rPr>
                <w:rFonts w:eastAsia="仿宋_GB2312"/>
                <w:sz w:val="24"/>
              </w:rPr>
            </w:pPr>
          </w:p>
        </w:tc>
      </w:tr>
    </w:tbl>
    <w:p w14:paraId="3EA7AC39">
      <w:pPr>
        <w:pStyle w:val="23"/>
        <w:rPr>
          <w:rFonts w:ascii="Times New Roman" w:hAnsi="Times New Roman"/>
          <w:lang w:val="zh-CN"/>
        </w:rPr>
      </w:pPr>
    </w:p>
    <w:p w14:paraId="59530AFE">
      <w:pPr>
        <w:autoSpaceDE w:val="0"/>
        <w:autoSpaceDN w:val="0"/>
        <w:adjustRightInd w:val="0"/>
        <w:snapToGrid w:val="0"/>
        <w:spacing w:line="360" w:lineRule="auto"/>
        <w:rPr>
          <w:rFonts w:eastAsia="仿宋_GB2312"/>
          <w:b/>
          <w:bCs/>
          <w:sz w:val="24"/>
        </w:rPr>
      </w:pPr>
    </w:p>
    <w:p w14:paraId="7A6B3AE1">
      <w:pPr>
        <w:autoSpaceDE w:val="0"/>
        <w:autoSpaceDN w:val="0"/>
        <w:adjustRightInd w:val="0"/>
        <w:snapToGrid w:val="0"/>
        <w:spacing w:line="360" w:lineRule="auto"/>
        <w:rPr>
          <w:rFonts w:eastAsia="仿宋_GB2312"/>
          <w:sz w:val="24"/>
        </w:rPr>
      </w:pPr>
      <w:r>
        <w:rPr>
          <w:rFonts w:eastAsia="仿宋_GB2312"/>
          <w:b/>
          <w:bCs/>
          <w:sz w:val="24"/>
        </w:rPr>
        <w:t xml:space="preserve">                                                                                     </w:t>
      </w:r>
    </w:p>
    <w:p w14:paraId="20DA355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BD20C1F">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1C5F8D9">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7006FC2">
      <w:pPr>
        <w:rPr>
          <w:rFonts w:ascii="仿宋_GB2312" w:hAnsi="仿宋_GB2312" w:eastAsia="仿宋_GB2312" w:cs="仿宋_GB2312"/>
          <w:b/>
          <w:bCs/>
          <w:sz w:val="28"/>
          <w:szCs w:val="36"/>
        </w:rPr>
      </w:pPr>
      <w:r>
        <w:rPr>
          <w:rFonts w:ascii="仿宋_GB2312" w:hAnsi="仿宋_GB2312" w:eastAsia="仿宋_GB2312" w:cs="仿宋_GB2312"/>
          <w:b/>
          <w:bCs/>
          <w:sz w:val="28"/>
          <w:szCs w:val="36"/>
        </w:rPr>
        <w:br w:type="page"/>
      </w:r>
    </w:p>
    <w:p w14:paraId="1F03058C">
      <w:pPr>
        <w:pStyle w:val="6"/>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6FECE0C7">
      <w:pPr>
        <w:pStyle w:val="23"/>
        <w:rPr>
          <w:rFonts w:ascii="Times New Roman" w:hAnsi="Times New Roman"/>
        </w:rPr>
      </w:pPr>
      <w:r>
        <w:rPr>
          <w:rFonts w:ascii="Times New Roman" w:hAnsi="Times New Roman"/>
        </w:rPr>
        <w:t xml:space="preserve">                                 </w:t>
      </w:r>
      <w:r>
        <w:rPr>
          <w:rFonts w:ascii="Times New Roman" w:hAnsi="Times New Roman" w:eastAsia="仿宋_GB2312"/>
          <w:lang w:val="zh-CN"/>
        </w:rPr>
        <w:t xml:space="preserve">  </w:t>
      </w:r>
    </w:p>
    <w:p w14:paraId="40AD6151">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58B32EB3">
      <w:r>
        <w:rPr>
          <w:rFonts w:eastAsia="仿宋_GB2312"/>
          <w:sz w:val="24"/>
        </w:rPr>
        <w:t>项目名称：</w:t>
      </w:r>
    </w:p>
    <w:tbl>
      <w:tblPr>
        <w:tblStyle w:val="50"/>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89"/>
        <w:gridCol w:w="1277"/>
        <w:gridCol w:w="1642"/>
        <w:gridCol w:w="1459"/>
        <w:gridCol w:w="911"/>
      </w:tblGrid>
      <w:tr w14:paraId="38DB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20" w:type="dxa"/>
            <w:noWrap w:val="0"/>
            <w:vAlign w:val="center"/>
          </w:tcPr>
          <w:p w14:paraId="74F3EDFE">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789" w:type="dxa"/>
            <w:noWrap w:val="0"/>
            <w:vAlign w:val="center"/>
          </w:tcPr>
          <w:p w14:paraId="2FF61DE0">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服务内容</w:t>
            </w:r>
          </w:p>
        </w:tc>
        <w:tc>
          <w:tcPr>
            <w:tcW w:w="1277" w:type="dxa"/>
            <w:noWrap w:val="0"/>
            <w:vAlign w:val="center"/>
          </w:tcPr>
          <w:p w14:paraId="545F31AF">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1642" w:type="dxa"/>
            <w:noWrap w:val="0"/>
            <w:vAlign w:val="center"/>
          </w:tcPr>
          <w:p w14:paraId="441C687A">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单价（元）</w:t>
            </w:r>
          </w:p>
        </w:tc>
        <w:tc>
          <w:tcPr>
            <w:tcW w:w="1459" w:type="dxa"/>
            <w:noWrap w:val="0"/>
            <w:vAlign w:val="center"/>
          </w:tcPr>
          <w:p w14:paraId="3DC0D6F6">
            <w:pPr>
              <w:adjustRightInd w:val="0"/>
              <w:snapToGrid w:val="0"/>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小计（元）</w:t>
            </w:r>
          </w:p>
        </w:tc>
        <w:tc>
          <w:tcPr>
            <w:tcW w:w="911" w:type="dxa"/>
            <w:noWrap w:val="0"/>
            <w:vAlign w:val="center"/>
          </w:tcPr>
          <w:p w14:paraId="6A9CEF41">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备注</w:t>
            </w:r>
          </w:p>
        </w:tc>
      </w:tr>
      <w:tr w14:paraId="4CA8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5EF10718">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w:t>
            </w:r>
          </w:p>
        </w:tc>
        <w:tc>
          <w:tcPr>
            <w:tcW w:w="2789" w:type="dxa"/>
            <w:noWrap w:val="0"/>
            <w:vAlign w:val="center"/>
          </w:tcPr>
          <w:p w14:paraId="0D8588FE">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2ED399FE">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225A9A06">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09EB7FBC">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5B377F59">
            <w:pPr>
              <w:adjustRightInd w:val="0"/>
              <w:snapToGrid w:val="0"/>
              <w:spacing w:line="360" w:lineRule="auto"/>
              <w:rPr>
                <w:rFonts w:hint="eastAsia" w:ascii="仿宋_GB2312" w:hAnsi="仿宋_GB2312" w:eastAsia="仿宋_GB2312" w:cs="仿宋_GB2312"/>
                <w:color w:val="auto"/>
                <w:sz w:val="24"/>
                <w:highlight w:val="none"/>
              </w:rPr>
            </w:pPr>
          </w:p>
        </w:tc>
      </w:tr>
      <w:tr w14:paraId="0C8C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26296AC3">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p>
        </w:tc>
        <w:tc>
          <w:tcPr>
            <w:tcW w:w="2789" w:type="dxa"/>
            <w:noWrap w:val="0"/>
            <w:vAlign w:val="center"/>
          </w:tcPr>
          <w:p w14:paraId="1A5AE4EF">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15A6BEDC">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1DB5F924">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7ECF5B07">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3F53FA67">
            <w:pPr>
              <w:adjustRightInd w:val="0"/>
              <w:snapToGrid w:val="0"/>
              <w:spacing w:line="360" w:lineRule="auto"/>
              <w:rPr>
                <w:rFonts w:hint="eastAsia" w:ascii="仿宋_GB2312" w:hAnsi="仿宋_GB2312" w:eastAsia="仿宋_GB2312" w:cs="仿宋_GB2312"/>
                <w:color w:val="auto"/>
                <w:sz w:val="24"/>
                <w:highlight w:val="none"/>
              </w:rPr>
            </w:pPr>
          </w:p>
        </w:tc>
      </w:tr>
      <w:tr w14:paraId="79D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5ED7222B">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c>
          <w:tcPr>
            <w:tcW w:w="2789" w:type="dxa"/>
            <w:noWrap w:val="0"/>
            <w:vAlign w:val="center"/>
          </w:tcPr>
          <w:p w14:paraId="311E1EA7">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27BAADD8">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2FD3ACA6">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084598BB">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0D401AB2">
            <w:pPr>
              <w:adjustRightInd w:val="0"/>
              <w:snapToGrid w:val="0"/>
              <w:spacing w:line="360" w:lineRule="auto"/>
              <w:rPr>
                <w:rFonts w:hint="eastAsia" w:ascii="仿宋_GB2312" w:hAnsi="仿宋_GB2312" w:eastAsia="仿宋_GB2312" w:cs="仿宋_GB2312"/>
                <w:color w:val="auto"/>
                <w:sz w:val="24"/>
                <w:highlight w:val="none"/>
              </w:rPr>
            </w:pPr>
          </w:p>
        </w:tc>
      </w:tr>
      <w:tr w14:paraId="17DC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7DC54AE4">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p>
        </w:tc>
        <w:tc>
          <w:tcPr>
            <w:tcW w:w="2789" w:type="dxa"/>
            <w:noWrap w:val="0"/>
            <w:vAlign w:val="center"/>
          </w:tcPr>
          <w:p w14:paraId="319B04AE">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51069BF9">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201FDCB6">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43C8D7DB">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6525E6A">
            <w:pPr>
              <w:adjustRightInd w:val="0"/>
              <w:snapToGrid w:val="0"/>
              <w:spacing w:line="360" w:lineRule="auto"/>
              <w:rPr>
                <w:rFonts w:hint="eastAsia" w:ascii="仿宋_GB2312" w:hAnsi="仿宋_GB2312" w:eastAsia="仿宋_GB2312" w:cs="仿宋_GB2312"/>
                <w:color w:val="auto"/>
                <w:sz w:val="24"/>
                <w:highlight w:val="none"/>
              </w:rPr>
            </w:pPr>
          </w:p>
        </w:tc>
      </w:tr>
      <w:tr w14:paraId="3B90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139D1C78">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789" w:type="dxa"/>
            <w:noWrap w:val="0"/>
            <w:vAlign w:val="center"/>
          </w:tcPr>
          <w:p w14:paraId="3FEBC624">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791C9D82">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77FAF246">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4BB69386">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1C2AC444">
            <w:pPr>
              <w:adjustRightInd w:val="0"/>
              <w:snapToGrid w:val="0"/>
              <w:spacing w:line="360" w:lineRule="auto"/>
              <w:rPr>
                <w:rFonts w:hint="eastAsia" w:ascii="仿宋_GB2312" w:hAnsi="仿宋_GB2312" w:eastAsia="仿宋_GB2312" w:cs="仿宋_GB2312"/>
                <w:color w:val="auto"/>
                <w:sz w:val="24"/>
                <w:highlight w:val="none"/>
              </w:rPr>
            </w:pPr>
          </w:p>
        </w:tc>
      </w:tr>
      <w:tr w14:paraId="7F5E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17AD66B4">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09E74159">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37AB3A6B">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6C71F1A3">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69633579">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27F4048">
            <w:pPr>
              <w:adjustRightInd w:val="0"/>
              <w:snapToGrid w:val="0"/>
              <w:spacing w:line="360" w:lineRule="auto"/>
              <w:rPr>
                <w:rFonts w:hint="eastAsia" w:ascii="仿宋_GB2312" w:hAnsi="仿宋_GB2312" w:eastAsia="仿宋_GB2312" w:cs="仿宋_GB2312"/>
                <w:color w:val="auto"/>
                <w:sz w:val="24"/>
                <w:highlight w:val="none"/>
              </w:rPr>
            </w:pPr>
          </w:p>
        </w:tc>
      </w:tr>
      <w:tr w14:paraId="54B8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6B7EF582">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23B41090">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42C65E38">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2FEE4511">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17EB97EE">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1D1FFC1E">
            <w:pPr>
              <w:adjustRightInd w:val="0"/>
              <w:snapToGrid w:val="0"/>
              <w:spacing w:line="360" w:lineRule="auto"/>
              <w:rPr>
                <w:rFonts w:hint="eastAsia" w:ascii="仿宋_GB2312" w:hAnsi="仿宋_GB2312" w:eastAsia="仿宋_GB2312" w:cs="仿宋_GB2312"/>
                <w:color w:val="auto"/>
                <w:sz w:val="24"/>
                <w:highlight w:val="none"/>
              </w:rPr>
            </w:pPr>
          </w:p>
        </w:tc>
      </w:tr>
      <w:tr w14:paraId="3967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1CA428CF">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2715808F">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14112E89">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2121706A">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31CEC999">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65F3320">
            <w:pPr>
              <w:adjustRightInd w:val="0"/>
              <w:snapToGrid w:val="0"/>
              <w:spacing w:line="360" w:lineRule="auto"/>
              <w:rPr>
                <w:rFonts w:hint="eastAsia" w:ascii="仿宋_GB2312" w:hAnsi="仿宋_GB2312" w:eastAsia="仿宋_GB2312" w:cs="仿宋_GB2312"/>
                <w:color w:val="auto"/>
                <w:sz w:val="24"/>
                <w:highlight w:val="none"/>
              </w:rPr>
            </w:pPr>
          </w:p>
        </w:tc>
      </w:tr>
      <w:tr w14:paraId="01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05E462E5">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47030C4C">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4D8F5241">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79ECF822">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6CFD463A">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069AB4E2">
            <w:pPr>
              <w:adjustRightInd w:val="0"/>
              <w:snapToGrid w:val="0"/>
              <w:spacing w:line="360" w:lineRule="auto"/>
              <w:rPr>
                <w:rFonts w:hint="eastAsia" w:ascii="仿宋_GB2312" w:hAnsi="仿宋_GB2312" w:eastAsia="仿宋_GB2312" w:cs="仿宋_GB2312"/>
                <w:color w:val="auto"/>
                <w:sz w:val="24"/>
                <w:highlight w:val="none"/>
              </w:rPr>
            </w:pPr>
          </w:p>
        </w:tc>
      </w:tr>
      <w:tr w14:paraId="39C7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6A0D176E">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06521B0B">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2ED7FA54">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5FCDAC4A">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748BBF3E">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5258B9FD">
            <w:pPr>
              <w:adjustRightInd w:val="0"/>
              <w:snapToGrid w:val="0"/>
              <w:spacing w:line="360" w:lineRule="auto"/>
              <w:rPr>
                <w:rFonts w:hint="eastAsia" w:ascii="仿宋_GB2312" w:hAnsi="仿宋_GB2312" w:eastAsia="仿宋_GB2312" w:cs="仿宋_GB2312"/>
                <w:color w:val="auto"/>
                <w:sz w:val="24"/>
                <w:highlight w:val="none"/>
              </w:rPr>
            </w:pPr>
          </w:p>
        </w:tc>
      </w:tr>
      <w:tr w14:paraId="24F0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4CE95E69">
            <w:pPr>
              <w:adjustRightInd w:val="0"/>
              <w:snapToGrid w:val="0"/>
              <w:spacing w:line="360" w:lineRule="auto"/>
              <w:jc w:val="center"/>
              <w:rPr>
                <w:rFonts w:hint="eastAsia" w:ascii="仿宋_GB2312" w:hAnsi="仿宋_GB2312" w:eastAsia="仿宋_GB2312" w:cs="仿宋_GB2312"/>
                <w:color w:val="auto"/>
                <w:sz w:val="24"/>
                <w:highlight w:val="none"/>
                <w:lang w:val="en-US" w:eastAsia="zh-CN"/>
              </w:rPr>
            </w:pPr>
          </w:p>
        </w:tc>
        <w:tc>
          <w:tcPr>
            <w:tcW w:w="2789" w:type="dxa"/>
            <w:noWrap w:val="0"/>
            <w:vAlign w:val="center"/>
          </w:tcPr>
          <w:p w14:paraId="1E03C018">
            <w:pPr>
              <w:adjustRightInd w:val="0"/>
              <w:snapToGrid w:val="0"/>
              <w:spacing w:line="360" w:lineRule="auto"/>
              <w:rPr>
                <w:rFonts w:hint="eastAsia" w:ascii="仿宋_GB2312" w:hAnsi="仿宋_GB2312" w:eastAsia="仿宋_GB2312" w:cs="仿宋_GB2312"/>
                <w:color w:val="auto"/>
                <w:kern w:val="2"/>
                <w:sz w:val="24"/>
                <w:szCs w:val="24"/>
                <w:highlight w:val="none"/>
                <w:lang w:val="en-US" w:eastAsia="zh-CN" w:bidi="ar-SA"/>
              </w:rPr>
            </w:pPr>
          </w:p>
        </w:tc>
        <w:tc>
          <w:tcPr>
            <w:tcW w:w="1277" w:type="dxa"/>
            <w:noWrap w:val="0"/>
            <w:vAlign w:val="center"/>
          </w:tcPr>
          <w:p w14:paraId="32AE1340">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05EE7ACD">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0336B7DD">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6CB98EB7">
            <w:pPr>
              <w:adjustRightInd w:val="0"/>
              <w:snapToGrid w:val="0"/>
              <w:spacing w:line="360" w:lineRule="auto"/>
              <w:rPr>
                <w:rFonts w:hint="eastAsia" w:ascii="仿宋_GB2312" w:hAnsi="仿宋_GB2312" w:eastAsia="仿宋_GB2312" w:cs="仿宋_GB2312"/>
                <w:color w:val="auto"/>
                <w:sz w:val="24"/>
                <w:highlight w:val="none"/>
              </w:rPr>
            </w:pPr>
          </w:p>
        </w:tc>
      </w:tr>
      <w:tr w14:paraId="3EAC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2308536E">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37CAA261">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0B308929">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4B7D10CD">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1C405AA4">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ECCBCE2">
            <w:pPr>
              <w:adjustRightInd w:val="0"/>
              <w:snapToGrid w:val="0"/>
              <w:spacing w:line="360" w:lineRule="auto"/>
              <w:rPr>
                <w:rFonts w:hint="eastAsia" w:ascii="仿宋_GB2312" w:hAnsi="仿宋_GB2312" w:eastAsia="仿宋_GB2312" w:cs="仿宋_GB2312"/>
                <w:color w:val="auto"/>
                <w:sz w:val="24"/>
                <w:highlight w:val="none"/>
              </w:rPr>
            </w:pPr>
          </w:p>
        </w:tc>
      </w:tr>
      <w:tr w14:paraId="6F98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0E2F5C91">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280F859F">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5E737E08">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0AF625DA">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43BAD2FB">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658D730E">
            <w:pPr>
              <w:adjustRightInd w:val="0"/>
              <w:snapToGrid w:val="0"/>
              <w:spacing w:line="360" w:lineRule="auto"/>
              <w:rPr>
                <w:rFonts w:hint="eastAsia" w:ascii="仿宋_GB2312" w:hAnsi="仿宋_GB2312" w:eastAsia="仿宋_GB2312" w:cs="仿宋_GB2312"/>
                <w:color w:val="auto"/>
                <w:sz w:val="24"/>
                <w:highlight w:val="none"/>
              </w:rPr>
            </w:pPr>
          </w:p>
        </w:tc>
      </w:tr>
      <w:tr w14:paraId="7D40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0" w:type="dxa"/>
            <w:noWrap w:val="0"/>
            <w:vAlign w:val="center"/>
          </w:tcPr>
          <w:p w14:paraId="12386B4C">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113E4961">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5C0107C6">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30A6379B">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4DB96F2E">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7C30A965">
            <w:pPr>
              <w:adjustRightInd w:val="0"/>
              <w:snapToGrid w:val="0"/>
              <w:spacing w:line="360" w:lineRule="auto"/>
              <w:rPr>
                <w:rFonts w:hint="eastAsia" w:ascii="仿宋_GB2312" w:hAnsi="仿宋_GB2312" w:eastAsia="仿宋_GB2312" w:cs="仿宋_GB2312"/>
                <w:color w:val="auto"/>
                <w:sz w:val="24"/>
                <w:highlight w:val="none"/>
              </w:rPr>
            </w:pPr>
          </w:p>
        </w:tc>
      </w:tr>
      <w:tr w14:paraId="4093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0" w:type="dxa"/>
            <w:noWrap w:val="0"/>
            <w:vAlign w:val="center"/>
          </w:tcPr>
          <w:p w14:paraId="168536FC">
            <w:pPr>
              <w:adjustRightInd w:val="0"/>
              <w:snapToGrid w:val="0"/>
              <w:spacing w:line="360" w:lineRule="auto"/>
              <w:rPr>
                <w:rFonts w:hint="eastAsia" w:ascii="仿宋_GB2312" w:hAnsi="仿宋_GB2312" w:eastAsia="仿宋_GB2312" w:cs="仿宋_GB2312"/>
                <w:color w:val="auto"/>
                <w:sz w:val="24"/>
                <w:highlight w:val="none"/>
              </w:rPr>
            </w:pPr>
          </w:p>
        </w:tc>
        <w:tc>
          <w:tcPr>
            <w:tcW w:w="2789" w:type="dxa"/>
            <w:noWrap w:val="0"/>
            <w:vAlign w:val="center"/>
          </w:tcPr>
          <w:p w14:paraId="1DFF6341">
            <w:pPr>
              <w:adjustRightInd w:val="0"/>
              <w:snapToGrid w:val="0"/>
              <w:spacing w:line="360" w:lineRule="auto"/>
              <w:rPr>
                <w:rFonts w:hint="eastAsia" w:ascii="仿宋_GB2312" w:hAnsi="仿宋_GB2312" w:eastAsia="仿宋_GB2312" w:cs="仿宋_GB2312"/>
                <w:color w:val="auto"/>
                <w:sz w:val="24"/>
                <w:highlight w:val="none"/>
              </w:rPr>
            </w:pPr>
          </w:p>
        </w:tc>
        <w:tc>
          <w:tcPr>
            <w:tcW w:w="1277" w:type="dxa"/>
            <w:noWrap w:val="0"/>
            <w:vAlign w:val="center"/>
          </w:tcPr>
          <w:p w14:paraId="48F7E78C">
            <w:pPr>
              <w:adjustRightInd w:val="0"/>
              <w:snapToGrid w:val="0"/>
              <w:spacing w:line="360" w:lineRule="auto"/>
              <w:rPr>
                <w:rFonts w:hint="eastAsia" w:ascii="仿宋_GB2312" w:hAnsi="仿宋_GB2312" w:eastAsia="仿宋_GB2312" w:cs="仿宋_GB2312"/>
                <w:color w:val="auto"/>
                <w:sz w:val="24"/>
                <w:highlight w:val="none"/>
              </w:rPr>
            </w:pPr>
          </w:p>
        </w:tc>
        <w:tc>
          <w:tcPr>
            <w:tcW w:w="1642" w:type="dxa"/>
            <w:noWrap w:val="0"/>
            <w:vAlign w:val="center"/>
          </w:tcPr>
          <w:p w14:paraId="0203DFAB">
            <w:pPr>
              <w:adjustRightInd w:val="0"/>
              <w:snapToGrid w:val="0"/>
              <w:spacing w:line="360" w:lineRule="auto"/>
              <w:rPr>
                <w:rFonts w:hint="eastAsia" w:ascii="仿宋_GB2312" w:hAnsi="仿宋_GB2312" w:eastAsia="仿宋_GB2312" w:cs="仿宋_GB2312"/>
                <w:color w:val="auto"/>
                <w:sz w:val="24"/>
                <w:highlight w:val="none"/>
              </w:rPr>
            </w:pPr>
          </w:p>
        </w:tc>
        <w:tc>
          <w:tcPr>
            <w:tcW w:w="1459" w:type="dxa"/>
            <w:noWrap w:val="0"/>
            <w:vAlign w:val="center"/>
          </w:tcPr>
          <w:p w14:paraId="4AB4F750">
            <w:pPr>
              <w:adjustRightInd w:val="0"/>
              <w:snapToGrid w:val="0"/>
              <w:spacing w:line="360" w:lineRule="auto"/>
              <w:rPr>
                <w:rFonts w:hint="eastAsia" w:ascii="仿宋_GB2312" w:hAnsi="仿宋_GB2312" w:eastAsia="仿宋_GB2312" w:cs="仿宋_GB2312"/>
                <w:color w:val="auto"/>
                <w:sz w:val="24"/>
                <w:highlight w:val="none"/>
              </w:rPr>
            </w:pPr>
          </w:p>
        </w:tc>
        <w:tc>
          <w:tcPr>
            <w:tcW w:w="911" w:type="dxa"/>
            <w:noWrap w:val="0"/>
            <w:vAlign w:val="center"/>
          </w:tcPr>
          <w:p w14:paraId="5028F262">
            <w:pPr>
              <w:adjustRightInd w:val="0"/>
              <w:snapToGrid w:val="0"/>
              <w:spacing w:line="360" w:lineRule="auto"/>
              <w:rPr>
                <w:rFonts w:hint="eastAsia" w:ascii="仿宋_GB2312" w:hAnsi="仿宋_GB2312" w:eastAsia="仿宋_GB2312" w:cs="仿宋_GB2312"/>
                <w:color w:val="auto"/>
                <w:sz w:val="24"/>
                <w:highlight w:val="none"/>
              </w:rPr>
            </w:pPr>
          </w:p>
        </w:tc>
      </w:tr>
    </w:tbl>
    <w:p w14:paraId="5926B1B7">
      <w:pPr>
        <w:spacing w:line="360" w:lineRule="auto"/>
        <w:ind w:firstLine="1920" w:firstLineChars="800"/>
        <w:rPr>
          <w:rFonts w:eastAsia="仿宋_GB2312"/>
          <w:sz w:val="24"/>
        </w:rPr>
      </w:pPr>
    </w:p>
    <w:p w14:paraId="2BBBFB40">
      <w:pPr>
        <w:spacing w:line="360" w:lineRule="auto"/>
        <w:ind w:firstLine="1920" w:firstLineChars="800"/>
        <w:rPr>
          <w:rFonts w:eastAsia="仿宋_GB2312"/>
          <w:sz w:val="24"/>
        </w:rPr>
      </w:pPr>
    </w:p>
    <w:p w14:paraId="3D631443">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6A0F518">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80C42D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11DDA106">
      <w:pPr>
        <w:spacing w:line="288" w:lineRule="auto"/>
        <w:ind w:left="424" w:leftChars="202"/>
        <w:rPr>
          <w:rFonts w:eastAsia="仿宋_GB2312"/>
          <w:bCs/>
          <w:sz w:val="24"/>
        </w:rPr>
      </w:pPr>
    </w:p>
    <w:p w14:paraId="2799545F">
      <w:pPr>
        <w:spacing w:after="120"/>
        <w:jc w:val="left"/>
        <w:rPr>
          <w:rFonts w:eastAsia="仿宋_GB2312"/>
          <w:szCs w:val="21"/>
        </w:rPr>
      </w:pPr>
      <w:r>
        <w:rPr>
          <w:rFonts w:hint="eastAsia" w:ascii="仿宋" w:hAnsi="仿宋" w:eastAsia="仿宋" w:cs="仿宋"/>
          <w:b/>
          <w:bCs/>
          <w:color w:val="auto"/>
          <w:sz w:val="24"/>
          <w:highlight w:val="none"/>
        </w:rPr>
        <w:t>备注：</w:t>
      </w:r>
      <w:r>
        <w:rPr>
          <w:rFonts w:hint="eastAsia" w:ascii="仿宋" w:hAnsi="仿宋" w:eastAsia="仿宋" w:cs="仿宋"/>
          <w:b/>
          <w:bCs/>
          <w:color w:val="auto"/>
          <w:sz w:val="24"/>
          <w:highlight w:val="none"/>
          <w:lang w:val="zh-CN"/>
        </w:rPr>
        <w:t>单独提供</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zh-CN"/>
        </w:rPr>
        <w:t>无需装订在响应文件中</w:t>
      </w:r>
    </w:p>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CCAA">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A4BCFD9">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55E6">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F1B3">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0BA0">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6C1E">
                          <w:pPr>
                            <w:pStyle w:val="3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CF6C1E">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8225">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075C">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E0075C">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1735">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A1CA">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B1B9">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4975"/>
  <w:p w14:paraId="24262017">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B5A3717D"/>
    <w:multiLevelType w:val="singleLevel"/>
    <w:tmpl w:val="B5A3717D"/>
    <w:lvl w:ilvl="0" w:tentative="0">
      <w:start w:val="1"/>
      <w:numFmt w:val="chineseCounting"/>
      <w:suff w:val="nothing"/>
      <w:lvlText w:val="%1、"/>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035497F"/>
    <w:multiLevelType w:val="singleLevel"/>
    <w:tmpl w:val="1035497F"/>
    <w:lvl w:ilvl="0" w:tentative="0">
      <w:start w:val="5"/>
      <w:numFmt w:val="decimal"/>
      <w:suff w:val="space"/>
      <w:lvlText w:val="%1."/>
      <w:lvlJc w:val="left"/>
    </w:lvl>
  </w:abstractNum>
  <w:abstractNum w:abstractNumId="5">
    <w:nsid w:val="51D72699"/>
    <w:multiLevelType w:val="singleLevel"/>
    <w:tmpl w:val="51D72699"/>
    <w:lvl w:ilvl="0" w:tentative="0">
      <w:start w:val="1"/>
      <w:numFmt w:val="decimal"/>
      <w:suff w:val="nothing"/>
      <w:lvlText w:val="%1."/>
      <w:lvlJc w:val="left"/>
      <w:pPr>
        <w:ind w:left="425" w:hanging="425"/>
      </w:pPr>
      <w:rPr>
        <w:rFonts w:hint="default"/>
      </w:rPr>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0"/>
  </w:num>
  <w:num w:numId="5">
    <w:abstractNumId w:val="4"/>
  </w:num>
  <w:num w:numId="6">
    <w:abstractNumId w:val="6"/>
  </w:num>
  <w:num w:numId="7">
    <w:abstractNumId w:val="7"/>
  </w:num>
  <w:num w:numId="8">
    <w:abstractNumId w:val="1"/>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25E8C"/>
    <w:rsid w:val="01497155"/>
    <w:rsid w:val="017E0CD4"/>
    <w:rsid w:val="01A56820"/>
    <w:rsid w:val="01B73196"/>
    <w:rsid w:val="01DB0F21"/>
    <w:rsid w:val="01F85948"/>
    <w:rsid w:val="027D1EDC"/>
    <w:rsid w:val="02AA6F17"/>
    <w:rsid w:val="02E6429D"/>
    <w:rsid w:val="02F43AD0"/>
    <w:rsid w:val="0313544C"/>
    <w:rsid w:val="032E5AB3"/>
    <w:rsid w:val="03374FA4"/>
    <w:rsid w:val="036219CF"/>
    <w:rsid w:val="0380752A"/>
    <w:rsid w:val="03A475ED"/>
    <w:rsid w:val="03C4317A"/>
    <w:rsid w:val="03CF5E03"/>
    <w:rsid w:val="041E1097"/>
    <w:rsid w:val="04732647"/>
    <w:rsid w:val="04874841"/>
    <w:rsid w:val="04AF0DC0"/>
    <w:rsid w:val="04B0389B"/>
    <w:rsid w:val="04BB7326"/>
    <w:rsid w:val="04E35F2C"/>
    <w:rsid w:val="04EB4ECE"/>
    <w:rsid w:val="05157BA2"/>
    <w:rsid w:val="05282DF4"/>
    <w:rsid w:val="053371D4"/>
    <w:rsid w:val="053B700A"/>
    <w:rsid w:val="05626079"/>
    <w:rsid w:val="0572493D"/>
    <w:rsid w:val="05A9381E"/>
    <w:rsid w:val="05B20F4D"/>
    <w:rsid w:val="05CA3B1B"/>
    <w:rsid w:val="05D40F8A"/>
    <w:rsid w:val="05E97CB2"/>
    <w:rsid w:val="060D6A3B"/>
    <w:rsid w:val="06193B1E"/>
    <w:rsid w:val="062F4D34"/>
    <w:rsid w:val="06383C8B"/>
    <w:rsid w:val="06402A94"/>
    <w:rsid w:val="06AB6FF1"/>
    <w:rsid w:val="06AC5D72"/>
    <w:rsid w:val="06C6067E"/>
    <w:rsid w:val="06DF18E2"/>
    <w:rsid w:val="0707497A"/>
    <w:rsid w:val="07394A3D"/>
    <w:rsid w:val="07416329"/>
    <w:rsid w:val="07501B9E"/>
    <w:rsid w:val="07C548CA"/>
    <w:rsid w:val="082B0E32"/>
    <w:rsid w:val="0838785B"/>
    <w:rsid w:val="08545BC6"/>
    <w:rsid w:val="0862591B"/>
    <w:rsid w:val="08727C1D"/>
    <w:rsid w:val="087D0B78"/>
    <w:rsid w:val="08894DF6"/>
    <w:rsid w:val="0920129B"/>
    <w:rsid w:val="09225EC4"/>
    <w:rsid w:val="09425DCF"/>
    <w:rsid w:val="094E5430"/>
    <w:rsid w:val="0956229B"/>
    <w:rsid w:val="09584D67"/>
    <w:rsid w:val="09823E4D"/>
    <w:rsid w:val="098852A8"/>
    <w:rsid w:val="09A06B78"/>
    <w:rsid w:val="09EA3E64"/>
    <w:rsid w:val="0A123F9D"/>
    <w:rsid w:val="0A4B18CE"/>
    <w:rsid w:val="0A601059"/>
    <w:rsid w:val="0A8A4B12"/>
    <w:rsid w:val="0A8C7778"/>
    <w:rsid w:val="0AB2170F"/>
    <w:rsid w:val="0AB25DFE"/>
    <w:rsid w:val="0AC800D5"/>
    <w:rsid w:val="0AFA19A7"/>
    <w:rsid w:val="0AFC1D7D"/>
    <w:rsid w:val="0B065FC2"/>
    <w:rsid w:val="0B1020C4"/>
    <w:rsid w:val="0B181252"/>
    <w:rsid w:val="0B2543AA"/>
    <w:rsid w:val="0B651CEF"/>
    <w:rsid w:val="0B705986"/>
    <w:rsid w:val="0BD643AC"/>
    <w:rsid w:val="0C0F0EA7"/>
    <w:rsid w:val="0C275A89"/>
    <w:rsid w:val="0C774C9E"/>
    <w:rsid w:val="0CBB5882"/>
    <w:rsid w:val="0CD61017"/>
    <w:rsid w:val="0D2C59C1"/>
    <w:rsid w:val="0D531CDF"/>
    <w:rsid w:val="0D7C25A0"/>
    <w:rsid w:val="0DCA3125"/>
    <w:rsid w:val="0E0E4AD3"/>
    <w:rsid w:val="0E211365"/>
    <w:rsid w:val="0E39045D"/>
    <w:rsid w:val="0E416A77"/>
    <w:rsid w:val="0E5C2657"/>
    <w:rsid w:val="0E5C7CE8"/>
    <w:rsid w:val="0E5E1C72"/>
    <w:rsid w:val="0EA34036"/>
    <w:rsid w:val="0EB049DF"/>
    <w:rsid w:val="0EB63F9D"/>
    <w:rsid w:val="0EDD2A76"/>
    <w:rsid w:val="0EFA06A7"/>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309A6"/>
    <w:rsid w:val="107A1082"/>
    <w:rsid w:val="109E7189"/>
    <w:rsid w:val="10B41492"/>
    <w:rsid w:val="10B81EFA"/>
    <w:rsid w:val="10C72BB3"/>
    <w:rsid w:val="115206FB"/>
    <w:rsid w:val="11531DCE"/>
    <w:rsid w:val="11A4265E"/>
    <w:rsid w:val="11B40613"/>
    <w:rsid w:val="11BE2022"/>
    <w:rsid w:val="11D83EA2"/>
    <w:rsid w:val="11DC2579"/>
    <w:rsid w:val="11E4732B"/>
    <w:rsid w:val="11F748B7"/>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225EB"/>
    <w:rsid w:val="13F95DC4"/>
    <w:rsid w:val="14246685"/>
    <w:rsid w:val="142A3E2D"/>
    <w:rsid w:val="144A7973"/>
    <w:rsid w:val="149F40AE"/>
    <w:rsid w:val="14E5758A"/>
    <w:rsid w:val="14FB7DA2"/>
    <w:rsid w:val="15567E44"/>
    <w:rsid w:val="158710F3"/>
    <w:rsid w:val="15920D94"/>
    <w:rsid w:val="15BC1451"/>
    <w:rsid w:val="15C01464"/>
    <w:rsid w:val="15C40F54"/>
    <w:rsid w:val="15C772F3"/>
    <w:rsid w:val="15CE4C34"/>
    <w:rsid w:val="15D631FF"/>
    <w:rsid w:val="15F0775C"/>
    <w:rsid w:val="1609374C"/>
    <w:rsid w:val="160A0AD0"/>
    <w:rsid w:val="16401732"/>
    <w:rsid w:val="16531872"/>
    <w:rsid w:val="165B6F79"/>
    <w:rsid w:val="166E5EB0"/>
    <w:rsid w:val="16C01EAE"/>
    <w:rsid w:val="16F214B3"/>
    <w:rsid w:val="16F50974"/>
    <w:rsid w:val="173F1D8E"/>
    <w:rsid w:val="177A195D"/>
    <w:rsid w:val="17D56968"/>
    <w:rsid w:val="17D67E1B"/>
    <w:rsid w:val="17E50036"/>
    <w:rsid w:val="1820060E"/>
    <w:rsid w:val="18205BA9"/>
    <w:rsid w:val="18352A53"/>
    <w:rsid w:val="18370FAA"/>
    <w:rsid w:val="188457C5"/>
    <w:rsid w:val="188D7D42"/>
    <w:rsid w:val="1890464C"/>
    <w:rsid w:val="18C45643"/>
    <w:rsid w:val="18FA6A3B"/>
    <w:rsid w:val="19017790"/>
    <w:rsid w:val="19146F58"/>
    <w:rsid w:val="19153875"/>
    <w:rsid w:val="191E76E8"/>
    <w:rsid w:val="19575882"/>
    <w:rsid w:val="195E155B"/>
    <w:rsid w:val="197321D5"/>
    <w:rsid w:val="199944A6"/>
    <w:rsid w:val="19BE3F0C"/>
    <w:rsid w:val="19D8069E"/>
    <w:rsid w:val="1A0C41D1"/>
    <w:rsid w:val="1A336BE7"/>
    <w:rsid w:val="1A497C7A"/>
    <w:rsid w:val="1A612D7C"/>
    <w:rsid w:val="1A654C99"/>
    <w:rsid w:val="1A7F6A7E"/>
    <w:rsid w:val="1A807E72"/>
    <w:rsid w:val="1A8A2A47"/>
    <w:rsid w:val="1B16166A"/>
    <w:rsid w:val="1B492231"/>
    <w:rsid w:val="1B786FD6"/>
    <w:rsid w:val="1BB93E83"/>
    <w:rsid w:val="1BC644B6"/>
    <w:rsid w:val="1BF50CA0"/>
    <w:rsid w:val="1BFA3C7C"/>
    <w:rsid w:val="1C613AB1"/>
    <w:rsid w:val="1C763D6F"/>
    <w:rsid w:val="1C8C0466"/>
    <w:rsid w:val="1CA87CF9"/>
    <w:rsid w:val="1CC854C2"/>
    <w:rsid w:val="1D0121D0"/>
    <w:rsid w:val="1D525097"/>
    <w:rsid w:val="1D5B524F"/>
    <w:rsid w:val="1D6D3522"/>
    <w:rsid w:val="1D7236FA"/>
    <w:rsid w:val="1D79498D"/>
    <w:rsid w:val="1D8A4831"/>
    <w:rsid w:val="1D9664E5"/>
    <w:rsid w:val="1DAB5588"/>
    <w:rsid w:val="1DD72694"/>
    <w:rsid w:val="1DDA6E3B"/>
    <w:rsid w:val="1DDE1DE9"/>
    <w:rsid w:val="1DEF6D8A"/>
    <w:rsid w:val="1DF5798B"/>
    <w:rsid w:val="1DFA7416"/>
    <w:rsid w:val="1E1668F5"/>
    <w:rsid w:val="1E51534F"/>
    <w:rsid w:val="1E6A01BF"/>
    <w:rsid w:val="1EDA21FC"/>
    <w:rsid w:val="1EFD5795"/>
    <w:rsid w:val="1F474868"/>
    <w:rsid w:val="1F883C9F"/>
    <w:rsid w:val="1F971592"/>
    <w:rsid w:val="1F9B480F"/>
    <w:rsid w:val="1FB94E27"/>
    <w:rsid w:val="1FE57CFE"/>
    <w:rsid w:val="1FF41576"/>
    <w:rsid w:val="1FF94D1F"/>
    <w:rsid w:val="200A3A73"/>
    <w:rsid w:val="20297D49"/>
    <w:rsid w:val="208337BA"/>
    <w:rsid w:val="20885230"/>
    <w:rsid w:val="20947DAF"/>
    <w:rsid w:val="20AF20C5"/>
    <w:rsid w:val="20EB717A"/>
    <w:rsid w:val="20ED7306"/>
    <w:rsid w:val="20F96916"/>
    <w:rsid w:val="211106C5"/>
    <w:rsid w:val="21431785"/>
    <w:rsid w:val="219E251A"/>
    <w:rsid w:val="21A2314B"/>
    <w:rsid w:val="21A94E54"/>
    <w:rsid w:val="21C24F4B"/>
    <w:rsid w:val="21D73DBD"/>
    <w:rsid w:val="21FB2187"/>
    <w:rsid w:val="22071464"/>
    <w:rsid w:val="22283C9F"/>
    <w:rsid w:val="2232235C"/>
    <w:rsid w:val="23256DAA"/>
    <w:rsid w:val="23291785"/>
    <w:rsid w:val="23710488"/>
    <w:rsid w:val="2381304A"/>
    <w:rsid w:val="23A7789F"/>
    <w:rsid w:val="23BB002C"/>
    <w:rsid w:val="23C33515"/>
    <w:rsid w:val="23F1680C"/>
    <w:rsid w:val="242E494F"/>
    <w:rsid w:val="2434221F"/>
    <w:rsid w:val="243479AD"/>
    <w:rsid w:val="243E15D5"/>
    <w:rsid w:val="24551238"/>
    <w:rsid w:val="246B4C91"/>
    <w:rsid w:val="24856290"/>
    <w:rsid w:val="248E2DBA"/>
    <w:rsid w:val="24A408F0"/>
    <w:rsid w:val="24BA7E43"/>
    <w:rsid w:val="25224672"/>
    <w:rsid w:val="25250089"/>
    <w:rsid w:val="25252A8D"/>
    <w:rsid w:val="25717AFA"/>
    <w:rsid w:val="25A67057"/>
    <w:rsid w:val="25C33248"/>
    <w:rsid w:val="25D54115"/>
    <w:rsid w:val="25F72F27"/>
    <w:rsid w:val="260C0986"/>
    <w:rsid w:val="260F4C55"/>
    <w:rsid w:val="261B1938"/>
    <w:rsid w:val="26291B1A"/>
    <w:rsid w:val="262C709E"/>
    <w:rsid w:val="262F0D66"/>
    <w:rsid w:val="26763E6F"/>
    <w:rsid w:val="267C3983"/>
    <w:rsid w:val="26AE4B72"/>
    <w:rsid w:val="26D82BDE"/>
    <w:rsid w:val="26EB0757"/>
    <w:rsid w:val="26F954CE"/>
    <w:rsid w:val="270101AC"/>
    <w:rsid w:val="2719451E"/>
    <w:rsid w:val="27402404"/>
    <w:rsid w:val="27455C6D"/>
    <w:rsid w:val="274D71B2"/>
    <w:rsid w:val="2751147F"/>
    <w:rsid w:val="27706CF6"/>
    <w:rsid w:val="279C6957"/>
    <w:rsid w:val="27BA17EA"/>
    <w:rsid w:val="27CB7BFD"/>
    <w:rsid w:val="27D32B77"/>
    <w:rsid w:val="27D5339C"/>
    <w:rsid w:val="27DE5929"/>
    <w:rsid w:val="27E14C4C"/>
    <w:rsid w:val="27E64D5A"/>
    <w:rsid w:val="27E72880"/>
    <w:rsid w:val="280B47C0"/>
    <w:rsid w:val="282160D2"/>
    <w:rsid w:val="286C62A1"/>
    <w:rsid w:val="287D5B6E"/>
    <w:rsid w:val="289E5635"/>
    <w:rsid w:val="28A069B8"/>
    <w:rsid w:val="28C11DAA"/>
    <w:rsid w:val="28C21683"/>
    <w:rsid w:val="28F72971"/>
    <w:rsid w:val="290F3C6E"/>
    <w:rsid w:val="29B00B0D"/>
    <w:rsid w:val="29EF3C6E"/>
    <w:rsid w:val="2A3073E0"/>
    <w:rsid w:val="2A455ED8"/>
    <w:rsid w:val="2A761A78"/>
    <w:rsid w:val="2A7A17DF"/>
    <w:rsid w:val="2A9A0A8F"/>
    <w:rsid w:val="2ADE60B9"/>
    <w:rsid w:val="2AE35535"/>
    <w:rsid w:val="2AF41E87"/>
    <w:rsid w:val="2B496FA3"/>
    <w:rsid w:val="2B532BFE"/>
    <w:rsid w:val="2B6A469F"/>
    <w:rsid w:val="2B893B9F"/>
    <w:rsid w:val="2BAC65A8"/>
    <w:rsid w:val="2BB024B4"/>
    <w:rsid w:val="2BC60F98"/>
    <w:rsid w:val="2BCB45F0"/>
    <w:rsid w:val="2C066A1A"/>
    <w:rsid w:val="2C0B4AE6"/>
    <w:rsid w:val="2C0D6C02"/>
    <w:rsid w:val="2C3F7504"/>
    <w:rsid w:val="2C8165FA"/>
    <w:rsid w:val="2C944EC5"/>
    <w:rsid w:val="2CA5221B"/>
    <w:rsid w:val="2CAC7CBD"/>
    <w:rsid w:val="2CBC0DCF"/>
    <w:rsid w:val="2CCC08A3"/>
    <w:rsid w:val="2D0A514C"/>
    <w:rsid w:val="2D1A65ED"/>
    <w:rsid w:val="2D2B7225"/>
    <w:rsid w:val="2D2F30DD"/>
    <w:rsid w:val="2D3F44AA"/>
    <w:rsid w:val="2DA07759"/>
    <w:rsid w:val="2DB235BF"/>
    <w:rsid w:val="2E0E500A"/>
    <w:rsid w:val="2E577392"/>
    <w:rsid w:val="2E6E6547"/>
    <w:rsid w:val="2E8B1B62"/>
    <w:rsid w:val="2E9248DE"/>
    <w:rsid w:val="2E970AE4"/>
    <w:rsid w:val="2EA367EC"/>
    <w:rsid w:val="2EB227A5"/>
    <w:rsid w:val="2F502084"/>
    <w:rsid w:val="2F540DBC"/>
    <w:rsid w:val="2F5C380D"/>
    <w:rsid w:val="2F822BAC"/>
    <w:rsid w:val="2F96630B"/>
    <w:rsid w:val="2FAC7913"/>
    <w:rsid w:val="301F6139"/>
    <w:rsid w:val="30641E74"/>
    <w:rsid w:val="30810E1D"/>
    <w:rsid w:val="30A13F14"/>
    <w:rsid w:val="30D616E4"/>
    <w:rsid w:val="30F97581"/>
    <w:rsid w:val="31232B7B"/>
    <w:rsid w:val="314256C4"/>
    <w:rsid w:val="316E48C8"/>
    <w:rsid w:val="31947CF5"/>
    <w:rsid w:val="31C65637"/>
    <w:rsid w:val="31CB7144"/>
    <w:rsid w:val="32417274"/>
    <w:rsid w:val="324A563C"/>
    <w:rsid w:val="324A57AF"/>
    <w:rsid w:val="32931F82"/>
    <w:rsid w:val="329F04E5"/>
    <w:rsid w:val="32A27980"/>
    <w:rsid w:val="32BB501E"/>
    <w:rsid w:val="32CB0035"/>
    <w:rsid w:val="32F9755F"/>
    <w:rsid w:val="331B2806"/>
    <w:rsid w:val="333214D1"/>
    <w:rsid w:val="335B6009"/>
    <w:rsid w:val="3370495E"/>
    <w:rsid w:val="33757AD9"/>
    <w:rsid w:val="33CC0FC6"/>
    <w:rsid w:val="33DD0EAC"/>
    <w:rsid w:val="340622E0"/>
    <w:rsid w:val="341220B6"/>
    <w:rsid w:val="34143D51"/>
    <w:rsid w:val="34302898"/>
    <w:rsid w:val="343230D5"/>
    <w:rsid w:val="345B460B"/>
    <w:rsid w:val="347B1D25"/>
    <w:rsid w:val="348E2B4F"/>
    <w:rsid w:val="34B87A7E"/>
    <w:rsid w:val="34BB4966"/>
    <w:rsid w:val="35C97D56"/>
    <w:rsid w:val="35D62F47"/>
    <w:rsid w:val="35EE5D6B"/>
    <w:rsid w:val="36054F45"/>
    <w:rsid w:val="3637765B"/>
    <w:rsid w:val="363A3F05"/>
    <w:rsid w:val="365311E6"/>
    <w:rsid w:val="36687282"/>
    <w:rsid w:val="367112A8"/>
    <w:rsid w:val="368E4F3A"/>
    <w:rsid w:val="37473FEE"/>
    <w:rsid w:val="375445E4"/>
    <w:rsid w:val="376964D6"/>
    <w:rsid w:val="378D71CC"/>
    <w:rsid w:val="379C0110"/>
    <w:rsid w:val="379C3619"/>
    <w:rsid w:val="384A2F51"/>
    <w:rsid w:val="387C3364"/>
    <w:rsid w:val="387E5FB0"/>
    <w:rsid w:val="38C84008"/>
    <w:rsid w:val="38CC73F3"/>
    <w:rsid w:val="38D96670"/>
    <w:rsid w:val="38E022EF"/>
    <w:rsid w:val="395B66C1"/>
    <w:rsid w:val="395E3B0F"/>
    <w:rsid w:val="3990776B"/>
    <w:rsid w:val="39AD1B7B"/>
    <w:rsid w:val="39AE15AC"/>
    <w:rsid w:val="39E218FD"/>
    <w:rsid w:val="39E83FB4"/>
    <w:rsid w:val="3A153790"/>
    <w:rsid w:val="3A1F11A7"/>
    <w:rsid w:val="3A86575A"/>
    <w:rsid w:val="3AC94052"/>
    <w:rsid w:val="3B115AB0"/>
    <w:rsid w:val="3B341FC1"/>
    <w:rsid w:val="3B6F11E8"/>
    <w:rsid w:val="3B732683"/>
    <w:rsid w:val="3B851216"/>
    <w:rsid w:val="3B8E778B"/>
    <w:rsid w:val="3B9528C7"/>
    <w:rsid w:val="3BBF5E23"/>
    <w:rsid w:val="3BC93037"/>
    <w:rsid w:val="3BDC04F6"/>
    <w:rsid w:val="3C5A766D"/>
    <w:rsid w:val="3D084D63"/>
    <w:rsid w:val="3D0B4A9A"/>
    <w:rsid w:val="3D420A8C"/>
    <w:rsid w:val="3D474095"/>
    <w:rsid w:val="3D517AA3"/>
    <w:rsid w:val="3DA349DC"/>
    <w:rsid w:val="3DE421F6"/>
    <w:rsid w:val="3DEC56E0"/>
    <w:rsid w:val="3E0F5C92"/>
    <w:rsid w:val="3E2D6905"/>
    <w:rsid w:val="3E3457B0"/>
    <w:rsid w:val="3E730D7F"/>
    <w:rsid w:val="3E9753EA"/>
    <w:rsid w:val="3E9948D1"/>
    <w:rsid w:val="3EE41CB3"/>
    <w:rsid w:val="3F43088C"/>
    <w:rsid w:val="3F5E71A0"/>
    <w:rsid w:val="3F6F142D"/>
    <w:rsid w:val="3F7F3F6B"/>
    <w:rsid w:val="3FAA2EEE"/>
    <w:rsid w:val="3FAA346A"/>
    <w:rsid w:val="3FAB317E"/>
    <w:rsid w:val="3FE327A2"/>
    <w:rsid w:val="3FF762DF"/>
    <w:rsid w:val="40097087"/>
    <w:rsid w:val="405E545C"/>
    <w:rsid w:val="40602185"/>
    <w:rsid w:val="406D3C7A"/>
    <w:rsid w:val="407E22C6"/>
    <w:rsid w:val="408D0A8F"/>
    <w:rsid w:val="40B41A41"/>
    <w:rsid w:val="40D55514"/>
    <w:rsid w:val="40DD4529"/>
    <w:rsid w:val="412A3AB2"/>
    <w:rsid w:val="414920DE"/>
    <w:rsid w:val="41550B18"/>
    <w:rsid w:val="41E371A6"/>
    <w:rsid w:val="4206324A"/>
    <w:rsid w:val="42B01A80"/>
    <w:rsid w:val="42B540C6"/>
    <w:rsid w:val="42FD2B88"/>
    <w:rsid w:val="43124DBF"/>
    <w:rsid w:val="43267EE9"/>
    <w:rsid w:val="433D2CCC"/>
    <w:rsid w:val="43411BCB"/>
    <w:rsid w:val="435C4BA0"/>
    <w:rsid w:val="436A7A26"/>
    <w:rsid w:val="4373005F"/>
    <w:rsid w:val="43BB4E95"/>
    <w:rsid w:val="43CF0940"/>
    <w:rsid w:val="440D1834"/>
    <w:rsid w:val="442326F2"/>
    <w:rsid w:val="442418FE"/>
    <w:rsid w:val="446F2608"/>
    <w:rsid w:val="44781DAA"/>
    <w:rsid w:val="44C9249B"/>
    <w:rsid w:val="44CA357E"/>
    <w:rsid w:val="44D54B81"/>
    <w:rsid w:val="44FB700F"/>
    <w:rsid w:val="4587776E"/>
    <w:rsid w:val="45CF460B"/>
    <w:rsid w:val="45E27E1E"/>
    <w:rsid w:val="45F53C54"/>
    <w:rsid w:val="46142700"/>
    <w:rsid w:val="470316C4"/>
    <w:rsid w:val="470E368E"/>
    <w:rsid w:val="477631E0"/>
    <w:rsid w:val="47AC7367"/>
    <w:rsid w:val="47AD6319"/>
    <w:rsid w:val="47BA5BC1"/>
    <w:rsid w:val="47C7285C"/>
    <w:rsid w:val="47FD01D0"/>
    <w:rsid w:val="480C69CA"/>
    <w:rsid w:val="487519F9"/>
    <w:rsid w:val="48912668"/>
    <w:rsid w:val="48BF57C1"/>
    <w:rsid w:val="491A740E"/>
    <w:rsid w:val="49347AA6"/>
    <w:rsid w:val="496D392E"/>
    <w:rsid w:val="497F756E"/>
    <w:rsid w:val="498E7313"/>
    <w:rsid w:val="499B629D"/>
    <w:rsid w:val="49C5081B"/>
    <w:rsid w:val="49CB1E10"/>
    <w:rsid w:val="4A0A5885"/>
    <w:rsid w:val="4A525E27"/>
    <w:rsid w:val="4B073A5C"/>
    <w:rsid w:val="4B387880"/>
    <w:rsid w:val="4B44760D"/>
    <w:rsid w:val="4B5B6433"/>
    <w:rsid w:val="4B5C5D27"/>
    <w:rsid w:val="4B5E326D"/>
    <w:rsid w:val="4B840ACD"/>
    <w:rsid w:val="4B8C42AD"/>
    <w:rsid w:val="4BC51F60"/>
    <w:rsid w:val="4BD2475B"/>
    <w:rsid w:val="4BF72474"/>
    <w:rsid w:val="4C2E5AE5"/>
    <w:rsid w:val="4C4B0540"/>
    <w:rsid w:val="4C4F0B45"/>
    <w:rsid w:val="4C5D5C39"/>
    <w:rsid w:val="4C7F1DD7"/>
    <w:rsid w:val="4CCC1EC1"/>
    <w:rsid w:val="4CFB27A6"/>
    <w:rsid w:val="4D695962"/>
    <w:rsid w:val="4D74458A"/>
    <w:rsid w:val="4D7908B5"/>
    <w:rsid w:val="4DA40847"/>
    <w:rsid w:val="4DA74A82"/>
    <w:rsid w:val="4DA969FC"/>
    <w:rsid w:val="4DAE54FF"/>
    <w:rsid w:val="4DB73FDD"/>
    <w:rsid w:val="4E234A2B"/>
    <w:rsid w:val="4E3B70D2"/>
    <w:rsid w:val="4E445130"/>
    <w:rsid w:val="4E5C3A58"/>
    <w:rsid w:val="4E703038"/>
    <w:rsid w:val="4E7B1D31"/>
    <w:rsid w:val="4E865AFC"/>
    <w:rsid w:val="4E8A13C9"/>
    <w:rsid w:val="4F066320"/>
    <w:rsid w:val="4F0C4606"/>
    <w:rsid w:val="4F1C34EA"/>
    <w:rsid w:val="4F3D5624"/>
    <w:rsid w:val="4F4E6EBF"/>
    <w:rsid w:val="4F7D4C71"/>
    <w:rsid w:val="4FA80A1B"/>
    <w:rsid w:val="4FCA7073"/>
    <w:rsid w:val="4FE259E9"/>
    <w:rsid w:val="50092961"/>
    <w:rsid w:val="501D7C2E"/>
    <w:rsid w:val="50963550"/>
    <w:rsid w:val="50BD3A0A"/>
    <w:rsid w:val="50E35A2B"/>
    <w:rsid w:val="512C7508"/>
    <w:rsid w:val="522E179B"/>
    <w:rsid w:val="52321D93"/>
    <w:rsid w:val="52420452"/>
    <w:rsid w:val="524A5FDD"/>
    <w:rsid w:val="52533FC1"/>
    <w:rsid w:val="525C30D5"/>
    <w:rsid w:val="529214B7"/>
    <w:rsid w:val="52B85DAB"/>
    <w:rsid w:val="52E95362"/>
    <w:rsid w:val="52F30FD8"/>
    <w:rsid w:val="530973DA"/>
    <w:rsid w:val="5311687F"/>
    <w:rsid w:val="53472FA1"/>
    <w:rsid w:val="53BB70AD"/>
    <w:rsid w:val="53D6676E"/>
    <w:rsid w:val="53DA43C4"/>
    <w:rsid w:val="53E267AB"/>
    <w:rsid w:val="53FD4057"/>
    <w:rsid w:val="54D02C4B"/>
    <w:rsid w:val="54E9053C"/>
    <w:rsid w:val="550D6F8B"/>
    <w:rsid w:val="55112B45"/>
    <w:rsid w:val="55127748"/>
    <w:rsid w:val="551D1A51"/>
    <w:rsid w:val="55351206"/>
    <w:rsid w:val="55653C63"/>
    <w:rsid w:val="558F79BB"/>
    <w:rsid w:val="55A649AE"/>
    <w:rsid w:val="55BD684B"/>
    <w:rsid w:val="55D93627"/>
    <w:rsid w:val="55E3525A"/>
    <w:rsid w:val="56391200"/>
    <w:rsid w:val="56602AF8"/>
    <w:rsid w:val="56992FA3"/>
    <w:rsid w:val="569D1848"/>
    <w:rsid w:val="56B13A64"/>
    <w:rsid w:val="56BA3AA0"/>
    <w:rsid w:val="56BD5448"/>
    <w:rsid w:val="56CF6D97"/>
    <w:rsid w:val="56D66689"/>
    <w:rsid w:val="56E83761"/>
    <w:rsid w:val="57004D88"/>
    <w:rsid w:val="570E46A2"/>
    <w:rsid w:val="57163916"/>
    <w:rsid w:val="57355C13"/>
    <w:rsid w:val="57847C36"/>
    <w:rsid w:val="580558FE"/>
    <w:rsid w:val="58135774"/>
    <w:rsid w:val="584E2691"/>
    <w:rsid w:val="586A742C"/>
    <w:rsid w:val="5881039C"/>
    <w:rsid w:val="5891293E"/>
    <w:rsid w:val="58C134D7"/>
    <w:rsid w:val="58C94C3F"/>
    <w:rsid w:val="591E42EB"/>
    <w:rsid w:val="592A1676"/>
    <w:rsid w:val="59451E18"/>
    <w:rsid w:val="5964586E"/>
    <w:rsid w:val="59E71DDE"/>
    <w:rsid w:val="59F36CDF"/>
    <w:rsid w:val="5A064D2E"/>
    <w:rsid w:val="5A496D02"/>
    <w:rsid w:val="5A53496E"/>
    <w:rsid w:val="5A7756D8"/>
    <w:rsid w:val="5A96078C"/>
    <w:rsid w:val="5ABB0552"/>
    <w:rsid w:val="5AC87CD6"/>
    <w:rsid w:val="5AE85A5C"/>
    <w:rsid w:val="5AEC799D"/>
    <w:rsid w:val="5B0D2022"/>
    <w:rsid w:val="5B18744E"/>
    <w:rsid w:val="5BC63955"/>
    <w:rsid w:val="5C4A2BD7"/>
    <w:rsid w:val="5C990F6F"/>
    <w:rsid w:val="5CAF68F6"/>
    <w:rsid w:val="5CF84E92"/>
    <w:rsid w:val="5CFD7E74"/>
    <w:rsid w:val="5D213D72"/>
    <w:rsid w:val="5D4E247E"/>
    <w:rsid w:val="5D63632E"/>
    <w:rsid w:val="5D89138F"/>
    <w:rsid w:val="5DAB78D0"/>
    <w:rsid w:val="5DCE3E5A"/>
    <w:rsid w:val="5DD63758"/>
    <w:rsid w:val="5E2775BD"/>
    <w:rsid w:val="5E326512"/>
    <w:rsid w:val="5E4205CC"/>
    <w:rsid w:val="5E504C73"/>
    <w:rsid w:val="5E985E8A"/>
    <w:rsid w:val="5E9A5CF6"/>
    <w:rsid w:val="5EDF21B5"/>
    <w:rsid w:val="5EE32E88"/>
    <w:rsid w:val="5EE54D87"/>
    <w:rsid w:val="5F773F0E"/>
    <w:rsid w:val="5FB455AB"/>
    <w:rsid w:val="5FCB7633"/>
    <w:rsid w:val="5FD539BB"/>
    <w:rsid w:val="5FD8479E"/>
    <w:rsid w:val="5FEF4FD0"/>
    <w:rsid w:val="5FF11588"/>
    <w:rsid w:val="5FF7262C"/>
    <w:rsid w:val="60585DBB"/>
    <w:rsid w:val="606028E1"/>
    <w:rsid w:val="60634A34"/>
    <w:rsid w:val="60747F1B"/>
    <w:rsid w:val="609F50E9"/>
    <w:rsid w:val="61394E2C"/>
    <w:rsid w:val="617F4494"/>
    <w:rsid w:val="61A4521B"/>
    <w:rsid w:val="61BF6E9A"/>
    <w:rsid w:val="61FE7898"/>
    <w:rsid w:val="621C7A8F"/>
    <w:rsid w:val="625A57A9"/>
    <w:rsid w:val="62A11A47"/>
    <w:rsid w:val="62A50D92"/>
    <w:rsid w:val="62B4089B"/>
    <w:rsid w:val="62E94FF3"/>
    <w:rsid w:val="62F475B6"/>
    <w:rsid w:val="630C6A64"/>
    <w:rsid w:val="631F7E44"/>
    <w:rsid w:val="632443AD"/>
    <w:rsid w:val="63376FCF"/>
    <w:rsid w:val="63493BD5"/>
    <w:rsid w:val="635D124F"/>
    <w:rsid w:val="637C04DD"/>
    <w:rsid w:val="638B61DA"/>
    <w:rsid w:val="63964CCA"/>
    <w:rsid w:val="63B3451B"/>
    <w:rsid w:val="63C66040"/>
    <w:rsid w:val="648D18F2"/>
    <w:rsid w:val="649524B4"/>
    <w:rsid w:val="64F732A1"/>
    <w:rsid w:val="652A2E44"/>
    <w:rsid w:val="654E4849"/>
    <w:rsid w:val="655A56B4"/>
    <w:rsid w:val="65686657"/>
    <w:rsid w:val="65BD69EB"/>
    <w:rsid w:val="664977CF"/>
    <w:rsid w:val="66886A01"/>
    <w:rsid w:val="66EC4975"/>
    <w:rsid w:val="66F92550"/>
    <w:rsid w:val="67016B09"/>
    <w:rsid w:val="67203D95"/>
    <w:rsid w:val="67597141"/>
    <w:rsid w:val="678E607A"/>
    <w:rsid w:val="67AA4E8D"/>
    <w:rsid w:val="67F83FF2"/>
    <w:rsid w:val="681B27B3"/>
    <w:rsid w:val="683116BC"/>
    <w:rsid w:val="68430416"/>
    <w:rsid w:val="688751BF"/>
    <w:rsid w:val="688F3871"/>
    <w:rsid w:val="6893310E"/>
    <w:rsid w:val="68D862F5"/>
    <w:rsid w:val="68DC76F5"/>
    <w:rsid w:val="68E74072"/>
    <w:rsid w:val="69173BDC"/>
    <w:rsid w:val="69766E90"/>
    <w:rsid w:val="69BD4674"/>
    <w:rsid w:val="69C22719"/>
    <w:rsid w:val="6A036769"/>
    <w:rsid w:val="6A325674"/>
    <w:rsid w:val="6A4D2C84"/>
    <w:rsid w:val="6A52291B"/>
    <w:rsid w:val="6A7B10E5"/>
    <w:rsid w:val="6A817F02"/>
    <w:rsid w:val="6A8A48EA"/>
    <w:rsid w:val="6ABF2B74"/>
    <w:rsid w:val="6AEA4F0E"/>
    <w:rsid w:val="6B351E6F"/>
    <w:rsid w:val="6B4C1597"/>
    <w:rsid w:val="6B647ABE"/>
    <w:rsid w:val="6B7A4051"/>
    <w:rsid w:val="6BA45279"/>
    <w:rsid w:val="6BBA3B00"/>
    <w:rsid w:val="6BCE135A"/>
    <w:rsid w:val="6BDD581C"/>
    <w:rsid w:val="6BE07043"/>
    <w:rsid w:val="6BE14999"/>
    <w:rsid w:val="6BF427CD"/>
    <w:rsid w:val="6BFB5FD1"/>
    <w:rsid w:val="6C2B3C2F"/>
    <w:rsid w:val="6C2D70F8"/>
    <w:rsid w:val="6C3E6F9D"/>
    <w:rsid w:val="6CDC1854"/>
    <w:rsid w:val="6CDE55CC"/>
    <w:rsid w:val="6D045B43"/>
    <w:rsid w:val="6D12175F"/>
    <w:rsid w:val="6D1A36A8"/>
    <w:rsid w:val="6D1F5AF0"/>
    <w:rsid w:val="6D360A02"/>
    <w:rsid w:val="6D42342C"/>
    <w:rsid w:val="6D635B6A"/>
    <w:rsid w:val="6DAF51BB"/>
    <w:rsid w:val="6DC170C7"/>
    <w:rsid w:val="6DE64DA7"/>
    <w:rsid w:val="6E0C6169"/>
    <w:rsid w:val="6E1D76E4"/>
    <w:rsid w:val="6E4870A7"/>
    <w:rsid w:val="6E4E6509"/>
    <w:rsid w:val="6E544C48"/>
    <w:rsid w:val="6E67178A"/>
    <w:rsid w:val="6E77449C"/>
    <w:rsid w:val="6ED54165"/>
    <w:rsid w:val="6EF45FED"/>
    <w:rsid w:val="6F0839A0"/>
    <w:rsid w:val="6F0C74B5"/>
    <w:rsid w:val="6F0F4773"/>
    <w:rsid w:val="6F3657AD"/>
    <w:rsid w:val="6F3B10C9"/>
    <w:rsid w:val="6F5B091E"/>
    <w:rsid w:val="6F8A1C5E"/>
    <w:rsid w:val="6F974373"/>
    <w:rsid w:val="6FAF7C66"/>
    <w:rsid w:val="6FC71802"/>
    <w:rsid w:val="6FC74058"/>
    <w:rsid w:val="70040E87"/>
    <w:rsid w:val="70401D8E"/>
    <w:rsid w:val="704871A4"/>
    <w:rsid w:val="70592DFA"/>
    <w:rsid w:val="70694F36"/>
    <w:rsid w:val="70880C5C"/>
    <w:rsid w:val="70B523D0"/>
    <w:rsid w:val="70DD3906"/>
    <w:rsid w:val="7109479F"/>
    <w:rsid w:val="719B076B"/>
    <w:rsid w:val="71C160BF"/>
    <w:rsid w:val="71C3228A"/>
    <w:rsid w:val="71DC2403"/>
    <w:rsid w:val="724D07EA"/>
    <w:rsid w:val="72D349A5"/>
    <w:rsid w:val="72EA6253"/>
    <w:rsid w:val="72EC7281"/>
    <w:rsid w:val="72F0165D"/>
    <w:rsid w:val="73393BC2"/>
    <w:rsid w:val="737B44DB"/>
    <w:rsid w:val="73842E33"/>
    <w:rsid w:val="73D310AD"/>
    <w:rsid w:val="73DB55DA"/>
    <w:rsid w:val="74262B1B"/>
    <w:rsid w:val="747F1F65"/>
    <w:rsid w:val="74926227"/>
    <w:rsid w:val="74A6094A"/>
    <w:rsid w:val="74C870C1"/>
    <w:rsid w:val="74CC21DF"/>
    <w:rsid w:val="74E16F35"/>
    <w:rsid w:val="753F3D93"/>
    <w:rsid w:val="75532D3D"/>
    <w:rsid w:val="758805C2"/>
    <w:rsid w:val="7588697C"/>
    <w:rsid w:val="75B96B45"/>
    <w:rsid w:val="75E1159B"/>
    <w:rsid w:val="761F2330"/>
    <w:rsid w:val="763F26D5"/>
    <w:rsid w:val="764D0528"/>
    <w:rsid w:val="76621CC3"/>
    <w:rsid w:val="768677C8"/>
    <w:rsid w:val="76C82F19"/>
    <w:rsid w:val="76D37824"/>
    <w:rsid w:val="77045A49"/>
    <w:rsid w:val="77266E5A"/>
    <w:rsid w:val="77291B31"/>
    <w:rsid w:val="775C7088"/>
    <w:rsid w:val="77701354"/>
    <w:rsid w:val="77750DFA"/>
    <w:rsid w:val="77814AA5"/>
    <w:rsid w:val="77902D8C"/>
    <w:rsid w:val="779A189F"/>
    <w:rsid w:val="77F60E84"/>
    <w:rsid w:val="781F51BA"/>
    <w:rsid w:val="78494544"/>
    <w:rsid w:val="78743289"/>
    <w:rsid w:val="78810ADD"/>
    <w:rsid w:val="788E2C97"/>
    <w:rsid w:val="78955947"/>
    <w:rsid w:val="78BE335F"/>
    <w:rsid w:val="78D36201"/>
    <w:rsid w:val="78DC47E1"/>
    <w:rsid w:val="78E431C4"/>
    <w:rsid w:val="78EB4A40"/>
    <w:rsid w:val="79297F34"/>
    <w:rsid w:val="79532003"/>
    <w:rsid w:val="796C6682"/>
    <w:rsid w:val="79BB696B"/>
    <w:rsid w:val="79F944AF"/>
    <w:rsid w:val="7A2F69EB"/>
    <w:rsid w:val="7A4413F9"/>
    <w:rsid w:val="7A5711E4"/>
    <w:rsid w:val="7A822D65"/>
    <w:rsid w:val="7AEA0E27"/>
    <w:rsid w:val="7B011827"/>
    <w:rsid w:val="7B455A6D"/>
    <w:rsid w:val="7B864743"/>
    <w:rsid w:val="7BAF6112"/>
    <w:rsid w:val="7BAF62F1"/>
    <w:rsid w:val="7BBE1FE9"/>
    <w:rsid w:val="7BCC1467"/>
    <w:rsid w:val="7BEE5100"/>
    <w:rsid w:val="7C2F7BF3"/>
    <w:rsid w:val="7C4A702F"/>
    <w:rsid w:val="7C674FA4"/>
    <w:rsid w:val="7C735E4E"/>
    <w:rsid w:val="7CFE66BC"/>
    <w:rsid w:val="7D071AF5"/>
    <w:rsid w:val="7D394FD8"/>
    <w:rsid w:val="7D7E7646"/>
    <w:rsid w:val="7DBA7B76"/>
    <w:rsid w:val="7DC02314"/>
    <w:rsid w:val="7DC26738"/>
    <w:rsid w:val="7E972C19"/>
    <w:rsid w:val="7EBB2BFC"/>
    <w:rsid w:val="7F6E4E40"/>
    <w:rsid w:val="7F710522"/>
    <w:rsid w:val="7F7E2419"/>
    <w:rsid w:val="7F856BE9"/>
    <w:rsid w:val="7FC90389"/>
    <w:rsid w:val="7FD50A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2"/>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4"/>
    <w:autoRedefine/>
    <w:qFormat/>
    <w:uiPriority w:val="99"/>
    <w:pPr>
      <w:spacing w:before="260" w:after="260" w:line="416" w:lineRule="atLeast"/>
      <w:outlineLvl w:val="1"/>
    </w:pPr>
    <w:rPr>
      <w:rFonts w:ascii="Cambria" w:hAnsi="Cambria"/>
      <w:sz w:val="32"/>
      <w:szCs w:val="32"/>
    </w:rPr>
  </w:style>
  <w:style w:type="paragraph" w:styleId="6">
    <w:name w:val="heading 3"/>
    <w:basedOn w:val="1"/>
    <w:next w:val="2"/>
    <w:link w:val="114"/>
    <w:autoRedefine/>
    <w:qFormat/>
    <w:uiPriority w:val="99"/>
    <w:pPr>
      <w:tabs>
        <w:tab w:val="left" w:pos="588"/>
      </w:tabs>
      <w:spacing w:line="360" w:lineRule="auto"/>
      <w:outlineLvl w:val="2"/>
    </w:pPr>
    <w:rPr>
      <w:rFonts w:ascii="Tahoma" w:hAnsi="Tahoma"/>
    </w:rPr>
  </w:style>
  <w:style w:type="paragraph" w:styleId="7">
    <w:name w:val="heading 4"/>
    <w:basedOn w:val="1"/>
    <w:next w:val="1"/>
    <w:link w:val="14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4"/>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4"/>
    <w:autoRedefine/>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6"/>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link w:val="137"/>
    <w:autoRedefine/>
    <w:qFormat/>
    <w:uiPriority w:val="0"/>
    <w:pPr>
      <w:spacing w:line="360" w:lineRule="auto"/>
      <w:ind w:firstLine="200" w:firstLineChars="200"/>
    </w:pPr>
    <w:rPr>
      <w:sz w:val="24"/>
      <w:szCs w:val="20"/>
    </w:rPr>
  </w:style>
  <w:style w:type="paragraph" w:styleId="3">
    <w:name w:val="toc 4"/>
    <w:basedOn w:val="1"/>
    <w:next w:val="1"/>
    <w:autoRedefine/>
    <w:qFormat/>
    <w:uiPriority w:val="39"/>
    <w:pPr>
      <w:spacing w:line="440" w:lineRule="exact"/>
      <w:ind w:left="840"/>
      <w:jc w:val="left"/>
    </w:pPr>
    <w:rPr>
      <w:rFonts w:ascii="Calibri" w:hAnsi="Calibri"/>
      <w:sz w:val="18"/>
      <w:szCs w:val="18"/>
    </w:rPr>
  </w:style>
  <w:style w:type="paragraph" w:styleId="13">
    <w:name w:val="toc 7"/>
    <w:basedOn w:val="1"/>
    <w:next w:val="1"/>
    <w:autoRedefine/>
    <w:qFormat/>
    <w:uiPriority w:val="39"/>
    <w:pPr>
      <w:spacing w:line="440" w:lineRule="exact"/>
      <w:ind w:left="1680"/>
      <w:jc w:val="left"/>
    </w:pPr>
    <w:rPr>
      <w:rFonts w:ascii="Calibri" w:hAnsi="Calibri"/>
      <w:sz w:val="18"/>
      <w:szCs w:val="18"/>
    </w:rPr>
  </w:style>
  <w:style w:type="paragraph" w:styleId="14">
    <w:name w:val="Note Heading"/>
    <w:basedOn w:val="15"/>
    <w:next w:val="15"/>
    <w:link w:val="200"/>
    <w:autoRedefine/>
    <w:qFormat/>
    <w:uiPriority w:val="0"/>
    <w:rPr>
      <w:rFonts w:ascii="..ì." w:eastAsia="..ì." w:cs="Times New Roman"/>
      <w:color w:val="auto"/>
      <w:szCs w:val="20"/>
    </w:rPr>
  </w:style>
  <w:style w:type="paragraph" w:customStyle="1" w:styleId="15">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5"/>
    <w:autoRedefine/>
    <w:qFormat/>
    <w:uiPriority w:val="0"/>
    <w:pPr>
      <w:spacing w:line="480" w:lineRule="auto"/>
    </w:pPr>
    <w:rPr>
      <w:rFonts w:ascii="华文中宋" w:eastAsia="华文中宋"/>
      <w:sz w:val="36"/>
      <w:szCs w:val="20"/>
    </w:rPr>
  </w:style>
  <w:style w:type="paragraph" w:styleId="17">
    <w:name w:val="index 5"/>
    <w:basedOn w:val="1"/>
    <w:next w:val="1"/>
    <w:autoRedefine/>
    <w:qFormat/>
    <w:uiPriority w:val="99"/>
    <w:pPr>
      <w:ind w:left="800" w:leftChars="800"/>
    </w:pPr>
    <w:rPr>
      <w:rFonts w:eastAsia="宋体"/>
    </w:rPr>
  </w:style>
  <w:style w:type="paragraph" w:styleId="18">
    <w:name w:val="Document Map"/>
    <w:basedOn w:val="1"/>
    <w:link w:val="131"/>
    <w:autoRedefine/>
    <w:qFormat/>
    <w:uiPriority w:val="99"/>
    <w:pPr>
      <w:spacing w:line="440" w:lineRule="exact"/>
    </w:pPr>
    <w:rPr>
      <w:rFonts w:ascii="宋体"/>
      <w:sz w:val="18"/>
      <w:szCs w:val="18"/>
    </w:rPr>
  </w:style>
  <w:style w:type="paragraph" w:styleId="19">
    <w:name w:val="toa heading"/>
    <w:basedOn w:val="1"/>
    <w:next w:val="1"/>
    <w:autoRedefine/>
    <w:unhideWhenUsed/>
    <w:qFormat/>
    <w:uiPriority w:val="99"/>
    <w:pPr>
      <w:spacing w:before="120"/>
    </w:pPr>
    <w:rPr>
      <w:rFonts w:ascii="Cambria" w:hAnsi="Cambria" w:eastAsia="宋体"/>
      <w:sz w:val="24"/>
    </w:rPr>
  </w:style>
  <w:style w:type="paragraph" w:styleId="20">
    <w:name w:val="annotation text"/>
    <w:basedOn w:val="1"/>
    <w:link w:val="101"/>
    <w:autoRedefine/>
    <w:qFormat/>
    <w:uiPriority w:val="0"/>
    <w:pPr>
      <w:jc w:val="left"/>
    </w:pPr>
    <w:rPr>
      <w:rFonts w:ascii="Tahoma" w:hAnsi="Tahoma"/>
    </w:rPr>
  </w:style>
  <w:style w:type="paragraph" w:styleId="21">
    <w:name w:val="Salutation"/>
    <w:basedOn w:val="15"/>
    <w:next w:val="15"/>
    <w:link w:val="199"/>
    <w:autoRedefine/>
    <w:qFormat/>
    <w:uiPriority w:val="0"/>
    <w:rPr>
      <w:rFonts w:ascii="..ì." w:eastAsia="..ì." w:cs="Times New Roman"/>
      <w:color w:val="auto"/>
      <w:szCs w:val="20"/>
    </w:rPr>
  </w:style>
  <w:style w:type="paragraph" w:styleId="22">
    <w:name w:val="Body Text 3"/>
    <w:basedOn w:val="1"/>
    <w:link w:val="207"/>
    <w:autoRedefine/>
    <w:qFormat/>
    <w:uiPriority w:val="99"/>
    <w:pPr>
      <w:spacing w:after="120"/>
    </w:pPr>
    <w:rPr>
      <w:rFonts w:eastAsia="宋体"/>
      <w:sz w:val="16"/>
      <w:szCs w:val="16"/>
    </w:rPr>
  </w:style>
  <w:style w:type="paragraph" w:styleId="23">
    <w:name w:val="Body Text"/>
    <w:basedOn w:val="1"/>
    <w:link w:val="135"/>
    <w:autoRedefine/>
    <w:qFormat/>
    <w:uiPriority w:val="99"/>
    <w:pPr>
      <w:spacing w:line="360" w:lineRule="auto"/>
    </w:pPr>
    <w:rPr>
      <w:rFonts w:ascii="Tahoma" w:hAnsi="Tahoma"/>
    </w:rPr>
  </w:style>
  <w:style w:type="paragraph" w:styleId="24">
    <w:name w:val="Body Text Indent"/>
    <w:basedOn w:val="1"/>
    <w:link w:val="167"/>
    <w:autoRedefine/>
    <w:qFormat/>
    <w:uiPriority w:val="99"/>
    <w:pPr>
      <w:widowControl/>
      <w:spacing w:line="360" w:lineRule="auto"/>
      <w:ind w:firstLine="709"/>
      <w:jc w:val="left"/>
    </w:pPr>
    <w:rPr>
      <w:rFonts w:ascii="Tahoma" w:hAnsi="Tahoma"/>
    </w:rPr>
  </w:style>
  <w:style w:type="paragraph" w:styleId="2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autoRedefine/>
    <w:qFormat/>
    <w:uiPriority w:val="0"/>
    <w:pPr>
      <w:numPr>
        <w:ilvl w:val="1"/>
        <w:numId w:val="1"/>
      </w:numPr>
      <w:spacing w:line="360" w:lineRule="auto"/>
    </w:pPr>
    <w:rPr>
      <w:sz w:val="24"/>
      <w:szCs w:val="28"/>
    </w:rPr>
  </w:style>
  <w:style w:type="paragraph" w:styleId="27">
    <w:name w:val="toc 5"/>
    <w:basedOn w:val="1"/>
    <w:next w:val="1"/>
    <w:autoRedefine/>
    <w:qFormat/>
    <w:uiPriority w:val="39"/>
    <w:pPr>
      <w:spacing w:line="440" w:lineRule="exact"/>
      <w:ind w:left="1120"/>
      <w:jc w:val="left"/>
    </w:pPr>
    <w:rPr>
      <w:rFonts w:ascii="Calibri" w:hAnsi="Calibri"/>
      <w:sz w:val="18"/>
      <w:szCs w:val="18"/>
    </w:rPr>
  </w:style>
  <w:style w:type="paragraph" w:styleId="28">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9">
    <w:name w:val="Plain Text"/>
    <w:basedOn w:val="1"/>
    <w:link w:val="221"/>
    <w:autoRedefine/>
    <w:qFormat/>
    <w:uiPriority w:val="0"/>
    <w:pPr>
      <w:spacing w:line="360" w:lineRule="auto"/>
    </w:pPr>
    <w:rPr>
      <w:rFonts w:ascii="宋体" w:hAnsi="Courier New"/>
      <w:szCs w:val="21"/>
    </w:rPr>
  </w:style>
  <w:style w:type="paragraph" w:styleId="30">
    <w:name w:val="toc 8"/>
    <w:basedOn w:val="1"/>
    <w:next w:val="1"/>
    <w:autoRedefine/>
    <w:qFormat/>
    <w:uiPriority w:val="39"/>
    <w:pPr>
      <w:spacing w:line="440" w:lineRule="exact"/>
      <w:ind w:left="1960"/>
      <w:jc w:val="left"/>
    </w:pPr>
    <w:rPr>
      <w:rFonts w:ascii="Calibri" w:hAnsi="Calibri"/>
      <w:sz w:val="18"/>
      <w:szCs w:val="18"/>
    </w:rPr>
  </w:style>
  <w:style w:type="paragraph" w:styleId="31">
    <w:name w:val="Date"/>
    <w:basedOn w:val="1"/>
    <w:next w:val="1"/>
    <w:link w:val="197"/>
    <w:autoRedefine/>
    <w:qFormat/>
    <w:uiPriority w:val="99"/>
    <w:pPr>
      <w:spacing w:line="360" w:lineRule="auto"/>
      <w:ind w:left="2500" w:leftChars="2500"/>
    </w:pPr>
    <w:rPr>
      <w:rFonts w:ascii="Tahoma" w:hAnsi="Tahoma"/>
    </w:rPr>
  </w:style>
  <w:style w:type="paragraph" w:styleId="32">
    <w:name w:val="Body Text Indent 2"/>
    <w:basedOn w:val="1"/>
    <w:link w:val="163"/>
    <w:autoRedefine/>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7"/>
    <w:autoRedefine/>
    <w:qFormat/>
    <w:uiPriority w:val="0"/>
    <w:rPr>
      <w:sz w:val="18"/>
      <w:szCs w:val="18"/>
    </w:rPr>
  </w:style>
  <w:style w:type="paragraph" w:styleId="34">
    <w:name w:val="footer"/>
    <w:basedOn w:val="1"/>
    <w:link w:val="138"/>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3"/>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10"/>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9"/>
    <w:autoRedefine/>
    <w:qFormat/>
    <w:uiPriority w:val="99"/>
    <w:pPr>
      <w:spacing w:line="360" w:lineRule="auto"/>
      <w:ind w:right="26"/>
    </w:pPr>
    <w:rPr>
      <w:rFonts w:ascii="宋体" w:eastAsia="宋体"/>
      <w:szCs w:val="20"/>
    </w:rPr>
  </w:style>
  <w:style w:type="paragraph" w:styleId="43">
    <w:name w:val="HTML Preformatted"/>
    <w:basedOn w:val="1"/>
    <w:link w:val="2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5"/>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9"/>
    <w:autoRedefine/>
    <w:unhideWhenUsed/>
    <w:qFormat/>
    <w:uiPriority w:val="99"/>
    <w:pPr>
      <w:spacing w:line="440" w:lineRule="exact"/>
    </w:pPr>
    <w:rPr>
      <w:b/>
      <w:bCs/>
      <w:sz w:val="24"/>
      <w:szCs w:val="28"/>
    </w:rPr>
  </w:style>
  <w:style w:type="paragraph" w:styleId="48">
    <w:name w:val="Body Text First Indent"/>
    <w:basedOn w:val="23"/>
    <w:link w:val="132"/>
    <w:autoRedefine/>
    <w:qFormat/>
    <w:uiPriority w:val="0"/>
    <w:pPr>
      <w:spacing w:after="120" w:line="240" w:lineRule="auto"/>
      <w:ind w:firstLine="100" w:firstLineChars="100"/>
    </w:pPr>
  </w:style>
  <w:style w:type="paragraph" w:styleId="49">
    <w:name w:val="Body Text First Indent 2"/>
    <w:basedOn w:val="24"/>
    <w:link w:val="168"/>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标准正文"/>
    <w:basedOn w:val="1"/>
    <w:qFormat/>
    <w:uiPriority w:val="0"/>
    <w:pPr>
      <w:spacing w:line="360" w:lineRule="auto"/>
      <w:ind w:firstLine="480" w:firstLineChars="200"/>
    </w:pPr>
    <w:rPr>
      <w:rFonts w:ascii="宋体" w:hAnsi="宋体"/>
      <w:szCs w:val="20"/>
    </w:rPr>
  </w:style>
  <w:style w:type="paragraph" w:customStyle="1" w:styleId="64">
    <w:name w:val="样式1"/>
    <w:basedOn w:val="1"/>
    <w:next w:val="6"/>
    <w:autoRedefine/>
    <w:qFormat/>
    <w:uiPriority w:val="99"/>
    <w:rPr>
      <w:rFonts w:eastAsia="宋体"/>
      <w:sz w:val="24"/>
      <w:szCs w:val="20"/>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4"/>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8"/>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2"/>
    <w:autoRedefine/>
    <w:qFormat/>
    <w:uiPriority w:val="0"/>
    <w:pPr>
      <w:ind w:firstLine="420"/>
    </w:pPr>
    <w:rPr>
      <w:sz w:val="21"/>
      <w:szCs w:val="21"/>
    </w:rPr>
  </w:style>
  <w:style w:type="paragraph" w:customStyle="1" w:styleId="79">
    <w:name w:val="标题2"/>
    <w:basedOn w:val="5"/>
    <w:next w:val="1"/>
    <w:link w:val="96"/>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5"/>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6"/>
    <w:next w:val="1"/>
    <w:link w:val="140"/>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23"/>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6"/>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3"/>
    <w:autoRedefine/>
    <w:qFormat/>
    <w:uiPriority w:val="0"/>
    <w:rPr>
      <w:kern w:val="2"/>
      <w:sz w:val="18"/>
      <w:szCs w:val="18"/>
    </w:rPr>
  </w:style>
  <w:style w:type="character" w:customStyle="1" w:styleId="98">
    <w:name w:val="refresh"/>
    <w:basedOn w:val="52"/>
    <w:autoRedefine/>
    <w:qFormat/>
    <w:uiPriority w:val="0"/>
  </w:style>
  <w:style w:type="character" w:customStyle="1" w:styleId="99">
    <w:name w:val="小列表 Char Char"/>
    <w:link w:val="93"/>
    <w:autoRedefine/>
    <w:qFormat/>
    <w:uiPriority w:val="0"/>
    <w:rPr>
      <w:rFonts w:eastAsia="Arial Unicode MS"/>
      <w:kern w:val="2"/>
      <w:sz w:val="24"/>
      <w:szCs w:val="28"/>
    </w:rPr>
  </w:style>
  <w:style w:type="character" w:customStyle="1" w:styleId="100">
    <w:name w:val="del"/>
    <w:basedOn w:val="52"/>
    <w:autoRedefine/>
    <w:qFormat/>
    <w:uiPriority w:val="0"/>
  </w:style>
  <w:style w:type="character" w:customStyle="1" w:styleId="101">
    <w:name w:val="批注文字 字符"/>
    <w:link w:val="20"/>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8"/>
    <w:autoRedefine/>
    <w:qFormat/>
    <w:uiPriority w:val="99"/>
    <w:rPr>
      <w:b/>
      <w:bCs/>
      <w:kern w:val="2"/>
      <w:sz w:val="24"/>
      <w:szCs w:val="28"/>
    </w:rPr>
  </w:style>
  <w:style w:type="character" w:customStyle="1" w:styleId="104">
    <w:name w:val="标题 2 字符"/>
    <w:link w:val="5"/>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2"/>
    <w:autoRedefine/>
    <w:qFormat/>
    <w:uiPriority w:val="0"/>
  </w:style>
  <w:style w:type="character" w:customStyle="1" w:styleId="109">
    <w:name w:val="标题 8 字符"/>
    <w:link w:val="11"/>
    <w:autoRedefine/>
    <w:qFormat/>
    <w:uiPriority w:val="99"/>
    <w:rPr>
      <w:rFonts w:ascii="Arial" w:hAnsi="Arial" w:eastAsia="黑体"/>
      <w:kern w:val="2"/>
      <w:sz w:val="24"/>
      <w:szCs w:val="28"/>
    </w:rPr>
  </w:style>
  <w:style w:type="character" w:customStyle="1" w:styleId="110">
    <w:name w:val="open2"/>
    <w:basedOn w:val="52"/>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2"/>
    <w:autoRedefine/>
    <w:qFormat/>
    <w:uiPriority w:val="0"/>
  </w:style>
  <w:style w:type="character" w:customStyle="1" w:styleId="113">
    <w:name w:val="del2"/>
    <w:basedOn w:val="52"/>
    <w:autoRedefine/>
    <w:qFormat/>
    <w:uiPriority w:val="0"/>
  </w:style>
  <w:style w:type="character" w:customStyle="1" w:styleId="114">
    <w:name w:val="标题 3 字符"/>
    <w:link w:val="6"/>
    <w:autoRedefine/>
    <w:qFormat/>
    <w:uiPriority w:val="99"/>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2"/>
    <w:autoRedefine/>
    <w:qFormat/>
    <w:uiPriority w:val="0"/>
  </w:style>
  <w:style w:type="character" w:customStyle="1" w:styleId="117">
    <w:name w:val="morewin"/>
    <w:basedOn w:val="52"/>
    <w:autoRedefine/>
    <w:qFormat/>
    <w:uiPriority w:val="0"/>
  </w:style>
  <w:style w:type="character" w:customStyle="1" w:styleId="118">
    <w:name w:val="open"/>
    <w:basedOn w:val="52"/>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1 字符"/>
    <w:link w:val="4"/>
    <w:autoRedefine/>
    <w:qFormat/>
    <w:uiPriority w:val="99"/>
    <w:rPr>
      <w:rFonts w:ascii="Tahoma" w:hAnsi="Tahoma"/>
      <w:b/>
      <w:bCs/>
      <w:kern w:val="44"/>
      <w:sz w:val="24"/>
      <w:szCs w:val="44"/>
    </w:rPr>
  </w:style>
  <w:style w:type="character" w:customStyle="1" w:styleId="123">
    <w:name w:val="页眉 字符"/>
    <w:link w:val="35"/>
    <w:autoRedefine/>
    <w:qFormat/>
    <w:uiPriority w:val="99"/>
    <w:rPr>
      <w:rFonts w:ascii="Tahoma" w:hAnsi="Tahoma"/>
      <w:kern w:val="2"/>
      <w:sz w:val="18"/>
      <w:szCs w:val="18"/>
    </w:rPr>
  </w:style>
  <w:style w:type="character" w:customStyle="1" w:styleId="124">
    <w:name w:val="标题 7 字符"/>
    <w:link w:val="10"/>
    <w:autoRedefine/>
    <w:qFormat/>
    <w:uiPriority w:val="99"/>
    <w:rPr>
      <w:b/>
      <w:bCs/>
      <w:kern w:val="2"/>
      <w:sz w:val="24"/>
      <w:szCs w:val="28"/>
    </w:rPr>
  </w:style>
  <w:style w:type="character" w:customStyle="1" w:styleId="125">
    <w:name w:val="标题 字符"/>
    <w:link w:val="46"/>
    <w:autoRedefine/>
    <w:qFormat/>
    <w:uiPriority w:val="0"/>
    <w:rPr>
      <w:rFonts w:ascii="Cambria" w:hAnsi="Cambria"/>
      <w:b/>
      <w:bCs/>
      <w:kern w:val="2"/>
      <w:sz w:val="32"/>
      <w:szCs w:val="32"/>
    </w:rPr>
  </w:style>
  <w:style w:type="character" w:customStyle="1" w:styleId="126">
    <w:name w:val="标题 9 字符"/>
    <w:link w:val="12"/>
    <w:autoRedefine/>
    <w:qFormat/>
    <w:uiPriority w:val="99"/>
    <w:rPr>
      <w:rFonts w:ascii="Arial" w:hAnsi="Arial" w:eastAsia="黑体"/>
      <w:kern w:val="2"/>
      <w:sz w:val="24"/>
      <w:szCs w:val="21"/>
    </w:rPr>
  </w:style>
  <w:style w:type="character" w:customStyle="1" w:styleId="127">
    <w:name w:val="error"/>
    <w:autoRedefine/>
    <w:qFormat/>
    <w:uiPriority w:val="0"/>
    <w:rPr>
      <w:color w:val="CC0000"/>
    </w:rPr>
  </w:style>
  <w:style w:type="character" w:customStyle="1" w:styleId="128">
    <w:name w:val="add"/>
    <w:basedOn w:val="52"/>
    <w:autoRedefine/>
    <w:qFormat/>
    <w:uiPriority w:val="0"/>
  </w:style>
  <w:style w:type="character" w:customStyle="1" w:styleId="129">
    <w:name w:val="批注主题 字符"/>
    <w:link w:val="47"/>
    <w:autoRedefine/>
    <w:qFormat/>
    <w:uiPriority w:val="99"/>
    <w:rPr>
      <w:rFonts w:ascii="Tahoma" w:hAnsi="Tahoma"/>
      <w:b/>
      <w:bCs/>
      <w:kern w:val="2"/>
      <w:sz w:val="24"/>
      <w:szCs w:val="28"/>
    </w:rPr>
  </w:style>
  <w:style w:type="character" w:customStyle="1" w:styleId="130">
    <w:name w:val="pagebanner"/>
    <w:basedOn w:val="52"/>
    <w:autoRedefine/>
    <w:qFormat/>
    <w:uiPriority w:val="0"/>
  </w:style>
  <w:style w:type="character" w:customStyle="1" w:styleId="131">
    <w:name w:val="文档结构图 字符"/>
    <w:link w:val="18"/>
    <w:autoRedefine/>
    <w:qFormat/>
    <w:uiPriority w:val="99"/>
    <w:rPr>
      <w:rFonts w:ascii="宋体"/>
      <w:kern w:val="2"/>
      <w:sz w:val="18"/>
      <w:szCs w:val="18"/>
    </w:rPr>
  </w:style>
  <w:style w:type="character" w:customStyle="1" w:styleId="132">
    <w:name w:val="正文首行缩进 字符"/>
    <w:link w:val="48"/>
    <w:autoRedefine/>
    <w:qFormat/>
    <w:uiPriority w:val="0"/>
    <w:rPr>
      <w:rFonts w:ascii="Tahoma" w:hAnsi="Tahoma"/>
      <w:kern w:val="2"/>
      <w:sz w:val="21"/>
      <w:szCs w:val="24"/>
    </w:rPr>
  </w:style>
  <w:style w:type="character" w:customStyle="1" w:styleId="133">
    <w:name w:val="表格标题 Char Char"/>
    <w:link w:val="86"/>
    <w:autoRedefine/>
    <w:qFormat/>
    <w:uiPriority w:val="0"/>
    <w:rPr>
      <w:rFonts w:ascii="Arial" w:hAnsi="Arial" w:cs="Arial"/>
      <w:kern w:val="2"/>
      <w:sz w:val="24"/>
      <w:szCs w:val="24"/>
    </w:rPr>
  </w:style>
  <w:style w:type="character" w:customStyle="1" w:styleId="134">
    <w:name w:val="标题 6 字符"/>
    <w:link w:val="9"/>
    <w:autoRedefine/>
    <w:qFormat/>
    <w:uiPriority w:val="99"/>
    <w:rPr>
      <w:rFonts w:ascii="Arial" w:hAnsi="Arial" w:eastAsia="黑体"/>
      <w:b/>
      <w:bCs/>
      <w:kern w:val="2"/>
      <w:sz w:val="24"/>
      <w:szCs w:val="28"/>
    </w:rPr>
  </w:style>
  <w:style w:type="character" w:customStyle="1" w:styleId="135">
    <w:name w:val="正文文本 字符1"/>
    <w:link w:val="23"/>
    <w:autoRedefine/>
    <w:qFormat/>
    <w:uiPriority w:val="99"/>
    <w:rPr>
      <w:rFonts w:ascii="Tahoma" w:hAnsi="Tahoma"/>
      <w:kern w:val="2"/>
      <w:sz w:val="21"/>
      <w:szCs w:val="24"/>
    </w:rPr>
  </w:style>
  <w:style w:type="character" w:customStyle="1" w:styleId="136">
    <w:name w:val="10"/>
    <w:autoRedefine/>
    <w:qFormat/>
    <w:uiPriority w:val="0"/>
    <w:rPr>
      <w:rFonts w:hint="default" w:ascii="Calibri" w:hAnsi="Calibri" w:cs="Calibri"/>
    </w:rPr>
  </w:style>
  <w:style w:type="character" w:customStyle="1" w:styleId="137">
    <w:name w:val="正文缩进 字符"/>
    <w:link w:val="2"/>
    <w:autoRedefine/>
    <w:qFormat/>
    <w:uiPriority w:val="0"/>
    <w:rPr>
      <w:kern w:val="2"/>
      <w:sz w:val="24"/>
    </w:rPr>
  </w:style>
  <w:style w:type="character" w:customStyle="1" w:styleId="138">
    <w:name w:val="页脚 字符"/>
    <w:link w:val="34"/>
    <w:autoRedefine/>
    <w:qFormat/>
    <w:uiPriority w:val="99"/>
    <w:rPr>
      <w:rFonts w:ascii="Tahoma" w:hAnsi="Tahoma"/>
      <w:kern w:val="2"/>
      <w:sz w:val="18"/>
      <w:szCs w:val="18"/>
    </w:rPr>
  </w:style>
  <w:style w:type="character" w:customStyle="1" w:styleId="139">
    <w:name w:val="mod"/>
    <w:basedOn w:val="52"/>
    <w:autoRedefine/>
    <w:qFormat/>
    <w:uiPriority w:val="0"/>
  </w:style>
  <w:style w:type="character" w:customStyle="1" w:styleId="140">
    <w:name w:val="标题3 Char Char"/>
    <w:link w:val="84"/>
    <w:autoRedefine/>
    <w:qFormat/>
    <w:uiPriority w:val="0"/>
    <w:rPr>
      <w:rFonts w:eastAsia="黑体"/>
      <w:kern w:val="2"/>
      <w:sz w:val="28"/>
      <w:szCs w:val="32"/>
    </w:rPr>
  </w:style>
  <w:style w:type="character" w:customStyle="1" w:styleId="141">
    <w:name w:val="标题 4 字符"/>
    <w:link w:val="7"/>
    <w:autoRedefine/>
    <w:qFormat/>
    <w:uiPriority w:val="99"/>
    <w:rPr>
      <w:b/>
      <w:sz w:val="24"/>
      <w:szCs w:val="24"/>
    </w:rPr>
  </w:style>
  <w:style w:type="paragraph" w:customStyle="1" w:styleId="142">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2"/>
    <w:autoRedefine/>
    <w:qFormat/>
    <w:uiPriority w:val="0"/>
    <w:rPr>
      <w:color w:val="BA2636"/>
      <w:sz w:val="12"/>
      <w:szCs w:val="12"/>
    </w:rPr>
  </w:style>
  <w:style w:type="character" w:customStyle="1" w:styleId="144">
    <w:name w:val="gjfg"/>
    <w:basedOn w:val="52"/>
    <w:autoRedefine/>
    <w:qFormat/>
    <w:uiPriority w:val="0"/>
  </w:style>
  <w:style w:type="character" w:customStyle="1" w:styleId="145">
    <w:name w:val="redfilenumber"/>
    <w:basedOn w:val="52"/>
    <w:autoRedefine/>
    <w:qFormat/>
    <w:uiPriority w:val="0"/>
    <w:rPr>
      <w:color w:val="BA2636"/>
      <w:sz w:val="12"/>
      <w:szCs w:val="12"/>
    </w:rPr>
  </w:style>
  <w:style w:type="character" w:customStyle="1" w:styleId="146">
    <w:name w:val="qxdate"/>
    <w:basedOn w:val="52"/>
    <w:autoRedefine/>
    <w:qFormat/>
    <w:uiPriority w:val="0"/>
    <w:rPr>
      <w:color w:val="333333"/>
      <w:sz w:val="12"/>
      <w:szCs w:val="12"/>
    </w:rPr>
  </w:style>
  <w:style w:type="character" w:customStyle="1" w:styleId="147">
    <w:name w:val="prev"/>
    <w:basedOn w:val="52"/>
    <w:autoRedefine/>
    <w:qFormat/>
    <w:uiPriority w:val="0"/>
    <w:rPr>
      <w:rFonts w:ascii="微软雅黑" w:hAnsi="微软雅黑" w:eastAsia="微软雅黑" w:cs="微软雅黑"/>
      <w:sz w:val="14"/>
      <w:szCs w:val="14"/>
    </w:rPr>
  </w:style>
  <w:style w:type="character" w:customStyle="1" w:styleId="148">
    <w:name w:val="cfdate"/>
    <w:basedOn w:val="52"/>
    <w:autoRedefine/>
    <w:qFormat/>
    <w:uiPriority w:val="0"/>
    <w:rPr>
      <w:color w:val="333333"/>
      <w:sz w:val="12"/>
      <w:szCs w:val="12"/>
    </w:rPr>
  </w:style>
  <w:style w:type="character" w:customStyle="1" w:styleId="149">
    <w:name w:val="displayarti"/>
    <w:basedOn w:val="52"/>
    <w:autoRedefine/>
    <w:qFormat/>
    <w:uiPriority w:val="0"/>
    <w:rPr>
      <w:color w:val="FFFFFF"/>
      <w:shd w:val="clear" w:color="auto" w:fill="A00000"/>
    </w:rPr>
  </w:style>
  <w:style w:type="character" w:customStyle="1" w:styleId="150">
    <w:name w:val="next2"/>
    <w:basedOn w:val="52"/>
    <w:autoRedefine/>
    <w:qFormat/>
    <w:uiPriority w:val="0"/>
    <w:rPr>
      <w:rFonts w:hint="eastAsia" w:ascii="微软雅黑" w:hAnsi="微软雅黑" w:eastAsia="微软雅黑" w:cs="微软雅黑"/>
      <w:sz w:val="14"/>
      <w:szCs w:val="14"/>
    </w:rPr>
  </w:style>
  <w:style w:type="character" w:customStyle="1" w:styleId="151">
    <w:name w:val="next3"/>
    <w:basedOn w:val="52"/>
    <w:autoRedefine/>
    <w:qFormat/>
    <w:uiPriority w:val="0"/>
    <w:rPr>
      <w:color w:val="888888"/>
    </w:rPr>
  </w:style>
  <w:style w:type="character" w:customStyle="1" w:styleId="152">
    <w:name w:val="next"/>
    <w:basedOn w:val="52"/>
    <w:autoRedefine/>
    <w:qFormat/>
    <w:uiPriority w:val="0"/>
    <w:rPr>
      <w:rFonts w:ascii="微软雅黑" w:hAnsi="微软雅黑" w:eastAsia="微软雅黑" w:cs="微软雅黑"/>
      <w:sz w:val="14"/>
      <w:szCs w:val="14"/>
    </w:rPr>
  </w:style>
  <w:style w:type="character" w:customStyle="1" w:styleId="153">
    <w:name w:val="prev1"/>
    <w:basedOn w:val="52"/>
    <w:autoRedefine/>
    <w:qFormat/>
    <w:uiPriority w:val="0"/>
    <w:rPr>
      <w:color w:val="888888"/>
    </w:rPr>
  </w:style>
  <w:style w:type="paragraph" w:customStyle="1" w:styleId="154">
    <w:name w:val="Body text|21"/>
    <w:basedOn w:val="1"/>
    <w:link w:val="156"/>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2"/>
    <w:link w:val="154"/>
    <w:autoRedefine/>
    <w:qFormat/>
    <w:uiPriority w:val="0"/>
    <w:rPr>
      <w:rFonts w:ascii="PMingLiU" w:hAnsi="PMingLiU" w:eastAsia="PMingLiU" w:cs="PMingLiU"/>
      <w:spacing w:val="30"/>
    </w:rPr>
  </w:style>
  <w:style w:type="character" w:customStyle="1" w:styleId="157">
    <w:name w:val="Body text|2 + Spacing 3 pt"/>
    <w:basedOn w:val="156"/>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autoRedefine/>
    <w:qFormat/>
    <w:uiPriority w:val="0"/>
    <w:pPr>
      <w:adjustRightInd w:val="0"/>
      <w:snapToGrid w:val="0"/>
      <w:spacing w:after="50" w:line="360" w:lineRule="auto"/>
    </w:pPr>
    <w:rPr>
      <w:sz w:val="24"/>
    </w:rPr>
  </w:style>
  <w:style w:type="paragraph" w:customStyle="1" w:styleId="159">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autoRedefine/>
    <w:qFormat/>
    <w:uiPriority w:val="0"/>
    <w:rPr>
      <w:rFonts w:ascii="仿宋_GB2312" w:eastAsia="仿宋_GB2312"/>
      <w:b/>
      <w:sz w:val="32"/>
      <w:szCs w:val="32"/>
    </w:rPr>
  </w:style>
  <w:style w:type="paragraph" w:customStyle="1" w:styleId="161">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4"/>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字符"/>
    <w:basedOn w:val="52"/>
    <w:link w:val="32"/>
    <w:autoRedefine/>
    <w:qFormat/>
    <w:uiPriority w:val="99"/>
    <w:rPr>
      <w:rFonts w:ascii="Times New Roman" w:hAnsi="Times New Roman" w:eastAsia="宋体" w:cs="Times New Roman"/>
      <w:kern w:val="2"/>
      <w:sz w:val="24"/>
      <w:szCs w:val="30"/>
    </w:rPr>
  </w:style>
  <w:style w:type="paragraph" w:customStyle="1" w:styleId="16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字符"/>
    <w:basedOn w:val="52"/>
    <w:link w:val="24"/>
    <w:autoRedefine/>
    <w:qFormat/>
    <w:uiPriority w:val="99"/>
    <w:rPr>
      <w:rFonts w:ascii="Tahoma" w:hAnsi="Tahoma" w:eastAsia="Arial Unicode MS" w:cs="Times New Roman"/>
      <w:kern w:val="2"/>
      <w:sz w:val="21"/>
      <w:szCs w:val="24"/>
    </w:rPr>
  </w:style>
  <w:style w:type="character" w:customStyle="1" w:styleId="168">
    <w:name w:val="正文首行缩进 2 字符"/>
    <w:basedOn w:val="167"/>
    <w:link w:val="49"/>
    <w:autoRedefine/>
    <w:qFormat/>
    <w:uiPriority w:val="0"/>
    <w:rPr>
      <w:rFonts w:ascii="Times New Roman" w:hAnsi="Times New Roman" w:eastAsia="宋体" w:cs="Times New Roman"/>
      <w:kern w:val="2"/>
      <w:sz w:val="21"/>
      <w:szCs w:val="24"/>
    </w:rPr>
  </w:style>
  <w:style w:type="character" w:customStyle="1" w:styleId="169">
    <w:name w:val="正文文本 2 字符"/>
    <w:basedOn w:val="52"/>
    <w:link w:val="42"/>
    <w:autoRedefine/>
    <w:qFormat/>
    <w:uiPriority w:val="99"/>
    <w:rPr>
      <w:rFonts w:ascii="宋体" w:hAnsi="Times New Roman" w:eastAsia="宋体" w:cs="Times New Roman"/>
      <w:kern w:val="2"/>
      <w:sz w:val="21"/>
    </w:rPr>
  </w:style>
  <w:style w:type="paragraph" w:customStyle="1" w:styleId="170">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5"/>
    <w:autoRedefine/>
    <w:qFormat/>
    <w:uiPriority w:val="0"/>
    <w:pPr>
      <w:keepNext/>
      <w:keepLines/>
      <w:spacing w:line="416" w:lineRule="auto"/>
    </w:pPr>
    <w:rPr>
      <w:rFonts w:ascii="Arial" w:hAnsi="Arial" w:eastAsia="宋体"/>
      <w:bCs/>
      <w:sz w:val="24"/>
    </w:rPr>
  </w:style>
  <w:style w:type="character" w:customStyle="1" w:styleId="172">
    <w:name w:val="Char2"/>
    <w:autoRedefine/>
    <w:qFormat/>
    <w:uiPriority w:val="0"/>
    <w:rPr>
      <w:rFonts w:ascii="Arial" w:hAnsi="Arial" w:eastAsia="黑体"/>
      <w:b/>
      <w:bCs/>
      <w:kern w:val="2"/>
      <w:sz w:val="32"/>
      <w:szCs w:val="32"/>
      <w:lang w:val="en-US" w:eastAsia="zh-CN" w:bidi="ar-SA"/>
    </w:rPr>
  </w:style>
  <w:style w:type="character" w:customStyle="1" w:styleId="173">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4">
    <w:name w:val="默认段落字体 Para Char Char Char Char Char Char Char Char Char Char"/>
    <w:basedOn w:val="18"/>
    <w:autoRedefine/>
    <w:qFormat/>
    <w:uiPriority w:val="0"/>
    <w:pPr>
      <w:shd w:val="clear" w:color="auto" w:fill="000080"/>
      <w:spacing w:line="240" w:lineRule="auto"/>
    </w:pPr>
    <w:rPr>
      <w:rFonts w:ascii="Tahoma" w:hAnsi="Tahoma" w:eastAsia="宋体"/>
      <w:sz w:val="24"/>
      <w:szCs w:val="24"/>
    </w:rPr>
  </w:style>
  <w:style w:type="paragraph" w:customStyle="1" w:styleId="175">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字符"/>
    <w:link w:val="31"/>
    <w:autoRedefine/>
    <w:qFormat/>
    <w:uiPriority w:val="99"/>
    <w:rPr>
      <w:rFonts w:ascii="Tahoma" w:hAnsi="Tahoma" w:eastAsia="Arial Unicode MS" w:cs="Times New Roman"/>
      <w:kern w:val="2"/>
      <w:sz w:val="21"/>
      <w:szCs w:val="24"/>
    </w:rPr>
  </w:style>
  <w:style w:type="character" w:customStyle="1" w:styleId="198">
    <w:name w:val="Char Char"/>
    <w:autoRedefine/>
    <w:qFormat/>
    <w:uiPriority w:val="0"/>
    <w:rPr>
      <w:rFonts w:eastAsia="宋体"/>
      <w:kern w:val="2"/>
      <w:sz w:val="24"/>
      <w:lang w:val="en-US" w:eastAsia="zh-CN" w:bidi="ar-SA"/>
    </w:rPr>
  </w:style>
  <w:style w:type="character" w:customStyle="1" w:styleId="199">
    <w:name w:val="称呼 字符"/>
    <w:basedOn w:val="52"/>
    <w:link w:val="21"/>
    <w:autoRedefine/>
    <w:qFormat/>
    <w:uiPriority w:val="0"/>
    <w:rPr>
      <w:rFonts w:ascii="..ì." w:hAnsi="Times New Roman" w:eastAsia="..ì." w:cs="Times New Roman"/>
      <w:sz w:val="24"/>
    </w:rPr>
  </w:style>
  <w:style w:type="character" w:customStyle="1" w:styleId="200">
    <w:name w:val="注释标题 字符"/>
    <w:basedOn w:val="52"/>
    <w:link w:val="14"/>
    <w:autoRedefine/>
    <w:qFormat/>
    <w:uiPriority w:val="0"/>
    <w:rPr>
      <w:rFonts w:ascii="..ì." w:hAnsi="Times New Roman" w:eastAsia="..ì." w:cs="Times New Roman"/>
      <w:sz w:val="24"/>
    </w:rPr>
  </w:style>
  <w:style w:type="paragraph" w:customStyle="1" w:styleId="201">
    <w:name w:val="1 Char Char Char Char"/>
    <w:basedOn w:val="1"/>
    <w:autoRedefine/>
    <w:qFormat/>
    <w:uiPriority w:val="0"/>
    <w:rPr>
      <w:rFonts w:ascii="Tahoma" w:hAnsi="Tahoma" w:eastAsia="宋体"/>
      <w:sz w:val="24"/>
      <w:szCs w:val="20"/>
    </w:rPr>
  </w:style>
  <w:style w:type="paragraph" w:customStyle="1" w:styleId="20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4"/>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autoRedefine/>
    <w:qFormat/>
    <w:uiPriority w:val="99"/>
    <w:rPr>
      <w:rFonts w:ascii="黑体" w:eastAsia="黑体"/>
      <w:sz w:val="52"/>
      <w:lang w:bidi="ar-SA"/>
    </w:rPr>
  </w:style>
  <w:style w:type="paragraph" w:customStyle="1" w:styleId="205">
    <w:name w:val="样式 标题 2 + Times New Roman 四号 非加粗 段前: 5 磅 段后: 0 磅 行距: 固定值 20..."/>
    <w:basedOn w:val="5"/>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autoRedefine/>
    <w:qFormat/>
    <w:uiPriority w:val="99"/>
    <w:rPr>
      <w:rFonts w:ascii="宋体" w:eastAsia="宋体"/>
      <w:sz w:val="24"/>
      <w:szCs w:val="20"/>
    </w:rPr>
  </w:style>
  <w:style w:type="character" w:customStyle="1" w:styleId="207">
    <w:name w:val="正文文本 3 字符"/>
    <w:basedOn w:val="52"/>
    <w:link w:val="22"/>
    <w:autoRedefine/>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6"/>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4"/>
    <w:autoRedefine/>
    <w:qFormat/>
    <w:uiPriority w:val="99"/>
    <w:pPr>
      <w:ind w:left="432"/>
    </w:pPr>
    <w:rPr>
      <w:rFonts w:eastAsia="宋体"/>
      <w:szCs w:val="20"/>
    </w:rPr>
  </w:style>
  <w:style w:type="character" w:customStyle="1" w:styleId="210">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4"/>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autoRedefine/>
    <w:qFormat/>
    <w:uiPriority w:val="0"/>
    <w:rPr>
      <w:rFonts w:ascii="Tahoma" w:hAnsi="Tahoma" w:eastAsia="宋体"/>
      <w:sz w:val="24"/>
      <w:szCs w:val="20"/>
    </w:rPr>
  </w:style>
  <w:style w:type="character" w:customStyle="1" w:styleId="213">
    <w:name w:val="font161"/>
    <w:autoRedefine/>
    <w:qFormat/>
    <w:uiPriority w:val="99"/>
    <w:rPr>
      <w:b/>
      <w:bCs/>
      <w:sz w:val="32"/>
      <w:szCs w:val="32"/>
    </w:rPr>
  </w:style>
  <w:style w:type="paragraph" w:customStyle="1" w:styleId="214">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autoRedefine/>
    <w:qFormat/>
    <w:uiPriority w:val="99"/>
    <w:pPr>
      <w:jc w:val="center"/>
      <w:textAlignment w:val="center"/>
    </w:pPr>
    <w:rPr>
      <w:rFonts w:ascii="华文细黑" w:hAnsi="华文细黑" w:eastAsia="宋体"/>
      <w:kern w:val="0"/>
      <w:szCs w:val="20"/>
    </w:rPr>
  </w:style>
  <w:style w:type="paragraph" w:customStyle="1" w:styleId="216">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4"/>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4"/>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autoRedefine/>
    <w:qFormat/>
    <w:uiPriority w:val="99"/>
    <w:rPr>
      <w:color w:val="auto"/>
      <w:u w:val="none"/>
    </w:rPr>
  </w:style>
  <w:style w:type="character" w:customStyle="1" w:styleId="220">
    <w:name w:val="Char Char1"/>
    <w:autoRedefine/>
    <w:qFormat/>
    <w:uiPriority w:val="0"/>
    <w:rPr>
      <w:rFonts w:eastAsia="宋体"/>
      <w:kern w:val="2"/>
      <w:sz w:val="24"/>
      <w:lang w:val="en-US" w:eastAsia="zh-CN" w:bidi="ar-SA"/>
    </w:rPr>
  </w:style>
  <w:style w:type="character" w:customStyle="1" w:styleId="221">
    <w:name w:val="纯文本 字符"/>
    <w:link w:val="29"/>
    <w:autoRedefine/>
    <w:qFormat/>
    <w:uiPriority w:val="0"/>
    <w:rPr>
      <w:rFonts w:ascii="宋体" w:hAnsi="Courier New" w:eastAsia="Arial Unicode MS" w:cs="Times New Roman"/>
      <w:kern w:val="2"/>
      <w:sz w:val="21"/>
      <w:szCs w:val="21"/>
    </w:rPr>
  </w:style>
  <w:style w:type="paragraph" w:customStyle="1" w:styleId="222">
    <w:name w:val="Char Char Char Char"/>
    <w:basedOn w:val="1"/>
    <w:autoRedefine/>
    <w:qFormat/>
    <w:uiPriority w:val="0"/>
    <w:pPr>
      <w:widowControl/>
      <w:spacing w:after="160" w:line="240" w:lineRule="exact"/>
      <w:jc w:val="left"/>
    </w:pPr>
    <w:rPr>
      <w:rFonts w:eastAsia="宋体"/>
      <w:szCs w:val="20"/>
    </w:rPr>
  </w:style>
  <w:style w:type="paragraph" w:customStyle="1" w:styleId="223">
    <w:name w:val="p17"/>
    <w:basedOn w:val="1"/>
    <w:autoRedefine/>
    <w:qFormat/>
    <w:uiPriority w:val="99"/>
    <w:pPr>
      <w:widowControl/>
    </w:pPr>
    <w:rPr>
      <w:rFonts w:eastAsia="宋体"/>
      <w:kern w:val="0"/>
      <w:szCs w:val="21"/>
    </w:rPr>
  </w:style>
  <w:style w:type="character" w:customStyle="1" w:styleId="224">
    <w:name w:val="H4 Char"/>
    <w:autoRedefine/>
    <w:qFormat/>
    <w:uiPriority w:val="0"/>
    <w:rPr>
      <w:b/>
      <w:sz w:val="28"/>
    </w:rPr>
  </w:style>
  <w:style w:type="character" w:customStyle="1" w:styleId="225">
    <w:name w:val="Char Char2"/>
    <w:autoRedefine/>
    <w:qFormat/>
    <w:uiPriority w:val="0"/>
    <w:rPr>
      <w:rFonts w:eastAsia="宋体"/>
      <w:kern w:val="2"/>
      <w:sz w:val="24"/>
      <w:lang w:val="en-US" w:eastAsia="zh-CN" w:bidi="ar-SA"/>
    </w:rPr>
  </w:style>
  <w:style w:type="character" w:customStyle="1" w:styleId="226">
    <w:name w:val="Char Char111"/>
    <w:autoRedefine/>
    <w:qFormat/>
    <w:uiPriority w:val="99"/>
    <w:rPr>
      <w:rFonts w:eastAsia="宋体"/>
      <w:kern w:val="2"/>
      <w:sz w:val="24"/>
      <w:lang w:val="en-US" w:eastAsia="zh-CN" w:bidi="ar-SA"/>
    </w:rPr>
  </w:style>
  <w:style w:type="paragraph" w:customStyle="1" w:styleId="227">
    <w:name w:val="Char Char Char Char111"/>
    <w:basedOn w:val="1"/>
    <w:autoRedefine/>
    <w:qFormat/>
    <w:uiPriority w:val="0"/>
    <w:pPr>
      <w:widowControl/>
      <w:spacing w:after="160" w:line="240" w:lineRule="exact"/>
      <w:jc w:val="left"/>
    </w:pPr>
    <w:rPr>
      <w:rFonts w:eastAsia="宋体"/>
      <w:szCs w:val="20"/>
    </w:rPr>
  </w:style>
  <w:style w:type="paragraph" w:customStyle="1" w:styleId="228">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autoRedefine/>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autoRedefine/>
    <w:qFormat/>
    <w:uiPriority w:val="0"/>
    <w:pPr>
      <w:numPr>
        <w:ilvl w:val="3"/>
      </w:numPr>
      <w:ind w:left="315"/>
      <w:outlineLvl w:val="3"/>
    </w:pPr>
  </w:style>
  <w:style w:type="paragraph" w:customStyle="1" w:styleId="244">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autoRedefine/>
    <w:qFormat/>
    <w:uiPriority w:val="0"/>
    <w:pPr>
      <w:numPr>
        <w:ilvl w:val="4"/>
      </w:numPr>
      <w:tabs>
        <w:tab w:val="left" w:pos="1680"/>
        <w:tab w:val="left" w:pos="2100"/>
      </w:tabs>
      <w:ind w:left="2100" w:hanging="420"/>
      <w:outlineLvl w:val="4"/>
    </w:pPr>
  </w:style>
  <w:style w:type="paragraph" w:customStyle="1" w:styleId="246">
    <w:name w:val="四级条标题"/>
    <w:basedOn w:val="245"/>
    <w:next w:val="1"/>
    <w:autoRedefine/>
    <w:qFormat/>
    <w:uiPriority w:val="0"/>
    <w:pPr>
      <w:numPr>
        <w:ilvl w:val="5"/>
      </w:numPr>
      <w:tabs>
        <w:tab w:val="left" w:pos="2520"/>
      </w:tabs>
      <w:ind w:left="2520" w:hanging="420"/>
      <w:outlineLvl w:val="5"/>
    </w:pPr>
  </w:style>
  <w:style w:type="paragraph" w:customStyle="1" w:styleId="247">
    <w:name w:val="五级条标题"/>
    <w:basedOn w:val="246"/>
    <w:next w:val="1"/>
    <w:autoRedefine/>
    <w:qFormat/>
    <w:uiPriority w:val="0"/>
    <w:pPr>
      <w:numPr>
        <w:ilvl w:val="6"/>
      </w:numPr>
      <w:tabs>
        <w:tab w:val="left" w:pos="2940"/>
      </w:tabs>
      <w:ind w:left="2940" w:hanging="420"/>
      <w:outlineLvl w:val="6"/>
    </w:pPr>
  </w:style>
  <w:style w:type="character" w:customStyle="1" w:styleId="248">
    <w:name w:val="章标题 Char"/>
    <w:link w:val="241"/>
    <w:autoRedefine/>
    <w:qFormat/>
    <w:uiPriority w:val="0"/>
    <w:rPr>
      <w:rFonts w:ascii="黑体" w:eastAsia="黑体"/>
      <w:sz w:val="21"/>
    </w:rPr>
  </w:style>
  <w:style w:type="character" w:customStyle="1" w:styleId="249">
    <w:name w:val="一级条标题 Char"/>
    <w:link w:val="242"/>
    <w:autoRedefine/>
    <w:qFormat/>
    <w:uiPriority w:val="0"/>
    <w:rPr>
      <w:rFonts w:ascii="黑体" w:eastAsia="黑体"/>
      <w:sz w:val="21"/>
    </w:rPr>
  </w:style>
  <w:style w:type="character" w:customStyle="1" w:styleId="250">
    <w:name w:val="二级条标题 Char"/>
    <w:link w:val="243"/>
    <w:autoRedefine/>
    <w:qFormat/>
    <w:uiPriority w:val="0"/>
    <w:rPr>
      <w:rFonts w:ascii="黑体" w:eastAsia="黑体"/>
      <w:sz w:val="21"/>
    </w:rPr>
  </w:style>
  <w:style w:type="character" w:customStyle="1" w:styleId="251">
    <w:name w:val="Heading 1 Char"/>
    <w:autoRedefine/>
    <w:qFormat/>
    <w:locked/>
    <w:uiPriority w:val="0"/>
    <w:rPr>
      <w:rFonts w:ascii="黑体" w:hAnsi="Times New Roman" w:eastAsia="黑体" w:cs="Times New Roman"/>
      <w:kern w:val="0"/>
      <w:sz w:val="20"/>
      <w:szCs w:val="20"/>
    </w:rPr>
  </w:style>
  <w:style w:type="character" w:customStyle="1" w:styleId="252">
    <w:name w:val="Heading 2 Char"/>
    <w:autoRedefine/>
    <w:qFormat/>
    <w:locked/>
    <w:uiPriority w:val="0"/>
    <w:rPr>
      <w:rFonts w:ascii="Times New Roman" w:hAnsi="Times New Roman" w:eastAsia="宋体" w:cs="Times New Roman"/>
      <w:b/>
      <w:kern w:val="0"/>
      <w:sz w:val="32"/>
      <w:szCs w:val="32"/>
    </w:rPr>
  </w:style>
  <w:style w:type="character" w:customStyle="1" w:styleId="253">
    <w:name w:val="标题 3 Char1"/>
    <w:autoRedefine/>
    <w:qFormat/>
    <w:locked/>
    <w:uiPriority w:val="99"/>
    <w:rPr>
      <w:rFonts w:eastAsia="宋体"/>
      <w:b/>
      <w:sz w:val="32"/>
      <w:lang w:val="en-US" w:eastAsia="zh-CN" w:bidi="ar-SA"/>
    </w:rPr>
  </w:style>
  <w:style w:type="character" w:customStyle="1" w:styleId="254">
    <w:name w:val="Heading 4 Char"/>
    <w:autoRedefine/>
    <w:qFormat/>
    <w:locked/>
    <w:uiPriority w:val="0"/>
    <w:rPr>
      <w:rFonts w:ascii="Times New Roman" w:hAnsi="Times New Roman" w:eastAsia="宋体" w:cs="Times New Roman"/>
      <w:b/>
      <w:kern w:val="0"/>
      <w:sz w:val="20"/>
      <w:szCs w:val="20"/>
    </w:rPr>
  </w:style>
  <w:style w:type="character" w:customStyle="1" w:styleId="255">
    <w:name w:val="Heading 5 Char"/>
    <w:autoRedefine/>
    <w:qFormat/>
    <w:locked/>
    <w:uiPriority w:val="0"/>
    <w:rPr>
      <w:rFonts w:ascii="Times New Roman" w:hAnsi="Times New Roman" w:eastAsia="宋体" w:cs="Times New Roman"/>
      <w:b/>
      <w:bCs/>
      <w:sz w:val="28"/>
      <w:szCs w:val="28"/>
    </w:rPr>
  </w:style>
  <w:style w:type="character" w:customStyle="1" w:styleId="256">
    <w:name w:val="Heading 6 Char"/>
    <w:autoRedefine/>
    <w:qFormat/>
    <w:locked/>
    <w:uiPriority w:val="0"/>
    <w:rPr>
      <w:rFonts w:ascii="Arial" w:hAnsi="Arial" w:eastAsia="黑体" w:cs="Times New Roman"/>
      <w:b/>
      <w:bCs/>
      <w:kern w:val="0"/>
      <w:sz w:val="24"/>
      <w:szCs w:val="24"/>
    </w:rPr>
  </w:style>
  <w:style w:type="character" w:customStyle="1" w:styleId="257">
    <w:name w:val="Heading 7 Char"/>
    <w:autoRedefine/>
    <w:qFormat/>
    <w:locked/>
    <w:uiPriority w:val="0"/>
    <w:rPr>
      <w:rFonts w:ascii="Times New Roman" w:hAnsi="Times New Roman" w:eastAsia="宋体" w:cs="Times New Roman"/>
      <w:b/>
      <w:bCs/>
      <w:kern w:val="0"/>
      <w:sz w:val="24"/>
      <w:szCs w:val="24"/>
    </w:rPr>
  </w:style>
  <w:style w:type="character" w:customStyle="1" w:styleId="258">
    <w:name w:val="Heading 8 Char"/>
    <w:autoRedefine/>
    <w:qFormat/>
    <w:locked/>
    <w:uiPriority w:val="0"/>
    <w:rPr>
      <w:rFonts w:ascii="Arial" w:hAnsi="Arial" w:eastAsia="黑体" w:cs="Times New Roman"/>
      <w:kern w:val="0"/>
      <w:sz w:val="24"/>
      <w:szCs w:val="24"/>
    </w:rPr>
  </w:style>
  <w:style w:type="character" w:customStyle="1" w:styleId="259">
    <w:name w:val="Heading 9 Char"/>
    <w:autoRedefine/>
    <w:qFormat/>
    <w:locked/>
    <w:uiPriority w:val="0"/>
    <w:rPr>
      <w:rFonts w:ascii="Arial" w:hAnsi="Arial" w:eastAsia="黑体" w:cs="Times New Roman"/>
      <w:kern w:val="0"/>
      <w:sz w:val="21"/>
      <w:szCs w:val="21"/>
    </w:rPr>
  </w:style>
  <w:style w:type="character" w:customStyle="1" w:styleId="260">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1">
    <w:name w:val="Date Char"/>
    <w:autoRedefine/>
    <w:qFormat/>
    <w:locked/>
    <w:uiPriority w:val="0"/>
    <w:rPr>
      <w:rFonts w:ascii="Times New Roman" w:hAnsi="Times New Roman" w:eastAsia="宋体" w:cs="Times New Roman"/>
      <w:sz w:val="20"/>
      <w:szCs w:val="20"/>
    </w:rPr>
  </w:style>
  <w:style w:type="character" w:customStyle="1" w:styleId="262">
    <w:name w:val="Header Char"/>
    <w:autoRedefine/>
    <w:qFormat/>
    <w:locked/>
    <w:uiPriority w:val="0"/>
    <w:rPr>
      <w:rFonts w:ascii="Times New Roman" w:hAnsi="Times New Roman" w:eastAsia="宋体" w:cs="Times New Roman"/>
      <w:kern w:val="0"/>
      <w:sz w:val="20"/>
      <w:szCs w:val="20"/>
    </w:rPr>
  </w:style>
  <w:style w:type="character" w:customStyle="1" w:styleId="263">
    <w:name w:val="Footer Char"/>
    <w:autoRedefine/>
    <w:qFormat/>
    <w:locked/>
    <w:uiPriority w:val="0"/>
    <w:rPr>
      <w:rFonts w:ascii="Times New Roman" w:hAnsi="Times New Roman" w:eastAsia="宋体" w:cs="Times New Roman"/>
      <w:kern w:val="0"/>
      <w:sz w:val="20"/>
      <w:szCs w:val="20"/>
    </w:rPr>
  </w:style>
  <w:style w:type="character" w:customStyle="1" w:styleId="264">
    <w:name w:val="Plain Text Char"/>
    <w:autoRedefine/>
    <w:qFormat/>
    <w:locked/>
    <w:uiPriority w:val="0"/>
    <w:rPr>
      <w:rFonts w:ascii="宋体" w:hAnsi="Courier New" w:eastAsia="宋体" w:cs="Times New Roman"/>
      <w:sz w:val="20"/>
      <w:szCs w:val="20"/>
    </w:rPr>
  </w:style>
  <w:style w:type="character" w:customStyle="1" w:styleId="265">
    <w:name w:val="Body Text Indent 2 Char"/>
    <w:autoRedefine/>
    <w:qFormat/>
    <w:locked/>
    <w:uiPriority w:val="0"/>
    <w:rPr>
      <w:rFonts w:ascii="Times New Roman" w:hAnsi="Times New Roman" w:eastAsia="宋体" w:cs="Times New Roman"/>
      <w:sz w:val="30"/>
      <w:szCs w:val="30"/>
    </w:rPr>
  </w:style>
  <w:style w:type="character" w:customStyle="1" w:styleId="266">
    <w:name w:val="Body Text Indent 3 Char"/>
    <w:autoRedefine/>
    <w:qFormat/>
    <w:locked/>
    <w:uiPriority w:val="0"/>
    <w:rPr>
      <w:rFonts w:ascii="Times New Roman" w:hAnsi="Times New Roman" w:eastAsia="宋体" w:cs="Times New Roman"/>
      <w:sz w:val="30"/>
      <w:szCs w:val="30"/>
    </w:rPr>
  </w:style>
  <w:style w:type="character" w:customStyle="1" w:styleId="267">
    <w:name w:val="Body Text First Indent 2 Char"/>
    <w:autoRedefine/>
    <w:qFormat/>
    <w:locked/>
    <w:uiPriority w:val="0"/>
    <w:rPr>
      <w:rFonts w:ascii="Times New Roman" w:hAnsi="Times New Roman" w:eastAsia="宋体" w:cs="Times New Roman"/>
      <w:kern w:val="2"/>
      <w:sz w:val="24"/>
      <w:szCs w:val="24"/>
    </w:rPr>
  </w:style>
  <w:style w:type="character" w:customStyle="1" w:styleId="268">
    <w:name w:val="Body Text 2 Char"/>
    <w:autoRedefine/>
    <w:qFormat/>
    <w:locked/>
    <w:uiPriority w:val="0"/>
    <w:rPr>
      <w:rFonts w:ascii="宋体" w:hAnsi="Times New Roman" w:eastAsia="宋体" w:cs="Times New Roman"/>
      <w:sz w:val="20"/>
      <w:szCs w:val="20"/>
    </w:rPr>
  </w:style>
  <w:style w:type="character" w:customStyle="1" w:styleId="269">
    <w:name w:val="Balloon Text Char"/>
    <w:autoRedefine/>
    <w:qFormat/>
    <w:locked/>
    <w:uiPriority w:val="0"/>
    <w:rPr>
      <w:rFonts w:ascii="Times New Roman" w:hAnsi="Times New Roman" w:eastAsia="宋体" w:cs="Times New Roman"/>
      <w:sz w:val="18"/>
      <w:szCs w:val="18"/>
    </w:rPr>
  </w:style>
  <w:style w:type="character" w:customStyle="1" w:styleId="270">
    <w:name w:val="Salutation Char"/>
    <w:autoRedefine/>
    <w:qFormat/>
    <w:locked/>
    <w:uiPriority w:val="0"/>
    <w:rPr>
      <w:rFonts w:ascii="..ì." w:hAnsi="Times New Roman" w:eastAsia="..ì." w:cs="Times New Roman"/>
      <w:kern w:val="0"/>
      <w:sz w:val="20"/>
      <w:szCs w:val="20"/>
    </w:rPr>
  </w:style>
  <w:style w:type="character" w:customStyle="1" w:styleId="271">
    <w:name w:val="Note Heading Char"/>
    <w:autoRedefine/>
    <w:qFormat/>
    <w:locked/>
    <w:uiPriority w:val="0"/>
    <w:rPr>
      <w:rFonts w:ascii="..ì." w:hAnsi="Times New Roman" w:eastAsia="..ì." w:cs="Times New Roman"/>
      <w:kern w:val="0"/>
      <w:sz w:val="20"/>
      <w:szCs w:val="20"/>
    </w:rPr>
  </w:style>
  <w:style w:type="paragraph" w:customStyle="1" w:styleId="272">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4"/>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autoRedefine/>
    <w:qFormat/>
    <w:locked/>
    <w:uiPriority w:val="0"/>
    <w:rPr>
      <w:rFonts w:ascii="Times New Roman" w:hAnsi="Times New Roman" w:eastAsia="宋体" w:cs="Times New Roman"/>
      <w:sz w:val="16"/>
      <w:szCs w:val="16"/>
    </w:rPr>
  </w:style>
  <w:style w:type="character" w:customStyle="1" w:styleId="275">
    <w:name w:val="Title Char"/>
    <w:autoRedefine/>
    <w:qFormat/>
    <w:locked/>
    <w:uiPriority w:val="0"/>
    <w:rPr>
      <w:rFonts w:ascii="Arial" w:hAnsi="Arial" w:eastAsia="宋体" w:cs="Times New Roman"/>
      <w:b/>
      <w:kern w:val="0"/>
      <w:sz w:val="20"/>
      <w:szCs w:val="20"/>
    </w:rPr>
  </w:style>
  <w:style w:type="character" w:customStyle="1" w:styleId="276">
    <w:name w:val="Comment Subject Char"/>
    <w:autoRedefine/>
    <w:qFormat/>
    <w:locked/>
    <w:uiPriority w:val="0"/>
    <w:rPr>
      <w:rFonts w:ascii="Times New Roman" w:hAnsi="Times New Roman" w:eastAsia="宋体" w:cs="Times New Roman"/>
      <w:b/>
      <w:bCs/>
      <w:sz w:val="24"/>
      <w:szCs w:val="24"/>
    </w:rPr>
  </w:style>
  <w:style w:type="character" w:customStyle="1" w:styleId="277">
    <w:name w:val="Comment Text Char"/>
    <w:autoRedefine/>
    <w:qFormat/>
    <w:locked/>
    <w:uiPriority w:val="0"/>
    <w:rPr>
      <w:rFonts w:ascii="Times New Roman" w:hAnsi="Times New Roman" w:eastAsia="宋体"/>
      <w:sz w:val="24"/>
    </w:rPr>
  </w:style>
  <w:style w:type="paragraph" w:customStyle="1" w:styleId="278">
    <w:name w:val="List Paragraph1"/>
    <w:basedOn w:val="1"/>
    <w:autoRedefine/>
    <w:qFormat/>
    <w:uiPriority w:val="0"/>
    <w:pPr>
      <w:ind w:firstLine="420" w:firstLineChars="200"/>
    </w:pPr>
    <w:rPr>
      <w:rFonts w:eastAsia="宋体"/>
    </w:rPr>
  </w:style>
  <w:style w:type="paragraph" w:customStyle="1" w:styleId="279">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autoRedefine/>
    <w:unhideWhenUsed/>
    <w:qFormat/>
    <w:uiPriority w:val="99"/>
    <w:rPr>
      <w:color w:val="605E5C"/>
      <w:shd w:val="clear" w:color="auto" w:fill="E1DFDD"/>
    </w:rPr>
  </w:style>
  <w:style w:type="character" w:customStyle="1" w:styleId="281">
    <w:name w:val="Char Char11"/>
    <w:autoRedefine/>
    <w:qFormat/>
    <w:uiPriority w:val="99"/>
    <w:rPr>
      <w:rFonts w:eastAsia="宋体"/>
      <w:kern w:val="2"/>
      <w:sz w:val="24"/>
      <w:lang w:val="en-US" w:eastAsia="zh-CN"/>
    </w:rPr>
  </w:style>
  <w:style w:type="character" w:customStyle="1" w:styleId="282">
    <w:name w:val="正文文本 Char1"/>
    <w:autoRedefine/>
    <w:semiHidden/>
    <w:qFormat/>
    <w:uiPriority w:val="0"/>
    <w:rPr>
      <w:rFonts w:ascii="Times New Roman" w:hAnsi="Times New Roman" w:eastAsia="宋体" w:cs="Times New Roman"/>
      <w:szCs w:val="24"/>
    </w:rPr>
  </w:style>
  <w:style w:type="paragraph" w:customStyle="1" w:styleId="283">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autoRedefine/>
    <w:qFormat/>
    <w:uiPriority w:val="99"/>
    <w:rPr>
      <w:rFonts w:ascii="Tahoma" w:hAnsi="Tahoma" w:eastAsia="宋体"/>
      <w:sz w:val="24"/>
      <w:szCs w:val="20"/>
    </w:rPr>
  </w:style>
  <w:style w:type="paragraph" w:customStyle="1" w:styleId="285">
    <w:name w:val="Char Char Char Char1"/>
    <w:basedOn w:val="1"/>
    <w:autoRedefine/>
    <w:qFormat/>
    <w:uiPriority w:val="99"/>
    <w:pPr>
      <w:widowControl/>
      <w:spacing w:after="160" w:line="240" w:lineRule="exact"/>
      <w:jc w:val="left"/>
    </w:pPr>
    <w:rPr>
      <w:rFonts w:eastAsia="宋体"/>
      <w:szCs w:val="20"/>
    </w:rPr>
  </w:style>
  <w:style w:type="paragraph" w:customStyle="1" w:styleId="286">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autoRedefine/>
    <w:qFormat/>
    <w:uiPriority w:val="99"/>
    <w:pPr>
      <w:widowControl/>
      <w:spacing w:after="160" w:line="240" w:lineRule="exact"/>
      <w:jc w:val="left"/>
    </w:pPr>
    <w:rPr>
      <w:rFonts w:eastAsia="宋体"/>
      <w:szCs w:val="20"/>
    </w:rPr>
  </w:style>
  <w:style w:type="paragraph" w:customStyle="1" w:styleId="289">
    <w:name w:val="Char12"/>
    <w:basedOn w:val="1"/>
    <w:autoRedefine/>
    <w:qFormat/>
    <w:uiPriority w:val="99"/>
    <w:rPr>
      <w:rFonts w:ascii="Tahoma" w:hAnsi="Tahoma" w:eastAsia="宋体"/>
      <w:sz w:val="24"/>
      <w:szCs w:val="20"/>
    </w:rPr>
  </w:style>
  <w:style w:type="paragraph" w:customStyle="1" w:styleId="290">
    <w:name w:val="Char111"/>
    <w:basedOn w:val="1"/>
    <w:autoRedefine/>
    <w:qFormat/>
    <w:uiPriority w:val="99"/>
    <w:rPr>
      <w:rFonts w:ascii="Tahoma" w:hAnsi="Tahoma" w:eastAsia="宋体"/>
      <w:sz w:val="24"/>
      <w:szCs w:val="20"/>
    </w:rPr>
  </w:style>
  <w:style w:type="paragraph" w:customStyle="1" w:styleId="291">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autoRedefine/>
    <w:qFormat/>
    <w:uiPriority w:val="99"/>
    <w:pPr>
      <w:widowControl/>
      <w:spacing w:after="160" w:line="240" w:lineRule="exact"/>
      <w:jc w:val="left"/>
    </w:pPr>
    <w:rPr>
      <w:rFonts w:eastAsia="宋体"/>
      <w:szCs w:val="20"/>
    </w:rPr>
  </w:style>
  <w:style w:type="character" w:customStyle="1" w:styleId="293">
    <w:name w:val="正文文本 字符"/>
    <w:autoRedefine/>
    <w:qFormat/>
    <w:uiPriority w:val="0"/>
    <w:rPr>
      <w:b/>
      <w:i/>
      <w:szCs w:val="24"/>
    </w:rPr>
  </w:style>
  <w:style w:type="paragraph" w:customStyle="1" w:styleId="294">
    <w:name w:val="纯文本2"/>
    <w:basedOn w:val="1"/>
    <w:autoRedefine/>
    <w:qFormat/>
    <w:uiPriority w:val="0"/>
    <w:rPr>
      <w:rFonts w:ascii="宋体" w:hAnsi="Courier New" w:cs="Courier New"/>
      <w:szCs w:val="21"/>
    </w:rPr>
  </w:style>
  <w:style w:type="paragraph" w:customStyle="1" w:styleId="295">
    <w:name w:val="TOC 标题3"/>
    <w:basedOn w:val="4"/>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字符"/>
    <w:basedOn w:val="52"/>
    <w:link w:val="43"/>
    <w:autoRedefine/>
    <w:qFormat/>
    <w:uiPriority w:val="0"/>
    <w:rPr>
      <w:rFonts w:ascii="黑体" w:hAnsi="Courier New" w:eastAsia="黑体"/>
    </w:rPr>
  </w:style>
  <w:style w:type="paragraph" w:customStyle="1" w:styleId="297">
    <w:name w:val="Table Text"/>
    <w:basedOn w:val="1"/>
    <w:autoRedefine/>
    <w:semiHidden/>
    <w:qFormat/>
    <w:uiPriority w:val="0"/>
    <w:rPr>
      <w:rFonts w:ascii="宋体" w:hAnsi="宋体" w:eastAsia="宋体" w:cs="宋体"/>
      <w:sz w:val="24"/>
      <w:szCs w:val="24"/>
      <w:lang w:val="en-US" w:eastAsia="en-US" w:bidi="ar-SA"/>
    </w:rPr>
  </w:style>
  <w:style w:type="table" w:customStyle="1" w:styleId="298">
    <w:name w:val="Table Normal"/>
    <w:autoRedefine/>
    <w:semiHidden/>
    <w:unhideWhenUsed/>
    <w:qFormat/>
    <w:uiPriority w:val="0"/>
    <w:tblPr>
      <w:tblCellMar>
        <w:top w:w="0" w:type="dxa"/>
        <w:left w:w="0" w:type="dxa"/>
        <w:bottom w:w="0" w:type="dxa"/>
        <w:right w:w="0" w:type="dxa"/>
      </w:tblCellMar>
    </w:tblPr>
  </w:style>
  <w:style w:type="paragraph" w:customStyle="1" w:styleId="299">
    <w:name w:val="null3"/>
    <w:hidden/>
    <w:qFormat/>
    <w:uiPriority w:val="0"/>
    <w:rPr>
      <w:rFonts w:hint="eastAsia" w:asciiTheme="minorHAnsi" w:hAnsiTheme="minorHAnsi" w:eastAsiaTheme="minorEastAsia" w:cstheme="minorBidi"/>
      <w:lang w:val="en-US" w:eastAsia="zh-Hans"/>
    </w:rPr>
  </w:style>
  <w:style w:type="paragraph" w:customStyle="1" w:styleId="300">
    <w:name w:val="正文（缩进 2 字符）"/>
    <w:basedOn w:val="1"/>
    <w:qFormat/>
    <w:uiPriority w:val="0"/>
    <w:pPr>
      <w:spacing w:line="360" w:lineRule="auto"/>
      <w:ind w:firstLine="200" w:firstLineChars="200"/>
    </w:pPr>
    <w:rPr>
      <w:lang w:val="zh-CN"/>
    </w:rPr>
  </w:style>
  <w:style w:type="paragraph" w:customStyle="1" w:styleId="301">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e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93</Pages>
  <Words>17336</Words>
  <Characters>20433</Characters>
  <Lines>287</Lines>
  <Paragraphs>80</Paragraphs>
  <TotalTime>3</TotalTime>
  <ScaleCrop>false</ScaleCrop>
  <LinksUpToDate>false</LinksUpToDate>
  <CharactersWithSpaces>21623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乐乐</cp:lastModifiedBy>
  <cp:lastPrinted>2021-01-08T03:14:00Z</cp:lastPrinted>
  <dcterms:modified xsi:type="dcterms:W3CDTF">2025-11-16T09:03:19Z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4026C6E9148045138F9C861B123675BB_13</vt:lpwstr>
  </property>
  <property fmtid="{D5CDD505-2E9C-101B-9397-08002B2CF9AE}" pid="4" name="KSOTemplateDocerSaveRecord">
    <vt:lpwstr>eyJoZGlkIjoiNmJhODJlNDRmZTc2ZWYzMmQ0MzhhZTU0MDkyMDcyOWUiLCJ1c2VySWQiOiIyODI4NjAyODQifQ==</vt:lpwstr>
  </property>
</Properties>
</file>