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4DCFA">
      <w:pPr>
        <w:pageBreakBefore w:val="0"/>
        <w:kinsoku/>
        <w:bidi w:val="0"/>
        <w:spacing w:line="360" w:lineRule="auto"/>
        <w:outlineLvl w:val="9"/>
        <w:rPr>
          <w:rFonts w:hint="default"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rPr>
        <w:t>采购编号：</w:t>
      </w:r>
      <w:r>
        <w:rPr>
          <w:rFonts w:hint="eastAsia" w:asciiTheme="minorEastAsia" w:hAnsiTheme="minorEastAsia" w:eastAsiaTheme="minorEastAsia" w:cstheme="minorEastAsia"/>
          <w:b/>
          <w:bCs/>
          <w:color w:val="auto"/>
          <w:sz w:val="28"/>
          <w:szCs w:val="28"/>
          <w:lang w:eastAsia="zh-CN"/>
        </w:rPr>
        <w:t>HXCX2025033</w:t>
      </w:r>
    </w:p>
    <w:p w14:paraId="5C026BF5">
      <w:pPr>
        <w:pageBreakBefore w:val="0"/>
        <w:kinsoku/>
        <w:bidi w:val="0"/>
        <w:spacing w:line="360" w:lineRule="auto"/>
        <w:ind w:firstLine="643" w:firstLineChars="200"/>
        <w:outlineLvl w:val="9"/>
        <w:rPr>
          <w:rFonts w:hint="eastAsia" w:asciiTheme="minorEastAsia" w:hAnsiTheme="minorEastAsia" w:eastAsiaTheme="minorEastAsia" w:cstheme="minorEastAsia"/>
          <w:b/>
          <w:bCs/>
          <w:color w:val="auto"/>
          <w:sz w:val="32"/>
          <w:szCs w:val="32"/>
          <w:lang w:eastAsia="zh-CN"/>
        </w:rPr>
      </w:pPr>
    </w:p>
    <w:p w14:paraId="5092C28B">
      <w:pPr>
        <w:pageBreakBefore w:val="0"/>
        <w:kinsoku/>
        <w:bidi w:val="0"/>
        <w:spacing w:line="360" w:lineRule="auto"/>
        <w:ind w:firstLine="723" w:firstLineChars="200"/>
        <w:outlineLvl w:val="9"/>
        <w:rPr>
          <w:rFonts w:hint="eastAsia" w:asciiTheme="minorEastAsia" w:hAnsiTheme="minorEastAsia" w:eastAsiaTheme="minorEastAsia" w:cstheme="minorEastAsia"/>
          <w:b/>
          <w:bCs/>
          <w:color w:val="auto"/>
          <w:sz w:val="36"/>
          <w:szCs w:val="36"/>
        </w:rPr>
      </w:pPr>
    </w:p>
    <w:p w14:paraId="2A1BA1A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auto"/>
          <w:sz w:val="40"/>
          <w:szCs w:val="40"/>
          <w:lang w:eastAsia="zh-CN"/>
        </w:rPr>
      </w:pPr>
      <w:r>
        <w:rPr>
          <w:rFonts w:hint="eastAsia" w:asciiTheme="minorEastAsia" w:hAnsiTheme="minorEastAsia" w:eastAsiaTheme="minorEastAsia" w:cstheme="minorEastAsia"/>
          <w:b/>
          <w:bCs/>
          <w:color w:val="auto"/>
          <w:sz w:val="40"/>
          <w:szCs w:val="40"/>
          <w:lang w:eastAsia="zh-CN"/>
        </w:rPr>
        <w:t>陕北地区退化生态修复与林草湿荒一体化保护项目2025年子洲县项目区监理费</w:t>
      </w:r>
    </w:p>
    <w:p w14:paraId="74D4B7A4">
      <w:pPr>
        <w:pageBreakBefore w:val="0"/>
        <w:kinsoku/>
        <w:bidi w:val="0"/>
        <w:spacing w:line="360" w:lineRule="auto"/>
        <w:jc w:val="center"/>
        <w:outlineLvl w:val="9"/>
        <w:rPr>
          <w:rFonts w:hint="eastAsia" w:asciiTheme="minorEastAsia" w:hAnsiTheme="minorEastAsia" w:eastAsiaTheme="minorEastAsia" w:cstheme="minorEastAsia"/>
          <w:b/>
          <w:bCs/>
          <w:color w:val="auto"/>
          <w:sz w:val="72"/>
          <w:szCs w:val="72"/>
        </w:rPr>
      </w:pPr>
    </w:p>
    <w:p w14:paraId="6564CE13">
      <w:pPr>
        <w:pStyle w:val="8"/>
        <w:pageBreakBefore w:val="0"/>
        <w:kinsoku/>
        <w:bidi w:val="0"/>
        <w:spacing w:line="360" w:lineRule="auto"/>
        <w:outlineLvl w:val="9"/>
        <w:rPr>
          <w:rFonts w:hint="eastAsia" w:asciiTheme="minorEastAsia" w:hAnsiTheme="minorEastAsia" w:eastAsiaTheme="minorEastAsia" w:cstheme="minorEastAsia"/>
        </w:rPr>
      </w:pPr>
    </w:p>
    <w:p w14:paraId="71292EDA">
      <w:pPr>
        <w:pageBreakBefore w:val="0"/>
        <w:kinsoku/>
        <w:bidi w:val="0"/>
        <w:spacing w:line="360" w:lineRule="auto"/>
        <w:jc w:val="center"/>
        <w:outlineLvl w:val="9"/>
        <w:rPr>
          <w:rFonts w:hint="eastAsia" w:asciiTheme="minorEastAsia" w:hAnsiTheme="minorEastAsia" w:eastAsiaTheme="minorEastAsia" w:cstheme="minorEastAsia"/>
          <w:b/>
          <w:bCs/>
          <w:color w:val="auto"/>
          <w:sz w:val="84"/>
          <w:szCs w:val="84"/>
        </w:rPr>
      </w:pPr>
      <w:r>
        <w:rPr>
          <w:rFonts w:hint="eastAsia" w:asciiTheme="minorEastAsia" w:hAnsiTheme="minorEastAsia" w:eastAsiaTheme="minorEastAsia" w:cstheme="minorEastAsia"/>
          <w:b/>
          <w:bCs/>
          <w:color w:val="auto"/>
          <w:sz w:val="84"/>
          <w:szCs w:val="84"/>
        </w:rPr>
        <w:t>招  标  文  件</w:t>
      </w:r>
    </w:p>
    <w:p w14:paraId="31E3A047">
      <w:pPr>
        <w:pageBreakBefore w:val="0"/>
        <w:kinsoku/>
        <w:bidi w:val="0"/>
        <w:spacing w:line="360" w:lineRule="auto"/>
        <w:outlineLvl w:val="9"/>
        <w:rPr>
          <w:rFonts w:hint="eastAsia" w:asciiTheme="minorEastAsia" w:hAnsiTheme="minorEastAsia" w:eastAsiaTheme="minorEastAsia" w:cstheme="minorEastAsia"/>
          <w:color w:val="auto"/>
        </w:rPr>
      </w:pPr>
    </w:p>
    <w:p w14:paraId="0B25A649">
      <w:pPr>
        <w:pageBreakBefore w:val="0"/>
        <w:kinsoku/>
        <w:bidi w:val="0"/>
        <w:spacing w:line="360" w:lineRule="auto"/>
        <w:outlineLvl w:val="9"/>
        <w:rPr>
          <w:rFonts w:hint="eastAsia" w:asciiTheme="minorEastAsia" w:hAnsiTheme="minorEastAsia" w:eastAsiaTheme="minorEastAsia" w:cstheme="minorEastAsia"/>
          <w:color w:val="auto"/>
        </w:rPr>
      </w:pPr>
    </w:p>
    <w:p w14:paraId="22CF3AB2">
      <w:pPr>
        <w:pageBreakBefore w:val="0"/>
        <w:kinsoku/>
        <w:bidi w:val="0"/>
        <w:spacing w:line="360" w:lineRule="auto"/>
        <w:jc w:val="center"/>
        <w:outlineLvl w:val="9"/>
        <w:rPr>
          <w:rFonts w:hint="eastAsia" w:asciiTheme="minorEastAsia" w:hAnsiTheme="minorEastAsia" w:eastAsiaTheme="minorEastAsia" w:cstheme="minorEastAsia"/>
          <w:color w:val="auto"/>
          <w:szCs w:val="21"/>
        </w:rPr>
      </w:pPr>
    </w:p>
    <w:p w14:paraId="16E36E73">
      <w:pPr>
        <w:pStyle w:val="8"/>
        <w:pageBreakBefore w:val="0"/>
        <w:kinsoku/>
        <w:bidi w:val="0"/>
        <w:spacing w:line="360" w:lineRule="auto"/>
        <w:outlineLvl w:val="9"/>
        <w:rPr>
          <w:rFonts w:hint="eastAsia" w:asciiTheme="minorEastAsia" w:hAnsiTheme="minorEastAsia" w:eastAsiaTheme="minorEastAsia" w:cstheme="minorEastAsia"/>
          <w:color w:val="auto"/>
          <w:szCs w:val="21"/>
        </w:rPr>
      </w:pPr>
    </w:p>
    <w:p w14:paraId="5BBC2F76">
      <w:pPr>
        <w:pageBreakBefore w:val="0"/>
        <w:kinsoku/>
        <w:bidi w:val="0"/>
        <w:spacing w:line="360" w:lineRule="auto"/>
        <w:outlineLvl w:val="9"/>
        <w:rPr>
          <w:rFonts w:hint="eastAsia" w:asciiTheme="minorEastAsia" w:hAnsiTheme="minorEastAsia" w:eastAsiaTheme="minorEastAsia" w:cstheme="minorEastAsia"/>
        </w:rPr>
      </w:pPr>
    </w:p>
    <w:p w14:paraId="2B89A850">
      <w:pPr>
        <w:pStyle w:val="11"/>
        <w:pageBreakBefore w:val="0"/>
        <w:kinsoku/>
        <w:bidi w:val="0"/>
        <w:spacing w:line="360" w:lineRule="auto"/>
        <w:outlineLvl w:val="9"/>
        <w:rPr>
          <w:rFonts w:hint="eastAsia" w:asciiTheme="minorEastAsia" w:hAnsiTheme="minorEastAsia" w:eastAsiaTheme="minorEastAsia" w:cstheme="minorEastAsia"/>
          <w:b/>
          <w:bCs/>
          <w:color w:val="auto"/>
          <w:sz w:val="30"/>
          <w:szCs w:val="30"/>
        </w:rPr>
      </w:pPr>
    </w:p>
    <w:p w14:paraId="0AA535D4">
      <w:pPr>
        <w:pStyle w:val="11"/>
        <w:pageBreakBefore w:val="0"/>
        <w:kinsoku/>
        <w:bidi w:val="0"/>
        <w:spacing w:line="360" w:lineRule="auto"/>
        <w:outlineLvl w:val="9"/>
        <w:rPr>
          <w:rFonts w:hint="eastAsia" w:asciiTheme="minorEastAsia" w:hAnsiTheme="minorEastAsia" w:eastAsiaTheme="minorEastAsia" w:cstheme="minorEastAsia"/>
          <w:color w:val="auto"/>
        </w:rPr>
      </w:pPr>
    </w:p>
    <w:p w14:paraId="6EB71EC8">
      <w:pPr>
        <w:pageBreakBefore w:val="0"/>
        <w:kinsoku/>
        <w:bidi w:val="0"/>
        <w:spacing w:line="360" w:lineRule="auto"/>
        <w:ind w:firstLine="643" w:firstLineChars="200"/>
        <w:outlineLvl w:val="9"/>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采购单位：</w:t>
      </w:r>
      <w:r>
        <w:rPr>
          <w:rFonts w:hint="eastAsia" w:asciiTheme="minorEastAsia" w:hAnsiTheme="minorEastAsia" w:eastAsiaTheme="minorEastAsia" w:cstheme="minorEastAsia"/>
          <w:b/>
          <w:bCs/>
          <w:color w:val="auto"/>
          <w:sz w:val="32"/>
          <w:szCs w:val="32"/>
          <w:lang w:eastAsia="zh-CN"/>
        </w:rPr>
        <w:t>子洲县林业局</w:t>
      </w:r>
      <w:r>
        <w:rPr>
          <w:rFonts w:hint="eastAsia" w:asciiTheme="minorEastAsia" w:hAnsiTheme="minorEastAsia" w:eastAsia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bCs/>
          <w:color w:val="auto"/>
          <w:sz w:val="32"/>
          <w:szCs w:val="32"/>
        </w:rPr>
        <w:t xml:space="preserve">      </w:t>
      </w:r>
    </w:p>
    <w:p w14:paraId="6B4AC20A">
      <w:pPr>
        <w:pageBreakBefore w:val="0"/>
        <w:kinsoku/>
        <w:bidi w:val="0"/>
        <w:spacing w:line="360" w:lineRule="auto"/>
        <w:ind w:firstLine="643" w:firstLineChars="200"/>
        <w:outlineLvl w:val="9"/>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 xml:space="preserve"> </w:t>
      </w:r>
    </w:p>
    <w:p w14:paraId="3833F9D2">
      <w:pPr>
        <w:pageBreakBefore w:val="0"/>
        <w:kinsoku/>
        <w:bidi w:val="0"/>
        <w:spacing w:line="360" w:lineRule="auto"/>
        <w:ind w:firstLine="643" w:firstLineChars="200"/>
        <w:outlineLvl w:val="9"/>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代理机构</w:t>
      </w:r>
      <w:r>
        <w:rPr>
          <w:rFonts w:hint="eastAsia" w:asciiTheme="minorEastAsia" w:hAnsiTheme="minorEastAsia" w:eastAsiaTheme="minorEastAsia" w:cstheme="minorEastAsia"/>
          <w:b/>
          <w:bCs/>
          <w:color w:val="auto"/>
          <w:sz w:val="32"/>
          <w:szCs w:val="32"/>
          <w:lang w:eastAsia="zh-CN"/>
        </w:rPr>
        <w:t>：陕西华旭晟信项目管理有限责任公司</w:t>
      </w:r>
      <w:r>
        <w:rPr>
          <w:rFonts w:hint="eastAsia" w:asciiTheme="minorEastAsia" w:hAnsiTheme="minorEastAsia" w:eastAsiaTheme="minorEastAsia" w:cstheme="minorEastAsia"/>
          <w:b/>
          <w:bCs/>
          <w:color w:val="auto"/>
          <w:sz w:val="32"/>
          <w:szCs w:val="32"/>
        </w:rPr>
        <w:t xml:space="preserve">     </w:t>
      </w:r>
      <w:r>
        <w:rPr>
          <w:rFonts w:hint="eastAsia" w:asciiTheme="minorEastAsia" w:hAnsiTheme="minorEastAsia" w:eastAsia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bCs/>
          <w:color w:val="auto"/>
          <w:sz w:val="32"/>
          <w:szCs w:val="32"/>
        </w:rPr>
        <w:t xml:space="preserve">   </w:t>
      </w:r>
    </w:p>
    <w:p w14:paraId="161E1C51">
      <w:pPr>
        <w:pageBreakBefore w:val="0"/>
        <w:kinsoku/>
        <w:bidi w:val="0"/>
        <w:spacing w:line="360" w:lineRule="auto"/>
        <w:ind w:firstLine="643" w:firstLineChars="200"/>
        <w:outlineLvl w:val="9"/>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 xml:space="preserve"> </w:t>
      </w:r>
    </w:p>
    <w:p w14:paraId="5D8C103C">
      <w:pPr>
        <w:pageBreakBefore w:val="0"/>
        <w:kinsoku/>
        <w:bidi w:val="0"/>
        <w:spacing w:line="360" w:lineRule="auto"/>
        <w:ind w:firstLine="643" w:firstLineChars="200"/>
        <w:outlineLvl w:val="9"/>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rPr>
        <w:t>日    期：二零二</w:t>
      </w:r>
      <w:r>
        <w:rPr>
          <w:rFonts w:hint="eastAsia" w:asciiTheme="minorEastAsia" w:hAnsiTheme="minorEastAsia" w:eastAsiaTheme="minorEastAsia" w:cstheme="minorEastAsia"/>
          <w:b/>
          <w:bCs/>
          <w:color w:val="auto"/>
          <w:sz w:val="32"/>
          <w:szCs w:val="32"/>
          <w:lang w:eastAsia="zh-CN"/>
        </w:rPr>
        <w:t>五</w:t>
      </w:r>
      <w:r>
        <w:rPr>
          <w:rFonts w:hint="eastAsia" w:asciiTheme="minorEastAsia" w:hAnsiTheme="minorEastAsia" w:eastAsiaTheme="minorEastAsia" w:cstheme="minorEastAsia"/>
          <w:b/>
          <w:bCs/>
          <w:color w:val="auto"/>
          <w:sz w:val="32"/>
          <w:szCs w:val="32"/>
        </w:rPr>
        <w:t>年</w:t>
      </w:r>
      <w:r>
        <w:rPr>
          <w:rFonts w:hint="eastAsia" w:asciiTheme="minorEastAsia" w:hAnsiTheme="minorEastAsia" w:eastAsiaTheme="minorEastAsia" w:cstheme="minorEastAsia"/>
          <w:b/>
          <w:bCs/>
          <w:color w:val="auto"/>
          <w:sz w:val="32"/>
          <w:szCs w:val="32"/>
          <w:lang w:val="en-US" w:eastAsia="zh-CN"/>
        </w:rPr>
        <w:t>十</w:t>
      </w:r>
      <w:r>
        <w:rPr>
          <w:rFonts w:hint="eastAsia" w:asciiTheme="minorEastAsia" w:hAnsiTheme="minorEastAsia" w:eastAsiaTheme="minorEastAsia" w:cstheme="minorEastAsia"/>
          <w:b/>
          <w:bCs/>
          <w:color w:val="auto"/>
          <w:sz w:val="32"/>
          <w:szCs w:val="32"/>
        </w:rPr>
        <w:t xml:space="preserve">月          </w:t>
      </w:r>
      <w:r>
        <w:rPr>
          <w:rFonts w:hint="eastAsia" w:asciiTheme="minorEastAsia" w:hAnsiTheme="minorEastAsia" w:eastAsia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bCs/>
          <w:color w:val="auto"/>
          <w:sz w:val="32"/>
          <w:szCs w:val="32"/>
        </w:rPr>
        <w:t xml:space="preserve">   </w:t>
      </w:r>
      <w:r>
        <w:rPr>
          <w:rFonts w:hint="eastAsia" w:asciiTheme="minorEastAsia" w:hAnsiTheme="minorEastAsia" w:eastAsiaTheme="minorEastAsia" w:cstheme="minorEastAsia"/>
          <w:b/>
          <w:bCs/>
          <w:color w:val="auto"/>
          <w:sz w:val="32"/>
          <w:szCs w:val="32"/>
          <w:lang w:val="en-US" w:eastAsia="zh-CN"/>
        </w:rPr>
        <w:t xml:space="preserve"> </w:t>
      </w:r>
    </w:p>
    <w:p w14:paraId="71DF4F64">
      <w:pPr>
        <w:pageBreakBefore w:val="0"/>
        <w:kinsoku/>
        <w:bidi w:val="0"/>
        <w:spacing w:line="360" w:lineRule="auto"/>
        <w:jc w:val="center"/>
        <w:outlineLvl w:val="9"/>
        <w:rPr>
          <w:rFonts w:hint="eastAsia" w:asciiTheme="minorEastAsia" w:hAnsiTheme="minorEastAsia" w:eastAsiaTheme="minorEastAsia" w:cstheme="minorEastAsia"/>
          <w:b/>
          <w:color w:val="auto"/>
          <w:sz w:val="32"/>
          <w:szCs w:val="32"/>
        </w:rPr>
      </w:pPr>
    </w:p>
    <w:p w14:paraId="4E8F1DA1">
      <w:pPr>
        <w:pageBreakBefore w:val="0"/>
        <w:kinsoku/>
        <w:bidi w:val="0"/>
        <w:snapToGrid w:val="0"/>
        <w:spacing w:line="360" w:lineRule="auto"/>
        <w:jc w:val="center"/>
        <w:outlineLvl w:val="9"/>
        <w:rPr>
          <w:rFonts w:hint="eastAsia" w:asciiTheme="minorEastAsia" w:hAnsiTheme="minorEastAsia" w:eastAsiaTheme="minorEastAsia" w:cstheme="minorEastAsia"/>
          <w:b/>
          <w:color w:val="auto"/>
          <w:sz w:val="48"/>
          <w:szCs w:val="48"/>
        </w:rPr>
        <w:sectPr>
          <w:headerReference r:id="rId3" w:type="default"/>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5C6A24F">
      <w:pPr>
        <w:pageBreakBefore w:val="0"/>
        <w:kinsoku/>
        <w:bidi w:val="0"/>
        <w:snapToGrid w:val="0"/>
        <w:spacing w:line="360" w:lineRule="auto"/>
        <w:jc w:val="center"/>
        <w:outlineLvl w:val="9"/>
        <w:rPr>
          <w:rFonts w:hint="eastAsia" w:asciiTheme="minorEastAsia" w:hAnsiTheme="minorEastAsia" w:eastAsiaTheme="minorEastAsia" w:cstheme="minorEastAsia"/>
          <w:b/>
          <w:color w:val="auto"/>
          <w:sz w:val="48"/>
          <w:szCs w:val="48"/>
        </w:rPr>
      </w:pPr>
      <w:r>
        <w:rPr>
          <w:rFonts w:hint="eastAsia" w:asciiTheme="minorEastAsia" w:hAnsiTheme="minorEastAsia" w:eastAsiaTheme="minorEastAsia" w:cstheme="minorEastAsia"/>
          <w:b/>
          <w:color w:val="auto"/>
          <w:sz w:val="48"/>
          <w:szCs w:val="48"/>
        </w:rPr>
        <w:t>目  录</w:t>
      </w:r>
    </w:p>
    <w:sdt>
      <w:sdtPr>
        <w:rPr>
          <w:rFonts w:ascii="宋体" w:hAnsi="宋体" w:eastAsia="宋体" w:cs="Times New Roman"/>
          <w:kern w:val="2"/>
          <w:sz w:val="21"/>
          <w:szCs w:val="24"/>
          <w:lang w:val="en-US" w:eastAsia="zh-CN" w:bidi="ar-SA"/>
        </w:rPr>
        <w:id w:val="147481889"/>
        <w15:color w:val="DBDBDB"/>
        <w:docPartObj>
          <w:docPartGallery w:val="Table of Contents"/>
          <w:docPartUnique/>
        </w:docPartObj>
      </w:sdtPr>
      <w:sdtEndPr>
        <w:rPr>
          <w:rFonts w:hint="eastAsia" w:ascii="Calibri" w:hAnsi="Calibri" w:eastAsia="宋体" w:cs="Times New Roman"/>
          <w:kern w:val="0"/>
          <w:sz w:val="20"/>
          <w:szCs w:val="24"/>
          <w:lang w:val="en-US" w:eastAsia="zh-CN" w:bidi="ar-SA"/>
        </w:rPr>
      </w:sdtEndPr>
      <w:sdtContent>
        <w:p w14:paraId="28FFE520">
          <w:pPr>
            <w:pStyle w:val="14"/>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bookmarkStart w:id="0" w:name="_Toc498326351"/>
          <w:bookmarkStart w:id="1" w:name="_Toc170980538"/>
          <w:bookmarkStart w:id="2" w:name="_Toc175033578"/>
          <w:bookmarkStart w:id="3" w:name="_Toc175032423"/>
          <w:bookmarkStart w:id="4" w:name="_Toc167591316"/>
          <w:bookmarkStart w:id="5" w:name="_Toc167591029"/>
          <w:bookmarkStart w:id="6" w:name="_Toc244623577"/>
          <w:bookmarkStart w:id="7" w:name="_Toc170980440"/>
          <w:bookmarkStart w:id="8" w:name="_Toc173549964"/>
          <w:bookmarkStart w:id="9" w:name="_Toc167590761"/>
          <w:bookmarkStart w:id="10" w:name="_Toc245657539"/>
          <w:bookmarkStart w:id="11" w:name="_Toc167591130"/>
          <w:bookmarkStart w:id="12" w:name="_Toc207897902"/>
          <w:bookmarkStart w:id="13" w:name="_Toc169846762"/>
          <w:bookmarkStart w:id="14" w:name="_Toc245658520"/>
          <w:bookmarkStart w:id="15" w:name="_Toc245176651"/>
          <w:bookmarkStart w:id="16" w:name="_Toc169846859"/>
          <w:bookmarkStart w:id="17" w:name="_Toc167591478"/>
          <w:bookmarkStart w:id="18" w:name="_Toc169838518"/>
          <w:bookmarkStart w:id="19" w:name="_Toc208337150"/>
          <w:bookmarkStart w:id="20" w:name="_Toc167849346"/>
          <w:bookmarkStart w:id="21" w:name="_Toc154482465"/>
          <w:bookmarkStart w:id="22" w:name="_Toc260242592"/>
          <w:bookmarkStart w:id="23" w:name="_Toc201650492"/>
          <w:r>
            <w:rPr>
              <w:rFonts w:hint="eastAsia"/>
              <w:sz w:val="24"/>
              <w:szCs w:val="24"/>
            </w:rPr>
            <w:fldChar w:fldCharType="begin"/>
          </w:r>
          <w:r>
            <w:rPr>
              <w:rFonts w:hint="eastAsia"/>
              <w:sz w:val="24"/>
              <w:szCs w:val="24"/>
            </w:rPr>
            <w:instrText xml:space="preserve">TOC \o "1-1" \h \u </w:instrText>
          </w:r>
          <w:r>
            <w:rPr>
              <w:rFonts w:hint="eastAsia"/>
              <w:sz w:val="24"/>
              <w:szCs w:val="24"/>
            </w:rPr>
            <w:fldChar w:fldCharType="separate"/>
          </w:r>
          <w:r>
            <w:rPr>
              <w:rFonts w:hint="eastAsia"/>
              <w:sz w:val="24"/>
              <w:szCs w:val="24"/>
            </w:rPr>
            <w:fldChar w:fldCharType="begin"/>
          </w:r>
          <w:r>
            <w:rPr>
              <w:rFonts w:hint="eastAsia"/>
              <w:sz w:val="24"/>
              <w:szCs w:val="24"/>
            </w:rPr>
            <w:instrText xml:space="preserve"> HYPERLINK \l _Toc18405 </w:instrText>
          </w:r>
          <w:r>
            <w:rPr>
              <w:rFonts w:hint="eastAsia"/>
              <w:sz w:val="24"/>
              <w:szCs w:val="24"/>
            </w:rPr>
            <w:fldChar w:fldCharType="separate"/>
          </w:r>
          <w:r>
            <w:rPr>
              <w:rFonts w:hint="eastAsia" w:asciiTheme="minorEastAsia" w:hAnsiTheme="minorEastAsia" w:eastAsiaTheme="minorEastAsia" w:cstheme="minorEastAsia"/>
              <w:sz w:val="24"/>
              <w:szCs w:val="24"/>
            </w:rPr>
            <w:t>第一章  招标公告</w:t>
          </w:r>
          <w:r>
            <w:rPr>
              <w:sz w:val="24"/>
              <w:szCs w:val="24"/>
            </w:rPr>
            <w:tab/>
          </w:r>
          <w:r>
            <w:rPr>
              <w:sz w:val="24"/>
              <w:szCs w:val="24"/>
            </w:rPr>
            <w:fldChar w:fldCharType="begin"/>
          </w:r>
          <w:r>
            <w:rPr>
              <w:sz w:val="24"/>
              <w:szCs w:val="24"/>
            </w:rPr>
            <w:instrText xml:space="preserve"> PAGEREF _Toc18405 \h </w:instrText>
          </w:r>
          <w:r>
            <w:rPr>
              <w:sz w:val="24"/>
              <w:szCs w:val="24"/>
            </w:rPr>
            <w:fldChar w:fldCharType="separate"/>
          </w:r>
          <w:r>
            <w:rPr>
              <w:sz w:val="24"/>
              <w:szCs w:val="24"/>
            </w:rPr>
            <w:t>1</w:t>
          </w:r>
          <w:r>
            <w:rPr>
              <w:sz w:val="24"/>
              <w:szCs w:val="24"/>
            </w:rPr>
            <w:fldChar w:fldCharType="end"/>
          </w:r>
          <w:r>
            <w:rPr>
              <w:rFonts w:hint="eastAsia"/>
              <w:sz w:val="24"/>
              <w:szCs w:val="24"/>
            </w:rPr>
            <w:fldChar w:fldCharType="end"/>
          </w:r>
        </w:p>
        <w:p w14:paraId="5A606A25">
          <w:pPr>
            <w:pStyle w:val="14"/>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_Toc9391 </w:instrText>
          </w:r>
          <w:r>
            <w:rPr>
              <w:rFonts w:hint="eastAsia"/>
              <w:sz w:val="24"/>
              <w:szCs w:val="24"/>
            </w:rPr>
            <w:fldChar w:fldCharType="separate"/>
          </w:r>
          <w:r>
            <w:rPr>
              <w:rFonts w:hint="eastAsia" w:asciiTheme="minorEastAsia" w:hAnsiTheme="minorEastAsia" w:eastAsiaTheme="minorEastAsia" w:cstheme="minorEastAsia"/>
              <w:bCs/>
              <w:sz w:val="24"/>
              <w:szCs w:val="24"/>
            </w:rPr>
            <w:t>第二章 投标须知前附表</w:t>
          </w:r>
          <w:r>
            <w:rPr>
              <w:sz w:val="24"/>
              <w:szCs w:val="24"/>
            </w:rPr>
            <w:tab/>
          </w:r>
          <w:r>
            <w:rPr>
              <w:sz w:val="24"/>
              <w:szCs w:val="24"/>
            </w:rPr>
            <w:fldChar w:fldCharType="begin"/>
          </w:r>
          <w:r>
            <w:rPr>
              <w:sz w:val="24"/>
              <w:szCs w:val="24"/>
            </w:rPr>
            <w:instrText xml:space="preserve"> PAGEREF _Toc9391 \h </w:instrText>
          </w:r>
          <w:r>
            <w:rPr>
              <w:sz w:val="24"/>
              <w:szCs w:val="24"/>
            </w:rPr>
            <w:fldChar w:fldCharType="separate"/>
          </w:r>
          <w:r>
            <w:rPr>
              <w:sz w:val="24"/>
              <w:szCs w:val="24"/>
            </w:rPr>
            <w:t>10</w:t>
          </w:r>
          <w:r>
            <w:rPr>
              <w:sz w:val="24"/>
              <w:szCs w:val="24"/>
            </w:rPr>
            <w:fldChar w:fldCharType="end"/>
          </w:r>
          <w:r>
            <w:rPr>
              <w:rFonts w:hint="eastAsia"/>
              <w:sz w:val="24"/>
              <w:szCs w:val="24"/>
            </w:rPr>
            <w:fldChar w:fldCharType="end"/>
          </w:r>
        </w:p>
        <w:p w14:paraId="2030841A">
          <w:pPr>
            <w:pStyle w:val="14"/>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_Toc2508 </w:instrText>
          </w:r>
          <w:r>
            <w:rPr>
              <w:rFonts w:hint="eastAsia"/>
              <w:sz w:val="24"/>
              <w:szCs w:val="24"/>
            </w:rPr>
            <w:fldChar w:fldCharType="separate"/>
          </w:r>
          <w:r>
            <w:rPr>
              <w:rFonts w:hint="eastAsia" w:asciiTheme="minorEastAsia" w:hAnsiTheme="minorEastAsia" w:eastAsiaTheme="minorEastAsia" w:cstheme="minorEastAsia"/>
              <w:sz w:val="24"/>
              <w:szCs w:val="24"/>
            </w:rPr>
            <w:t>第三章  投标须知</w:t>
          </w:r>
          <w:r>
            <w:rPr>
              <w:sz w:val="24"/>
              <w:szCs w:val="24"/>
            </w:rPr>
            <w:tab/>
          </w:r>
          <w:r>
            <w:rPr>
              <w:sz w:val="24"/>
              <w:szCs w:val="24"/>
            </w:rPr>
            <w:fldChar w:fldCharType="begin"/>
          </w:r>
          <w:r>
            <w:rPr>
              <w:sz w:val="24"/>
              <w:szCs w:val="24"/>
            </w:rPr>
            <w:instrText xml:space="preserve"> PAGEREF _Toc2508 \h </w:instrText>
          </w:r>
          <w:r>
            <w:rPr>
              <w:sz w:val="24"/>
              <w:szCs w:val="24"/>
            </w:rPr>
            <w:fldChar w:fldCharType="separate"/>
          </w:r>
          <w:r>
            <w:rPr>
              <w:sz w:val="24"/>
              <w:szCs w:val="24"/>
            </w:rPr>
            <w:t>16</w:t>
          </w:r>
          <w:r>
            <w:rPr>
              <w:sz w:val="24"/>
              <w:szCs w:val="24"/>
            </w:rPr>
            <w:fldChar w:fldCharType="end"/>
          </w:r>
          <w:r>
            <w:rPr>
              <w:rFonts w:hint="eastAsia"/>
              <w:sz w:val="24"/>
              <w:szCs w:val="24"/>
            </w:rPr>
            <w:fldChar w:fldCharType="end"/>
          </w:r>
        </w:p>
        <w:p w14:paraId="538ACDCE">
          <w:pPr>
            <w:pStyle w:val="14"/>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_Toc23159 </w:instrText>
          </w:r>
          <w:r>
            <w:rPr>
              <w:rFonts w:hint="eastAsia"/>
              <w:sz w:val="24"/>
              <w:szCs w:val="24"/>
            </w:rPr>
            <w:fldChar w:fldCharType="separate"/>
          </w:r>
          <w:r>
            <w:rPr>
              <w:rFonts w:hint="eastAsia" w:asciiTheme="minorEastAsia" w:hAnsiTheme="minorEastAsia" w:eastAsiaTheme="minorEastAsia" w:cstheme="minorEastAsia"/>
              <w:sz w:val="24"/>
              <w:szCs w:val="24"/>
            </w:rPr>
            <w:t xml:space="preserve">第四章 </w:t>
          </w:r>
          <w:r>
            <w:rPr>
              <w:rFonts w:hint="eastAsia" w:asciiTheme="minorEastAsia" w:hAnsiTheme="minorEastAsia" w:eastAsiaTheme="minorEastAsia" w:cstheme="minorEastAsia"/>
              <w:bCs/>
              <w:kern w:val="2"/>
              <w:sz w:val="24"/>
              <w:szCs w:val="24"/>
            </w:rPr>
            <w:t>采购内容及</w:t>
          </w:r>
          <w:r>
            <w:rPr>
              <w:rFonts w:hint="eastAsia" w:asciiTheme="minorEastAsia" w:hAnsiTheme="minorEastAsia" w:eastAsiaTheme="minorEastAsia" w:cstheme="minorEastAsia"/>
              <w:bCs/>
              <w:kern w:val="2"/>
              <w:sz w:val="24"/>
              <w:szCs w:val="24"/>
              <w:lang w:eastAsia="zh-CN"/>
            </w:rPr>
            <w:t>技术</w:t>
          </w:r>
          <w:r>
            <w:rPr>
              <w:rFonts w:hint="eastAsia" w:asciiTheme="minorEastAsia" w:hAnsiTheme="minorEastAsia" w:eastAsiaTheme="minorEastAsia" w:cstheme="minorEastAsia"/>
              <w:bCs/>
              <w:kern w:val="2"/>
              <w:sz w:val="24"/>
              <w:szCs w:val="24"/>
            </w:rPr>
            <w:t>要求</w:t>
          </w:r>
          <w:r>
            <w:rPr>
              <w:sz w:val="24"/>
              <w:szCs w:val="24"/>
            </w:rPr>
            <w:tab/>
          </w:r>
          <w:r>
            <w:rPr>
              <w:sz w:val="24"/>
              <w:szCs w:val="24"/>
            </w:rPr>
            <w:fldChar w:fldCharType="begin"/>
          </w:r>
          <w:r>
            <w:rPr>
              <w:sz w:val="24"/>
              <w:szCs w:val="24"/>
            </w:rPr>
            <w:instrText xml:space="preserve"> PAGEREF _Toc23159 \h </w:instrText>
          </w:r>
          <w:r>
            <w:rPr>
              <w:sz w:val="24"/>
              <w:szCs w:val="24"/>
            </w:rPr>
            <w:fldChar w:fldCharType="separate"/>
          </w:r>
          <w:r>
            <w:rPr>
              <w:sz w:val="24"/>
              <w:szCs w:val="24"/>
            </w:rPr>
            <w:t>35</w:t>
          </w:r>
          <w:r>
            <w:rPr>
              <w:sz w:val="24"/>
              <w:szCs w:val="24"/>
            </w:rPr>
            <w:fldChar w:fldCharType="end"/>
          </w:r>
          <w:r>
            <w:rPr>
              <w:rFonts w:hint="eastAsia"/>
              <w:sz w:val="24"/>
              <w:szCs w:val="24"/>
            </w:rPr>
            <w:fldChar w:fldCharType="end"/>
          </w:r>
        </w:p>
        <w:p w14:paraId="78F96C3C">
          <w:pPr>
            <w:pStyle w:val="14"/>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_Toc20769 </w:instrText>
          </w:r>
          <w:r>
            <w:rPr>
              <w:rFonts w:hint="eastAsia"/>
              <w:sz w:val="24"/>
              <w:szCs w:val="24"/>
            </w:rPr>
            <w:fldChar w:fldCharType="separate"/>
          </w:r>
          <w:r>
            <w:rPr>
              <w:rFonts w:hint="eastAsia" w:asciiTheme="minorEastAsia" w:hAnsiTheme="minorEastAsia" w:eastAsiaTheme="minorEastAsia" w:cstheme="minorEastAsia"/>
              <w:bCs/>
              <w:sz w:val="24"/>
              <w:szCs w:val="24"/>
              <w:lang w:val="zh-CN"/>
            </w:rPr>
            <w:t>第五章 商务</w:t>
          </w:r>
          <w:r>
            <w:rPr>
              <w:rFonts w:hint="eastAsia" w:asciiTheme="minorEastAsia" w:hAnsiTheme="minorEastAsia" w:eastAsiaTheme="minorEastAsia" w:cstheme="minorEastAsia"/>
              <w:bCs/>
              <w:sz w:val="24"/>
              <w:szCs w:val="24"/>
              <w:lang w:val="en-US" w:eastAsia="zh-CN"/>
            </w:rPr>
            <w:t>要求及合同基本</w:t>
          </w:r>
          <w:r>
            <w:rPr>
              <w:rFonts w:hint="eastAsia" w:asciiTheme="minorEastAsia" w:hAnsiTheme="minorEastAsia" w:eastAsiaTheme="minorEastAsia" w:cstheme="minorEastAsia"/>
              <w:bCs/>
              <w:sz w:val="24"/>
              <w:szCs w:val="24"/>
              <w:lang w:val="zh-CN"/>
            </w:rPr>
            <w:t>条款</w:t>
          </w:r>
          <w:r>
            <w:rPr>
              <w:sz w:val="24"/>
              <w:szCs w:val="24"/>
            </w:rPr>
            <w:tab/>
          </w:r>
          <w:r>
            <w:rPr>
              <w:sz w:val="24"/>
              <w:szCs w:val="24"/>
            </w:rPr>
            <w:fldChar w:fldCharType="begin"/>
          </w:r>
          <w:r>
            <w:rPr>
              <w:sz w:val="24"/>
              <w:szCs w:val="24"/>
            </w:rPr>
            <w:instrText xml:space="preserve"> PAGEREF _Toc20769 \h </w:instrText>
          </w:r>
          <w:r>
            <w:rPr>
              <w:sz w:val="24"/>
              <w:szCs w:val="24"/>
            </w:rPr>
            <w:fldChar w:fldCharType="separate"/>
          </w:r>
          <w:r>
            <w:rPr>
              <w:sz w:val="24"/>
              <w:szCs w:val="24"/>
            </w:rPr>
            <w:t>39</w:t>
          </w:r>
          <w:r>
            <w:rPr>
              <w:sz w:val="24"/>
              <w:szCs w:val="24"/>
            </w:rPr>
            <w:fldChar w:fldCharType="end"/>
          </w:r>
          <w:r>
            <w:rPr>
              <w:rFonts w:hint="eastAsia"/>
              <w:sz w:val="24"/>
              <w:szCs w:val="24"/>
            </w:rPr>
            <w:fldChar w:fldCharType="end"/>
          </w:r>
        </w:p>
        <w:p w14:paraId="64660F63">
          <w:pPr>
            <w:pStyle w:val="14"/>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r>
            <w:rPr>
              <w:rFonts w:hint="eastAsia"/>
              <w:sz w:val="24"/>
              <w:szCs w:val="24"/>
            </w:rPr>
            <w:fldChar w:fldCharType="begin"/>
          </w:r>
          <w:r>
            <w:rPr>
              <w:rFonts w:hint="eastAsia"/>
              <w:sz w:val="24"/>
              <w:szCs w:val="24"/>
            </w:rPr>
            <w:instrText xml:space="preserve"> HYPERLINK \l _Toc14616 </w:instrText>
          </w:r>
          <w:r>
            <w:rPr>
              <w:rFonts w:hint="eastAsia"/>
              <w:sz w:val="24"/>
              <w:szCs w:val="24"/>
            </w:rPr>
            <w:fldChar w:fldCharType="separate"/>
          </w:r>
          <w:r>
            <w:rPr>
              <w:rFonts w:hint="eastAsia" w:asciiTheme="minorEastAsia" w:hAnsiTheme="minorEastAsia" w:eastAsiaTheme="minorEastAsia" w:cstheme="minorEastAsia"/>
              <w:bCs/>
              <w:sz w:val="24"/>
              <w:szCs w:val="24"/>
              <w:lang w:val="zh-CN"/>
            </w:rPr>
            <w:t>第</w:t>
          </w:r>
          <w:r>
            <w:rPr>
              <w:rFonts w:hint="eastAsia" w:asciiTheme="minorEastAsia" w:hAnsiTheme="minorEastAsia" w:eastAsiaTheme="minorEastAsia" w:cstheme="minorEastAsia"/>
              <w:bCs/>
              <w:sz w:val="24"/>
              <w:szCs w:val="24"/>
              <w:lang w:val="en-US" w:eastAsia="zh-CN"/>
            </w:rPr>
            <w:t>六</w:t>
          </w:r>
          <w:r>
            <w:rPr>
              <w:rFonts w:hint="eastAsia" w:asciiTheme="minorEastAsia" w:hAnsiTheme="minorEastAsia" w:eastAsiaTheme="minorEastAsia" w:cstheme="minorEastAsia"/>
              <w:bCs/>
              <w:sz w:val="24"/>
              <w:szCs w:val="24"/>
              <w:lang w:val="zh-CN"/>
            </w:rPr>
            <w:t>章</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Cs/>
              <w:sz w:val="24"/>
              <w:szCs w:val="24"/>
              <w:lang w:val="zh-CN"/>
            </w:rPr>
            <w:t>投标文件基本格式</w:t>
          </w:r>
          <w:r>
            <w:rPr>
              <w:sz w:val="24"/>
              <w:szCs w:val="24"/>
            </w:rPr>
            <w:tab/>
          </w:r>
          <w:r>
            <w:rPr>
              <w:sz w:val="24"/>
              <w:szCs w:val="24"/>
            </w:rPr>
            <w:fldChar w:fldCharType="begin"/>
          </w:r>
          <w:r>
            <w:rPr>
              <w:sz w:val="24"/>
              <w:szCs w:val="24"/>
            </w:rPr>
            <w:instrText xml:space="preserve"> PAGEREF _Toc14616 \h </w:instrText>
          </w:r>
          <w:r>
            <w:rPr>
              <w:sz w:val="24"/>
              <w:szCs w:val="24"/>
            </w:rPr>
            <w:fldChar w:fldCharType="separate"/>
          </w:r>
          <w:r>
            <w:rPr>
              <w:sz w:val="24"/>
              <w:szCs w:val="24"/>
            </w:rPr>
            <w:t>40</w:t>
          </w:r>
          <w:r>
            <w:rPr>
              <w:sz w:val="24"/>
              <w:szCs w:val="24"/>
            </w:rPr>
            <w:fldChar w:fldCharType="end"/>
          </w:r>
          <w:r>
            <w:rPr>
              <w:rFonts w:hint="eastAsia"/>
              <w:sz w:val="24"/>
              <w:szCs w:val="24"/>
            </w:rPr>
            <w:fldChar w:fldCharType="end"/>
          </w:r>
        </w:p>
        <w:p w14:paraId="3D2F9901">
          <w:pPr>
            <w:pStyle w:val="8"/>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rPr>
            <w:sectPr>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sz w:val="24"/>
              <w:szCs w:val="24"/>
            </w:rPr>
            <w:fldChar w:fldCharType="end"/>
          </w:r>
        </w:p>
      </w:sdtContent>
    </w:sdt>
    <w:p w14:paraId="1998EB45">
      <w:pPr>
        <w:pageBreakBefore w:val="0"/>
        <w:kinsoku/>
        <w:bidi w:val="0"/>
        <w:snapToGrid w:val="0"/>
        <w:spacing w:before="312" w:beforeLines="100" w:after="156" w:afterLines="50" w:line="360" w:lineRule="auto"/>
        <w:jc w:val="center"/>
        <w:outlineLvl w:val="0"/>
        <w:rPr>
          <w:rFonts w:hint="eastAsia" w:ascii="宋体" w:hAnsi="宋体" w:eastAsia="宋体" w:cs="宋体"/>
          <w:b/>
          <w:color w:val="auto"/>
          <w:sz w:val="24"/>
          <w:szCs w:val="24"/>
        </w:rPr>
      </w:pPr>
      <w:bookmarkStart w:id="24" w:name="_Toc18405"/>
      <w:r>
        <w:rPr>
          <w:rFonts w:hint="eastAsia" w:ascii="宋体" w:hAnsi="宋体" w:eastAsia="宋体" w:cs="宋体"/>
          <w:b/>
          <w:color w:val="auto"/>
          <w:sz w:val="24"/>
          <w:szCs w:val="24"/>
        </w:rPr>
        <w:t>第一章  招标公告</w:t>
      </w:r>
      <w:bookmarkEnd w:id="24"/>
    </w:p>
    <w:p w14:paraId="77346C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Style w:val="22"/>
          <w:rFonts w:hint="eastAsia" w:asciiTheme="majorEastAsia" w:hAnsiTheme="majorEastAsia" w:eastAsiaTheme="majorEastAsia" w:cstheme="majorEastAsia"/>
          <w:b/>
          <w:bCs/>
          <w:i w:val="0"/>
          <w:iCs w:val="0"/>
          <w:caps w:val="0"/>
          <w:color w:val="auto"/>
          <w:spacing w:val="0"/>
          <w:sz w:val="24"/>
          <w:szCs w:val="24"/>
          <w:shd w:val="clear" w:fill="FFFFFF"/>
        </w:rPr>
        <w:t>项目概况</w:t>
      </w:r>
    </w:p>
    <w:p w14:paraId="4565B3E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陕北地区退化生态修复与林草湿荒一体化保护项目2025年子洲县项目区监理费招标项目的潜在投标人应在登录全国公共资源交易中心平台（陕西省）使用CA锁报名后自行下载获取招标文件，并于 2025年11月20日 09时30分 （北京时间）前递交投标文件。</w:t>
      </w:r>
    </w:p>
    <w:p w14:paraId="516A8B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ajorEastAsia" w:hAnsiTheme="majorEastAsia" w:eastAsiaTheme="majorEastAsia" w:cstheme="majorEastAsia"/>
          <w:b w:val="0"/>
          <w:bCs w:val="0"/>
          <w:i w:val="0"/>
          <w:iCs w:val="0"/>
          <w:caps w:val="0"/>
          <w:color w:val="auto"/>
          <w:spacing w:val="0"/>
          <w:sz w:val="24"/>
          <w:szCs w:val="24"/>
        </w:rPr>
      </w:pPr>
      <w:r>
        <w:rPr>
          <w:rStyle w:val="22"/>
          <w:rFonts w:hint="eastAsia" w:asciiTheme="majorEastAsia" w:hAnsiTheme="majorEastAsia" w:eastAsiaTheme="majorEastAsia" w:cstheme="majorEastAsia"/>
          <w:b/>
          <w:bCs/>
          <w:i w:val="0"/>
          <w:iCs w:val="0"/>
          <w:caps w:val="0"/>
          <w:color w:val="auto"/>
          <w:spacing w:val="0"/>
          <w:sz w:val="24"/>
          <w:szCs w:val="24"/>
          <w:shd w:val="clear" w:fill="FFFFFF"/>
        </w:rPr>
        <w:t>一、项目基本情况</w:t>
      </w:r>
    </w:p>
    <w:p w14:paraId="4168CA9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项目编号：HXCX2025033</w:t>
      </w:r>
    </w:p>
    <w:p w14:paraId="3B6FDFC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项目名称：陕北地区退化生态修复与林草湿荒一体化保护项目2025年子洲县项目区监理费</w:t>
      </w:r>
    </w:p>
    <w:p w14:paraId="4AE868A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采购方式：公开招标</w:t>
      </w:r>
    </w:p>
    <w:p w14:paraId="2C6FC5D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预算金额：1,059,364.00元</w:t>
      </w:r>
    </w:p>
    <w:p w14:paraId="4A1DBED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采购需求：</w:t>
      </w:r>
    </w:p>
    <w:p w14:paraId="7E5DEF4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合同包1(陕北地区退化生态修复与林草湿荒一体化保护项目2025年子洲县项目区监理费合同包1（苗家坪作业区）):</w:t>
      </w:r>
    </w:p>
    <w:p w14:paraId="628D6E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合同包预算金额：298,000.00元</w:t>
      </w:r>
    </w:p>
    <w:p w14:paraId="07A2CC3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合同包最高限价：298,000.00元</w:t>
      </w:r>
    </w:p>
    <w:tbl>
      <w:tblPr>
        <w:tblStyle w:val="19"/>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0"/>
        <w:gridCol w:w="1134"/>
        <w:gridCol w:w="3727"/>
        <w:gridCol w:w="917"/>
        <w:gridCol w:w="1669"/>
        <w:gridCol w:w="1531"/>
      </w:tblGrid>
      <w:tr w14:paraId="45E951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4B4F43">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品目号</w:t>
            </w:r>
          </w:p>
        </w:tc>
        <w:tc>
          <w:tcPr>
            <w:tcW w:w="11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90B74C">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品目名称</w:t>
            </w:r>
          </w:p>
        </w:tc>
        <w:tc>
          <w:tcPr>
            <w:tcW w:w="3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1327CD">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采购标的</w:t>
            </w:r>
          </w:p>
        </w:tc>
        <w:tc>
          <w:tcPr>
            <w:tcW w:w="9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A168D0">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数量（单位）</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D1F0EF">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技术规格、参数及要求</w:t>
            </w:r>
          </w:p>
        </w:tc>
        <w:tc>
          <w:tcPr>
            <w:tcW w:w="15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56CAD9">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品目预算(元)</w:t>
            </w:r>
          </w:p>
        </w:tc>
      </w:tr>
      <w:tr w14:paraId="57C5D6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B8D2B6">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1-1</w:t>
            </w:r>
          </w:p>
        </w:tc>
        <w:tc>
          <w:tcPr>
            <w:tcW w:w="11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5FA5BC">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工程监理服务</w:t>
            </w:r>
          </w:p>
        </w:tc>
        <w:tc>
          <w:tcPr>
            <w:tcW w:w="37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F12828">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陕北地区退化生态修复与林草湿荒一体化保护项目2025年子洲县项目区监理费合同包1（苗家坪作业区）</w:t>
            </w:r>
          </w:p>
        </w:tc>
        <w:tc>
          <w:tcPr>
            <w:tcW w:w="9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38CC35">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BC21A4">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37E46A">
            <w:pPr>
              <w:keepNext w:val="0"/>
              <w:keepLines w:val="0"/>
              <w:widowControl/>
              <w:suppressLineNumbers w:val="0"/>
              <w:wordWrap/>
              <w:spacing w:before="0" w:beforeAutospacing="0" w:after="0" w:afterAutospacing="0" w:line="360" w:lineRule="auto"/>
              <w:ind w:left="0" w:right="0"/>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298,000.00</w:t>
            </w:r>
          </w:p>
        </w:tc>
      </w:tr>
    </w:tbl>
    <w:p w14:paraId="39FA239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本合同包不接受联合体投标</w:t>
      </w:r>
    </w:p>
    <w:p w14:paraId="2C35A9E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合同履行期限：无</w:t>
      </w:r>
    </w:p>
    <w:p w14:paraId="423994B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合同包2(陕北地区退化生态修复与林草湿荒一体化保护项目2025年子洲县项目区监理费合同包2（马蹄沟作业区）):</w:t>
      </w:r>
    </w:p>
    <w:p w14:paraId="4DE2992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合同包预算金额：256,000.00元</w:t>
      </w:r>
    </w:p>
    <w:p w14:paraId="6A2FAFF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合同包最高限价：256,000.00元</w:t>
      </w:r>
    </w:p>
    <w:tbl>
      <w:tblPr>
        <w:tblStyle w:val="19"/>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2"/>
        <w:gridCol w:w="1000"/>
        <w:gridCol w:w="3906"/>
        <w:gridCol w:w="919"/>
        <w:gridCol w:w="1619"/>
        <w:gridCol w:w="1532"/>
      </w:tblGrid>
      <w:tr w14:paraId="662FA4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13FB7F">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品目号</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F47812">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品目名称</w:t>
            </w:r>
          </w:p>
        </w:tc>
        <w:tc>
          <w:tcPr>
            <w:tcW w:w="41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CEE16C">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采购标的</w:t>
            </w:r>
          </w:p>
        </w:tc>
        <w:tc>
          <w:tcPr>
            <w:tcW w:w="9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A4DC01">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数量（单位）</w:t>
            </w:r>
          </w:p>
        </w:tc>
        <w:tc>
          <w:tcPr>
            <w:tcW w:w="13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ECA4D4">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技术规格、参数及要求</w:t>
            </w:r>
          </w:p>
        </w:tc>
        <w:tc>
          <w:tcPr>
            <w:tcW w:w="15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0F9A9A">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品目预算(元)</w:t>
            </w:r>
          </w:p>
        </w:tc>
      </w:tr>
      <w:tr w14:paraId="7055E6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CB57A9">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2-1</w:t>
            </w:r>
          </w:p>
        </w:tc>
        <w:tc>
          <w:tcPr>
            <w:tcW w:w="10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946C28">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工程监理服务</w:t>
            </w:r>
          </w:p>
        </w:tc>
        <w:tc>
          <w:tcPr>
            <w:tcW w:w="41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811979">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陕北地区退化生态修复与林草湿荒一体化保护项目2025年子洲县项目区监理费合同包2（马蹄沟作业区）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61B572">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67F0E0">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048958">
            <w:pPr>
              <w:keepNext w:val="0"/>
              <w:keepLines w:val="0"/>
              <w:widowControl/>
              <w:suppressLineNumbers w:val="0"/>
              <w:wordWrap/>
              <w:spacing w:before="0" w:beforeAutospacing="0" w:after="0" w:afterAutospacing="0" w:line="360" w:lineRule="auto"/>
              <w:ind w:left="0" w:right="0"/>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256,000.00</w:t>
            </w:r>
          </w:p>
        </w:tc>
      </w:tr>
    </w:tbl>
    <w:p w14:paraId="1A17AD4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本合同包不接受联合体投标</w:t>
      </w:r>
    </w:p>
    <w:p w14:paraId="72D1826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合同履行期限：无</w:t>
      </w:r>
    </w:p>
    <w:p w14:paraId="6EA4030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合同包3(陕北地区退化生态修复与林草湿荒一体化保护项目2025年子洲县项目区监理费合同包3（淮宁湾、马岔作业区）):</w:t>
      </w:r>
    </w:p>
    <w:p w14:paraId="65FD32F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合同包预算金额：238,364.00元</w:t>
      </w:r>
    </w:p>
    <w:p w14:paraId="0E1F9F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合同包最高限价：238,364.00元</w:t>
      </w:r>
    </w:p>
    <w:tbl>
      <w:tblPr>
        <w:tblStyle w:val="19"/>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3"/>
        <w:gridCol w:w="1110"/>
        <w:gridCol w:w="3772"/>
        <w:gridCol w:w="908"/>
        <w:gridCol w:w="1668"/>
        <w:gridCol w:w="1527"/>
      </w:tblGrid>
      <w:tr w14:paraId="1109E5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76DC06">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品目号</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DCE585">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品目名称</w:t>
            </w:r>
          </w:p>
        </w:tc>
        <w:tc>
          <w:tcPr>
            <w:tcW w:w="3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17F683">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采购标的</w:t>
            </w:r>
          </w:p>
        </w:tc>
        <w:tc>
          <w:tcPr>
            <w:tcW w:w="9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F440BA">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数量（单位）</w:t>
            </w:r>
          </w:p>
        </w:tc>
        <w:tc>
          <w:tcPr>
            <w:tcW w:w="1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240790">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技术规格、参数及要求</w:t>
            </w:r>
          </w:p>
        </w:tc>
        <w:tc>
          <w:tcPr>
            <w:tcW w:w="15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4F7B0A">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品目预算(元)</w:t>
            </w:r>
          </w:p>
        </w:tc>
      </w:tr>
      <w:tr w14:paraId="7334F5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294167">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3-1</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C7A82">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工程监理服务</w:t>
            </w:r>
          </w:p>
        </w:tc>
        <w:tc>
          <w:tcPr>
            <w:tcW w:w="3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790D26">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陕北地区退化生态修复与林草湿荒一体化保护项目2025年子洲县项目区监理费合同包3（淮宁湾、马岔作业区）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5DE04E">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96486F">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7F2047">
            <w:pPr>
              <w:keepNext w:val="0"/>
              <w:keepLines w:val="0"/>
              <w:widowControl/>
              <w:suppressLineNumbers w:val="0"/>
              <w:wordWrap/>
              <w:spacing w:before="0" w:beforeAutospacing="0" w:after="0" w:afterAutospacing="0" w:line="360" w:lineRule="auto"/>
              <w:ind w:left="0" w:right="0"/>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238,364.00</w:t>
            </w:r>
          </w:p>
        </w:tc>
      </w:tr>
    </w:tbl>
    <w:p w14:paraId="6970126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本合同包不接受联合体投标</w:t>
      </w:r>
    </w:p>
    <w:p w14:paraId="4AE72A5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合同履行期限：无</w:t>
      </w:r>
    </w:p>
    <w:p w14:paraId="436132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合同包4( 陕北地区退化生态修复与林草湿荒一体化保护项目2025年子洲县项目区监理费合同包4（裴家湾、老君殿、何家集、砖庙作业区）):</w:t>
      </w:r>
    </w:p>
    <w:p w14:paraId="41A0A11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合同包预算金额：267,000.00元</w:t>
      </w:r>
    </w:p>
    <w:p w14:paraId="40BA67E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合同包最高限价：267,000.00元</w:t>
      </w:r>
    </w:p>
    <w:tbl>
      <w:tblPr>
        <w:tblStyle w:val="19"/>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8"/>
        <w:gridCol w:w="1170"/>
        <w:gridCol w:w="3812"/>
        <w:gridCol w:w="892"/>
        <w:gridCol w:w="1607"/>
        <w:gridCol w:w="1519"/>
      </w:tblGrid>
      <w:tr w14:paraId="5965E2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AF1554">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品目号</w:t>
            </w:r>
          </w:p>
        </w:tc>
        <w:tc>
          <w:tcPr>
            <w:tcW w:w="12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336D51">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品目名称</w:t>
            </w:r>
          </w:p>
        </w:tc>
        <w:tc>
          <w:tcPr>
            <w:tcW w:w="40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F4168D">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采购标的</w:t>
            </w:r>
          </w:p>
        </w:tc>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45CCAA">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数量（单位）</w:t>
            </w:r>
          </w:p>
        </w:tc>
        <w:tc>
          <w:tcPr>
            <w:tcW w:w="12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6E6767">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技术规格、参数及要求</w:t>
            </w:r>
          </w:p>
        </w:tc>
        <w:tc>
          <w:tcPr>
            <w:tcW w:w="15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FE236C">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kern w:val="0"/>
                <w:sz w:val="24"/>
                <w:szCs w:val="24"/>
                <w:lang w:val="en-US" w:eastAsia="zh-CN" w:bidi="ar"/>
              </w:rPr>
              <w:t>品目预算(元)</w:t>
            </w:r>
          </w:p>
        </w:tc>
      </w:tr>
      <w:tr w14:paraId="0DCD2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0F910C">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4-1</w:t>
            </w:r>
          </w:p>
        </w:tc>
        <w:tc>
          <w:tcPr>
            <w:tcW w:w="12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CAF330">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工程监理服务</w:t>
            </w:r>
          </w:p>
        </w:tc>
        <w:tc>
          <w:tcPr>
            <w:tcW w:w="40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74AF0E">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陕北地区退化生态修复与林草湿荒一体化保护项目2025年子洲县项目区监理费合同包4（裴家湾、老君殿、何家集、砖庙作业区）</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75BD4E">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8045D1">
            <w:pPr>
              <w:keepNext w:val="0"/>
              <w:keepLines w:val="0"/>
              <w:widowControl/>
              <w:suppressLineNumbers w:val="0"/>
              <w:wordWrap w:val="0"/>
              <w:spacing w:before="0" w:beforeAutospacing="0" w:after="0" w:afterAutospacing="0" w:line="360" w:lineRule="auto"/>
              <w:ind w:left="0" w:right="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9A5679">
            <w:pPr>
              <w:keepNext w:val="0"/>
              <w:keepLines w:val="0"/>
              <w:widowControl/>
              <w:suppressLineNumbers w:val="0"/>
              <w:wordWrap/>
              <w:spacing w:before="0" w:beforeAutospacing="0" w:after="0" w:afterAutospacing="0" w:line="360" w:lineRule="auto"/>
              <w:ind w:left="0" w:right="0"/>
              <w:jc w:val="righ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lang w:val="en-US" w:eastAsia="zh-CN" w:bidi="ar"/>
              </w:rPr>
              <w:t>267,000.00</w:t>
            </w:r>
          </w:p>
        </w:tc>
      </w:tr>
    </w:tbl>
    <w:p w14:paraId="5AE59D4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本合同包不接受联合体投标</w:t>
      </w:r>
    </w:p>
    <w:p w14:paraId="1409685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合同履行期限：无</w:t>
      </w:r>
    </w:p>
    <w:p w14:paraId="25F7C9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ajorEastAsia" w:hAnsiTheme="majorEastAsia" w:eastAsiaTheme="majorEastAsia" w:cstheme="majorEastAsia"/>
          <w:b w:val="0"/>
          <w:bCs w:val="0"/>
          <w:i w:val="0"/>
          <w:iCs w:val="0"/>
          <w:caps w:val="0"/>
          <w:color w:val="auto"/>
          <w:spacing w:val="0"/>
          <w:sz w:val="24"/>
          <w:szCs w:val="24"/>
        </w:rPr>
      </w:pPr>
      <w:r>
        <w:rPr>
          <w:rStyle w:val="22"/>
          <w:rFonts w:hint="eastAsia" w:asciiTheme="majorEastAsia" w:hAnsiTheme="majorEastAsia" w:eastAsiaTheme="majorEastAsia" w:cstheme="majorEastAsia"/>
          <w:b/>
          <w:bCs/>
          <w:i w:val="0"/>
          <w:iCs w:val="0"/>
          <w:caps w:val="0"/>
          <w:color w:val="auto"/>
          <w:spacing w:val="0"/>
          <w:sz w:val="24"/>
          <w:szCs w:val="24"/>
          <w:shd w:val="clear" w:fill="FFFFFF"/>
        </w:rPr>
        <w:t>二、申请人的资格要求：</w:t>
      </w:r>
    </w:p>
    <w:p w14:paraId="622060F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1.满足《中华人民共和国政府采购法》第二十二条规定;</w:t>
      </w:r>
    </w:p>
    <w:p w14:paraId="0965FE0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2.落实政府采购政策需满足的资格要求：</w:t>
      </w:r>
    </w:p>
    <w:p w14:paraId="3D0B2A4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合同包1(陕北地区退化生态修复与林草湿荒一体化保护项目2025年子洲县项目区监理费合同包1（苗家坪作业区）)落实政府采购政策需满足的资格要求如下:</w:t>
      </w:r>
    </w:p>
    <w:p w14:paraId="397FDF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（1）《节能产品政府采购实施意见》财库〔2004〕185号;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（2）《环境标志产品政府采购实施的意见》财库〔2006〕90号；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（3）《国务院办公厅关于建立政府强制采购节能产品制度的通知》国办发〔2007〕51号；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（4）《政府采购促进中小企业发展管理办法》财库〔2020〕46号；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（5）《陕西省财政厅关于进一步加大政府采购支持中小企业力度的通知》陕财办采〔2022〕5号；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（6）《榆林市财政局关于进一步加大政府采购支持中小企业力度的通知》榆政财采发〔2022〕10号；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（8）《财政部司法部关于政府采购支持监狱企业发展有关问题的通知》财库〔2014〕68号；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（9）《财政部民政部中国残疾人联合会关于促进残疾人就业政府采购政策的通知》财库〔2017〕141号；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（10）《关于在政府采购活动中查询及使用信用记录有关问题的通知》财库〔2016〕125号；</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（11）其他需要落实的政府采购政策；</w:t>
      </w:r>
    </w:p>
    <w:p w14:paraId="7744D94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合同包2(陕北地区退化生态修复与林草湿荒一体化保护项目2025年子洲县项目区监理费合同包2（马蹄沟作业区）)落实政府采购政策需满足的资格要求如下:</w:t>
      </w:r>
    </w:p>
    <w:p w14:paraId="2C8248A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同合同包1</w:t>
      </w:r>
    </w:p>
    <w:p w14:paraId="692716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合同包3(陕北地区退化生态修复与林草湿荒一体化保护项目2025年子洲县项目区监理费合同包3（淮宁湾、马岔作业区）)落实政府采购政策需满足的资格要求如下:</w:t>
      </w:r>
    </w:p>
    <w:p w14:paraId="2AE8F32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同合同包1</w:t>
      </w:r>
    </w:p>
    <w:p w14:paraId="60BEA60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合同包4( 陕北地区退化生态修复与林草湿荒一体化保护项目2025年子洲县项目区监理费合同包4（裴家湾、老君殿、何家集、砖庙作业区）)落实政府采购政策需满足的资格要求如下:</w:t>
      </w:r>
    </w:p>
    <w:p w14:paraId="71A11D5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同合同包1</w:t>
      </w:r>
    </w:p>
    <w:p w14:paraId="7D3431F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3.本项目的特定资格要求：</w:t>
      </w:r>
    </w:p>
    <w:p w14:paraId="2CF862C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合同包1(陕北地区退化生态修复与林草湿荒一体化保护项目2025年子洲县项目区监理费合同包1（苗家坪作业区）)特定资格要求如下:</w:t>
      </w:r>
    </w:p>
    <w:p w14:paraId="701E719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（2）投标人须具备市政工程监理丙级及以上资质；投标人拟派项目总监理工程师具备市政工程注册监理工程师及以上执业资格；</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（3）税收缴纳证明：提供2025年1月至今已缴存的至少1个月的纳税证明（银行缴费凭证）或完税证明，依法免税的单位应提供相关证明材料；</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4）社会保障资金缴纳证明：提供2025年1月至今已缴存的至少1个月的社会保障资金（任一险种）缴存单据或社保机构开具的社会保险（任一险种）参保缴费情况证明，依法不需要缴纳社会保障资金的单位应提供相关证明材料；</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5）财务状况报告：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 </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6）对列入“信用中国”网站(www.creditchina.gov.cn)“失信被执行人、税收违法黑名单、异常经营名录”记录名单；“中国政府采购网”(www.ccgp.gov.cn)“政府采购严重违法失信行为信息记录”的单位，应当拒绝参与政府采购活动，提供查询截图（查询日期为从招标文件获取之日起至投标截止日前但最终以投标截止日当天查询结果为准）；</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（7）参加政府采购活动前三年内，在经营活动中没有重大违法记录的书面声明； </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（8）提供具有履行合同所必需的设备和专业技术能力的证明材料或承诺函；</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9）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（10）本项目专门面向中小企业采购（提供中小企业声明函）。</w:t>
      </w:r>
      <w:r>
        <w:rPr>
          <w:rFonts w:hint="eastAsia" w:asciiTheme="majorEastAsia" w:hAnsiTheme="majorEastAsia" w:eastAsiaTheme="majorEastAsia" w:cstheme="majorEastAsia"/>
          <w:i w:val="0"/>
          <w:iCs w:val="0"/>
          <w:caps w:val="0"/>
          <w:color w:val="auto"/>
          <w:spacing w:val="0"/>
          <w:sz w:val="24"/>
          <w:szCs w:val="24"/>
          <w:shd w:val="clear" w:fill="FFFFFF"/>
        </w:rPr>
        <w:br w:type="textWrapping"/>
      </w:r>
      <w:r>
        <w:rPr>
          <w:rFonts w:hint="eastAsia" w:asciiTheme="majorEastAsia" w:hAnsiTheme="majorEastAsia" w:eastAsiaTheme="majorEastAsia" w:cstheme="majorEastAsia"/>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14:paraId="4FC267D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合同包2(陕北地区退化生态修复与林草湿荒一体化保护项目2025年子洲县项目区监理费合同包2（马蹄沟作业区）)特定资格要求如下:</w:t>
      </w:r>
    </w:p>
    <w:p w14:paraId="2EB5D2A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同合同包1</w:t>
      </w:r>
    </w:p>
    <w:p w14:paraId="0B58DF0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合同包3(陕北地区退化生态修复与林草湿荒一体化保护项目2025年子洲县项目区监理费合同包3（淮宁湾、马岔作业区）)特定资格要求如下:</w:t>
      </w:r>
    </w:p>
    <w:p w14:paraId="64B3569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同合同包1</w:t>
      </w:r>
    </w:p>
    <w:p w14:paraId="175B5CA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合同包4( 陕北地区退化生态修复与林草湿荒一体化保护项目2025年子洲县项目区监理费合同包4（裴家湾、老君殿、何家集、砖庙作业区）)特定资格要求如下:</w:t>
      </w:r>
    </w:p>
    <w:p w14:paraId="413F644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同合同包1</w:t>
      </w:r>
    </w:p>
    <w:p w14:paraId="6326B1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ajorEastAsia" w:hAnsiTheme="majorEastAsia" w:eastAsiaTheme="majorEastAsia" w:cstheme="majorEastAsia"/>
          <w:b w:val="0"/>
          <w:bCs w:val="0"/>
          <w:i w:val="0"/>
          <w:iCs w:val="0"/>
          <w:caps w:val="0"/>
          <w:color w:val="auto"/>
          <w:spacing w:val="0"/>
          <w:sz w:val="24"/>
          <w:szCs w:val="24"/>
        </w:rPr>
      </w:pPr>
      <w:r>
        <w:rPr>
          <w:rStyle w:val="22"/>
          <w:rFonts w:hint="eastAsia" w:asciiTheme="majorEastAsia" w:hAnsiTheme="majorEastAsia" w:eastAsiaTheme="majorEastAsia" w:cstheme="majorEastAsia"/>
          <w:b/>
          <w:bCs/>
          <w:i w:val="0"/>
          <w:iCs w:val="0"/>
          <w:caps w:val="0"/>
          <w:color w:val="auto"/>
          <w:spacing w:val="0"/>
          <w:sz w:val="24"/>
          <w:szCs w:val="24"/>
          <w:shd w:val="clear" w:fill="FFFFFF"/>
        </w:rPr>
        <w:t>三、获取招标文件</w:t>
      </w:r>
    </w:p>
    <w:p w14:paraId="611C3D4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时间： 2025年10月31日 至 2025年11月06日 ，每天上午 09:00:00 至 12:00:00 ，下午 12:00:00 至 17:00:00 （北京时间）</w:t>
      </w:r>
    </w:p>
    <w:p w14:paraId="7BFA2C3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途径：登录全国公共资源交易中心平台（陕西省）使用CA锁报名后自行下载</w:t>
      </w:r>
    </w:p>
    <w:p w14:paraId="16022CB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方式：在线获取</w:t>
      </w:r>
    </w:p>
    <w:p w14:paraId="0D4B44A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售价： 0元</w:t>
      </w:r>
    </w:p>
    <w:p w14:paraId="486050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ajorEastAsia" w:hAnsiTheme="majorEastAsia" w:eastAsiaTheme="majorEastAsia" w:cstheme="majorEastAsia"/>
          <w:b w:val="0"/>
          <w:bCs w:val="0"/>
          <w:i w:val="0"/>
          <w:iCs w:val="0"/>
          <w:caps w:val="0"/>
          <w:color w:val="auto"/>
          <w:spacing w:val="0"/>
          <w:sz w:val="24"/>
          <w:szCs w:val="24"/>
        </w:rPr>
      </w:pPr>
      <w:r>
        <w:rPr>
          <w:rStyle w:val="22"/>
          <w:rFonts w:hint="eastAsia" w:asciiTheme="majorEastAsia" w:hAnsiTheme="majorEastAsia" w:eastAsiaTheme="majorEastAsia" w:cstheme="majorEastAsia"/>
          <w:b/>
          <w:bCs/>
          <w:i w:val="0"/>
          <w:iCs w:val="0"/>
          <w:caps w:val="0"/>
          <w:color w:val="auto"/>
          <w:spacing w:val="0"/>
          <w:sz w:val="24"/>
          <w:szCs w:val="24"/>
          <w:shd w:val="clear" w:fill="FFFFFF"/>
        </w:rPr>
        <w:t>四、提交投标文件截止时间、开标时间和地点</w:t>
      </w:r>
    </w:p>
    <w:p w14:paraId="1453583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时间： 2025年11月20日 09时30分00秒 （北京时间）</w:t>
      </w:r>
    </w:p>
    <w:p w14:paraId="4E2514D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提交投标文件地点：登录全国公共资源交易平台（陕西省•榆林市）网站〖首页〉电子交易平台〉陕西政府采购交易系统）企业端〗，在线提交</w:t>
      </w:r>
    </w:p>
    <w:p w14:paraId="0F5CBF2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开标地点：登录全国公共资源交易平台（陕西省•榆林市）网站〖首页〉不见面开标〗系统，在线参加开标过程</w:t>
      </w:r>
    </w:p>
    <w:p w14:paraId="2BB4D6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ajorEastAsia" w:hAnsiTheme="majorEastAsia" w:eastAsiaTheme="majorEastAsia" w:cstheme="majorEastAsia"/>
          <w:b w:val="0"/>
          <w:bCs w:val="0"/>
          <w:i w:val="0"/>
          <w:iCs w:val="0"/>
          <w:caps w:val="0"/>
          <w:color w:val="auto"/>
          <w:spacing w:val="0"/>
          <w:sz w:val="24"/>
          <w:szCs w:val="24"/>
        </w:rPr>
      </w:pPr>
      <w:r>
        <w:rPr>
          <w:rStyle w:val="22"/>
          <w:rFonts w:hint="eastAsia" w:asciiTheme="majorEastAsia" w:hAnsiTheme="majorEastAsia" w:eastAsiaTheme="majorEastAsia" w:cstheme="majorEastAsia"/>
          <w:b/>
          <w:bCs/>
          <w:i w:val="0"/>
          <w:iCs w:val="0"/>
          <w:caps w:val="0"/>
          <w:color w:val="auto"/>
          <w:spacing w:val="0"/>
          <w:sz w:val="24"/>
          <w:szCs w:val="24"/>
          <w:shd w:val="clear" w:fill="FFFFFF"/>
        </w:rPr>
        <w:t>五、公告期限</w:t>
      </w:r>
    </w:p>
    <w:p w14:paraId="1D597C4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ajorEastAsia" w:hAnsiTheme="majorEastAsia" w:eastAsiaTheme="majorEastAsia" w:cstheme="majorEastAsia"/>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自本公告发布之日起5个工作日。</w:t>
      </w:r>
    </w:p>
    <w:p w14:paraId="25DF5C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ajorEastAsia" w:hAnsiTheme="majorEastAsia" w:eastAsiaTheme="majorEastAsia" w:cstheme="majorEastAsia"/>
          <w:b w:val="0"/>
          <w:bCs w:val="0"/>
          <w:i w:val="0"/>
          <w:iCs w:val="0"/>
          <w:caps w:val="0"/>
          <w:color w:val="auto"/>
          <w:spacing w:val="0"/>
          <w:sz w:val="24"/>
          <w:szCs w:val="24"/>
        </w:rPr>
      </w:pPr>
      <w:r>
        <w:rPr>
          <w:rStyle w:val="22"/>
          <w:rFonts w:hint="eastAsia" w:asciiTheme="majorEastAsia" w:hAnsiTheme="majorEastAsia" w:eastAsiaTheme="majorEastAsia" w:cstheme="majorEastAsia"/>
          <w:b/>
          <w:bCs/>
          <w:i w:val="0"/>
          <w:iCs w:val="0"/>
          <w:caps w:val="0"/>
          <w:color w:val="auto"/>
          <w:spacing w:val="0"/>
          <w:sz w:val="24"/>
          <w:szCs w:val="24"/>
          <w:shd w:val="clear" w:fill="FFFFFF"/>
        </w:rPr>
        <w:t>六、其他补充事宜</w:t>
      </w:r>
    </w:p>
    <w:p w14:paraId="1D8DFB7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1）供应商可登录全国公共资源交易中心平台（陕西省）（http://www.sxggzyjy.cn/）,选择“电子交易平台-陕西政府采购交易系统-陕西省公共资源交易平台-供应商”进行登录，登录后选择“交易乙方”身份进入供应商界面进行报名并免费下载招标文件；（2）本项目采用电子化招投标的方式，供应商使用数字认证证书（CA锁）对投标文件进行签章、加密、递交及开标时解密等相关招投标事宜；（3）电子投标文件制作软件技术支持热线：400-998-0000，CA锁购买：榆林市市民大厦三楼E18、E19窗口办理，咨询电话0912-3452148、029-88661298或4006-369-888（陕西CA联系电话）；4）请各供应商获取招标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榆林市）】 网站首页选择【服务指南】-【下载专区】-点击【榆林市不见面开标系统操作手册】进行下载，请投标供应商仔细阅读操作手册，了解操作流程，熟练掌握不见面开标操作相关事宜，若无法正常投标，供应商自行承担责任。</w:t>
      </w:r>
    </w:p>
    <w:p w14:paraId="355C71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ajorEastAsia" w:hAnsiTheme="majorEastAsia" w:eastAsiaTheme="majorEastAsia" w:cstheme="majorEastAsia"/>
          <w:b w:val="0"/>
          <w:bCs w:val="0"/>
          <w:i w:val="0"/>
          <w:iCs w:val="0"/>
          <w:caps w:val="0"/>
          <w:color w:val="auto"/>
          <w:spacing w:val="0"/>
          <w:sz w:val="24"/>
          <w:szCs w:val="24"/>
        </w:rPr>
      </w:pPr>
      <w:r>
        <w:rPr>
          <w:rStyle w:val="22"/>
          <w:rFonts w:hint="eastAsia" w:asciiTheme="majorEastAsia" w:hAnsiTheme="majorEastAsia" w:eastAsiaTheme="majorEastAsia" w:cstheme="majorEastAsia"/>
          <w:b/>
          <w:bCs/>
          <w:i w:val="0"/>
          <w:iCs w:val="0"/>
          <w:caps w:val="0"/>
          <w:color w:val="auto"/>
          <w:spacing w:val="0"/>
          <w:sz w:val="24"/>
          <w:szCs w:val="24"/>
          <w:shd w:val="clear" w:fill="FFFFFF"/>
        </w:rPr>
        <w:t>七、对本次招标提出询问，请按以下方式联系。</w:t>
      </w:r>
    </w:p>
    <w:p w14:paraId="581EF5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1.采购人信息</w:t>
      </w:r>
    </w:p>
    <w:p w14:paraId="3480EDF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名称：子洲县林业局</w:t>
      </w:r>
    </w:p>
    <w:p w14:paraId="53EA983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地址：子洲县</w:t>
      </w:r>
    </w:p>
    <w:p w14:paraId="3B4B219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联系方式：13289123360</w:t>
      </w:r>
    </w:p>
    <w:p w14:paraId="48AD1B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2.采购代理机构信息</w:t>
      </w:r>
    </w:p>
    <w:p w14:paraId="2886D85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名称：陕西华旭晟信项目管理有限责任公司</w:t>
      </w:r>
    </w:p>
    <w:p w14:paraId="4FE65D1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地址：榆林市富康路榆溪尚品3号楼1415</w:t>
      </w:r>
    </w:p>
    <w:p w14:paraId="29F72B8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联系方式：17709127880</w:t>
      </w:r>
    </w:p>
    <w:p w14:paraId="388791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3.项目联系方式</w:t>
      </w:r>
    </w:p>
    <w:p w14:paraId="71852C3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项目联系人：刘莉娥</w:t>
      </w:r>
    </w:p>
    <w:p w14:paraId="7F07C3A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i w:val="0"/>
          <w:iCs w:val="0"/>
          <w:caps w:val="0"/>
          <w:color w:val="auto"/>
          <w:spacing w:val="0"/>
          <w:sz w:val="24"/>
          <w:szCs w:val="24"/>
          <w:shd w:val="clear" w:fill="FFFFFF"/>
        </w:rPr>
        <w:t>电话：17709127880</w:t>
      </w:r>
    </w:p>
    <w:p w14:paraId="7FD7D81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p>
    <w:p w14:paraId="1A07E2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rPr>
          <w:rFonts w:hint="eastAsia" w:ascii="宋体" w:hAnsi="宋体" w:eastAsia="宋体" w:cs="宋体"/>
          <w:color w:val="auto"/>
          <w:sz w:val="24"/>
          <w:szCs w:val="24"/>
        </w:rPr>
      </w:pPr>
    </w:p>
    <w:p w14:paraId="04E6A246">
      <w:pPr>
        <w:pageBreakBefore w:val="0"/>
        <w:kinsoku/>
        <w:bidi w:val="0"/>
        <w:spacing w:line="360" w:lineRule="auto"/>
        <w:jc w:val="center"/>
        <w:outlineLvl w:val="9"/>
        <w:rPr>
          <w:rFonts w:hint="eastAsia" w:asciiTheme="minorEastAsia" w:hAnsiTheme="minorEastAsia" w:eastAsiaTheme="minorEastAsia" w:cstheme="minorEastAsia"/>
          <w:b/>
          <w:bCs/>
          <w:color w:val="auto"/>
          <w:sz w:val="28"/>
          <w:szCs w:val="28"/>
        </w:rPr>
        <w:sectPr>
          <w:headerReference r:id="rId4" w:type="default"/>
          <w:footerReference r:id="rId5" w:type="default"/>
          <w:pgSz w:w="11900" w:h="16838"/>
          <w:pgMar w:top="1429" w:right="1417" w:bottom="1417" w:left="1417" w:header="850" w:footer="850" w:gutter="0"/>
          <w:pgNumType w:fmt="decimal" w:start="1"/>
          <w:cols w:space="720" w:num="1"/>
          <w:docGrid w:linePitch="326" w:charSpace="0"/>
        </w:sectPr>
      </w:pPr>
    </w:p>
    <w:p w14:paraId="5CFAA956">
      <w:pPr>
        <w:pageBreakBefore w:val="0"/>
        <w:kinsoku/>
        <w:bidi w:val="0"/>
        <w:spacing w:line="360" w:lineRule="auto"/>
        <w:jc w:val="center"/>
        <w:outlineLvl w:val="0"/>
        <w:rPr>
          <w:rFonts w:hint="eastAsia" w:asciiTheme="minorEastAsia" w:hAnsiTheme="minorEastAsia" w:eastAsiaTheme="minorEastAsia" w:cstheme="minorEastAsia"/>
          <w:b/>
          <w:bCs/>
          <w:color w:val="auto"/>
        </w:rPr>
      </w:pPr>
      <w:bookmarkStart w:id="25" w:name="_Toc9391"/>
      <w:r>
        <w:rPr>
          <w:rFonts w:hint="eastAsia" w:asciiTheme="minorEastAsia" w:hAnsiTheme="minorEastAsia" w:eastAsiaTheme="minorEastAsia" w:cstheme="minorEastAsia"/>
          <w:b/>
          <w:bCs/>
          <w:color w:val="auto"/>
          <w:sz w:val="28"/>
          <w:szCs w:val="28"/>
        </w:rPr>
        <w:t>第二章 投标须知前附表</w:t>
      </w:r>
      <w:bookmarkEnd w:id="25"/>
    </w:p>
    <w:bookmarkEnd w:id="0"/>
    <w:tbl>
      <w:tblPr>
        <w:tblStyle w:val="19"/>
        <w:tblW w:w="10232"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15"/>
        <w:gridCol w:w="8317"/>
      </w:tblGrid>
      <w:tr w14:paraId="42D6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0" w:type="dxa"/>
            <w:noWrap w:val="0"/>
            <w:vAlign w:val="center"/>
          </w:tcPr>
          <w:p w14:paraId="75F5C44F">
            <w:pPr>
              <w:pageBreakBefore w:val="0"/>
              <w:kinsoku/>
              <w:bidi w:val="0"/>
              <w:spacing w:line="360" w:lineRule="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序号</w:t>
            </w:r>
          </w:p>
        </w:tc>
        <w:tc>
          <w:tcPr>
            <w:tcW w:w="1215" w:type="dxa"/>
            <w:noWrap w:val="0"/>
            <w:vAlign w:val="center"/>
          </w:tcPr>
          <w:p w14:paraId="11FA0AB7">
            <w:pPr>
              <w:pageBreakBefore w:val="0"/>
              <w:kinsoku/>
              <w:bidi w:val="0"/>
              <w:spacing w:line="360" w:lineRule="auto"/>
              <w:jc w:val="center"/>
              <w:outlineLvl w:val="9"/>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内容</w:t>
            </w:r>
          </w:p>
        </w:tc>
        <w:tc>
          <w:tcPr>
            <w:tcW w:w="8317" w:type="dxa"/>
            <w:noWrap w:val="0"/>
            <w:vAlign w:val="center"/>
          </w:tcPr>
          <w:p w14:paraId="276E4A9E">
            <w:pPr>
              <w:pageBreakBefore w:val="0"/>
              <w:tabs>
                <w:tab w:val="left" w:pos="1180"/>
              </w:tabs>
              <w:kinsoku/>
              <w:bidi w:val="0"/>
              <w:spacing w:line="360" w:lineRule="auto"/>
              <w:jc w:val="center"/>
              <w:outlineLvl w:val="9"/>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说明与要求</w:t>
            </w:r>
          </w:p>
        </w:tc>
      </w:tr>
      <w:tr w14:paraId="3536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noWrap w:val="0"/>
            <w:vAlign w:val="center"/>
          </w:tcPr>
          <w:p w14:paraId="10502806">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p>
        </w:tc>
        <w:tc>
          <w:tcPr>
            <w:tcW w:w="1215" w:type="dxa"/>
            <w:noWrap w:val="0"/>
            <w:vAlign w:val="center"/>
          </w:tcPr>
          <w:p w14:paraId="7D9C6A43">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项目名称</w:t>
            </w:r>
          </w:p>
        </w:tc>
        <w:tc>
          <w:tcPr>
            <w:tcW w:w="8317" w:type="dxa"/>
            <w:noWrap w:val="0"/>
            <w:vAlign w:val="center"/>
          </w:tcPr>
          <w:p w14:paraId="38A871EA">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lang w:eastAsia="zh-CN"/>
              </w:rPr>
              <w:t>陕北地区退化生态修复与林草湿荒一体化保护项目2025年子洲县项目区监理费</w:t>
            </w:r>
          </w:p>
        </w:tc>
      </w:tr>
      <w:tr w14:paraId="5161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noWrap w:val="0"/>
            <w:vAlign w:val="center"/>
          </w:tcPr>
          <w:p w14:paraId="313CD4E6">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p>
        </w:tc>
        <w:tc>
          <w:tcPr>
            <w:tcW w:w="1215" w:type="dxa"/>
            <w:noWrap w:val="0"/>
            <w:vAlign w:val="center"/>
          </w:tcPr>
          <w:p w14:paraId="51DC781D">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项目内容</w:t>
            </w:r>
          </w:p>
        </w:tc>
        <w:tc>
          <w:tcPr>
            <w:tcW w:w="8317" w:type="dxa"/>
            <w:noWrap w:val="0"/>
            <w:vAlign w:val="center"/>
          </w:tcPr>
          <w:p w14:paraId="2AA9D3A5">
            <w:pPr>
              <w:pStyle w:val="7"/>
              <w:pageBreakBefore w:val="0"/>
              <w:widowControl/>
              <w:kinsoku/>
              <w:bidi w:val="0"/>
              <w:adjustRightInd/>
              <w:spacing w:line="360" w:lineRule="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详见第</w:t>
            </w:r>
            <w:r>
              <w:rPr>
                <w:rFonts w:hint="eastAsia" w:asciiTheme="minorEastAsia" w:hAnsiTheme="minorEastAsia" w:eastAsiaTheme="minorEastAsia" w:cstheme="minorEastAsia"/>
                <w:b w:val="0"/>
                <w:bCs w:val="0"/>
                <w:color w:val="auto"/>
                <w:sz w:val="24"/>
                <w:szCs w:val="24"/>
                <w:lang w:eastAsia="zh-CN"/>
              </w:rPr>
              <w:t>四</w:t>
            </w:r>
            <w:r>
              <w:rPr>
                <w:rFonts w:hint="eastAsia" w:asciiTheme="minorEastAsia" w:hAnsiTheme="minorEastAsia" w:eastAsiaTheme="minorEastAsia" w:cstheme="minorEastAsia"/>
                <w:b w:val="0"/>
                <w:bCs w:val="0"/>
                <w:color w:val="auto"/>
                <w:sz w:val="24"/>
                <w:szCs w:val="24"/>
              </w:rPr>
              <w:t>章采购内容及</w:t>
            </w:r>
            <w:r>
              <w:rPr>
                <w:rFonts w:hint="eastAsia" w:asciiTheme="minorEastAsia" w:hAnsiTheme="minorEastAsia" w:eastAsiaTheme="minorEastAsia" w:cstheme="minorEastAsia"/>
                <w:b w:val="0"/>
                <w:bCs w:val="0"/>
                <w:color w:val="auto"/>
                <w:sz w:val="24"/>
                <w:szCs w:val="24"/>
                <w:lang w:eastAsia="zh-CN"/>
              </w:rPr>
              <w:t>技术</w:t>
            </w:r>
            <w:r>
              <w:rPr>
                <w:rFonts w:hint="eastAsia" w:asciiTheme="minorEastAsia" w:hAnsiTheme="minorEastAsia" w:eastAsiaTheme="minorEastAsia" w:cstheme="minorEastAsia"/>
                <w:b w:val="0"/>
                <w:bCs w:val="0"/>
                <w:color w:val="auto"/>
                <w:sz w:val="24"/>
                <w:szCs w:val="24"/>
              </w:rPr>
              <w:t>要求</w:t>
            </w:r>
          </w:p>
        </w:tc>
      </w:tr>
      <w:tr w14:paraId="4449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noWrap w:val="0"/>
            <w:vAlign w:val="center"/>
          </w:tcPr>
          <w:p w14:paraId="71F16194">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p>
        </w:tc>
        <w:tc>
          <w:tcPr>
            <w:tcW w:w="1215" w:type="dxa"/>
            <w:noWrap w:val="0"/>
            <w:vAlign w:val="center"/>
          </w:tcPr>
          <w:p w14:paraId="17A3BED2">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采购人</w:t>
            </w:r>
          </w:p>
        </w:tc>
        <w:tc>
          <w:tcPr>
            <w:tcW w:w="8317" w:type="dxa"/>
            <w:noWrap w:val="0"/>
            <w:vAlign w:val="center"/>
          </w:tcPr>
          <w:p w14:paraId="7B0BB480">
            <w:pPr>
              <w:pageBreakBefore w:val="0"/>
              <w:kinsoku/>
              <w:bidi w:val="0"/>
              <w:spacing w:line="360" w:lineRule="auto"/>
              <w:ind w:left="-2" w:leftChars="-1"/>
              <w:jc w:val="left"/>
              <w:outlineLvl w:val="9"/>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lang w:eastAsia="zh-CN"/>
              </w:rPr>
              <w:t>子洲县林业局</w:t>
            </w:r>
          </w:p>
        </w:tc>
      </w:tr>
      <w:tr w14:paraId="6B6A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0" w:type="dxa"/>
            <w:noWrap w:val="0"/>
            <w:vAlign w:val="center"/>
          </w:tcPr>
          <w:p w14:paraId="2EB002E2">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p>
        </w:tc>
        <w:tc>
          <w:tcPr>
            <w:tcW w:w="1215" w:type="dxa"/>
            <w:noWrap w:val="0"/>
            <w:vAlign w:val="center"/>
          </w:tcPr>
          <w:p w14:paraId="6B3BE0C3">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shd w:val="clear" w:fill="FFFFFF" w:themeFill="background1"/>
                <w:lang w:val="en-US" w:eastAsia="zh-CN"/>
              </w:rPr>
              <w:t>标段名称及编号</w:t>
            </w:r>
          </w:p>
        </w:tc>
        <w:tc>
          <w:tcPr>
            <w:tcW w:w="8317" w:type="dxa"/>
            <w:noWrap w:val="0"/>
            <w:vAlign w:val="center"/>
          </w:tcPr>
          <w:p w14:paraId="227DBDD2">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eastAsia="zh-CN"/>
              </w:rPr>
              <w:t>陕北地区退化生态修复与林草湿荒一体化保护项目2025年子洲县项目区监理费合同包1（苗家坪作业区）：HXCX2025033</w:t>
            </w:r>
            <w:r>
              <w:rPr>
                <w:rFonts w:hint="eastAsia" w:asciiTheme="minorEastAsia" w:hAnsiTheme="minorEastAsia" w:eastAsiaTheme="minorEastAsia" w:cstheme="minorEastAsia"/>
                <w:b w:val="0"/>
                <w:bCs w:val="0"/>
                <w:color w:val="auto"/>
                <w:kern w:val="0"/>
                <w:sz w:val="24"/>
                <w:szCs w:val="24"/>
                <w:lang w:val="en-US" w:eastAsia="zh-CN"/>
              </w:rPr>
              <w:t>-001</w:t>
            </w:r>
          </w:p>
          <w:p w14:paraId="18641175">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eastAsia="zh-CN"/>
              </w:rPr>
              <w:t>陕北地区退化生态修复与林草湿荒一体化保护项目2025年子洲县项目区监理费合同包2（马蹄沟作业区）：HXCX2025033</w:t>
            </w:r>
            <w:r>
              <w:rPr>
                <w:rFonts w:hint="eastAsia" w:asciiTheme="minorEastAsia" w:hAnsiTheme="minorEastAsia" w:eastAsiaTheme="minorEastAsia" w:cstheme="minorEastAsia"/>
                <w:b w:val="0"/>
                <w:bCs w:val="0"/>
                <w:color w:val="auto"/>
                <w:kern w:val="0"/>
                <w:sz w:val="24"/>
                <w:szCs w:val="24"/>
                <w:lang w:val="en-US" w:eastAsia="zh-CN"/>
              </w:rPr>
              <w:t>-002</w:t>
            </w:r>
          </w:p>
          <w:p w14:paraId="07A31F15">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eastAsia="zh-CN"/>
              </w:rPr>
              <w:t>陕北地区退化生态修复与林草湿荒一体化保护项目2025年子洲县项目区监理费合同包3（淮宁湾、马岔作业区）：HXCX2025033</w:t>
            </w:r>
            <w:r>
              <w:rPr>
                <w:rFonts w:hint="eastAsia" w:asciiTheme="minorEastAsia" w:hAnsiTheme="minorEastAsia" w:eastAsiaTheme="minorEastAsia" w:cstheme="minorEastAsia"/>
                <w:b w:val="0"/>
                <w:bCs w:val="0"/>
                <w:color w:val="auto"/>
                <w:kern w:val="0"/>
                <w:sz w:val="24"/>
                <w:szCs w:val="24"/>
                <w:lang w:val="en-US" w:eastAsia="zh-CN"/>
              </w:rPr>
              <w:t>-003</w:t>
            </w:r>
          </w:p>
          <w:p w14:paraId="44CE3053">
            <w:pPr>
              <w:pageBreakBefore w:val="0"/>
              <w:kinsoku/>
              <w:bidi w:val="0"/>
              <w:spacing w:line="360" w:lineRule="auto"/>
              <w:outlineLvl w:val="9"/>
              <w:rPr>
                <w:rFonts w:hint="default"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eastAsia="zh-CN"/>
              </w:rPr>
              <w:t>陕北地区退化生态修复与林草湿荒一体化保护项目2025年子洲县项目区监理费合同包4（裴家湾、老君殿、何家集、砖庙作业区）：HXCX2025033</w:t>
            </w:r>
            <w:r>
              <w:rPr>
                <w:rFonts w:hint="eastAsia" w:asciiTheme="minorEastAsia" w:hAnsiTheme="minorEastAsia" w:eastAsiaTheme="minorEastAsia" w:cstheme="minorEastAsia"/>
                <w:b w:val="0"/>
                <w:bCs w:val="0"/>
                <w:color w:val="auto"/>
                <w:kern w:val="0"/>
                <w:sz w:val="24"/>
                <w:szCs w:val="24"/>
                <w:lang w:val="en-US" w:eastAsia="zh-CN"/>
              </w:rPr>
              <w:t>-004</w:t>
            </w:r>
          </w:p>
        </w:tc>
      </w:tr>
      <w:tr w14:paraId="6B1F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0" w:type="dxa"/>
            <w:noWrap w:val="0"/>
            <w:vAlign w:val="center"/>
          </w:tcPr>
          <w:p w14:paraId="4CE7BB52">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p>
        </w:tc>
        <w:tc>
          <w:tcPr>
            <w:tcW w:w="1215" w:type="dxa"/>
            <w:noWrap w:val="0"/>
            <w:vAlign w:val="center"/>
          </w:tcPr>
          <w:p w14:paraId="2676A5E1">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投标人</w:t>
            </w:r>
          </w:p>
          <w:p w14:paraId="7488BF52">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资格要求</w:t>
            </w:r>
          </w:p>
        </w:tc>
        <w:tc>
          <w:tcPr>
            <w:tcW w:w="8317" w:type="dxa"/>
            <w:noWrap w:val="0"/>
            <w:vAlign w:val="center"/>
          </w:tcPr>
          <w:p w14:paraId="065D2A3F">
            <w:pPr>
              <w:pStyle w:val="7"/>
              <w:pageBreakBefore w:val="0"/>
              <w:widowControl/>
              <w:kinsoku/>
              <w:bidi w:val="0"/>
              <w:adjustRightInd/>
              <w:spacing w:line="360" w:lineRule="auto"/>
              <w:ind w:right="397" w:rightChars="189"/>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详见招标公告</w:t>
            </w:r>
          </w:p>
        </w:tc>
      </w:tr>
      <w:tr w14:paraId="185A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0" w:type="dxa"/>
            <w:noWrap w:val="0"/>
            <w:vAlign w:val="center"/>
          </w:tcPr>
          <w:p w14:paraId="66910C48">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w:t>
            </w:r>
          </w:p>
        </w:tc>
        <w:tc>
          <w:tcPr>
            <w:tcW w:w="1215" w:type="dxa"/>
            <w:noWrap w:val="0"/>
            <w:vAlign w:val="center"/>
          </w:tcPr>
          <w:p w14:paraId="0C2EFC17">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w:t>
            </w:r>
          </w:p>
          <w:p w14:paraId="55CFA3A7">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有效期</w:t>
            </w:r>
          </w:p>
        </w:tc>
        <w:tc>
          <w:tcPr>
            <w:tcW w:w="8317" w:type="dxa"/>
            <w:noWrap w:val="0"/>
            <w:vAlign w:val="center"/>
          </w:tcPr>
          <w:p w14:paraId="02144E53">
            <w:pPr>
              <w:pageBreakBefore w:val="0"/>
              <w:kinsoku/>
              <w:bidi w:val="0"/>
              <w:spacing w:line="360" w:lineRule="auto"/>
              <w:ind w:left="-29" w:leftChars="-14"/>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90个日历天（从投标截止之日算起）。</w:t>
            </w:r>
          </w:p>
        </w:tc>
      </w:tr>
      <w:tr w14:paraId="07FF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0" w:type="dxa"/>
            <w:noWrap w:val="0"/>
            <w:vAlign w:val="center"/>
          </w:tcPr>
          <w:p w14:paraId="445109EB">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7</w:t>
            </w:r>
          </w:p>
        </w:tc>
        <w:tc>
          <w:tcPr>
            <w:tcW w:w="1215" w:type="dxa"/>
            <w:noWrap w:val="0"/>
            <w:vAlign w:val="center"/>
          </w:tcPr>
          <w:p w14:paraId="7AF53882">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投标预</w:t>
            </w:r>
          </w:p>
          <w:p w14:paraId="3E160237">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备会</w:t>
            </w:r>
          </w:p>
        </w:tc>
        <w:tc>
          <w:tcPr>
            <w:tcW w:w="8317" w:type="dxa"/>
            <w:noWrap w:val="0"/>
            <w:vAlign w:val="center"/>
          </w:tcPr>
          <w:p w14:paraId="5A52B0B7">
            <w:pPr>
              <w:pStyle w:val="7"/>
              <w:pageBreakBefore w:val="0"/>
              <w:widowControl/>
              <w:kinsoku/>
              <w:bidi w:val="0"/>
              <w:adjustRightInd/>
              <w:spacing w:line="360" w:lineRule="auto"/>
              <w:outlineLvl w:val="9"/>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无</w:t>
            </w:r>
          </w:p>
        </w:tc>
      </w:tr>
      <w:tr w14:paraId="0E38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noWrap w:val="0"/>
            <w:vAlign w:val="center"/>
          </w:tcPr>
          <w:p w14:paraId="58555320">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8</w:t>
            </w:r>
          </w:p>
        </w:tc>
        <w:tc>
          <w:tcPr>
            <w:tcW w:w="1215" w:type="dxa"/>
            <w:noWrap w:val="0"/>
            <w:vAlign w:val="center"/>
          </w:tcPr>
          <w:p w14:paraId="218B5FDE">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采购方式</w:t>
            </w:r>
          </w:p>
        </w:tc>
        <w:tc>
          <w:tcPr>
            <w:tcW w:w="8317" w:type="dxa"/>
            <w:noWrap w:val="0"/>
            <w:vAlign w:val="center"/>
          </w:tcPr>
          <w:p w14:paraId="6CD0E292">
            <w:pPr>
              <w:pStyle w:val="7"/>
              <w:pageBreakBefore w:val="0"/>
              <w:widowControl/>
              <w:kinsoku/>
              <w:bidi w:val="0"/>
              <w:adjustRightInd/>
              <w:spacing w:line="360" w:lineRule="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公开招标</w:t>
            </w:r>
          </w:p>
        </w:tc>
      </w:tr>
      <w:tr w14:paraId="3541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00" w:type="dxa"/>
            <w:noWrap w:val="0"/>
            <w:vAlign w:val="center"/>
          </w:tcPr>
          <w:p w14:paraId="381DAB8C">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9</w:t>
            </w:r>
          </w:p>
        </w:tc>
        <w:tc>
          <w:tcPr>
            <w:tcW w:w="1215" w:type="dxa"/>
            <w:noWrap w:val="0"/>
            <w:vAlign w:val="center"/>
          </w:tcPr>
          <w:p w14:paraId="0DFD206E">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响应文件份数</w:t>
            </w:r>
          </w:p>
        </w:tc>
        <w:tc>
          <w:tcPr>
            <w:tcW w:w="8317" w:type="dxa"/>
            <w:noWrap w:val="0"/>
            <w:vAlign w:val="center"/>
          </w:tcPr>
          <w:p w14:paraId="5037AAA3">
            <w:pPr>
              <w:pageBreakBefore w:val="0"/>
              <w:kinsoku/>
              <w:autoSpaceDE w:val="0"/>
              <w:autoSpaceDN w:val="0"/>
              <w:bidi w:val="0"/>
              <w:adjustRightInd w:val="0"/>
              <w:spacing w:line="360" w:lineRule="auto"/>
              <w:jc w:val="left"/>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投标供应商无需提交纸质</w:t>
            </w:r>
            <w:r>
              <w:rPr>
                <w:rFonts w:hint="eastAsia" w:asciiTheme="minorEastAsia" w:hAnsiTheme="minorEastAsia" w:eastAsiaTheme="minorEastAsia" w:cstheme="minorEastAsia"/>
                <w:b w:val="0"/>
                <w:bCs w:val="0"/>
                <w:color w:val="auto"/>
                <w:sz w:val="24"/>
                <w:szCs w:val="24"/>
                <w:lang w:eastAsia="zh-CN"/>
              </w:rPr>
              <w:t>响应</w:t>
            </w:r>
            <w:r>
              <w:rPr>
                <w:rFonts w:hint="eastAsia" w:asciiTheme="minorEastAsia" w:hAnsiTheme="minorEastAsia" w:eastAsiaTheme="minorEastAsia" w:cstheme="minorEastAsia"/>
                <w:b w:val="0"/>
                <w:bCs w:val="0"/>
                <w:color w:val="auto"/>
                <w:sz w:val="24"/>
                <w:szCs w:val="24"/>
              </w:rPr>
              <w:t>文件，待采购结果公告后，由</w:t>
            </w:r>
            <w:r>
              <w:rPr>
                <w:rFonts w:hint="eastAsia" w:asciiTheme="minorEastAsia" w:hAnsiTheme="minorEastAsia" w:eastAsiaTheme="minorEastAsia" w:cstheme="minorEastAsia"/>
                <w:b w:val="0"/>
                <w:bCs w:val="0"/>
                <w:color w:val="auto"/>
                <w:sz w:val="24"/>
                <w:szCs w:val="24"/>
                <w:lang w:eastAsia="zh-CN"/>
              </w:rPr>
              <w:t>中标单位</w:t>
            </w:r>
            <w:r>
              <w:rPr>
                <w:rFonts w:hint="eastAsia" w:asciiTheme="minorEastAsia" w:hAnsiTheme="minorEastAsia" w:eastAsiaTheme="minorEastAsia" w:cstheme="minorEastAsia"/>
                <w:b w:val="0"/>
                <w:bCs w:val="0"/>
                <w:color w:val="auto"/>
                <w:sz w:val="24"/>
                <w:szCs w:val="24"/>
              </w:rPr>
              <w:t>补交</w:t>
            </w:r>
            <w:r>
              <w:rPr>
                <w:rFonts w:hint="eastAsia" w:asciiTheme="minorEastAsia" w:hAnsiTheme="minorEastAsia" w:eastAsiaTheme="minorEastAsia" w:cstheme="minorEastAsia"/>
                <w:b w:val="0"/>
                <w:bCs w:val="0"/>
                <w:color w:val="auto"/>
                <w:sz w:val="24"/>
                <w:szCs w:val="24"/>
                <w:lang w:eastAsia="zh-CN"/>
              </w:rPr>
              <w:t>一正三副</w:t>
            </w:r>
            <w:r>
              <w:rPr>
                <w:rFonts w:hint="eastAsia" w:asciiTheme="minorEastAsia" w:hAnsiTheme="minorEastAsia" w:eastAsiaTheme="minorEastAsia" w:cstheme="minorEastAsia"/>
                <w:b w:val="0"/>
                <w:bCs w:val="0"/>
                <w:color w:val="auto"/>
                <w:sz w:val="24"/>
                <w:szCs w:val="24"/>
              </w:rPr>
              <w:t>纸质</w:t>
            </w:r>
            <w:r>
              <w:rPr>
                <w:rFonts w:hint="eastAsia" w:asciiTheme="minorEastAsia" w:hAnsiTheme="minorEastAsia" w:eastAsiaTheme="minorEastAsia" w:cstheme="minorEastAsia"/>
                <w:b w:val="0"/>
                <w:bCs w:val="0"/>
                <w:color w:val="auto"/>
                <w:sz w:val="24"/>
                <w:szCs w:val="24"/>
                <w:lang w:eastAsia="zh-CN"/>
              </w:rPr>
              <w:t>响应</w:t>
            </w:r>
            <w:r>
              <w:rPr>
                <w:rFonts w:hint="eastAsia" w:asciiTheme="minorEastAsia" w:hAnsiTheme="minorEastAsia" w:eastAsiaTheme="minorEastAsia" w:cstheme="minorEastAsia"/>
                <w:b w:val="0"/>
                <w:bCs w:val="0"/>
                <w:color w:val="auto"/>
                <w:sz w:val="24"/>
                <w:szCs w:val="24"/>
              </w:rPr>
              <w:t>文件</w:t>
            </w:r>
            <w:r>
              <w:rPr>
                <w:rFonts w:hint="eastAsia" w:asciiTheme="minorEastAsia" w:hAnsiTheme="minorEastAsia" w:eastAsiaTheme="minorEastAsia" w:cstheme="minorEastAsia"/>
                <w:b w:val="0"/>
                <w:bCs w:val="0"/>
                <w:color w:val="auto"/>
                <w:sz w:val="24"/>
                <w:szCs w:val="24"/>
                <w:lang w:eastAsia="zh-CN"/>
              </w:rPr>
              <w:t>及电子版</w:t>
            </w:r>
            <w:r>
              <w:rPr>
                <w:rFonts w:hint="eastAsia" w:asciiTheme="minorEastAsia" w:hAnsiTheme="minorEastAsia" w:eastAsiaTheme="minorEastAsia" w:cstheme="minorEastAsia"/>
                <w:b w:val="0"/>
                <w:bCs w:val="0"/>
                <w:color w:val="auto"/>
                <w:sz w:val="24"/>
                <w:szCs w:val="24"/>
              </w:rPr>
              <w:t>（光盘或 U 盘</w:t>
            </w:r>
            <w:r>
              <w:rPr>
                <w:rFonts w:hint="eastAsia" w:asciiTheme="minorEastAsia" w:hAnsiTheme="minorEastAsia" w:eastAsiaTheme="minorEastAsia" w:cstheme="minorEastAsia"/>
                <w:b w:val="0"/>
                <w:bCs w:val="0"/>
                <w:color w:val="auto"/>
                <w:sz w:val="24"/>
                <w:szCs w:val="24"/>
                <w:lang w:eastAsia="zh-CN"/>
              </w:rPr>
              <w:t>，包含可编辑 word 版，签字盖章后的扫描件 1 份</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响应文件一份</w:t>
            </w:r>
            <w:r>
              <w:rPr>
                <w:rFonts w:hint="eastAsia" w:asciiTheme="minorEastAsia" w:hAnsiTheme="minorEastAsia" w:eastAsiaTheme="minorEastAsia" w:cstheme="minorEastAsia"/>
                <w:b w:val="0"/>
                <w:bCs w:val="0"/>
                <w:color w:val="auto"/>
                <w:sz w:val="24"/>
                <w:szCs w:val="24"/>
              </w:rPr>
              <w:t>（备案用）</w:t>
            </w:r>
          </w:p>
        </w:tc>
      </w:tr>
      <w:tr w14:paraId="048E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00" w:type="dxa"/>
            <w:noWrap w:val="0"/>
            <w:vAlign w:val="center"/>
          </w:tcPr>
          <w:p w14:paraId="17E61F96">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10</w:t>
            </w:r>
          </w:p>
        </w:tc>
        <w:tc>
          <w:tcPr>
            <w:tcW w:w="1215" w:type="dxa"/>
            <w:noWrap w:val="0"/>
            <w:vAlign w:val="center"/>
          </w:tcPr>
          <w:p w14:paraId="4C72B17E">
            <w:pPr>
              <w:pageBreakBefore w:val="0"/>
              <w:kinsoku/>
              <w:bidi w:val="0"/>
              <w:spacing w:line="360" w:lineRule="auto"/>
              <w:jc w:val="center"/>
              <w:outlineLvl w:val="9"/>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装订要求</w:t>
            </w:r>
          </w:p>
        </w:tc>
        <w:tc>
          <w:tcPr>
            <w:tcW w:w="8317" w:type="dxa"/>
            <w:noWrap w:val="0"/>
            <w:vAlign w:val="center"/>
          </w:tcPr>
          <w:p w14:paraId="2FADBB95">
            <w:pPr>
              <w:pageBreakBefore w:val="0"/>
              <w:kinsoku/>
              <w:autoSpaceDE w:val="0"/>
              <w:autoSpaceDN w:val="0"/>
              <w:bidi w:val="0"/>
              <w:adjustRightInd w:val="0"/>
              <w:spacing w:line="360" w:lineRule="auto"/>
              <w:jc w:val="left"/>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招标文件正本与副本应分别单独采用胶封，装订成册，装订应牢固、不易拆散、夹页、换页，不得采用活页装订，需编制目录。正本和副本的封面上应清楚的标记“正本”或“副本”字样，当正本与副本不一致时以“正本”为准。</w:t>
            </w:r>
          </w:p>
        </w:tc>
      </w:tr>
      <w:tr w14:paraId="63C5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00" w:type="dxa"/>
            <w:noWrap w:val="0"/>
            <w:vAlign w:val="center"/>
          </w:tcPr>
          <w:p w14:paraId="3C0BE96A">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1</w:t>
            </w:r>
          </w:p>
        </w:tc>
        <w:tc>
          <w:tcPr>
            <w:tcW w:w="1215" w:type="dxa"/>
            <w:noWrap w:val="0"/>
            <w:vAlign w:val="center"/>
          </w:tcPr>
          <w:p w14:paraId="0960C83D">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highlight w:val="none"/>
              </w:rPr>
              <w:t>开标时间及地点</w:t>
            </w:r>
          </w:p>
        </w:tc>
        <w:tc>
          <w:tcPr>
            <w:tcW w:w="8317" w:type="dxa"/>
            <w:noWrap w:val="0"/>
            <w:vAlign w:val="center"/>
          </w:tcPr>
          <w:p w14:paraId="66F930B2">
            <w:pPr>
              <w:pStyle w:val="7"/>
              <w:pageBreakBefore w:val="0"/>
              <w:widowControl/>
              <w:kinsoku/>
              <w:bidi w:val="0"/>
              <w:spacing w:line="360" w:lineRule="auto"/>
              <w:outlineLvl w:val="9"/>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开标时间:</w:t>
            </w:r>
            <w:r>
              <w:rPr>
                <w:rFonts w:hint="eastAsia" w:asciiTheme="majorEastAsia" w:hAnsiTheme="majorEastAsia" w:eastAsiaTheme="majorEastAsia" w:cstheme="majorEastAsia"/>
                <w:i w:val="0"/>
                <w:iCs w:val="0"/>
                <w:caps w:val="0"/>
                <w:color w:val="auto"/>
                <w:spacing w:val="0"/>
                <w:sz w:val="24"/>
                <w:szCs w:val="24"/>
                <w:shd w:val="clear" w:fill="FFFFFF"/>
                <w:lang w:eastAsia="zh-CN"/>
              </w:rPr>
              <w:t>2025年11月20日</w:t>
            </w:r>
            <w:r>
              <w:rPr>
                <w:rFonts w:hint="eastAsia" w:asciiTheme="majorEastAsia" w:hAnsiTheme="majorEastAsia" w:eastAsiaTheme="majorEastAsia" w:cstheme="majorEastAsia"/>
                <w:i w:val="0"/>
                <w:iCs w:val="0"/>
                <w:caps w:val="0"/>
                <w:color w:val="auto"/>
                <w:spacing w:val="0"/>
                <w:sz w:val="24"/>
                <w:szCs w:val="24"/>
                <w:shd w:val="clear" w:fill="FFFFFF"/>
              </w:rPr>
              <w:t xml:space="preserve"> 09时30分00秒</w:t>
            </w:r>
          </w:p>
          <w:p w14:paraId="41B5728C">
            <w:pPr>
              <w:pStyle w:val="7"/>
              <w:pageBreakBefore w:val="0"/>
              <w:widowControl/>
              <w:kinsoku/>
              <w:bidi w:val="0"/>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sz w:val="24"/>
                <w:szCs w:val="24"/>
              </w:rPr>
              <w:t>地点：登录全国公共资源交易平台（陕西省•榆林市）网站〖首页〉不见面开标〗系统，在线参加开标过程</w:t>
            </w:r>
          </w:p>
        </w:tc>
      </w:tr>
      <w:tr w14:paraId="398C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0" w:type="dxa"/>
            <w:noWrap w:val="0"/>
            <w:vAlign w:val="center"/>
          </w:tcPr>
          <w:p w14:paraId="4139B4BD">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2</w:t>
            </w:r>
          </w:p>
        </w:tc>
        <w:tc>
          <w:tcPr>
            <w:tcW w:w="1215" w:type="dxa"/>
            <w:noWrap w:val="0"/>
            <w:vAlign w:val="center"/>
          </w:tcPr>
          <w:p w14:paraId="5E14C177">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评标</w:t>
            </w:r>
          </w:p>
          <w:p w14:paraId="56EAE143">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方法</w:t>
            </w:r>
          </w:p>
        </w:tc>
        <w:tc>
          <w:tcPr>
            <w:tcW w:w="8317" w:type="dxa"/>
            <w:noWrap w:val="0"/>
            <w:vAlign w:val="center"/>
          </w:tcPr>
          <w:p w14:paraId="27174134">
            <w:pPr>
              <w:pStyle w:val="7"/>
              <w:pageBreakBefore w:val="0"/>
              <w:widowControl/>
              <w:kinsoku/>
              <w:bidi w:val="0"/>
              <w:adjustRightInd/>
              <w:spacing w:line="360" w:lineRule="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综合评分法</w:t>
            </w:r>
          </w:p>
        </w:tc>
      </w:tr>
      <w:tr w14:paraId="6543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700" w:type="dxa"/>
            <w:noWrap w:val="0"/>
            <w:vAlign w:val="center"/>
          </w:tcPr>
          <w:p w14:paraId="652724AD">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13</w:t>
            </w:r>
          </w:p>
        </w:tc>
        <w:tc>
          <w:tcPr>
            <w:tcW w:w="1215" w:type="dxa"/>
            <w:noWrap w:val="0"/>
            <w:vAlign w:val="center"/>
          </w:tcPr>
          <w:p w14:paraId="28FD7325">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投标保证金</w:t>
            </w:r>
          </w:p>
        </w:tc>
        <w:tc>
          <w:tcPr>
            <w:tcW w:w="8317" w:type="dxa"/>
            <w:noWrap w:val="0"/>
            <w:vAlign w:val="top"/>
          </w:tcPr>
          <w:p w14:paraId="053761F2">
            <w:pPr>
              <w:pStyle w:val="17"/>
              <w:pageBreakBefore w:val="0"/>
              <w:kinsoku/>
              <w:bidi w:val="0"/>
              <w:spacing w:after="0" w:line="360" w:lineRule="auto"/>
              <w:ind w:firstLine="0" w:firstLineChars="0"/>
              <w:outlineLvl w:val="9"/>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采用“投标信用承诺书”代替投标保证金。</w:t>
            </w:r>
          </w:p>
          <w:p w14:paraId="7D6C52D6">
            <w:pPr>
              <w:pStyle w:val="7"/>
              <w:pageBreakBefore w:val="0"/>
              <w:widowControl/>
              <w:kinsoku/>
              <w:bidi w:val="0"/>
              <w:adjustRightInd/>
              <w:spacing w:line="360" w:lineRule="auto"/>
              <w:outlineLvl w:val="9"/>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0"/>
                <w:sz w:val="24"/>
                <w:szCs w:val="24"/>
                <w:lang w:val="en-US" w:eastAsia="zh-CN" w:bidi="ar-SA"/>
              </w:rPr>
              <w:t>注：需在网上提交《投标信用承诺》，并将《投标信用承诺》及网上已上报后的网页截图附在投标文件中。</w:t>
            </w:r>
          </w:p>
        </w:tc>
      </w:tr>
      <w:tr w14:paraId="08E1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00" w:type="dxa"/>
            <w:noWrap w:val="0"/>
            <w:vAlign w:val="center"/>
          </w:tcPr>
          <w:p w14:paraId="45DE29D8">
            <w:pPr>
              <w:pStyle w:val="17"/>
              <w:pageBreakBefore w:val="0"/>
              <w:kinsoku/>
              <w:bidi w:val="0"/>
              <w:spacing w:after="0" w:line="360" w:lineRule="auto"/>
              <w:ind w:firstLine="0" w:firstLineChars="0"/>
              <w:outlineLvl w:val="9"/>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14</w:t>
            </w:r>
          </w:p>
        </w:tc>
        <w:tc>
          <w:tcPr>
            <w:tcW w:w="1215" w:type="dxa"/>
            <w:noWrap w:val="0"/>
            <w:vAlign w:val="center"/>
          </w:tcPr>
          <w:p w14:paraId="0EA8C153">
            <w:pPr>
              <w:pStyle w:val="17"/>
              <w:pageBreakBefore w:val="0"/>
              <w:kinsoku/>
              <w:bidi w:val="0"/>
              <w:spacing w:after="0" w:line="360" w:lineRule="auto"/>
              <w:ind w:firstLine="0" w:firstLineChars="0"/>
              <w:outlineLvl w:val="9"/>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付款方式</w:t>
            </w:r>
          </w:p>
        </w:tc>
        <w:tc>
          <w:tcPr>
            <w:tcW w:w="8317" w:type="dxa"/>
            <w:noWrap w:val="0"/>
            <w:vAlign w:val="center"/>
          </w:tcPr>
          <w:p w14:paraId="7B03A83B">
            <w:pPr>
              <w:pStyle w:val="17"/>
              <w:pageBreakBefore w:val="0"/>
              <w:kinsoku/>
              <w:bidi w:val="0"/>
              <w:spacing w:after="0" w:line="360" w:lineRule="auto"/>
              <w:ind w:firstLine="0" w:firstLineChars="0"/>
              <w:outlineLvl w:val="9"/>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合同签订后支付合同价款的50%，第二年支付合同价款的20%，服务完成、验收合格后支付剩余合同价款的30%。</w:t>
            </w:r>
          </w:p>
        </w:tc>
      </w:tr>
      <w:tr w14:paraId="1EBF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14:paraId="391E4D52">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15</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8F38E05">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开标程序</w:t>
            </w:r>
          </w:p>
        </w:tc>
        <w:tc>
          <w:tcPr>
            <w:tcW w:w="8317" w:type="dxa"/>
            <w:tcBorders>
              <w:top w:val="single" w:color="auto" w:sz="4" w:space="0"/>
              <w:left w:val="single" w:color="auto" w:sz="4" w:space="0"/>
              <w:bottom w:val="single" w:color="auto" w:sz="4" w:space="0"/>
              <w:right w:val="single" w:color="auto" w:sz="4" w:space="0"/>
            </w:tcBorders>
            <w:noWrap w:val="0"/>
            <w:vAlign w:val="center"/>
          </w:tcPr>
          <w:p w14:paraId="1C142F9D">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1.介绍参会人员并宣布开会纪律；2.公布截止投标时间前提交投标文件的投标人名称；3.</w:t>
            </w:r>
            <w:r>
              <w:rPr>
                <w:rFonts w:hint="eastAsia" w:asciiTheme="minorEastAsia" w:hAnsiTheme="minorEastAsia" w:eastAsiaTheme="minorEastAsia" w:cstheme="minorEastAsia"/>
                <w:b w:val="0"/>
                <w:bCs w:val="0"/>
                <w:color w:val="auto"/>
                <w:kern w:val="0"/>
                <w:sz w:val="24"/>
                <w:szCs w:val="24"/>
                <w:lang w:eastAsia="zh-CN"/>
              </w:rPr>
              <w:t>标书</w:t>
            </w:r>
            <w:r>
              <w:rPr>
                <w:rFonts w:hint="eastAsia" w:asciiTheme="minorEastAsia" w:hAnsiTheme="minorEastAsia" w:eastAsiaTheme="minorEastAsia" w:cstheme="minorEastAsia"/>
                <w:b w:val="0"/>
                <w:bCs w:val="0"/>
                <w:color w:val="auto"/>
                <w:kern w:val="0"/>
                <w:sz w:val="24"/>
                <w:szCs w:val="24"/>
                <w:lang w:val="en-US" w:eastAsia="zh-CN"/>
              </w:rPr>
              <w:t>解密</w:t>
            </w:r>
            <w:r>
              <w:rPr>
                <w:rFonts w:hint="eastAsia" w:asciiTheme="minorEastAsia" w:hAnsiTheme="minorEastAsia" w:eastAsiaTheme="minorEastAsia" w:cstheme="minorEastAsia"/>
                <w:b w:val="0"/>
                <w:bCs w:val="0"/>
                <w:color w:val="auto"/>
                <w:kern w:val="0"/>
                <w:sz w:val="24"/>
                <w:szCs w:val="24"/>
                <w:lang w:eastAsia="zh-CN"/>
              </w:rPr>
              <w:t>；</w:t>
            </w:r>
            <w:r>
              <w:rPr>
                <w:rFonts w:hint="eastAsia" w:asciiTheme="minorEastAsia" w:hAnsiTheme="minorEastAsia" w:eastAsiaTheme="minorEastAsia" w:cstheme="minorEastAsia"/>
                <w:b w:val="0"/>
                <w:bCs w:val="0"/>
                <w:color w:val="auto"/>
                <w:kern w:val="0"/>
                <w:sz w:val="24"/>
                <w:szCs w:val="24"/>
                <w:lang w:val="en-US" w:eastAsia="zh-CN"/>
              </w:rPr>
              <w:t>4.</w:t>
            </w:r>
            <w:r>
              <w:rPr>
                <w:rFonts w:hint="eastAsia" w:asciiTheme="minorEastAsia" w:hAnsiTheme="minorEastAsia" w:eastAsiaTheme="minorEastAsia" w:cstheme="minorEastAsia"/>
                <w:b w:val="0"/>
                <w:bCs w:val="0"/>
                <w:color w:val="auto"/>
                <w:kern w:val="0"/>
                <w:sz w:val="24"/>
                <w:szCs w:val="24"/>
              </w:rPr>
              <w:t>开启标书，公开宣读投标人“投标报价表”中的全部内容。4.评审投标文件；5.会议结束。</w:t>
            </w:r>
          </w:p>
        </w:tc>
      </w:tr>
      <w:tr w14:paraId="4215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14:paraId="5CF66B16">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16</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504AA79">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招标</w:t>
            </w:r>
            <w:r>
              <w:rPr>
                <w:rFonts w:hint="eastAsia" w:asciiTheme="minorEastAsia" w:hAnsiTheme="minorEastAsia" w:eastAsiaTheme="minorEastAsia" w:cstheme="minorEastAsia"/>
                <w:b w:val="0"/>
                <w:bCs w:val="0"/>
                <w:color w:val="auto"/>
                <w:sz w:val="24"/>
                <w:szCs w:val="24"/>
                <w:lang w:val="en-US" w:eastAsia="zh-CN"/>
              </w:rPr>
              <w:t>代</w:t>
            </w:r>
            <w:r>
              <w:rPr>
                <w:rFonts w:hint="eastAsia" w:asciiTheme="minorEastAsia" w:hAnsiTheme="minorEastAsia" w:eastAsiaTheme="minorEastAsia" w:cstheme="minorEastAsia"/>
                <w:b w:val="0"/>
                <w:bCs w:val="0"/>
                <w:color w:val="auto"/>
                <w:sz w:val="24"/>
                <w:szCs w:val="24"/>
              </w:rPr>
              <w:t>理</w:t>
            </w:r>
          </w:p>
          <w:p w14:paraId="22D0F246">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费用</w:t>
            </w:r>
          </w:p>
        </w:tc>
        <w:tc>
          <w:tcPr>
            <w:tcW w:w="8317" w:type="dxa"/>
            <w:tcBorders>
              <w:top w:val="single" w:color="auto" w:sz="4" w:space="0"/>
              <w:left w:val="single" w:color="auto" w:sz="4" w:space="0"/>
              <w:bottom w:val="single" w:color="auto" w:sz="4" w:space="0"/>
              <w:right w:val="single" w:color="auto" w:sz="4" w:space="0"/>
            </w:tcBorders>
            <w:noWrap w:val="0"/>
            <w:vAlign w:val="center"/>
          </w:tcPr>
          <w:p w14:paraId="1E01F2B5">
            <w:pPr>
              <w:pStyle w:val="40"/>
              <w:spacing w:before="40" w:line="350" w:lineRule="auto"/>
              <w:ind w:right="108"/>
              <w:jc w:val="both"/>
              <w:rPr>
                <w:rFonts w:hint="eastAsia"/>
                <w:sz w:val="24"/>
                <w:szCs w:val="24"/>
              </w:rPr>
            </w:pPr>
            <w:r>
              <w:rPr>
                <w:rFonts w:hint="eastAsia"/>
                <w:sz w:val="24"/>
                <w:szCs w:val="24"/>
              </w:rPr>
              <w:t>参考国家计委2002年颁发的《招标代理服务收费管理暂行办法》(计价格〔2002〕1980号)、国家发展改革委员会办公厅颁发的《关于招标代理服务费收费有关问题的通知》（发改办价格[2003]857号）及《调整后的招标代理服务收费标准》(发改价格〔2011〕〕534号)规定</w:t>
            </w:r>
            <w:r>
              <w:rPr>
                <w:rFonts w:hint="eastAsia"/>
                <w:sz w:val="24"/>
                <w:szCs w:val="24"/>
                <w:lang w:eastAsia="zh-CN"/>
              </w:rPr>
              <w:t>，</w:t>
            </w:r>
            <w:r>
              <w:rPr>
                <w:rFonts w:hint="eastAsia"/>
                <w:sz w:val="24"/>
                <w:szCs w:val="24"/>
                <w:lang w:val="en-US" w:eastAsia="zh-CN"/>
              </w:rPr>
              <w:t>以成交价为基数，</w:t>
            </w:r>
            <w:r>
              <w:rPr>
                <w:rFonts w:hint="eastAsia"/>
                <w:sz w:val="24"/>
                <w:szCs w:val="24"/>
              </w:rPr>
              <w:t>由</w:t>
            </w:r>
            <w:r>
              <w:rPr>
                <w:rFonts w:hint="eastAsia"/>
                <w:color w:val="auto"/>
                <w:sz w:val="24"/>
                <w:szCs w:val="24"/>
                <w:u w:val="single"/>
                <w:lang w:val="en-US" w:eastAsia="zh-CN"/>
              </w:rPr>
              <w:t xml:space="preserve">  采购人   </w:t>
            </w:r>
            <w:r>
              <w:rPr>
                <w:rFonts w:hint="eastAsia"/>
                <w:sz w:val="24"/>
                <w:szCs w:val="24"/>
              </w:rPr>
              <w:t>向</w:t>
            </w:r>
            <w:r>
              <w:rPr>
                <w:rFonts w:hint="eastAsia"/>
                <w:sz w:val="24"/>
                <w:szCs w:val="24"/>
                <w:lang w:eastAsia="zh-CN"/>
              </w:rPr>
              <w:t>陕西华旭晟信项目管理有限责任公司</w:t>
            </w:r>
            <w:r>
              <w:rPr>
                <w:rFonts w:hint="eastAsia"/>
                <w:sz w:val="24"/>
                <w:szCs w:val="24"/>
              </w:rPr>
              <w:t>交纳招标代理服务费。</w:t>
            </w:r>
          </w:p>
          <w:p w14:paraId="0D609E97">
            <w:pPr>
              <w:pStyle w:val="40"/>
              <w:spacing w:before="40" w:line="350" w:lineRule="auto"/>
              <w:ind w:right="108"/>
              <w:jc w:val="both"/>
              <w:rPr>
                <w:rFonts w:hint="eastAsia"/>
                <w:spacing w:val="-2"/>
                <w:lang w:val="en-US" w:eastAsia="zh-CN"/>
              </w:rPr>
            </w:pPr>
            <w:r>
              <w:rPr>
                <w:rFonts w:hint="eastAsia"/>
                <w:spacing w:val="-2"/>
                <w:lang w:val="en-US" w:eastAsia="zh-CN"/>
              </w:rPr>
              <w:t>采购代理服务费按差额定率累进法计算：</w:t>
            </w:r>
          </w:p>
          <w:tbl>
            <w:tblPr>
              <w:tblStyle w:val="19"/>
              <w:tblW w:w="7619" w:type="dxa"/>
              <w:tblInd w:w="0" w:type="dxa"/>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30"/>
              <w:gridCol w:w="1912"/>
              <w:gridCol w:w="1933"/>
              <w:gridCol w:w="1744"/>
            </w:tblGrid>
            <w:tr w14:paraId="0295C1EC">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rHeight w:val="771" w:hRule="atLeast"/>
              </w:trPr>
              <w:tc>
                <w:tcPr>
                  <w:tcW w:w="203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79E862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Style w:val="22"/>
                      <w:rFonts w:hint="eastAsia" w:asciiTheme="minorEastAsia" w:hAnsiTheme="minorEastAsia" w:eastAsiaTheme="minorEastAsia" w:cstheme="minorEastAsia"/>
                      <w:b/>
                      <w:i w:val="0"/>
                      <w:caps w:val="0"/>
                      <w:color w:val="333333"/>
                      <w:spacing w:val="0"/>
                      <w:sz w:val="21"/>
                      <w:szCs w:val="21"/>
                    </w:rPr>
                    <w:t>服费务类率型</w:t>
                  </w:r>
                </w:p>
                <w:p w14:paraId="22B236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Style w:val="22"/>
                      <w:rFonts w:hint="eastAsia" w:asciiTheme="minorEastAsia" w:hAnsiTheme="minorEastAsia" w:eastAsiaTheme="minorEastAsia" w:cstheme="minorEastAsia"/>
                      <w:b/>
                      <w:i w:val="0"/>
                      <w:caps w:val="0"/>
                      <w:color w:val="333333"/>
                      <w:spacing w:val="0"/>
                      <w:sz w:val="21"/>
                      <w:szCs w:val="21"/>
                    </w:rPr>
                    <w:t>中标金额(万元)</w:t>
                  </w:r>
                </w:p>
              </w:tc>
              <w:tc>
                <w:tcPr>
                  <w:tcW w:w="1912"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0CF94EA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Style w:val="22"/>
                      <w:rFonts w:hint="eastAsia" w:asciiTheme="minorEastAsia" w:hAnsiTheme="minorEastAsia" w:eastAsiaTheme="minorEastAsia" w:cstheme="minorEastAsia"/>
                      <w:b/>
                      <w:i w:val="0"/>
                      <w:caps w:val="0"/>
                      <w:color w:val="333333"/>
                      <w:spacing w:val="0"/>
                      <w:sz w:val="21"/>
                      <w:szCs w:val="21"/>
                    </w:rPr>
                    <w:t>货物招标</w:t>
                  </w:r>
                </w:p>
              </w:tc>
              <w:tc>
                <w:tcPr>
                  <w:tcW w:w="193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5CE0EB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Style w:val="22"/>
                      <w:rFonts w:hint="eastAsia" w:asciiTheme="minorEastAsia" w:hAnsiTheme="minorEastAsia" w:eastAsiaTheme="minorEastAsia" w:cstheme="minorEastAsia"/>
                      <w:b/>
                      <w:i w:val="0"/>
                      <w:caps w:val="0"/>
                      <w:color w:val="333333"/>
                      <w:spacing w:val="0"/>
                      <w:sz w:val="21"/>
                      <w:szCs w:val="21"/>
                    </w:rPr>
                    <w:t>服务招标</w:t>
                  </w:r>
                </w:p>
              </w:tc>
              <w:tc>
                <w:tcPr>
                  <w:tcW w:w="1744"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266B19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Style w:val="22"/>
                      <w:rFonts w:hint="eastAsia" w:asciiTheme="minorEastAsia" w:hAnsiTheme="minorEastAsia" w:eastAsiaTheme="minorEastAsia" w:cstheme="minorEastAsia"/>
                      <w:b/>
                      <w:i w:val="0"/>
                      <w:caps w:val="0"/>
                      <w:color w:val="333333"/>
                      <w:spacing w:val="0"/>
                      <w:sz w:val="21"/>
                      <w:szCs w:val="21"/>
                    </w:rPr>
                    <w:t>工程招标</w:t>
                  </w:r>
                </w:p>
              </w:tc>
            </w:tr>
            <w:tr w14:paraId="04DBAB42">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85" w:hRule="atLeast"/>
              </w:trPr>
              <w:tc>
                <w:tcPr>
                  <w:tcW w:w="203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56BED0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100以下</w:t>
                  </w:r>
                </w:p>
              </w:tc>
              <w:tc>
                <w:tcPr>
                  <w:tcW w:w="1912"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4F2FD2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1.5%</w:t>
                  </w:r>
                </w:p>
              </w:tc>
              <w:tc>
                <w:tcPr>
                  <w:tcW w:w="193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6750AF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1.5%</w:t>
                  </w:r>
                </w:p>
              </w:tc>
              <w:tc>
                <w:tcPr>
                  <w:tcW w:w="1744"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7E5661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1.0%</w:t>
                  </w:r>
                </w:p>
              </w:tc>
            </w:tr>
            <w:tr w14:paraId="3AF8FFDA">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PrEx>
              <w:trPr>
                <w:trHeight w:val="485" w:hRule="atLeast"/>
              </w:trPr>
              <w:tc>
                <w:tcPr>
                  <w:tcW w:w="203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71075F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100-500</w:t>
                  </w:r>
                </w:p>
              </w:tc>
              <w:tc>
                <w:tcPr>
                  <w:tcW w:w="1912"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0A6C3F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1.1%</w:t>
                  </w:r>
                </w:p>
              </w:tc>
              <w:tc>
                <w:tcPr>
                  <w:tcW w:w="193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17D6B57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0.8%</w:t>
                  </w:r>
                </w:p>
              </w:tc>
              <w:tc>
                <w:tcPr>
                  <w:tcW w:w="1744"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2DA45F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0.7%</w:t>
                  </w:r>
                </w:p>
              </w:tc>
            </w:tr>
            <w:tr w14:paraId="65565801">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rHeight w:val="485" w:hRule="atLeast"/>
              </w:trPr>
              <w:tc>
                <w:tcPr>
                  <w:tcW w:w="203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214C52B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500-1000</w:t>
                  </w:r>
                </w:p>
              </w:tc>
              <w:tc>
                <w:tcPr>
                  <w:tcW w:w="1912"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3B4D26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0.8%</w:t>
                  </w:r>
                </w:p>
              </w:tc>
              <w:tc>
                <w:tcPr>
                  <w:tcW w:w="193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6E26D9C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0.45%</w:t>
                  </w:r>
                </w:p>
              </w:tc>
              <w:tc>
                <w:tcPr>
                  <w:tcW w:w="1744"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03D29B8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0.55%</w:t>
                  </w:r>
                </w:p>
              </w:tc>
            </w:tr>
            <w:tr w14:paraId="722C6CE4">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rHeight w:val="485" w:hRule="atLeast"/>
              </w:trPr>
              <w:tc>
                <w:tcPr>
                  <w:tcW w:w="203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223B26B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1000-5000</w:t>
                  </w:r>
                </w:p>
              </w:tc>
              <w:tc>
                <w:tcPr>
                  <w:tcW w:w="1912"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12A48E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0.5%</w:t>
                  </w:r>
                </w:p>
              </w:tc>
              <w:tc>
                <w:tcPr>
                  <w:tcW w:w="193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64A6C4B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0.25%</w:t>
                  </w:r>
                </w:p>
              </w:tc>
              <w:tc>
                <w:tcPr>
                  <w:tcW w:w="1744"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19B0A82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0.35%</w:t>
                  </w:r>
                </w:p>
              </w:tc>
            </w:tr>
            <w:tr w14:paraId="1071110A">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rHeight w:val="485" w:hRule="atLeast"/>
              </w:trPr>
              <w:tc>
                <w:tcPr>
                  <w:tcW w:w="203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2EF35A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5000-10000</w:t>
                  </w:r>
                </w:p>
              </w:tc>
              <w:tc>
                <w:tcPr>
                  <w:tcW w:w="1912"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612C07D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0.25%</w:t>
                  </w:r>
                </w:p>
              </w:tc>
              <w:tc>
                <w:tcPr>
                  <w:tcW w:w="193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428C12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0.1%</w:t>
                  </w:r>
                </w:p>
              </w:tc>
              <w:tc>
                <w:tcPr>
                  <w:tcW w:w="1744"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334A8E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0.2%</w:t>
                  </w:r>
                </w:p>
              </w:tc>
            </w:tr>
            <w:tr w14:paraId="26803550">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2030"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3DD87F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1亿~5亿</w:t>
                  </w:r>
                </w:p>
              </w:tc>
              <w:tc>
                <w:tcPr>
                  <w:tcW w:w="1912"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0033F2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0.05%</w:t>
                  </w:r>
                </w:p>
              </w:tc>
              <w:tc>
                <w:tcPr>
                  <w:tcW w:w="193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4FC734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0.05%</w:t>
                  </w:r>
                </w:p>
              </w:tc>
              <w:tc>
                <w:tcPr>
                  <w:tcW w:w="1744"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544073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caps w:val="0"/>
                      <w:color w:val="333333"/>
                      <w:spacing w:val="0"/>
                      <w:sz w:val="21"/>
                      <w:szCs w:val="21"/>
                    </w:rPr>
                    <w:t>0.05%</w:t>
                  </w:r>
                </w:p>
              </w:tc>
            </w:tr>
          </w:tbl>
          <w:p w14:paraId="23EE7801">
            <w:pPr>
              <w:pStyle w:val="40"/>
              <w:spacing w:before="40" w:line="350" w:lineRule="auto"/>
              <w:ind w:right="108"/>
              <w:jc w:val="both"/>
              <w:rPr>
                <w:spacing w:val="-10"/>
              </w:rPr>
            </w:pPr>
            <w:r>
              <w:rPr>
                <w:spacing w:val="-10"/>
              </w:rPr>
              <w:t>例如：某工程招标项目</w:t>
            </w:r>
            <w:r>
              <w:rPr>
                <w:rFonts w:hint="eastAsia"/>
                <w:spacing w:val="-10"/>
                <w:lang w:val="en-US" w:eastAsia="zh-CN"/>
              </w:rPr>
              <w:t>中标</w:t>
            </w:r>
            <w:r>
              <w:rPr>
                <w:spacing w:val="-10"/>
              </w:rPr>
              <w:t>金额为 678.2 万元，采购代理服务费计算 如下：</w:t>
            </w:r>
          </w:p>
          <w:p w14:paraId="260FAF82">
            <w:pPr>
              <w:pStyle w:val="40"/>
              <w:spacing w:before="40" w:line="350" w:lineRule="auto"/>
              <w:ind w:right="108"/>
              <w:jc w:val="both"/>
              <w:rPr>
                <w:spacing w:val="-10"/>
              </w:rPr>
            </w:pPr>
            <w:r>
              <w:rPr>
                <w:spacing w:val="-10"/>
              </w:rPr>
              <w:t>100 万元*1.0%=1.00 万元  (500-100)*0.7%=2.80 万元</w:t>
            </w:r>
          </w:p>
          <w:p w14:paraId="1C85F5C2">
            <w:pPr>
              <w:pStyle w:val="40"/>
              <w:spacing w:before="40" w:line="350" w:lineRule="auto"/>
              <w:ind w:right="108"/>
              <w:jc w:val="both"/>
              <w:rPr>
                <w:spacing w:val="-10"/>
              </w:rPr>
            </w:pPr>
            <w:r>
              <w:rPr>
                <w:spacing w:val="-10"/>
              </w:rPr>
              <w:t>(678.2-500)*0.55%=0.9801 万元</w:t>
            </w:r>
          </w:p>
          <w:p w14:paraId="3FFB2092">
            <w:pPr>
              <w:pStyle w:val="40"/>
              <w:spacing w:before="40" w:line="350" w:lineRule="auto"/>
              <w:ind w:right="108"/>
              <w:jc w:val="both"/>
              <w:rPr>
                <w:rFonts w:hint="eastAsia" w:asciiTheme="minorEastAsia" w:hAnsiTheme="minorEastAsia" w:eastAsiaTheme="minorEastAsia" w:cstheme="minorEastAsia"/>
                <w:b w:val="0"/>
                <w:bCs w:val="0"/>
                <w:color w:val="auto"/>
                <w:sz w:val="24"/>
                <w:szCs w:val="24"/>
              </w:rPr>
            </w:pPr>
            <w:r>
              <w:rPr>
                <w:spacing w:val="-10"/>
              </w:rPr>
              <w:t>服务费=1.00+2.80+0.9801=4.7801 万元。</w:t>
            </w:r>
          </w:p>
        </w:tc>
      </w:tr>
      <w:tr w14:paraId="65B3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14:paraId="546E3A8B">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17</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F99660E">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信用承诺</w:t>
            </w:r>
          </w:p>
        </w:tc>
        <w:tc>
          <w:tcPr>
            <w:tcW w:w="8317" w:type="dxa"/>
            <w:tcBorders>
              <w:top w:val="single" w:color="auto" w:sz="4" w:space="0"/>
              <w:left w:val="single" w:color="auto" w:sz="4" w:space="0"/>
              <w:bottom w:val="single" w:color="auto" w:sz="4" w:space="0"/>
              <w:right w:val="single" w:color="auto" w:sz="4" w:space="0"/>
            </w:tcBorders>
            <w:noWrap w:val="0"/>
            <w:vAlign w:val="center"/>
          </w:tcPr>
          <w:p w14:paraId="77D36EA4">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所有投标人按照《榆林市公共资源交易中心关于公共资源交易信用承诺网上公示的通知》（榆交易函〔2021〕19号）文件要求，于投标文件提交截止时间前自主申报信用承诺，具体操作流程详见招标文件附件1。自主上报信用承诺书具体要求事项如下：</w:t>
            </w:r>
          </w:p>
          <w:p w14:paraId="33E562CD">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1.承诺事项名称：选择《榆林市政府采购工程类/货物类/服务类项目供应商信用承诺书》；承诺事由：“填写项目名称+项目编号”；承诺附件：按招标文件</w:t>
            </w:r>
            <w:r>
              <w:rPr>
                <w:rFonts w:hint="eastAsia" w:asciiTheme="minorEastAsia" w:hAnsiTheme="minorEastAsia" w:eastAsiaTheme="minorEastAsia" w:cstheme="minorEastAsia"/>
                <w:b w:val="0"/>
                <w:bCs w:val="0"/>
                <w:color w:val="auto"/>
                <w:kern w:val="0"/>
                <w:sz w:val="24"/>
                <w:szCs w:val="24"/>
                <w:lang w:val="zh-CN" w:eastAsia="zh-CN"/>
              </w:rPr>
              <w:t>第</w:t>
            </w:r>
            <w:r>
              <w:rPr>
                <w:rFonts w:hint="eastAsia" w:asciiTheme="minorEastAsia" w:hAnsiTheme="minorEastAsia" w:eastAsiaTheme="minorEastAsia" w:cstheme="minorEastAsia"/>
                <w:b w:val="0"/>
                <w:bCs w:val="0"/>
                <w:color w:val="auto"/>
                <w:kern w:val="0"/>
                <w:sz w:val="24"/>
                <w:szCs w:val="24"/>
                <w:lang w:val="en-US" w:eastAsia="zh-CN"/>
              </w:rPr>
              <w:t>六</w:t>
            </w:r>
            <w:r>
              <w:rPr>
                <w:rFonts w:hint="eastAsia" w:asciiTheme="minorEastAsia" w:hAnsiTheme="minorEastAsia" w:eastAsiaTheme="minorEastAsia" w:cstheme="minorEastAsia"/>
                <w:b w:val="0"/>
                <w:bCs w:val="0"/>
                <w:color w:val="auto"/>
                <w:kern w:val="0"/>
                <w:sz w:val="24"/>
                <w:szCs w:val="24"/>
                <w:lang w:val="zh-CN" w:eastAsia="zh-CN"/>
              </w:rPr>
              <w:t>章投标文件基本格式</w:t>
            </w:r>
            <w:r>
              <w:rPr>
                <w:rFonts w:hint="eastAsia" w:asciiTheme="minorEastAsia" w:hAnsiTheme="minorEastAsia" w:eastAsiaTheme="minorEastAsia" w:cstheme="minorEastAsia"/>
                <w:b w:val="0"/>
                <w:bCs w:val="0"/>
                <w:color w:val="auto"/>
                <w:kern w:val="0"/>
                <w:sz w:val="24"/>
                <w:szCs w:val="24"/>
                <w:lang w:val="en-US" w:eastAsia="zh-CN"/>
              </w:rPr>
              <w:t>填写，需上传至承诺附件；受理部门为榆林市财政局采购科；附件承诺有效期为1年，承诺起始时间为提交投标文件截止之日。</w:t>
            </w:r>
          </w:p>
          <w:p w14:paraId="06124ADA">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2.承诺事项名称：选择《投标人信用承诺》；承诺事由：填写“公共资源交易平台所有活动”；承诺附件：按招标文件</w:t>
            </w:r>
            <w:r>
              <w:rPr>
                <w:rFonts w:hint="eastAsia" w:asciiTheme="minorEastAsia" w:hAnsiTheme="minorEastAsia" w:eastAsiaTheme="minorEastAsia" w:cstheme="minorEastAsia"/>
                <w:b w:val="0"/>
                <w:bCs w:val="0"/>
                <w:color w:val="auto"/>
                <w:kern w:val="0"/>
                <w:sz w:val="24"/>
                <w:szCs w:val="24"/>
                <w:lang w:val="zh-CN" w:eastAsia="zh-CN"/>
              </w:rPr>
              <w:t>第</w:t>
            </w:r>
            <w:r>
              <w:rPr>
                <w:rFonts w:hint="eastAsia" w:asciiTheme="minorEastAsia" w:hAnsiTheme="minorEastAsia" w:eastAsiaTheme="minorEastAsia" w:cstheme="minorEastAsia"/>
                <w:b w:val="0"/>
                <w:bCs w:val="0"/>
                <w:color w:val="auto"/>
                <w:kern w:val="0"/>
                <w:sz w:val="24"/>
                <w:szCs w:val="24"/>
                <w:lang w:val="en-US" w:eastAsia="zh-CN"/>
              </w:rPr>
              <w:t>七</w:t>
            </w:r>
            <w:r>
              <w:rPr>
                <w:rFonts w:hint="eastAsia" w:asciiTheme="minorEastAsia" w:hAnsiTheme="minorEastAsia" w:eastAsiaTheme="minorEastAsia" w:cstheme="minorEastAsia"/>
                <w:b w:val="0"/>
                <w:bCs w:val="0"/>
                <w:color w:val="auto"/>
                <w:kern w:val="0"/>
                <w:sz w:val="24"/>
                <w:szCs w:val="24"/>
                <w:lang w:val="zh-CN" w:eastAsia="zh-CN"/>
              </w:rPr>
              <w:t>章投标文件基本格式</w:t>
            </w:r>
            <w:r>
              <w:rPr>
                <w:rFonts w:hint="eastAsia" w:asciiTheme="minorEastAsia" w:hAnsiTheme="minorEastAsia" w:eastAsiaTheme="minorEastAsia" w:cstheme="minorEastAsia"/>
                <w:b w:val="0"/>
                <w:bCs w:val="0"/>
                <w:color w:val="auto"/>
                <w:kern w:val="0"/>
                <w:sz w:val="24"/>
                <w:szCs w:val="24"/>
                <w:lang w:val="en-US" w:eastAsia="zh-CN"/>
              </w:rPr>
              <w:t>填写，需上传至承诺附件；受理部门为榆林市公共资源交易中心；承诺有效期同投标有效期，承诺起始时间为提交投标文件截止之日。</w:t>
            </w:r>
          </w:p>
          <w:p w14:paraId="533308E7">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3. 承诺事项名称：选择《投标信用(保证金）承诺书》；承诺事由：填写“公共资源交易平台所有活动”；承诺附件：按招标文件</w:t>
            </w:r>
            <w:r>
              <w:rPr>
                <w:rFonts w:hint="eastAsia" w:asciiTheme="minorEastAsia" w:hAnsiTheme="minorEastAsia" w:eastAsiaTheme="minorEastAsia" w:cstheme="minorEastAsia"/>
                <w:b w:val="0"/>
                <w:bCs w:val="0"/>
                <w:color w:val="auto"/>
                <w:kern w:val="0"/>
                <w:sz w:val="24"/>
                <w:szCs w:val="24"/>
                <w:lang w:val="zh-CN" w:eastAsia="zh-CN"/>
              </w:rPr>
              <w:t>第</w:t>
            </w:r>
            <w:r>
              <w:rPr>
                <w:rFonts w:hint="eastAsia" w:asciiTheme="minorEastAsia" w:hAnsiTheme="minorEastAsia" w:eastAsiaTheme="minorEastAsia" w:cstheme="minorEastAsia"/>
                <w:b w:val="0"/>
                <w:bCs w:val="0"/>
                <w:color w:val="auto"/>
                <w:kern w:val="0"/>
                <w:sz w:val="24"/>
                <w:szCs w:val="24"/>
                <w:lang w:val="en-US" w:eastAsia="zh-CN"/>
              </w:rPr>
              <w:t>七</w:t>
            </w:r>
            <w:r>
              <w:rPr>
                <w:rFonts w:hint="eastAsia" w:asciiTheme="minorEastAsia" w:hAnsiTheme="minorEastAsia" w:eastAsiaTheme="minorEastAsia" w:cstheme="minorEastAsia"/>
                <w:b w:val="0"/>
                <w:bCs w:val="0"/>
                <w:color w:val="auto"/>
                <w:kern w:val="0"/>
                <w:sz w:val="24"/>
                <w:szCs w:val="24"/>
                <w:lang w:val="zh-CN" w:eastAsia="zh-CN"/>
              </w:rPr>
              <w:t>章投标文件基本格式</w:t>
            </w:r>
            <w:r>
              <w:rPr>
                <w:rFonts w:hint="eastAsia" w:asciiTheme="minorEastAsia" w:hAnsiTheme="minorEastAsia" w:eastAsiaTheme="minorEastAsia" w:cstheme="minorEastAsia"/>
                <w:b w:val="0"/>
                <w:bCs w:val="0"/>
                <w:color w:val="auto"/>
                <w:kern w:val="0"/>
                <w:sz w:val="24"/>
                <w:szCs w:val="24"/>
                <w:lang w:val="en-US" w:eastAsia="zh-CN"/>
              </w:rPr>
              <w:t>填写，需上传至承诺附件；受理部门为榆林市公共资源交易中心；承诺有效期同投标有效期，承诺起始时间为提交投标文件截止之日。</w:t>
            </w:r>
          </w:p>
          <w:p w14:paraId="4DFDB9B8">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4.承诺事项名称：《投标人委托代理人员信用承诺书》；承诺事由：填写“公共资源交易平台所有活动”；承诺附件：</w:t>
            </w:r>
            <w:r>
              <w:rPr>
                <w:rFonts w:hint="eastAsia" w:asciiTheme="minorEastAsia" w:hAnsiTheme="minorEastAsia" w:eastAsiaTheme="minorEastAsia" w:cstheme="minorEastAsia"/>
                <w:b w:val="0"/>
                <w:bCs w:val="0"/>
                <w:color w:val="auto"/>
                <w:kern w:val="0"/>
                <w:sz w:val="24"/>
                <w:szCs w:val="24"/>
                <w:lang w:val="zh-CN" w:eastAsia="zh-CN"/>
              </w:rPr>
              <w:t>第</w:t>
            </w:r>
            <w:r>
              <w:rPr>
                <w:rFonts w:hint="eastAsia" w:asciiTheme="minorEastAsia" w:hAnsiTheme="minorEastAsia" w:eastAsiaTheme="minorEastAsia" w:cstheme="minorEastAsia"/>
                <w:b w:val="0"/>
                <w:bCs w:val="0"/>
                <w:color w:val="auto"/>
                <w:kern w:val="0"/>
                <w:sz w:val="24"/>
                <w:szCs w:val="24"/>
                <w:lang w:val="en-US" w:eastAsia="zh-CN"/>
              </w:rPr>
              <w:t>七</w:t>
            </w:r>
            <w:r>
              <w:rPr>
                <w:rFonts w:hint="eastAsia" w:asciiTheme="minorEastAsia" w:hAnsiTheme="minorEastAsia" w:eastAsiaTheme="minorEastAsia" w:cstheme="minorEastAsia"/>
                <w:b w:val="0"/>
                <w:bCs w:val="0"/>
                <w:color w:val="auto"/>
                <w:kern w:val="0"/>
                <w:sz w:val="24"/>
                <w:szCs w:val="24"/>
                <w:lang w:val="zh-CN" w:eastAsia="zh-CN"/>
              </w:rPr>
              <w:t>章投标文件基本格式</w:t>
            </w:r>
            <w:r>
              <w:rPr>
                <w:rFonts w:hint="eastAsia" w:asciiTheme="minorEastAsia" w:hAnsiTheme="minorEastAsia" w:eastAsiaTheme="minorEastAsia" w:cstheme="minorEastAsia"/>
                <w:b w:val="0"/>
                <w:bCs w:val="0"/>
                <w:color w:val="auto"/>
                <w:kern w:val="0"/>
                <w:sz w:val="24"/>
                <w:szCs w:val="24"/>
                <w:lang w:val="en-US" w:eastAsia="zh-CN"/>
              </w:rPr>
              <w:t>填写，需上传至承诺附件；受理部门为榆林市公共资源交易中心；承诺有效期同投标有效期，承诺起始时间为提交投标文件截止之日。</w:t>
            </w:r>
          </w:p>
          <w:p w14:paraId="071B9F82">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注：①法定代表人直接参与投标的无须上报和提供《投标人委托代理人员信用承诺书》。</w:t>
            </w:r>
          </w:p>
          <w:p w14:paraId="63CC70F5">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②不见面开标结束后由采购代理机构通过平台进行核实查验，未按上述要求在“信用中国（陕西榆林）”网站进行自主上报信用承诺或投标文件中所附内容与上报内容不符的将否决投标。</w:t>
            </w:r>
          </w:p>
        </w:tc>
      </w:tr>
      <w:tr w14:paraId="7682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14:paraId="62BD055E">
            <w:pPr>
              <w:pageBreakBefore w:val="0"/>
              <w:kinsoku/>
              <w:bidi w:val="0"/>
              <w:spacing w:line="360" w:lineRule="auto"/>
              <w:jc w:val="center"/>
              <w:outlineLvl w:val="9"/>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18</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B84AF97">
            <w:pPr>
              <w:pageBreakBefore w:val="0"/>
              <w:kinsoku/>
              <w:bidi w:val="0"/>
              <w:spacing w:line="360" w:lineRule="auto"/>
              <w:jc w:val="center"/>
              <w:outlineLvl w:val="9"/>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支持中小企业</w:t>
            </w:r>
          </w:p>
        </w:tc>
        <w:tc>
          <w:tcPr>
            <w:tcW w:w="8317" w:type="dxa"/>
            <w:tcBorders>
              <w:top w:val="single" w:color="auto" w:sz="4" w:space="0"/>
              <w:left w:val="single" w:color="auto" w:sz="4" w:space="0"/>
              <w:bottom w:val="single" w:color="auto" w:sz="4" w:space="0"/>
              <w:right w:val="single" w:color="auto" w:sz="4" w:space="0"/>
            </w:tcBorders>
            <w:noWrap w:val="0"/>
            <w:vAlign w:val="center"/>
          </w:tcPr>
          <w:p w14:paraId="261C94D9">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sym w:font="Wingdings" w:char="00FE"/>
            </w:r>
            <w:r>
              <w:rPr>
                <w:rFonts w:hint="eastAsia" w:asciiTheme="minorEastAsia" w:hAnsiTheme="minorEastAsia" w:eastAsiaTheme="minorEastAsia" w:cstheme="minorEastAsia"/>
                <w:b w:val="0"/>
                <w:bCs w:val="0"/>
                <w:color w:val="auto"/>
                <w:kern w:val="0"/>
                <w:sz w:val="24"/>
                <w:szCs w:val="24"/>
                <w:lang w:val="en-US" w:eastAsia="zh-CN"/>
              </w:rPr>
              <w:t>专门面向中小企业采购项目。</w:t>
            </w:r>
          </w:p>
          <w:p w14:paraId="0E2B29FA">
            <w:pPr>
              <w:pageBreakBefore w:val="0"/>
              <w:kinsoku/>
              <w:bidi w:val="0"/>
              <w:spacing w:line="360" w:lineRule="auto"/>
              <w:outlineLvl w:val="9"/>
              <w:rPr>
                <w:rFonts w:hint="eastAsia"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sym w:font="Wingdings" w:char="00A8"/>
            </w:r>
            <w:r>
              <w:rPr>
                <w:rFonts w:hint="eastAsia" w:asciiTheme="minorEastAsia" w:hAnsiTheme="minorEastAsia" w:eastAsiaTheme="minorEastAsia" w:cstheme="minorEastAsia"/>
                <w:b w:val="0"/>
                <w:bCs w:val="0"/>
                <w:color w:val="auto"/>
                <w:kern w:val="0"/>
                <w:sz w:val="24"/>
                <w:szCs w:val="24"/>
                <w:lang w:val="en-US" w:eastAsia="zh-CN"/>
              </w:rPr>
              <w:t>非专门面向中小企业采购项目(价格扣除)：用扣除后的价格参与评审。小微企业的价格扣除比例为20%。</w:t>
            </w:r>
          </w:p>
          <w:p w14:paraId="2779D643">
            <w:pPr>
              <w:pageBreakBefore w:val="0"/>
              <w:kinsoku/>
              <w:bidi w:val="0"/>
              <w:spacing w:line="360" w:lineRule="auto"/>
              <w:outlineLvl w:val="9"/>
              <w:rPr>
                <w:rFonts w:hint="default" w:asciiTheme="minorEastAsia" w:hAnsiTheme="minorEastAsia" w:eastAsiaTheme="minorEastAsia" w:cstheme="minorEastAsia"/>
                <w:b w:val="0"/>
                <w:bCs w:val="0"/>
                <w:color w:val="auto"/>
                <w:kern w:val="0"/>
                <w:sz w:val="24"/>
                <w:szCs w:val="24"/>
                <w:lang w:val="en-US" w:eastAsia="zh-CN"/>
              </w:rPr>
            </w:pPr>
            <w:r>
              <w:rPr>
                <w:rFonts w:hint="eastAsia" w:asciiTheme="minorEastAsia" w:hAnsiTheme="minorEastAsia" w:eastAsiaTheme="minorEastAsia" w:cstheme="minorEastAsia"/>
                <w:b w:val="0"/>
                <w:bCs w:val="0"/>
                <w:color w:val="auto"/>
                <w:kern w:val="0"/>
                <w:sz w:val="24"/>
                <w:szCs w:val="24"/>
                <w:lang w:val="en-US" w:eastAsia="zh-CN"/>
              </w:rPr>
              <w:t>采购标的对应的中小企业划分标准所属行业：其他未列明行业</w:t>
            </w:r>
          </w:p>
        </w:tc>
      </w:tr>
      <w:tr w14:paraId="4ECD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14:paraId="19EBD020">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19</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CA2F9AF">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中小企业行业划分标准</w:t>
            </w:r>
          </w:p>
          <w:p w14:paraId="5237ED57">
            <w:pPr>
              <w:pageBreakBefore w:val="0"/>
              <w:kinsoku/>
              <w:bidi w:val="0"/>
              <w:spacing w:line="360" w:lineRule="auto"/>
              <w:jc w:val="center"/>
              <w:outlineLvl w:val="9"/>
              <w:rPr>
                <w:rFonts w:hint="eastAsia" w:asciiTheme="minorEastAsia" w:hAnsiTheme="minorEastAsia" w:eastAsiaTheme="minorEastAsia" w:cstheme="minorEastAsia"/>
                <w:b w:val="0"/>
                <w:bCs w:val="0"/>
                <w:color w:val="auto"/>
                <w:sz w:val="24"/>
                <w:szCs w:val="24"/>
                <w:lang w:val="en-US" w:eastAsia="zh-CN"/>
              </w:rPr>
            </w:pPr>
          </w:p>
        </w:tc>
        <w:tc>
          <w:tcPr>
            <w:tcW w:w="8317" w:type="dxa"/>
            <w:tcBorders>
              <w:top w:val="single" w:color="auto" w:sz="4" w:space="0"/>
              <w:left w:val="single" w:color="auto" w:sz="4" w:space="0"/>
              <w:bottom w:val="single" w:color="auto" w:sz="4" w:space="0"/>
              <w:right w:val="single" w:color="auto" w:sz="4" w:space="0"/>
            </w:tcBorders>
            <w:noWrap w:val="0"/>
            <w:vAlign w:val="center"/>
          </w:tcPr>
          <w:p w14:paraId="201B5072">
            <w:pPr>
              <w:pageBreakBefore w:val="0"/>
              <w:kinsoku/>
              <w:bidi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（十六）其他未列明行业。从业人员300人以下的为中小微型企业。其中，从业人员100人及以上的为中型企业；从业人员10人及以上的为小型企业；从业人员10人以下的为微型企业。</w:t>
            </w:r>
          </w:p>
        </w:tc>
      </w:tr>
      <w:tr w14:paraId="0C75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232" w:type="dxa"/>
            <w:gridSpan w:val="3"/>
            <w:tcBorders>
              <w:top w:val="single" w:color="auto" w:sz="4" w:space="0"/>
              <w:left w:val="single" w:color="auto" w:sz="4" w:space="0"/>
              <w:bottom w:val="single" w:color="auto" w:sz="4" w:space="0"/>
              <w:right w:val="single" w:color="auto" w:sz="4" w:space="0"/>
            </w:tcBorders>
            <w:noWrap w:val="0"/>
            <w:vAlign w:val="center"/>
          </w:tcPr>
          <w:p w14:paraId="63301AD5">
            <w:pPr>
              <w:pageBreakBefore w:val="0"/>
              <w:kinsoku/>
              <w:bidi w:val="0"/>
              <w:spacing w:line="360" w:lineRule="auto"/>
              <w:ind w:firstLine="480" w:firstLineChars="200"/>
              <w:outlineLvl w:val="9"/>
              <w:rPr>
                <w:rFonts w:hint="eastAsia" w:ascii="宋体" w:hAnsi="宋体" w:eastAsia="宋体" w:cs="宋体"/>
                <w:color w:val="auto"/>
                <w:sz w:val="24"/>
                <w:szCs w:val="24"/>
              </w:rPr>
            </w:pPr>
            <w:r>
              <w:rPr>
                <w:rFonts w:hint="eastAsia" w:ascii="宋体" w:hAnsi="宋体" w:cs="宋体"/>
                <w:bCs/>
                <w:sz w:val="24"/>
                <w:szCs w:val="24"/>
                <w:lang w:val="en-US" w:eastAsia="zh-CN"/>
              </w:rPr>
              <w:t>招标</w:t>
            </w:r>
            <w:r>
              <w:rPr>
                <w:rFonts w:hint="eastAsia" w:ascii="宋体" w:hAnsi="宋体" w:eastAsia="宋体" w:cs="宋体"/>
                <w:bCs/>
                <w:sz w:val="24"/>
                <w:szCs w:val="24"/>
              </w:rPr>
              <w:t>文件与媒体发布的采购公告不一致时，以采购公告为准；正文与投标须知前附表表述不一致时，以投标须知前附表。</w:t>
            </w:r>
          </w:p>
        </w:tc>
      </w:tr>
    </w:tbl>
    <w:p w14:paraId="087AA30B">
      <w:pPr>
        <w:pageBreakBefore w:val="0"/>
        <w:kinsoku/>
        <w:bidi w:val="0"/>
        <w:spacing w:line="360" w:lineRule="auto"/>
        <w:jc w:val="center"/>
        <w:outlineLvl w:val="9"/>
        <w:rPr>
          <w:rFonts w:hint="eastAsia" w:asciiTheme="minorEastAsia" w:hAnsiTheme="minorEastAsia" w:eastAsiaTheme="minorEastAsia" w:cstheme="minorEastAsia"/>
          <w:b/>
          <w:color w:val="auto"/>
          <w:sz w:val="30"/>
          <w:szCs w:val="30"/>
        </w:rPr>
      </w:pPr>
    </w:p>
    <w:p w14:paraId="2E1B6362">
      <w:pPr>
        <w:pageBreakBefore w:val="0"/>
        <w:kinsoku/>
        <w:bidi w:val="0"/>
        <w:spacing w:line="360" w:lineRule="auto"/>
        <w:jc w:val="center"/>
        <w:outlineLvl w:val="9"/>
        <w:rPr>
          <w:rFonts w:hint="eastAsia" w:asciiTheme="minorEastAsia" w:hAnsiTheme="minorEastAsia" w:eastAsiaTheme="minorEastAsia" w:cstheme="minorEastAsia"/>
          <w:b/>
          <w:color w:val="auto"/>
          <w:sz w:val="30"/>
          <w:szCs w:val="30"/>
        </w:rPr>
      </w:pPr>
      <w:bookmarkStart w:id="292" w:name="_GoBack"/>
      <w:bookmarkEnd w:id="292"/>
    </w:p>
    <w:p w14:paraId="4C476158">
      <w:pPr>
        <w:pageBreakBefore w:val="0"/>
        <w:kinsoku/>
        <w:bidi w:val="0"/>
        <w:spacing w:line="360" w:lineRule="auto"/>
        <w:jc w:val="center"/>
        <w:outlineLvl w:val="9"/>
        <w:rPr>
          <w:rFonts w:hint="eastAsia" w:asciiTheme="minorEastAsia" w:hAnsiTheme="minorEastAsia" w:eastAsiaTheme="minorEastAsia" w:cstheme="minorEastAsia"/>
          <w:b/>
          <w:color w:val="auto"/>
          <w:sz w:val="30"/>
          <w:szCs w:val="30"/>
        </w:rPr>
      </w:pPr>
    </w:p>
    <w:p w14:paraId="679A2A44">
      <w:pPr>
        <w:pageBreakBefore w:val="0"/>
        <w:kinsoku/>
        <w:bidi w:val="0"/>
        <w:spacing w:line="360" w:lineRule="auto"/>
        <w:jc w:val="center"/>
        <w:outlineLvl w:val="9"/>
        <w:rPr>
          <w:rFonts w:hint="eastAsia" w:asciiTheme="minorEastAsia" w:hAnsiTheme="minorEastAsia" w:eastAsiaTheme="minorEastAsia" w:cstheme="minorEastAsia"/>
          <w:b/>
          <w:color w:val="auto"/>
          <w:sz w:val="30"/>
          <w:szCs w:val="30"/>
        </w:rPr>
      </w:pPr>
    </w:p>
    <w:p w14:paraId="7599D2D7">
      <w:pPr>
        <w:pageBreakBefore w:val="0"/>
        <w:kinsoku/>
        <w:bidi w:val="0"/>
        <w:spacing w:line="360" w:lineRule="auto"/>
        <w:jc w:val="center"/>
        <w:outlineLvl w:val="9"/>
        <w:rPr>
          <w:rFonts w:hint="eastAsia" w:asciiTheme="minorEastAsia" w:hAnsiTheme="minorEastAsia" w:eastAsiaTheme="minorEastAsia" w:cstheme="minorEastAsia"/>
          <w:b/>
          <w:color w:val="auto"/>
          <w:sz w:val="30"/>
          <w:szCs w:val="30"/>
        </w:rPr>
      </w:pPr>
    </w:p>
    <w:p w14:paraId="5418376A">
      <w:pPr>
        <w:rPr>
          <w:rFonts w:hint="eastAsia" w:asciiTheme="minorEastAsia" w:hAnsiTheme="minorEastAsia" w:eastAsiaTheme="minorEastAsia" w:cstheme="minorEastAsia"/>
          <w:b/>
          <w:color w:val="auto"/>
          <w:sz w:val="30"/>
          <w:szCs w:val="30"/>
        </w:rPr>
      </w:pPr>
      <w:bookmarkStart w:id="26" w:name="_Toc2508"/>
      <w:r>
        <w:rPr>
          <w:rFonts w:hint="eastAsia" w:asciiTheme="minorEastAsia" w:hAnsiTheme="minorEastAsia" w:eastAsiaTheme="minorEastAsia" w:cstheme="minorEastAsia"/>
          <w:b/>
          <w:color w:val="auto"/>
          <w:sz w:val="30"/>
          <w:szCs w:val="30"/>
        </w:rPr>
        <w:br w:type="page"/>
      </w:r>
    </w:p>
    <w:p w14:paraId="63FC5454">
      <w:pPr>
        <w:pageBreakBefore w:val="0"/>
        <w:kinsoku/>
        <w:bidi w:val="0"/>
        <w:spacing w:line="360" w:lineRule="auto"/>
        <w:jc w:val="center"/>
        <w:outlineLvl w:val="0"/>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第三章  投标须知</w:t>
      </w:r>
      <w:bookmarkEnd w:id="26"/>
    </w:p>
    <w:p w14:paraId="383CB675">
      <w:pPr>
        <w:pageBreakBefore w:val="0"/>
        <w:kinsoku/>
        <w:bidi w:val="0"/>
        <w:spacing w:line="360" w:lineRule="auto"/>
        <w:jc w:val="center"/>
        <w:outlineLvl w:val="9"/>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一、总  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E341E22">
      <w:pPr>
        <w:pageBreakBefore w:val="0"/>
        <w:kinsoku/>
        <w:bidi w:val="0"/>
        <w:spacing w:line="360" w:lineRule="auto"/>
        <w:ind w:firstLine="470" w:firstLineChars="196"/>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本次招标依据《中华人民共和国政府采购法》、《政府采购货物和服务招标投标管理办法》、及国家现行有关法律法规执行。</w:t>
      </w:r>
    </w:p>
    <w:p w14:paraId="40C40A7B">
      <w:pPr>
        <w:pageBreakBefore w:val="0"/>
        <w:kinsoku/>
        <w:bidi w:val="0"/>
        <w:spacing w:line="360" w:lineRule="auto"/>
        <w:ind w:firstLine="472" w:firstLineChars="196"/>
        <w:outlineLvl w:val="9"/>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1．采购人、采购代理机构、监督管理机构</w:t>
      </w:r>
    </w:p>
    <w:p w14:paraId="7B8CE96C">
      <w:pPr>
        <w:pageBreakBefore w:val="0"/>
        <w:kinsoku/>
        <w:bidi w:val="0"/>
        <w:spacing w:line="360" w:lineRule="auto"/>
        <w:ind w:firstLine="470" w:firstLineChars="196"/>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1.1 采   购   人：</w:t>
      </w:r>
      <w:r>
        <w:rPr>
          <w:rFonts w:hint="eastAsia" w:asciiTheme="minorEastAsia" w:hAnsiTheme="minorEastAsia" w:eastAsiaTheme="minorEastAsia" w:cstheme="minorEastAsia"/>
          <w:color w:val="auto"/>
          <w:sz w:val="24"/>
          <w:lang w:eastAsia="zh-CN"/>
        </w:rPr>
        <w:t>子洲县林业局</w:t>
      </w:r>
    </w:p>
    <w:p w14:paraId="609115FF">
      <w:pPr>
        <w:pageBreakBefore w:val="0"/>
        <w:kinsoku/>
        <w:bidi w:val="0"/>
        <w:spacing w:line="360" w:lineRule="auto"/>
        <w:ind w:firstLine="470" w:firstLineChars="196"/>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1.2 采购代理机构：</w:t>
      </w:r>
      <w:r>
        <w:rPr>
          <w:rFonts w:hint="eastAsia" w:asciiTheme="minorEastAsia" w:hAnsiTheme="minorEastAsia" w:eastAsiaTheme="minorEastAsia" w:cstheme="minorEastAsia"/>
          <w:color w:val="auto"/>
          <w:sz w:val="24"/>
          <w:lang w:eastAsia="zh-CN"/>
        </w:rPr>
        <w:t>陕西华旭晟信项目管理有限责任公司</w:t>
      </w:r>
    </w:p>
    <w:p w14:paraId="2771F8FF">
      <w:pPr>
        <w:pageBreakBefore w:val="0"/>
        <w:kinsoku/>
        <w:bidi w:val="0"/>
        <w:spacing w:line="360" w:lineRule="auto"/>
        <w:ind w:firstLine="470" w:firstLineChars="196"/>
        <w:outlineLvl w:val="9"/>
        <w:rPr>
          <w:rFonts w:hint="default" w:asciiTheme="minorEastAsia" w:hAnsiTheme="minorEastAsia" w:eastAsiaTheme="minorEastAsia" w:cstheme="minorEastAsia"/>
          <w:color w:val="auto"/>
          <w:sz w:val="24"/>
          <w:lang w:val="en-US"/>
        </w:rPr>
      </w:pPr>
      <w:r>
        <w:rPr>
          <w:rFonts w:hint="eastAsia" w:asciiTheme="minorEastAsia" w:hAnsiTheme="minorEastAsia" w:eastAsiaTheme="minorEastAsia" w:cstheme="minorEastAsia"/>
          <w:color w:val="auto"/>
          <w:sz w:val="24"/>
        </w:rPr>
        <w:t>1.3 监督管理机构：</w:t>
      </w:r>
      <w:r>
        <w:rPr>
          <w:rFonts w:hint="eastAsia" w:asciiTheme="minorEastAsia" w:hAnsiTheme="minorEastAsia" w:eastAsiaTheme="minorEastAsia" w:cstheme="minorEastAsia"/>
          <w:sz w:val="24"/>
        </w:rPr>
        <w:t>子洲县财政局</w:t>
      </w:r>
    </w:p>
    <w:p w14:paraId="62DEC439">
      <w:pPr>
        <w:pageBreakBefore w:val="0"/>
        <w:kinsoku/>
        <w:bidi w:val="0"/>
        <w:spacing w:line="360" w:lineRule="auto"/>
        <w:ind w:firstLine="472" w:firstLineChars="196"/>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2．合格的投标人、合格的服务</w:t>
      </w:r>
    </w:p>
    <w:p w14:paraId="40D01DC5">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 合格的投标人</w:t>
      </w:r>
    </w:p>
    <w:p w14:paraId="3218EE24">
      <w:pPr>
        <w:pageBreakBefore w:val="0"/>
        <w:kinsoku/>
        <w:bidi w:val="0"/>
        <w:spacing w:line="360" w:lineRule="auto"/>
        <w:ind w:firstLine="470" w:firstLineChars="196"/>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 资质要求：</w:t>
      </w:r>
    </w:p>
    <w:p w14:paraId="62A7876D">
      <w:pPr>
        <w:keepNext w:val="0"/>
        <w:keepLines w:val="0"/>
        <w:pageBreakBefore w:val="0"/>
        <w:kinsoku/>
        <w:wordWrap/>
        <w:overflowPunct/>
        <w:topLinePunct w:val="0"/>
        <w:autoSpaceDE/>
        <w:autoSpaceDN/>
        <w:bidi w:val="0"/>
        <w:adjustRightInd/>
        <w:snapToGrid/>
        <w:spacing w:line="360" w:lineRule="auto"/>
        <w:ind w:firstLine="420"/>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1、符合《中华人民共和国政府采购法》第二十二条的规定；</w:t>
      </w:r>
    </w:p>
    <w:p w14:paraId="7F86C660">
      <w:pPr>
        <w:pStyle w:val="16"/>
        <w:keepNext w:val="0"/>
        <w:keepLines w:val="0"/>
        <w:pageBreakBefore w:val="0"/>
        <w:kinsoku/>
        <w:wordWrap/>
        <w:overflowPunct/>
        <w:topLinePunct w:val="0"/>
        <w:autoSpaceDE/>
        <w:autoSpaceDN/>
        <w:bidi w:val="0"/>
        <w:adjustRightInd/>
        <w:snapToGrid/>
        <w:spacing w:line="360" w:lineRule="auto"/>
        <w:ind w:firstLine="420"/>
        <w:textAlignment w:val="auto"/>
        <w:outlineLvl w:val="9"/>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2、落实政府采购政策需满足的资格要求：</w:t>
      </w:r>
    </w:p>
    <w:p w14:paraId="5430527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（1）《节能产品政府采购实施意见》财库〔2004〕185号;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（2）《环境标志产品政府采购实施的意见》财库〔2006〕90号；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（5）《陕西省财政厅关于进一步加大政府采购支持中小企业力度的通知》陕财办采〔2022〕5号；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（10）《关于在政府采购活动中查询及使用信用记录有关问题的通知》财库〔2016〕125号；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（11）其他需要落实的政府采购政策；</w:t>
      </w:r>
    </w:p>
    <w:p w14:paraId="71D7AFE4">
      <w:pPr>
        <w:pStyle w:val="16"/>
        <w:keepNext w:val="0"/>
        <w:keepLines w:val="0"/>
        <w:pageBreakBefore w:val="0"/>
        <w:kinsoku/>
        <w:wordWrap/>
        <w:overflowPunct/>
        <w:topLinePunct w:val="0"/>
        <w:autoSpaceDE/>
        <w:autoSpaceDN/>
        <w:bidi w:val="0"/>
        <w:adjustRightInd/>
        <w:snapToGrid/>
        <w:spacing w:line="360" w:lineRule="auto"/>
        <w:ind w:firstLine="420"/>
        <w:textAlignment w:val="auto"/>
        <w:outlineLvl w:val="9"/>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3、本项目的特定资格要求：</w:t>
      </w:r>
    </w:p>
    <w:p w14:paraId="17578C9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Theme="majorEastAsia" w:hAnsiTheme="majorEastAsia" w:eastAsiaTheme="majorEastAsia" w:cstheme="majorEastAsia"/>
          <w:sz w:val="24"/>
          <w:szCs w:val="24"/>
        </w:rPr>
      </w:pPr>
      <w:r>
        <w:rPr>
          <w:rFonts w:hint="eastAsia" w:ascii="宋体" w:hAnsi="宋体" w:eastAsia="宋体" w:cs="宋体"/>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w:t>
      </w:r>
      <w:r>
        <w:rPr>
          <w:rFonts w:hint="eastAsia" w:cs="宋体"/>
          <w:i w:val="0"/>
          <w:iCs w:val="0"/>
          <w:caps w:val="0"/>
          <w:color w:val="auto"/>
          <w:spacing w:val="0"/>
          <w:sz w:val="24"/>
          <w:szCs w:val="24"/>
          <w:shd w:val="clear" w:fill="FFFFFF"/>
          <w:lang w:eastAsia="zh-CN"/>
        </w:rPr>
        <w:t>投标人须具备市政工程监理丙级及以上资质；投标人拟派项目总监理工程师具备市政工程注册监理工程师及以上执业资格</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（3）税收缴纳证明：提供2025年1月至今已缴存的至少1个月的纳税证明（银行缴费凭证）或完税证明，依法免税的单位应提供相关证明材料；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（4）社会保障资金缴纳证明：提供2025年1月至今已缴存的至少1个月的社会保障资金</w:t>
      </w:r>
      <w:r>
        <w:rPr>
          <w:rFonts w:hint="eastAsia" w:ascii="宋体" w:hAnsi="宋体" w:cs="宋体"/>
          <w:i w:val="0"/>
          <w:iCs w:val="0"/>
          <w:caps w:val="0"/>
          <w:color w:val="auto"/>
          <w:spacing w:val="0"/>
          <w:sz w:val="24"/>
          <w:szCs w:val="24"/>
          <w:shd w:val="clear" w:fill="FFFFFF"/>
          <w:lang w:eastAsia="zh-CN"/>
        </w:rPr>
        <w:t>（</w:t>
      </w:r>
      <w:r>
        <w:rPr>
          <w:rFonts w:hint="eastAsia" w:ascii="宋体" w:hAnsi="宋体" w:cs="宋体"/>
          <w:i w:val="0"/>
          <w:iCs w:val="0"/>
          <w:caps w:val="0"/>
          <w:color w:val="auto"/>
          <w:spacing w:val="0"/>
          <w:sz w:val="24"/>
          <w:szCs w:val="24"/>
          <w:shd w:val="clear" w:fill="FFFFFF"/>
          <w:lang w:val="en-US" w:eastAsia="zh-CN"/>
        </w:rPr>
        <w:t>任一险种</w:t>
      </w:r>
      <w:r>
        <w:rPr>
          <w:rFonts w:hint="eastAsia" w:ascii="宋体" w:hAnsi="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缴存单据或社保机构开具的社会保险</w:t>
      </w:r>
      <w:r>
        <w:rPr>
          <w:rFonts w:hint="eastAsia" w:ascii="宋体" w:hAnsi="宋体" w:cs="宋体"/>
          <w:i w:val="0"/>
          <w:iCs w:val="0"/>
          <w:caps w:val="0"/>
          <w:color w:val="auto"/>
          <w:spacing w:val="0"/>
          <w:sz w:val="24"/>
          <w:szCs w:val="24"/>
          <w:shd w:val="clear" w:fill="FFFFFF"/>
          <w:lang w:eastAsia="zh-CN"/>
        </w:rPr>
        <w:t>（</w:t>
      </w:r>
      <w:r>
        <w:rPr>
          <w:rFonts w:hint="eastAsia" w:ascii="宋体" w:hAnsi="宋体" w:cs="宋体"/>
          <w:i w:val="0"/>
          <w:iCs w:val="0"/>
          <w:caps w:val="0"/>
          <w:color w:val="auto"/>
          <w:spacing w:val="0"/>
          <w:sz w:val="24"/>
          <w:szCs w:val="24"/>
          <w:shd w:val="clear" w:fill="FFFFFF"/>
          <w:lang w:val="en-US" w:eastAsia="zh-CN"/>
        </w:rPr>
        <w:t>任一险种</w:t>
      </w:r>
      <w:r>
        <w:rPr>
          <w:rFonts w:hint="eastAsia" w:ascii="宋体" w:hAnsi="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5）财务状况报告：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6）对列入“信用中国”网站(www.creditchina.gov.cn)“失信被执行人、税收违法黑名单、异常经营名录”记录名单；“中国政府采购网”(www.ccgp.gov.cn)“政府采购严重违法失信行为信息记录”的单位，应当拒绝参与政府采购活动，提供查询截图（</w:t>
      </w:r>
      <w:r>
        <w:rPr>
          <w:rFonts w:hint="eastAsia" w:ascii="宋体" w:hAnsi="宋体" w:eastAsia="宋体" w:cs="宋体"/>
          <w:i w:val="0"/>
          <w:iCs w:val="0"/>
          <w:caps w:val="0"/>
          <w:color w:val="auto"/>
          <w:spacing w:val="0"/>
          <w:sz w:val="24"/>
          <w:szCs w:val="24"/>
          <w:shd w:val="clear" w:fill="FFFFFF"/>
          <w:lang w:eastAsia="zh-CN"/>
        </w:rPr>
        <w:t>查询日期为从招标文件获取之日起至投标截止日前但最终以投标截止日当天查询结果为准</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（7）参加政府采购活动前三年内，在经营活动中没有重大违法记录的书面声明；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（8）提供具有履行合同所必需的设备和专业技术能力的证明材料或承诺函；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9）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（10）本项目专门面向中小企业采购（提供中小企业声明函）。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14:paraId="39618EE2">
      <w:pPr>
        <w:pStyle w:val="8"/>
        <w:pageBreakBefore w:val="0"/>
        <w:kinsoku/>
        <w:bidi w:val="0"/>
        <w:spacing w:after="0" w:line="360" w:lineRule="auto"/>
        <w:ind w:firstLine="482" w:firstLineChars="200"/>
        <w:outlineLvl w:val="9"/>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 xml:space="preserve"> 2.</w:t>
      </w:r>
      <w:r>
        <w:rPr>
          <w:rFonts w:hint="eastAsia" w:asciiTheme="minorEastAsia" w:hAnsiTheme="minorEastAsia" w:eastAsiaTheme="minorEastAsia" w:cstheme="minorEastAsia"/>
          <w:b/>
          <w:bCs/>
          <w:color w:val="auto"/>
          <w:sz w:val="24"/>
          <w:lang w:val="en-US" w:eastAsia="zh-CN"/>
        </w:rPr>
        <w:t>2</w:t>
      </w:r>
      <w:r>
        <w:rPr>
          <w:rFonts w:hint="eastAsia" w:asciiTheme="minorEastAsia" w:hAnsiTheme="minorEastAsia" w:eastAsiaTheme="minorEastAsia" w:cstheme="minorEastAsia"/>
          <w:b/>
          <w:bCs/>
          <w:color w:val="auto"/>
          <w:sz w:val="24"/>
        </w:rPr>
        <w:t xml:space="preserve"> 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24F74A33">
      <w:pPr>
        <w:pStyle w:val="8"/>
        <w:pageBreakBefore w:val="0"/>
        <w:kinsoku/>
        <w:bidi w:val="0"/>
        <w:spacing w:after="0"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本项目不接受联合体投标。</w:t>
      </w:r>
    </w:p>
    <w:p w14:paraId="266056E9">
      <w:pPr>
        <w:pageBreakBefore w:val="0"/>
        <w:kinsoku/>
        <w:bidi w:val="0"/>
        <w:spacing w:line="360" w:lineRule="auto"/>
        <w:ind w:firstLine="482" w:firstLineChars="200"/>
        <w:outlineLvl w:val="9"/>
        <w:rPr>
          <w:rFonts w:hint="eastAsia" w:asciiTheme="minorEastAsia" w:hAnsiTheme="minorEastAsia" w:eastAsiaTheme="minorEastAsia" w:cstheme="minorEastAsia"/>
          <w:color w:val="auto"/>
          <w:sz w:val="24"/>
        </w:rPr>
      </w:pPr>
      <w:bookmarkStart w:id="27" w:name="_Toc170980441"/>
      <w:bookmarkStart w:id="28" w:name="_Toc245657540"/>
      <w:bookmarkStart w:id="29" w:name="_Toc169846763"/>
      <w:bookmarkStart w:id="30" w:name="_Toc170980539"/>
      <w:bookmarkStart w:id="31" w:name="_Toc167849347"/>
      <w:bookmarkStart w:id="32" w:name="_Toc167591317"/>
      <w:bookmarkStart w:id="33" w:name="_Toc167591479"/>
      <w:bookmarkStart w:id="34" w:name="_Toc244623578"/>
      <w:bookmarkStart w:id="35" w:name="_Toc175032424"/>
      <w:bookmarkStart w:id="36" w:name="_Toc167591131"/>
      <w:bookmarkStart w:id="37" w:name="_Toc173549965"/>
      <w:bookmarkStart w:id="38" w:name="_Toc167591030"/>
      <w:bookmarkStart w:id="39" w:name="_Toc154482466"/>
      <w:bookmarkStart w:id="40" w:name="_Toc169838519"/>
      <w:bookmarkStart w:id="41" w:name="_Toc245176652"/>
      <w:bookmarkStart w:id="42" w:name="_Toc175033579"/>
      <w:bookmarkStart w:id="43" w:name="_Toc169846860"/>
      <w:bookmarkStart w:id="44" w:name="_Toc245658521"/>
      <w:bookmarkStart w:id="45" w:name="_Toc207897903"/>
      <w:bookmarkStart w:id="46" w:name="_Toc167590762"/>
      <w:bookmarkStart w:id="47" w:name="_Toc208337151"/>
      <w:r>
        <w:rPr>
          <w:rFonts w:hint="eastAsia" w:asciiTheme="minorEastAsia" w:hAnsiTheme="minorEastAsia" w:eastAsiaTheme="minorEastAsia" w:cstheme="minorEastAsia"/>
          <w:b/>
          <w:color w:val="auto"/>
          <w:sz w:val="24"/>
        </w:rPr>
        <w:t>3．投标费用</w:t>
      </w:r>
    </w:p>
    <w:p w14:paraId="0F735B86">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投标人应承担所有与准备和参加投标有关的费用。</w:t>
      </w:r>
    </w:p>
    <w:p w14:paraId="2D42C533">
      <w:pPr>
        <w:pageBreakBefore w:val="0"/>
        <w:kinsoku/>
        <w:bidi w:val="0"/>
        <w:spacing w:line="360" w:lineRule="auto"/>
        <w:jc w:val="center"/>
        <w:outlineLvl w:val="9"/>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二、招标文件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69C3753">
      <w:pPr>
        <w:pageBreakBefore w:val="0"/>
        <w:kinsoku/>
        <w:bidi w:val="0"/>
        <w:spacing w:line="360" w:lineRule="auto"/>
        <w:ind w:firstLine="482"/>
        <w:outlineLvl w:val="9"/>
        <w:rPr>
          <w:rFonts w:hint="eastAsia" w:asciiTheme="minorEastAsia" w:hAnsiTheme="minorEastAsia" w:eastAsiaTheme="minorEastAsia" w:cstheme="minorEastAsia"/>
          <w:b/>
          <w:color w:val="auto"/>
          <w:kern w:val="1"/>
          <w:sz w:val="24"/>
        </w:rPr>
      </w:pPr>
      <w:bookmarkStart w:id="48" w:name="_Toc244623579"/>
      <w:bookmarkStart w:id="49" w:name="_Toc208337152"/>
      <w:bookmarkStart w:id="50" w:name="_Toc170980442"/>
      <w:bookmarkStart w:id="51" w:name="_Toc169838520"/>
      <w:bookmarkStart w:id="52" w:name="_Toc207897904"/>
      <w:bookmarkStart w:id="53" w:name="_Toc154482467"/>
      <w:bookmarkStart w:id="54" w:name="_Toc167590763"/>
      <w:bookmarkStart w:id="55" w:name="_Toc245176653"/>
      <w:bookmarkStart w:id="56" w:name="_Toc245657541"/>
      <w:bookmarkStart w:id="57" w:name="_Toc169846764"/>
      <w:bookmarkStart w:id="58" w:name="_Toc175033580"/>
      <w:bookmarkStart w:id="59" w:name="_Toc175032425"/>
      <w:bookmarkStart w:id="60" w:name="_Toc169846861"/>
      <w:bookmarkStart w:id="61" w:name="_Toc167591132"/>
      <w:bookmarkStart w:id="62" w:name="_Toc170980540"/>
      <w:bookmarkStart w:id="63" w:name="_Toc167849348"/>
      <w:bookmarkStart w:id="64" w:name="_Toc167591031"/>
      <w:bookmarkStart w:id="65" w:name="_Toc167591480"/>
      <w:bookmarkStart w:id="66" w:name="_Toc173549966"/>
      <w:bookmarkStart w:id="67" w:name="_Toc167591318"/>
      <w:bookmarkStart w:id="68" w:name="_Toc245658522"/>
      <w:r>
        <w:rPr>
          <w:rFonts w:hint="eastAsia" w:asciiTheme="minorEastAsia" w:hAnsiTheme="minorEastAsia" w:eastAsiaTheme="minorEastAsia" w:cstheme="minorEastAsia"/>
          <w:b/>
          <w:color w:val="auto"/>
          <w:kern w:val="1"/>
          <w:sz w:val="24"/>
        </w:rPr>
        <w:t>4．招标文件构成</w:t>
      </w:r>
    </w:p>
    <w:p w14:paraId="6FFD0208">
      <w:pPr>
        <w:pageBreakBefore w:val="0"/>
        <w:kinsoku/>
        <w:bidi w:val="0"/>
        <w:spacing w:line="360" w:lineRule="auto"/>
        <w:ind w:firstLine="47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招标文件包括下列内容：</w:t>
      </w:r>
    </w:p>
    <w:p w14:paraId="4F29E517">
      <w:pPr>
        <w:pageBreakBefore w:val="0"/>
        <w:numPr>
          <w:ilvl w:val="0"/>
          <w:numId w:val="0"/>
        </w:numPr>
        <w:kinsoku/>
        <w:bidi w:val="0"/>
        <w:spacing w:line="360" w:lineRule="auto"/>
        <w:ind w:firstLine="480" w:firstLineChars="20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第一章  </w:t>
      </w:r>
      <w:r>
        <w:rPr>
          <w:rFonts w:hint="eastAsia" w:asciiTheme="minorEastAsia" w:hAnsiTheme="minorEastAsia" w:eastAsiaTheme="minorEastAsia" w:cstheme="minorEastAsia"/>
          <w:color w:val="auto"/>
          <w:kern w:val="1"/>
          <w:sz w:val="24"/>
        </w:rPr>
        <w:t>招标公告</w:t>
      </w:r>
    </w:p>
    <w:p w14:paraId="2535F5E6">
      <w:pPr>
        <w:pageBreakBefore w:val="0"/>
        <w:numPr>
          <w:ilvl w:val="0"/>
          <w:numId w:val="0"/>
        </w:numPr>
        <w:kinsoku/>
        <w:bidi w:val="0"/>
        <w:spacing w:line="360" w:lineRule="auto"/>
        <w:ind w:firstLine="480" w:firstLineChars="20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第二章  </w:t>
      </w:r>
      <w:r>
        <w:rPr>
          <w:rFonts w:hint="eastAsia" w:asciiTheme="minorEastAsia" w:hAnsiTheme="minorEastAsia" w:eastAsiaTheme="minorEastAsia" w:cstheme="minorEastAsia"/>
          <w:color w:val="auto"/>
          <w:kern w:val="1"/>
          <w:sz w:val="24"/>
        </w:rPr>
        <w:t>投标须知前附表</w:t>
      </w:r>
    </w:p>
    <w:p w14:paraId="50E2E4B2">
      <w:pPr>
        <w:pageBreakBefore w:val="0"/>
        <w:numPr>
          <w:ilvl w:val="0"/>
          <w:numId w:val="0"/>
        </w:numPr>
        <w:kinsoku/>
        <w:bidi w:val="0"/>
        <w:spacing w:line="360" w:lineRule="auto"/>
        <w:ind w:firstLine="480" w:firstLineChars="20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第三章  </w:t>
      </w:r>
      <w:r>
        <w:rPr>
          <w:rFonts w:hint="eastAsia" w:asciiTheme="minorEastAsia" w:hAnsiTheme="minorEastAsia" w:eastAsiaTheme="minorEastAsia" w:cstheme="minorEastAsia"/>
          <w:color w:val="auto"/>
          <w:kern w:val="1"/>
          <w:sz w:val="24"/>
        </w:rPr>
        <w:t>投标须知</w:t>
      </w:r>
    </w:p>
    <w:p w14:paraId="756F2582">
      <w:pPr>
        <w:pageBreakBefore w:val="0"/>
        <w:numPr>
          <w:ilvl w:val="0"/>
          <w:numId w:val="0"/>
        </w:numPr>
        <w:kinsoku/>
        <w:bidi w:val="0"/>
        <w:spacing w:line="360" w:lineRule="auto"/>
        <w:ind w:firstLine="480" w:firstLineChars="200"/>
        <w:outlineLvl w:val="9"/>
        <w:rPr>
          <w:rFonts w:hint="eastAsia" w:asciiTheme="minorEastAsia" w:hAnsiTheme="minorEastAsia" w:eastAsiaTheme="minorEastAsia" w:cstheme="minorEastAsia"/>
          <w:color w:val="auto"/>
          <w:kern w:val="1"/>
          <w:sz w:val="24"/>
          <w:lang w:val="en-US"/>
        </w:rPr>
      </w:pPr>
      <w:r>
        <w:rPr>
          <w:rFonts w:hint="eastAsia" w:asciiTheme="minorEastAsia" w:hAnsiTheme="minorEastAsia" w:eastAsiaTheme="minorEastAsia" w:cstheme="minorEastAsia"/>
          <w:color w:val="auto"/>
          <w:kern w:val="1"/>
          <w:sz w:val="24"/>
          <w:lang w:val="en-US" w:eastAsia="zh-CN"/>
        </w:rPr>
        <w:t>第四章  采购内容及技术要求</w:t>
      </w:r>
    </w:p>
    <w:p w14:paraId="62622CF3">
      <w:pPr>
        <w:pageBreakBefore w:val="0"/>
        <w:numPr>
          <w:ilvl w:val="0"/>
          <w:numId w:val="0"/>
        </w:numPr>
        <w:kinsoku/>
        <w:bidi w:val="0"/>
        <w:spacing w:line="360" w:lineRule="auto"/>
        <w:ind w:firstLine="480" w:firstLineChars="20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第五章  商务要求及合同基本条款</w:t>
      </w:r>
    </w:p>
    <w:p w14:paraId="29870700">
      <w:pPr>
        <w:pageBreakBefore w:val="0"/>
        <w:numPr>
          <w:ilvl w:val="0"/>
          <w:numId w:val="0"/>
        </w:numPr>
        <w:kinsoku/>
        <w:bidi w:val="0"/>
        <w:spacing w:line="360" w:lineRule="auto"/>
        <w:ind w:firstLine="480" w:firstLineChars="20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第六章  </w:t>
      </w:r>
      <w:r>
        <w:rPr>
          <w:rFonts w:hint="eastAsia" w:asciiTheme="minorEastAsia" w:hAnsiTheme="minorEastAsia" w:eastAsiaTheme="minorEastAsia" w:cstheme="minorEastAsia"/>
          <w:color w:val="auto"/>
          <w:kern w:val="1"/>
          <w:sz w:val="24"/>
        </w:rPr>
        <w:t>投标文件基本格式</w:t>
      </w:r>
    </w:p>
    <w:p w14:paraId="7A31EFD9">
      <w:pPr>
        <w:pageBreakBefore w:val="0"/>
        <w:numPr>
          <w:ilvl w:val="0"/>
          <w:numId w:val="0"/>
        </w:numPr>
        <w:kinsoku/>
        <w:bidi w:val="0"/>
        <w:spacing w:line="360" w:lineRule="auto"/>
        <w:ind w:firstLine="480" w:firstLineChars="20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第七章  榆林市公共资源交易平台全流程电子化政府采购项目内容</w:t>
      </w:r>
    </w:p>
    <w:p w14:paraId="31CE8E4A">
      <w:pPr>
        <w:pageBreakBefore w:val="0"/>
        <w:kinsoku/>
        <w:bidi w:val="0"/>
        <w:spacing w:line="360" w:lineRule="auto"/>
        <w:ind w:firstLine="482"/>
        <w:outlineLvl w:val="9"/>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b/>
          <w:color w:val="auto"/>
          <w:kern w:val="1"/>
          <w:sz w:val="24"/>
        </w:rPr>
        <w:t>5．招标文件的澄清和修改</w:t>
      </w:r>
    </w:p>
    <w:p w14:paraId="07CDA3DD">
      <w:pPr>
        <w:pageBreakBefore w:val="0"/>
        <w:kinsoku/>
        <w:bidi w:val="0"/>
        <w:spacing w:line="360" w:lineRule="auto"/>
        <w:ind w:firstLine="48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rPr>
        <w:t xml:space="preserve">5.1 </w:t>
      </w:r>
      <w:r>
        <w:rPr>
          <w:rFonts w:hint="eastAsia" w:asciiTheme="minorEastAsia" w:hAnsiTheme="minorEastAsia" w:eastAsiaTheme="minorEastAsia" w:cstheme="minorEastAsia"/>
          <w:color w:val="auto"/>
          <w:sz w:val="24"/>
          <w:szCs w:val="24"/>
          <w:lang w:eastAsia="zh-CN"/>
        </w:rPr>
        <w:t>采购代理机构</w:t>
      </w:r>
      <w:r>
        <w:rPr>
          <w:rFonts w:hint="eastAsia" w:asciiTheme="minorEastAsia" w:hAnsiTheme="minorEastAsia" w:eastAsiaTheme="minorEastAsia" w:cstheme="minorEastAsia"/>
          <w:color w:val="auto"/>
          <w:sz w:val="24"/>
          <w:szCs w:val="24"/>
        </w:rPr>
        <w:t>可以对已发出的</w:t>
      </w:r>
      <w:r>
        <w:rPr>
          <w:rFonts w:hint="eastAsia" w:asciiTheme="minorEastAsia" w:hAnsiTheme="minorEastAsia" w:eastAsiaTheme="minorEastAsia" w:cstheme="minorEastAsia"/>
          <w:color w:val="auto"/>
          <w:sz w:val="24"/>
          <w:szCs w:val="24"/>
          <w:lang w:eastAsia="zh-CN"/>
        </w:rPr>
        <w:t>招标文件</w:t>
      </w:r>
      <w:r>
        <w:rPr>
          <w:rFonts w:hint="eastAsia" w:asciiTheme="minorEastAsia" w:hAnsiTheme="minorEastAsia" w:eastAsiaTheme="minorEastAsia" w:cstheme="minorEastAsia"/>
          <w:color w:val="auto"/>
          <w:sz w:val="24"/>
          <w:szCs w:val="24"/>
        </w:rPr>
        <w:t>进行必要的澄清或者修改，</w:t>
      </w:r>
      <w:r>
        <w:rPr>
          <w:rFonts w:hint="eastAsia" w:asciiTheme="minorEastAsia" w:hAnsiTheme="minorEastAsia" w:eastAsiaTheme="minorEastAsia" w:cstheme="minorEastAsia"/>
          <w:b/>
          <w:color w:val="auto"/>
          <w:sz w:val="24"/>
          <w:szCs w:val="24"/>
        </w:rPr>
        <w:t>但不得改变采购标的和资格条件。</w:t>
      </w:r>
      <w:r>
        <w:rPr>
          <w:rFonts w:hint="eastAsia" w:asciiTheme="minorEastAsia" w:hAnsiTheme="minorEastAsia" w:eastAsiaTheme="minorEastAsia" w:cstheme="minorEastAsia"/>
          <w:color w:val="auto"/>
          <w:sz w:val="24"/>
          <w:szCs w:val="24"/>
        </w:rPr>
        <w:t>澄清或者修改应将在原公告发布媒体上发布澄清公告，其内容为</w:t>
      </w:r>
      <w:r>
        <w:rPr>
          <w:rFonts w:hint="eastAsia" w:asciiTheme="minorEastAsia" w:hAnsiTheme="minorEastAsia" w:eastAsiaTheme="minorEastAsia" w:cstheme="minorEastAsia"/>
          <w:color w:val="auto"/>
          <w:sz w:val="24"/>
          <w:szCs w:val="24"/>
          <w:lang w:eastAsia="zh-CN"/>
        </w:rPr>
        <w:t>招标文件</w:t>
      </w:r>
      <w:r>
        <w:rPr>
          <w:rFonts w:hint="eastAsia" w:asciiTheme="minorEastAsia" w:hAnsiTheme="minorEastAsia" w:eastAsiaTheme="minorEastAsia" w:cstheme="minorEastAsia"/>
          <w:color w:val="auto"/>
          <w:sz w:val="24"/>
          <w:szCs w:val="24"/>
        </w:rPr>
        <w:t>的组成部分。</w:t>
      </w:r>
    </w:p>
    <w:p w14:paraId="483B6D1E">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5.2 澄清或者修改的内容可能影响</w:t>
      </w:r>
      <w:r>
        <w:rPr>
          <w:rFonts w:hint="eastAsia" w:asciiTheme="minorEastAsia" w:hAnsiTheme="minorEastAsia" w:eastAsiaTheme="minorEastAsia" w:cstheme="minorEastAsia"/>
          <w:color w:val="auto"/>
          <w:kern w:val="1"/>
          <w:sz w:val="24"/>
          <w:szCs w:val="24"/>
          <w:lang w:eastAsia="zh-CN"/>
        </w:rPr>
        <w:t>投标文件</w:t>
      </w:r>
      <w:r>
        <w:rPr>
          <w:rFonts w:hint="eastAsia" w:asciiTheme="minorEastAsia" w:hAnsiTheme="minorEastAsia" w:eastAsiaTheme="minorEastAsia" w:cstheme="minorEastAsia"/>
          <w:color w:val="auto"/>
          <w:kern w:val="1"/>
          <w:sz w:val="24"/>
          <w:szCs w:val="24"/>
        </w:rPr>
        <w:t>编制的，</w:t>
      </w:r>
      <w:r>
        <w:rPr>
          <w:rFonts w:hint="eastAsia" w:asciiTheme="minorEastAsia" w:hAnsiTheme="minorEastAsia" w:eastAsiaTheme="minorEastAsia" w:cstheme="minorEastAsia"/>
          <w:color w:val="auto"/>
          <w:kern w:val="1"/>
          <w:sz w:val="24"/>
          <w:szCs w:val="24"/>
          <w:lang w:eastAsia="zh-CN"/>
        </w:rPr>
        <w:t>采购代理机构</w:t>
      </w:r>
      <w:r>
        <w:rPr>
          <w:rFonts w:hint="eastAsia" w:asciiTheme="minorEastAsia" w:hAnsiTheme="minorEastAsia" w:eastAsiaTheme="minorEastAsia" w:cstheme="minorEastAsia"/>
          <w:color w:val="auto"/>
          <w:kern w:val="1"/>
          <w:sz w:val="24"/>
          <w:szCs w:val="24"/>
        </w:rPr>
        <w:t>将在投标截止时间至少</w:t>
      </w:r>
      <w:r>
        <w:rPr>
          <w:rFonts w:hint="eastAsia" w:asciiTheme="minorEastAsia" w:hAnsiTheme="minorEastAsia" w:eastAsiaTheme="minorEastAsia" w:cstheme="minorEastAsia"/>
          <w:color w:val="auto"/>
          <w:kern w:val="1"/>
          <w:sz w:val="24"/>
          <w:szCs w:val="24"/>
          <w:lang w:val="en-US" w:eastAsia="zh-CN"/>
        </w:rPr>
        <w:t>15</w:t>
      </w:r>
      <w:r>
        <w:rPr>
          <w:rFonts w:hint="eastAsia" w:asciiTheme="minorEastAsia" w:hAnsiTheme="minorEastAsia" w:eastAsiaTheme="minorEastAsia" w:cstheme="minorEastAsia"/>
          <w:color w:val="auto"/>
          <w:kern w:val="1"/>
          <w:sz w:val="24"/>
          <w:szCs w:val="24"/>
        </w:rPr>
        <w:t>日前，在原公告发布媒体上发布更正公告；不足</w:t>
      </w:r>
      <w:r>
        <w:rPr>
          <w:rFonts w:hint="eastAsia" w:asciiTheme="minorEastAsia" w:hAnsiTheme="minorEastAsia" w:eastAsiaTheme="minorEastAsia" w:cstheme="minorEastAsia"/>
          <w:color w:val="auto"/>
          <w:kern w:val="1"/>
          <w:sz w:val="24"/>
          <w:szCs w:val="24"/>
          <w:lang w:val="en-US" w:eastAsia="zh-CN"/>
        </w:rPr>
        <w:t>15</w:t>
      </w:r>
      <w:r>
        <w:rPr>
          <w:rFonts w:hint="eastAsia" w:asciiTheme="minorEastAsia" w:hAnsiTheme="minorEastAsia" w:eastAsiaTheme="minorEastAsia" w:cstheme="minorEastAsia"/>
          <w:color w:val="auto"/>
          <w:kern w:val="1"/>
          <w:sz w:val="24"/>
          <w:szCs w:val="24"/>
        </w:rPr>
        <w:t>日，</w:t>
      </w:r>
      <w:r>
        <w:rPr>
          <w:rFonts w:hint="eastAsia" w:asciiTheme="minorEastAsia" w:hAnsiTheme="minorEastAsia" w:eastAsiaTheme="minorEastAsia" w:cstheme="minorEastAsia"/>
          <w:color w:val="auto"/>
          <w:kern w:val="1"/>
          <w:sz w:val="24"/>
          <w:szCs w:val="24"/>
          <w:lang w:eastAsia="zh-CN"/>
        </w:rPr>
        <w:t>采购代理机构</w:t>
      </w:r>
      <w:r>
        <w:rPr>
          <w:rFonts w:hint="eastAsia" w:asciiTheme="minorEastAsia" w:hAnsiTheme="minorEastAsia" w:eastAsiaTheme="minorEastAsia" w:cstheme="minorEastAsia"/>
          <w:color w:val="auto"/>
          <w:kern w:val="1"/>
          <w:sz w:val="24"/>
          <w:szCs w:val="24"/>
        </w:rPr>
        <w:t>将顺延提交</w:t>
      </w:r>
      <w:r>
        <w:rPr>
          <w:rFonts w:hint="eastAsia" w:asciiTheme="minorEastAsia" w:hAnsiTheme="minorEastAsia" w:eastAsiaTheme="minorEastAsia" w:cstheme="minorEastAsia"/>
          <w:color w:val="auto"/>
          <w:kern w:val="1"/>
          <w:sz w:val="24"/>
          <w:szCs w:val="24"/>
          <w:lang w:eastAsia="zh-CN"/>
        </w:rPr>
        <w:t>投标文件</w:t>
      </w:r>
      <w:r>
        <w:rPr>
          <w:rFonts w:hint="eastAsia" w:asciiTheme="minorEastAsia" w:hAnsiTheme="minorEastAsia" w:eastAsiaTheme="minorEastAsia" w:cstheme="minorEastAsia"/>
          <w:color w:val="auto"/>
          <w:kern w:val="1"/>
          <w:sz w:val="24"/>
          <w:szCs w:val="24"/>
        </w:rPr>
        <w:t>的截止时间。</w:t>
      </w:r>
    </w:p>
    <w:p w14:paraId="4B0C5B16">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rPr>
        <w:t xml:space="preserve">5.3 </w:t>
      </w:r>
      <w:r>
        <w:rPr>
          <w:rFonts w:hint="eastAsia" w:asciiTheme="minorEastAsia" w:hAnsiTheme="minorEastAsia" w:eastAsiaTheme="minorEastAsia" w:cstheme="minorEastAsia"/>
          <w:color w:val="auto"/>
          <w:sz w:val="24"/>
          <w:szCs w:val="24"/>
        </w:rPr>
        <w:t>各</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在提交</w:t>
      </w:r>
      <w:r>
        <w:rPr>
          <w:rFonts w:hint="eastAsia" w:asciiTheme="minorEastAsia" w:hAnsiTheme="minorEastAsia" w:eastAsiaTheme="minorEastAsia" w:cstheme="minorEastAsia"/>
          <w:color w:val="auto"/>
          <w:sz w:val="24"/>
          <w:szCs w:val="24"/>
          <w:lang w:eastAsia="zh-CN"/>
        </w:rPr>
        <w:t>投标文件</w:t>
      </w:r>
      <w:r>
        <w:rPr>
          <w:rFonts w:hint="eastAsia" w:asciiTheme="minorEastAsia" w:hAnsiTheme="minorEastAsia" w:eastAsiaTheme="minorEastAsia" w:cstheme="minorEastAsia"/>
          <w:color w:val="auto"/>
          <w:sz w:val="24"/>
          <w:szCs w:val="24"/>
        </w:rPr>
        <w:t>截止时间之前，应随时关注下列地址发布的变更公告，也可登录全国公共资源交易平台（陕西省）政府采购交易系统查看左上角的信息提醒，</w:t>
      </w:r>
      <w:r>
        <w:rPr>
          <w:rFonts w:hint="eastAsia" w:asciiTheme="minorEastAsia" w:hAnsiTheme="minorEastAsia" w:eastAsiaTheme="minorEastAsia" w:cstheme="minorEastAsia"/>
          <w:color w:val="auto"/>
          <w:sz w:val="24"/>
          <w:szCs w:val="24"/>
          <w:lang w:eastAsia="zh-CN"/>
        </w:rPr>
        <w:t>采购代理机构</w:t>
      </w:r>
      <w:r>
        <w:rPr>
          <w:rFonts w:hint="eastAsia" w:asciiTheme="minorEastAsia" w:hAnsiTheme="minorEastAsia" w:eastAsiaTheme="minorEastAsia" w:cstheme="minorEastAsia"/>
          <w:b/>
          <w:color w:val="auto"/>
          <w:sz w:val="24"/>
          <w:szCs w:val="24"/>
        </w:rPr>
        <w:t>不再单独通知，因</w:t>
      </w:r>
      <w:r>
        <w:rPr>
          <w:rFonts w:hint="eastAsia" w:asciiTheme="minorEastAsia" w:hAnsiTheme="minorEastAsia" w:eastAsiaTheme="minorEastAsia" w:cstheme="minorEastAsia"/>
          <w:b/>
          <w:color w:val="auto"/>
          <w:sz w:val="24"/>
          <w:szCs w:val="24"/>
          <w:lang w:eastAsia="zh-CN"/>
        </w:rPr>
        <w:t>投标人</w:t>
      </w:r>
      <w:r>
        <w:rPr>
          <w:rFonts w:hint="eastAsia" w:asciiTheme="minorEastAsia" w:hAnsiTheme="minorEastAsia" w:eastAsiaTheme="minorEastAsia" w:cstheme="minorEastAsia"/>
          <w:b/>
          <w:color w:val="auto"/>
          <w:sz w:val="24"/>
          <w:szCs w:val="24"/>
        </w:rPr>
        <w:t>未及时关注所造成的一切后果由</w:t>
      </w:r>
      <w:r>
        <w:rPr>
          <w:rFonts w:hint="eastAsia" w:asciiTheme="minorEastAsia" w:hAnsiTheme="minorEastAsia" w:eastAsiaTheme="minorEastAsia" w:cstheme="minorEastAsia"/>
          <w:b/>
          <w:color w:val="auto"/>
          <w:sz w:val="24"/>
          <w:szCs w:val="24"/>
          <w:lang w:eastAsia="zh-CN"/>
        </w:rPr>
        <w:t>投标人</w:t>
      </w:r>
      <w:r>
        <w:rPr>
          <w:rFonts w:hint="eastAsia" w:asciiTheme="minorEastAsia" w:hAnsiTheme="minorEastAsia" w:eastAsiaTheme="minorEastAsia" w:cstheme="minorEastAsia"/>
          <w:b/>
          <w:color w:val="auto"/>
          <w:sz w:val="24"/>
          <w:szCs w:val="24"/>
        </w:rPr>
        <w:t>自行承担：</w:t>
      </w:r>
    </w:p>
    <w:p w14:paraId="06743AFD">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"http://www.ccgp-shaanxi.gov.cn" </w:instrText>
      </w:r>
      <w:r>
        <w:rPr>
          <w:rFonts w:hint="eastAsia" w:asciiTheme="minorEastAsia" w:hAnsiTheme="minorEastAsia" w:eastAsiaTheme="minorEastAsia" w:cstheme="minorEastAsia"/>
          <w:color w:val="auto"/>
          <w:sz w:val="24"/>
          <w:szCs w:val="24"/>
        </w:rPr>
        <w:fldChar w:fldCharType="separate"/>
      </w:r>
      <w:r>
        <w:rPr>
          <w:rStyle w:val="29"/>
          <w:rFonts w:hint="eastAsia" w:asciiTheme="minorEastAsia" w:hAnsiTheme="minorEastAsia" w:eastAsiaTheme="minorEastAsia" w:cstheme="minorEastAsia"/>
          <w:color w:val="auto"/>
          <w:sz w:val="24"/>
          <w:szCs w:val="24"/>
        </w:rPr>
        <w:t>陕西省政府采购网</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（www.ccgp-shaanxi.gov.cn）】中的〖首页·〉省级公告·〉更正公告〗；</w:t>
      </w:r>
    </w:p>
    <w:p w14:paraId="693757E3">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sz w:val="24"/>
          <w:szCs w:val="24"/>
        </w:rPr>
        <w:t>（2）【全国公共资源交易平台（陕西省）（http://www.sxggzyjy.cn/）】中的〖首页·〉交易大厅·〉政府采购〗。</w:t>
      </w:r>
    </w:p>
    <w:p w14:paraId="0C2AB24E">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rPr>
        <w:t>6招标文件的解释权归采购代理机构。</w:t>
      </w:r>
    </w:p>
    <w:p w14:paraId="43DCD74F">
      <w:pPr>
        <w:pageBreakBefore w:val="0"/>
        <w:kinsoku/>
        <w:bidi w:val="0"/>
        <w:spacing w:before="156" w:beforeLines="50" w:after="156" w:afterLines="50" w:line="360" w:lineRule="auto"/>
        <w:jc w:val="center"/>
        <w:outlineLvl w:val="9"/>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三、投标文件的编制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528917F">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7．编制要求</w:t>
      </w:r>
    </w:p>
    <w:p w14:paraId="4BC50D53">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 投标人应认真阅读招标文件的所有内容，严格按照招标文件的要求编制和提供投标文件，并保证所提供的全部资料的真实性，使投标文件对招标文件作出实质性响应。如果投标人在投标文件中没有按照招标文件要求提交全部资料或者投标文件没有对招标文件在各方面都做出实质性响应，其投标将被拒绝。</w:t>
      </w:r>
    </w:p>
    <w:p w14:paraId="1F026877">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7.2 投标人提交的投标文件（包括项目的技术资料）以及投标人与采购代理机构就有关投标的所有来往函电均应以中文书写。</w:t>
      </w:r>
    </w:p>
    <w:p w14:paraId="1CB113D9">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8．投标文件构成和格式</w:t>
      </w:r>
    </w:p>
    <w:p w14:paraId="5278EE79">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8.1 投标人编写的投标文件应按招标文件提供的相应格式</w:t>
      </w:r>
      <w:r>
        <w:rPr>
          <w:rFonts w:hint="eastAsia" w:asciiTheme="minorEastAsia" w:hAnsiTheme="minorEastAsia" w:eastAsiaTheme="minorEastAsia" w:cstheme="minorEastAsia"/>
          <w:color w:val="auto"/>
          <w:sz w:val="24"/>
          <w:lang w:val="en-US" w:eastAsia="zh-CN"/>
        </w:rPr>
        <w:t>按</w:t>
      </w:r>
      <w:r>
        <w:rPr>
          <w:rFonts w:hint="eastAsia" w:asciiTheme="minorEastAsia" w:hAnsiTheme="minorEastAsia" w:eastAsiaTheme="minorEastAsia" w:cstheme="minorEastAsia"/>
          <w:color w:val="auto"/>
          <w:sz w:val="24"/>
        </w:rPr>
        <w:t>顺序编写</w:t>
      </w:r>
      <w:r>
        <w:rPr>
          <w:rFonts w:hint="eastAsia" w:asciiTheme="minorEastAsia" w:hAnsiTheme="minorEastAsia" w:eastAsiaTheme="minorEastAsia" w:cstheme="minorEastAsia"/>
          <w:color w:val="auto"/>
          <w:sz w:val="24"/>
          <w:lang w:eastAsia="zh-CN"/>
        </w:rPr>
        <w:t>。</w:t>
      </w:r>
    </w:p>
    <w:p w14:paraId="16162467">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8.2 投标人应按照本须知第8.1条的内容及第</w:t>
      </w:r>
      <w:r>
        <w:rPr>
          <w:rFonts w:hint="eastAsia" w:asciiTheme="minorEastAsia" w:hAnsiTheme="minorEastAsia" w:eastAsiaTheme="minorEastAsia" w:cstheme="minorEastAsia"/>
          <w:color w:val="auto"/>
          <w:kern w:val="1"/>
          <w:sz w:val="24"/>
          <w:lang w:val="en-US" w:eastAsia="zh-CN"/>
        </w:rPr>
        <w:t>六</w:t>
      </w:r>
      <w:r>
        <w:rPr>
          <w:rFonts w:hint="eastAsia" w:asciiTheme="minorEastAsia" w:hAnsiTheme="minorEastAsia" w:eastAsiaTheme="minorEastAsia" w:cstheme="minorEastAsia"/>
          <w:color w:val="auto"/>
          <w:kern w:val="1"/>
          <w:sz w:val="24"/>
        </w:rPr>
        <w:t>章提供的格式编写投标文件，不得缺少招标文件要求填写的表格或提交的资料。</w:t>
      </w:r>
    </w:p>
    <w:p w14:paraId="46C7A1EF">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1"/>
          <w:sz w:val="24"/>
        </w:rPr>
        <w:t>8.3 投标人应将投标文件按本须知第8.1条规定的顺序编排并应编制目录，</w:t>
      </w:r>
      <w:r>
        <w:rPr>
          <w:rFonts w:hint="eastAsia" w:asciiTheme="minorEastAsia" w:hAnsiTheme="minorEastAsia" w:eastAsiaTheme="minorEastAsia" w:cstheme="minorEastAsia"/>
          <w:b/>
          <w:color w:val="auto"/>
          <w:kern w:val="1"/>
          <w:sz w:val="24"/>
        </w:rPr>
        <w:t>采用胶装方式装订成册。</w:t>
      </w:r>
    </w:p>
    <w:p w14:paraId="01440501">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9．投标报价</w:t>
      </w:r>
    </w:p>
    <w:p w14:paraId="22C1649D">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9.1 投标报价为完成本项目所要求服务的全部内容、中标服务费</w:t>
      </w:r>
      <w:r>
        <w:rPr>
          <w:rFonts w:hint="eastAsia" w:asciiTheme="minorEastAsia" w:hAnsiTheme="minorEastAsia" w:eastAsiaTheme="minorEastAsia" w:cstheme="minorEastAsia"/>
          <w:color w:val="auto"/>
          <w:sz w:val="24"/>
          <w:lang w:val="zh-CN"/>
        </w:rPr>
        <w:t>及</w:t>
      </w:r>
      <w:r>
        <w:rPr>
          <w:rFonts w:hint="eastAsia" w:asciiTheme="minorEastAsia" w:hAnsiTheme="minorEastAsia" w:eastAsiaTheme="minorEastAsia" w:cstheme="minorEastAsia"/>
          <w:color w:val="auto"/>
          <w:sz w:val="24"/>
        </w:rPr>
        <w:t>国家按现行税收政策征收的一切税费。</w:t>
      </w:r>
    </w:p>
    <w:p w14:paraId="4E2EB857">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9.2 </w:t>
      </w:r>
      <w:r>
        <w:rPr>
          <w:rFonts w:hint="eastAsia" w:asciiTheme="minorEastAsia" w:hAnsiTheme="minorEastAsia" w:eastAsiaTheme="minorEastAsia" w:cstheme="minorEastAsia"/>
          <w:snapToGrid w:val="0"/>
          <w:color w:val="auto"/>
          <w:sz w:val="24"/>
        </w:rPr>
        <w:t>投标人须对</w:t>
      </w:r>
      <w:r>
        <w:rPr>
          <w:rFonts w:hint="eastAsia" w:asciiTheme="minorEastAsia" w:hAnsiTheme="minorEastAsia" w:eastAsiaTheme="minorEastAsia" w:cstheme="minorEastAsia"/>
          <w:color w:val="auto"/>
          <w:sz w:val="24"/>
        </w:rPr>
        <w:t>服务要求进行完整报价。采购人拒绝只对部分服务进行报价的投标。投标人应在投标文件中的投标分项报价表上标明对本次招标拟提供服务的单价和总价，任何有选择的报价将不予接受。</w:t>
      </w:r>
    </w:p>
    <w:p w14:paraId="0AA8BA5F">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9.3. 所有根据合同或其它原因应由投标人支付的税款和其它应交纳的费用都要包括在投标人提交的投标报价中。</w:t>
      </w:r>
    </w:p>
    <w:p w14:paraId="761CF92D">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9.4 投标人所报的投标价在合同执行过程中是固定不变的，不得以任何理由予以变更。任何包含价格调整要求的投标，将被认为是非响应性投标而予以拒绝。</w:t>
      </w:r>
    </w:p>
    <w:p w14:paraId="5B8FC298">
      <w:pPr>
        <w:pageBreakBefore w:val="0"/>
        <w:kinsoku/>
        <w:bidi w:val="0"/>
        <w:spacing w:line="360" w:lineRule="auto"/>
        <w:ind w:right="-199" w:rightChars="-95" w:firstLine="482" w:firstLineChars="200"/>
        <w:jc w:val="left"/>
        <w:outlineLvl w:val="9"/>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rPr>
        <w:t>9.5 投标报价大于</w:t>
      </w:r>
      <w:r>
        <w:rPr>
          <w:rFonts w:hint="eastAsia" w:asciiTheme="minorEastAsia" w:hAnsiTheme="minorEastAsia" w:eastAsiaTheme="minorEastAsia" w:cstheme="minorEastAsia"/>
          <w:b/>
          <w:bCs/>
          <w:color w:val="auto"/>
          <w:sz w:val="24"/>
          <w:lang w:val="en-US" w:eastAsia="zh-CN"/>
        </w:rPr>
        <w:t>采购预算</w:t>
      </w:r>
      <w:r>
        <w:rPr>
          <w:rFonts w:hint="eastAsia" w:asciiTheme="minorEastAsia" w:hAnsiTheme="minorEastAsia" w:eastAsiaTheme="minorEastAsia" w:cstheme="minorEastAsia"/>
          <w:b/>
          <w:bCs/>
          <w:color w:val="auto"/>
          <w:sz w:val="24"/>
        </w:rPr>
        <w:t>按废标处理。</w:t>
      </w:r>
      <w:r>
        <w:rPr>
          <w:rFonts w:hint="eastAsia" w:asciiTheme="minorEastAsia" w:hAnsiTheme="minorEastAsia" w:eastAsiaTheme="minorEastAsia" w:cstheme="minorEastAsia"/>
          <w:b/>
          <w:bCs/>
          <w:color w:val="auto"/>
          <w:sz w:val="24"/>
          <w:lang w:val="en-US" w:eastAsia="zh-CN"/>
        </w:rPr>
        <w:t xml:space="preserve"> </w:t>
      </w:r>
    </w:p>
    <w:p w14:paraId="7EB726A4">
      <w:pPr>
        <w:pageBreakBefore w:val="0"/>
        <w:kinsoku/>
        <w:bidi w:val="0"/>
        <w:spacing w:line="360" w:lineRule="auto"/>
        <w:ind w:firstLine="480" w:firstLineChars="200"/>
        <w:outlineLvl w:val="9"/>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kern w:val="1"/>
          <w:sz w:val="24"/>
        </w:rPr>
        <w:t>9.6 投标人不得以低于成本的报价参加投标，投标人的投标报价明显低于其他投标人的报价，经评标委员会质询后不能在规定时间内说明理由，或说明理由经评标委员会认为不成立，则按无效标处理。</w:t>
      </w:r>
    </w:p>
    <w:p w14:paraId="2712B635">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10．投标货币</w:t>
      </w:r>
    </w:p>
    <w:p w14:paraId="435C0E74">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10.1 投标人提供的服务一律以人民币报价。</w:t>
      </w:r>
    </w:p>
    <w:p w14:paraId="44AE7A52">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11．投标保证金</w:t>
      </w:r>
    </w:p>
    <w:p w14:paraId="142892CA">
      <w:pPr>
        <w:pageBreakBefore w:val="0"/>
        <w:kinsoku/>
        <w:autoSpaceDE w:val="0"/>
        <w:autoSpaceDN w:val="0"/>
        <w:bidi w:val="0"/>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采用“投标信用承诺书”代替投标保证金。</w:t>
      </w:r>
    </w:p>
    <w:p w14:paraId="7CB51C11">
      <w:pPr>
        <w:pageBreakBefore w:val="0"/>
        <w:kinsoku/>
        <w:autoSpaceDE w:val="0"/>
        <w:autoSpaceDN w:val="0"/>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宋体" w:hAnsi="宋体" w:eastAsia="宋体" w:cs="宋体"/>
          <w:b w:val="0"/>
          <w:bCs w:val="0"/>
          <w:sz w:val="24"/>
          <w:szCs w:val="24"/>
        </w:rPr>
        <w:t>注：</w:t>
      </w:r>
      <w:r>
        <w:rPr>
          <w:rFonts w:hint="eastAsia" w:ascii="宋体" w:hAnsi="宋体" w:eastAsia="宋体" w:cs="宋体"/>
          <w:sz w:val="24"/>
          <w:szCs w:val="24"/>
        </w:rPr>
        <w:t>需在网上提交《投标信用承诺》，并将《投标信用承诺》及网上已上报后的网页截图附在投标文件中。</w:t>
      </w:r>
    </w:p>
    <w:p w14:paraId="1AA7FF0F">
      <w:pPr>
        <w:pageBreakBefore w:val="0"/>
        <w:kinsoku/>
        <w:autoSpaceDE w:val="0"/>
        <w:autoSpaceDN w:val="0"/>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12．投标有效期</w:t>
      </w:r>
    </w:p>
    <w:p w14:paraId="052C8352">
      <w:pPr>
        <w:pageBreakBefore w:val="0"/>
        <w:kinsoku/>
        <w:autoSpaceDE w:val="0"/>
        <w:autoSpaceDN w:val="0"/>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12.1 投标有效期为开标之日起九十（90）个日历日。投标人的投标有效期比招标文件规定短的将被视为非响应性投标而予以拒绝。</w:t>
      </w:r>
    </w:p>
    <w:p w14:paraId="16327E38">
      <w:pPr>
        <w:pageBreakBefore w:val="0"/>
        <w:kinsoku/>
        <w:autoSpaceDE w:val="0"/>
        <w:autoSpaceDN w:val="0"/>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12.2 在特殊情况下，在原投标有效期期满之前，采购人可征得投标人同意延长投标有效期。这种要求与答复均应为书面形式提交。</w:t>
      </w:r>
    </w:p>
    <w:p w14:paraId="1AFF0BB9">
      <w:pPr>
        <w:pageBreakBefore w:val="0"/>
        <w:kinsoku/>
        <w:bidi w:val="0"/>
        <w:spacing w:line="360" w:lineRule="auto"/>
        <w:ind w:firstLine="482"/>
        <w:outlineLvl w:val="9"/>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b/>
          <w:color w:val="auto"/>
          <w:kern w:val="1"/>
          <w:sz w:val="24"/>
        </w:rPr>
        <w:t>13．投标文件的制作和签署</w:t>
      </w:r>
    </w:p>
    <w:p w14:paraId="789FD08E">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bookmarkStart w:id="69" w:name="_Toc173549967"/>
      <w:bookmarkStart w:id="70" w:name="_Toc244623580"/>
      <w:bookmarkStart w:id="71" w:name="_Toc167591481"/>
      <w:bookmarkStart w:id="72" w:name="_Toc167591032"/>
      <w:bookmarkStart w:id="73" w:name="_Toc170980443"/>
      <w:bookmarkStart w:id="74" w:name="_Toc167591133"/>
      <w:bookmarkStart w:id="75" w:name="_Toc167849349"/>
      <w:bookmarkStart w:id="76" w:name="_Toc167591319"/>
      <w:bookmarkStart w:id="77" w:name="_Toc154482468"/>
      <w:bookmarkStart w:id="78" w:name="_Toc170980541"/>
      <w:bookmarkStart w:id="79" w:name="_Toc169838521"/>
      <w:bookmarkStart w:id="80" w:name="_Toc245657542"/>
      <w:bookmarkStart w:id="81" w:name="_Toc169846862"/>
      <w:bookmarkStart w:id="82" w:name="_Toc167590764"/>
      <w:bookmarkStart w:id="83" w:name="_Toc245176654"/>
      <w:bookmarkStart w:id="84" w:name="_Toc245658523"/>
      <w:bookmarkStart w:id="85" w:name="_Toc169846765"/>
      <w:bookmarkStart w:id="86" w:name="_Toc207897905"/>
      <w:bookmarkStart w:id="87" w:name="_Toc175032426"/>
      <w:bookmarkStart w:id="88" w:name="_Toc175033581"/>
      <w:bookmarkStart w:id="89" w:name="_Toc208337153"/>
      <w:r>
        <w:rPr>
          <w:rFonts w:hint="eastAsia" w:asciiTheme="minorEastAsia" w:hAnsiTheme="minorEastAsia" w:eastAsiaTheme="minorEastAsia" w:cstheme="minorEastAsia"/>
          <w:color w:val="auto"/>
          <w:kern w:val="1"/>
          <w:sz w:val="24"/>
        </w:rPr>
        <w:t>13.1为确保采购项目顺利开展，本项目采用电子投标文件的方式。供应商在投标时须时提供电子投标文件。</w:t>
      </w:r>
    </w:p>
    <w:p w14:paraId="44A3FDA7">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13.2 编制电子投标文件时，应使用最新发布的电子招标文件及专用制作工具进行编制。并使用数字认证证书（CA）对电子投标文件进行签署、加密、递交及开标时解密等相关操作。</w:t>
      </w:r>
    </w:p>
    <w:p w14:paraId="0E1B4A9C">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（1）电子招标文件下载</w:t>
      </w:r>
    </w:p>
    <w:p w14:paraId="30E13444">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供应商登录全国公共资源交易平台（陕西省）网站[电子交易平台-企业端]后，在[我的项目]中点击“项目流程-交易文件下载”下载电子招标文件（*.SXSZF）;</w:t>
      </w:r>
    </w:p>
    <w:p w14:paraId="5616F7DD">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注意：该项目如有变更文件，则应点击“项目流程&gt;答疑文件下载”下载更新后的电子招标文件（*.SXSCF），使用旧版电子招标文件制作的电子投标文件，系统将拒绝接收。</w:t>
      </w:r>
    </w:p>
    <w:p w14:paraId="48D0314A">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（2）电子招标文件需要使用专用软件打开、浏览</w:t>
      </w:r>
    </w:p>
    <w:p w14:paraId="6EB9BB74">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kern w:val="1"/>
          <w:sz w:val="24"/>
        </w:rPr>
      </w:pPr>
      <w:bookmarkStart w:id="90" w:name="_Toc8108"/>
      <w:bookmarkStart w:id="91" w:name="_Toc5554"/>
      <w:bookmarkStart w:id="92" w:name="_Toc22321"/>
      <w:r>
        <w:rPr>
          <w:rFonts w:hint="eastAsia" w:ascii="宋体" w:hAnsi="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lang w:eastAsia="zh-CN"/>
        </w:rPr>
        <w:t>V8.0.0.4</w:t>
      </w:r>
      <w:r>
        <w:rPr>
          <w:rFonts w:hint="eastAsia" w:ascii="宋体" w:hAnsi="宋体" w:cs="宋体"/>
          <w:bCs/>
          <w:color w:val="auto"/>
          <w:sz w:val="24"/>
          <w:lang w:val="en-US" w:eastAsia="zh-CN"/>
        </w:rPr>
        <w:t>4</w:t>
      </w:r>
      <w:r>
        <w:rPr>
          <w:rFonts w:hint="eastAsia" w:ascii="宋体" w:hAnsi="宋体" w:cs="宋体"/>
          <w:bCs/>
          <w:color w:val="auto"/>
          <w:sz w:val="24"/>
        </w:rPr>
        <w:t>)”，并升级至最新版本，使用该客户端制作电子投标文件，制作扩展名为“.SXSTF”的电子投标文件。”</w:t>
      </w:r>
      <w:bookmarkEnd w:id="90"/>
      <w:bookmarkEnd w:id="91"/>
      <w:bookmarkEnd w:id="92"/>
    </w:p>
    <w:p w14:paraId="111BC9FE">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（3）制作电子投标文件</w:t>
      </w:r>
    </w:p>
    <w:p w14:paraId="019E3754">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电子投标文件同样需要使用上述软件进行编制。在编制过程中，如有技术性问题，请先翻阅操作手册或致电软件开发商，技术支持热线：4009280095、4009980000；</w:t>
      </w:r>
    </w:p>
    <w:p w14:paraId="38F27710">
      <w:pPr>
        <w:pageBreakBefore w:val="0"/>
        <w:kinsoku/>
        <w:bidi w:val="0"/>
        <w:spacing w:line="360" w:lineRule="auto"/>
        <w:ind w:firstLine="48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13.3纸质版文件的编制：</w:t>
      </w:r>
    </w:p>
    <w:p w14:paraId="3B0A2171">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13.3.1投标供应商无需提交纸质</w:t>
      </w:r>
      <w:r>
        <w:rPr>
          <w:rFonts w:hint="eastAsia" w:asciiTheme="minorEastAsia" w:hAnsiTheme="minorEastAsia" w:eastAsiaTheme="minorEastAsia" w:cstheme="minorEastAsia"/>
          <w:color w:val="auto"/>
          <w:kern w:val="1"/>
          <w:sz w:val="24"/>
          <w:lang w:val="en-US" w:eastAsia="zh-CN"/>
        </w:rPr>
        <w:t>投标</w:t>
      </w:r>
      <w:r>
        <w:rPr>
          <w:rFonts w:hint="eastAsia" w:asciiTheme="minorEastAsia" w:hAnsiTheme="minorEastAsia" w:eastAsiaTheme="minorEastAsia" w:cstheme="minorEastAsia"/>
          <w:color w:val="auto"/>
          <w:kern w:val="1"/>
          <w:sz w:val="24"/>
        </w:rPr>
        <w:t>文件，待采购结果公告后，由</w:t>
      </w:r>
      <w:r>
        <w:rPr>
          <w:rFonts w:hint="eastAsia" w:asciiTheme="minorEastAsia" w:hAnsiTheme="minorEastAsia" w:eastAsiaTheme="minorEastAsia" w:cstheme="minorEastAsia"/>
          <w:color w:val="auto"/>
          <w:kern w:val="1"/>
          <w:sz w:val="24"/>
          <w:lang w:eastAsia="zh-CN"/>
        </w:rPr>
        <w:t>中标单位</w:t>
      </w:r>
      <w:r>
        <w:rPr>
          <w:rFonts w:hint="eastAsia" w:asciiTheme="minorEastAsia" w:hAnsiTheme="minorEastAsia" w:eastAsiaTheme="minorEastAsia" w:cstheme="minorEastAsia"/>
          <w:color w:val="auto"/>
          <w:kern w:val="1"/>
          <w:sz w:val="24"/>
        </w:rPr>
        <w:t>补交</w:t>
      </w:r>
      <w:r>
        <w:rPr>
          <w:rFonts w:hint="eastAsia" w:asciiTheme="minorEastAsia" w:hAnsiTheme="minorEastAsia" w:eastAsiaTheme="minorEastAsia" w:cstheme="minorEastAsia"/>
          <w:color w:val="auto"/>
          <w:kern w:val="1"/>
          <w:sz w:val="24"/>
          <w:lang w:eastAsia="zh-CN"/>
        </w:rPr>
        <w:t>一正三副</w:t>
      </w:r>
      <w:r>
        <w:rPr>
          <w:rFonts w:hint="eastAsia" w:asciiTheme="minorEastAsia" w:hAnsiTheme="minorEastAsia" w:eastAsiaTheme="minorEastAsia" w:cstheme="minorEastAsia"/>
          <w:color w:val="auto"/>
          <w:kern w:val="1"/>
          <w:sz w:val="24"/>
        </w:rPr>
        <w:t>纸质</w:t>
      </w:r>
      <w:r>
        <w:rPr>
          <w:rFonts w:hint="eastAsia" w:asciiTheme="minorEastAsia" w:hAnsiTheme="minorEastAsia" w:eastAsiaTheme="minorEastAsia" w:cstheme="minorEastAsia"/>
          <w:color w:val="auto"/>
          <w:kern w:val="1"/>
          <w:sz w:val="24"/>
          <w:lang w:val="en-US" w:eastAsia="zh-CN"/>
        </w:rPr>
        <w:t>投标</w:t>
      </w:r>
      <w:r>
        <w:rPr>
          <w:rFonts w:hint="eastAsia" w:asciiTheme="minorEastAsia" w:hAnsiTheme="minorEastAsia" w:eastAsiaTheme="minorEastAsia" w:cstheme="minorEastAsia"/>
          <w:color w:val="auto"/>
          <w:kern w:val="1"/>
          <w:sz w:val="24"/>
        </w:rPr>
        <w:t>文件</w:t>
      </w:r>
      <w:r>
        <w:rPr>
          <w:rFonts w:hint="eastAsia" w:asciiTheme="minorEastAsia" w:hAnsiTheme="minorEastAsia" w:eastAsiaTheme="minorEastAsia" w:cstheme="minorEastAsia"/>
          <w:color w:val="auto"/>
          <w:kern w:val="1"/>
          <w:sz w:val="24"/>
          <w:lang w:eastAsia="zh-CN"/>
        </w:rPr>
        <w:t>及电子版</w:t>
      </w:r>
      <w:r>
        <w:rPr>
          <w:rFonts w:hint="eastAsia" w:asciiTheme="minorEastAsia" w:hAnsiTheme="minorEastAsia" w:eastAsiaTheme="minorEastAsia" w:cstheme="minorEastAsia"/>
          <w:color w:val="auto"/>
          <w:kern w:val="1"/>
          <w:sz w:val="24"/>
        </w:rPr>
        <w:t>（光盘或 U 盘</w:t>
      </w:r>
      <w:r>
        <w:rPr>
          <w:rFonts w:hint="eastAsia" w:asciiTheme="minorEastAsia" w:hAnsiTheme="minorEastAsia" w:eastAsiaTheme="minorEastAsia" w:cstheme="minorEastAsia"/>
          <w:color w:val="auto"/>
          <w:kern w:val="1"/>
          <w:sz w:val="24"/>
          <w:lang w:eastAsia="zh-CN"/>
        </w:rPr>
        <w:t>，包含可编辑 word 版，签字盖章后的扫描件 1 份</w:t>
      </w:r>
      <w:r>
        <w:rPr>
          <w:rFonts w:hint="eastAsia" w:asciiTheme="minorEastAsia" w:hAnsiTheme="minorEastAsia" w:eastAsiaTheme="minorEastAsia" w:cstheme="minorEastAsia"/>
          <w:color w:val="auto"/>
          <w:kern w:val="1"/>
          <w:sz w:val="24"/>
        </w:rPr>
        <w:t>）</w:t>
      </w:r>
      <w:r>
        <w:rPr>
          <w:rFonts w:hint="eastAsia" w:asciiTheme="minorEastAsia" w:hAnsiTheme="minorEastAsia" w:eastAsiaTheme="minorEastAsia" w:cstheme="minorEastAsia"/>
          <w:color w:val="auto"/>
          <w:kern w:val="1"/>
          <w:sz w:val="24"/>
          <w:lang w:val="en-US" w:eastAsia="zh-CN"/>
        </w:rPr>
        <w:t>投标</w:t>
      </w:r>
      <w:r>
        <w:rPr>
          <w:rFonts w:hint="eastAsia" w:asciiTheme="minorEastAsia" w:hAnsiTheme="minorEastAsia" w:eastAsiaTheme="minorEastAsia" w:cstheme="minorEastAsia"/>
          <w:color w:val="auto"/>
          <w:kern w:val="1"/>
          <w:sz w:val="24"/>
          <w:lang w:eastAsia="zh-CN"/>
        </w:rPr>
        <w:t>文件一份</w:t>
      </w:r>
      <w:r>
        <w:rPr>
          <w:rFonts w:hint="eastAsia" w:asciiTheme="minorEastAsia" w:hAnsiTheme="minorEastAsia" w:eastAsiaTheme="minorEastAsia" w:cstheme="minorEastAsia"/>
          <w:color w:val="auto"/>
          <w:kern w:val="1"/>
          <w:sz w:val="24"/>
        </w:rPr>
        <w:t>（备案用）</w:t>
      </w:r>
    </w:p>
    <w:p w14:paraId="5F22C26D">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13.3.2投标文件封面及内容、投标函及其它有要求处均应加盖投标人印章并经法定代表人或其委托代理人签字，由委托代理人签字的在投标文件中须同时提交投标文件签署授权委托书，</w:t>
      </w:r>
      <w:r>
        <w:rPr>
          <w:rFonts w:hint="eastAsia" w:asciiTheme="minorEastAsia" w:hAnsiTheme="minorEastAsia" w:eastAsiaTheme="minorEastAsia" w:cstheme="minorEastAsia"/>
          <w:b/>
          <w:bCs/>
          <w:color w:val="auto"/>
          <w:kern w:val="1"/>
          <w:sz w:val="24"/>
        </w:rPr>
        <w:t>纸质版文件与电子版文件签字盖章必须一致。</w:t>
      </w:r>
    </w:p>
    <w:p w14:paraId="156B4568">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13.3.3投标文件的正本和副本应分别单独采用A4纸胶粘装订成册，装订应牢固、不易拆散、夹页、换页，不得采用活页装订，应编制目录，字迹应清晰易于辨认，文件编制应符合8.1至8.3项要求。</w:t>
      </w:r>
    </w:p>
    <w:p w14:paraId="3C16AE3B">
      <w:pPr>
        <w:pageBreakBefore w:val="0"/>
        <w:kinsoku/>
        <w:bidi w:val="0"/>
        <w:spacing w:line="360" w:lineRule="auto"/>
        <w:ind w:firstLine="480"/>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1"/>
          <w:sz w:val="24"/>
        </w:rPr>
        <w:t>13.4 除投标人对投标文件错处做必要修改外，投标文件不得行间插字、涂改和增删，如有修改错漏处，必须由投标人的法人或其授权代表在修改处签字或加盖公章后才有效。</w:t>
      </w:r>
    </w:p>
    <w:p w14:paraId="17BD61C1">
      <w:pPr>
        <w:pageBreakBefore w:val="0"/>
        <w:kinsoku/>
        <w:bidi w:val="0"/>
        <w:snapToGrid w:val="0"/>
        <w:spacing w:before="156" w:beforeLines="50" w:after="156" w:afterLines="50" w:line="360" w:lineRule="auto"/>
        <w:jc w:val="center"/>
        <w:outlineLvl w:val="9"/>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四、投标文件的递交</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395DC7A">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14．投标文件的提交</w:t>
      </w:r>
    </w:p>
    <w:p w14:paraId="4F393A8E">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65CB557D">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15.投标人应在不迟于招标文件中规定的投标截止时间</w:t>
      </w:r>
      <w:r>
        <w:rPr>
          <w:rFonts w:hint="eastAsia" w:asciiTheme="minorEastAsia" w:hAnsiTheme="minorEastAsia" w:eastAsiaTheme="minorEastAsia" w:cstheme="minorEastAsia"/>
          <w:color w:val="auto"/>
          <w:sz w:val="24"/>
          <w:lang w:val="en-US" w:eastAsia="zh-CN"/>
        </w:rPr>
        <w:t>上传</w:t>
      </w:r>
      <w:r>
        <w:rPr>
          <w:rFonts w:hint="eastAsia" w:asciiTheme="minorEastAsia" w:hAnsiTheme="minorEastAsia" w:eastAsiaTheme="minorEastAsia" w:cstheme="minorEastAsia"/>
          <w:color w:val="auto"/>
          <w:sz w:val="24"/>
        </w:rPr>
        <w:t>投标文件。</w:t>
      </w:r>
    </w:p>
    <w:p w14:paraId="03B231EC">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16．迟交的投标文件</w:t>
      </w:r>
    </w:p>
    <w:p w14:paraId="79DF79E9">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16.1采购代理机构将拒绝接收投标截止期后送达的任何投标文件。</w:t>
      </w:r>
    </w:p>
    <w:p w14:paraId="2225BF19">
      <w:pPr>
        <w:pageBreakBefore w:val="0"/>
        <w:kinsoku/>
        <w:bidi w:val="0"/>
        <w:spacing w:line="360" w:lineRule="auto"/>
        <w:ind w:firstLine="482"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17．投标文件的修改和撤回</w:t>
      </w:r>
    </w:p>
    <w:p w14:paraId="25C22615">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bookmarkStart w:id="93" w:name="_Toc173549968"/>
      <w:bookmarkStart w:id="94" w:name="_Toc244623581"/>
      <w:bookmarkStart w:id="95" w:name="_Toc154482469"/>
      <w:bookmarkStart w:id="96" w:name="_Toc175032427"/>
      <w:bookmarkStart w:id="97" w:name="_Toc207897906"/>
      <w:bookmarkStart w:id="98" w:name="_Toc169846863"/>
      <w:bookmarkStart w:id="99" w:name="_Toc169846766"/>
      <w:bookmarkStart w:id="100" w:name="_Toc167590765"/>
      <w:bookmarkStart w:id="101" w:name="_Toc167591320"/>
      <w:bookmarkStart w:id="102" w:name="_Toc175033582"/>
      <w:bookmarkStart w:id="103" w:name="_Toc167849350"/>
      <w:bookmarkStart w:id="104" w:name="_Toc208337154"/>
      <w:bookmarkStart w:id="105" w:name="_Toc167591033"/>
      <w:bookmarkStart w:id="106" w:name="_Toc170980444"/>
      <w:bookmarkStart w:id="107" w:name="_Toc167591134"/>
      <w:bookmarkStart w:id="108" w:name="_Toc169838522"/>
      <w:bookmarkStart w:id="109" w:name="_Toc245657543"/>
      <w:bookmarkStart w:id="110" w:name="_Toc170980542"/>
      <w:bookmarkStart w:id="111" w:name="_Toc167591482"/>
      <w:bookmarkStart w:id="112" w:name="_Toc245658524"/>
      <w:bookmarkStart w:id="113" w:name="_Toc245176655"/>
      <w:r>
        <w:rPr>
          <w:rFonts w:hint="eastAsia" w:asciiTheme="minorEastAsia" w:hAnsiTheme="minorEastAsia" w:eastAsiaTheme="minorEastAsia" w:cstheme="minorEastAsia"/>
          <w:color w:val="auto"/>
          <w:sz w:val="24"/>
        </w:rPr>
        <w:t>17.</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 xml:space="preserve"> 在投标截止日期之后，投标人不得对其投标文件做任何修改。</w:t>
      </w:r>
    </w:p>
    <w:p w14:paraId="044A6B80">
      <w:pPr>
        <w:pageBreakBefore w:val="0"/>
        <w:kinsoku/>
        <w:bidi w:val="0"/>
        <w:snapToGrid w:val="0"/>
        <w:spacing w:line="360" w:lineRule="auto"/>
        <w:ind w:firstLine="482"/>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 xml:space="preserve"> 从投标截止期始至招标文件确定的投标有效期期满这段时间内，投标人不得撤回其投标，否则其投标保证金将被没收。</w:t>
      </w:r>
    </w:p>
    <w:p w14:paraId="32DCAC62">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为确保采购项目顺利开展，本项目采用电子投标文件的方式。供应商在投标时须时提供电子投标文件。</w:t>
      </w:r>
    </w:p>
    <w:p w14:paraId="50D42467">
      <w:pPr>
        <w:pageBreakBefore w:val="0"/>
        <w:kinsoku/>
        <w:bidi w:val="0"/>
        <w:snapToGrid w:val="0"/>
        <w:spacing w:line="360" w:lineRule="auto"/>
        <w:jc w:val="center"/>
        <w:outlineLvl w:val="9"/>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五、开标与评标</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9783714">
      <w:pPr>
        <w:pageBreakBefore w:val="0"/>
        <w:kinsoku/>
        <w:bidi w:val="0"/>
        <w:snapToGrid w:val="0"/>
        <w:spacing w:line="360" w:lineRule="auto"/>
        <w:ind w:firstLine="422" w:firstLineChars="200"/>
        <w:outlineLvl w:val="9"/>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18．开标</w:t>
      </w:r>
    </w:p>
    <w:p w14:paraId="7DD14D55">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18.1 采购代理机构将在招标公告规定的时间和地点组织公开开标。开标会议邀请所有供应商派代表参加，开标当日，请各供应商在开标截止时间前至少提前半小时登录“不见面”开标系统</w:t>
      </w:r>
    </w:p>
    <w:p w14:paraId="38ED5D11">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bCs/>
          <w:color w:val="auto"/>
          <w:sz w:val="24"/>
        </w:rPr>
        <w:t>开标过程中，供应商在收到工作人员“开始解密”指令后，请及时使用CA对电子投标文件进行解密。解密时所用CA应与加密投标文件时所用CA相同；注：解密时间为</w:t>
      </w:r>
      <w:r>
        <w:rPr>
          <w:rFonts w:hint="eastAsia" w:asciiTheme="minorEastAsia" w:hAnsiTheme="minorEastAsia" w:eastAsiaTheme="minorEastAsia" w:cstheme="minorEastAsia"/>
          <w:bCs/>
          <w:color w:val="auto"/>
          <w:sz w:val="24"/>
          <w:lang w:val="en-US" w:eastAsia="zh-CN"/>
        </w:rPr>
        <w:t>3</w:t>
      </w:r>
      <w:r>
        <w:rPr>
          <w:rFonts w:hint="eastAsia" w:asciiTheme="minorEastAsia" w:hAnsiTheme="minorEastAsia" w:eastAsiaTheme="minorEastAsia" w:cstheme="minorEastAsia"/>
          <w:bCs/>
          <w:color w:val="auto"/>
          <w:sz w:val="24"/>
        </w:rPr>
        <w:t>0分钟，在解密时间内供应商全部解密完成后，可提前进入开标下一阶段</w:t>
      </w:r>
      <w:r>
        <w:rPr>
          <w:rFonts w:hint="eastAsia" w:asciiTheme="minorEastAsia" w:hAnsiTheme="minorEastAsia" w:eastAsiaTheme="minorEastAsia" w:cstheme="minorEastAsia"/>
          <w:color w:val="auto"/>
          <w:sz w:val="24"/>
        </w:rPr>
        <w:t>，由电子交易系统进行自动唱标。</w:t>
      </w:r>
    </w:p>
    <w:p w14:paraId="2E20F556">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 xml:space="preserve"> 采购代理机构将在开标会议现场做开标记录。</w:t>
      </w:r>
    </w:p>
    <w:p w14:paraId="10D60B0E">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 xml:space="preserve"> 在开标环节出现下列情况之一的，其电子及纸质投标文件视为无效文件：</w:t>
      </w:r>
    </w:p>
    <w:p w14:paraId="49393CD9">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（1）供应商拒绝对电子投标文件进行解密的；</w:t>
      </w:r>
    </w:p>
    <w:p w14:paraId="7D6BE59F">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（2）因供应商自身原因（如CA锁与制作电子投标文件使用的CA锁不一致、或沿用旧版招标文件编制投标文件等情形），导致在规定时间内无法解密投标文件的；</w:t>
      </w:r>
    </w:p>
    <w:p w14:paraId="0587E8EF">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（3）上传的电子投标文件无法打开的；</w:t>
      </w:r>
    </w:p>
    <w:p w14:paraId="3B869D15">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（4）政府采购法律法规规定的其他无效情形。</w:t>
      </w:r>
    </w:p>
    <w:p w14:paraId="2C927A27">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 xml:space="preserve"> 特殊情形下的应急处置</w:t>
      </w:r>
    </w:p>
    <w:p w14:paraId="1A45E996">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szCs w:val="24"/>
        </w:rPr>
        <w:t>在开标、评审过程中，如因停电、断网、电子化系统故障等特殊原因导致电子化开、评标无法正常进行时，视具体情况确定是否停止开评标活动。</w:t>
      </w:r>
    </w:p>
    <w:p w14:paraId="54B698DA">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19．评标委员会</w:t>
      </w:r>
    </w:p>
    <w:p w14:paraId="12D8BC3D">
      <w:pPr>
        <w:pageBreakBefore w:val="0"/>
        <w:kinsoku/>
        <w:bidi w:val="0"/>
        <w:spacing w:line="360" w:lineRule="auto"/>
        <w:ind w:firstLine="480" w:firstLineChars="200"/>
        <w:outlineLvl w:val="9"/>
        <w:rPr>
          <w:rFonts w:hint="eastAsia" w:asciiTheme="minorEastAsia" w:hAnsiTheme="minorEastAsia" w:eastAsiaTheme="minorEastAsia" w:cstheme="minorEastAsia"/>
          <w:snapToGrid w:val="0"/>
          <w:color w:val="auto"/>
          <w:sz w:val="24"/>
        </w:rPr>
      </w:pPr>
      <w:r>
        <w:rPr>
          <w:rFonts w:hint="eastAsia" w:asciiTheme="minorEastAsia" w:hAnsiTheme="minorEastAsia" w:eastAsiaTheme="minorEastAsia" w:cstheme="minorEastAsia"/>
          <w:color w:val="auto"/>
          <w:sz w:val="24"/>
        </w:rPr>
        <w:t>19.1 采购人</w:t>
      </w:r>
      <w:r>
        <w:rPr>
          <w:rFonts w:hint="eastAsia" w:asciiTheme="minorEastAsia" w:hAnsiTheme="minorEastAsia" w:eastAsiaTheme="minorEastAsia" w:cstheme="minorEastAsia"/>
          <w:snapToGrid w:val="0"/>
          <w:color w:val="auto"/>
          <w:sz w:val="24"/>
        </w:rPr>
        <w:t>将按照《政府采购法》、《政府采购货物和服务招标投标管理办法》及有关规定组建评标委员会。</w:t>
      </w:r>
    </w:p>
    <w:p w14:paraId="45CE808B">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19.2 评标委员会由采购人代表及评审专家组成，专家从陕西省政府采购专家库中随机抽取产生。</w:t>
      </w:r>
    </w:p>
    <w:p w14:paraId="2CC72D38">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19.3 评标委员会负责评标工作，对投标文件进行审查和评估，并向采购人提交书面评审意见。</w:t>
      </w:r>
    </w:p>
    <w:p w14:paraId="1B58D92E">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20．评标过程的保密性</w:t>
      </w:r>
    </w:p>
    <w:p w14:paraId="6283AEFC">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20.1 公开开标后，直至发布中标公告时止，凡与审查、澄清、评价和比较投标的有关资料以及授标意见等，均属保密范围，评标委员会及招标工作人员不得向投标人及与评标无关的其他人透露。</w:t>
      </w:r>
    </w:p>
    <w:p w14:paraId="58EB9F91">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 在评标过程中，如果投标人试图在投标文件审查、澄清、比较及授予合同方面向评标委员会或采购人施加任何影响，其投标将被拒绝。</w:t>
      </w:r>
    </w:p>
    <w:p w14:paraId="22EE8E2B">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21、投标文件的澄清</w:t>
      </w:r>
    </w:p>
    <w:p w14:paraId="13FC4E7E">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 在评标期间，为有助于对投标文件的审查、评价和比较，评标委员会可分别要求投标人对其投标文件进行澄清或说明，有关澄清或说明的要求和答复应以书面形式提交。澄清和说明的内容不得超出投标文件的范围或改变投标文件实质性内容。</w:t>
      </w:r>
    </w:p>
    <w:p w14:paraId="4B683C0D">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22．投标文件的初审</w:t>
      </w:r>
    </w:p>
    <w:p w14:paraId="464AF312">
      <w:pPr>
        <w:pStyle w:val="16"/>
        <w:pageBreakBefore w:val="0"/>
        <w:kinsoku/>
        <w:bidi w:val="0"/>
        <w:spacing w:line="360" w:lineRule="auto"/>
        <w:ind w:firstLine="42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22.1 采购人将审查资格证明文件是否齐全有效。</w:t>
      </w:r>
    </w:p>
    <w:tbl>
      <w:tblPr>
        <w:tblStyle w:val="19"/>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79"/>
        <w:gridCol w:w="1810"/>
        <w:gridCol w:w="6988"/>
      </w:tblGrid>
      <w:tr w14:paraId="2F83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70C1542">
            <w:pPr>
              <w:pageBreakBefore w:val="0"/>
              <w:kinsoku/>
              <w:bidi w:val="0"/>
              <w:spacing w:line="360" w:lineRule="auto"/>
              <w:jc w:val="center"/>
              <w:outlineLvl w:val="9"/>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951E158">
            <w:pPr>
              <w:pageBreakBefore w:val="0"/>
              <w:kinsoku/>
              <w:bidi w:val="0"/>
              <w:spacing w:line="360" w:lineRule="auto"/>
              <w:jc w:val="center"/>
              <w:outlineLvl w:val="9"/>
              <w:rPr>
                <w:rFonts w:hint="eastAsia" w:ascii="宋体" w:hAnsi="宋体" w:eastAsia="宋体" w:cs="宋体"/>
                <w:b/>
                <w:color w:val="auto"/>
                <w:szCs w:val="21"/>
              </w:rPr>
            </w:pPr>
            <w:r>
              <w:rPr>
                <w:rFonts w:hint="eastAsia" w:ascii="宋体" w:hAnsi="宋体" w:eastAsia="宋体" w:cs="宋体"/>
                <w:b/>
                <w:color w:val="auto"/>
                <w:szCs w:val="21"/>
              </w:rPr>
              <w:t>审查因素</w:t>
            </w:r>
          </w:p>
        </w:tc>
        <w:tc>
          <w:tcPr>
            <w:tcW w:w="6988" w:type="dxa"/>
            <w:tcBorders>
              <w:top w:val="single" w:color="auto" w:sz="4" w:space="0"/>
              <w:left w:val="single" w:color="auto" w:sz="4" w:space="0"/>
              <w:bottom w:val="single" w:color="auto" w:sz="4" w:space="0"/>
              <w:right w:val="single" w:color="auto" w:sz="4" w:space="0"/>
            </w:tcBorders>
            <w:noWrap w:val="0"/>
            <w:vAlign w:val="center"/>
          </w:tcPr>
          <w:p w14:paraId="151F3B71">
            <w:pPr>
              <w:pageBreakBefore w:val="0"/>
              <w:kinsoku/>
              <w:bidi w:val="0"/>
              <w:spacing w:line="360" w:lineRule="auto"/>
              <w:jc w:val="center"/>
              <w:outlineLvl w:val="9"/>
              <w:rPr>
                <w:rFonts w:hint="eastAsia" w:ascii="宋体" w:hAnsi="宋体" w:eastAsia="宋体" w:cs="宋体"/>
                <w:b/>
                <w:color w:val="auto"/>
                <w:szCs w:val="21"/>
              </w:rPr>
            </w:pPr>
            <w:r>
              <w:rPr>
                <w:rFonts w:hint="eastAsia" w:ascii="宋体" w:hAnsi="宋体" w:eastAsia="宋体" w:cs="宋体"/>
                <w:b/>
                <w:color w:val="auto"/>
                <w:szCs w:val="21"/>
              </w:rPr>
              <w:t>审查标准</w:t>
            </w:r>
          </w:p>
        </w:tc>
      </w:tr>
      <w:tr w14:paraId="0F1B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6" w:hRule="atLeast"/>
          <w:jc w:val="center"/>
        </w:trPr>
        <w:tc>
          <w:tcPr>
            <w:tcW w:w="779" w:type="dxa"/>
            <w:tcBorders>
              <w:left w:val="single" w:color="auto" w:sz="4" w:space="0"/>
              <w:right w:val="single" w:color="auto" w:sz="4" w:space="0"/>
            </w:tcBorders>
            <w:noWrap w:val="0"/>
            <w:vAlign w:val="center"/>
          </w:tcPr>
          <w:p w14:paraId="4B205215">
            <w:pPr>
              <w:pageBreakBefore w:val="0"/>
              <w:kinsoku/>
              <w:bidi w:val="0"/>
              <w:spacing w:line="360" w:lineRule="auto"/>
              <w:ind w:firstLine="240" w:firstLineChars="100"/>
              <w:outlineLvl w:val="9"/>
              <w:rPr>
                <w:rFonts w:hint="eastAsia" w:ascii="宋体" w:hAnsi="宋体" w:eastAsia="宋体" w:cs="宋体"/>
                <w:b w:val="0"/>
                <w:bCs w:val="0"/>
                <w:color w:val="auto"/>
                <w:sz w:val="24"/>
              </w:rPr>
            </w:pPr>
            <w:r>
              <w:rPr>
                <w:rFonts w:hint="eastAsia" w:ascii="宋体" w:hAnsi="宋体" w:eastAsia="宋体" w:cs="宋体"/>
                <w:b w:val="0"/>
                <w:bCs w:val="0"/>
                <w:color w:val="auto"/>
                <w:sz w:val="24"/>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53E57C8B">
            <w:pPr>
              <w:pageBreakBefore w:val="0"/>
              <w:kinsoku/>
              <w:bidi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rPr>
              <w:t>有效的主体资格证明</w:t>
            </w:r>
          </w:p>
        </w:tc>
        <w:tc>
          <w:tcPr>
            <w:tcW w:w="6988" w:type="dxa"/>
            <w:tcBorders>
              <w:top w:val="single" w:color="auto" w:sz="4" w:space="0"/>
              <w:left w:val="single" w:color="auto" w:sz="4" w:space="0"/>
              <w:bottom w:val="single" w:color="auto" w:sz="4" w:space="0"/>
              <w:right w:val="single" w:color="auto" w:sz="4" w:space="0"/>
            </w:tcBorders>
            <w:noWrap w:val="0"/>
            <w:vAlign w:val="center"/>
          </w:tcPr>
          <w:p w14:paraId="21AFF242">
            <w:pPr>
              <w:pageBreakBefore w:val="0"/>
              <w:kinsoku/>
              <w:bidi w:val="0"/>
              <w:spacing w:line="360" w:lineRule="auto"/>
              <w:jc w:val="left"/>
              <w:outlineLvl w:val="9"/>
              <w:rPr>
                <w:rFonts w:hint="eastAsia" w:ascii="宋体" w:hAnsi="宋体" w:eastAsia="宋体" w:cs="宋体"/>
                <w:color w:val="auto"/>
                <w:sz w:val="24"/>
                <w:lang w:eastAsia="zh-CN"/>
              </w:rPr>
            </w:pPr>
            <w:r>
              <w:rPr>
                <w:rFonts w:hint="eastAsia" w:ascii="宋体" w:hAnsi="宋体" w:cs="宋体"/>
                <w:color w:val="auto"/>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tc>
      </w:tr>
      <w:tr w14:paraId="6EA9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6" w:hRule="atLeast"/>
          <w:jc w:val="center"/>
        </w:trPr>
        <w:tc>
          <w:tcPr>
            <w:tcW w:w="779" w:type="dxa"/>
            <w:tcBorders>
              <w:left w:val="single" w:color="auto" w:sz="4" w:space="0"/>
              <w:right w:val="single" w:color="auto" w:sz="4" w:space="0"/>
            </w:tcBorders>
            <w:noWrap w:val="0"/>
            <w:vAlign w:val="center"/>
          </w:tcPr>
          <w:p w14:paraId="254A6F88">
            <w:pPr>
              <w:pageBreakBefore w:val="0"/>
              <w:kinsoku/>
              <w:bidi w:val="0"/>
              <w:spacing w:line="360" w:lineRule="auto"/>
              <w:ind w:firstLine="240" w:firstLineChars="100"/>
              <w:outlineLvl w:val="9"/>
              <w:rPr>
                <w:rFonts w:hint="eastAsia"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2</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549B722">
            <w:pPr>
              <w:pageBreakBefore w:val="0"/>
              <w:kinsoku/>
              <w:bidi w:val="0"/>
              <w:spacing w:line="360" w:lineRule="auto"/>
              <w:jc w:val="center"/>
              <w:outlineLvl w:val="9"/>
              <w:rPr>
                <w:rFonts w:hint="eastAsia" w:ascii="宋体" w:hAnsi="宋体" w:eastAsia="宋体" w:cs="宋体"/>
                <w:color w:val="auto"/>
                <w:sz w:val="24"/>
                <w:lang w:val="en-US" w:eastAsia="zh-CN"/>
              </w:rPr>
            </w:pPr>
            <w:r>
              <w:rPr>
                <w:rFonts w:hint="eastAsia" w:ascii="宋体" w:hAnsi="宋体" w:cs="宋体"/>
                <w:color w:val="auto"/>
                <w:sz w:val="24"/>
                <w:lang w:val="en-US" w:eastAsia="zh-CN"/>
              </w:rPr>
              <w:t>资质</w:t>
            </w:r>
          </w:p>
        </w:tc>
        <w:tc>
          <w:tcPr>
            <w:tcW w:w="6988" w:type="dxa"/>
            <w:tcBorders>
              <w:top w:val="single" w:color="auto" w:sz="4" w:space="0"/>
              <w:left w:val="single" w:color="auto" w:sz="4" w:space="0"/>
              <w:bottom w:val="single" w:color="auto" w:sz="4" w:space="0"/>
              <w:right w:val="single" w:color="auto" w:sz="4" w:space="0"/>
            </w:tcBorders>
            <w:noWrap w:val="0"/>
            <w:vAlign w:val="center"/>
          </w:tcPr>
          <w:p w14:paraId="152BCC9D">
            <w:pPr>
              <w:pageBreakBefore w:val="0"/>
              <w:kinsoku/>
              <w:bidi w:val="0"/>
              <w:spacing w:line="360" w:lineRule="auto"/>
              <w:jc w:val="left"/>
              <w:outlineLvl w:val="9"/>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eastAsia="zh-CN"/>
              </w:rPr>
              <w:t>投标人须具备市政工程监理丙级及以上资质；投标人拟派项目总监理工程师具备市政工程注册监理工程师及以上执业资格</w:t>
            </w:r>
            <w:r>
              <w:rPr>
                <w:rFonts w:hint="eastAsia" w:ascii="宋体" w:hAnsi="宋体" w:eastAsia="宋体" w:cs="宋体"/>
                <w:i w:val="0"/>
                <w:iCs w:val="0"/>
                <w:caps w:val="0"/>
                <w:color w:val="auto"/>
                <w:spacing w:val="0"/>
                <w:sz w:val="24"/>
                <w:szCs w:val="24"/>
                <w:shd w:val="clear" w:fill="FFFFFF"/>
              </w:rPr>
              <w:t>；</w:t>
            </w:r>
          </w:p>
        </w:tc>
      </w:tr>
      <w:tr w14:paraId="1559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14:paraId="478A82C5">
            <w:pPr>
              <w:pageBreakBefore w:val="0"/>
              <w:kinsoku/>
              <w:bidi w:val="0"/>
              <w:spacing w:line="360" w:lineRule="auto"/>
              <w:jc w:val="center"/>
              <w:outlineLvl w:val="9"/>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3</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58E35B8">
            <w:pPr>
              <w:pageBreakBefore w:val="0"/>
              <w:kinsoku/>
              <w:bidi w:val="0"/>
              <w:spacing w:line="360" w:lineRule="auto"/>
              <w:jc w:val="center"/>
              <w:outlineLvl w:val="9"/>
              <w:rPr>
                <w:rFonts w:hint="eastAsia" w:ascii="宋体" w:hAnsi="宋体" w:eastAsia="宋体" w:cs="宋体"/>
                <w:color w:val="auto"/>
                <w:sz w:val="24"/>
              </w:rPr>
            </w:pPr>
            <w:r>
              <w:rPr>
                <w:rFonts w:hint="eastAsia" w:ascii="宋体" w:hAnsi="宋体" w:eastAsia="宋体" w:cs="宋体"/>
                <w:b w:val="0"/>
                <w:i w:val="0"/>
                <w:caps w:val="0"/>
                <w:color w:val="auto"/>
                <w:spacing w:val="0"/>
                <w:sz w:val="24"/>
                <w:szCs w:val="24"/>
                <w:shd w:val="clear" w:color="auto" w:fill="FFFFFF"/>
                <w:lang w:eastAsia="zh-CN"/>
              </w:rPr>
              <w:t>税收缴纳证明</w:t>
            </w:r>
          </w:p>
        </w:tc>
        <w:tc>
          <w:tcPr>
            <w:tcW w:w="6988" w:type="dxa"/>
            <w:tcBorders>
              <w:top w:val="single" w:color="auto" w:sz="4" w:space="0"/>
              <w:left w:val="single" w:color="auto" w:sz="4" w:space="0"/>
              <w:bottom w:val="single" w:color="auto" w:sz="4" w:space="0"/>
              <w:right w:val="single" w:color="auto" w:sz="4" w:space="0"/>
            </w:tcBorders>
            <w:noWrap w:val="0"/>
            <w:vAlign w:val="center"/>
          </w:tcPr>
          <w:p w14:paraId="0618C7C7">
            <w:pPr>
              <w:pageBreakBefore w:val="0"/>
              <w:kinsoku/>
              <w:bidi w:val="0"/>
              <w:spacing w:line="360" w:lineRule="auto"/>
              <w:jc w:val="left"/>
              <w:outlineLvl w:val="9"/>
              <w:rPr>
                <w:rFonts w:hint="eastAsia" w:ascii="宋体" w:hAnsi="宋体" w:eastAsia="宋体" w:cs="宋体"/>
                <w:color w:val="auto"/>
                <w:sz w:val="24"/>
              </w:rPr>
            </w:pPr>
            <w:r>
              <w:rPr>
                <w:rFonts w:hint="eastAsia" w:ascii="宋体" w:hAnsi="宋体" w:eastAsia="宋体" w:cs="宋体"/>
                <w:i w:val="0"/>
                <w:iCs w:val="0"/>
                <w:caps w:val="0"/>
                <w:color w:val="auto"/>
                <w:spacing w:val="0"/>
                <w:sz w:val="24"/>
                <w:szCs w:val="24"/>
                <w:shd w:val="clear" w:fill="FFFFFF"/>
              </w:rPr>
              <w:t>提供2025年1月至今已缴存的至少1个月的纳税证明（银行缴费凭证）或完税证明，依法免税的单位应提供相关证明材料；</w:t>
            </w:r>
          </w:p>
        </w:tc>
      </w:tr>
      <w:tr w14:paraId="3743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14:paraId="1227AD7F">
            <w:pPr>
              <w:pageBreakBefore w:val="0"/>
              <w:kinsoku/>
              <w:bidi w:val="0"/>
              <w:spacing w:line="360" w:lineRule="auto"/>
              <w:jc w:val="center"/>
              <w:outlineLvl w:val="9"/>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4</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3DC5E740">
            <w:pPr>
              <w:pageBreakBefore w:val="0"/>
              <w:kinsoku/>
              <w:bidi w:val="0"/>
              <w:spacing w:line="360" w:lineRule="auto"/>
              <w:jc w:val="center"/>
              <w:outlineLvl w:val="9"/>
              <w:rPr>
                <w:rFonts w:hint="eastAsia" w:ascii="宋体" w:hAnsi="宋体" w:eastAsia="宋体" w:cs="宋体"/>
                <w:color w:val="auto"/>
                <w:sz w:val="24"/>
              </w:rPr>
            </w:pPr>
            <w:r>
              <w:rPr>
                <w:rFonts w:hint="eastAsia" w:ascii="宋体" w:hAnsi="宋体" w:eastAsia="宋体" w:cs="宋体"/>
                <w:b w:val="0"/>
                <w:bCs w:val="0"/>
                <w:color w:val="auto"/>
                <w:sz w:val="24"/>
                <w:szCs w:val="24"/>
                <w:u w:val="none"/>
              </w:rPr>
              <w:t>社会保障资金缴纳证明</w:t>
            </w:r>
          </w:p>
        </w:tc>
        <w:tc>
          <w:tcPr>
            <w:tcW w:w="6988" w:type="dxa"/>
            <w:tcBorders>
              <w:top w:val="single" w:color="auto" w:sz="4" w:space="0"/>
              <w:left w:val="single" w:color="auto" w:sz="4" w:space="0"/>
              <w:bottom w:val="single" w:color="auto" w:sz="4" w:space="0"/>
              <w:right w:val="single" w:color="auto" w:sz="4" w:space="0"/>
            </w:tcBorders>
            <w:noWrap w:val="0"/>
            <w:vAlign w:val="center"/>
          </w:tcPr>
          <w:p w14:paraId="178836E7">
            <w:pPr>
              <w:pageBreakBefore w:val="0"/>
              <w:kinsoku/>
              <w:bidi w:val="0"/>
              <w:spacing w:line="360" w:lineRule="auto"/>
              <w:jc w:val="left"/>
              <w:outlineLvl w:val="9"/>
              <w:rPr>
                <w:rFonts w:hint="eastAsia" w:ascii="宋体" w:hAnsi="宋体" w:eastAsia="宋体" w:cs="宋体"/>
                <w:color w:val="auto"/>
                <w:sz w:val="24"/>
                <w:lang w:eastAsia="zh-CN"/>
              </w:rPr>
            </w:pPr>
            <w:r>
              <w:rPr>
                <w:rFonts w:hint="eastAsia" w:ascii="宋体" w:hAnsi="宋体" w:eastAsia="宋体" w:cs="宋体"/>
                <w:i w:val="0"/>
                <w:iCs w:val="0"/>
                <w:caps w:val="0"/>
                <w:color w:val="auto"/>
                <w:spacing w:val="0"/>
                <w:sz w:val="24"/>
                <w:szCs w:val="24"/>
                <w:shd w:val="clear" w:fill="FFFFFF"/>
              </w:rPr>
              <w:t>提供2025年1月至今已缴存的至少1个月的社会保障资金</w:t>
            </w:r>
            <w:r>
              <w:rPr>
                <w:rFonts w:hint="eastAsia" w:ascii="宋体" w:hAnsi="宋体" w:cs="宋体"/>
                <w:i w:val="0"/>
                <w:iCs w:val="0"/>
                <w:caps w:val="0"/>
                <w:color w:val="auto"/>
                <w:spacing w:val="0"/>
                <w:sz w:val="24"/>
                <w:szCs w:val="24"/>
                <w:shd w:val="clear" w:fill="FFFFFF"/>
                <w:lang w:eastAsia="zh-CN"/>
              </w:rPr>
              <w:t>（</w:t>
            </w:r>
            <w:r>
              <w:rPr>
                <w:rFonts w:hint="eastAsia" w:ascii="宋体" w:hAnsi="宋体" w:cs="宋体"/>
                <w:i w:val="0"/>
                <w:iCs w:val="0"/>
                <w:caps w:val="0"/>
                <w:color w:val="auto"/>
                <w:spacing w:val="0"/>
                <w:sz w:val="24"/>
                <w:szCs w:val="24"/>
                <w:shd w:val="clear" w:fill="FFFFFF"/>
                <w:lang w:val="en-US" w:eastAsia="zh-CN"/>
              </w:rPr>
              <w:t>任一险种</w:t>
            </w:r>
            <w:r>
              <w:rPr>
                <w:rFonts w:hint="eastAsia" w:ascii="宋体" w:hAnsi="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缴存单据或社保机构开具的社会保险</w:t>
            </w:r>
            <w:r>
              <w:rPr>
                <w:rFonts w:hint="eastAsia" w:ascii="宋体" w:hAnsi="宋体" w:cs="宋体"/>
                <w:i w:val="0"/>
                <w:iCs w:val="0"/>
                <w:caps w:val="0"/>
                <w:color w:val="auto"/>
                <w:spacing w:val="0"/>
                <w:sz w:val="24"/>
                <w:szCs w:val="24"/>
                <w:shd w:val="clear" w:fill="FFFFFF"/>
                <w:lang w:eastAsia="zh-CN"/>
              </w:rPr>
              <w:t>（</w:t>
            </w:r>
            <w:r>
              <w:rPr>
                <w:rFonts w:hint="eastAsia" w:ascii="宋体" w:hAnsi="宋体" w:cs="宋体"/>
                <w:i w:val="0"/>
                <w:iCs w:val="0"/>
                <w:caps w:val="0"/>
                <w:color w:val="auto"/>
                <w:spacing w:val="0"/>
                <w:sz w:val="24"/>
                <w:szCs w:val="24"/>
                <w:shd w:val="clear" w:fill="FFFFFF"/>
                <w:lang w:val="en-US" w:eastAsia="zh-CN"/>
              </w:rPr>
              <w:t>任一险种</w:t>
            </w:r>
            <w:r>
              <w:rPr>
                <w:rFonts w:hint="eastAsia" w:ascii="宋体" w:hAnsi="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参保缴费情况证明，依法不需要缴纳社会保障资金的单位应提供相关证明材料；</w:t>
            </w:r>
          </w:p>
        </w:tc>
      </w:tr>
      <w:tr w14:paraId="11AE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14:paraId="376F8C30">
            <w:pPr>
              <w:pageBreakBefore w:val="0"/>
              <w:kinsoku/>
              <w:bidi w:val="0"/>
              <w:spacing w:line="360" w:lineRule="auto"/>
              <w:jc w:val="center"/>
              <w:outlineLvl w:val="9"/>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5</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15832738">
            <w:pPr>
              <w:pageBreakBefore w:val="0"/>
              <w:kinsoku/>
              <w:bidi w:val="0"/>
              <w:spacing w:line="360" w:lineRule="auto"/>
              <w:jc w:val="center"/>
              <w:outlineLvl w:val="9"/>
              <w:rPr>
                <w:rFonts w:hint="eastAsia" w:ascii="宋体" w:hAnsi="宋体" w:eastAsia="宋体" w:cs="宋体"/>
                <w:color w:val="auto"/>
                <w:sz w:val="24"/>
                <w:lang w:val="en-US" w:eastAsia="zh-CN"/>
              </w:rPr>
            </w:pPr>
            <w:r>
              <w:rPr>
                <w:rFonts w:hint="eastAsia" w:ascii="宋体" w:hAnsi="宋体" w:eastAsia="宋体" w:cs="宋体"/>
                <w:i w:val="0"/>
                <w:iCs w:val="0"/>
                <w:caps w:val="0"/>
                <w:color w:val="auto"/>
                <w:spacing w:val="0"/>
                <w:sz w:val="24"/>
                <w:szCs w:val="24"/>
                <w:shd w:val="clear" w:fill="FFFFFF"/>
              </w:rPr>
              <w:t>财务状况报告</w:t>
            </w:r>
          </w:p>
        </w:tc>
        <w:tc>
          <w:tcPr>
            <w:tcW w:w="6988" w:type="dxa"/>
            <w:tcBorders>
              <w:top w:val="single" w:color="auto" w:sz="4" w:space="0"/>
              <w:left w:val="single" w:color="auto" w:sz="4" w:space="0"/>
              <w:bottom w:val="single" w:color="auto" w:sz="4" w:space="0"/>
              <w:right w:val="single" w:color="auto" w:sz="4" w:space="0"/>
            </w:tcBorders>
            <w:noWrap w:val="0"/>
            <w:vAlign w:val="center"/>
          </w:tcPr>
          <w:p w14:paraId="22967958">
            <w:pPr>
              <w:pageBreakBefore w:val="0"/>
              <w:kinsoku/>
              <w:bidi w:val="0"/>
              <w:spacing w:line="360" w:lineRule="auto"/>
              <w:jc w:val="left"/>
              <w:outlineLvl w:val="9"/>
              <w:rPr>
                <w:rFonts w:hint="eastAsia" w:ascii="宋体" w:hAnsi="宋体" w:eastAsia="宋体" w:cs="宋体"/>
                <w:color w:val="auto"/>
                <w:sz w:val="24"/>
              </w:rPr>
            </w:pPr>
            <w:r>
              <w:rPr>
                <w:rFonts w:hint="eastAsia" w:ascii="宋体" w:hAnsi="宋体" w:eastAsia="宋体" w:cs="宋体"/>
                <w:i w:val="0"/>
                <w:iCs w:val="0"/>
                <w:caps w:val="0"/>
                <w:color w:val="auto"/>
                <w:spacing w:val="0"/>
                <w:sz w:val="24"/>
                <w:szCs w:val="24"/>
                <w:shd w:val="clear" w:fill="FFFFFF"/>
              </w:rPr>
              <w:t>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w:t>
            </w:r>
          </w:p>
        </w:tc>
      </w:tr>
      <w:tr w14:paraId="651F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14:paraId="06315939">
            <w:pPr>
              <w:pageBreakBefore w:val="0"/>
              <w:kinsoku/>
              <w:bidi w:val="0"/>
              <w:spacing w:line="360" w:lineRule="auto"/>
              <w:jc w:val="center"/>
              <w:outlineLvl w:val="9"/>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6</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24FEE53E">
            <w:pPr>
              <w:pageBreakBefore w:val="0"/>
              <w:kinsoku/>
              <w:bidi w:val="0"/>
              <w:spacing w:line="360" w:lineRule="auto"/>
              <w:jc w:val="center"/>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主体信用查询记录</w:t>
            </w:r>
          </w:p>
        </w:tc>
        <w:tc>
          <w:tcPr>
            <w:tcW w:w="6988" w:type="dxa"/>
            <w:tcBorders>
              <w:top w:val="single" w:color="auto" w:sz="4" w:space="0"/>
              <w:left w:val="single" w:color="auto" w:sz="4" w:space="0"/>
              <w:bottom w:val="single" w:color="auto" w:sz="4" w:space="0"/>
              <w:right w:val="single" w:color="auto" w:sz="4" w:space="0"/>
            </w:tcBorders>
            <w:noWrap w:val="0"/>
            <w:vAlign w:val="center"/>
          </w:tcPr>
          <w:p w14:paraId="4C9BDC88">
            <w:pPr>
              <w:pageBreakBefore w:val="0"/>
              <w:kinsoku/>
              <w:bidi w:val="0"/>
              <w:spacing w:line="360" w:lineRule="auto"/>
              <w:outlineLvl w:val="9"/>
              <w:rPr>
                <w:rFonts w:hint="eastAsia" w:ascii="宋体" w:hAnsi="宋体" w:eastAsia="宋体" w:cs="宋体"/>
                <w:b w:val="0"/>
                <w:bCs w:val="0"/>
                <w:color w:val="auto"/>
                <w:sz w:val="24"/>
                <w:szCs w:val="24"/>
                <w:u w:val="none"/>
              </w:rPr>
            </w:pPr>
            <w:r>
              <w:rPr>
                <w:rFonts w:hint="eastAsia" w:ascii="宋体" w:hAnsi="宋体" w:eastAsia="宋体" w:cs="宋体"/>
                <w:i w:val="0"/>
                <w:iCs w:val="0"/>
                <w:caps w:val="0"/>
                <w:color w:val="auto"/>
                <w:spacing w:val="0"/>
                <w:sz w:val="24"/>
                <w:szCs w:val="24"/>
                <w:shd w:val="clear" w:fill="FFFFFF"/>
              </w:rPr>
              <w:t>对列入“信用中国”网站(www.creditchina.gov.cn)“失信被执行人、税收违法黑名单、异常经营名录”记录名单；“中国政府采购网”(www.ccgp.gov.cn)“政府采购严重违法失信行为信息记录”的单位，应当拒绝参与政府采购活动，提供查询截图（</w:t>
            </w:r>
            <w:r>
              <w:rPr>
                <w:rFonts w:hint="eastAsia" w:ascii="宋体" w:hAnsi="宋体" w:eastAsia="宋体" w:cs="宋体"/>
                <w:i w:val="0"/>
                <w:iCs w:val="0"/>
                <w:caps w:val="0"/>
                <w:color w:val="auto"/>
                <w:spacing w:val="0"/>
                <w:sz w:val="24"/>
                <w:szCs w:val="24"/>
                <w:shd w:val="clear" w:fill="FFFFFF"/>
                <w:lang w:eastAsia="zh-CN"/>
              </w:rPr>
              <w:t>查询日期为从招标文件获取之日起至投标截止日前但最终以投标截止日当天查询结果为准</w:t>
            </w:r>
            <w:r>
              <w:rPr>
                <w:rFonts w:hint="eastAsia" w:ascii="宋体" w:hAnsi="宋体" w:eastAsia="宋体" w:cs="宋体"/>
                <w:i w:val="0"/>
                <w:iCs w:val="0"/>
                <w:caps w:val="0"/>
                <w:color w:val="auto"/>
                <w:spacing w:val="0"/>
                <w:sz w:val="24"/>
                <w:szCs w:val="24"/>
                <w:shd w:val="clear" w:fill="FFFFFF"/>
              </w:rPr>
              <w:t>）；</w:t>
            </w:r>
          </w:p>
        </w:tc>
      </w:tr>
      <w:tr w14:paraId="5AD1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14:paraId="1A751AD5">
            <w:pPr>
              <w:pageBreakBefore w:val="0"/>
              <w:kinsoku/>
              <w:bidi w:val="0"/>
              <w:spacing w:line="360" w:lineRule="auto"/>
              <w:jc w:val="center"/>
              <w:outlineLvl w:val="9"/>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7</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6FF8D45A">
            <w:pPr>
              <w:pageBreakBefore w:val="0"/>
              <w:kinsoku/>
              <w:bidi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无违纪</w:t>
            </w:r>
            <w:r>
              <w:rPr>
                <w:rFonts w:hint="eastAsia" w:ascii="宋体" w:hAnsi="宋体" w:eastAsia="宋体" w:cs="宋体"/>
                <w:color w:val="auto"/>
                <w:sz w:val="24"/>
              </w:rPr>
              <w:t>声明</w:t>
            </w:r>
          </w:p>
        </w:tc>
        <w:tc>
          <w:tcPr>
            <w:tcW w:w="6988" w:type="dxa"/>
            <w:tcBorders>
              <w:top w:val="single" w:color="auto" w:sz="4" w:space="0"/>
              <w:left w:val="single" w:color="auto" w:sz="4" w:space="0"/>
              <w:bottom w:val="single" w:color="auto" w:sz="4" w:space="0"/>
              <w:right w:val="single" w:color="auto" w:sz="4" w:space="0"/>
            </w:tcBorders>
            <w:noWrap w:val="0"/>
            <w:vAlign w:val="center"/>
          </w:tcPr>
          <w:p w14:paraId="5F3585B7">
            <w:pPr>
              <w:pageBreakBefore w:val="0"/>
              <w:kinsoku/>
              <w:bidi w:val="0"/>
              <w:spacing w:line="360" w:lineRule="auto"/>
              <w:outlineLvl w:val="9"/>
              <w:rPr>
                <w:rFonts w:hint="eastAsia" w:ascii="宋体" w:hAnsi="宋体" w:eastAsia="宋体" w:cs="宋体"/>
                <w:b w:val="0"/>
                <w:bCs w:val="0"/>
                <w:color w:val="auto"/>
                <w:sz w:val="24"/>
                <w:szCs w:val="24"/>
                <w:u w:val="none"/>
                <w:lang w:eastAsia="zh-CN"/>
              </w:rPr>
            </w:pPr>
            <w:r>
              <w:rPr>
                <w:rFonts w:hint="eastAsia" w:ascii="宋体" w:hAnsi="宋体" w:eastAsia="宋体" w:cs="宋体"/>
                <w:b w:val="0"/>
                <w:bCs w:val="0"/>
                <w:color w:val="auto"/>
                <w:sz w:val="24"/>
                <w:szCs w:val="24"/>
                <w:u w:val="none"/>
              </w:rPr>
              <w:t>参加政府采购活动前三年内，在经营活动中没有重大违法记录的书面声明；</w:t>
            </w:r>
          </w:p>
        </w:tc>
      </w:tr>
      <w:tr w14:paraId="64CA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14:paraId="3EDEFDCA">
            <w:pPr>
              <w:pageBreakBefore w:val="0"/>
              <w:kinsoku/>
              <w:bidi w:val="0"/>
              <w:spacing w:line="360" w:lineRule="auto"/>
              <w:jc w:val="center"/>
              <w:outlineLvl w:val="9"/>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8</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0C0CDEA5">
            <w:pPr>
              <w:pageBreakBefore w:val="0"/>
              <w:kinsoku/>
              <w:bidi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设备和专业技术能力</w:t>
            </w:r>
          </w:p>
        </w:tc>
        <w:tc>
          <w:tcPr>
            <w:tcW w:w="6988" w:type="dxa"/>
            <w:tcBorders>
              <w:top w:val="single" w:color="auto" w:sz="4" w:space="0"/>
              <w:left w:val="single" w:color="auto" w:sz="4" w:space="0"/>
              <w:bottom w:val="single" w:color="auto" w:sz="4" w:space="0"/>
              <w:right w:val="single" w:color="auto" w:sz="4" w:space="0"/>
            </w:tcBorders>
            <w:noWrap w:val="0"/>
            <w:vAlign w:val="center"/>
          </w:tcPr>
          <w:p w14:paraId="57DCF657">
            <w:pPr>
              <w:pageBreakBefore w:val="0"/>
              <w:kinsoku/>
              <w:bidi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提</w:t>
            </w:r>
            <w:r>
              <w:rPr>
                <w:rFonts w:hint="eastAsia" w:ascii="宋体" w:hAnsi="宋体" w:eastAsia="宋体" w:cs="宋体"/>
                <w:b w:val="0"/>
                <w:bCs w:val="0"/>
                <w:color w:val="auto"/>
                <w:sz w:val="24"/>
                <w:szCs w:val="24"/>
                <w:u w:val="none"/>
              </w:rPr>
              <w:t>供具有履行合同所必需的设备和专业技术能力的证明资料或承诺书；</w:t>
            </w:r>
          </w:p>
        </w:tc>
      </w:tr>
      <w:tr w14:paraId="0F4E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14:paraId="091B1A69">
            <w:pPr>
              <w:pageBreakBefore w:val="0"/>
              <w:kinsoku/>
              <w:bidi w:val="0"/>
              <w:spacing w:line="360" w:lineRule="auto"/>
              <w:jc w:val="center"/>
              <w:outlineLvl w:val="9"/>
              <w:rPr>
                <w:rFonts w:hint="default"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9</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496839BC">
            <w:pPr>
              <w:pageBreakBefore w:val="0"/>
              <w:kinsoku/>
              <w:bidi w:val="0"/>
              <w:spacing w:line="360" w:lineRule="auto"/>
              <w:jc w:val="center"/>
              <w:outlineLvl w:val="9"/>
              <w:rPr>
                <w:rFonts w:hint="eastAsia" w:ascii="宋体" w:hAnsi="宋体" w:eastAsia="宋体" w:cs="宋体"/>
                <w:color w:val="auto"/>
                <w:sz w:val="24"/>
                <w:lang w:val="en-US" w:eastAsia="zh-CN"/>
              </w:rPr>
            </w:pPr>
            <w:r>
              <w:rPr>
                <w:rFonts w:hint="eastAsia" w:ascii="宋体" w:hAnsi="宋体" w:eastAsia="宋体" w:cs="宋体"/>
                <w:i w:val="0"/>
                <w:iCs w:val="0"/>
                <w:caps w:val="0"/>
                <w:color w:val="auto"/>
                <w:spacing w:val="0"/>
                <w:sz w:val="24"/>
                <w:szCs w:val="24"/>
                <w:shd w:val="clear" w:color="auto" w:fill="FFFFFF"/>
              </w:rPr>
              <w:t>自主上报信用承诺书</w:t>
            </w:r>
          </w:p>
        </w:tc>
        <w:tc>
          <w:tcPr>
            <w:tcW w:w="6988" w:type="dxa"/>
            <w:tcBorders>
              <w:top w:val="single" w:color="auto" w:sz="4" w:space="0"/>
              <w:left w:val="single" w:color="auto" w:sz="4" w:space="0"/>
              <w:bottom w:val="single" w:color="auto" w:sz="4" w:space="0"/>
              <w:right w:val="single" w:color="auto" w:sz="4" w:space="0"/>
            </w:tcBorders>
            <w:noWrap w:val="0"/>
            <w:vAlign w:val="center"/>
          </w:tcPr>
          <w:p w14:paraId="01B3718A">
            <w:pPr>
              <w:pageBreakBefore w:val="0"/>
              <w:kinsoku/>
              <w:bidi w:val="0"/>
              <w:spacing w:line="360" w:lineRule="auto"/>
              <w:outlineLvl w:val="9"/>
              <w:rPr>
                <w:rFonts w:hint="eastAsia" w:ascii="宋体" w:hAnsi="宋体" w:eastAsia="宋体" w:cs="宋体"/>
                <w:b w:val="0"/>
                <w:bCs w:val="0"/>
                <w:color w:val="auto"/>
                <w:sz w:val="24"/>
                <w:szCs w:val="24"/>
                <w:u w:val="none"/>
                <w:lang w:eastAsia="zh-CN"/>
              </w:rPr>
            </w:pPr>
            <w:r>
              <w:rPr>
                <w:rFonts w:hint="eastAsia" w:ascii="宋体" w:hAnsi="宋体" w:eastAsia="宋体" w:cs="宋体"/>
                <w:i w:val="0"/>
                <w:iCs w:val="0"/>
                <w:caps w:val="0"/>
                <w:color w:val="auto"/>
                <w:spacing w:val="0"/>
                <w:sz w:val="24"/>
                <w:szCs w:val="24"/>
                <w:shd w:val="clear" w:fill="FFFFFF"/>
              </w:rPr>
              <w:t>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w:t>
            </w:r>
          </w:p>
        </w:tc>
      </w:tr>
      <w:tr w14:paraId="3273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14:paraId="1EBDD2CF">
            <w:pPr>
              <w:pageBreakBefore w:val="0"/>
              <w:kinsoku/>
              <w:bidi w:val="0"/>
              <w:spacing w:line="360" w:lineRule="auto"/>
              <w:jc w:val="center"/>
              <w:outlineLvl w:val="9"/>
              <w:rPr>
                <w:rFonts w:hint="default" w:ascii="宋体" w:hAnsi="宋体" w:cs="宋体"/>
                <w:b w:val="0"/>
                <w:bCs w:val="0"/>
                <w:color w:val="auto"/>
                <w:szCs w:val="21"/>
                <w:lang w:val="en-US" w:eastAsia="zh-CN"/>
              </w:rPr>
            </w:pPr>
            <w:r>
              <w:rPr>
                <w:rFonts w:hint="eastAsia" w:ascii="宋体" w:hAnsi="宋体" w:cs="宋体"/>
                <w:b w:val="0"/>
                <w:bCs w:val="0"/>
                <w:color w:val="auto"/>
                <w:szCs w:val="21"/>
                <w:lang w:val="en-US" w:eastAsia="zh-CN"/>
              </w:rPr>
              <w:t>10</w:t>
            </w:r>
          </w:p>
        </w:tc>
        <w:tc>
          <w:tcPr>
            <w:tcW w:w="1810" w:type="dxa"/>
            <w:tcBorders>
              <w:top w:val="single" w:color="auto" w:sz="4" w:space="0"/>
              <w:left w:val="single" w:color="auto" w:sz="4" w:space="0"/>
              <w:bottom w:val="single" w:color="auto" w:sz="4" w:space="0"/>
              <w:right w:val="single" w:color="auto" w:sz="4" w:space="0"/>
            </w:tcBorders>
            <w:noWrap w:val="0"/>
            <w:vAlign w:val="center"/>
          </w:tcPr>
          <w:p w14:paraId="75AC40DA">
            <w:pPr>
              <w:pageBreakBefore w:val="0"/>
              <w:kinsoku/>
              <w:bidi w:val="0"/>
              <w:spacing w:line="360" w:lineRule="auto"/>
              <w:jc w:val="center"/>
              <w:outlineLvl w:val="9"/>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fill="FFFFFF"/>
              </w:rPr>
              <w:t>中小企业声明函</w:t>
            </w:r>
          </w:p>
        </w:tc>
        <w:tc>
          <w:tcPr>
            <w:tcW w:w="6988" w:type="dxa"/>
            <w:tcBorders>
              <w:top w:val="single" w:color="auto" w:sz="4" w:space="0"/>
              <w:left w:val="single" w:color="auto" w:sz="4" w:space="0"/>
              <w:bottom w:val="single" w:color="auto" w:sz="4" w:space="0"/>
              <w:right w:val="single" w:color="auto" w:sz="4" w:space="0"/>
            </w:tcBorders>
            <w:noWrap w:val="0"/>
            <w:vAlign w:val="center"/>
          </w:tcPr>
          <w:p w14:paraId="14BB9B70">
            <w:pPr>
              <w:pageBreakBefore w:val="0"/>
              <w:kinsoku/>
              <w:bidi w:val="0"/>
              <w:spacing w:line="360" w:lineRule="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本项目专门面向中小企业采购（提供中小企业声明函）。</w:t>
            </w:r>
          </w:p>
        </w:tc>
      </w:tr>
      <w:tr w14:paraId="7732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8" w:hRule="atLeast"/>
          <w:jc w:val="center"/>
        </w:trPr>
        <w:tc>
          <w:tcPr>
            <w:tcW w:w="9577" w:type="dxa"/>
            <w:gridSpan w:val="3"/>
            <w:tcBorders>
              <w:left w:val="single" w:color="auto" w:sz="4" w:space="0"/>
              <w:bottom w:val="single" w:color="auto" w:sz="4" w:space="0"/>
              <w:right w:val="single" w:color="auto" w:sz="4" w:space="0"/>
            </w:tcBorders>
            <w:noWrap w:val="0"/>
            <w:vAlign w:val="center"/>
          </w:tcPr>
          <w:p w14:paraId="70E57214">
            <w:pPr>
              <w:pageBreakBefore w:val="0"/>
              <w:kinsoku/>
              <w:bidi w:val="0"/>
              <w:spacing w:line="360" w:lineRule="auto"/>
              <w:jc w:val="left"/>
              <w:outlineLvl w:val="9"/>
              <w:rPr>
                <w:rFonts w:hint="eastAsia" w:ascii="宋体" w:hAnsi="宋体" w:eastAsia="宋体" w:cs="宋体"/>
                <w:color w:val="auto"/>
                <w:szCs w:val="21"/>
              </w:rPr>
            </w:pPr>
            <w:r>
              <w:rPr>
                <w:rFonts w:hint="eastAsia" w:ascii="宋体" w:hAnsi="宋体" w:eastAsia="宋体" w:cs="宋体"/>
                <w:b/>
                <w:color w:val="auto"/>
                <w:szCs w:val="21"/>
              </w:rPr>
              <w:t>注：审查不合格的投标供应商将视为非响应投标，不再进入后续评标阶段。</w:t>
            </w:r>
          </w:p>
        </w:tc>
      </w:tr>
    </w:tbl>
    <w:p w14:paraId="6E899BC1">
      <w:pPr>
        <w:pageBreakBefore w:val="0"/>
        <w:kinsoku/>
        <w:bidi w:val="0"/>
        <w:spacing w:before="156" w:beforeLines="50"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22.2 评标委员会将审查每份投标文件是否实质上响应了招标文件的要求。实质上响应的投标应该是与招标文件要求的全部条款、条件和规格相符，没有重大偏离或保留的投标。对关键条文的偏离、保留或反对将被认为是实质上的偏离。重大偏离或保留是指实质上影响服务内容；或者实质上与招标文件不一致，而且限制了采购人的权利或投标人的义务。纠正这些偏离或保留将会对其他实质上响应要求的投标人的竞争地位产生不公正的影响。对于投标文件中不构成实质性偏差的不正规、不一致或不规则，采购人可以接受，但这种接受将影响投标人的综合得分。评标委员会只根据投标文件本身的内容确定投标文件的响应性，而不寻求外部的证据。</w:t>
      </w:r>
    </w:p>
    <w:p w14:paraId="533474EE">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22.3 符合性评审：</w:t>
      </w:r>
      <w:r>
        <w:rPr>
          <w:rFonts w:hint="eastAsia" w:asciiTheme="minorEastAsia" w:hAnsiTheme="minorEastAsia" w:eastAsiaTheme="minorEastAsia" w:cstheme="minorEastAsia"/>
          <w:sz w:val="24"/>
        </w:rPr>
        <w:t>主要对各</w:t>
      </w:r>
      <w:r>
        <w:rPr>
          <w:rFonts w:hint="eastAsia" w:asciiTheme="minorEastAsia" w:hAnsiTheme="minorEastAsia" w:eastAsiaTheme="minorEastAsia" w:cstheme="minorEastAsia"/>
          <w:sz w:val="24"/>
          <w:lang w:eastAsia="zh-CN"/>
        </w:rPr>
        <w:t>供应商投标</w:t>
      </w:r>
      <w:r>
        <w:rPr>
          <w:rFonts w:hint="eastAsia" w:asciiTheme="minorEastAsia" w:hAnsiTheme="minorEastAsia" w:eastAsiaTheme="minorEastAsia" w:cstheme="minorEastAsia"/>
          <w:sz w:val="24"/>
        </w:rPr>
        <w:t>文件进行商务性的审定。</w:t>
      </w:r>
      <w:r>
        <w:rPr>
          <w:rFonts w:hint="eastAsia" w:asciiTheme="minorEastAsia" w:hAnsiTheme="minorEastAsia" w:eastAsiaTheme="minorEastAsia" w:cstheme="minorEastAsia"/>
          <w:sz w:val="24"/>
          <w:lang w:eastAsia="zh-CN"/>
        </w:rPr>
        <w:t>不符合</w:t>
      </w:r>
      <w:r>
        <w:rPr>
          <w:rFonts w:hint="eastAsia" w:asciiTheme="minorEastAsia" w:hAnsiTheme="minorEastAsia" w:eastAsiaTheme="minorEastAsia" w:cstheme="minorEastAsia"/>
          <w:sz w:val="24"/>
        </w:rPr>
        <w:t>下列情况之一的，其投标将按无效处理：</w:t>
      </w:r>
    </w:p>
    <w:tbl>
      <w:tblPr>
        <w:tblStyle w:val="19"/>
        <w:tblW w:w="5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839"/>
        <w:gridCol w:w="5682"/>
      </w:tblGrid>
      <w:tr w14:paraId="134A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304D5263">
            <w:pPr>
              <w:pageBreakBefore w:val="0"/>
              <w:kinsoku/>
              <w:bidi w:val="0"/>
              <w:adjustRightInd w:val="0"/>
              <w:snapToGrid w:val="0"/>
              <w:spacing w:line="360" w:lineRule="auto"/>
              <w:jc w:val="center"/>
              <w:outlineLvl w:val="9"/>
              <w:rPr>
                <w:b/>
                <w:bCs/>
                <w:sz w:val="24"/>
                <w:szCs w:val="24"/>
              </w:rPr>
            </w:pPr>
            <w:r>
              <w:rPr>
                <w:b/>
                <w:bCs/>
                <w:sz w:val="24"/>
                <w:szCs w:val="24"/>
              </w:rPr>
              <w:t>序号</w:t>
            </w:r>
          </w:p>
        </w:tc>
        <w:tc>
          <w:tcPr>
            <w:tcW w:w="1517" w:type="pc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504D79C2">
            <w:pPr>
              <w:pageBreakBefore w:val="0"/>
              <w:kinsoku/>
              <w:bidi w:val="0"/>
              <w:adjustRightInd w:val="0"/>
              <w:snapToGrid w:val="0"/>
              <w:spacing w:line="360" w:lineRule="auto"/>
              <w:jc w:val="center"/>
              <w:outlineLvl w:val="9"/>
              <w:rPr>
                <w:b/>
                <w:bCs/>
                <w:sz w:val="24"/>
                <w:szCs w:val="24"/>
              </w:rPr>
            </w:pPr>
            <w:r>
              <w:rPr>
                <w:b/>
                <w:bCs/>
                <w:sz w:val="24"/>
                <w:szCs w:val="24"/>
              </w:rPr>
              <w:t>符合性审查项</w:t>
            </w:r>
          </w:p>
        </w:tc>
        <w:tc>
          <w:tcPr>
            <w:tcW w:w="3036" w:type="pc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5B4F5402">
            <w:pPr>
              <w:pageBreakBefore w:val="0"/>
              <w:kinsoku/>
              <w:bidi w:val="0"/>
              <w:adjustRightInd w:val="0"/>
              <w:snapToGrid w:val="0"/>
              <w:spacing w:line="360" w:lineRule="auto"/>
              <w:jc w:val="center"/>
              <w:outlineLvl w:val="9"/>
              <w:rPr>
                <w:b/>
                <w:bCs/>
                <w:sz w:val="24"/>
                <w:szCs w:val="24"/>
              </w:rPr>
            </w:pPr>
            <w:r>
              <w:rPr>
                <w:b/>
                <w:bCs/>
                <w:sz w:val="24"/>
                <w:szCs w:val="24"/>
              </w:rPr>
              <w:t>通过条件</w:t>
            </w:r>
          </w:p>
        </w:tc>
      </w:tr>
      <w:tr w14:paraId="6B2F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045754E8">
            <w:pPr>
              <w:pageBreakBefore w:val="0"/>
              <w:kinsoku/>
              <w:bidi w:val="0"/>
              <w:spacing w:line="360" w:lineRule="auto"/>
              <w:jc w:val="center"/>
              <w:outlineLvl w:val="9"/>
              <w:rPr>
                <w:rFonts w:hAnsi="宋体" w:cs="宋体"/>
                <w:sz w:val="24"/>
                <w:szCs w:val="24"/>
              </w:rPr>
            </w:pPr>
            <w:r>
              <w:rPr>
                <w:rFonts w:hint="eastAsia" w:hAnsi="宋体" w:cs="宋体"/>
                <w:sz w:val="24"/>
                <w:szCs w:val="24"/>
              </w:rPr>
              <w:t>1</w:t>
            </w:r>
          </w:p>
        </w:tc>
        <w:tc>
          <w:tcPr>
            <w:tcW w:w="1517" w:type="pct"/>
            <w:tcBorders>
              <w:top w:val="single" w:color="auto" w:sz="4" w:space="0"/>
              <w:left w:val="single" w:color="auto" w:sz="4" w:space="0"/>
              <w:bottom w:val="single" w:color="auto" w:sz="4" w:space="0"/>
              <w:right w:val="single" w:color="auto" w:sz="4" w:space="0"/>
            </w:tcBorders>
            <w:vAlign w:val="center"/>
          </w:tcPr>
          <w:p w14:paraId="7160BD80">
            <w:pPr>
              <w:pageBreakBefore w:val="0"/>
              <w:kinsoku/>
              <w:bidi w:val="0"/>
              <w:spacing w:line="360" w:lineRule="auto"/>
              <w:outlineLvl w:val="9"/>
              <w:rPr>
                <w:rFonts w:hAnsi="宋体" w:cs="宋体"/>
                <w:sz w:val="24"/>
                <w:szCs w:val="24"/>
              </w:rPr>
            </w:pPr>
            <w:r>
              <w:rPr>
                <w:rFonts w:hint="eastAsia" w:hAnsi="宋体" w:cs="宋体"/>
                <w:sz w:val="24"/>
                <w:szCs w:val="24"/>
              </w:rPr>
              <w:t>投标文件项目名称、项目编号、标段（未分标段的除外）</w:t>
            </w:r>
          </w:p>
        </w:tc>
        <w:tc>
          <w:tcPr>
            <w:tcW w:w="3036" w:type="pct"/>
            <w:tcBorders>
              <w:top w:val="single" w:color="auto" w:sz="4" w:space="0"/>
              <w:left w:val="single" w:color="auto" w:sz="4" w:space="0"/>
              <w:bottom w:val="single" w:color="auto" w:sz="4" w:space="0"/>
              <w:right w:val="single" w:color="auto" w:sz="4" w:space="0"/>
            </w:tcBorders>
            <w:vAlign w:val="center"/>
          </w:tcPr>
          <w:p w14:paraId="2EAD7910">
            <w:pPr>
              <w:pageBreakBefore w:val="0"/>
              <w:kinsoku/>
              <w:bidi w:val="0"/>
              <w:spacing w:line="360" w:lineRule="auto"/>
              <w:outlineLvl w:val="9"/>
              <w:rPr>
                <w:rFonts w:hAnsi="宋体" w:cs="宋体"/>
                <w:sz w:val="24"/>
                <w:szCs w:val="24"/>
              </w:rPr>
            </w:pPr>
            <w:bookmarkStart w:id="114" w:name="_Hlk118301840"/>
            <w:r>
              <w:rPr>
                <w:rFonts w:hint="eastAsia" w:hAnsi="宋体" w:cs="宋体"/>
                <w:sz w:val="24"/>
                <w:szCs w:val="24"/>
              </w:rPr>
              <w:t>投标文件中（含封皮）的项目名称、项目编号、标段与本项目完全一致</w:t>
            </w:r>
            <w:bookmarkEnd w:id="114"/>
            <w:r>
              <w:rPr>
                <w:rFonts w:hint="eastAsia" w:hAnsi="宋体" w:cs="宋体"/>
                <w:sz w:val="24"/>
                <w:szCs w:val="24"/>
              </w:rPr>
              <w:t>，且无遗漏。</w:t>
            </w:r>
          </w:p>
        </w:tc>
      </w:tr>
      <w:tr w14:paraId="070A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05391C82">
            <w:pPr>
              <w:pageBreakBefore w:val="0"/>
              <w:kinsoku/>
              <w:bidi w:val="0"/>
              <w:spacing w:line="360" w:lineRule="auto"/>
              <w:jc w:val="center"/>
              <w:outlineLvl w:val="9"/>
              <w:rPr>
                <w:rFonts w:hint="eastAsia" w:hAnsi="宋体" w:eastAsia="宋体" w:cs="宋体"/>
                <w:sz w:val="24"/>
                <w:szCs w:val="24"/>
                <w:lang w:eastAsia="zh-CN"/>
              </w:rPr>
            </w:pPr>
            <w:r>
              <w:rPr>
                <w:rFonts w:hint="eastAsia" w:hAnsi="宋体" w:cs="宋体"/>
                <w:sz w:val="24"/>
                <w:szCs w:val="24"/>
                <w:lang w:val="en-US" w:eastAsia="zh-CN"/>
              </w:rPr>
              <w:t>2</w:t>
            </w:r>
          </w:p>
        </w:tc>
        <w:tc>
          <w:tcPr>
            <w:tcW w:w="1517" w:type="pct"/>
            <w:tcBorders>
              <w:top w:val="single" w:color="auto" w:sz="4" w:space="0"/>
              <w:left w:val="single" w:color="auto" w:sz="4" w:space="0"/>
              <w:bottom w:val="single" w:color="auto" w:sz="4" w:space="0"/>
              <w:right w:val="single" w:color="auto" w:sz="4" w:space="0"/>
            </w:tcBorders>
            <w:vAlign w:val="center"/>
          </w:tcPr>
          <w:p w14:paraId="534F6EE2">
            <w:pPr>
              <w:pageBreakBefore w:val="0"/>
              <w:kinsoku/>
              <w:bidi w:val="0"/>
              <w:spacing w:line="360" w:lineRule="auto"/>
              <w:outlineLvl w:val="9"/>
              <w:rPr>
                <w:rFonts w:hAnsi="宋体" w:cs="宋体"/>
                <w:sz w:val="24"/>
                <w:szCs w:val="24"/>
              </w:rPr>
            </w:pPr>
            <w:r>
              <w:rPr>
                <w:rFonts w:hint="eastAsia" w:hAnsi="宋体" w:cs="宋体"/>
                <w:sz w:val="24"/>
                <w:szCs w:val="24"/>
              </w:rPr>
              <w:t>投标文件的签署、盖章</w:t>
            </w:r>
          </w:p>
        </w:tc>
        <w:tc>
          <w:tcPr>
            <w:tcW w:w="3036" w:type="pct"/>
            <w:tcBorders>
              <w:top w:val="single" w:color="auto" w:sz="4" w:space="0"/>
              <w:left w:val="single" w:color="auto" w:sz="4" w:space="0"/>
              <w:bottom w:val="single" w:color="auto" w:sz="4" w:space="0"/>
              <w:right w:val="single" w:color="auto" w:sz="4" w:space="0"/>
            </w:tcBorders>
            <w:vAlign w:val="center"/>
          </w:tcPr>
          <w:p w14:paraId="3D02F3B4">
            <w:pPr>
              <w:pageBreakBefore w:val="0"/>
              <w:kinsoku/>
              <w:bidi w:val="0"/>
              <w:spacing w:line="360" w:lineRule="auto"/>
              <w:outlineLvl w:val="9"/>
              <w:rPr>
                <w:rFonts w:hAnsi="宋体" w:cs="宋体"/>
                <w:sz w:val="24"/>
                <w:szCs w:val="24"/>
              </w:rPr>
            </w:pPr>
            <w:r>
              <w:rPr>
                <w:rFonts w:hint="eastAsia" w:hAnsi="宋体" w:cs="宋体"/>
                <w:sz w:val="24"/>
                <w:szCs w:val="24"/>
              </w:rPr>
              <w:t>签署、盖章均符合招标文件要求，且无遗漏。</w:t>
            </w:r>
          </w:p>
        </w:tc>
      </w:tr>
      <w:tr w14:paraId="2928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4940E907">
            <w:pPr>
              <w:pageBreakBefore w:val="0"/>
              <w:kinsoku/>
              <w:bidi w:val="0"/>
              <w:spacing w:line="360" w:lineRule="auto"/>
              <w:jc w:val="center"/>
              <w:outlineLvl w:val="9"/>
              <w:rPr>
                <w:rFonts w:hint="eastAsia" w:hAnsi="宋体" w:eastAsia="宋体" w:cs="宋体"/>
                <w:sz w:val="24"/>
                <w:szCs w:val="24"/>
                <w:lang w:eastAsia="zh-CN"/>
              </w:rPr>
            </w:pPr>
            <w:r>
              <w:rPr>
                <w:rFonts w:hint="eastAsia" w:hAnsi="宋体" w:cs="宋体"/>
                <w:sz w:val="24"/>
                <w:szCs w:val="24"/>
                <w:lang w:val="en-US" w:eastAsia="zh-CN"/>
              </w:rPr>
              <w:t>3</w:t>
            </w:r>
          </w:p>
        </w:tc>
        <w:tc>
          <w:tcPr>
            <w:tcW w:w="1517" w:type="pct"/>
            <w:tcBorders>
              <w:top w:val="single" w:color="auto" w:sz="4" w:space="0"/>
              <w:left w:val="single" w:color="auto" w:sz="4" w:space="0"/>
              <w:bottom w:val="single" w:color="auto" w:sz="4" w:space="0"/>
              <w:right w:val="single" w:color="auto" w:sz="4" w:space="0"/>
            </w:tcBorders>
            <w:vAlign w:val="center"/>
          </w:tcPr>
          <w:p w14:paraId="0808AF0C">
            <w:pPr>
              <w:pageBreakBefore w:val="0"/>
              <w:kinsoku/>
              <w:bidi w:val="0"/>
              <w:spacing w:line="360" w:lineRule="auto"/>
              <w:outlineLvl w:val="9"/>
              <w:rPr>
                <w:rFonts w:hAnsi="宋体" w:cs="宋体"/>
                <w:sz w:val="24"/>
                <w:szCs w:val="24"/>
              </w:rPr>
            </w:pPr>
            <w:r>
              <w:rPr>
                <w:rFonts w:hint="eastAsia" w:hAnsi="宋体" w:cs="宋体"/>
                <w:sz w:val="24"/>
                <w:szCs w:val="24"/>
              </w:rPr>
              <w:t>投标文件的语言及计量单位</w:t>
            </w:r>
          </w:p>
        </w:tc>
        <w:tc>
          <w:tcPr>
            <w:tcW w:w="3036" w:type="pct"/>
            <w:tcBorders>
              <w:top w:val="single" w:color="auto" w:sz="4" w:space="0"/>
              <w:left w:val="single" w:color="auto" w:sz="4" w:space="0"/>
              <w:bottom w:val="single" w:color="auto" w:sz="4" w:space="0"/>
              <w:right w:val="single" w:color="auto" w:sz="4" w:space="0"/>
            </w:tcBorders>
            <w:vAlign w:val="center"/>
          </w:tcPr>
          <w:p w14:paraId="569B8FFA">
            <w:pPr>
              <w:pageBreakBefore w:val="0"/>
              <w:kinsoku/>
              <w:bidi w:val="0"/>
              <w:spacing w:line="360" w:lineRule="auto"/>
              <w:outlineLvl w:val="9"/>
              <w:rPr>
                <w:rFonts w:hAnsi="宋体" w:cs="宋体"/>
                <w:sz w:val="24"/>
                <w:szCs w:val="24"/>
              </w:rPr>
            </w:pPr>
            <w:r>
              <w:rPr>
                <w:rFonts w:hint="eastAsia" w:hAnsi="宋体" w:cs="宋体"/>
                <w:sz w:val="24"/>
                <w:szCs w:val="24"/>
              </w:rPr>
              <w:t>均符合招标文件的要求。</w:t>
            </w:r>
          </w:p>
        </w:tc>
      </w:tr>
      <w:tr w14:paraId="0121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734891C7">
            <w:pPr>
              <w:pageBreakBefore w:val="0"/>
              <w:kinsoku/>
              <w:bidi w:val="0"/>
              <w:spacing w:line="360" w:lineRule="auto"/>
              <w:jc w:val="center"/>
              <w:outlineLvl w:val="9"/>
              <w:rPr>
                <w:rFonts w:hint="eastAsia" w:hAnsi="宋体" w:eastAsia="宋体" w:cs="宋体"/>
                <w:sz w:val="24"/>
                <w:szCs w:val="24"/>
                <w:lang w:eastAsia="zh-CN"/>
              </w:rPr>
            </w:pPr>
            <w:r>
              <w:rPr>
                <w:rFonts w:hint="eastAsia" w:hAnsi="宋体" w:cs="宋体"/>
                <w:sz w:val="24"/>
                <w:szCs w:val="24"/>
                <w:lang w:val="en-US" w:eastAsia="zh-CN"/>
              </w:rPr>
              <w:t>4</w:t>
            </w:r>
          </w:p>
        </w:tc>
        <w:tc>
          <w:tcPr>
            <w:tcW w:w="1517" w:type="pct"/>
            <w:tcBorders>
              <w:top w:val="single" w:color="auto" w:sz="4" w:space="0"/>
              <w:left w:val="single" w:color="auto" w:sz="4" w:space="0"/>
              <w:bottom w:val="single" w:color="auto" w:sz="4" w:space="0"/>
              <w:right w:val="single" w:color="auto" w:sz="4" w:space="0"/>
            </w:tcBorders>
            <w:vAlign w:val="center"/>
          </w:tcPr>
          <w:p w14:paraId="1A166B8A">
            <w:pPr>
              <w:pageBreakBefore w:val="0"/>
              <w:kinsoku/>
              <w:bidi w:val="0"/>
              <w:spacing w:line="360" w:lineRule="auto"/>
              <w:outlineLvl w:val="9"/>
              <w:rPr>
                <w:rFonts w:hAnsi="宋体" w:cs="宋体"/>
                <w:sz w:val="24"/>
                <w:szCs w:val="24"/>
              </w:rPr>
            </w:pPr>
            <w:r>
              <w:rPr>
                <w:rFonts w:hint="eastAsia" w:hAnsi="宋体" w:cs="宋体"/>
                <w:sz w:val="24"/>
                <w:szCs w:val="24"/>
              </w:rPr>
              <w:t>投标有效期</w:t>
            </w:r>
          </w:p>
        </w:tc>
        <w:tc>
          <w:tcPr>
            <w:tcW w:w="3036" w:type="pct"/>
            <w:tcBorders>
              <w:top w:val="single" w:color="auto" w:sz="4" w:space="0"/>
              <w:left w:val="single" w:color="auto" w:sz="4" w:space="0"/>
              <w:bottom w:val="single" w:color="auto" w:sz="4" w:space="0"/>
              <w:right w:val="single" w:color="auto" w:sz="4" w:space="0"/>
            </w:tcBorders>
            <w:vAlign w:val="center"/>
          </w:tcPr>
          <w:p w14:paraId="1CC4A90E">
            <w:pPr>
              <w:pageBreakBefore w:val="0"/>
              <w:kinsoku/>
              <w:bidi w:val="0"/>
              <w:spacing w:line="360" w:lineRule="auto"/>
              <w:outlineLvl w:val="9"/>
              <w:rPr>
                <w:rFonts w:hAnsi="宋体" w:cs="宋体"/>
                <w:sz w:val="24"/>
                <w:szCs w:val="24"/>
              </w:rPr>
            </w:pPr>
            <w:r>
              <w:rPr>
                <w:rFonts w:hint="eastAsia" w:hAnsi="宋体" w:cs="宋体"/>
                <w:sz w:val="24"/>
                <w:szCs w:val="24"/>
              </w:rPr>
              <w:t>符合招标文件的要求。</w:t>
            </w:r>
          </w:p>
        </w:tc>
      </w:tr>
      <w:tr w14:paraId="5872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4C5248C5">
            <w:pPr>
              <w:pageBreakBefore w:val="0"/>
              <w:kinsoku/>
              <w:bidi w:val="0"/>
              <w:spacing w:line="360" w:lineRule="auto"/>
              <w:jc w:val="center"/>
              <w:outlineLvl w:val="9"/>
              <w:rPr>
                <w:rFonts w:hint="eastAsia" w:hAnsi="宋体" w:eastAsia="宋体" w:cs="宋体"/>
                <w:sz w:val="24"/>
                <w:szCs w:val="24"/>
                <w:lang w:eastAsia="zh-CN"/>
              </w:rPr>
            </w:pPr>
            <w:r>
              <w:rPr>
                <w:rFonts w:hint="eastAsia" w:hAnsi="宋体" w:cs="宋体"/>
                <w:sz w:val="24"/>
                <w:szCs w:val="24"/>
                <w:lang w:val="en-US" w:eastAsia="zh-CN"/>
              </w:rPr>
              <w:t>5</w:t>
            </w:r>
          </w:p>
        </w:tc>
        <w:tc>
          <w:tcPr>
            <w:tcW w:w="1517" w:type="pct"/>
            <w:tcBorders>
              <w:top w:val="single" w:color="auto" w:sz="4" w:space="0"/>
              <w:left w:val="single" w:color="auto" w:sz="4" w:space="0"/>
              <w:bottom w:val="single" w:color="auto" w:sz="4" w:space="0"/>
              <w:right w:val="single" w:color="auto" w:sz="4" w:space="0"/>
            </w:tcBorders>
            <w:vAlign w:val="center"/>
          </w:tcPr>
          <w:p w14:paraId="0C9B3DF0">
            <w:pPr>
              <w:pageBreakBefore w:val="0"/>
              <w:kinsoku/>
              <w:bidi w:val="0"/>
              <w:spacing w:line="360" w:lineRule="auto"/>
              <w:outlineLvl w:val="9"/>
              <w:rPr>
                <w:rFonts w:hAnsi="宋体" w:cs="宋体"/>
                <w:sz w:val="24"/>
                <w:szCs w:val="24"/>
              </w:rPr>
            </w:pPr>
            <w:r>
              <w:rPr>
                <w:rFonts w:hint="eastAsia" w:hAnsi="宋体" w:cs="宋体"/>
                <w:sz w:val="24"/>
                <w:szCs w:val="24"/>
              </w:rPr>
              <w:t>投标报价</w:t>
            </w:r>
          </w:p>
        </w:tc>
        <w:tc>
          <w:tcPr>
            <w:tcW w:w="3036" w:type="pct"/>
            <w:tcBorders>
              <w:top w:val="single" w:color="auto" w:sz="4" w:space="0"/>
              <w:left w:val="single" w:color="auto" w:sz="4" w:space="0"/>
              <w:bottom w:val="single" w:color="auto" w:sz="4" w:space="0"/>
              <w:right w:val="single" w:color="auto" w:sz="4" w:space="0"/>
            </w:tcBorders>
            <w:vAlign w:val="center"/>
          </w:tcPr>
          <w:p w14:paraId="495898AD">
            <w:pPr>
              <w:pageBreakBefore w:val="0"/>
              <w:kinsoku/>
              <w:bidi w:val="0"/>
              <w:spacing w:line="360" w:lineRule="auto"/>
              <w:outlineLvl w:val="9"/>
              <w:rPr>
                <w:rFonts w:hAnsi="宋体" w:cs="宋体"/>
                <w:sz w:val="24"/>
                <w:szCs w:val="24"/>
              </w:rPr>
            </w:pPr>
            <w:r>
              <w:rPr>
                <w:rFonts w:hint="eastAsia" w:hAnsi="宋体" w:cs="宋体"/>
                <w:sz w:val="24"/>
                <w:szCs w:val="24"/>
              </w:rPr>
              <w:t>同时满足以下条款：</w:t>
            </w:r>
          </w:p>
          <w:p w14:paraId="16D53246">
            <w:pPr>
              <w:pageBreakBefore w:val="0"/>
              <w:kinsoku/>
              <w:bidi w:val="0"/>
              <w:spacing w:line="360" w:lineRule="auto"/>
              <w:outlineLvl w:val="9"/>
              <w:rPr>
                <w:rFonts w:hAnsi="宋体" w:cs="宋体"/>
                <w:sz w:val="24"/>
                <w:szCs w:val="24"/>
              </w:rPr>
            </w:pPr>
            <w:r>
              <w:rPr>
                <w:rFonts w:hint="eastAsia" w:hAnsi="宋体" w:cs="宋体"/>
                <w:sz w:val="24"/>
                <w:szCs w:val="24"/>
              </w:rPr>
              <w:t>（1）投标报价符合唯一性要求；</w:t>
            </w:r>
          </w:p>
          <w:p w14:paraId="23CF2C59">
            <w:pPr>
              <w:pageBreakBefore w:val="0"/>
              <w:kinsoku/>
              <w:bidi w:val="0"/>
              <w:spacing w:line="360" w:lineRule="auto"/>
              <w:outlineLvl w:val="9"/>
              <w:rPr>
                <w:rFonts w:hAnsi="宋体" w:cs="宋体"/>
                <w:sz w:val="24"/>
                <w:szCs w:val="24"/>
              </w:rPr>
            </w:pPr>
            <w:r>
              <w:rPr>
                <w:rFonts w:hint="eastAsia" w:hAnsi="宋体" w:cs="宋体"/>
                <w:sz w:val="24"/>
                <w:szCs w:val="24"/>
              </w:rPr>
              <w:t>（2）开标一览表填写符合要求；</w:t>
            </w:r>
          </w:p>
          <w:p w14:paraId="68F4534C">
            <w:pPr>
              <w:pageBreakBefore w:val="0"/>
              <w:kinsoku/>
              <w:bidi w:val="0"/>
              <w:spacing w:line="360" w:lineRule="auto"/>
              <w:outlineLvl w:val="9"/>
              <w:rPr>
                <w:rFonts w:hAnsi="宋体" w:cs="宋体"/>
                <w:sz w:val="24"/>
                <w:szCs w:val="24"/>
              </w:rPr>
            </w:pPr>
            <w:r>
              <w:rPr>
                <w:rFonts w:hint="eastAsia" w:hAnsi="宋体" w:cs="宋体"/>
                <w:sz w:val="24"/>
                <w:szCs w:val="24"/>
              </w:rPr>
              <w:t>（3）报价货币符合招标文件要求；</w:t>
            </w:r>
          </w:p>
          <w:p w14:paraId="77B1CB55">
            <w:pPr>
              <w:pageBreakBefore w:val="0"/>
              <w:kinsoku/>
              <w:bidi w:val="0"/>
              <w:spacing w:line="360" w:lineRule="auto"/>
              <w:outlineLvl w:val="9"/>
              <w:rPr>
                <w:rFonts w:hAnsi="宋体" w:cs="宋体"/>
                <w:sz w:val="24"/>
                <w:szCs w:val="24"/>
              </w:rPr>
            </w:pPr>
            <w:r>
              <w:rPr>
                <w:rFonts w:hint="eastAsia" w:hAnsi="宋体" w:cs="宋体"/>
                <w:sz w:val="24"/>
                <w:szCs w:val="24"/>
              </w:rPr>
              <w:t>（4）未超出采购预算或招标文件规定的最高限价。</w:t>
            </w:r>
          </w:p>
        </w:tc>
      </w:tr>
      <w:tr w14:paraId="08DB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3FF343E2">
            <w:pPr>
              <w:pageBreakBefore w:val="0"/>
              <w:kinsoku/>
              <w:bidi w:val="0"/>
              <w:spacing w:line="360" w:lineRule="auto"/>
              <w:jc w:val="center"/>
              <w:outlineLvl w:val="9"/>
              <w:rPr>
                <w:rFonts w:hint="eastAsia" w:hAnsi="宋体" w:eastAsia="宋体" w:cs="宋体"/>
                <w:sz w:val="24"/>
                <w:szCs w:val="24"/>
                <w:lang w:eastAsia="zh-CN"/>
              </w:rPr>
            </w:pPr>
            <w:r>
              <w:rPr>
                <w:rFonts w:hint="eastAsia" w:hAnsi="宋体" w:cs="宋体"/>
                <w:sz w:val="24"/>
                <w:szCs w:val="24"/>
                <w:lang w:val="en-US" w:eastAsia="zh-CN"/>
              </w:rPr>
              <w:t>6</w:t>
            </w:r>
          </w:p>
        </w:tc>
        <w:tc>
          <w:tcPr>
            <w:tcW w:w="1517" w:type="pct"/>
            <w:tcBorders>
              <w:top w:val="single" w:color="auto" w:sz="4" w:space="0"/>
              <w:left w:val="single" w:color="auto" w:sz="4" w:space="0"/>
              <w:bottom w:val="single" w:color="auto" w:sz="4" w:space="0"/>
              <w:right w:val="single" w:color="auto" w:sz="4" w:space="0"/>
            </w:tcBorders>
            <w:vAlign w:val="center"/>
          </w:tcPr>
          <w:p w14:paraId="092113EF">
            <w:pPr>
              <w:pageBreakBefore w:val="0"/>
              <w:kinsoku/>
              <w:bidi w:val="0"/>
              <w:spacing w:line="360" w:lineRule="auto"/>
              <w:outlineLvl w:val="9"/>
              <w:rPr>
                <w:rFonts w:hAnsi="宋体" w:cs="宋体"/>
                <w:sz w:val="24"/>
                <w:szCs w:val="24"/>
              </w:rPr>
            </w:pPr>
            <w:r>
              <w:rPr>
                <w:rFonts w:hint="eastAsia" w:hAnsi="宋体" w:cs="宋体"/>
                <w:sz w:val="24"/>
                <w:szCs w:val="24"/>
              </w:rPr>
              <w:t>实质性条款响应</w:t>
            </w:r>
          </w:p>
        </w:tc>
        <w:tc>
          <w:tcPr>
            <w:tcW w:w="3036" w:type="pct"/>
            <w:tcBorders>
              <w:top w:val="single" w:color="auto" w:sz="4" w:space="0"/>
              <w:left w:val="single" w:color="auto" w:sz="4" w:space="0"/>
              <w:bottom w:val="single" w:color="auto" w:sz="4" w:space="0"/>
              <w:right w:val="single" w:color="auto" w:sz="4" w:space="0"/>
            </w:tcBorders>
            <w:vAlign w:val="center"/>
          </w:tcPr>
          <w:p w14:paraId="5631C42F">
            <w:pPr>
              <w:pageBreakBefore w:val="0"/>
              <w:kinsoku/>
              <w:bidi w:val="0"/>
              <w:spacing w:line="360" w:lineRule="auto"/>
              <w:outlineLvl w:val="9"/>
              <w:rPr>
                <w:rFonts w:hAnsi="宋体" w:cs="宋体"/>
                <w:sz w:val="24"/>
                <w:szCs w:val="24"/>
              </w:rPr>
            </w:pPr>
            <w:r>
              <w:rPr>
                <w:rFonts w:hint="eastAsia" w:hAnsi="宋体" w:cs="宋体"/>
                <w:sz w:val="24"/>
                <w:szCs w:val="24"/>
              </w:rPr>
              <w:t>完全响应招标文件要求的各项技术/服务/商务实质性条款。（实质性条款以★标识，未设置实质性条款时可忽略此项）</w:t>
            </w:r>
          </w:p>
        </w:tc>
      </w:tr>
      <w:tr w14:paraId="7F58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4A73D9AF">
            <w:pPr>
              <w:pageBreakBefore w:val="0"/>
              <w:kinsoku/>
              <w:bidi w:val="0"/>
              <w:spacing w:line="360" w:lineRule="auto"/>
              <w:jc w:val="center"/>
              <w:outlineLvl w:val="9"/>
              <w:rPr>
                <w:rFonts w:hint="eastAsia" w:hAnsi="宋体" w:eastAsia="宋体" w:cs="宋体"/>
                <w:sz w:val="24"/>
                <w:szCs w:val="24"/>
                <w:lang w:eastAsia="zh-CN"/>
              </w:rPr>
            </w:pPr>
            <w:r>
              <w:rPr>
                <w:rFonts w:hint="eastAsia" w:hAnsi="宋体" w:cs="宋体"/>
                <w:sz w:val="24"/>
                <w:szCs w:val="24"/>
                <w:lang w:val="en-US" w:eastAsia="zh-CN"/>
              </w:rPr>
              <w:t>7</w:t>
            </w:r>
          </w:p>
        </w:tc>
        <w:tc>
          <w:tcPr>
            <w:tcW w:w="1517" w:type="pct"/>
            <w:tcBorders>
              <w:top w:val="single" w:color="auto" w:sz="4" w:space="0"/>
              <w:left w:val="single" w:color="auto" w:sz="4" w:space="0"/>
              <w:bottom w:val="single" w:color="auto" w:sz="4" w:space="0"/>
              <w:right w:val="single" w:color="auto" w:sz="4" w:space="0"/>
            </w:tcBorders>
            <w:vAlign w:val="center"/>
          </w:tcPr>
          <w:p w14:paraId="4B17FEE9">
            <w:pPr>
              <w:pageBreakBefore w:val="0"/>
              <w:kinsoku/>
              <w:bidi w:val="0"/>
              <w:spacing w:line="360" w:lineRule="auto"/>
              <w:outlineLvl w:val="9"/>
              <w:rPr>
                <w:rFonts w:hAnsi="宋体" w:cs="宋体"/>
                <w:sz w:val="24"/>
                <w:szCs w:val="24"/>
              </w:rPr>
            </w:pPr>
            <w:r>
              <w:rPr>
                <w:rFonts w:hint="eastAsia" w:hAnsi="宋体" w:cs="宋体"/>
                <w:sz w:val="24"/>
                <w:szCs w:val="24"/>
              </w:rPr>
              <w:t>合同文本</w:t>
            </w:r>
          </w:p>
        </w:tc>
        <w:tc>
          <w:tcPr>
            <w:tcW w:w="3036" w:type="pct"/>
            <w:tcBorders>
              <w:top w:val="single" w:color="auto" w:sz="4" w:space="0"/>
              <w:left w:val="single" w:color="auto" w:sz="4" w:space="0"/>
              <w:bottom w:val="single" w:color="auto" w:sz="4" w:space="0"/>
              <w:right w:val="single" w:color="auto" w:sz="4" w:space="0"/>
            </w:tcBorders>
            <w:vAlign w:val="center"/>
          </w:tcPr>
          <w:p w14:paraId="74B2AECF">
            <w:pPr>
              <w:pageBreakBefore w:val="0"/>
              <w:kinsoku/>
              <w:bidi w:val="0"/>
              <w:spacing w:line="360" w:lineRule="auto"/>
              <w:outlineLvl w:val="9"/>
              <w:rPr>
                <w:rFonts w:hAnsi="宋体" w:cs="宋体"/>
                <w:sz w:val="24"/>
                <w:szCs w:val="24"/>
              </w:rPr>
            </w:pPr>
            <w:r>
              <w:rPr>
                <w:rFonts w:hint="eastAsia" w:hAnsi="宋体" w:cs="宋体"/>
                <w:sz w:val="24"/>
                <w:szCs w:val="24"/>
              </w:rPr>
              <w:t>完全理解并接受招标文件合同基本条款及格式的各项要求。</w:t>
            </w:r>
          </w:p>
        </w:tc>
      </w:tr>
      <w:tr w14:paraId="142F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5" w:type="pct"/>
            <w:tcBorders>
              <w:top w:val="single" w:color="auto" w:sz="4" w:space="0"/>
              <w:left w:val="single" w:color="auto" w:sz="4" w:space="0"/>
              <w:bottom w:val="single" w:color="auto" w:sz="4" w:space="0"/>
              <w:right w:val="single" w:color="auto" w:sz="4" w:space="0"/>
            </w:tcBorders>
            <w:vAlign w:val="center"/>
          </w:tcPr>
          <w:p w14:paraId="56CE81CE">
            <w:pPr>
              <w:pageBreakBefore w:val="0"/>
              <w:kinsoku/>
              <w:bidi w:val="0"/>
              <w:spacing w:line="360" w:lineRule="auto"/>
              <w:jc w:val="center"/>
              <w:outlineLvl w:val="9"/>
              <w:rPr>
                <w:rFonts w:hint="eastAsia" w:hAnsi="宋体" w:eastAsia="宋体" w:cs="宋体"/>
                <w:sz w:val="24"/>
                <w:szCs w:val="24"/>
                <w:lang w:eastAsia="zh-CN"/>
              </w:rPr>
            </w:pPr>
            <w:r>
              <w:rPr>
                <w:rFonts w:hint="eastAsia" w:hAnsi="宋体" w:cs="宋体"/>
                <w:sz w:val="24"/>
                <w:szCs w:val="24"/>
                <w:lang w:val="en-US" w:eastAsia="zh-CN"/>
              </w:rPr>
              <w:t>8</w:t>
            </w:r>
          </w:p>
        </w:tc>
        <w:tc>
          <w:tcPr>
            <w:tcW w:w="1517" w:type="pct"/>
            <w:tcBorders>
              <w:top w:val="single" w:color="auto" w:sz="4" w:space="0"/>
              <w:left w:val="single" w:color="auto" w:sz="4" w:space="0"/>
              <w:bottom w:val="single" w:color="auto" w:sz="4" w:space="0"/>
              <w:right w:val="single" w:color="auto" w:sz="4" w:space="0"/>
            </w:tcBorders>
            <w:vAlign w:val="center"/>
          </w:tcPr>
          <w:p w14:paraId="228D8E76">
            <w:pPr>
              <w:pageBreakBefore w:val="0"/>
              <w:kinsoku/>
              <w:bidi w:val="0"/>
              <w:spacing w:line="360" w:lineRule="auto"/>
              <w:outlineLvl w:val="9"/>
              <w:rPr>
                <w:rFonts w:hAnsi="宋体" w:cs="宋体"/>
                <w:sz w:val="24"/>
                <w:szCs w:val="24"/>
              </w:rPr>
            </w:pPr>
            <w:r>
              <w:rPr>
                <w:rFonts w:hint="eastAsia" w:hAnsi="宋体" w:cs="宋体"/>
                <w:sz w:val="24"/>
                <w:szCs w:val="24"/>
              </w:rPr>
              <w:t>其他</w:t>
            </w:r>
          </w:p>
        </w:tc>
        <w:tc>
          <w:tcPr>
            <w:tcW w:w="3036" w:type="pct"/>
            <w:tcBorders>
              <w:top w:val="single" w:color="auto" w:sz="4" w:space="0"/>
              <w:left w:val="single" w:color="auto" w:sz="4" w:space="0"/>
              <w:bottom w:val="single" w:color="auto" w:sz="4" w:space="0"/>
              <w:right w:val="single" w:color="auto" w:sz="4" w:space="0"/>
            </w:tcBorders>
            <w:vAlign w:val="center"/>
          </w:tcPr>
          <w:p w14:paraId="7A880106">
            <w:pPr>
              <w:pageBreakBefore w:val="0"/>
              <w:kinsoku/>
              <w:bidi w:val="0"/>
              <w:spacing w:line="360" w:lineRule="auto"/>
              <w:outlineLvl w:val="9"/>
              <w:rPr>
                <w:rFonts w:hAnsi="宋体" w:cs="宋体"/>
                <w:sz w:val="24"/>
                <w:szCs w:val="24"/>
              </w:rPr>
            </w:pPr>
            <w:r>
              <w:rPr>
                <w:rFonts w:hint="eastAsia" w:hAnsi="宋体" w:cs="宋体"/>
                <w:sz w:val="24"/>
                <w:szCs w:val="24"/>
              </w:rPr>
              <w:t>完全理解并接受法律法规和招标文件对投标人的各项须知、规约要求和责任义务，没有出现法律法规或招标文件明确规定的其他被视为“无效投标”的情形。</w:t>
            </w:r>
          </w:p>
        </w:tc>
      </w:tr>
    </w:tbl>
    <w:p w14:paraId="79E2E259">
      <w:pPr>
        <w:pStyle w:val="8"/>
        <w:pageBreakBefore w:val="0"/>
        <w:kinsoku/>
        <w:bidi w:val="0"/>
        <w:spacing w:line="360" w:lineRule="auto"/>
        <w:outlineLvl w:val="9"/>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22.3.1有下列情形之一的，视为投标人相互恶意串通投标响应，其投标文件按无效处理：</w:t>
      </w:r>
    </w:p>
    <w:p w14:paraId="3E8253C9">
      <w:pPr>
        <w:pStyle w:val="8"/>
        <w:pageBreakBefore w:val="0"/>
        <w:kinsoku/>
        <w:bidi w:val="0"/>
        <w:spacing w:line="360" w:lineRule="auto"/>
        <w:ind w:firstLine="240" w:firstLineChars="100"/>
        <w:outlineLvl w:val="9"/>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1）不同投标人的投标文件由同一单位或者个人编制；</w:t>
      </w:r>
    </w:p>
    <w:p w14:paraId="7A06FE4E">
      <w:pPr>
        <w:pStyle w:val="8"/>
        <w:pageBreakBefore w:val="0"/>
        <w:kinsoku/>
        <w:bidi w:val="0"/>
        <w:spacing w:line="360" w:lineRule="auto"/>
        <w:ind w:firstLine="240" w:firstLineChars="100"/>
        <w:outlineLvl w:val="9"/>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2）不同投标人委托同一单位或者个人办理投标事宜；</w:t>
      </w:r>
    </w:p>
    <w:p w14:paraId="58FBF83A">
      <w:pPr>
        <w:pStyle w:val="8"/>
        <w:pageBreakBefore w:val="0"/>
        <w:kinsoku/>
        <w:bidi w:val="0"/>
        <w:spacing w:line="360" w:lineRule="auto"/>
        <w:ind w:firstLine="240" w:firstLineChars="100"/>
        <w:outlineLvl w:val="9"/>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3）不同投标人的响应文件载明的项目管理成员为同一人；</w:t>
      </w:r>
    </w:p>
    <w:p w14:paraId="7569459F">
      <w:pPr>
        <w:pStyle w:val="8"/>
        <w:pageBreakBefore w:val="0"/>
        <w:kinsoku/>
        <w:bidi w:val="0"/>
        <w:spacing w:line="360" w:lineRule="auto"/>
        <w:ind w:firstLine="240" w:firstLineChars="100"/>
        <w:outlineLvl w:val="9"/>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4）不同投标人的响应文件异常一致或者投标报价呈规律性差异；</w:t>
      </w:r>
    </w:p>
    <w:p w14:paraId="62CD3A7A">
      <w:pPr>
        <w:pStyle w:val="8"/>
        <w:pageBreakBefore w:val="0"/>
        <w:kinsoku/>
        <w:bidi w:val="0"/>
        <w:spacing w:line="360" w:lineRule="auto"/>
        <w:ind w:firstLine="240" w:firstLineChars="100"/>
        <w:outlineLvl w:val="9"/>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5）不同投标人的响应文件相互混装；</w:t>
      </w:r>
    </w:p>
    <w:p w14:paraId="26C600F4">
      <w:pPr>
        <w:pStyle w:val="8"/>
        <w:pageBreakBefore w:val="0"/>
        <w:kinsoku/>
        <w:bidi w:val="0"/>
        <w:spacing w:line="360" w:lineRule="auto"/>
        <w:ind w:firstLine="240" w:firstLineChars="100"/>
        <w:outlineLvl w:val="9"/>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6）不同投标人的投标保证金从同一单位或者个人的账户转出；</w:t>
      </w:r>
    </w:p>
    <w:p w14:paraId="11393B54">
      <w:pPr>
        <w:pStyle w:val="8"/>
        <w:pageBreakBefore w:val="0"/>
        <w:kinsoku/>
        <w:bidi w:val="0"/>
        <w:spacing w:line="360" w:lineRule="auto"/>
        <w:ind w:firstLine="240" w:firstLineChars="100"/>
        <w:outlineLvl w:val="9"/>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7）不同投标人的响应文件由同一单位送达。</w:t>
      </w:r>
    </w:p>
    <w:p w14:paraId="7FD61235">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22.4 如果投标文件实质上没有响应招标文件的要求，评标委员会将予以拒绝，投标人不得通过修正或撤销不合要求的偏离从而使其投标成为实质上响应的投标。</w:t>
      </w:r>
    </w:p>
    <w:p w14:paraId="16859D97">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22.5 评标委员会将只对确定为实质上响应的投标进行审核，看其是否有计算上和累加上的算术错误，修正错误的原则如下：</w:t>
      </w:r>
    </w:p>
    <w:p w14:paraId="327A1800">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1）投标报价表中内容与投标文件投标分项报价表内容不一致的，应以投标报价表为准；</w:t>
      </w:r>
    </w:p>
    <w:p w14:paraId="0C14B741">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2）投标文件的大写金额和小写金额不一致的，以大写金额为准；总价金额与按单价汇总金额不一致的，以单价金额计算结果为准；单价金额小数点有明显错位的，应以总价为准，并修改单价；</w:t>
      </w:r>
    </w:p>
    <w:p w14:paraId="666B27C4">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22.6 评标委员会将按上述修正错误的原则调整投标文件中的投标报价，调整后的价格应对投标人具有约束力。如果投标人不接受修正后的价格，则其投标将被拒绝。</w:t>
      </w:r>
    </w:p>
    <w:p w14:paraId="5A883FE1">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23．投标文件的详细评审</w:t>
      </w:r>
    </w:p>
    <w:p w14:paraId="42648F61">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23.1 评标委员会将按照第22条规定只对确定为实质上响应招标文件要求的投标进行详细的评价和比较。</w:t>
      </w:r>
    </w:p>
    <w:p w14:paraId="5CB9DDBA">
      <w:pPr>
        <w:pageBreakBefore w:val="0"/>
        <w:kinsoku/>
        <w:bidi w:val="0"/>
        <w:spacing w:line="360" w:lineRule="auto"/>
        <w:ind w:firstLine="480" w:firstLineChars="200"/>
        <w:outlineLvl w:val="9"/>
        <w:rPr>
          <w:rFonts w:hint="eastAsia"/>
        </w:rPr>
      </w:pPr>
      <w:r>
        <w:rPr>
          <w:rFonts w:hint="eastAsia" w:asciiTheme="minorEastAsia" w:hAnsiTheme="minorEastAsia" w:eastAsiaTheme="minorEastAsia" w:cstheme="minorEastAsia"/>
          <w:color w:val="auto"/>
          <w:sz w:val="24"/>
        </w:rPr>
        <w:t>23.2 评标方法：综合评分法</w:t>
      </w:r>
    </w:p>
    <w:p w14:paraId="48A5968F">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评审总分值为100分，具体分值如下：</w:t>
      </w:r>
    </w:p>
    <w:tbl>
      <w:tblPr>
        <w:tblStyle w:val="19"/>
        <w:tblpPr w:leftFromText="180" w:rightFromText="180" w:vertAnchor="text" w:horzAnchor="page" w:tblpX="1575" w:tblpY="228"/>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783"/>
        <w:gridCol w:w="983"/>
        <w:gridCol w:w="5983"/>
      </w:tblGrid>
      <w:tr w14:paraId="06E0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584" w:type="dxa"/>
            <w:gridSpan w:val="2"/>
            <w:tcBorders>
              <w:top w:val="single" w:color="auto" w:sz="4" w:space="0"/>
              <w:left w:val="single" w:color="auto" w:sz="4" w:space="0"/>
              <w:bottom w:val="single" w:color="auto" w:sz="4" w:space="0"/>
              <w:right w:val="single" w:color="auto" w:sz="4" w:space="0"/>
            </w:tcBorders>
            <w:vAlign w:val="center"/>
          </w:tcPr>
          <w:p w14:paraId="7BEFBB81">
            <w:pPr>
              <w:snapToGrid w:val="0"/>
              <w:spacing w:line="360" w:lineRule="auto"/>
              <w:jc w:val="center"/>
              <w:rPr>
                <w:rFonts w:ascii="宋体" w:hAnsi="宋体" w:cs="宋体"/>
                <w:sz w:val="24"/>
                <w:szCs w:val="24"/>
              </w:rPr>
            </w:pPr>
            <w:bookmarkStart w:id="115" w:name="_Hlk25781227"/>
            <w:r>
              <w:rPr>
                <w:rFonts w:hint="eastAsia" w:ascii="宋体" w:hAnsi="宋体" w:cs="宋体"/>
                <w:sz w:val="24"/>
                <w:szCs w:val="24"/>
              </w:rPr>
              <w:t>评标因素</w:t>
            </w:r>
          </w:p>
        </w:tc>
        <w:tc>
          <w:tcPr>
            <w:tcW w:w="983" w:type="dxa"/>
            <w:tcBorders>
              <w:top w:val="single" w:color="auto" w:sz="4" w:space="0"/>
              <w:left w:val="single" w:color="auto" w:sz="4" w:space="0"/>
              <w:right w:val="single" w:color="auto" w:sz="4" w:space="0"/>
            </w:tcBorders>
            <w:vAlign w:val="center"/>
          </w:tcPr>
          <w:p w14:paraId="19BD8A17">
            <w:pPr>
              <w:snapToGrid w:val="0"/>
              <w:spacing w:line="360" w:lineRule="auto"/>
              <w:jc w:val="center"/>
              <w:rPr>
                <w:rFonts w:ascii="宋体" w:hAnsi="宋体" w:cs="宋体"/>
                <w:sz w:val="24"/>
                <w:szCs w:val="24"/>
              </w:rPr>
            </w:pPr>
            <w:r>
              <w:rPr>
                <w:rFonts w:hint="eastAsia" w:ascii="宋体" w:hAnsi="宋体" w:cs="宋体"/>
                <w:sz w:val="24"/>
                <w:szCs w:val="24"/>
              </w:rPr>
              <w:t>权值%</w:t>
            </w:r>
          </w:p>
        </w:tc>
        <w:tc>
          <w:tcPr>
            <w:tcW w:w="5983" w:type="dxa"/>
            <w:tcBorders>
              <w:top w:val="single" w:color="auto" w:sz="4" w:space="0"/>
              <w:left w:val="single" w:color="auto" w:sz="4" w:space="0"/>
              <w:bottom w:val="single" w:color="auto" w:sz="4" w:space="0"/>
              <w:right w:val="single" w:color="auto" w:sz="4" w:space="0"/>
            </w:tcBorders>
            <w:vAlign w:val="center"/>
          </w:tcPr>
          <w:p w14:paraId="76AA210E">
            <w:pPr>
              <w:snapToGrid w:val="0"/>
              <w:spacing w:line="360" w:lineRule="auto"/>
              <w:jc w:val="center"/>
              <w:rPr>
                <w:rFonts w:ascii="宋体" w:hAnsi="宋体" w:cs="宋体"/>
                <w:sz w:val="24"/>
                <w:szCs w:val="24"/>
              </w:rPr>
            </w:pPr>
            <w:r>
              <w:rPr>
                <w:rFonts w:hint="eastAsia" w:ascii="宋体" w:hAnsi="宋体" w:cs="宋体"/>
                <w:sz w:val="24"/>
                <w:szCs w:val="24"/>
              </w:rPr>
              <w:t>评价要素</w:t>
            </w:r>
          </w:p>
        </w:tc>
      </w:tr>
      <w:tr w14:paraId="38A6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84" w:type="dxa"/>
            <w:gridSpan w:val="2"/>
            <w:tcBorders>
              <w:top w:val="single" w:color="auto" w:sz="4" w:space="0"/>
              <w:left w:val="single" w:color="auto" w:sz="4" w:space="0"/>
              <w:bottom w:val="single" w:color="auto" w:sz="4" w:space="0"/>
              <w:right w:val="single" w:color="auto" w:sz="4" w:space="0"/>
            </w:tcBorders>
            <w:vAlign w:val="center"/>
          </w:tcPr>
          <w:p w14:paraId="2EAD0773">
            <w:pPr>
              <w:snapToGrid w:val="0"/>
              <w:spacing w:line="360" w:lineRule="auto"/>
              <w:jc w:val="center"/>
              <w:rPr>
                <w:rFonts w:ascii="宋体" w:hAnsi="宋体" w:cs="宋体"/>
                <w:sz w:val="24"/>
                <w:szCs w:val="24"/>
              </w:rPr>
            </w:pPr>
            <w:r>
              <w:rPr>
                <w:rFonts w:hint="eastAsia" w:ascii="宋体" w:hAnsi="宋体" w:cs="宋体"/>
                <w:sz w:val="24"/>
                <w:szCs w:val="24"/>
              </w:rPr>
              <w:t>价格</w:t>
            </w:r>
          </w:p>
        </w:tc>
        <w:tc>
          <w:tcPr>
            <w:tcW w:w="983" w:type="dxa"/>
            <w:tcBorders>
              <w:top w:val="single" w:color="auto" w:sz="4" w:space="0"/>
              <w:left w:val="single" w:color="auto" w:sz="4" w:space="0"/>
              <w:bottom w:val="single" w:color="auto" w:sz="4" w:space="0"/>
              <w:right w:val="single" w:color="auto" w:sz="4" w:space="0"/>
            </w:tcBorders>
            <w:vAlign w:val="center"/>
          </w:tcPr>
          <w:p w14:paraId="68288CC2">
            <w:pPr>
              <w:snapToGrid w:val="0"/>
              <w:spacing w:line="360" w:lineRule="auto"/>
              <w:jc w:val="center"/>
              <w:rPr>
                <w:rFonts w:ascii="宋体" w:hAnsi="宋体" w:cs="宋体"/>
                <w:sz w:val="24"/>
                <w:szCs w:val="24"/>
              </w:rPr>
            </w:pPr>
            <w:r>
              <w:rPr>
                <w:rFonts w:hint="eastAsia" w:ascii="宋体" w:hAnsi="宋体" w:cs="宋体"/>
                <w:sz w:val="24"/>
                <w:szCs w:val="24"/>
              </w:rPr>
              <w:t>10</w:t>
            </w:r>
          </w:p>
        </w:tc>
        <w:tc>
          <w:tcPr>
            <w:tcW w:w="5983" w:type="dxa"/>
            <w:tcBorders>
              <w:top w:val="single" w:color="auto" w:sz="4" w:space="0"/>
              <w:left w:val="single" w:color="auto" w:sz="4" w:space="0"/>
              <w:bottom w:val="single" w:color="auto" w:sz="4" w:space="0"/>
              <w:right w:val="single" w:color="auto" w:sz="4" w:space="0"/>
            </w:tcBorders>
            <w:vAlign w:val="center"/>
          </w:tcPr>
          <w:p w14:paraId="2B1BB973">
            <w:pPr>
              <w:snapToGrid w:val="0"/>
              <w:spacing w:line="360" w:lineRule="auto"/>
              <w:rPr>
                <w:rFonts w:hint="eastAsia" w:ascii="宋体" w:hAnsi="宋体" w:cs="宋体"/>
                <w:sz w:val="24"/>
                <w:szCs w:val="24"/>
                <w:lang w:val="zh-CN"/>
              </w:rPr>
            </w:pPr>
            <w:r>
              <w:rPr>
                <w:rFonts w:hint="eastAsia" w:ascii="宋体" w:hAnsi="宋体" w:cs="宋体"/>
                <w:sz w:val="24"/>
                <w:szCs w:val="24"/>
              </w:rPr>
              <w:t>满足招标文件要求且投标价格最低的投标报价为评标基准价，其价格分为满分。其他投标供应商的价格分统一按照下列公式计算：投标报价得分=（评标基准价/投标报价）×</w:t>
            </w:r>
            <w:r>
              <w:rPr>
                <w:rFonts w:hint="eastAsia" w:ascii="宋体" w:hAnsi="宋体" w:cs="宋体"/>
                <w:sz w:val="24"/>
                <w:szCs w:val="24"/>
                <w:lang w:val="zh-CN"/>
              </w:rPr>
              <w:t>价格权值%×100</w:t>
            </w:r>
          </w:p>
          <w:p w14:paraId="3B71A745">
            <w:pPr>
              <w:snapToGrid w:val="0"/>
              <w:spacing w:line="360" w:lineRule="auto"/>
            </w:pPr>
            <w:r>
              <w:t>政策性因素优惠见价格评审要求。</w:t>
            </w:r>
          </w:p>
        </w:tc>
      </w:tr>
      <w:tr w14:paraId="0391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01" w:type="dxa"/>
            <w:vMerge w:val="restart"/>
            <w:tcBorders>
              <w:top w:val="single" w:color="auto" w:sz="4" w:space="0"/>
              <w:left w:val="single" w:color="auto" w:sz="4" w:space="0"/>
              <w:right w:val="single" w:color="auto" w:sz="4" w:space="0"/>
            </w:tcBorders>
            <w:vAlign w:val="center"/>
          </w:tcPr>
          <w:p w14:paraId="46A7264E">
            <w:pPr>
              <w:snapToGrid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技术服务方案</w:t>
            </w:r>
          </w:p>
        </w:tc>
        <w:tc>
          <w:tcPr>
            <w:tcW w:w="1783" w:type="dxa"/>
            <w:tcBorders>
              <w:top w:val="single" w:color="auto" w:sz="4" w:space="0"/>
              <w:left w:val="single" w:color="auto" w:sz="4" w:space="0"/>
              <w:right w:val="single" w:color="auto" w:sz="4" w:space="0"/>
            </w:tcBorders>
            <w:vAlign w:val="center"/>
          </w:tcPr>
          <w:p w14:paraId="0B54F531">
            <w:pPr>
              <w:snapToGrid w:val="0"/>
              <w:spacing w:line="440" w:lineRule="exact"/>
              <w:jc w:val="center"/>
              <w:rPr>
                <w:rFonts w:hint="eastAsia" w:ascii="Times New Roman" w:hAnsi="Times New Roman" w:eastAsia="宋体" w:cs="Times New Roman"/>
                <w:sz w:val="24"/>
                <w:szCs w:val="24"/>
              </w:rPr>
            </w:pPr>
            <w:r>
              <w:rPr>
                <w:rFonts w:hint="eastAsia" w:ascii="宋体" w:hAnsi="宋体" w:eastAsia="宋体" w:cs="宋体"/>
                <w:sz w:val="24"/>
                <w:szCs w:val="24"/>
                <w:lang w:val="en-US" w:eastAsia="zh-CN"/>
              </w:rPr>
              <w:t>质量控制目标和措施</w:t>
            </w:r>
          </w:p>
        </w:tc>
        <w:tc>
          <w:tcPr>
            <w:tcW w:w="983" w:type="dxa"/>
            <w:tcBorders>
              <w:top w:val="single" w:color="auto" w:sz="4" w:space="0"/>
              <w:left w:val="single" w:color="auto" w:sz="4" w:space="0"/>
              <w:bottom w:val="single" w:color="auto" w:sz="4" w:space="0"/>
              <w:right w:val="single" w:color="auto" w:sz="4" w:space="0"/>
            </w:tcBorders>
            <w:vAlign w:val="center"/>
          </w:tcPr>
          <w:p w14:paraId="335A3016">
            <w:pPr>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5983" w:type="dxa"/>
            <w:tcBorders>
              <w:top w:val="single" w:color="auto" w:sz="4" w:space="0"/>
              <w:left w:val="single" w:color="auto" w:sz="4" w:space="0"/>
              <w:bottom w:val="single" w:color="auto" w:sz="4" w:space="0"/>
              <w:right w:val="single" w:color="auto" w:sz="4" w:space="0"/>
            </w:tcBorders>
            <w:vAlign w:val="center"/>
          </w:tcPr>
          <w:p w14:paraId="499862E6">
            <w:pPr>
              <w:snapToGrid w:val="0"/>
              <w:spacing w:line="440" w:lineRule="exact"/>
              <w:rPr>
                <w:rFonts w:hint="eastAsia" w:eastAsia="宋体" w:cs="Times New Roman"/>
                <w:sz w:val="24"/>
                <w:szCs w:val="24"/>
              </w:rPr>
            </w:pPr>
            <w:r>
              <w:rPr>
                <w:rFonts w:hint="eastAsia" w:ascii="宋体" w:hAnsi="宋体" w:eastAsia="宋体" w:cs="宋体"/>
                <w:sz w:val="24"/>
                <w:szCs w:val="24"/>
                <w:lang w:val="en-US" w:eastAsia="zh-CN"/>
              </w:rPr>
              <w:t>根据投标人提供的质量控制目标和措施进行评分，</w:t>
            </w:r>
            <w:r>
              <w:rPr>
                <w:rFonts w:hint="eastAsia" w:ascii="宋体" w:hAnsi="宋体" w:eastAsia="宋体" w:cs="仿宋_GB2312"/>
                <w:color w:val="000000"/>
                <w:kern w:val="2"/>
                <w:sz w:val="24"/>
                <w:szCs w:val="24"/>
                <w:lang w:val="en-US" w:eastAsia="zh-CN" w:bidi="ar-SA"/>
              </w:rPr>
              <w:t xml:space="preserve"> 在此基础上，方案中存在缺陷的，每 1 项中每有1处扣1分，每项最多扣8分，扣完为止。内容缺陷是指：非专门针对本项目或不适用项目特性的情形、内容不完整或缺少关键节点、套用其他项目内容、内容前后矛盾、常识性错误、规范及标准性错误、科学原理错误、凭空编造、逻辑漏洞、不利于项目实施、不可能实现的夸大情形等任意一种情形。</w:t>
            </w:r>
          </w:p>
        </w:tc>
      </w:tr>
      <w:tr w14:paraId="5167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01" w:type="dxa"/>
            <w:vMerge w:val="continue"/>
            <w:tcBorders>
              <w:left w:val="single" w:color="auto" w:sz="4" w:space="0"/>
              <w:right w:val="single" w:color="auto" w:sz="4" w:space="0"/>
            </w:tcBorders>
            <w:vAlign w:val="center"/>
          </w:tcPr>
          <w:p w14:paraId="2E6AEE3A">
            <w:pPr>
              <w:snapToGrid w:val="0"/>
              <w:spacing w:line="440" w:lineRule="exact"/>
              <w:jc w:val="center"/>
              <w:rPr>
                <w:rFonts w:hint="eastAsia" w:ascii="宋体" w:hAnsi="宋体" w:eastAsia="宋体" w:cs="宋体"/>
                <w:sz w:val="24"/>
                <w:szCs w:val="24"/>
                <w:lang w:eastAsia="zh-CN"/>
              </w:rPr>
            </w:pPr>
          </w:p>
        </w:tc>
        <w:tc>
          <w:tcPr>
            <w:tcW w:w="1783" w:type="dxa"/>
            <w:tcBorders>
              <w:top w:val="single" w:color="auto" w:sz="4" w:space="0"/>
              <w:left w:val="single" w:color="auto" w:sz="4" w:space="0"/>
              <w:right w:val="single" w:color="auto" w:sz="4" w:space="0"/>
            </w:tcBorders>
            <w:vAlign w:val="center"/>
          </w:tcPr>
          <w:p w14:paraId="57A083BC">
            <w:pPr>
              <w:snapToGrid w:val="0"/>
              <w:spacing w:line="440" w:lineRule="exact"/>
              <w:jc w:val="center"/>
              <w:rPr>
                <w:rFonts w:hint="eastAsia" w:ascii="Times New Roman" w:hAnsi="Times New Roman" w:eastAsia="宋体" w:cs="Times New Roman"/>
                <w:sz w:val="24"/>
                <w:szCs w:val="24"/>
              </w:rPr>
            </w:pPr>
            <w:r>
              <w:rPr>
                <w:rFonts w:hint="eastAsia" w:ascii="宋体" w:hAnsi="宋体" w:eastAsia="宋体" w:cs="宋体"/>
                <w:sz w:val="24"/>
                <w:szCs w:val="24"/>
                <w:lang w:eastAsia="zh-CN"/>
              </w:rPr>
              <w:t>安全生产监督管理的方法及措施</w:t>
            </w:r>
          </w:p>
        </w:tc>
        <w:tc>
          <w:tcPr>
            <w:tcW w:w="983" w:type="dxa"/>
            <w:tcBorders>
              <w:top w:val="single" w:color="auto" w:sz="4" w:space="0"/>
              <w:left w:val="single" w:color="auto" w:sz="4" w:space="0"/>
              <w:bottom w:val="single" w:color="auto" w:sz="4" w:space="0"/>
              <w:right w:val="single" w:color="auto" w:sz="4" w:space="0"/>
            </w:tcBorders>
            <w:vAlign w:val="center"/>
          </w:tcPr>
          <w:p w14:paraId="19B51135">
            <w:pPr>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5983" w:type="dxa"/>
            <w:tcBorders>
              <w:top w:val="single" w:color="auto" w:sz="4" w:space="0"/>
              <w:left w:val="single" w:color="auto" w:sz="4" w:space="0"/>
              <w:bottom w:val="single" w:color="auto" w:sz="4" w:space="0"/>
              <w:right w:val="single" w:color="auto" w:sz="4" w:space="0"/>
            </w:tcBorders>
            <w:vAlign w:val="center"/>
          </w:tcPr>
          <w:p w14:paraId="0A17BB2E">
            <w:pPr>
              <w:snapToGrid w:val="0"/>
              <w:spacing w:line="440" w:lineRule="exact"/>
              <w:rPr>
                <w:rFonts w:hint="eastAsia" w:ascii="宋体" w:hAnsi="宋体" w:cs="宋体"/>
                <w:sz w:val="24"/>
                <w:szCs w:val="24"/>
              </w:rPr>
            </w:pPr>
            <w:r>
              <w:rPr>
                <w:rFonts w:hint="eastAsia" w:ascii="宋体" w:hAnsi="宋体" w:eastAsia="宋体" w:cs="宋体"/>
                <w:sz w:val="24"/>
                <w:szCs w:val="24"/>
                <w:lang w:val="en-US" w:eastAsia="zh-CN"/>
              </w:rPr>
              <w:t>根据投标人提供的</w:t>
            </w:r>
            <w:r>
              <w:rPr>
                <w:rFonts w:hint="eastAsia" w:ascii="宋体" w:hAnsi="宋体" w:eastAsia="宋体" w:cs="宋体"/>
                <w:sz w:val="24"/>
                <w:szCs w:val="24"/>
                <w:lang w:eastAsia="zh-CN"/>
              </w:rPr>
              <w:t>安全生产监督管理的方法及措施</w:t>
            </w:r>
            <w:r>
              <w:rPr>
                <w:rFonts w:hint="eastAsia" w:ascii="宋体" w:hAnsi="宋体" w:eastAsia="宋体" w:cs="宋体"/>
                <w:sz w:val="24"/>
                <w:szCs w:val="24"/>
                <w:lang w:val="en-US" w:eastAsia="zh-CN"/>
              </w:rPr>
              <w:t>进行评分，</w:t>
            </w:r>
            <w:r>
              <w:rPr>
                <w:rFonts w:hint="eastAsia" w:ascii="宋体" w:hAnsi="宋体" w:eastAsia="宋体" w:cs="仿宋_GB2312"/>
                <w:color w:val="000000"/>
                <w:kern w:val="2"/>
                <w:sz w:val="24"/>
                <w:szCs w:val="24"/>
                <w:lang w:val="en-US" w:eastAsia="zh-CN" w:bidi="ar-SA"/>
              </w:rPr>
              <w:t xml:space="preserve"> 在此基础上，方案中存在缺陷的，每 1 项中每有1处扣1分，每项最多扣8分，扣完为止。内容缺陷是指：非专门针对本项目或不适用项目特性的情形、内容不完整或缺少关键节点、套用其他项目内容、内容前后矛盾、常识性错误、规范及标准性错误、科学原理错误、凭空编造、逻辑漏洞、不利于项目实施、不可能实现的夸大情形等任意一种情形。</w:t>
            </w:r>
          </w:p>
        </w:tc>
      </w:tr>
      <w:tr w14:paraId="604B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01" w:type="dxa"/>
            <w:vMerge w:val="continue"/>
            <w:tcBorders>
              <w:left w:val="single" w:color="auto" w:sz="4" w:space="0"/>
              <w:right w:val="single" w:color="auto" w:sz="4" w:space="0"/>
            </w:tcBorders>
            <w:vAlign w:val="center"/>
          </w:tcPr>
          <w:p w14:paraId="618135EB">
            <w:pPr>
              <w:snapToGrid w:val="0"/>
              <w:spacing w:line="440" w:lineRule="exact"/>
              <w:jc w:val="center"/>
              <w:rPr>
                <w:rFonts w:hint="eastAsia" w:ascii="宋体" w:hAnsi="宋体" w:eastAsia="宋体" w:cs="宋体"/>
                <w:sz w:val="24"/>
                <w:szCs w:val="24"/>
                <w:lang w:val="en-US" w:eastAsia="zh-CN"/>
              </w:rPr>
            </w:pPr>
          </w:p>
        </w:tc>
        <w:tc>
          <w:tcPr>
            <w:tcW w:w="1783" w:type="dxa"/>
            <w:tcBorders>
              <w:top w:val="single" w:color="auto" w:sz="4" w:space="0"/>
              <w:left w:val="single" w:color="auto" w:sz="4" w:space="0"/>
              <w:right w:val="single" w:color="auto" w:sz="4" w:space="0"/>
            </w:tcBorders>
            <w:vAlign w:val="center"/>
          </w:tcPr>
          <w:p w14:paraId="3D48EB91">
            <w:pPr>
              <w:snapToGrid w:val="0"/>
              <w:spacing w:line="440" w:lineRule="exact"/>
              <w:jc w:val="center"/>
              <w:rPr>
                <w:rFonts w:hint="eastAsia" w:ascii="Times New Roman" w:hAnsi="Times New Roman" w:eastAsia="宋体" w:cs="Times New Roman"/>
                <w:sz w:val="24"/>
                <w:szCs w:val="24"/>
              </w:rPr>
            </w:pPr>
            <w:r>
              <w:rPr>
                <w:rFonts w:hint="eastAsia" w:ascii="宋体" w:hAnsi="宋体" w:eastAsia="宋体" w:cs="宋体"/>
                <w:sz w:val="24"/>
                <w:szCs w:val="24"/>
                <w:lang w:val="en-US" w:eastAsia="zh-CN"/>
              </w:rPr>
              <w:t>进度控制目标和措施</w:t>
            </w:r>
          </w:p>
        </w:tc>
        <w:tc>
          <w:tcPr>
            <w:tcW w:w="983" w:type="dxa"/>
            <w:tcBorders>
              <w:top w:val="single" w:color="auto" w:sz="4" w:space="0"/>
              <w:left w:val="single" w:color="auto" w:sz="4" w:space="0"/>
              <w:bottom w:val="single" w:color="auto" w:sz="4" w:space="0"/>
              <w:right w:val="single" w:color="auto" w:sz="4" w:space="0"/>
            </w:tcBorders>
            <w:vAlign w:val="center"/>
          </w:tcPr>
          <w:p w14:paraId="63B2A8F8">
            <w:pPr>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5983" w:type="dxa"/>
            <w:tcBorders>
              <w:top w:val="single" w:color="auto" w:sz="4" w:space="0"/>
              <w:left w:val="single" w:color="auto" w:sz="4" w:space="0"/>
              <w:bottom w:val="single" w:color="auto" w:sz="4" w:space="0"/>
              <w:right w:val="single" w:color="auto" w:sz="4" w:space="0"/>
            </w:tcBorders>
            <w:vAlign w:val="center"/>
          </w:tcPr>
          <w:p w14:paraId="12FE5D12">
            <w:pPr>
              <w:snapToGrid w:val="0"/>
              <w:spacing w:line="440" w:lineRule="exact"/>
              <w:rPr>
                <w:rFonts w:hint="eastAsia" w:ascii="宋体" w:hAnsi="宋体" w:cs="宋体"/>
                <w:sz w:val="24"/>
                <w:szCs w:val="24"/>
              </w:rPr>
            </w:pPr>
            <w:r>
              <w:rPr>
                <w:rFonts w:hint="eastAsia" w:ascii="宋体" w:hAnsi="宋体" w:eastAsia="宋体" w:cs="宋体"/>
                <w:sz w:val="24"/>
                <w:szCs w:val="24"/>
                <w:lang w:val="en-US" w:eastAsia="zh-CN"/>
              </w:rPr>
              <w:t>根据投标人提供的进度控制目标和措施进行评分，</w:t>
            </w:r>
            <w:r>
              <w:rPr>
                <w:rFonts w:hint="eastAsia" w:ascii="宋体" w:hAnsi="宋体" w:eastAsia="宋体" w:cs="仿宋_GB2312"/>
                <w:color w:val="000000"/>
                <w:kern w:val="2"/>
                <w:sz w:val="24"/>
                <w:szCs w:val="24"/>
                <w:lang w:val="en-US" w:eastAsia="zh-CN" w:bidi="ar-SA"/>
              </w:rPr>
              <w:t xml:space="preserve"> 在此基础上，方案中存在缺陷的，每 1 项中每有1处扣1分，每项最多扣8分，扣完为止。内容缺陷是指：非专门针对本项目或不适用项目特性的情形、内容不完整或缺少关键节点、套用其他项目内容、内容前后矛盾、常识性错误、规范及标准性错误、科学原理错误、凭空编造、逻辑漏洞、不利于项目实施、不可能实现的夸大情形等任意一种情形。</w:t>
            </w:r>
          </w:p>
        </w:tc>
      </w:tr>
      <w:tr w14:paraId="1497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01" w:type="dxa"/>
            <w:vMerge w:val="continue"/>
            <w:tcBorders>
              <w:left w:val="single" w:color="auto" w:sz="4" w:space="0"/>
              <w:right w:val="single" w:color="auto" w:sz="4" w:space="0"/>
            </w:tcBorders>
            <w:vAlign w:val="center"/>
          </w:tcPr>
          <w:p w14:paraId="589520D1">
            <w:pPr>
              <w:snapToGrid w:val="0"/>
              <w:spacing w:line="440" w:lineRule="exact"/>
              <w:jc w:val="center"/>
              <w:rPr>
                <w:rFonts w:hint="eastAsia" w:ascii="宋体" w:hAnsi="宋体" w:eastAsia="宋体" w:cs="宋体"/>
                <w:sz w:val="24"/>
                <w:szCs w:val="24"/>
                <w:lang w:val="en-US" w:eastAsia="zh-CN"/>
              </w:rPr>
            </w:pPr>
          </w:p>
        </w:tc>
        <w:tc>
          <w:tcPr>
            <w:tcW w:w="1783" w:type="dxa"/>
            <w:tcBorders>
              <w:top w:val="single" w:color="auto" w:sz="4" w:space="0"/>
              <w:left w:val="single" w:color="auto" w:sz="4" w:space="0"/>
              <w:right w:val="single" w:color="auto" w:sz="4" w:space="0"/>
            </w:tcBorders>
            <w:vAlign w:val="center"/>
          </w:tcPr>
          <w:p w14:paraId="5E15D36B">
            <w:pPr>
              <w:snapToGrid w:val="0"/>
              <w:spacing w:line="440" w:lineRule="exact"/>
              <w:jc w:val="center"/>
              <w:rPr>
                <w:rFonts w:hint="eastAsia" w:ascii="Times New Roman" w:hAnsi="Times New Roman" w:eastAsia="宋体" w:cs="Times New Roman"/>
                <w:sz w:val="24"/>
                <w:szCs w:val="24"/>
                <w:lang w:eastAsia="zh-CN"/>
              </w:rPr>
            </w:pPr>
            <w:r>
              <w:rPr>
                <w:rFonts w:hint="eastAsia" w:ascii="宋体" w:hAnsi="宋体" w:eastAsia="宋体" w:cs="宋体"/>
                <w:sz w:val="24"/>
                <w:szCs w:val="24"/>
                <w:lang w:val="en-US" w:eastAsia="zh-CN"/>
              </w:rPr>
              <w:t>投资控制目标和措施</w:t>
            </w:r>
          </w:p>
        </w:tc>
        <w:tc>
          <w:tcPr>
            <w:tcW w:w="983" w:type="dxa"/>
            <w:tcBorders>
              <w:top w:val="single" w:color="auto" w:sz="4" w:space="0"/>
              <w:left w:val="single" w:color="auto" w:sz="4" w:space="0"/>
              <w:bottom w:val="single" w:color="auto" w:sz="4" w:space="0"/>
              <w:right w:val="single" w:color="auto" w:sz="4" w:space="0"/>
            </w:tcBorders>
            <w:vAlign w:val="center"/>
          </w:tcPr>
          <w:p w14:paraId="7434BEE6">
            <w:pPr>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5983" w:type="dxa"/>
            <w:tcBorders>
              <w:top w:val="single" w:color="auto" w:sz="4" w:space="0"/>
              <w:left w:val="single" w:color="auto" w:sz="4" w:space="0"/>
              <w:bottom w:val="single" w:color="auto" w:sz="4" w:space="0"/>
              <w:right w:val="single" w:color="auto" w:sz="4" w:space="0"/>
            </w:tcBorders>
            <w:vAlign w:val="center"/>
          </w:tcPr>
          <w:p w14:paraId="2C70AD77">
            <w:pPr>
              <w:snapToGrid w:val="0"/>
              <w:spacing w:line="440" w:lineRule="exact"/>
              <w:rPr>
                <w:rFonts w:hint="eastAsia"/>
                <w:sz w:val="24"/>
                <w:szCs w:val="24"/>
                <w:lang w:eastAsia="zh-CN"/>
              </w:rPr>
            </w:pPr>
            <w:r>
              <w:rPr>
                <w:rFonts w:hint="eastAsia" w:ascii="宋体" w:hAnsi="宋体" w:eastAsia="宋体" w:cs="宋体"/>
                <w:sz w:val="24"/>
                <w:szCs w:val="24"/>
                <w:lang w:val="en-US" w:eastAsia="zh-CN"/>
              </w:rPr>
              <w:t>根据投标人提供的投资控制目标和措施进行评分，</w:t>
            </w:r>
            <w:r>
              <w:rPr>
                <w:rFonts w:hint="eastAsia" w:ascii="宋体" w:hAnsi="宋体" w:eastAsia="宋体" w:cs="仿宋_GB2312"/>
                <w:color w:val="000000"/>
                <w:kern w:val="2"/>
                <w:sz w:val="24"/>
                <w:szCs w:val="24"/>
                <w:lang w:val="en-US" w:eastAsia="zh-CN" w:bidi="ar-SA"/>
              </w:rPr>
              <w:t xml:space="preserve"> 在此基础上，方案中存在缺陷的，每 1 项中每有1处扣1分，每项最多扣8分，扣完为止。内容缺陷是指：非专门针对本项目或不适用项目特性的情形、内容不完整或缺少关键节点、套用其他项目内容、内容前后矛盾、常识性错误、规范及标准性错误、科学原理错误、凭空编造、逻辑漏洞、不利于项目实施、不可能实现的夸大情形等任意一种情形。</w:t>
            </w:r>
          </w:p>
        </w:tc>
      </w:tr>
      <w:tr w14:paraId="53ED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01" w:type="dxa"/>
            <w:vMerge w:val="continue"/>
            <w:tcBorders>
              <w:left w:val="single" w:color="auto" w:sz="4" w:space="0"/>
              <w:right w:val="single" w:color="auto" w:sz="4" w:space="0"/>
            </w:tcBorders>
            <w:vAlign w:val="center"/>
          </w:tcPr>
          <w:p w14:paraId="40D88C77">
            <w:pPr>
              <w:snapToGrid w:val="0"/>
              <w:spacing w:line="440" w:lineRule="exact"/>
              <w:jc w:val="center"/>
              <w:rPr>
                <w:rFonts w:hint="eastAsia" w:ascii="宋体" w:hAnsi="宋体" w:eastAsia="宋体" w:cs="宋体"/>
                <w:sz w:val="24"/>
                <w:szCs w:val="24"/>
                <w:lang w:val="en-US" w:eastAsia="zh-CN"/>
              </w:rPr>
            </w:pPr>
          </w:p>
        </w:tc>
        <w:tc>
          <w:tcPr>
            <w:tcW w:w="1783" w:type="dxa"/>
            <w:tcBorders>
              <w:top w:val="single" w:color="auto" w:sz="4" w:space="0"/>
              <w:left w:val="single" w:color="auto" w:sz="4" w:space="0"/>
              <w:right w:val="single" w:color="auto" w:sz="4" w:space="0"/>
            </w:tcBorders>
            <w:vAlign w:val="center"/>
          </w:tcPr>
          <w:p w14:paraId="72A8C234">
            <w:pPr>
              <w:snapToGrid w:val="0"/>
              <w:spacing w:line="440" w:lineRule="exact"/>
              <w:jc w:val="center"/>
              <w:rPr>
                <w:rFonts w:hint="eastAsia" w:ascii="Times New Roman" w:hAnsi="Times New Roman" w:eastAsia="宋体" w:cs="Times New Roman"/>
                <w:sz w:val="24"/>
                <w:szCs w:val="24"/>
                <w:lang w:eastAsia="zh-CN"/>
              </w:rPr>
            </w:pPr>
            <w:r>
              <w:rPr>
                <w:rFonts w:hint="eastAsia" w:ascii="宋体" w:hAnsi="宋体" w:eastAsia="宋体" w:cs="宋体"/>
                <w:sz w:val="24"/>
                <w:szCs w:val="24"/>
                <w:lang w:val="en-US" w:eastAsia="zh-CN"/>
              </w:rPr>
              <w:t>合同管理、信息管理和组织协调</w:t>
            </w:r>
          </w:p>
        </w:tc>
        <w:tc>
          <w:tcPr>
            <w:tcW w:w="983" w:type="dxa"/>
            <w:tcBorders>
              <w:top w:val="single" w:color="auto" w:sz="4" w:space="0"/>
              <w:left w:val="single" w:color="auto" w:sz="4" w:space="0"/>
              <w:bottom w:val="single" w:color="auto" w:sz="4" w:space="0"/>
              <w:right w:val="single" w:color="auto" w:sz="4" w:space="0"/>
            </w:tcBorders>
            <w:vAlign w:val="center"/>
          </w:tcPr>
          <w:p w14:paraId="064F89F1">
            <w:pPr>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5983" w:type="dxa"/>
            <w:tcBorders>
              <w:top w:val="single" w:color="auto" w:sz="4" w:space="0"/>
              <w:left w:val="single" w:color="auto" w:sz="4" w:space="0"/>
              <w:bottom w:val="single" w:color="auto" w:sz="4" w:space="0"/>
              <w:right w:val="single" w:color="auto" w:sz="4" w:space="0"/>
            </w:tcBorders>
            <w:vAlign w:val="center"/>
          </w:tcPr>
          <w:p w14:paraId="74331901">
            <w:pPr>
              <w:snapToGrid w:val="0"/>
              <w:spacing w:line="440" w:lineRule="exact"/>
              <w:rPr>
                <w:rFonts w:hint="eastAsia"/>
                <w:sz w:val="24"/>
                <w:szCs w:val="24"/>
                <w:lang w:eastAsia="zh-CN"/>
              </w:rPr>
            </w:pPr>
            <w:r>
              <w:rPr>
                <w:rFonts w:hint="eastAsia" w:ascii="宋体" w:hAnsi="宋体" w:eastAsia="宋体" w:cs="宋体"/>
                <w:sz w:val="24"/>
                <w:szCs w:val="24"/>
                <w:lang w:val="en-US" w:eastAsia="zh-CN"/>
              </w:rPr>
              <w:t>根据投标人提供的合同管理、信息管理和组织协调方案进行评分，</w:t>
            </w:r>
            <w:r>
              <w:rPr>
                <w:rFonts w:hint="eastAsia" w:ascii="宋体" w:hAnsi="宋体" w:eastAsia="宋体" w:cs="仿宋_GB2312"/>
                <w:color w:val="000000"/>
                <w:kern w:val="2"/>
                <w:sz w:val="24"/>
                <w:szCs w:val="24"/>
                <w:lang w:val="en-US" w:eastAsia="zh-CN" w:bidi="ar-SA"/>
              </w:rPr>
              <w:t xml:space="preserve"> 在此基础上，方案中存在缺陷的，每 1 项中每有1处扣1分，每项最多扣8分，扣完为止。内容缺陷是指：非专门针对本项目或不适用项目特性的情形、内容不完整或缺少关键节点、套用其他项目内容、内容前后矛盾、常识性错误、规范及标准性错误、科学原理错误、凭空编造、逻辑漏洞、不利于项目实施、不可能实现的夸大情形等任意一种情形。</w:t>
            </w:r>
          </w:p>
        </w:tc>
      </w:tr>
      <w:tr w14:paraId="32A1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9" w:hRule="atLeast"/>
        </w:trPr>
        <w:tc>
          <w:tcPr>
            <w:tcW w:w="801" w:type="dxa"/>
            <w:vMerge w:val="continue"/>
            <w:tcBorders>
              <w:left w:val="single" w:color="auto" w:sz="4" w:space="0"/>
              <w:right w:val="single" w:color="auto" w:sz="4" w:space="0"/>
            </w:tcBorders>
            <w:vAlign w:val="center"/>
          </w:tcPr>
          <w:p w14:paraId="76C86C18">
            <w:pPr>
              <w:snapToGrid w:val="0"/>
              <w:spacing w:line="440" w:lineRule="exact"/>
              <w:jc w:val="center"/>
              <w:rPr>
                <w:rFonts w:hint="eastAsia" w:ascii="宋体" w:hAnsi="宋体" w:eastAsia="宋体" w:cs="宋体"/>
                <w:sz w:val="24"/>
                <w:szCs w:val="24"/>
                <w:lang w:eastAsia="zh-CN"/>
              </w:rPr>
            </w:pPr>
          </w:p>
        </w:tc>
        <w:tc>
          <w:tcPr>
            <w:tcW w:w="1783" w:type="dxa"/>
            <w:tcBorders>
              <w:top w:val="single" w:color="auto" w:sz="4" w:space="0"/>
              <w:left w:val="single" w:color="auto" w:sz="4" w:space="0"/>
              <w:right w:val="single" w:color="auto" w:sz="4" w:space="0"/>
            </w:tcBorders>
            <w:vAlign w:val="center"/>
          </w:tcPr>
          <w:p w14:paraId="6FBF64E8">
            <w:pPr>
              <w:snapToGrid w:val="0"/>
              <w:spacing w:line="440" w:lineRule="exact"/>
              <w:jc w:val="center"/>
              <w:rPr>
                <w:rFonts w:hint="eastAsia" w:ascii="Times New Roman" w:hAnsi="Times New Roman" w:eastAsia="宋体" w:cs="Times New Roman"/>
                <w:sz w:val="24"/>
                <w:szCs w:val="24"/>
                <w:lang w:eastAsia="zh-CN"/>
              </w:rPr>
            </w:pPr>
            <w:r>
              <w:rPr>
                <w:rFonts w:hint="eastAsia" w:ascii="宋体" w:hAnsi="宋体" w:eastAsia="宋体" w:cs="宋体"/>
                <w:sz w:val="24"/>
                <w:szCs w:val="24"/>
                <w:lang w:eastAsia="zh-CN"/>
              </w:rPr>
              <w:t>项目监理机构的人员配备计划</w:t>
            </w:r>
          </w:p>
        </w:tc>
        <w:tc>
          <w:tcPr>
            <w:tcW w:w="983" w:type="dxa"/>
            <w:tcBorders>
              <w:top w:val="single" w:color="auto" w:sz="4" w:space="0"/>
              <w:left w:val="single" w:color="auto" w:sz="4" w:space="0"/>
              <w:bottom w:val="single" w:color="auto" w:sz="4" w:space="0"/>
              <w:right w:val="single" w:color="auto" w:sz="4" w:space="0"/>
            </w:tcBorders>
            <w:vAlign w:val="center"/>
          </w:tcPr>
          <w:p w14:paraId="57A45AD9">
            <w:pPr>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5983" w:type="dxa"/>
            <w:tcBorders>
              <w:top w:val="single" w:color="auto" w:sz="4" w:space="0"/>
              <w:left w:val="single" w:color="auto" w:sz="4" w:space="0"/>
              <w:bottom w:val="single" w:color="auto" w:sz="4" w:space="0"/>
              <w:right w:val="single" w:color="auto" w:sz="4" w:space="0"/>
            </w:tcBorders>
            <w:vAlign w:val="center"/>
          </w:tcPr>
          <w:p w14:paraId="5E335E02">
            <w:pPr>
              <w:snapToGrid w:val="0"/>
              <w:spacing w:line="440" w:lineRule="exact"/>
              <w:rPr>
                <w:rFonts w:hint="eastAsia"/>
                <w:sz w:val="24"/>
                <w:szCs w:val="24"/>
                <w:lang w:eastAsia="zh-CN"/>
              </w:rPr>
            </w:pPr>
            <w:r>
              <w:rPr>
                <w:rFonts w:hint="eastAsia" w:ascii="宋体" w:hAnsi="宋体" w:eastAsia="宋体" w:cs="宋体"/>
                <w:sz w:val="24"/>
                <w:szCs w:val="24"/>
                <w:lang w:val="en-US" w:eastAsia="zh-CN"/>
              </w:rPr>
              <w:t>根据投标人提供的</w:t>
            </w:r>
            <w:r>
              <w:rPr>
                <w:rFonts w:hint="eastAsia" w:ascii="宋体" w:hAnsi="宋体" w:eastAsia="宋体" w:cs="宋体"/>
                <w:sz w:val="24"/>
                <w:szCs w:val="24"/>
                <w:lang w:eastAsia="zh-CN"/>
              </w:rPr>
              <w:t>项目监理机构的人员配备计划</w:t>
            </w:r>
            <w:r>
              <w:rPr>
                <w:rFonts w:hint="eastAsia" w:ascii="宋体" w:hAnsi="宋体" w:eastAsia="宋体" w:cs="宋体"/>
                <w:sz w:val="24"/>
                <w:szCs w:val="24"/>
                <w:lang w:val="en-US" w:eastAsia="zh-CN"/>
              </w:rPr>
              <w:t>进行评分，</w:t>
            </w:r>
            <w:r>
              <w:rPr>
                <w:rFonts w:hint="eastAsia" w:ascii="宋体" w:hAnsi="宋体" w:eastAsia="宋体" w:cs="仿宋_GB2312"/>
                <w:color w:val="000000"/>
                <w:kern w:val="2"/>
                <w:sz w:val="24"/>
                <w:szCs w:val="24"/>
                <w:lang w:val="en-US" w:eastAsia="zh-CN" w:bidi="ar-SA"/>
              </w:rPr>
              <w:t xml:space="preserve"> 在此基础上，方案中存在缺陷的，每 1 项中每有1处扣1分，每项最多扣8分，扣完为止。内容缺陷是指：非专门针对本项目或不适用项目特性的情形、内容不完整或缺少关键节点、套用其他项目内容、内容前后矛盾、常识性错误、规范及标准性错误、科学原理错误、凭空编造、逻辑漏洞、不利于项目实施、不可能实现的夸大情形等任意一种情形。</w:t>
            </w:r>
          </w:p>
        </w:tc>
      </w:tr>
      <w:tr w14:paraId="2A95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01" w:type="dxa"/>
            <w:vMerge w:val="continue"/>
            <w:tcBorders>
              <w:left w:val="single" w:color="auto" w:sz="4" w:space="0"/>
              <w:right w:val="single" w:color="auto" w:sz="4" w:space="0"/>
            </w:tcBorders>
            <w:vAlign w:val="center"/>
          </w:tcPr>
          <w:p w14:paraId="2DFE0EA3">
            <w:pPr>
              <w:snapToGrid w:val="0"/>
              <w:spacing w:line="440" w:lineRule="exact"/>
              <w:jc w:val="center"/>
              <w:rPr>
                <w:rFonts w:hint="eastAsia" w:ascii="宋体" w:hAnsi="宋体" w:eastAsia="宋体" w:cs="宋体"/>
                <w:sz w:val="24"/>
                <w:szCs w:val="24"/>
                <w:lang w:eastAsia="zh-CN"/>
              </w:rPr>
            </w:pPr>
          </w:p>
        </w:tc>
        <w:tc>
          <w:tcPr>
            <w:tcW w:w="1783" w:type="dxa"/>
            <w:tcBorders>
              <w:top w:val="single" w:color="auto" w:sz="4" w:space="0"/>
              <w:left w:val="single" w:color="auto" w:sz="4" w:space="0"/>
              <w:right w:val="single" w:color="auto" w:sz="4" w:space="0"/>
            </w:tcBorders>
            <w:vAlign w:val="center"/>
          </w:tcPr>
          <w:p w14:paraId="3F00E8C6">
            <w:pPr>
              <w:snapToGrid w:val="0"/>
              <w:spacing w:line="440" w:lineRule="exact"/>
              <w:jc w:val="center"/>
              <w:rPr>
                <w:rFonts w:hint="eastAsia" w:ascii="Times New Roman" w:hAnsi="Times New Roman" w:eastAsia="宋体" w:cs="Times New Roman"/>
                <w:sz w:val="24"/>
                <w:szCs w:val="24"/>
                <w:lang w:eastAsia="zh-CN"/>
              </w:rPr>
            </w:pPr>
            <w:r>
              <w:rPr>
                <w:rFonts w:hint="eastAsia" w:ascii="宋体" w:hAnsi="宋体" w:eastAsia="宋体" w:cs="宋体"/>
                <w:sz w:val="24"/>
                <w:szCs w:val="24"/>
                <w:lang w:eastAsia="zh-CN"/>
              </w:rPr>
              <w:t>监理设施配备及工作制度</w:t>
            </w:r>
          </w:p>
        </w:tc>
        <w:tc>
          <w:tcPr>
            <w:tcW w:w="983" w:type="dxa"/>
            <w:tcBorders>
              <w:top w:val="single" w:color="auto" w:sz="4" w:space="0"/>
              <w:left w:val="single" w:color="auto" w:sz="4" w:space="0"/>
              <w:bottom w:val="single" w:color="auto" w:sz="4" w:space="0"/>
              <w:right w:val="single" w:color="auto" w:sz="4" w:space="0"/>
            </w:tcBorders>
            <w:vAlign w:val="center"/>
          </w:tcPr>
          <w:p w14:paraId="57E4B4D7">
            <w:pPr>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5983" w:type="dxa"/>
            <w:tcBorders>
              <w:top w:val="single" w:color="auto" w:sz="4" w:space="0"/>
              <w:left w:val="single" w:color="auto" w:sz="4" w:space="0"/>
              <w:bottom w:val="single" w:color="auto" w:sz="4" w:space="0"/>
              <w:right w:val="single" w:color="auto" w:sz="4" w:space="0"/>
            </w:tcBorders>
            <w:vAlign w:val="center"/>
          </w:tcPr>
          <w:p w14:paraId="75F239D2">
            <w:pPr>
              <w:snapToGrid w:val="0"/>
              <w:spacing w:line="440" w:lineRule="exact"/>
              <w:rPr>
                <w:rFonts w:hint="eastAsia"/>
                <w:sz w:val="24"/>
                <w:szCs w:val="24"/>
                <w:lang w:eastAsia="zh-CN"/>
              </w:rPr>
            </w:pPr>
            <w:r>
              <w:rPr>
                <w:rFonts w:hint="eastAsia" w:ascii="宋体" w:hAnsi="宋体" w:eastAsia="宋体" w:cs="宋体"/>
                <w:sz w:val="24"/>
                <w:szCs w:val="24"/>
                <w:lang w:val="en-US" w:eastAsia="zh-CN"/>
              </w:rPr>
              <w:t>根据投标人提供的</w:t>
            </w:r>
            <w:r>
              <w:rPr>
                <w:rFonts w:hint="eastAsia" w:ascii="宋体" w:hAnsi="宋体" w:eastAsia="宋体" w:cs="宋体"/>
                <w:sz w:val="24"/>
                <w:szCs w:val="24"/>
                <w:lang w:eastAsia="zh-CN"/>
              </w:rPr>
              <w:t>监理设施配备及工作制度</w:t>
            </w:r>
            <w:r>
              <w:rPr>
                <w:rFonts w:hint="eastAsia" w:ascii="宋体" w:hAnsi="宋体" w:eastAsia="宋体" w:cs="宋体"/>
                <w:sz w:val="24"/>
                <w:szCs w:val="24"/>
                <w:lang w:val="en-US" w:eastAsia="zh-CN"/>
              </w:rPr>
              <w:t>进行评分，</w:t>
            </w:r>
            <w:r>
              <w:rPr>
                <w:rFonts w:hint="eastAsia" w:ascii="宋体" w:hAnsi="宋体" w:eastAsia="宋体" w:cs="仿宋_GB2312"/>
                <w:color w:val="000000"/>
                <w:kern w:val="2"/>
                <w:sz w:val="24"/>
                <w:szCs w:val="24"/>
                <w:lang w:val="en-US" w:eastAsia="zh-CN" w:bidi="ar-SA"/>
              </w:rPr>
              <w:t xml:space="preserve"> 在此基础上，方案中存在缺陷的，每 1 项中每有1处扣1分，每项最多扣8分，扣完为止。内容缺陷是指：非专门针对本项目或不适用项目特性的情形、内容不完整或缺少关键节点、套用其他项目内容、内容前后矛盾、常识性错误、规范及标准性错误、科学原理错误、凭空编造、逻辑漏洞、不利于项目实施、不可能实现的夸大情形等任意一种情形。</w:t>
            </w:r>
          </w:p>
        </w:tc>
      </w:tr>
      <w:tr w14:paraId="5438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01" w:type="dxa"/>
            <w:vMerge w:val="continue"/>
            <w:tcBorders>
              <w:left w:val="single" w:color="auto" w:sz="4" w:space="0"/>
              <w:right w:val="single" w:color="auto" w:sz="4" w:space="0"/>
            </w:tcBorders>
            <w:vAlign w:val="center"/>
          </w:tcPr>
          <w:p w14:paraId="43C77A8B">
            <w:pPr>
              <w:snapToGrid w:val="0"/>
              <w:spacing w:line="440" w:lineRule="exact"/>
              <w:jc w:val="center"/>
              <w:rPr>
                <w:rFonts w:hint="eastAsia" w:ascii="宋体" w:hAnsi="宋体" w:eastAsia="宋体" w:cs="宋体"/>
                <w:sz w:val="24"/>
                <w:szCs w:val="24"/>
                <w:lang w:val="en-US" w:eastAsia="zh-CN"/>
              </w:rPr>
            </w:pPr>
          </w:p>
        </w:tc>
        <w:tc>
          <w:tcPr>
            <w:tcW w:w="1783" w:type="dxa"/>
            <w:tcBorders>
              <w:top w:val="single" w:color="auto" w:sz="4" w:space="0"/>
              <w:left w:val="single" w:color="auto" w:sz="4" w:space="0"/>
              <w:right w:val="single" w:color="auto" w:sz="4" w:space="0"/>
            </w:tcBorders>
            <w:vAlign w:val="center"/>
          </w:tcPr>
          <w:p w14:paraId="557813D6">
            <w:pPr>
              <w:snapToGrid w:val="0"/>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合理化建议</w:t>
            </w:r>
          </w:p>
        </w:tc>
        <w:tc>
          <w:tcPr>
            <w:tcW w:w="983" w:type="dxa"/>
            <w:tcBorders>
              <w:top w:val="single" w:color="auto" w:sz="4" w:space="0"/>
              <w:left w:val="single" w:color="auto" w:sz="4" w:space="0"/>
              <w:bottom w:val="single" w:color="auto" w:sz="4" w:space="0"/>
              <w:right w:val="single" w:color="auto" w:sz="4" w:space="0"/>
            </w:tcBorders>
            <w:vAlign w:val="center"/>
          </w:tcPr>
          <w:p w14:paraId="189C3D58">
            <w:pPr>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5983" w:type="dxa"/>
            <w:tcBorders>
              <w:top w:val="single" w:color="auto" w:sz="4" w:space="0"/>
              <w:left w:val="single" w:color="auto" w:sz="4" w:space="0"/>
              <w:bottom w:val="single" w:color="auto" w:sz="4" w:space="0"/>
              <w:right w:val="single" w:color="auto" w:sz="4" w:space="0"/>
            </w:tcBorders>
            <w:vAlign w:val="center"/>
          </w:tcPr>
          <w:p w14:paraId="43331721">
            <w:pPr>
              <w:snapToGrid w:val="0"/>
              <w:spacing w:line="440" w:lineRule="exact"/>
              <w:rPr>
                <w:rFonts w:hint="eastAsia"/>
                <w:sz w:val="24"/>
                <w:szCs w:val="24"/>
                <w:lang w:eastAsia="zh-CN"/>
              </w:rPr>
            </w:pPr>
            <w:r>
              <w:rPr>
                <w:rFonts w:hint="eastAsia" w:ascii="宋体" w:hAnsi="宋体" w:eastAsia="宋体" w:cs="宋体"/>
                <w:sz w:val="24"/>
                <w:szCs w:val="24"/>
                <w:lang w:val="en-US" w:eastAsia="zh-CN"/>
              </w:rPr>
              <w:t>根据投标人提供的合理化建议进行评分，</w:t>
            </w:r>
            <w:r>
              <w:rPr>
                <w:rFonts w:hint="eastAsia" w:ascii="宋体" w:hAnsi="宋体" w:eastAsia="宋体" w:cs="仿宋_GB2312"/>
                <w:color w:val="000000"/>
                <w:kern w:val="2"/>
                <w:sz w:val="24"/>
                <w:szCs w:val="24"/>
                <w:lang w:val="en-US" w:eastAsia="zh-CN" w:bidi="ar-SA"/>
              </w:rPr>
              <w:t xml:space="preserve"> 在此基础上，方案中存在缺陷的，每 1 项中每有1处扣1分，每项最多扣8分，扣完为止。内容缺陷是指：非专门针对本项目或不适用项目特性的情形、内容不完整或缺少关键节点、套用其他项目内容、内容前后矛盾、常识性错误、规范及标准性错误、科学原理错误、凭空编造、逻辑漏洞、不利于项目实施、不可能实现的夸大情形等任意一种情形。</w:t>
            </w:r>
          </w:p>
        </w:tc>
      </w:tr>
      <w:tr w14:paraId="36F4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01" w:type="dxa"/>
            <w:vMerge w:val="continue"/>
            <w:tcBorders>
              <w:left w:val="single" w:color="auto" w:sz="4" w:space="0"/>
              <w:right w:val="single" w:color="auto" w:sz="4" w:space="0"/>
            </w:tcBorders>
            <w:vAlign w:val="center"/>
          </w:tcPr>
          <w:p w14:paraId="7DC7B015">
            <w:pPr>
              <w:snapToGrid w:val="0"/>
              <w:spacing w:line="440" w:lineRule="exact"/>
              <w:jc w:val="center"/>
              <w:rPr>
                <w:rFonts w:hint="eastAsia" w:ascii="宋体" w:hAnsi="宋体" w:eastAsia="宋体" w:cs="宋体"/>
                <w:sz w:val="24"/>
                <w:szCs w:val="24"/>
                <w:lang w:eastAsia="zh-CN"/>
              </w:rPr>
            </w:pPr>
          </w:p>
        </w:tc>
        <w:tc>
          <w:tcPr>
            <w:tcW w:w="1783" w:type="dxa"/>
            <w:tcBorders>
              <w:top w:val="single" w:color="auto" w:sz="4" w:space="0"/>
              <w:left w:val="single" w:color="auto" w:sz="4" w:space="0"/>
              <w:right w:val="single" w:color="auto" w:sz="4" w:space="0"/>
            </w:tcBorders>
            <w:vAlign w:val="center"/>
          </w:tcPr>
          <w:p w14:paraId="42ACB9DE">
            <w:pPr>
              <w:snapToGrid w:val="0"/>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费用控制方法及措施</w:t>
            </w:r>
          </w:p>
        </w:tc>
        <w:tc>
          <w:tcPr>
            <w:tcW w:w="983" w:type="dxa"/>
            <w:tcBorders>
              <w:top w:val="single" w:color="auto" w:sz="4" w:space="0"/>
              <w:left w:val="single" w:color="auto" w:sz="4" w:space="0"/>
              <w:bottom w:val="single" w:color="auto" w:sz="4" w:space="0"/>
              <w:right w:val="single" w:color="auto" w:sz="4" w:space="0"/>
            </w:tcBorders>
            <w:vAlign w:val="center"/>
          </w:tcPr>
          <w:p w14:paraId="5D283054">
            <w:pPr>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5983" w:type="dxa"/>
            <w:tcBorders>
              <w:top w:val="single" w:color="auto" w:sz="4" w:space="0"/>
              <w:left w:val="single" w:color="auto" w:sz="4" w:space="0"/>
              <w:bottom w:val="single" w:color="auto" w:sz="4" w:space="0"/>
              <w:right w:val="single" w:color="auto" w:sz="4" w:space="0"/>
            </w:tcBorders>
            <w:vAlign w:val="center"/>
          </w:tcPr>
          <w:p w14:paraId="1503E021">
            <w:pPr>
              <w:snapToGrid w:val="0"/>
              <w:spacing w:line="440" w:lineRule="exact"/>
              <w:rPr>
                <w:rFonts w:hint="eastAsia"/>
                <w:sz w:val="24"/>
                <w:szCs w:val="24"/>
                <w:lang w:eastAsia="zh-CN"/>
              </w:rPr>
            </w:pPr>
            <w:r>
              <w:rPr>
                <w:rFonts w:hint="eastAsia" w:ascii="宋体" w:hAnsi="宋体" w:eastAsia="宋体" w:cs="宋体"/>
                <w:sz w:val="24"/>
                <w:szCs w:val="24"/>
                <w:lang w:val="en-US" w:eastAsia="zh-CN"/>
              </w:rPr>
              <w:t>根据投标人提供的</w:t>
            </w:r>
            <w:r>
              <w:rPr>
                <w:rFonts w:hint="eastAsia" w:ascii="宋体" w:hAnsi="宋体" w:eastAsia="宋体" w:cs="宋体"/>
                <w:sz w:val="24"/>
                <w:szCs w:val="24"/>
                <w:lang w:eastAsia="zh-CN"/>
              </w:rPr>
              <w:t>费用控制方法及措施</w:t>
            </w:r>
            <w:r>
              <w:rPr>
                <w:rFonts w:hint="eastAsia" w:ascii="宋体" w:hAnsi="宋体" w:eastAsia="宋体" w:cs="宋体"/>
                <w:sz w:val="24"/>
                <w:szCs w:val="24"/>
                <w:lang w:val="en-US" w:eastAsia="zh-CN"/>
              </w:rPr>
              <w:t>进行评分，</w:t>
            </w:r>
            <w:r>
              <w:rPr>
                <w:rFonts w:hint="eastAsia" w:ascii="宋体" w:hAnsi="宋体" w:eastAsia="宋体" w:cs="仿宋_GB2312"/>
                <w:color w:val="000000"/>
                <w:kern w:val="2"/>
                <w:sz w:val="24"/>
                <w:szCs w:val="24"/>
                <w:lang w:val="en-US" w:eastAsia="zh-CN" w:bidi="ar-SA"/>
              </w:rPr>
              <w:t xml:space="preserve"> 在此基础上，方案中存在缺陷的，每 1 项中每有1处扣1分，每项最多扣8分，扣完为止。内容缺陷是指：非专门针对本项目或不适用项目特性的情形、内容不完整或缺少关键节点、套用其他项目内容、内容前后矛盾、常识性错误、规范及标准性错误、科学原理错误、凭空编造、逻辑漏洞、不利于项目实施、不可能实现的夸大情形等任意一种情形。</w:t>
            </w:r>
          </w:p>
        </w:tc>
      </w:tr>
      <w:tr w14:paraId="6357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01" w:type="dxa"/>
            <w:vMerge w:val="continue"/>
            <w:tcBorders>
              <w:left w:val="single" w:color="auto" w:sz="4" w:space="0"/>
              <w:right w:val="single" w:color="auto" w:sz="4" w:space="0"/>
            </w:tcBorders>
            <w:vAlign w:val="center"/>
          </w:tcPr>
          <w:p w14:paraId="30EB6E49">
            <w:pPr>
              <w:snapToGrid w:val="0"/>
              <w:spacing w:line="440" w:lineRule="exact"/>
              <w:jc w:val="center"/>
              <w:rPr>
                <w:rFonts w:hint="eastAsia" w:ascii="宋体" w:hAnsi="宋体" w:eastAsia="宋体" w:cs="宋体"/>
                <w:sz w:val="24"/>
                <w:szCs w:val="24"/>
                <w:lang w:eastAsia="zh-CN"/>
              </w:rPr>
            </w:pPr>
          </w:p>
        </w:tc>
        <w:tc>
          <w:tcPr>
            <w:tcW w:w="1783" w:type="dxa"/>
            <w:tcBorders>
              <w:top w:val="single" w:color="auto" w:sz="4" w:space="0"/>
              <w:left w:val="single" w:color="auto" w:sz="4" w:space="0"/>
              <w:right w:val="single" w:color="auto" w:sz="4" w:space="0"/>
            </w:tcBorders>
            <w:vAlign w:val="center"/>
          </w:tcPr>
          <w:p w14:paraId="3A9305DF">
            <w:pPr>
              <w:snapToGrid w:val="0"/>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重点部位及关键工序的控制方法</w:t>
            </w:r>
          </w:p>
        </w:tc>
        <w:tc>
          <w:tcPr>
            <w:tcW w:w="983" w:type="dxa"/>
            <w:tcBorders>
              <w:top w:val="single" w:color="auto" w:sz="4" w:space="0"/>
              <w:left w:val="single" w:color="auto" w:sz="4" w:space="0"/>
              <w:bottom w:val="single" w:color="auto" w:sz="4" w:space="0"/>
              <w:right w:val="single" w:color="auto" w:sz="4" w:space="0"/>
            </w:tcBorders>
            <w:vAlign w:val="center"/>
          </w:tcPr>
          <w:p w14:paraId="56A30821">
            <w:pPr>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5983" w:type="dxa"/>
            <w:tcBorders>
              <w:top w:val="single" w:color="auto" w:sz="4" w:space="0"/>
              <w:left w:val="single" w:color="auto" w:sz="4" w:space="0"/>
              <w:bottom w:val="single" w:color="auto" w:sz="4" w:space="0"/>
              <w:right w:val="single" w:color="auto" w:sz="4" w:space="0"/>
            </w:tcBorders>
            <w:vAlign w:val="center"/>
          </w:tcPr>
          <w:p w14:paraId="09E6A5D5">
            <w:pPr>
              <w:snapToGrid w:val="0"/>
              <w:spacing w:line="440" w:lineRule="exact"/>
              <w:rPr>
                <w:rFonts w:hint="eastAsia"/>
                <w:sz w:val="24"/>
                <w:szCs w:val="24"/>
                <w:lang w:eastAsia="zh-CN"/>
              </w:rPr>
            </w:pPr>
            <w:r>
              <w:rPr>
                <w:rFonts w:hint="eastAsia" w:ascii="宋体" w:hAnsi="宋体" w:eastAsia="宋体" w:cs="宋体"/>
                <w:sz w:val="24"/>
                <w:szCs w:val="24"/>
                <w:lang w:val="en-US" w:eastAsia="zh-CN"/>
              </w:rPr>
              <w:t>根据投标人提供的</w:t>
            </w:r>
            <w:r>
              <w:rPr>
                <w:rFonts w:hint="eastAsia" w:ascii="宋体" w:hAnsi="宋体" w:eastAsia="宋体" w:cs="宋体"/>
                <w:sz w:val="24"/>
                <w:szCs w:val="24"/>
                <w:lang w:eastAsia="zh-CN"/>
              </w:rPr>
              <w:t>重点部位及关键工序的控制方法</w:t>
            </w:r>
            <w:r>
              <w:rPr>
                <w:rFonts w:hint="eastAsia" w:ascii="宋体" w:hAnsi="宋体" w:eastAsia="宋体" w:cs="宋体"/>
                <w:sz w:val="24"/>
                <w:szCs w:val="24"/>
                <w:lang w:val="en-US" w:eastAsia="zh-CN"/>
              </w:rPr>
              <w:t>进行评分，</w:t>
            </w:r>
            <w:r>
              <w:rPr>
                <w:rFonts w:hint="eastAsia" w:ascii="宋体" w:hAnsi="宋体" w:eastAsia="宋体" w:cs="仿宋_GB2312"/>
                <w:color w:val="000000"/>
                <w:kern w:val="2"/>
                <w:sz w:val="24"/>
                <w:szCs w:val="24"/>
                <w:lang w:val="en-US" w:eastAsia="zh-CN" w:bidi="ar-SA"/>
              </w:rPr>
              <w:t xml:space="preserve"> 在此基础上，方案中存在缺陷的，每 1 项中每有1处扣1分，每项最多扣8分，扣完为止。内容缺陷是指：非专门针对本项目或不适用项目特性的情形、内容不完整或缺少关键节点、套用其他项目内容、内容前后矛盾、常识性错误、规范及标准性错误、科学原理错误、凭空编造、逻辑漏洞、不利于项目实施、不可能实现的夸大情形等任意一种情形。</w:t>
            </w:r>
          </w:p>
        </w:tc>
      </w:tr>
      <w:tr w14:paraId="3EF7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01" w:type="dxa"/>
            <w:tcBorders>
              <w:top w:val="single" w:color="auto" w:sz="4" w:space="0"/>
              <w:left w:val="single" w:color="auto" w:sz="4" w:space="0"/>
              <w:right w:val="single" w:color="auto" w:sz="4" w:space="0"/>
            </w:tcBorders>
            <w:vAlign w:val="center"/>
          </w:tcPr>
          <w:p w14:paraId="0A20AB0C">
            <w:pPr>
              <w:snapToGrid w:val="0"/>
              <w:spacing w:line="440" w:lineRule="exact"/>
              <w:jc w:val="center"/>
              <w:rPr>
                <w:rFonts w:hint="eastAsia" w:ascii="Times New Roman" w:hAnsi="Times New Roman" w:eastAsia="宋体" w:cs="Times New Roman"/>
                <w:sz w:val="24"/>
                <w:szCs w:val="24"/>
                <w:lang w:eastAsia="zh-CN"/>
              </w:rPr>
            </w:pPr>
          </w:p>
        </w:tc>
        <w:tc>
          <w:tcPr>
            <w:tcW w:w="1783" w:type="dxa"/>
            <w:tcBorders>
              <w:top w:val="single" w:color="auto" w:sz="4" w:space="0"/>
              <w:left w:val="single" w:color="auto" w:sz="4" w:space="0"/>
              <w:right w:val="single" w:color="auto" w:sz="4" w:space="0"/>
            </w:tcBorders>
            <w:vAlign w:val="center"/>
          </w:tcPr>
          <w:p w14:paraId="425ACA3C">
            <w:pPr>
              <w:snapToGrid w:val="0"/>
              <w:spacing w:line="440" w:lineRule="exact"/>
              <w:jc w:val="center"/>
              <w:rPr>
                <w:rFonts w:hint="eastAsia" w:ascii="宋体" w:hAnsi="宋体" w:eastAsia="宋体" w:cs="宋体"/>
                <w:sz w:val="24"/>
                <w:szCs w:val="24"/>
                <w:lang w:eastAsia="zh-CN"/>
              </w:rPr>
            </w:pPr>
            <w:r>
              <w:rPr>
                <w:rFonts w:hint="eastAsia" w:ascii="Times New Roman" w:hAnsi="Times New Roman" w:eastAsia="宋体" w:cs="Times New Roman"/>
                <w:sz w:val="24"/>
                <w:szCs w:val="24"/>
                <w:lang w:eastAsia="zh-CN"/>
              </w:rPr>
              <w:t>类似业绩</w:t>
            </w:r>
          </w:p>
        </w:tc>
        <w:tc>
          <w:tcPr>
            <w:tcW w:w="983" w:type="dxa"/>
            <w:tcBorders>
              <w:top w:val="single" w:color="auto" w:sz="4" w:space="0"/>
              <w:left w:val="single" w:color="auto" w:sz="4" w:space="0"/>
              <w:bottom w:val="single" w:color="auto" w:sz="4" w:space="0"/>
              <w:right w:val="single" w:color="auto" w:sz="4" w:space="0"/>
            </w:tcBorders>
            <w:vAlign w:val="center"/>
          </w:tcPr>
          <w:p w14:paraId="616FEFD3">
            <w:pPr>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5983" w:type="dxa"/>
            <w:tcBorders>
              <w:top w:val="single" w:color="auto" w:sz="4" w:space="0"/>
              <w:left w:val="single" w:color="auto" w:sz="4" w:space="0"/>
              <w:bottom w:val="single" w:color="auto" w:sz="4" w:space="0"/>
              <w:right w:val="single" w:color="auto" w:sz="4" w:space="0"/>
            </w:tcBorders>
            <w:vAlign w:val="center"/>
          </w:tcPr>
          <w:p w14:paraId="39D01BE7">
            <w:pPr>
              <w:snapToGrid w:val="0"/>
              <w:spacing w:line="440" w:lineRule="exact"/>
              <w:rPr>
                <w:rFonts w:hint="eastAsia" w:eastAsia="宋体"/>
                <w:sz w:val="24"/>
                <w:szCs w:val="24"/>
                <w:lang w:val="en-US" w:eastAsia="zh-CN"/>
              </w:rPr>
            </w:pPr>
            <w:r>
              <w:rPr>
                <w:rFonts w:hint="eastAsia" w:ascii="宋体" w:hAnsi="宋体" w:eastAsia="宋体" w:cs="仿宋_GB2312"/>
                <w:color w:val="000000"/>
                <w:kern w:val="2"/>
                <w:sz w:val="24"/>
                <w:szCs w:val="24"/>
                <w:lang w:val="en-US" w:eastAsia="en-US" w:bidi="ar-SA"/>
              </w:rPr>
              <w:t>投标人须提供202</w:t>
            </w:r>
            <w:r>
              <w:rPr>
                <w:rFonts w:hint="eastAsia" w:ascii="宋体" w:hAnsi="宋体" w:cs="仿宋_GB2312"/>
                <w:color w:val="000000"/>
                <w:kern w:val="2"/>
                <w:sz w:val="24"/>
                <w:szCs w:val="24"/>
                <w:lang w:val="en-US" w:eastAsia="zh-CN" w:bidi="ar-SA"/>
              </w:rPr>
              <w:t>0</w:t>
            </w:r>
            <w:r>
              <w:rPr>
                <w:rFonts w:hint="eastAsia" w:ascii="宋体" w:hAnsi="宋体" w:eastAsia="宋体" w:cs="仿宋_GB2312"/>
                <w:color w:val="000000"/>
                <w:kern w:val="2"/>
                <w:sz w:val="24"/>
                <w:szCs w:val="24"/>
                <w:lang w:val="en-US" w:eastAsia="en-US" w:bidi="ar-SA"/>
              </w:rPr>
              <w:t>年</w:t>
            </w:r>
            <w:r>
              <w:rPr>
                <w:rFonts w:hint="eastAsia" w:ascii="宋体" w:hAnsi="宋体" w:eastAsia="宋体" w:cs="仿宋_GB2312"/>
                <w:color w:val="000000"/>
                <w:kern w:val="2"/>
                <w:sz w:val="24"/>
                <w:szCs w:val="24"/>
                <w:lang w:val="en-US" w:eastAsia="zh-CN" w:bidi="ar-SA"/>
              </w:rPr>
              <w:t>1</w:t>
            </w:r>
            <w:r>
              <w:rPr>
                <w:rFonts w:hint="eastAsia" w:ascii="宋体" w:hAnsi="宋体" w:eastAsia="宋体" w:cs="仿宋_GB2312"/>
                <w:color w:val="000000"/>
                <w:kern w:val="2"/>
                <w:sz w:val="24"/>
                <w:szCs w:val="24"/>
                <w:lang w:val="en-US" w:eastAsia="en-US" w:bidi="ar-SA"/>
              </w:rPr>
              <w:t>月至今已完成的类似项目业绩，每提供一项得</w:t>
            </w:r>
            <w:r>
              <w:rPr>
                <w:rFonts w:hint="eastAsia" w:ascii="宋体" w:hAnsi="宋体" w:cs="仿宋_GB2312"/>
                <w:color w:val="000000"/>
                <w:kern w:val="2"/>
                <w:sz w:val="24"/>
                <w:szCs w:val="24"/>
                <w:lang w:val="en-US" w:eastAsia="zh-CN" w:bidi="ar-SA"/>
              </w:rPr>
              <w:t>5</w:t>
            </w:r>
            <w:r>
              <w:rPr>
                <w:rFonts w:hint="eastAsia" w:ascii="宋体" w:hAnsi="宋体" w:eastAsia="宋体" w:cs="仿宋_GB2312"/>
                <w:color w:val="000000"/>
                <w:kern w:val="2"/>
                <w:sz w:val="24"/>
                <w:szCs w:val="24"/>
                <w:lang w:val="en-US" w:eastAsia="en-US" w:bidi="ar-SA"/>
              </w:rPr>
              <w:t>分，最高不超过</w:t>
            </w:r>
            <w:r>
              <w:rPr>
                <w:rFonts w:hint="eastAsia" w:ascii="宋体" w:hAnsi="宋体" w:cs="仿宋_GB2312"/>
                <w:color w:val="000000"/>
                <w:kern w:val="2"/>
                <w:sz w:val="24"/>
                <w:szCs w:val="24"/>
                <w:lang w:val="en-US" w:eastAsia="zh-CN" w:bidi="ar-SA"/>
              </w:rPr>
              <w:t>10</w:t>
            </w:r>
            <w:r>
              <w:rPr>
                <w:rFonts w:hint="eastAsia" w:ascii="宋体" w:hAnsi="宋体" w:eastAsia="宋体" w:cs="仿宋_GB2312"/>
                <w:color w:val="000000"/>
                <w:kern w:val="2"/>
                <w:sz w:val="24"/>
                <w:szCs w:val="24"/>
                <w:lang w:val="en-US" w:eastAsia="en-US" w:bidi="ar-SA"/>
              </w:rPr>
              <w:t>分。</w:t>
            </w:r>
            <w:r>
              <w:rPr>
                <w:rFonts w:hint="eastAsia" w:ascii="宋体" w:hAnsi="宋体" w:eastAsia="宋体" w:cs="仿宋_GB2312"/>
                <w:color w:val="000000"/>
                <w:kern w:val="2"/>
                <w:sz w:val="24"/>
                <w:szCs w:val="24"/>
                <w:lang w:val="en-US" w:eastAsia="zh-CN" w:bidi="ar-SA"/>
              </w:rPr>
              <w:t>（提供合同复印件）</w:t>
            </w:r>
          </w:p>
        </w:tc>
      </w:tr>
      <w:bookmarkEnd w:id="115"/>
    </w:tbl>
    <w:p w14:paraId="100150C5">
      <w:pPr>
        <w:pStyle w:val="8"/>
        <w:outlineLvl w:val="9"/>
        <w:rPr>
          <w:rFonts w:hint="eastAsia"/>
        </w:rPr>
      </w:pPr>
    </w:p>
    <w:p w14:paraId="4784C9B2">
      <w:pPr>
        <w:pageBreakBefore w:val="0"/>
        <w:kinsoku/>
        <w:autoSpaceDE w:val="0"/>
        <w:autoSpaceDN w:val="0"/>
        <w:bidi w:val="0"/>
        <w:snapToGrid w:val="0"/>
        <w:spacing w:line="360" w:lineRule="auto"/>
        <w:ind w:firstLine="480" w:firstLineChars="200"/>
        <w:outlineLvl w:val="9"/>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23.</w:t>
      </w: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val="zh-CN"/>
        </w:rPr>
        <w:t xml:space="preserve"> 本项目落实政府采购政策</w:t>
      </w:r>
    </w:p>
    <w:p w14:paraId="70E76C94">
      <w:pPr>
        <w:pageBreakBefore w:val="0"/>
        <w:kinsoku/>
        <w:autoSpaceDE w:val="0"/>
        <w:autoSpaceDN w:val="0"/>
        <w:bidi w:val="0"/>
        <w:snapToGrid w:val="0"/>
        <w:spacing w:line="360" w:lineRule="auto"/>
        <w:ind w:firstLine="482" w:firstLineChars="200"/>
        <w:outlineLvl w:val="9"/>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23.</w:t>
      </w:r>
      <w:r>
        <w:rPr>
          <w:rFonts w:hint="eastAsia" w:asciiTheme="minorEastAsia" w:hAnsiTheme="minorEastAsia" w:eastAsiaTheme="minorEastAsia" w:cstheme="minorEastAsia"/>
          <w:b/>
          <w:color w:val="auto"/>
          <w:sz w:val="24"/>
        </w:rPr>
        <w:t>3</w:t>
      </w:r>
      <w:r>
        <w:rPr>
          <w:rFonts w:hint="eastAsia" w:asciiTheme="minorEastAsia" w:hAnsiTheme="minorEastAsia" w:eastAsiaTheme="minorEastAsia" w:cstheme="minorEastAsia"/>
          <w:b/>
          <w:color w:val="auto"/>
          <w:sz w:val="24"/>
          <w:lang w:val="zh-CN"/>
        </w:rPr>
        <w:t>.1 投标企业政府采购政策</w:t>
      </w:r>
    </w:p>
    <w:p w14:paraId="2C6F253E">
      <w:pPr>
        <w:pageBreakBefore w:val="0"/>
        <w:kinsoku/>
        <w:autoSpaceDE w:val="0"/>
        <w:autoSpaceDN w:val="0"/>
        <w:bidi w:val="0"/>
        <w:snapToGrid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（1）中小企业落实政府采购政策</w:t>
      </w:r>
    </w:p>
    <w:p w14:paraId="3EDA437A">
      <w:pPr>
        <w:pageBreakBefore w:val="0"/>
        <w:kinsoku/>
        <w:autoSpaceDE w:val="0"/>
        <w:autoSpaceDN w:val="0"/>
        <w:bidi w:val="0"/>
        <w:snapToGrid w:val="0"/>
        <w:spacing w:line="360" w:lineRule="auto"/>
        <w:ind w:firstLine="480" w:firstLineChars="200"/>
        <w:outlineLvl w:val="9"/>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①中小企业应符合工信部联企业[2011]300号文件规定，采购活动执行《政府采购促进中小企业发展管理办法》（财库〔2020〕46号）的规定。提供本企业制造的货物、承担的工程或者服务，或者提供其他中小企业制造的货物。（本项所称货物不包括使用大型企业注册商标的货物）。</w:t>
      </w:r>
    </w:p>
    <w:p w14:paraId="3FF8165F">
      <w:pPr>
        <w:pageBreakBefore w:val="0"/>
        <w:kinsoku/>
        <w:autoSpaceDE w:val="0"/>
        <w:autoSpaceDN w:val="0"/>
        <w:bidi w:val="0"/>
        <w:snapToGrid w:val="0"/>
        <w:spacing w:line="360" w:lineRule="auto"/>
        <w:ind w:firstLine="480" w:firstLineChars="200"/>
        <w:outlineLvl w:val="9"/>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②</w:t>
      </w:r>
      <w:r>
        <w:rPr>
          <w:rFonts w:hint="eastAsia" w:asciiTheme="minorEastAsia" w:hAnsiTheme="minorEastAsia" w:eastAsiaTheme="minorEastAsia" w:cstheme="minorEastAsia"/>
          <w:color w:val="auto"/>
          <w:sz w:val="24"/>
          <w:lang w:eastAsia="zh-CN"/>
        </w:rPr>
        <w:t>投标人须提供中小企业声明函</w:t>
      </w:r>
      <w:r>
        <w:rPr>
          <w:rFonts w:hint="eastAsia" w:asciiTheme="minorEastAsia" w:hAnsiTheme="minorEastAsia" w:eastAsiaTheme="minorEastAsia" w:cstheme="minorEastAsia"/>
          <w:color w:val="auto"/>
          <w:sz w:val="24"/>
        </w:rPr>
        <w:t>，以此为依据享受政府采购政策。</w:t>
      </w:r>
    </w:p>
    <w:p w14:paraId="7CB3C607">
      <w:pPr>
        <w:pageBreakBefore w:val="0"/>
        <w:kinsoku/>
        <w:autoSpaceDE w:val="0"/>
        <w:autoSpaceDN w:val="0"/>
        <w:bidi w:val="0"/>
        <w:snapToGrid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zh-CN"/>
        </w:rPr>
        <w:t>监狱和戒毒企业</w:t>
      </w:r>
      <w:r>
        <w:rPr>
          <w:rFonts w:hint="eastAsia" w:asciiTheme="minorEastAsia" w:hAnsiTheme="minorEastAsia" w:eastAsiaTheme="minorEastAsia" w:cstheme="minorEastAsia"/>
          <w:color w:val="auto"/>
          <w:sz w:val="24"/>
        </w:rPr>
        <w:t>落实政府采购政策</w:t>
      </w:r>
    </w:p>
    <w:p w14:paraId="3B6B59C8">
      <w:pPr>
        <w:pageBreakBefore w:val="0"/>
        <w:kinsoku/>
        <w:autoSpaceDE w:val="0"/>
        <w:autoSpaceDN w:val="0"/>
        <w:bidi w:val="0"/>
        <w:snapToGrid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监狱和戒毒企业应符合《财政部</w:t>
      </w:r>
      <w:r>
        <w:rPr>
          <w:rFonts w:hint="eastAsia" w:asciiTheme="minorEastAsia" w:hAnsiTheme="minorEastAsia" w:eastAsiaTheme="minorEastAsia" w:cstheme="minorEastAsia"/>
          <w:color w:val="auto"/>
          <w:sz w:val="24"/>
        </w:rPr>
        <w:t>、司法部关于政府采购支持监狱企业发展有关问题的通知》--财库[2014]68号</w:t>
      </w:r>
      <w:r>
        <w:rPr>
          <w:rFonts w:hint="eastAsia" w:asciiTheme="minorEastAsia" w:hAnsiTheme="minorEastAsia" w:eastAsiaTheme="minorEastAsia" w:cstheme="minorEastAsia"/>
          <w:color w:val="auto"/>
          <w:sz w:val="24"/>
          <w:lang w:val="zh-CN"/>
        </w:rPr>
        <w:t>，并提供由省级以上监狱管理局、戒毒管理局(含新疆生产建设兵团)出具的属于监狱企业的证明</w:t>
      </w:r>
      <w:r>
        <w:rPr>
          <w:rFonts w:hint="eastAsia" w:asciiTheme="minorEastAsia" w:hAnsiTheme="minorEastAsia" w:eastAsiaTheme="minorEastAsia" w:cstheme="minorEastAsia"/>
          <w:color w:val="auto"/>
          <w:sz w:val="24"/>
        </w:rPr>
        <w:t>。</w:t>
      </w:r>
    </w:p>
    <w:p w14:paraId="50752F2E">
      <w:pPr>
        <w:pageBreakBefore w:val="0"/>
        <w:kinsoku/>
        <w:autoSpaceDE w:val="0"/>
        <w:autoSpaceDN w:val="0"/>
        <w:bidi w:val="0"/>
        <w:snapToGrid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（3）残疾人福利性单位落实政府采购政策</w:t>
      </w:r>
    </w:p>
    <w:p w14:paraId="2D15FA2E">
      <w:pPr>
        <w:pageBreakBefore w:val="0"/>
        <w:kinsoku/>
        <w:autoSpaceDE w:val="0"/>
        <w:autoSpaceDN w:val="0"/>
        <w:bidi w:val="0"/>
        <w:snapToGrid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残疾人福利性单位应符合财库〔2018〕141号规定，提供本单位制造的货物、承担的工程或者服务（以下简称产品），或者提供其他残疾人福利性单位制造的货物（不包括使用非残疾人福利性单位注册商标的货物）。</w:t>
      </w:r>
    </w:p>
    <w:p w14:paraId="6A92B105">
      <w:pPr>
        <w:pageBreakBefore w:val="0"/>
        <w:kinsoku/>
        <w:autoSpaceDE w:val="0"/>
        <w:autoSpaceDN w:val="0"/>
        <w:bidi w:val="0"/>
        <w:snapToGrid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②投标人须按照财库〔2018〕141号规定，提供《残疾人福利性单位声明函》，并对声明的真实性负责。以此为依据享受政府采购政策。</w:t>
      </w:r>
    </w:p>
    <w:p w14:paraId="5943F10E">
      <w:pPr>
        <w:pageBreakBefore w:val="0"/>
        <w:kinsoku/>
        <w:autoSpaceDE w:val="0"/>
        <w:autoSpaceDN w:val="0"/>
        <w:bidi w:val="0"/>
        <w:snapToGrid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③中标、成交投标人为残疾人福利性单位的，采购人或者其委托的采购代理机构应当随中标、成交结果同时公告其《残疾人福利性单位声明函》，接受社会监督。</w:t>
      </w:r>
    </w:p>
    <w:p w14:paraId="12903390">
      <w:pPr>
        <w:pageBreakBefore w:val="0"/>
        <w:kinsoku/>
        <w:autoSpaceDE w:val="0"/>
        <w:autoSpaceDN w:val="0"/>
        <w:bidi w:val="0"/>
        <w:snapToGrid w:val="0"/>
        <w:spacing w:line="360" w:lineRule="auto"/>
        <w:ind w:firstLine="480" w:firstLineChars="200"/>
        <w:outlineLvl w:val="9"/>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eastAsia="zh-CN"/>
        </w:rPr>
        <w:t>投标人</w:t>
      </w:r>
      <w:r>
        <w:rPr>
          <w:rFonts w:hint="eastAsia" w:asciiTheme="minorEastAsia" w:hAnsiTheme="minorEastAsia" w:eastAsiaTheme="minorEastAsia" w:cstheme="minorEastAsia"/>
          <w:bCs/>
          <w:color w:val="auto"/>
          <w:sz w:val="24"/>
        </w:rPr>
        <w:t>应如实提供以上证明文件，如存在虚假应标，将取消其投标资格。</w:t>
      </w:r>
    </w:p>
    <w:p w14:paraId="51E08698">
      <w:pPr>
        <w:pageBreakBefore w:val="0"/>
        <w:kinsoku/>
        <w:autoSpaceDE w:val="0"/>
        <w:autoSpaceDN w:val="0"/>
        <w:bidi w:val="0"/>
        <w:snapToGrid w:val="0"/>
        <w:spacing w:line="360" w:lineRule="auto"/>
        <w:ind w:firstLine="472" w:firstLineChars="196"/>
        <w:outlineLvl w:val="9"/>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23.</w:t>
      </w:r>
      <w:r>
        <w:rPr>
          <w:rFonts w:hint="eastAsia" w:asciiTheme="minorEastAsia" w:hAnsiTheme="minorEastAsia" w:eastAsiaTheme="minorEastAsia" w:cstheme="minorEastAsia"/>
          <w:b/>
          <w:color w:val="auto"/>
          <w:sz w:val="24"/>
        </w:rPr>
        <w:t>3</w:t>
      </w:r>
      <w:r>
        <w:rPr>
          <w:rFonts w:hint="eastAsia" w:asciiTheme="minorEastAsia" w:hAnsiTheme="minorEastAsia" w:eastAsiaTheme="minorEastAsia" w:cstheme="minorEastAsia"/>
          <w:b/>
          <w:color w:val="auto"/>
          <w:sz w:val="24"/>
          <w:lang w:val="zh-CN"/>
        </w:rPr>
        <w:t>.2 投标产品政府采购政策</w:t>
      </w:r>
    </w:p>
    <w:p w14:paraId="223E7E5E">
      <w:pPr>
        <w:pageBreakBefore w:val="0"/>
        <w:kinsoku/>
        <w:autoSpaceDE w:val="0"/>
        <w:autoSpaceDN w:val="0"/>
        <w:bidi w:val="0"/>
        <w:snapToGrid w:val="0"/>
        <w:spacing w:line="360" w:lineRule="auto"/>
        <w:ind w:firstLine="470" w:firstLineChars="196"/>
        <w:outlineLvl w:val="9"/>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（1）节能产品</w:t>
      </w:r>
      <w:r>
        <w:rPr>
          <w:rFonts w:hint="eastAsia" w:asciiTheme="minorEastAsia" w:hAnsiTheme="minorEastAsia" w:eastAsiaTheme="minorEastAsia" w:cstheme="minorEastAsia"/>
          <w:color w:val="auto"/>
          <w:sz w:val="24"/>
          <w:lang w:val="zh-CN"/>
        </w:rPr>
        <w:t>根据《国务院办公厅关于建立政府强制采购节能产品制度的通知》</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国办发[2007] 51号</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的规定</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以中国政府采购网</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http://www.ccgp.gov.cn/</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公布的最新一期节能产品政府采购清单为准。</w:t>
      </w:r>
    </w:p>
    <w:p w14:paraId="2095A162">
      <w:pPr>
        <w:pageBreakBefore w:val="0"/>
        <w:kinsoku/>
        <w:autoSpaceDE w:val="0"/>
        <w:autoSpaceDN w:val="0"/>
        <w:bidi w:val="0"/>
        <w:snapToGrid w:val="0"/>
        <w:spacing w:line="360" w:lineRule="auto"/>
        <w:ind w:firstLine="470" w:firstLineChars="196"/>
        <w:outlineLvl w:val="9"/>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（2）环境标志产品</w:t>
      </w:r>
      <w:r>
        <w:rPr>
          <w:rFonts w:hint="eastAsia" w:asciiTheme="minorEastAsia" w:hAnsiTheme="minorEastAsia" w:eastAsiaTheme="minorEastAsia" w:cstheme="minorEastAsia"/>
          <w:color w:val="auto"/>
          <w:sz w:val="24"/>
          <w:lang w:val="zh-CN"/>
        </w:rPr>
        <w:t>根据《环境标志产品政府采购实施的意见》</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财库</w:t>
      </w:r>
      <w:r>
        <w:rPr>
          <w:rFonts w:hint="eastAsia" w:asciiTheme="minorEastAsia" w:hAnsiTheme="minorEastAsia" w:eastAsiaTheme="minorEastAsia" w:cstheme="minorEastAsia"/>
          <w:color w:val="auto"/>
          <w:sz w:val="24"/>
        </w:rPr>
        <w:t>[2006]90</w:t>
      </w:r>
      <w:r>
        <w:rPr>
          <w:rFonts w:hint="eastAsia" w:asciiTheme="minorEastAsia" w:hAnsiTheme="minorEastAsia" w:eastAsiaTheme="minorEastAsia" w:cstheme="minorEastAsia"/>
          <w:color w:val="auto"/>
          <w:sz w:val="24"/>
          <w:lang w:val="zh-CN"/>
        </w:rPr>
        <w:t>号</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的规定</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以中国政府采购网</w:t>
      </w:r>
      <w:r>
        <w:rPr>
          <w:rFonts w:hint="eastAsia" w:asciiTheme="minorEastAsia" w:hAnsiTheme="minorEastAsia" w:eastAsiaTheme="minorEastAsia" w:cstheme="minorEastAsia"/>
          <w:color w:val="auto"/>
          <w:sz w:val="24"/>
        </w:rPr>
        <w:t>（http://www.ccgp.gov.cn/）</w:t>
      </w:r>
      <w:r>
        <w:rPr>
          <w:rFonts w:hint="eastAsia" w:asciiTheme="minorEastAsia" w:hAnsiTheme="minorEastAsia" w:eastAsiaTheme="minorEastAsia" w:cstheme="minorEastAsia"/>
          <w:color w:val="auto"/>
          <w:sz w:val="24"/>
          <w:lang w:val="zh-CN"/>
        </w:rPr>
        <w:t>公布的最新一期环境标志产品政府采购清单为准。</w:t>
      </w:r>
    </w:p>
    <w:p w14:paraId="73683169">
      <w:pPr>
        <w:pageBreakBefore w:val="0"/>
        <w:kinsoku/>
        <w:autoSpaceDE w:val="0"/>
        <w:autoSpaceDN w:val="0"/>
        <w:bidi w:val="0"/>
        <w:snapToGrid w:val="0"/>
        <w:spacing w:line="360" w:lineRule="auto"/>
        <w:ind w:firstLine="470" w:firstLineChars="196"/>
        <w:outlineLvl w:val="9"/>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30BDBEC6">
      <w:pPr>
        <w:pageBreakBefore w:val="0"/>
        <w:kinsoku/>
        <w:autoSpaceDE w:val="0"/>
        <w:autoSpaceDN w:val="0"/>
        <w:bidi w:val="0"/>
        <w:snapToGrid w:val="0"/>
        <w:spacing w:line="360" w:lineRule="auto"/>
        <w:ind w:firstLine="470" w:firstLineChars="196"/>
        <w:outlineLvl w:val="9"/>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val="zh-CN"/>
        </w:rPr>
        <w:t>若节能、环保、环境标志清单内的产品仅是构成投标产品的部件、组件或零件的，则该投标产品不享受鼓励优惠政策。</w:t>
      </w:r>
    </w:p>
    <w:p w14:paraId="6FD6570A">
      <w:pPr>
        <w:pageBreakBefore w:val="0"/>
        <w:kinsoku/>
        <w:autoSpaceDE w:val="0"/>
        <w:autoSpaceDN w:val="0"/>
        <w:bidi w:val="0"/>
        <w:snapToGrid w:val="0"/>
        <w:spacing w:line="360" w:lineRule="auto"/>
        <w:ind w:firstLine="470" w:firstLineChars="196"/>
        <w:outlineLvl w:val="9"/>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lang w:val="zh-CN"/>
        </w:rPr>
        <w:t>同一标段的节能、环保、环境标志产品部分优惠只对属于清单内的非强制类产品进行优惠，强制类产品不给予优惠。</w:t>
      </w:r>
    </w:p>
    <w:p w14:paraId="267DB09F">
      <w:pPr>
        <w:pageBreakBefore w:val="0"/>
        <w:kinsoku/>
        <w:autoSpaceDE w:val="0"/>
        <w:autoSpaceDN w:val="0"/>
        <w:bidi w:val="0"/>
        <w:snapToGrid w:val="0"/>
        <w:spacing w:line="360" w:lineRule="auto"/>
        <w:ind w:firstLine="470" w:firstLineChars="196"/>
        <w:outlineLvl w:val="9"/>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lang w:val="zh-CN"/>
        </w:rPr>
        <w:t>节能、环保、环境标志产品不重复优惠；同时列入国家级清单和省级清单的产品不重复优惠。</w:t>
      </w:r>
    </w:p>
    <w:p w14:paraId="78AF828A">
      <w:pPr>
        <w:pageBreakBefore w:val="0"/>
        <w:kinsoku/>
        <w:autoSpaceDE w:val="0"/>
        <w:autoSpaceDN w:val="0"/>
        <w:bidi w:val="0"/>
        <w:snapToGrid w:val="0"/>
        <w:spacing w:line="360" w:lineRule="auto"/>
        <w:ind w:firstLine="470" w:firstLineChars="196"/>
        <w:outlineLvl w:val="9"/>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（7）</w:t>
      </w:r>
      <w:r>
        <w:rPr>
          <w:rFonts w:hint="eastAsia" w:asciiTheme="minorEastAsia" w:hAnsiTheme="minorEastAsia" w:eastAsiaTheme="minorEastAsia" w:cstheme="minorEastAsia"/>
          <w:color w:val="auto"/>
          <w:sz w:val="24"/>
          <w:lang w:val="zh-CN"/>
        </w:rPr>
        <w:t>获得上述认证的产品在投标时应提供有效证明材料。以上所有证明文件复印件须加盖投标人公章并注明“与原件一致”，否则不予优惠。</w:t>
      </w:r>
    </w:p>
    <w:p w14:paraId="5D152F67">
      <w:pPr>
        <w:pageBreakBefore w:val="0"/>
        <w:kinsoku/>
        <w:bidi w:val="0"/>
        <w:spacing w:line="360" w:lineRule="auto"/>
        <w:ind w:firstLine="480"/>
        <w:outlineLvl w:val="9"/>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color w:val="auto"/>
          <w:kern w:val="1"/>
          <w:sz w:val="24"/>
        </w:rPr>
        <w:t>23.</w:t>
      </w:r>
      <w:r>
        <w:rPr>
          <w:rFonts w:hint="eastAsia" w:asciiTheme="minorEastAsia" w:hAnsiTheme="minorEastAsia" w:eastAsiaTheme="minorEastAsia" w:cstheme="minorEastAsia"/>
          <w:color w:val="auto"/>
          <w:kern w:val="1"/>
          <w:sz w:val="24"/>
          <w:lang w:val="en-US" w:eastAsia="zh-CN"/>
        </w:rPr>
        <w:t>4</w:t>
      </w:r>
      <w:r>
        <w:rPr>
          <w:rFonts w:hint="eastAsia" w:asciiTheme="minorEastAsia" w:hAnsiTheme="minorEastAsia" w:eastAsiaTheme="minorEastAsia" w:cstheme="minorEastAsia"/>
          <w:color w:val="auto"/>
          <w:kern w:val="1"/>
          <w:sz w:val="24"/>
        </w:rPr>
        <w:t xml:space="preserve"> 评标委员会对进入详细评审的投标人进行综合评分，根据得分由高到低，推荐出一个以上三个以下中标候选单位。如果综合评分出现两个投标人得分相同的情况，按下列顺序排列：</w:t>
      </w:r>
    </w:p>
    <w:p w14:paraId="51B06EE8">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 投标价格低的；</w:t>
      </w:r>
    </w:p>
    <w:p w14:paraId="74FD484B">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 技术评估得分高的；</w:t>
      </w:r>
    </w:p>
    <w:p w14:paraId="300AAB92">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(3) 服务承诺优的。</w:t>
      </w:r>
    </w:p>
    <w:p w14:paraId="76665756">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1"/>
          <w:sz w:val="24"/>
        </w:rPr>
        <w:t>24、评标委员会根据</w:t>
      </w:r>
      <w:r>
        <w:rPr>
          <w:rFonts w:hint="eastAsia" w:asciiTheme="minorEastAsia" w:hAnsiTheme="minorEastAsia" w:eastAsiaTheme="minorEastAsia" w:cstheme="minorEastAsia"/>
          <w:color w:val="auto"/>
          <w:sz w:val="24"/>
        </w:rPr>
        <w:t>原始评标记录和评标结果编写</w:t>
      </w:r>
      <w:r>
        <w:rPr>
          <w:rFonts w:hint="eastAsia" w:asciiTheme="minorEastAsia" w:hAnsiTheme="minorEastAsia" w:eastAsiaTheme="minorEastAsia" w:cstheme="minorEastAsia"/>
          <w:color w:val="auto"/>
          <w:kern w:val="1"/>
          <w:sz w:val="24"/>
        </w:rPr>
        <w:t>评标报告，报采购人。</w:t>
      </w:r>
    </w:p>
    <w:p w14:paraId="70C5E165">
      <w:pPr>
        <w:pageBreakBefore w:val="0"/>
        <w:kinsoku/>
        <w:bidi w:val="0"/>
        <w:snapToGrid w:val="0"/>
        <w:spacing w:before="156" w:beforeLines="50" w:after="156" w:afterLines="50" w:line="360" w:lineRule="auto"/>
        <w:jc w:val="center"/>
        <w:outlineLvl w:val="9"/>
        <w:rPr>
          <w:rFonts w:hint="eastAsia" w:asciiTheme="minorEastAsia" w:hAnsiTheme="minorEastAsia" w:eastAsiaTheme="minorEastAsia" w:cstheme="minorEastAsia"/>
          <w:b/>
          <w:color w:val="auto"/>
          <w:sz w:val="30"/>
          <w:szCs w:val="30"/>
        </w:rPr>
      </w:pPr>
      <w:bookmarkStart w:id="116" w:name="_Toc173549969"/>
      <w:bookmarkStart w:id="117" w:name="_Toc154482470"/>
      <w:bookmarkStart w:id="118" w:name="_Toc175033583"/>
      <w:bookmarkStart w:id="119" w:name="_Toc169838523"/>
      <w:bookmarkStart w:id="120" w:name="_Toc245176656"/>
      <w:bookmarkStart w:id="121" w:name="_Toc167591034"/>
      <w:bookmarkStart w:id="122" w:name="_Toc167849351"/>
      <w:bookmarkStart w:id="123" w:name="_Toc245657544"/>
      <w:bookmarkStart w:id="124" w:name="_Toc245658525"/>
      <w:bookmarkStart w:id="125" w:name="_Toc167591483"/>
      <w:bookmarkStart w:id="126" w:name="_Toc208337155"/>
      <w:bookmarkStart w:id="127" w:name="_Toc175032428"/>
      <w:bookmarkStart w:id="128" w:name="_Toc207897907"/>
      <w:bookmarkStart w:id="129" w:name="_Toc244623582"/>
      <w:bookmarkStart w:id="130" w:name="_Toc169846767"/>
      <w:bookmarkStart w:id="131" w:name="_Toc170980445"/>
      <w:bookmarkStart w:id="132" w:name="_Toc167591321"/>
      <w:bookmarkStart w:id="133" w:name="_Toc167590766"/>
      <w:bookmarkStart w:id="134" w:name="_Toc169846864"/>
      <w:bookmarkStart w:id="135" w:name="_Toc167591135"/>
      <w:bookmarkStart w:id="136" w:name="_Toc170980543"/>
      <w:r>
        <w:rPr>
          <w:rFonts w:hint="eastAsia" w:asciiTheme="minorEastAsia" w:hAnsiTheme="minorEastAsia" w:eastAsiaTheme="minorEastAsia" w:cstheme="minorEastAsia"/>
          <w:b/>
          <w:color w:val="auto"/>
          <w:sz w:val="30"/>
          <w:szCs w:val="30"/>
        </w:rPr>
        <w:t>六、授予合同</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2A7EC9A">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25．中标通知书</w:t>
      </w:r>
    </w:p>
    <w:p w14:paraId="204DA393">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25.1采购代理机构在收到采购人的中标复函后，将在陕西省政府采购网和陕西省公共资源交易网上发布中标公告，并在规定时间向中标人发出中标通知书。</w:t>
      </w:r>
    </w:p>
    <w:p w14:paraId="72510A4C">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25.2 中标通知书是合同的组成部分。</w:t>
      </w:r>
    </w:p>
    <w:p w14:paraId="1C80E6AC">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26．招标代理</w:t>
      </w:r>
      <w:r>
        <w:rPr>
          <w:rFonts w:hint="eastAsia" w:asciiTheme="minorEastAsia" w:hAnsiTheme="minorEastAsia" w:eastAsiaTheme="minorEastAsia" w:cstheme="minorEastAsia"/>
          <w:color w:val="auto"/>
          <w:sz w:val="24"/>
          <w:lang w:val="en-US" w:eastAsia="zh-CN"/>
        </w:rPr>
        <w:t>服</w:t>
      </w:r>
      <w:r>
        <w:rPr>
          <w:rFonts w:hint="eastAsia" w:asciiTheme="minorEastAsia" w:hAnsiTheme="minorEastAsia" w:eastAsiaTheme="minorEastAsia" w:cstheme="minorEastAsia"/>
          <w:color w:val="auto"/>
          <w:sz w:val="24"/>
        </w:rPr>
        <w:t>务费</w:t>
      </w:r>
    </w:p>
    <w:p w14:paraId="5879A653">
      <w:pPr>
        <w:pageBreakBefore w:val="0"/>
        <w:kinsoku/>
        <w:bidi w:val="0"/>
        <w:spacing w:line="360" w:lineRule="auto"/>
        <w:ind w:firstLine="480" w:firstLineChars="200"/>
        <w:outlineLvl w:val="9"/>
        <w:rPr>
          <w:rFonts w:hint="eastAsia"/>
          <w:sz w:val="24"/>
          <w:szCs w:val="24"/>
        </w:rPr>
      </w:pPr>
      <w:r>
        <w:rPr>
          <w:rFonts w:hint="eastAsia"/>
          <w:sz w:val="24"/>
          <w:szCs w:val="24"/>
        </w:rPr>
        <w:t>参考国家计委2002年颁发的《招标代理服务收费管理暂行办法》(计价格〔2002〕1980号)、国家发展改革委员会办公厅颁发的《关于招标代理服务费收费有关问题的通知》（发改办价格[2003]857号）及《调整后的招标代理服务收费标准》(发改价格〔2011〕〕534号)规定</w:t>
      </w:r>
      <w:r>
        <w:rPr>
          <w:rFonts w:hint="eastAsia"/>
          <w:sz w:val="24"/>
          <w:szCs w:val="24"/>
          <w:lang w:eastAsia="zh-CN"/>
        </w:rPr>
        <w:t>，</w:t>
      </w:r>
      <w:r>
        <w:rPr>
          <w:rFonts w:hint="eastAsia"/>
          <w:sz w:val="24"/>
          <w:szCs w:val="24"/>
          <w:lang w:val="en-US" w:eastAsia="zh-CN"/>
        </w:rPr>
        <w:t>以成交价为基数，</w:t>
      </w:r>
      <w:r>
        <w:rPr>
          <w:rFonts w:hint="eastAsia"/>
          <w:sz w:val="24"/>
          <w:szCs w:val="24"/>
        </w:rPr>
        <w:t>由</w:t>
      </w:r>
      <w:r>
        <w:rPr>
          <w:rFonts w:hint="eastAsia"/>
          <w:color w:val="auto"/>
          <w:sz w:val="24"/>
          <w:szCs w:val="24"/>
          <w:u w:val="single"/>
          <w:lang w:val="en-US" w:eastAsia="zh-CN"/>
        </w:rPr>
        <w:t xml:space="preserve">  采购人   </w:t>
      </w:r>
      <w:r>
        <w:rPr>
          <w:rFonts w:hint="eastAsia"/>
          <w:sz w:val="24"/>
          <w:szCs w:val="24"/>
        </w:rPr>
        <w:t>向</w:t>
      </w:r>
      <w:r>
        <w:rPr>
          <w:rFonts w:hint="eastAsia"/>
          <w:sz w:val="24"/>
          <w:szCs w:val="24"/>
          <w:lang w:eastAsia="zh-CN"/>
        </w:rPr>
        <w:t>陕西华旭晟信项目管理有限责任公司</w:t>
      </w:r>
      <w:r>
        <w:rPr>
          <w:rFonts w:hint="eastAsia"/>
          <w:sz w:val="24"/>
          <w:szCs w:val="24"/>
        </w:rPr>
        <w:t>交纳招标代理服务费。</w:t>
      </w:r>
    </w:p>
    <w:p w14:paraId="35C08794">
      <w:pPr>
        <w:pageBreakBefore w:val="0"/>
        <w:kinsoku/>
        <w:bidi w:val="0"/>
        <w:spacing w:line="360" w:lineRule="auto"/>
        <w:ind w:firstLine="482" w:firstLineChars="200"/>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27．签订合同</w:t>
      </w:r>
    </w:p>
    <w:p w14:paraId="4162C4E3">
      <w:pPr>
        <w:pageBreakBefore w:val="0"/>
        <w:kinsoku/>
        <w:bidi w:val="0"/>
        <w:spacing w:line="360" w:lineRule="auto"/>
        <w:ind w:firstLine="482" w:firstLineChars="200"/>
        <w:outlineLvl w:val="9"/>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27.1中标人在收到中标通知书后</w:t>
      </w:r>
      <w:r>
        <w:rPr>
          <w:rFonts w:hint="eastAsia" w:asciiTheme="minorEastAsia" w:hAnsiTheme="minorEastAsia" w:eastAsiaTheme="minorEastAsia" w:cstheme="minorEastAsia"/>
          <w:b/>
          <w:bCs/>
          <w:color w:val="auto"/>
          <w:sz w:val="24"/>
          <w:highlight w:val="none"/>
          <w:lang w:val="en-US" w:eastAsia="zh-CN"/>
        </w:rPr>
        <w:t>10日内</w:t>
      </w:r>
      <w:r>
        <w:rPr>
          <w:rFonts w:hint="eastAsia" w:asciiTheme="minorEastAsia" w:hAnsiTheme="minorEastAsia" w:eastAsiaTheme="minorEastAsia" w:cstheme="minorEastAsia"/>
          <w:b/>
          <w:bCs/>
          <w:color w:val="auto"/>
          <w:sz w:val="24"/>
          <w:highlight w:val="none"/>
        </w:rPr>
        <w:t>采购人签订合同。</w:t>
      </w:r>
    </w:p>
    <w:p w14:paraId="0A2859D5">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27.2 如果中标人没有按照上述第26.1条或第27.1条规定执行，采购人将有充分理由取消该中标决定，并没收其投标保证金。在此情况下，采购人可将合同授予综合得分排序名列下一个的投标人，或重新招标。</w:t>
      </w:r>
    </w:p>
    <w:p w14:paraId="421084CC">
      <w:pPr>
        <w:pageBreakBefore w:val="0"/>
        <w:kinsoku/>
        <w:bidi w:val="0"/>
        <w:spacing w:line="360" w:lineRule="auto"/>
        <w:ind w:firstLine="482" w:firstLineChars="200"/>
        <w:outlineLvl w:val="9"/>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28．其他</w:t>
      </w:r>
    </w:p>
    <w:p w14:paraId="111BC5C6">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28.1 拒绝商业贿赂</w:t>
      </w:r>
    </w:p>
    <w:p w14:paraId="740F1C60">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28.1.1投标人须填写一份《拒绝政府采购领域商业贿赂承诺书》（格式见第五章附件）编制在投标文件中，同时保证投标文件正、副本中都有且一致。</w:t>
      </w:r>
    </w:p>
    <w:p w14:paraId="5C013A50">
      <w:pPr>
        <w:pageBreakBefore w:val="0"/>
        <w:kinsoku/>
        <w:bidi w:val="0"/>
        <w:spacing w:line="360" w:lineRule="auto"/>
        <w:ind w:firstLine="482"/>
        <w:outlineLvl w:val="9"/>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b/>
          <w:color w:val="auto"/>
          <w:kern w:val="1"/>
          <w:sz w:val="24"/>
        </w:rPr>
        <w:t>29、公开招标拟转为竞争性谈判程序</w:t>
      </w:r>
    </w:p>
    <w:p w14:paraId="061705F5">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招标过程中提交投标文件或者经评审实质性响应招标文件要求的投标人只有两家时，采购人、采购代理机构依据《政府采购非招标采购方式管理办法》（财政部令第74号）第二十七条第二款规定并</w:t>
      </w:r>
      <w:r>
        <w:rPr>
          <w:rFonts w:hint="eastAsia" w:asciiTheme="minorEastAsia" w:hAnsiTheme="minorEastAsia" w:eastAsiaTheme="minorEastAsia" w:cstheme="minorEastAsia"/>
          <w:color w:val="auto"/>
          <w:sz w:val="24"/>
        </w:rPr>
        <w:t>经本级财政部门批准后可以与该两家投标人进行竞争性谈判采购，具体程序如下：</w:t>
      </w:r>
    </w:p>
    <w:p w14:paraId="2BA8434A">
      <w:pPr>
        <w:pageBreakBefore w:val="0"/>
        <w:kinsoku/>
        <w:bidi w:val="0"/>
        <w:spacing w:line="360" w:lineRule="auto"/>
        <w:ind w:firstLine="482"/>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kern w:val="1"/>
          <w:sz w:val="24"/>
        </w:rPr>
        <w:t>29.1 谈判小组</w:t>
      </w:r>
    </w:p>
    <w:p w14:paraId="7155D56B">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1"/>
          <w:sz w:val="24"/>
        </w:rPr>
        <w:t>（1）原公开招标组建的评标委员会现转为谈判小组</w:t>
      </w:r>
      <w:r>
        <w:rPr>
          <w:rFonts w:hint="eastAsia" w:asciiTheme="minorEastAsia" w:hAnsiTheme="minorEastAsia" w:eastAsiaTheme="minorEastAsia" w:cstheme="minorEastAsia"/>
          <w:color w:val="auto"/>
          <w:sz w:val="24"/>
        </w:rPr>
        <w:t>。</w:t>
      </w:r>
    </w:p>
    <w:p w14:paraId="36AA98B3">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（2）谈判小组负责谈判工作，对谈判响应文件进行审查和评估，并向采购人提交书面提交评审报告，推荐成交候选人。</w:t>
      </w:r>
    </w:p>
    <w:p w14:paraId="4CAA55D5">
      <w:pPr>
        <w:pageBreakBefore w:val="0"/>
        <w:kinsoku/>
        <w:bidi w:val="0"/>
        <w:spacing w:line="360" w:lineRule="auto"/>
        <w:ind w:firstLine="482"/>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b/>
          <w:color w:val="auto"/>
          <w:kern w:val="1"/>
          <w:sz w:val="24"/>
        </w:rPr>
        <w:t>29.</w:t>
      </w:r>
      <w:r>
        <w:rPr>
          <w:rFonts w:hint="eastAsia" w:asciiTheme="minorEastAsia" w:hAnsiTheme="minorEastAsia" w:eastAsiaTheme="minorEastAsia" w:cstheme="minorEastAsia"/>
          <w:b/>
          <w:bCs/>
          <w:color w:val="auto"/>
          <w:kern w:val="1"/>
          <w:sz w:val="24"/>
        </w:rPr>
        <w:t xml:space="preserve">2 </w:t>
      </w:r>
      <w:r>
        <w:rPr>
          <w:rFonts w:hint="eastAsia" w:asciiTheme="minorEastAsia" w:hAnsiTheme="minorEastAsia" w:eastAsiaTheme="minorEastAsia" w:cstheme="minorEastAsia"/>
          <w:b/>
          <w:color w:val="auto"/>
          <w:kern w:val="1"/>
          <w:sz w:val="24"/>
        </w:rPr>
        <w:t>谈判</w:t>
      </w:r>
      <w:r>
        <w:rPr>
          <w:rFonts w:hint="eastAsia" w:asciiTheme="minorEastAsia" w:hAnsiTheme="minorEastAsia" w:eastAsiaTheme="minorEastAsia" w:cstheme="minorEastAsia"/>
          <w:b/>
          <w:bCs/>
          <w:color w:val="auto"/>
          <w:kern w:val="1"/>
          <w:sz w:val="24"/>
        </w:rPr>
        <w:t>程序</w:t>
      </w:r>
      <w:r>
        <w:rPr>
          <w:rFonts w:hint="eastAsia" w:asciiTheme="minorEastAsia" w:hAnsiTheme="minorEastAsia" w:eastAsiaTheme="minorEastAsia" w:cstheme="minorEastAsia"/>
          <w:bCs/>
          <w:color w:val="auto"/>
          <w:kern w:val="1"/>
          <w:sz w:val="24"/>
        </w:rPr>
        <w:t>：</w:t>
      </w:r>
      <w:r>
        <w:rPr>
          <w:rFonts w:hint="eastAsia" w:asciiTheme="minorEastAsia" w:hAnsiTheme="minorEastAsia" w:eastAsiaTheme="minorEastAsia" w:cstheme="minorEastAsia"/>
          <w:color w:val="auto"/>
          <w:kern w:val="1"/>
          <w:sz w:val="24"/>
        </w:rPr>
        <w:t xml:space="preserve"> </w:t>
      </w:r>
    </w:p>
    <w:p w14:paraId="1E669C6D">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谈判的全过程分为第一次谈判报价（原参加公开招标的</w:t>
      </w:r>
      <w:r>
        <w:rPr>
          <w:rFonts w:hint="eastAsia" w:asciiTheme="minorEastAsia" w:hAnsiTheme="minorEastAsia" w:eastAsiaTheme="minorEastAsia" w:cstheme="minorEastAsia"/>
          <w:color w:val="auto"/>
          <w:kern w:val="1"/>
          <w:sz w:val="24"/>
          <w:lang w:eastAsia="zh-CN"/>
        </w:rPr>
        <w:t>投标人</w:t>
      </w:r>
      <w:r>
        <w:rPr>
          <w:rFonts w:hint="eastAsia" w:asciiTheme="minorEastAsia" w:hAnsiTheme="minorEastAsia" w:eastAsiaTheme="minorEastAsia" w:cstheme="minorEastAsia"/>
          <w:color w:val="auto"/>
          <w:kern w:val="1"/>
          <w:sz w:val="24"/>
        </w:rPr>
        <w:t>的投标报价作为第一次谈判报价）、资质审查、谈判过程、第二次谈判报价、最终评审等阶段，最终报价采取集中报价形式。</w:t>
      </w:r>
    </w:p>
    <w:p w14:paraId="299807B6">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通过资质审查合格的各投标人，只有在谈判响应文件（原参加公开招标的</w:t>
      </w:r>
      <w:r>
        <w:rPr>
          <w:rFonts w:hint="eastAsia" w:asciiTheme="minorEastAsia" w:hAnsiTheme="minorEastAsia" w:eastAsiaTheme="minorEastAsia" w:cstheme="minorEastAsia"/>
          <w:color w:val="auto"/>
          <w:kern w:val="1"/>
          <w:sz w:val="24"/>
          <w:lang w:eastAsia="zh-CN"/>
        </w:rPr>
        <w:t>投标人</w:t>
      </w:r>
      <w:r>
        <w:rPr>
          <w:rFonts w:hint="eastAsia" w:asciiTheme="minorEastAsia" w:hAnsiTheme="minorEastAsia" w:eastAsiaTheme="minorEastAsia" w:cstheme="minorEastAsia"/>
          <w:color w:val="auto"/>
          <w:kern w:val="1"/>
          <w:sz w:val="24"/>
        </w:rPr>
        <w:t>的投标文件作为谈判响应文件）及谈判承诺符合谈判文件要求和满足技术、商务需要的才有最终报价和评审的机会。谈判小组按其最终承诺和报价内容，推荐成交候选单位排序。</w:t>
      </w:r>
    </w:p>
    <w:p w14:paraId="09E3BFFF">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（1）第一次报价：原参加公开招标的</w:t>
      </w:r>
      <w:r>
        <w:rPr>
          <w:rFonts w:hint="eastAsia" w:asciiTheme="minorEastAsia" w:hAnsiTheme="minorEastAsia" w:eastAsiaTheme="minorEastAsia" w:cstheme="minorEastAsia"/>
          <w:color w:val="auto"/>
          <w:kern w:val="1"/>
          <w:sz w:val="24"/>
          <w:lang w:eastAsia="zh-CN"/>
        </w:rPr>
        <w:t>投标人</w:t>
      </w:r>
      <w:r>
        <w:rPr>
          <w:rFonts w:hint="eastAsia" w:asciiTheme="minorEastAsia" w:hAnsiTheme="minorEastAsia" w:eastAsiaTheme="minorEastAsia" w:cstheme="minorEastAsia"/>
          <w:color w:val="auto"/>
          <w:kern w:val="1"/>
          <w:sz w:val="24"/>
        </w:rPr>
        <w:t>的投标报价作为第一次谈判报价。</w:t>
      </w:r>
    </w:p>
    <w:p w14:paraId="052B7808">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（2）符合性评审：主要对各投标人资格以及谈判响应文件进行商务和技术符合性的审定。</w:t>
      </w:r>
    </w:p>
    <w:p w14:paraId="1E3AFB39">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（3）</w:t>
      </w:r>
      <w:r>
        <w:rPr>
          <w:rFonts w:hint="eastAsia" w:asciiTheme="minorEastAsia" w:hAnsiTheme="minorEastAsia" w:eastAsiaTheme="minorEastAsia" w:cstheme="minorEastAsia"/>
          <w:bCs/>
          <w:color w:val="auto"/>
          <w:kern w:val="1"/>
          <w:sz w:val="24"/>
        </w:rPr>
        <w:t>谈判过程</w:t>
      </w:r>
      <w:r>
        <w:rPr>
          <w:rFonts w:hint="eastAsia" w:asciiTheme="minorEastAsia" w:hAnsiTheme="minorEastAsia" w:eastAsiaTheme="minorEastAsia" w:cstheme="minorEastAsia"/>
          <w:color w:val="auto"/>
          <w:kern w:val="1"/>
          <w:sz w:val="24"/>
        </w:rPr>
        <w:t>：谈判小组应在符合性评审的基础上对各投标人的谈判响应文件认真阅读，并对采购内容等有关要求进行谈判。</w:t>
      </w:r>
    </w:p>
    <w:p w14:paraId="20DABBE4">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① 谈判方案（原投标方案）</w:t>
      </w:r>
    </w:p>
    <w:p w14:paraId="3FF6ACD6">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② 售后服务措施</w:t>
      </w:r>
    </w:p>
    <w:p w14:paraId="09724568">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③ 综合评定，推荐候选成交单位。</w:t>
      </w:r>
    </w:p>
    <w:p w14:paraId="1F98257D">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④ 谈判澄清：采购代理机构有权就谈判响应文件中有疑义之处或前后表述不一致的问题，向投标人提出询问或澄清。投标人必须在谈判文件规定的时间内派技术和商务人员进行澄清，有关澄清的内容应以书面形式（包括电传、传真）提交，并由投标人法定代表人或被授权人签名确认。</w:t>
      </w:r>
    </w:p>
    <w:p w14:paraId="6D586E8B">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（4）第二次谈判报价</w:t>
      </w:r>
    </w:p>
    <w:p w14:paraId="36AC328A">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通过资质审查合格，投标人的谈判响应文件及谈判承诺符合谈判文件要求和满足技术、商务需要的，在规定的时间内报出第二次谈判报价。</w:t>
      </w:r>
    </w:p>
    <w:p w14:paraId="2F2C5620">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（5）最终评审</w:t>
      </w:r>
    </w:p>
    <w:p w14:paraId="27DB5182">
      <w:pPr>
        <w:pageBreakBefore w:val="0"/>
        <w:kinsoku/>
        <w:bidi w:val="0"/>
        <w:spacing w:line="360" w:lineRule="auto"/>
        <w:ind w:firstLine="48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14:paraId="0CF7B47B">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29.3 谈判小组根据</w:t>
      </w:r>
      <w:r>
        <w:rPr>
          <w:rFonts w:hint="eastAsia" w:asciiTheme="minorEastAsia" w:hAnsiTheme="minorEastAsia" w:eastAsiaTheme="minorEastAsia" w:cstheme="minorEastAsia"/>
          <w:color w:val="auto"/>
          <w:sz w:val="24"/>
        </w:rPr>
        <w:t>原始谈判记录和谈判结果编写</w:t>
      </w:r>
      <w:r>
        <w:rPr>
          <w:rFonts w:hint="eastAsia" w:asciiTheme="minorEastAsia" w:hAnsiTheme="minorEastAsia" w:eastAsiaTheme="minorEastAsia" w:cstheme="minorEastAsia"/>
          <w:color w:val="auto"/>
          <w:kern w:val="1"/>
          <w:sz w:val="24"/>
        </w:rPr>
        <w:t>谈判</w:t>
      </w:r>
      <w:r>
        <w:rPr>
          <w:rFonts w:hint="eastAsia" w:asciiTheme="minorEastAsia" w:hAnsiTheme="minorEastAsia" w:eastAsiaTheme="minorEastAsia" w:cstheme="minorEastAsia"/>
          <w:color w:val="auto"/>
          <w:sz w:val="24"/>
        </w:rPr>
        <w:t>结果</w:t>
      </w:r>
      <w:r>
        <w:rPr>
          <w:rFonts w:hint="eastAsia" w:asciiTheme="minorEastAsia" w:hAnsiTheme="minorEastAsia" w:eastAsiaTheme="minorEastAsia" w:cstheme="minorEastAsia"/>
          <w:color w:val="auto"/>
          <w:kern w:val="1"/>
          <w:sz w:val="24"/>
        </w:rPr>
        <w:t>报告，报采购人。</w:t>
      </w:r>
    </w:p>
    <w:p w14:paraId="1D811EA0">
      <w:pPr>
        <w:pageBreakBefore w:val="0"/>
        <w:kinsoku/>
        <w:bidi w:val="0"/>
        <w:spacing w:before="156" w:beforeLines="50" w:after="156" w:afterLines="50"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30"/>
          <w:szCs w:val="30"/>
        </w:rPr>
        <w:t>七、质疑与投诉</w:t>
      </w:r>
    </w:p>
    <w:p w14:paraId="293CFD23">
      <w:pPr>
        <w:pageBreakBefore w:val="0"/>
        <w:kinsoku/>
        <w:bidi w:val="0"/>
        <w:spacing w:line="360" w:lineRule="auto"/>
        <w:ind w:firstLine="472" w:firstLineChars="196"/>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30、质疑及投诉</w:t>
      </w:r>
    </w:p>
    <w:p w14:paraId="3FBF203F">
      <w:pPr>
        <w:pageBreakBefore w:val="0"/>
        <w:kinsoku/>
        <w:bidi w:val="0"/>
        <w:spacing w:line="360" w:lineRule="auto"/>
        <w:ind w:firstLine="472" w:firstLineChars="196"/>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30.1 质疑</w:t>
      </w:r>
    </w:p>
    <w:p w14:paraId="3AC42553">
      <w:pPr>
        <w:pageBreakBefore w:val="0"/>
        <w:kinsoku/>
        <w:bidi w:val="0"/>
        <w:spacing w:line="360" w:lineRule="auto"/>
        <w:ind w:firstLine="470" w:firstLineChars="196"/>
        <w:outlineLvl w:val="9"/>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供应商</w:t>
      </w:r>
      <w:r>
        <w:rPr>
          <w:rFonts w:hint="eastAsia" w:asciiTheme="minorEastAsia" w:hAnsiTheme="minorEastAsia" w:eastAsiaTheme="minorEastAsia" w:cstheme="minorEastAsia"/>
          <w:color w:val="auto"/>
          <w:sz w:val="24"/>
        </w:rPr>
        <w:t>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（2）提出质疑的</w:t>
      </w:r>
      <w:r>
        <w:rPr>
          <w:rFonts w:hint="eastAsia" w:asciiTheme="minorEastAsia" w:hAnsiTheme="minorEastAsia" w:eastAsiaTheme="minorEastAsia" w:cstheme="minorEastAsia"/>
          <w:color w:val="auto"/>
          <w:sz w:val="24"/>
          <w:lang w:val="en-US" w:eastAsia="zh-CN"/>
        </w:rPr>
        <w:t>供应商</w:t>
      </w:r>
      <w:r>
        <w:rPr>
          <w:rFonts w:hint="eastAsia" w:asciiTheme="minorEastAsia" w:hAnsiTheme="minorEastAsia" w:eastAsiaTheme="minorEastAsia" w:cstheme="minorEastAsia"/>
          <w:color w:val="auto"/>
          <w:sz w:val="24"/>
        </w:rPr>
        <w:t>应当是参与本项目采购活动的</w:t>
      </w:r>
      <w:r>
        <w:rPr>
          <w:rFonts w:hint="eastAsia" w:asciiTheme="minorEastAsia" w:hAnsiTheme="minorEastAsia" w:eastAsiaTheme="minorEastAsia" w:cstheme="minorEastAsia"/>
          <w:color w:val="auto"/>
          <w:sz w:val="24"/>
          <w:lang w:val="en-US" w:eastAsia="zh-CN"/>
        </w:rPr>
        <w:t>供应商</w:t>
      </w:r>
      <w:r>
        <w:rPr>
          <w:rFonts w:hint="eastAsia" w:asciiTheme="minorEastAsia" w:hAnsiTheme="minorEastAsia" w:eastAsiaTheme="minorEastAsia" w:cstheme="minorEastAsia"/>
          <w:color w:val="auto"/>
          <w:sz w:val="24"/>
        </w:rPr>
        <w:t>。</w:t>
      </w:r>
    </w:p>
    <w:p w14:paraId="4B36C676">
      <w:pPr>
        <w:pageBreakBefore w:val="0"/>
        <w:kinsoku/>
        <w:bidi w:val="0"/>
        <w:spacing w:line="360" w:lineRule="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（3）潜在</w:t>
      </w:r>
      <w:r>
        <w:rPr>
          <w:rFonts w:hint="eastAsia" w:asciiTheme="minorEastAsia" w:hAnsiTheme="minorEastAsia" w:eastAsiaTheme="minorEastAsia" w:cstheme="minorEastAsia"/>
          <w:color w:val="auto"/>
          <w:sz w:val="24"/>
          <w:lang w:val="en-US" w:eastAsia="zh-CN"/>
        </w:rPr>
        <w:t>供应商</w:t>
      </w:r>
      <w:r>
        <w:rPr>
          <w:rFonts w:hint="eastAsia" w:asciiTheme="minorEastAsia" w:hAnsiTheme="minorEastAsia" w:eastAsiaTheme="minorEastAsia" w:cstheme="minorEastAsia"/>
          <w:color w:val="auto"/>
          <w:sz w:val="24"/>
        </w:rPr>
        <w:t>已依法获取其可质疑的采购文件的，可以对该文件提出质疑。对采购文件提出质疑的，应当在获取采购文件</w:t>
      </w:r>
      <w:r>
        <w:rPr>
          <w:rFonts w:hint="eastAsia" w:asciiTheme="minorEastAsia" w:hAnsiTheme="minorEastAsia" w:eastAsiaTheme="minorEastAsia" w:cstheme="minorEastAsia"/>
          <w:color w:val="auto"/>
          <w:sz w:val="24"/>
          <w:lang w:val="en-US" w:eastAsia="zh-CN"/>
        </w:rPr>
        <w:t>或者采购文件公告期限届满之日</w:t>
      </w:r>
      <w:r>
        <w:rPr>
          <w:rFonts w:hint="eastAsia" w:asciiTheme="minorEastAsia" w:hAnsiTheme="minorEastAsia" w:eastAsiaTheme="minorEastAsia" w:cstheme="minorEastAsia"/>
          <w:color w:val="auto"/>
          <w:sz w:val="24"/>
        </w:rPr>
        <w:t>起7个工作日内一次性提出。</w:t>
      </w:r>
    </w:p>
    <w:p w14:paraId="580ADA7B">
      <w:pPr>
        <w:pageBreakBefore w:val="0"/>
        <w:kinsoku/>
        <w:bidi w:val="0"/>
        <w:spacing w:line="360" w:lineRule="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val="en-US" w:eastAsia="zh-CN"/>
        </w:rPr>
        <w:t>供应商</w:t>
      </w:r>
      <w:r>
        <w:rPr>
          <w:rFonts w:hint="eastAsia" w:asciiTheme="minorEastAsia" w:hAnsiTheme="minorEastAsia" w:eastAsiaTheme="minorEastAsia" w:cstheme="minorEastAsia"/>
          <w:color w:val="auto"/>
          <w:sz w:val="24"/>
        </w:rPr>
        <w:t>提出质疑应当提交质疑函和必要的证明材料，质疑函应包括下列内容：</w:t>
      </w:r>
    </w:p>
    <w:p w14:paraId="38115E62">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① </w:t>
      </w:r>
      <w:r>
        <w:rPr>
          <w:rFonts w:hint="eastAsia" w:asciiTheme="minorEastAsia" w:hAnsiTheme="minorEastAsia" w:eastAsiaTheme="minorEastAsia" w:cstheme="minorEastAsia"/>
          <w:color w:val="auto"/>
          <w:sz w:val="24"/>
          <w:lang w:val="en-US" w:eastAsia="zh-CN"/>
        </w:rPr>
        <w:t>供应商</w:t>
      </w:r>
      <w:r>
        <w:rPr>
          <w:rFonts w:hint="eastAsia" w:asciiTheme="minorEastAsia" w:hAnsiTheme="minorEastAsia" w:eastAsiaTheme="minorEastAsia" w:cstheme="minorEastAsia"/>
          <w:color w:val="auto"/>
          <w:sz w:val="24"/>
        </w:rPr>
        <w:t>的姓名或者名称、地址、邮编、联系人及联系电话；</w:t>
      </w:r>
    </w:p>
    <w:p w14:paraId="2A587955">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 质疑项目的名称、编号；</w:t>
      </w:r>
    </w:p>
    <w:p w14:paraId="56EA5BE2">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 具体、明确的质疑事项和与质疑事项相关的请求；</w:t>
      </w:r>
    </w:p>
    <w:p w14:paraId="26708E84">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 事实依据；</w:t>
      </w:r>
    </w:p>
    <w:p w14:paraId="5CD34DFF">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 必要的法律依据；</w:t>
      </w:r>
    </w:p>
    <w:p w14:paraId="7C3777DC">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⑥ 提出质疑的日期。</w:t>
      </w:r>
    </w:p>
    <w:p w14:paraId="236EFACE">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lang w:val="en-US" w:eastAsia="zh-CN"/>
        </w:rPr>
        <w:t>供应商</w:t>
      </w:r>
      <w:r>
        <w:rPr>
          <w:rFonts w:hint="eastAsia" w:asciiTheme="minorEastAsia" w:hAnsiTheme="minorEastAsia" w:eastAsiaTheme="minorEastAsia" w:cstheme="minorEastAsia"/>
          <w:color w:val="auto"/>
          <w:sz w:val="24"/>
        </w:rPr>
        <w:t>为自然人的，应当由本人签字；</w:t>
      </w:r>
      <w:r>
        <w:rPr>
          <w:rFonts w:hint="eastAsia" w:asciiTheme="minorEastAsia" w:hAnsiTheme="minorEastAsia" w:eastAsiaTheme="minorEastAsia" w:cstheme="minorEastAsia"/>
          <w:color w:val="auto"/>
          <w:sz w:val="24"/>
          <w:lang w:val="en-US" w:eastAsia="zh-CN"/>
        </w:rPr>
        <w:t>供应商</w:t>
      </w:r>
      <w:r>
        <w:rPr>
          <w:rFonts w:hint="eastAsia" w:asciiTheme="minorEastAsia" w:hAnsiTheme="minorEastAsia" w:eastAsiaTheme="minorEastAsia" w:cstheme="minorEastAsia"/>
          <w:color w:val="auto"/>
          <w:sz w:val="24"/>
        </w:rPr>
        <w:t>为法人或者其他组织的，应当由法定代表人、主要负责人，或者其授权代表签字或者盖章并加盖公章。</w:t>
      </w:r>
    </w:p>
    <w:p w14:paraId="0FCCB4BB">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lang w:val="en-US" w:eastAsia="zh-CN"/>
        </w:rPr>
        <w:t>供应商</w:t>
      </w:r>
      <w:r>
        <w:rPr>
          <w:rFonts w:hint="eastAsia" w:asciiTheme="minorEastAsia" w:hAnsiTheme="minorEastAsia" w:eastAsiaTheme="minorEastAsia" w:cstheme="minorEastAsia"/>
          <w:color w:val="auto"/>
          <w:sz w:val="24"/>
        </w:rPr>
        <w:t>可以委托代理人进行质疑和投诉。其授权委托书应当载明代理人的姓名或者名称、代理事项、具体权限、期限和相关事项。</w:t>
      </w:r>
      <w:r>
        <w:rPr>
          <w:rFonts w:hint="eastAsia" w:asciiTheme="minorEastAsia" w:hAnsiTheme="minorEastAsia" w:eastAsiaTheme="minorEastAsia" w:cstheme="minorEastAsia"/>
          <w:color w:val="auto"/>
          <w:sz w:val="24"/>
          <w:lang w:val="en-US" w:eastAsia="zh-CN"/>
        </w:rPr>
        <w:t>供应商</w:t>
      </w:r>
      <w:r>
        <w:rPr>
          <w:rFonts w:hint="eastAsia" w:asciiTheme="minorEastAsia" w:hAnsiTheme="minorEastAsia" w:eastAsiaTheme="minorEastAsia" w:cstheme="minorEastAsia"/>
          <w:color w:val="auto"/>
          <w:sz w:val="24"/>
        </w:rPr>
        <w:t>为自然人的，应当由本人签字；</w:t>
      </w:r>
      <w:r>
        <w:rPr>
          <w:rFonts w:hint="eastAsia" w:asciiTheme="minorEastAsia" w:hAnsiTheme="minorEastAsia" w:eastAsiaTheme="minorEastAsia" w:cstheme="minorEastAsia"/>
          <w:color w:val="auto"/>
          <w:sz w:val="24"/>
          <w:lang w:val="en-US" w:eastAsia="zh-CN"/>
        </w:rPr>
        <w:t>供应商</w:t>
      </w:r>
      <w:r>
        <w:rPr>
          <w:rFonts w:hint="eastAsia" w:asciiTheme="minorEastAsia" w:hAnsiTheme="minorEastAsia" w:eastAsiaTheme="minorEastAsia" w:cstheme="minorEastAsia"/>
          <w:color w:val="auto"/>
          <w:sz w:val="24"/>
        </w:rPr>
        <w:t>为法人或者其他组织的，应当由法定代表人、主要负责人签字或者盖章并加盖公章。</w:t>
      </w:r>
    </w:p>
    <w:p w14:paraId="6F3B3FDB">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（7）采购人负责投标人质疑答复。采购人委托采购代理机构采购的，采购代理机构在委托授权范围内作出答复。</w:t>
      </w:r>
    </w:p>
    <w:p w14:paraId="7A7BFDF9">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（8）接收质疑函的方式和联系方式：</w:t>
      </w:r>
    </w:p>
    <w:p w14:paraId="5F2BFE03">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 接收质疑函的方式：书面递交质疑函纸质版（当面递交）或PDF格式扫描件（发至电子邮箱）</w:t>
      </w:r>
    </w:p>
    <w:p w14:paraId="535A536B">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 联系方式</w:t>
      </w:r>
    </w:p>
    <w:p w14:paraId="6C20EB71">
      <w:pPr>
        <w:pageBreakBefore w:val="0"/>
        <w:kinsoku/>
        <w:bidi w:val="0"/>
        <w:spacing w:line="360" w:lineRule="auto"/>
        <w:ind w:firstLine="480"/>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采购代理机构：</w:t>
      </w:r>
      <w:r>
        <w:rPr>
          <w:rFonts w:hint="eastAsia" w:asciiTheme="minorEastAsia" w:hAnsiTheme="minorEastAsia" w:eastAsiaTheme="minorEastAsia" w:cstheme="minorEastAsia"/>
          <w:color w:val="auto"/>
          <w:sz w:val="24"/>
          <w:lang w:eastAsia="zh-CN"/>
        </w:rPr>
        <w:t>陕西华旭晟信项目管理有限责任公司</w:t>
      </w:r>
    </w:p>
    <w:p w14:paraId="619BFD93">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址：陕西省</w:t>
      </w:r>
      <w:r>
        <w:rPr>
          <w:rFonts w:hint="eastAsia" w:asciiTheme="minorEastAsia" w:hAnsiTheme="minorEastAsia" w:eastAsiaTheme="minorEastAsia" w:cstheme="minorEastAsia"/>
          <w:color w:val="auto"/>
          <w:sz w:val="24"/>
          <w:lang w:eastAsia="zh-CN"/>
        </w:rPr>
        <w:t>榆林市富康路榆溪尚品3号楼1415</w:t>
      </w:r>
      <w:r>
        <w:rPr>
          <w:rFonts w:hint="eastAsia" w:asciiTheme="minorEastAsia" w:hAnsiTheme="minorEastAsia" w:eastAsiaTheme="minorEastAsia" w:cstheme="minorEastAsia"/>
          <w:color w:val="auto"/>
          <w:sz w:val="24"/>
        </w:rPr>
        <w:t>；</w:t>
      </w:r>
    </w:p>
    <w:p w14:paraId="795D59F2">
      <w:pPr>
        <w:pageBreakBefore w:val="0"/>
        <w:kinsoku/>
        <w:bidi w:val="0"/>
        <w:spacing w:line="360" w:lineRule="auto"/>
        <w:ind w:firstLine="480"/>
        <w:outlineLvl w:val="9"/>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联 系 人：</w:t>
      </w:r>
      <w:r>
        <w:rPr>
          <w:rFonts w:hint="eastAsia" w:asciiTheme="minorEastAsia" w:hAnsiTheme="minorEastAsia" w:eastAsiaTheme="minorEastAsia" w:cstheme="minorEastAsia"/>
          <w:color w:val="auto"/>
          <w:sz w:val="24"/>
          <w:lang w:val="en-US" w:eastAsia="zh-CN"/>
        </w:rPr>
        <w:t>刘莉娥</w:t>
      </w:r>
    </w:p>
    <w:p w14:paraId="6866540A">
      <w:pPr>
        <w:pageBreakBefore w:val="0"/>
        <w:kinsoku/>
        <w:bidi w:val="0"/>
        <w:spacing w:line="360" w:lineRule="auto"/>
        <w:ind w:firstLine="480"/>
        <w:outlineLvl w:val="9"/>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联系方式：</w:t>
      </w:r>
      <w:r>
        <w:rPr>
          <w:rFonts w:hint="eastAsia" w:asciiTheme="minorEastAsia" w:hAnsiTheme="minorEastAsia" w:eastAsiaTheme="minorEastAsia" w:cstheme="minorEastAsia"/>
          <w:color w:val="auto"/>
          <w:sz w:val="24"/>
          <w:lang w:val="en-US" w:eastAsia="zh-CN"/>
        </w:rPr>
        <w:t>17709127880</w:t>
      </w:r>
    </w:p>
    <w:p w14:paraId="73D38909">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    箱：</w:t>
      </w:r>
      <w:r>
        <w:rPr>
          <w:rFonts w:hint="eastAsia" w:asciiTheme="minorEastAsia" w:hAnsiTheme="minorEastAsia" w:eastAsiaTheme="minorEastAsia" w:cstheme="minorEastAsia"/>
          <w:color w:val="auto"/>
          <w:sz w:val="24"/>
          <w:lang w:eastAsia="zh-CN"/>
        </w:rPr>
        <w:t>1023891841</w:t>
      </w:r>
      <w:r>
        <w:rPr>
          <w:rFonts w:hint="eastAsia" w:asciiTheme="minorEastAsia" w:hAnsiTheme="minorEastAsia" w:eastAsiaTheme="minorEastAsia" w:cstheme="minorEastAsia"/>
          <w:color w:val="auto"/>
          <w:sz w:val="24"/>
        </w:rPr>
        <w:t xml:space="preserve">@qq.com  </w:t>
      </w:r>
    </w:p>
    <w:p w14:paraId="7C77381D">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30.2 投诉</w:t>
      </w:r>
    </w:p>
    <w:p w14:paraId="767F38FF">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（1）质疑</w:t>
      </w:r>
      <w:r>
        <w:rPr>
          <w:rFonts w:hint="eastAsia" w:asciiTheme="minorEastAsia" w:hAnsiTheme="minorEastAsia" w:eastAsiaTheme="minorEastAsia" w:cstheme="minorEastAsia"/>
          <w:color w:val="auto"/>
          <w:sz w:val="24"/>
          <w:lang w:val="en-US" w:eastAsia="zh-CN"/>
        </w:rPr>
        <w:t>供应商</w:t>
      </w:r>
      <w:r>
        <w:rPr>
          <w:rFonts w:hint="eastAsia" w:asciiTheme="minorEastAsia" w:hAnsiTheme="minorEastAsia" w:eastAsiaTheme="minorEastAsia" w:cstheme="minorEastAsia"/>
          <w:color w:val="auto"/>
          <w:sz w:val="24"/>
        </w:rPr>
        <w:t>对采购人、采购代理机构的答复不满意，或者采购人、采购代理机构未在规定时间内作出答复的，可以在答复期满后15个工作日内向同级财政部门提起投诉。</w:t>
      </w:r>
    </w:p>
    <w:p w14:paraId="0F967644">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（2）投诉人投诉时,应当提交投诉书和必要的证明材料，并按照被投诉采购人、采购代理机构（以下简称被投诉人）和与投诉事项有关的投标人数量提供投诉书的副本。投诉书应当包括下列内容：</w:t>
      </w:r>
    </w:p>
    <w:p w14:paraId="43D2CF04">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 投诉人和被投诉人的姓名或者名称、通讯地址、邮编、联系人及联系电话；</w:t>
      </w:r>
    </w:p>
    <w:p w14:paraId="3ED1D703">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 质疑和质疑答复情况说明及相关证明材料；</w:t>
      </w:r>
    </w:p>
    <w:p w14:paraId="695A4515">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 具体、明确的投诉事项和与投诉事项相关的投诉请求；</w:t>
      </w:r>
    </w:p>
    <w:p w14:paraId="450A6FD0">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 事实依据；</w:t>
      </w:r>
    </w:p>
    <w:p w14:paraId="0C20E4FE">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 法律依据；</w:t>
      </w:r>
    </w:p>
    <w:p w14:paraId="719A0313">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⑥ 提起投诉的日期。</w:t>
      </w:r>
    </w:p>
    <w:p w14:paraId="11F53803">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（3）投诉人为自然人的，应当由本人签字；投诉人为法人或者其他组织的，应当由法定代表人、主要负责人，或者其授权代表签字或者盖章，并加盖公章。</w:t>
      </w:r>
    </w:p>
    <w:p w14:paraId="17479158">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（4）投诉人提起投诉应当符合下列条件：</w:t>
      </w:r>
    </w:p>
    <w:p w14:paraId="2587B3E2">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 提起投诉前已依法进行质疑；</w:t>
      </w:r>
    </w:p>
    <w:p w14:paraId="189F2040">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 投诉书内容符合《政府采购质疑和投诉办法》（财政部令第94号令）的规定；</w:t>
      </w:r>
    </w:p>
    <w:p w14:paraId="4A3A88DF">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 在投诉有效期限内提起投诉；</w:t>
      </w:r>
    </w:p>
    <w:p w14:paraId="3743DEE7">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 同一投诉事项未经财政部门投诉处理；</w:t>
      </w:r>
    </w:p>
    <w:p w14:paraId="25989446">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 财政部规定的其他条件。</w:t>
      </w:r>
    </w:p>
    <w:p w14:paraId="225A331A">
      <w:pPr>
        <w:pageBreakBefore w:val="0"/>
        <w:kinsoku/>
        <w:bidi w:val="0"/>
        <w:spacing w:line="360" w:lineRule="auto"/>
        <w:ind w:firstLine="48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（5）投标人投诉的事项不得超出已质疑事项的范围，但基于质疑答复内容提出的投诉事项除外。</w:t>
      </w:r>
    </w:p>
    <w:bookmarkEnd w:id="22"/>
    <w:bookmarkEnd w:id="23"/>
    <w:p w14:paraId="0C17D63C">
      <w:pPr>
        <w:spacing w:before="156" w:beforeLines="50" w:after="156" w:afterLines="50" w:line="360" w:lineRule="auto"/>
        <w:jc w:val="center"/>
        <w:outlineLvl w:val="9"/>
        <w:rPr>
          <w:rFonts w:hint="eastAsia" w:ascii="宋体" w:hAnsi="宋体" w:eastAsia="宋体" w:cs="宋体"/>
          <w:color w:val="auto"/>
          <w:sz w:val="24"/>
          <w:szCs w:val="24"/>
          <w:highlight w:val="none"/>
        </w:rPr>
      </w:pPr>
      <w:bookmarkStart w:id="137" w:name="_Toc23159"/>
      <w:r>
        <w:rPr>
          <w:rFonts w:hint="eastAsia" w:asciiTheme="minorEastAsia" w:hAnsiTheme="minorEastAsia" w:eastAsiaTheme="minorEastAsia" w:cstheme="minorEastAsia"/>
          <w:b/>
          <w:color w:val="auto"/>
          <w:sz w:val="30"/>
          <w:szCs w:val="30"/>
          <w:lang w:eastAsia="zh-CN"/>
        </w:rPr>
        <w:t>八</w:t>
      </w:r>
      <w:r>
        <w:rPr>
          <w:rFonts w:hint="eastAsia" w:asciiTheme="minorEastAsia" w:hAnsiTheme="minorEastAsia" w:eastAsiaTheme="minorEastAsia" w:cstheme="minorEastAsia"/>
          <w:b/>
          <w:color w:val="auto"/>
          <w:sz w:val="30"/>
          <w:szCs w:val="30"/>
        </w:rPr>
        <w:t>、</w:t>
      </w:r>
      <w:r>
        <w:rPr>
          <w:rFonts w:hint="eastAsia" w:ascii="宋体" w:hAnsi="宋体" w:eastAsia="宋体" w:cs="宋体"/>
          <w:b/>
          <w:color w:val="auto"/>
          <w:sz w:val="24"/>
          <w:szCs w:val="24"/>
          <w:highlight w:val="none"/>
        </w:rPr>
        <w:t>政采贷业务</w:t>
      </w:r>
    </w:p>
    <w:p w14:paraId="41757793">
      <w:pPr>
        <w:pStyle w:val="8"/>
        <w:spacing w:line="360" w:lineRule="auto"/>
        <w:ind w:firstLine="480" w:firstLineChars="20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为了进一步推动金融支持政策更好适应市场主体的需要，扎实落实国务院关于支持中小企业发展的政策措施，积极发挥政府采购政策功能，有效缓解中小企业融资难、融资贵问题，根据中办 国办《关于促进中小企业健康发展的指导意见》、财政部 工信部《政府采购促进中小企业发展管理办法》（财库〔2020〕46号）、《陕西省中小企业政府采购信用融资办法》（陕财办采〔2018〕23号）、《陕西省财政厅关于加快推进我省中小企业政府采购信用融资工作的通知》（陕财办采〔2020〕15号）、《陕西省财政厅 中国人民银行西安分行关于深入推进政府采购信用融资业务的通知》（陕财办采〔2023〕5号）等有关规定，按照政府引导、市场运作、银企自愿、风险自担的原则，中标（成交）供应商可根据自身资金需求，登录陕西省政府采购信用融资平台（http://www.ccgp-shaanxi.gov.cn/zcdservice/zcd/shanxi/）或中征平台（https://www.crcrfsp.com）在线申请，依法参加政府采购信用融资活动。</w:t>
      </w:r>
    </w:p>
    <w:tbl>
      <w:tblPr>
        <w:tblStyle w:val="19"/>
        <w:tblpPr w:leftFromText="180" w:rightFromText="180" w:vertAnchor="page" w:horzAnchor="page" w:tblpX="1392" w:tblpY="2721"/>
        <w:tblOverlap w:val="never"/>
        <w:tblW w:w="9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3"/>
        <w:gridCol w:w="1284"/>
        <w:gridCol w:w="1463"/>
        <w:gridCol w:w="1187"/>
        <w:gridCol w:w="850"/>
        <w:gridCol w:w="1166"/>
        <w:gridCol w:w="1250"/>
        <w:gridCol w:w="1717"/>
      </w:tblGrid>
      <w:tr w14:paraId="57B6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633" w:type="dxa"/>
            <w:tcBorders>
              <w:top w:val="nil"/>
              <w:left w:val="nil"/>
              <w:bottom w:val="nil"/>
              <w:right w:val="nil"/>
            </w:tcBorders>
            <w:noWrap/>
            <w:vAlign w:val="center"/>
          </w:tcPr>
          <w:p w14:paraId="5B3D97D6">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8917" w:type="dxa"/>
            <w:gridSpan w:val="7"/>
            <w:tcBorders>
              <w:top w:val="nil"/>
              <w:left w:val="nil"/>
              <w:bottom w:val="nil"/>
              <w:right w:val="nil"/>
            </w:tcBorders>
            <w:noWrap/>
            <w:vAlign w:val="center"/>
          </w:tcPr>
          <w:p w14:paraId="647478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榆林市“政采贷”业务办理银行联系表</w:t>
            </w:r>
          </w:p>
        </w:tc>
      </w:tr>
      <w:tr w14:paraId="697A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281360B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342325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银行名称</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1A72BC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产品名称</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04CB14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贷款额度</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7CF34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贷款期限</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DB3B3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贷款利率</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05378F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办理时效</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70EBAD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联系人</w:t>
            </w:r>
          </w:p>
        </w:tc>
      </w:tr>
      <w:tr w14:paraId="2796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06AB712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1143F9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长安银行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35F157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34C33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F8A3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73FC74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3.45%</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85FA7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94165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魏  众15109123951</w:t>
            </w:r>
          </w:p>
        </w:tc>
      </w:tr>
      <w:tr w14:paraId="7696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3B3E31F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4DB301F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中信银行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7746418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政采E贷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454F6B2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B550E9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934C1D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A19FAB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5C7BD46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  明18992218795</w:t>
            </w:r>
          </w:p>
        </w:tc>
      </w:tr>
      <w:tr w14:paraId="12B4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4BB5E04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6025F2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光大银行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0967CC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DD684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1E6F4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905ED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3.45%</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713B9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D8E80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艾思宇13509127997</w:t>
            </w:r>
          </w:p>
        </w:tc>
      </w:tr>
      <w:tr w14:paraId="4B98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3BFC41A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5DF727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交通银行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32803F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秦政贷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2261C0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5EB47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5BF061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3.45%</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BBE54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58382C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  飞15291296886</w:t>
            </w:r>
          </w:p>
        </w:tc>
      </w:tr>
      <w:tr w14:paraId="6FDF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10B5105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2F3AA1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中国银行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48E6A8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384F8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4A909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48F2A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3.45%</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7270F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B182B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李  浩18691230007</w:t>
            </w:r>
          </w:p>
        </w:tc>
      </w:tr>
      <w:tr w14:paraId="3573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3CEE232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72FF64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招商银行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2FD474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7DA09D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4D3C0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5964BE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E3797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1892B2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马  烨15596100007</w:t>
            </w:r>
          </w:p>
        </w:tc>
      </w:tr>
      <w:tr w14:paraId="44A7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1820E5E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61BF08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浦发银行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64BF57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政采E贷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02085D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0C25A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65803A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05B16E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7D1C72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朱  君15629169158</w:t>
            </w:r>
          </w:p>
        </w:tc>
      </w:tr>
      <w:tr w14:paraId="17EC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1241476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34956B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农商银行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63E39D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DC40E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8B47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25E866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3.45%-5.8%</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50A43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1EF5B9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王  璐15529875056</w:t>
            </w:r>
          </w:p>
        </w:tc>
      </w:tr>
      <w:tr w14:paraId="31B59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58E7BB5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2109EF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农业银行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18D596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656B6B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92F6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95EE2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3.45%以上</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A5ED0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2A9D13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米璐洁18966997666</w:t>
            </w:r>
          </w:p>
        </w:tc>
      </w:tr>
      <w:tr w14:paraId="3A12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63C0E1B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58428C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民生银行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419469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政采E贷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202EAF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BBAEB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5018E6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11C6C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21E2F4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郝双双15991225850</w:t>
            </w:r>
          </w:p>
        </w:tc>
      </w:tr>
      <w:tr w14:paraId="2C4A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5E447C0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3F14B41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兴业银行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6515409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85C5AC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BEAE05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1年期</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2EB8BC6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7CBF68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70940C2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薛万隆18709258523</w:t>
            </w:r>
          </w:p>
        </w:tc>
      </w:tr>
      <w:tr w14:paraId="6679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auto" w:sz="4" w:space="0"/>
              <w:right w:val="single" w:color="000000" w:sz="4" w:space="0"/>
            </w:tcBorders>
            <w:noWrap/>
            <w:vAlign w:val="center"/>
          </w:tcPr>
          <w:p w14:paraId="1CBA33C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284" w:type="dxa"/>
            <w:tcBorders>
              <w:top w:val="single" w:color="000000" w:sz="4" w:space="0"/>
              <w:left w:val="single" w:color="000000" w:sz="4" w:space="0"/>
              <w:bottom w:val="single" w:color="auto" w:sz="4" w:space="0"/>
              <w:right w:val="single" w:color="000000" w:sz="4" w:space="0"/>
            </w:tcBorders>
            <w:noWrap/>
            <w:vAlign w:val="center"/>
          </w:tcPr>
          <w:p w14:paraId="0A2DB12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广发银行</w:t>
            </w:r>
          </w:p>
        </w:tc>
        <w:tc>
          <w:tcPr>
            <w:tcW w:w="1463" w:type="dxa"/>
            <w:tcBorders>
              <w:top w:val="single" w:color="000000" w:sz="4" w:space="0"/>
              <w:left w:val="single" w:color="000000" w:sz="4" w:space="0"/>
              <w:bottom w:val="single" w:color="auto" w:sz="4" w:space="0"/>
              <w:right w:val="single" w:color="000000" w:sz="4" w:space="0"/>
            </w:tcBorders>
            <w:noWrap/>
            <w:vAlign w:val="center"/>
          </w:tcPr>
          <w:p w14:paraId="33F1B22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政采通</w:t>
            </w:r>
          </w:p>
        </w:tc>
        <w:tc>
          <w:tcPr>
            <w:tcW w:w="1187" w:type="dxa"/>
            <w:tcBorders>
              <w:top w:val="single" w:color="000000" w:sz="4" w:space="0"/>
              <w:left w:val="single" w:color="000000" w:sz="4" w:space="0"/>
              <w:bottom w:val="single" w:color="auto" w:sz="4" w:space="0"/>
              <w:right w:val="single" w:color="000000" w:sz="4" w:space="0"/>
            </w:tcBorders>
            <w:noWrap/>
            <w:vAlign w:val="center"/>
          </w:tcPr>
          <w:p w14:paraId="3A92E1F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auto" w:sz="4" w:space="0"/>
              <w:right w:val="single" w:color="000000" w:sz="4" w:space="0"/>
            </w:tcBorders>
            <w:noWrap/>
            <w:vAlign w:val="center"/>
          </w:tcPr>
          <w:p w14:paraId="5DC1810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auto" w:sz="4" w:space="0"/>
              <w:right w:val="single" w:color="000000" w:sz="4" w:space="0"/>
            </w:tcBorders>
            <w:noWrap/>
            <w:vAlign w:val="center"/>
          </w:tcPr>
          <w:p w14:paraId="7C0114E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auto" w:sz="4" w:space="0"/>
              <w:right w:val="single" w:color="000000" w:sz="4" w:space="0"/>
            </w:tcBorders>
            <w:noWrap/>
            <w:vAlign w:val="center"/>
          </w:tcPr>
          <w:p w14:paraId="6A697DA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auto" w:sz="4" w:space="0"/>
              <w:right w:val="single" w:color="000000" w:sz="4" w:space="0"/>
            </w:tcBorders>
            <w:noWrap/>
            <w:vAlign w:val="center"/>
          </w:tcPr>
          <w:p w14:paraId="03757F1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李思嘉15191820101</w:t>
            </w:r>
          </w:p>
        </w:tc>
      </w:tr>
      <w:tr w14:paraId="63DA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auto" w:sz="4" w:space="0"/>
              <w:left w:val="single" w:color="auto" w:sz="4" w:space="0"/>
              <w:bottom w:val="single" w:color="auto" w:sz="4" w:space="0"/>
              <w:right w:val="single" w:color="auto" w:sz="4" w:space="0"/>
            </w:tcBorders>
            <w:noWrap/>
            <w:vAlign w:val="center"/>
          </w:tcPr>
          <w:p w14:paraId="278A169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284" w:type="dxa"/>
            <w:tcBorders>
              <w:top w:val="single" w:color="auto" w:sz="4" w:space="0"/>
              <w:left w:val="single" w:color="auto" w:sz="4" w:space="0"/>
              <w:bottom w:val="single" w:color="auto" w:sz="4" w:space="0"/>
              <w:right w:val="single" w:color="auto" w:sz="4" w:space="0"/>
            </w:tcBorders>
            <w:noWrap/>
            <w:vAlign w:val="center"/>
          </w:tcPr>
          <w:p w14:paraId="2D45075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建设银行</w:t>
            </w:r>
          </w:p>
        </w:tc>
        <w:tc>
          <w:tcPr>
            <w:tcW w:w="1463" w:type="dxa"/>
            <w:tcBorders>
              <w:top w:val="single" w:color="auto" w:sz="4" w:space="0"/>
              <w:left w:val="single" w:color="auto" w:sz="4" w:space="0"/>
              <w:bottom w:val="single" w:color="auto" w:sz="4" w:space="0"/>
              <w:right w:val="single" w:color="auto" w:sz="4" w:space="0"/>
            </w:tcBorders>
            <w:noWrap/>
            <w:vAlign w:val="center"/>
          </w:tcPr>
          <w:p w14:paraId="23C2C94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E政通</w:t>
            </w:r>
          </w:p>
        </w:tc>
        <w:tc>
          <w:tcPr>
            <w:tcW w:w="1187" w:type="dxa"/>
            <w:tcBorders>
              <w:top w:val="single" w:color="auto" w:sz="4" w:space="0"/>
              <w:left w:val="single" w:color="auto" w:sz="4" w:space="0"/>
              <w:bottom w:val="single" w:color="auto" w:sz="4" w:space="0"/>
              <w:right w:val="single" w:color="auto" w:sz="4" w:space="0"/>
            </w:tcBorders>
            <w:noWrap/>
            <w:vAlign w:val="center"/>
          </w:tcPr>
          <w:p w14:paraId="7840632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1000万元</w:t>
            </w:r>
          </w:p>
        </w:tc>
        <w:tc>
          <w:tcPr>
            <w:tcW w:w="850" w:type="dxa"/>
            <w:tcBorders>
              <w:top w:val="single" w:color="auto" w:sz="4" w:space="0"/>
              <w:left w:val="single" w:color="auto" w:sz="4" w:space="0"/>
              <w:bottom w:val="single" w:color="auto" w:sz="4" w:space="0"/>
              <w:right w:val="single" w:color="auto" w:sz="4" w:space="0"/>
            </w:tcBorders>
            <w:noWrap/>
            <w:vAlign w:val="center"/>
          </w:tcPr>
          <w:p w14:paraId="0A692BD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1年</w:t>
            </w:r>
          </w:p>
        </w:tc>
        <w:tc>
          <w:tcPr>
            <w:tcW w:w="1166" w:type="dxa"/>
            <w:tcBorders>
              <w:top w:val="single" w:color="auto" w:sz="4" w:space="0"/>
              <w:left w:val="single" w:color="auto" w:sz="4" w:space="0"/>
              <w:bottom w:val="single" w:color="auto" w:sz="4" w:space="0"/>
              <w:right w:val="single" w:color="auto" w:sz="4" w:space="0"/>
            </w:tcBorders>
            <w:noWrap/>
            <w:vAlign w:val="center"/>
          </w:tcPr>
          <w:p w14:paraId="0D5F2F0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1250" w:type="dxa"/>
            <w:tcBorders>
              <w:top w:val="single" w:color="auto" w:sz="4" w:space="0"/>
              <w:left w:val="single" w:color="auto" w:sz="4" w:space="0"/>
              <w:bottom w:val="single" w:color="auto" w:sz="4" w:space="0"/>
              <w:right w:val="single" w:color="auto" w:sz="4" w:space="0"/>
            </w:tcBorders>
            <w:noWrap/>
            <w:vAlign w:val="center"/>
          </w:tcPr>
          <w:p w14:paraId="3E29449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72小时</w:t>
            </w:r>
          </w:p>
        </w:tc>
        <w:tc>
          <w:tcPr>
            <w:tcW w:w="1717" w:type="dxa"/>
            <w:tcBorders>
              <w:top w:val="single" w:color="auto" w:sz="4" w:space="0"/>
              <w:left w:val="single" w:color="auto" w:sz="4" w:space="0"/>
              <w:bottom w:val="single" w:color="auto" w:sz="4" w:space="0"/>
              <w:right w:val="single" w:color="auto" w:sz="4" w:space="0"/>
            </w:tcBorders>
            <w:noWrap/>
            <w:vAlign w:val="center"/>
          </w:tcPr>
          <w:p w14:paraId="0AEE067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 宇 15929397838</w:t>
            </w:r>
          </w:p>
        </w:tc>
      </w:tr>
      <w:tr w14:paraId="4D6F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50" w:type="dxa"/>
            <w:gridSpan w:val="8"/>
            <w:tcBorders>
              <w:top w:val="single" w:color="auto" w:sz="4" w:space="0"/>
              <w:left w:val="nil"/>
              <w:bottom w:val="nil"/>
              <w:right w:val="nil"/>
            </w:tcBorders>
            <w:noWrap/>
            <w:vAlign w:val="center"/>
          </w:tcPr>
          <w:p w14:paraId="3E3C25C8">
            <w:pPr>
              <w:pStyle w:val="8"/>
              <w:spacing w:line="360" w:lineRule="auto"/>
              <w:jc w:val="center"/>
              <w:outlineLvl w:val="0"/>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auto"/>
                <w:kern w:val="2"/>
                <w:sz w:val="24"/>
                <w:szCs w:val="24"/>
                <w:lang w:val="en-US" w:eastAsia="zh-CN" w:bidi="ar-SA"/>
              </w:rPr>
              <w:t>备注：银行排名不分先后。如产品额度、期限、利率等内容发生改变，以银行解释为准。</w:t>
            </w:r>
          </w:p>
        </w:tc>
      </w:tr>
    </w:tbl>
    <w:p w14:paraId="6E96AC59">
      <w:pPr>
        <w:pageBreakBefore w:val="0"/>
        <w:numPr>
          <w:ilvl w:val="0"/>
          <w:numId w:val="0"/>
        </w:numPr>
        <w:kinsoku/>
        <w:bidi w:val="0"/>
        <w:spacing w:line="360" w:lineRule="auto"/>
        <w:jc w:val="center"/>
        <w:outlineLvl w:val="0"/>
        <w:rPr>
          <w:rFonts w:hint="eastAsia" w:asciiTheme="minorEastAsia" w:hAnsiTheme="minorEastAsia" w:eastAsiaTheme="minorEastAsia" w:cstheme="minorEastAsia"/>
          <w:b/>
          <w:bCs/>
          <w:color w:val="auto"/>
          <w:kern w:val="2"/>
          <w:sz w:val="36"/>
          <w:szCs w:val="36"/>
          <w:lang w:val="en-US" w:eastAsia="zh-CN"/>
        </w:rPr>
      </w:pPr>
    </w:p>
    <w:p w14:paraId="243C0284">
      <w:pPr>
        <w:pageBreakBefore w:val="0"/>
        <w:numPr>
          <w:ilvl w:val="0"/>
          <w:numId w:val="0"/>
        </w:numPr>
        <w:kinsoku/>
        <w:bidi w:val="0"/>
        <w:spacing w:line="360" w:lineRule="auto"/>
        <w:jc w:val="center"/>
        <w:outlineLvl w:val="0"/>
        <w:rPr>
          <w:rFonts w:hint="eastAsia" w:asciiTheme="minorEastAsia" w:hAnsiTheme="minorEastAsia" w:eastAsiaTheme="minorEastAsia" w:cstheme="minorEastAsia"/>
          <w:b/>
          <w:bCs/>
          <w:color w:val="auto"/>
          <w:kern w:val="2"/>
          <w:sz w:val="36"/>
          <w:szCs w:val="36"/>
          <w:lang w:val="en-US" w:eastAsia="zh-CN"/>
        </w:rPr>
        <w:sectPr>
          <w:pgSz w:w="11900" w:h="16838"/>
          <w:pgMar w:top="1429" w:right="1417" w:bottom="1417" w:left="1417" w:header="850" w:footer="850" w:gutter="0"/>
          <w:pgNumType w:fmt="decimal"/>
          <w:cols w:space="720" w:num="1"/>
          <w:docGrid w:linePitch="326" w:charSpace="0"/>
        </w:sectPr>
      </w:pPr>
    </w:p>
    <w:p w14:paraId="4C992C4D">
      <w:pPr>
        <w:pageBreakBefore w:val="0"/>
        <w:numPr>
          <w:ilvl w:val="0"/>
          <w:numId w:val="0"/>
        </w:numPr>
        <w:kinsoku/>
        <w:bidi w:val="0"/>
        <w:spacing w:line="360" w:lineRule="auto"/>
        <w:jc w:val="center"/>
        <w:outlineLvl w:val="0"/>
        <w:rPr>
          <w:rFonts w:hint="eastAsia" w:asciiTheme="minorEastAsia" w:hAnsiTheme="minorEastAsia" w:eastAsiaTheme="minorEastAsia" w:cstheme="minorEastAsia"/>
          <w:color w:val="auto"/>
          <w:sz w:val="48"/>
          <w:szCs w:val="48"/>
        </w:rPr>
      </w:pPr>
      <w:r>
        <w:rPr>
          <w:rFonts w:hint="eastAsia" w:asciiTheme="minorEastAsia" w:hAnsiTheme="minorEastAsia" w:eastAsiaTheme="minorEastAsia" w:cstheme="minorEastAsia"/>
          <w:b/>
          <w:bCs/>
          <w:color w:val="auto"/>
          <w:kern w:val="2"/>
          <w:sz w:val="36"/>
          <w:szCs w:val="36"/>
          <w:lang w:val="en-US" w:eastAsia="zh-CN"/>
        </w:rPr>
        <w:t xml:space="preserve">第四章  </w:t>
      </w:r>
      <w:r>
        <w:rPr>
          <w:rFonts w:hint="eastAsia" w:asciiTheme="minorEastAsia" w:hAnsiTheme="minorEastAsia" w:eastAsiaTheme="minorEastAsia" w:cstheme="minorEastAsia"/>
          <w:b/>
          <w:bCs/>
          <w:color w:val="auto"/>
          <w:kern w:val="2"/>
          <w:sz w:val="36"/>
          <w:szCs w:val="36"/>
        </w:rPr>
        <w:t>采购内容及</w:t>
      </w:r>
      <w:r>
        <w:rPr>
          <w:rFonts w:hint="eastAsia" w:asciiTheme="minorEastAsia" w:hAnsiTheme="minorEastAsia" w:eastAsiaTheme="minorEastAsia" w:cstheme="minorEastAsia"/>
          <w:b/>
          <w:bCs/>
          <w:color w:val="auto"/>
          <w:kern w:val="2"/>
          <w:sz w:val="36"/>
          <w:szCs w:val="36"/>
          <w:lang w:eastAsia="zh-CN"/>
        </w:rPr>
        <w:t>技术</w:t>
      </w:r>
      <w:r>
        <w:rPr>
          <w:rFonts w:hint="eastAsia" w:asciiTheme="minorEastAsia" w:hAnsiTheme="minorEastAsia" w:eastAsiaTheme="minorEastAsia" w:cstheme="minorEastAsia"/>
          <w:b/>
          <w:bCs/>
          <w:color w:val="auto"/>
          <w:kern w:val="2"/>
          <w:sz w:val="36"/>
          <w:szCs w:val="36"/>
        </w:rPr>
        <w:t>要求</w:t>
      </w:r>
      <w:bookmarkEnd w:id="137"/>
    </w:p>
    <w:p w14:paraId="531071A2">
      <w:pPr>
        <w:pageBreakBefore w:val="0"/>
        <w:kinsoku/>
        <w:bidi w:val="0"/>
        <w:spacing w:line="360" w:lineRule="auto"/>
        <w:ind w:firstLine="480" w:firstLineChars="200"/>
        <w:jc w:val="left"/>
        <w:outlineLvl w:val="9"/>
        <w:rPr>
          <w:rFonts w:hint="default" w:ascii="宋体" w:hAnsi="宋体" w:eastAsia="宋体" w:cs="宋体"/>
          <w:sz w:val="24"/>
          <w:szCs w:val="24"/>
          <w:lang w:val="en-US"/>
        </w:rPr>
      </w:pPr>
    </w:p>
    <w:p w14:paraId="0FCFCE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子洲县财政投资评审中心项目评审报告(子财评发(2025)654号)核定陕西省榆林市中部三北工程林草湿荒一体化保护修复项目和陕西省榆林市丘陵沟壑区陕北地区退化生态系统修复与水土流失综合治理项目2025年子洲县项目区监理总审核预算价为:1059364元。由于三北工程建设面积15.59万亩，涉及8个镇，提高项目建设质量与施工进度，根据建设任务、标段划分和路程远近等综合因素，将监理工作划分为4个作业区，由4个监理公司承担，具体建设投资任务及监理费用划定如下:</w:t>
      </w:r>
    </w:p>
    <w:p w14:paraId="589F0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合同包1</w:t>
      </w:r>
      <w:r>
        <w:rPr>
          <w:rFonts w:hint="eastAsia" w:ascii="宋体" w:hAnsi="宋体" w:eastAsia="宋体" w:cs="宋体"/>
          <w:sz w:val="24"/>
          <w:szCs w:val="24"/>
        </w:rPr>
        <w:t>:苗家坪作业区(21个标段)。陕西省榆林市中部三北工程林草湿荒一体化保护修复项目2025年子洲县项目区N1-N7标段，投资816.1143万元;陕西省榆林市丘陵沟壑区陕北地区退化生态系统修复与水土流失综合治理项目2025年子洲县项目区N7-N17标段，投资1596.5072万元;N31-N33标段，投资379.5889万元。项目区财评总投资2792.2104万元，监理费用为298000元。</w:t>
      </w:r>
    </w:p>
    <w:p w14:paraId="6423BD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合同包2</w:t>
      </w:r>
      <w:r>
        <w:rPr>
          <w:rFonts w:hint="eastAsia" w:ascii="宋体" w:hAnsi="宋体" w:eastAsia="宋体" w:cs="宋体"/>
          <w:sz w:val="24"/>
          <w:szCs w:val="24"/>
        </w:rPr>
        <w:t>:马蹄沟作业区(16个标段)。陕西省榆林市中部三北工程林草湿荒一体化保护修复项目2025年子洲县项目区N16-N25标段，投资1453.7309万元;陕西省榆林市丘陵沟壑区陕北地区退化生态系统修复与水土流失综合治理项目2025年子洲县项目区N5-N6标段，投资261.564万元;N21-N24标段，投资565.3807万元。项目区财评总投资2280.6756万元，监理费用为 256000 元。</w:t>
      </w:r>
    </w:p>
    <w:p w14:paraId="73CDF3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合同包3</w:t>
      </w:r>
      <w:r>
        <w:rPr>
          <w:rFonts w:hint="eastAsia" w:ascii="宋体" w:hAnsi="宋体" w:eastAsia="宋体" w:cs="宋体"/>
          <w:sz w:val="24"/>
          <w:szCs w:val="24"/>
        </w:rPr>
        <w:t>:淮宁湾、马岔作业区(16个标段)。陕西省榆林市中部三北工程林草湿荒一体化保护修复项目2025年子洲县项目区N26-N33标段，投资790.3047万元;陕西省榆林市丘陵沟壑区陕北地区退化生态系统修复与水土流失综合治理项目2025年子洲县项目区N1-N2标段，投资187.2696万元(淮宁湾);N3-N4标段，投资402.2576万元(马岔);N20标段，投资191.8878万元(马岔);N25-N27标段，投资352.3523万元(淮宁湾)。项目区财评总投资1924.072万元，监理费用为238364元。</w:t>
      </w:r>
    </w:p>
    <w:p w14:paraId="152B7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合同包4</w:t>
      </w:r>
      <w:r>
        <w:rPr>
          <w:rFonts w:hint="eastAsia" w:ascii="宋体" w:hAnsi="宋体" w:eastAsia="宋体" w:cs="宋体"/>
          <w:sz w:val="24"/>
          <w:szCs w:val="24"/>
        </w:rPr>
        <w:t>:裴家湾、老君殿、何家集、砖庙作业区(20个标段)。陕西省榆林市中部三北工程林草湿荒一体化保护修复项目2025年子洲县项目区N8-N15标段(裴家湾)，投资914.5548万元;N34-N39标段(老君殿)，投资685.7206万元;陕西省榆林市丘陵沟壑区陕北地区退化生态系统修复与水土流失综合治理项目2025年子洲县项目区N18-N29标段,投资233.1808万元(何家集);N28-N30标段(何家集)，投资338.7111万元;N34标段(砖庙)，投资83.351万元。项目区财评总投资2255.5183万元</w:t>
      </w:r>
      <w:r>
        <w:rPr>
          <w:rFonts w:hint="eastAsia" w:ascii="宋体" w:hAnsi="宋体" w:eastAsia="宋体" w:cs="宋体"/>
          <w:sz w:val="24"/>
          <w:szCs w:val="24"/>
          <w:lang w:eastAsia="zh-CN"/>
        </w:rPr>
        <w:t>，</w:t>
      </w:r>
      <w:r>
        <w:rPr>
          <w:rFonts w:hint="eastAsia" w:ascii="宋体" w:hAnsi="宋体" w:eastAsia="宋体" w:cs="宋体"/>
          <w:sz w:val="24"/>
          <w:szCs w:val="24"/>
        </w:rPr>
        <w:t>监理费用为267000元。</w:t>
      </w:r>
    </w:p>
    <w:p w14:paraId="55D34ADE"/>
    <w:p w14:paraId="36CCA656">
      <w:pPr>
        <w:pStyle w:val="34"/>
        <w:numPr>
          <w:ilvl w:val="0"/>
          <w:numId w:val="0"/>
        </w:numPr>
        <w:ind w:leftChars="200"/>
        <w:rPr>
          <w:rFonts w:hint="default"/>
          <w:lang w:val="en-US" w:eastAsia="zh-CN"/>
        </w:rPr>
      </w:pPr>
    </w:p>
    <w:p w14:paraId="6F152F49">
      <w:pPr>
        <w:rPr>
          <w:rFonts w:hint="eastAsia" w:asciiTheme="minorEastAsia" w:hAnsiTheme="minorEastAsia" w:eastAsiaTheme="minorEastAsia" w:cstheme="minorEastAsia"/>
          <w:b/>
          <w:bCs/>
          <w:color w:val="auto"/>
          <w:kern w:val="2"/>
          <w:sz w:val="36"/>
          <w:szCs w:val="36"/>
          <w:lang w:eastAsia="zh-CN"/>
        </w:rPr>
      </w:pPr>
      <w:r>
        <w:rPr>
          <w:rFonts w:hint="eastAsia" w:asciiTheme="minorEastAsia" w:hAnsiTheme="minorEastAsia" w:eastAsiaTheme="minorEastAsia" w:cstheme="minorEastAsia"/>
          <w:b/>
          <w:bCs/>
          <w:color w:val="auto"/>
          <w:kern w:val="2"/>
          <w:sz w:val="36"/>
          <w:szCs w:val="36"/>
          <w:lang w:eastAsia="zh-CN"/>
        </w:rPr>
        <w:br w:type="page"/>
      </w:r>
    </w:p>
    <w:p w14:paraId="58482FDD">
      <w:pPr>
        <w:pageBreakBefore w:val="0"/>
        <w:numPr>
          <w:ilvl w:val="0"/>
          <w:numId w:val="0"/>
        </w:numPr>
        <w:kinsoku/>
        <w:autoSpaceDE w:val="0"/>
        <w:autoSpaceDN w:val="0"/>
        <w:bidi w:val="0"/>
        <w:snapToGrid w:val="0"/>
        <w:spacing w:line="360" w:lineRule="auto"/>
        <w:ind w:leftChars="0" w:firstLine="1446" w:firstLineChars="400"/>
        <w:jc w:val="both"/>
        <w:outlineLvl w:val="0"/>
        <w:rPr>
          <w:rFonts w:hint="eastAsia" w:asciiTheme="minorEastAsia" w:hAnsiTheme="minorEastAsia" w:eastAsiaTheme="minorEastAsia" w:cstheme="minorEastAsia"/>
          <w:lang w:val="zh-CN"/>
        </w:rPr>
      </w:pPr>
      <w:bookmarkStart w:id="138" w:name="_Toc20769"/>
      <w:bookmarkStart w:id="139" w:name="_Toc20973"/>
      <w:r>
        <w:rPr>
          <w:rFonts w:hint="eastAsia" w:asciiTheme="minorEastAsia" w:hAnsiTheme="minorEastAsia" w:eastAsiaTheme="minorEastAsia" w:cstheme="minorEastAsia"/>
          <w:b/>
          <w:bCs/>
          <w:color w:val="auto"/>
          <w:sz w:val="36"/>
          <w:szCs w:val="36"/>
          <w:lang w:val="en-US" w:eastAsia="zh-CN"/>
        </w:rPr>
        <w:t xml:space="preserve">第五章  </w:t>
      </w:r>
      <w:r>
        <w:rPr>
          <w:rFonts w:hint="eastAsia" w:asciiTheme="minorEastAsia" w:hAnsiTheme="minorEastAsia" w:eastAsiaTheme="minorEastAsia" w:cstheme="minorEastAsia"/>
          <w:b/>
          <w:bCs/>
          <w:color w:val="auto"/>
          <w:sz w:val="36"/>
          <w:szCs w:val="36"/>
          <w:lang w:val="zh-CN"/>
        </w:rPr>
        <w:t>商务条款</w:t>
      </w:r>
      <w:bookmarkEnd w:id="138"/>
      <w:bookmarkEnd w:id="139"/>
      <w:r>
        <w:rPr>
          <w:rFonts w:hint="eastAsia" w:asciiTheme="minorEastAsia" w:hAnsiTheme="minorEastAsia" w:eastAsiaTheme="minorEastAsia" w:cstheme="minorEastAsia"/>
          <w:b/>
          <w:bCs/>
          <w:color w:val="auto"/>
          <w:sz w:val="36"/>
          <w:szCs w:val="36"/>
          <w:lang w:val="zh-CN"/>
        </w:rPr>
        <w:t>及合同基本条款</w:t>
      </w:r>
    </w:p>
    <w:p w14:paraId="0B20E68C">
      <w:pPr>
        <w:pageBreakBefore w:val="0"/>
        <w:kinsoku/>
        <w:bidi w:val="0"/>
        <w:spacing w:line="360" w:lineRule="auto"/>
        <w:outlineLvl w:val="9"/>
        <w:rPr>
          <w:rFonts w:hint="eastAsia" w:asciiTheme="minorEastAsia" w:hAnsiTheme="minorEastAsia" w:eastAsiaTheme="minorEastAsia" w:cstheme="minorEastAsia"/>
          <w:color w:val="auto"/>
          <w:sz w:val="24"/>
          <w:szCs w:val="32"/>
          <w:lang w:eastAsia="zh-CN"/>
        </w:rPr>
      </w:pPr>
      <w:r>
        <w:rPr>
          <w:rFonts w:hint="eastAsia" w:asciiTheme="minorEastAsia" w:hAnsiTheme="minorEastAsia" w:eastAsiaTheme="minorEastAsia" w:cstheme="minorEastAsia"/>
          <w:color w:val="auto"/>
          <w:sz w:val="24"/>
          <w:szCs w:val="32"/>
        </w:rPr>
        <w:t>一、</w:t>
      </w:r>
      <w:r>
        <w:rPr>
          <w:rFonts w:hint="eastAsia" w:asciiTheme="minorEastAsia" w:hAnsiTheme="minorEastAsia" w:eastAsiaTheme="minorEastAsia" w:cstheme="minorEastAsia"/>
          <w:color w:val="auto"/>
          <w:sz w:val="24"/>
          <w:szCs w:val="32"/>
          <w:lang w:val="en-US" w:eastAsia="zh-CN"/>
        </w:rPr>
        <w:t>服务</w:t>
      </w:r>
      <w:r>
        <w:rPr>
          <w:rFonts w:hint="eastAsia" w:asciiTheme="minorEastAsia" w:hAnsiTheme="minorEastAsia" w:eastAsiaTheme="minorEastAsia" w:cstheme="minorEastAsia"/>
          <w:color w:val="auto"/>
          <w:sz w:val="24"/>
          <w:szCs w:val="32"/>
          <w:lang w:eastAsia="zh-CN"/>
        </w:rPr>
        <w:t>期</w:t>
      </w:r>
      <w:r>
        <w:rPr>
          <w:rFonts w:hint="eastAsia" w:asciiTheme="minorEastAsia" w:hAnsiTheme="minorEastAsia" w:eastAsiaTheme="minorEastAsia" w:cstheme="minorEastAsia"/>
          <w:color w:val="auto"/>
          <w:sz w:val="24"/>
          <w:szCs w:val="32"/>
        </w:rPr>
        <w:t>及</w:t>
      </w:r>
      <w:r>
        <w:rPr>
          <w:rFonts w:hint="eastAsia" w:asciiTheme="minorEastAsia" w:hAnsiTheme="minorEastAsia" w:eastAsiaTheme="minorEastAsia" w:cstheme="minorEastAsia"/>
          <w:color w:val="auto"/>
          <w:sz w:val="24"/>
          <w:szCs w:val="32"/>
          <w:lang w:eastAsia="zh-CN"/>
        </w:rPr>
        <w:t>服务地点</w:t>
      </w:r>
    </w:p>
    <w:p w14:paraId="68E870DB">
      <w:pPr>
        <w:pageBreakBefore w:val="0"/>
        <w:kinsoku/>
        <w:bidi w:val="0"/>
        <w:spacing w:line="360" w:lineRule="auto"/>
        <w:ind w:firstLine="480" w:firstLineChars="200"/>
        <w:outlineLvl w:val="9"/>
        <w:rPr>
          <w:rFonts w:hint="default"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rPr>
        <w:t>1、</w:t>
      </w:r>
      <w:r>
        <w:rPr>
          <w:rFonts w:hint="eastAsia" w:asciiTheme="minorEastAsia" w:hAnsiTheme="minorEastAsia" w:eastAsiaTheme="minorEastAsia" w:cstheme="minorEastAsia"/>
          <w:b w:val="0"/>
          <w:bCs w:val="0"/>
          <w:color w:val="auto"/>
          <w:sz w:val="24"/>
          <w:szCs w:val="32"/>
          <w:highlight w:val="none"/>
          <w:lang w:val="en-US" w:eastAsia="zh-CN"/>
        </w:rPr>
        <w:t>服务</w:t>
      </w:r>
      <w:r>
        <w:rPr>
          <w:rFonts w:hint="eastAsia" w:asciiTheme="minorEastAsia" w:hAnsiTheme="minorEastAsia" w:eastAsiaTheme="minorEastAsia" w:cstheme="minorEastAsia"/>
          <w:b w:val="0"/>
          <w:bCs w:val="0"/>
          <w:color w:val="auto"/>
          <w:sz w:val="24"/>
          <w:szCs w:val="32"/>
          <w:highlight w:val="none"/>
          <w:lang w:eastAsia="zh-CN"/>
        </w:rPr>
        <w:t>期</w:t>
      </w:r>
      <w:r>
        <w:rPr>
          <w:rFonts w:hint="eastAsia" w:asciiTheme="minorEastAsia" w:hAnsiTheme="minorEastAsia" w:eastAsiaTheme="minorEastAsia" w:cstheme="minorEastAsia"/>
          <w:b w:val="0"/>
          <w:bCs w:val="0"/>
          <w:color w:val="auto"/>
          <w:sz w:val="24"/>
          <w:szCs w:val="32"/>
          <w:highlight w:val="none"/>
        </w:rPr>
        <w:t>：</w:t>
      </w:r>
      <w:r>
        <w:rPr>
          <w:rFonts w:hint="eastAsia" w:asciiTheme="minorEastAsia" w:hAnsiTheme="minorEastAsia" w:eastAsiaTheme="minorEastAsia" w:cstheme="minorEastAsia"/>
          <w:b w:val="0"/>
          <w:bCs w:val="0"/>
          <w:color w:val="auto"/>
          <w:sz w:val="24"/>
          <w:szCs w:val="32"/>
          <w:highlight w:val="none"/>
          <w:lang w:val="en-US" w:eastAsia="zh-CN"/>
        </w:rPr>
        <w:t>3年</w:t>
      </w:r>
      <w:r>
        <w:rPr>
          <w:rFonts w:hint="eastAsia" w:asciiTheme="minorEastAsia" w:hAnsiTheme="minorEastAsia" w:eastAsiaTheme="minorEastAsia" w:cstheme="minorEastAsia"/>
          <w:b w:val="0"/>
          <w:bCs w:val="0"/>
          <w:color w:val="auto"/>
          <w:sz w:val="24"/>
          <w:szCs w:val="32"/>
          <w:highlight w:val="none"/>
        </w:rPr>
        <w:t>；</w:t>
      </w:r>
      <w:r>
        <w:rPr>
          <w:rFonts w:hint="eastAsia" w:asciiTheme="minorEastAsia" w:hAnsiTheme="minorEastAsia" w:eastAsiaTheme="minorEastAsia" w:cstheme="minorEastAsia"/>
          <w:b w:val="0"/>
          <w:bCs w:val="0"/>
          <w:color w:val="auto"/>
          <w:sz w:val="24"/>
          <w:szCs w:val="32"/>
          <w:highlight w:val="none"/>
          <w:lang w:val="en-US" w:eastAsia="zh-CN"/>
        </w:rPr>
        <w:t xml:space="preserve">  </w:t>
      </w:r>
    </w:p>
    <w:p w14:paraId="041DBA55">
      <w:pPr>
        <w:pageBreakBefore w:val="0"/>
        <w:kinsoku/>
        <w:bidi w:val="0"/>
        <w:spacing w:line="360" w:lineRule="auto"/>
        <w:ind w:firstLine="480" w:firstLineChars="200"/>
        <w:outlineLvl w:val="9"/>
        <w:rPr>
          <w:rFonts w:hint="default" w:eastAsiaTheme="minorEastAsia"/>
          <w:color w:val="auto"/>
          <w:lang w:val="en-US" w:eastAsia="zh-CN"/>
        </w:rPr>
      </w:pPr>
      <w:r>
        <w:rPr>
          <w:rFonts w:hint="eastAsia" w:asciiTheme="minorEastAsia" w:hAnsiTheme="minorEastAsia" w:eastAsiaTheme="minorEastAsia" w:cstheme="minorEastAsia"/>
          <w:color w:val="auto"/>
          <w:sz w:val="24"/>
          <w:szCs w:val="32"/>
        </w:rPr>
        <w:t>2、</w:t>
      </w:r>
      <w:r>
        <w:rPr>
          <w:rFonts w:hint="eastAsia" w:asciiTheme="minorEastAsia" w:hAnsiTheme="minorEastAsia" w:eastAsiaTheme="minorEastAsia" w:cstheme="minorEastAsia"/>
          <w:color w:val="auto"/>
          <w:sz w:val="24"/>
          <w:szCs w:val="32"/>
          <w:lang w:eastAsia="zh-CN"/>
        </w:rPr>
        <w:t>服务地点</w:t>
      </w:r>
      <w:r>
        <w:rPr>
          <w:rFonts w:hint="eastAsia" w:asciiTheme="minorEastAsia" w:hAnsiTheme="minorEastAsia" w:eastAsiaTheme="minorEastAsia" w:cstheme="minorEastAsia"/>
          <w:color w:val="auto"/>
          <w:sz w:val="24"/>
          <w:szCs w:val="32"/>
        </w:rPr>
        <w:t>：</w:t>
      </w:r>
      <w:r>
        <w:rPr>
          <w:rFonts w:hint="eastAsia" w:asciiTheme="minorEastAsia" w:hAnsiTheme="minorEastAsia" w:eastAsiaTheme="minorEastAsia" w:cstheme="minorEastAsia"/>
          <w:color w:val="auto"/>
          <w:sz w:val="24"/>
          <w:lang w:val="en-US" w:eastAsia="zh-CN"/>
        </w:rPr>
        <w:t>采购人指定地点</w:t>
      </w:r>
      <w:r>
        <w:rPr>
          <w:rFonts w:hint="eastAsia" w:asciiTheme="minorEastAsia" w:hAnsiTheme="minorEastAsia" w:eastAsiaTheme="minorEastAsia" w:cstheme="minorEastAsia"/>
          <w:color w:val="auto"/>
          <w:sz w:val="24"/>
        </w:rPr>
        <w:t>。</w:t>
      </w:r>
    </w:p>
    <w:p w14:paraId="799DBF52">
      <w:pPr>
        <w:pageBreakBefore w:val="0"/>
        <w:kinsoku/>
        <w:bidi w:val="0"/>
        <w:spacing w:line="360" w:lineRule="auto"/>
        <w:outlineLvl w:val="9"/>
        <w:rPr>
          <w:rFonts w:hint="eastAsia" w:asciiTheme="minorEastAsia" w:hAnsiTheme="minorEastAsia" w:eastAsiaTheme="minorEastAsia" w:cstheme="minorEastAsia"/>
          <w:color w:val="auto"/>
          <w:sz w:val="24"/>
          <w:szCs w:val="32"/>
        </w:rPr>
      </w:pPr>
      <w:bookmarkStart w:id="140" w:name="_Toc167712840"/>
      <w:bookmarkStart w:id="141" w:name="_Toc167714038"/>
      <w:bookmarkStart w:id="142" w:name="_Toc167715235"/>
      <w:r>
        <w:rPr>
          <w:rFonts w:hint="eastAsia" w:asciiTheme="minorEastAsia" w:hAnsiTheme="minorEastAsia" w:eastAsiaTheme="minorEastAsia" w:cstheme="minorEastAsia"/>
          <w:color w:val="auto"/>
          <w:sz w:val="24"/>
          <w:szCs w:val="32"/>
        </w:rPr>
        <w:t>二、合同价款</w:t>
      </w:r>
    </w:p>
    <w:p w14:paraId="7B0E1610">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投标</w:t>
      </w:r>
      <w:r>
        <w:rPr>
          <w:rFonts w:hint="eastAsia" w:asciiTheme="minorEastAsia" w:hAnsiTheme="minorEastAsia" w:eastAsiaTheme="minorEastAsia" w:cstheme="minorEastAsia"/>
          <w:color w:val="auto"/>
          <w:sz w:val="24"/>
        </w:rPr>
        <w:t>报价包含完成本次采购所要求的服务且验收合格的所有费用。</w:t>
      </w:r>
    </w:p>
    <w:p w14:paraId="4BF908C5">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2、合同总价一次包死，不受市场价变化的影响。</w:t>
      </w:r>
    </w:p>
    <w:bookmarkEnd w:id="140"/>
    <w:bookmarkEnd w:id="141"/>
    <w:bookmarkEnd w:id="142"/>
    <w:p w14:paraId="50BFEAB5">
      <w:pPr>
        <w:pageBreakBefore w:val="0"/>
        <w:kinsoku/>
        <w:bidi w:val="0"/>
        <w:spacing w:line="360" w:lineRule="auto"/>
        <w:outlineLvl w:val="9"/>
        <w:rPr>
          <w:rFonts w:hint="eastAsia" w:asciiTheme="minorEastAsia" w:hAnsiTheme="minorEastAsia" w:eastAsiaTheme="minorEastAsia" w:cstheme="minorEastAsia"/>
          <w:color w:val="auto"/>
          <w:sz w:val="24"/>
          <w:szCs w:val="32"/>
          <w:highlight w:val="none"/>
        </w:rPr>
      </w:pPr>
      <w:bookmarkStart w:id="143" w:name="_Toc167712846"/>
      <w:bookmarkStart w:id="144" w:name="_Toc167715241"/>
      <w:bookmarkStart w:id="145" w:name="_Toc167714044"/>
      <w:r>
        <w:rPr>
          <w:rFonts w:hint="eastAsia" w:asciiTheme="minorEastAsia" w:hAnsiTheme="minorEastAsia" w:eastAsiaTheme="minorEastAsia" w:cstheme="minorEastAsia"/>
          <w:color w:val="auto"/>
          <w:sz w:val="24"/>
          <w:szCs w:val="32"/>
          <w:highlight w:val="none"/>
        </w:rPr>
        <w:t>三、款项结算</w:t>
      </w:r>
    </w:p>
    <w:p w14:paraId="39A921BC">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1、付款方式：</w:t>
      </w:r>
      <w:r>
        <w:rPr>
          <w:rFonts w:hint="eastAsia" w:asciiTheme="minorEastAsia" w:hAnsiTheme="minorEastAsia" w:eastAsiaTheme="minorEastAsia" w:cstheme="minorEastAsia"/>
          <w:color w:val="auto"/>
          <w:kern w:val="2"/>
          <w:sz w:val="24"/>
          <w:szCs w:val="24"/>
          <w:lang w:val="en-US" w:eastAsia="zh-CN" w:bidi="ar-SA"/>
        </w:rPr>
        <w:t>合同签订后支付合同价款的50%，第二年支付合同价款的20%，服务完成、验收合格后支付剩余合同价款的30%。</w:t>
      </w:r>
    </w:p>
    <w:p w14:paraId="2F5E9669">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2"/>
        </w:rPr>
        <w:t>2、结算方式：按照国库集中支付有关规定执</w:t>
      </w:r>
      <w:r>
        <w:rPr>
          <w:rFonts w:hint="eastAsia" w:asciiTheme="minorEastAsia" w:hAnsiTheme="minorEastAsia" w:eastAsiaTheme="minorEastAsia" w:cstheme="minorEastAsia"/>
          <w:color w:val="auto"/>
          <w:sz w:val="24"/>
        </w:rPr>
        <w:t>行，发票开采购人。</w:t>
      </w:r>
    </w:p>
    <w:p w14:paraId="0FB26DCA">
      <w:pPr>
        <w:pageBreakBefore w:val="0"/>
        <w:kinsoku/>
        <w:bidi w:val="0"/>
        <w:spacing w:line="360" w:lineRule="auto"/>
        <w:outlineLvl w:val="9"/>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四、验收</w:t>
      </w:r>
    </w:p>
    <w:bookmarkEnd w:id="143"/>
    <w:bookmarkEnd w:id="144"/>
    <w:bookmarkEnd w:id="145"/>
    <w:p w14:paraId="1D93DBB2">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lang w:val="en-US" w:eastAsia="zh-CN"/>
        </w:rPr>
      </w:pPr>
      <w:bookmarkStart w:id="146" w:name="_Toc167712849"/>
      <w:bookmarkStart w:id="147" w:name="_Toc167715244"/>
      <w:bookmarkStart w:id="148" w:name="_Toc167714047"/>
      <w:r>
        <w:rPr>
          <w:rFonts w:hint="eastAsia" w:asciiTheme="minorEastAsia" w:hAnsiTheme="minorEastAsia" w:eastAsiaTheme="minorEastAsia" w:cstheme="minorEastAsia"/>
          <w:color w:val="auto"/>
          <w:sz w:val="24"/>
          <w:lang w:val="en-US" w:eastAsia="zh-CN"/>
        </w:rPr>
        <w:t xml:space="preserve">按照采购合同的约定和现行国家标准、行业标准以及企业标准对每一项技术、服务、安全标准的履约情况进行确认。项目由代理公司和采购方组织，邀请省库专家和监督单位与采购方共同验收，验收合格后由监督方出具验收证明。验收所产生的费用由中标人承担。                             </w:t>
      </w:r>
    </w:p>
    <w:p w14:paraId="7DE17BBD">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验收依据：</w:t>
      </w:r>
    </w:p>
    <w:p w14:paraId="4310730E">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招标</w:t>
      </w:r>
      <w:r>
        <w:rPr>
          <w:rFonts w:hint="eastAsia" w:asciiTheme="minorEastAsia" w:hAnsiTheme="minorEastAsia" w:eastAsiaTheme="minorEastAsia" w:cstheme="minorEastAsia"/>
          <w:color w:val="auto"/>
          <w:sz w:val="24"/>
        </w:rPr>
        <w:t>文件、</w:t>
      </w:r>
      <w:r>
        <w:rPr>
          <w:rFonts w:hint="eastAsia" w:asciiTheme="minorEastAsia" w:hAnsiTheme="minorEastAsia" w:eastAsiaTheme="minorEastAsia" w:cstheme="minorEastAsia"/>
          <w:color w:val="auto"/>
          <w:sz w:val="24"/>
          <w:lang w:val="en-US" w:eastAsia="zh-CN"/>
        </w:rPr>
        <w:t>投标</w:t>
      </w:r>
      <w:r>
        <w:rPr>
          <w:rFonts w:hint="eastAsia" w:asciiTheme="minorEastAsia" w:hAnsiTheme="minorEastAsia" w:eastAsiaTheme="minorEastAsia" w:cstheme="minorEastAsia"/>
          <w:color w:val="auto"/>
          <w:sz w:val="24"/>
        </w:rPr>
        <w:t>文件、经济合同；</w:t>
      </w:r>
    </w:p>
    <w:p w14:paraId="27AE903B">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2、国内相应的国家标准、行业标准及规范。</w:t>
      </w:r>
    </w:p>
    <w:bookmarkEnd w:id="146"/>
    <w:bookmarkEnd w:id="147"/>
    <w:bookmarkEnd w:id="148"/>
    <w:p w14:paraId="585E14AD">
      <w:pPr>
        <w:pageBreakBefore w:val="0"/>
        <w:kinsoku/>
        <w:bidi w:val="0"/>
        <w:spacing w:line="360" w:lineRule="auto"/>
        <w:outlineLvl w:val="9"/>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lang w:val="en-US" w:eastAsia="zh-CN"/>
        </w:rPr>
        <w:t>五</w:t>
      </w:r>
      <w:r>
        <w:rPr>
          <w:rFonts w:hint="eastAsia" w:asciiTheme="minorEastAsia" w:hAnsiTheme="minorEastAsia" w:eastAsiaTheme="minorEastAsia" w:cstheme="minorEastAsia"/>
          <w:color w:val="auto"/>
          <w:sz w:val="24"/>
          <w:szCs w:val="32"/>
        </w:rPr>
        <w:t>、违约责任：</w:t>
      </w:r>
    </w:p>
    <w:p w14:paraId="0E8B2AB5">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1、按《中华人民共和国民法典》中的相关条款执行。</w:t>
      </w:r>
    </w:p>
    <w:p w14:paraId="3FEB9A02">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szCs w:val="32"/>
        </w:rPr>
        <w:sectPr>
          <w:pgSz w:w="11900" w:h="16838"/>
          <w:pgMar w:top="1429" w:right="1417" w:bottom="1417" w:left="1417" w:header="850" w:footer="850" w:gutter="0"/>
          <w:pgNumType w:fmt="decimal"/>
          <w:cols w:space="720" w:num="1"/>
          <w:docGrid w:linePitch="326" w:charSpace="0"/>
        </w:sectPr>
      </w:pPr>
      <w:r>
        <w:rPr>
          <w:rFonts w:hint="eastAsia" w:asciiTheme="minorEastAsia" w:hAnsiTheme="minorEastAsia" w:eastAsiaTheme="minorEastAsia" w:cstheme="minorEastAsia"/>
          <w:color w:val="auto"/>
          <w:sz w:val="24"/>
          <w:szCs w:val="32"/>
        </w:rPr>
        <w:t>2、未按合同要求提供产品质量不能满足技术要求，招标人有权终止合同，并对供方违约行为进行追究，同时按《政府采购法》的有关规定进行处罚。</w:t>
      </w:r>
    </w:p>
    <w:p w14:paraId="19131CFD">
      <w:pPr>
        <w:spacing w:before="120" w:line="360" w:lineRule="auto"/>
        <w:jc w:val="center"/>
        <w:outlineLvl w:val="9"/>
        <w:rPr>
          <w:rFonts w:hint="eastAsia" w:ascii="宋体" w:hAnsi="宋体" w:eastAsia="宋体" w:cs="宋体"/>
          <w:b/>
          <w:bCs/>
          <w:sz w:val="36"/>
          <w:szCs w:val="36"/>
        </w:rPr>
      </w:pPr>
      <w:bookmarkStart w:id="149" w:name="_Toc14616"/>
    </w:p>
    <w:p w14:paraId="2A7C8F19">
      <w:pPr>
        <w:spacing w:before="120" w:line="360" w:lineRule="auto"/>
        <w:jc w:val="center"/>
        <w:outlineLvl w:val="9"/>
        <w:rPr>
          <w:rFonts w:hint="eastAsia" w:ascii="宋体" w:hAnsi="宋体" w:eastAsia="宋体" w:cs="宋体"/>
          <w:b/>
          <w:bCs/>
          <w:sz w:val="36"/>
          <w:szCs w:val="36"/>
        </w:rPr>
      </w:pPr>
    </w:p>
    <w:p w14:paraId="6E9FD44F">
      <w:pPr>
        <w:spacing w:before="120" w:line="360" w:lineRule="auto"/>
        <w:jc w:val="center"/>
        <w:outlineLvl w:val="9"/>
        <w:rPr>
          <w:rFonts w:hint="eastAsia" w:ascii="宋体" w:hAnsi="宋体" w:eastAsia="宋体" w:cs="宋体"/>
          <w:b/>
          <w:bCs/>
          <w:sz w:val="36"/>
          <w:szCs w:val="36"/>
        </w:rPr>
      </w:pPr>
      <w:r>
        <w:rPr>
          <w:rFonts w:hint="eastAsia" w:ascii="宋体" w:hAnsi="宋体" w:eastAsia="宋体" w:cs="宋体"/>
          <w:b/>
          <w:bCs/>
          <w:sz w:val="36"/>
          <w:szCs w:val="36"/>
        </w:rPr>
        <w:t>政 府 采 购 合 同</w:t>
      </w:r>
    </w:p>
    <w:p w14:paraId="31AAB09D">
      <w:pPr>
        <w:spacing w:before="120" w:line="360" w:lineRule="auto"/>
        <w:ind w:firstLine="3064" w:firstLineChars="1090"/>
        <w:outlineLvl w:val="9"/>
        <w:rPr>
          <w:rFonts w:hint="eastAsia" w:ascii="宋体" w:hAnsi="宋体" w:eastAsia="宋体" w:cs="宋体"/>
          <w:b/>
          <w:bCs/>
          <w:sz w:val="28"/>
          <w:szCs w:val="28"/>
        </w:rPr>
      </w:pPr>
      <w:bookmarkStart w:id="150" w:name="_Toc109543216"/>
      <w:bookmarkStart w:id="151" w:name="_Toc109542396"/>
    </w:p>
    <w:p w14:paraId="2169B5B4">
      <w:pPr>
        <w:spacing w:before="120" w:line="360" w:lineRule="auto"/>
        <w:jc w:val="center"/>
        <w:outlineLvl w:val="9"/>
        <w:rPr>
          <w:rFonts w:hint="eastAsia" w:ascii="宋体" w:hAnsi="宋体" w:eastAsia="宋体" w:cs="宋体"/>
          <w:sz w:val="28"/>
          <w:szCs w:val="28"/>
          <w:u w:val="single"/>
          <w:lang w:val="en-US" w:eastAsia="zh-CN"/>
        </w:rPr>
      </w:pPr>
      <w:r>
        <w:rPr>
          <w:rFonts w:hint="eastAsia" w:ascii="宋体" w:hAnsi="宋体" w:eastAsia="宋体" w:cs="宋体"/>
          <w:b/>
          <w:bCs/>
          <w:sz w:val="28"/>
          <w:szCs w:val="28"/>
        </w:rPr>
        <w:t>合同编号：</w:t>
      </w:r>
      <w:bookmarkEnd w:id="150"/>
      <w:bookmarkEnd w:id="151"/>
      <w:r>
        <w:rPr>
          <w:rFonts w:hint="eastAsia" w:ascii="宋体" w:hAnsi="宋体" w:eastAsia="宋体" w:cs="宋体"/>
          <w:b/>
          <w:bCs/>
          <w:sz w:val="28"/>
          <w:szCs w:val="28"/>
          <w:u w:val="single"/>
          <w:lang w:val="en-US" w:eastAsia="zh-CN"/>
        </w:rPr>
        <w:t xml:space="preserve">        </w:t>
      </w:r>
    </w:p>
    <w:p w14:paraId="599C17DD">
      <w:pPr>
        <w:spacing w:before="120" w:line="360" w:lineRule="auto"/>
        <w:outlineLvl w:val="9"/>
        <w:rPr>
          <w:rFonts w:hint="eastAsia" w:ascii="宋体" w:hAnsi="宋体" w:eastAsia="宋体" w:cs="宋体"/>
          <w:sz w:val="28"/>
          <w:szCs w:val="28"/>
        </w:rPr>
      </w:pPr>
    </w:p>
    <w:p w14:paraId="70963966">
      <w:pPr>
        <w:spacing w:before="120" w:line="360" w:lineRule="auto"/>
        <w:outlineLvl w:val="9"/>
        <w:rPr>
          <w:rFonts w:hint="eastAsia" w:ascii="宋体" w:hAnsi="宋体" w:eastAsia="宋体" w:cs="宋体"/>
          <w:sz w:val="28"/>
          <w:szCs w:val="28"/>
        </w:rPr>
      </w:pPr>
    </w:p>
    <w:p w14:paraId="515C3EAB">
      <w:pPr>
        <w:spacing w:before="120" w:line="360" w:lineRule="auto"/>
        <w:outlineLvl w:val="9"/>
        <w:rPr>
          <w:rFonts w:hint="eastAsia" w:ascii="宋体" w:hAnsi="宋体" w:eastAsia="宋体" w:cs="宋体"/>
          <w:b/>
          <w:bCs/>
          <w:sz w:val="28"/>
          <w:szCs w:val="28"/>
        </w:rPr>
      </w:pPr>
    </w:p>
    <w:p w14:paraId="7FF6BFD6">
      <w:pPr>
        <w:spacing w:before="120" w:line="360" w:lineRule="auto"/>
        <w:ind w:left="960"/>
        <w:outlineLvl w:val="9"/>
        <w:rPr>
          <w:rFonts w:hint="eastAsia" w:ascii="宋体" w:hAnsi="宋体" w:eastAsia="宋体" w:cs="宋体"/>
          <w:b/>
          <w:bCs/>
          <w:sz w:val="28"/>
          <w:szCs w:val="28"/>
          <w:u w:val="none"/>
        </w:rPr>
      </w:pPr>
      <w:r>
        <w:rPr>
          <w:rFonts w:hint="eastAsia" w:ascii="宋体" w:hAnsi="宋体" w:eastAsia="宋体" w:cs="宋体"/>
          <w:b/>
          <w:bCs/>
          <w:sz w:val="28"/>
          <w:szCs w:val="28"/>
        </w:rPr>
        <w:t>项目名称：</w:t>
      </w:r>
      <w:r>
        <w:rPr>
          <w:rFonts w:hint="eastAsia" w:ascii="宋体" w:hAnsi="宋体" w:eastAsia="宋体" w:cs="宋体"/>
          <w:b/>
          <w:bCs/>
          <w:color w:val="000000"/>
          <w:sz w:val="28"/>
          <w:szCs w:val="28"/>
          <w:u w:val="single"/>
        </w:rPr>
        <w:t xml:space="preserve">                            </w:t>
      </w:r>
      <w:r>
        <w:rPr>
          <w:rFonts w:hint="eastAsia" w:ascii="宋体" w:hAnsi="宋体" w:eastAsia="宋体" w:cs="宋体"/>
          <w:b/>
          <w:bCs/>
          <w:sz w:val="28"/>
          <w:szCs w:val="28"/>
          <w:u w:val="none"/>
        </w:rPr>
        <w:t xml:space="preserve">     </w:t>
      </w:r>
    </w:p>
    <w:p w14:paraId="7A7880CC">
      <w:pPr>
        <w:spacing w:before="120" w:line="360" w:lineRule="auto"/>
        <w:ind w:left="960"/>
        <w:outlineLvl w:val="9"/>
        <w:rPr>
          <w:rFonts w:hint="eastAsia" w:ascii="宋体" w:hAnsi="宋体" w:eastAsia="宋体" w:cs="宋体"/>
          <w:b/>
          <w:bCs/>
          <w:sz w:val="28"/>
          <w:szCs w:val="28"/>
        </w:rPr>
      </w:pPr>
      <w:r>
        <w:rPr>
          <w:rFonts w:hint="eastAsia" w:ascii="宋体" w:hAnsi="宋体" w:eastAsia="宋体" w:cs="宋体"/>
          <w:b/>
          <w:bCs/>
          <w:sz w:val="28"/>
          <w:szCs w:val="28"/>
          <w:lang w:eastAsia="zh-CN"/>
        </w:rPr>
        <w:t>招</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标</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人：</w:t>
      </w:r>
      <w:r>
        <w:rPr>
          <w:rFonts w:hint="eastAsia" w:ascii="宋体" w:hAnsi="宋体" w:eastAsia="宋体" w:cs="宋体"/>
          <w:b/>
          <w:bCs/>
          <w:sz w:val="28"/>
          <w:szCs w:val="28"/>
          <w:u w:val="single"/>
        </w:rPr>
        <w:t xml:space="preserve">                            </w:t>
      </w:r>
    </w:p>
    <w:p w14:paraId="62F705F9">
      <w:pPr>
        <w:spacing w:before="120" w:line="360" w:lineRule="auto"/>
        <w:ind w:left="960"/>
        <w:outlineLvl w:val="9"/>
        <w:rPr>
          <w:rFonts w:hint="eastAsia" w:ascii="宋体" w:hAnsi="宋体" w:eastAsia="宋体" w:cs="宋体"/>
          <w:b/>
          <w:bCs/>
          <w:sz w:val="28"/>
          <w:szCs w:val="28"/>
          <w:u w:val="single"/>
        </w:rPr>
      </w:pPr>
      <w:r>
        <w:rPr>
          <w:rFonts w:hint="eastAsia" w:ascii="宋体" w:hAnsi="宋体" w:eastAsia="宋体" w:cs="宋体"/>
          <w:b/>
          <w:bCs/>
          <w:sz w:val="28"/>
          <w:szCs w:val="28"/>
          <w:lang w:eastAsia="zh-CN"/>
        </w:rPr>
        <w:t>投</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标</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人</w:t>
      </w:r>
      <w:r>
        <w:rPr>
          <w:rFonts w:hint="eastAsia" w:ascii="宋体" w:hAnsi="宋体" w:eastAsia="宋体" w:cs="宋体"/>
          <w:b/>
          <w:bCs/>
          <w:sz w:val="28"/>
          <w:szCs w:val="28"/>
        </w:rPr>
        <w:t>：</w:t>
      </w:r>
      <w:r>
        <w:rPr>
          <w:rFonts w:hint="eastAsia" w:ascii="宋体" w:hAnsi="宋体" w:eastAsia="宋体" w:cs="宋体"/>
          <w:b/>
          <w:bCs/>
          <w:sz w:val="28"/>
          <w:szCs w:val="28"/>
          <w:u w:val="single"/>
        </w:rPr>
        <w:t xml:space="preserve">                            </w:t>
      </w:r>
    </w:p>
    <w:p w14:paraId="2CFECEBE">
      <w:pPr>
        <w:spacing w:line="360" w:lineRule="auto"/>
        <w:ind w:firstLine="981" w:firstLineChars="349"/>
        <w:outlineLvl w:val="9"/>
        <w:rPr>
          <w:rFonts w:hint="eastAsia" w:ascii="宋体" w:hAnsi="宋体" w:eastAsia="宋体" w:cs="宋体"/>
          <w:b/>
          <w:bCs/>
          <w:sz w:val="24"/>
          <w:szCs w:val="24"/>
          <w:u w:val="single"/>
          <w:lang w:val="en-US" w:eastAsia="zh-CN"/>
        </w:rPr>
      </w:pPr>
      <w:r>
        <w:rPr>
          <w:rFonts w:hint="eastAsia" w:ascii="宋体" w:hAnsi="宋体" w:eastAsia="宋体" w:cs="宋体"/>
          <w:b/>
          <w:bCs/>
          <w:sz w:val="28"/>
          <w:szCs w:val="28"/>
        </w:rPr>
        <w:t>签署日期：</w:t>
      </w:r>
      <w:r>
        <w:rPr>
          <w:rFonts w:hint="eastAsia" w:ascii="宋体" w:hAnsi="宋体" w:eastAsia="宋体" w:cs="宋体"/>
          <w:b/>
          <w:bCs/>
          <w:sz w:val="28"/>
          <w:szCs w:val="28"/>
          <w:u w:val="single"/>
          <w:lang w:val="en-US" w:eastAsia="zh-CN"/>
        </w:rPr>
        <w:t xml:space="preserve">                           </w:t>
      </w:r>
    </w:p>
    <w:p w14:paraId="28D51F8A">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sz w:val="28"/>
          <w:szCs w:val="28"/>
        </w:rPr>
      </w:pPr>
      <w:bookmarkStart w:id="152" w:name="_Toc233435953"/>
      <w:bookmarkStart w:id="153" w:name="_Toc356927946"/>
      <w:r>
        <w:rPr>
          <w:rFonts w:hint="eastAsia" w:ascii="宋体" w:hAnsi="宋体" w:eastAsia="宋体" w:cs="宋体"/>
          <w:sz w:val="28"/>
          <w:szCs w:val="28"/>
        </w:rPr>
        <w:br w:type="page"/>
      </w:r>
      <w:bookmarkEnd w:id="152"/>
      <w:bookmarkEnd w:id="153"/>
    </w:p>
    <w:p w14:paraId="378459BB">
      <w:pPr>
        <w:pageBreakBefore w:val="0"/>
        <w:kinsoku/>
        <w:wordWrap/>
        <w:overflowPunct/>
        <w:autoSpaceDE/>
        <w:autoSpaceDN/>
        <w:bidi w:val="0"/>
        <w:spacing w:line="360" w:lineRule="auto"/>
        <w:jc w:val="center"/>
        <w:textAlignment w:val="auto"/>
        <w:outlineLvl w:val="9"/>
        <w:rPr>
          <w:rFonts w:hint="eastAsia" w:ascii="宋体" w:hAnsi="宋体" w:eastAsia="宋体" w:cs="宋体"/>
          <w:sz w:val="24"/>
        </w:rPr>
      </w:pPr>
      <w:bookmarkStart w:id="154" w:name="_Toc2465"/>
      <w:r>
        <w:rPr>
          <w:rFonts w:hint="eastAsia" w:ascii="宋体" w:hAnsi="宋体" w:eastAsia="宋体" w:cs="宋体"/>
          <w:sz w:val="36"/>
          <w:szCs w:val="28"/>
        </w:rPr>
        <w:t>第一章    建设工程委托监理合同</w:t>
      </w:r>
      <w:bookmarkEnd w:id="154"/>
    </w:p>
    <w:p w14:paraId="6AE3DFA9">
      <w:pPr>
        <w:pageBreakBefore w:val="0"/>
        <w:kinsoku/>
        <w:wordWrap/>
        <w:overflowPunct/>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委托人</w:t>
      </w:r>
      <w:r>
        <w:rPr>
          <w:rFonts w:hint="eastAsia" w:ascii="宋体" w:hAnsi="宋体" w:eastAsia="宋体" w:cs="宋体"/>
          <w:b/>
          <w:sz w:val="24"/>
        </w:rPr>
        <w:t xml:space="preserve"> </w:t>
      </w:r>
      <w:r>
        <w:rPr>
          <w:rFonts w:hint="eastAsia" w:ascii="宋体" w:hAnsi="宋体" w:eastAsia="宋体" w:cs="宋体"/>
          <w:b/>
          <w:sz w:val="24"/>
          <w:u w:val="single"/>
        </w:rPr>
        <w:t xml:space="preserve">                             </w:t>
      </w:r>
      <w:r>
        <w:rPr>
          <w:rFonts w:hint="eastAsia" w:ascii="宋体" w:hAnsi="宋体" w:eastAsia="宋体" w:cs="宋体"/>
          <w:sz w:val="24"/>
        </w:rPr>
        <w:t>与监理人</w:t>
      </w:r>
      <w:r>
        <w:rPr>
          <w:rFonts w:hint="eastAsia" w:ascii="宋体" w:hAnsi="宋体" w:eastAsia="宋体" w:cs="宋体"/>
          <w:sz w:val="24"/>
          <w:u w:val="single"/>
        </w:rPr>
        <w:t xml:space="preserve">                   </w:t>
      </w:r>
      <w:r>
        <w:rPr>
          <w:rFonts w:hint="eastAsia" w:ascii="宋体" w:hAnsi="宋体" w:eastAsia="宋体" w:cs="宋体"/>
          <w:sz w:val="24"/>
        </w:rPr>
        <w:t>经双方协商一致，签订本合同。</w:t>
      </w:r>
    </w:p>
    <w:p w14:paraId="393BB490">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 xml:space="preserve"> 一、委托人委托监理人监理的工程(以下简称“本工程”)概况如下：      </w:t>
      </w:r>
    </w:p>
    <w:p w14:paraId="6C82B99A">
      <w:pPr>
        <w:pageBreakBefore w:val="0"/>
        <w:widowControl/>
        <w:kinsoku/>
        <w:wordWrap/>
        <w:overflowPunct/>
        <w:autoSpaceDE/>
        <w:autoSpaceDN/>
        <w:bidi w:val="0"/>
        <w:spacing w:line="360" w:lineRule="auto"/>
        <w:textAlignment w:val="auto"/>
        <w:outlineLvl w:val="9"/>
        <w:rPr>
          <w:rFonts w:hint="eastAsia" w:ascii="宋体" w:hAnsi="宋体" w:eastAsia="宋体" w:cs="宋体"/>
          <w:sz w:val="24"/>
          <w:u w:val="single"/>
        </w:rPr>
      </w:pPr>
      <w:r>
        <w:rPr>
          <w:rFonts w:hint="eastAsia" w:ascii="宋体" w:hAnsi="宋体" w:eastAsia="宋体" w:cs="宋体"/>
          <w:sz w:val="24"/>
        </w:rPr>
        <w:t>工程名称：</w:t>
      </w:r>
    </w:p>
    <w:p w14:paraId="7ECF87D3">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工程地点：</w:t>
      </w:r>
    </w:p>
    <w:p w14:paraId="428FD98F">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工程规模：</w:t>
      </w:r>
    </w:p>
    <w:p w14:paraId="3EB2C11D">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二、本合同中的有关词语含义与本合同第二部分《标准条件》中赋予它们的定义相同。</w:t>
      </w:r>
    </w:p>
    <w:p w14:paraId="10AF2CCC">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三、下列文件均为本合同的组成部分：</w:t>
      </w:r>
    </w:p>
    <w:p w14:paraId="530B21FF">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①监理投标书和中标通知书；②本合同标准条件；③本合同专用条件；</w:t>
      </w:r>
    </w:p>
    <w:p w14:paraId="47A5B112">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④在实施过程中双方共同签署的补充与修正文件。</w:t>
      </w:r>
    </w:p>
    <w:p w14:paraId="77989CC0">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四、监理人向委托人承诺，按照本合同的规定，承担本合同专用条件中议定范围内的监理业务。</w:t>
      </w:r>
    </w:p>
    <w:p w14:paraId="5D4E8C45">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五、委托人向监理人承诺按照本合同注明的期限、方式、币种，向监理人支付报酬。　　　　　　　　　　　　　</w:t>
      </w:r>
    </w:p>
    <w:p w14:paraId="067DADEA">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本合同一式捌份，具有同等法律效力，双方各执肆份。</w:t>
      </w:r>
    </w:p>
    <w:p w14:paraId="19ECC6B0">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六、合同生效</w:t>
      </w:r>
    </w:p>
    <w:p w14:paraId="549D06A2">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 xml:space="preserve">   合同订立时间：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92EE732">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 xml:space="preserve">   合同订立地点：</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135D7B68">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 xml:space="preserve">  本合同双方约定</w:t>
      </w:r>
      <w:r>
        <w:rPr>
          <w:rFonts w:hint="eastAsia" w:ascii="宋体" w:hAnsi="宋体" w:eastAsia="宋体" w:cs="宋体"/>
          <w:sz w:val="24"/>
          <w:u w:val="single"/>
        </w:rPr>
        <w:t xml:space="preserve">                                    </w:t>
      </w:r>
      <w:r>
        <w:rPr>
          <w:rFonts w:hint="eastAsia" w:ascii="宋体" w:hAnsi="宋体" w:eastAsia="宋体" w:cs="宋体"/>
          <w:sz w:val="24"/>
        </w:rPr>
        <w:t>后生效。</w:t>
      </w:r>
    </w:p>
    <w:p w14:paraId="30DC9563">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委托人：(签章)                    监理人:(签章)</w:t>
      </w:r>
    </w:p>
    <w:p w14:paraId="223A0E7D">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住所：                  　　　　　住所： </w:t>
      </w:r>
    </w:p>
    <w:p w14:paraId="5CA30408">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法定代表人：（签章）          　　 法定代表人：（签章）   </w:t>
      </w:r>
    </w:p>
    <w:p w14:paraId="33FA337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开户银行                          开户银行</w:t>
      </w:r>
    </w:p>
    <w:p w14:paraId="54FDD1AE">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账号：                            账号：</w:t>
      </w:r>
    </w:p>
    <w:p w14:paraId="75053491">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邮编：                            邮编：</w:t>
      </w:r>
    </w:p>
    <w:p w14:paraId="118755FE">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电话：                            电话：</w:t>
      </w:r>
    </w:p>
    <w:p w14:paraId="417F9FF6">
      <w:pPr>
        <w:pageBreakBefore w:val="0"/>
        <w:kinsoku/>
        <w:wordWrap/>
        <w:overflowPunct/>
        <w:autoSpaceDE/>
        <w:autoSpaceDN/>
        <w:bidi w:val="0"/>
        <w:adjustRightInd w:val="0"/>
        <w:snapToGrid w:val="0"/>
        <w:spacing w:line="360" w:lineRule="auto"/>
        <w:ind w:firstLine="1968" w:firstLineChars="700"/>
        <w:textAlignment w:val="auto"/>
        <w:outlineLvl w:val="9"/>
        <w:rPr>
          <w:rFonts w:hint="eastAsia" w:ascii="宋体" w:hAnsi="宋体" w:eastAsia="宋体" w:cs="宋体"/>
          <w:b/>
          <w:sz w:val="28"/>
          <w:szCs w:val="28"/>
        </w:rPr>
      </w:pPr>
    </w:p>
    <w:p w14:paraId="3D16A3DC">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b/>
          <w:sz w:val="28"/>
          <w:szCs w:val="28"/>
        </w:rPr>
      </w:pPr>
    </w:p>
    <w:p w14:paraId="09C53621">
      <w:pPr>
        <w:pageBreakBefore w:val="0"/>
        <w:kinsoku/>
        <w:wordWrap/>
        <w:overflowPunct/>
        <w:autoSpaceDE/>
        <w:autoSpaceDN/>
        <w:bidi w:val="0"/>
        <w:spacing w:line="360" w:lineRule="auto"/>
        <w:jc w:val="center"/>
        <w:textAlignment w:val="auto"/>
        <w:outlineLvl w:val="9"/>
        <w:rPr>
          <w:rFonts w:hint="eastAsia" w:ascii="宋体" w:hAnsi="宋体" w:eastAsia="宋体" w:cs="宋体"/>
          <w:sz w:val="24"/>
        </w:rPr>
      </w:pPr>
      <w:bookmarkStart w:id="155" w:name="_Toc320275645"/>
      <w:bookmarkStart w:id="156" w:name="_Toc25284"/>
      <w:r>
        <w:rPr>
          <w:rFonts w:hint="eastAsia" w:ascii="宋体" w:hAnsi="宋体" w:eastAsia="宋体" w:cs="宋体"/>
          <w:sz w:val="40"/>
        </w:rPr>
        <w:t>第二章  标准条件</w:t>
      </w:r>
      <w:bookmarkEnd w:id="155"/>
      <w:bookmarkEnd w:id="156"/>
    </w:p>
    <w:p w14:paraId="4F11FCE9">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词语定义、适用范围和法规</w:t>
      </w:r>
    </w:p>
    <w:p w14:paraId="46544DD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第一条  下列名词和用语，除上下文另有规定外，有如下含义：</w:t>
      </w:r>
    </w:p>
    <w:p w14:paraId="04D0D51E">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（1）“工程”是指委托人委托实施监理的工程。</w:t>
      </w:r>
    </w:p>
    <w:p w14:paraId="6ED21B7F">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（2）“委托人”是指承担直接投资责任和委托监理业务的一方以及其合法继承人。</w:t>
      </w:r>
    </w:p>
    <w:p w14:paraId="49D488C0">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（3）“监理人”是指承担监理业务和监理责任的一方，以及合法继承人。</w:t>
      </w:r>
    </w:p>
    <w:p w14:paraId="0244CE9E">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（4）“监理机构”是指监理人派驻本工程现场实施监理业务的组织。</w:t>
      </w:r>
    </w:p>
    <w:p w14:paraId="3525C8CC">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（5）“总监理工程师"是指经委托人同意，监理人派到监理机构全面履行本合同的全权负责人。</w:t>
      </w:r>
    </w:p>
    <w:p w14:paraId="665AF60B">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（6）“承包人”是指除监理人以外，委托人就工程建设有关事宜签订合同的当事人。</w:t>
      </w:r>
    </w:p>
    <w:p w14:paraId="5E417CF7">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（7）“工程监理的正常工作”是指双方在专用条件中约定，委托人委托的监理工作范围和内容。</w:t>
      </w:r>
    </w:p>
    <w:p w14:paraId="0F19F81E">
      <w:pPr>
        <w:pageBreakBefore w:val="0"/>
        <w:kinsoku/>
        <w:wordWrap/>
        <w:overflowPunct/>
        <w:autoSpaceDE/>
        <w:autoSpaceDN/>
        <w:bidi w:val="0"/>
        <w:adjustRightInd w:val="0"/>
        <w:snapToGrid w:val="0"/>
        <w:spacing w:line="360" w:lineRule="auto"/>
        <w:ind w:firstLine="240" w:firstLineChars="100"/>
        <w:textAlignment w:val="auto"/>
        <w:outlineLvl w:val="9"/>
        <w:rPr>
          <w:rFonts w:hint="eastAsia" w:ascii="宋体" w:hAnsi="宋体" w:eastAsia="宋体" w:cs="宋体"/>
          <w:sz w:val="24"/>
        </w:rPr>
      </w:pPr>
      <w:r>
        <w:rPr>
          <w:rFonts w:hint="eastAsia" w:ascii="宋体" w:hAnsi="宋体" w:eastAsia="宋体" w:cs="宋体"/>
          <w:sz w:val="24"/>
        </w:rPr>
        <w:t>(8)“工程监理的附加工作”是指：①委托人委托监理范围以外，通过双方书面协议另外增加的工作内容；②由于委托人或承包人原因，使监理工作受到阻碍或延误，因增加工作量或持续时间而增加的工作。</w:t>
      </w:r>
    </w:p>
    <w:p w14:paraId="6F831EAD">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（9）“工程监理的额外工作”是指正常工作和附加工作以外，或非监理人自身的原因而暂停或终止监理业务，其善后工作及恢复监理业务的工作。</w:t>
      </w:r>
    </w:p>
    <w:p w14:paraId="2F1DE038">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（10）“日”是指任何一天零时至第二天零时的时间段。</w:t>
      </w:r>
    </w:p>
    <w:p w14:paraId="68184FB9">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（11）“月”是指根据公历从一个月份中任何一天开始到下一个月相应日期的前一天的时间段。</w:t>
      </w:r>
    </w:p>
    <w:p w14:paraId="012AB0B8">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第二条   建设工程委托监理合同适用的法律是指国家的法律、行政法规，以及专用条件中议定的部门规章或工程所在地的地方法规、地方规章。</w:t>
      </w:r>
    </w:p>
    <w:p w14:paraId="5BCCD2A6">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第三条  本合同文件使用汉语语言文字书写、解释和说明。 加专用条件约定使用两种以上(含两种)语言文字时，汉语应为解释和说明本合同的标准语言文字。</w:t>
      </w:r>
    </w:p>
    <w:p w14:paraId="391FEFC0">
      <w:pPr>
        <w:pageBreakBefore w:val="0"/>
        <w:kinsoku/>
        <w:wordWrap/>
        <w:overflowPunct/>
        <w:autoSpaceDE/>
        <w:autoSpaceDN/>
        <w:bidi w:val="0"/>
        <w:adjustRightInd w:val="0"/>
        <w:snapToGrid w:val="0"/>
        <w:spacing w:line="360" w:lineRule="auto"/>
        <w:jc w:val="center"/>
        <w:textAlignment w:val="auto"/>
        <w:outlineLvl w:val="9"/>
        <w:rPr>
          <w:rFonts w:hint="eastAsia" w:ascii="宋体" w:hAnsi="宋体" w:eastAsia="宋体" w:cs="宋体"/>
          <w:b/>
          <w:sz w:val="24"/>
        </w:rPr>
      </w:pPr>
      <w:r>
        <w:rPr>
          <w:rFonts w:hint="eastAsia" w:ascii="宋体" w:hAnsi="宋体" w:eastAsia="宋体" w:cs="宋体"/>
          <w:b/>
          <w:sz w:val="24"/>
        </w:rPr>
        <w:t>监理人义务</w:t>
      </w:r>
    </w:p>
    <w:p w14:paraId="7A1E585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第四条   监理人承接合同约定派出监理工作需要的监理机构及监理人员，向委托人报送委派的总监理工程师及其监理机构主要成员名单、监理规划，完成监理合同专用条件中约定的监理工程范围内的监理业务。 在履行合同义务期间，应按合同约定定期向委托人报告监理工作。</w:t>
      </w:r>
    </w:p>
    <w:p w14:paraId="3FF7A2B7">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第五条   监理人在履行本合同的义务期间，应认真、勤奋地工作，为委托人提供与其水平相适应的咨询意见，公正维护各方面的合法权益。</w:t>
      </w:r>
    </w:p>
    <w:p w14:paraId="3ADFC608">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第六条    经委托人审定的现场监理人员及检测设备，未经委托人同意不得随意更换，一经发现，委托人有权终止合同。</w:t>
      </w:r>
    </w:p>
    <w:p w14:paraId="64958E6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第七条    所有监理人员在履行本合同义务期间，独立食宿，不得在施工方食宿。</w:t>
      </w:r>
    </w:p>
    <w:p w14:paraId="726B04A6">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第八条    项目总监理和监理人员必须坚守岗位，委托人将不定期进行检查，如发现总监一次不在岗，罚款2000元，累计三次不在岗，委托人有权终止合同；监理人员一次不在岗罚款1000元。</w:t>
      </w:r>
    </w:p>
    <w:p w14:paraId="74EFE1EA">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第九条   监理人使用委托人提供的设施和物品属委托人的财产。在监理工作完成或中止时，应将其设施和剩余的物品按合同约定的时间和方式移交给委托人。</w:t>
      </w:r>
    </w:p>
    <w:p w14:paraId="4635F563">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第十条  在合同期内或合同终止后，未征得有关方同意，不得泄露与本工程、本合同业务有关的保密资料。</w:t>
      </w:r>
    </w:p>
    <w:p w14:paraId="597AF087">
      <w:pPr>
        <w:pageBreakBefore w:val="0"/>
        <w:kinsoku/>
        <w:wordWrap/>
        <w:overflowPunct/>
        <w:autoSpaceDE/>
        <w:autoSpaceDN/>
        <w:bidi w:val="0"/>
        <w:adjustRightInd w:val="0"/>
        <w:snapToGrid w:val="0"/>
        <w:spacing w:line="360" w:lineRule="auto"/>
        <w:jc w:val="center"/>
        <w:textAlignment w:val="auto"/>
        <w:outlineLvl w:val="9"/>
        <w:rPr>
          <w:rFonts w:hint="eastAsia" w:ascii="宋体" w:hAnsi="宋体" w:eastAsia="宋体" w:cs="宋体"/>
          <w:b/>
          <w:sz w:val="24"/>
        </w:rPr>
      </w:pPr>
      <w:r>
        <w:rPr>
          <w:rFonts w:hint="eastAsia" w:ascii="宋体" w:hAnsi="宋体" w:eastAsia="宋体" w:cs="宋体"/>
          <w:b/>
          <w:sz w:val="24"/>
        </w:rPr>
        <w:t>委托人义务</w:t>
      </w:r>
    </w:p>
    <w:p w14:paraId="0D6AFF32">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第十一条  委托人在监理人开展监理业务之前应向监理人支付预付款。</w:t>
      </w:r>
    </w:p>
    <w:p w14:paraId="23A99AD1">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第十二条  委托人应当负责工程建设的所有外部关系的协调，为监理工作提供外部条件。根据需要，如将部分或全部协调工作委托监理人承担， 则应在专用条件中明确委托的工作和相应的报酬。</w:t>
      </w:r>
    </w:p>
    <w:p w14:paraId="060D6B7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第十三条  委托人应当在双方约定的时间内免费向监理人提供与工程有关的为监理工作所需要的工程资料。</w:t>
      </w:r>
    </w:p>
    <w:p w14:paraId="14D10F17">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第十四条  委托人应当在专用条款约定的时间内就监理人书面提交并要求作出决定的一切事宜作出书面决定。</w:t>
      </w:r>
    </w:p>
    <w:p w14:paraId="034A183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第十五条  委托人应当授权一名熟悉工程情况、能在规定时间内作出决定的常驻代表（在专用条款中约定），负责与监理人联系。更换常驻代表，要提前通知监理人。</w:t>
      </w:r>
    </w:p>
    <w:p w14:paraId="2D962FB6">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第十六条   委托人应当将授予监理人的监理权利，以及监理人主要成员的职能分工、监理权限及时书面通知已选定的承包合同的承包人，并在与第三人签订的合同中予以明确。</w:t>
      </w:r>
    </w:p>
    <w:p w14:paraId="2E6C0B48">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第十七条   委托人应在不影响监理人开展监理工作的时间内提供如下资料：</w:t>
      </w:r>
    </w:p>
    <w:p w14:paraId="2F655F09">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（1）提供与本工程合作的原材料、构配件、设备等生产厂家名录。</w:t>
      </w:r>
    </w:p>
    <w:p w14:paraId="63D7461A">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（2）提供与本工程有关的协作单位、配合单位的名录。</w:t>
      </w:r>
    </w:p>
    <w:p w14:paraId="225FEA46">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第十八条  委托人应免费向监理人提供办公用房。</w:t>
      </w:r>
    </w:p>
    <w:p w14:paraId="355BA4B1">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第十九条  根据情况需要，如果双方约定，由委托人免费向监理人提供其他人员，应在监理合同专用条件中予以明确。</w:t>
      </w:r>
    </w:p>
    <w:p w14:paraId="248E82FD">
      <w:pPr>
        <w:pageBreakBefore w:val="0"/>
        <w:kinsoku/>
        <w:wordWrap/>
        <w:overflowPunct/>
        <w:autoSpaceDE/>
        <w:autoSpaceDN/>
        <w:bidi w:val="0"/>
        <w:adjustRightInd w:val="0"/>
        <w:snapToGrid w:val="0"/>
        <w:spacing w:line="360" w:lineRule="auto"/>
        <w:jc w:val="center"/>
        <w:textAlignment w:val="auto"/>
        <w:outlineLvl w:val="9"/>
        <w:rPr>
          <w:rFonts w:hint="eastAsia" w:ascii="宋体" w:hAnsi="宋体" w:eastAsia="宋体" w:cs="宋体"/>
          <w:b/>
          <w:sz w:val="24"/>
        </w:rPr>
      </w:pPr>
      <w:r>
        <w:rPr>
          <w:rFonts w:hint="eastAsia" w:ascii="宋体" w:hAnsi="宋体" w:eastAsia="宋体" w:cs="宋体"/>
          <w:b/>
          <w:sz w:val="24"/>
        </w:rPr>
        <w:t>监理人权利</w:t>
      </w:r>
    </w:p>
    <w:p w14:paraId="291FD89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第二十条   监理人在委托人委托的工程范围内，享有以下权利：</w:t>
      </w:r>
    </w:p>
    <w:p w14:paraId="77A1FAF2">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（1）选择工程总承包人的建议权。</w:t>
      </w:r>
    </w:p>
    <w:p w14:paraId="0D014FEF">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（2）选择工程分包人的认可权。</w:t>
      </w:r>
    </w:p>
    <w:p w14:paraId="009F01D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（3）对工程建设有关事项包括工程规模、设计标准、规划设计、生产工艺设计和使用功能要求，向委托人的建议权。</w:t>
      </w:r>
    </w:p>
    <w:p w14:paraId="41FE856D">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6D4C5D1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（5）审批工程施工组织设计和技术方案，按照保质量、保工期和降低成本的原则，向承包人提出建议，并向委托人提出书面报告。</w:t>
      </w:r>
    </w:p>
    <w:p w14:paraId="7E4DE743">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（6）主持工程建设有关协作单位的组织协调；重要协调事项应当事先向委托人报告。</w:t>
      </w:r>
    </w:p>
    <w:p w14:paraId="56C3684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（7）征得委托人同意，监理人有权发布开工令、停工令、复工令，但应当事先向委托人报告。如在紧急情况下未能事先报告时，则应在24小时内向委托人作出书面报告。</w:t>
      </w:r>
    </w:p>
    <w:p w14:paraId="2C51DDD3">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（8）工程上使用的材料和施工质量的检验权。 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14:paraId="6BD89C43">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（9）工程施工进度的检查、监督权，以及工程实际竣工日期提前或超过工程施工合同规定的竣工期限的签认权。</w:t>
      </w:r>
    </w:p>
    <w:p w14:paraId="1353A08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（10）在工程施工合同约定的工程价格范围内，工程款支付的审核和签认权，以及工程结算的复核确认权与否决权。未经总监理工程师签字确认，委托人不支付工程款。</w:t>
      </w:r>
    </w:p>
    <w:p w14:paraId="06D93AA9">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第二十一条  监理人在委托人授权下，可对任何承包人合同规定的义务提出变更。 如果由此严重影响了工程费用或质量、或进度，则这种变更须经委托人事先批准。在紧急情况下未能事先报委托人批准时，监理人所做的变更也应尽快通知委托人。 在监理过程中如发现工程承包人员工作不力，监理机构可要求承包人调换有关人员。</w:t>
      </w:r>
    </w:p>
    <w:p w14:paraId="5A3C047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第二十二条  在委托的工程范围内，委托人或承包人对对方的任何意见和要求(包括索赔要求)，均必须首先向监理机构提出，由监理机构研究处置意见，再同双方协商确定。当委托人和承包人发生争议时，监理机构应根据自已的职能，以独立的身份判断，公正地进行调解。当双方的争议由政府建设行政主管部门调解或仲裁机构仲裁时，应当提供作证的事实材料。</w:t>
      </w:r>
    </w:p>
    <w:p w14:paraId="08648C65">
      <w:pPr>
        <w:pageBreakBefore w:val="0"/>
        <w:kinsoku/>
        <w:wordWrap/>
        <w:overflowPunct/>
        <w:autoSpaceDE/>
        <w:autoSpaceDN/>
        <w:bidi w:val="0"/>
        <w:adjustRightInd w:val="0"/>
        <w:snapToGrid w:val="0"/>
        <w:spacing w:line="360" w:lineRule="auto"/>
        <w:jc w:val="center"/>
        <w:textAlignment w:val="auto"/>
        <w:outlineLvl w:val="9"/>
        <w:rPr>
          <w:rFonts w:hint="eastAsia" w:ascii="宋体" w:hAnsi="宋体" w:eastAsia="宋体" w:cs="宋体"/>
          <w:b/>
          <w:sz w:val="24"/>
        </w:rPr>
      </w:pPr>
      <w:r>
        <w:rPr>
          <w:rFonts w:hint="eastAsia" w:ascii="宋体" w:hAnsi="宋体" w:eastAsia="宋体" w:cs="宋体"/>
          <w:b/>
          <w:sz w:val="24"/>
        </w:rPr>
        <w:t>委托人权利</w:t>
      </w:r>
    </w:p>
    <w:p w14:paraId="56FFA308">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第二十三条  委托人有选定工程总承包人；以及与其订立合同的权利。</w:t>
      </w:r>
    </w:p>
    <w:p w14:paraId="4874919F">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第二十四条  委托人有对工程规模、设计标准、规划设计、生产工艺设计和设计使用功能要求的认定权，以及对工程设计变更的审批权。</w:t>
      </w:r>
    </w:p>
    <w:p w14:paraId="5B759259">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第二十五条   监理人调换总监理工程师须事先经委托人同意。</w:t>
      </w:r>
    </w:p>
    <w:p w14:paraId="46A64E2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第二十六条   委托人有权要求监理人提交监理工作月报及监理业务范围内的专项报告。</w:t>
      </w:r>
    </w:p>
    <w:p w14:paraId="5B37C6A1">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第二十七条   当委托人发现监理人员不按监理合同履行监理职责，或与承包人串通给委托人或工程造成损失的，委托人有权要求监理人更换监理人员，直到终止合同并要求监理人承担相应的赔偿责任或连带赔偿责任。</w:t>
      </w:r>
    </w:p>
    <w:p w14:paraId="61250F64">
      <w:pPr>
        <w:pageBreakBefore w:val="0"/>
        <w:kinsoku/>
        <w:wordWrap/>
        <w:overflowPunct/>
        <w:autoSpaceDE/>
        <w:autoSpaceDN/>
        <w:bidi w:val="0"/>
        <w:adjustRightInd w:val="0"/>
        <w:snapToGrid w:val="0"/>
        <w:spacing w:line="360" w:lineRule="auto"/>
        <w:jc w:val="center"/>
        <w:textAlignment w:val="auto"/>
        <w:outlineLvl w:val="9"/>
        <w:rPr>
          <w:rFonts w:hint="eastAsia" w:ascii="宋体" w:hAnsi="宋体" w:eastAsia="宋体" w:cs="宋体"/>
          <w:sz w:val="24"/>
        </w:rPr>
      </w:pPr>
      <w:r>
        <w:rPr>
          <w:rFonts w:hint="eastAsia" w:ascii="宋体" w:hAnsi="宋体" w:eastAsia="宋体" w:cs="宋体"/>
          <w:b/>
          <w:sz w:val="24"/>
        </w:rPr>
        <w:t>监理人责任</w:t>
      </w:r>
    </w:p>
    <w:p w14:paraId="7CBC1F7A">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第二十八条   监理人的责任期即委托监理合同有效期。在监理过程中，如果因工程建设进度的推迟或延误而超过书面约定的日期，双方应进一步约定相应延长的合同期。</w:t>
      </w:r>
    </w:p>
    <w:p w14:paraId="751788CF">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第二十九条   监理人在责任期内，应当履行约定的义务。如果因监理人过失而造成了委托人的经济损失，应当向委托人赔偿。累计赔偿总额（除本合同第二十四条规定以外）不应超过监理报酬总额(除去税金)。</w:t>
      </w:r>
    </w:p>
    <w:p w14:paraId="78181A03">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第三十条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14:paraId="0E865FA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第三十一条   监理人向委托人提出赔偿要求不能成立时，监理人应当补偿由于该索赔所导致委托人的各种费用支出。</w:t>
      </w:r>
    </w:p>
    <w:p w14:paraId="5ECF627C">
      <w:pPr>
        <w:pageBreakBefore w:val="0"/>
        <w:kinsoku/>
        <w:wordWrap/>
        <w:overflowPunct/>
        <w:autoSpaceDE/>
        <w:autoSpaceDN/>
        <w:bidi w:val="0"/>
        <w:adjustRightInd w:val="0"/>
        <w:snapToGrid w:val="0"/>
        <w:spacing w:line="360" w:lineRule="auto"/>
        <w:ind w:firstLine="482" w:firstLineChars="200"/>
        <w:jc w:val="center"/>
        <w:textAlignment w:val="auto"/>
        <w:outlineLvl w:val="9"/>
        <w:rPr>
          <w:rFonts w:hint="eastAsia" w:ascii="宋体" w:hAnsi="宋体" w:eastAsia="宋体" w:cs="宋体"/>
          <w:sz w:val="24"/>
        </w:rPr>
      </w:pPr>
      <w:r>
        <w:rPr>
          <w:rFonts w:hint="eastAsia" w:ascii="宋体" w:hAnsi="宋体" w:eastAsia="宋体" w:cs="宋体"/>
          <w:b/>
          <w:sz w:val="24"/>
        </w:rPr>
        <w:t>委托人责任</w:t>
      </w:r>
    </w:p>
    <w:p w14:paraId="6813200F">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第三十二条   委托人应当履行委托监理合同约定的义务，如有违反则应当承担违约责任，赔偿给监理人造成的经济损失。</w:t>
      </w:r>
    </w:p>
    <w:p w14:paraId="1EE2335F">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监理人处理委托业务时，因非监理人原因的事由受到损失的，可以向委托人要求补偿损失。</w:t>
      </w:r>
    </w:p>
    <w:p w14:paraId="5094B7A1">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第三十三条   委托人如果向监理人提出赔偿的要求不能成立，则应当补偿由该索赔所引起的监理人的各种费用支出。</w:t>
      </w:r>
    </w:p>
    <w:p w14:paraId="7F73BE00">
      <w:pPr>
        <w:pageBreakBefore w:val="0"/>
        <w:kinsoku/>
        <w:wordWrap/>
        <w:overflowPunct/>
        <w:autoSpaceDE/>
        <w:autoSpaceDN/>
        <w:bidi w:val="0"/>
        <w:adjustRightInd w:val="0"/>
        <w:snapToGrid w:val="0"/>
        <w:spacing w:line="360" w:lineRule="auto"/>
        <w:jc w:val="center"/>
        <w:textAlignment w:val="auto"/>
        <w:outlineLvl w:val="9"/>
        <w:rPr>
          <w:rFonts w:hint="eastAsia" w:ascii="宋体" w:hAnsi="宋体" w:eastAsia="宋体" w:cs="宋体"/>
          <w:b/>
          <w:sz w:val="24"/>
        </w:rPr>
      </w:pPr>
      <w:r>
        <w:rPr>
          <w:rFonts w:hint="eastAsia" w:ascii="宋体" w:hAnsi="宋体" w:eastAsia="宋体" w:cs="宋体"/>
          <w:b/>
          <w:sz w:val="24"/>
        </w:rPr>
        <w:t>合同生效、变更与终止</w:t>
      </w:r>
    </w:p>
    <w:p w14:paraId="138B1E1D">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第三十四条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14:paraId="0B314421">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第三十五条  在委托监理合同签订后，实际情况发生变化，使得监理人不能全部或部分执行监理业务时，监理人应当立即通知委托人。 该监理业务的完成时间应予延长。当恢复执行监理业务时，应当增加不超过42日的时间用于恢复执行监理业务，并按双方约定的数量支付监理报酬。                       </w:t>
      </w:r>
    </w:p>
    <w:p w14:paraId="2B5FB48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第三十六条   监理人向委托人办理完竣工验收或工程移交手续，承包人和委托人已签订工程保修责任书，监理人收到监理报酬尾款，本合同即终止。保修期间的责任，双方在专用条款中约定。</w:t>
      </w:r>
    </w:p>
    <w:p w14:paraId="6C83D2C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第三十七条  当事人一方要求变更或解除合同时，应当在42日前通知对方，因解除合同使一方遭受损失的，除依法可以免除责任的外，应由责任方负责赔偿。</w:t>
      </w:r>
    </w:p>
    <w:p w14:paraId="6E71A65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变更或解除合同的通知或协议必须采取书面形式，协议未达成之前，原合同仍然有效。</w:t>
      </w:r>
    </w:p>
    <w:p w14:paraId="7C00B1C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第三十八条   监理人在应当获得监理报酬之日起30日内仍未收到支付单据，而委托人又未对监理人提出任何书面解释时，或根据第三十一条及第三十二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14:paraId="23ADCE7F">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第三十九条  监理人由于非自已的原因而暂停或终止执行监理业务，其善后工作以及恢复执行监理业务的工作，应当视为额外工作，有权得到额外的报酬。</w:t>
      </w:r>
    </w:p>
    <w:p w14:paraId="5AC62F0F">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第四十条   当委托人认为监理人无正当理由而又未履行监理义务时，可向监理人发出指明其未履行义务的通知。若委托人发出通知后21日内没有收到答复，可在第一个通知发出后 35 日内发出终止委托监理合同的通知，合同即行终止。监理人承担违约责任。</w:t>
      </w:r>
    </w:p>
    <w:p w14:paraId="6DD981AA">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第四十一条   合同协议的终止并不影响各方应有的权利和应当承担的责任。</w:t>
      </w:r>
    </w:p>
    <w:p w14:paraId="2E566062">
      <w:pPr>
        <w:pageBreakBefore w:val="0"/>
        <w:kinsoku/>
        <w:wordWrap/>
        <w:overflowPunct/>
        <w:autoSpaceDE/>
        <w:autoSpaceDN/>
        <w:bidi w:val="0"/>
        <w:adjustRightInd w:val="0"/>
        <w:snapToGrid w:val="0"/>
        <w:spacing w:line="360" w:lineRule="auto"/>
        <w:jc w:val="center"/>
        <w:textAlignment w:val="auto"/>
        <w:outlineLvl w:val="9"/>
        <w:rPr>
          <w:rFonts w:hint="eastAsia" w:ascii="宋体" w:hAnsi="宋体" w:eastAsia="宋体" w:cs="宋体"/>
          <w:sz w:val="24"/>
        </w:rPr>
      </w:pPr>
      <w:r>
        <w:rPr>
          <w:rFonts w:hint="eastAsia" w:ascii="宋体" w:hAnsi="宋体" w:eastAsia="宋体" w:cs="宋体"/>
          <w:b/>
          <w:sz w:val="24"/>
        </w:rPr>
        <w:t>监理报酬</w:t>
      </w:r>
    </w:p>
    <w:p w14:paraId="462A0231">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第四十二条  正常的监理工作、附加工作和额外工作的报酬，按照监理合同专用条件中约定的方法计算，并按约定的时间和数额支付。</w:t>
      </w:r>
    </w:p>
    <w:p w14:paraId="1FDFD194">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第四十三条  如果委托人在规定的支付期限内未支付监理报酬，自规定之日起，还应向监理人支付滞纳金。滞纳金从规定支付期限最后一日起计算。</w:t>
      </w:r>
    </w:p>
    <w:p w14:paraId="066A4FA3">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第四十四条  支付监理报酬所采取的货币币种、汇率由合同专用条件约定。</w:t>
      </w:r>
    </w:p>
    <w:p w14:paraId="55DD1406">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第四十五条   如果委托人对监理人提交的支付通知中报酬或部分报酬项目提出异议，应当在收到支付通知书24小时内向监理人发出表示异议的通知，但委托人不得拖延其他无异议报酬项目的支付。</w:t>
      </w:r>
    </w:p>
    <w:p w14:paraId="685353BB">
      <w:pPr>
        <w:pageBreakBefore w:val="0"/>
        <w:kinsoku/>
        <w:wordWrap/>
        <w:overflowPunct/>
        <w:autoSpaceDE/>
        <w:autoSpaceDN/>
        <w:bidi w:val="0"/>
        <w:adjustRightInd w:val="0"/>
        <w:snapToGrid w:val="0"/>
        <w:spacing w:line="360" w:lineRule="auto"/>
        <w:jc w:val="center"/>
        <w:textAlignment w:val="auto"/>
        <w:outlineLvl w:val="9"/>
        <w:rPr>
          <w:rFonts w:hint="eastAsia" w:ascii="宋体" w:hAnsi="宋体" w:eastAsia="宋体" w:cs="宋体"/>
          <w:b/>
          <w:sz w:val="24"/>
        </w:rPr>
      </w:pPr>
      <w:r>
        <w:rPr>
          <w:rFonts w:hint="eastAsia" w:ascii="宋体" w:hAnsi="宋体" w:eastAsia="宋体" w:cs="宋体"/>
          <w:b/>
          <w:sz w:val="24"/>
        </w:rPr>
        <w:t>其    他</w:t>
      </w:r>
    </w:p>
    <w:p w14:paraId="55DE8103">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第四十六条   委托的建设工程监理所必要的监理人员出外考察、材料设备复试，其费用支出经委托人同意的，在预算范围内向委托人实报实销。</w:t>
      </w:r>
    </w:p>
    <w:p w14:paraId="55667D76">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第四十七条  在监理业务范围内，如需聘用专家咨询或协助，由监理人聘用的，其费用由监理人承担；由委托人聘用的，其费用由委托人承担。</w:t>
      </w:r>
    </w:p>
    <w:p w14:paraId="7C71F61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第四十八条  监理人在监理工作过程中提出的合理化建议，使委托人得到了经济效益，委托人应按专用条件中的约定给予经济奖励。</w:t>
      </w:r>
    </w:p>
    <w:p w14:paraId="5B5B026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第四十九条  监理人驻地监理机构及其职员不得接受监理工程项目施工承包人的任何报酬或者经济利益。</w:t>
      </w:r>
    </w:p>
    <w:p w14:paraId="1415C52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监理人不得参与可能与合同规定的与委托人的利益相冲突的任何活动。</w:t>
      </w:r>
    </w:p>
    <w:p w14:paraId="3F7DFFD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第五十条  监理人在监理过程中，不得泄露委托人申明的秘密，监理人亦不得泄露设计人、承包人等提供并申明的秘密。</w:t>
      </w:r>
    </w:p>
    <w:p w14:paraId="0A7DEB17">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第五十一条   监理人对于由其编制的所有文件拥有版权，委托人仅有权为本工程使用或复制此类文件。</w:t>
      </w:r>
    </w:p>
    <w:p w14:paraId="3AD1F8E6">
      <w:pPr>
        <w:pageBreakBefore w:val="0"/>
        <w:kinsoku/>
        <w:wordWrap/>
        <w:overflowPunct/>
        <w:autoSpaceDE/>
        <w:autoSpaceDN/>
        <w:bidi w:val="0"/>
        <w:adjustRightInd w:val="0"/>
        <w:snapToGrid w:val="0"/>
        <w:spacing w:line="360" w:lineRule="auto"/>
        <w:jc w:val="center"/>
        <w:textAlignment w:val="auto"/>
        <w:outlineLvl w:val="9"/>
        <w:rPr>
          <w:rFonts w:hint="eastAsia" w:ascii="宋体" w:hAnsi="宋体" w:eastAsia="宋体" w:cs="宋体"/>
          <w:sz w:val="24"/>
        </w:rPr>
      </w:pPr>
      <w:r>
        <w:rPr>
          <w:rFonts w:hint="eastAsia" w:ascii="宋体" w:hAnsi="宋体" w:eastAsia="宋体" w:cs="宋体"/>
          <w:b/>
          <w:sz w:val="24"/>
        </w:rPr>
        <w:t>争议的解决</w:t>
      </w:r>
    </w:p>
    <w:p w14:paraId="697793C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第五十二条   因违反或终止合同而引起的对对方损失和损害的赔偿，双方应当协商解决，如未能达成一致，可提交主管部门协调，如仍未能达成一致时，根据双方约定提交仲裁机构仲裁，或向人民法院起诉。</w:t>
      </w:r>
    </w:p>
    <w:p w14:paraId="6D577478">
      <w:pPr>
        <w:pageBreakBefore w:val="0"/>
        <w:kinsoku/>
        <w:wordWrap/>
        <w:overflowPunct/>
        <w:autoSpaceDE/>
        <w:autoSpaceDN/>
        <w:bidi w:val="0"/>
        <w:spacing w:line="360" w:lineRule="auto"/>
        <w:jc w:val="center"/>
        <w:textAlignment w:val="auto"/>
        <w:outlineLvl w:val="9"/>
        <w:rPr>
          <w:rFonts w:hint="eastAsia" w:ascii="宋体" w:hAnsi="宋体" w:eastAsia="宋体" w:cs="宋体"/>
          <w:sz w:val="36"/>
          <w:szCs w:val="28"/>
        </w:rPr>
      </w:pPr>
      <w:bookmarkStart w:id="157" w:name="_Toc15335"/>
      <w:bookmarkStart w:id="158" w:name="_Toc320275646"/>
      <w:r>
        <w:rPr>
          <w:rFonts w:hint="eastAsia" w:ascii="宋体" w:hAnsi="宋体" w:eastAsia="宋体" w:cs="宋体"/>
          <w:sz w:val="36"/>
          <w:szCs w:val="28"/>
        </w:rPr>
        <w:t>第三章   专用条件</w:t>
      </w:r>
      <w:bookmarkEnd w:id="157"/>
      <w:bookmarkEnd w:id="158"/>
    </w:p>
    <w:p w14:paraId="2E899EE8">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1.1   本合同适用的法律及监理依据：</w:t>
      </w:r>
    </w:p>
    <w:p w14:paraId="28D7FF59">
      <w:pPr>
        <w:pageBreakBefore w:val="0"/>
        <w:kinsoku/>
        <w:wordWrap/>
        <w:overflowPunct/>
        <w:autoSpaceDE/>
        <w:autoSpaceDN/>
        <w:bidi w:val="0"/>
        <w:adjustRightInd w:val="0"/>
        <w:snapToGrid w:val="0"/>
        <w:spacing w:line="360" w:lineRule="auto"/>
        <w:ind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国家现行的有关建设法规、陕西省及榆林市有关建设工程文件、规定；工程建设标准强制性条文；与本工程有关的标准、规范；工程施工图纸、标准图集及相关的施工合同、监理合同。</w:t>
      </w:r>
    </w:p>
    <w:p w14:paraId="4785C911">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1.2监理范围和监理工作内容：</w:t>
      </w:r>
    </w:p>
    <w:p w14:paraId="62D0C055">
      <w:pPr>
        <w:pageBreakBefore w:val="0"/>
        <w:kinsoku/>
        <w:wordWrap/>
        <w:overflowPunct/>
        <w:autoSpaceDE/>
        <w:autoSpaceDN/>
        <w:bidi w:val="0"/>
        <w:adjustRightInd w:val="0"/>
        <w:snapToGrid w:val="0"/>
        <w:spacing w:line="360" w:lineRule="auto"/>
        <w:ind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监理范围：施工阶段、保修阶段的监理工作。</w:t>
      </w:r>
    </w:p>
    <w:p w14:paraId="05938E06">
      <w:pPr>
        <w:pageBreakBefore w:val="0"/>
        <w:kinsoku/>
        <w:wordWrap/>
        <w:overflowPunct/>
        <w:autoSpaceDE/>
        <w:autoSpaceDN/>
        <w:bidi w:val="0"/>
        <w:adjustRightInd w:val="0"/>
        <w:snapToGrid w:val="0"/>
        <w:spacing w:line="360" w:lineRule="auto"/>
        <w:ind w:firstLine="472" w:firstLineChars="196"/>
        <w:textAlignment w:val="auto"/>
        <w:outlineLvl w:val="9"/>
        <w:rPr>
          <w:rFonts w:hint="eastAsia" w:ascii="宋体" w:hAnsi="宋体" w:eastAsia="宋体" w:cs="宋体"/>
          <w:b/>
          <w:sz w:val="24"/>
        </w:rPr>
      </w:pPr>
      <w:r>
        <w:rPr>
          <w:rFonts w:hint="eastAsia" w:ascii="宋体" w:hAnsi="宋体" w:eastAsia="宋体" w:cs="宋体"/>
          <w:b/>
          <w:sz w:val="24"/>
        </w:rPr>
        <w:t>监理内容：该工程质量控制、进度控制、费用控制，安全生产监督管理、合同协调管理、信息协调管理。</w:t>
      </w:r>
    </w:p>
    <w:p w14:paraId="5150B991">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2.4.7  监理单位在投标书中填写的资料属合同文件的组成部分，应全面履行其所做出的承诺，否则属监理单位违约。监理单位应按下列标准向业主支付违约偿金。</w:t>
      </w:r>
    </w:p>
    <w:p w14:paraId="19D2CFE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a）各级监理人员无特殊情况下，每月坚守工地时间不得少于27天。缺勤按每天1000元/天·人标准向业主支付违约偿金；监理人员需要请假或休假离开工地时，必须以书面形式向工程部请假获批准后，方可离开，否则按违约处理。</w:t>
      </w:r>
    </w:p>
    <w:p w14:paraId="43AF510D">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b）不得随意更换监理人员，如确因特殊原因需要更换时，必须事先申报理由并提出同等或资质更高的人员报业主批准，未经业主书面批准，监理单位擅自更换驻地监理工程师，监理单位应按6万元/人·次的标准向业主支付违约偿金；擅自更换专业监理工程师，监理单位应按4万元/人·次的标准向业主支付违约偿金；擅自更换普通监理人员，监理单位应按1万元/人·次的标准向业主支付违约偿金；擅自减少监理人员，业主将核减监理单位相应人员费用的2倍。</w:t>
      </w:r>
    </w:p>
    <w:p w14:paraId="13DCE3A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c）监理单位要制定出严格的工作制度及监理程序。监理人员不得以任何理由向施工单位介绍分包单位或材料、设备采购，不得以监理职权向施工单位索取任何合同规定以外的生活待遇和经济利益，不得与施工合同任何一方串通，损害另一方的利益。否则业主将根据情节对监理单位予以通报或终止合同。若因监理人员不负责任放弃监督、失职渎职、使工程出现质量事故并造成一定经济损失，监理单位应按照4.1条向业主赔偿，同时业主将根据权限上报有关部门追究相应责任人的责任。</w:t>
      </w:r>
    </w:p>
    <w:p w14:paraId="12576D89">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（d）接受工程部提出的人员更换，并在接到通知后15天内选派经工程部审验合格的人员替换。由于更换人员引起的费用由监理单位承担。</w:t>
      </w:r>
    </w:p>
    <w:p w14:paraId="6FB0A5C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（e）对业主支付的监理费用和各类奖励金额，监理单位应按照国家法律缴纳有关税款。</w:t>
      </w:r>
    </w:p>
    <w:p w14:paraId="5E771BC7">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2.5  业主财产</w:t>
      </w:r>
    </w:p>
    <w:p w14:paraId="7FEA7B5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 xml:space="preserve"> 当监理服务完成或中止时，监理单位使用的设施、设备、尚未使用的物品，均归监理单位所有。</w:t>
      </w:r>
    </w:p>
    <w:p w14:paraId="3ED36CA2">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2.6  保密</w:t>
      </w:r>
    </w:p>
    <w:p w14:paraId="7768151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业主要求监理单位对有关本项目的所有资料，不得向与本工程无关的任何单位和个人泄露。</w:t>
      </w:r>
    </w:p>
    <w:p w14:paraId="1C0FA8F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4.1  监理单位的赔偿责任</w:t>
      </w:r>
    </w:p>
    <w:p w14:paraId="7C4A5B8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监理单位违反监理合同规定，并因此造成业主的经济损失，应根据其所承担责任的比例向业主赔偿(比例由业主确定)。</w:t>
      </w:r>
    </w:p>
    <w:p w14:paraId="3AC7B18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赔偿金=受损工程的监理费×监理单位应承担责任的比例</w:t>
      </w:r>
    </w:p>
    <w:p w14:paraId="646C181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4.2  业主的赔偿责任</w:t>
      </w:r>
    </w:p>
    <w:p w14:paraId="01F68F8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业主违反监理合同的规定，并因此造成监理单位的经济损失，应据实向监理单位赔偿。</w:t>
      </w:r>
    </w:p>
    <w:p w14:paraId="45AB22B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赔偿金=监理单位的直接经济损失(赔偿金由监理单位提出原因和金额，报业主确定。)</w:t>
      </w:r>
    </w:p>
    <w:p w14:paraId="5B8E8FCE">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4.4赔偿的限额</w:t>
      </w:r>
    </w:p>
    <w:p w14:paraId="3054F49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监理单位的累计赔偿限额：</w:t>
      </w:r>
    </w:p>
    <w:p w14:paraId="0A7FBB8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监理单位的累计赔偿限额为监理合同金额的20%，当达到此限额时，业主有权单方面中止监理合同，并没收监理单位的履约担保金。</w:t>
      </w:r>
    </w:p>
    <w:p w14:paraId="37B6BE09">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业主的累计赔偿限额：</w:t>
      </w:r>
    </w:p>
    <w:p w14:paraId="7A47874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业主据实赔偿监理单位的直接经济损失(赔偿金由监理单位提出原因和金额，报业主确定。)</w:t>
      </w:r>
    </w:p>
    <w:p w14:paraId="1D05C488">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4.5.2  履约担保</w:t>
      </w:r>
    </w:p>
    <w:p w14:paraId="582DC06F">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中标的监理单位在收到中标通知书后10天内，并在签订合同协议书之前，应按合同条件有关规定向业主提交现金履约担保，担保金额为合同总价的5%。</w:t>
      </w:r>
    </w:p>
    <w:p w14:paraId="57B4201E">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从合同签署之日起至缺陷责任终止证书颁发之前，履约担保一直有效。缺陷责任期满，缺陷责任终止证书颁发之后15天内，此项担保退还给监理单位(无息)。</w:t>
      </w:r>
    </w:p>
    <w:p w14:paraId="4B76F977">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4.6.2  业主要求的保险</w:t>
      </w:r>
    </w:p>
    <w:p w14:paraId="13A81B3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按有关规定办理。</w:t>
      </w:r>
    </w:p>
    <w:p w14:paraId="6E96D162">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5.2  监理单位服务的时间和期限</w:t>
      </w:r>
    </w:p>
    <w:p w14:paraId="3795B3F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监理单位须同施工单位同时进场，</w:t>
      </w:r>
      <w:r>
        <w:rPr>
          <w:rFonts w:hint="eastAsia" w:ascii="宋体" w:hAnsi="宋体" w:eastAsia="宋体" w:cs="宋体"/>
          <w:sz w:val="24"/>
        </w:rPr>
        <w:t>从工程开工之日起至竣工验收、资料档案备案、保修期满之日止</w:t>
      </w:r>
      <w:r>
        <w:rPr>
          <w:rFonts w:hint="eastAsia" w:ascii="宋体" w:hAnsi="宋体" w:eastAsia="宋体" w:cs="宋体"/>
          <w:snapToGrid w:val="0"/>
          <w:kern w:val="0"/>
          <w:sz w:val="24"/>
        </w:rPr>
        <w:t>。</w:t>
      </w:r>
    </w:p>
    <w:p w14:paraId="3A9DEFFD">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5.4.4  物价变动的补偿办法</w:t>
      </w:r>
    </w:p>
    <w:p w14:paraId="44C872F9">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在合同有效期内，因物价变动而导致监理服务费用的增减不予调整。</w:t>
      </w:r>
    </w:p>
    <w:p w14:paraId="020CB502">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6.1.3   支付货币</w:t>
      </w:r>
    </w:p>
    <w:p w14:paraId="16803573">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币种为：</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 xml:space="preserve"> ，比例为：</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 xml:space="preserve"> ，汇率为：</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 xml:space="preserve"> 。 </w:t>
      </w:r>
    </w:p>
    <w:p w14:paraId="13D308A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6.2.3  监理服务费用支付期限</w:t>
      </w:r>
    </w:p>
    <w:p w14:paraId="33EE6ACE">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正常工作酬金的支付：根据工程进度按月（或按施工阶段）支付</w:t>
      </w:r>
    </w:p>
    <w:tbl>
      <w:tblPr>
        <w:tblStyle w:val="1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14:paraId="75C0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558E8B29">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支付次数</w:t>
            </w:r>
          </w:p>
        </w:tc>
        <w:tc>
          <w:tcPr>
            <w:tcW w:w="2127" w:type="dxa"/>
            <w:noWrap w:val="0"/>
            <w:vAlign w:val="center"/>
          </w:tcPr>
          <w:p w14:paraId="4AC9BC9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支付时间</w:t>
            </w:r>
          </w:p>
        </w:tc>
        <w:tc>
          <w:tcPr>
            <w:tcW w:w="1559" w:type="dxa"/>
            <w:noWrap w:val="0"/>
            <w:vAlign w:val="top"/>
          </w:tcPr>
          <w:p w14:paraId="792A13A6">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支付比例</w:t>
            </w:r>
          </w:p>
        </w:tc>
        <w:tc>
          <w:tcPr>
            <w:tcW w:w="2835" w:type="dxa"/>
            <w:noWrap w:val="0"/>
            <w:vAlign w:val="center"/>
          </w:tcPr>
          <w:p w14:paraId="2E4C109F">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支付金额（万元）</w:t>
            </w:r>
          </w:p>
        </w:tc>
      </w:tr>
      <w:tr w14:paraId="314B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0546BC3D">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首付款</w:t>
            </w:r>
          </w:p>
        </w:tc>
        <w:tc>
          <w:tcPr>
            <w:tcW w:w="2127" w:type="dxa"/>
            <w:noWrap w:val="0"/>
            <w:vAlign w:val="top"/>
          </w:tcPr>
          <w:p w14:paraId="14A54B7A">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本合同签订后7天内</w:t>
            </w:r>
          </w:p>
        </w:tc>
        <w:tc>
          <w:tcPr>
            <w:tcW w:w="1559" w:type="dxa"/>
            <w:noWrap w:val="0"/>
            <w:vAlign w:val="top"/>
          </w:tcPr>
          <w:p w14:paraId="76D8974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p>
        </w:tc>
        <w:tc>
          <w:tcPr>
            <w:tcW w:w="2835" w:type="dxa"/>
            <w:noWrap w:val="0"/>
            <w:vAlign w:val="top"/>
          </w:tcPr>
          <w:p w14:paraId="448ABA19">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p>
        </w:tc>
      </w:tr>
      <w:tr w14:paraId="3198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33DF150A">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第二次付款</w:t>
            </w:r>
          </w:p>
        </w:tc>
        <w:tc>
          <w:tcPr>
            <w:tcW w:w="2127" w:type="dxa"/>
            <w:noWrap w:val="0"/>
            <w:vAlign w:val="top"/>
          </w:tcPr>
          <w:p w14:paraId="087654E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p>
        </w:tc>
        <w:tc>
          <w:tcPr>
            <w:tcW w:w="1559" w:type="dxa"/>
            <w:noWrap w:val="0"/>
            <w:vAlign w:val="top"/>
          </w:tcPr>
          <w:p w14:paraId="73627DCE">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p>
        </w:tc>
        <w:tc>
          <w:tcPr>
            <w:tcW w:w="2835" w:type="dxa"/>
            <w:noWrap w:val="0"/>
            <w:vAlign w:val="top"/>
          </w:tcPr>
          <w:p w14:paraId="6096D1E8">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p>
        </w:tc>
      </w:tr>
      <w:tr w14:paraId="1629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13C9B70F">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第三次付款</w:t>
            </w:r>
          </w:p>
        </w:tc>
        <w:tc>
          <w:tcPr>
            <w:tcW w:w="2127" w:type="dxa"/>
            <w:noWrap w:val="0"/>
            <w:vAlign w:val="top"/>
          </w:tcPr>
          <w:p w14:paraId="6BCE75E6">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p>
        </w:tc>
        <w:tc>
          <w:tcPr>
            <w:tcW w:w="1559" w:type="dxa"/>
            <w:noWrap w:val="0"/>
            <w:vAlign w:val="top"/>
          </w:tcPr>
          <w:p w14:paraId="51521FA6">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p>
        </w:tc>
        <w:tc>
          <w:tcPr>
            <w:tcW w:w="2835" w:type="dxa"/>
            <w:noWrap w:val="0"/>
            <w:vAlign w:val="top"/>
          </w:tcPr>
          <w:p w14:paraId="109B42D8">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p>
        </w:tc>
      </w:tr>
      <w:tr w14:paraId="2628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4863FDEA">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w:t>
            </w:r>
          </w:p>
        </w:tc>
        <w:tc>
          <w:tcPr>
            <w:tcW w:w="2127" w:type="dxa"/>
            <w:noWrap w:val="0"/>
            <w:vAlign w:val="top"/>
          </w:tcPr>
          <w:p w14:paraId="1348EA1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p>
        </w:tc>
        <w:tc>
          <w:tcPr>
            <w:tcW w:w="1559" w:type="dxa"/>
            <w:noWrap w:val="0"/>
            <w:vAlign w:val="top"/>
          </w:tcPr>
          <w:p w14:paraId="2CE3994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p>
        </w:tc>
        <w:tc>
          <w:tcPr>
            <w:tcW w:w="2835" w:type="dxa"/>
            <w:noWrap w:val="0"/>
            <w:vAlign w:val="top"/>
          </w:tcPr>
          <w:p w14:paraId="300484CA">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p>
        </w:tc>
      </w:tr>
      <w:tr w14:paraId="4308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79AFBDBD">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最后付款</w:t>
            </w:r>
          </w:p>
        </w:tc>
        <w:tc>
          <w:tcPr>
            <w:tcW w:w="2127" w:type="dxa"/>
            <w:noWrap w:val="0"/>
            <w:vAlign w:val="top"/>
          </w:tcPr>
          <w:p w14:paraId="3802A814">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监理与相关服务期届满14天内</w:t>
            </w:r>
          </w:p>
        </w:tc>
        <w:tc>
          <w:tcPr>
            <w:tcW w:w="1559" w:type="dxa"/>
            <w:noWrap w:val="0"/>
            <w:vAlign w:val="top"/>
          </w:tcPr>
          <w:p w14:paraId="713FF43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p>
        </w:tc>
        <w:tc>
          <w:tcPr>
            <w:tcW w:w="2835" w:type="dxa"/>
            <w:noWrap w:val="0"/>
            <w:vAlign w:val="top"/>
          </w:tcPr>
          <w:p w14:paraId="20E4A99D">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p>
        </w:tc>
      </w:tr>
    </w:tbl>
    <w:p w14:paraId="39BFB4D2">
      <w:pPr>
        <w:pageBreakBefore w:val="0"/>
        <w:kinsoku/>
        <w:wordWrap/>
        <w:overflowPunct/>
        <w:autoSpaceDE/>
        <w:autoSpaceDN/>
        <w:bidi w:val="0"/>
        <w:adjustRightInd w:val="0"/>
        <w:snapToGrid w:val="0"/>
        <w:spacing w:line="360" w:lineRule="auto"/>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lang w:val="en-US" w:eastAsia="zh-CN"/>
        </w:rPr>
        <w:t xml:space="preserve">    </w:t>
      </w:r>
      <w:r>
        <w:rPr>
          <w:rFonts w:hint="eastAsia" w:ascii="宋体" w:hAnsi="宋体" w:eastAsia="宋体" w:cs="宋体"/>
          <w:snapToGrid w:val="0"/>
          <w:kern w:val="0"/>
          <w:sz w:val="24"/>
        </w:rPr>
        <w:t>6.3  货币</w:t>
      </w:r>
    </w:p>
    <w:p w14:paraId="5A3FC636">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本项目工程支付监理服务费用的货币为人民币。</w:t>
      </w:r>
    </w:p>
    <w:p w14:paraId="78EAF267">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7.2  语言和法律</w:t>
      </w:r>
    </w:p>
    <w:p w14:paraId="7E5709F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本监理合同的主导语言为汉语。</w:t>
      </w:r>
    </w:p>
    <w:p w14:paraId="333DC5A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本监理合同所遵循的法律为中华人民共和国有关法律、法规。</w:t>
      </w:r>
    </w:p>
    <w:p w14:paraId="66E45EBE">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7.3  奖励</w:t>
      </w:r>
    </w:p>
    <w:p w14:paraId="26CB5054">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在工程实施期间，业主通过阶段性评比检查监理单位所得的各类奖罚金额及增加的相关费用，必须按业主制定的相关比例兑现至现场监理人员，各类奖罚金额由业主列入每期的支付予以支付。</w:t>
      </w:r>
    </w:p>
    <w:p w14:paraId="5B269332">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7.5.2  版权</w:t>
      </w:r>
    </w:p>
    <w:p w14:paraId="0F56C86F">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未经业主同意，监理单位不得出版本工程项目的任何资料和内容。</w:t>
      </w:r>
    </w:p>
    <w:p w14:paraId="55ADA31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8  争端的解决</w:t>
      </w:r>
    </w:p>
    <w:p w14:paraId="04436E13">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最终解决争端的方式，可选择仲裁或和向法院起诉。</w:t>
      </w:r>
    </w:p>
    <w:p w14:paraId="7B486812">
      <w:pPr>
        <w:pageBreakBefore w:val="0"/>
        <w:tabs>
          <w:tab w:val="left" w:pos="6060"/>
        </w:tabs>
        <w:kinsoku/>
        <w:wordWrap/>
        <w:overflowPunct/>
        <w:autoSpaceDE/>
        <w:autoSpaceDN/>
        <w:bidi w:val="0"/>
        <w:spacing w:line="360" w:lineRule="auto"/>
        <w:ind w:firstLine="537" w:firstLineChars="224"/>
        <w:textAlignment w:val="auto"/>
        <w:outlineLvl w:val="9"/>
        <w:rPr>
          <w:rFonts w:hint="eastAsia" w:ascii="宋体" w:hAnsi="宋体" w:eastAsia="宋体" w:cs="宋体"/>
          <w:b/>
          <w:bCs/>
          <w:sz w:val="24"/>
        </w:rPr>
      </w:pPr>
      <w:r>
        <w:rPr>
          <w:rFonts w:hint="eastAsia" w:ascii="宋体" w:hAnsi="宋体" w:eastAsia="宋体" w:cs="宋体"/>
          <w:snapToGrid w:val="0"/>
          <w:kern w:val="0"/>
          <w:sz w:val="24"/>
        </w:rPr>
        <w:t>9．</w:t>
      </w:r>
      <w:r>
        <w:rPr>
          <w:rFonts w:hint="eastAsia" w:ascii="宋体" w:hAnsi="宋体" w:eastAsia="宋体" w:cs="宋体"/>
          <w:b/>
          <w:bCs/>
          <w:sz w:val="24"/>
        </w:rPr>
        <w:t>合同文件及解释顺序</w:t>
      </w:r>
    </w:p>
    <w:p w14:paraId="6E817D34">
      <w:pPr>
        <w:pageBreakBefore w:val="0"/>
        <w:tabs>
          <w:tab w:val="left" w:pos="6060"/>
        </w:tabs>
        <w:kinsoku/>
        <w:wordWrap/>
        <w:overflowPunct/>
        <w:autoSpaceDE/>
        <w:autoSpaceDN/>
        <w:bidi w:val="0"/>
        <w:spacing w:line="360" w:lineRule="auto"/>
        <w:ind w:firstLine="537" w:firstLineChars="224"/>
        <w:textAlignment w:val="auto"/>
        <w:outlineLvl w:val="9"/>
        <w:rPr>
          <w:rFonts w:hint="eastAsia" w:ascii="宋体" w:hAnsi="宋体" w:eastAsia="宋体" w:cs="宋体"/>
          <w:sz w:val="24"/>
          <w:u w:val="single"/>
        </w:rPr>
      </w:pPr>
      <w:r>
        <w:rPr>
          <w:rFonts w:hint="eastAsia" w:ascii="宋体" w:hAnsi="宋体" w:eastAsia="宋体" w:cs="宋体"/>
          <w:sz w:val="24"/>
        </w:rPr>
        <w:t>合同文件组成及解释顺序：</w:t>
      </w:r>
      <w:r>
        <w:rPr>
          <w:rFonts w:hint="eastAsia" w:ascii="宋体" w:hAnsi="宋体" w:eastAsia="宋体" w:cs="宋体"/>
          <w:sz w:val="24"/>
          <w:u w:val="single"/>
        </w:rPr>
        <w:t>本合同协议书、中标通知书、答疑纪要、图纸、招标文件、本合同专用条件、本合同标准条件、标准、规范及有关技术文件（其中强制性标准优于其它条件）、投标书、工程报价单及其附件。</w:t>
      </w:r>
    </w:p>
    <w:p w14:paraId="25CEA7E1">
      <w:pPr>
        <w:pageBreakBefore w:val="0"/>
        <w:kinsoku/>
        <w:wordWrap/>
        <w:overflowPunct/>
        <w:autoSpaceDE/>
        <w:autoSpaceDN/>
        <w:bidi w:val="0"/>
        <w:spacing w:line="360" w:lineRule="auto"/>
        <w:textAlignment w:val="auto"/>
        <w:outlineLvl w:val="9"/>
        <w:rPr>
          <w:rFonts w:hint="eastAsia" w:ascii="宋体" w:hAnsi="宋体" w:eastAsia="宋体" w:cs="宋体"/>
        </w:rPr>
      </w:pPr>
      <w:bookmarkStart w:id="159" w:name="_Toc23693"/>
      <w:bookmarkStart w:id="160" w:name="_Toc26749"/>
      <w:r>
        <w:rPr>
          <w:rFonts w:hint="eastAsia" w:ascii="宋体" w:hAnsi="宋体" w:eastAsia="宋体" w:cs="宋体"/>
        </w:rPr>
        <w:t>附件A      监理服务的形式、范围与内容</w:t>
      </w:r>
      <w:bookmarkEnd w:id="159"/>
      <w:bookmarkEnd w:id="160"/>
    </w:p>
    <w:p w14:paraId="360B8563">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一、监理服务的形式</w:t>
      </w:r>
    </w:p>
    <w:p w14:paraId="54C3D6B2">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1、服务要求</w:t>
      </w:r>
    </w:p>
    <w:p w14:paraId="11639AB8">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见《工作大纲》“目的和依据”。</w:t>
      </w:r>
    </w:p>
    <w:p w14:paraId="4CAD3EE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2、组织机构</w:t>
      </w:r>
    </w:p>
    <w:p w14:paraId="3F07D289">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见《工作大纲》“机构设置”。</w:t>
      </w:r>
    </w:p>
    <w:p w14:paraId="0D5CC77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二、监理服务的范围</w:t>
      </w:r>
    </w:p>
    <w:p w14:paraId="005BD632">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1、服务范围</w:t>
      </w:r>
    </w:p>
    <w:p w14:paraId="3CEA3EEE">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见合同专用条款。</w:t>
      </w:r>
    </w:p>
    <w:p w14:paraId="29725F23">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2、服务目标</w:t>
      </w:r>
    </w:p>
    <w:p w14:paraId="16E4381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监理工程师应根据合同文件要求独立、公正地对工程质量、进度、安全、投资进行有效地控制。在合同总额内，按期把工程建设成优质工程。</w:t>
      </w:r>
    </w:p>
    <w:p w14:paraId="0A783BF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三、监理服务的内容</w:t>
      </w:r>
    </w:p>
    <w:p w14:paraId="3273CEA0">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见合同专用条款。</w:t>
      </w:r>
    </w:p>
    <w:p w14:paraId="55C813B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四、业主对监理单位的授权</w:t>
      </w:r>
    </w:p>
    <w:p w14:paraId="0EC1AA1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监理单位根据监理合同、业主同承包人签订的施工合同有关内容，履行合同中所明确的监理工程师职责范围和相应的权限。</w:t>
      </w:r>
    </w:p>
    <w:p w14:paraId="34A57A8A">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五、监理服务的依据</w:t>
      </w:r>
    </w:p>
    <w:p w14:paraId="7CC5CE49">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1.监理合同；</w:t>
      </w:r>
    </w:p>
    <w:p w14:paraId="49566515">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2.业主与第三方（承包人）签订的正式合同、协议及附件；</w:t>
      </w:r>
    </w:p>
    <w:p w14:paraId="36DD8231">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3.合同工程量清单及说明；</w:t>
      </w:r>
    </w:p>
    <w:p w14:paraId="58CE2A1C">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4. 合同指定使用的标准图纸、技术规范、工程质量检验评定标准、试验规程等；</w:t>
      </w:r>
    </w:p>
    <w:p w14:paraId="08471EEE">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5. 国家、省、市颁布的监理法规等；</w:t>
      </w:r>
    </w:p>
    <w:p w14:paraId="6620B074">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rPr>
      </w:pPr>
      <w:r>
        <w:rPr>
          <w:rFonts w:hint="eastAsia" w:ascii="宋体" w:hAnsi="宋体" w:eastAsia="宋体" w:cs="宋体"/>
          <w:snapToGrid w:val="0"/>
          <w:kern w:val="0"/>
          <w:sz w:val="24"/>
        </w:rPr>
        <w:t>6.其它。</w:t>
      </w:r>
      <w:bookmarkStart w:id="161" w:name="_Toc21244"/>
      <w:bookmarkStart w:id="162" w:name="_Toc10588"/>
      <w:r>
        <w:rPr>
          <w:rFonts w:hint="eastAsia" w:ascii="宋体" w:hAnsi="宋体" w:eastAsia="宋体" w:cs="宋体"/>
        </w:rPr>
        <w:t>附件B     业主提供的监理工作条件</w:t>
      </w:r>
      <w:bookmarkEnd w:id="161"/>
      <w:bookmarkEnd w:id="162"/>
    </w:p>
    <w:p w14:paraId="2236A192">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一、文件和资料</w:t>
      </w:r>
    </w:p>
    <w:p w14:paraId="55D4F499">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业主在监理合同生效之日起10日之内，向监理单位免费提供合同、图纸等相关资料。</w:t>
      </w:r>
    </w:p>
    <w:p w14:paraId="7F6D5887">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二、决策与决定</w:t>
      </w:r>
    </w:p>
    <w:p w14:paraId="0BE57F97">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业主同意：根据监理单位针对有关项目或本工程的工期、质量、投资、合约和安全等重大问题的请示，及时予以决策或决定。</w:t>
      </w:r>
    </w:p>
    <w:p w14:paraId="5A6C3AAE">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双方在此约定：业主对上述问题给予书面答复的最迟期限为15天。</w:t>
      </w:r>
    </w:p>
    <w:p w14:paraId="4EB8C51A">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三、协助</w:t>
      </w:r>
    </w:p>
    <w:p w14:paraId="0FD940B3">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业主在项目所在地对监理单位提供如下协助：</w:t>
      </w:r>
    </w:p>
    <w:p w14:paraId="005B2D9A">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1.建立监理工作人员及个人财产的出入通道；</w:t>
      </w:r>
    </w:p>
    <w:p w14:paraId="10BC6B1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2.建立监理服务费用的财务通道；</w:t>
      </w:r>
    </w:p>
    <w:p w14:paraId="162BB58B">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3.建立监理服务所需的公关和信息通道。</w:t>
      </w:r>
    </w:p>
    <w:p w14:paraId="79F1610F">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四、设施与物品</w:t>
      </w:r>
    </w:p>
    <w:p w14:paraId="6C0B906E">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双方在此约定：下列设施、设备和物品由监理单位自备：</w:t>
      </w:r>
    </w:p>
    <w:p w14:paraId="245488FF">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驻地监理工程师办公室的办公设备、生活设备、通讯设备、交通设备、试验及检测设备、办公物品等其它设施、物品。</w:t>
      </w:r>
    </w:p>
    <w:p w14:paraId="03657134">
      <w:pPr>
        <w:pageBreakBefore w:val="0"/>
        <w:kinsoku/>
        <w:wordWrap/>
        <w:overflowPunct/>
        <w:autoSpaceDE/>
        <w:autoSpaceDN/>
        <w:bidi w:val="0"/>
        <w:adjustRightInd w:val="0"/>
        <w:snapToGrid w:val="0"/>
        <w:spacing w:line="360" w:lineRule="auto"/>
        <w:ind w:firstLine="480" w:firstLineChars="200"/>
        <w:textAlignment w:val="auto"/>
        <w:outlineLvl w:val="9"/>
        <w:rPr>
          <w:rFonts w:hint="eastAsia" w:ascii="宋体" w:hAnsi="宋体" w:eastAsia="宋体" w:cs="宋体"/>
          <w:snapToGrid w:val="0"/>
          <w:kern w:val="0"/>
          <w:sz w:val="24"/>
        </w:rPr>
      </w:pPr>
      <w:r>
        <w:rPr>
          <w:rFonts w:hint="eastAsia" w:ascii="宋体" w:hAnsi="宋体" w:eastAsia="宋体" w:cs="宋体"/>
          <w:snapToGrid w:val="0"/>
          <w:kern w:val="0"/>
          <w:sz w:val="24"/>
        </w:rPr>
        <w:t>监理自备的设施设备合同结束后，产权归监理单位所有。</w:t>
      </w:r>
    </w:p>
    <w:p w14:paraId="627B18B6">
      <w:pPr>
        <w:pageBreakBefore w:val="0"/>
        <w:kinsoku/>
        <w:bidi w:val="0"/>
        <w:spacing w:line="360" w:lineRule="auto"/>
        <w:ind w:firstLine="480" w:firstLineChars="200"/>
        <w:jc w:val="left"/>
        <w:outlineLvl w:val="0"/>
        <w:rPr>
          <w:rFonts w:hint="eastAsia" w:ascii="宋体" w:hAnsi="宋体" w:eastAsia="宋体" w:cs="宋体"/>
          <w:snapToGrid w:val="0"/>
          <w:kern w:val="0"/>
          <w:sz w:val="24"/>
        </w:rPr>
      </w:pPr>
      <w:r>
        <w:rPr>
          <w:rFonts w:hint="eastAsia" w:ascii="宋体" w:hAnsi="宋体" w:eastAsia="宋体" w:cs="宋体"/>
          <w:snapToGrid w:val="0"/>
          <w:kern w:val="0"/>
          <w:sz w:val="24"/>
        </w:rPr>
        <w:t>监理单位应自行办灶，不允许与施工单位同吃同住。</w:t>
      </w:r>
    </w:p>
    <w:p w14:paraId="17B056BA">
      <w:pPr>
        <w:rPr>
          <w:rFonts w:hint="eastAsia" w:ascii="宋体" w:hAnsi="宋体" w:eastAsia="宋体" w:cs="宋体"/>
          <w:snapToGrid w:val="0"/>
          <w:kern w:val="0"/>
          <w:sz w:val="24"/>
        </w:rPr>
      </w:pPr>
      <w:r>
        <w:rPr>
          <w:rFonts w:hint="eastAsia" w:ascii="宋体" w:hAnsi="宋体" w:eastAsia="宋体" w:cs="宋体"/>
          <w:snapToGrid w:val="0"/>
          <w:kern w:val="0"/>
          <w:sz w:val="24"/>
        </w:rPr>
        <w:br w:type="page"/>
      </w:r>
    </w:p>
    <w:p w14:paraId="0B8E7A4D">
      <w:pPr>
        <w:pageBreakBefore w:val="0"/>
        <w:kinsoku/>
        <w:bidi w:val="0"/>
        <w:spacing w:line="360" w:lineRule="auto"/>
        <w:ind w:firstLine="723" w:firstLineChars="200"/>
        <w:jc w:val="center"/>
        <w:outlineLvl w:val="0"/>
        <w:rPr>
          <w:rFonts w:hint="eastAsia" w:asciiTheme="minorEastAsia" w:hAnsiTheme="minorEastAsia" w:eastAsiaTheme="minorEastAsia" w:cstheme="minorEastAsia"/>
          <w:b/>
          <w:bCs/>
          <w:color w:val="auto"/>
          <w:sz w:val="36"/>
          <w:szCs w:val="36"/>
          <w:lang w:val="zh-CN"/>
        </w:rPr>
      </w:pPr>
      <w:r>
        <w:rPr>
          <w:rFonts w:hint="eastAsia" w:asciiTheme="minorEastAsia" w:hAnsiTheme="minorEastAsia" w:eastAsiaTheme="minorEastAsia" w:cstheme="minorEastAsia"/>
          <w:b/>
          <w:bCs/>
          <w:color w:val="auto"/>
          <w:sz w:val="36"/>
          <w:szCs w:val="36"/>
          <w:lang w:val="zh-CN"/>
        </w:rPr>
        <w:t>第</w:t>
      </w:r>
      <w:r>
        <w:rPr>
          <w:rFonts w:hint="eastAsia" w:asciiTheme="minorEastAsia" w:hAnsiTheme="minorEastAsia" w:eastAsiaTheme="minorEastAsia" w:cstheme="minorEastAsia"/>
          <w:b/>
          <w:bCs/>
          <w:color w:val="auto"/>
          <w:sz w:val="36"/>
          <w:szCs w:val="36"/>
          <w:lang w:val="en-US" w:eastAsia="zh-CN"/>
        </w:rPr>
        <w:t>六</w:t>
      </w:r>
      <w:r>
        <w:rPr>
          <w:rFonts w:hint="eastAsia" w:asciiTheme="minorEastAsia" w:hAnsiTheme="minorEastAsia" w:eastAsiaTheme="minorEastAsia" w:cstheme="minorEastAsia"/>
          <w:b/>
          <w:bCs/>
          <w:color w:val="auto"/>
          <w:sz w:val="36"/>
          <w:szCs w:val="36"/>
          <w:lang w:val="zh-CN"/>
        </w:rPr>
        <w:t>章</w:t>
      </w:r>
      <w:r>
        <w:rPr>
          <w:rFonts w:hint="eastAsia" w:asciiTheme="minorEastAsia" w:hAnsiTheme="minorEastAsia" w:eastAsiaTheme="minorEastAsia" w:cstheme="minorEastAsia"/>
          <w:b/>
          <w:bCs/>
          <w:color w:val="auto"/>
          <w:sz w:val="36"/>
          <w:szCs w:val="36"/>
        </w:rPr>
        <w:t xml:space="preserve"> </w:t>
      </w:r>
      <w:r>
        <w:rPr>
          <w:rFonts w:hint="eastAsia" w:asciiTheme="minorEastAsia" w:hAnsiTheme="minorEastAsia" w:eastAsiaTheme="minorEastAsia" w:cstheme="minorEastAsia"/>
          <w:b/>
          <w:bCs/>
          <w:color w:val="auto"/>
          <w:sz w:val="36"/>
          <w:szCs w:val="36"/>
          <w:lang w:val="zh-CN"/>
        </w:rPr>
        <w:t>投标文件基本格式</w:t>
      </w:r>
      <w:bookmarkEnd w:id="149"/>
    </w:p>
    <w:p w14:paraId="55554427">
      <w:pPr>
        <w:pStyle w:val="35"/>
        <w:pageBreakBefore w:val="0"/>
        <w:numPr>
          <w:ilvl w:val="0"/>
          <w:numId w:val="0"/>
        </w:numPr>
        <w:kinsoku/>
        <w:bidi w:val="0"/>
        <w:snapToGrid w:val="0"/>
        <w:spacing w:before="0" w:line="360" w:lineRule="auto"/>
        <w:outlineLvl w:val="9"/>
        <w:rPr>
          <w:rFonts w:hint="eastAsia" w:asciiTheme="minorEastAsia" w:hAnsiTheme="minorEastAsia" w:eastAsiaTheme="minorEastAsia" w:cstheme="minorEastAsia"/>
          <w:color w:val="auto"/>
          <w:sz w:val="24"/>
        </w:rPr>
      </w:pPr>
      <w:bookmarkStart w:id="163" w:name="_Toc86202633"/>
      <w:bookmarkStart w:id="164" w:name="_Toc174185202"/>
      <w:r>
        <w:rPr>
          <w:rFonts w:hint="eastAsia" w:asciiTheme="minorEastAsia" w:hAnsiTheme="minorEastAsia" w:eastAsiaTheme="minorEastAsia" w:cstheme="minorEastAsia"/>
          <w:color w:val="auto"/>
          <w:sz w:val="24"/>
        </w:rPr>
        <w:t>投标人提交文件须知</w:t>
      </w:r>
      <w:bookmarkEnd w:id="163"/>
      <w:bookmarkEnd w:id="164"/>
    </w:p>
    <w:p w14:paraId="69BDE2C7">
      <w:pPr>
        <w:pageBreakBefore w:val="0"/>
        <w:numPr>
          <w:ilvl w:val="0"/>
          <w:numId w:val="3"/>
        </w:numPr>
        <w:tabs>
          <w:tab w:val="left" w:pos="0"/>
          <w:tab w:val="left" w:pos="806"/>
        </w:tabs>
        <w:kinsoku/>
        <w:bidi w:val="0"/>
        <w:snapToGrid w:val="0"/>
        <w:spacing w:line="360" w:lineRule="auto"/>
        <w:ind w:left="824" w:hanging="368"/>
        <w:jc w:val="left"/>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投标人应严格按照招标文件填写和提交下述规定的全部格式文件以及其他有关资料，混乱的编排导致投标文件被误读或查找不到，后果由投标人承担。</w:t>
      </w:r>
    </w:p>
    <w:p w14:paraId="202B7836">
      <w:pPr>
        <w:pageBreakBefore w:val="0"/>
        <w:numPr>
          <w:ilvl w:val="0"/>
          <w:numId w:val="3"/>
        </w:numPr>
        <w:tabs>
          <w:tab w:val="left" w:pos="0"/>
          <w:tab w:val="left" w:pos="806"/>
        </w:tabs>
        <w:kinsoku/>
        <w:bidi w:val="0"/>
        <w:snapToGrid w:val="0"/>
        <w:spacing w:line="360" w:lineRule="auto"/>
        <w:ind w:left="824" w:hanging="368"/>
        <w:jc w:val="left"/>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所附表格中要求回答的全部问题和信息都必须正面回答。</w:t>
      </w:r>
    </w:p>
    <w:p w14:paraId="337333FC">
      <w:pPr>
        <w:pageBreakBefore w:val="0"/>
        <w:numPr>
          <w:ilvl w:val="0"/>
          <w:numId w:val="3"/>
        </w:numPr>
        <w:tabs>
          <w:tab w:val="left" w:pos="0"/>
          <w:tab w:val="left" w:pos="806"/>
        </w:tabs>
        <w:kinsoku/>
        <w:bidi w:val="0"/>
        <w:snapToGrid w:val="0"/>
        <w:spacing w:line="360" w:lineRule="auto"/>
        <w:ind w:left="824" w:hanging="368"/>
        <w:jc w:val="left"/>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评标委员会将应用投标人提交的资料并根据自己的判断，决定投标人履行合同的合格性及能力。</w:t>
      </w:r>
    </w:p>
    <w:p w14:paraId="69E234FD">
      <w:pPr>
        <w:pageBreakBefore w:val="0"/>
        <w:numPr>
          <w:ilvl w:val="0"/>
          <w:numId w:val="3"/>
        </w:numPr>
        <w:tabs>
          <w:tab w:val="left" w:pos="0"/>
          <w:tab w:val="left" w:pos="806"/>
        </w:tabs>
        <w:kinsoku/>
        <w:bidi w:val="0"/>
        <w:snapToGrid w:val="0"/>
        <w:spacing w:line="360" w:lineRule="auto"/>
        <w:ind w:left="824" w:hanging="368"/>
        <w:jc w:val="left"/>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投标人提交的材料将被妥善保存，但不退还。</w:t>
      </w:r>
    </w:p>
    <w:p w14:paraId="2F249941">
      <w:pPr>
        <w:pageBreakBefore w:val="0"/>
        <w:numPr>
          <w:ilvl w:val="0"/>
          <w:numId w:val="3"/>
        </w:numPr>
        <w:tabs>
          <w:tab w:val="left" w:pos="0"/>
          <w:tab w:val="left" w:pos="806"/>
        </w:tabs>
        <w:kinsoku/>
        <w:bidi w:val="0"/>
        <w:snapToGrid w:val="0"/>
        <w:spacing w:line="360" w:lineRule="auto"/>
        <w:ind w:left="824" w:hanging="368"/>
        <w:jc w:val="left"/>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全部文件应按投标人须知中规定的语言和份数提交。</w:t>
      </w:r>
    </w:p>
    <w:p w14:paraId="3FA7A474">
      <w:pPr>
        <w:pageBreakBefore w:val="0"/>
        <w:kinsoku/>
        <w:autoSpaceDE w:val="0"/>
        <w:autoSpaceDN w:val="0"/>
        <w:bidi w:val="0"/>
        <w:snapToGrid w:val="0"/>
        <w:spacing w:line="360" w:lineRule="auto"/>
        <w:jc w:val="right"/>
        <w:outlineLvl w:val="9"/>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4"/>
        </w:rPr>
        <w:br w:type="page"/>
      </w:r>
    </w:p>
    <w:p w14:paraId="00A246AC">
      <w:pPr>
        <w:pageBreakBefore w:val="0"/>
        <w:kinsoku/>
        <w:autoSpaceDE w:val="0"/>
        <w:autoSpaceDN w:val="0"/>
        <w:bidi w:val="0"/>
        <w:snapToGrid w:val="0"/>
        <w:spacing w:line="360" w:lineRule="auto"/>
        <w:jc w:val="center"/>
        <w:outlineLvl w:val="9"/>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 xml:space="preserve">                           正（副）本</w:t>
      </w:r>
    </w:p>
    <w:p w14:paraId="0F025C99">
      <w:pPr>
        <w:pStyle w:val="8"/>
        <w:pageBreakBefore w:val="0"/>
        <w:kinsoku/>
        <w:bidi w:val="0"/>
        <w:spacing w:line="360" w:lineRule="auto"/>
        <w:outlineLvl w:val="9"/>
        <w:rPr>
          <w:rFonts w:hint="eastAsia" w:asciiTheme="minorEastAsia" w:hAnsiTheme="minorEastAsia" w:eastAsiaTheme="minorEastAsia" w:cstheme="minorEastAsia"/>
        </w:rPr>
      </w:pPr>
    </w:p>
    <w:p w14:paraId="249D6D92">
      <w:pPr>
        <w:pStyle w:val="6"/>
        <w:pageBreakBefore w:val="0"/>
        <w:kinsoku/>
        <w:bidi w:val="0"/>
        <w:spacing w:line="360" w:lineRule="auto"/>
        <w:outlineLvl w:val="9"/>
        <w:rPr>
          <w:rFonts w:hint="eastAsia" w:asciiTheme="minorEastAsia" w:hAnsiTheme="minorEastAsia" w:eastAsiaTheme="minorEastAsia" w:cstheme="minorEastAsia"/>
        </w:rPr>
      </w:pPr>
    </w:p>
    <w:p w14:paraId="334956F0">
      <w:pPr>
        <w:pageBreakBefore w:val="0"/>
        <w:kinsoku/>
        <w:bidi w:val="0"/>
        <w:spacing w:line="360" w:lineRule="auto"/>
        <w:jc w:val="center"/>
        <w:outlineLvl w:val="9"/>
        <w:rPr>
          <w:rFonts w:hint="eastAsia" w:asciiTheme="minorEastAsia" w:hAnsiTheme="minorEastAsia" w:eastAsiaTheme="minorEastAsia" w:cstheme="minorEastAsia"/>
          <w:b/>
          <w:bCs/>
          <w:color w:val="auto"/>
          <w:sz w:val="36"/>
          <w:szCs w:val="36"/>
          <w:lang w:eastAsia="zh-CN"/>
        </w:rPr>
      </w:pPr>
      <w:r>
        <w:rPr>
          <w:rFonts w:hint="eastAsia" w:asciiTheme="minorEastAsia" w:hAnsiTheme="minorEastAsia" w:eastAsiaTheme="minorEastAsia" w:cstheme="minorEastAsia"/>
          <w:b/>
          <w:bCs/>
          <w:color w:val="auto"/>
          <w:sz w:val="36"/>
          <w:szCs w:val="36"/>
          <w:lang w:eastAsia="zh-CN"/>
        </w:rPr>
        <w:t>陕北地区退化生态修复与林草湿荒一体化保护项目2025年子洲县项目区监理费</w:t>
      </w:r>
    </w:p>
    <w:p w14:paraId="5D6026D8">
      <w:pPr>
        <w:pStyle w:val="34"/>
        <w:ind w:left="0" w:leftChars="0" w:firstLine="0" w:firstLineChars="0"/>
        <w:rPr>
          <w:rFonts w:hint="eastAsia" w:asciiTheme="minorEastAsia" w:hAnsiTheme="minorEastAsia" w:eastAsiaTheme="minorEastAsia" w:cstheme="minorEastAsia"/>
          <w:b/>
          <w:bCs/>
          <w:color w:val="auto"/>
          <w:sz w:val="40"/>
          <w:szCs w:val="40"/>
          <w:lang w:eastAsia="zh-CN"/>
        </w:rPr>
      </w:pPr>
    </w:p>
    <w:p w14:paraId="2EB407E3">
      <w:pPr>
        <w:rPr>
          <w:rFonts w:hint="eastAsia" w:asciiTheme="minorEastAsia" w:hAnsiTheme="minorEastAsia" w:eastAsiaTheme="minorEastAsia" w:cstheme="minorEastAsia"/>
          <w:b/>
          <w:bCs/>
          <w:color w:val="auto"/>
          <w:sz w:val="40"/>
          <w:szCs w:val="40"/>
          <w:lang w:eastAsia="zh-CN"/>
        </w:rPr>
      </w:pPr>
    </w:p>
    <w:p w14:paraId="006ACE9B">
      <w:pPr>
        <w:pStyle w:val="34"/>
        <w:rPr>
          <w:rFonts w:hint="eastAsia"/>
          <w:lang w:eastAsia="zh-CN"/>
        </w:rPr>
      </w:pPr>
    </w:p>
    <w:p w14:paraId="056FC46F">
      <w:pPr>
        <w:pStyle w:val="6"/>
        <w:pageBreakBefore w:val="0"/>
        <w:kinsoku/>
        <w:bidi w:val="0"/>
        <w:spacing w:line="360" w:lineRule="auto"/>
        <w:ind w:firstLine="400"/>
        <w:outlineLvl w:val="9"/>
        <w:rPr>
          <w:rFonts w:hint="eastAsia" w:asciiTheme="minorEastAsia" w:hAnsiTheme="minorEastAsia" w:eastAsiaTheme="minorEastAsia" w:cstheme="minorEastAsia"/>
          <w:color w:val="auto"/>
        </w:rPr>
      </w:pPr>
    </w:p>
    <w:p w14:paraId="15BA599F">
      <w:pPr>
        <w:pageBreakBefore w:val="0"/>
        <w:kinsoku/>
        <w:bidi w:val="0"/>
        <w:spacing w:line="360" w:lineRule="auto"/>
        <w:jc w:val="center"/>
        <w:outlineLvl w:val="9"/>
        <w:rPr>
          <w:rFonts w:hint="eastAsia" w:asciiTheme="minorEastAsia" w:hAnsiTheme="minorEastAsia" w:eastAsiaTheme="minorEastAsia" w:cstheme="minorEastAsia"/>
          <w:b/>
          <w:bCs/>
          <w:color w:val="auto"/>
          <w:sz w:val="72"/>
          <w:szCs w:val="72"/>
        </w:rPr>
      </w:pPr>
      <w:r>
        <w:rPr>
          <w:rFonts w:hint="eastAsia" w:asciiTheme="minorEastAsia" w:hAnsiTheme="minorEastAsia" w:eastAsiaTheme="minorEastAsia" w:cstheme="minorEastAsia"/>
          <w:b/>
          <w:bCs/>
          <w:color w:val="auto"/>
          <w:sz w:val="72"/>
          <w:szCs w:val="72"/>
        </w:rPr>
        <w:t>投 标 文 件</w:t>
      </w:r>
    </w:p>
    <w:p w14:paraId="64FB7D8E">
      <w:pPr>
        <w:pageBreakBefore w:val="0"/>
        <w:kinsoku/>
        <w:bidi w:val="0"/>
        <w:spacing w:line="360" w:lineRule="auto"/>
        <w:jc w:val="center"/>
        <w:outlineLvl w:val="9"/>
        <w:rPr>
          <w:rFonts w:hint="eastAsia" w:asciiTheme="minorEastAsia" w:hAnsiTheme="minorEastAsia" w:eastAsiaTheme="minorEastAsia" w:cstheme="minorEastAsia"/>
          <w:b/>
          <w:color w:val="auto"/>
          <w:sz w:val="36"/>
        </w:rPr>
      </w:pPr>
    </w:p>
    <w:p w14:paraId="5E89EA5E">
      <w:pPr>
        <w:pageBreakBefore w:val="0"/>
        <w:kinsoku/>
        <w:bidi w:val="0"/>
        <w:spacing w:line="360" w:lineRule="auto"/>
        <w:jc w:val="center"/>
        <w:outlineLvl w:val="9"/>
        <w:rPr>
          <w:rFonts w:hint="eastAsia" w:asciiTheme="minorEastAsia" w:hAnsiTheme="minorEastAsia" w:eastAsiaTheme="minorEastAsia" w:cstheme="minorEastAsia"/>
          <w:b/>
          <w:color w:val="auto"/>
          <w:sz w:val="36"/>
        </w:rPr>
      </w:pPr>
    </w:p>
    <w:p w14:paraId="30F31766">
      <w:pPr>
        <w:pStyle w:val="8"/>
        <w:rPr>
          <w:rFonts w:hint="eastAsia"/>
        </w:rPr>
      </w:pPr>
    </w:p>
    <w:p w14:paraId="6205B136">
      <w:pPr>
        <w:pageBreakBefore w:val="0"/>
        <w:kinsoku/>
        <w:bidi w:val="0"/>
        <w:adjustRightInd w:val="0"/>
        <w:snapToGrid w:val="0"/>
        <w:spacing w:line="600" w:lineRule="auto"/>
        <w:outlineLvl w:val="9"/>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bCs/>
          <w:color w:val="auto"/>
          <w:sz w:val="32"/>
          <w:szCs w:val="32"/>
          <w:lang w:eastAsia="zh-CN"/>
        </w:rPr>
        <w:t>标段名称：</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14:paraId="15F79A5A">
      <w:pPr>
        <w:pageBreakBefore w:val="0"/>
        <w:kinsoku/>
        <w:bidi w:val="0"/>
        <w:adjustRightInd w:val="0"/>
        <w:snapToGrid w:val="0"/>
        <w:spacing w:line="600" w:lineRule="auto"/>
        <w:outlineLvl w:val="9"/>
        <w:rPr>
          <w:rFonts w:hint="eastAsia" w:asciiTheme="minorEastAsia" w:hAnsiTheme="minorEastAsia" w:eastAsiaTheme="minorEastAsia" w:cstheme="minorEastAsia"/>
          <w:b/>
          <w:color w:val="auto"/>
          <w:sz w:val="36"/>
        </w:rPr>
      </w:pPr>
      <w:r>
        <w:rPr>
          <w:rFonts w:hint="eastAsia" w:asciiTheme="minorEastAsia" w:hAnsiTheme="minorEastAsia" w:eastAsiaTheme="minorEastAsia" w:cstheme="minorEastAsia"/>
          <w:b/>
          <w:bCs/>
          <w:color w:val="auto"/>
          <w:sz w:val="32"/>
          <w:szCs w:val="32"/>
          <w:lang w:eastAsia="zh-CN"/>
        </w:rPr>
        <w:t>标段编号：</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b/>
          <w:color w:val="auto"/>
          <w:sz w:val="36"/>
        </w:rPr>
        <w:t xml:space="preserve">         </w:t>
      </w:r>
    </w:p>
    <w:p w14:paraId="696F9601">
      <w:pPr>
        <w:pageBreakBefore w:val="0"/>
        <w:kinsoku/>
        <w:bidi w:val="0"/>
        <w:adjustRightInd w:val="0"/>
        <w:snapToGrid w:val="0"/>
        <w:spacing w:line="600" w:lineRule="auto"/>
        <w:outlineLvl w:val="9"/>
        <w:rPr>
          <w:rFonts w:hint="eastAsia"/>
        </w:rPr>
      </w:pPr>
      <w:r>
        <w:rPr>
          <w:rFonts w:hint="eastAsia" w:asciiTheme="minorEastAsia" w:hAnsiTheme="minorEastAsia" w:eastAsiaTheme="minorEastAsia" w:cstheme="minorEastAsia"/>
          <w:b/>
          <w:bCs/>
          <w:color w:val="auto"/>
          <w:sz w:val="32"/>
          <w:szCs w:val="32"/>
        </w:rPr>
        <w:t>投 标 人（盖章）</w:t>
      </w:r>
      <w:r>
        <w:rPr>
          <w:rFonts w:hint="eastAsia" w:asciiTheme="minorEastAsia" w:hAnsiTheme="minorEastAsia" w:eastAsiaTheme="minorEastAsia" w:cstheme="minorEastAsia"/>
          <w:b/>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14:paraId="23910988">
      <w:pPr>
        <w:pageBreakBefore w:val="0"/>
        <w:kinsoku/>
        <w:bidi w:val="0"/>
        <w:adjustRightInd w:val="0"/>
        <w:snapToGrid w:val="0"/>
        <w:spacing w:line="600" w:lineRule="auto"/>
        <w:outlineLvl w:val="9"/>
        <w:rPr>
          <w:rFonts w:hint="eastAsia"/>
        </w:rPr>
      </w:pPr>
      <w:r>
        <w:rPr>
          <w:rFonts w:hint="eastAsia" w:asciiTheme="minorEastAsia" w:hAnsiTheme="minorEastAsia" w:eastAsiaTheme="minorEastAsia" w:cstheme="minorEastAsia"/>
          <w:b/>
          <w:bCs/>
          <w:color w:val="auto"/>
          <w:sz w:val="32"/>
          <w:szCs w:val="32"/>
        </w:rPr>
        <w:t>法人或委托人（</w:t>
      </w:r>
      <w:r>
        <w:rPr>
          <w:rFonts w:hint="eastAsia" w:asciiTheme="minorEastAsia" w:hAnsiTheme="minorEastAsia" w:eastAsiaTheme="minorEastAsia" w:cstheme="minorEastAsia"/>
          <w:b/>
          <w:bCs/>
          <w:color w:val="auto"/>
          <w:sz w:val="32"/>
          <w:szCs w:val="32"/>
          <w:lang w:val="en-US" w:eastAsia="zh-CN"/>
        </w:rPr>
        <w:t>签字或盖章</w:t>
      </w:r>
      <w:r>
        <w:rPr>
          <w:rFonts w:hint="eastAsia" w:asciiTheme="minorEastAsia" w:hAnsiTheme="minorEastAsia" w:eastAsiaTheme="minorEastAsia" w:cstheme="minorEastAsia"/>
          <w:b/>
          <w:bCs/>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14:paraId="39AFF26D">
      <w:pPr>
        <w:pageBreakBefore w:val="0"/>
        <w:kinsoku/>
        <w:bidi w:val="0"/>
        <w:adjustRightInd w:val="0"/>
        <w:snapToGrid w:val="0"/>
        <w:spacing w:line="600" w:lineRule="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日    期</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14:paraId="1B043C31">
      <w:pPr>
        <w:pageBreakBefore w:val="0"/>
        <w:kinsoku/>
        <w:bidi w:val="0"/>
        <w:spacing w:line="360" w:lineRule="auto"/>
        <w:outlineLvl w:val="9"/>
        <w:rPr>
          <w:rFonts w:hint="eastAsia" w:asciiTheme="minorEastAsia" w:hAnsiTheme="minorEastAsia" w:eastAsiaTheme="minorEastAsia" w:cstheme="minorEastAsia"/>
          <w:b/>
          <w:color w:val="auto"/>
          <w:sz w:val="48"/>
          <w:szCs w:val="48"/>
        </w:rPr>
      </w:pPr>
    </w:p>
    <w:p w14:paraId="19645AF6">
      <w:pPr>
        <w:pageBreakBefore w:val="0"/>
        <w:kinsoku/>
        <w:bidi w:val="0"/>
        <w:spacing w:line="360" w:lineRule="auto"/>
        <w:jc w:val="center"/>
        <w:outlineLvl w:val="9"/>
        <w:rPr>
          <w:rFonts w:hint="eastAsia" w:asciiTheme="minorEastAsia" w:hAnsiTheme="minorEastAsia" w:eastAsiaTheme="minorEastAsia" w:cstheme="minorEastAsia"/>
          <w:b/>
          <w:color w:val="auto"/>
          <w:sz w:val="48"/>
          <w:szCs w:val="48"/>
        </w:rPr>
      </w:pPr>
    </w:p>
    <w:p w14:paraId="20DB71B0">
      <w:pPr>
        <w:pageBreakBefore w:val="0"/>
        <w:kinsoku/>
        <w:bidi w:val="0"/>
        <w:spacing w:line="360" w:lineRule="auto"/>
        <w:jc w:val="center"/>
        <w:outlineLvl w:val="9"/>
        <w:rPr>
          <w:rFonts w:hint="eastAsia" w:asciiTheme="minorEastAsia" w:hAnsiTheme="minorEastAsia" w:eastAsiaTheme="minorEastAsia" w:cstheme="minorEastAsia"/>
          <w:b/>
          <w:color w:val="auto"/>
          <w:sz w:val="48"/>
          <w:szCs w:val="48"/>
        </w:rPr>
      </w:pPr>
      <w:r>
        <w:rPr>
          <w:rFonts w:hint="eastAsia" w:asciiTheme="minorEastAsia" w:hAnsiTheme="minorEastAsia" w:eastAsiaTheme="minorEastAsia" w:cstheme="minorEastAsia"/>
          <w:b/>
          <w:color w:val="auto"/>
          <w:sz w:val="48"/>
          <w:szCs w:val="48"/>
        </w:rPr>
        <w:t>目  录</w:t>
      </w:r>
    </w:p>
    <w:p w14:paraId="7FE9CF19">
      <w:pPr>
        <w:pageBreakBefore w:val="0"/>
        <w:kinsoku/>
        <w:bidi w:val="0"/>
        <w:adjustRightInd w:val="0"/>
        <w:spacing w:line="360" w:lineRule="auto"/>
        <w:ind w:firstLine="1606" w:firstLineChars="500"/>
        <w:textAlignment w:val="baseline"/>
        <w:outlineLvl w:val="9"/>
        <w:rPr>
          <w:rFonts w:hint="eastAsia" w:asciiTheme="minorEastAsia" w:hAnsiTheme="minorEastAsia" w:eastAsiaTheme="minorEastAsia" w:cstheme="minorEastAsia"/>
          <w:b/>
          <w:color w:val="auto"/>
          <w:sz w:val="32"/>
          <w:szCs w:val="32"/>
        </w:rPr>
      </w:pPr>
    </w:p>
    <w:p w14:paraId="1E80FF46">
      <w:pPr>
        <w:pStyle w:val="36"/>
        <w:pageBreakBefore w:val="0"/>
        <w:kinsoku/>
        <w:bidi w:val="0"/>
        <w:spacing w:line="360" w:lineRule="auto"/>
        <w:ind w:firstLine="4080" w:firstLineChars="1700"/>
        <w:outlineLvl w:val="9"/>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（自拟）</w:t>
      </w:r>
    </w:p>
    <w:p w14:paraId="3902EAE5">
      <w:pPr>
        <w:pStyle w:val="11"/>
        <w:pageBreakBefore w:val="0"/>
        <w:kinsoku/>
        <w:bidi w:val="0"/>
        <w:spacing w:line="360" w:lineRule="auto"/>
        <w:outlineLvl w:val="9"/>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rPr>
        <w:t xml:space="preserve">   </w:t>
      </w:r>
    </w:p>
    <w:p w14:paraId="6044BC0F">
      <w:pPr>
        <w:pageBreakBefore w:val="0"/>
        <w:kinsoku/>
        <w:autoSpaceDE w:val="0"/>
        <w:autoSpaceDN w:val="0"/>
        <w:bidi w:val="0"/>
        <w:adjustRightInd w:val="0"/>
        <w:snapToGrid w:val="0"/>
        <w:spacing w:before="312" w:beforeLines="100" w:after="156" w:afterLines="50" w:line="360" w:lineRule="auto"/>
        <w:textAlignment w:val="baseline"/>
        <w:outlineLvl w:val="9"/>
        <w:rPr>
          <w:rFonts w:hint="eastAsia" w:asciiTheme="minorEastAsia" w:hAnsiTheme="minorEastAsia" w:eastAsiaTheme="minorEastAsia" w:cstheme="minorEastAsia"/>
          <w:b/>
          <w:bCs/>
          <w:color w:val="auto"/>
          <w:sz w:val="32"/>
          <w:szCs w:val="32"/>
        </w:rPr>
      </w:pPr>
    </w:p>
    <w:p w14:paraId="6D2A48AF">
      <w:pPr>
        <w:pageBreakBefore w:val="0"/>
        <w:kinsoku/>
        <w:autoSpaceDE w:val="0"/>
        <w:autoSpaceDN w:val="0"/>
        <w:bidi w:val="0"/>
        <w:snapToGrid w:val="0"/>
        <w:spacing w:before="312" w:beforeLines="100" w:after="156" w:afterLines="50" w:line="360" w:lineRule="auto"/>
        <w:outlineLvl w:val="9"/>
        <w:rPr>
          <w:rFonts w:hint="eastAsia" w:asciiTheme="minorEastAsia" w:hAnsiTheme="minorEastAsia" w:eastAsiaTheme="minorEastAsia" w:cstheme="minorEastAsia"/>
          <w:b/>
          <w:color w:val="auto"/>
          <w:sz w:val="32"/>
          <w:szCs w:val="32"/>
        </w:rPr>
      </w:pPr>
    </w:p>
    <w:p w14:paraId="377DB701">
      <w:pPr>
        <w:pageBreakBefore w:val="0"/>
        <w:kinsoku/>
        <w:autoSpaceDE w:val="0"/>
        <w:autoSpaceDN w:val="0"/>
        <w:bidi w:val="0"/>
        <w:snapToGrid w:val="0"/>
        <w:spacing w:before="312" w:beforeLines="100" w:after="156" w:afterLines="50" w:line="360" w:lineRule="auto"/>
        <w:outlineLvl w:val="9"/>
        <w:rPr>
          <w:rFonts w:hint="eastAsia" w:asciiTheme="minorEastAsia" w:hAnsiTheme="minorEastAsia" w:eastAsiaTheme="minorEastAsia" w:cstheme="minorEastAsia"/>
          <w:b/>
          <w:color w:val="auto"/>
          <w:sz w:val="32"/>
          <w:szCs w:val="32"/>
        </w:rPr>
      </w:pPr>
    </w:p>
    <w:p w14:paraId="214EBADC">
      <w:pPr>
        <w:pageBreakBefore w:val="0"/>
        <w:kinsoku/>
        <w:autoSpaceDE w:val="0"/>
        <w:autoSpaceDN w:val="0"/>
        <w:bidi w:val="0"/>
        <w:snapToGrid w:val="0"/>
        <w:spacing w:before="312" w:beforeLines="100" w:after="156" w:afterLines="50" w:line="360" w:lineRule="auto"/>
        <w:outlineLvl w:val="9"/>
        <w:rPr>
          <w:rFonts w:hint="eastAsia" w:asciiTheme="minorEastAsia" w:hAnsiTheme="minorEastAsia" w:eastAsiaTheme="minorEastAsia" w:cstheme="minorEastAsia"/>
          <w:b/>
          <w:color w:val="auto"/>
          <w:sz w:val="32"/>
          <w:szCs w:val="32"/>
        </w:rPr>
      </w:pPr>
    </w:p>
    <w:p w14:paraId="36014C98">
      <w:pPr>
        <w:pageBreakBefore w:val="0"/>
        <w:kinsoku/>
        <w:autoSpaceDE w:val="0"/>
        <w:autoSpaceDN w:val="0"/>
        <w:bidi w:val="0"/>
        <w:snapToGrid w:val="0"/>
        <w:spacing w:before="312" w:beforeLines="100" w:after="156" w:afterLines="50" w:line="360" w:lineRule="auto"/>
        <w:outlineLvl w:val="9"/>
        <w:rPr>
          <w:rFonts w:hint="eastAsia" w:asciiTheme="minorEastAsia" w:hAnsiTheme="minorEastAsia" w:eastAsiaTheme="minorEastAsia" w:cstheme="minorEastAsia"/>
          <w:b/>
          <w:color w:val="auto"/>
          <w:sz w:val="32"/>
          <w:szCs w:val="32"/>
        </w:rPr>
      </w:pPr>
    </w:p>
    <w:p w14:paraId="55A6E9F9">
      <w:pPr>
        <w:pageBreakBefore w:val="0"/>
        <w:kinsoku/>
        <w:autoSpaceDE w:val="0"/>
        <w:autoSpaceDN w:val="0"/>
        <w:bidi w:val="0"/>
        <w:snapToGrid w:val="0"/>
        <w:spacing w:before="312" w:beforeLines="100" w:after="156" w:afterLines="50" w:line="360" w:lineRule="auto"/>
        <w:jc w:val="center"/>
        <w:outlineLvl w:val="9"/>
        <w:rPr>
          <w:rFonts w:hint="eastAsia" w:asciiTheme="minorEastAsia" w:hAnsiTheme="minorEastAsia" w:eastAsiaTheme="minorEastAsia" w:cstheme="minorEastAsia"/>
          <w:b/>
          <w:color w:val="auto"/>
          <w:sz w:val="32"/>
          <w:szCs w:val="32"/>
        </w:rPr>
      </w:pPr>
    </w:p>
    <w:p w14:paraId="5C97CE08">
      <w:pPr>
        <w:pageBreakBefore w:val="0"/>
        <w:kinsoku/>
        <w:autoSpaceDE w:val="0"/>
        <w:autoSpaceDN w:val="0"/>
        <w:bidi w:val="0"/>
        <w:snapToGrid w:val="0"/>
        <w:spacing w:before="312" w:beforeLines="100" w:after="156" w:afterLines="50" w:line="360" w:lineRule="auto"/>
        <w:jc w:val="center"/>
        <w:outlineLvl w:val="9"/>
        <w:rPr>
          <w:rFonts w:hint="eastAsia" w:asciiTheme="minorEastAsia" w:hAnsiTheme="minorEastAsia" w:eastAsiaTheme="minorEastAsia" w:cstheme="minorEastAsia"/>
          <w:b/>
          <w:color w:val="auto"/>
          <w:sz w:val="32"/>
          <w:szCs w:val="32"/>
        </w:rPr>
      </w:pPr>
    </w:p>
    <w:p w14:paraId="2A8816C8">
      <w:pPr>
        <w:pageBreakBefore w:val="0"/>
        <w:kinsoku/>
        <w:autoSpaceDE w:val="0"/>
        <w:autoSpaceDN w:val="0"/>
        <w:bidi w:val="0"/>
        <w:snapToGrid w:val="0"/>
        <w:spacing w:before="312" w:beforeLines="100" w:after="156" w:afterLines="50" w:line="360" w:lineRule="auto"/>
        <w:jc w:val="center"/>
        <w:outlineLvl w:val="9"/>
        <w:rPr>
          <w:rFonts w:hint="eastAsia" w:asciiTheme="minorEastAsia" w:hAnsiTheme="minorEastAsia" w:eastAsiaTheme="minorEastAsia" w:cstheme="minorEastAsia"/>
          <w:b/>
          <w:color w:val="auto"/>
          <w:sz w:val="32"/>
          <w:szCs w:val="32"/>
        </w:rPr>
        <w:sectPr>
          <w:footerReference r:id="rId6" w:type="default"/>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7B558EF">
      <w:pPr>
        <w:pageBreakBefore w:val="0"/>
        <w:kinsoku/>
        <w:autoSpaceDE w:val="0"/>
        <w:autoSpaceDN w:val="0"/>
        <w:bidi w:val="0"/>
        <w:snapToGrid w:val="0"/>
        <w:spacing w:before="312" w:beforeLines="100" w:after="156" w:afterLines="50" w:line="360" w:lineRule="auto"/>
        <w:jc w:val="center"/>
        <w:outlineLvl w:val="9"/>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一、投标函</w:t>
      </w:r>
    </w:p>
    <w:p w14:paraId="6D644CB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陕西华旭晟信项目管理有限责任公司</w:t>
      </w:r>
      <w:r>
        <w:rPr>
          <w:rFonts w:hint="eastAsia" w:asciiTheme="minorEastAsia" w:hAnsiTheme="minorEastAsia" w:eastAsiaTheme="minorEastAsia" w:cstheme="minorEastAsia"/>
          <w:color w:val="auto"/>
          <w:sz w:val="24"/>
        </w:rPr>
        <w:t>：</w:t>
      </w:r>
    </w:p>
    <w:p w14:paraId="1A4668AA">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rPr>
      </w:pPr>
      <w:r>
        <w:rPr>
          <w:rFonts w:hint="eastAsia" w:ascii="宋体" w:hAnsi="宋体" w:cs="宋体"/>
          <w:color w:val="auto"/>
          <w:spacing w:val="4"/>
          <w:sz w:val="24"/>
          <w:szCs w:val="24"/>
        </w:rPr>
        <w:t>我们收到</w:t>
      </w:r>
      <w:r>
        <w:rPr>
          <w:rFonts w:hint="eastAsia" w:ascii="宋体" w:hAnsi="宋体" w:cs="宋体"/>
          <w:color w:val="auto"/>
          <w:spacing w:val="4"/>
          <w:sz w:val="24"/>
          <w:szCs w:val="24"/>
          <w:lang w:eastAsia="zh-CN"/>
        </w:rPr>
        <w:t>项目编号为</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u w:val="single"/>
          <w:lang w:val="en-US" w:eastAsia="zh-CN"/>
        </w:rPr>
        <w:t xml:space="preserve">             </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rPr>
        <w:t>的招标文件，</w:t>
      </w:r>
      <w:r>
        <w:rPr>
          <w:rFonts w:hint="eastAsia" w:ascii="宋体" w:hAnsi="宋体" w:cs="宋体"/>
          <w:color w:val="auto"/>
          <w:sz w:val="24"/>
          <w:szCs w:val="24"/>
        </w:rPr>
        <w:t>经过对施工现场的踏勘及澄清疑问，已充分理解并掌握了本项目招标的全部有关情况，我们同意接受招标文件的全部内容和条件，并按此确定本项目投标的要约内容，以本投标文件向你方发包</w:t>
      </w:r>
      <w:r>
        <w:rPr>
          <w:rFonts w:hint="eastAsia" w:ascii="宋体" w:hAnsi="宋体" w:cs="宋体"/>
          <w:color w:val="auto"/>
          <w:spacing w:val="4"/>
          <w:sz w:val="24"/>
          <w:szCs w:val="24"/>
        </w:rPr>
        <w:t>的</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（标段名称）</w:t>
      </w:r>
      <w:r>
        <w:rPr>
          <w:rFonts w:hint="eastAsia" w:ascii="宋体" w:hAnsi="宋体" w:cs="宋体"/>
          <w:color w:val="auto"/>
          <w:spacing w:val="4"/>
          <w:sz w:val="24"/>
          <w:szCs w:val="24"/>
        </w:rPr>
        <w:t>公开招标的全</w:t>
      </w:r>
      <w:r>
        <w:rPr>
          <w:rFonts w:hint="eastAsia" w:ascii="宋体" w:hAnsi="宋体" w:cs="宋体"/>
          <w:color w:val="auto"/>
          <w:sz w:val="24"/>
          <w:szCs w:val="24"/>
        </w:rPr>
        <w:t>部内容进行投标。</w:t>
      </w:r>
    </w:p>
    <w:p w14:paraId="21A03391">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rPr>
      </w:pPr>
      <w:r>
        <w:rPr>
          <w:rFonts w:hint="eastAsia" w:ascii="宋体" w:hAnsi="宋体" w:cs="宋体"/>
          <w:color w:val="auto"/>
          <w:spacing w:val="4"/>
          <w:sz w:val="24"/>
          <w:szCs w:val="24"/>
        </w:rPr>
        <w:t>1、本文件的所有内容，组成了我们的投标文件，并且该文件内的所有内容都是真实的。</w:t>
      </w:r>
    </w:p>
    <w:p w14:paraId="4B44E52F">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rPr>
      </w:pPr>
      <w:r>
        <w:rPr>
          <w:rFonts w:hint="eastAsia" w:ascii="宋体" w:hAnsi="宋体" w:cs="宋体"/>
          <w:color w:val="auto"/>
          <w:spacing w:val="4"/>
          <w:sz w:val="24"/>
          <w:szCs w:val="24"/>
        </w:rPr>
        <w:t>2、我们与招标人不存在可能影响招标公正性的利害关系。我们单位负责人与其它投标人不是同一人，也不存在控股</w:t>
      </w:r>
      <w:r>
        <w:rPr>
          <w:rFonts w:hint="eastAsia" w:ascii="宋体" w:hAnsi="宋体" w:cs="宋体"/>
          <w:color w:val="auto"/>
          <w:sz w:val="24"/>
          <w:szCs w:val="24"/>
        </w:rPr>
        <w:t>、</w:t>
      </w:r>
      <w:r>
        <w:rPr>
          <w:rFonts w:hint="eastAsia" w:ascii="宋体" w:hAnsi="宋体" w:cs="宋体"/>
          <w:color w:val="auto"/>
          <w:spacing w:val="4"/>
          <w:sz w:val="24"/>
          <w:szCs w:val="24"/>
        </w:rPr>
        <w:t>管理关系。</w:t>
      </w:r>
    </w:p>
    <w:p w14:paraId="372DB270">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rPr>
      </w:pPr>
      <w:r>
        <w:rPr>
          <w:rFonts w:hint="eastAsia" w:ascii="宋体" w:hAnsi="宋体" w:cs="宋体"/>
          <w:color w:val="auto"/>
          <w:spacing w:val="4"/>
          <w:sz w:val="24"/>
          <w:szCs w:val="24"/>
        </w:rPr>
        <w:t>3、我们完全同意招标文件规定的招标程序及评标方法，我们完全接受并认同招标文件（包括合同条款）的全部内容，愿意遵守招标文件中的各项规定。</w:t>
      </w:r>
    </w:p>
    <w:p w14:paraId="5E391CC3">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rPr>
      </w:pPr>
      <w:r>
        <w:rPr>
          <w:rFonts w:hint="eastAsia" w:ascii="宋体" w:hAnsi="宋体" w:cs="宋体"/>
          <w:color w:val="auto"/>
          <w:spacing w:val="4"/>
          <w:sz w:val="24"/>
          <w:szCs w:val="24"/>
        </w:rPr>
        <w:t>4、我方将严格按照有关建设工程招标投标法规及招标文件的规定参加投标。如我方中标，我方保证在接到你方发出的中标通知书起</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u w:val="single"/>
          <w:lang w:val="en-US" w:eastAsia="zh-CN"/>
        </w:rPr>
        <w:t>10</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lang w:val="en-US" w:eastAsia="zh-CN"/>
        </w:rPr>
        <w:t>日内</w:t>
      </w:r>
      <w:r>
        <w:rPr>
          <w:rFonts w:hint="eastAsia" w:ascii="宋体" w:hAnsi="宋体" w:cs="宋体"/>
          <w:color w:val="auto"/>
          <w:spacing w:val="4"/>
          <w:sz w:val="24"/>
          <w:szCs w:val="24"/>
        </w:rPr>
        <w:t>，按中标通知书、招标文件和本投标书的约定与招标人签订合同。</w:t>
      </w:r>
    </w:p>
    <w:p w14:paraId="4D4C3BEB">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rPr>
      </w:pPr>
      <w:r>
        <w:rPr>
          <w:rFonts w:hint="eastAsia" w:ascii="宋体" w:hAnsi="宋体" w:cs="宋体"/>
          <w:color w:val="auto"/>
          <w:spacing w:val="4"/>
          <w:sz w:val="24"/>
          <w:szCs w:val="24"/>
        </w:rPr>
        <w:t>5、 经认真考虑和详细计算，我们在此报出最优惠的价格参与竞争(详见《投标报价表》)。</w:t>
      </w:r>
    </w:p>
    <w:p w14:paraId="5B1DAE15">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rPr>
      </w:pPr>
      <w:r>
        <w:rPr>
          <w:rFonts w:hint="eastAsia" w:ascii="宋体" w:hAnsi="宋体" w:cs="宋体"/>
          <w:color w:val="auto"/>
          <w:spacing w:val="4"/>
          <w:sz w:val="24"/>
          <w:szCs w:val="24"/>
        </w:rPr>
        <w:t>6、对于招标人要求进一步提供的其它资料，我们愿意尽快提供或答复。</w:t>
      </w:r>
    </w:p>
    <w:p w14:paraId="7E106D65">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u w:val="single"/>
        </w:rPr>
      </w:pPr>
      <w:r>
        <w:rPr>
          <w:rFonts w:hint="eastAsia" w:ascii="宋体" w:hAnsi="宋体" w:cs="宋体"/>
          <w:color w:val="auto"/>
          <w:spacing w:val="4"/>
          <w:sz w:val="24"/>
          <w:szCs w:val="24"/>
        </w:rPr>
        <w:t>7、投标有效期为：</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rPr>
        <w:t>天。</w:t>
      </w:r>
    </w:p>
    <w:p w14:paraId="208E5574">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宋体" w:hAnsi="宋体" w:cs="宋体"/>
          <w:color w:val="auto"/>
          <w:spacing w:val="4"/>
          <w:sz w:val="24"/>
          <w:szCs w:val="24"/>
        </w:rPr>
      </w:pPr>
      <w:r>
        <w:rPr>
          <w:rFonts w:hint="eastAsia" w:ascii="宋体" w:hAnsi="宋体" w:cs="宋体"/>
          <w:color w:val="auto"/>
          <w:spacing w:val="4"/>
          <w:sz w:val="24"/>
          <w:szCs w:val="24"/>
        </w:rPr>
        <w:t>8、所有关于本次投标的函电联系，请寄到下列地址：</w:t>
      </w:r>
    </w:p>
    <w:p w14:paraId="54AF1ADF">
      <w:pPr>
        <w:pStyle w:val="11"/>
        <w:pageBreakBefore w:val="0"/>
        <w:kinsoku/>
        <w:bidi w:val="0"/>
        <w:spacing w:line="360" w:lineRule="auto"/>
        <w:outlineLvl w:val="9"/>
        <w:rPr>
          <w:rFonts w:hint="eastAsia"/>
        </w:rPr>
      </w:pPr>
    </w:p>
    <w:p w14:paraId="7D51DAC3">
      <w:pPr>
        <w:pageBreakBefore w:val="0"/>
        <w:kinsoku/>
        <w:bidi w:val="0"/>
        <w:spacing w:line="360" w:lineRule="auto"/>
        <w:ind w:firstLine="620" w:firstLineChars="250"/>
        <w:outlineLvl w:val="9"/>
        <w:rPr>
          <w:rFonts w:hint="eastAsia" w:ascii="宋体" w:hAnsi="宋体" w:cs="宋体"/>
          <w:color w:val="auto"/>
          <w:spacing w:val="4"/>
          <w:sz w:val="24"/>
          <w:szCs w:val="24"/>
          <w:u w:val="single"/>
        </w:rPr>
      </w:pPr>
      <w:r>
        <w:rPr>
          <w:rFonts w:hint="eastAsia" w:ascii="宋体" w:hAnsi="宋体" w:cs="宋体"/>
          <w:color w:val="auto"/>
          <w:spacing w:val="4"/>
          <w:sz w:val="24"/>
          <w:szCs w:val="24"/>
          <w:lang w:val="en-US" w:eastAsia="zh-CN"/>
        </w:rPr>
        <w:t>供应商</w:t>
      </w:r>
      <w:r>
        <w:rPr>
          <w:rFonts w:hint="eastAsia" w:ascii="宋体" w:hAnsi="宋体" w:cs="宋体"/>
          <w:color w:val="auto"/>
          <w:spacing w:val="4"/>
          <w:sz w:val="24"/>
          <w:szCs w:val="24"/>
        </w:rPr>
        <w:t>全称（公章）：</w:t>
      </w:r>
      <w:r>
        <w:rPr>
          <w:rFonts w:hint="eastAsia" w:ascii="宋体" w:hAnsi="宋体" w:cs="宋体"/>
          <w:color w:val="auto"/>
          <w:spacing w:val="4"/>
          <w:sz w:val="24"/>
          <w:szCs w:val="24"/>
          <w:u w:val="single"/>
        </w:rPr>
        <w:t xml:space="preserve">                      </w:t>
      </w:r>
    </w:p>
    <w:p w14:paraId="57D4A49B">
      <w:pPr>
        <w:pageBreakBefore w:val="0"/>
        <w:kinsoku/>
        <w:bidi w:val="0"/>
        <w:spacing w:line="360" w:lineRule="auto"/>
        <w:ind w:firstLine="620" w:firstLineChars="250"/>
        <w:outlineLvl w:val="9"/>
        <w:rPr>
          <w:rFonts w:hint="eastAsia" w:ascii="宋体" w:hAnsi="宋体" w:cs="宋体"/>
          <w:color w:val="auto"/>
          <w:spacing w:val="4"/>
          <w:sz w:val="24"/>
          <w:szCs w:val="24"/>
        </w:rPr>
      </w:pPr>
      <w:r>
        <w:rPr>
          <w:rFonts w:hint="eastAsia" w:ascii="宋体" w:hAnsi="宋体" w:cs="宋体"/>
          <w:color w:val="auto"/>
          <w:spacing w:val="4"/>
          <w:sz w:val="24"/>
          <w:szCs w:val="24"/>
        </w:rPr>
        <w:t>地   址 / 邮   编：</w:t>
      </w:r>
      <w:r>
        <w:rPr>
          <w:rFonts w:hint="eastAsia" w:ascii="宋体" w:hAnsi="宋体" w:cs="宋体"/>
          <w:color w:val="auto"/>
          <w:spacing w:val="4"/>
          <w:sz w:val="24"/>
          <w:szCs w:val="24"/>
          <w:u w:val="single"/>
        </w:rPr>
        <w:t xml:space="preserve">                      </w:t>
      </w:r>
    </w:p>
    <w:p w14:paraId="19EBBF9D">
      <w:pPr>
        <w:pageBreakBefore w:val="0"/>
        <w:kinsoku/>
        <w:bidi w:val="0"/>
        <w:spacing w:line="360" w:lineRule="auto"/>
        <w:ind w:firstLine="620" w:firstLineChars="250"/>
        <w:outlineLvl w:val="9"/>
        <w:rPr>
          <w:rFonts w:hint="eastAsia" w:ascii="宋体" w:hAnsi="宋体" w:cs="宋体"/>
          <w:color w:val="auto"/>
          <w:spacing w:val="4"/>
          <w:sz w:val="24"/>
          <w:szCs w:val="24"/>
        </w:rPr>
      </w:pPr>
      <w:r>
        <w:rPr>
          <w:rFonts w:hint="eastAsia" w:ascii="宋体" w:hAnsi="宋体" w:cs="宋体"/>
          <w:color w:val="auto"/>
          <w:spacing w:val="4"/>
          <w:sz w:val="24"/>
          <w:szCs w:val="24"/>
        </w:rPr>
        <w:t>电             话：</w:t>
      </w:r>
      <w:r>
        <w:rPr>
          <w:rFonts w:hint="eastAsia" w:ascii="宋体" w:hAnsi="宋体" w:cs="宋体"/>
          <w:color w:val="auto"/>
          <w:spacing w:val="4"/>
          <w:sz w:val="24"/>
          <w:szCs w:val="24"/>
          <w:u w:val="single"/>
        </w:rPr>
        <w:t xml:space="preserve">                      </w:t>
      </w:r>
    </w:p>
    <w:p w14:paraId="5FC4695D">
      <w:pPr>
        <w:pageBreakBefore w:val="0"/>
        <w:kinsoku/>
        <w:bidi w:val="0"/>
        <w:spacing w:line="360" w:lineRule="auto"/>
        <w:ind w:firstLine="620" w:firstLineChars="250"/>
        <w:outlineLvl w:val="9"/>
        <w:rPr>
          <w:rFonts w:hint="eastAsia" w:ascii="宋体" w:hAnsi="宋体" w:cs="宋体"/>
          <w:color w:val="auto"/>
          <w:spacing w:val="4"/>
          <w:sz w:val="24"/>
          <w:szCs w:val="24"/>
        </w:rPr>
      </w:pPr>
      <w:r>
        <w:rPr>
          <w:rFonts w:hint="eastAsia" w:ascii="宋体" w:hAnsi="宋体" w:cs="宋体"/>
          <w:color w:val="auto"/>
          <w:spacing w:val="4"/>
          <w:sz w:val="24"/>
          <w:szCs w:val="24"/>
        </w:rPr>
        <w:t>传             真：</w:t>
      </w:r>
      <w:r>
        <w:rPr>
          <w:rFonts w:hint="eastAsia" w:ascii="宋体" w:hAnsi="宋体" w:cs="宋体"/>
          <w:color w:val="auto"/>
          <w:spacing w:val="4"/>
          <w:sz w:val="24"/>
          <w:szCs w:val="24"/>
          <w:u w:val="single"/>
        </w:rPr>
        <w:t xml:space="preserve">                      </w:t>
      </w:r>
    </w:p>
    <w:p w14:paraId="554195F3">
      <w:pPr>
        <w:pageBreakBefore w:val="0"/>
        <w:kinsoku/>
        <w:bidi w:val="0"/>
        <w:spacing w:line="360" w:lineRule="auto"/>
        <w:ind w:firstLine="620" w:firstLineChars="250"/>
        <w:outlineLvl w:val="9"/>
        <w:rPr>
          <w:rFonts w:hint="eastAsia" w:ascii="宋体" w:hAnsi="宋体" w:cs="宋体"/>
          <w:color w:val="auto"/>
          <w:spacing w:val="4"/>
          <w:sz w:val="24"/>
          <w:szCs w:val="24"/>
        </w:rPr>
      </w:pPr>
      <w:r>
        <w:rPr>
          <w:rFonts w:hint="eastAsia" w:ascii="宋体" w:hAnsi="宋体" w:cs="宋体"/>
          <w:color w:val="auto"/>
          <w:spacing w:val="4"/>
          <w:sz w:val="24"/>
          <w:szCs w:val="24"/>
        </w:rPr>
        <w:t>开   户   银   行：</w:t>
      </w:r>
      <w:r>
        <w:rPr>
          <w:rFonts w:hint="eastAsia" w:ascii="宋体" w:hAnsi="宋体" w:cs="宋体"/>
          <w:color w:val="auto"/>
          <w:spacing w:val="4"/>
          <w:sz w:val="24"/>
          <w:szCs w:val="24"/>
          <w:u w:val="single"/>
        </w:rPr>
        <w:t xml:space="preserve">                      </w:t>
      </w:r>
    </w:p>
    <w:p w14:paraId="642928A7">
      <w:pPr>
        <w:pageBreakBefore w:val="0"/>
        <w:kinsoku/>
        <w:bidi w:val="0"/>
        <w:spacing w:line="360" w:lineRule="auto"/>
        <w:ind w:firstLine="620" w:firstLineChars="250"/>
        <w:outlineLvl w:val="9"/>
        <w:rPr>
          <w:rFonts w:hint="eastAsia" w:ascii="宋体" w:hAnsi="宋体" w:cs="宋体"/>
          <w:color w:val="auto"/>
          <w:spacing w:val="4"/>
          <w:sz w:val="24"/>
          <w:szCs w:val="24"/>
        </w:rPr>
      </w:pPr>
      <w:r>
        <w:rPr>
          <w:rFonts w:hint="eastAsia" w:ascii="宋体" w:hAnsi="宋体" w:cs="宋体"/>
          <w:color w:val="auto"/>
          <w:spacing w:val="4"/>
          <w:sz w:val="24"/>
          <w:szCs w:val="24"/>
        </w:rPr>
        <w:t>帐             号：</w:t>
      </w:r>
      <w:r>
        <w:rPr>
          <w:rFonts w:hint="eastAsia" w:ascii="宋体" w:hAnsi="宋体" w:cs="宋体"/>
          <w:color w:val="auto"/>
          <w:spacing w:val="4"/>
          <w:sz w:val="24"/>
          <w:szCs w:val="24"/>
          <w:u w:val="single"/>
        </w:rPr>
        <w:t xml:space="preserve">                      </w:t>
      </w:r>
    </w:p>
    <w:p w14:paraId="1B1B4AB8">
      <w:pPr>
        <w:pageBreakBefore w:val="0"/>
        <w:kinsoku/>
        <w:bidi w:val="0"/>
        <w:spacing w:line="360" w:lineRule="auto"/>
        <w:ind w:firstLine="620" w:firstLineChars="250"/>
        <w:outlineLvl w:val="9"/>
        <w:rPr>
          <w:rFonts w:hint="eastAsia" w:ascii="宋体" w:hAnsi="宋体" w:cs="宋体"/>
          <w:color w:val="auto"/>
          <w:spacing w:val="4"/>
          <w:sz w:val="24"/>
          <w:szCs w:val="24"/>
        </w:rPr>
      </w:pPr>
      <w:r>
        <w:rPr>
          <w:rFonts w:hint="eastAsia" w:ascii="宋体" w:hAnsi="宋体" w:cs="宋体"/>
          <w:color w:val="auto"/>
          <w:spacing w:val="4"/>
          <w:sz w:val="24"/>
          <w:szCs w:val="24"/>
        </w:rPr>
        <w:t>法定代表人或委托代理人（签名或盖章）：</w:t>
      </w:r>
      <w:r>
        <w:rPr>
          <w:rFonts w:hint="eastAsia" w:ascii="宋体" w:hAnsi="宋体" w:cs="宋体"/>
          <w:color w:val="auto"/>
          <w:spacing w:val="4"/>
          <w:sz w:val="24"/>
          <w:szCs w:val="24"/>
          <w:u w:val="single"/>
        </w:rPr>
        <w:t xml:space="preserve">                      </w:t>
      </w:r>
    </w:p>
    <w:p w14:paraId="53F10C1C">
      <w:pPr>
        <w:pageBreakBefore w:val="0"/>
        <w:kinsoku/>
        <w:bidi w:val="0"/>
        <w:spacing w:line="360" w:lineRule="auto"/>
        <w:ind w:firstLine="620" w:firstLineChars="250"/>
        <w:outlineLvl w:val="9"/>
        <w:rPr>
          <w:rFonts w:hint="eastAsia" w:ascii="宋体" w:hAnsi="宋体" w:cs="宋体"/>
          <w:color w:val="auto"/>
          <w:spacing w:val="4"/>
          <w:sz w:val="24"/>
          <w:szCs w:val="24"/>
        </w:rPr>
      </w:pPr>
      <w:r>
        <w:rPr>
          <w:rFonts w:hint="eastAsia" w:ascii="宋体" w:hAnsi="宋体" w:cs="宋体"/>
          <w:color w:val="auto"/>
          <w:spacing w:val="4"/>
          <w:sz w:val="24"/>
          <w:szCs w:val="24"/>
        </w:rPr>
        <w:t>日            期：</w:t>
      </w:r>
      <w:r>
        <w:rPr>
          <w:rFonts w:hint="eastAsia" w:ascii="宋体" w:hAnsi="宋体" w:cs="宋体"/>
          <w:color w:val="auto"/>
          <w:spacing w:val="4"/>
          <w:sz w:val="24"/>
          <w:szCs w:val="24"/>
          <w:u w:val="single"/>
        </w:rPr>
        <w:t xml:space="preserve">                      </w:t>
      </w:r>
    </w:p>
    <w:p w14:paraId="090F162F">
      <w:pPr>
        <w:pageBreakBefore w:val="0"/>
        <w:kinsoku/>
        <w:wordWrap w:val="0"/>
        <w:autoSpaceDE w:val="0"/>
        <w:autoSpaceDN w:val="0"/>
        <w:bidi w:val="0"/>
        <w:spacing w:line="360" w:lineRule="auto"/>
        <w:ind w:right="480" w:firstLine="480" w:firstLineChars="200"/>
        <w:jc w:val="right"/>
        <w:outlineLvl w:val="9"/>
        <w:rPr>
          <w:rFonts w:hint="eastAsia" w:asciiTheme="minorEastAsia" w:hAnsiTheme="minorEastAsia" w:eastAsiaTheme="minorEastAsia" w:cstheme="minorEastAsia"/>
          <w:color w:val="auto"/>
          <w:sz w:val="24"/>
        </w:rPr>
        <w:sectPr>
          <w:pgSz w:w="11906" w:h="16838"/>
          <w:pgMar w:top="1440" w:right="1417" w:bottom="1440"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811F96A">
      <w:pPr>
        <w:pageBreakBefore w:val="0"/>
        <w:kinsoku/>
        <w:autoSpaceDE w:val="0"/>
        <w:autoSpaceDN w:val="0"/>
        <w:bidi w:val="0"/>
        <w:snapToGrid w:val="0"/>
        <w:spacing w:line="360" w:lineRule="auto"/>
        <w:jc w:val="center"/>
        <w:outlineLvl w:val="9"/>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lang w:val="en-US" w:eastAsia="zh-CN"/>
        </w:rPr>
        <w:t>二</w:t>
      </w:r>
      <w:r>
        <w:rPr>
          <w:rFonts w:hint="eastAsia" w:asciiTheme="minorEastAsia" w:hAnsiTheme="minorEastAsia" w:eastAsiaTheme="minorEastAsia" w:cstheme="minorEastAsia"/>
          <w:b/>
          <w:color w:val="auto"/>
          <w:sz w:val="32"/>
          <w:szCs w:val="32"/>
        </w:rPr>
        <w:t>、</w:t>
      </w:r>
      <w:r>
        <w:rPr>
          <w:rFonts w:hint="eastAsia" w:asciiTheme="minorEastAsia" w:hAnsiTheme="minorEastAsia" w:eastAsiaTheme="minorEastAsia" w:cstheme="minorEastAsia"/>
          <w:b/>
          <w:color w:val="auto"/>
          <w:sz w:val="32"/>
          <w:szCs w:val="32"/>
          <w:lang w:val="en-US" w:eastAsia="zh-CN"/>
        </w:rPr>
        <w:t>开标一览</w:t>
      </w:r>
      <w:r>
        <w:rPr>
          <w:rFonts w:hint="eastAsia" w:asciiTheme="minorEastAsia" w:hAnsiTheme="minorEastAsia" w:eastAsiaTheme="minorEastAsia" w:cstheme="minorEastAsia"/>
          <w:b/>
          <w:color w:val="auto"/>
          <w:sz w:val="32"/>
          <w:szCs w:val="32"/>
        </w:rPr>
        <w:t>表</w:t>
      </w:r>
    </w:p>
    <w:tbl>
      <w:tblPr>
        <w:tblStyle w:val="19"/>
        <w:tblpPr w:leftFromText="180" w:rightFromText="180" w:vertAnchor="text" w:horzAnchor="page" w:tblpX="1580" w:tblpY="736"/>
        <w:tblOverlap w:val="never"/>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6"/>
        <w:gridCol w:w="6981"/>
      </w:tblGrid>
      <w:tr w14:paraId="5ECB7D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63" w:hRule="atLeast"/>
        </w:trPr>
        <w:tc>
          <w:tcPr>
            <w:tcW w:w="1956" w:type="dxa"/>
            <w:tcBorders>
              <w:bottom w:val="single" w:color="auto" w:sz="4" w:space="0"/>
            </w:tcBorders>
            <w:noWrap w:val="0"/>
            <w:vAlign w:val="center"/>
          </w:tcPr>
          <w:p w14:paraId="7C3C260E">
            <w:pPr>
              <w:pageBreakBefore w:val="0"/>
              <w:kinsoku/>
              <w:bidi w:val="0"/>
              <w:spacing w:line="360" w:lineRule="auto"/>
              <w:jc w:val="center"/>
              <w:outlineLvl w:val="9"/>
              <w:rPr>
                <w:rFonts w:hint="eastAsia" w:ascii="宋体" w:hAnsi="宋体" w:eastAsia="宋体" w:cs="宋体"/>
                <w:b/>
                <w:bCs/>
                <w:color w:val="auto"/>
                <w:sz w:val="24"/>
              </w:rPr>
            </w:pPr>
            <w:r>
              <w:rPr>
                <w:rFonts w:hint="eastAsia" w:ascii="宋体" w:hAnsi="宋体" w:cs="宋体"/>
                <w:b/>
                <w:bCs/>
                <w:color w:val="auto"/>
                <w:sz w:val="24"/>
                <w:lang w:eastAsia="zh-CN"/>
              </w:rPr>
              <w:t>标段</w:t>
            </w:r>
            <w:r>
              <w:rPr>
                <w:rFonts w:hint="eastAsia" w:ascii="宋体" w:hAnsi="宋体" w:eastAsia="宋体" w:cs="宋体"/>
                <w:b/>
                <w:bCs/>
                <w:color w:val="auto"/>
                <w:sz w:val="24"/>
              </w:rPr>
              <w:t>名称</w:t>
            </w:r>
          </w:p>
        </w:tc>
        <w:tc>
          <w:tcPr>
            <w:tcW w:w="6981" w:type="dxa"/>
            <w:noWrap w:val="0"/>
            <w:vAlign w:val="center"/>
          </w:tcPr>
          <w:p w14:paraId="4CBBBF84">
            <w:pPr>
              <w:pageBreakBefore w:val="0"/>
              <w:kinsoku/>
              <w:bidi w:val="0"/>
              <w:spacing w:line="360" w:lineRule="auto"/>
              <w:jc w:val="center"/>
              <w:outlineLvl w:val="9"/>
              <w:rPr>
                <w:rFonts w:hint="eastAsia" w:ascii="宋体" w:hAnsi="宋体" w:eastAsia="宋体" w:cs="宋体"/>
                <w:b w:val="0"/>
                <w:bCs/>
                <w:color w:val="auto"/>
                <w:kern w:val="2"/>
                <w:sz w:val="24"/>
              </w:rPr>
            </w:pPr>
          </w:p>
        </w:tc>
      </w:tr>
      <w:tr w14:paraId="39A098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3" w:hRule="atLeast"/>
        </w:trPr>
        <w:tc>
          <w:tcPr>
            <w:tcW w:w="1956" w:type="dxa"/>
            <w:tcBorders>
              <w:bottom w:val="single" w:color="auto" w:sz="4" w:space="0"/>
            </w:tcBorders>
            <w:noWrap w:val="0"/>
            <w:vAlign w:val="center"/>
          </w:tcPr>
          <w:p w14:paraId="4E50B05E">
            <w:pPr>
              <w:pageBreakBefore w:val="0"/>
              <w:kinsoku/>
              <w:bidi w:val="0"/>
              <w:spacing w:line="360" w:lineRule="auto"/>
              <w:jc w:val="center"/>
              <w:outlineLvl w:val="9"/>
              <w:rPr>
                <w:rFonts w:hint="eastAsia" w:ascii="宋体" w:hAnsi="宋体" w:eastAsia="宋体" w:cs="宋体"/>
                <w:b/>
                <w:bCs/>
                <w:color w:val="auto"/>
                <w:sz w:val="24"/>
              </w:rPr>
            </w:pPr>
            <w:r>
              <w:rPr>
                <w:rFonts w:hint="eastAsia" w:ascii="宋体" w:hAnsi="宋体" w:cs="宋体"/>
                <w:b/>
                <w:bCs/>
                <w:color w:val="auto"/>
                <w:sz w:val="24"/>
                <w:lang w:eastAsia="zh-CN"/>
              </w:rPr>
              <w:t>标段</w:t>
            </w:r>
            <w:r>
              <w:rPr>
                <w:rFonts w:hint="eastAsia" w:ascii="宋体" w:hAnsi="宋体" w:eastAsia="宋体" w:cs="宋体"/>
                <w:b/>
                <w:bCs/>
                <w:color w:val="auto"/>
                <w:sz w:val="24"/>
              </w:rPr>
              <w:t>编号</w:t>
            </w:r>
          </w:p>
        </w:tc>
        <w:tc>
          <w:tcPr>
            <w:tcW w:w="6981" w:type="dxa"/>
            <w:tcBorders>
              <w:bottom w:val="single" w:color="auto" w:sz="4" w:space="0"/>
            </w:tcBorders>
            <w:noWrap w:val="0"/>
            <w:vAlign w:val="center"/>
          </w:tcPr>
          <w:p w14:paraId="3051BE0C">
            <w:pPr>
              <w:pageBreakBefore w:val="0"/>
              <w:kinsoku/>
              <w:bidi w:val="0"/>
              <w:spacing w:line="360" w:lineRule="auto"/>
              <w:jc w:val="center"/>
              <w:outlineLvl w:val="9"/>
              <w:rPr>
                <w:rFonts w:hint="eastAsia" w:ascii="宋体" w:hAnsi="宋体" w:eastAsia="宋体" w:cs="宋体"/>
                <w:bCs/>
                <w:color w:val="auto"/>
                <w:sz w:val="24"/>
                <w:lang w:val="en-US" w:eastAsia="zh-CN"/>
              </w:rPr>
            </w:pPr>
          </w:p>
        </w:tc>
      </w:tr>
      <w:tr w14:paraId="5F3C3B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7" w:hRule="atLeast"/>
        </w:trPr>
        <w:tc>
          <w:tcPr>
            <w:tcW w:w="1956" w:type="dxa"/>
            <w:noWrap w:val="0"/>
            <w:vAlign w:val="center"/>
          </w:tcPr>
          <w:p w14:paraId="36FAB804">
            <w:pPr>
              <w:pageBreakBefore w:val="0"/>
              <w:kinsoku/>
              <w:bidi w:val="0"/>
              <w:spacing w:line="360" w:lineRule="auto"/>
              <w:jc w:val="center"/>
              <w:outlineLvl w:val="9"/>
              <w:rPr>
                <w:rFonts w:hint="eastAsia" w:ascii="宋体" w:hAnsi="宋体" w:eastAsia="宋体" w:cs="宋体"/>
                <w:b/>
                <w:bCs/>
                <w:color w:val="auto"/>
                <w:sz w:val="24"/>
              </w:rPr>
            </w:pPr>
            <w:r>
              <w:rPr>
                <w:rFonts w:hint="eastAsia" w:ascii="宋体" w:hAnsi="宋体" w:eastAsia="宋体" w:cs="宋体"/>
                <w:b/>
                <w:bCs/>
                <w:color w:val="auto"/>
                <w:sz w:val="24"/>
              </w:rPr>
              <w:t>供应商名称</w:t>
            </w:r>
          </w:p>
          <w:p w14:paraId="10836831">
            <w:pPr>
              <w:pageBreakBefore w:val="0"/>
              <w:kinsoku/>
              <w:bidi w:val="0"/>
              <w:spacing w:line="360" w:lineRule="auto"/>
              <w:jc w:val="center"/>
              <w:outlineLvl w:val="9"/>
              <w:rPr>
                <w:rFonts w:hint="eastAsia" w:ascii="宋体" w:hAnsi="宋体" w:eastAsia="宋体" w:cs="宋体"/>
                <w:b/>
                <w:bCs/>
                <w:color w:val="auto"/>
                <w:sz w:val="24"/>
              </w:rPr>
            </w:pPr>
            <w:r>
              <w:rPr>
                <w:rFonts w:hint="eastAsia" w:ascii="宋体" w:hAnsi="宋体" w:eastAsia="宋体" w:cs="宋体"/>
                <w:b/>
                <w:bCs/>
                <w:color w:val="auto"/>
                <w:sz w:val="24"/>
              </w:rPr>
              <w:t>(单位名称)</w:t>
            </w:r>
          </w:p>
        </w:tc>
        <w:tc>
          <w:tcPr>
            <w:tcW w:w="6981" w:type="dxa"/>
            <w:noWrap w:val="0"/>
            <w:vAlign w:val="center"/>
          </w:tcPr>
          <w:p w14:paraId="58DA4398">
            <w:pPr>
              <w:pageBreakBefore w:val="0"/>
              <w:kinsoku/>
              <w:bidi w:val="0"/>
              <w:spacing w:line="360" w:lineRule="auto"/>
              <w:jc w:val="center"/>
              <w:outlineLvl w:val="9"/>
              <w:rPr>
                <w:rFonts w:hint="eastAsia" w:ascii="宋体" w:hAnsi="宋体" w:eastAsia="宋体" w:cs="宋体"/>
                <w:b/>
                <w:bCs/>
                <w:color w:val="auto"/>
                <w:sz w:val="24"/>
              </w:rPr>
            </w:pPr>
          </w:p>
        </w:tc>
      </w:tr>
      <w:tr w14:paraId="14B6DA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72" w:hRule="atLeast"/>
        </w:trPr>
        <w:tc>
          <w:tcPr>
            <w:tcW w:w="1956" w:type="dxa"/>
            <w:noWrap w:val="0"/>
            <w:vAlign w:val="center"/>
          </w:tcPr>
          <w:p w14:paraId="1B9F7317">
            <w:pPr>
              <w:pageBreakBefore w:val="0"/>
              <w:kinsoku/>
              <w:bidi w:val="0"/>
              <w:spacing w:line="360" w:lineRule="auto"/>
              <w:jc w:val="center"/>
              <w:outlineLvl w:val="9"/>
              <w:rPr>
                <w:rFonts w:hint="eastAsia" w:ascii="宋体" w:hAnsi="宋体" w:eastAsia="宋体" w:cs="宋体"/>
                <w:b/>
                <w:bCs/>
                <w:color w:val="auto"/>
                <w:sz w:val="24"/>
              </w:rPr>
            </w:pPr>
            <w:r>
              <w:rPr>
                <w:rFonts w:hint="eastAsia" w:ascii="宋体" w:hAnsi="宋体" w:eastAsia="宋体" w:cs="宋体"/>
                <w:b/>
                <w:bCs/>
                <w:color w:val="auto"/>
                <w:sz w:val="24"/>
                <w:lang w:eastAsia="zh-CN"/>
              </w:rPr>
              <w:t>投标</w:t>
            </w:r>
            <w:r>
              <w:rPr>
                <w:rFonts w:hint="eastAsia" w:ascii="宋体" w:hAnsi="宋体" w:eastAsia="宋体" w:cs="宋体"/>
                <w:b/>
                <w:bCs/>
                <w:color w:val="auto"/>
                <w:sz w:val="24"/>
              </w:rPr>
              <w:t>报价</w:t>
            </w:r>
          </w:p>
        </w:tc>
        <w:tc>
          <w:tcPr>
            <w:tcW w:w="6981" w:type="dxa"/>
            <w:noWrap w:val="0"/>
            <w:vAlign w:val="top"/>
          </w:tcPr>
          <w:p w14:paraId="5803814B">
            <w:pPr>
              <w:pageBreakBefore w:val="0"/>
              <w:kinsoku/>
              <w:bidi w:val="0"/>
              <w:spacing w:line="360" w:lineRule="auto"/>
              <w:jc w:val="center"/>
              <w:outlineLvl w:val="9"/>
              <w:rPr>
                <w:rFonts w:hint="eastAsia" w:ascii="宋体" w:hAnsi="宋体" w:eastAsia="宋体" w:cs="宋体"/>
                <w:b/>
                <w:bCs/>
                <w:color w:val="auto"/>
                <w:sz w:val="11"/>
                <w:szCs w:val="11"/>
              </w:rPr>
            </w:pPr>
          </w:p>
          <w:p w14:paraId="5C8E86D3">
            <w:pPr>
              <w:pageBreakBefore w:val="0"/>
              <w:kinsoku/>
              <w:bidi w:val="0"/>
              <w:spacing w:line="360" w:lineRule="auto"/>
              <w:jc w:val="center"/>
              <w:outlineLvl w:val="9"/>
              <w:rPr>
                <w:rFonts w:hint="eastAsia" w:ascii="宋体" w:hAnsi="宋体" w:eastAsia="宋体" w:cs="宋体"/>
                <w:b/>
                <w:bCs/>
                <w:color w:val="auto"/>
                <w:sz w:val="24"/>
              </w:rPr>
            </w:pPr>
            <w:r>
              <w:rPr>
                <w:rFonts w:hint="eastAsia" w:ascii="宋体" w:hAnsi="宋体" w:eastAsia="宋体" w:cs="宋体"/>
                <w:b/>
                <w:bCs/>
                <w:color w:val="auto"/>
                <w:sz w:val="24"/>
              </w:rPr>
              <w:t>人 民 币（大写）：</w:t>
            </w:r>
            <w:r>
              <w:rPr>
                <w:rFonts w:hint="eastAsia" w:ascii="宋体" w:hAnsi="宋体" w:eastAsia="宋体" w:cs="宋体"/>
                <w:b/>
                <w:bCs/>
                <w:color w:val="auto"/>
                <w:sz w:val="24"/>
                <w:u w:val="single"/>
              </w:rPr>
              <w:t xml:space="preserve">                  </w:t>
            </w:r>
            <w:r>
              <w:rPr>
                <w:rFonts w:hint="eastAsia" w:ascii="宋体" w:hAnsi="宋体" w:eastAsia="宋体" w:cs="宋体"/>
                <w:b/>
                <w:bCs/>
                <w:color w:val="auto"/>
                <w:sz w:val="24"/>
              </w:rPr>
              <w:t xml:space="preserve"> 元</w:t>
            </w:r>
          </w:p>
          <w:p w14:paraId="79F355FE">
            <w:pPr>
              <w:pageBreakBefore w:val="0"/>
              <w:kinsoku/>
              <w:bidi w:val="0"/>
              <w:spacing w:line="360" w:lineRule="auto"/>
              <w:jc w:val="center"/>
              <w:outlineLvl w:val="9"/>
              <w:rPr>
                <w:rFonts w:hint="eastAsia" w:ascii="宋体" w:hAnsi="宋体" w:eastAsia="宋体" w:cs="宋体"/>
                <w:b/>
                <w:bCs/>
                <w:color w:val="auto"/>
                <w:sz w:val="24"/>
              </w:rPr>
            </w:pPr>
          </w:p>
          <w:p w14:paraId="7A38FD9B">
            <w:pPr>
              <w:pageBreakBefore w:val="0"/>
              <w:kinsoku/>
              <w:bidi w:val="0"/>
              <w:spacing w:line="360" w:lineRule="auto"/>
              <w:jc w:val="center"/>
              <w:outlineLvl w:val="9"/>
              <w:rPr>
                <w:rFonts w:hint="eastAsia" w:ascii="宋体" w:hAnsi="宋体" w:eastAsia="宋体" w:cs="宋体"/>
                <w:b/>
                <w:bCs/>
                <w:color w:val="auto"/>
                <w:sz w:val="24"/>
              </w:rPr>
            </w:pPr>
            <w:r>
              <w:rPr>
                <w:rFonts w:hint="eastAsia" w:ascii="宋体" w:hAnsi="宋体" w:eastAsia="宋体" w:cs="宋体"/>
                <w:b/>
                <w:bCs/>
                <w:color w:val="auto"/>
                <w:sz w:val="24"/>
              </w:rPr>
              <w:t>人 民 币（小写）：</w:t>
            </w:r>
            <w:r>
              <w:rPr>
                <w:rFonts w:hint="eastAsia" w:ascii="宋体" w:hAnsi="宋体" w:eastAsia="宋体" w:cs="宋体"/>
                <w:b/>
                <w:bCs/>
                <w:color w:val="auto"/>
                <w:sz w:val="24"/>
                <w:u w:val="single"/>
              </w:rPr>
              <w:t xml:space="preserve">                 </w:t>
            </w:r>
            <w:r>
              <w:rPr>
                <w:rFonts w:hint="eastAsia" w:ascii="宋体" w:hAnsi="宋体" w:eastAsia="宋体" w:cs="宋体"/>
                <w:b/>
                <w:bCs/>
                <w:color w:val="auto"/>
                <w:sz w:val="24"/>
              </w:rPr>
              <w:t xml:space="preserve"> </w:t>
            </w:r>
            <w:r>
              <w:rPr>
                <w:rFonts w:hint="eastAsia" w:ascii="宋体" w:hAnsi="宋体" w:eastAsia="宋体" w:cs="宋体"/>
                <w:b/>
                <w:bCs/>
                <w:color w:val="auto"/>
                <w:sz w:val="24"/>
                <w:lang w:val="en-US" w:eastAsia="zh-CN"/>
              </w:rPr>
              <w:t xml:space="preserve"> </w:t>
            </w:r>
            <w:r>
              <w:rPr>
                <w:rFonts w:hint="eastAsia" w:ascii="宋体" w:hAnsi="宋体" w:eastAsia="宋体" w:cs="宋体"/>
                <w:b/>
                <w:bCs/>
                <w:color w:val="auto"/>
                <w:sz w:val="24"/>
              </w:rPr>
              <w:t>元</w:t>
            </w:r>
          </w:p>
        </w:tc>
      </w:tr>
      <w:tr w14:paraId="3CDDFC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noWrap w:val="0"/>
            <w:vAlign w:val="center"/>
          </w:tcPr>
          <w:p w14:paraId="5FC1DA02">
            <w:pPr>
              <w:pageBreakBefore w:val="0"/>
              <w:kinsoku/>
              <w:bidi w:val="0"/>
              <w:spacing w:line="360" w:lineRule="auto"/>
              <w:jc w:val="center"/>
              <w:outlineLvl w:val="9"/>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服务期</w:t>
            </w:r>
          </w:p>
        </w:tc>
        <w:tc>
          <w:tcPr>
            <w:tcW w:w="6981" w:type="dxa"/>
            <w:noWrap w:val="0"/>
            <w:vAlign w:val="top"/>
          </w:tcPr>
          <w:p w14:paraId="7CEA1BF4">
            <w:pPr>
              <w:pageBreakBefore w:val="0"/>
              <w:kinsoku/>
              <w:bidi w:val="0"/>
              <w:spacing w:line="360" w:lineRule="auto"/>
              <w:outlineLvl w:val="9"/>
              <w:rPr>
                <w:rFonts w:hint="eastAsia" w:ascii="宋体" w:hAnsi="宋体" w:eastAsia="宋体" w:cs="宋体"/>
                <w:b/>
                <w:bCs/>
                <w:color w:val="auto"/>
                <w:sz w:val="24"/>
              </w:rPr>
            </w:pPr>
          </w:p>
        </w:tc>
      </w:tr>
      <w:tr w14:paraId="676B5B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trPr>
        <w:tc>
          <w:tcPr>
            <w:tcW w:w="1956" w:type="dxa"/>
            <w:noWrap w:val="0"/>
            <w:vAlign w:val="center"/>
          </w:tcPr>
          <w:p w14:paraId="16E05428">
            <w:pPr>
              <w:pageBreakBefore w:val="0"/>
              <w:kinsoku/>
              <w:bidi w:val="0"/>
              <w:spacing w:line="360" w:lineRule="auto"/>
              <w:jc w:val="center"/>
              <w:outlineLvl w:val="9"/>
              <w:rPr>
                <w:rFonts w:hint="eastAsia" w:ascii="宋体" w:hAnsi="宋体" w:eastAsia="宋体" w:cs="宋体"/>
                <w:b/>
                <w:bCs/>
                <w:color w:val="auto"/>
                <w:sz w:val="24"/>
              </w:rPr>
            </w:pPr>
            <w:r>
              <w:rPr>
                <w:rFonts w:hint="eastAsia" w:ascii="宋体" w:hAnsi="宋体" w:eastAsia="宋体" w:cs="宋体"/>
                <w:b/>
                <w:bCs/>
                <w:color w:val="auto"/>
                <w:sz w:val="24"/>
                <w:lang w:eastAsia="zh-CN"/>
              </w:rPr>
              <w:t>投标</w:t>
            </w:r>
            <w:r>
              <w:rPr>
                <w:rFonts w:hint="eastAsia" w:ascii="宋体" w:hAnsi="宋体" w:eastAsia="宋体" w:cs="宋体"/>
                <w:b/>
                <w:bCs/>
                <w:color w:val="auto"/>
                <w:sz w:val="24"/>
              </w:rPr>
              <w:t>声明</w:t>
            </w:r>
          </w:p>
        </w:tc>
        <w:tc>
          <w:tcPr>
            <w:tcW w:w="6981" w:type="dxa"/>
            <w:noWrap w:val="0"/>
            <w:vAlign w:val="top"/>
          </w:tcPr>
          <w:p w14:paraId="22B3AFC1">
            <w:pPr>
              <w:pageBreakBefore w:val="0"/>
              <w:kinsoku/>
              <w:bidi w:val="0"/>
              <w:spacing w:line="360" w:lineRule="auto"/>
              <w:outlineLvl w:val="9"/>
              <w:rPr>
                <w:rFonts w:hint="eastAsia" w:ascii="宋体" w:hAnsi="宋体" w:eastAsia="宋体" w:cs="宋体"/>
                <w:b/>
                <w:bCs/>
                <w:color w:val="auto"/>
                <w:sz w:val="24"/>
              </w:rPr>
            </w:pPr>
          </w:p>
        </w:tc>
      </w:tr>
    </w:tbl>
    <w:p w14:paraId="7EE3C69D">
      <w:pPr>
        <w:pageBreakBefore w:val="0"/>
        <w:kinsoku/>
        <w:bidi w:val="0"/>
        <w:spacing w:line="360" w:lineRule="auto"/>
        <w:ind w:firstLine="240" w:firstLineChars="100"/>
        <w:outlineLvl w:val="9"/>
        <w:rPr>
          <w:rFonts w:hint="eastAsia" w:asciiTheme="minorEastAsia" w:hAnsiTheme="minorEastAsia" w:eastAsiaTheme="minorEastAsia" w:cstheme="minorEastAsia"/>
          <w:color w:val="auto"/>
          <w:sz w:val="24"/>
        </w:rPr>
      </w:pPr>
    </w:p>
    <w:p w14:paraId="17B96EB2">
      <w:pPr>
        <w:pageBreakBefore w:val="0"/>
        <w:kinsoku/>
        <w:bidi w:val="0"/>
        <w:spacing w:line="360" w:lineRule="auto"/>
        <w:outlineLvl w:val="9"/>
        <w:rPr>
          <w:rFonts w:hint="eastAsia" w:asciiTheme="minorEastAsia" w:hAnsiTheme="minorEastAsia" w:eastAsiaTheme="minorEastAsia" w:cstheme="minorEastAsia"/>
          <w:color w:val="auto"/>
          <w:sz w:val="24"/>
        </w:rPr>
      </w:pPr>
    </w:p>
    <w:p w14:paraId="2905060F">
      <w:pPr>
        <w:pageBreakBefore w:val="0"/>
        <w:kinsoku/>
        <w:bidi w:val="0"/>
        <w:spacing w:line="360" w:lineRule="auto"/>
        <w:ind w:firstLine="240" w:firstLineChars="100"/>
        <w:outlineLvl w:val="9"/>
        <w:rPr>
          <w:rFonts w:hint="eastAsia" w:asciiTheme="minorEastAsia" w:hAnsiTheme="minorEastAsia" w:eastAsiaTheme="minorEastAsia" w:cstheme="minorEastAsia"/>
          <w:color w:val="auto"/>
          <w:sz w:val="24"/>
        </w:rPr>
      </w:pPr>
    </w:p>
    <w:p w14:paraId="4ED396B7">
      <w:pPr>
        <w:pageBreakBefore w:val="0"/>
        <w:kinsoku/>
        <w:bidi w:val="0"/>
        <w:spacing w:line="360" w:lineRule="auto"/>
        <w:ind w:firstLine="240" w:firstLineChars="1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投标人：（盖章）</w:t>
      </w:r>
      <w:r>
        <w:rPr>
          <w:rFonts w:hint="eastAsia" w:asciiTheme="minorEastAsia" w:hAnsiTheme="minorEastAsia" w:eastAsiaTheme="minorEastAsia" w:cstheme="minorEastAsia"/>
          <w:color w:val="auto"/>
          <w:sz w:val="24"/>
          <w:u w:val="single"/>
        </w:rPr>
        <w:t xml:space="preserve">         </w:t>
      </w:r>
    </w:p>
    <w:p w14:paraId="1218AEEC">
      <w:pPr>
        <w:pageBreakBefore w:val="0"/>
        <w:kinsoku/>
        <w:bidi w:val="0"/>
        <w:spacing w:line="360" w:lineRule="auto"/>
        <w:ind w:firstLine="240" w:firstLineChars="100"/>
        <w:outlineLvl w:val="9"/>
        <w:rPr>
          <w:rFonts w:hint="eastAsia" w:asciiTheme="minorEastAsia" w:hAnsiTheme="minorEastAsia" w:eastAsiaTheme="minorEastAsia" w:cstheme="minorEastAsia"/>
          <w:color w:val="auto"/>
          <w:sz w:val="24"/>
        </w:rPr>
      </w:pPr>
    </w:p>
    <w:p w14:paraId="6B08A2B8">
      <w:pPr>
        <w:pageBreakBefore w:val="0"/>
        <w:kinsoku/>
        <w:bidi w:val="0"/>
        <w:spacing w:line="360" w:lineRule="auto"/>
        <w:ind w:firstLine="240" w:firstLineChars="100"/>
        <w:outlineLvl w:val="9"/>
        <w:rPr>
          <w:rFonts w:hint="eastAsia" w:asciiTheme="minorEastAsia" w:hAnsiTheme="minorEastAsia" w:eastAsiaTheme="minorEastAsia" w:cstheme="minorEastAsia"/>
          <w:color w:val="auto"/>
          <w:sz w:val="24"/>
        </w:rPr>
      </w:pPr>
    </w:p>
    <w:p w14:paraId="451D13C9">
      <w:pPr>
        <w:pageBreakBefore w:val="0"/>
        <w:kinsoku/>
        <w:bidi w:val="0"/>
        <w:spacing w:line="360" w:lineRule="auto"/>
        <w:ind w:firstLine="240" w:firstLineChars="1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法定代表人或授权代理人签字：</w:t>
      </w:r>
      <w:r>
        <w:rPr>
          <w:rFonts w:hint="eastAsia" w:asciiTheme="minorEastAsia" w:hAnsiTheme="minorEastAsia" w:eastAsiaTheme="minorEastAsia" w:cstheme="minorEastAsia"/>
          <w:color w:val="auto"/>
          <w:sz w:val="24"/>
          <w:u w:val="single"/>
        </w:rPr>
        <w:t xml:space="preserve">            </w:t>
      </w:r>
    </w:p>
    <w:p w14:paraId="1E04B6EE">
      <w:pPr>
        <w:pageBreakBefore w:val="0"/>
        <w:kinsoku/>
        <w:bidi w:val="0"/>
        <w:spacing w:line="360" w:lineRule="auto"/>
        <w:outlineLvl w:val="9"/>
        <w:rPr>
          <w:rFonts w:hint="eastAsia" w:asciiTheme="minorEastAsia" w:hAnsiTheme="minorEastAsia" w:eastAsiaTheme="minorEastAsia" w:cstheme="minorEastAsia"/>
          <w:color w:val="auto"/>
          <w:sz w:val="24"/>
        </w:rPr>
      </w:pPr>
    </w:p>
    <w:p w14:paraId="61FA659C">
      <w:pPr>
        <w:pageBreakBefore w:val="0"/>
        <w:kinsoku/>
        <w:bidi w:val="0"/>
        <w:spacing w:line="360" w:lineRule="auto"/>
        <w:outlineLvl w:val="9"/>
        <w:rPr>
          <w:rFonts w:hint="eastAsia" w:asciiTheme="minorEastAsia" w:hAnsiTheme="minorEastAsia" w:eastAsiaTheme="minorEastAsia" w:cstheme="minorEastAsia"/>
          <w:color w:val="auto"/>
          <w:sz w:val="24"/>
        </w:rPr>
      </w:pPr>
    </w:p>
    <w:p w14:paraId="7CB19C2E">
      <w:pPr>
        <w:pageBreakBefore w:val="0"/>
        <w:kinsoku/>
        <w:bidi w:val="0"/>
        <w:spacing w:line="360" w:lineRule="auto"/>
        <w:ind w:firstLine="4480"/>
        <w:outlineLvl w:val="9"/>
        <w:rPr>
          <w:rFonts w:hint="eastAsia" w:asciiTheme="minorEastAsia" w:hAnsiTheme="minorEastAsia" w:eastAsiaTheme="minorEastAsia" w:cstheme="minorEastAsia"/>
          <w:color w:val="auto"/>
          <w:sz w:val="24"/>
        </w:rPr>
      </w:pPr>
    </w:p>
    <w:p w14:paraId="4D0E9A97">
      <w:pPr>
        <w:pageBreakBefore w:val="0"/>
        <w:kinsoku/>
        <w:wordWrap w:val="0"/>
        <w:bidi w:val="0"/>
        <w:spacing w:line="360" w:lineRule="auto"/>
        <w:ind w:firstLine="4480"/>
        <w:jc w:val="right"/>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   年   月   日</w:t>
      </w:r>
    </w:p>
    <w:p w14:paraId="483EED90">
      <w:pPr>
        <w:pageBreakBefore w:val="0"/>
        <w:kinsoku/>
        <w:bidi w:val="0"/>
        <w:spacing w:line="360" w:lineRule="auto"/>
        <w:ind w:firstLine="562" w:firstLineChars="175"/>
        <w:jc w:val="center"/>
        <w:outlineLvl w:val="9"/>
        <w:rPr>
          <w:rFonts w:hint="eastAsia" w:asciiTheme="minorEastAsia" w:hAnsiTheme="minorEastAsia" w:eastAsiaTheme="minorEastAsia" w:cstheme="minorEastAsia"/>
          <w:b/>
          <w:color w:val="auto"/>
          <w:kern w:val="2"/>
          <w:sz w:val="32"/>
          <w:szCs w:val="32"/>
          <w:lang w:val="en-US" w:eastAsia="zh-CN" w:bidi="ar-SA"/>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65" w:name="_Toc2598"/>
    </w:p>
    <w:p w14:paraId="6AFE64A3">
      <w:pPr>
        <w:pageBreakBefore w:val="0"/>
        <w:kinsoku/>
        <w:bidi w:val="0"/>
        <w:spacing w:line="360" w:lineRule="auto"/>
        <w:ind w:firstLine="562" w:firstLineChars="175"/>
        <w:jc w:val="center"/>
        <w:outlineLvl w:val="9"/>
        <w:rPr>
          <w:rFonts w:hint="eastAsia" w:asciiTheme="minorEastAsia" w:hAnsiTheme="minorEastAsia" w:eastAsiaTheme="minorEastAsia" w:cstheme="minorEastAsia"/>
          <w:b/>
          <w:color w:val="auto"/>
          <w:kern w:val="2"/>
          <w:sz w:val="32"/>
          <w:szCs w:val="32"/>
          <w:lang w:val="en-US" w:eastAsia="zh-CN" w:bidi="ar-SA"/>
        </w:rPr>
      </w:pPr>
      <w:r>
        <w:rPr>
          <w:rFonts w:hint="eastAsia" w:asciiTheme="minorEastAsia" w:hAnsiTheme="minorEastAsia" w:eastAsiaTheme="minorEastAsia" w:cstheme="minorEastAsia"/>
          <w:b/>
          <w:color w:val="auto"/>
          <w:kern w:val="2"/>
          <w:sz w:val="32"/>
          <w:szCs w:val="32"/>
          <w:lang w:val="en-US" w:eastAsia="zh-CN" w:bidi="ar-SA"/>
        </w:rPr>
        <w:t>分项报价表</w:t>
      </w:r>
      <w:bookmarkEnd w:id="165"/>
    </w:p>
    <w:p w14:paraId="041277ED">
      <w:pPr>
        <w:pageBreakBefore w:val="0"/>
        <w:kinsoku/>
        <w:bidi w:val="0"/>
        <w:spacing w:line="360" w:lineRule="auto"/>
        <w:outlineLvl w:val="9"/>
        <w:rPr>
          <w:rFonts w:hint="eastAsia" w:asciiTheme="minorEastAsia" w:hAnsiTheme="minorEastAsia" w:eastAsiaTheme="minorEastAsia" w:cstheme="minorEastAsia"/>
          <w:color w:val="auto"/>
          <w:lang w:val="en-US" w:eastAsia="zh-CN"/>
        </w:rPr>
      </w:pPr>
    </w:p>
    <w:p w14:paraId="13340830">
      <w:pPr>
        <w:pStyle w:val="8"/>
        <w:pageBreakBefore w:val="0"/>
        <w:kinsoku/>
        <w:bidi w:val="0"/>
        <w:spacing w:line="360" w:lineRule="auto"/>
        <w:jc w:val="right"/>
        <w:outlineLvl w:val="9"/>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119877EA">
      <w:pPr>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 xml:space="preserve">     </w:t>
      </w:r>
    </w:p>
    <w:p w14:paraId="6566EBF5">
      <w:pPr>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133584F1">
      <w:pPr>
        <w:pStyle w:val="11"/>
        <w:pageBreakBefore w:val="0"/>
        <w:kinsoku/>
        <w:bidi w:val="0"/>
        <w:spacing w:line="360" w:lineRule="auto"/>
        <w:jc w:val="center"/>
        <w:outlineLvl w:val="9"/>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（格式自拟）</w:t>
      </w:r>
    </w:p>
    <w:p w14:paraId="5806EC82">
      <w:pPr>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1D50228D">
      <w:pPr>
        <w:pStyle w:val="11"/>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2663BA4D">
      <w:pPr>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0F80CFA7">
      <w:pPr>
        <w:pStyle w:val="11"/>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0D4A9BA3">
      <w:pPr>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5685EF5A">
      <w:pPr>
        <w:pStyle w:val="11"/>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22B389E8">
      <w:pPr>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07291F63">
      <w:pPr>
        <w:pStyle w:val="11"/>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1C59832F">
      <w:pPr>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53454A51">
      <w:pPr>
        <w:pStyle w:val="11"/>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2C6CFCD0">
      <w:pPr>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28940C23">
      <w:pPr>
        <w:pStyle w:val="11"/>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538527DF">
      <w:pPr>
        <w:pageBreakBefore w:val="0"/>
        <w:kinsoku/>
        <w:bidi w:val="0"/>
        <w:spacing w:line="360" w:lineRule="auto"/>
        <w:outlineLvl w:val="9"/>
        <w:rPr>
          <w:rFonts w:hint="eastAsia" w:asciiTheme="minorEastAsia" w:hAnsiTheme="minorEastAsia" w:eastAsiaTheme="minorEastAsia" w:cstheme="minorEastAsia"/>
          <w:color w:val="auto"/>
          <w:sz w:val="24"/>
          <w:szCs w:val="21"/>
          <w:lang w:val="en-US" w:eastAsia="zh-CN"/>
        </w:rPr>
      </w:pPr>
    </w:p>
    <w:p w14:paraId="0A6DE51E">
      <w:pPr>
        <w:pStyle w:val="11"/>
        <w:pageBreakBefore w:val="0"/>
        <w:kinsoku/>
        <w:bidi w:val="0"/>
        <w:spacing w:line="360" w:lineRule="auto"/>
        <w:outlineLvl w:val="9"/>
        <w:rPr>
          <w:rFonts w:hint="default"/>
          <w:lang w:val="en-US" w:eastAsia="zh-CN"/>
        </w:rPr>
      </w:pPr>
    </w:p>
    <w:p w14:paraId="0BC6A39F">
      <w:pPr>
        <w:pageBreakBefore w:val="0"/>
        <w:kinsoku/>
        <w:bidi w:val="0"/>
        <w:adjustRightInd w:val="0"/>
        <w:snapToGrid w:val="0"/>
        <w:spacing w:line="360" w:lineRule="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 供应商须按照</w:t>
      </w:r>
      <w:r>
        <w:rPr>
          <w:rFonts w:hint="eastAsia" w:asciiTheme="minorEastAsia" w:hAnsiTheme="minorEastAsia" w:eastAsiaTheme="minorEastAsia" w:cstheme="minorEastAsia"/>
          <w:color w:val="auto"/>
          <w:sz w:val="24"/>
          <w:szCs w:val="24"/>
          <w:lang w:val="en-US" w:eastAsia="zh-CN"/>
        </w:rPr>
        <w:t>招标</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采购内容</w:t>
      </w:r>
      <w:r>
        <w:rPr>
          <w:rFonts w:hint="eastAsia" w:asciiTheme="minorEastAsia" w:hAnsiTheme="minorEastAsia" w:eastAsiaTheme="minorEastAsia" w:cstheme="minorEastAsia"/>
          <w:color w:val="auto"/>
          <w:sz w:val="24"/>
          <w:szCs w:val="24"/>
        </w:rPr>
        <w:t>及要求”中涉及的</w:t>
      </w:r>
      <w:r>
        <w:rPr>
          <w:rFonts w:hint="eastAsia" w:asciiTheme="minorEastAsia" w:hAnsiTheme="minorEastAsia" w:eastAsia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清单进行报价。</w:t>
      </w:r>
    </w:p>
    <w:p w14:paraId="39E0DBF5">
      <w:pPr>
        <w:pageBreakBefore w:val="0"/>
        <w:kinsoku/>
        <w:bidi w:val="0"/>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如果按单价计算的结果与总价不一致，以单价为准修正总价。</w:t>
      </w:r>
    </w:p>
    <w:p w14:paraId="3D1E73CC">
      <w:pPr>
        <w:pageBreakBefore w:val="0"/>
        <w:kinsoku/>
        <w:bidi w:val="0"/>
        <w:adjustRightInd w:val="0"/>
        <w:snapToGrid w:val="0"/>
        <w:spacing w:line="360" w:lineRule="auto"/>
        <w:ind w:left="792" w:leftChars="225" w:hanging="319" w:hangingChars="133"/>
        <w:outlineLvl w:val="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3. 上述投标总报价包含了供应商为此项目所支付的的一切费用，在整个合同期内不做调整。</w:t>
      </w:r>
    </w:p>
    <w:p w14:paraId="4C92FCE9">
      <w:pPr>
        <w:keepNext w:val="0"/>
        <w:keepLines w:val="0"/>
        <w:pageBreakBefore w:val="0"/>
        <w:widowControl w:val="0"/>
        <w:kinsoku/>
        <w:wordWrap/>
        <w:overflowPunct/>
        <w:topLinePunct w:val="0"/>
        <w:autoSpaceDE/>
        <w:autoSpaceDN/>
        <w:bidi w:val="0"/>
        <w:adjustRightInd/>
        <w:snapToGrid/>
        <w:spacing w:line="360" w:lineRule="auto"/>
        <w:ind w:right="-161" w:firstLine="3120" w:firstLineChars="1300"/>
        <w:textAlignment w:val="auto"/>
        <w:outlineLvl w:val="9"/>
        <w:rPr>
          <w:rFonts w:hint="eastAsia" w:asciiTheme="minorEastAsia" w:hAnsiTheme="minorEastAsia" w:eastAsiaTheme="minorEastAsia" w:cstheme="minorEastAsia"/>
          <w:color w:val="auto"/>
          <w:sz w:val="24"/>
          <w:szCs w:val="24"/>
        </w:rPr>
      </w:pPr>
    </w:p>
    <w:p w14:paraId="32E72F6A">
      <w:pPr>
        <w:keepNext w:val="0"/>
        <w:keepLines w:val="0"/>
        <w:pageBreakBefore w:val="0"/>
        <w:widowControl w:val="0"/>
        <w:kinsoku/>
        <w:wordWrap/>
        <w:overflowPunct/>
        <w:topLinePunct w:val="0"/>
        <w:autoSpaceDE/>
        <w:autoSpaceDN/>
        <w:bidi w:val="0"/>
        <w:adjustRightInd/>
        <w:snapToGrid/>
        <w:spacing w:line="360" w:lineRule="auto"/>
        <w:ind w:right="-161" w:firstLine="3120" w:firstLineChars="1300"/>
        <w:textAlignment w:val="auto"/>
        <w:outlineLvl w:val="9"/>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法人代表或被授权代表签字：</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14:paraId="5D883F96">
      <w:pPr>
        <w:keepNext w:val="0"/>
        <w:keepLines w:val="0"/>
        <w:pageBreakBefore w:val="0"/>
        <w:widowControl w:val="0"/>
        <w:kinsoku/>
        <w:wordWrap/>
        <w:overflowPunct/>
        <w:topLinePunct w:val="0"/>
        <w:autoSpaceDE/>
        <w:autoSpaceDN/>
        <w:bidi w:val="0"/>
        <w:adjustRightInd/>
        <w:snapToGrid/>
        <w:spacing w:line="360" w:lineRule="auto"/>
        <w:ind w:right="-161" w:firstLine="3120" w:firstLineChars="1300"/>
        <w:textAlignment w:val="auto"/>
        <w:outlineLvl w:val="9"/>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投   标   单  位  公  章：</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14:paraId="33F1C5F8">
      <w:pPr>
        <w:pageBreakBefore w:val="0"/>
        <w:kinsoku/>
        <w:bidi w:val="0"/>
        <w:spacing w:line="360" w:lineRule="auto"/>
        <w:jc w:val="center"/>
        <w:outlineLvl w:val="9"/>
        <w:rPr>
          <w:rFonts w:hint="eastAsia" w:asciiTheme="minorEastAsia" w:hAnsiTheme="minorEastAsia" w:eastAsiaTheme="minorEastAsia" w:cstheme="minorEastAsia"/>
          <w:b/>
          <w:color w:val="auto"/>
          <w:sz w:val="36"/>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                    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14:paraId="4B113E84">
      <w:pPr>
        <w:pageBreakBefore w:val="0"/>
        <w:kinsoku/>
        <w:bidi w:val="0"/>
        <w:spacing w:line="360" w:lineRule="auto"/>
        <w:jc w:val="center"/>
        <w:outlineLvl w:val="9"/>
        <w:rPr>
          <w:rFonts w:hint="eastAsia" w:asciiTheme="minorEastAsia" w:hAnsiTheme="minorEastAsia" w:eastAsiaTheme="minorEastAsia" w:cstheme="minorEastAsia"/>
          <w:b/>
          <w:color w:val="auto"/>
          <w:sz w:val="36"/>
        </w:rPr>
        <w:sectPr>
          <w:headerReference r:id="rId8" w:type="first"/>
          <w:footerReference r:id="rId10" w:type="first"/>
          <w:headerReference r:id="rId7" w:type="default"/>
          <w:footerReference r:id="rId9" w:type="default"/>
          <w:pgSz w:w="11907" w:h="16840"/>
          <w:pgMar w:top="1440" w:right="1800" w:bottom="1440" w:left="1800" w:header="907" w:footer="654" w:gutter="0"/>
          <w:pgNumType w:fmt="decimal"/>
          <w:cols w:space="720" w:num="1"/>
          <w:titlePg/>
          <w:docGrid w:linePitch="312" w:charSpace="0"/>
        </w:sectPr>
      </w:pPr>
    </w:p>
    <w:p w14:paraId="0AFA24C1">
      <w:pPr>
        <w:pageBreakBefore w:val="0"/>
        <w:kinsoku/>
        <w:bidi w:val="0"/>
        <w:spacing w:line="360" w:lineRule="auto"/>
        <w:jc w:val="center"/>
        <w:outlineLvl w:val="9"/>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三</w:t>
      </w:r>
      <w:r>
        <w:rPr>
          <w:rFonts w:hint="eastAsia" w:ascii="宋体" w:hAnsi="宋体" w:eastAsia="宋体" w:cs="宋体"/>
          <w:b/>
          <w:bCs/>
          <w:color w:val="auto"/>
          <w:sz w:val="32"/>
          <w:szCs w:val="32"/>
        </w:rPr>
        <w:t>、商务响应偏离表</w:t>
      </w:r>
    </w:p>
    <w:p w14:paraId="4147D161">
      <w:pPr>
        <w:pageBreakBefore w:val="0"/>
        <w:kinsoku/>
        <w:bidi w:val="0"/>
        <w:spacing w:line="360" w:lineRule="auto"/>
        <w:jc w:val="center"/>
        <w:outlineLvl w:val="9"/>
        <w:rPr>
          <w:rFonts w:hint="eastAsia" w:ascii="宋体" w:hAnsi="宋体" w:eastAsia="宋体" w:cs="宋体"/>
          <w:b/>
          <w:bCs/>
          <w:color w:val="auto"/>
          <w:sz w:val="24"/>
        </w:rPr>
      </w:pPr>
    </w:p>
    <w:p w14:paraId="2C5F45B7">
      <w:pPr>
        <w:pageBreakBefore w:val="0"/>
        <w:kinsoku/>
        <w:bidi w:val="0"/>
        <w:spacing w:line="360" w:lineRule="auto"/>
        <w:outlineLvl w:val="9"/>
        <w:rPr>
          <w:rFonts w:hint="eastAsia" w:ascii="宋体" w:hAnsi="宋体" w:eastAsia="宋体" w:cs="宋体"/>
          <w:color w:val="auto"/>
          <w:sz w:val="24"/>
        </w:rPr>
      </w:pPr>
      <w:r>
        <w:rPr>
          <w:rFonts w:hint="eastAsia" w:ascii="宋体" w:hAnsi="宋体" w:cs="宋体"/>
          <w:color w:val="auto"/>
          <w:sz w:val="24"/>
          <w:lang w:eastAsia="zh-CN"/>
        </w:rPr>
        <w:t>标段</w:t>
      </w:r>
      <w:r>
        <w:rPr>
          <w:rFonts w:hint="eastAsia" w:ascii="宋体" w:hAnsi="宋体" w:eastAsia="宋体" w:cs="宋体"/>
          <w:color w:val="auto"/>
          <w:sz w:val="24"/>
        </w:rPr>
        <w:t>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F74647F">
      <w:pPr>
        <w:pageBreakBefore w:val="0"/>
        <w:kinsoku/>
        <w:bidi w:val="0"/>
        <w:spacing w:line="360" w:lineRule="auto"/>
        <w:outlineLvl w:val="9"/>
        <w:rPr>
          <w:rFonts w:hint="eastAsia" w:ascii="宋体" w:hAnsi="宋体" w:eastAsia="宋体" w:cs="宋体"/>
          <w:color w:val="auto"/>
          <w:sz w:val="24"/>
        </w:rPr>
      </w:pPr>
      <w:r>
        <w:rPr>
          <w:rFonts w:hint="eastAsia" w:ascii="宋体" w:hAnsi="宋体" w:cs="宋体"/>
          <w:color w:val="auto"/>
          <w:sz w:val="24"/>
          <w:lang w:eastAsia="zh-CN"/>
        </w:rPr>
        <w:t>标段</w:t>
      </w:r>
      <w:r>
        <w:rPr>
          <w:rFonts w:hint="eastAsia" w:ascii="宋体" w:hAnsi="宋体" w:eastAsia="宋体" w:cs="宋体"/>
          <w:color w:val="auto"/>
          <w:sz w:val="24"/>
          <w:lang w:eastAsia="zh-CN"/>
        </w:rPr>
        <w:t>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29ECF55">
      <w:pPr>
        <w:pStyle w:val="34"/>
        <w:rPr>
          <w:rFonts w:hint="eastAsia"/>
        </w:rPr>
      </w:pPr>
    </w:p>
    <w:p w14:paraId="14E89F20">
      <w:pPr>
        <w:pStyle w:val="8"/>
        <w:pageBreakBefore w:val="0"/>
        <w:kinsoku/>
        <w:bidi w:val="0"/>
        <w:spacing w:line="360" w:lineRule="auto"/>
        <w:outlineLvl w:val="9"/>
        <w:rPr>
          <w:rFonts w:hint="eastAsia" w:ascii="宋体" w:hAnsi="宋体" w:eastAsia="宋体" w:cs="宋体"/>
          <w:color w:val="auto"/>
          <w:sz w:val="24"/>
        </w:rPr>
      </w:pPr>
    </w:p>
    <w:tbl>
      <w:tblPr>
        <w:tblStyle w:val="19"/>
        <w:tblpPr w:leftFromText="180" w:rightFromText="180" w:vertAnchor="page" w:horzAnchor="page" w:tblpX="1358" w:tblpY="36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14:paraId="75A8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bottom w:val="single" w:color="auto" w:sz="4" w:space="0"/>
            </w:tcBorders>
            <w:noWrap w:val="0"/>
            <w:vAlign w:val="center"/>
          </w:tcPr>
          <w:p w14:paraId="469347D1">
            <w:pPr>
              <w:pageBreakBefore w:val="0"/>
              <w:kinsoku/>
              <w:bidi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rPr>
              <w:t>序号</w:t>
            </w:r>
          </w:p>
        </w:tc>
        <w:tc>
          <w:tcPr>
            <w:tcW w:w="3010" w:type="dxa"/>
            <w:tcBorders>
              <w:bottom w:val="single" w:color="auto" w:sz="4" w:space="0"/>
            </w:tcBorders>
            <w:noWrap w:val="0"/>
            <w:vAlign w:val="center"/>
          </w:tcPr>
          <w:p w14:paraId="19F4ED03">
            <w:pPr>
              <w:pageBreakBefore w:val="0"/>
              <w:kinsoku/>
              <w:bidi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招标文件要求</w:t>
            </w:r>
          </w:p>
        </w:tc>
        <w:tc>
          <w:tcPr>
            <w:tcW w:w="3240" w:type="dxa"/>
            <w:tcBorders>
              <w:bottom w:val="single" w:color="auto" w:sz="4" w:space="0"/>
            </w:tcBorders>
            <w:noWrap w:val="0"/>
            <w:vAlign w:val="center"/>
          </w:tcPr>
          <w:p w14:paraId="3BED23E0">
            <w:pPr>
              <w:pageBreakBefore w:val="0"/>
              <w:kinsoku/>
              <w:bidi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投标文件情况</w:t>
            </w:r>
          </w:p>
        </w:tc>
        <w:tc>
          <w:tcPr>
            <w:tcW w:w="2340" w:type="dxa"/>
            <w:tcBorders>
              <w:bottom w:val="single" w:color="auto" w:sz="4" w:space="0"/>
            </w:tcBorders>
            <w:noWrap w:val="0"/>
            <w:vAlign w:val="center"/>
          </w:tcPr>
          <w:p w14:paraId="5F7FB2A0">
            <w:pPr>
              <w:pageBreakBefore w:val="0"/>
              <w:kinsoku/>
              <w:bidi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rPr>
              <w:t>备  注</w:t>
            </w:r>
          </w:p>
        </w:tc>
      </w:tr>
      <w:tr w14:paraId="7B87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75B33D7E">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3A4D818A">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46B899D2">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08CF39EF">
            <w:pPr>
              <w:pageBreakBefore w:val="0"/>
              <w:kinsoku/>
              <w:bidi w:val="0"/>
              <w:spacing w:line="360" w:lineRule="auto"/>
              <w:jc w:val="center"/>
              <w:outlineLvl w:val="9"/>
              <w:rPr>
                <w:rFonts w:hint="eastAsia" w:ascii="宋体" w:hAnsi="宋体" w:eastAsia="宋体" w:cs="宋体"/>
                <w:color w:val="auto"/>
                <w:sz w:val="24"/>
              </w:rPr>
            </w:pPr>
          </w:p>
        </w:tc>
      </w:tr>
      <w:tr w14:paraId="0446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42B5C200">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7FDBA6BD">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3DFC8329">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04412EA9">
            <w:pPr>
              <w:pageBreakBefore w:val="0"/>
              <w:kinsoku/>
              <w:bidi w:val="0"/>
              <w:spacing w:line="360" w:lineRule="auto"/>
              <w:jc w:val="center"/>
              <w:outlineLvl w:val="9"/>
              <w:rPr>
                <w:rFonts w:hint="eastAsia" w:ascii="宋体" w:hAnsi="宋体" w:eastAsia="宋体" w:cs="宋体"/>
                <w:color w:val="auto"/>
                <w:sz w:val="24"/>
              </w:rPr>
            </w:pPr>
          </w:p>
        </w:tc>
      </w:tr>
      <w:tr w14:paraId="033E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7FCF3203">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539481B1">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46B11B3A">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6A5D3C60">
            <w:pPr>
              <w:pageBreakBefore w:val="0"/>
              <w:kinsoku/>
              <w:bidi w:val="0"/>
              <w:spacing w:line="360" w:lineRule="auto"/>
              <w:jc w:val="center"/>
              <w:outlineLvl w:val="9"/>
              <w:rPr>
                <w:rFonts w:hint="eastAsia" w:ascii="宋体" w:hAnsi="宋体" w:eastAsia="宋体" w:cs="宋体"/>
                <w:color w:val="auto"/>
                <w:sz w:val="24"/>
              </w:rPr>
            </w:pPr>
          </w:p>
        </w:tc>
      </w:tr>
      <w:tr w14:paraId="0C20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noWrap w:val="0"/>
            <w:vAlign w:val="center"/>
          </w:tcPr>
          <w:p w14:paraId="23B4DA81">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455E87B8">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5693AF11">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122C69CF">
            <w:pPr>
              <w:pageBreakBefore w:val="0"/>
              <w:kinsoku/>
              <w:bidi w:val="0"/>
              <w:spacing w:line="360" w:lineRule="auto"/>
              <w:jc w:val="center"/>
              <w:outlineLvl w:val="9"/>
              <w:rPr>
                <w:rFonts w:hint="eastAsia" w:ascii="宋体" w:hAnsi="宋体" w:eastAsia="宋体" w:cs="宋体"/>
                <w:color w:val="auto"/>
                <w:sz w:val="24"/>
              </w:rPr>
            </w:pPr>
          </w:p>
        </w:tc>
      </w:tr>
      <w:tr w14:paraId="5AD1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4FA23291">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7DF7E6FA">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63B01C4A">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669D7560">
            <w:pPr>
              <w:pageBreakBefore w:val="0"/>
              <w:kinsoku/>
              <w:bidi w:val="0"/>
              <w:spacing w:line="360" w:lineRule="auto"/>
              <w:jc w:val="center"/>
              <w:outlineLvl w:val="9"/>
              <w:rPr>
                <w:rFonts w:hint="eastAsia" w:ascii="宋体" w:hAnsi="宋体" w:eastAsia="宋体" w:cs="宋体"/>
                <w:color w:val="auto"/>
                <w:sz w:val="24"/>
              </w:rPr>
            </w:pPr>
          </w:p>
        </w:tc>
      </w:tr>
      <w:tr w14:paraId="78AC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021281F8">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08B05EAC">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792F9057">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42BB0A3F">
            <w:pPr>
              <w:pageBreakBefore w:val="0"/>
              <w:kinsoku/>
              <w:bidi w:val="0"/>
              <w:spacing w:line="360" w:lineRule="auto"/>
              <w:jc w:val="center"/>
              <w:outlineLvl w:val="9"/>
              <w:rPr>
                <w:rFonts w:hint="eastAsia" w:ascii="宋体" w:hAnsi="宋体" w:eastAsia="宋体" w:cs="宋体"/>
                <w:color w:val="auto"/>
                <w:sz w:val="24"/>
              </w:rPr>
            </w:pPr>
          </w:p>
        </w:tc>
      </w:tr>
      <w:tr w14:paraId="278E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06FA7E0A">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6E7E4B19">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0467D1C4">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447E0449">
            <w:pPr>
              <w:pageBreakBefore w:val="0"/>
              <w:kinsoku/>
              <w:bidi w:val="0"/>
              <w:spacing w:line="360" w:lineRule="auto"/>
              <w:jc w:val="center"/>
              <w:outlineLvl w:val="9"/>
              <w:rPr>
                <w:rFonts w:hint="eastAsia" w:ascii="宋体" w:hAnsi="宋体" w:eastAsia="宋体" w:cs="宋体"/>
                <w:color w:val="auto"/>
                <w:sz w:val="24"/>
              </w:rPr>
            </w:pPr>
          </w:p>
        </w:tc>
      </w:tr>
      <w:tr w14:paraId="4ECC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5EDCC3D9">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1378FF36">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1A19233B">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7F07E2DC">
            <w:pPr>
              <w:pageBreakBefore w:val="0"/>
              <w:kinsoku/>
              <w:bidi w:val="0"/>
              <w:spacing w:line="360" w:lineRule="auto"/>
              <w:jc w:val="center"/>
              <w:outlineLvl w:val="9"/>
              <w:rPr>
                <w:rFonts w:hint="eastAsia" w:ascii="宋体" w:hAnsi="宋体" w:eastAsia="宋体" w:cs="宋体"/>
                <w:color w:val="auto"/>
                <w:sz w:val="24"/>
              </w:rPr>
            </w:pPr>
          </w:p>
        </w:tc>
      </w:tr>
      <w:tr w14:paraId="0C53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3D06D30E">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4D54D929">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5AA3C99D">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25D52C6F">
            <w:pPr>
              <w:pageBreakBefore w:val="0"/>
              <w:kinsoku/>
              <w:bidi w:val="0"/>
              <w:spacing w:line="360" w:lineRule="auto"/>
              <w:jc w:val="center"/>
              <w:outlineLvl w:val="9"/>
              <w:rPr>
                <w:rFonts w:hint="eastAsia" w:ascii="宋体" w:hAnsi="宋体" w:eastAsia="宋体" w:cs="宋体"/>
                <w:color w:val="auto"/>
                <w:sz w:val="24"/>
              </w:rPr>
            </w:pPr>
          </w:p>
        </w:tc>
      </w:tr>
      <w:tr w14:paraId="0875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361DD63C">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35E40AC6">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5F65E98C">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6CF3B3A6">
            <w:pPr>
              <w:pageBreakBefore w:val="0"/>
              <w:kinsoku/>
              <w:bidi w:val="0"/>
              <w:spacing w:line="360" w:lineRule="auto"/>
              <w:jc w:val="center"/>
              <w:outlineLvl w:val="9"/>
              <w:rPr>
                <w:rFonts w:hint="eastAsia" w:ascii="宋体" w:hAnsi="宋体" w:eastAsia="宋体" w:cs="宋体"/>
                <w:color w:val="auto"/>
                <w:sz w:val="24"/>
              </w:rPr>
            </w:pPr>
          </w:p>
        </w:tc>
      </w:tr>
      <w:tr w14:paraId="123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5D96F9F4">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565E059F">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1A991526">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5D569CB4">
            <w:pPr>
              <w:pageBreakBefore w:val="0"/>
              <w:kinsoku/>
              <w:bidi w:val="0"/>
              <w:spacing w:line="360" w:lineRule="auto"/>
              <w:jc w:val="center"/>
              <w:outlineLvl w:val="9"/>
              <w:rPr>
                <w:rFonts w:hint="eastAsia" w:ascii="宋体" w:hAnsi="宋体" w:eastAsia="宋体" w:cs="宋体"/>
                <w:color w:val="auto"/>
                <w:sz w:val="24"/>
              </w:rPr>
            </w:pPr>
          </w:p>
        </w:tc>
      </w:tr>
    </w:tbl>
    <w:p w14:paraId="3C918B8E">
      <w:pPr>
        <w:keepNext w:val="0"/>
        <w:keepLines w:val="0"/>
        <w:pageBreakBefore w:val="0"/>
        <w:widowControl w:val="0"/>
        <w:kinsoku/>
        <w:wordWrap/>
        <w:overflowPunct/>
        <w:topLinePunct w:val="0"/>
        <w:autoSpaceDE/>
        <w:autoSpaceDN/>
        <w:bidi w:val="0"/>
        <w:adjustRightInd/>
        <w:snapToGrid/>
        <w:spacing w:line="360" w:lineRule="auto"/>
        <w:ind w:right="-161" w:firstLine="3120" w:firstLineChars="1300"/>
        <w:textAlignment w:val="auto"/>
        <w:outlineLvl w:val="9"/>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法人代表或被授权代表签字：</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14:paraId="03460A4C">
      <w:pPr>
        <w:keepNext w:val="0"/>
        <w:keepLines w:val="0"/>
        <w:pageBreakBefore w:val="0"/>
        <w:widowControl w:val="0"/>
        <w:kinsoku/>
        <w:wordWrap/>
        <w:overflowPunct/>
        <w:topLinePunct w:val="0"/>
        <w:autoSpaceDE/>
        <w:autoSpaceDN/>
        <w:bidi w:val="0"/>
        <w:adjustRightInd/>
        <w:snapToGrid/>
        <w:spacing w:line="360" w:lineRule="auto"/>
        <w:ind w:right="-161" w:firstLine="3120" w:firstLineChars="1300"/>
        <w:textAlignment w:val="auto"/>
        <w:outlineLvl w:val="9"/>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投   标   单  位  公  章：</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14:paraId="1135AB99">
      <w:pPr>
        <w:pageBreakBefore w:val="0"/>
        <w:kinsoku/>
        <w:bidi w:val="0"/>
        <w:spacing w:line="360" w:lineRule="auto"/>
        <w:jc w:val="center"/>
        <w:outlineLvl w:val="9"/>
        <w:rPr>
          <w:rFonts w:hint="eastAsia" w:asciiTheme="minorEastAsia" w:hAnsiTheme="minorEastAsia" w:eastAsiaTheme="minorEastAsia" w:cstheme="minorEastAsia"/>
          <w:b/>
          <w:color w:val="auto"/>
          <w:sz w:val="36"/>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                    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14:paraId="3C09AC1C">
      <w:pPr>
        <w:pageBreakBefore w:val="0"/>
        <w:kinsoku/>
        <w:bidi w:val="0"/>
        <w:spacing w:line="360" w:lineRule="auto"/>
        <w:outlineLvl w:val="9"/>
        <w:rPr>
          <w:rFonts w:hint="eastAsia" w:ascii="宋体" w:hAnsi="宋体" w:eastAsia="宋体" w:cs="宋体"/>
          <w:color w:val="auto"/>
          <w:sz w:val="24"/>
        </w:rPr>
      </w:pPr>
    </w:p>
    <w:p w14:paraId="07B66A81">
      <w:pPr>
        <w:pageBreakBefore w:val="0"/>
        <w:kinsoku/>
        <w:bidi w:val="0"/>
        <w:spacing w:line="360" w:lineRule="auto"/>
        <w:outlineLvl w:val="9"/>
        <w:rPr>
          <w:rFonts w:hint="eastAsia" w:ascii="宋体" w:hAnsi="宋体" w:eastAsia="宋体" w:cs="宋体"/>
          <w:color w:val="auto"/>
          <w:sz w:val="24"/>
        </w:rPr>
      </w:pPr>
    </w:p>
    <w:p w14:paraId="79280025">
      <w:pPr>
        <w:pageBreakBefore w:val="0"/>
        <w:kinsoku/>
        <w:bidi w:val="0"/>
        <w:spacing w:line="360" w:lineRule="auto"/>
        <w:outlineLvl w:val="9"/>
        <w:rPr>
          <w:rFonts w:hint="eastAsia" w:ascii="宋体" w:hAnsi="宋体" w:eastAsia="宋体" w:cs="宋体"/>
          <w:color w:val="auto"/>
          <w:sz w:val="24"/>
        </w:rPr>
      </w:pPr>
    </w:p>
    <w:p w14:paraId="45AE7484">
      <w:pPr>
        <w:pageBreakBefore w:val="0"/>
        <w:kinsoku/>
        <w:bidi w:val="0"/>
        <w:spacing w:line="360" w:lineRule="auto"/>
        <w:outlineLvl w:val="9"/>
        <w:rPr>
          <w:rFonts w:hint="eastAsia" w:ascii="宋体" w:hAnsi="宋体" w:eastAsia="宋体" w:cs="宋体"/>
          <w:b/>
          <w:bCs/>
          <w:color w:val="auto"/>
          <w:sz w:val="24"/>
        </w:rPr>
      </w:pPr>
      <w:r>
        <w:rPr>
          <w:rFonts w:hint="eastAsia" w:ascii="宋体" w:hAnsi="宋体" w:eastAsia="宋体" w:cs="宋体"/>
          <w:b/>
          <w:bCs/>
          <w:color w:val="auto"/>
          <w:sz w:val="24"/>
        </w:rPr>
        <w:t>注：根据服务期限、付款、验收及商务条款等要求，此表在不改变表式的情况下可自行制作。</w:t>
      </w:r>
    </w:p>
    <w:p w14:paraId="0169248A">
      <w:pPr>
        <w:pageBreakBefore w:val="0"/>
        <w:kinsoku/>
        <w:bidi w:val="0"/>
        <w:spacing w:line="360" w:lineRule="auto"/>
        <w:jc w:val="center"/>
        <w:outlineLvl w:val="9"/>
        <w:rPr>
          <w:rFonts w:hint="eastAsia" w:ascii="宋体" w:hAnsi="宋体" w:eastAsia="宋体" w:cs="宋体"/>
          <w:b/>
          <w:bCs/>
          <w:color w:val="auto"/>
          <w:sz w:val="32"/>
          <w:szCs w:val="32"/>
        </w:rPr>
      </w:pPr>
    </w:p>
    <w:p w14:paraId="2E30A7E1">
      <w:pPr>
        <w:pageBreakBefore w:val="0"/>
        <w:kinsoku/>
        <w:bidi w:val="0"/>
        <w:spacing w:line="360" w:lineRule="auto"/>
        <w:jc w:val="center"/>
        <w:outlineLvl w:val="9"/>
        <w:rPr>
          <w:rFonts w:hint="eastAsia" w:ascii="宋体" w:hAnsi="宋体" w:eastAsia="宋体" w:cs="宋体"/>
          <w:b/>
          <w:bCs/>
          <w:color w:val="auto"/>
          <w:sz w:val="32"/>
          <w:szCs w:val="32"/>
        </w:rPr>
      </w:pPr>
    </w:p>
    <w:p w14:paraId="5551B6AD">
      <w:pPr>
        <w:pageBreakBefore w:val="0"/>
        <w:kinsoku/>
        <w:bidi w:val="0"/>
        <w:spacing w:line="360" w:lineRule="auto"/>
        <w:ind w:left="210" w:leftChars="100"/>
        <w:jc w:val="center"/>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lang w:val="en-US" w:eastAsia="zh-CN"/>
        </w:rPr>
        <w:t>四</w:t>
      </w:r>
      <w:r>
        <w:rPr>
          <w:rFonts w:hint="eastAsia" w:asciiTheme="minorEastAsia" w:hAnsiTheme="minorEastAsia" w:eastAsiaTheme="minorEastAsia" w:cstheme="minorEastAsia"/>
          <w:b/>
          <w:color w:val="auto"/>
          <w:sz w:val="32"/>
          <w:szCs w:val="32"/>
        </w:rPr>
        <w:t>、</w:t>
      </w:r>
      <w:bookmarkStart w:id="166" w:name="_Toc308451529"/>
      <w:r>
        <w:rPr>
          <w:rFonts w:hint="eastAsia" w:asciiTheme="minorEastAsia" w:hAnsiTheme="minorEastAsia" w:eastAsiaTheme="minorEastAsia" w:cstheme="minorEastAsia"/>
          <w:b/>
          <w:bCs/>
          <w:color w:val="auto"/>
          <w:sz w:val="32"/>
          <w:szCs w:val="32"/>
        </w:rPr>
        <w:t>法定代表人证明书及法定代表人授权书</w:t>
      </w:r>
    </w:p>
    <w:p w14:paraId="174E6F64">
      <w:pPr>
        <w:pageBreakBefore w:val="0"/>
        <w:kinsoku/>
        <w:bidi w:val="0"/>
        <w:spacing w:line="360" w:lineRule="auto"/>
        <w:ind w:left="210" w:leftChars="100"/>
        <w:jc w:val="center"/>
        <w:outlineLvl w:val="9"/>
        <w:rPr>
          <w:rFonts w:hint="eastAsia" w:asciiTheme="minorEastAsia" w:hAnsiTheme="minorEastAsia" w:eastAsiaTheme="minorEastAsia" w:cstheme="minorEastAsia"/>
          <w:b/>
          <w:bCs/>
          <w:color w:val="auto"/>
          <w:sz w:val="24"/>
        </w:rPr>
      </w:pPr>
      <w:bookmarkStart w:id="167" w:name="_Toc26087"/>
      <w:r>
        <w:rPr>
          <w:rFonts w:hint="eastAsia" w:asciiTheme="minorEastAsia" w:hAnsiTheme="minorEastAsia" w:eastAsiaTheme="minorEastAsia" w:cstheme="minorEastAsia"/>
          <w:b/>
          <w:bCs/>
          <w:color w:val="auto"/>
          <w:sz w:val="24"/>
          <w:lang w:val="en-US" w:eastAsia="zh-CN"/>
        </w:rPr>
        <w:t>4</w:t>
      </w:r>
      <w:r>
        <w:rPr>
          <w:rFonts w:hint="eastAsia" w:asciiTheme="minorEastAsia" w:hAnsiTheme="minorEastAsia" w:eastAsiaTheme="minorEastAsia" w:cstheme="minorEastAsia"/>
          <w:b/>
          <w:bCs/>
          <w:color w:val="auto"/>
          <w:sz w:val="24"/>
        </w:rPr>
        <w:t>-1、法定代表人证明书</w:t>
      </w:r>
      <w:bookmarkEnd w:id="167"/>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14:paraId="52C9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noWrap w:val="0"/>
            <w:vAlign w:val="top"/>
          </w:tcPr>
          <w:p w14:paraId="1ADB643B">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 xml:space="preserve">致：    （采购人）     </w:t>
            </w:r>
          </w:p>
        </w:tc>
      </w:tr>
      <w:tr w14:paraId="280E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14:paraId="259F3C69">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lang w:eastAsia="zh-CN"/>
              </w:rPr>
              <w:t>标段</w:t>
            </w:r>
            <w:r>
              <w:rPr>
                <w:rFonts w:hint="eastAsia" w:asciiTheme="minorEastAsia" w:hAnsiTheme="minorEastAsia" w:eastAsiaTheme="minorEastAsia" w:cstheme="minorEastAsia"/>
                <w:bCs/>
                <w:caps/>
                <w:color w:val="auto"/>
                <w:sz w:val="24"/>
              </w:rPr>
              <w:t>名称</w:t>
            </w:r>
          </w:p>
        </w:tc>
        <w:tc>
          <w:tcPr>
            <w:tcW w:w="7883" w:type="dxa"/>
            <w:gridSpan w:val="5"/>
            <w:noWrap w:val="0"/>
            <w:vAlign w:val="top"/>
          </w:tcPr>
          <w:p w14:paraId="19DED036">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7DC1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14:paraId="0DA934C7">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lang w:eastAsia="zh-CN"/>
              </w:rPr>
              <w:t>标段</w:t>
            </w:r>
            <w:r>
              <w:rPr>
                <w:rFonts w:hint="eastAsia" w:asciiTheme="minorEastAsia" w:hAnsiTheme="minorEastAsia" w:eastAsiaTheme="minorEastAsia" w:cstheme="minorEastAsia"/>
                <w:bCs/>
                <w:caps/>
                <w:color w:val="auto"/>
                <w:sz w:val="24"/>
              </w:rPr>
              <w:t>编号</w:t>
            </w:r>
          </w:p>
        </w:tc>
        <w:tc>
          <w:tcPr>
            <w:tcW w:w="7883" w:type="dxa"/>
            <w:gridSpan w:val="5"/>
            <w:noWrap w:val="0"/>
            <w:vAlign w:val="top"/>
          </w:tcPr>
          <w:p w14:paraId="4ED142FB">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3909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noWrap w:val="0"/>
            <w:vAlign w:val="center"/>
          </w:tcPr>
          <w:p w14:paraId="6D47CA59">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权   限</w:t>
            </w:r>
          </w:p>
        </w:tc>
        <w:tc>
          <w:tcPr>
            <w:tcW w:w="7883" w:type="dxa"/>
            <w:gridSpan w:val="5"/>
            <w:noWrap w:val="0"/>
            <w:vAlign w:val="center"/>
          </w:tcPr>
          <w:p w14:paraId="36E11322">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办理本次采购项目的</w:t>
            </w:r>
            <w:r>
              <w:rPr>
                <w:rFonts w:hint="eastAsia" w:asciiTheme="minorEastAsia" w:hAnsiTheme="minorEastAsia" w:eastAsiaTheme="minorEastAsia" w:cstheme="minorEastAsia"/>
                <w:bCs/>
                <w:caps/>
                <w:color w:val="auto"/>
                <w:sz w:val="24"/>
                <w:lang w:val="en-US" w:eastAsia="zh-CN"/>
              </w:rPr>
              <w:t>投标</w:t>
            </w:r>
            <w:r>
              <w:rPr>
                <w:rFonts w:hint="eastAsia" w:asciiTheme="minorEastAsia" w:hAnsiTheme="minorEastAsia" w:eastAsiaTheme="minorEastAsia" w:cstheme="minorEastAsia"/>
                <w:bCs/>
                <w:caps/>
                <w:color w:val="auto"/>
                <w:sz w:val="24"/>
              </w:rPr>
              <w:t>、联系、洽谈、签约、执行等具体事务，签署全部有关文件、文书、协议及合同。</w:t>
            </w:r>
          </w:p>
        </w:tc>
      </w:tr>
      <w:tr w14:paraId="31EF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14:paraId="29A89191">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有效期</w:t>
            </w:r>
          </w:p>
        </w:tc>
        <w:tc>
          <w:tcPr>
            <w:tcW w:w="7883" w:type="dxa"/>
            <w:gridSpan w:val="5"/>
            <w:noWrap w:val="0"/>
            <w:vAlign w:val="center"/>
          </w:tcPr>
          <w:p w14:paraId="6482499E">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自提交</w:t>
            </w:r>
            <w:r>
              <w:rPr>
                <w:rFonts w:hint="eastAsia" w:asciiTheme="minorEastAsia" w:hAnsiTheme="minorEastAsia" w:eastAsiaTheme="minorEastAsia" w:cstheme="minorEastAsia"/>
                <w:bCs/>
                <w:caps/>
                <w:color w:val="auto"/>
                <w:sz w:val="24"/>
                <w:lang w:val="en-US" w:eastAsia="zh-CN"/>
              </w:rPr>
              <w:t>投标</w:t>
            </w:r>
            <w:r>
              <w:rPr>
                <w:rFonts w:hint="eastAsia" w:asciiTheme="minorEastAsia" w:hAnsiTheme="minorEastAsia" w:eastAsiaTheme="minorEastAsia" w:cstheme="minorEastAsia"/>
                <w:bCs/>
                <w:caps/>
                <w:color w:val="auto"/>
                <w:sz w:val="24"/>
              </w:rPr>
              <w:t>文件的截止之日起</w:t>
            </w:r>
            <w:r>
              <w:rPr>
                <w:rFonts w:hint="eastAsia" w:asciiTheme="minorEastAsia" w:hAnsiTheme="minorEastAsia" w:eastAsiaTheme="minorEastAsia" w:cstheme="minorEastAsia"/>
                <w:bCs/>
                <w:caps/>
                <w:color w:val="auto"/>
                <w:sz w:val="24"/>
                <w:u w:val="single"/>
              </w:rPr>
              <w:t xml:space="preserve">    </w:t>
            </w:r>
            <w:r>
              <w:rPr>
                <w:rFonts w:hint="eastAsia" w:asciiTheme="minorEastAsia" w:hAnsiTheme="minorEastAsia" w:eastAsiaTheme="minorEastAsia" w:cstheme="minorEastAsia"/>
                <w:bCs/>
                <w:caps/>
                <w:color w:val="auto"/>
                <w:sz w:val="24"/>
              </w:rPr>
              <w:t>个日历日</w:t>
            </w:r>
          </w:p>
        </w:tc>
      </w:tr>
      <w:tr w14:paraId="65B6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14:paraId="6CB9A641">
            <w:pPr>
              <w:pageBreakBefore w:val="0"/>
              <w:tabs>
                <w:tab w:val="right" w:leader="dot" w:pos="9022"/>
              </w:tabs>
              <w:kinsoku/>
              <w:autoSpaceDE w:val="0"/>
              <w:autoSpaceDN w:val="0"/>
              <w:bidi w:val="0"/>
              <w:adjustRightInd w:val="0"/>
              <w:spacing w:line="360" w:lineRule="auto"/>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企业</w:t>
            </w:r>
          </w:p>
          <w:p w14:paraId="7C1C5938">
            <w:pPr>
              <w:pageBreakBefore w:val="0"/>
              <w:tabs>
                <w:tab w:val="right" w:leader="dot" w:pos="9022"/>
              </w:tabs>
              <w:kinsoku/>
              <w:autoSpaceDE w:val="0"/>
              <w:autoSpaceDN w:val="0"/>
              <w:bidi w:val="0"/>
              <w:adjustRightInd w:val="0"/>
              <w:spacing w:line="360" w:lineRule="auto"/>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信息</w:t>
            </w:r>
          </w:p>
        </w:tc>
        <w:tc>
          <w:tcPr>
            <w:tcW w:w="2281" w:type="dxa"/>
            <w:noWrap w:val="0"/>
            <w:vAlign w:val="top"/>
          </w:tcPr>
          <w:p w14:paraId="027F8223">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 xml:space="preserve">企 业 名 称 </w:t>
            </w:r>
          </w:p>
        </w:tc>
        <w:tc>
          <w:tcPr>
            <w:tcW w:w="5602" w:type="dxa"/>
            <w:gridSpan w:val="4"/>
            <w:noWrap w:val="0"/>
            <w:vAlign w:val="top"/>
          </w:tcPr>
          <w:p w14:paraId="4F54A56C">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0C2A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11DD23B7">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c>
          <w:tcPr>
            <w:tcW w:w="2281" w:type="dxa"/>
            <w:noWrap w:val="0"/>
            <w:vAlign w:val="top"/>
          </w:tcPr>
          <w:p w14:paraId="2A68C720">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 定 地 址</w:t>
            </w:r>
          </w:p>
        </w:tc>
        <w:tc>
          <w:tcPr>
            <w:tcW w:w="5602" w:type="dxa"/>
            <w:gridSpan w:val="4"/>
            <w:noWrap w:val="0"/>
            <w:vAlign w:val="top"/>
          </w:tcPr>
          <w:p w14:paraId="25FA612B">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693C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64EC8F86">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c>
          <w:tcPr>
            <w:tcW w:w="2281" w:type="dxa"/>
            <w:noWrap w:val="0"/>
            <w:vAlign w:val="top"/>
          </w:tcPr>
          <w:p w14:paraId="551F14DA">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统一社会信用代码</w:t>
            </w:r>
          </w:p>
        </w:tc>
        <w:tc>
          <w:tcPr>
            <w:tcW w:w="5602" w:type="dxa"/>
            <w:gridSpan w:val="4"/>
            <w:noWrap w:val="0"/>
            <w:vAlign w:val="top"/>
          </w:tcPr>
          <w:p w14:paraId="6D6F4FD8">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2079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4735166E">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c>
          <w:tcPr>
            <w:tcW w:w="2281" w:type="dxa"/>
            <w:noWrap w:val="0"/>
            <w:vAlign w:val="top"/>
          </w:tcPr>
          <w:p w14:paraId="6C2EAB28">
            <w:pPr>
              <w:pageBreakBefore w:val="0"/>
              <w:tabs>
                <w:tab w:val="right" w:leader="dot" w:pos="9022"/>
              </w:tabs>
              <w:kinsoku/>
              <w:bidi w:val="0"/>
              <w:spacing w:line="360" w:lineRule="auto"/>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工商登记机关</w:t>
            </w:r>
          </w:p>
        </w:tc>
        <w:tc>
          <w:tcPr>
            <w:tcW w:w="5602" w:type="dxa"/>
            <w:gridSpan w:val="4"/>
            <w:noWrap w:val="0"/>
            <w:vAlign w:val="top"/>
          </w:tcPr>
          <w:p w14:paraId="146FF034">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76B2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022A0D9A">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c>
          <w:tcPr>
            <w:tcW w:w="2281" w:type="dxa"/>
            <w:noWrap w:val="0"/>
            <w:vAlign w:val="top"/>
          </w:tcPr>
          <w:p w14:paraId="26045E33">
            <w:pPr>
              <w:pageBreakBefore w:val="0"/>
              <w:tabs>
                <w:tab w:val="right" w:leader="dot" w:pos="9022"/>
              </w:tabs>
              <w:kinsoku/>
              <w:bidi w:val="0"/>
              <w:spacing w:line="360" w:lineRule="auto"/>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网    址</w:t>
            </w:r>
          </w:p>
        </w:tc>
        <w:tc>
          <w:tcPr>
            <w:tcW w:w="5602" w:type="dxa"/>
            <w:gridSpan w:val="4"/>
            <w:noWrap w:val="0"/>
            <w:vAlign w:val="top"/>
          </w:tcPr>
          <w:p w14:paraId="1CC2ABEF">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7FD7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14:paraId="7F133E17">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法定代</w:t>
            </w:r>
          </w:p>
          <w:p w14:paraId="08D895F1">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表人</w:t>
            </w:r>
          </w:p>
        </w:tc>
        <w:tc>
          <w:tcPr>
            <w:tcW w:w="2281" w:type="dxa"/>
            <w:noWrap w:val="0"/>
            <w:vAlign w:val="top"/>
          </w:tcPr>
          <w:p w14:paraId="2B6605E6">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姓    名</w:t>
            </w:r>
          </w:p>
        </w:tc>
        <w:tc>
          <w:tcPr>
            <w:tcW w:w="1814" w:type="dxa"/>
            <w:gridSpan w:val="2"/>
            <w:noWrap w:val="0"/>
            <w:vAlign w:val="top"/>
          </w:tcPr>
          <w:p w14:paraId="146AA9A1">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c>
          <w:tcPr>
            <w:tcW w:w="1234" w:type="dxa"/>
            <w:noWrap w:val="0"/>
            <w:vAlign w:val="top"/>
          </w:tcPr>
          <w:p w14:paraId="7C9FDD29">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性    别</w:t>
            </w:r>
          </w:p>
        </w:tc>
        <w:tc>
          <w:tcPr>
            <w:tcW w:w="2554" w:type="dxa"/>
            <w:noWrap w:val="0"/>
            <w:vAlign w:val="top"/>
          </w:tcPr>
          <w:p w14:paraId="4DB26C20">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6EBB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62230C25">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c>
          <w:tcPr>
            <w:tcW w:w="2281" w:type="dxa"/>
            <w:noWrap w:val="0"/>
            <w:vAlign w:val="top"/>
          </w:tcPr>
          <w:p w14:paraId="3D0B2F58">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职    务</w:t>
            </w:r>
          </w:p>
        </w:tc>
        <w:tc>
          <w:tcPr>
            <w:tcW w:w="1814" w:type="dxa"/>
            <w:gridSpan w:val="2"/>
            <w:noWrap w:val="0"/>
            <w:vAlign w:val="top"/>
          </w:tcPr>
          <w:p w14:paraId="6ECF8A31">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c>
          <w:tcPr>
            <w:tcW w:w="1234" w:type="dxa"/>
            <w:noWrap w:val="0"/>
            <w:vAlign w:val="top"/>
          </w:tcPr>
          <w:p w14:paraId="39BF3C3A">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联系电话</w:t>
            </w:r>
          </w:p>
        </w:tc>
        <w:tc>
          <w:tcPr>
            <w:tcW w:w="2554" w:type="dxa"/>
            <w:noWrap w:val="0"/>
            <w:vAlign w:val="top"/>
          </w:tcPr>
          <w:p w14:paraId="284F6F4B">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36A7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608EB8AA">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c>
          <w:tcPr>
            <w:tcW w:w="2281" w:type="dxa"/>
            <w:noWrap w:val="0"/>
            <w:vAlign w:val="top"/>
          </w:tcPr>
          <w:p w14:paraId="04CAECBD">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传    真</w:t>
            </w:r>
          </w:p>
        </w:tc>
        <w:tc>
          <w:tcPr>
            <w:tcW w:w="5602" w:type="dxa"/>
            <w:gridSpan w:val="4"/>
            <w:noWrap w:val="0"/>
            <w:vAlign w:val="top"/>
          </w:tcPr>
          <w:p w14:paraId="458C9706">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12DF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14:paraId="2ABE8803">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c>
          <w:tcPr>
            <w:tcW w:w="2281" w:type="dxa"/>
            <w:noWrap w:val="0"/>
            <w:vAlign w:val="top"/>
          </w:tcPr>
          <w:p w14:paraId="5A49DC96">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通讯地址</w:t>
            </w:r>
          </w:p>
        </w:tc>
        <w:tc>
          <w:tcPr>
            <w:tcW w:w="5602" w:type="dxa"/>
            <w:gridSpan w:val="4"/>
            <w:noWrap w:val="0"/>
            <w:vAlign w:val="top"/>
          </w:tcPr>
          <w:p w14:paraId="0B8CDC51">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47AE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noWrap w:val="0"/>
            <w:vAlign w:val="top"/>
          </w:tcPr>
          <w:p w14:paraId="79A2A58E">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p w14:paraId="4427E196">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color w:val="auto"/>
                <w:spacing w:val="-4"/>
                <w:sz w:val="24"/>
              </w:rPr>
            </w:pPr>
          </w:p>
          <w:p w14:paraId="15C53BF9">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color w:val="auto"/>
                <w:spacing w:val="-4"/>
                <w:sz w:val="24"/>
              </w:rPr>
            </w:pPr>
          </w:p>
          <w:p w14:paraId="59DE7B3A">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法定代表人二代身份证正面复印件或扫描件</w:t>
            </w:r>
          </w:p>
          <w:p w14:paraId="7F438C4F">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p w14:paraId="00D0783B">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c>
          <w:tcPr>
            <w:tcW w:w="4627" w:type="dxa"/>
            <w:gridSpan w:val="3"/>
            <w:noWrap w:val="0"/>
            <w:vAlign w:val="top"/>
          </w:tcPr>
          <w:p w14:paraId="5F4B21A0">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p w14:paraId="3F564E9C">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color w:val="auto"/>
                <w:spacing w:val="-4"/>
                <w:sz w:val="24"/>
              </w:rPr>
            </w:pPr>
          </w:p>
          <w:p w14:paraId="107DB6EE">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color w:val="auto"/>
                <w:spacing w:val="-4"/>
                <w:sz w:val="24"/>
              </w:rPr>
            </w:pPr>
          </w:p>
          <w:p w14:paraId="5CE00F84">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法定代表人二代身份证反面复印件或扫描件</w:t>
            </w:r>
          </w:p>
          <w:p w14:paraId="0643F3E0">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r>
      <w:tr w14:paraId="4F00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noWrap w:val="0"/>
            <w:vAlign w:val="top"/>
          </w:tcPr>
          <w:p w14:paraId="591D0516">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法定代表人签字并盖章：</w:t>
            </w:r>
          </w:p>
        </w:tc>
      </w:tr>
    </w:tbl>
    <w:p w14:paraId="5D064020">
      <w:pPr>
        <w:pageBreakBefore w:val="0"/>
        <w:kinsoku/>
        <w:bidi w:val="0"/>
        <w:spacing w:line="360" w:lineRule="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（供应商单位公章） </w:t>
      </w:r>
    </w:p>
    <w:p w14:paraId="7F077400">
      <w:pPr>
        <w:pageBreakBefore w:val="0"/>
        <w:kinsoku/>
        <w:bidi w:val="0"/>
        <w:spacing w:line="360" w:lineRule="auto"/>
        <w:jc w:val="left"/>
        <w:outlineLvl w:val="9"/>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日 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u w:val="single"/>
        </w:rPr>
        <w:t xml:space="preserve"> </w:t>
      </w:r>
    </w:p>
    <w:p w14:paraId="4F669B63">
      <w:pPr>
        <w:pageBreakBefore w:val="0"/>
        <w:kinsoku/>
        <w:bidi w:val="0"/>
        <w:spacing w:line="360" w:lineRule="auto"/>
        <w:jc w:val="center"/>
        <w:outlineLvl w:val="9"/>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br w:type="page"/>
      </w:r>
      <w:bookmarkStart w:id="168" w:name="_Toc20979"/>
      <w:r>
        <w:rPr>
          <w:rFonts w:hint="eastAsia" w:asciiTheme="minorEastAsia" w:hAnsiTheme="minorEastAsia" w:eastAsiaTheme="minorEastAsia" w:cstheme="minorEastAsia"/>
          <w:b/>
          <w:bCs/>
          <w:color w:val="auto"/>
          <w:sz w:val="24"/>
          <w:lang w:val="en-US" w:eastAsia="zh-CN"/>
        </w:rPr>
        <w:t>4</w:t>
      </w:r>
      <w:r>
        <w:rPr>
          <w:rFonts w:hint="eastAsia" w:asciiTheme="minorEastAsia" w:hAnsiTheme="minorEastAsia" w:eastAsiaTheme="minorEastAsia" w:cstheme="minorEastAsia"/>
          <w:b/>
          <w:bCs/>
          <w:color w:val="auto"/>
          <w:sz w:val="24"/>
        </w:rPr>
        <w:t>-2、法定代表人授权书</w:t>
      </w:r>
      <w:bookmarkEnd w:id="16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14:paraId="1404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noWrap w:val="0"/>
            <w:vAlign w:val="top"/>
          </w:tcPr>
          <w:p w14:paraId="4597750B">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 xml:space="preserve">致：     （采购人）     </w:t>
            </w:r>
          </w:p>
        </w:tc>
      </w:tr>
      <w:tr w14:paraId="6C75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14:paraId="0828DA2B">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被授</w:t>
            </w:r>
          </w:p>
          <w:p w14:paraId="1DF1FAF4">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权项</w:t>
            </w:r>
          </w:p>
          <w:p w14:paraId="38041EB0">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目与</w:t>
            </w:r>
          </w:p>
          <w:p w14:paraId="302F281E">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内容</w:t>
            </w:r>
          </w:p>
        </w:tc>
        <w:tc>
          <w:tcPr>
            <w:tcW w:w="1244" w:type="dxa"/>
            <w:noWrap w:val="0"/>
            <w:vAlign w:val="center"/>
          </w:tcPr>
          <w:p w14:paraId="0B4DED5A">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lang w:eastAsia="zh-CN"/>
              </w:rPr>
              <w:t>标段</w:t>
            </w:r>
            <w:r>
              <w:rPr>
                <w:rFonts w:hint="eastAsia" w:asciiTheme="minorEastAsia" w:hAnsiTheme="minorEastAsia" w:eastAsiaTheme="minorEastAsia" w:cstheme="minorEastAsia"/>
                <w:bCs/>
                <w:caps/>
                <w:color w:val="auto"/>
                <w:sz w:val="24"/>
              </w:rPr>
              <w:t>名称</w:t>
            </w:r>
          </w:p>
        </w:tc>
        <w:tc>
          <w:tcPr>
            <w:tcW w:w="6553" w:type="dxa"/>
            <w:gridSpan w:val="5"/>
            <w:noWrap w:val="0"/>
            <w:vAlign w:val="top"/>
          </w:tcPr>
          <w:p w14:paraId="7CBED336">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42CB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14:paraId="2F1F89DD">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c>
          <w:tcPr>
            <w:tcW w:w="1244" w:type="dxa"/>
            <w:noWrap w:val="0"/>
            <w:vAlign w:val="center"/>
          </w:tcPr>
          <w:p w14:paraId="5D330987">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lang w:eastAsia="zh-CN"/>
              </w:rPr>
              <w:t>标段</w:t>
            </w:r>
            <w:r>
              <w:rPr>
                <w:rFonts w:hint="eastAsia" w:asciiTheme="minorEastAsia" w:hAnsiTheme="minorEastAsia" w:eastAsiaTheme="minorEastAsia" w:cstheme="minorEastAsia"/>
                <w:bCs/>
                <w:caps/>
                <w:color w:val="auto"/>
                <w:sz w:val="24"/>
              </w:rPr>
              <w:t>编号</w:t>
            </w:r>
          </w:p>
        </w:tc>
        <w:tc>
          <w:tcPr>
            <w:tcW w:w="6553" w:type="dxa"/>
            <w:gridSpan w:val="5"/>
            <w:noWrap w:val="0"/>
            <w:vAlign w:val="top"/>
          </w:tcPr>
          <w:p w14:paraId="477AFDFC">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64A2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noWrap w:val="0"/>
            <w:vAlign w:val="top"/>
          </w:tcPr>
          <w:p w14:paraId="1F2089E0">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c>
          <w:tcPr>
            <w:tcW w:w="1244" w:type="dxa"/>
            <w:noWrap w:val="0"/>
            <w:vAlign w:val="center"/>
          </w:tcPr>
          <w:p w14:paraId="6F7E7D18">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授权范围</w:t>
            </w:r>
          </w:p>
        </w:tc>
        <w:tc>
          <w:tcPr>
            <w:tcW w:w="6553" w:type="dxa"/>
            <w:gridSpan w:val="5"/>
            <w:noWrap w:val="0"/>
            <w:vAlign w:val="top"/>
          </w:tcPr>
          <w:p w14:paraId="73C5C91F">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全权办理本次采购项目的</w:t>
            </w:r>
            <w:r>
              <w:rPr>
                <w:rFonts w:hint="eastAsia" w:asciiTheme="minorEastAsia" w:hAnsiTheme="minorEastAsia" w:eastAsiaTheme="minorEastAsia" w:cstheme="minorEastAsia"/>
                <w:bCs/>
                <w:caps/>
                <w:color w:val="auto"/>
                <w:sz w:val="24"/>
                <w:lang w:val="en-US" w:eastAsia="zh-CN"/>
              </w:rPr>
              <w:t>投标</w:t>
            </w:r>
            <w:r>
              <w:rPr>
                <w:rFonts w:hint="eastAsia" w:asciiTheme="minorEastAsia" w:hAnsiTheme="minorEastAsia" w:eastAsiaTheme="minorEastAsia" w:cstheme="minorEastAsia"/>
                <w:bCs/>
                <w:caps/>
                <w:color w:val="auto"/>
                <w:sz w:val="24"/>
              </w:rPr>
              <w:t>、联系、洽谈、签约、执行等具体事务，签署全部有关文件、文书、协议及合同。</w:t>
            </w:r>
          </w:p>
        </w:tc>
      </w:tr>
      <w:tr w14:paraId="1971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14:paraId="66CEC90C">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c>
          <w:tcPr>
            <w:tcW w:w="1244" w:type="dxa"/>
            <w:noWrap w:val="0"/>
            <w:vAlign w:val="top"/>
          </w:tcPr>
          <w:p w14:paraId="1D880F99">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法律责任</w:t>
            </w:r>
          </w:p>
        </w:tc>
        <w:tc>
          <w:tcPr>
            <w:tcW w:w="6553" w:type="dxa"/>
            <w:gridSpan w:val="5"/>
            <w:noWrap w:val="0"/>
            <w:vAlign w:val="top"/>
          </w:tcPr>
          <w:p w14:paraId="361DCABD">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本公司对被授权人在本项目中的签名承担全部法律责任。</w:t>
            </w:r>
          </w:p>
        </w:tc>
      </w:tr>
      <w:tr w14:paraId="5FB3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14:paraId="212E825F">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c>
          <w:tcPr>
            <w:tcW w:w="1244" w:type="dxa"/>
            <w:noWrap w:val="0"/>
            <w:vAlign w:val="center"/>
          </w:tcPr>
          <w:p w14:paraId="7049C44D">
            <w:pPr>
              <w:pageBreakBefore w:val="0"/>
              <w:tabs>
                <w:tab w:val="right" w:leader="dot" w:pos="9022"/>
              </w:tabs>
              <w:kinsoku/>
              <w:autoSpaceDE w:val="0"/>
              <w:autoSpaceDN w:val="0"/>
              <w:bidi w:val="0"/>
              <w:adjustRightInd w:val="0"/>
              <w:spacing w:line="360" w:lineRule="auto"/>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授权期限</w:t>
            </w:r>
          </w:p>
        </w:tc>
        <w:tc>
          <w:tcPr>
            <w:tcW w:w="6553" w:type="dxa"/>
            <w:gridSpan w:val="5"/>
            <w:noWrap w:val="0"/>
            <w:vAlign w:val="center"/>
          </w:tcPr>
          <w:p w14:paraId="724C56E0">
            <w:pPr>
              <w:pageBreakBefore w:val="0"/>
              <w:tabs>
                <w:tab w:val="right" w:leader="dot" w:pos="9022"/>
              </w:tabs>
              <w:kinsoku/>
              <w:autoSpaceDE w:val="0"/>
              <w:autoSpaceDN w:val="0"/>
              <w:bidi w:val="0"/>
              <w:adjustRightInd w:val="0"/>
              <w:spacing w:line="360" w:lineRule="auto"/>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本授权书自提交</w:t>
            </w:r>
            <w:r>
              <w:rPr>
                <w:rFonts w:hint="eastAsia" w:asciiTheme="minorEastAsia" w:hAnsiTheme="minorEastAsia" w:eastAsiaTheme="minorEastAsia" w:cstheme="minorEastAsia"/>
                <w:bCs/>
                <w:caps/>
                <w:color w:val="auto"/>
                <w:sz w:val="24"/>
                <w:lang w:val="en-US" w:eastAsia="zh-CN"/>
              </w:rPr>
              <w:t>投标</w:t>
            </w:r>
            <w:r>
              <w:rPr>
                <w:rFonts w:hint="eastAsia" w:asciiTheme="minorEastAsia" w:hAnsiTheme="minorEastAsia" w:eastAsiaTheme="minorEastAsia" w:cstheme="minorEastAsia"/>
                <w:bCs/>
                <w:caps/>
                <w:color w:val="auto"/>
                <w:sz w:val="24"/>
              </w:rPr>
              <w:t>文件的截止之日起</w:t>
            </w:r>
            <w:r>
              <w:rPr>
                <w:rFonts w:hint="eastAsia" w:asciiTheme="minorEastAsia" w:hAnsiTheme="minorEastAsia" w:eastAsiaTheme="minorEastAsia" w:cstheme="minorEastAsia"/>
                <w:bCs/>
                <w:caps/>
                <w:color w:val="auto"/>
                <w:sz w:val="24"/>
                <w:u w:val="single"/>
              </w:rPr>
              <w:t xml:space="preserve">    </w:t>
            </w:r>
            <w:r>
              <w:rPr>
                <w:rFonts w:hint="eastAsia" w:asciiTheme="minorEastAsia" w:hAnsiTheme="minorEastAsia" w:eastAsiaTheme="minorEastAsia" w:cstheme="minorEastAsia"/>
                <w:bCs/>
                <w:caps/>
                <w:color w:val="auto"/>
                <w:sz w:val="24"/>
              </w:rPr>
              <w:t>个日历日</w:t>
            </w:r>
          </w:p>
        </w:tc>
      </w:tr>
      <w:tr w14:paraId="003B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14:paraId="11395A7D">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企业信息</w:t>
            </w:r>
          </w:p>
        </w:tc>
        <w:tc>
          <w:tcPr>
            <w:tcW w:w="2285" w:type="dxa"/>
            <w:gridSpan w:val="2"/>
            <w:noWrap w:val="0"/>
            <w:vAlign w:val="top"/>
          </w:tcPr>
          <w:p w14:paraId="6F5BAAC9">
            <w:pPr>
              <w:pageBreakBefore w:val="0"/>
              <w:tabs>
                <w:tab w:val="right" w:leader="dot" w:pos="9022"/>
              </w:tabs>
              <w:kinsoku/>
              <w:autoSpaceDE w:val="0"/>
              <w:autoSpaceDN w:val="0"/>
              <w:bidi w:val="0"/>
              <w:adjustRightInd w:val="0"/>
              <w:spacing w:line="360" w:lineRule="auto"/>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 xml:space="preserve">企 业 名 称 </w:t>
            </w:r>
          </w:p>
        </w:tc>
        <w:tc>
          <w:tcPr>
            <w:tcW w:w="5512" w:type="dxa"/>
            <w:gridSpan w:val="4"/>
            <w:noWrap w:val="0"/>
            <w:vAlign w:val="center"/>
          </w:tcPr>
          <w:p w14:paraId="3BBCDDAC">
            <w:pPr>
              <w:pageBreakBefore w:val="0"/>
              <w:tabs>
                <w:tab w:val="right" w:leader="dot" w:pos="9022"/>
              </w:tabs>
              <w:kinsoku/>
              <w:autoSpaceDE w:val="0"/>
              <w:autoSpaceDN w:val="0"/>
              <w:bidi w:val="0"/>
              <w:adjustRightInd w:val="0"/>
              <w:spacing w:line="360" w:lineRule="auto"/>
              <w:outlineLvl w:val="9"/>
              <w:rPr>
                <w:rFonts w:hint="eastAsia" w:asciiTheme="minorEastAsia" w:hAnsiTheme="minorEastAsia" w:eastAsiaTheme="minorEastAsia" w:cstheme="minorEastAsia"/>
                <w:bCs/>
                <w:caps/>
                <w:color w:val="auto"/>
                <w:sz w:val="24"/>
              </w:rPr>
            </w:pPr>
          </w:p>
        </w:tc>
      </w:tr>
      <w:tr w14:paraId="4E90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14:paraId="553D5DF5">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c>
          <w:tcPr>
            <w:tcW w:w="2285" w:type="dxa"/>
            <w:gridSpan w:val="2"/>
            <w:noWrap w:val="0"/>
            <w:vAlign w:val="top"/>
          </w:tcPr>
          <w:p w14:paraId="354ACE91">
            <w:pPr>
              <w:pageBreakBefore w:val="0"/>
              <w:tabs>
                <w:tab w:val="right" w:leader="dot" w:pos="9022"/>
              </w:tabs>
              <w:kinsoku/>
              <w:autoSpaceDE w:val="0"/>
              <w:autoSpaceDN w:val="0"/>
              <w:bidi w:val="0"/>
              <w:adjustRightInd w:val="0"/>
              <w:spacing w:line="360" w:lineRule="auto"/>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 定 地 址</w:t>
            </w:r>
          </w:p>
        </w:tc>
        <w:tc>
          <w:tcPr>
            <w:tcW w:w="5512" w:type="dxa"/>
            <w:gridSpan w:val="4"/>
            <w:noWrap w:val="0"/>
            <w:vAlign w:val="center"/>
          </w:tcPr>
          <w:p w14:paraId="3373B237">
            <w:pPr>
              <w:pageBreakBefore w:val="0"/>
              <w:tabs>
                <w:tab w:val="right" w:leader="dot" w:pos="9022"/>
              </w:tabs>
              <w:kinsoku/>
              <w:autoSpaceDE w:val="0"/>
              <w:autoSpaceDN w:val="0"/>
              <w:bidi w:val="0"/>
              <w:adjustRightInd w:val="0"/>
              <w:spacing w:line="360" w:lineRule="auto"/>
              <w:outlineLvl w:val="9"/>
              <w:rPr>
                <w:rFonts w:hint="eastAsia" w:asciiTheme="minorEastAsia" w:hAnsiTheme="minorEastAsia" w:eastAsiaTheme="minorEastAsia" w:cstheme="minorEastAsia"/>
                <w:bCs/>
                <w:caps/>
                <w:color w:val="auto"/>
                <w:sz w:val="24"/>
              </w:rPr>
            </w:pPr>
          </w:p>
        </w:tc>
      </w:tr>
      <w:tr w14:paraId="01B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14:paraId="643F4F3C">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c>
          <w:tcPr>
            <w:tcW w:w="2285" w:type="dxa"/>
            <w:gridSpan w:val="2"/>
            <w:noWrap w:val="0"/>
            <w:vAlign w:val="top"/>
          </w:tcPr>
          <w:p w14:paraId="37A080BC">
            <w:pPr>
              <w:pageBreakBefore w:val="0"/>
              <w:tabs>
                <w:tab w:val="right" w:leader="dot" w:pos="9022"/>
              </w:tabs>
              <w:kinsoku/>
              <w:autoSpaceDE w:val="0"/>
              <w:autoSpaceDN w:val="0"/>
              <w:bidi w:val="0"/>
              <w:adjustRightInd w:val="0"/>
              <w:spacing w:line="360" w:lineRule="auto"/>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统一社会信用代码</w:t>
            </w:r>
          </w:p>
        </w:tc>
        <w:tc>
          <w:tcPr>
            <w:tcW w:w="5512" w:type="dxa"/>
            <w:gridSpan w:val="4"/>
            <w:noWrap w:val="0"/>
            <w:vAlign w:val="center"/>
          </w:tcPr>
          <w:p w14:paraId="50ED8516">
            <w:pPr>
              <w:pageBreakBefore w:val="0"/>
              <w:tabs>
                <w:tab w:val="right" w:leader="dot" w:pos="9022"/>
              </w:tabs>
              <w:kinsoku/>
              <w:autoSpaceDE w:val="0"/>
              <w:autoSpaceDN w:val="0"/>
              <w:bidi w:val="0"/>
              <w:adjustRightInd w:val="0"/>
              <w:spacing w:line="360" w:lineRule="auto"/>
              <w:outlineLvl w:val="9"/>
              <w:rPr>
                <w:rFonts w:hint="eastAsia" w:asciiTheme="minorEastAsia" w:hAnsiTheme="minorEastAsia" w:eastAsiaTheme="minorEastAsia" w:cstheme="minorEastAsia"/>
                <w:bCs/>
                <w:caps/>
                <w:color w:val="auto"/>
                <w:sz w:val="24"/>
              </w:rPr>
            </w:pPr>
          </w:p>
        </w:tc>
      </w:tr>
      <w:tr w14:paraId="70EC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14:paraId="550BF94A">
            <w:pPr>
              <w:pageBreakBefore w:val="0"/>
              <w:tabs>
                <w:tab w:val="right" w:leader="dot" w:pos="9022"/>
              </w:tabs>
              <w:kinsoku/>
              <w:autoSpaceDE w:val="0"/>
              <w:autoSpaceDN w:val="0"/>
              <w:bidi w:val="0"/>
              <w:adjustRightInd w:val="0"/>
              <w:spacing w:line="360" w:lineRule="auto"/>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法定代表人</w:t>
            </w:r>
          </w:p>
        </w:tc>
        <w:tc>
          <w:tcPr>
            <w:tcW w:w="1244" w:type="dxa"/>
            <w:noWrap w:val="0"/>
            <w:vAlign w:val="center"/>
          </w:tcPr>
          <w:p w14:paraId="0B56B093">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姓名</w:t>
            </w:r>
          </w:p>
        </w:tc>
        <w:tc>
          <w:tcPr>
            <w:tcW w:w="2472" w:type="dxa"/>
            <w:gridSpan w:val="3"/>
            <w:noWrap w:val="0"/>
            <w:vAlign w:val="center"/>
          </w:tcPr>
          <w:p w14:paraId="529CD244">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c>
          <w:tcPr>
            <w:tcW w:w="1432" w:type="dxa"/>
            <w:noWrap w:val="0"/>
            <w:vAlign w:val="center"/>
          </w:tcPr>
          <w:p w14:paraId="0C1F59A4">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性    别</w:t>
            </w:r>
          </w:p>
        </w:tc>
        <w:tc>
          <w:tcPr>
            <w:tcW w:w="2649" w:type="dxa"/>
            <w:noWrap w:val="0"/>
            <w:vAlign w:val="center"/>
          </w:tcPr>
          <w:p w14:paraId="3732AB5E">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r>
      <w:tr w14:paraId="6B8F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center"/>
          </w:tcPr>
          <w:p w14:paraId="68A81252">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c>
          <w:tcPr>
            <w:tcW w:w="1244" w:type="dxa"/>
            <w:noWrap w:val="0"/>
            <w:vAlign w:val="center"/>
          </w:tcPr>
          <w:p w14:paraId="64D5B452">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职务</w:t>
            </w:r>
          </w:p>
        </w:tc>
        <w:tc>
          <w:tcPr>
            <w:tcW w:w="2472" w:type="dxa"/>
            <w:gridSpan w:val="3"/>
            <w:noWrap w:val="0"/>
            <w:vAlign w:val="center"/>
          </w:tcPr>
          <w:p w14:paraId="248DB3CF">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c>
          <w:tcPr>
            <w:tcW w:w="1432" w:type="dxa"/>
            <w:noWrap w:val="0"/>
            <w:vAlign w:val="center"/>
          </w:tcPr>
          <w:p w14:paraId="02834810">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手机号码</w:t>
            </w:r>
          </w:p>
        </w:tc>
        <w:tc>
          <w:tcPr>
            <w:tcW w:w="2649" w:type="dxa"/>
            <w:noWrap w:val="0"/>
            <w:vAlign w:val="center"/>
          </w:tcPr>
          <w:p w14:paraId="6E578398">
            <w:pPr>
              <w:pageBreakBefore w:val="0"/>
              <w:tabs>
                <w:tab w:val="right" w:leader="dot" w:pos="9022"/>
              </w:tabs>
              <w:kinsoku/>
              <w:autoSpaceDE w:val="0"/>
              <w:autoSpaceDN w:val="0"/>
              <w:bidi w:val="0"/>
              <w:adjustRightInd w:val="0"/>
              <w:spacing w:line="360" w:lineRule="auto"/>
              <w:outlineLvl w:val="9"/>
              <w:rPr>
                <w:rFonts w:hint="eastAsia" w:asciiTheme="minorEastAsia" w:hAnsiTheme="minorEastAsia" w:eastAsiaTheme="minorEastAsia" w:cstheme="minorEastAsia"/>
                <w:bCs/>
                <w:caps/>
                <w:color w:val="auto"/>
                <w:sz w:val="24"/>
              </w:rPr>
            </w:pPr>
          </w:p>
        </w:tc>
      </w:tr>
      <w:tr w14:paraId="6F19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14:paraId="0FD66E96">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被授权人</w:t>
            </w:r>
          </w:p>
        </w:tc>
        <w:tc>
          <w:tcPr>
            <w:tcW w:w="1244" w:type="dxa"/>
            <w:noWrap w:val="0"/>
            <w:vAlign w:val="center"/>
          </w:tcPr>
          <w:p w14:paraId="4AAD001A">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姓名</w:t>
            </w:r>
          </w:p>
        </w:tc>
        <w:tc>
          <w:tcPr>
            <w:tcW w:w="2472" w:type="dxa"/>
            <w:gridSpan w:val="3"/>
            <w:noWrap w:val="0"/>
            <w:vAlign w:val="center"/>
          </w:tcPr>
          <w:p w14:paraId="75E240D8">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c>
          <w:tcPr>
            <w:tcW w:w="1432" w:type="dxa"/>
            <w:noWrap w:val="0"/>
            <w:vAlign w:val="center"/>
          </w:tcPr>
          <w:p w14:paraId="3F4463A0">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性    别</w:t>
            </w:r>
          </w:p>
        </w:tc>
        <w:tc>
          <w:tcPr>
            <w:tcW w:w="2649" w:type="dxa"/>
            <w:noWrap w:val="0"/>
            <w:vAlign w:val="center"/>
          </w:tcPr>
          <w:p w14:paraId="4C08FEC2">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r>
      <w:tr w14:paraId="2A62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14:paraId="12E4C6D4">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c>
          <w:tcPr>
            <w:tcW w:w="1244" w:type="dxa"/>
            <w:noWrap w:val="0"/>
            <w:vAlign w:val="center"/>
          </w:tcPr>
          <w:p w14:paraId="4C710977">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职务</w:t>
            </w:r>
          </w:p>
        </w:tc>
        <w:tc>
          <w:tcPr>
            <w:tcW w:w="2472" w:type="dxa"/>
            <w:gridSpan w:val="3"/>
            <w:noWrap w:val="0"/>
            <w:vAlign w:val="center"/>
          </w:tcPr>
          <w:p w14:paraId="22CDFFA6">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c>
          <w:tcPr>
            <w:tcW w:w="1432" w:type="dxa"/>
            <w:noWrap w:val="0"/>
            <w:vAlign w:val="center"/>
          </w:tcPr>
          <w:p w14:paraId="1494EE99">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手机号码</w:t>
            </w:r>
          </w:p>
        </w:tc>
        <w:tc>
          <w:tcPr>
            <w:tcW w:w="2649" w:type="dxa"/>
            <w:noWrap w:val="0"/>
            <w:vAlign w:val="top"/>
          </w:tcPr>
          <w:p w14:paraId="60946E52">
            <w:pPr>
              <w:pageBreakBefore w:val="0"/>
              <w:tabs>
                <w:tab w:val="right" w:leader="dot" w:pos="9022"/>
              </w:tabs>
              <w:kinsoku/>
              <w:autoSpaceDE w:val="0"/>
              <w:autoSpaceDN w:val="0"/>
              <w:bidi w:val="0"/>
              <w:adjustRightInd w:val="0"/>
              <w:spacing w:line="360" w:lineRule="auto"/>
              <w:outlineLvl w:val="9"/>
              <w:rPr>
                <w:rFonts w:hint="eastAsia" w:asciiTheme="minorEastAsia" w:hAnsiTheme="minorEastAsia" w:eastAsiaTheme="minorEastAsia" w:cstheme="minorEastAsia"/>
                <w:bCs/>
                <w:caps/>
                <w:color w:val="auto"/>
                <w:sz w:val="24"/>
              </w:rPr>
            </w:pPr>
          </w:p>
        </w:tc>
      </w:tr>
      <w:tr w14:paraId="341C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noWrap w:val="0"/>
            <w:vAlign w:val="top"/>
          </w:tcPr>
          <w:p w14:paraId="0EC7604A">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通讯地址</w:t>
            </w:r>
          </w:p>
        </w:tc>
        <w:tc>
          <w:tcPr>
            <w:tcW w:w="7797" w:type="dxa"/>
            <w:gridSpan w:val="6"/>
            <w:noWrap w:val="0"/>
            <w:vAlign w:val="top"/>
          </w:tcPr>
          <w:p w14:paraId="50326573">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69F8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noWrap w:val="0"/>
            <w:vAlign w:val="top"/>
          </w:tcPr>
          <w:p w14:paraId="331C675C">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p w14:paraId="3F7FB2EB">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color w:val="auto"/>
                <w:spacing w:val="-4"/>
                <w:sz w:val="24"/>
              </w:rPr>
            </w:pPr>
          </w:p>
          <w:p w14:paraId="6F38E31E">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法定代表人二代身份证正面复印件或扫描件</w:t>
            </w:r>
          </w:p>
          <w:p w14:paraId="2E47CE7E">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p w14:paraId="1437A19B">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c>
          <w:tcPr>
            <w:tcW w:w="4712" w:type="dxa"/>
            <w:gridSpan w:val="3"/>
            <w:noWrap w:val="0"/>
            <w:vAlign w:val="top"/>
          </w:tcPr>
          <w:p w14:paraId="1243B6DC">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p w14:paraId="591A06FE">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color w:val="auto"/>
                <w:spacing w:val="-4"/>
                <w:sz w:val="24"/>
              </w:rPr>
            </w:pPr>
          </w:p>
          <w:p w14:paraId="3FE2C847">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法定代表人二代身份证反面复印件或扫描件</w:t>
            </w:r>
          </w:p>
          <w:p w14:paraId="20EC9785">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p>
        </w:tc>
      </w:tr>
      <w:tr w14:paraId="3342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noWrap w:val="0"/>
            <w:vAlign w:val="center"/>
          </w:tcPr>
          <w:p w14:paraId="624D7922">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被授权人二代身份证正面复印件或扫描件</w:t>
            </w:r>
          </w:p>
          <w:p w14:paraId="56362612">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c>
          <w:tcPr>
            <w:tcW w:w="4712" w:type="dxa"/>
            <w:gridSpan w:val="3"/>
            <w:noWrap w:val="0"/>
            <w:vAlign w:val="center"/>
          </w:tcPr>
          <w:p w14:paraId="06C4A009">
            <w:pPr>
              <w:pageBreakBefore w:val="0"/>
              <w:tabs>
                <w:tab w:val="right" w:leader="dot" w:pos="9022"/>
              </w:tabs>
              <w:kinsoku/>
              <w:autoSpaceDE w:val="0"/>
              <w:autoSpaceDN w:val="0"/>
              <w:bidi w:val="0"/>
              <w:adjustRightInd w:val="0"/>
              <w:spacing w:line="360" w:lineRule="auto"/>
              <w:jc w:val="center"/>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被授权人二代身份证反面复印件或扫描件</w:t>
            </w:r>
          </w:p>
          <w:p w14:paraId="67C4AAA8">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p>
        </w:tc>
      </w:tr>
      <w:tr w14:paraId="61EA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noWrap w:val="0"/>
            <w:vAlign w:val="center"/>
          </w:tcPr>
          <w:p w14:paraId="2FA979A2">
            <w:pPr>
              <w:pageBreakBefore w:val="0"/>
              <w:tabs>
                <w:tab w:val="right" w:leader="dot" w:pos="9022"/>
              </w:tabs>
              <w:kinsoku/>
              <w:autoSpaceDE w:val="0"/>
              <w:autoSpaceDN w:val="0"/>
              <w:bidi w:val="0"/>
              <w:adjustRightInd w:val="0"/>
              <w:spacing w:line="360" w:lineRule="auto"/>
              <w:jc w:val="left"/>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法定代表人及被授权人签字：</w:t>
            </w:r>
          </w:p>
        </w:tc>
      </w:tr>
    </w:tbl>
    <w:p w14:paraId="72AA1B8D">
      <w:pPr>
        <w:pageBreakBefore w:val="0"/>
        <w:kinsoku/>
        <w:autoSpaceDE w:val="0"/>
        <w:autoSpaceDN w:val="0"/>
        <w:bidi w:val="0"/>
        <w:adjustRightInd w:val="0"/>
        <w:snapToGrid w:val="0"/>
        <w:spacing w:line="360" w:lineRule="auto"/>
        <w:outlineLvl w:val="9"/>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供应商名称：</w:t>
      </w:r>
      <w:r>
        <w:rPr>
          <w:rFonts w:hint="eastAsia" w:asciiTheme="minorEastAsia" w:hAnsiTheme="minorEastAsia" w:eastAsiaTheme="minorEastAsia" w:cstheme="minorEastAsia"/>
          <w:bCs/>
          <w:caps/>
          <w:color w:val="auto"/>
          <w:sz w:val="24"/>
          <w:u w:val="single"/>
        </w:rPr>
        <w:t xml:space="preserve">      </w:t>
      </w:r>
      <w:r>
        <w:rPr>
          <w:rFonts w:hint="eastAsia" w:asciiTheme="minorEastAsia" w:hAnsiTheme="minorEastAsia" w:eastAsiaTheme="minorEastAsia" w:cstheme="minorEastAsia"/>
          <w:bCs/>
          <w:caps/>
          <w:color w:val="auto"/>
          <w:sz w:val="24"/>
          <w:u w:val="single"/>
          <w:lang w:val="en-US" w:eastAsia="zh-CN"/>
        </w:rPr>
        <w:t xml:space="preserve">               </w:t>
      </w:r>
      <w:r>
        <w:rPr>
          <w:rFonts w:hint="eastAsia" w:asciiTheme="minorEastAsia" w:hAnsiTheme="minorEastAsia" w:eastAsiaTheme="minorEastAsia" w:cstheme="minorEastAsia"/>
          <w:bCs/>
          <w:caps/>
          <w:color w:val="auto"/>
          <w:sz w:val="24"/>
          <w:u w:val="single"/>
        </w:rPr>
        <w:t xml:space="preserve">       </w:t>
      </w:r>
      <w:r>
        <w:rPr>
          <w:rFonts w:hint="eastAsia" w:asciiTheme="minorEastAsia" w:hAnsiTheme="minorEastAsia" w:eastAsiaTheme="minorEastAsia" w:cstheme="minorEastAsia"/>
          <w:bCs/>
          <w:caps/>
          <w:color w:val="auto"/>
          <w:sz w:val="24"/>
        </w:rPr>
        <w:t xml:space="preserve">（供应商单位公章） </w:t>
      </w:r>
    </w:p>
    <w:p w14:paraId="36A3C77C">
      <w:pPr>
        <w:pageBreakBefore w:val="0"/>
        <w:kinsoku/>
        <w:autoSpaceDE w:val="0"/>
        <w:autoSpaceDN w:val="0"/>
        <w:bidi w:val="0"/>
        <w:adjustRightInd w:val="0"/>
        <w:snapToGrid w:val="0"/>
        <w:spacing w:line="360" w:lineRule="auto"/>
        <w:outlineLvl w:val="9"/>
        <w:rPr>
          <w:rFonts w:hint="eastAsia" w:asciiTheme="minorEastAsia" w:hAnsiTheme="minorEastAsia" w:eastAsiaTheme="minorEastAsia" w:cstheme="minorEastAsia"/>
          <w:b/>
          <w:color w:val="auto"/>
          <w:sz w:val="24"/>
          <w:u w:val="single"/>
        </w:rPr>
      </w:pPr>
      <w:r>
        <w:rPr>
          <w:rFonts w:hint="eastAsia" w:asciiTheme="minorEastAsia" w:hAnsiTheme="minorEastAsia" w:eastAsiaTheme="minorEastAsia" w:cstheme="minorEastAsia"/>
          <w:bCs/>
          <w:caps/>
          <w:color w:val="auto"/>
          <w:sz w:val="24"/>
        </w:rPr>
        <w:t>日 期</w:t>
      </w:r>
      <w:r>
        <w:rPr>
          <w:rFonts w:hint="eastAsia" w:asciiTheme="minorEastAsia" w:hAnsiTheme="minorEastAsia" w:eastAsiaTheme="minorEastAsia" w:cstheme="minorEastAsia"/>
          <w:bCs/>
          <w:caps/>
          <w:color w:val="auto"/>
          <w:sz w:val="28"/>
          <w:szCs w:val="28"/>
        </w:rPr>
        <w:t>：</w:t>
      </w:r>
      <w:r>
        <w:rPr>
          <w:rFonts w:hint="eastAsia" w:asciiTheme="minorEastAsia" w:hAnsiTheme="minorEastAsia" w:eastAsiaTheme="minorEastAsia" w:cstheme="minorEastAsia"/>
          <w:bCs/>
          <w:caps/>
          <w:color w:val="auto"/>
          <w:sz w:val="28"/>
          <w:szCs w:val="28"/>
          <w:u w:val="single"/>
        </w:rPr>
        <w:t xml:space="preserve">  </w:t>
      </w:r>
      <w:r>
        <w:rPr>
          <w:rFonts w:hint="eastAsia" w:asciiTheme="minorEastAsia" w:hAnsiTheme="minorEastAsia" w:eastAsiaTheme="minorEastAsia" w:cstheme="minorEastAsia"/>
          <w:bCs/>
          <w:caps/>
          <w:color w:val="auto"/>
          <w:sz w:val="28"/>
          <w:szCs w:val="28"/>
          <w:u w:val="single"/>
          <w:lang w:val="en-US" w:eastAsia="zh-CN"/>
        </w:rPr>
        <w:t xml:space="preserve">                       </w:t>
      </w:r>
      <w:r>
        <w:rPr>
          <w:rFonts w:hint="eastAsia" w:asciiTheme="minorEastAsia" w:hAnsiTheme="minorEastAsia" w:eastAsiaTheme="minorEastAsia" w:cstheme="minorEastAsia"/>
          <w:bCs/>
          <w:caps/>
          <w:color w:val="auto"/>
          <w:sz w:val="28"/>
          <w:szCs w:val="28"/>
          <w:u w:val="single"/>
        </w:rPr>
        <w:t xml:space="preserve">    </w:t>
      </w:r>
      <w:bookmarkEnd w:id="166"/>
    </w:p>
    <w:p w14:paraId="4734A40D">
      <w:pPr>
        <w:pageBreakBefore w:val="0"/>
        <w:kinsoku/>
        <w:bidi w:val="0"/>
        <w:adjustRightInd w:val="0"/>
        <w:spacing w:before="360" w:beforeLines="150" w:line="360" w:lineRule="auto"/>
        <w:ind w:firstLine="632" w:firstLineChars="175"/>
        <w:jc w:val="left"/>
        <w:outlineLvl w:val="9"/>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
          <w:color w:val="auto"/>
          <w:sz w:val="36"/>
        </w:rPr>
        <w:br w:type="page"/>
      </w:r>
    </w:p>
    <w:p w14:paraId="498691D3">
      <w:pPr>
        <w:pageBreakBefore w:val="0"/>
        <w:numPr>
          <w:ilvl w:val="0"/>
          <w:numId w:val="0"/>
        </w:numPr>
        <w:kinsoku/>
        <w:bidi w:val="0"/>
        <w:spacing w:line="360" w:lineRule="auto"/>
        <w:jc w:val="center"/>
        <w:outlineLvl w:val="9"/>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en-US" w:eastAsia="zh-CN"/>
        </w:rPr>
        <w:t>五、供应商</w:t>
      </w:r>
      <w:r>
        <w:rPr>
          <w:rFonts w:hint="eastAsia" w:asciiTheme="minorEastAsia" w:hAnsiTheme="minorEastAsia" w:eastAsiaTheme="minorEastAsia" w:cstheme="minorEastAsia"/>
          <w:b/>
          <w:bCs/>
          <w:color w:val="auto"/>
          <w:sz w:val="32"/>
          <w:szCs w:val="32"/>
        </w:rPr>
        <w:t>资格证明文件</w:t>
      </w:r>
    </w:p>
    <w:p w14:paraId="2C4D3FB1">
      <w:pPr>
        <w:pageBreakBefore w:val="0"/>
        <w:kinsoku/>
        <w:bidi w:val="0"/>
        <w:spacing w:before="120" w:beforeLines="50" w:line="360" w:lineRule="auto"/>
        <w:ind w:left="-141" w:leftChars="-67"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投标人按“第</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 xml:space="preserve">章 </w:t>
      </w:r>
      <w:r>
        <w:rPr>
          <w:rFonts w:hint="eastAsia" w:ascii="宋体" w:hAnsi="宋体" w:cs="宋体"/>
          <w:color w:val="auto"/>
          <w:sz w:val="24"/>
          <w:szCs w:val="24"/>
          <w:lang w:val="en-US" w:eastAsia="zh-CN"/>
        </w:rPr>
        <w:t>招标公告 二、申请人的资格要求 3.本项目的特定资格要求</w:t>
      </w:r>
      <w:r>
        <w:rPr>
          <w:rFonts w:hint="eastAsia" w:ascii="宋体" w:hAnsi="宋体" w:eastAsia="宋体" w:cs="宋体"/>
          <w:color w:val="auto"/>
          <w:sz w:val="24"/>
          <w:szCs w:val="24"/>
        </w:rPr>
        <w:t>”逐一提供全部资料，缺少其中任何一项，其投标文件将被视为无效文件。其中，《榆林市政府采购</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类项目供应商信用承诺书》、《投标人信用承诺》、《投标信用承诺》、《投标人委托代理人员信用承诺书》（如有）应按下文给定格式填写，否则</w:t>
      </w:r>
      <w:r>
        <w:rPr>
          <w:rFonts w:hint="eastAsia" w:ascii="宋体" w:hAnsi="宋体" w:eastAsia="宋体" w:cs="宋体"/>
          <w:b/>
          <w:bCs/>
          <w:color w:val="auto"/>
          <w:sz w:val="24"/>
          <w:szCs w:val="24"/>
        </w:rPr>
        <w:t>按无效处理</w:t>
      </w:r>
      <w:r>
        <w:rPr>
          <w:rFonts w:hint="eastAsia" w:ascii="宋体" w:hAnsi="宋体" w:eastAsia="宋体" w:cs="宋体"/>
          <w:color w:val="auto"/>
          <w:sz w:val="24"/>
          <w:szCs w:val="24"/>
        </w:rPr>
        <w:t>。</w:t>
      </w:r>
    </w:p>
    <w:p w14:paraId="78E20DB3">
      <w:pPr>
        <w:pStyle w:val="8"/>
        <w:pageBreakBefore w:val="0"/>
        <w:kinsoku/>
        <w:bidi w:val="0"/>
        <w:spacing w:line="360" w:lineRule="auto"/>
        <w:outlineLvl w:val="9"/>
        <w:rPr>
          <w:rFonts w:hint="eastAsia" w:ascii="宋体" w:hAnsi="宋体" w:eastAsia="宋体" w:cs="宋体"/>
          <w:color w:val="auto"/>
          <w:sz w:val="24"/>
          <w:szCs w:val="24"/>
        </w:rPr>
      </w:pPr>
    </w:p>
    <w:p w14:paraId="3A63571F">
      <w:pPr>
        <w:pageBreakBefore w:val="0"/>
        <w:kinsoku/>
        <w:bidi w:val="0"/>
        <w:spacing w:line="360" w:lineRule="auto"/>
        <w:outlineLvl w:val="9"/>
        <w:rPr>
          <w:rFonts w:hint="eastAsia" w:ascii="宋体" w:hAnsi="宋体" w:eastAsia="宋体" w:cs="宋体"/>
          <w:color w:val="auto"/>
          <w:sz w:val="24"/>
          <w:szCs w:val="24"/>
        </w:rPr>
      </w:pPr>
    </w:p>
    <w:p w14:paraId="4D133416">
      <w:pPr>
        <w:pStyle w:val="8"/>
        <w:pageBreakBefore w:val="0"/>
        <w:kinsoku/>
        <w:bidi w:val="0"/>
        <w:spacing w:line="360" w:lineRule="auto"/>
        <w:outlineLvl w:val="9"/>
        <w:rPr>
          <w:rFonts w:hint="eastAsia" w:ascii="宋体" w:hAnsi="宋体" w:eastAsia="宋体" w:cs="宋体"/>
          <w:color w:val="auto"/>
          <w:sz w:val="24"/>
          <w:szCs w:val="24"/>
        </w:rPr>
      </w:pPr>
    </w:p>
    <w:p w14:paraId="337A025B">
      <w:pPr>
        <w:pageBreakBefore w:val="0"/>
        <w:kinsoku/>
        <w:bidi w:val="0"/>
        <w:spacing w:line="360" w:lineRule="auto"/>
        <w:outlineLvl w:val="9"/>
        <w:rPr>
          <w:rFonts w:hint="eastAsia" w:ascii="宋体" w:hAnsi="宋体" w:eastAsia="宋体" w:cs="宋体"/>
          <w:color w:val="auto"/>
          <w:sz w:val="24"/>
          <w:szCs w:val="24"/>
        </w:rPr>
      </w:pPr>
    </w:p>
    <w:p w14:paraId="4A167DA7">
      <w:pPr>
        <w:pStyle w:val="8"/>
        <w:pageBreakBefore w:val="0"/>
        <w:kinsoku/>
        <w:bidi w:val="0"/>
        <w:spacing w:line="360" w:lineRule="auto"/>
        <w:outlineLvl w:val="9"/>
        <w:rPr>
          <w:rFonts w:hint="eastAsia" w:ascii="宋体" w:hAnsi="宋体" w:eastAsia="宋体" w:cs="宋体"/>
          <w:color w:val="auto"/>
          <w:sz w:val="24"/>
          <w:szCs w:val="24"/>
        </w:rPr>
      </w:pPr>
    </w:p>
    <w:p w14:paraId="0D912E8E">
      <w:pPr>
        <w:pageBreakBefore w:val="0"/>
        <w:kinsoku/>
        <w:bidi w:val="0"/>
        <w:spacing w:line="360" w:lineRule="auto"/>
        <w:outlineLvl w:val="9"/>
        <w:rPr>
          <w:rFonts w:hint="eastAsia" w:ascii="宋体" w:hAnsi="宋体" w:eastAsia="宋体" w:cs="宋体"/>
          <w:color w:val="auto"/>
          <w:sz w:val="24"/>
          <w:szCs w:val="24"/>
        </w:rPr>
      </w:pPr>
    </w:p>
    <w:p w14:paraId="1685176E">
      <w:pPr>
        <w:pStyle w:val="8"/>
        <w:pageBreakBefore w:val="0"/>
        <w:kinsoku/>
        <w:bidi w:val="0"/>
        <w:spacing w:line="360" w:lineRule="auto"/>
        <w:outlineLvl w:val="9"/>
        <w:rPr>
          <w:rFonts w:hint="eastAsia" w:ascii="宋体" w:hAnsi="宋体" w:eastAsia="宋体" w:cs="宋体"/>
          <w:color w:val="auto"/>
          <w:sz w:val="24"/>
          <w:szCs w:val="24"/>
        </w:rPr>
      </w:pPr>
    </w:p>
    <w:p w14:paraId="7EA3B63C">
      <w:pPr>
        <w:pageBreakBefore w:val="0"/>
        <w:kinsoku/>
        <w:bidi w:val="0"/>
        <w:spacing w:line="360" w:lineRule="auto"/>
        <w:outlineLvl w:val="9"/>
        <w:rPr>
          <w:rFonts w:hint="eastAsia" w:ascii="宋体" w:hAnsi="宋体" w:eastAsia="宋体" w:cs="宋体"/>
          <w:color w:val="auto"/>
          <w:sz w:val="24"/>
          <w:szCs w:val="24"/>
        </w:rPr>
      </w:pPr>
    </w:p>
    <w:p w14:paraId="59F29668">
      <w:pPr>
        <w:pStyle w:val="8"/>
        <w:pageBreakBefore w:val="0"/>
        <w:kinsoku/>
        <w:bidi w:val="0"/>
        <w:spacing w:line="360" w:lineRule="auto"/>
        <w:outlineLvl w:val="9"/>
        <w:rPr>
          <w:rFonts w:hint="eastAsia" w:ascii="宋体" w:hAnsi="宋体" w:eastAsia="宋体" w:cs="宋体"/>
          <w:color w:val="auto"/>
          <w:sz w:val="24"/>
          <w:szCs w:val="24"/>
        </w:rPr>
      </w:pPr>
    </w:p>
    <w:p w14:paraId="212CF3E7">
      <w:pPr>
        <w:pageBreakBefore w:val="0"/>
        <w:kinsoku/>
        <w:bidi w:val="0"/>
        <w:spacing w:line="360" w:lineRule="auto"/>
        <w:outlineLvl w:val="9"/>
        <w:rPr>
          <w:rFonts w:hint="eastAsia" w:ascii="宋体" w:hAnsi="宋体" w:eastAsia="宋体" w:cs="宋体"/>
          <w:color w:val="auto"/>
          <w:sz w:val="24"/>
          <w:szCs w:val="24"/>
        </w:rPr>
      </w:pPr>
    </w:p>
    <w:p w14:paraId="273544B7">
      <w:pPr>
        <w:pStyle w:val="8"/>
        <w:pageBreakBefore w:val="0"/>
        <w:kinsoku/>
        <w:bidi w:val="0"/>
        <w:spacing w:line="360" w:lineRule="auto"/>
        <w:outlineLvl w:val="9"/>
        <w:rPr>
          <w:rFonts w:hint="eastAsia" w:ascii="宋体" w:hAnsi="宋体" w:eastAsia="宋体" w:cs="宋体"/>
          <w:color w:val="auto"/>
          <w:sz w:val="24"/>
          <w:szCs w:val="24"/>
        </w:rPr>
      </w:pPr>
    </w:p>
    <w:p w14:paraId="0E5D99DD">
      <w:pPr>
        <w:pageBreakBefore w:val="0"/>
        <w:kinsoku/>
        <w:bidi w:val="0"/>
        <w:spacing w:line="360" w:lineRule="auto"/>
        <w:outlineLvl w:val="9"/>
        <w:rPr>
          <w:rFonts w:hint="eastAsia" w:ascii="宋体" w:hAnsi="宋体" w:eastAsia="宋体" w:cs="宋体"/>
          <w:color w:val="auto"/>
          <w:sz w:val="24"/>
          <w:szCs w:val="24"/>
        </w:rPr>
      </w:pPr>
    </w:p>
    <w:p w14:paraId="0A3AD462">
      <w:pPr>
        <w:pStyle w:val="8"/>
        <w:pageBreakBefore w:val="0"/>
        <w:kinsoku/>
        <w:bidi w:val="0"/>
        <w:spacing w:line="360" w:lineRule="auto"/>
        <w:outlineLvl w:val="9"/>
        <w:rPr>
          <w:rFonts w:hint="eastAsia" w:ascii="宋体" w:hAnsi="宋体" w:eastAsia="宋体" w:cs="宋体"/>
          <w:color w:val="auto"/>
          <w:sz w:val="24"/>
          <w:szCs w:val="24"/>
        </w:rPr>
      </w:pPr>
    </w:p>
    <w:p w14:paraId="41311286">
      <w:pPr>
        <w:pageBreakBefore w:val="0"/>
        <w:kinsoku/>
        <w:bidi w:val="0"/>
        <w:spacing w:line="360" w:lineRule="auto"/>
        <w:outlineLvl w:val="9"/>
        <w:rPr>
          <w:rFonts w:hint="eastAsia" w:ascii="宋体" w:hAnsi="宋体" w:eastAsia="宋体" w:cs="宋体"/>
          <w:color w:val="auto"/>
          <w:sz w:val="24"/>
          <w:szCs w:val="24"/>
        </w:rPr>
      </w:pPr>
    </w:p>
    <w:p w14:paraId="3B2A98EE">
      <w:pPr>
        <w:pStyle w:val="8"/>
        <w:pageBreakBefore w:val="0"/>
        <w:kinsoku/>
        <w:bidi w:val="0"/>
        <w:spacing w:line="360" w:lineRule="auto"/>
        <w:outlineLvl w:val="9"/>
        <w:rPr>
          <w:rFonts w:hint="eastAsia" w:ascii="宋体" w:hAnsi="宋体" w:eastAsia="宋体" w:cs="宋体"/>
          <w:color w:val="auto"/>
          <w:sz w:val="24"/>
          <w:szCs w:val="24"/>
        </w:rPr>
      </w:pPr>
    </w:p>
    <w:p w14:paraId="4CC8C3C8">
      <w:pPr>
        <w:pageBreakBefore w:val="0"/>
        <w:kinsoku/>
        <w:bidi w:val="0"/>
        <w:spacing w:line="360" w:lineRule="auto"/>
        <w:outlineLvl w:val="9"/>
        <w:rPr>
          <w:rFonts w:hint="eastAsia" w:ascii="宋体" w:hAnsi="宋体" w:eastAsia="宋体" w:cs="宋体"/>
          <w:color w:val="auto"/>
          <w:sz w:val="24"/>
          <w:szCs w:val="24"/>
        </w:rPr>
      </w:pPr>
    </w:p>
    <w:p w14:paraId="29F15BB5">
      <w:pPr>
        <w:pStyle w:val="8"/>
        <w:pageBreakBefore w:val="0"/>
        <w:kinsoku/>
        <w:bidi w:val="0"/>
        <w:spacing w:line="360" w:lineRule="auto"/>
        <w:outlineLvl w:val="9"/>
        <w:rPr>
          <w:rFonts w:hint="eastAsia" w:ascii="宋体" w:hAnsi="宋体" w:eastAsia="宋体" w:cs="宋体"/>
          <w:color w:val="auto"/>
          <w:sz w:val="24"/>
          <w:szCs w:val="24"/>
        </w:rPr>
      </w:pPr>
    </w:p>
    <w:p w14:paraId="090301F9">
      <w:pPr>
        <w:pageBreakBefore w:val="0"/>
        <w:kinsoku/>
        <w:bidi w:val="0"/>
        <w:spacing w:line="360" w:lineRule="auto"/>
        <w:outlineLvl w:val="9"/>
        <w:rPr>
          <w:rFonts w:hint="eastAsia" w:ascii="宋体" w:hAnsi="宋体" w:eastAsia="宋体" w:cs="宋体"/>
          <w:color w:val="auto"/>
          <w:sz w:val="24"/>
          <w:szCs w:val="24"/>
        </w:rPr>
      </w:pPr>
    </w:p>
    <w:p w14:paraId="741F7348">
      <w:pPr>
        <w:pStyle w:val="8"/>
        <w:pageBreakBefore w:val="0"/>
        <w:kinsoku/>
        <w:bidi w:val="0"/>
        <w:spacing w:line="360" w:lineRule="auto"/>
        <w:outlineLvl w:val="9"/>
        <w:rPr>
          <w:rFonts w:hint="eastAsia" w:ascii="宋体" w:hAnsi="宋体" w:eastAsia="宋体" w:cs="宋体"/>
          <w:color w:val="auto"/>
          <w:sz w:val="24"/>
          <w:szCs w:val="24"/>
        </w:rPr>
      </w:pPr>
    </w:p>
    <w:p w14:paraId="539771CD">
      <w:pPr>
        <w:pageBreakBefore w:val="0"/>
        <w:kinsoku/>
        <w:bidi w:val="0"/>
        <w:spacing w:line="360" w:lineRule="auto"/>
        <w:outlineLvl w:val="9"/>
        <w:rPr>
          <w:rFonts w:hint="eastAsia" w:ascii="宋体" w:hAnsi="宋体" w:eastAsia="宋体" w:cs="宋体"/>
          <w:color w:val="auto"/>
          <w:sz w:val="24"/>
          <w:szCs w:val="24"/>
        </w:rPr>
      </w:pPr>
    </w:p>
    <w:p w14:paraId="06287464">
      <w:pPr>
        <w:pStyle w:val="8"/>
        <w:pageBreakBefore w:val="0"/>
        <w:kinsoku/>
        <w:bidi w:val="0"/>
        <w:spacing w:line="360" w:lineRule="auto"/>
        <w:outlineLvl w:val="9"/>
        <w:rPr>
          <w:rFonts w:hint="eastAsia" w:ascii="宋体" w:hAnsi="宋体" w:eastAsia="宋体" w:cs="宋体"/>
          <w:color w:val="auto"/>
          <w:sz w:val="24"/>
          <w:szCs w:val="24"/>
        </w:rPr>
      </w:pPr>
    </w:p>
    <w:p w14:paraId="61F151AA">
      <w:pPr>
        <w:keepNext w:val="0"/>
        <w:keepLines w:val="0"/>
        <w:pageBreakBefore w:val="0"/>
        <w:widowControl w:val="0"/>
        <w:kinsoku/>
        <w:wordWrap/>
        <w:autoSpaceDE/>
        <w:autoSpaceDN/>
        <w:bidi w:val="0"/>
        <w:adjustRightInd/>
        <w:snapToGrid/>
        <w:spacing w:line="360" w:lineRule="auto"/>
        <w:ind w:firstLine="1928" w:firstLineChars="800"/>
        <w:jc w:val="both"/>
        <w:textAlignment w:val="auto"/>
        <w:outlineLvl w:val="9"/>
        <w:rPr>
          <w:rFonts w:hAnsi="宋体" w:cs="宋体"/>
          <w:b/>
          <w:sz w:val="24"/>
          <w:szCs w:val="24"/>
        </w:rPr>
      </w:pPr>
      <w:r>
        <w:rPr>
          <w:rFonts w:hint="eastAsia" w:hAnsi="宋体" w:cs="宋体"/>
          <w:b/>
          <w:sz w:val="24"/>
          <w:szCs w:val="24"/>
        </w:rPr>
        <w:t>榆林市政府采购</w:t>
      </w:r>
      <w:r>
        <w:rPr>
          <w:rFonts w:hint="eastAsia" w:hAnsi="宋体" w:cs="宋体"/>
          <w:b/>
          <w:sz w:val="24"/>
          <w:szCs w:val="24"/>
          <w:lang w:val="en-US" w:eastAsia="zh-CN"/>
        </w:rPr>
        <w:t>服务</w:t>
      </w:r>
      <w:r>
        <w:rPr>
          <w:rFonts w:hint="eastAsia" w:hAnsi="宋体" w:cs="宋体"/>
          <w:b/>
          <w:sz w:val="24"/>
          <w:szCs w:val="24"/>
        </w:rPr>
        <w:t>类项目供应商信用承诺书</w:t>
      </w:r>
    </w:p>
    <w:p w14:paraId="2F259AA1">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p>
    <w:p w14:paraId="77083EDD">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市场主体名称：</w:t>
      </w:r>
    </w:p>
    <w:p w14:paraId="40C33A06">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证件类型：统一社会信用代码</w:t>
      </w:r>
    </w:p>
    <w:p w14:paraId="503F213B">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证件号码：</w:t>
      </w:r>
    </w:p>
    <w:p w14:paraId="6014552A">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法人代表：</w:t>
      </w:r>
    </w:p>
    <w:p w14:paraId="3D4DE315">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承诺有效期限：    年    月    日—    年    月    日</w:t>
      </w:r>
    </w:p>
    <w:p w14:paraId="02661496">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承诺内容：</w:t>
      </w:r>
    </w:p>
    <w:p w14:paraId="36F97B7C">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为维护公开、公平、公正的政府采购市场秩序，树立诚实守信的政府采购供应商形象，本单位自愿做出以下承诺：</w:t>
      </w:r>
    </w:p>
    <w:p w14:paraId="1E6DFF37">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Ansi="宋体" w:cs="宋体"/>
          <w:sz w:val="24"/>
          <w:szCs w:val="24"/>
        </w:rPr>
      </w:pPr>
      <w:r>
        <w:rPr>
          <w:rFonts w:hint="eastAsia" w:hAnsi="宋体" w:cs="宋体"/>
          <w:sz w:val="24"/>
          <w:szCs w:val="24"/>
        </w:rPr>
        <w:t>一、承诺本单位严格遵守国家法律、法规和规章，全面履行应尽的责任和义务，全面做到履约守信，具备《政府采购法》第二十二条第一款规定的条件;</w:t>
      </w:r>
    </w:p>
    <w:p w14:paraId="0C790A4E">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二、承诺本单位提供给注册登记部门、行业管理部门、司法部门、行业组织以及在政府采购活动中提交的所有资料均合法、真实、有效，无任何伪造、修改、虚假成份，并对所提供资料的真实性负责；</w:t>
      </w:r>
    </w:p>
    <w:p w14:paraId="65850EE3">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三、承诺本单位严格依法开展生产经营活动，主动接受行业监管，自愿接受依法开展的日常检查；违法失信经营后将自愿接受约束和惩戒，并依法承担相应责任；</w:t>
      </w:r>
    </w:p>
    <w:p w14:paraId="5BD048ED">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四、承诺本单位自觉接受行政管理部门、行业组织、社会公众、新闻舆论的监督；</w:t>
      </w:r>
    </w:p>
    <w:p w14:paraId="05D80B48">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五、承诺本单位自我约束、自我管理，重合同、守信用，不制假售假、商标侵权、虚假宣传、违约毁约、恶意逃债、偷税漏税、价格欺诈、垄断和不正当竞争，维护经营者、消费者的合法权益；</w:t>
      </w:r>
    </w:p>
    <w:p w14:paraId="365C40CC">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六、承诺本单位提出政府采购质疑和投诉坚持依法依规、诚实信用原则，在全国范围12个月内没有三次以上查无实据的政府采购投诉；</w:t>
      </w:r>
    </w:p>
    <w:p w14:paraId="1E5A6D3C">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七、根据政府采购相关法律法规的规定需要作出的其他诺：</w:t>
      </w:r>
      <w:r>
        <w:rPr>
          <w:rFonts w:hint="eastAsia" w:hAnsi="宋体" w:cs="宋体"/>
          <w:sz w:val="24"/>
          <w:szCs w:val="24"/>
          <w:u w:val="single"/>
        </w:rPr>
        <w:t>         </w:t>
      </w:r>
      <w:r>
        <w:rPr>
          <w:rFonts w:hint="eastAsia" w:hAnsi="宋体" w:cs="宋体"/>
          <w:sz w:val="24"/>
          <w:szCs w:val="24"/>
        </w:rPr>
        <w:t>。</w:t>
      </w:r>
    </w:p>
    <w:p w14:paraId="14192369">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3AD69E0E">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p>
    <w:p w14:paraId="71D710B0">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       承诺单位（盖章）：</w:t>
      </w:r>
    </w:p>
    <w:p w14:paraId="2A0D42EA">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       法定代表人（负责人）：</w:t>
      </w:r>
    </w:p>
    <w:p w14:paraId="0CDB3131">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 xml:space="preserve">              法定代表人（负责人）身份证号：</w:t>
      </w:r>
    </w:p>
    <w:p w14:paraId="4A47818E">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       承诺日期：</w:t>
      </w:r>
    </w:p>
    <w:p w14:paraId="30A7C487">
      <w:pPr>
        <w:pStyle w:val="37"/>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Ansi="宋体" w:cs="宋体"/>
          <w:b/>
          <w:bCs/>
          <w:sz w:val="24"/>
          <w:szCs w:val="24"/>
        </w:rPr>
      </w:pPr>
    </w:p>
    <w:p w14:paraId="714873C6">
      <w:pPr>
        <w:pStyle w:val="37"/>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Ansi="宋体" w:cs="宋体"/>
          <w:b/>
          <w:bCs/>
          <w:sz w:val="24"/>
          <w:szCs w:val="24"/>
        </w:rPr>
      </w:pPr>
    </w:p>
    <w:p w14:paraId="18CB63AB">
      <w:pPr>
        <w:pStyle w:val="3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Ansi="宋体" w:cs="宋体"/>
          <w:b/>
          <w:bCs/>
          <w:sz w:val="24"/>
          <w:szCs w:val="24"/>
        </w:rPr>
      </w:pPr>
      <w:r>
        <w:rPr>
          <w:rFonts w:hint="eastAsia" w:ascii="Calibri" w:hAnsi="宋体" w:eastAsia="宋体" w:cs="宋体"/>
          <w:kern w:val="2"/>
          <w:sz w:val="21"/>
          <w:szCs w:val="21"/>
          <w:lang w:val="en-US" w:eastAsia="zh-CN" w:bidi="ar-SA"/>
        </w:rPr>
        <w:t>注：此承诺书除附在投标文件中外还须上传至“信用中国（陕西榆林）”网站投标人自主上报信用承诺书附件。（承诺有效期为1年，承诺起始时间为提交投标文件截止之日，须后附截图。）法定代表人或负责人、主体名称发生变更的应当重新做出承诺。</w:t>
      </w:r>
      <w:r>
        <w:rPr>
          <w:rFonts w:hint="eastAsia" w:ascii="Calibri" w:hAnsi="宋体" w:eastAsia="宋体" w:cs="宋体"/>
          <w:kern w:val="2"/>
          <w:sz w:val="21"/>
          <w:szCs w:val="21"/>
          <w:lang w:val="en-US" w:eastAsia="zh-CN" w:bidi="ar-SA"/>
        </w:rPr>
        <w:br w:type="page"/>
      </w:r>
      <w:r>
        <w:rPr>
          <w:rFonts w:hint="eastAsia" w:hAnsi="宋体" w:cs="宋体"/>
          <w:b/>
          <w:bCs/>
          <w:sz w:val="24"/>
          <w:szCs w:val="24"/>
        </w:rPr>
        <w:t>投标人信用承诺</w:t>
      </w:r>
    </w:p>
    <w:p w14:paraId="1F1C3606">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4"/>
          <w:szCs w:val="24"/>
          <w:u w:val="single"/>
        </w:rPr>
      </w:pPr>
      <w:r>
        <w:rPr>
          <w:rFonts w:hint="eastAsia" w:hAnsi="宋体" w:cs="宋体"/>
          <w:sz w:val="24"/>
          <w:szCs w:val="24"/>
        </w:rPr>
        <w:t>投标人：</w:t>
      </w:r>
      <w:r>
        <w:rPr>
          <w:rFonts w:hint="eastAsia" w:hAnsi="宋体" w:cs="宋体"/>
          <w:sz w:val="24"/>
          <w:szCs w:val="24"/>
          <w:u w:val="single"/>
        </w:rPr>
        <w:t xml:space="preserve">                                                                   </w:t>
      </w:r>
    </w:p>
    <w:p w14:paraId="0CC419DF">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4"/>
          <w:szCs w:val="24"/>
          <w:u w:val="single"/>
        </w:rPr>
      </w:pPr>
      <w:r>
        <w:rPr>
          <w:rFonts w:hint="eastAsia" w:hAnsi="宋体" w:cs="宋体"/>
          <w:sz w:val="24"/>
          <w:szCs w:val="24"/>
        </w:rPr>
        <w:t>统一社会信用代码：</w:t>
      </w:r>
      <w:r>
        <w:rPr>
          <w:rFonts w:hint="eastAsia" w:hAnsi="宋体" w:cs="宋体"/>
          <w:sz w:val="24"/>
          <w:szCs w:val="24"/>
          <w:u w:val="single"/>
        </w:rPr>
        <w:t xml:space="preserve">                             </w:t>
      </w:r>
      <w:r>
        <w:rPr>
          <w:rFonts w:hint="eastAsia" w:hAnsi="宋体" w:cs="宋体"/>
          <w:sz w:val="24"/>
          <w:szCs w:val="24"/>
        </w:rPr>
        <w:t>法人代表：</w:t>
      </w:r>
      <w:r>
        <w:rPr>
          <w:rFonts w:hint="eastAsia" w:hAnsi="宋体" w:cs="宋体"/>
          <w:sz w:val="24"/>
          <w:szCs w:val="24"/>
          <w:u w:val="single"/>
        </w:rPr>
        <w:t xml:space="preserve">                  </w:t>
      </w:r>
    </w:p>
    <w:p w14:paraId="7671C9D4">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4"/>
          <w:szCs w:val="24"/>
          <w:u w:val="single"/>
        </w:rPr>
      </w:pPr>
      <w:r>
        <w:rPr>
          <w:rFonts w:hint="eastAsia" w:hAnsi="宋体" w:cs="宋体"/>
          <w:sz w:val="24"/>
          <w:szCs w:val="24"/>
        </w:rPr>
        <w:t>承诺有效期限：</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468F85F5">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在</w:t>
      </w:r>
      <w:r>
        <w:rPr>
          <w:rFonts w:hint="eastAsia" w:hAnsi="宋体" w:cs="宋体"/>
          <w:sz w:val="24"/>
          <w:szCs w:val="24"/>
          <w:u w:val="single"/>
        </w:rPr>
        <w:t xml:space="preserve">                   </w:t>
      </w:r>
      <w:r>
        <w:rPr>
          <w:rFonts w:hint="eastAsia" w:hAnsi="宋体" w:cs="宋体"/>
          <w:sz w:val="24"/>
          <w:szCs w:val="24"/>
        </w:rPr>
        <w:t>项目招投标活动中，我公司（单位）郑重作出以下信用承诺：</w:t>
      </w:r>
    </w:p>
    <w:p w14:paraId="05104E7A">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Ansi="宋体" w:cs="宋体"/>
          <w:sz w:val="24"/>
          <w:szCs w:val="24"/>
        </w:rPr>
      </w:pPr>
      <w:r>
        <w:rPr>
          <w:rFonts w:hint="eastAsia" w:hAnsi="宋体" w:cs="宋体"/>
          <w:sz w:val="24"/>
          <w:szCs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1029A8EE">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Ansi="宋体" w:cs="宋体"/>
          <w:sz w:val="24"/>
          <w:szCs w:val="24"/>
        </w:rPr>
      </w:pPr>
      <w:r>
        <w:rPr>
          <w:rFonts w:hint="eastAsia" w:hAnsi="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hAnsi="宋体" w:cs="宋体"/>
          <w:sz w:val="24"/>
          <w:szCs w:val="24"/>
          <w:lang w:eastAsia="zh-CN"/>
        </w:rPr>
        <w:t>磋商文件</w:t>
      </w:r>
      <w:r>
        <w:rPr>
          <w:rFonts w:hint="eastAsia" w:hAnsi="宋体" w:cs="宋体"/>
          <w:sz w:val="24"/>
          <w:szCs w:val="24"/>
        </w:rPr>
        <w:t>和投标文件与招标人签订合同；在签订合同时向招标人提出附加条件、或者改变投标文件的实质性内容；放弃中标；不按照</w:t>
      </w:r>
      <w:r>
        <w:rPr>
          <w:rFonts w:hint="eastAsia" w:hAnsi="宋体" w:cs="宋体"/>
          <w:sz w:val="24"/>
          <w:szCs w:val="24"/>
          <w:lang w:eastAsia="zh-CN"/>
        </w:rPr>
        <w:t>磋商文件</w:t>
      </w:r>
      <w:r>
        <w:rPr>
          <w:rFonts w:hint="eastAsia" w:hAnsi="宋体" w:cs="宋体"/>
          <w:sz w:val="24"/>
          <w:szCs w:val="24"/>
        </w:rPr>
        <w:t>的规定提交履约保证金。5.招投标法规定的其它违法违规行为。</w:t>
      </w:r>
    </w:p>
    <w:p w14:paraId="7757AD84">
      <w:pPr>
        <w:keepNext w:val="0"/>
        <w:keepLines w:val="0"/>
        <w:pageBreakBefore w:val="0"/>
        <w:kinsoku/>
        <w:wordWrap/>
        <w:overflowPunct/>
        <w:topLinePunct w:val="0"/>
        <w:autoSpaceDE/>
        <w:autoSpaceDN/>
        <w:bidi w:val="0"/>
        <w:spacing w:line="360" w:lineRule="auto"/>
        <w:ind w:firstLine="480" w:firstLineChars="200"/>
        <w:textAlignment w:val="auto"/>
        <w:outlineLvl w:val="9"/>
        <w:rPr>
          <w:sz w:val="24"/>
          <w:szCs w:val="24"/>
        </w:rPr>
      </w:pPr>
      <w:bookmarkStart w:id="169" w:name="_Toc14973"/>
      <w:r>
        <w:rPr>
          <w:rFonts w:hint="eastAsia"/>
          <w:sz w:val="24"/>
          <w:szCs w:val="24"/>
        </w:rPr>
        <w:t>（三）自愿接受招投标监督部门和有关行政监督部门的依法检查。</w:t>
      </w:r>
      <w:bookmarkEnd w:id="169"/>
    </w:p>
    <w:p w14:paraId="332D90A1">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（四）同意将此信用承诺纳入陕西省公共信用信息平台和榆林市公共信用信息共享平台，并上网公示，接受社会监督。</w:t>
      </w:r>
    </w:p>
    <w:p w14:paraId="7BFAA552">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Ansi="宋体" w:cs="宋体"/>
          <w:sz w:val="24"/>
          <w:szCs w:val="24"/>
        </w:rPr>
      </w:pPr>
      <w:r>
        <w:rPr>
          <w:rFonts w:hint="eastAsia" w:hAnsi="宋体" w:cs="宋体"/>
          <w:sz w:val="24"/>
          <w:szCs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66BE499A">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 xml:space="preserve">法定代表人（签章）：                   </w:t>
      </w:r>
      <w:r>
        <w:rPr>
          <w:rFonts w:hAnsi="宋体" w:cs="宋体"/>
          <w:sz w:val="24"/>
          <w:szCs w:val="24"/>
        </w:rPr>
        <w:t xml:space="preserve">       </w:t>
      </w:r>
      <w:r>
        <w:rPr>
          <w:rFonts w:hint="eastAsia" w:hAnsi="宋体" w:cs="宋体"/>
          <w:sz w:val="24"/>
          <w:szCs w:val="24"/>
        </w:rPr>
        <w:t xml:space="preserve"> 投标人（盖章）：</w:t>
      </w:r>
    </w:p>
    <w:p w14:paraId="13B13483">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Ansi="宋体" w:cs="宋体"/>
          <w:sz w:val="24"/>
          <w:szCs w:val="24"/>
        </w:rPr>
      </w:pPr>
    </w:p>
    <w:p w14:paraId="71F0011D">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Ansi="宋体" w:cs="宋体"/>
          <w:sz w:val="24"/>
          <w:szCs w:val="24"/>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承诺时间：</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624C7DE0">
      <w:pPr>
        <w:keepNext w:val="0"/>
        <w:keepLines w:val="0"/>
        <w:pageBreakBefore w:val="0"/>
        <w:kinsoku/>
        <w:wordWrap/>
        <w:overflowPunct/>
        <w:topLinePunct w:val="0"/>
        <w:autoSpaceDE/>
        <w:autoSpaceDN/>
        <w:bidi w:val="0"/>
        <w:spacing w:line="360" w:lineRule="auto"/>
        <w:jc w:val="center"/>
        <w:textAlignment w:val="auto"/>
        <w:outlineLvl w:val="9"/>
        <w:rPr>
          <w:rFonts w:hAnsi="宋体" w:cs="方正小标宋简体"/>
          <w:b/>
          <w:bCs/>
          <w:sz w:val="24"/>
          <w:szCs w:val="24"/>
        </w:rPr>
      </w:pPr>
      <w:r>
        <w:rPr>
          <w:rFonts w:hint="eastAsia" w:hAnsi="宋体" w:cs="宋体"/>
          <w:b/>
          <w:bCs/>
          <w:sz w:val="21"/>
          <w:szCs w:val="21"/>
        </w:rPr>
        <w:t>注：</w:t>
      </w:r>
      <w:r>
        <w:rPr>
          <w:rFonts w:hint="eastAsia" w:hAnsi="宋体" w:cs="宋体"/>
          <w:sz w:val="21"/>
          <w:szCs w:val="21"/>
        </w:rPr>
        <w:t>此承诺书除附在投标文件中外还须上传至“信用中国（陕西榆林）”网站投标人自主上报信用承诺书附件。（承诺有效期同投标有效期，承诺起始时间为提交投标文件截止之日，须后附截图。）</w:t>
      </w:r>
      <w:r>
        <w:rPr>
          <w:rFonts w:hint="eastAsia" w:ascii="方正小标宋简体" w:hAnsi="方正小标宋简体" w:eastAsia="方正小标宋简体" w:cs="方正小标宋简体"/>
          <w:sz w:val="21"/>
          <w:szCs w:val="21"/>
        </w:rPr>
        <w:br w:type="page"/>
      </w:r>
      <w:r>
        <w:rPr>
          <w:rFonts w:hint="eastAsia" w:hAnsi="宋体" w:cs="方正小标宋简体"/>
          <w:b/>
          <w:bCs/>
          <w:sz w:val="24"/>
          <w:szCs w:val="24"/>
        </w:rPr>
        <w:t>投标信用承诺书</w:t>
      </w:r>
    </w:p>
    <w:p w14:paraId="3E86A063">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hAnsi="宋体" w:cs="宋体"/>
          <w:sz w:val="24"/>
          <w:szCs w:val="24"/>
        </w:rPr>
      </w:pPr>
    </w:p>
    <w:p w14:paraId="2B6DBAD4">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4"/>
          <w:szCs w:val="24"/>
          <w:u w:val="single"/>
        </w:rPr>
      </w:pPr>
      <w:r>
        <w:rPr>
          <w:rFonts w:hint="eastAsia" w:hAnsi="宋体" w:cs="宋体"/>
          <w:sz w:val="24"/>
          <w:szCs w:val="24"/>
        </w:rPr>
        <w:t>项目标段：</w:t>
      </w:r>
      <w:r>
        <w:rPr>
          <w:rFonts w:hAnsi="宋体" w:cs="宋体"/>
          <w:sz w:val="24"/>
          <w:szCs w:val="24"/>
          <w:u w:val="single"/>
        </w:rPr>
        <w:t xml:space="preserve">            </w:t>
      </w:r>
      <w:r>
        <w:rPr>
          <w:rFonts w:hint="eastAsia" w:hAnsi="宋体" w:cs="宋体"/>
          <w:sz w:val="24"/>
          <w:szCs w:val="24"/>
          <w:u w:val="single"/>
        </w:rPr>
        <w:t xml:space="preserve">  </w:t>
      </w:r>
      <w:r>
        <w:rPr>
          <w:rFonts w:hAnsi="宋体" w:cs="宋体"/>
          <w:sz w:val="24"/>
          <w:szCs w:val="24"/>
          <w:u w:val="single"/>
        </w:rPr>
        <w:t xml:space="preserve">                                                    </w:t>
      </w:r>
    </w:p>
    <w:p w14:paraId="0E0AC606">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4"/>
          <w:szCs w:val="24"/>
          <w:u w:val="single"/>
        </w:rPr>
      </w:pPr>
      <w:r>
        <w:rPr>
          <w:rFonts w:hint="eastAsia" w:hAnsi="宋体" w:cs="宋体"/>
          <w:sz w:val="24"/>
          <w:szCs w:val="24"/>
        </w:rPr>
        <w:t>投标人：</w:t>
      </w:r>
      <w:r>
        <w:rPr>
          <w:rFonts w:hAnsi="宋体" w:cs="宋体"/>
          <w:sz w:val="24"/>
          <w:szCs w:val="24"/>
          <w:u w:val="single"/>
        </w:rPr>
        <w:t xml:space="preserve">                                                                    </w:t>
      </w:r>
    </w:p>
    <w:p w14:paraId="4598745E">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4"/>
          <w:szCs w:val="24"/>
          <w:u w:val="single"/>
        </w:rPr>
      </w:pPr>
      <w:r>
        <w:rPr>
          <w:rFonts w:hint="eastAsia" w:hAnsi="宋体" w:cs="宋体"/>
          <w:sz w:val="24"/>
          <w:szCs w:val="24"/>
        </w:rPr>
        <w:t>统一社会信用代码：</w:t>
      </w:r>
      <w:r>
        <w:rPr>
          <w:rFonts w:hAnsi="宋体" w:cs="宋体"/>
          <w:sz w:val="24"/>
          <w:szCs w:val="24"/>
          <w:u w:val="single"/>
        </w:rPr>
        <w:t xml:space="preserve">                               </w:t>
      </w:r>
      <w:r>
        <w:rPr>
          <w:rFonts w:hint="eastAsia" w:hAnsi="宋体" w:cs="宋体"/>
          <w:sz w:val="24"/>
          <w:szCs w:val="24"/>
        </w:rPr>
        <w:t>法人代表：</w:t>
      </w:r>
      <w:r>
        <w:rPr>
          <w:rFonts w:hAnsi="宋体" w:cs="宋体"/>
          <w:sz w:val="24"/>
          <w:szCs w:val="24"/>
          <w:u w:val="single"/>
        </w:rPr>
        <w:t xml:space="preserve">                 </w:t>
      </w:r>
    </w:p>
    <w:p w14:paraId="7CC129F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在本项目标段招投标活动中，我公司（单位）自愿作出以下投标信用承诺：</w:t>
      </w:r>
    </w:p>
    <w:p w14:paraId="6903466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（一）能严格遵守法律法规、职业道德和行业规范。</w:t>
      </w:r>
    </w:p>
    <w:p w14:paraId="5FE89A0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（二）不得有以下违法违规行为：</w:t>
      </w:r>
      <w:r>
        <w:rPr>
          <w:rFonts w:hAnsi="宋体" w:cs="宋体"/>
          <w:sz w:val="24"/>
          <w:szCs w:val="24"/>
        </w:rPr>
        <w:t>1.</w:t>
      </w:r>
      <w:r>
        <w:rPr>
          <w:rFonts w:hint="eastAsia" w:hAnsi="宋体" w:cs="宋体"/>
          <w:sz w:val="24"/>
          <w:szCs w:val="24"/>
        </w:rPr>
        <w:t>围标串标；以他人名义或者其他方式弄虚作假投标；出让出租资格、资质证书供他人投标；恶意竞标、强揽工程；以暴力、威胁、利诱等手段阻止或者控制其他潜在投标人参与招投标活动。</w:t>
      </w:r>
      <w:r>
        <w:rPr>
          <w:rFonts w:hAnsi="宋体" w:cs="宋体"/>
          <w:sz w:val="24"/>
          <w:szCs w:val="24"/>
        </w:rPr>
        <w:t>2.</w:t>
      </w:r>
      <w:r>
        <w:rPr>
          <w:rFonts w:hint="eastAsia" w:hAnsi="宋体" w:cs="宋体"/>
          <w:sz w:val="24"/>
          <w:szCs w:val="24"/>
        </w:rPr>
        <w:t>向招投标监督部门、交易中心、招标人、招标代理机构、评审委员会及其成员等当事主体赠送财物。</w:t>
      </w:r>
      <w:r>
        <w:rPr>
          <w:rFonts w:hAnsi="宋体" w:cs="宋体"/>
          <w:sz w:val="24"/>
          <w:szCs w:val="24"/>
        </w:rPr>
        <w:t>3.</w:t>
      </w:r>
      <w:r>
        <w:rPr>
          <w:rFonts w:hint="eastAsia" w:hAnsi="宋体" w:cs="宋体"/>
          <w:sz w:val="24"/>
          <w:szCs w:val="24"/>
        </w:rPr>
        <w:t>投标截止后至中标人确定前，修改或者撤销投标文件。</w:t>
      </w:r>
      <w:r>
        <w:rPr>
          <w:rFonts w:hAnsi="宋体" w:cs="宋体"/>
          <w:sz w:val="24"/>
          <w:szCs w:val="24"/>
        </w:rPr>
        <w:t>4.</w:t>
      </w:r>
      <w:r>
        <w:rPr>
          <w:rFonts w:hint="eastAsia" w:hAnsi="宋体" w:cs="宋体"/>
          <w:sz w:val="24"/>
          <w:szCs w:val="24"/>
        </w:rPr>
        <w:t>在被确定为中标人后无正当理由：不按照</w:t>
      </w:r>
      <w:r>
        <w:rPr>
          <w:rFonts w:hint="eastAsia" w:hAnsi="宋体" w:cs="宋体"/>
          <w:sz w:val="24"/>
          <w:szCs w:val="24"/>
          <w:lang w:eastAsia="zh-CN"/>
        </w:rPr>
        <w:t>磋商文件</w:t>
      </w:r>
      <w:r>
        <w:rPr>
          <w:rFonts w:hint="eastAsia" w:hAnsi="宋体" w:cs="宋体"/>
          <w:sz w:val="24"/>
          <w:szCs w:val="24"/>
        </w:rPr>
        <w:t>和投标文件与招标人签订合同；在签订合同时向招标人提出附加条件、或者改变投标文件的实质性内容；放弃中标；不按照</w:t>
      </w:r>
      <w:r>
        <w:rPr>
          <w:rFonts w:hint="eastAsia" w:hAnsi="宋体" w:cs="宋体"/>
          <w:sz w:val="24"/>
          <w:szCs w:val="24"/>
          <w:lang w:eastAsia="zh-CN"/>
        </w:rPr>
        <w:t>磋商文件</w:t>
      </w:r>
      <w:r>
        <w:rPr>
          <w:rFonts w:hint="eastAsia" w:hAnsi="宋体" w:cs="宋体"/>
          <w:sz w:val="24"/>
          <w:szCs w:val="24"/>
        </w:rPr>
        <w:t>的规定提交履约保证金。</w:t>
      </w:r>
      <w:r>
        <w:rPr>
          <w:rFonts w:hAnsi="宋体" w:cs="宋体"/>
          <w:sz w:val="24"/>
          <w:szCs w:val="24"/>
        </w:rPr>
        <w:t>5.</w:t>
      </w:r>
      <w:r>
        <w:rPr>
          <w:rFonts w:hint="eastAsia" w:hAnsi="宋体" w:cs="宋体"/>
          <w:sz w:val="24"/>
          <w:szCs w:val="24"/>
        </w:rPr>
        <w:t>招投标法规定的其它违法违规行为。</w:t>
      </w:r>
    </w:p>
    <w:p w14:paraId="2DAA67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sz w:val="24"/>
          <w:szCs w:val="24"/>
        </w:rPr>
      </w:pPr>
      <w:r>
        <w:rPr>
          <w:rFonts w:hint="eastAsia" w:hAnsi="宋体" w:cs="宋体"/>
          <w:sz w:val="24"/>
          <w:szCs w:val="24"/>
        </w:rPr>
        <w:t>（三）若我公司（单位）及相关参与人员违背以上承诺事项，即被视为失信企业（法人），依据《关于对公共资源交易领域严重失信主体开展联合惩戒的备忘录》（发改法规</w:t>
      </w:r>
      <w:r>
        <w:rPr>
          <w:rFonts w:hAnsi="宋体" w:cs="宋体"/>
          <w:sz w:val="24"/>
          <w:szCs w:val="24"/>
        </w:rPr>
        <w:t>[2018]457</w:t>
      </w:r>
      <w:r>
        <w:rPr>
          <w:rFonts w:hint="eastAsia" w:hAnsi="宋体" w:cs="宋体"/>
          <w:sz w:val="24"/>
          <w:szCs w:val="24"/>
        </w:rPr>
        <w:t>号），自愿接受</w:t>
      </w:r>
      <w:r>
        <w:rPr>
          <w:rFonts w:hAnsi="宋体" w:cs="宋体"/>
          <w:sz w:val="24"/>
          <w:szCs w:val="24"/>
        </w:rPr>
        <w:t>1</w:t>
      </w:r>
      <w:r>
        <w:rPr>
          <w:rFonts w:hint="eastAsia" w:hAnsi="宋体" w:cs="宋体"/>
          <w:sz w:val="24"/>
          <w:szCs w:val="24"/>
        </w:rPr>
        <w:t>至</w:t>
      </w:r>
      <w:r>
        <w:rPr>
          <w:rFonts w:hAnsi="宋体" w:cs="宋体"/>
          <w:sz w:val="24"/>
          <w:szCs w:val="24"/>
        </w:rPr>
        <w:t>3</w:t>
      </w:r>
      <w:r>
        <w:rPr>
          <w:rFonts w:hint="eastAsia" w:hAnsi="宋体" w:cs="宋体"/>
          <w:sz w:val="24"/>
          <w:szCs w:val="24"/>
        </w:rPr>
        <w:t>年内限制参与公共资源交易活动。</w:t>
      </w:r>
    </w:p>
    <w:p w14:paraId="3510C96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Ansi="宋体" w:cs="宋体"/>
          <w:sz w:val="24"/>
          <w:szCs w:val="24"/>
        </w:rPr>
      </w:pPr>
    </w:p>
    <w:p w14:paraId="65EBFE04">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720" w:firstLineChars="300"/>
        <w:jc w:val="left"/>
        <w:textAlignment w:val="auto"/>
        <w:outlineLvl w:val="9"/>
        <w:rPr>
          <w:rFonts w:hAnsi="宋体" w:cs="宋体"/>
          <w:sz w:val="24"/>
          <w:szCs w:val="24"/>
        </w:rPr>
      </w:pPr>
      <w:r>
        <w:rPr>
          <w:rFonts w:hint="eastAsia" w:hAnsi="宋体" w:cs="宋体"/>
          <w:sz w:val="24"/>
          <w:szCs w:val="24"/>
        </w:rPr>
        <w:t>法定代表人（签章）：</w:t>
      </w:r>
      <w:r>
        <w:rPr>
          <w:rFonts w:hAnsi="宋体" w:cs="宋体"/>
          <w:sz w:val="24"/>
          <w:szCs w:val="24"/>
        </w:rPr>
        <w:t xml:space="preserve">                           </w:t>
      </w:r>
      <w:r>
        <w:rPr>
          <w:rFonts w:hint="eastAsia" w:hAnsi="宋体" w:cs="宋体"/>
          <w:sz w:val="24"/>
          <w:szCs w:val="24"/>
        </w:rPr>
        <w:t>投标人（盖章）：</w:t>
      </w:r>
    </w:p>
    <w:p w14:paraId="3D4A7407">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cs="宋体"/>
          <w:b/>
          <w:sz w:val="24"/>
          <w:szCs w:val="24"/>
        </w:rPr>
      </w:pPr>
    </w:p>
    <w:p w14:paraId="64F911A9">
      <w:pPr>
        <w:keepNext w:val="0"/>
        <w:keepLines w:val="0"/>
        <w:pageBreakBefore w:val="0"/>
        <w:kinsoku/>
        <w:wordWrap/>
        <w:overflowPunct/>
        <w:topLinePunct w:val="0"/>
        <w:autoSpaceDE/>
        <w:autoSpaceDN/>
        <w:bidi w:val="0"/>
        <w:adjustRightInd w:val="0"/>
        <w:snapToGrid w:val="0"/>
        <w:spacing w:line="360" w:lineRule="auto"/>
        <w:jc w:val="right"/>
        <w:textAlignment w:val="auto"/>
        <w:outlineLvl w:val="9"/>
        <w:rPr>
          <w:rFonts w:hAnsi="宋体" w:cs="宋体"/>
          <w:sz w:val="24"/>
          <w:szCs w:val="24"/>
        </w:rPr>
      </w:pPr>
      <w:r>
        <w:rPr>
          <w:rFonts w:hint="eastAsia" w:hAnsi="宋体" w:cs="宋体"/>
          <w:sz w:val="24"/>
          <w:szCs w:val="24"/>
        </w:rPr>
        <w:t>承诺时间：</w:t>
      </w:r>
      <w:r>
        <w:rPr>
          <w:rFonts w:hAnsi="宋体" w:cs="宋体"/>
          <w:sz w:val="24"/>
          <w:szCs w:val="24"/>
          <w:u w:val="single"/>
        </w:rPr>
        <w:t xml:space="preserve">       </w:t>
      </w:r>
      <w:r>
        <w:rPr>
          <w:rFonts w:hint="eastAsia" w:hAnsi="宋体" w:cs="宋体"/>
          <w:sz w:val="24"/>
          <w:szCs w:val="24"/>
        </w:rPr>
        <w:t>年</w:t>
      </w:r>
      <w:r>
        <w:rPr>
          <w:rFonts w:hAnsi="宋体" w:cs="宋体"/>
          <w:sz w:val="24"/>
          <w:szCs w:val="24"/>
          <w:u w:val="single"/>
        </w:rPr>
        <w:t xml:space="preserve">     </w:t>
      </w:r>
      <w:r>
        <w:rPr>
          <w:rFonts w:hint="eastAsia" w:hAnsi="宋体" w:cs="宋体"/>
          <w:sz w:val="24"/>
          <w:szCs w:val="24"/>
        </w:rPr>
        <w:t>月</w:t>
      </w:r>
      <w:r>
        <w:rPr>
          <w:rFonts w:hAnsi="宋体" w:cs="宋体"/>
          <w:sz w:val="24"/>
          <w:szCs w:val="24"/>
          <w:u w:val="single"/>
        </w:rPr>
        <w:t xml:space="preserve">     </w:t>
      </w:r>
      <w:r>
        <w:rPr>
          <w:rFonts w:hint="eastAsia" w:hAnsi="宋体" w:cs="宋体"/>
          <w:sz w:val="24"/>
          <w:szCs w:val="24"/>
        </w:rPr>
        <w:t>日</w:t>
      </w:r>
    </w:p>
    <w:p w14:paraId="00F87F39">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Ansi="宋体" w:cs="宋体"/>
          <w:b/>
          <w:sz w:val="24"/>
          <w:szCs w:val="24"/>
        </w:rPr>
      </w:pPr>
    </w:p>
    <w:p w14:paraId="1EA9A357">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b/>
          <w:sz w:val="24"/>
          <w:szCs w:val="24"/>
        </w:rPr>
      </w:pPr>
    </w:p>
    <w:p w14:paraId="5F111261">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b/>
          <w:sz w:val="24"/>
          <w:szCs w:val="24"/>
        </w:rPr>
      </w:pPr>
    </w:p>
    <w:p w14:paraId="3CB480EA">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b/>
          <w:sz w:val="24"/>
          <w:szCs w:val="24"/>
        </w:rPr>
      </w:pPr>
    </w:p>
    <w:p w14:paraId="055D66E9">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1"/>
          <w:szCs w:val="21"/>
        </w:rPr>
      </w:pPr>
      <w:r>
        <w:rPr>
          <w:rFonts w:hint="eastAsia" w:hAnsi="宋体" w:cs="宋体"/>
          <w:b/>
          <w:sz w:val="21"/>
          <w:szCs w:val="21"/>
        </w:rPr>
        <w:t>说明：本承诺书效力和作用等同投标保证金，其有效期与投标有效期一致。</w:t>
      </w:r>
      <w:r>
        <w:rPr>
          <w:rFonts w:hAnsi="宋体" w:cs="宋体"/>
          <w:sz w:val="21"/>
          <w:szCs w:val="21"/>
        </w:rPr>
        <w:t xml:space="preserve"> </w:t>
      </w:r>
    </w:p>
    <w:p w14:paraId="49FE400E">
      <w:pPr>
        <w:keepNext w:val="0"/>
        <w:keepLines w:val="0"/>
        <w:pageBreakBefore w:val="0"/>
        <w:widowControl/>
        <w:kinsoku/>
        <w:wordWrap/>
        <w:overflowPunct/>
        <w:topLinePunct w:val="0"/>
        <w:autoSpaceDE/>
        <w:autoSpaceDN/>
        <w:bidi w:val="0"/>
        <w:spacing w:line="360" w:lineRule="auto"/>
        <w:jc w:val="left"/>
        <w:textAlignment w:val="auto"/>
        <w:outlineLvl w:val="9"/>
        <w:rPr>
          <w:rFonts w:hAnsi="宋体" w:cs="宋体"/>
          <w:sz w:val="21"/>
          <w:szCs w:val="21"/>
        </w:rPr>
      </w:pPr>
    </w:p>
    <w:p w14:paraId="47D3A49D">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hAnsi="宋体" w:cs="宋体"/>
          <w:sz w:val="21"/>
          <w:szCs w:val="21"/>
        </w:rPr>
        <w:sectPr>
          <w:pgSz w:w="11906" w:h="16838"/>
          <w:pgMar w:top="1440" w:right="1287" w:bottom="1440" w:left="1440" w:header="850" w:footer="992" w:gutter="0"/>
          <w:pgNumType w:fmt="decimal"/>
          <w:cols w:space="720" w:num="1"/>
          <w:titlePg/>
          <w:docGrid w:linePitch="360" w:charSpace="0"/>
        </w:sectPr>
      </w:pPr>
      <w:r>
        <w:rPr>
          <w:rFonts w:hint="eastAsia" w:hAnsi="宋体" w:cs="宋体"/>
          <w:b/>
          <w:bCs/>
          <w:sz w:val="21"/>
          <w:szCs w:val="21"/>
        </w:rPr>
        <w:t>注：</w:t>
      </w:r>
      <w:r>
        <w:rPr>
          <w:rFonts w:hint="eastAsia" w:hAnsi="宋体" w:cs="宋体"/>
          <w:sz w:val="21"/>
          <w:szCs w:val="21"/>
        </w:rPr>
        <w:t>此承诺书除附在投标文件中外还须上传至“信用中国（陕西榆林）”网站投标人自主上报信用承诺书附件。（须后附截图）</w:t>
      </w:r>
    </w:p>
    <w:p w14:paraId="47297AC1">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投标人委托代理人员信用承诺书</w:t>
      </w:r>
    </w:p>
    <w:p w14:paraId="47DF717B">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p>
    <w:p w14:paraId="296F3FEE">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项目招投标活动中，我个人郑重作出以下信用承诺：</w:t>
      </w:r>
    </w:p>
    <w:p w14:paraId="619DE624">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（一）能严格遵守法律法规、职业道德和行业规范，具有独立承担民事责任的能力；无法律法规规定禁止开展从业活动情形。我所递交的文件资料合法、真实、准确、完整、有效，无弄虚作假等情形。</w:t>
      </w:r>
    </w:p>
    <w:p w14:paraId="7A69EE85">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sz w:val="24"/>
          <w:szCs w:val="24"/>
          <w:lang w:eastAsia="zh-CN"/>
        </w:rPr>
        <w:t>磋商文件</w:t>
      </w:r>
      <w:r>
        <w:rPr>
          <w:rFonts w:hint="eastAsia" w:ascii="宋体" w:hAnsi="宋体" w:eastAsia="宋体" w:cs="宋体"/>
          <w:sz w:val="24"/>
          <w:szCs w:val="24"/>
        </w:rPr>
        <w:t>和投标文件与招标人签订合同；在签订合同时向招标人提出附加条件、或者改变投标文件的实质性内容；放弃中标；不按照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的规定提交履约保证金。5.招投标法规定的其它违法违规行为。</w:t>
      </w:r>
    </w:p>
    <w:p w14:paraId="06C2B48B">
      <w:pPr>
        <w:keepNext w:val="0"/>
        <w:keepLines w:val="0"/>
        <w:pageBreakBefore w:val="0"/>
        <w:kinsoku/>
        <w:wordWrap/>
        <w:overflowPunct/>
        <w:topLinePunct w:val="0"/>
        <w:autoSpaceDE/>
        <w:autoSpaceDN/>
        <w:bidi w:val="0"/>
        <w:snapToGrid/>
        <w:spacing w:line="360" w:lineRule="auto"/>
        <w:ind w:firstLine="480" w:firstLineChars="200"/>
        <w:outlineLvl w:val="9"/>
        <w:rPr>
          <w:rFonts w:hint="eastAsia" w:ascii="宋体" w:hAnsi="宋体" w:eastAsia="宋体" w:cs="宋体"/>
          <w:sz w:val="24"/>
          <w:szCs w:val="24"/>
        </w:rPr>
      </w:pPr>
      <w:bookmarkStart w:id="170" w:name="_Toc14892"/>
      <w:r>
        <w:rPr>
          <w:rFonts w:hint="eastAsia" w:ascii="宋体" w:hAnsi="宋体" w:eastAsia="宋体" w:cs="宋体"/>
          <w:sz w:val="24"/>
          <w:szCs w:val="24"/>
        </w:rPr>
        <w:t>（三）自愿接受招投标监督部门和有关行政监督部门的依法检查。</w:t>
      </w:r>
      <w:bookmarkEnd w:id="170"/>
    </w:p>
    <w:p w14:paraId="078D817D">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（四）同意将此信用承诺纳入陕西省公共信用信息平台和榆林市公共信用信息共享平台，并接受社会监督。</w:t>
      </w:r>
    </w:p>
    <w:p w14:paraId="542D3ED9">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6893FBFE">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p>
    <w:p w14:paraId="7DF53C90">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u w:val="single"/>
        </w:rPr>
      </w:pPr>
      <w:r>
        <w:rPr>
          <w:rFonts w:hint="eastAsia" w:ascii="宋体" w:hAnsi="宋体" w:eastAsia="宋体" w:cs="宋体"/>
          <w:sz w:val="24"/>
          <w:szCs w:val="24"/>
        </w:rPr>
        <w:t>承诺有效期限：</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36C840F">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14:paraId="32D247D3">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u w:val="single"/>
        </w:rPr>
      </w:pPr>
      <w:r>
        <w:rPr>
          <w:rFonts w:hint="eastAsia" w:ascii="宋体" w:hAnsi="宋体" w:eastAsia="宋体" w:cs="宋体"/>
          <w:sz w:val="24"/>
          <w:szCs w:val="24"/>
        </w:rPr>
        <w:t>承诺人（签字）：</w:t>
      </w:r>
      <w:r>
        <w:rPr>
          <w:rFonts w:hint="eastAsia" w:ascii="宋体" w:hAnsi="宋体" w:eastAsia="宋体" w:cs="宋体"/>
          <w:sz w:val="24"/>
          <w:szCs w:val="24"/>
          <w:u w:val="single"/>
        </w:rPr>
        <w:t xml:space="preserve">                 </w:t>
      </w:r>
    </w:p>
    <w:p w14:paraId="435C0B6A">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r>
        <w:rPr>
          <w:rFonts w:hint="eastAsia" w:ascii="宋体" w:hAnsi="宋体" w:eastAsia="宋体" w:cs="宋体"/>
          <w:sz w:val="24"/>
          <w:szCs w:val="24"/>
        </w:rPr>
        <w:t>承诺时间：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DD7BB5E">
      <w:pPr>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b/>
          <w:bCs/>
          <w:sz w:val="24"/>
          <w:szCs w:val="24"/>
        </w:rPr>
      </w:pPr>
    </w:p>
    <w:p w14:paraId="457BA9AE">
      <w:pPr>
        <w:pStyle w:val="8"/>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sz w:val="21"/>
          <w:szCs w:val="21"/>
        </w:rPr>
      </w:pPr>
      <w:r>
        <w:rPr>
          <w:rFonts w:hint="eastAsia" w:ascii="宋体" w:hAnsi="宋体" w:eastAsia="宋体" w:cs="宋体"/>
          <w:b/>
          <w:bCs/>
          <w:sz w:val="21"/>
          <w:szCs w:val="21"/>
        </w:rPr>
        <w:t>注：</w:t>
      </w:r>
      <w:r>
        <w:rPr>
          <w:rFonts w:hint="eastAsia" w:ascii="宋体" w:hAnsi="宋体" w:eastAsia="宋体" w:cs="宋体"/>
          <w:sz w:val="21"/>
          <w:szCs w:val="21"/>
        </w:rPr>
        <w:t>法定代表人直接参与投标的无须上报和提供此附件；如由委托代理人参与投标的，此承诺书除附在投标文件中外还须上传至“信用中国（陕西榆林）”网站授权委托人自主上报信用承诺书附件。（承诺有效期同投标有效期，承诺起始时间为提交投标文件截止之日，须后附截图。）</w:t>
      </w:r>
    </w:p>
    <w:p w14:paraId="63BD72DC">
      <w:pPr>
        <w:pStyle w:val="8"/>
        <w:keepNext w:val="0"/>
        <w:keepLines w:val="0"/>
        <w:pageBreakBefore w:val="0"/>
        <w:kinsoku/>
        <w:wordWrap/>
        <w:overflowPunct/>
        <w:topLinePunct w:val="0"/>
        <w:autoSpaceDE/>
        <w:autoSpaceDN/>
        <w:bidi w:val="0"/>
        <w:snapToGrid/>
        <w:spacing w:line="360" w:lineRule="auto"/>
        <w:ind w:firstLine="3213" w:firstLineChars="1000"/>
        <w:outlineLvl w:val="9"/>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en-US" w:eastAsia="zh-CN"/>
        </w:rPr>
        <w:t>六、</w:t>
      </w:r>
      <w:r>
        <w:rPr>
          <w:rFonts w:hint="eastAsia" w:asciiTheme="minorEastAsia" w:hAnsiTheme="minorEastAsia" w:eastAsiaTheme="minorEastAsia" w:cstheme="minorEastAsia"/>
          <w:b/>
          <w:bCs/>
          <w:color w:val="auto"/>
          <w:sz w:val="32"/>
          <w:szCs w:val="32"/>
          <w:lang w:eastAsia="zh-CN"/>
        </w:rPr>
        <w:t>实施</w:t>
      </w:r>
      <w:r>
        <w:rPr>
          <w:rFonts w:hint="eastAsia" w:asciiTheme="minorEastAsia" w:hAnsiTheme="minorEastAsia" w:eastAsiaTheme="minorEastAsia" w:cstheme="minorEastAsia"/>
          <w:b/>
          <w:bCs/>
          <w:color w:val="auto"/>
          <w:sz w:val="32"/>
          <w:szCs w:val="32"/>
        </w:rPr>
        <w:t>方案</w:t>
      </w:r>
    </w:p>
    <w:p w14:paraId="7611CDC5">
      <w:pPr>
        <w:pageBreakBefore w:val="0"/>
        <w:tabs>
          <w:tab w:val="left" w:pos="720"/>
          <w:tab w:val="left" w:pos="8364"/>
        </w:tabs>
        <w:kinsoku/>
        <w:bidi w:val="0"/>
        <w:adjustRightInd w:val="0"/>
        <w:snapToGrid w:val="0"/>
        <w:spacing w:line="360" w:lineRule="auto"/>
        <w:ind w:firstLine="4320" w:firstLineChars="1800"/>
        <w:outlineLvl w:val="9"/>
        <w:rPr>
          <w:rFonts w:hint="eastAsia" w:asciiTheme="minorEastAsia" w:hAnsiTheme="minorEastAsia" w:eastAsiaTheme="minorEastAsia" w:cstheme="minorEastAsia"/>
          <w:color w:val="auto"/>
          <w:sz w:val="24"/>
          <w:lang w:eastAsia="zh-CN"/>
        </w:rPr>
      </w:pPr>
    </w:p>
    <w:p w14:paraId="0022B4C2">
      <w:pPr>
        <w:pStyle w:val="36"/>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lang w:eastAsia="zh-CN"/>
        </w:rPr>
        <w:t>（格式自拟）</w:t>
      </w:r>
    </w:p>
    <w:p w14:paraId="0882967B">
      <w:pPr>
        <w:pStyle w:val="36"/>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9"/>
        <w:rPr>
          <w:rFonts w:hint="eastAsia" w:asciiTheme="minorEastAsia" w:hAnsiTheme="minorEastAsia" w:eastAsiaTheme="minorEastAsia" w:cstheme="minorEastAsia"/>
          <w:color w:val="auto"/>
          <w:sz w:val="24"/>
          <w:szCs w:val="24"/>
          <w:lang w:val="en-US" w:eastAsia="zh-CN"/>
        </w:rPr>
      </w:pPr>
    </w:p>
    <w:p w14:paraId="243687A7">
      <w:pPr>
        <w:keepNext w:val="0"/>
        <w:keepLines w:val="0"/>
        <w:pageBreakBefore w:val="0"/>
        <w:widowControl w:val="0"/>
        <w:tabs>
          <w:tab w:val="left" w:pos="720"/>
          <w:tab w:val="left" w:pos="8364"/>
        </w:tabs>
        <w:kinsoku/>
        <w:wordWrap/>
        <w:overflowPunct/>
        <w:topLinePunct w:val="0"/>
        <w:autoSpaceDE/>
        <w:autoSpaceDN/>
        <w:bidi w:val="0"/>
        <w:adjustRightInd w:val="0"/>
        <w:snapToGrid w:val="0"/>
        <w:spacing w:line="360" w:lineRule="auto"/>
        <w:ind w:firstLine="5880" w:firstLineChars="2100"/>
        <w:textAlignment w:val="auto"/>
        <w:outlineLvl w:val="9"/>
        <w:rPr>
          <w:rFonts w:hint="eastAsia" w:asciiTheme="minorEastAsia" w:hAnsiTheme="minorEastAsia" w:eastAsiaTheme="minorEastAsia" w:cstheme="minorEastAsia"/>
          <w:color w:val="auto"/>
          <w:sz w:val="28"/>
          <w:szCs w:val="28"/>
        </w:rPr>
      </w:pPr>
    </w:p>
    <w:p w14:paraId="56C278B8">
      <w:pPr>
        <w:pageBreakBefore w:val="0"/>
        <w:kinsoku/>
        <w:bidi w:val="0"/>
        <w:spacing w:line="360" w:lineRule="auto"/>
        <w:outlineLvl w:val="9"/>
        <w:rPr>
          <w:rFonts w:hint="eastAsia" w:asciiTheme="minorEastAsia" w:hAnsiTheme="minorEastAsia" w:eastAsiaTheme="minorEastAsia" w:cstheme="minorEastAsia"/>
          <w:color w:val="auto"/>
          <w:sz w:val="24"/>
        </w:rPr>
      </w:pPr>
    </w:p>
    <w:p w14:paraId="511EB6A5">
      <w:pPr>
        <w:pageBreakBefore w:val="0"/>
        <w:kinsoku/>
        <w:bidi w:val="0"/>
        <w:spacing w:line="360" w:lineRule="auto"/>
        <w:ind w:firstLine="2409" w:firstLineChars="1000"/>
        <w:outlineLvl w:val="9"/>
        <w:rPr>
          <w:rFonts w:hint="eastAsia" w:asciiTheme="minorEastAsia" w:hAnsiTheme="minorEastAsia" w:eastAsiaTheme="minorEastAsia" w:cstheme="minorEastAsia"/>
          <w:b/>
          <w:color w:val="auto"/>
          <w:sz w:val="24"/>
        </w:rPr>
      </w:pPr>
    </w:p>
    <w:p w14:paraId="58050F16">
      <w:pPr>
        <w:pageBreakBefore w:val="0"/>
        <w:kinsoku/>
        <w:bidi w:val="0"/>
        <w:spacing w:line="360" w:lineRule="auto"/>
        <w:ind w:firstLine="2409" w:firstLineChars="1000"/>
        <w:outlineLvl w:val="9"/>
        <w:rPr>
          <w:rFonts w:hint="eastAsia" w:asciiTheme="minorEastAsia" w:hAnsiTheme="minorEastAsia" w:eastAsiaTheme="minorEastAsia" w:cstheme="minorEastAsia"/>
          <w:b/>
          <w:color w:val="auto"/>
          <w:sz w:val="24"/>
        </w:rPr>
      </w:pPr>
    </w:p>
    <w:p w14:paraId="6B4E87FA">
      <w:pPr>
        <w:pageBreakBefore w:val="0"/>
        <w:kinsoku/>
        <w:bidi w:val="0"/>
        <w:spacing w:line="360" w:lineRule="auto"/>
        <w:outlineLvl w:val="9"/>
        <w:rPr>
          <w:rFonts w:hint="eastAsia" w:asciiTheme="minorEastAsia" w:hAnsiTheme="minorEastAsia" w:eastAsiaTheme="minorEastAsia" w:cstheme="minorEastAsia"/>
          <w:b/>
          <w:color w:val="auto"/>
          <w:sz w:val="24"/>
        </w:rPr>
      </w:pPr>
    </w:p>
    <w:p w14:paraId="36855072">
      <w:pPr>
        <w:pStyle w:val="36"/>
        <w:pageBreakBefore w:val="0"/>
        <w:kinsoku/>
        <w:bidi w:val="0"/>
        <w:spacing w:line="360" w:lineRule="auto"/>
        <w:outlineLvl w:val="9"/>
        <w:rPr>
          <w:rFonts w:hint="eastAsia" w:asciiTheme="minorEastAsia" w:hAnsiTheme="minorEastAsia" w:eastAsiaTheme="minorEastAsia" w:cstheme="minorEastAsia"/>
          <w:color w:val="auto"/>
        </w:rPr>
      </w:pPr>
    </w:p>
    <w:p w14:paraId="6B1EE349">
      <w:pPr>
        <w:pStyle w:val="36"/>
        <w:pageBreakBefore w:val="0"/>
        <w:kinsoku/>
        <w:bidi w:val="0"/>
        <w:spacing w:line="360" w:lineRule="auto"/>
        <w:outlineLvl w:val="9"/>
        <w:rPr>
          <w:rFonts w:hint="eastAsia" w:asciiTheme="minorEastAsia" w:hAnsiTheme="minorEastAsia" w:eastAsiaTheme="minorEastAsia" w:cstheme="minorEastAsia"/>
          <w:color w:val="auto"/>
        </w:rPr>
      </w:pPr>
    </w:p>
    <w:p w14:paraId="3DB4064A">
      <w:pPr>
        <w:pStyle w:val="36"/>
        <w:pageBreakBefore w:val="0"/>
        <w:kinsoku/>
        <w:bidi w:val="0"/>
        <w:spacing w:line="360" w:lineRule="auto"/>
        <w:outlineLvl w:val="9"/>
        <w:rPr>
          <w:rFonts w:hint="eastAsia" w:asciiTheme="minorEastAsia" w:hAnsiTheme="minorEastAsia" w:eastAsiaTheme="minorEastAsia" w:cstheme="minorEastAsia"/>
          <w:color w:val="auto"/>
        </w:rPr>
      </w:pPr>
    </w:p>
    <w:p w14:paraId="19081488">
      <w:pPr>
        <w:pStyle w:val="36"/>
        <w:pageBreakBefore w:val="0"/>
        <w:kinsoku/>
        <w:bidi w:val="0"/>
        <w:spacing w:line="360" w:lineRule="auto"/>
        <w:outlineLvl w:val="9"/>
        <w:rPr>
          <w:rFonts w:hint="eastAsia" w:asciiTheme="minorEastAsia" w:hAnsiTheme="minorEastAsia" w:eastAsiaTheme="minorEastAsia" w:cstheme="minorEastAsia"/>
          <w:color w:val="auto"/>
        </w:rPr>
      </w:pPr>
    </w:p>
    <w:p w14:paraId="750D1B84">
      <w:pPr>
        <w:keepNext/>
        <w:pageBreakBefore w:val="0"/>
        <w:kinsoku/>
        <w:bidi w:val="0"/>
        <w:spacing w:line="360" w:lineRule="auto"/>
        <w:outlineLvl w:val="9"/>
        <w:rPr>
          <w:rFonts w:hint="eastAsia" w:asciiTheme="minorEastAsia" w:hAnsiTheme="minorEastAsia" w:eastAsiaTheme="minorEastAsia" w:cstheme="minorEastAsia"/>
          <w:b/>
          <w:bCs/>
          <w:color w:val="auto"/>
          <w:sz w:val="32"/>
          <w:szCs w:val="32"/>
        </w:rPr>
      </w:pPr>
    </w:p>
    <w:p w14:paraId="7376241D">
      <w:pPr>
        <w:pStyle w:val="8"/>
        <w:pageBreakBefore w:val="0"/>
        <w:kinsoku/>
        <w:bidi w:val="0"/>
        <w:spacing w:line="360" w:lineRule="auto"/>
        <w:outlineLvl w:val="9"/>
        <w:rPr>
          <w:rFonts w:hint="eastAsia" w:asciiTheme="minorEastAsia" w:hAnsiTheme="minorEastAsia" w:eastAsiaTheme="minorEastAsia" w:cstheme="minorEastAsia"/>
          <w:b/>
          <w:bCs/>
          <w:color w:val="auto"/>
          <w:sz w:val="32"/>
          <w:szCs w:val="32"/>
        </w:rPr>
      </w:pPr>
    </w:p>
    <w:p w14:paraId="30C438E8">
      <w:pPr>
        <w:pageBreakBefore w:val="0"/>
        <w:widowControl/>
        <w:kinsoku/>
        <w:bidi w:val="0"/>
        <w:spacing w:line="360" w:lineRule="auto"/>
        <w:jc w:val="center"/>
        <w:outlineLvl w:val="9"/>
        <w:rPr>
          <w:rFonts w:hint="eastAsia" w:asciiTheme="minorEastAsia" w:hAnsiTheme="minorEastAsia" w:eastAsiaTheme="minorEastAsia" w:cstheme="minorEastAsia"/>
          <w:color w:val="auto"/>
          <w:sz w:val="24"/>
        </w:rPr>
      </w:pPr>
    </w:p>
    <w:p w14:paraId="1132B447">
      <w:pPr>
        <w:pageBreakBefore w:val="0"/>
        <w:widowControl/>
        <w:kinsoku/>
        <w:bidi w:val="0"/>
        <w:spacing w:line="360" w:lineRule="auto"/>
        <w:ind w:firstLine="964" w:firstLineChars="300"/>
        <w:outlineLvl w:val="9"/>
        <w:rPr>
          <w:rFonts w:hint="eastAsia" w:asciiTheme="minorEastAsia" w:hAnsiTheme="minorEastAsia" w:eastAsiaTheme="minorEastAsia" w:cstheme="minorEastAsia"/>
          <w:b/>
          <w:bCs/>
          <w:color w:val="auto"/>
          <w:sz w:val="32"/>
          <w:szCs w:val="32"/>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bCs/>
          <w:color w:val="auto"/>
          <w:sz w:val="32"/>
          <w:szCs w:val="32"/>
          <w:lang w:val="en-US" w:eastAsia="zh-CN"/>
        </w:rPr>
        <w:t xml:space="preserve">           </w:t>
      </w:r>
    </w:p>
    <w:p w14:paraId="48E244D7">
      <w:pPr>
        <w:pageBreakBefore w:val="0"/>
        <w:numPr>
          <w:ilvl w:val="1"/>
          <w:numId w:val="0"/>
        </w:numPr>
        <w:kinsoku/>
        <w:bidi w:val="0"/>
        <w:spacing w:line="360" w:lineRule="auto"/>
        <w:ind w:left="575" w:leftChars="0"/>
        <w:jc w:val="center"/>
        <w:outlineLvl w:val="9"/>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bCs/>
          <w:color w:val="auto"/>
          <w:sz w:val="32"/>
          <w:szCs w:val="32"/>
          <w:lang w:val="en-US" w:eastAsia="zh-CN"/>
        </w:rPr>
        <w:t>七、</w:t>
      </w:r>
      <w:r>
        <w:rPr>
          <w:rFonts w:hint="eastAsia" w:asciiTheme="minorEastAsia" w:hAnsiTheme="minorEastAsia" w:eastAsiaTheme="minorEastAsia" w:cstheme="minorEastAsia"/>
          <w:b/>
          <w:bCs/>
          <w:color w:val="auto"/>
          <w:sz w:val="32"/>
          <w:szCs w:val="32"/>
        </w:rPr>
        <w:t>投标人拒绝政府采购领域商业贿赂承诺书</w:t>
      </w:r>
      <w:r>
        <w:rPr>
          <w:rFonts w:hint="eastAsia" w:asciiTheme="minorEastAsia" w:hAnsiTheme="minorEastAsia" w:eastAsiaTheme="minorEastAsia" w:cstheme="minorEastAsia"/>
          <w:b/>
          <w:bCs/>
          <w:color w:val="auto"/>
          <w:kern w:val="0"/>
          <w:sz w:val="24"/>
        </w:rPr>
        <w:br w:type="textWrapping"/>
      </w:r>
      <w:r>
        <w:rPr>
          <w:rFonts w:hint="eastAsia" w:asciiTheme="minorEastAsia" w:hAnsiTheme="minorEastAsia" w:eastAsiaTheme="minorEastAsia" w:cstheme="minorEastAsia"/>
          <w:b/>
          <w:color w:val="auto"/>
          <w:sz w:val="32"/>
          <w:szCs w:val="32"/>
        </w:rPr>
        <w:t>承诺书（一）</w:t>
      </w:r>
    </w:p>
    <w:p w14:paraId="73136F1F">
      <w:pPr>
        <w:pageBreakBefore w:val="0"/>
        <w:widowControl/>
        <w:kinsoku/>
        <w:bidi w:val="0"/>
        <w:spacing w:line="360" w:lineRule="auto"/>
        <w:ind w:firstLine="480" w:firstLineChars="200"/>
        <w:jc w:val="left"/>
        <w:outlineLvl w:val="9"/>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为响应党中央、国务院关于治理政府采购领域商业贿赂行为的号召，我单位在此庄严承诺：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1、在参与政府采购活动中遵纪守法、诚信经营、公平竞标。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2、不向政府采购人、采购代理机构和政府采购评审专家进行任何形式的商业贿赂以谋取交易机会。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3、不向政府采购代理机构和采购人提供虚假资质文件或采用虚假应标方式参与政府采购市场竞争并谋取中标、成交。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4、不采取“围标、陪标”等商业欺诈手段获得政府采购定单。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5、不采取不正当手段低毁、排挤其他供应商。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6、不在提供商品和服务时“偷梁换柱、以次充好”损害采购人的合法权益。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7、不与采购人、采购代理机构政府采购评审专家或其它供应商恶意串通，进行质疑和投诉，维护政府采购市场秩序。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8、尊重和接受政府采购监督管理部门的监督和政府采购代理机构招标采购要求，承担因违约行为给采购人造成的损失。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9、不发生其他有悖于政府采购公开、公平、公正和诚信原则的行为。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w:t>
      </w:r>
    </w:p>
    <w:p w14:paraId="307D397B">
      <w:pPr>
        <w:pageBreakBefore w:val="0"/>
        <w:widowControl/>
        <w:kinsoku/>
        <w:bidi w:val="0"/>
        <w:spacing w:line="360" w:lineRule="auto"/>
        <w:ind w:firstLine="720" w:firstLineChars="300"/>
        <w:jc w:val="left"/>
        <w:outlineLvl w:val="9"/>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承诺单位：</w:t>
      </w:r>
      <w:r>
        <w:rPr>
          <w:rFonts w:hint="eastAsia" w:asciiTheme="minorEastAsia" w:hAnsiTheme="minorEastAsia" w:eastAsiaTheme="minorEastAsia" w:cstheme="minorEastAsia"/>
          <w:color w:val="auto"/>
          <w:kern w:val="0"/>
          <w:sz w:val="24"/>
          <w:u w:val="single"/>
        </w:rPr>
        <w:t>　　                        　</w:t>
      </w:r>
      <w:r>
        <w:rPr>
          <w:rFonts w:hint="eastAsia" w:asciiTheme="minorEastAsia" w:hAnsiTheme="minorEastAsia" w:eastAsiaTheme="minorEastAsia" w:cstheme="minorEastAsia"/>
          <w:color w:val="auto"/>
          <w:kern w:val="0"/>
          <w:sz w:val="24"/>
        </w:rPr>
        <w:t>（盖章）</w:t>
      </w:r>
    </w:p>
    <w:p w14:paraId="71C9109E">
      <w:pPr>
        <w:pageBreakBefore w:val="0"/>
        <w:widowControl/>
        <w:kinsoku/>
        <w:bidi w:val="0"/>
        <w:spacing w:line="360" w:lineRule="auto"/>
        <w:ind w:firstLine="720" w:firstLineChars="300"/>
        <w:jc w:val="left"/>
        <w:outlineLvl w:val="9"/>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全权代表：</w:t>
      </w:r>
      <w:r>
        <w:rPr>
          <w:rFonts w:hint="eastAsia" w:asciiTheme="minorEastAsia" w:hAnsiTheme="minorEastAsia" w:eastAsiaTheme="minorEastAsia" w:cstheme="minorEastAsia"/>
          <w:color w:val="auto"/>
          <w:kern w:val="0"/>
          <w:sz w:val="24"/>
          <w:u w:val="single"/>
        </w:rPr>
        <w:t>　　　　　     　　　       　</w:t>
      </w:r>
      <w:r>
        <w:rPr>
          <w:rFonts w:hint="eastAsia" w:asciiTheme="minorEastAsia" w:hAnsiTheme="minorEastAsia" w:eastAsiaTheme="minorEastAsia" w:cstheme="minorEastAsia"/>
          <w:color w:val="auto"/>
          <w:kern w:val="0"/>
          <w:sz w:val="24"/>
        </w:rPr>
        <w:t>（签字）</w:t>
      </w:r>
    </w:p>
    <w:p w14:paraId="30179B20">
      <w:pPr>
        <w:pageBreakBefore w:val="0"/>
        <w:widowControl/>
        <w:kinsoku/>
        <w:bidi w:val="0"/>
        <w:spacing w:line="360" w:lineRule="auto"/>
        <w:ind w:firstLine="720" w:firstLineChars="300"/>
        <w:jc w:val="left"/>
        <w:outlineLvl w:val="9"/>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地　　址：</w:t>
      </w:r>
      <w:r>
        <w:rPr>
          <w:rFonts w:hint="eastAsia" w:asciiTheme="minorEastAsia" w:hAnsiTheme="minorEastAsia" w:eastAsiaTheme="minorEastAsia" w:cstheme="minorEastAsia"/>
          <w:color w:val="auto"/>
          <w:kern w:val="0"/>
          <w:sz w:val="24"/>
          <w:u w:val="single"/>
        </w:rPr>
        <w:t xml:space="preserve">                              </w:t>
      </w:r>
    </w:p>
    <w:p w14:paraId="6046C8BE">
      <w:pPr>
        <w:pageBreakBefore w:val="0"/>
        <w:widowControl/>
        <w:kinsoku/>
        <w:bidi w:val="0"/>
        <w:spacing w:line="360" w:lineRule="auto"/>
        <w:ind w:firstLine="720" w:firstLineChars="300"/>
        <w:jc w:val="left"/>
        <w:outlineLvl w:val="9"/>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邮    编：</w:t>
      </w:r>
      <w:r>
        <w:rPr>
          <w:rFonts w:hint="eastAsia" w:asciiTheme="minorEastAsia" w:hAnsiTheme="minorEastAsia" w:eastAsiaTheme="minorEastAsia" w:cstheme="minorEastAsia"/>
          <w:color w:val="auto"/>
          <w:kern w:val="0"/>
          <w:sz w:val="24"/>
          <w:u w:val="single"/>
        </w:rPr>
        <w:t xml:space="preserve">　　                     　　 </w:t>
      </w:r>
    </w:p>
    <w:p w14:paraId="718E4C72">
      <w:pPr>
        <w:pageBreakBefore w:val="0"/>
        <w:widowControl/>
        <w:kinsoku/>
        <w:bidi w:val="0"/>
        <w:spacing w:line="360" w:lineRule="auto"/>
        <w:ind w:firstLine="720" w:firstLineChars="300"/>
        <w:jc w:val="left"/>
        <w:outlineLvl w:val="9"/>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电　　话：</w:t>
      </w:r>
      <w:r>
        <w:rPr>
          <w:rFonts w:hint="eastAsia" w:asciiTheme="minorEastAsia" w:hAnsiTheme="minorEastAsia" w:eastAsiaTheme="minorEastAsia" w:cstheme="minorEastAsia"/>
          <w:color w:val="auto"/>
          <w:kern w:val="0"/>
          <w:sz w:val="24"/>
          <w:u w:val="single"/>
        </w:rPr>
        <w:t>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w:t>
      </w:r>
    </w:p>
    <w:p w14:paraId="7E3CC41F">
      <w:pPr>
        <w:pageBreakBefore w:val="0"/>
        <w:widowControl/>
        <w:kinsoku/>
        <w:bidi w:val="0"/>
        <w:spacing w:line="360" w:lineRule="auto"/>
        <w:ind w:firstLine="720" w:firstLineChars="300"/>
        <w:jc w:val="right"/>
        <w:outlineLvl w:val="9"/>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4"/>
        </w:rPr>
        <w:t xml:space="preserve">  年　　月　　日   </w:t>
      </w:r>
      <w:r>
        <w:rPr>
          <w:rFonts w:hint="eastAsia" w:asciiTheme="minorEastAsia" w:hAnsiTheme="minorEastAsia" w:eastAsiaTheme="minorEastAsia" w:cstheme="minorEastAsia"/>
          <w:color w:val="auto"/>
          <w:kern w:val="0"/>
          <w:sz w:val="28"/>
          <w:szCs w:val="28"/>
        </w:rPr>
        <w:t xml:space="preserve">     </w:t>
      </w:r>
    </w:p>
    <w:p w14:paraId="0752A542">
      <w:pPr>
        <w:pageBreakBefore w:val="0"/>
        <w:widowControl/>
        <w:kinsoku/>
        <w:bidi w:val="0"/>
        <w:spacing w:line="360" w:lineRule="auto"/>
        <w:jc w:val="center"/>
        <w:outlineLvl w:val="9"/>
        <w:rPr>
          <w:rFonts w:hint="eastAsia" w:asciiTheme="minorEastAsia" w:hAnsiTheme="minorEastAsia" w:eastAsiaTheme="minorEastAsia" w:cstheme="minorEastAsia"/>
          <w:b/>
          <w:color w:val="auto"/>
          <w:sz w:val="32"/>
          <w:szCs w:val="32"/>
        </w:rPr>
        <w:sectPr>
          <w:pgSz w:w="11906" w:h="16838"/>
          <w:pgMar w:top="1440" w:right="1800" w:bottom="1440" w:left="1800" w:header="851" w:footer="992" w:gutter="0"/>
          <w:pgNumType w:fmt="decimal"/>
          <w:cols w:space="720" w:num="1"/>
          <w:docGrid w:type="lines" w:linePitch="312" w:charSpace="0"/>
        </w:sectPr>
      </w:pPr>
    </w:p>
    <w:p w14:paraId="7264231D">
      <w:pPr>
        <w:pageBreakBefore w:val="0"/>
        <w:widowControl/>
        <w:kinsoku/>
        <w:bidi w:val="0"/>
        <w:spacing w:line="360" w:lineRule="auto"/>
        <w:jc w:val="center"/>
        <w:outlineLvl w:val="9"/>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承诺书（二）</w:t>
      </w:r>
    </w:p>
    <w:p w14:paraId="31268DA4">
      <w:pPr>
        <w:pageBreakBefore w:val="0"/>
        <w:kinsoku/>
        <w:bidi w:val="0"/>
        <w:spacing w:line="360" w:lineRule="auto"/>
        <w:jc w:val="center"/>
        <w:outlineLvl w:val="9"/>
        <w:rPr>
          <w:rFonts w:hint="eastAsia" w:asciiTheme="minorEastAsia" w:hAnsiTheme="minorEastAsia" w:eastAsiaTheme="minorEastAsia" w:cstheme="minorEastAsia"/>
          <w:b/>
          <w:color w:val="auto"/>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5F85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23DD7554">
            <w:pPr>
              <w:pageBreakBefore w:val="0"/>
              <w:kinsoku/>
              <w:bidi w:val="0"/>
              <w:spacing w:line="360" w:lineRule="auto"/>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lang w:eastAsia="zh-CN"/>
              </w:rPr>
              <w:t>陕西华旭晟信项目管理有限责任公司</w:t>
            </w:r>
          </w:p>
        </w:tc>
      </w:tr>
      <w:tr w14:paraId="53DF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324E1D1">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作为参加贵公司组织的本次招标项目的供应商，本公司承诺：在参加本项目招标之前不存在被依法禁止经营行为、财产被接管或冻结的情况，如有隐瞒实情，愿承担一切责任及后果。</w:t>
            </w:r>
          </w:p>
        </w:tc>
      </w:tr>
      <w:tr w14:paraId="2E53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40" w:type="dxa"/>
            <w:noWrap w:val="0"/>
            <w:vAlign w:val="center"/>
          </w:tcPr>
          <w:p w14:paraId="33EF3396">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供应商</w:t>
            </w:r>
          </w:p>
        </w:tc>
        <w:tc>
          <w:tcPr>
            <w:tcW w:w="3420" w:type="dxa"/>
            <w:noWrap w:val="0"/>
            <w:vAlign w:val="center"/>
          </w:tcPr>
          <w:p w14:paraId="060C7B8F">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14:paraId="0B38B674">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14:paraId="53B7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5ED5F2F2">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14:paraId="242ABC83">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14:paraId="28E01166">
            <w:pPr>
              <w:pageBreakBefore w:val="0"/>
              <w:kinsoku/>
              <w:bidi w:val="0"/>
              <w:spacing w:line="360" w:lineRule="auto"/>
              <w:ind w:firstLine="240" w:firstLineChars="100"/>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14:paraId="3BE0BD6D">
      <w:pPr>
        <w:pageBreakBefore w:val="0"/>
        <w:kinsoku/>
        <w:bidi w:val="0"/>
        <w:spacing w:line="360" w:lineRule="auto"/>
        <w:jc w:val="center"/>
        <w:outlineLvl w:val="9"/>
        <w:rPr>
          <w:rFonts w:hint="eastAsia" w:asciiTheme="minorEastAsia" w:hAnsiTheme="minorEastAsia" w:eastAsiaTheme="minorEastAsia" w:cstheme="minorEastAsia"/>
          <w:b/>
          <w:color w:val="auto"/>
          <w:sz w:val="32"/>
          <w:szCs w:val="32"/>
        </w:rPr>
      </w:pPr>
    </w:p>
    <w:p w14:paraId="0538121E">
      <w:pPr>
        <w:pageBreakBefore w:val="0"/>
        <w:kinsoku/>
        <w:bidi w:val="0"/>
        <w:spacing w:line="360" w:lineRule="auto"/>
        <w:jc w:val="center"/>
        <w:outlineLvl w:val="9"/>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承诺书（三）</w:t>
      </w:r>
    </w:p>
    <w:p w14:paraId="79883D7B">
      <w:pPr>
        <w:pageBreakBefore w:val="0"/>
        <w:kinsoku/>
        <w:bidi w:val="0"/>
        <w:spacing w:line="360" w:lineRule="auto"/>
        <w:jc w:val="center"/>
        <w:outlineLvl w:val="9"/>
        <w:rPr>
          <w:rFonts w:hint="eastAsia" w:asciiTheme="minorEastAsia" w:hAnsiTheme="minorEastAsia" w:eastAsiaTheme="minorEastAsia" w:cstheme="minorEastAsia"/>
          <w:b/>
          <w:color w:val="auto"/>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77B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3400EEB9">
            <w:pPr>
              <w:pageBreakBefore w:val="0"/>
              <w:kinsoku/>
              <w:bidi w:val="0"/>
              <w:spacing w:line="360" w:lineRule="auto"/>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lang w:eastAsia="zh-CN"/>
              </w:rPr>
              <w:t>陕西华旭晟信项目管理有限责任公司</w:t>
            </w:r>
          </w:p>
        </w:tc>
      </w:tr>
      <w:tr w14:paraId="0A1F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28CC1C74">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作为参加贵公司组织的本次招标项目的供应商，本公司郑重申告并承诺：近三年受到有关行政主管部门的行政处理、不良行为记录为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次（没有填零），如有隐瞒实情，愿承担一切责任及后果。</w:t>
            </w:r>
          </w:p>
        </w:tc>
      </w:tr>
      <w:tr w14:paraId="4BC5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40" w:type="dxa"/>
            <w:noWrap w:val="0"/>
            <w:vAlign w:val="center"/>
          </w:tcPr>
          <w:p w14:paraId="73967A11">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p>
        </w:tc>
        <w:tc>
          <w:tcPr>
            <w:tcW w:w="3420" w:type="dxa"/>
            <w:noWrap w:val="0"/>
            <w:vAlign w:val="center"/>
          </w:tcPr>
          <w:p w14:paraId="4FD47362">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14:paraId="7E3B734C">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14:paraId="3E22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77CFB1F8">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14:paraId="0852B9DF">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14:paraId="68768E48">
            <w:pPr>
              <w:pageBreakBefore w:val="0"/>
              <w:kinsoku/>
              <w:bidi w:val="0"/>
              <w:spacing w:line="360" w:lineRule="auto"/>
              <w:ind w:firstLine="240" w:firstLineChars="100"/>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14:paraId="0679E4F4">
      <w:pPr>
        <w:pageBreakBefore w:val="0"/>
        <w:kinsoku/>
        <w:bidi w:val="0"/>
        <w:spacing w:line="360" w:lineRule="auto"/>
        <w:jc w:val="center"/>
        <w:outlineLvl w:val="9"/>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承诺书（四）</w:t>
      </w:r>
    </w:p>
    <w:p w14:paraId="195DC56A">
      <w:pPr>
        <w:pageBreakBefore w:val="0"/>
        <w:kinsoku/>
        <w:bidi w:val="0"/>
        <w:spacing w:line="360" w:lineRule="auto"/>
        <w:jc w:val="center"/>
        <w:outlineLvl w:val="9"/>
        <w:rPr>
          <w:rFonts w:hint="eastAsia" w:asciiTheme="minorEastAsia" w:hAnsiTheme="minorEastAsia" w:eastAsiaTheme="minorEastAsia" w:cstheme="minorEastAsia"/>
          <w:b/>
          <w:color w:val="auto"/>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F4F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520E9D24">
            <w:pPr>
              <w:pageBreakBefore w:val="0"/>
              <w:kinsoku/>
              <w:bidi w:val="0"/>
              <w:spacing w:line="360" w:lineRule="auto"/>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lang w:eastAsia="zh-CN"/>
              </w:rPr>
              <w:t>陕西华旭晟信项目管理有限责任公司</w:t>
            </w:r>
          </w:p>
        </w:tc>
      </w:tr>
      <w:tr w14:paraId="3CCC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7EC31F15">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作为参加贵公司组织的本次招标项目的供应商，本公司郑重申告：近三年因产品供货问题（水货、替代品、次品、翻新品等）的不法行为记录为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次（没有填零），如有隐瞒实情，愿承担一切责任及后果。</w:t>
            </w:r>
          </w:p>
          <w:p w14:paraId="41C76753">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本公司承诺：本次招标标的物为正品行货。</w:t>
            </w:r>
          </w:p>
        </w:tc>
      </w:tr>
      <w:tr w14:paraId="6FF1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042971C">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p>
        </w:tc>
        <w:tc>
          <w:tcPr>
            <w:tcW w:w="3420" w:type="dxa"/>
            <w:noWrap w:val="0"/>
            <w:vAlign w:val="center"/>
          </w:tcPr>
          <w:p w14:paraId="3E4749A0">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14:paraId="3970F831">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14:paraId="202B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3240" w:type="dxa"/>
            <w:noWrap w:val="0"/>
            <w:vAlign w:val="center"/>
          </w:tcPr>
          <w:p w14:paraId="4C279C29">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14:paraId="32A93C4F">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14:paraId="16D82E4A">
            <w:pPr>
              <w:pageBreakBefore w:val="0"/>
              <w:kinsoku/>
              <w:bidi w:val="0"/>
              <w:spacing w:line="360" w:lineRule="auto"/>
              <w:ind w:firstLine="240" w:firstLineChars="100"/>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14:paraId="3DCA5774">
      <w:pPr>
        <w:pageBreakBefore w:val="0"/>
        <w:kinsoku/>
        <w:bidi w:val="0"/>
        <w:spacing w:line="360" w:lineRule="auto"/>
        <w:jc w:val="center"/>
        <w:outlineLvl w:val="9"/>
        <w:rPr>
          <w:rFonts w:hint="eastAsia" w:asciiTheme="minorEastAsia" w:hAnsiTheme="minorEastAsia" w:eastAsiaTheme="minorEastAsia" w:cstheme="minorEastAsia"/>
          <w:b/>
          <w:color w:val="auto"/>
          <w:sz w:val="32"/>
          <w:szCs w:val="32"/>
        </w:rPr>
      </w:pPr>
    </w:p>
    <w:p w14:paraId="0CEFE5F6">
      <w:pPr>
        <w:pageBreakBefore w:val="0"/>
        <w:kinsoku/>
        <w:bidi w:val="0"/>
        <w:spacing w:line="360" w:lineRule="auto"/>
        <w:jc w:val="center"/>
        <w:outlineLvl w:val="9"/>
        <w:rPr>
          <w:rFonts w:hint="eastAsia" w:asciiTheme="minorEastAsia" w:hAnsiTheme="minorEastAsia" w:eastAsiaTheme="minorEastAsia" w:cstheme="minorEastAsia"/>
          <w:b/>
          <w:color w:val="auto"/>
          <w:sz w:val="32"/>
          <w:szCs w:val="32"/>
        </w:rPr>
      </w:pPr>
    </w:p>
    <w:p w14:paraId="14820B03">
      <w:pPr>
        <w:pageBreakBefore w:val="0"/>
        <w:kinsoku/>
        <w:bidi w:val="0"/>
        <w:spacing w:line="360" w:lineRule="auto"/>
        <w:jc w:val="center"/>
        <w:outlineLvl w:val="9"/>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承诺书（五）</w:t>
      </w:r>
    </w:p>
    <w:p w14:paraId="5985E46B">
      <w:pPr>
        <w:pageBreakBefore w:val="0"/>
        <w:kinsoku/>
        <w:bidi w:val="0"/>
        <w:spacing w:line="360" w:lineRule="auto"/>
        <w:jc w:val="center"/>
        <w:outlineLvl w:val="9"/>
        <w:rPr>
          <w:rFonts w:hint="eastAsia" w:asciiTheme="minorEastAsia" w:hAnsiTheme="minorEastAsia" w:eastAsiaTheme="minorEastAsia" w:cstheme="minorEastAsia"/>
          <w:b/>
          <w:color w:val="auto"/>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C27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7CBF8E19">
            <w:pPr>
              <w:pageBreakBefore w:val="0"/>
              <w:kinsoku/>
              <w:bidi w:val="0"/>
              <w:spacing w:line="360" w:lineRule="auto"/>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lang w:eastAsia="zh-CN"/>
              </w:rPr>
              <w:t>陕西华旭晟信项目管理有限责任公司</w:t>
            </w:r>
          </w:p>
        </w:tc>
      </w:tr>
      <w:tr w14:paraId="129D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5974FE74">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作为参加贵公司组织的本次招标项目的供应商，本公司承诺：参加本次招标提交的所有资质证明文件及业绩证明文件是真实的、有效的，如有隐瞒实情，愿承担一切责任及后果。</w:t>
            </w:r>
          </w:p>
        </w:tc>
      </w:tr>
      <w:tr w14:paraId="417F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18AACCEA">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p>
        </w:tc>
        <w:tc>
          <w:tcPr>
            <w:tcW w:w="3420" w:type="dxa"/>
            <w:noWrap w:val="0"/>
            <w:vAlign w:val="center"/>
          </w:tcPr>
          <w:p w14:paraId="26A604F3">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14:paraId="6127AB8F">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14:paraId="52A1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240" w:type="dxa"/>
            <w:noWrap w:val="0"/>
            <w:vAlign w:val="center"/>
          </w:tcPr>
          <w:p w14:paraId="3A9569FC">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14:paraId="7755549A">
            <w:pPr>
              <w:pageBreakBefore w:val="0"/>
              <w:kinsoku/>
              <w:bidi w:val="0"/>
              <w:spacing w:line="360" w:lineRule="auto"/>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14:paraId="3E5FEE9B">
            <w:pPr>
              <w:pageBreakBefore w:val="0"/>
              <w:kinsoku/>
              <w:bidi w:val="0"/>
              <w:spacing w:line="360" w:lineRule="auto"/>
              <w:ind w:firstLine="240" w:firstLineChars="100"/>
              <w:jc w:val="center"/>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14:paraId="1F2D3757">
      <w:pPr>
        <w:pageBreakBefore w:val="0"/>
        <w:kinsoku/>
        <w:bidi w:val="0"/>
        <w:spacing w:line="360" w:lineRule="auto"/>
        <w:outlineLvl w:val="9"/>
        <w:rPr>
          <w:rFonts w:hint="eastAsia" w:asciiTheme="minorEastAsia" w:hAnsiTheme="minorEastAsia" w:eastAsiaTheme="minorEastAsia" w:cstheme="minorEastAsia"/>
          <w:color w:val="auto"/>
        </w:rPr>
      </w:pPr>
    </w:p>
    <w:p w14:paraId="132DD79C">
      <w:pPr>
        <w:pageBreakBefore w:val="0"/>
        <w:kinsoku/>
        <w:bidi w:val="0"/>
        <w:spacing w:line="360" w:lineRule="auto"/>
        <w:jc w:val="center"/>
        <w:outlineLvl w:val="9"/>
        <w:rPr>
          <w:rFonts w:hint="eastAsia" w:ascii="宋体" w:hAnsi="宋体" w:eastAsia="宋体" w:cs="宋体"/>
          <w:b/>
          <w:color w:val="auto"/>
          <w:sz w:val="32"/>
          <w:szCs w:val="32"/>
        </w:rPr>
      </w:pPr>
      <w:bookmarkStart w:id="171" w:name="_Toc7502"/>
      <w:bookmarkStart w:id="172" w:name="_Toc29982"/>
      <w:bookmarkStart w:id="173" w:name="_Toc1084"/>
      <w:bookmarkStart w:id="174" w:name="_Toc25732"/>
      <w:bookmarkStart w:id="175" w:name="_Toc23423"/>
      <w:r>
        <w:rPr>
          <w:rFonts w:hint="eastAsia" w:ascii="宋体" w:hAnsi="宋体" w:eastAsia="宋体" w:cs="宋体"/>
          <w:b/>
          <w:color w:val="auto"/>
          <w:sz w:val="32"/>
          <w:szCs w:val="32"/>
          <w:lang w:val="en-US" w:eastAsia="zh-CN"/>
        </w:rPr>
        <w:t>八、中小</w:t>
      </w:r>
      <w:r>
        <w:rPr>
          <w:rFonts w:hint="eastAsia" w:ascii="宋体" w:hAnsi="宋体" w:eastAsia="宋体" w:cs="宋体"/>
          <w:b/>
          <w:color w:val="auto"/>
          <w:sz w:val="32"/>
          <w:szCs w:val="32"/>
        </w:rPr>
        <w:t>企业、监狱企业、残疾人福利单位声明函或证明</w:t>
      </w:r>
      <w:bookmarkEnd w:id="171"/>
    </w:p>
    <w:p w14:paraId="57836FBF">
      <w:pPr>
        <w:pStyle w:val="8"/>
        <w:pageBreakBefore w:val="0"/>
        <w:kinsoku/>
        <w:bidi w:val="0"/>
        <w:spacing w:line="360" w:lineRule="auto"/>
        <w:outlineLvl w:val="9"/>
        <w:rPr>
          <w:rFonts w:hint="eastAsia" w:ascii="宋体" w:hAnsi="宋体" w:eastAsia="宋体" w:cs="宋体"/>
          <w:color w:val="auto"/>
          <w:lang w:val="en-US"/>
        </w:rPr>
      </w:pPr>
    </w:p>
    <w:p w14:paraId="205E5851">
      <w:pPr>
        <w:pageBreakBefore w:val="0"/>
        <w:kinsoku/>
        <w:bidi w:val="0"/>
        <w:spacing w:line="360" w:lineRule="auto"/>
        <w:jc w:val="center"/>
        <w:outlineLvl w:val="9"/>
        <w:rPr>
          <w:rFonts w:hint="eastAsia" w:ascii="宋体" w:hAnsi="宋体" w:eastAsia="宋体" w:cs="宋体"/>
          <w:b/>
          <w:color w:val="auto"/>
          <w:spacing w:val="6"/>
          <w:sz w:val="28"/>
          <w:szCs w:val="28"/>
        </w:rPr>
      </w:pPr>
      <w:bookmarkStart w:id="176" w:name="_Toc25215"/>
      <w:r>
        <w:rPr>
          <w:rFonts w:hint="eastAsia" w:ascii="宋体" w:hAnsi="宋体" w:eastAsia="宋体" w:cs="宋体"/>
          <w:b/>
          <w:color w:val="auto"/>
          <w:spacing w:val="6"/>
          <w:sz w:val="28"/>
          <w:szCs w:val="28"/>
        </w:rPr>
        <w:t>1.</w:t>
      </w:r>
      <w:r>
        <w:rPr>
          <w:rFonts w:hint="eastAsia" w:ascii="宋体" w:hAnsi="宋体" w:eastAsia="宋体" w:cs="宋体"/>
          <w:b/>
          <w:color w:val="auto"/>
          <w:spacing w:val="6"/>
          <w:sz w:val="28"/>
          <w:szCs w:val="28"/>
          <w:lang w:val="en-US" w:eastAsia="zh-CN"/>
        </w:rPr>
        <w:t>中小</w:t>
      </w:r>
      <w:r>
        <w:rPr>
          <w:rFonts w:hint="eastAsia" w:ascii="宋体" w:hAnsi="宋体" w:eastAsia="宋体" w:cs="宋体"/>
          <w:b/>
          <w:color w:val="auto"/>
          <w:spacing w:val="6"/>
          <w:sz w:val="28"/>
          <w:szCs w:val="28"/>
        </w:rPr>
        <w:t>企业声明函</w:t>
      </w:r>
      <w:bookmarkEnd w:id="176"/>
    </w:p>
    <w:p w14:paraId="3CDFEFDB">
      <w:pPr>
        <w:pageBreakBefore w:val="0"/>
        <w:kinsoku/>
        <w:bidi w:val="0"/>
        <w:spacing w:before="120" w:beforeLines="50"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 号）的规定，本公司（联合体）参加</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采购活动，服务全部由符合政策要求的小微企业承接。相关企业（含联合体中的</w:t>
      </w:r>
      <w:r>
        <w:rPr>
          <w:rFonts w:hint="eastAsia" w:ascii="宋体" w:hAnsi="宋体" w:eastAsia="宋体" w:cs="宋体"/>
          <w:color w:val="auto"/>
          <w:sz w:val="24"/>
          <w:lang w:val="en-US" w:eastAsia="zh-CN"/>
        </w:rPr>
        <w:t>中小</w:t>
      </w:r>
      <w:r>
        <w:rPr>
          <w:rFonts w:hint="eastAsia" w:ascii="宋体" w:hAnsi="宋体" w:eastAsia="宋体" w:cs="宋体"/>
          <w:color w:val="auto"/>
          <w:sz w:val="24"/>
        </w:rPr>
        <w:t>企业、签订分包意向协议的</w:t>
      </w:r>
      <w:r>
        <w:rPr>
          <w:rFonts w:hint="eastAsia" w:ascii="宋体" w:hAnsi="宋体" w:eastAsia="宋体" w:cs="宋体"/>
          <w:color w:val="auto"/>
          <w:sz w:val="24"/>
          <w:lang w:val="en-US" w:eastAsia="zh-CN"/>
        </w:rPr>
        <w:t>中小</w:t>
      </w:r>
      <w:r>
        <w:rPr>
          <w:rFonts w:hint="eastAsia" w:ascii="宋体" w:hAnsi="宋体" w:eastAsia="宋体" w:cs="宋体"/>
          <w:color w:val="auto"/>
          <w:sz w:val="24"/>
        </w:rPr>
        <w:t>企业）的具体情况如下：</w:t>
      </w:r>
    </w:p>
    <w:p w14:paraId="22F548C6">
      <w:pPr>
        <w:pageBreakBefore w:val="0"/>
        <w:kinsoku/>
        <w:bidi w:val="0"/>
        <w:spacing w:before="120" w:beforeLines="50"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1.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（采购文件中明确的所属行业）；承接企业为</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14:paraId="1F962594">
      <w:pPr>
        <w:pageBreakBefore w:val="0"/>
        <w:kinsoku/>
        <w:bidi w:val="0"/>
        <w:spacing w:before="120" w:beforeLines="50"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（采购文件中明确的所属行业）；承接企业为</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14:paraId="53542B25">
      <w:pPr>
        <w:pageBreakBefore w:val="0"/>
        <w:kinsoku/>
        <w:bidi w:val="0"/>
        <w:spacing w:before="120" w:beforeLines="50"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    ……</w:t>
      </w:r>
    </w:p>
    <w:p w14:paraId="4F7B4C59">
      <w:pPr>
        <w:pageBreakBefore w:val="0"/>
        <w:kinsoku/>
        <w:bidi w:val="0"/>
        <w:spacing w:before="120" w:beforeLines="50"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46E3C989">
      <w:pPr>
        <w:pageBreakBefore w:val="0"/>
        <w:kinsoku/>
        <w:bidi w:val="0"/>
        <w:spacing w:before="120" w:beforeLines="50"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14:paraId="7DE690D2">
      <w:pPr>
        <w:pageBreakBefore w:val="0"/>
        <w:kinsoku/>
        <w:bidi w:val="0"/>
        <w:spacing w:before="120" w:beforeLines="50"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                         企业名称（盖章）：</w:t>
      </w:r>
    </w:p>
    <w:p w14:paraId="6FB00D28">
      <w:pPr>
        <w:pageBreakBefore w:val="0"/>
        <w:kinsoku/>
        <w:bidi w:val="0"/>
        <w:spacing w:before="120" w:beforeLines="50"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 xml:space="preserve">                                     日期：</w:t>
      </w:r>
    </w:p>
    <w:p w14:paraId="1C6BFD04">
      <w:pPr>
        <w:pageBreakBefore w:val="0"/>
        <w:tabs>
          <w:tab w:val="left" w:pos="5670"/>
        </w:tabs>
        <w:kinsoku/>
        <w:bidi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备注：</w:t>
      </w:r>
    </w:p>
    <w:p w14:paraId="0A603138">
      <w:pPr>
        <w:pageBreakBefore w:val="0"/>
        <w:tabs>
          <w:tab w:val="left" w:pos="5670"/>
        </w:tabs>
        <w:kinsoku/>
        <w:bidi w:val="0"/>
        <w:spacing w:line="360" w:lineRule="auto"/>
        <w:outlineLvl w:val="9"/>
        <w:rPr>
          <w:rFonts w:hint="eastAsia" w:ascii="宋体" w:hAnsi="宋体" w:eastAsia="宋体" w:cs="宋体"/>
          <w:color w:val="auto"/>
          <w:sz w:val="24"/>
        </w:rPr>
      </w:pPr>
      <w:r>
        <w:rPr>
          <w:rFonts w:hint="eastAsia" w:ascii="宋体" w:hAnsi="宋体" w:eastAsia="宋体" w:cs="宋体"/>
          <w:color w:val="auto"/>
          <w:sz w:val="24"/>
        </w:rPr>
        <w:t xml:space="preserve">从业人员、营业收入、资产总额填报上一年度数据，无上一年度数据的新成立企业可不填报。 </w:t>
      </w:r>
    </w:p>
    <w:p w14:paraId="112A2F26">
      <w:pPr>
        <w:pageBreakBefore w:val="0"/>
        <w:kinsoku/>
        <w:bidi w:val="0"/>
        <w:spacing w:line="360" w:lineRule="auto"/>
        <w:jc w:val="center"/>
        <w:outlineLvl w:val="9"/>
        <w:rPr>
          <w:rFonts w:hint="eastAsia" w:ascii="宋体" w:hAnsi="宋体" w:eastAsia="宋体" w:cs="宋体"/>
          <w:b/>
          <w:color w:val="auto"/>
          <w:spacing w:val="6"/>
          <w:sz w:val="28"/>
          <w:szCs w:val="28"/>
        </w:rPr>
        <w:sectPr>
          <w:pgSz w:w="11906" w:h="16838"/>
          <w:pgMar w:top="1440" w:right="1800" w:bottom="1440" w:left="1800" w:header="851" w:footer="992" w:gutter="0"/>
          <w:pgNumType w:fmt="decimal"/>
          <w:cols w:space="720" w:num="1"/>
          <w:docGrid w:type="lines" w:linePitch="312" w:charSpace="0"/>
        </w:sectPr>
      </w:pPr>
    </w:p>
    <w:p w14:paraId="76224DFE">
      <w:pPr>
        <w:pageBreakBefore w:val="0"/>
        <w:kinsoku/>
        <w:bidi w:val="0"/>
        <w:spacing w:line="360" w:lineRule="auto"/>
        <w:jc w:val="center"/>
        <w:outlineLvl w:val="9"/>
        <w:rPr>
          <w:rFonts w:hint="eastAsia" w:ascii="宋体" w:hAnsi="宋体" w:eastAsia="宋体" w:cs="宋体"/>
          <w:b/>
          <w:color w:val="auto"/>
          <w:spacing w:val="6"/>
          <w:sz w:val="28"/>
          <w:szCs w:val="28"/>
        </w:rPr>
      </w:pPr>
      <w:r>
        <w:rPr>
          <w:rFonts w:hint="eastAsia" w:ascii="宋体" w:hAnsi="宋体" w:eastAsia="宋体" w:cs="宋体"/>
          <w:b/>
          <w:color w:val="auto"/>
          <w:spacing w:val="6"/>
          <w:sz w:val="28"/>
          <w:szCs w:val="28"/>
        </w:rPr>
        <w:t>2.残疾人福利性单位声明函</w:t>
      </w:r>
      <w:bookmarkEnd w:id="172"/>
    </w:p>
    <w:p w14:paraId="18B4F603">
      <w:pPr>
        <w:pageBreakBefore w:val="0"/>
        <w:kinsoku/>
        <w:bidi w:val="0"/>
        <w:spacing w:line="360" w:lineRule="auto"/>
        <w:outlineLvl w:val="9"/>
        <w:rPr>
          <w:rFonts w:hint="eastAsia" w:ascii="宋体" w:hAnsi="宋体" w:eastAsia="宋体" w:cs="宋体"/>
          <w:b/>
          <w:color w:val="auto"/>
          <w:spacing w:val="6"/>
          <w:sz w:val="30"/>
          <w:szCs w:val="30"/>
        </w:rPr>
      </w:pPr>
    </w:p>
    <w:p w14:paraId="0C7A290C">
      <w:pPr>
        <w:pageBreakBefore w:val="0"/>
        <w:kinsoku/>
        <w:bidi w:val="0"/>
        <w:spacing w:line="360" w:lineRule="auto"/>
        <w:ind w:firstLine="504" w:firstLineChars="200"/>
        <w:outlineLvl w:val="9"/>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 民政部 中国残疾人联合会关于促进残疾人就业政府采购政策的通知》（财库</w:t>
      </w:r>
      <w:r>
        <w:rPr>
          <w:rFonts w:hint="eastAsia" w:ascii="宋体" w:hAnsi="宋体" w:eastAsia="宋体" w:cs="宋体"/>
          <w:color w:val="auto"/>
          <w:sz w:val="24"/>
        </w:rPr>
        <w:t>〔2017〕 141</w:t>
      </w:r>
      <w:r>
        <w:rPr>
          <w:rFonts w:hint="eastAsia" w:ascii="宋体" w:hAnsi="宋体" w:eastAsia="宋体" w:cs="宋体"/>
          <w:color w:val="auto"/>
          <w:spacing w:val="6"/>
          <w:sz w:val="24"/>
        </w:rPr>
        <w:t>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pacing w:val="6"/>
          <w:sz w:val="24"/>
        </w:rPr>
        <w:t>单位的</w:t>
      </w:r>
      <w:r>
        <w:rPr>
          <w:rFonts w:hint="eastAsia" w:ascii="宋体" w:hAnsi="宋体" w:eastAsia="宋体" w:cs="宋体"/>
          <w:b/>
          <w:bCs/>
          <w:color w:val="auto"/>
          <w:spacing w:val="6"/>
          <w:sz w:val="24"/>
          <w:u w:val="single"/>
        </w:rPr>
        <w:t xml:space="preserve">         </w:t>
      </w:r>
      <w:r>
        <w:rPr>
          <w:rFonts w:hint="eastAsia" w:ascii="宋体" w:hAnsi="宋体" w:eastAsia="宋体" w:cs="宋体"/>
          <w:color w:val="auto"/>
          <w:spacing w:val="6"/>
          <w:sz w:val="24"/>
        </w:rPr>
        <w:t>项目采购活动提供本单位制造的货物（由本单位承担工程/提供服务），或者提供其他残疾人福利性单位制造的货物（不包括使用非残疾人福利性单位注册商标的货物）。</w:t>
      </w:r>
    </w:p>
    <w:p w14:paraId="1E941290">
      <w:pPr>
        <w:pageBreakBefore w:val="0"/>
        <w:kinsoku/>
        <w:bidi w:val="0"/>
        <w:spacing w:line="360" w:lineRule="auto"/>
        <w:ind w:firstLine="504" w:firstLineChars="200"/>
        <w:outlineLvl w:val="9"/>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14:paraId="14D7A201">
      <w:pPr>
        <w:pageBreakBefore w:val="0"/>
        <w:kinsoku/>
        <w:bidi w:val="0"/>
        <w:spacing w:line="360" w:lineRule="auto"/>
        <w:outlineLvl w:val="9"/>
        <w:rPr>
          <w:rFonts w:hint="eastAsia" w:ascii="宋体" w:hAnsi="宋体" w:eastAsia="宋体" w:cs="宋体"/>
          <w:color w:val="auto"/>
          <w:spacing w:val="6"/>
          <w:sz w:val="24"/>
        </w:rPr>
      </w:pPr>
    </w:p>
    <w:p w14:paraId="152BC659">
      <w:pPr>
        <w:pageBreakBefore w:val="0"/>
        <w:tabs>
          <w:tab w:val="left" w:pos="4860"/>
        </w:tabs>
        <w:kinsoku/>
        <w:bidi w:val="0"/>
        <w:spacing w:line="360" w:lineRule="auto"/>
        <w:ind w:right="1560" w:firstLine="504" w:firstLineChars="200"/>
        <w:jc w:val="center"/>
        <w:outlineLvl w:val="9"/>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                                  单位名称（盖章）：</w:t>
      </w:r>
    </w:p>
    <w:p w14:paraId="4A618299">
      <w:pPr>
        <w:pageBreakBefore w:val="0"/>
        <w:kinsoku/>
        <w:bidi w:val="0"/>
        <w:adjustRightInd w:val="0"/>
        <w:snapToGrid w:val="0"/>
        <w:spacing w:line="360" w:lineRule="auto"/>
        <w:ind w:firstLine="630" w:firstLineChars="250"/>
        <w:outlineLvl w:val="9"/>
        <w:rPr>
          <w:rFonts w:hint="eastAsia" w:ascii="宋体" w:hAnsi="宋体" w:eastAsia="宋体" w:cs="宋体"/>
          <w:color w:val="auto"/>
          <w:szCs w:val="21"/>
        </w:rPr>
      </w:pPr>
      <w:r>
        <w:rPr>
          <w:rFonts w:hint="eastAsia" w:ascii="宋体" w:hAnsi="宋体" w:eastAsia="宋体" w:cs="宋体"/>
          <w:color w:val="auto"/>
          <w:spacing w:val="6"/>
          <w:sz w:val="24"/>
        </w:rPr>
        <w:t xml:space="preserve">                                         日  期：</w:t>
      </w:r>
    </w:p>
    <w:p w14:paraId="6B8E9CF2">
      <w:pPr>
        <w:pageBreakBefore w:val="0"/>
        <w:kinsoku/>
        <w:bidi w:val="0"/>
        <w:adjustRightInd w:val="0"/>
        <w:snapToGrid w:val="0"/>
        <w:spacing w:line="360" w:lineRule="auto"/>
        <w:outlineLvl w:val="9"/>
        <w:rPr>
          <w:rFonts w:hint="eastAsia" w:ascii="宋体" w:hAnsi="宋体" w:eastAsia="宋体" w:cs="宋体"/>
          <w:color w:val="auto"/>
          <w:szCs w:val="21"/>
        </w:rPr>
      </w:pPr>
    </w:p>
    <w:p w14:paraId="61DF0E12">
      <w:pPr>
        <w:pageBreakBefore w:val="0"/>
        <w:tabs>
          <w:tab w:val="left" w:pos="5670"/>
        </w:tabs>
        <w:kinsoku/>
        <w:bidi w:val="0"/>
        <w:spacing w:line="360" w:lineRule="auto"/>
        <w:ind w:firstLine="566"/>
        <w:outlineLvl w:val="9"/>
        <w:rPr>
          <w:rFonts w:hint="eastAsia" w:ascii="宋体" w:hAnsi="宋体" w:eastAsia="宋体" w:cs="宋体"/>
          <w:color w:val="auto"/>
          <w:szCs w:val="21"/>
        </w:rPr>
      </w:pPr>
      <w:r>
        <w:rPr>
          <w:rFonts w:hint="eastAsia" w:ascii="宋体" w:hAnsi="宋体" w:eastAsia="宋体" w:cs="宋体"/>
          <w:b/>
          <w:bCs/>
          <w:color w:val="auto"/>
          <w:szCs w:val="21"/>
        </w:rPr>
        <w:t>备注：</w:t>
      </w:r>
      <w:r>
        <w:rPr>
          <w:rFonts w:hint="eastAsia" w:ascii="宋体" w:hAnsi="宋体" w:eastAsia="宋体" w:cs="宋体"/>
          <w:color w:val="auto"/>
          <w:szCs w:val="21"/>
        </w:rPr>
        <w:t>项目不分标段的，第___标段空白处填写“/”。</w:t>
      </w:r>
    </w:p>
    <w:p w14:paraId="45C72F9A">
      <w:pPr>
        <w:pageBreakBefore w:val="0"/>
        <w:tabs>
          <w:tab w:val="left" w:pos="5670"/>
        </w:tabs>
        <w:kinsoku/>
        <w:bidi w:val="0"/>
        <w:spacing w:line="360" w:lineRule="auto"/>
        <w:ind w:firstLine="566"/>
        <w:outlineLvl w:val="9"/>
        <w:rPr>
          <w:rFonts w:hint="eastAsia" w:ascii="宋体" w:hAnsi="宋体" w:eastAsia="宋体" w:cs="宋体"/>
          <w:color w:val="auto"/>
          <w:szCs w:val="21"/>
        </w:rPr>
      </w:pPr>
      <w:r>
        <w:rPr>
          <w:rFonts w:hint="eastAsia" w:ascii="宋体" w:hAnsi="宋体" w:eastAsia="宋体" w:cs="宋体"/>
          <w:color w:val="auto"/>
          <w:szCs w:val="21"/>
        </w:rPr>
        <w:t>根据《财政部 民政部 中国残疾人联合会关于促进残疾人就业政府采购政策的通知》（财库〔2017〕141号）的规定：</w:t>
      </w:r>
    </w:p>
    <w:p w14:paraId="4196CCA5">
      <w:pPr>
        <w:pageBreakBefore w:val="0"/>
        <w:tabs>
          <w:tab w:val="left" w:pos="5670"/>
        </w:tabs>
        <w:kinsoku/>
        <w:bidi w:val="0"/>
        <w:spacing w:line="360" w:lineRule="auto"/>
        <w:ind w:firstLine="420" w:firstLineChars="200"/>
        <w:outlineLvl w:val="9"/>
        <w:rPr>
          <w:rFonts w:hint="eastAsia" w:ascii="宋体" w:hAnsi="宋体" w:eastAsia="宋体" w:cs="宋体"/>
          <w:color w:val="auto"/>
          <w:szCs w:val="21"/>
        </w:rPr>
      </w:pPr>
      <w:r>
        <w:rPr>
          <w:rFonts w:hint="eastAsia" w:ascii="宋体" w:hAnsi="宋体" w:eastAsia="宋体" w:cs="宋体"/>
          <w:color w:val="auto"/>
          <w:szCs w:val="21"/>
        </w:rPr>
        <w:t>一、享受政府采购支持政策的残疾人福利性单位应当同时满足以下条件：</w:t>
      </w:r>
    </w:p>
    <w:p w14:paraId="49AEC8D7">
      <w:pPr>
        <w:pageBreakBefore w:val="0"/>
        <w:tabs>
          <w:tab w:val="left" w:pos="5670"/>
        </w:tabs>
        <w:kinsoku/>
        <w:bidi w:val="0"/>
        <w:spacing w:line="360" w:lineRule="auto"/>
        <w:ind w:firstLine="566"/>
        <w:outlineLvl w:val="9"/>
        <w:rPr>
          <w:rFonts w:hint="eastAsia" w:ascii="宋体" w:hAnsi="宋体" w:eastAsia="宋体" w:cs="宋体"/>
          <w:color w:val="auto"/>
          <w:szCs w:val="21"/>
        </w:rPr>
      </w:pPr>
      <w:r>
        <w:rPr>
          <w:rFonts w:hint="eastAsia" w:ascii="宋体" w:hAnsi="宋体" w:eastAsia="宋体" w:cs="宋体"/>
          <w:color w:val="auto"/>
          <w:szCs w:val="21"/>
        </w:rPr>
        <w:t>（一）安置的残疾人占本单位在职职工人数的比例不低于25%（含25%），并且安置的残疾人人数不少于10人（含10人）；</w:t>
      </w:r>
    </w:p>
    <w:p w14:paraId="59749B11">
      <w:pPr>
        <w:pageBreakBefore w:val="0"/>
        <w:tabs>
          <w:tab w:val="left" w:pos="5670"/>
        </w:tabs>
        <w:kinsoku/>
        <w:bidi w:val="0"/>
        <w:spacing w:line="360" w:lineRule="auto"/>
        <w:ind w:firstLine="566"/>
        <w:outlineLvl w:val="9"/>
        <w:rPr>
          <w:rFonts w:hint="eastAsia" w:ascii="宋体" w:hAnsi="宋体" w:eastAsia="宋体" w:cs="宋体"/>
          <w:color w:val="auto"/>
          <w:szCs w:val="21"/>
        </w:rPr>
      </w:pPr>
      <w:r>
        <w:rPr>
          <w:rFonts w:hint="eastAsia" w:ascii="宋体" w:hAnsi="宋体" w:eastAsia="宋体" w:cs="宋体"/>
          <w:color w:val="auto"/>
          <w:szCs w:val="21"/>
        </w:rPr>
        <w:t>（二）依法与安置的每位残疾人签订了一年以上（含一年）的劳动合同或服务协议；</w:t>
      </w:r>
    </w:p>
    <w:p w14:paraId="020C82D4">
      <w:pPr>
        <w:pageBreakBefore w:val="0"/>
        <w:tabs>
          <w:tab w:val="left" w:pos="5670"/>
        </w:tabs>
        <w:kinsoku/>
        <w:bidi w:val="0"/>
        <w:spacing w:line="360" w:lineRule="auto"/>
        <w:ind w:firstLine="566"/>
        <w:outlineLvl w:val="9"/>
        <w:rPr>
          <w:rFonts w:hint="eastAsia" w:ascii="宋体" w:hAnsi="宋体" w:eastAsia="宋体" w:cs="宋体"/>
          <w:color w:val="auto"/>
          <w:szCs w:val="21"/>
        </w:rPr>
      </w:pPr>
      <w:r>
        <w:rPr>
          <w:rFonts w:hint="eastAsia" w:ascii="宋体" w:hAnsi="宋体" w:eastAsia="宋体" w:cs="宋体"/>
          <w:color w:val="auto"/>
          <w:szCs w:val="21"/>
        </w:rPr>
        <w:t>（三）为安置的每位残疾人按月足额缴纳了基本养老保险、基本医疗保险、失业保险、工伤保险和生育保险等社会保险费；</w:t>
      </w:r>
    </w:p>
    <w:p w14:paraId="5019AD2A">
      <w:pPr>
        <w:pageBreakBefore w:val="0"/>
        <w:tabs>
          <w:tab w:val="left" w:pos="5670"/>
        </w:tabs>
        <w:kinsoku/>
        <w:bidi w:val="0"/>
        <w:spacing w:line="360" w:lineRule="auto"/>
        <w:ind w:firstLine="566"/>
        <w:outlineLvl w:val="9"/>
        <w:rPr>
          <w:rFonts w:hint="eastAsia" w:ascii="宋体" w:hAnsi="宋体" w:eastAsia="宋体" w:cs="宋体"/>
          <w:color w:val="auto"/>
          <w:szCs w:val="21"/>
        </w:rPr>
      </w:pPr>
      <w:r>
        <w:rPr>
          <w:rFonts w:hint="eastAsia" w:ascii="宋体" w:hAnsi="宋体" w:eastAsia="宋体" w:cs="宋体"/>
          <w:color w:val="auto"/>
          <w:szCs w:val="21"/>
        </w:rPr>
        <w:t>（四）通过银行等金融机构向安置的每位残疾人，按月支付了不低于单位所在区县适用的经省级人民政府批准的月最低工资标准的工资；</w:t>
      </w:r>
    </w:p>
    <w:p w14:paraId="3FF49436">
      <w:pPr>
        <w:pageBreakBefore w:val="0"/>
        <w:tabs>
          <w:tab w:val="left" w:pos="5670"/>
        </w:tabs>
        <w:kinsoku/>
        <w:bidi w:val="0"/>
        <w:spacing w:line="360" w:lineRule="auto"/>
        <w:ind w:firstLine="566"/>
        <w:outlineLvl w:val="9"/>
        <w:rPr>
          <w:rFonts w:hint="eastAsia" w:ascii="宋体" w:hAnsi="宋体" w:eastAsia="宋体" w:cs="宋体"/>
          <w:color w:val="auto"/>
          <w:szCs w:val="21"/>
        </w:rPr>
      </w:pPr>
      <w:r>
        <w:rPr>
          <w:rFonts w:hint="eastAsia" w:ascii="宋体" w:hAnsi="宋体" w:eastAsia="宋体" w:cs="宋体"/>
          <w:color w:val="auto"/>
          <w:szCs w:val="21"/>
        </w:rPr>
        <w:t>（五）提供本单位承担的服务（以下简称产品），或者提供其他残疾人福利性单位提供的服。</w:t>
      </w:r>
    </w:p>
    <w:p w14:paraId="6E24BBE4">
      <w:pPr>
        <w:pageBreakBefore w:val="0"/>
        <w:tabs>
          <w:tab w:val="left" w:pos="5670"/>
        </w:tabs>
        <w:kinsoku/>
        <w:bidi w:val="0"/>
        <w:spacing w:line="360" w:lineRule="auto"/>
        <w:ind w:firstLine="566"/>
        <w:outlineLvl w:val="9"/>
        <w:rPr>
          <w:rFonts w:hint="eastAsia" w:ascii="宋体" w:hAnsi="宋体" w:eastAsia="宋体" w:cs="宋体"/>
          <w:color w:val="auto"/>
          <w:szCs w:val="21"/>
        </w:rPr>
      </w:pPr>
      <w:r>
        <w:rPr>
          <w:rFonts w:hint="eastAsia" w:ascii="宋体" w:hAnsi="宋体" w:eastAsia="宋体" w:cs="宋体"/>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44E60E1">
      <w:pPr>
        <w:pageBreakBefore w:val="0"/>
        <w:tabs>
          <w:tab w:val="left" w:pos="5670"/>
        </w:tabs>
        <w:kinsoku/>
        <w:bidi w:val="0"/>
        <w:spacing w:line="360" w:lineRule="auto"/>
        <w:ind w:firstLine="420" w:firstLineChars="200"/>
        <w:outlineLvl w:val="9"/>
        <w:rPr>
          <w:rFonts w:hint="eastAsia" w:ascii="宋体" w:hAnsi="宋体" w:eastAsia="宋体" w:cs="宋体"/>
          <w:b/>
          <w:bCs/>
          <w:color w:val="auto"/>
          <w:szCs w:val="21"/>
        </w:rPr>
      </w:pPr>
      <w:r>
        <w:rPr>
          <w:rFonts w:hint="eastAsia" w:ascii="宋体" w:hAnsi="宋体" w:eastAsia="宋体" w:cs="宋体"/>
          <w:color w:val="auto"/>
          <w:szCs w:val="21"/>
        </w:rPr>
        <w:t>二、中标、成交供应商为残疾人福利性单位的，采购人或者其委托的采购代理机构应当随中标、成交结果同时公告其《残疾人福利性单位声明函》，接受社会监督。</w:t>
      </w:r>
      <w:r>
        <w:rPr>
          <w:rFonts w:hint="eastAsia" w:ascii="宋体" w:hAnsi="宋体" w:eastAsia="宋体" w:cs="宋体"/>
          <w:b/>
          <w:bCs/>
          <w:color w:val="auto"/>
          <w:szCs w:val="21"/>
        </w:rPr>
        <w:t>非残疾人福利性单位无需提供此函。</w:t>
      </w:r>
    </w:p>
    <w:p w14:paraId="01E09D15">
      <w:pPr>
        <w:pageBreakBefore w:val="0"/>
        <w:tabs>
          <w:tab w:val="left" w:pos="5670"/>
        </w:tabs>
        <w:kinsoku/>
        <w:bidi w:val="0"/>
        <w:spacing w:line="360" w:lineRule="auto"/>
        <w:ind w:firstLine="420" w:firstLineChars="200"/>
        <w:outlineLvl w:val="9"/>
        <w:rPr>
          <w:rFonts w:hint="eastAsia" w:ascii="宋体" w:hAnsi="宋体" w:eastAsia="宋体" w:cs="宋体"/>
          <w:color w:val="auto"/>
          <w:szCs w:val="21"/>
        </w:rPr>
      </w:pPr>
    </w:p>
    <w:p w14:paraId="7F398C85">
      <w:pPr>
        <w:pageBreakBefore w:val="0"/>
        <w:tabs>
          <w:tab w:val="left" w:pos="5670"/>
        </w:tabs>
        <w:kinsoku/>
        <w:bidi w:val="0"/>
        <w:spacing w:line="360" w:lineRule="auto"/>
        <w:jc w:val="center"/>
        <w:outlineLvl w:val="9"/>
        <w:rPr>
          <w:rFonts w:hint="eastAsia" w:ascii="宋体" w:hAnsi="宋体" w:eastAsia="宋体" w:cs="宋体"/>
          <w:b/>
          <w:color w:val="auto"/>
          <w:spacing w:val="6"/>
          <w:sz w:val="28"/>
          <w:szCs w:val="28"/>
        </w:rPr>
      </w:pPr>
      <w:r>
        <w:rPr>
          <w:rFonts w:hint="eastAsia" w:ascii="宋体" w:hAnsi="宋体" w:eastAsia="宋体" w:cs="宋体"/>
          <w:b/>
          <w:bCs/>
          <w:color w:val="auto"/>
          <w:sz w:val="36"/>
          <w:szCs w:val="36"/>
        </w:rPr>
        <w:br w:type="page"/>
      </w:r>
      <w:bookmarkStart w:id="177" w:name="_Toc3485"/>
      <w:r>
        <w:rPr>
          <w:rFonts w:hint="eastAsia" w:ascii="宋体" w:hAnsi="宋体" w:eastAsia="宋体" w:cs="宋体"/>
          <w:b/>
          <w:bCs/>
          <w:color w:val="auto"/>
          <w:sz w:val="28"/>
          <w:szCs w:val="28"/>
        </w:rPr>
        <w:t>3.</w:t>
      </w:r>
      <w:r>
        <w:rPr>
          <w:rFonts w:hint="eastAsia" w:ascii="宋体" w:hAnsi="宋体" w:eastAsia="宋体" w:cs="宋体"/>
          <w:b/>
          <w:color w:val="auto"/>
          <w:spacing w:val="6"/>
          <w:sz w:val="28"/>
          <w:szCs w:val="28"/>
        </w:rPr>
        <w:t>监狱企业证明函</w:t>
      </w:r>
      <w:bookmarkEnd w:id="177"/>
    </w:p>
    <w:p w14:paraId="178EE9BC">
      <w:pPr>
        <w:pStyle w:val="11"/>
        <w:pageBreakBefore w:val="0"/>
        <w:kinsoku/>
        <w:bidi w:val="0"/>
        <w:spacing w:line="360" w:lineRule="auto"/>
        <w:outlineLvl w:val="9"/>
        <w:rPr>
          <w:rFonts w:hint="eastAsia" w:ascii="宋体" w:hAnsi="宋体" w:eastAsia="宋体" w:cs="宋体"/>
          <w:color w:val="auto"/>
        </w:rPr>
      </w:pPr>
    </w:p>
    <w:p w14:paraId="240BD924">
      <w:pPr>
        <w:pageBreakBefore w:val="0"/>
        <w:kinsoku/>
        <w:bidi w:val="0"/>
        <w:spacing w:line="360" w:lineRule="auto"/>
        <w:jc w:val="center"/>
        <w:outlineLvl w:val="9"/>
        <w:rPr>
          <w:rFonts w:hint="eastAsia" w:ascii="宋体" w:hAnsi="宋体" w:eastAsia="宋体" w:cs="宋体"/>
          <w:color w:val="auto"/>
          <w:sz w:val="24"/>
        </w:rPr>
      </w:pPr>
      <w:bookmarkStart w:id="178" w:name="_Toc6351"/>
      <w:r>
        <w:rPr>
          <w:rFonts w:hint="eastAsia" w:ascii="宋体" w:hAnsi="宋体" w:eastAsia="宋体" w:cs="宋体"/>
          <w:color w:val="auto"/>
          <w:sz w:val="24"/>
        </w:rPr>
        <w:t>（注：符合条件的监狱企业请提供本函，不符合的不提供本函）</w:t>
      </w:r>
      <w:bookmarkEnd w:id="178"/>
    </w:p>
    <w:p w14:paraId="24ED0054">
      <w:pPr>
        <w:pageBreakBefore w:val="0"/>
        <w:kinsoku/>
        <w:bidi w:val="0"/>
        <w:spacing w:line="360" w:lineRule="auto"/>
        <w:outlineLvl w:val="9"/>
        <w:rPr>
          <w:rFonts w:hint="eastAsia" w:ascii="宋体" w:hAnsi="宋体" w:eastAsia="宋体" w:cs="宋体"/>
          <w:color w:val="auto"/>
        </w:rPr>
      </w:pPr>
    </w:p>
    <w:p w14:paraId="58402411">
      <w:pPr>
        <w:pageBreakBefore w:val="0"/>
        <w:kinsoku/>
        <w:bidi w:val="0"/>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监狱企业参加政府采购活动，要求享受相关优惠政策的，应当提供由省级以上监狱管理局、戒毒管理局（含新疆生产建设兵团）出具的属于监狱企业的证明文件。</w:t>
      </w:r>
    </w:p>
    <w:p w14:paraId="1B86CE41">
      <w:pPr>
        <w:pageBreakBefore w:val="0"/>
        <w:kinsoku/>
        <w:bidi w:val="0"/>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6E6452">
      <w:pPr>
        <w:pStyle w:val="17"/>
        <w:pageBreakBefore w:val="0"/>
        <w:kinsoku/>
        <w:bidi w:val="0"/>
        <w:spacing w:line="360" w:lineRule="auto"/>
        <w:ind w:firstLine="183"/>
        <w:outlineLvl w:val="9"/>
        <w:rPr>
          <w:rFonts w:hint="eastAsia" w:ascii="宋体" w:hAnsi="宋体" w:eastAsia="宋体" w:cs="宋体"/>
          <w:color w:val="auto"/>
        </w:rPr>
      </w:pPr>
    </w:p>
    <w:p w14:paraId="37D5D050">
      <w:pPr>
        <w:pageBreakBefore w:val="0"/>
        <w:kinsoku/>
        <w:bidi w:val="0"/>
        <w:spacing w:line="360" w:lineRule="auto"/>
        <w:outlineLvl w:val="9"/>
        <w:rPr>
          <w:rFonts w:hint="eastAsia" w:ascii="宋体" w:hAnsi="宋体" w:eastAsia="宋体" w:cs="宋体"/>
          <w:color w:val="auto"/>
        </w:rPr>
      </w:pPr>
    </w:p>
    <w:p w14:paraId="17F746EE">
      <w:pPr>
        <w:pageBreakBefore w:val="0"/>
        <w:kinsoku/>
        <w:bidi w:val="0"/>
        <w:spacing w:line="360" w:lineRule="auto"/>
        <w:outlineLvl w:val="9"/>
        <w:rPr>
          <w:rFonts w:hint="eastAsia" w:ascii="宋体" w:hAnsi="宋体" w:eastAsia="宋体" w:cs="宋体"/>
          <w:color w:val="auto"/>
        </w:rPr>
      </w:pPr>
    </w:p>
    <w:p w14:paraId="73D5ED2A">
      <w:pPr>
        <w:pageBreakBefore w:val="0"/>
        <w:kinsoku/>
        <w:bidi w:val="0"/>
        <w:spacing w:line="360" w:lineRule="auto"/>
        <w:outlineLvl w:val="9"/>
        <w:rPr>
          <w:rFonts w:hint="eastAsia" w:ascii="宋体" w:hAnsi="宋体" w:eastAsia="宋体" w:cs="宋体"/>
          <w:color w:val="auto"/>
        </w:rPr>
      </w:pPr>
    </w:p>
    <w:p w14:paraId="14FDAF09">
      <w:pPr>
        <w:pageBreakBefore w:val="0"/>
        <w:kinsoku/>
        <w:bidi w:val="0"/>
        <w:spacing w:line="360" w:lineRule="auto"/>
        <w:outlineLvl w:val="9"/>
        <w:rPr>
          <w:rFonts w:hint="eastAsia" w:ascii="宋体" w:hAnsi="宋体" w:eastAsia="宋体" w:cs="宋体"/>
          <w:color w:val="auto"/>
        </w:rPr>
      </w:pPr>
    </w:p>
    <w:p w14:paraId="721E0F8F">
      <w:pPr>
        <w:pageBreakBefore w:val="0"/>
        <w:kinsoku/>
        <w:bidi w:val="0"/>
        <w:spacing w:line="360" w:lineRule="auto"/>
        <w:outlineLvl w:val="9"/>
        <w:rPr>
          <w:rFonts w:hint="eastAsia" w:ascii="宋体" w:hAnsi="宋体" w:eastAsia="宋体" w:cs="宋体"/>
          <w:color w:val="auto"/>
        </w:rPr>
      </w:pPr>
    </w:p>
    <w:p w14:paraId="2DB9E9A0">
      <w:pPr>
        <w:pageBreakBefore w:val="0"/>
        <w:kinsoku/>
        <w:bidi w:val="0"/>
        <w:spacing w:line="360" w:lineRule="auto"/>
        <w:outlineLvl w:val="9"/>
        <w:rPr>
          <w:rFonts w:hint="eastAsia" w:ascii="宋体" w:hAnsi="宋体" w:eastAsia="宋体" w:cs="宋体"/>
          <w:color w:val="auto"/>
        </w:rPr>
      </w:pPr>
    </w:p>
    <w:p w14:paraId="7D990ECC">
      <w:pPr>
        <w:pageBreakBefore w:val="0"/>
        <w:widowControl/>
        <w:kinsoku/>
        <w:bidi w:val="0"/>
        <w:spacing w:line="360" w:lineRule="auto"/>
        <w:jc w:val="left"/>
        <w:outlineLvl w:val="9"/>
        <w:rPr>
          <w:rFonts w:hint="eastAsia" w:ascii="宋体" w:hAnsi="宋体" w:eastAsia="宋体" w:cs="宋体"/>
          <w:color w:val="auto"/>
          <w:kern w:val="0"/>
          <w:sz w:val="24"/>
          <w:u w:val="single"/>
        </w:rPr>
      </w:pPr>
      <w:r>
        <w:rPr>
          <w:rFonts w:hint="eastAsia" w:ascii="宋体" w:hAnsi="宋体" w:eastAsia="宋体" w:cs="宋体"/>
          <w:color w:val="auto"/>
        </w:rPr>
        <w:tab/>
      </w:r>
      <w:r>
        <w:rPr>
          <w:rFonts w:hint="eastAsia" w:ascii="宋体" w:hAnsi="宋体" w:eastAsia="宋体" w:cs="宋体"/>
          <w:color w:val="auto"/>
        </w:rPr>
        <w:t xml:space="preserve"> </w:t>
      </w:r>
      <w:r>
        <w:rPr>
          <w:rFonts w:hint="eastAsia" w:ascii="宋体" w:hAnsi="宋体" w:eastAsia="宋体" w:cs="宋体"/>
          <w:color w:val="auto"/>
          <w:kern w:val="0"/>
          <w:sz w:val="24"/>
        </w:rPr>
        <w:t>供应商（盖章）：</w:t>
      </w:r>
      <w:r>
        <w:rPr>
          <w:rFonts w:hint="eastAsia" w:ascii="宋体" w:hAnsi="宋体" w:eastAsia="宋体" w:cs="宋体"/>
          <w:color w:val="auto"/>
          <w:kern w:val="0"/>
          <w:sz w:val="24"/>
          <w:u w:val="single"/>
        </w:rPr>
        <w:t xml:space="preserve">                                               </w:t>
      </w:r>
    </w:p>
    <w:p w14:paraId="5578EDB8">
      <w:pPr>
        <w:pageBreakBefore w:val="0"/>
        <w:widowControl/>
        <w:kinsoku/>
        <w:bidi w:val="0"/>
        <w:spacing w:line="360" w:lineRule="auto"/>
        <w:ind w:firstLine="482"/>
        <w:jc w:val="left"/>
        <w:outlineLvl w:val="9"/>
        <w:rPr>
          <w:rFonts w:hint="eastAsia" w:ascii="宋体" w:hAnsi="宋体" w:eastAsia="宋体" w:cs="宋体"/>
          <w:color w:val="auto"/>
          <w:kern w:val="0"/>
          <w:sz w:val="24"/>
        </w:rPr>
      </w:pPr>
    </w:p>
    <w:p w14:paraId="039CD9D1">
      <w:pPr>
        <w:pageBreakBefore w:val="0"/>
        <w:widowControl/>
        <w:kinsoku/>
        <w:bidi w:val="0"/>
        <w:spacing w:line="360" w:lineRule="auto"/>
        <w:ind w:firstLine="480" w:firstLineChars="200"/>
        <w:jc w:val="left"/>
        <w:outlineLvl w:val="9"/>
        <w:rPr>
          <w:rFonts w:hint="eastAsia" w:ascii="宋体" w:hAnsi="宋体" w:eastAsia="宋体" w:cs="宋体"/>
          <w:color w:val="auto"/>
          <w:kern w:val="0"/>
          <w:sz w:val="24"/>
          <w:u w:val="single"/>
        </w:rPr>
      </w:pPr>
      <w:r>
        <w:rPr>
          <w:rFonts w:hint="eastAsia" w:ascii="宋体" w:hAnsi="宋体" w:eastAsia="宋体" w:cs="宋体"/>
          <w:color w:val="auto"/>
          <w:kern w:val="0"/>
          <w:sz w:val="24"/>
        </w:rPr>
        <w:t>承诺人（签字）：</w:t>
      </w:r>
      <w:r>
        <w:rPr>
          <w:rFonts w:hint="eastAsia" w:ascii="宋体" w:hAnsi="宋体" w:eastAsia="宋体" w:cs="宋体"/>
          <w:color w:val="auto"/>
          <w:kern w:val="0"/>
          <w:sz w:val="24"/>
          <w:u w:val="single"/>
        </w:rPr>
        <w:t xml:space="preserve">                 </w:t>
      </w:r>
    </w:p>
    <w:p w14:paraId="6EECC2DA">
      <w:pPr>
        <w:pageBreakBefore w:val="0"/>
        <w:widowControl/>
        <w:kinsoku/>
        <w:bidi w:val="0"/>
        <w:spacing w:line="360" w:lineRule="auto"/>
        <w:ind w:firstLine="482"/>
        <w:jc w:val="left"/>
        <w:outlineLvl w:val="9"/>
        <w:rPr>
          <w:rFonts w:hint="eastAsia" w:ascii="宋体" w:hAnsi="宋体" w:eastAsia="宋体" w:cs="宋体"/>
          <w:color w:val="auto"/>
          <w:kern w:val="0"/>
          <w:sz w:val="24"/>
          <w:u w:val="single"/>
        </w:rPr>
      </w:pPr>
    </w:p>
    <w:p w14:paraId="29F15B71">
      <w:pPr>
        <w:pageBreakBefore w:val="0"/>
        <w:widowControl/>
        <w:kinsoku/>
        <w:bidi w:val="0"/>
        <w:spacing w:line="360" w:lineRule="auto"/>
        <w:ind w:firstLine="480" w:firstLineChars="200"/>
        <w:jc w:val="left"/>
        <w:outlineLvl w:val="9"/>
        <w:rPr>
          <w:rFonts w:hint="eastAsia" w:asciiTheme="minorEastAsia" w:hAnsiTheme="minorEastAsia" w:eastAsiaTheme="minorEastAsia" w:cstheme="minorEastAsia"/>
          <w:color w:val="auto"/>
          <w:kern w:val="0"/>
          <w:sz w:val="24"/>
        </w:rPr>
      </w:pPr>
      <w:r>
        <w:rPr>
          <w:rFonts w:hint="eastAsia" w:ascii="宋体" w:hAnsi="宋体" w:eastAsia="宋体" w:cs="宋体"/>
          <w:color w:val="auto"/>
          <w:kern w:val="0"/>
          <w:sz w:val="24"/>
        </w:rPr>
        <w:t>承诺时间：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4C7AD6A1">
      <w:pPr>
        <w:pageBreakBefore w:val="0"/>
        <w:kinsoku/>
        <w:bidi w:val="0"/>
        <w:spacing w:line="360" w:lineRule="auto"/>
        <w:outlineLvl w:val="9"/>
        <w:rPr>
          <w:rFonts w:hint="eastAsia" w:asciiTheme="minorEastAsia" w:hAnsiTheme="minorEastAsia" w:eastAsiaTheme="minorEastAsia" w:cstheme="minorEastAsia"/>
          <w:color w:val="auto"/>
        </w:rPr>
      </w:pPr>
    </w:p>
    <w:p w14:paraId="0CF6182A">
      <w:pPr>
        <w:pStyle w:val="11"/>
        <w:pageBreakBefore w:val="0"/>
        <w:kinsoku/>
        <w:bidi w:val="0"/>
        <w:spacing w:line="360" w:lineRule="auto"/>
        <w:outlineLvl w:val="9"/>
        <w:rPr>
          <w:rFonts w:hint="eastAsia" w:asciiTheme="minorEastAsia" w:hAnsiTheme="minorEastAsia" w:eastAsiaTheme="minorEastAsia" w:cstheme="minorEastAsia"/>
          <w:color w:val="auto"/>
          <w:sz w:val="24"/>
          <w:szCs w:val="24"/>
        </w:rPr>
        <w:sectPr>
          <w:footerReference r:id="rId11" w:type="default"/>
          <w:pgSz w:w="11906" w:h="16838"/>
          <w:pgMar w:top="1440" w:right="1287" w:bottom="1440" w:left="1440" w:header="850" w:footer="992" w:gutter="0"/>
          <w:pgNumType w:fmt="decimal"/>
          <w:cols w:space="720" w:num="1"/>
          <w:titlePg/>
          <w:docGrid w:linePitch="360" w:charSpace="0"/>
        </w:sectPr>
      </w:pPr>
    </w:p>
    <w:bookmarkEnd w:id="173"/>
    <w:bookmarkEnd w:id="174"/>
    <w:bookmarkEnd w:id="175"/>
    <w:p w14:paraId="28D956A9">
      <w:pPr>
        <w:pageBreakBefore w:val="0"/>
        <w:numPr>
          <w:ilvl w:val="0"/>
          <w:numId w:val="0"/>
        </w:numPr>
        <w:kinsoku/>
        <w:overflowPunct/>
        <w:topLinePunct w:val="0"/>
        <w:bidi w:val="0"/>
        <w:spacing w:line="360" w:lineRule="auto"/>
        <w:ind w:firstLine="964" w:firstLineChars="300"/>
        <w:jc w:val="center"/>
        <w:outlineLvl w:val="9"/>
        <w:rPr>
          <w:rFonts w:hint="eastAsia" w:asciiTheme="minorEastAsia" w:hAnsiTheme="minorEastAsia" w:eastAsiaTheme="minorEastAsia" w:cstheme="minorEastAsia"/>
          <w:b/>
          <w:bCs/>
          <w:color w:val="auto"/>
          <w:kern w:val="2"/>
          <w:sz w:val="32"/>
          <w:szCs w:val="32"/>
          <w:lang w:val="en-US" w:eastAsia="zh-CN" w:bidi="ar-SA"/>
        </w:rPr>
      </w:pPr>
      <w:bookmarkStart w:id="179" w:name="_Toc22483"/>
      <w:r>
        <w:rPr>
          <w:rFonts w:hint="eastAsia" w:asciiTheme="minorEastAsia" w:hAnsiTheme="minorEastAsia" w:eastAsiaTheme="minorEastAsia" w:cstheme="minorEastAsia"/>
          <w:b/>
          <w:bCs/>
          <w:color w:val="auto"/>
          <w:kern w:val="2"/>
          <w:sz w:val="32"/>
          <w:szCs w:val="32"/>
          <w:lang w:val="en-US" w:eastAsia="zh-CN" w:bidi="ar-SA"/>
        </w:rPr>
        <w:t>第七章  榆林市公共资源交易平台全流程电子化</w:t>
      </w:r>
      <w:bookmarkStart w:id="180" w:name="_Toc23465"/>
      <w:r>
        <w:rPr>
          <w:rFonts w:hint="eastAsia" w:asciiTheme="minorEastAsia" w:hAnsiTheme="minorEastAsia" w:eastAsiaTheme="minorEastAsia" w:cstheme="minorEastAsia"/>
          <w:b/>
          <w:bCs/>
          <w:color w:val="auto"/>
          <w:kern w:val="2"/>
          <w:sz w:val="32"/>
          <w:szCs w:val="32"/>
          <w:lang w:val="en-US" w:eastAsia="zh-CN" w:bidi="ar-SA"/>
        </w:rPr>
        <w:t>政府采购项目内容</w:t>
      </w:r>
      <w:bookmarkEnd w:id="179"/>
      <w:bookmarkEnd w:id="180"/>
    </w:p>
    <w:p w14:paraId="1C28AC85">
      <w:pPr>
        <w:pageBreakBefore w:val="0"/>
        <w:kinsoku/>
        <w:bidi w:val="0"/>
        <w:spacing w:line="360" w:lineRule="auto"/>
        <w:outlineLvl w:val="9"/>
        <w:rPr>
          <w:rFonts w:hint="eastAsia" w:ascii="宋体" w:hAnsi="宋体" w:cs="宋体"/>
          <w:bCs/>
          <w:color w:val="auto"/>
          <w:sz w:val="24"/>
        </w:rPr>
      </w:pPr>
      <w:bookmarkStart w:id="181" w:name="_Toc5026"/>
      <w:bookmarkStart w:id="182" w:name="_Toc7893"/>
      <w:bookmarkStart w:id="183" w:name="_Toc13044"/>
      <w:bookmarkStart w:id="184" w:name="_Toc29408"/>
      <w:bookmarkStart w:id="185" w:name="_Toc24424"/>
      <w:bookmarkStart w:id="186" w:name="_Toc17329"/>
      <w:bookmarkStart w:id="187" w:name="_Toc30256"/>
      <w:bookmarkStart w:id="188" w:name="_Toc19434"/>
      <w:bookmarkStart w:id="189" w:name="_Toc17326"/>
      <w:bookmarkStart w:id="190" w:name="_Toc21640"/>
      <w:bookmarkStart w:id="191" w:name="_Toc2927"/>
      <w:bookmarkStart w:id="192" w:name="_Toc13032"/>
      <w:r>
        <w:rPr>
          <w:rFonts w:hint="eastAsia" w:ascii="宋体" w:hAnsi="宋体" w:cs="宋体"/>
          <w:bCs/>
          <w:color w:val="auto"/>
          <w:sz w:val="24"/>
        </w:rPr>
        <w:t>一、关于需要特别提醒供应商的内容</w:t>
      </w:r>
      <w:bookmarkEnd w:id="181"/>
      <w:bookmarkEnd w:id="182"/>
      <w:bookmarkEnd w:id="183"/>
      <w:bookmarkEnd w:id="184"/>
      <w:bookmarkEnd w:id="185"/>
      <w:bookmarkEnd w:id="186"/>
      <w:bookmarkEnd w:id="187"/>
      <w:bookmarkEnd w:id="188"/>
      <w:bookmarkEnd w:id="189"/>
    </w:p>
    <w:p w14:paraId="100D5633">
      <w:pPr>
        <w:pageBreakBefore w:val="0"/>
        <w:kinsoku/>
        <w:bidi w:val="0"/>
        <w:spacing w:line="360" w:lineRule="auto"/>
        <w:ind w:firstLine="480" w:firstLineChars="200"/>
        <w:outlineLvl w:val="9"/>
        <w:rPr>
          <w:rFonts w:hint="eastAsia" w:ascii="宋体" w:hAnsi="宋体" w:cs="宋体"/>
          <w:bCs/>
          <w:color w:val="auto"/>
          <w:sz w:val="24"/>
        </w:rPr>
      </w:pPr>
      <w:bookmarkStart w:id="193" w:name="_Toc3743"/>
      <w:bookmarkStart w:id="194" w:name="_Toc31636"/>
      <w:bookmarkStart w:id="195" w:name="_Toc21468"/>
      <w:bookmarkStart w:id="196" w:name="_Toc19423"/>
      <w:bookmarkStart w:id="197" w:name="_Toc21400"/>
      <w:bookmarkStart w:id="198" w:name="_Toc28365"/>
      <w:bookmarkStart w:id="199" w:name="_Toc9072"/>
      <w:bookmarkStart w:id="200" w:name="_Toc11575"/>
      <w:bookmarkStart w:id="201" w:name="_Toc22444"/>
      <w:r>
        <w:rPr>
          <w:rFonts w:hint="eastAsia" w:ascii="宋体" w:hAnsi="宋体" w:cs="宋体"/>
          <w:bCs/>
          <w:color w:val="auto"/>
          <w:sz w:val="24"/>
        </w:rPr>
        <w:t>1、本项目采用电子化投标的方式投标，投标人须使用数字认证证书（CA锁）对电子投标文件进行签章、加密、递交及开标时解密等相关招投标事宜。</w:t>
      </w:r>
      <w:bookmarkEnd w:id="193"/>
      <w:bookmarkEnd w:id="194"/>
      <w:bookmarkEnd w:id="195"/>
      <w:bookmarkEnd w:id="196"/>
      <w:bookmarkEnd w:id="197"/>
    </w:p>
    <w:p w14:paraId="44E7644E">
      <w:pPr>
        <w:pageBreakBefore w:val="0"/>
        <w:kinsoku/>
        <w:bidi w:val="0"/>
        <w:spacing w:line="360" w:lineRule="auto"/>
        <w:ind w:firstLine="480" w:firstLineChars="200"/>
        <w:outlineLvl w:val="9"/>
        <w:rPr>
          <w:rFonts w:hint="eastAsia" w:ascii="宋体" w:hAnsi="宋体" w:cs="宋体"/>
          <w:bCs/>
          <w:color w:val="auto"/>
          <w:sz w:val="24"/>
        </w:rPr>
      </w:pPr>
      <w:bookmarkStart w:id="202" w:name="_Toc21967"/>
      <w:bookmarkStart w:id="203" w:name="_Toc16386"/>
      <w:bookmarkStart w:id="204" w:name="_Toc26209"/>
      <w:bookmarkStart w:id="205" w:name="_Toc29324"/>
      <w:bookmarkStart w:id="206" w:name="_Toc8218"/>
      <w:r>
        <w:rPr>
          <w:rFonts w:hint="eastAsia" w:ascii="宋体" w:hAnsi="宋体" w:cs="宋体"/>
          <w:bCs/>
          <w:color w:val="auto"/>
          <w:sz w:val="24"/>
        </w:rPr>
        <w:t>2、制作电子投标文件</w:t>
      </w:r>
      <w:bookmarkEnd w:id="202"/>
      <w:bookmarkEnd w:id="203"/>
      <w:bookmarkEnd w:id="204"/>
      <w:bookmarkEnd w:id="205"/>
      <w:bookmarkEnd w:id="206"/>
    </w:p>
    <w:p w14:paraId="6BE9E7C4">
      <w:pPr>
        <w:pageBreakBefore w:val="0"/>
        <w:kinsoku/>
        <w:bidi w:val="0"/>
        <w:spacing w:line="360" w:lineRule="auto"/>
        <w:ind w:firstLine="480" w:firstLineChars="200"/>
        <w:outlineLvl w:val="9"/>
        <w:rPr>
          <w:rFonts w:hint="eastAsia" w:ascii="宋体" w:hAnsi="宋体" w:cs="宋体"/>
          <w:bCs/>
          <w:color w:val="auto"/>
          <w:sz w:val="24"/>
        </w:rPr>
      </w:pPr>
      <w:bookmarkStart w:id="207" w:name="_Toc22290"/>
      <w:bookmarkStart w:id="208" w:name="_Toc20309"/>
      <w:r>
        <w:rPr>
          <w:rFonts w:hint="eastAsia" w:ascii="宋体" w:hAnsi="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lang w:eastAsia="zh-CN"/>
        </w:rPr>
        <w:t>V8.0.0.4</w:t>
      </w:r>
      <w:r>
        <w:rPr>
          <w:rFonts w:hint="eastAsia" w:ascii="宋体" w:hAnsi="宋体" w:cs="宋体"/>
          <w:bCs/>
          <w:color w:val="auto"/>
          <w:sz w:val="24"/>
          <w:lang w:val="en-US" w:eastAsia="zh-CN"/>
        </w:rPr>
        <w:t>4</w:t>
      </w:r>
      <w:r>
        <w:rPr>
          <w:rFonts w:hint="eastAsia" w:ascii="宋体" w:hAnsi="宋体" w:cs="宋体"/>
          <w:bCs/>
          <w:color w:val="auto"/>
          <w:sz w:val="24"/>
        </w:rPr>
        <w:t>)”，并升级至最新版本，使用该客户端制作电子投标文件，制作扩展名为“.SXSTF”的电子投标文件。”</w:t>
      </w:r>
      <w:bookmarkEnd w:id="207"/>
      <w:bookmarkEnd w:id="208"/>
    </w:p>
    <w:p w14:paraId="0865ED43">
      <w:pPr>
        <w:pageBreakBefore w:val="0"/>
        <w:kinsoku/>
        <w:bidi w:val="0"/>
        <w:spacing w:line="360" w:lineRule="auto"/>
        <w:ind w:firstLine="480" w:firstLineChars="200"/>
        <w:outlineLvl w:val="9"/>
        <w:rPr>
          <w:rFonts w:hint="eastAsia" w:ascii="宋体" w:hAnsi="宋体" w:cs="宋体"/>
          <w:bCs/>
          <w:color w:val="auto"/>
          <w:sz w:val="24"/>
        </w:rPr>
      </w:pPr>
      <w:bookmarkStart w:id="209" w:name="_Toc29229"/>
      <w:bookmarkStart w:id="210" w:name="_Toc15991"/>
      <w:bookmarkStart w:id="211" w:name="_Toc11240"/>
      <w:bookmarkStart w:id="212" w:name="_Toc8778"/>
      <w:bookmarkStart w:id="213" w:name="_Toc26633"/>
      <w:r>
        <w:rPr>
          <w:rFonts w:hint="eastAsia" w:ascii="宋体" w:hAnsi="宋体" w:cs="宋体"/>
          <w:bCs/>
          <w:color w:val="auto"/>
          <w:sz w:val="24"/>
        </w:rPr>
        <w:t>3、递交电子投标文件</w:t>
      </w:r>
      <w:bookmarkEnd w:id="209"/>
      <w:bookmarkEnd w:id="210"/>
      <w:bookmarkEnd w:id="211"/>
      <w:bookmarkEnd w:id="212"/>
      <w:bookmarkEnd w:id="213"/>
    </w:p>
    <w:p w14:paraId="5FF753D0">
      <w:pPr>
        <w:pageBreakBefore w:val="0"/>
        <w:kinsoku/>
        <w:bidi w:val="0"/>
        <w:spacing w:line="360" w:lineRule="auto"/>
        <w:ind w:firstLine="480" w:firstLineChars="200"/>
        <w:outlineLvl w:val="9"/>
        <w:rPr>
          <w:rFonts w:hint="eastAsia" w:ascii="宋体" w:hAnsi="宋体" w:cs="宋体"/>
          <w:bCs/>
          <w:color w:val="auto"/>
          <w:sz w:val="24"/>
        </w:rPr>
      </w:pPr>
      <w:bookmarkStart w:id="214" w:name="_Toc10172"/>
      <w:bookmarkStart w:id="215" w:name="_Toc2403"/>
      <w:bookmarkStart w:id="216" w:name="_Toc26499"/>
      <w:bookmarkStart w:id="217" w:name="_Toc26907"/>
      <w:bookmarkStart w:id="218" w:name="_Toc12111"/>
      <w:r>
        <w:rPr>
          <w:rFonts w:hint="eastAsia" w:ascii="宋体" w:hAnsi="宋体" w:cs="宋体"/>
          <w:bCs/>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214"/>
      <w:bookmarkEnd w:id="215"/>
      <w:bookmarkEnd w:id="216"/>
      <w:bookmarkEnd w:id="217"/>
      <w:bookmarkEnd w:id="218"/>
    </w:p>
    <w:bookmarkEnd w:id="198"/>
    <w:bookmarkEnd w:id="199"/>
    <w:bookmarkEnd w:id="200"/>
    <w:bookmarkEnd w:id="201"/>
    <w:p w14:paraId="0178CF71">
      <w:pPr>
        <w:pageBreakBefore w:val="0"/>
        <w:kinsoku/>
        <w:bidi w:val="0"/>
        <w:spacing w:line="360" w:lineRule="auto"/>
        <w:outlineLvl w:val="9"/>
        <w:rPr>
          <w:rFonts w:hint="eastAsia" w:ascii="宋体" w:hAnsi="宋体" w:cs="宋体"/>
          <w:bCs/>
          <w:color w:val="auto"/>
          <w:sz w:val="24"/>
        </w:rPr>
      </w:pPr>
      <w:bookmarkStart w:id="219" w:name="_Toc22823"/>
      <w:bookmarkStart w:id="220" w:name="_Toc23397"/>
      <w:bookmarkStart w:id="221" w:name="_Toc18685"/>
      <w:bookmarkStart w:id="222" w:name="_Toc17398"/>
      <w:bookmarkStart w:id="223" w:name="_Toc2638"/>
      <w:bookmarkStart w:id="224" w:name="_Toc6717"/>
      <w:bookmarkStart w:id="225" w:name="_Toc2373"/>
      <w:bookmarkStart w:id="226" w:name="_Toc31754"/>
      <w:bookmarkStart w:id="227" w:name="_Toc14917"/>
      <w:r>
        <w:rPr>
          <w:rFonts w:hint="eastAsia" w:ascii="宋体" w:hAnsi="宋体" w:cs="宋体"/>
          <w:bCs/>
          <w:color w:val="auto"/>
          <w:sz w:val="24"/>
          <w:lang w:val="en-US" w:eastAsia="zh-CN"/>
        </w:rPr>
        <w:t>二</w:t>
      </w:r>
      <w:r>
        <w:rPr>
          <w:rFonts w:hint="eastAsia" w:ascii="宋体" w:hAnsi="宋体" w:cs="宋体"/>
          <w:bCs/>
          <w:color w:val="auto"/>
          <w:sz w:val="24"/>
        </w:rPr>
        <w:t>、关于文件的制作和签名</w:t>
      </w:r>
      <w:bookmarkEnd w:id="219"/>
      <w:bookmarkEnd w:id="220"/>
      <w:bookmarkEnd w:id="221"/>
      <w:bookmarkEnd w:id="222"/>
      <w:bookmarkEnd w:id="223"/>
      <w:bookmarkEnd w:id="224"/>
      <w:bookmarkEnd w:id="225"/>
      <w:bookmarkEnd w:id="226"/>
      <w:bookmarkEnd w:id="227"/>
    </w:p>
    <w:p w14:paraId="29BB7254">
      <w:pPr>
        <w:pageBreakBefore w:val="0"/>
        <w:kinsoku/>
        <w:bidi w:val="0"/>
        <w:spacing w:line="360" w:lineRule="auto"/>
        <w:ind w:firstLine="480" w:firstLineChars="200"/>
        <w:outlineLvl w:val="9"/>
        <w:rPr>
          <w:rFonts w:hint="eastAsia" w:ascii="宋体" w:hAnsi="宋体" w:cs="宋体"/>
          <w:bCs/>
          <w:color w:val="auto"/>
          <w:sz w:val="24"/>
        </w:rPr>
      </w:pPr>
      <w:bookmarkStart w:id="228" w:name="_Toc22512"/>
      <w:r>
        <w:rPr>
          <w:rFonts w:hint="eastAsia" w:ascii="宋体" w:hAnsi="宋体" w:cs="宋体"/>
          <w:bCs/>
          <w:color w:val="auto"/>
          <w:sz w:val="24"/>
        </w:rPr>
        <w:t>1.</w:t>
      </w:r>
      <w:bookmarkEnd w:id="228"/>
      <w:bookmarkStart w:id="229" w:name="_Toc30680"/>
      <w:r>
        <w:rPr>
          <w:rFonts w:hint="eastAsia" w:ascii="宋体" w:hAnsi="宋体" w:cs="宋体"/>
          <w:bCs/>
          <w:color w:val="auto"/>
          <w:sz w:val="24"/>
        </w:rPr>
        <w:t xml:space="preserve"> 编制电子投标文件时，应使用最新发布的电子招标文件及专用制作工具进行编制。并使用数字认证证书（CA）对电子投标文件进行签署、加密、递交及开标时解密等相关操作。</w:t>
      </w:r>
      <w:bookmarkEnd w:id="229"/>
    </w:p>
    <w:p w14:paraId="2AD4F471">
      <w:pPr>
        <w:pageBreakBefore w:val="0"/>
        <w:kinsoku/>
        <w:bidi w:val="0"/>
        <w:spacing w:line="360" w:lineRule="auto"/>
        <w:ind w:firstLine="240" w:firstLineChars="100"/>
        <w:outlineLvl w:val="9"/>
        <w:rPr>
          <w:rFonts w:hint="eastAsia" w:ascii="宋体" w:hAnsi="宋体" w:cs="宋体"/>
          <w:bCs/>
          <w:color w:val="auto"/>
          <w:sz w:val="24"/>
        </w:rPr>
      </w:pPr>
      <w:bookmarkStart w:id="230" w:name="_Toc5190"/>
      <w:r>
        <w:rPr>
          <w:rFonts w:hint="eastAsia" w:ascii="宋体" w:hAnsi="宋体" w:cs="宋体"/>
          <w:bCs/>
          <w:color w:val="auto"/>
          <w:sz w:val="24"/>
        </w:rPr>
        <w:t>（1）电子招标文件下载</w:t>
      </w:r>
      <w:bookmarkEnd w:id="230"/>
    </w:p>
    <w:p w14:paraId="7E42D104">
      <w:pPr>
        <w:pageBreakBefore w:val="0"/>
        <w:kinsoku/>
        <w:bidi w:val="0"/>
        <w:spacing w:line="360" w:lineRule="auto"/>
        <w:ind w:firstLine="480" w:firstLineChars="200"/>
        <w:outlineLvl w:val="9"/>
        <w:rPr>
          <w:rFonts w:hint="eastAsia" w:ascii="宋体" w:hAnsi="宋体" w:cs="宋体"/>
          <w:bCs/>
          <w:color w:val="auto"/>
          <w:sz w:val="24"/>
        </w:rPr>
      </w:pPr>
      <w:bookmarkStart w:id="231" w:name="_Toc17854"/>
      <w:r>
        <w:rPr>
          <w:rFonts w:hint="eastAsia" w:ascii="宋体" w:hAnsi="宋体" w:cs="宋体"/>
          <w:bCs/>
          <w:color w:val="auto"/>
          <w:sz w:val="24"/>
        </w:rPr>
        <w:t>供应商登录全国公共资源交易平台（陕西省）网站[电子交易平台-企业端]后，在[我的项目]中点击“项目流程-交易文件下载”下载电子招标文件（*.SXSZF）;</w:t>
      </w:r>
      <w:bookmarkEnd w:id="231"/>
    </w:p>
    <w:p w14:paraId="3BC84266">
      <w:pPr>
        <w:pageBreakBefore w:val="0"/>
        <w:kinsoku/>
        <w:bidi w:val="0"/>
        <w:spacing w:line="360" w:lineRule="auto"/>
        <w:outlineLvl w:val="9"/>
        <w:rPr>
          <w:rFonts w:hint="eastAsia" w:ascii="宋体" w:hAnsi="宋体" w:cs="宋体"/>
          <w:bCs/>
          <w:color w:val="auto"/>
          <w:sz w:val="24"/>
        </w:rPr>
      </w:pPr>
      <w:bookmarkStart w:id="232" w:name="_Toc27523"/>
      <w:r>
        <w:rPr>
          <w:rFonts w:hint="eastAsia" w:ascii="宋体" w:hAnsi="宋体" w:cs="宋体"/>
          <w:bCs/>
          <w:color w:val="auto"/>
          <w:sz w:val="24"/>
        </w:rPr>
        <w:t>注意：该项目如有变更文件，则应点击“项目流程&gt;答疑文件下载”下载更新后的电子招标文件（*.SXSCF），使用旧版电子招标文件制作的电子投标文件，系统将拒绝接收。</w:t>
      </w:r>
      <w:bookmarkEnd w:id="232"/>
    </w:p>
    <w:p w14:paraId="4CAFEEB5">
      <w:pPr>
        <w:pageBreakBefore w:val="0"/>
        <w:kinsoku/>
        <w:bidi w:val="0"/>
        <w:spacing w:line="360" w:lineRule="auto"/>
        <w:ind w:firstLine="240" w:firstLineChars="100"/>
        <w:outlineLvl w:val="9"/>
        <w:rPr>
          <w:rFonts w:hint="eastAsia" w:ascii="宋体" w:hAnsi="宋体" w:cs="宋体"/>
          <w:bCs/>
          <w:color w:val="auto"/>
          <w:sz w:val="24"/>
          <w:highlight w:val="none"/>
        </w:rPr>
      </w:pPr>
      <w:bookmarkStart w:id="233" w:name="_Toc8282"/>
      <w:r>
        <w:rPr>
          <w:rFonts w:hint="eastAsia" w:ascii="宋体" w:hAnsi="宋体" w:cs="宋体"/>
          <w:bCs/>
          <w:color w:val="auto"/>
          <w:sz w:val="24"/>
        </w:rPr>
        <w:t>（2）电子招标文件需要使用专用软件打开、浏览</w:t>
      </w:r>
      <w:bookmarkEnd w:id="233"/>
      <w:bookmarkStart w:id="234" w:name="_Toc20814"/>
      <w:r>
        <w:rPr>
          <w:rFonts w:hint="eastAsia" w:ascii="宋体" w:hAnsi="宋体" w:cs="宋体"/>
          <w:bCs/>
          <w:color w:val="auto"/>
          <w:sz w:val="24"/>
          <w:lang w:eastAsia="zh-CN"/>
        </w:rPr>
        <w:t>，</w:t>
      </w:r>
      <w:r>
        <w:rPr>
          <w:rFonts w:hint="eastAsia" w:ascii="宋体" w:hAnsi="宋体" w:cs="宋体"/>
          <w:bCs/>
          <w:color w:val="auto"/>
          <w:sz w:val="24"/>
        </w:rPr>
        <w:t>供应商登录全国公共资源交易平台（陕西省）网站[服务指南-下载专区]免费下载《陕西省公共资源交易平台政府采购电子标书制作工具(</w:t>
      </w:r>
      <w:r>
        <w:rPr>
          <w:rFonts w:hint="eastAsia" w:ascii="宋体" w:hAnsi="宋体" w:cs="宋体"/>
          <w:bCs/>
          <w:color w:val="auto"/>
          <w:sz w:val="24"/>
          <w:lang w:eastAsia="zh-CN"/>
        </w:rPr>
        <w:t>V8.0.0.4</w:t>
      </w:r>
      <w:r>
        <w:rPr>
          <w:rFonts w:hint="eastAsia" w:ascii="宋体" w:hAnsi="宋体" w:cs="宋体"/>
          <w:bCs/>
          <w:color w:val="auto"/>
          <w:sz w:val="24"/>
          <w:lang w:val="en-US" w:eastAsia="zh-CN"/>
        </w:rPr>
        <w:t>4</w:t>
      </w:r>
      <w:r>
        <w:rPr>
          <w:rFonts w:hint="eastAsia" w:ascii="宋体" w:hAnsi="宋体" w:cs="宋体"/>
          <w:bCs/>
          <w:color w:val="auto"/>
          <w:sz w:val="24"/>
        </w:rPr>
        <w:t>)》，下载网址：</w:t>
      </w:r>
      <w:r>
        <w:rPr>
          <w:rFonts w:hint="eastAsia" w:ascii="宋体" w:hAnsi="宋体" w:cs="宋体"/>
          <w:bCs/>
          <w:color w:val="auto"/>
          <w:sz w:val="24"/>
        </w:rPr>
        <w:fldChar w:fldCharType="begin"/>
      </w:r>
      <w:r>
        <w:rPr>
          <w:rFonts w:hint="eastAsia" w:ascii="宋体" w:hAnsi="宋体" w:cs="宋体"/>
          <w:bCs/>
          <w:color w:val="auto"/>
          <w:sz w:val="24"/>
        </w:rPr>
        <w:instrText xml:space="preserve"> HYPERLINK "https://download.bqpoint.com/download/downloaddetail.html?SourceFrom=Ztb&amp;ZtbSoftXiaQuCode=1805&amp;ZtbSoftType=tballinclusive" </w:instrText>
      </w:r>
      <w:r>
        <w:rPr>
          <w:rFonts w:hint="eastAsia" w:ascii="宋体" w:hAnsi="宋体" w:cs="宋体"/>
          <w:bCs/>
          <w:color w:val="auto"/>
          <w:sz w:val="24"/>
        </w:rPr>
        <w:fldChar w:fldCharType="separate"/>
      </w:r>
      <w:r>
        <w:rPr>
          <w:rFonts w:hint="eastAsia" w:ascii="宋体" w:hAnsi="宋体" w:cs="宋体"/>
          <w:bCs/>
          <w:color w:val="auto"/>
          <w:sz w:val="24"/>
        </w:rPr>
        <w:t>https://download.bqpoint.com/download/downloaddetail.html?SourceFrom=Ztb&amp;ZtbSoftXiaQuCode=1805&amp;ZtbSoftType=tballinclusive</w:t>
      </w:r>
      <w:r>
        <w:rPr>
          <w:rFonts w:hint="eastAsia" w:ascii="宋体" w:hAnsi="宋体" w:cs="宋体"/>
          <w:bCs/>
          <w:color w:val="auto"/>
          <w:sz w:val="24"/>
        </w:rPr>
        <w:fldChar w:fldCharType="end"/>
      </w:r>
      <w:r>
        <w:rPr>
          <w:rFonts w:hint="eastAsia" w:ascii="宋体" w:hAnsi="宋体" w:cs="宋体"/>
          <w:bCs/>
          <w:color w:val="auto"/>
          <w:sz w:val="24"/>
        </w:rPr>
        <w:t>，并升级至最新版本，使用该客户端可以打开电子招标文件。</w:t>
      </w:r>
      <w:bookmarkEnd w:id="234"/>
    </w:p>
    <w:p w14:paraId="69C86B18">
      <w:pPr>
        <w:pageBreakBefore w:val="0"/>
        <w:kinsoku/>
        <w:bidi w:val="0"/>
        <w:spacing w:line="360" w:lineRule="auto"/>
        <w:ind w:firstLine="240" w:firstLineChars="100"/>
        <w:outlineLvl w:val="9"/>
        <w:rPr>
          <w:rFonts w:hint="eastAsia" w:ascii="宋体" w:hAnsi="宋体" w:cs="宋体"/>
          <w:bCs/>
          <w:color w:val="auto"/>
          <w:sz w:val="24"/>
        </w:rPr>
      </w:pPr>
      <w:bookmarkStart w:id="235" w:name="_Toc3479"/>
      <w:r>
        <w:rPr>
          <w:rFonts w:hint="eastAsia" w:ascii="宋体" w:hAnsi="宋体" w:cs="宋体"/>
          <w:bCs/>
          <w:color w:val="auto"/>
          <w:sz w:val="24"/>
        </w:rPr>
        <w:t>（3）制作电子投标文件</w:t>
      </w:r>
      <w:bookmarkEnd w:id="235"/>
    </w:p>
    <w:p w14:paraId="49437ACA">
      <w:pPr>
        <w:pageBreakBefore w:val="0"/>
        <w:kinsoku/>
        <w:bidi w:val="0"/>
        <w:spacing w:line="360" w:lineRule="auto"/>
        <w:ind w:firstLine="480" w:firstLineChars="200"/>
        <w:outlineLvl w:val="9"/>
        <w:rPr>
          <w:rFonts w:hint="eastAsia" w:ascii="宋体" w:hAnsi="宋体" w:cs="宋体"/>
          <w:bCs/>
          <w:color w:val="auto"/>
          <w:sz w:val="24"/>
        </w:rPr>
      </w:pPr>
      <w:bookmarkStart w:id="236" w:name="_Toc1229"/>
      <w:r>
        <w:rPr>
          <w:rFonts w:hint="eastAsia" w:ascii="宋体" w:hAnsi="宋体" w:cs="宋体"/>
          <w:bCs/>
          <w:color w:val="auto"/>
          <w:sz w:val="24"/>
        </w:rPr>
        <w:t>电子投标文件同样需要使用上述软件进行编制。在编制过程中，如有技术性问题，请先翻阅操作手册或致电软件开发商，技术支持热线：4009280095、4009980000。</w:t>
      </w:r>
      <w:bookmarkEnd w:id="236"/>
    </w:p>
    <w:p w14:paraId="4523C4E6">
      <w:pPr>
        <w:pageBreakBefore w:val="0"/>
        <w:kinsoku/>
        <w:bidi w:val="0"/>
        <w:spacing w:line="360" w:lineRule="auto"/>
        <w:outlineLvl w:val="9"/>
        <w:rPr>
          <w:rFonts w:hint="eastAsia" w:ascii="宋体" w:hAnsi="宋体" w:cs="宋体"/>
          <w:bCs/>
          <w:color w:val="auto"/>
          <w:sz w:val="24"/>
        </w:rPr>
      </w:pPr>
      <w:bookmarkStart w:id="237" w:name="_Toc24522"/>
      <w:bookmarkStart w:id="238" w:name="_Toc30034"/>
      <w:bookmarkStart w:id="239" w:name="_Toc17424"/>
      <w:bookmarkStart w:id="240" w:name="_Toc9181"/>
      <w:bookmarkStart w:id="241" w:name="_Toc29731"/>
      <w:r>
        <w:rPr>
          <w:rFonts w:hint="eastAsia" w:ascii="宋体" w:hAnsi="宋体" w:cs="宋体"/>
          <w:bCs/>
          <w:color w:val="auto"/>
          <w:sz w:val="24"/>
        </w:rPr>
        <w:t>四、该项目将采取“不见面”开标的形式，供应商无须到达开标现场，即可在网上直接参与开标活动。相关注意事项如下：</w:t>
      </w:r>
      <w:bookmarkEnd w:id="237"/>
      <w:bookmarkEnd w:id="238"/>
      <w:bookmarkEnd w:id="239"/>
      <w:bookmarkEnd w:id="240"/>
      <w:bookmarkEnd w:id="241"/>
    </w:p>
    <w:p w14:paraId="2622C7B9">
      <w:pPr>
        <w:pageBreakBefore w:val="0"/>
        <w:kinsoku/>
        <w:bidi w:val="0"/>
        <w:spacing w:line="360" w:lineRule="auto"/>
        <w:ind w:firstLine="480" w:firstLineChars="200"/>
        <w:outlineLvl w:val="9"/>
        <w:rPr>
          <w:rFonts w:hint="eastAsia" w:ascii="宋体" w:hAnsi="宋体" w:eastAsia="宋体" w:cs="宋体"/>
          <w:bCs/>
          <w:color w:val="auto"/>
          <w:sz w:val="24"/>
        </w:rPr>
      </w:pPr>
      <w:bookmarkStart w:id="242" w:name="_Toc10914"/>
      <w:bookmarkStart w:id="243" w:name="_Toc31554"/>
      <w:bookmarkStart w:id="244" w:name="_Toc25309"/>
      <w:bookmarkStart w:id="245" w:name="_Toc29064"/>
      <w:bookmarkStart w:id="246" w:name="_Toc28289"/>
      <w:r>
        <w:rPr>
          <w:rFonts w:hint="default" w:ascii="宋体" w:hAnsi="宋体" w:eastAsia="宋体" w:cs="宋体"/>
          <w:bCs/>
          <w:color w:val="auto"/>
          <w:sz w:val="24"/>
        </w:rPr>
        <w:t>①</w:t>
      </w:r>
      <w:r>
        <w:rPr>
          <w:rFonts w:hint="eastAsia" w:ascii="宋体" w:hAnsi="宋体" w:eastAsia="宋体" w:cs="宋体"/>
          <w:bCs/>
          <w:color w:val="auto"/>
          <w:sz w:val="24"/>
        </w:rPr>
        <w:t>开标当日，请各供应商在开标截止时间前至少提前半小时登录“不见面”开标系统登录方式有以下几种：</w:t>
      </w:r>
      <w:bookmarkEnd w:id="242"/>
      <w:bookmarkEnd w:id="243"/>
      <w:bookmarkEnd w:id="244"/>
      <w:bookmarkEnd w:id="245"/>
      <w:bookmarkEnd w:id="246"/>
    </w:p>
    <w:p w14:paraId="1A96EC70">
      <w:pPr>
        <w:pageBreakBefore w:val="0"/>
        <w:kinsoku/>
        <w:bidi w:val="0"/>
        <w:spacing w:line="360" w:lineRule="auto"/>
        <w:ind w:firstLine="480" w:firstLineChars="200"/>
        <w:outlineLvl w:val="9"/>
        <w:rPr>
          <w:rFonts w:hint="eastAsia" w:ascii="宋体" w:hAnsi="宋体" w:eastAsia="宋体" w:cs="宋体"/>
          <w:bCs/>
          <w:color w:val="auto"/>
          <w:sz w:val="24"/>
        </w:rPr>
      </w:pPr>
      <w:bookmarkStart w:id="247" w:name="_Toc6547"/>
      <w:bookmarkStart w:id="248" w:name="_Toc15638"/>
      <w:bookmarkStart w:id="249" w:name="_Toc23987"/>
      <w:bookmarkStart w:id="250" w:name="_Toc136"/>
      <w:bookmarkStart w:id="251" w:name="_Toc5810"/>
      <w:r>
        <w:rPr>
          <w:rFonts w:hint="eastAsia" w:ascii="宋体" w:hAnsi="宋体" w:eastAsia="宋体" w:cs="宋体"/>
          <w:bCs/>
          <w:color w:val="auto"/>
          <w:sz w:val="24"/>
        </w:rPr>
        <w:t>IE浏览器输入网址：</w:t>
      </w:r>
      <w:bookmarkEnd w:id="247"/>
      <w:bookmarkEnd w:id="248"/>
      <w:bookmarkEnd w:id="249"/>
      <w:bookmarkEnd w:id="250"/>
      <w:bookmarkEnd w:id="251"/>
    </w:p>
    <w:p w14:paraId="2D9B961E">
      <w:pPr>
        <w:pageBreakBefore w:val="0"/>
        <w:kinsoku/>
        <w:bidi w:val="0"/>
        <w:spacing w:line="360" w:lineRule="auto"/>
        <w:ind w:firstLine="480" w:firstLineChars="200"/>
        <w:outlineLvl w:val="9"/>
        <w:rPr>
          <w:rFonts w:hint="eastAsia" w:ascii="宋体" w:hAnsi="宋体" w:eastAsia="宋体" w:cs="宋体"/>
          <w:bCs/>
          <w:color w:val="auto"/>
          <w:sz w:val="24"/>
        </w:rPr>
      </w:pPr>
      <w:bookmarkStart w:id="252" w:name="_Toc11544"/>
      <w:bookmarkStart w:id="253" w:name="_Toc14974"/>
      <w:bookmarkStart w:id="254" w:name="_Toc21170"/>
      <w:bookmarkStart w:id="255" w:name="_Toc31069"/>
      <w:bookmarkStart w:id="256" w:name="_Toc9929"/>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HYPERLINK "http://219.145.120.168:8082/BidOpeningHall/bidhall/default/login），"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http://111.20.184.126:8081/BidOpeningHallCS/bidhall/dqxianyang/login.html；</w:t>
      </w:r>
      <w:r>
        <w:rPr>
          <w:rFonts w:hint="eastAsia" w:ascii="宋体" w:hAnsi="宋体" w:eastAsia="宋体" w:cs="宋体"/>
          <w:bCs/>
          <w:color w:val="auto"/>
          <w:sz w:val="24"/>
        </w:rPr>
        <w:fldChar w:fldCharType="end"/>
      </w:r>
      <w:bookmarkEnd w:id="252"/>
      <w:bookmarkEnd w:id="253"/>
      <w:bookmarkEnd w:id="254"/>
      <w:bookmarkEnd w:id="255"/>
      <w:bookmarkEnd w:id="256"/>
    </w:p>
    <w:p w14:paraId="244A363A">
      <w:pPr>
        <w:pageBreakBefore w:val="0"/>
        <w:kinsoku/>
        <w:bidi w:val="0"/>
        <w:spacing w:line="360" w:lineRule="auto"/>
        <w:ind w:firstLine="480" w:firstLineChars="200"/>
        <w:outlineLvl w:val="9"/>
        <w:rPr>
          <w:rFonts w:hint="eastAsia" w:ascii="宋体" w:hAnsi="宋体" w:eastAsia="宋体" w:cs="宋体"/>
          <w:bCs/>
          <w:color w:val="auto"/>
          <w:sz w:val="24"/>
        </w:rPr>
      </w:pPr>
      <w:bookmarkStart w:id="257" w:name="_Toc2339"/>
      <w:bookmarkStart w:id="258" w:name="_Toc23601"/>
      <w:bookmarkStart w:id="259" w:name="_Toc22457"/>
      <w:bookmarkStart w:id="260" w:name="_Toc32358"/>
      <w:bookmarkStart w:id="261" w:name="_Toc4145"/>
      <w:r>
        <w:rPr>
          <w:rFonts w:hint="eastAsia" w:ascii="宋体" w:hAnsi="宋体" w:eastAsia="宋体" w:cs="宋体"/>
          <w:bCs/>
          <w:color w:val="auto"/>
          <w:sz w:val="24"/>
        </w:rPr>
        <w:t>在【全国公共资源交易平台</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陕西省</w:t>
      </w:r>
      <w:r>
        <w:rPr>
          <w:rFonts w:hint="eastAsia" w:ascii="宋体" w:hAnsi="宋体" w:eastAsia="宋体" w:cs="宋体"/>
          <w:bCs/>
          <w:color w:val="auto"/>
          <w:sz w:val="24"/>
          <w:lang w:eastAsia="zh-CN"/>
        </w:rPr>
        <w:t>）</w:t>
      </w:r>
      <w:r>
        <w:rPr>
          <w:rFonts w:hint="eastAsia" w:ascii="宋体" w:hAnsi="宋体" w:eastAsia="宋体" w:cs="宋体"/>
          <w:bCs/>
          <w:color w:val="auto"/>
          <w:sz w:val="24"/>
        </w:rPr>
        <w:t>】网站</w:t>
      </w:r>
      <w:r>
        <w:rPr>
          <w:rFonts w:hint="eastAsia" w:ascii="宋体" w:hAnsi="宋体" w:eastAsia="宋体" w:cs="宋体"/>
          <w:bCs/>
          <w:color w:val="auto"/>
          <w:sz w:val="24"/>
          <w:lang w:val="en-US" w:eastAsia="zh-CN"/>
        </w:rPr>
        <w:t>电子交易平台</w:t>
      </w:r>
      <w:r>
        <w:rPr>
          <w:rFonts w:hint="eastAsia" w:ascii="宋体" w:hAnsi="宋体" w:eastAsia="宋体" w:cs="宋体"/>
          <w:bCs/>
          <w:color w:val="auto"/>
          <w:sz w:val="24"/>
        </w:rPr>
        <w:t>点击不见面开标模块进入；</w:t>
      </w:r>
      <w:bookmarkEnd w:id="257"/>
      <w:bookmarkEnd w:id="258"/>
      <w:bookmarkEnd w:id="259"/>
      <w:bookmarkEnd w:id="260"/>
      <w:bookmarkEnd w:id="261"/>
    </w:p>
    <w:p w14:paraId="58D2E3A6">
      <w:pPr>
        <w:pageBreakBefore w:val="0"/>
        <w:kinsoku/>
        <w:bidi w:val="0"/>
        <w:spacing w:line="360" w:lineRule="auto"/>
        <w:ind w:firstLine="480" w:firstLineChars="200"/>
        <w:outlineLvl w:val="9"/>
        <w:rPr>
          <w:rFonts w:hint="eastAsia" w:ascii="宋体" w:hAnsi="宋体" w:eastAsia="宋体" w:cs="宋体"/>
          <w:bCs/>
          <w:color w:val="auto"/>
          <w:sz w:val="24"/>
        </w:rPr>
      </w:pPr>
      <w:bookmarkStart w:id="262" w:name="_Toc3562"/>
      <w:bookmarkStart w:id="263" w:name="_Toc20049"/>
      <w:bookmarkStart w:id="264" w:name="_Toc3689"/>
      <w:bookmarkStart w:id="265" w:name="_Toc21166"/>
      <w:bookmarkStart w:id="266" w:name="_Toc23882"/>
      <w:r>
        <w:rPr>
          <w:rFonts w:hint="eastAsia" w:ascii="宋体" w:hAnsi="宋体" w:eastAsia="宋体" w:cs="宋体"/>
          <w:bCs/>
          <w:color w:val="auto"/>
          <w:sz w:val="24"/>
        </w:rPr>
        <w:t>注：登录不见面开标系统请选择IE11浏览器</w:t>
      </w:r>
      <w:bookmarkEnd w:id="262"/>
      <w:bookmarkEnd w:id="263"/>
      <w:bookmarkEnd w:id="264"/>
      <w:bookmarkEnd w:id="265"/>
      <w:bookmarkEnd w:id="266"/>
    </w:p>
    <w:p w14:paraId="41ECF9AE">
      <w:pPr>
        <w:pageBreakBefore w:val="0"/>
        <w:kinsoku/>
        <w:bidi w:val="0"/>
        <w:spacing w:line="360" w:lineRule="auto"/>
        <w:ind w:firstLine="480" w:firstLineChars="200"/>
        <w:outlineLvl w:val="9"/>
        <w:rPr>
          <w:rFonts w:hint="eastAsia" w:ascii="宋体" w:hAnsi="宋体" w:eastAsia="宋体" w:cs="宋体"/>
          <w:bCs/>
          <w:color w:val="auto"/>
          <w:sz w:val="24"/>
        </w:rPr>
      </w:pPr>
      <w:bookmarkStart w:id="267" w:name="_Toc3002"/>
      <w:bookmarkStart w:id="268" w:name="_Toc5982"/>
      <w:bookmarkStart w:id="269" w:name="_Toc14094"/>
      <w:bookmarkStart w:id="270" w:name="_Toc28533"/>
      <w:bookmarkStart w:id="271" w:name="_Toc25466"/>
      <w:r>
        <w:rPr>
          <w:rFonts w:hint="default" w:ascii="宋体" w:hAnsi="宋体" w:eastAsia="宋体" w:cs="宋体"/>
          <w:bCs/>
          <w:color w:val="auto"/>
          <w:sz w:val="24"/>
        </w:rPr>
        <w:t>②</w:t>
      </w:r>
      <w:r>
        <w:rPr>
          <w:rFonts w:hint="eastAsia" w:ascii="宋体" w:hAnsi="宋体" w:eastAsia="宋体" w:cs="宋体"/>
          <w:bCs/>
          <w:color w:val="auto"/>
          <w:sz w:val="24"/>
        </w:rPr>
        <w:t>供应商应按要求及时签到（签到时间为投标截止时间前1小时内，如果未签到将视为放弃投标资格），评审过程中，评标委员会可能会就某些问题要求供应商进行在线澄清，请供应商保持在线直到评审结束；</w:t>
      </w:r>
      <w:bookmarkEnd w:id="267"/>
      <w:bookmarkEnd w:id="268"/>
      <w:bookmarkEnd w:id="269"/>
      <w:bookmarkEnd w:id="270"/>
      <w:bookmarkEnd w:id="271"/>
    </w:p>
    <w:p w14:paraId="786F0758">
      <w:pPr>
        <w:pageBreakBefore w:val="0"/>
        <w:kinsoku/>
        <w:bidi w:val="0"/>
        <w:spacing w:line="360" w:lineRule="auto"/>
        <w:ind w:firstLine="480" w:firstLineChars="200"/>
        <w:outlineLvl w:val="9"/>
        <w:rPr>
          <w:rFonts w:hint="eastAsia" w:ascii="宋体" w:hAnsi="宋体" w:eastAsia="宋体" w:cs="宋体"/>
          <w:bCs/>
          <w:color w:val="auto"/>
          <w:sz w:val="24"/>
        </w:rPr>
      </w:pPr>
      <w:bookmarkStart w:id="272" w:name="_Toc27782"/>
      <w:bookmarkStart w:id="273" w:name="_Toc24908"/>
      <w:bookmarkStart w:id="274" w:name="_Toc10575"/>
      <w:bookmarkStart w:id="275" w:name="_Toc17893"/>
      <w:r>
        <w:rPr>
          <w:rFonts w:hint="default" w:ascii="宋体" w:hAnsi="宋体" w:eastAsia="宋体" w:cs="宋体"/>
          <w:bCs/>
          <w:color w:val="auto"/>
          <w:sz w:val="24"/>
        </w:rPr>
        <w:t>③</w:t>
      </w:r>
      <w:r>
        <w:rPr>
          <w:rFonts w:hint="eastAsia" w:ascii="宋体" w:hAnsi="宋体" w:eastAsia="宋体" w:cs="宋体"/>
          <w:bCs/>
          <w:color w:val="auto"/>
          <w:sz w:val="24"/>
        </w:rPr>
        <w:t>投标供应商无需提交纸质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文件，待采购结果公告后，由</w:t>
      </w:r>
      <w:r>
        <w:rPr>
          <w:rFonts w:hint="eastAsia" w:ascii="宋体" w:hAnsi="宋体" w:eastAsia="宋体" w:cs="宋体"/>
          <w:bCs/>
          <w:color w:val="auto"/>
          <w:sz w:val="24"/>
          <w:lang w:eastAsia="zh-CN"/>
        </w:rPr>
        <w:t>成交</w:t>
      </w:r>
      <w:r>
        <w:rPr>
          <w:rFonts w:hint="eastAsia" w:ascii="宋体" w:hAnsi="宋体" w:eastAsia="宋体" w:cs="宋体"/>
          <w:bCs/>
          <w:color w:val="auto"/>
          <w:sz w:val="24"/>
        </w:rPr>
        <w:t>供应商补交</w:t>
      </w:r>
      <w:r>
        <w:rPr>
          <w:rFonts w:hint="eastAsia" w:ascii="宋体" w:hAnsi="宋体" w:eastAsia="宋体" w:cs="宋体"/>
          <w:bCs/>
          <w:color w:val="auto"/>
          <w:sz w:val="24"/>
          <w:lang w:eastAsia="zh-CN"/>
        </w:rPr>
        <w:t xml:space="preserve">一正二副 </w:t>
      </w:r>
      <w:r>
        <w:rPr>
          <w:rFonts w:hint="eastAsia" w:ascii="宋体" w:hAnsi="宋体" w:eastAsia="宋体" w:cs="宋体"/>
          <w:bCs/>
          <w:color w:val="auto"/>
          <w:sz w:val="24"/>
        </w:rPr>
        <w:t>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w:t>
      </w:r>
      <w:r>
        <w:rPr>
          <w:rFonts w:hint="eastAsia" w:ascii="宋体" w:hAnsi="宋体" w:eastAsia="宋体" w:cs="宋体"/>
          <w:bCs/>
          <w:color w:val="auto"/>
          <w:sz w:val="24"/>
          <w:lang w:eastAsia="zh-CN"/>
        </w:rPr>
        <w:t>及电子版</w:t>
      </w:r>
      <w:r>
        <w:rPr>
          <w:rFonts w:hint="eastAsia" w:ascii="宋体" w:hAnsi="宋体" w:eastAsia="宋体" w:cs="宋体"/>
          <w:bCs/>
          <w:color w:val="auto"/>
          <w:sz w:val="24"/>
        </w:rPr>
        <w:t>（光盘或 U 盘</w:t>
      </w:r>
      <w:r>
        <w:rPr>
          <w:rFonts w:hint="eastAsia" w:ascii="宋体" w:hAnsi="宋体" w:eastAsia="宋体" w:cs="宋体"/>
          <w:bCs/>
          <w:color w:val="auto"/>
          <w:sz w:val="24"/>
          <w:lang w:eastAsia="zh-CN"/>
        </w:rPr>
        <w:t>，包含可编辑 word 版，签字盖章后的扫描件 1 份</w:t>
      </w:r>
      <w:r>
        <w:rPr>
          <w:rFonts w:hint="eastAsia" w:ascii="宋体" w:hAnsi="宋体" w:eastAsia="宋体" w:cs="宋体"/>
          <w:bCs/>
          <w:color w:val="auto"/>
          <w:sz w:val="24"/>
        </w:rPr>
        <w:t>）</w:t>
      </w:r>
      <w:r>
        <w:rPr>
          <w:rFonts w:hint="eastAsia" w:ascii="宋体" w:hAnsi="宋体" w:eastAsia="宋体" w:cs="宋体"/>
          <w:bCs/>
          <w:color w:val="auto"/>
          <w:sz w:val="24"/>
          <w:lang w:eastAsia="zh-CN"/>
        </w:rPr>
        <w:t>响应文件一份</w:t>
      </w:r>
      <w:r>
        <w:rPr>
          <w:rFonts w:hint="eastAsia" w:ascii="宋体" w:hAnsi="宋体" w:eastAsia="宋体" w:cs="宋体"/>
          <w:bCs/>
          <w:color w:val="auto"/>
          <w:sz w:val="24"/>
        </w:rPr>
        <w:t>（备案用）</w:t>
      </w:r>
      <w:bookmarkEnd w:id="272"/>
      <w:bookmarkEnd w:id="273"/>
      <w:bookmarkEnd w:id="274"/>
      <w:bookmarkEnd w:id="275"/>
    </w:p>
    <w:p w14:paraId="72D82720">
      <w:pPr>
        <w:pageBreakBefore w:val="0"/>
        <w:kinsoku/>
        <w:bidi w:val="0"/>
        <w:spacing w:line="360" w:lineRule="auto"/>
        <w:ind w:firstLine="480" w:firstLineChars="200"/>
        <w:outlineLvl w:val="9"/>
        <w:rPr>
          <w:rFonts w:hint="eastAsia" w:ascii="宋体" w:hAnsi="宋体" w:eastAsia="宋体" w:cs="宋体"/>
          <w:bCs/>
          <w:color w:val="auto"/>
          <w:sz w:val="24"/>
        </w:rPr>
      </w:pPr>
      <w:bookmarkStart w:id="276" w:name="_Toc30945"/>
      <w:bookmarkStart w:id="277" w:name="_Toc14264"/>
      <w:bookmarkStart w:id="278" w:name="_Toc2001"/>
      <w:bookmarkStart w:id="279" w:name="_Toc18391"/>
      <w:bookmarkStart w:id="280" w:name="_Toc27404"/>
      <w:r>
        <w:rPr>
          <w:rFonts w:hint="eastAsia" w:ascii="宋体" w:hAnsi="宋体" w:eastAsia="宋体" w:cs="宋体"/>
          <w:bCs/>
          <w:color w:val="auto"/>
          <w:sz w:val="24"/>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276"/>
      <w:bookmarkEnd w:id="277"/>
      <w:bookmarkEnd w:id="278"/>
      <w:bookmarkEnd w:id="279"/>
      <w:bookmarkEnd w:id="280"/>
    </w:p>
    <w:p w14:paraId="2040A228">
      <w:pPr>
        <w:pageBreakBefore w:val="0"/>
        <w:kinsoku/>
        <w:bidi w:val="0"/>
        <w:spacing w:line="360" w:lineRule="auto"/>
        <w:ind w:firstLine="480" w:firstLineChars="200"/>
        <w:outlineLvl w:val="9"/>
        <w:rPr>
          <w:rFonts w:hint="eastAsia" w:ascii="宋体" w:hAnsi="宋体" w:eastAsia="宋体" w:cs="宋体"/>
          <w:bCs/>
          <w:color w:val="auto"/>
          <w:sz w:val="24"/>
        </w:rPr>
      </w:pPr>
      <w:bookmarkStart w:id="281" w:name="_Toc18873"/>
      <w:bookmarkStart w:id="282" w:name="_Toc30018"/>
      <w:bookmarkStart w:id="283" w:name="_Toc1352"/>
      <w:bookmarkStart w:id="284" w:name="_Toc12288"/>
      <w:bookmarkStart w:id="285" w:name="_Toc14040"/>
      <w:r>
        <w:rPr>
          <w:rFonts w:hint="eastAsia" w:ascii="宋体" w:hAnsi="宋体" w:eastAsia="宋体" w:cs="宋体"/>
          <w:bCs/>
          <w:color w:val="auto"/>
          <w:sz w:val="24"/>
        </w:rPr>
        <w:t>⑤相关技术问题，请咨询软件开发商：</w:t>
      </w:r>
      <w:bookmarkEnd w:id="281"/>
      <w:bookmarkEnd w:id="282"/>
      <w:bookmarkEnd w:id="283"/>
      <w:bookmarkEnd w:id="284"/>
      <w:bookmarkEnd w:id="285"/>
    </w:p>
    <w:p w14:paraId="0C52CC59">
      <w:pPr>
        <w:pageBreakBefore w:val="0"/>
        <w:kinsoku/>
        <w:bidi w:val="0"/>
        <w:spacing w:line="360" w:lineRule="auto"/>
        <w:ind w:firstLine="480" w:firstLineChars="200"/>
        <w:outlineLvl w:val="9"/>
        <w:rPr>
          <w:rFonts w:hint="eastAsia" w:ascii="宋体" w:hAnsi="宋体" w:eastAsia="宋体" w:cs="宋体"/>
          <w:bCs/>
          <w:color w:val="auto"/>
          <w:sz w:val="24"/>
        </w:rPr>
      </w:pPr>
      <w:bookmarkStart w:id="286" w:name="_Toc21234"/>
      <w:bookmarkStart w:id="287" w:name="_Toc23949"/>
      <w:bookmarkStart w:id="288" w:name="_Toc13241"/>
      <w:bookmarkStart w:id="289" w:name="_Toc29562"/>
      <w:bookmarkStart w:id="290" w:name="_Toc17735"/>
      <w:r>
        <w:rPr>
          <w:rFonts w:hint="eastAsia" w:ascii="宋体" w:hAnsi="宋体" w:eastAsia="宋体" w:cs="宋体"/>
          <w:bCs/>
          <w:color w:val="auto"/>
          <w:sz w:val="24"/>
        </w:rPr>
        <w:t>技术支持热线：400-998-0000/400-928-0095</w:t>
      </w:r>
      <w:bookmarkEnd w:id="286"/>
      <w:bookmarkEnd w:id="287"/>
      <w:bookmarkEnd w:id="288"/>
      <w:bookmarkEnd w:id="289"/>
      <w:bookmarkEnd w:id="290"/>
    </w:p>
    <w:p w14:paraId="2F0D1DCC">
      <w:pPr>
        <w:pageBreakBefore w:val="0"/>
        <w:kinsoku/>
        <w:bidi w:val="0"/>
        <w:spacing w:line="360" w:lineRule="auto"/>
        <w:ind w:firstLine="480" w:firstLineChars="200"/>
        <w:outlineLvl w:val="9"/>
        <w:rPr>
          <w:rFonts w:hint="eastAsia" w:ascii="宋体" w:hAnsi="宋体" w:eastAsia="宋体" w:cs="宋体"/>
          <w:bCs/>
          <w:color w:val="auto"/>
          <w:sz w:val="24"/>
        </w:rPr>
      </w:pPr>
      <w:bookmarkStart w:id="291" w:name="_Toc29721"/>
      <w:r>
        <w:rPr>
          <w:rFonts w:hint="eastAsia" w:ascii="宋体" w:hAnsi="宋体" w:eastAsia="宋体" w:cs="宋体"/>
          <w:bCs/>
          <w:color w:val="auto"/>
          <w:sz w:val="24"/>
        </w:rPr>
        <w:t>⑥不见面开标系统操作手册下载方式：</w:t>
      </w:r>
      <w:bookmarkEnd w:id="190"/>
      <w:bookmarkEnd w:id="191"/>
      <w:bookmarkEnd w:id="192"/>
      <w:bookmarkEnd w:id="291"/>
      <w:r>
        <w:rPr>
          <w:rFonts w:hint="eastAsia" w:asciiTheme="majorEastAsia" w:hAnsiTheme="majorEastAsia" w:eastAsiaTheme="majorEastAsia" w:cstheme="majorEastAsia"/>
          <w:i w:val="0"/>
          <w:iCs w:val="0"/>
          <w:caps w:val="0"/>
          <w:spacing w:val="0"/>
          <w:kern w:val="0"/>
          <w:sz w:val="24"/>
          <w:szCs w:val="24"/>
          <w:shd w:val="clear" w:fill="FFFFFF"/>
          <w:lang w:val="en-US" w:eastAsia="zh-CN" w:bidi="ar"/>
        </w:rPr>
        <w:t>登录【全国公共资源交易平台（陕西省•榆林市）】 网站首页选择【服务指南】-【下载专区】-点击【榆林市不见面开标系统操作手册】进行下载，请投标供应商仔细阅读操作手册，了解操作流程，熟练掌握不见面开标操作相关事宜，若无法正常投标，供应商自行承担责任。</w:t>
      </w:r>
    </w:p>
    <w:p w14:paraId="1F44AA9B">
      <w:pPr>
        <w:pStyle w:val="11"/>
        <w:pageBreakBefore w:val="0"/>
        <w:kinsoku/>
        <w:bidi w:val="0"/>
        <w:spacing w:line="360" w:lineRule="auto"/>
        <w:outlineLvl w:val="9"/>
        <w:rPr>
          <w:rFonts w:hint="eastAsia" w:asciiTheme="minorEastAsia" w:hAnsiTheme="minorEastAsia" w:eastAsiaTheme="minorEastAsia" w:cstheme="minorEastAsia"/>
          <w:bCs/>
          <w:color w:val="auto"/>
          <w:sz w:val="24"/>
        </w:rPr>
      </w:pPr>
    </w:p>
    <w:p w14:paraId="2D2D8C87">
      <w:pPr>
        <w:pageBreakBefore w:val="0"/>
        <w:kinsoku/>
        <w:bidi w:val="0"/>
        <w:spacing w:line="360" w:lineRule="auto"/>
        <w:outlineLvl w:val="9"/>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EE87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4D2AE">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44D2AE">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525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60A0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A60A0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ADBA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53AE0">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153AE0">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EF464">
    <w:pPr>
      <w:spacing w:line="280" w:lineRule="exact"/>
      <w:jc w:val="center"/>
      <w:rPr>
        <w:rFonts w:ascii="仿宋" w:hAnsi="仿宋" w:eastAsia="仿宋"/>
        <w:b/>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0721C">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90721C">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D8559">
    <w:pPr>
      <w:pStyle w:val="11"/>
      <w:ind w:right="360"/>
      <w:rPr>
        <w:rFonts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382E7">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C382E7">
                    <w:pPr>
                      <w:pStyle w:val="11"/>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9CB2C">
    <w:pPr>
      <w:pStyle w:val="13"/>
      <w:ind w:left="-43" w:leftChars="-106" w:right="-178" w:rightChars="-85" w:hanging="180" w:hangingChars="75"/>
      <w:jc w:val="right"/>
      <w:rPr>
        <w:bCs/>
        <w:i/>
      </w:rPr>
    </w:pPr>
    <w:r>
      <w:rPr>
        <w:rFonts w:hint="eastAsia" w:ascii="宋体" w:hAnsi="宋体" w:cs="Helvetica"/>
        <w:color w:val="333333"/>
        <w:sz w:val="24"/>
      </w:rPr>
      <w:t xml:space="preserve">              </w:t>
    </w:r>
  </w:p>
  <w:p w14:paraId="0EEB5481">
    <w:pPr>
      <w:pStyle w:val="13"/>
      <w:pBdr>
        <w:top w:val="none" w:color="auto" w:sz="0" w:space="1"/>
        <w:left w:val="none" w:color="auto" w:sz="0" w:space="4"/>
        <w:bottom w:val="none" w:color="auto" w:sz="0" w:space="1"/>
        <w:right w:val="none" w:color="auto" w:sz="0" w:space="4"/>
      </w:pBdr>
      <w:ind w:left="-88" w:leftChars="-106" w:right="-178" w:rightChars="-85" w:hanging="135" w:hangingChars="7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1CF3F">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AE41">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7C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bullet"/>
      <w:lvlText w:val=""/>
      <w:lvlJc w:val="left"/>
      <w:pPr>
        <w:tabs>
          <w:tab w:val="left" w:pos="1200"/>
        </w:tabs>
        <w:ind w:left="1200" w:hanging="360"/>
      </w:pPr>
      <w:rPr>
        <w:rFonts w:hint="default" w:ascii="Wingdings" w:hAnsi="Wingdings"/>
      </w:rPr>
    </w:lvl>
  </w:abstractNum>
  <w:abstractNum w:abstractNumId="1">
    <w:nsid w:val="00000022"/>
    <w:multiLevelType w:val="multilevel"/>
    <w:tmpl w:val="00000022"/>
    <w:lvl w:ilvl="0" w:tentative="0">
      <w:start w:val="1"/>
      <w:numFmt w:val="decimal"/>
      <w:lvlText w:val="%1."/>
      <w:lvlJc w:val="left"/>
      <w:pPr>
        <w:tabs>
          <w:tab w:val="left" w:pos="360"/>
        </w:tabs>
        <w:ind w:left="360" w:hanging="360"/>
      </w:pPr>
      <w:rPr>
        <w:rFonts w:hint="default"/>
        <w:sz w:val="21"/>
        <w:szCs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2">
    <w:nsid w:val="46B853D5"/>
    <w:multiLevelType w:val="multilevel"/>
    <w:tmpl w:val="46B853D5"/>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00000000"/>
    <w:rsid w:val="04283FCD"/>
    <w:rsid w:val="0CBC61C0"/>
    <w:rsid w:val="0E576C41"/>
    <w:rsid w:val="0F312C7C"/>
    <w:rsid w:val="123C49C0"/>
    <w:rsid w:val="13B254AE"/>
    <w:rsid w:val="18437DC3"/>
    <w:rsid w:val="1A1242FD"/>
    <w:rsid w:val="1D1E40CF"/>
    <w:rsid w:val="1D7E40DE"/>
    <w:rsid w:val="27303EB7"/>
    <w:rsid w:val="291B4F37"/>
    <w:rsid w:val="3F271624"/>
    <w:rsid w:val="3F2C666B"/>
    <w:rsid w:val="3F9F7ECD"/>
    <w:rsid w:val="3FF1653A"/>
    <w:rsid w:val="437E2B0C"/>
    <w:rsid w:val="4D3D03E0"/>
    <w:rsid w:val="4E837641"/>
    <w:rsid w:val="54D933CD"/>
    <w:rsid w:val="5A3F1F24"/>
    <w:rsid w:val="5A443789"/>
    <w:rsid w:val="5F8C4488"/>
    <w:rsid w:val="645D2CE6"/>
    <w:rsid w:val="6A411677"/>
    <w:rsid w:val="6C2B00F0"/>
    <w:rsid w:val="70916955"/>
    <w:rsid w:val="71DC5956"/>
    <w:rsid w:val="762D1373"/>
    <w:rsid w:val="78994869"/>
    <w:rsid w:val="790C1713"/>
    <w:rsid w:val="79927D93"/>
    <w:rsid w:val="7A225565"/>
    <w:rsid w:val="7D411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numPr>
        <w:ilvl w:val="1"/>
        <w:numId w:val="1"/>
      </w:numPr>
      <w:spacing w:before="260" w:after="260"/>
      <w:ind w:firstLine="0" w:firstLineChars="0"/>
      <w:outlineLvl w:val="1"/>
    </w:pPr>
    <w:rPr>
      <w:rFonts w:cs="Times New Roman"/>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kern w:val="0"/>
      <w:sz w:val="20"/>
      <w:szCs w:val="20"/>
    </w:rPr>
  </w:style>
  <w:style w:type="paragraph" w:styleId="7">
    <w:name w:val="annotation text"/>
    <w:basedOn w:val="1"/>
    <w:qFormat/>
    <w:uiPriority w:val="99"/>
    <w:pPr>
      <w:adjustRightInd w:val="0"/>
      <w:spacing w:line="360" w:lineRule="atLeast"/>
      <w:jc w:val="left"/>
    </w:pPr>
    <w:rPr>
      <w:kern w:val="0"/>
      <w:sz w:val="24"/>
      <w:szCs w:val="20"/>
    </w:rPr>
  </w:style>
  <w:style w:type="paragraph" w:styleId="8">
    <w:name w:val="Body Text"/>
    <w:basedOn w:val="1"/>
    <w:next w:val="1"/>
    <w:qFormat/>
    <w:uiPriority w:val="0"/>
    <w:pPr>
      <w:spacing w:after="120"/>
    </w:pPr>
    <w:rPr>
      <w:kern w:val="0"/>
      <w:sz w:val="20"/>
    </w:rPr>
  </w:style>
  <w:style w:type="paragraph" w:styleId="9">
    <w:name w:val="Body Text Indent"/>
    <w:basedOn w:val="1"/>
    <w:next w:val="8"/>
    <w:unhideWhenUsed/>
    <w:qFormat/>
    <w:uiPriority w:val="99"/>
    <w:pPr>
      <w:spacing w:after="120"/>
      <w:ind w:left="420" w:leftChars="200"/>
    </w:pPr>
  </w:style>
  <w:style w:type="paragraph" w:styleId="10">
    <w:name w:val="Body Text Indent 2"/>
    <w:basedOn w:val="1"/>
    <w:qFormat/>
    <w:uiPriority w:val="0"/>
    <w:pPr>
      <w:ind w:left="403"/>
    </w:pPr>
    <w:rPr>
      <w:rFonts w:ascii="楷体_GB2312" w:eastAsia="楷体_GB2312"/>
      <w:sz w:val="28"/>
    </w:rPr>
  </w:style>
  <w:style w:type="paragraph" w:styleId="11">
    <w:name w:val="footer"/>
    <w:basedOn w:val="1"/>
    <w:next w:val="1"/>
    <w:unhideWhenUsed/>
    <w:qFormat/>
    <w:uiPriority w:val="99"/>
    <w:pPr>
      <w:tabs>
        <w:tab w:val="center" w:pos="4153"/>
        <w:tab w:val="right" w:pos="8306"/>
      </w:tabs>
      <w:snapToGrid w:val="0"/>
      <w:jc w:val="left"/>
    </w:pPr>
    <w:rPr>
      <w:kern w:val="0"/>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0"/>
  </w:style>
  <w:style w:type="paragraph" w:styleId="15">
    <w:name w:val="toc 4"/>
    <w:basedOn w:val="1"/>
    <w:next w:val="1"/>
    <w:qFormat/>
    <w:uiPriority w:val="0"/>
    <w:pPr>
      <w:ind w:left="630"/>
      <w:jc w:val="left"/>
    </w:pPr>
    <w:rPr>
      <w:rFonts w:ascii="Calibri" w:hAnsi="Calibri" w:cs="Calibri"/>
      <w:sz w:val="18"/>
      <w:szCs w:val="18"/>
    </w:rPr>
  </w:style>
  <w:style w:type="paragraph" w:styleId="16">
    <w:name w:val="Normal (Web)"/>
    <w:basedOn w:val="1"/>
    <w:unhideWhenUsed/>
    <w:qFormat/>
    <w:uiPriority w:val="99"/>
    <w:pPr>
      <w:widowControl/>
      <w:jc w:val="left"/>
    </w:pPr>
    <w:rPr>
      <w:rFonts w:ascii="宋体" w:hAnsi="宋体" w:cs="宋体"/>
      <w:kern w:val="0"/>
      <w:sz w:val="24"/>
    </w:rPr>
  </w:style>
  <w:style w:type="paragraph" w:styleId="17">
    <w:name w:val="Body Text First Indent"/>
    <w:basedOn w:val="8"/>
    <w:next w:val="18"/>
    <w:qFormat/>
    <w:uiPriority w:val="99"/>
    <w:pPr>
      <w:adjustRightInd w:val="0"/>
      <w:ind w:firstLine="420"/>
      <w:jc w:val="left"/>
      <w:textAlignment w:val="baseline"/>
    </w:pPr>
    <w:rPr>
      <w:kern w:val="0"/>
      <w:sz w:val="21"/>
    </w:rPr>
  </w:style>
  <w:style w:type="paragraph" w:styleId="18">
    <w:name w:val="Body Text First Indent 2"/>
    <w:basedOn w:val="9"/>
    <w:next w:val="1"/>
    <w:qFormat/>
    <w:uiPriority w:val="0"/>
    <w:pPr>
      <w:autoSpaceDE w:val="0"/>
      <w:autoSpaceDN w:val="0"/>
      <w:ind w:firstLine="420" w:firstLineChars="200"/>
      <w:jc w:val="left"/>
    </w:pPr>
    <w:rPr>
      <w:rFonts w:ascii="宋体" w:hAnsi="宋体" w:cs="宋体"/>
      <w:kern w:val="0"/>
      <w:sz w:val="22"/>
      <w:szCs w:val="22"/>
      <w:lang w:val="zh-CN" w:bidi="zh-CN"/>
    </w:rPr>
  </w:style>
  <w:style w:type="table" w:styleId="20">
    <w:name w:val="Table Grid"/>
    <w:basedOn w:val="1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rPr>
      <w:bdr w:val="single" w:color="F1F1F1" w:sz="6" w:space="0"/>
      <w:shd w:val="clear" w:fill="F1F1F1"/>
    </w:rPr>
  </w:style>
  <w:style w:type="character" w:styleId="29">
    <w:name w:val="Hyperlink"/>
    <w:qFormat/>
    <w:uiPriority w:val="0"/>
    <w:rPr>
      <w:rFonts w:hint="eastAsia" w:ascii="宋体" w:hAnsi="宋体" w:eastAsia="宋体" w:cs="宋体"/>
      <w:color w:val="000000"/>
      <w:sz w:val="18"/>
      <w:szCs w:val="18"/>
      <w:u w:val="none"/>
    </w:rPr>
  </w:style>
  <w:style w:type="character" w:styleId="30">
    <w:name w:val="HTML Code"/>
    <w:basedOn w:val="21"/>
    <w:qFormat/>
    <w:uiPriority w:val="0"/>
    <w:rPr>
      <w:rFonts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sz w:val="19"/>
      <w:szCs w:val="19"/>
    </w:rPr>
  </w:style>
  <w:style w:type="paragraph" w:customStyle="1" w:styleId="34">
    <w:name w:val="引文目录1"/>
    <w:basedOn w:val="1"/>
    <w:next w:val="1"/>
    <w:autoRedefine/>
    <w:qFormat/>
    <w:uiPriority w:val="0"/>
    <w:pPr>
      <w:ind w:left="420" w:leftChars="200"/>
    </w:pPr>
    <w:rPr>
      <w:szCs w:val="32"/>
    </w:rPr>
  </w:style>
  <w:style w:type="paragraph" w:customStyle="1" w:styleId="35">
    <w:name w:val="样式 样式 样式 样式 标题 2 + 宋体 五号 非加粗 黑色 + 段前: 6 磅 段后: 0 磅 行距: 单倍行距 + 段前:..."/>
    <w:basedOn w:val="1"/>
    <w:qFormat/>
    <w:uiPriority w:val="0"/>
    <w:pPr>
      <w:keepNext/>
      <w:keepLines/>
      <w:numPr>
        <w:ilvl w:val="1"/>
        <w:numId w:val="2"/>
      </w:numPr>
      <w:tabs>
        <w:tab w:val="left" w:pos="1200"/>
      </w:tabs>
      <w:adjustRightInd w:val="0"/>
      <w:spacing w:before="240" w:beforeLines="0"/>
      <w:jc w:val="left"/>
      <w:textAlignment w:val="baseline"/>
      <w:outlineLvl w:val="1"/>
    </w:pPr>
    <w:rPr>
      <w:rFonts w:ascii="宋体" w:hAnsi="宋体" w:cs="宋体"/>
      <w:b/>
      <w:bCs/>
      <w:color w:val="000000"/>
      <w:kern w:val="0"/>
    </w:rPr>
  </w:style>
  <w:style w:type="paragraph" w:customStyle="1" w:styleId="36">
    <w:name w:val="正文缩进1"/>
    <w:basedOn w:val="1"/>
    <w:qFormat/>
    <w:uiPriority w:val="0"/>
    <w:pPr>
      <w:ind w:firstLine="420" w:firstLineChars="200"/>
    </w:pPr>
  </w:style>
  <w:style w:type="paragraph" w:customStyle="1" w:styleId="37">
    <w:name w:val="正文（缩进 2 字符）"/>
    <w:basedOn w:val="1"/>
    <w:qFormat/>
    <w:uiPriority w:val="0"/>
    <w:pPr>
      <w:ind w:firstLine="200" w:firstLineChars="200"/>
    </w:p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styleId="39">
    <w:name w:val="List Paragraph"/>
    <w:basedOn w:val="1"/>
    <w:unhideWhenUsed/>
    <w:qFormat/>
    <w:uiPriority w:val="99"/>
    <w:pPr>
      <w:ind w:firstLine="420" w:firstLineChars="200"/>
    </w:pPr>
  </w:style>
  <w:style w:type="paragraph" w:customStyle="1" w:styleId="40">
    <w:name w:val="Table Text"/>
    <w:basedOn w:val="1"/>
    <w:semiHidden/>
    <w:qFormat/>
    <w:uiPriority w:val="0"/>
    <w:rPr>
      <w:rFonts w:ascii="宋体" w:hAnsi="宋体" w:eastAsia="宋体" w:cs="宋体"/>
      <w:sz w:val="24"/>
      <w:szCs w:val="24"/>
      <w:lang w:val="en-US" w:eastAsia="en-US" w:bidi="ar-SA"/>
    </w:rPr>
  </w:style>
  <w:style w:type="paragraph" w:customStyle="1" w:styleId="41">
    <w:name w:val=" Char Char Char"/>
    <w:basedOn w:val="1"/>
    <w:qFormat/>
    <w:uiPriority w:val="0"/>
    <w:pPr>
      <w:widowControl/>
      <w:spacing w:after="160" w:afterLines="0" w:line="240" w:lineRule="exact"/>
      <w:jc w:val="left"/>
    </w:p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1098</Words>
  <Characters>1303</Characters>
  <Lines>0</Lines>
  <Paragraphs>0</Paragraphs>
  <TotalTime>19</TotalTime>
  <ScaleCrop>false</ScaleCrop>
  <LinksUpToDate>false</LinksUpToDate>
  <CharactersWithSpaces>1385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2023-06-30T08:08:00Z</dcterms:created>
  <dc:creator>Administrator</dc:creator>
  <cp:lastModifiedBy>黑曼巴</cp:lastModifiedBy>
  <dcterms:modified xsi:type="dcterms:W3CDTF">2025-10-30T08:23:29Z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CDA01AA7345C482AB369705E52AC84C4_13</vt:lpwstr>
  </property>
  <property fmtid="{D5CDD505-2E9C-101B-9397-08002B2CF9AE}" pid="4" name="KSOTemplateDocerSaveRecord">
    <vt:lpwstr>eyJoZGlkIjoiZmFjMzI4NDRiNmE3YjkzOTJiMjQ4NDY4ZjAyZDIyNjAiLCJ1c2VySWQiOiIyMTIyOTgxMjcifQ==</vt:lpwstr>
  </property>
</Properties>
</file>