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8281">
      <w:pPr>
        <w:rPr>
          <w:rFonts w:hint="eastAsia" w:ascii="仿宋" w:hAnsi="仿宋" w:eastAsia="仿宋" w:cs="仿宋"/>
          <w:sz w:val="24"/>
          <w:szCs w:val="32"/>
        </w:rPr>
      </w:pPr>
      <w:r>
        <w:rPr>
          <w:rFonts w:hint="eastAsia" w:ascii="仿宋" w:hAnsi="仿宋" w:eastAsia="仿宋" w:cs="仿宋"/>
          <w:sz w:val="24"/>
          <w:szCs w:val="32"/>
        </w:rPr>
        <w:t>一、项目总体情况</w:t>
      </w:r>
    </w:p>
    <w:p w14:paraId="4072B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rPr>
        <w:t>（一）项目名称：</w:t>
      </w:r>
      <w:r>
        <w:rPr>
          <w:rFonts w:hint="eastAsia" w:ascii="仿宋" w:hAnsi="仿宋" w:eastAsia="仿宋" w:cs="仿宋"/>
          <w:sz w:val="24"/>
          <w:szCs w:val="32"/>
          <w:lang w:eastAsia="zh-CN"/>
        </w:rPr>
        <w:t>陕西省建设工程消防技术人员培养体系的创新与发展研究</w:t>
      </w:r>
    </w:p>
    <w:p w14:paraId="00F4F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（二）项目所属年度： 2025年</w:t>
      </w:r>
    </w:p>
    <w:p w14:paraId="1A905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（三）项目所属分类： 服务</w:t>
      </w:r>
    </w:p>
    <w:p w14:paraId="0E715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rPr>
        <w:t>（四）预算金额（元）： 120000.00元 ，大写（人民币）：</w:t>
      </w:r>
      <w:r>
        <w:rPr>
          <w:rFonts w:hint="eastAsia" w:ascii="仿宋" w:hAnsi="仿宋" w:eastAsia="仿宋" w:cs="仿宋"/>
          <w:sz w:val="24"/>
          <w:szCs w:val="32"/>
          <w:lang w:val="en-US" w:eastAsia="zh-CN"/>
        </w:rPr>
        <w:t>壹拾贰万</w:t>
      </w:r>
    </w:p>
    <w:p w14:paraId="184BB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（五）项目概况：“十五五”期间，消防审验专业化是对人才队伍建设的迫切需求</w:t>
      </w:r>
      <w:r>
        <w:rPr>
          <w:rFonts w:hint="eastAsia" w:ascii="仿宋" w:hAnsi="仿宋" w:eastAsia="仿宋" w:cs="仿宋"/>
          <w:sz w:val="24"/>
          <w:szCs w:val="32"/>
          <w:lang w:eastAsia="zh-CN"/>
        </w:rPr>
        <w:t>，构建科学、系统、可持续的消防审验人才培养体系，已成为提升消防审验管理水平和管理能力现代化的重要支撑。</w:t>
      </w:r>
      <w:r>
        <w:rPr>
          <w:rFonts w:hint="eastAsia" w:ascii="仿宋" w:hAnsi="仿宋" w:eastAsia="仿宋" w:cs="仿宋"/>
          <w:sz w:val="24"/>
          <w:szCs w:val="32"/>
        </w:rPr>
        <w:t>本课题聚焦建设工程消防审验人员的培养机制创新与体系构建，旨在通过系统化研究，形成一套符合陕西省实际、可推广应用的培养标准与实施路径，为消防审验工作提供坚实的人才保障。</w:t>
      </w:r>
    </w:p>
    <w:p w14:paraId="6399A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（六）本项目是否有为采购项目提供整体设计、规范编制或者项目管理、监理、检测等服务的供应商：</w:t>
      </w:r>
      <w:r>
        <w:rPr>
          <w:rFonts w:hint="eastAsia" w:ascii="仿宋" w:hAnsi="仿宋" w:eastAsia="仿宋" w:cs="仿宋"/>
          <w:sz w:val="24"/>
          <w:szCs w:val="32"/>
          <w:u w:val="single"/>
          <w:lang w:val="en-US" w:eastAsia="zh-CN"/>
        </w:rPr>
        <w:t xml:space="preserve">否    </w:t>
      </w:r>
      <w:r>
        <w:rPr>
          <w:rFonts w:hint="eastAsia" w:ascii="仿宋" w:hAnsi="仿宋" w:eastAsia="仿宋" w:cs="仿宋"/>
          <w:sz w:val="24"/>
          <w:szCs w:val="32"/>
          <w:u w:val="none"/>
          <w:lang w:val="en-US" w:eastAsia="zh-CN"/>
        </w:rPr>
        <w:t xml:space="preserve">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 xml:space="preserve"> </w:t>
      </w:r>
    </w:p>
    <w:p w14:paraId="5EEB3D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sz w:val="24"/>
          <w:szCs w:val="32"/>
        </w:rPr>
        <w:t>二、项目需求调查情况</w:t>
      </w:r>
    </w:p>
    <w:p w14:paraId="501912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依据《政府采购需求管理办法》的规定，本项目</w:t>
      </w:r>
      <w:r>
        <w:rPr>
          <w:rFonts w:hint="eastAsia" w:ascii="仿宋" w:hAnsi="仿宋" w:eastAsia="仿宋" w:cs="仿宋"/>
          <w:sz w:val="24"/>
          <w:szCs w:val="32"/>
          <w:u w:val="single"/>
          <w:lang w:val="en-US" w:eastAsia="zh-CN"/>
        </w:rPr>
        <w:t xml:space="preserve">   不需要   </w:t>
      </w:r>
      <w:r>
        <w:rPr>
          <w:rFonts w:hint="eastAsia" w:ascii="仿宋" w:hAnsi="仿宋" w:eastAsia="仿宋" w:cs="仿宋"/>
          <w:sz w:val="24"/>
          <w:szCs w:val="32"/>
        </w:rPr>
        <w:t>需求调查，具体情况如下：</w:t>
      </w:r>
    </w:p>
    <w:p w14:paraId="071C9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（一）需求调查方式</w:t>
      </w:r>
    </w:p>
    <w:p w14:paraId="58D3E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（二）需求调查对象</w:t>
      </w:r>
    </w:p>
    <w:p w14:paraId="0A2F9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（三）需求调查结果</w:t>
      </w:r>
    </w:p>
    <w:p w14:paraId="13600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 xml:space="preserve">1.相关产业发展情况 </w:t>
      </w:r>
    </w:p>
    <w:p w14:paraId="0787C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2.市场供给情况</w:t>
      </w:r>
    </w:p>
    <w:p w14:paraId="5C489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3.同类采购项目历史成交信息情况</w:t>
      </w:r>
    </w:p>
    <w:p w14:paraId="1856B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4.可能涉及的运行维护、升级更新、备品备件、耗材等后续采购情况 5.其他相关情况</w:t>
      </w:r>
    </w:p>
    <w:p w14:paraId="0214F0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sz w:val="24"/>
          <w:szCs w:val="32"/>
        </w:rPr>
        <w:t>三、项目采购实施计划</w:t>
      </w:r>
    </w:p>
    <w:p w14:paraId="713A6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single"/>
          <w:lang w:val="en-US" w:eastAsia="zh-CN"/>
        </w:rPr>
      </w:pPr>
      <w:r>
        <w:rPr>
          <w:rFonts w:hint="eastAsia" w:ascii="仿宋" w:hAnsi="仿宋" w:eastAsia="仿宋" w:cs="仿宋"/>
          <w:sz w:val="24"/>
          <w:szCs w:val="32"/>
        </w:rPr>
        <w:t>（一）采购组织形式：</w:t>
      </w:r>
      <w:r>
        <w:rPr>
          <w:rFonts w:hint="eastAsia" w:ascii="仿宋" w:hAnsi="仿宋" w:eastAsia="仿宋" w:cs="仿宋"/>
          <w:sz w:val="24"/>
          <w:szCs w:val="32"/>
          <w:u w:val="single"/>
          <w:lang w:val="en-US" w:eastAsia="zh-CN"/>
        </w:rPr>
        <w:t xml:space="preserve">  部门集中采购          </w:t>
      </w:r>
    </w:p>
    <w:p w14:paraId="72CE2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single"/>
          <w:lang w:val="en-US" w:eastAsia="zh-CN"/>
        </w:rPr>
      </w:pPr>
      <w:r>
        <w:rPr>
          <w:rFonts w:hint="eastAsia" w:ascii="仿宋" w:hAnsi="仿宋" w:eastAsia="仿宋" w:cs="仿宋"/>
          <w:sz w:val="24"/>
          <w:szCs w:val="32"/>
        </w:rPr>
        <w:t>（二）采购方式：</w:t>
      </w:r>
      <w:r>
        <w:rPr>
          <w:rFonts w:hint="eastAsia" w:ascii="仿宋" w:hAnsi="仿宋" w:eastAsia="仿宋" w:cs="仿宋"/>
          <w:sz w:val="24"/>
          <w:szCs w:val="32"/>
          <w:u w:val="single"/>
          <w:lang w:val="en-US" w:eastAsia="zh-CN"/>
        </w:rPr>
        <w:t xml:space="preserve">     竞争性磋商            </w:t>
      </w:r>
    </w:p>
    <w:p w14:paraId="49DED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（三）本项目是否单位自行组织采购：</w:t>
      </w:r>
      <w:r>
        <w:rPr>
          <w:rFonts w:hint="eastAsia" w:ascii="仿宋" w:hAnsi="仿宋" w:eastAsia="仿宋" w:cs="仿宋"/>
          <w:sz w:val="24"/>
          <w:szCs w:val="32"/>
          <w:u w:val="single"/>
          <w:lang w:val="en-US" w:eastAsia="zh-CN"/>
        </w:rPr>
        <w:t xml:space="preserve"> 否    </w:t>
      </w:r>
    </w:p>
    <w:p w14:paraId="31F09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（四）采购包划分：</w:t>
      </w:r>
      <w:r>
        <w:rPr>
          <w:rFonts w:hint="eastAsia" w:ascii="仿宋" w:hAnsi="仿宋" w:eastAsia="仿宋" w:cs="仿宋"/>
          <w:sz w:val="24"/>
          <w:szCs w:val="32"/>
          <w:u w:val="single"/>
          <w:lang w:val="en-US" w:eastAsia="zh-CN"/>
        </w:rPr>
        <w:t xml:space="preserve">   否     </w:t>
      </w:r>
    </w:p>
    <w:p w14:paraId="57670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（五）执行政府采购促进中小企业发展的相关政策</w:t>
      </w:r>
      <w:r>
        <w:rPr>
          <w:rFonts w:hint="eastAsia" w:ascii="仿宋" w:hAnsi="仿宋" w:eastAsia="仿宋" w:cs="仿宋"/>
          <w:sz w:val="24"/>
          <w:szCs w:val="32"/>
          <w:lang w:eastAsia="zh-CN"/>
        </w:rPr>
        <w:t>：</w:t>
      </w:r>
      <w:r>
        <w:rPr>
          <w:rFonts w:hint="eastAsia" w:ascii="仿宋" w:hAnsi="仿宋" w:eastAsia="仿宋" w:cs="仿宋"/>
          <w:sz w:val="24"/>
          <w:szCs w:val="32"/>
          <w:u w:val="single"/>
          <w:lang w:val="en-US" w:eastAsia="zh-CN"/>
        </w:rPr>
        <w:t xml:space="preserve">  不面向 </w:t>
      </w:r>
      <w:r>
        <w:rPr>
          <w:rFonts w:hint="eastAsia" w:ascii="仿宋" w:hAnsi="仿宋" w:eastAsia="仿宋" w:cs="仿宋"/>
          <w:sz w:val="24"/>
          <w:szCs w:val="32"/>
          <w:u w:val="none"/>
          <w:lang w:val="en-US" w:eastAsia="zh-CN"/>
        </w:rPr>
        <w:t>（面向/不面向）</w:t>
      </w:r>
    </w:p>
    <w:p w14:paraId="7EB8C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若不面向，则提供原因：按照本办法规定预留采购份额无法确保充分供应、充分竞争，或者存在可能影响政府采购目标实现的情形</w:t>
      </w:r>
    </w:p>
    <w:p w14:paraId="2AC42C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注：监狱企业和残疾人福利单位视同小微企业。</w:t>
      </w:r>
    </w:p>
    <w:p w14:paraId="5A4EA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（六）是否采购环境标识产品：</w:t>
      </w:r>
      <w:r>
        <w:rPr>
          <w:rFonts w:hint="eastAsia" w:ascii="仿宋" w:hAnsi="仿宋" w:eastAsia="仿宋" w:cs="仿宋"/>
          <w:sz w:val="24"/>
          <w:szCs w:val="32"/>
          <w:u w:val="single"/>
          <w:lang w:val="en-US" w:eastAsia="zh-CN"/>
        </w:rPr>
        <w:t xml:space="preserve">否     </w:t>
      </w:r>
    </w:p>
    <w:p w14:paraId="04748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（七）是否采购节能产品：</w:t>
      </w:r>
      <w:r>
        <w:rPr>
          <w:rFonts w:hint="eastAsia" w:ascii="仿宋" w:hAnsi="仿宋" w:eastAsia="仿宋" w:cs="仿宋"/>
          <w:sz w:val="24"/>
          <w:szCs w:val="32"/>
          <w:u w:val="single"/>
          <w:lang w:val="en-US" w:eastAsia="zh-CN"/>
        </w:rPr>
        <w:t xml:space="preserve"> 否      </w:t>
      </w:r>
    </w:p>
    <w:p w14:paraId="7C3B0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（八）项目的采购标的是否包含进口产品：</w:t>
      </w:r>
      <w:r>
        <w:rPr>
          <w:rFonts w:hint="eastAsia" w:ascii="仿宋" w:hAnsi="仿宋" w:eastAsia="仿宋" w:cs="仿宋"/>
          <w:sz w:val="24"/>
          <w:szCs w:val="32"/>
          <w:u w:val="single"/>
          <w:lang w:val="en-US" w:eastAsia="zh-CN"/>
        </w:rPr>
        <w:t xml:space="preserve">  否      </w:t>
      </w:r>
    </w:p>
    <w:p w14:paraId="0A3F4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（九）采购标的是否属于政府购买服务：</w:t>
      </w:r>
      <w:r>
        <w:rPr>
          <w:rFonts w:hint="eastAsia" w:ascii="仿宋" w:hAnsi="仿宋" w:eastAsia="仿宋" w:cs="仿宋"/>
          <w:sz w:val="24"/>
          <w:szCs w:val="32"/>
          <w:u w:val="single"/>
          <w:lang w:val="en-US" w:eastAsia="zh-CN"/>
        </w:rPr>
        <w:t xml:space="preserve">   否     </w:t>
      </w:r>
    </w:p>
    <w:p w14:paraId="066DB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（十）是否属于政务信息系统项目：</w:t>
      </w:r>
      <w:r>
        <w:rPr>
          <w:rFonts w:hint="eastAsia" w:ascii="仿宋" w:hAnsi="仿宋" w:eastAsia="仿宋" w:cs="仿宋"/>
          <w:sz w:val="24"/>
          <w:szCs w:val="32"/>
          <w:u w:val="single"/>
          <w:lang w:val="en-US" w:eastAsia="zh-CN"/>
        </w:rPr>
        <w:t xml:space="preserve"> 否      </w:t>
      </w:r>
    </w:p>
    <w:p w14:paraId="114C5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（十一）是否属于高校、科研院所的科研仪器设备采购：</w:t>
      </w:r>
      <w:r>
        <w:rPr>
          <w:rFonts w:hint="eastAsia" w:ascii="仿宋" w:hAnsi="仿宋" w:eastAsia="仿宋" w:cs="仿宋"/>
          <w:sz w:val="24"/>
          <w:szCs w:val="32"/>
          <w:u w:val="single"/>
          <w:lang w:val="en-US" w:eastAsia="zh-CN"/>
        </w:rPr>
        <w:t xml:space="preserve">    否    </w:t>
      </w:r>
    </w:p>
    <w:p w14:paraId="3FB12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（十二）是否属于一签多年项目：</w:t>
      </w:r>
      <w:r>
        <w:rPr>
          <w:rFonts w:hint="eastAsia" w:ascii="仿宋" w:hAnsi="仿宋" w:eastAsia="仿宋" w:cs="仿宋"/>
          <w:sz w:val="24"/>
          <w:szCs w:val="32"/>
          <w:u w:val="single"/>
          <w:lang w:val="en-US" w:eastAsia="zh-CN"/>
        </w:rPr>
        <w:t xml:space="preserve"> 否     </w:t>
      </w:r>
    </w:p>
    <w:p w14:paraId="685F8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四、项目需求及分包情况、采购标的</w:t>
      </w:r>
    </w:p>
    <w:tbl>
      <w:tblPr>
        <w:tblStyle w:val="4"/>
        <w:tblpPr w:leftFromText="180" w:rightFromText="180" w:vertAnchor="text" w:horzAnchor="page" w:tblpX="1177" w:tblpY="146"/>
        <w:tblOverlap w:val="never"/>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2085"/>
        <w:gridCol w:w="2115"/>
        <w:gridCol w:w="2310"/>
        <w:gridCol w:w="2685"/>
      </w:tblGrid>
      <w:tr w14:paraId="1EF9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487" w:type="dxa"/>
            <w:vMerge w:val="restart"/>
            <w:tcBorders>
              <w:bottom w:val="nil"/>
            </w:tcBorders>
            <w:vAlign w:val="top"/>
          </w:tcPr>
          <w:p w14:paraId="1EAFDF11">
            <w:pPr>
              <w:spacing w:line="254" w:lineRule="auto"/>
              <w:jc w:val="center"/>
              <w:rPr>
                <w:rFonts w:hint="eastAsia" w:ascii="仿宋" w:hAnsi="仿宋" w:eastAsia="仿宋" w:cs="仿宋"/>
                <w:sz w:val="21"/>
                <w:szCs w:val="21"/>
              </w:rPr>
            </w:pPr>
          </w:p>
          <w:p w14:paraId="4224C985">
            <w:pPr>
              <w:spacing w:line="254" w:lineRule="auto"/>
              <w:jc w:val="center"/>
              <w:rPr>
                <w:rFonts w:hint="eastAsia" w:ascii="仿宋" w:hAnsi="仿宋" w:eastAsia="仿宋" w:cs="仿宋"/>
                <w:sz w:val="21"/>
                <w:szCs w:val="21"/>
              </w:rPr>
            </w:pPr>
          </w:p>
          <w:p w14:paraId="01A012B1">
            <w:pPr>
              <w:spacing w:line="254" w:lineRule="auto"/>
              <w:jc w:val="center"/>
              <w:rPr>
                <w:rFonts w:hint="eastAsia" w:ascii="仿宋" w:hAnsi="仿宋" w:eastAsia="仿宋" w:cs="仿宋"/>
                <w:sz w:val="21"/>
                <w:szCs w:val="21"/>
              </w:rPr>
            </w:pPr>
          </w:p>
          <w:p w14:paraId="16F00E2E">
            <w:pPr>
              <w:spacing w:line="254" w:lineRule="auto"/>
              <w:jc w:val="center"/>
              <w:rPr>
                <w:rFonts w:hint="eastAsia" w:ascii="仿宋" w:hAnsi="仿宋" w:eastAsia="仿宋" w:cs="仿宋"/>
                <w:sz w:val="21"/>
                <w:szCs w:val="21"/>
              </w:rPr>
            </w:pPr>
          </w:p>
          <w:p w14:paraId="0BC6C038">
            <w:pPr>
              <w:spacing w:before="73" w:line="186" w:lineRule="auto"/>
              <w:ind w:firstLine="210" w:firstLineChars="100"/>
              <w:jc w:val="both"/>
              <w:rPr>
                <w:rFonts w:hint="eastAsia" w:ascii="仿宋" w:hAnsi="仿宋" w:eastAsia="仿宋" w:cs="仿宋"/>
                <w:sz w:val="21"/>
                <w:szCs w:val="21"/>
              </w:rPr>
            </w:pPr>
            <w:r>
              <w:rPr>
                <w:rFonts w:hint="eastAsia" w:ascii="仿宋" w:hAnsi="仿宋" w:eastAsia="仿宋" w:cs="仿宋"/>
                <w:sz w:val="21"/>
                <w:szCs w:val="21"/>
              </w:rPr>
              <w:t>1</w:t>
            </w:r>
          </w:p>
        </w:tc>
        <w:tc>
          <w:tcPr>
            <w:tcW w:w="2085" w:type="dxa"/>
            <w:vAlign w:val="center"/>
          </w:tcPr>
          <w:p w14:paraId="09E960F8">
            <w:pPr>
              <w:pStyle w:val="5"/>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采购品目</w:t>
            </w:r>
          </w:p>
        </w:tc>
        <w:tc>
          <w:tcPr>
            <w:tcW w:w="2115" w:type="dxa"/>
            <w:vAlign w:val="center"/>
          </w:tcPr>
          <w:p w14:paraId="7BDA6EAA">
            <w:pPr>
              <w:pStyle w:val="5"/>
              <w:keepNext w:val="0"/>
              <w:keepLines w:val="0"/>
              <w:pageBreakBefore w:val="0"/>
              <w:widowControl w:val="0"/>
              <w:kinsoku/>
              <w:wordWrap/>
              <w:overflowPunct/>
              <w:topLinePunct w:val="0"/>
              <w:autoSpaceDE/>
              <w:autoSpaceDN/>
              <w:bidi w:val="0"/>
              <w:adjustRightInd/>
              <w:snapToGrid/>
              <w:spacing w:line="221" w:lineRule="auto"/>
              <w:ind w:left="102"/>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C99000000-其他服务</w:t>
            </w:r>
          </w:p>
        </w:tc>
        <w:tc>
          <w:tcPr>
            <w:tcW w:w="2310" w:type="dxa"/>
            <w:vAlign w:val="center"/>
          </w:tcPr>
          <w:p w14:paraId="14BB366F">
            <w:pPr>
              <w:pStyle w:val="5"/>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标的名称</w:t>
            </w:r>
          </w:p>
        </w:tc>
        <w:tc>
          <w:tcPr>
            <w:tcW w:w="2685" w:type="dxa"/>
            <w:vAlign w:val="center"/>
          </w:tcPr>
          <w:p w14:paraId="5EB390E9">
            <w:pPr>
              <w:pStyle w:val="5"/>
              <w:keepNext w:val="0"/>
              <w:keepLines w:val="0"/>
              <w:pageBreakBefore w:val="0"/>
              <w:widowControl w:val="0"/>
              <w:kinsoku/>
              <w:wordWrap/>
              <w:overflowPunct/>
              <w:topLinePunct w:val="0"/>
              <w:autoSpaceDE/>
              <w:autoSpaceDN/>
              <w:bidi w:val="0"/>
              <w:adjustRightInd/>
              <w:snapToGrid/>
              <w:spacing w:line="221" w:lineRule="auto"/>
              <w:ind w:left="107"/>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陕西省建设工程消防技术人员培养体系的创新与发展研究</w:t>
            </w:r>
          </w:p>
        </w:tc>
      </w:tr>
      <w:tr w14:paraId="624F0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487" w:type="dxa"/>
            <w:vMerge w:val="continue"/>
            <w:tcBorders>
              <w:top w:val="nil"/>
              <w:bottom w:val="nil"/>
            </w:tcBorders>
            <w:vAlign w:val="top"/>
          </w:tcPr>
          <w:p w14:paraId="03B3372C">
            <w:pPr>
              <w:jc w:val="center"/>
              <w:rPr>
                <w:rFonts w:hint="eastAsia" w:ascii="仿宋" w:hAnsi="仿宋" w:eastAsia="仿宋" w:cs="仿宋"/>
                <w:sz w:val="21"/>
                <w:szCs w:val="21"/>
              </w:rPr>
            </w:pPr>
          </w:p>
        </w:tc>
        <w:tc>
          <w:tcPr>
            <w:tcW w:w="2085" w:type="dxa"/>
            <w:vAlign w:val="center"/>
          </w:tcPr>
          <w:p w14:paraId="51A3174B">
            <w:pPr>
              <w:pStyle w:val="5"/>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数量</w:t>
            </w:r>
          </w:p>
        </w:tc>
        <w:tc>
          <w:tcPr>
            <w:tcW w:w="2115" w:type="dxa"/>
            <w:vAlign w:val="center"/>
          </w:tcPr>
          <w:p w14:paraId="4D5D0521">
            <w:pPr>
              <w:keepNext w:val="0"/>
              <w:keepLines w:val="0"/>
              <w:pageBreakBefore w:val="0"/>
              <w:widowControl w:val="0"/>
              <w:kinsoku/>
              <w:wordWrap/>
              <w:overflowPunct/>
              <w:topLinePunct w:val="0"/>
              <w:autoSpaceDE/>
              <w:autoSpaceDN/>
              <w:bidi w:val="0"/>
              <w:adjustRightInd/>
              <w:snapToGrid/>
              <w:spacing w:line="187"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310" w:type="dxa"/>
            <w:vAlign w:val="center"/>
          </w:tcPr>
          <w:p w14:paraId="0C34ABA0">
            <w:pPr>
              <w:pStyle w:val="5"/>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单位</w:t>
            </w:r>
          </w:p>
        </w:tc>
        <w:tc>
          <w:tcPr>
            <w:tcW w:w="2685" w:type="dxa"/>
            <w:vAlign w:val="center"/>
          </w:tcPr>
          <w:p w14:paraId="67639B0C">
            <w:pPr>
              <w:pStyle w:val="5"/>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r>
      <w:tr w14:paraId="1F986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487" w:type="dxa"/>
            <w:vMerge w:val="continue"/>
            <w:tcBorders>
              <w:top w:val="nil"/>
              <w:bottom w:val="nil"/>
            </w:tcBorders>
            <w:vAlign w:val="top"/>
          </w:tcPr>
          <w:p w14:paraId="3E9D5038">
            <w:pPr>
              <w:jc w:val="center"/>
              <w:rPr>
                <w:rFonts w:hint="eastAsia" w:ascii="仿宋" w:hAnsi="仿宋" w:eastAsia="仿宋" w:cs="仿宋"/>
                <w:sz w:val="21"/>
                <w:szCs w:val="21"/>
              </w:rPr>
            </w:pPr>
          </w:p>
        </w:tc>
        <w:tc>
          <w:tcPr>
            <w:tcW w:w="2085" w:type="dxa"/>
            <w:vAlign w:val="center"/>
          </w:tcPr>
          <w:p w14:paraId="7464C86F">
            <w:pPr>
              <w:pStyle w:val="5"/>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合计金额(</w:t>
            </w:r>
            <w:r>
              <w:rPr>
                <w:rFonts w:hint="eastAsia" w:ascii="仿宋" w:hAnsi="仿宋" w:eastAsia="仿宋" w:cs="仿宋"/>
                <w:spacing w:val="-5"/>
                <w:sz w:val="21"/>
                <w:szCs w:val="21"/>
              </w:rPr>
              <w:t>元）</w:t>
            </w:r>
          </w:p>
        </w:tc>
        <w:tc>
          <w:tcPr>
            <w:tcW w:w="2115" w:type="dxa"/>
            <w:vAlign w:val="center"/>
          </w:tcPr>
          <w:p w14:paraId="264B2506">
            <w:pPr>
              <w:keepNext w:val="0"/>
              <w:keepLines w:val="0"/>
              <w:pageBreakBefore w:val="0"/>
              <w:widowControl w:val="0"/>
              <w:kinsoku/>
              <w:wordWrap/>
              <w:overflowPunct/>
              <w:topLinePunct w:val="0"/>
              <w:autoSpaceDE/>
              <w:autoSpaceDN/>
              <w:bidi w:val="0"/>
              <w:adjustRightInd/>
              <w:snapToGrid/>
              <w:spacing w:line="181"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120000.00</w:t>
            </w:r>
          </w:p>
        </w:tc>
        <w:tc>
          <w:tcPr>
            <w:tcW w:w="2310" w:type="dxa"/>
            <w:vAlign w:val="center"/>
          </w:tcPr>
          <w:p w14:paraId="4224B432">
            <w:pPr>
              <w:pStyle w:val="5"/>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单价（元）</w:t>
            </w:r>
          </w:p>
        </w:tc>
        <w:tc>
          <w:tcPr>
            <w:tcW w:w="2685" w:type="dxa"/>
            <w:vAlign w:val="center"/>
          </w:tcPr>
          <w:p w14:paraId="0F9DE8E8">
            <w:pPr>
              <w:keepNext w:val="0"/>
              <w:keepLines w:val="0"/>
              <w:pageBreakBefore w:val="0"/>
              <w:widowControl w:val="0"/>
              <w:kinsoku/>
              <w:wordWrap/>
              <w:overflowPunct/>
              <w:topLinePunct w:val="0"/>
              <w:autoSpaceDE/>
              <w:autoSpaceDN/>
              <w:bidi w:val="0"/>
              <w:adjustRightInd/>
              <w:snapToGrid/>
              <w:spacing w:line="181"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120000.00</w:t>
            </w:r>
          </w:p>
        </w:tc>
      </w:tr>
      <w:tr w14:paraId="7E8B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487" w:type="dxa"/>
            <w:vMerge w:val="continue"/>
            <w:tcBorders>
              <w:top w:val="nil"/>
              <w:bottom w:val="nil"/>
            </w:tcBorders>
            <w:vAlign w:val="top"/>
          </w:tcPr>
          <w:p w14:paraId="2D4BFC96">
            <w:pPr>
              <w:jc w:val="center"/>
              <w:rPr>
                <w:rFonts w:hint="eastAsia" w:ascii="仿宋" w:hAnsi="仿宋" w:eastAsia="仿宋" w:cs="仿宋"/>
                <w:sz w:val="21"/>
                <w:szCs w:val="21"/>
              </w:rPr>
            </w:pPr>
          </w:p>
        </w:tc>
        <w:tc>
          <w:tcPr>
            <w:tcW w:w="2085" w:type="dxa"/>
            <w:vAlign w:val="center"/>
          </w:tcPr>
          <w:p w14:paraId="3E08968B">
            <w:pPr>
              <w:pStyle w:val="5"/>
              <w:keepNext w:val="0"/>
              <w:keepLines w:val="0"/>
              <w:pageBreakBefore w:val="0"/>
              <w:widowControl w:val="0"/>
              <w:kinsoku/>
              <w:wordWrap/>
              <w:overflowPunct/>
              <w:topLinePunct w:val="0"/>
              <w:autoSpaceDE/>
              <w:autoSpaceDN/>
              <w:bidi w:val="0"/>
              <w:adjustRightInd/>
              <w:snapToGrid/>
              <w:spacing w:line="326" w:lineRule="auto"/>
              <w:ind w:right="137"/>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是否采购节</w:t>
            </w:r>
            <w:r>
              <w:rPr>
                <w:rFonts w:hint="eastAsia" w:ascii="仿宋" w:hAnsi="仿宋" w:eastAsia="仿宋" w:cs="仿宋"/>
                <w:spacing w:val="-4"/>
                <w:sz w:val="21"/>
                <w:szCs w:val="21"/>
              </w:rPr>
              <w:t>能产品</w:t>
            </w:r>
          </w:p>
        </w:tc>
        <w:tc>
          <w:tcPr>
            <w:tcW w:w="2115" w:type="dxa"/>
            <w:vAlign w:val="center"/>
          </w:tcPr>
          <w:p w14:paraId="42A25079">
            <w:pPr>
              <w:pStyle w:val="5"/>
              <w:keepNext w:val="0"/>
              <w:keepLines w:val="0"/>
              <w:pageBreakBefore w:val="0"/>
              <w:widowControl w:val="0"/>
              <w:kinsoku/>
              <w:wordWrap/>
              <w:overflowPunct/>
              <w:topLinePunct w:val="0"/>
              <w:autoSpaceDE/>
              <w:autoSpaceDN/>
              <w:bidi w:val="0"/>
              <w:adjustRightInd/>
              <w:snapToGrid/>
              <w:spacing w:line="222" w:lineRule="auto"/>
              <w:ind w:left="108"/>
              <w:jc w:val="center"/>
              <w:textAlignment w:val="auto"/>
              <w:rPr>
                <w:rFonts w:hint="eastAsia" w:ascii="仿宋" w:hAnsi="仿宋" w:eastAsia="仿宋" w:cs="仿宋"/>
                <w:sz w:val="21"/>
                <w:szCs w:val="21"/>
              </w:rPr>
            </w:pPr>
            <w:r>
              <w:rPr>
                <w:rFonts w:hint="eastAsia" w:ascii="仿宋" w:hAnsi="仿宋" w:eastAsia="仿宋" w:cs="仿宋"/>
                <w:sz w:val="24"/>
                <w:szCs w:val="32"/>
                <w:u w:val="single"/>
                <w:lang w:val="en-US" w:eastAsia="zh-CN"/>
              </w:rPr>
              <w:t>否</w:t>
            </w:r>
          </w:p>
        </w:tc>
        <w:tc>
          <w:tcPr>
            <w:tcW w:w="2310" w:type="dxa"/>
            <w:vAlign w:val="center"/>
          </w:tcPr>
          <w:p w14:paraId="4CC8A1B7">
            <w:pPr>
              <w:pStyle w:val="5"/>
              <w:keepNext w:val="0"/>
              <w:keepLines w:val="0"/>
              <w:pageBreakBefore w:val="0"/>
              <w:widowControl w:val="0"/>
              <w:kinsoku/>
              <w:wordWrap/>
              <w:overflowPunct/>
              <w:topLinePunct w:val="0"/>
              <w:autoSpaceDE/>
              <w:autoSpaceDN/>
              <w:bidi w:val="0"/>
              <w:adjustRightInd/>
              <w:snapToGrid/>
              <w:spacing w:line="326" w:lineRule="auto"/>
              <w:ind w:right="132"/>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未采购节能产品原因</w:t>
            </w:r>
          </w:p>
        </w:tc>
        <w:tc>
          <w:tcPr>
            <w:tcW w:w="2685" w:type="dxa"/>
            <w:vAlign w:val="center"/>
          </w:tcPr>
          <w:p w14:paraId="09B9518C">
            <w:pPr>
              <w:pStyle w:val="5"/>
              <w:keepNext w:val="0"/>
              <w:keepLines w:val="0"/>
              <w:pageBreakBefore w:val="0"/>
              <w:widowControl w:val="0"/>
              <w:kinsoku/>
              <w:wordWrap/>
              <w:overflowPunct/>
              <w:topLinePunct w:val="0"/>
              <w:autoSpaceDE/>
              <w:autoSpaceDN/>
              <w:bidi w:val="0"/>
              <w:adjustRightInd/>
              <w:snapToGrid/>
              <w:spacing w:line="222" w:lineRule="auto"/>
              <w:ind w:left="107"/>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本项目不采购货物类产品</w:t>
            </w:r>
          </w:p>
        </w:tc>
      </w:tr>
      <w:tr w14:paraId="469C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487" w:type="dxa"/>
            <w:vMerge w:val="continue"/>
            <w:tcBorders>
              <w:top w:val="nil"/>
              <w:bottom w:val="nil"/>
            </w:tcBorders>
            <w:vAlign w:val="top"/>
          </w:tcPr>
          <w:p w14:paraId="1F172A71">
            <w:pPr>
              <w:jc w:val="center"/>
              <w:rPr>
                <w:rFonts w:hint="eastAsia" w:ascii="仿宋" w:hAnsi="仿宋" w:eastAsia="仿宋" w:cs="仿宋"/>
                <w:sz w:val="21"/>
                <w:szCs w:val="21"/>
              </w:rPr>
            </w:pPr>
          </w:p>
        </w:tc>
        <w:tc>
          <w:tcPr>
            <w:tcW w:w="2085" w:type="dxa"/>
            <w:vAlign w:val="center"/>
          </w:tcPr>
          <w:p w14:paraId="16198B14">
            <w:pPr>
              <w:pStyle w:val="5"/>
              <w:keepNext w:val="0"/>
              <w:keepLines w:val="0"/>
              <w:pageBreakBefore w:val="0"/>
              <w:widowControl w:val="0"/>
              <w:kinsoku/>
              <w:wordWrap/>
              <w:overflowPunct/>
              <w:topLinePunct w:val="0"/>
              <w:autoSpaceDE/>
              <w:autoSpaceDN/>
              <w:bidi w:val="0"/>
              <w:adjustRightInd/>
              <w:snapToGrid/>
              <w:spacing w:line="325" w:lineRule="auto"/>
              <w:ind w:right="137"/>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是否采购环</w:t>
            </w:r>
            <w:r>
              <w:rPr>
                <w:rFonts w:hint="eastAsia" w:ascii="仿宋" w:hAnsi="仿宋" w:eastAsia="仿宋" w:cs="仿宋"/>
                <w:spacing w:val="-2"/>
                <w:sz w:val="21"/>
                <w:szCs w:val="21"/>
              </w:rPr>
              <w:t>保产品</w:t>
            </w:r>
          </w:p>
        </w:tc>
        <w:tc>
          <w:tcPr>
            <w:tcW w:w="2115" w:type="dxa"/>
            <w:vAlign w:val="center"/>
          </w:tcPr>
          <w:p w14:paraId="6B299536">
            <w:pPr>
              <w:pStyle w:val="5"/>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 w:hAnsi="仿宋" w:eastAsia="仿宋" w:cs="仿宋"/>
                <w:sz w:val="21"/>
                <w:szCs w:val="21"/>
              </w:rPr>
            </w:pPr>
            <w:r>
              <w:rPr>
                <w:rFonts w:hint="eastAsia" w:ascii="仿宋" w:hAnsi="仿宋" w:eastAsia="仿宋" w:cs="仿宋"/>
                <w:sz w:val="24"/>
                <w:szCs w:val="32"/>
                <w:u w:val="single"/>
                <w:lang w:val="en-US" w:eastAsia="zh-CN"/>
              </w:rPr>
              <w:t>否</w:t>
            </w:r>
          </w:p>
        </w:tc>
        <w:tc>
          <w:tcPr>
            <w:tcW w:w="2310" w:type="dxa"/>
            <w:vAlign w:val="center"/>
          </w:tcPr>
          <w:p w14:paraId="43E1509E">
            <w:pPr>
              <w:pStyle w:val="5"/>
              <w:keepNext w:val="0"/>
              <w:keepLines w:val="0"/>
              <w:pageBreakBefore w:val="0"/>
              <w:widowControl w:val="0"/>
              <w:kinsoku/>
              <w:wordWrap/>
              <w:overflowPunct/>
              <w:topLinePunct w:val="0"/>
              <w:autoSpaceDE/>
              <w:autoSpaceDN/>
              <w:bidi w:val="0"/>
              <w:adjustRightInd/>
              <w:snapToGrid/>
              <w:spacing w:line="325" w:lineRule="auto"/>
              <w:ind w:right="132"/>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未采购环保产品原因</w:t>
            </w:r>
          </w:p>
        </w:tc>
        <w:tc>
          <w:tcPr>
            <w:tcW w:w="2685" w:type="dxa"/>
            <w:vAlign w:val="center"/>
          </w:tcPr>
          <w:p w14:paraId="2981D5A2">
            <w:pPr>
              <w:pStyle w:val="5"/>
              <w:keepNext w:val="0"/>
              <w:keepLines w:val="0"/>
              <w:pageBreakBefore w:val="0"/>
              <w:widowControl w:val="0"/>
              <w:kinsoku/>
              <w:wordWrap/>
              <w:overflowPunct/>
              <w:topLinePunct w:val="0"/>
              <w:autoSpaceDE/>
              <w:autoSpaceDN/>
              <w:bidi w:val="0"/>
              <w:adjustRightInd/>
              <w:snapToGrid/>
              <w:spacing w:line="222" w:lineRule="auto"/>
              <w:ind w:left="107"/>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本项目不采购货物类产品</w:t>
            </w:r>
          </w:p>
        </w:tc>
      </w:tr>
      <w:tr w14:paraId="035E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487" w:type="dxa"/>
            <w:vMerge w:val="continue"/>
            <w:tcBorders>
              <w:top w:val="nil"/>
            </w:tcBorders>
            <w:vAlign w:val="top"/>
          </w:tcPr>
          <w:p w14:paraId="01A4657F">
            <w:pPr>
              <w:jc w:val="center"/>
              <w:rPr>
                <w:rFonts w:hint="eastAsia" w:ascii="仿宋" w:hAnsi="仿宋" w:eastAsia="仿宋" w:cs="仿宋"/>
                <w:sz w:val="21"/>
                <w:szCs w:val="21"/>
              </w:rPr>
            </w:pPr>
          </w:p>
        </w:tc>
        <w:tc>
          <w:tcPr>
            <w:tcW w:w="2085" w:type="dxa"/>
            <w:vAlign w:val="center"/>
          </w:tcPr>
          <w:p w14:paraId="78875E0F">
            <w:pPr>
              <w:pStyle w:val="5"/>
              <w:keepNext w:val="0"/>
              <w:keepLines w:val="0"/>
              <w:pageBreakBefore w:val="0"/>
              <w:widowControl w:val="0"/>
              <w:kinsoku/>
              <w:wordWrap/>
              <w:overflowPunct/>
              <w:topLinePunct w:val="0"/>
              <w:autoSpaceDE/>
              <w:autoSpaceDN/>
              <w:bidi w:val="0"/>
              <w:adjustRightInd/>
              <w:snapToGrid/>
              <w:spacing w:line="327" w:lineRule="auto"/>
              <w:ind w:right="137"/>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是否采购进</w:t>
            </w:r>
            <w:r>
              <w:rPr>
                <w:rFonts w:hint="eastAsia" w:ascii="仿宋" w:hAnsi="仿宋" w:eastAsia="仿宋" w:cs="仿宋"/>
                <w:spacing w:val="-11"/>
                <w:sz w:val="21"/>
                <w:szCs w:val="21"/>
              </w:rPr>
              <w:t>口产品</w:t>
            </w:r>
          </w:p>
        </w:tc>
        <w:tc>
          <w:tcPr>
            <w:tcW w:w="2115" w:type="dxa"/>
            <w:vAlign w:val="center"/>
          </w:tcPr>
          <w:p w14:paraId="1FDC7CFA">
            <w:pPr>
              <w:pStyle w:val="5"/>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 w:hAnsi="仿宋" w:eastAsia="仿宋" w:cs="仿宋"/>
                <w:sz w:val="21"/>
                <w:szCs w:val="21"/>
              </w:rPr>
            </w:pPr>
            <w:r>
              <w:rPr>
                <w:rFonts w:hint="eastAsia" w:ascii="仿宋" w:hAnsi="仿宋" w:eastAsia="仿宋" w:cs="仿宋"/>
                <w:sz w:val="24"/>
                <w:szCs w:val="32"/>
                <w:u w:val="single"/>
                <w:lang w:val="en-US" w:eastAsia="zh-CN"/>
              </w:rPr>
              <w:t>否</w:t>
            </w:r>
          </w:p>
        </w:tc>
        <w:tc>
          <w:tcPr>
            <w:tcW w:w="2310" w:type="dxa"/>
            <w:vAlign w:val="center"/>
          </w:tcPr>
          <w:p w14:paraId="1C7702DB">
            <w:pPr>
              <w:pStyle w:val="5"/>
              <w:keepNext w:val="0"/>
              <w:keepLines w:val="0"/>
              <w:pageBreakBefore w:val="0"/>
              <w:widowControl w:val="0"/>
              <w:kinsoku/>
              <w:wordWrap/>
              <w:overflowPunct/>
              <w:topLinePunct w:val="0"/>
              <w:autoSpaceDE/>
              <w:autoSpaceDN/>
              <w:bidi w:val="0"/>
              <w:adjustRightInd/>
              <w:snapToGrid/>
              <w:spacing w:line="327" w:lineRule="auto"/>
              <w:ind w:right="132"/>
              <w:jc w:val="center"/>
              <w:textAlignment w:val="auto"/>
              <w:rPr>
                <w:rFonts w:hint="eastAsia" w:ascii="仿宋" w:hAnsi="仿宋" w:eastAsia="仿宋" w:cs="仿宋"/>
                <w:sz w:val="21"/>
                <w:szCs w:val="21"/>
              </w:rPr>
            </w:pPr>
            <w:r>
              <w:rPr>
                <w:rFonts w:hint="eastAsia" w:ascii="仿宋" w:hAnsi="仿宋" w:eastAsia="仿宋" w:cs="仿宋"/>
                <w:sz w:val="21"/>
                <w:szCs w:val="21"/>
              </w:rPr>
              <w:t>标的物所属</w:t>
            </w:r>
            <w:r>
              <w:rPr>
                <w:rFonts w:hint="eastAsia" w:ascii="仿宋" w:hAnsi="仿宋" w:eastAsia="仿宋" w:cs="仿宋"/>
                <w:spacing w:val="-4"/>
                <w:sz w:val="21"/>
                <w:szCs w:val="21"/>
              </w:rPr>
              <w:t>行业</w:t>
            </w:r>
          </w:p>
        </w:tc>
        <w:tc>
          <w:tcPr>
            <w:tcW w:w="2685" w:type="dxa"/>
            <w:vAlign w:val="center"/>
          </w:tcPr>
          <w:p w14:paraId="3F624BD7">
            <w:pPr>
              <w:pStyle w:val="5"/>
              <w:keepNext w:val="0"/>
              <w:keepLines w:val="0"/>
              <w:pageBreakBefore w:val="0"/>
              <w:widowControl w:val="0"/>
              <w:kinsoku/>
              <w:wordWrap/>
              <w:overflowPunct/>
              <w:topLinePunct w:val="0"/>
              <w:autoSpaceDE/>
              <w:autoSpaceDN/>
              <w:bidi w:val="0"/>
              <w:adjustRightInd/>
              <w:snapToGrid/>
              <w:spacing w:line="221" w:lineRule="auto"/>
              <w:ind w:left="108"/>
              <w:jc w:val="center"/>
              <w:textAlignment w:val="auto"/>
              <w:rPr>
                <w:rFonts w:hint="eastAsia" w:ascii="仿宋" w:hAnsi="仿宋" w:eastAsia="仿宋" w:cs="仿宋"/>
                <w:sz w:val="21"/>
                <w:szCs w:val="21"/>
              </w:rPr>
            </w:pPr>
            <w:r>
              <w:rPr>
                <w:rFonts w:hint="eastAsia" w:ascii="仿宋" w:hAnsi="仿宋" w:eastAsia="仿宋" w:cs="仿宋"/>
                <w:sz w:val="21"/>
                <w:szCs w:val="21"/>
              </w:rPr>
              <w:t>其他未列明行业</w:t>
            </w:r>
          </w:p>
        </w:tc>
      </w:tr>
    </w:tbl>
    <w:p w14:paraId="3A346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p>
    <w:p w14:paraId="49F6CD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lang w:eastAsia="zh-CN"/>
        </w:rPr>
      </w:pPr>
      <w:r>
        <w:rPr>
          <w:rFonts w:hint="eastAsia" w:ascii="仿宋" w:hAnsi="仿宋" w:eastAsia="仿宋" w:cs="仿宋"/>
          <w:sz w:val="24"/>
          <w:szCs w:val="32"/>
        </w:rPr>
        <w:t>标的名称：</w:t>
      </w:r>
      <w:r>
        <w:rPr>
          <w:rFonts w:hint="eastAsia" w:ascii="仿宋" w:hAnsi="仿宋" w:eastAsia="仿宋" w:cs="仿宋"/>
          <w:sz w:val="24"/>
          <w:szCs w:val="32"/>
          <w:lang w:eastAsia="zh-CN"/>
        </w:rPr>
        <w:t>陕西省建设工程消防技术人员培养体系的创新与发展研究</w:t>
      </w:r>
    </w:p>
    <w:p w14:paraId="4BAF6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核心研究内容 </w:t>
      </w:r>
    </w:p>
    <w:p w14:paraId="3443F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1）培养模式创新与路径设计。设计“理论教学+实操训练+现场实践”三位一体培养机制，开发理论课程、案例库、模拟实训模块,将职业技能竞赛纳入培养体系，以赛促学、以赛促练，提升实战能力。探索校企合作、工学结合等多元化路径，推动与职业资格认证相衔接的继续教育机制。 </w:t>
      </w:r>
    </w:p>
    <w:p w14:paraId="23B673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（2）评价标准体系构建。建立以岗位胜任力为核心的多维评价指标体系，涵盖理论知识、技能操作、案例分析、现场处置等维度。 引入过程性指标（如学员满意度、培训转化率），采用笔试、实操、述职答辩等多种评价形式。实行“过程性+终结性”双评估机制，建立个人培训档案，实现培训效果全程跟踪与量化评估。</w:t>
      </w:r>
    </w:p>
    <w:p w14:paraId="5290C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3）完整培养体系构建。系统规划培训标准、课程体系、师资建设、教学保障等关键要素。制定能力要求与培训标准，开发模块化、层次化课程体系。加强师资队伍建设，遴选省库专家建立师资库，完善认证与管理机制。健全“培训合格证书+职业资格证书”双证制度，构建从入门到精通的职业发展通道。 </w:t>
      </w:r>
    </w:p>
    <w:p w14:paraId="07E77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（4）继续教育机制探索。研究建立周期性继续教育制度，明确不同岗位的学时要求与内容标准。探索线上学习、集中培训、专题研讨等多种形式相结合的继续教育路径。 研究继续教育学分与执业资格管理的衔接机制，建立学分积累、转换与应用的制度框架。 </w:t>
      </w:r>
    </w:p>
    <w:p w14:paraId="56EB7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核心成果：陕西省建设工程消防技术人员培养体系的创新与发展研究</w:t>
      </w:r>
      <w:r>
        <w:rPr>
          <w:rFonts w:hint="eastAsia" w:ascii="仿宋" w:hAnsi="仿宋" w:eastAsia="仿宋" w:cs="仿宋"/>
          <w:sz w:val="24"/>
          <w:szCs w:val="32"/>
          <w:lang w:val="en-US" w:eastAsia="zh-CN"/>
        </w:rPr>
        <w:t>课题报告</w:t>
      </w:r>
    </w:p>
    <w:p w14:paraId="46C23B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1、合同管理安排</w:t>
      </w:r>
    </w:p>
    <w:p w14:paraId="67E4A8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1）合同类型：技术咨询服务</w:t>
      </w:r>
    </w:p>
    <w:p w14:paraId="0A1E02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2）合同履行期限：</w:t>
      </w:r>
      <w:r>
        <w:rPr>
          <w:rFonts w:hint="eastAsia" w:ascii="仿宋" w:hAnsi="仿宋" w:eastAsia="仿宋" w:cs="仿宋"/>
          <w:color w:val="auto"/>
          <w:sz w:val="24"/>
          <w:szCs w:val="24"/>
          <w:highlight w:val="none"/>
        </w:rPr>
        <w:t>自合同签订之日起至202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年12月</w:t>
      </w:r>
      <w:r>
        <w:rPr>
          <w:rFonts w:hint="eastAsia" w:ascii="仿宋" w:hAnsi="仿宋" w:eastAsia="仿宋" w:cs="仿宋"/>
          <w:color w:val="auto"/>
          <w:sz w:val="24"/>
          <w:szCs w:val="24"/>
          <w:highlight w:val="none"/>
          <w:lang w:val="en-US" w:eastAsia="zh-CN"/>
        </w:rPr>
        <w:t>31日。</w:t>
      </w:r>
    </w:p>
    <w:p w14:paraId="401E6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3）合同履约地点：采购人指定地点</w:t>
      </w:r>
    </w:p>
    <w:p w14:paraId="532E44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4）支付方式：公对公银行转账</w:t>
      </w:r>
    </w:p>
    <w:p w14:paraId="0520E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5）履约保证金及缴纳形式：</w:t>
      </w:r>
    </w:p>
    <w:p w14:paraId="7C387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u w:val="none"/>
          <w:lang w:val="en-US" w:eastAsia="zh-CN"/>
        </w:rPr>
      </w:pPr>
      <w:r>
        <w:rPr>
          <w:rFonts w:hint="eastAsia" w:ascii="仿宋" w:hAnsi="仿宋" w:eastAsia="仿宋" w:cs="仿宋"/>
          <w:sz w:val="24"/>
          <w:szCs w:val="32"/>
          <w:lang w:val="en-US" w:eastAsia="zh-CN"/>
        </w:rPr>
        <w:t>中标/成交供应商是否需要缴纳履约保证金：</w:t>
      </w:r>
      <w:r>
        <w:rPr>
          <w:rFonts w:hint="eastAsia" w:ascii="仿宋" w:hAnsi="仿宋" w:eastAsia="仿宋" w:cs="仿宋"/>
          <w:sz w:val="24"/>
          <w:szCs w:val="32"/>
          <w:u w:val="single"/>
          <w:lang w:val="en-US" w:eastAsia="zh-CN"/>
        </w:rPr>
        <w:t xml:space="preserve">否     </w:t>
      </w:r>
    </w:p>
    <w:p w14:paraId="1621C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6）质量保证金及缴纳形式：</w:t>
      </w:r>
    </w:p>
    <w:p w14:paraId="27D6C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中标/成交供应商是否需要缴纳质量保证金：</w:t>
      </w:r>
      <w:r>
        <w:rPr>
          <w:rFonts w:hint="eastAsia" w:ascii="仿宋" w:hAnsi="仿宋" w:eastAsia="仿宋" w:cs="仿宋"/>
          <w:sz w:val="24"/>
          <w:szCs w:val="32"/>
          <w:u w:val="single"/>
          <w:lang w:val="en-US" w:eastAsia="zh-CN"/>
        </w:rPr>
        <w:t xml:space="preserve">否   </w:t>
      </w:r>
    </w:p>
    <w:p w14:paraId="5BC60EC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合同支付约定：合同签订后达到付款条件后，支付合同总金额80%；课题验收后达到付款条件后，支付合同总金额20%。</w:t>
      </w:r>
    </w:p>
    <w:p w14:paraId="278E25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8）验收交付标准和方法：乙方所提供的技术咨询服务用于甲方的相关项目建设，以项目验收通过为最终验收；乙方提交技术咨询服务成果的形式：阶段性提交并最终汇总为完整的</w:t>
      </w:r>
      <w:r>
        <w:rPr>
          <w:rFonts w:hint="eastAsia" w:ascii="仿宋" w:hAnsi="仿宋" w:eastAsia="仿宋" w:cs="仿宋"/>
          <w:sz w:val="24"/>
          <w:szCs w:val="32"/>
          <w:lang w:eastAsia="zh-CN"/>
        </w:rPr>
        <w:t>陕西省建设工程消防技术人员培养体系的创新与发展</w:t>
      </w:r>
      <w:r>
        <w:rPr>
          <w:rFonts w:hint="eastAsia" w:ascii="仿宋" w:hAnsi="仿宋" w:eastAsia="仿宋" w:cs="仿宋"/>
          <w:sz w:val="24"/>
          <w:szCs w:val="32"/>
          <w:lang w:val="en-US" w:eastAsia="zh-CN"/>
        </w:rPr>
        <w:t>研究课题报告。</w:t>
      </w:r>
    </w:p>
    <w:p w14:paraId="5089F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9）质量保修范围和保修期：乙方提供不短于一年的项目相关咨询和条款修改保证</w:t>
      </w:r>
    </w:p>
    <w:p w14:paraId="6F597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10）知识产权归属和处理方式：1.陕西省建设工程消防技术人员培养体系的创新与发展研究课题的知识产权归陕西省建设工程消防技术服务中心所有。 </w:t>
      </w:r>
    </w:p>
    <w:p w14:paraId="69F32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2.在本合同有效期内，甲方利用乙方提交的咨询服务工作成果所完成的新的技术成果，归双方共同所有。</w:t>
      </w:r>
    </w:p>
    <w:p w14:paraId="78724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 在本合同有效期内，乙方利用甲方提供的相关资料和工作条件所完成的新的技术成果，归双方共同所有。</w:t>
      </w:r>
    </w:p>
    <w:p w14:paraId="23AE2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4.未尽事宜，双方本着友好互利的原则，协商解决。如过程中出现确因工作实际需要变更经费、人员、咨询内容等情况，需甲乙双方友好协商，一致同意之后通过签订补充协议的形式明确。</w:t>
      </w:r>
    </w:p>
    <w:p w14:paraId="1BF73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11）成本补偿和风险分担约定：无</w:t>
      </w:r>
    </w:p>
    <w:p w14:paraId="5E927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违约责任与解决争议的方法：双方因履行本合同而发生的争议，应协商、调解解决。双方约定逾期每日违约金为违约部分所涉合同金额的万分之五且逾期总额不得超过合同金额的百分之二十。双方协商、调解不成的，可按以下按第2种方式处理：</w:t>
      </w:r>
    </w:p>
    <w:p w14:paraId="3E569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 提交西安仲裁委员会仲裁；</w:t>
      </w:r>
    </w:p>
    <w:p w14:paraId="19D95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 依法向人民法院起诉。</w:t>
      </w:r>
    </w:p>
    <w:p w14:paraId="09E13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13）合同其他条款：1.乙方未经甲方同意，不得擅自变更本工作在响应文件中认定的工作范围、组织实施方案和项目负责人；2.乙方的磋商响应文件和承诺以及补充意见等内容，将作为合同条款列入合同；3.若因不可抗力致使项目实际情况发生变化或其他因素造成需对原方案进行修改、完善、补充时，乙方需会同甲方协商有关事宜。因此发生的费用，由双方协商解决</w:t>
      </w:r>
    </w:p>
    <w:p w14:paraId="2C487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11、履约验收方案</w:t>
      </w:r>
    </w:p>
    <w:p w14:paraId="41FCD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1）验收组织方式：自行验收 </w:t>
      </w:r>
    </w:p>
    <w:p w14:paraId="40EA5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2）是否邀请本项目的其他供应商：</w:t>
      </w:r>
      <w:r>
        <w:rPr>
          <w:rFonts w:hint="eastAsia" w:ascii="仿宋" w:hAnsi="仿宋" w:eastAsia="仿宋" w:cs="仿宋"/>
          <w:sz w:val="24"/>
          <w:szCs w:val="32"/>
          <w:u w:val="single"/>
          <w:lang w:val="en-US" w:eastAsia="zh-CN"/>
        </w:rPr>
        <w:t xml:space="preserve">否     </w:t>
      </w:r>
    </w:p>
    <w:p w14:paraId="0B2AD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3）是否邀请专家：</w:t>
      </w:r>
      <w:r>
        <w:rPr>
          <w:rFonts w:hint="eastAsia" w:ascii="仿宋" w:hAnsi="仿宋" w:eastAsia="仿宋" w:cs="仿宋"/>
          <w:sz w:val="24"/>
          <w:szCs w:val="32"/>
          <w:u w:val="single"/>
          <w:lang w:val="en-US" w:eastAsia="zh-CN"/>
        </w:rPr>
        <w:t xml:space="preserve">否   </w:t>
      </w:r>
    </w:p>
    <w:p w14:paraId="2A6A2B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4）是否邀请服务对象：</w:t>
      </w:r>
      <w:r>
        <w:rPr>
          <w:rFonts w:hint="eastAsia" w:ascii="仿宋" w:hAnsi="仿宋" w:eastAsia="仿宋" w:cs="仿宋"/>
          <w:sz w:val="24"/>
          <w:szCs w:val="32"/>
          <w:u w:val="single"/>
          <w:lang w:val="en-US" w:eastAsia="zh-CN"/>
        </w:rPr>
        <w:t xml:space="preserve">否   </w:t>
      </w:r>
    </w:p>
    <w:p w14:paraId="28182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5）是否邀请第三方检测机构：</w:t>
      </w:r>
      <w:r>
        <w:rPr>
          <w:rFonts w:hint="eastAsia" w:ascii="仿宋" w:hAnsi="仿宋" w:eastAsia="仿宋" w:cs="仿宋"/>
          <w:sz w:val="24"/>
          <w:szCs w:val="32"/>
          <w:u w:val="single"/>
          <w:lang w:val="en-US" w:eastAsia="zh-CN"/>
        </w:rPr>
        <w:t xml:space="preserve">否      </w:t>
      </w:r>
    </w:p>
    <w:p w14:paraId="1B59B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6）履约验收程序：一次性验收</w:t>
      </w:r>
    </w:p>
    <w:p w14:paraId="11F55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7）履约验收时间：供应商提出验收申请之日起</w:t>
      </w:r>
      <w:r>
        <w:rPr>
          <w:rFonts w:hint="eastAsia" w:ascii="仿宋" w:hAnsi="仿宋" w:eastAsia="仿宋" w:cs="仿宋"/>
          <w:color w:val="auto"/>
          <w:sz w:val="24"/>
          <w:szCs w:val="32"/>
          <w:u w:val="single"/>
          <w:lang w:val="en-US" w:eastAsia="zh-CN"/>
        </w:rPr>
        <w:t xml:space="preserve"> 7</w:t>
      </w:r>
      <w:r>
        <w:rPr>
          <w:rFonts w:hint="eastAsia" w:ascii="仿宋" w:hAnsi="仿宋" w:eastAsia="仿宋" w:cs="仿宋"/>
          <w:sz w:val="24"/>
          <w:szCs w:val="32"/>
          <w:lang w:val="en-US" w:eastAsia="zh-CN"/>
        </w:rPr>
        <w:t>日内组织验收</w:t>
      </w:r>
    </w:p>
    <w:p w14:paraId="05568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8）验收组织的其他事项：按照合同约定</w:t>
      </w:r>
    </w:p>
    <w:p w14:paraId="175E0D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9）技术履约验收内容：按照国家有关规定以及采购文件的技术、服务要求，供应商的响应文件承诺与合同约定标准进行验收。</w:t>
      </w:r>
    </w:p>
    <w:p w14:paraId="332DA7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10）商务履约验收内容：按照国家有关规定以及采购文件的技术、服务要求，供应商的响应文件承诺与合同约定标准进行验收。</w:t>
      </w:r>
    </w:p>
    <w:p w14:paraId="758200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11）履约验收标准：采购人应严格按照《财政部关于进一步加强政府采购需求和履约验收管理的指导意见》（财库【2016】205号）的要求进行验收，同时按国家有关规定、采购文件的质量要求和技术指标、供应商的磋商响应文件及承诺与合同约定进行验收。</w:t>
      </w:r>
    </w:p>
    <w:p w14:paraId="50AA39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12）履约验收其他事项：按照合同约定</w:t>
      </w:r>
    </w:p>
    <w:p w14:paraId="61A4A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13）人员配置要求：按照合同约定</w:t>
      </w:r>
    </w:p>
    <w:p w14:paraId="38978A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14）设施设备要求：按照合同约定</w:t>
      </w:r>
    </w:p>
    <w:p w14:paraId="7CE8C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15）其他要求：按照合同约定</w:t>
      </w:r>
    </w:p>
    <w:p w14:paraId="47FA5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五、风险控制措施和替代方案</w:t>
      </w:r>
    </w:p>
    <w:p w14:paraId="7AE9E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该采购项目按照《政府采购需求管理办法》第二十五条规定，本项目是否需要组织风险判断、提出处置措施和替代方案：</w:t>
      </w:r>
      <w:r>
        <w:rPr>
          <w:rFonts w:hint="eastAsia" w:ascii="仿宋" w:hAnsi="仿宋" w:eastAsia="仿宋" w:cs="仿宋"/>
          <w:sz w:val="24"/>
          <w:szCs w:val="32"/>
          <w:u w:val="single"/>
          <w:lang w:val="en-US" w:eastAsia="zh-CN"/>
        </w:rPr>
        <w:t xml:space="preserve">否    </w:t>
      </w:r>
    </w:p>
    <w:p w14:paraId="74825B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3C33A"/>
    <w:multiLevelType w:val="singleLevel"/>
    <w:tmpl w:val="ACD3C33A"/>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74AD3"/>
    <w:rsid w:val="5C17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2025-11-20T07:43:00Z</dcterms:created>
  <dc:creator>Patton</dc:creator>
  <cp:lastModifiedBy>Patton</cp:lastModifiedBy>
  <dcterms:modified xsi:type="dcterms:W3CDTF">2025-11-20T07:44:07Z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69E37E6B8A684561B4BE80B5654976FA_11</vt:lpwstr>
  </property>
  <property fmtid="{D5CDD505-2E9C-101B-9397-08002B2CF9AE}" pid="4" name="KSOTemplateDocerSaveRecord">
    <vt:lpwstr>eyJoZGlkIjoiNjllMjU4NjNjOWJiNDI1NjZkZDc5NDJiOTVmODQzZmQiLCJ1c2VySWQiOiIxMDYzMTcxMDUxIn0=</vt:lpwstr>
  </property>
</Properties>
</file>