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65F3B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0"/>
              <w:gridCol w:w="7323"/>
            </w:tblGrid>
            <w:tr w14:paraId="58472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7A681D">
                  <w:pPr>
                    <w:pStyle w:val="4"/>
                    <w:jc w:val="center"/>
                  </w:pPr>
                  <w:r>
                    <w:rPr>
                      <w:rFonts w:ascii="仿宋_GB2312" w:hAnsi="仿宋_GB2312" w:eastAsia="仿宋_GB2312" w:cs="仿宋_GB2312"/>
                      <w:sz w:val="19"/>
                    </w:rPr>
                    <w:t>序号</w:t>
                  </w:r>
                </w:p>
              </w:tc>
              <w:tc>
                <w:tcPr>
                  <w:tcW w:w="440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10DB34">
                  <w:pPr>
                    <w:pStyle w:val="4"/>
                    <w:jc w:val="center"/>
                  </w:pPr>
                  <w:r>
                    <w:rPr>
                      <w:rFonts w:ascii="仿宋_GB2312" w:hAnsi="仿宋_GB2312" w:eastAsia="仿宋_GB2312" w:cs="仿宋_GB2312"/>
                      <w:sz w:val="19"/>
                    </w:rPr>
                    <w:t>技术参数与性能指标</w:t>
                  </w:r>
                </w:p>
              </w:tc>
            </w:tr>
            <w:tr w14:paraId="6A64B5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86C7D2">
                  <w:pPr>
                    <w:pStyle w:val="4"/>
                  </w:pPr>
                  <w:r>
                    <w:rPr>
                      <w:rFonts w:ascii="仿宋_GB2312" w:hAnsi="仿宋_GB2312" w:eastAsia="仿宋_GB2312" w:cs="仿宋_GB2312"/>
                      <w:sz w:val="19"/>
                    </w:rPr>
                    <w:t>1</w:t>
                  </w:r>
                </w:p>
              </w:tc>
              <w:tc>
                <w:tcPr>
                  <w:tcW w:w="440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D6F55">
                  <w:pPr>
                    <w:pStyle w:val="4"/>
                    <w:jc w:val="both"/>
                  </w:pPr>
                  <w:r>
                    <w:rPr>
                      <w:rFonts w:ascii="仿宋_GB2312" w:hAnsi="仿宋_GB2312" w:eastAsia="仿宋_GB2312" w:cs="仿宋_GB2312"/>
                      <w:sz w:val="19"/>
                    </w:rPr>
                    <w:t>一、概述</w:t>
                  </w:r>
                </w:p>
                <w:p w14:paraId="6E40CA6D">
                  <w:pPr>
                    <w:pStyle w:val="4"/>
                    <w:jc w:val="both"/>
                  </w:pPr>
                  <w:r>
                    <w:rPr>
                      <w:rFonts w:ascii="仿宋_GB2312" w:hAnsi="仿宋_GB2312" w:eastAsia="仿宋_GB2312" w:cs="仿宋_GB2312"/>
                      <w:sz w:val="19"/>
                    </w:rPr>
                    <w:t>陕西省无线电管理一体化平台是全省无线电管理系统的通用门户，与国家级无线电管理一体化基础平台互联互通，为无线电监测联网、频率台站管理、重大活动保障等提供有力支撑，是无线电管理工作的重要工具。一体化平台的稳定运行和网络安全至关重要，需要定期维护，保障相关硬件和软件的正常使用。</w:t>
                  </w:r>
                </w:p>
                <w:p w14:paraId="7F524BCE">
                  <w:pPr>
                    <w:pStyle w:val="4"/>
                    <w:jc w:val="both"/>
                  </w:pPr>
                  <w:r>
                    <w:rPr>
                      <w:rFonts w:ascii="仿宋_GB2312" w:hAnsi="仿宋_GB2312" w:eastAsia="仿宋_GB2312" w:cs="仿宋_GB2312"/>
                      <w:sz w:val="19"/>
                    </w:rPr>
                    <w:t>二、维护范围</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3"/>
                    <w:gridCol w:w="1966"/>
                    <w:gridCol w:w="4221"/>
                  </w:tblGrid>
                  <w:tr w14:paraId="5863B9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ACEBB4">
                        <w:pPr>
                          <w:pStyle w:val="4"/>
                          <w:jc w:val="both"/>
                        </w:pPr>
                        <w:r>
                          <w:rPr>
                            <w:rFonts w:ascii="仿宋_GB2312" w:hAnsi="仿宋_GB2312" w:eastAsia="仿宋_GB2312" w:cs="仿宋_GB2312"/>
                            <w:sz w:val="19"/>
                          </w:rPr>
                          <w:t>序号</w:t>
                        </w:r>
                      </w:p>
                    </w:tc>
                    <w:tc>
                      <w:tcPr>
                        <w:tcW w:w="138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33AEC0">
                        <w:pPr>
                          <w:pStyle w:val="4"/>
                          <w:jc w:val="both"/>
                        </w:pPr>
                        <w:r>
                          <w:rPr>
                            <w:rFonts w:ascii="仿宋_GB2312" w:hAnsi="仿宋_GB2312" w:eastAsia="仿宋_GB2312" w:cs="仿宋_GB2312"/>
                            <w:sz w:val="19"/>
                          </w:rPr>
                          <w:t>名称</w:t>
                        </w:r>
                      </w:p>
                    </w:tc>
                    <w:tc>
                      <w:tcPr>
                        <w:tcW w:w="296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280482">
                        <w:pPr>
                          <w:pStyle w:val="4"/>
                          <w:jc w:val="both"/>
                        </w:pPr>
                        <w:r>
                          <w:rPr>
                            <w:rFonts w:ascii="仿宋_GB2312" w:hAnsi="仿宋_GB2312" w:eastAsia="仿宋_GB2312" w:cs="仿宋_GB2312"/>
                            <w:sz w:val="19"/>
                          </w:rPr>
                          <w:t>具体内容</w:t>
                        </w:r>
                      </w:p>
                    </w:tc>
                  </w:tr>
                  <w:tr w14:paraId="08DDDB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AD704">
                        <w:pPr>
                          <w:pStyle w:val="4"/>
                          <w:jc w:val="both"/>
                        </w:pPr>
                        <w:r>
                          <w:rPr>
                            <w:rFonts w:ascii="仿宋_GB2312" w:hAnsi="仿宋_GB2312" w:eastAsia="仿宋_GB2312" w:cs="仿宋_GB2312"/>
                            <w:sz w:val="19"/>
                          </w:rPr>
                          <w:t>1</w:t>
                        </w:r>
                      </w:p>
                      <w:p w14:paraId="1C7E0FB4">
                        <w:pPr>
                          <w:pStyle w:val="4"/>
                          <w:jc w:val="both"/>
                        </w:pPr>
                      </w:p>
                    </w:tc>
                    <w:tc>
                      <w:tcPr>
                        <w:tcW w:w="13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EB456">
                        <w:pPr>
                          <w:pStyle w:val="4"/>
                          <w:jc w:val="both"/>
                        </w:pPr>
                        <w:r>
                          <w:rPr>
                            <w:rFonts w:ascii="仿宋_GB2312" w:hAnsi="仿宋_GB2312" w:eastAsia="仿宋_GB2312" w:cs="仿宋_GB2312"/>
                            <w:sz w:val="19"/>
                          </w:rPr>
                          <w:t>一体化平台维护</w:t>
                        </w:r>
                      </w:p>
                    </w:tc>
                    <w:tc>
                      <w:tcPr>
                        <w:tcW w:w="29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E4990">
                        <w:pPr>
                          <w:pStyle w:val="4"/>
                          <w:jc w:val="both"/>
                        </w:pPr>
                        <w:r>
                          <w:rPr>
                            <w:rFonts w:ascii="仿宋_GB2312" w:hAnsi="仿宋_GB2312" w:eastAsia="仿宋_GB2312" w:cs="仿宋_GB2312"/>
                            <w:sz w:val="19"/>
                          </w:rPr>
                          <w:t>包括数据服务器、虚拟化服务器、监测存储服务器、安全网关、交换机、频率台站相关服务器等硬件设备和系统软件</w:t>
                        </w:r>
                      </w:p>
                    </w:tc>
                  </w:tr>
                  <w:tr w14:paraId="49F29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D68A9">
                        <w:pPr>
                          <w:pStyle w:val="4"/>
                          <w:jc w:val="both"/>
                        </w:pPr>
                        <w:r>
                          <w:rPr>
                            <w:rFonts w:ascii="仿宋_GB2312" w:hAnsi="仿宋_GB2312" w:eastAsia="仿宋_GB2312" w:cs="仿宋_GB2312"/>
                            <w:sz w:val="19"/>
                          </w:rPr>
                          <w:t>2</w:t>
                        </w:r>
                      </w:p>
                    </w:tc>
                    <w:tc>
                      <w:tcPr>
                        <w:tcW w:w="13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30381">
                        <w:pPr>
                          <w:pStyle w:val="4"/>
                          <w:jc w:val="both"/>
                        </w:pPr>
                        <w:r>
                          <w:rPr>
                            <w:rFonts w:ascii="仿宋_GB2312" w:hAnsi="仿宋_GB2312" w:eastAsia="仿宋_GB2312" w:cs="仿宋_GB2312"/>
                            <w:sz w:val="19"/>
                          </w:rPr>
                          <w:t>网络安全维护</w:t>
                        </w:r>
                      </w:p>
                      <w:p w14:paraId="797228CC">
                        <w:pPr>
                          <w:pStyle w:val="4"/>
                          <w:jc w:val="both"/>
                        </w:pPr>
                      </w:p>
                    </w:tc>
                    <w:tc>
                      <w:tcPr>
                        <w:tcW w:w="29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558121">
                        <w:pPr>
                          <w:pStyle w:val="4"/>
                          <w:jc w:val="both"/>
                        </w:pPr>
                        <w:r>
                          <w:rPr>
                            <w:rFonts w:ascii="仿宋_GB2312" w:hAnsi="仿宋_GB2312" w:eastAsia="仿宋_GB2312" w:cs="仿宋_GB2312"/>
                            <w:sz w:val="19"/>
                          </w:rPr>
                          <w:t>包括安恒防火墙、安恒运维安全审计系统、安恒数据库审计系统、安恒流量分析系统、AiLPHA安全分析与管理平台、主机管理系统、安全认证网关SAG-G-SNAC-2021、得安SJJ1540服务器密码机、深信服 SJJ1813综合安全网关、交换机H3C S5048PV5-EI等硬件及系统软件</w:t>
                        </w:r>
                      </w:p>
                    </w:tc>
                  </w:tr>
                  <w:tr w14:paraId="5519C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9F96C">
                        <w:pPr>
                          <w:pStyle w:val="4"/>
                          <w:jc w:val="both"/>
                        </w:pPr>
                        <w:r>
                          <w:rPr>
                            <w:rFonts w:ascii="仿宋_GB2312" w:hAnsi="仿宋_GB2312" w:eastAsia="仿宋_GB2312" w:cs="仿宋_GB2312"/>
                            <w:sz w:val="19"/>
                          </w:rPr>
                          <w:t>3</w:t>
                        </w:r>
                      </w:p>
                    </w:tc>
                    <w:tc>
                      <w:tcPr>
                        <w:tcW w:w="13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7F586">
                        <w:pPr>
                          <w:pStyle w:val="4"/>
                          <w:jc w:val="both"/>
                        </w:pPr>
                        <w:r>
                          <w:rPr>
                            <w:rFonts w:ascii="仿宋_GB2312" w:hAnsi="仿宋_GB2312" w:eastAsia="仿宋_GB2312" w:cs="仿宋_GB2312"/>
                            <w:sz w:val="19"/>
                          </w:rPr>
                          <w:t>原子化封装</w:t>
                        </w:r>
                      </w:p>
                    </w:tc>
                    <w:tc>
                      <w:tcPr>
                        <w:tcW w:w="29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D4764">
                        <w:pPr>
                          <w:pStyle w:val="4"/>
                          <w:jc w:val="both"/>
                        </w:pPr>
                        <w:r>
                          <w:rPr>
                            <w:rFonts w:ascii="仿宋_GB2312" w:hAnsi="仿宋_GB2312" w:eastAsia="仿宋_GB2312" w:cs="仿宋_GB2312"/>
                            <w:sz w:val="19"/>
                          </w:rPr>
                          <w:t>为7个小型站提供原子化封装服务，满足其接入一体化平台需求</w:t>
                        </w:r>
                      </w:p>
                    </w:tc>
                  </w:tr>
                  <w:tr w14:paraId="2E5672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9B765">
                        <w:pPr>
                          <w:pStyle w:val="4"/>
                          <w:jc w:val="both"/>
                        </w:pPr>
                        <w:r>
                          <w:rPr>
                            <w:rFonts w:ascii="仿宋_GB2312" w:hAnsi="仿宋_GB2312" w:eastAsia="仿宋_GB2312" w:cs="仿宋_GB2312"/>
                            <w:sz w:val="19"/>
                          </w:rPr>
                          <w:t>4</w:t>
                        </w:r>
                      </w:p>
                    </w:tc>
                    <w:tc>
                      <w:tcPr>
                        <w:tcW w:w="13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79104">
                        <w:pPr>
                          <w:pStyle w:val="4"/>
                          <w:jc w:val="both"/>
                        </w:pPr>
                        <w:r>
                          <w:rPr>
                            <w:rFonts w:ascii="仿宋_GB2312" w:hAnsi="仿宋_GB2312" w:eastAsia="仿宋_GB2312" w:cs="仿宋_GB2312"/>
                            <w:sz w:val="19"/>
                          </w:rPr>
                          <w:t>机房环境维护</w:t>
                        </w:r>
                      </w:p>
                    </w:tc>
                    <w:tc>
                      <w:tcPr>
                        <w:tcW w:w="29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E5CCE">
                        <w:pPr>
                          <w:pStyle w:val="4"/>
                          <w:jc w:val="both"/>
                        </w:pPr>
                        <w:r>
                          <w:rPr>
                            <w:rFonts w:ascii="仿宋_GB2312" w:hAnsi="仿宋_GB2312" w:eastAsia="仿宋_GB2312" w:cs="仿宋_GB2312"/>
                            <w:sz w:val="19"/>
                          </w:rPr>
                          <w:t>主要维护机房精密空调，使其保持正常状态，确保一体化平台运行在适宜的温湿度环境</w:t>
                        </w:r>
                      </w:p>
                    </w:tc>
                  </w:tr>
                </w:tbl>
                <w:p w14:paraId="6586BDAB">
                  <w:pPr>
                    <w:pStyle w:val="4"/>
                    <w:jc w:val="both"/>
                  </w:pPr>
                  <w:r>
                    <w:rPr>
                      <w:rFonts w:ascii="仿宋_GB2312" w:hAnsi="仿宋_GB2312" w:eastAsia="仿宋_GB2312" w:cs="仿宋_GB2312"/>
                      <w:sz w:val="19"/>
                    </w:rPr>
                    <w:t>三、服务内容</w:t>
                  </w:r>
                </w:p>
                <w:p w14:paraId="619E3460">
                  <w:pPr>
                    <w:pStyle w:val="4"/>
                    <w:jc w:val="both"/>
                  </w:pPr>
                  <w:r>
                    <w:rPr>
                      <w:rFonts w:ascii="仿宋_GB2312" w:hAnsi="仿宋_GB2312" w:eastAsia="仿宋_GB2312" w:cs="仿宋_GB2312"/>
                      <w:sz w:val="19"/>
                    </w:rPr>
                    <w:t>1）巡检服务</w:t>
                  </w:r>
                </w:p>
                <w:p w14:paraId="78689C2B">
                  <w:pPr>
                    <w:pStyle w:val="4"/>
                    <w:jc w:val="both"/>
                  </w:pPr>
                  <w:r>
                    <w:rPr>
                      <w:rFonts w:ascii="仿宋_GB2312" w:hAnsi="仿宋_GB2312" w:eastAsia="仿宋_GB2312" w:cs="仿宋_GB2312"/>
                      <w:sz w:val="19"/>
                    </w:rPr>
                    <w:t>服务期内每季度执行1次巡检工作，巡检时中标方技术服务人员检查项目范围内系统硬件及基础软件运行状态，发现问题及时处理。巡检完成后形成巡检记录文件，并提交采购方进行确认。</w:t>
                  </w:r>
                </w:p>
                <w:p w14:paraId="6FB516D5">
                  <w:pPr>
                    <w:pStyle w:val="4"/>
                    <w:jc w:val="both"/>
                  </w:pPr>
                  <w:r>
                    <w:rPr>
                      <w:rFonts w:ascii="仿宋_GB2312" w:hAnsi="仿宋_GB2312" w:eastAsia="仿宋_GB2312" w:cs="仿宋_GB2312"/>
                      <w:sz w:val="19"/>
                    </w:rPr>
                    <w:t>2）技术咨询与指导服务</w:t>
                  </w:r>
                </w:p>
                <w:p w14:paraId="37266D7D">
                  <w:pPr>
                    <w:pStyle w:val="4"/>
                    <w:jc w:val="both"/>
                  </w:pPr>
                  <w:r>
                    <w:rPr>
                      <w:rFonts w:ascii="仿宋_GB2312" w:hAnsi="仿宋_GB2312" w:eastAsia="仿宋_GB2312" w:cs="仿宋_GB2312"/>
                      <w:sz w:val="19"/>
                    </w:rPr>
                    <w:t>采购方用户在使用一体化平台过程中遇到问题时，可随时联系到中标方技术服务人员，技术服务人员通过电话远程或现场方式对用户进行技术指导和答疑。</w:t>
                  </w:r>
                </w:p>
                <w:p w14:paraId="4AA59303">
                  <w:pPr>
                    <w:pStyle w:val="4"/>
                    <w:jc w:val="both"/>
                  </w:pPr>
                  <w:r>
                    <w:rPr>
                      <w:rFonts w:ascii="仿宋_GB2312" w:hAnsi="仿宋_GB2312" w:eastAsia="仿宋_GB2312" w:cs="仿宋_GB2312"/>
                      <w:sz w:val="19"/>
                    </w:rPr>
                    <w:t>3）技术支持服务</w:t>
                  </w:r>
                </w:p>
                <w:p w14:paraId="6731121A">
                  <w:pPr>
                    <w:pStyle w:val="4"/>
                    <w:jc w:val="both"/>
                  </w:pPr>
                  <w:r>
                    <w:rPr>
                      <w:rFonts w:ascii="仿宋_GB2312" w:hAnsi="仿宋_GB2312" w:eastAsia="仿宋_GB2312" w:cs="仿宋_GB2312"/>
                      <w:sz w:val="19"/>
                    </w:rPr>
                    <w:t>维保服务期内中标方技术服务人员负责对项目范围内的软件系统提供7*24小时技术支持服务，需具有完善的技术支持(故障处理)流程，采购方用户在遇到问题时可以第一时间通过电话、网络等方式联系中标方技术服务人员，并在 24 小时内完成故障处理工作，保证软件系统的正常运行。若硬件设备损坏，及时进行维修，维修不了的，尽快进行更换。服务完成后由技术支持人员填写记录文件，并提交采购方进行确认。</w:t>
                  </w:r>
                </w:p>
                <w:p w14:paraId="45B5ADDB">
                  <w:pPr>
                    <w:pStyle w:val="4"/>
                    <w:jc w:val="both"/>
                  </w:pPr>
                  <w:r>
                    <w:rPr>
                      <w:rFonts w:ascii="仿宋_GB2312" w:hAnsi="仿宋_GB2312" w:eastAsia="仿宋_GB2312" w:cs="仿宋_GB2312"/>
                      <w:sz w:val="19"/>
                    </w:rPr>
                    <w:t>4）软件版本内优化服务</w:t>
                  </w:r>
                </w:p>
                <w:p w14:paraId="63E2AA60">
                  <w:pPr>
                    <w:pStyle w:val="4"/>
                    <w:jc w:val="both"/>
                  </w:pPr>
                  <w:r>
                    <w:rPr>
                      <w:rFonts w:ascii="仿宋_GB2312" w:hAnsi="仿宋_GB2312" w:eastAsia="仿宋_GB2312" w:cs="仿宋_GB2312"/>
                      <w:sz w:val="19"/>
                    </w:rPr>
                    <w:t>在服务期内中标方需对平台系统进行优化和更新，确保一体化平台的稳定性。主要针对业务人员使用过程中发现或者中标方在检查时发现软件系统存在的问题和缺陷漏洞进行修复。</w:t>
                  </w:r>
                </w:p>
                <w:p w14:paraId="61A14195">
                  <w:pPr>
                    <w:pStyle w:val="4"/>
                    <w:jc w:val="both"/>
                  </w:pPr>
                  <w:r>
                    <w:rPr>
                      <w:rFonts w:ascii="仿宋_GB2312" w:hAnsi="仿宋_GB2312" w:eastAsia="仿宋_GB2312" w:cs="仿宋_GB2312"/>
                      <w:sz w:val="19"/>
                    </w:rPr>
                    <w:t>5）备份（恢复）服务</w:t>
                  </w:r>
                </w:p>
                <w:p w14:paraId="29F8F565">
                  <w:pPr>
                    <w:pStyle w:val="4"/>
                    <w:jc w:val="both"/>
                  </w:pPr>
                  <w:r>
                    <w:rPr>
                      <w:rFonts w:ascii="仿宋_GB2312" w:hAnsi="仿宋_GB2312" w:eastAsia="仿宋_GB2312" w:cs="仿宋_GB2312"/>
                      <w:sz w:val="19"/>
                    </w:rPr>
                    <w:t>为确保一体化平台系统出现故障后或发生紧急事件后可以尽快恢复正常使用，中标方服务人员需定期对软件和数据库进行备份。</w:t>
                  </w:r>
                </w:p>
                <w:p w14:paraId="56291DB3">
                  <w:pPr>
                    <w:pStyle w:val="4"/>
                    <w:jc w:val="both"/>
                  </w:pPr>
                  <w:r>
                    <w:rPr>
                      <w:rFonts w:ascii="仿宋_GB2312" w:hAnsi="仿宋_GB2312" w:eastAsia="仿宋_GB2312" w:cs="仿宋_GB2312"/>
                      <w:sz w:val="19"/>
                    </w:rPr>
                    <w:t>四、维护服务要求</w:t>
                  </w:r>
                </w:p>
                <w:p w14:paraId="069DF824">
                  <w:pPr>
                    <w:pStyle w:val="4"/>
                    <w:jc w:val="both"/>
                  </w:pPr>
                  <w:r>
                    <w:rPr>
                      <w:rFonts w:ascii="仿宋_GB2312" w:hAnsi="仿宋_GB2312" w:eastAsia="仿宋_GB2312" w:cs="仿宋_GB2312"/>
                      <w:sz w:val="19"/>
                    </w:rPr>
                    <w:t>1）方案要求</w:t>
                  </w:r>
                </w:p>
                <w:p w14:paraId="4A133B4C">
                  <w:pPr>
                    <w:pStyle w:val="4"/>
                    <w:jc w:val="both"/>
                  </w:pPr>
                  <w:r>
                    <w:rPr>
                      <w:rFonts w:ascii="仿宋_GB2312" w:hAnsi="仿宋_GB2312" w:eastAsia="仿宋_GB2312" w:cs="仿宋_GB2312"/>
                      <w:sz w:val="19"/>
                    </w:rPr>
                    <w:t>投标方需要根据招标文件中描述运维服务的内容和要求，制定详细的服务方案，并编写到投标文件中，要求科学、合理，符合政府单位的维护工作标准和规范流程。</w:t>
                  </w:r>
                </w:p>
                <w:p w14:paraId="6759938E">
                  <w:pPr>
                    <w:pStyle w:val="4"/>
                    <w:jc w:val="both"/>
                  </w:pPr>
                  <w:r>
                    <w:rPr>
                      <w:rFonts w:ascii="仿宋_GB2312" w:hAnsi="仿宋_GB2312" w:eastAsia="仿宋_GB2312" w:cs="仿宋_GB2312"/>
                      <w:sz w:val="19"/>
                    </w:rPr>
                    <w:t>2）服务方式</w:t>
                  </w:r>
                </w:p>
                <w:p w14:paraId="4A9C81E6">
                  <w:pPr>
                    <w:pStyle w:val="4"/>
                    <w:jc w:val="both"/>
                  </w:pPr>
                  <w:r>
                    <w:rPr>
                      <w:rFonts w:ascii="仿宋_GB2312" w:hAnsi="仿宋_GB2312" w:eastAsia="仿宋_GB2312" w:cs="仿宋_GB2312"/>
                      <w:sz w:val="19"/>
                    </w:rPr>
                    <w:t>远程服务与现场服务相结合，投标方针对本项目建立服务团队，根据要求进行巡检服务。</w:t>
                  </w:r>
                </w:p>
                <w:p w14:paraId="7DF8E526">
                  <w:pPr>
                    <w:pStyle w:val="4"/>
                    <w:jc w:val="both"/>
                  </w:pPr>
                  <w:r>
                    <w:rPr>
                      <w:rFonts w:ascii="仿宋_GB2312" w:hAnsi="仿宋_GB2312" w:eastAsia="仿宋_GB2312" w:cs="仿宋_GB2312"/>
                      <w:sz w:val="19"/>
                    </w:rPr>
                    <w:t>3）文档要求</w:t>
                  </w:r>
                </w:p>
                <w:p w14:paraId="2F890DBE">
                  <w:pPr>
                    <w:pStyle w:val="4"/>
                    <w:jc w:val="both"/>
                  </w:pPr>
                  <w:r>
                    <w:rPr>
                      <w:rFonts w:ascii="仿宋_GB2312" w:hAnsi="仿宋_GB2312" w:eastAsia="仿宋_GB2312" w:cs="仿宋_GB2312"/>
                      <w:sz w:val="19"/>
                    </w:rPr>
                    <w:t>在服务过程中服务人员做好所有文档的记录和归档工作，包括各种形式的服务总结、工作汇报及技术方案等，每季度汇总一次，提交给采购人相关部门确认。服务期结束后装订成册作为服务验收依据。</w:t>
                  </w:r>
                </w:p>
                <w:p w14:paraId="5F46930D">
                  <w:pPr>
                    <w:pStyle w:val="4"/>
                    <w:jc w:val="both"/>
                  </w:pPr>
                  <w:r>
                    <w:rPr>
                      <w:rFonts w:ascii="仿宋_GB2312" w:hAnsi="仿宋_GB2312" w:eastAsia="仿宋_GB2312" w:cs="仿宋_GB2312"/>
                      <w:sz w:val="19"/>
                    </w:rPr>
                    <w:t>4）管理要求</w:t>
                  </w:r>
                </w:p>
                <w:p w14:paraId="2BA3D3F1">
                  <w:pPr>
                    <w:pStyle w:val="4"/>
                    <w:jc w:val="both"/>
                  </w:pPr>
                  <w:r>
                    <w:rPr>
                      <w:rFonts w:ascii="仿宋_GB2312" w:hAnsi="仿宋_GB2312" w:eastAsia="仿宋_GB2312" w:cs="仿宋_GB2312"/>
                      <w:sz w:val="19"/>
                    </w:rPr>
                    <w:t>（1）必须配合采购方积极参与本项目的监督和管理，遵守采购方工作的相关规章制度。</w:t>
                  </w:r>
                </w:p>
                <w:p w14:paraId="16ABA796">
                  <w:pPr>
                    <w:pStyle w:val="4"/>
                    <w:jc w:val="both"/>
                  </w:pPr>
                  <w:r>
                    <w:rPr>
                      <w:rFonts w:ascii="仿宋_GB2312" w:hAnsi="仿宋_GB2312" w:eastAsia="仿宋_GB2312" w:cs="仿宋_GB2312"/>
                      <w:sz w:val="19"/>
                    </w:rPr>
                    <w:t>（2）投标方保证其运维服务人员具有一定的技术水平，采购方有权对不满足工作要求的服务人员向投标方提出更换的要求；如发现工作上有弄虚作假情况，采购方有权做出相应处理，直至终止合同并追究投标人相应责任。</w:t>
                  </w:r>
                </w:p>
                <w:p w14:paraId="3513DA07">
                  <w:pPr>
                    <w:pStyle w:val="4"/>
                    <w:jc w:val="both"/>
                  </w:pPr>
                  <w:r>
                    <w:rPr>
                      <w:rFonts w:ascii="仿宋_GB2312" w:hAnsi="仿宋_GB2312" w:eastAsia="仿宋_GB2312" w:cs="仿宋_GB2312"/>
                      <w:sz w:val="19"/>
                    </w:rPr>
                    <w:t>（3）人员管理：投标方运维服务人员，工作上需要遵守采购人有关工作制度及保密制度。采购方有权根据服务人员服务质量情况要求变更运维服务人员。</w:t>
                  </w:r>
                </w:p>
                <w:p w14:paraId="1F8CD70C">
                  <w:pPr>
                    <w:pStyle w:val="4"/>
                    <w:jc w:val="both"/>
                  </w:pPr>
                  <w:r>
                    <w:rPr>
                      <w:rFonts w:ascii="仿宋_GB2312" w:hAnsi="仿宋_GB2312" w:eastAsia="仿宋_GB2312" w:cs="仿宋_GB2312"/>
                      <w:sz w:val="19"/>
                    </w:rPr>
                    <w:t>（4）质量要求：投标方应制定相应的工作方案，明确质量保证措施。</w:t>
                  </w:r>
                </w:p>
                <w:p w14:paraId="3B1B6914">
                  <w:pPr>
                    <w:pStyle w:val="4"/>
                    <w:jc w:val="both"/>
                  </w:pPr>
                </w:p>
              </w:tc>
            </w:tr>
          </w:tbl>
          <w:p w14:paraId="5ABB2538"/>
        </w:tc>
      </w:tr>
    </w:tbl>
    <w:p w14:paraId="16D63F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20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2025-11-21T08:09:16Z</dcterms:created>
  <dc:creator>Administrator</dc:creator>
  <cp:lastModifiedBy>123</cp:lastModifiedBy>
  <dcterms:modified xsi:type="dcterms:W3CDTF">2025-11-21T08:10:08Z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eyJoZGlkIjoiOGQ3ODNlYjZjZWMzNDM3YjRkMjE4MzBmODAzNWZiY2UiLCJ1c2VySWQiOiI0NDQ4NzkxMjQifQ==</vt:lpwstr>
  </property>
  <property fmtid="{D5CDD505-2E9C-101B-9397-08002B2CF9AE}" pid="4" name="ICV">
    <vt:lpwstr>407BC9BC29F2452C8F82AB5AECA332EB_12</vt:lpwstr>
  </property>
</Properties>
</file>