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38F33F">
      <w:pPr>
        <w:spacing w:line="420" w:lineRule="auto"/>
        <w:jc w:val="left"/>
        <w:rPr>
          <w:rFonts w:hint="default" w:ascii="宋体" w:hAnsi="宋体" w:eastAsia="宋体" w:cs="宋体"/>
          <w:b/>
          <w:sz w:val="28"/>
          <w:szCs w:val="28"/>
          <w:lang w:val="en-US" w:eastAsia="zh-CN"/>
        </w:rPr>
      </w:pPr>
      <w:bookmarkStart w:id="0" w:name="_Toc193702467"/>
      <w:bookmarkStart w:id="1" w:name="_Toc22392"/>
      <w:bookmarkStart w:id="2" w:name="_Toc12011"/>
      <w:bookmarkStart w:id="3" w:name="_Toc6410"/>
      <w:bookmarkStart w:id="4" w:name="_Toc465958085"/>
      <w:bookmarkStart w:id="5" w:name="_Toc12260"/>
      <w:bookmarkStart w:id="6" w:name="_Toc246928891"/>
      <w:bookmarkStart w:id="7" w:name="OLE_LINK18"/>
      <w:r>
        <w:rPr>
          <w:rFonts w:hint="eastAsia" w:ascii="宋体" w:hAnsi="宋体" w:cs="宋体"/>
          <w:b/>
          <w:sz w:val="28"/>
          <w:szCs w:val="28"/>
        </w:rPr>
        <w:t>采购项目编号：</w:t>
      </w:r>
      <w:r>
        <w:rPr>
          <w:rFonts w:hint="eastAsia" w:ascii="宋体" w:hAnsi="宋体" w:cs="宋体"/>
          <w:b/>
          <w:sz w:val="28"/>
          <w:szCs w:val="28"/>
          <w:lang w:eastAsia="zh-CN"/>
        </w:rPr>
        <w:t>HYDZB-2025-093</w:t>
      </w:r>
    </w:p>
    <w:p w14:paraId="360686B5">
      <w:pPr>
        <w:pStyle w:val="3"/>
        <w:jc w:val="both"/>
        <w:rPr>
          <w:rFonts w:hint="eastAsia"/>
          <w:sz w:val="44"/>
          <w:szCs w:val="44"/>
          <w:lang w:val="en-US" w:eastAsia="zh-CN"/>
        </w:rPr>
      </w:pPr>
    </w:p>
    <w:p w14:paraId="26742F48">
      <w:pPr>
        <w:pStyle w:val="3"/>
        <w:rPr>
          <w:rFonts w:hint="eastAsia"/>
          <w:sz w:val="44"/>
          <w:szCs w:val="44"/>
          <w:lang w:val="en-US" w:eastAsia="zh-CN"/>
        </w:rPr>
      </w:pPr>
    </w:p>
    <w:p w14:paraId="5E25791B">
      <w:pPr>
        <w:jc w:val="center"/>
        <w:rPr>
          <w:rFonts w:hint="eastAsia" w:ascii="宋体" w:hAnsi="宋体" w:eastAsia="宋体" w:cs="宋体"/>
          <w:b/>
          <w:sz w:val="56"/>
          <w:szCs w:val="56"/>
          <w:lang w:eastAsia="zh-CN"/>
        </w:rPr>
      </w:pPr>
      <w:bookmarkStart w:id="385" w:name="_GoBack"/>
      <w:r>
        <w:rPr>
          <w:rFonts w:hint="eastAsia" w:ascii="宋体" w:hAnsi="宋体" w:cs="宋体"/>
          <w:b/>
          <w:sz w:val="56"/>
          <w:szCs w:val="56"/>
          <w:lang w:eastAsia="zh-CN"/>
        </w:rPr>
        <w:t>中共绥德县委组织部绥德县历史和非遗文化丛书编撰印刷服务</w:t>
      </w:r>
      <w:bookmarkEnd w:id="385"/>
    </w:p>
    <w:p w14:paraId="6C2EB558">
      <w:pPr>
        <w:pStyle w:val="9"/>
        <w:rPr>
          <w:rFonts w:hint="eastAsia" w:ascii="宋体" w:hAnsi="宋体" w:cs="宋体"/>
          <w:b/>
          <w:sz w:val="60"/>
          <w:szCs w:val="60"/>
        </w:rPr>
      </w:pPr>
    </w:p>
    <w:p w14:paraId="463C42A7">
      <w:pPr>
        <w:rPr>
          <w:rFonts w:hint="eastAsia" w:ascii="宋体" w:hAnsi="宋体" w:cs="宋体"/>
          <w:b/>
          <w:sz w:val="60"/>
          <w:szCs w:val="60"/>
        </w:rPr>
      </w:pPr>
    </w:p>
    <w:p w14:paraId="61B8A334">
      <w:pPr>
        <w:pStyle w:val="9"/>
        <w:rPr>
          <w:rFonts w:hint="eastAsia"/>
        </w:rPr>
      </w:pPr>
    </w:p>
    <w:p w14:paraId="0C83E173">
      <w:pPr>
        <w:pStyle w:val="5"/>
        <w:rPr>
          <w:rFonts w:hint="eastAsia"/>
        </w:rPr>
      </w:pPr>
    </w:p>
    <w:p w14:paraId="53A14483">
      <w:pPr>
        <w:jc w:val="center"/>
        <w:rPr>
          <w:rFonts w:ascii="宋体" w:hAnsi="宋体" w:cs="宋体"/>
          <w:b/>
          <w:sz w:val="80"/>
          <w:szCs w:val="80"/>
        </w:rPr>
      </w:pPr>
      <w:r>
        <w:rPr>
          <w:rFonts w:hint="eastAsia" w:ascii="宋体" w:hAnsi="宋体" w:cs="宋体"/>
          <w:b/>
          <w:sz w:val="80"/>
          <w:szCs w:val="80"/>
        </w:rPr>
        <w:t>竞争性谈判文件</w:t>
      </w:r>
    </w:p>
    <w:p w14:paraId="0FC15ED5">
      <w:pPr>
        <w:spacing w:line="420" w:lineRule="auto"/>
        <w:rPr>
          <w:rFonts w:ascii="宋体" w:hAnsi="宋体" w:cs="宋体"/>
          <w:bCs/>
          <w:sz w:val="24"/>
          <w:szCs w:val="24"/>
        </w:rPr>
      </w:pPr>
    </w:p>
    <w:p w14:paraId="44FA1FAD">
      <w:pPr>
        <w:spacing w:line="420" w:lineRule="auto"/>
        <w:rPr>
          <w:rFonts w:ascii="宋体" w:hAnsi="宋体" w:cs="宋体"/>
          <w:bCs/>
          <w:sz w:val="24"/>
          <w:szCs w:val="24"/>
        </w:rPr>
      </w:pPr>
    </w:p>
    <w:p w14:paraId="69B8B0B5">
      <w:pPr>
        <w:pStyle w:val="9"/>
        <w:rPr>
          <w:rFonts w:ascii="宋体" w:hAnsi="宋体" w:cs="宋体"/>
          <w:bCs/>
          <w:sz w:val="11"/>
          <w:szCs w:val="11"/>
        </w:rPr>
      </w:pPr>
    </w:p>
    <w:p w14:paraId="71D6FD0E">
      <w:pPr>
        <w:rPr>
          <w:rFonts w:ascii="宋体" w:hAnsi="宋体" w:cs="宋体"/>
          <w:bCs/>
          <w:sz w:val="11"/>
          <w:szCs w:val="11"/>
        </w:rPr>
      </w:pPr>
    </w:p>
    <w:p w14:paraId="5C9EF397">
      <w:pPr>
        <w:pStyle w:val="38"/>
        <w:rPr>
          <w:rFonts w:ascii="宋体" w:hAnsi="宋体" w:cs="宋体"/>
          <w:bCs/>
          <w:sz w:val="11"/>
          <w:szCs w:val="11"/>
        </w:rPr>
      </w:pPr>
    </w:p>
    <w:p w14:paraId="1CF43125">
      <w:pPr>
        <w:pStyle w:val="38"/>
        <w:rPr>
          <w:rFonts w:ascii="宋体" w:hAnsi="宋体" w:cs="宋体"/>
          <w:bCs/>
          <w:sz w:val="11"/>
          <w:szCs w:val="11"/>
        </w:rPr>
      </w:pPr>
    </w:p>
    <w:p w14:paraId="6D30A169">
      <w:pPr>
        <w:pStyle w:val="5"/>
        <w:ind w:firstLine="0"/>
        <w:rPr>
          <w:sz w:val="40"/>
          <w:szCs w:val="40"/>
        </w:rPr>
      </w:pPr>
    </w:p>
    <w:p w14:paraId="68D097D9">
      <w:pPr>
        <w:snapToGrid w:val="0"/>
        <w:spacing w:line="480" w:lineRule="auto"/>
        <w:rPr>
          <w:rFonts w:hint="eastAsia" w:ascii="宋体" w:hAnsi="宋体" w:eastAsia="宋体" w:cs="宋体"/>
          <w:b/>
          <w:sz w:val="32"/>
          <w:szCs w:val="32"/>
          <w:lang w:eastAsia="zh-CN"/>
        </w:rPr>
      </w:pPr>
      <w:bookmarkStart w:id="8" w:name="OLE_LINK43"/>
      <w:r>
        <w:rPr>
          <w:rFonts w:hint="eastAsia" w:ascii="宋体" w:hAnsi="宋体" w:cs="宋体"/>
          <w:b/>
          <w:sz w:val="24"/>
          <w:szCs w:val="24"/>
        </w:rPr>
        <w:t xml:space="preserve">      </w:t>
      </w:r>
      <w:r>
        <w:rPr>
          <w:rFonts w:hint="eastAsia" w:ascii="宋体" w:hAnsi="宋体" w:cs="宋体"/>
          <w:b/>
          <w:sz w:val="32"/>
          <w:szCs w:val="32"/>
        </w:rPr>
        <w:t>采购人：</w:t>
      </w:r>
      <w:r>
        <w:rPr>
          <w:rFonts w:hint="eastAsia" w:ascii="宋体" w:hAnsi="宋体" w:cs="宋体"/>
          <w:b/>
          <w:sz w:val="32"/>
          <w:szCs w:val="32"/>
          <w:lang w:eastAsia="zh-CN"/>
        </w:rPr>
        <w:t>中共绥德县委组织部</w:t>
      </w:r>
    </w:p>
    <w:p w14:paraId="5B686079">
      <w:pPr>
        <w:pStyle w:val="9"/>
      </w:pPr>
    </w:p>
    <w:p w14:paraId="6226EBA7">
      <w:pPr>
        <w:snapToGrid w:val="0"/>
        <w:spacing w:line="480" w:lineRule="auto"/>
        <w:jc w:val="center"/>
        <w:rPr>
          <w:rFonts w:ascii="宋体" w:hAnsi="宋体" w:cs="宋体"/>
          <w:b/>
          <w:sz w:val="32"/>
          <w:szCs w:val="32"/>
        </w:rPr>
      </w:pPr>
      <w:r>
        <w:rPr>
          <w:rFonts w:hint="eastAsia" w:ascii="宋体" w:hAnsi="宋体" w:cs="宋体"/>
          <w:b/>
          <w:sz w:val="32"/>
          <w:szCs w:val="32"/>
        </w:rPr>
        <w:t xml:space="preserve"> 采购代理机构：</w:t>
      </w:r>
      <w:r>
        <w:rPr>
          <w:rFonts w:hint="eastAsia" w:ascii="宋体" w:hAnsi="宋体" w:cs="宋体"/>
          <w:b/>
          <w:sz w:val="32"/>
          <w:szCs w:val="32"/>
          <w:lang w:eastAsia="zh-CN"/>
        </w:rPr>
        <w:t>榆林市恒易达工程项目管理有限公司</w:t>
      </w:r>
      <w:r>
        <w:rPr>
          <w:rFonts w:hint="eastAsia" w:ascii="宋体" w:hAnsi="宋体" w:cs="宋体"/>
          <w:b/>
          <w:sz w:val="32"/>
          <w:szCs w:val="32"/>
        </w:rPr>
        <w:t xml:space="preserve">     </w:t>
      </w:r>
    </w:p>
    <w:p w14:paraId="63A1CA50">
      <w:pPr>
        <w:spacing w:line="480" w:lineRule="auto"/>
        <w:jc w:val="center"/>
        <w:rPr>
          <w:rFonts w:ascii="宋体" w:hAnsi="宋体" w:cs="宋体"/>
          <w:b/>
          <w:sz w:val="24"/>
          <w:szCs w:val="24"/>
        </w:rPr>
        <w:sectPr>
          <w:headerReference r:id="rId4" w:type="first"/>
          <w:headerReference r:id="rId3" w:type="default"/>
          <w:footerReference r:id="rId5" w:type="default"/>
          <w:footnotePr>
            <w:pos w:val="beneathText"/>
          </w:footnotePr>
          <w:pgSz w:w="11906" w:h="16838"/>
          <w:pgMar w:top="1418" w:right="1644" w:bottom="1191" w:left="1758" w:header="851" w:footer="992" w:gutter="0"/>
          <w:cols w:space="720" w:num="1"/>
          <w:docGrid w:type="lines" w:linePitch="312" w:charSpace="0"/>
        </w:sectPr>
      </w:pPr>
      <w:r>
        <w:rPr>
          <w:rFonts w:hint="eastAsia" w:ascii="宋体" w:hAnsi="宋体" w:cs="宋体"/>
          <w:b/>
          <w:sz w:val="32"/>
          <w:szCs w:val="32"/>
        </w:rPr>
        <w:t xml:space="preserve">  二零二</w:t>
      </w:r>
      <w:r>
        <w:rPr>
          <w:rFonts w:hint="eastAsia" w:ascii="宋体" w:hAnsi="宋体" w:cs="宋体"/>
          <w:b/>
          <w:sz w:val="32"/>
          <w:szCs w:val="32"/>
          <w:lang w:val="en-US" w:eastAsia="zh-CN"/>
        </w:rPr>
        <w:t>五</w:t>
      </w:r>
      <w:r>
        <w:rPr>
          <w:rFonts w:hint="eastAsia" w:ascii="宋体" w:hAnsi="宋体" w:cs="宋体"/>
          <w:b/>
          <w:sz w:val="32"/>
          <w:szCs w:val="32"/>
        </w:rPr>
        <w:t>年</w:t>
      </w:r>
      <w:r>
        <w:rPr>
          <w:rFonts w:hint="eastAsia" w:ascii="宋体" w:hAnsi="宋体" w:cs="宋体"/>
          <w:b/>
          <w:sz w:val="32"/>
          <w:szCs w:val="32"/>
          <w:lang w:val="en-US" w:eastAsia="zh-CN"/>
        </w:rPr>
        <w:t>十一</w:t>
      </w:r>
      <w:r>
        <w:rPr>
          <w:rFonts w:hint="eastAsia" w:ascii="宋体" w:hAnsi="宋体" w:cs="宋体"/>
          <w:b/>
          <w:sz w:val="32"/>
          <w:szCs w:val="32"/>
        </w:rPr>
        <w:t>月</w:t>
      </w:r>
    </w:p>
    <w:bookmarkEnd w:id="8"/>
    <w:p w14:paraId="2EA7DEE3">
      <w:pPr>
        <w:pStyle w:val="19"/>
        <w:spacing w:before="0" w:beforeAutospacing="0" w:after="0" w:afterAutospacing="0" w:line="360" w:lineRule="auto"/>
        <w:jc w:val="center"/>
        <w:rPr>
          <w:rFonts w:ascii="宋体" w:hAnsi="宋体" w:cs="宋体"/>
          <w:b/>
          <w:color w:val="000000"/>
          <w:sz w:val="32"/>
          <w:szCs w:val="32"/>
        </w:rPr>
      </w:pPr>
      <w:r>
        <w:rPr>
          <w:rFonts w:hint="eastAsia" w:ascii="宋体" w:hAnsi="宋体" w:cs="宋体"/>
          <w:b/>
          <w:color w:val="000000"/>
          <w:kern w:val="2"/>
          <w:sz w:val="32"/>
          <w:szCs w:val="32"/>
        </w:rPr>
        <w:t>温馨提示</w:t>
      </w:r>
    </w:p>
    <w:p w14:paraId="319341D0">
      <w:pPr>
        <w:pStyle w:val="17"/>
        <w:tabs>
          <w:tab w:val="right" w:leader="dot" w:pos="8829"/>
        </w:tabs>
        <w:jc w:val="center"/>
        <w:rPr>
          <w:rFonts w:ascii="宋体" w:hAnsi="宋体"/>
          <w:sz w:val="24"/>
          <w:szCs w:val="24"/>
        </w:rPr>
      </w:pPr>
      <w:r>
        <w:rPr>
          <w:rFonts w:hint="eastAsia" w:ascii="宋体" w:hAnsi="宋体" w:cs="宋体"/>
          <w:b/>
          <w:bCs/>
          <w:color w:val="000000"/>
          <w:sz w:val="32"/>
          <w:szCs w:val="32"/>
        </w:rPr>
        <w:t>请供应商认真阅读供应商须知，避免因此造成的无效投标。</w:t>
      </w:r>
    </w:p>
    <w:p w14:paraId="54EE7741">
      <w:pPr>
        <w:spacing w:line="600" w:lineRule="auto"/>
        <w:jc w:val="center"/>
        <w:rPr>
          <w:rFonts w:ascii="宋体" w:hAnsi="宋体"/>
          <w:sz w:val="44"/>
          <w:szCs w:val="44"/>
        </w:rPr>
      </w:pPr>
    </w:p>
    <w:p w14:paraId="7B39FFF7">
      <w:pPr>
        <w:spacing w:line="600" w:lineRule="auto"/>
        <w:jc w:val="center"/>
        <w:rPr>
          <w:sz w:val="44"/>
          <w:szCs w:val="44"/>
        </w:rPr>
      </w:pPr>
      <w:r>
        <w:rPr>
          <w:rFonts w:ascii="宋体" w:hAnsi="宋体"/>
          <w:sz w:val="44"/>
          <w:szCs w:val="44"/>
        </w:rPr>
        <w:t>目</w:t>
      </w:r>
      <w:r>
        <w:rPr>
          <w:rFonts w:hint="eastAsia" w:ascii="宋体" w:hAnsi="宋体"/>
          <w:sz w:val="44"/>
          <w:szCs w:val="44"/>
        </w:rPr>
        <w:t xml:space="preserve">  </w:t>
      </w:r>
      <w:r>
        <w:rPr>
          <w:rFonts w:ascii="宋体" w:hAnsi="宋体"/>
          <w:sz w:val="44"/>
          <w:szCs w:val="44"/>
        </w:rPr>
        <w:t>录</w:t>
      </w:r>
    </w:p>
    <w:p w14:paraId="03A4494D">
      <w:pPr>
        <w:pStyle w:val="17"/>
        <w:tabs>
          <w:tab w:val="right" w:leader="dot" w:pos="8504"/>
        </w:tabs>
        <w:spacing w:line="360" w:lineRule="auto"/>
        <w:rPr>
          <w:sz w:val="28"/>
          <w:szCs w:val="28"/>
        </w:rPr>
      </w:pPr>
      <w:r>
        <w:rPr>
          <w:rFonts w:ascii="宋体" w:hAnsi="宋体" w:cs="宋体"/>
          <w:b/>
          <w:bCs/>
          <w:sz w:val="24"/>
          <w:szCs w:val="24"/>
        </w:rPr>
        <w:fldChar w:fldCharType="begin"/>
      </w:r>
      <w:r>
        <w:rPr>
          <w:rFonts w:ascii="宋体" w:hAnsi="宋体" w:cs="宋体"/>
          <w:b/>
          <w:bCs/>
          <w:sz w:val="24"/>
          <w:szCs w:val="24"/>
        </w:rPr>
        <w:instrText xml:space="preserve">TOC \o "1-1" \h \u </w:instrText>
      </w:r>
      <w:r>
        <w:rPr>
          <w:rFonts w:ascii="宋体" w:hAnsi="宋体" w:cs="宋体"/>
          <w:b/>
          <w:bCs/>
          <w:sz w:val="24"/>
          <w:szCs w:val="24"/>
        </w:rPr>
        <w:fldChar w:fldCharType="separate"/>
      </w:r>
      <w:r>
        <w:fldChar w:fldCharType="begin"/>
      </w:r>
      <w:r>
        <w:instrText xml:space="preserve"> HYPERLINK \l "_Toc31446" </w:instrText>
      </w:r>
      <w:r>
        <w:fldChar w:fldCharType="separate"/>
      </w:r>
      <w:r>
        <w:rPr>
          <w:rFonts w:hint="eastAsia" w:ascii="宋体" w:hAnsi="宋体" w:cs="宋体"/>
          <w:bCs/>
          <w:sz w:val="28"/>
          <w:szCs w:val="28"/>
        </w:rPr>
        <w:t>第一部分  竞争性谈判公告</w:t>
      </w:r>
      <w:r>
        <w:rPr>
          <w:sz w:val="28"/>
          <w:szCs w:val="28"/>
        </w:rPr>
        <w:tab/>
      </w:r>
      <w:r>
        <w:rPr>
          <w:sz w:val="28"/>
          <w:szCs w:val="28"/>
        </w:rPr>
        <w:fldChar w:fldCharType="begin"/>
      </w:r>
      <w:r>
        <w:rPr>
          <w:sz w:val="28"/>
          <w:szCs w:val="28"/>
        </w:rPr>
        <w:instrText xml:space="preserve"> PAGEREF _Toc31446 \h </w:instrText>
      </w:r>
      <w:r>
        <w:rPr>
          <w:sz w:val="28"/>
          <w:szCs w:val="28"/>
        </w:rPr>
        <w:fldChar w:fldCharType="separate"/>
      </w:r>
      <w:r>
        <w:rPr>
          <w:sz w:val="28"/>
          <w:szCs w:val="28"/>
        </w:rPr>
        <w:t>2</w:t>
      </w:r>
      <w:r>
        <w:rPr>
          <w:sz w:val="28"/>
          <w:szCs w:val="28"/>
        </w:rPr>
        <w:fldChar w:fldCharType="end"/>
      </w:r>
      <w:r>
        <w:rPr>
          <w:sz w:val="28"/>
          <w:szCs w:val="28"/>
        </w:rPr>
        <w:fldChar w:fldCharType="end"/>
      </w:r>
    </w:p>
    <w:p w14:paraId="291302ED">
      <w:pPr>
        <w:pStyle w:val="17"/>
        <w:tabs>
          <w:tab w:val="right" w:leader="dot" w:pos="8504"/>
        </w:tabs>
        <w:spacing w:line="360" w:lineRule="auto"/>
        <w:rPr>
          <w:sz w:val="28"/>
          <w:szCs w:val="28"/>
        </w:rPr>
      </w:pPr>
      <w:r>
        <w:fldChar w:fldCharType="begin"/>
      </w:r>
      <w:r>
        <w:instrText xml:space="preserve"> HYPERLINK \l "_Toc27563" </w:instrText>
      </w:r>
      <w:r>
        <w:fldChar w:fldCharType="separate"/>
      </w:r>
      <w:r>
        <w:rPr>
          <w:rFonts w:hint="eastAsia" w:ascii="宋体" w:hAnsi="宋体" w:cs="宋体"/>
          <w:sz w:val="28"/>
          <w:szCs w:val="28"/>
        </w:rPr>
        <w:t>第二部分  供应商须知前附表</w:t>
      </w:r>
      <w:r>
        <w:rPr>
          <w:sz w:val="28"/>
          <w:szCs w:val="28"/>
        </w:rPr>
        <w:tab/>
      </w:r>
      <w:r>
        <w:rPr>
          <w:sz w:val="28"/>
          <w:szCs w:val="28"/>
        </w:rPr>
        <w:fldChar w:fldCharType="begin"/>
      </w:r>
      <w:r>
        <w:rPr>
          <w:sz w:val="28"/>
          <w:szCs w:val="28"/>
        </w:rPr>
        <w:instrText xml:space="preserve"> PAGEREF _Toc27563 \h </w:instrText>
      </w:r>
      <w:r>
        <w:rPr>
          <w:sz w:val="28"/>
          <w:szCs w:val="28"/>
        </w:rPr>
        <w:fldChar w:fldCharType="separate"/>
      </w:r>
      <w:r>
        <w:rPr>
          <w:sz w:val="28"/>
          <w:szCs w:val="28"/>
        </w:rPr>
        <w:t>7</w:t>
      </w:r>
      <w:r>
        <w:rPr>
          <w:sz w:val="28"/>
          <w:szCs w:val="28"/>
        </w:rPr>
        <w:fldChar w:fldCharType="end"/>
      </w:r>
      <w:r>
        <w:rPr>
          <w:sz w:val="28"/>
          <w:szCs w:val="28"/>
        </w:rPr>
        <w:fldChar w:fldCharType="end"/>
      </w:r>
    </w:p>
    <w:p w14:paraId="4253AA79">
      <w:pPr>
        <w:pStyle w:val="17"/>
        <w:tabs>
          <w:tab w:val="right" w:leader="dot" w:pos="8504"/>
        </w:tabs>
        <w:spacing w:line="360" w:lineRule="auto"/>
        <w:rPr>
          <w:sz w:val="28"/>
          <w:szCs w:val="28"/>
        </w:rPr>
      </w:pPr>
      <w:r>
        <w:fldChar w:fldCharType="begin"/>
      </w:r>
      <w:r>
        <w:instrText xml:space="preserve"> HYPERLINK \l "_Toc23139" </w:instrText>
      </w:r>
      <w:r>
        <w:fldChar w:fldCharType="separate"/>
      </w:r>
      <w:r>
        <w:rPr>
          <w:rFonts w:hint="eastAsia" w:ascii="宋体" w:hAnsi="宋体" w:cs="宋体"/>
          <w:sz w:val="28"/>
          <w:szCs w:val="28"/>
        </w:rPr>
        <w:t>第三部分  供应商须知</w:t>
      </w:r>
      <w:r>
        <w:rPr>
          <w:sz w:val="28"/>
          <w:szCs w:val="28"/>
        </w:rPr>
        <w:tab/>
      </w:r>
      <w:r>
        <w:rPr>
          <w:sz w:val="28"/>
          <w:szCs w:val="28"/>
        </w:rPr>
        <w:fldChar w:fldCharType="begin"/>
      </w:r>
      <w:r>
        <w:rPr>
          <w:sz w:val="28"/>
          <w:szCs w:val="28"/>
        </w:rPr>
        <w:instrText xml:space="preserve"> PAGEREF _Toc23139 \h </w:instrText>
      </w:r>
      <w:r>
        <w:rPr>
          <w:sz w:val="28"/>
          <w:szCs w:val="28"/>
        </w:rPr>
        <w:fldChar w:fldCharType="separate"/>
      </w:r>
      <w:r>
        <w:rPr>
          <w:sz w:val="28"/>
          <w:szCs w:val="28"/>
        </w:rPr>
        <w:t>17</w:t>
      </w:r>
      <w:r>
        <w:rPr>
          <w:sz w:val="28"/>
          <w:szCs w:val="28"/>
        </w:rPr>
        <w:fldChar w:fldCharType="end"/>
      </w:r>
      <w:r>
        <w:rPr>
          <w:sz w:val="28"/>
          <w:szCs w:val="28"/>
        </w:rPr>
        <w:fldChar w:fldCharType="end"/>
      </w:r>
    </w:p>
    <w:p w14:paraId="04F5856D">
      <w:pPr>
        <w:pStyle w:val="17"/>
        <w:tabs>
          <w:tab w:val="right" w:leader="dot" w:pos="8504"/>
        </w:tabs>
        <w:spacing w:line="360" w:lineRule="auto"/>
        <w:rPr>
          <w:sz w:val="28"/>
          <w:szCs w:val="28"/>
        </w:rPr>
      </w:pPr>
      <w:r>
        <w:fldChar w:fldCharType="begin"/>
      </w:r>
      <w:r>
        <w:instrText xml:space="preserve"> HYPERLINK \l "_Toc26946" </w:instrText>
      </w:r>
      <w:r>
        <w:fldChar w:fldCharType="separate"/>
      </w:r>
      <w:r>
        <w:rPr>
          <w:rFonts w:hint="eastAsia" w:ascii="宋体" w:hAnsi="宋体" w:cs="仿宋_GB2312"/>
          <w:sz w:val="28"/>
          <w:szCs w:val="28"/>
        </w:rPr>
        <w:t xml:space="preserve">第四部分  </w:t>
      </w:r>
      <w:r>
        <w:rPr>
          <w:rFonts w:hint="eastAsia" w:ascii="宋体" w:hAnsi="宋体" w:cs="仿宋_GB2312"/>
          <w:bCs/>
          <w:sz w:val="28"/>
          <w:szCs w:val="28"/>
        </w:rPr>
        <w:t>政府采购合同</w:t>
      </w:r>
      <w:r>
        <w:rPr>
          <w:sz w:val="28"/>
          <w:szCs w:val="28"/>
        </w:rPr>
        <w:tab/>
      </w:r>
      <w:r>
        <w:rPr>
          <w:sz w:val="28"/>
          <w:szCs w:val="28"/>
        </w:rPr>
        <w:fldChar w:fldCharType="begin"/>
      </w:r>
      <w:r>
        <w:rPr>
          <w:sz w:val="28"/>
          <w:szCs w:val="28"/>
        </w:rPr>
        <w:instrText xml:space="preserve"> PAGEREF _Toc26946 \h </w:instrText>
      </w:r>
      <w:r>
        <w:rPr>
          <w:sz w:val="28"/>
          <w:szCs w:val="28"/>
        </w:rPr>
        <w:fldChar w:fldCharType="separate"/>
      </w:r>
      <w:r>
        <w:rPr>
          <w:sz w:val="28"/>
          <w:szCs w:val="28"/>
        </w:rPr>
        <w:t>33</w:t>
      </w:r>
      <w:r>
        <w:rPr>
          <w:sz w:val="28"/>
          <w:szCs w:val="28"/>
        </w:rPr>
        <w:fldChar w:fldCharType="end"/>
      </w:r>
      <w:r>
        <w:rPr>
          <w:sz w:val="28"/>
          <w:szCs w:val="28"/>
        </w:rPr>
        <w:fldChar w:fldCharType="end"/>
      </w:r>
    </w:p>
    <w:p w14:paraId="19D02F4F">
      <w:pPr>
        <w:pStyle w:val="17"/>
        <w:tabs>
          <w:tab w:val="right" w:leader="dot" w:pos="8504"/>
        </w:tabs>
        <w:spacing w:line="360" w:lineRule="auto"/>
        <w:rPr>
          <w:sz w:val="28"/>
          <w:szCs w:val="28"/>
        </w:rPr>
      </w:pPr>
      <w:r>
        <w:fldChar w:fldCharType="begin"/>
      </w:r>
      <w:r>
        <w:instrText xml:space="preserve"> HYPERLINK \l "_Toc3964" </w:instrText>
      </w:r>
      <w:r>
        <w:fldChar w:fldCharType="separate"/>
      </w:r>
      <w:r>
        <w:rPr>
          <w:rFonts w:hint="eastAsia" w:ascii="宋体" w:hAnsi="宋体" w:cs="宋体"/>
          <w:kern w:val="44"/>
          <w:sz w:val="28"/>
          <w:szCs w:val="28"/>
        </w:rPr>
        <w:t>第五部分  商务要求</w:t>
      </w:r>
      <w:r>
        <w:rPr>
          <w:sz w:val="28"/>
          <w:szCs w:val="28"/>
        </w:rPr>
        <w:tab/>
      </w:r>
      <w:r>
        <w:rPr>
          <w:sz w:val="28"/>
          <w:szCs w:val="28"/>
        </w:rPr>
        <w:fldChar w:fldCharType="begin"/>
      </w:r>
      <w:r>
        <w:rPr>
          <w:sz w:val="28"/>
          <w:szCs w:val="28"/>
        </w:rPr>
        <w:instrText xml:space="preserve"> PAGEREF _Toc3964 \h </w:instrText>
      </w:r>
      <w:r>
        <w:rPr>
          <w:sz w:val="28"/>
          <w:szCs w:val="28"/>
        </w:rPr>
        <w:fldChar w:fldCharType="separate"/>
      </w:r>
      <w:r>
        <w:rPr>
          <w:sz w:val="28"/>
          <w:szCs w:val="28"/>
        </w:rPr>
        <w:t>33</w:t>
      </w:r>
      <w:r>
        <w:rPr>
          <w:sz w:val="28"/>
          <w:szCs w:val="28"/>
        </w:rPr>
        <w:fldChar w:fldCharType="end"/>
      </w:r>
      <w:r>
        <w:rPr>
          <w:sz w:val="28"/>
          <w:szCs w:val="28"/>
        </w:rPr>
        <w:fldChar w:fldCharType="end"/>
      </w:r>
    </w:p>
    <w:p w14:paraId="73921457">
      <w:pPr>
        <w:pStyle w:val="17"/>
        <w:tabs>
          <w:tab w:val="right" w:leader="dot" w:pos="8504"/>
        </w:tabs>
        <w:spacing w:line="360" w:lineRule="auto"/>
        <w:rPr>
          <w:sz w:val="28"/>
          <w:szCs w:val="28"/>
        </w:rPr>
      </w:pPr>
      <w:r>
        <w:fldChar w:fldCharType="begin"/>
      </w:r>
      <w:r>
        <w:instrText xml:space="preserve"> HYPERLINK \l "_Toc14458" </w:instrText>
      </w:r>
      <w:r>
        <w:fldChar w:fldCharType="separate"/>
      </w:r>
      <w:r>
        <w:rPr>
          <w:rFonts w:hint="eastAsia" w:ascii="宋体" w:hAnsi="宋体" w:cs="宋体"/>
          <w:sz w:val="28"/>
          <w:szCs w:val="28"/>
        </w:rPr>
        <w:t>第六部分 采购内容及要求</w:t>
      </w:r>
      <w:r>
        <w:rPr>
          <w:sz w:val="28"/>
          <w:szCs w:val="28"/>
        </w:rPr>
        <w:tab/>
      </w:r>
      <w:r>
        <w:rPr>
          <w:sz w:val="28"/>
          <w:szCs w:val="28"/>
        </w:rPr>
        <w:fldChar w:fldCharType="begin"/>
      </w:r>
      <w:r>
        <w:rPr>
          <w:sz w:val="28"/>
          <w:szCs w:val="28"/>
        </w:rPr>
        <w:instrText xml:space="preserve"> PAGEREF _Toc14458 \h </w:instrText>
      </w:r>
      <w:r>
        <w:rPr>
          <w:sz w:val="28"/>
          <w:szCs w:val="28"/>
        </w:rPr>
        <w:fldChar w:fldCharType="separate"/>
      </w:r>
      <w:r>
        <w:rPr>
          <w:sz w:val="28"/>
          <w:szCs w:val="28"/>
        </w:rPr>
        <w:t>36</w:t>
      </w:r>
      <w:r>
        <w:rPr>
          <w:sz w:val="28"/>
          <w:szCs w:val="28"/>
        </w:rPr>
        <w:fldChar w:fldCharType="end"/>
      </w:r>
      <w:r>
        <w:rPr>
          <w:sz w:val="28"/>
          <w:szCs w:val="28"/>
        </w:rPr>
        <w:fldChar w:fldCharType="end"/>
      </w:r>
    </w:p>
    <w:p w14:paraId="0437AB8E">
      <w:pPr>
        <w:pStyle w:val="17"/>
        <w:tabs>
          <w:tab w:val="right" w:leader="dot" w:pos="8504"/>
        </w:tabs>
        <w:spacing w:line="360" w:lineRule="auto"/>
        <w:rPr>
          <w:sz w:val="28"/>
          <w:szCs w:val="28"/>
        </w:rPr>
      </w:pPr>
      <w:r>
        <w:fldChar w:fldCharType="begin"/>
      </w:r>
      <w:r>
        <w:instrText xml:space="preserve"> HYPERLINK \l "_Toc28145" </w:instrText>
      </w:r>
      <w:r>
        <w:fldChar w:fldCharType="separate"/>
      </w:r>
      <w:r>
        <w:rPr>
          <w:rFonts w:hint="eastAsia" w:ascii="宋体" w:hAnsi="宋体" w:cs="宋体"/>
          <w:sz w:val="28"/>
          <w:szCs w:val="28"/>
        </w:rPr>
        <w:t>第七部分 评审方法</w:t>
      </w:r>
      <w:r>
        <w:rPr>
          <w:sz w:val="28"/>
          <w:szCs w:val="28"/>
        </w:rPr>
        <w:tab/>
      </w:r>
      <w:r>
        <w:rPr>
          <w:sz w:val="28"/>
          <w:szCs w:val="28"/>
        </w:rPr>
        <w:fldChar w:fldCharType="begin"/>
      </w:r>
      <w:r>
        <w:rPr>
          <w:sz w:val="28"/>
          <w:szCs w:val="28"/>
        </w:rPr>
        <w:instrText xml:space="preserve"> PAGEREF _Toc28145 \h </w:instrText>
      </w:r>
      <w:r>
        <w:rPr>
          <w:sz w:val="28"/>
          <w:szCs w:val="28"/>
        </w:rPr>
        <w:fldChar w:fldCharType="separate"/>
      </w:r>
      <w:r>
        <w:rPr>
          <w:sz w:val="28"/>
          <w:szCs w:val="28"/>
        </w:rPr>
        <w:t>37</w:t>
      </w:r>
      <w:r>
        <w:rPr>
          <w:sz w:val="28"/>
          <w:szCs w:val="28"/>
        </w:rPr>
        <w:fldChar w:fldCharType="end"/>
      </w:r>
      <w:r>
        <w:rPr>
          <w:sz w:val="28"/>
          <w:szCs w:val="28"/>
        </w:rPr>
        <w:fldChar w:fldCharType="end"/>
      </w:r>
    </w:p>
    <w:p w14:paraId="1ECF2A63">
      <w:pPr>
        <w:pStyle w:val="17"/>
        <w:tabs>
          <w:tab w:val="right" w:leader="dot" w:pos="8504"/>
        </w:tabs>
        <w:spacing w:line="360" w:lineRule="auto"/>
        <w:rPr>
          <w:sz w:val="28"/>
          <w:szCs w:val="28"/>
        </w:rPr>
      </w:pPr>
      <w:r>
        <w:fldChar w:fldCharType="begin"/>
      </w:r>
      <w:r>
        <w:instrText xml:space="preserve"> HYPERLINK \l "_Toc29159" </w:instrText>
      </w:r>
      <w:r>
        <w:fldChar w:fldCharType="separate"/>
      </w:r>
      <w:r>
        <w:rPr>
          <w:rFonts w:hint="eastAsia" w:ascii="宋体" w:hAnsi="宋体" w:cs="宋体"/>
          <w:sz w:val="28"/>
          <w:szCs w:val="28"/>
        </w:rPr>
        <w:t>第八部分  竞争性谈判响应文件格式</w:t>
      </w:r>
      <w:r>
        <w:rPr>
          <w:sz w:val="28"/>
          <w:szCs w:val="28"/>
        </w:rPr>
        <w:tab/>
      </w:r>
      <w:r>
        <w:rPr>
          <w:sz w:val="28"/>
          <w:szCs w:val="28"/>
        </w:rPr>
        <w:fldChar w:fldCharType="begin"/>
      </w:r>
      <w:r>
        <w:rPr>
          <w:sz w:val="28"/>
          <w:szCs w:val="28"/>
        </w:rPr>
        <w:instrText xml:space="preserve"> PAGEREF _Toc29159 \h </w:instrText>
      </w:r>
      <w:r>
        <w:rPr>
          <w:sz w:val="28"/>
          <w:szCs w:val="28"/>
        </w:rPr>
        <w:fldChar w:fldCharType="separate"/>
      </w:r>
      <w:r>
        <w:rPr>
          <w:sz w:val="28"/>
          <w:szCs w:val="28"/>
        </w:rPr>
        <w:t>46</w:t>
      </w:r>
      <w:r>
        <w:rPr>
          <w:sz w:val="28"/>
          <w:szCs w:val="28"/>
        </w:rPr>
        <w:fldChar w:fldCharType="end"/>
      </w:r>
      <w:r>
        <w:rPr>
          <w:sz w:val="28"/>
          <w:szCs w:val="28"/>
        </w:rPr>
        <w:fldChar w:fldCharType="end"/>
      </w:r>
    </w:p>
    <w:p w14:paraId="3738B4E2">
      <w:pPr>
        <w:pStyle w:val="17"/>
        <w:tabs>
          <w:tab w:val="right" w:leader="dot" w:pos="8810"/>
        </w:tabs>
        <w:spacing w:line="600" w:lineRule="auto"/>
        <w:rPr>
          <w:rFonts w:ascii="宋体" w:hAnsi="宋体" w:cs="宋体"/>
          <w:b/>
          <w:bCs/>
          <w:sz w:val="24"/>
          <w:szCs w:val="24"/>
        </w:rPr>
      </w:pPr>
      <w:r>
        <w:rPr>
          <w:rFonts w:ascii="宋体" w:hAnsi="宋体" w:cs="宋体"/>
          <w:bCs/>
          <w:szCs w:val="24"/>
        </w:rPr>
        <w:fldChar w:fldCharType="end"/>
      </w:r>
    </w:p>
    <w:p w14:paraId="7F76C518">
      <w:pPr>
        <w:tabs>
          <w:tab w:val="left" w:pos="7605"/>
        </w:tabs>
        <w:rPr>
          <w:sz w:val="24"/>
          <w:szCs w:val="24"/>
        </w:rPr>
      </w:pPr>
      <w:r>
        <w:rPr>
          <w:rFonts w:hint="eastAsia"/>
          <w:sz w:val="24"/>
          <w:szCs w:val="24"/>
        </w:rPr>
        <w:tab/>
      </w:r>
    </w:p>
    <w:p w14:paraId="0AF96EC6">
      <w:pPr>
        <w:rPr>
          <w:sz w:val="24"/>
          <w:szCs w:val="24"/>
        </w:rPr>
      </w:pPr>
    </w:p>
    <w:p w14:paraId="35CB3485">
      <w:pPr>
        <w:rPr>
          <w:sz w:val="24"/>
          <w:szCs w:val="24"/>
        </w:rPr>
        <w:sectPr>
          <w:headerReference r:id="rId6" w:type="default"/>
          <w:footerReference r:id="rId7" w:type="default"/>
          <w:footnotePr>
            <w:pos w:val="beneathText"/>
          </w:footnotePr>
          <w:pgSz w:w="11906" w:h="16838"/>
          <w:pgMar w:top="1418" w:right="1644" w:bottom="1191" w:left="1758" w:header="851" w:footer="992" w:gutter="0"/>
          <w:pgNumType w:start="1"/>
          <w:cols w:space="720" w:num="1"/>
          <w:docGrid w:type="lines" w:linePitch="312" w:charSpace="0"/>
        </w:sectPr>
      </w:pPr>
    </w:p>
    <w:p w14:paraId="553833D9">
      <w:pPr>
        <w:pStyle w:val="17"/>
        <w:tabs>
          <w:tab w:val="right" w:leader="dot" w:pos="8829"/>
        </w:tabs>
        <w:spacing w:line="360" w:lineRule="auto"/>
        <w:jc w:val="center"/>
        <w:outlineLvl w:val="0"/>
        <w:rPr>
          <w:rFonts w:ascii="宋体" w:hAnsi="宋体"/>
          <w:sz w:val="24"/>
        </w:rPr>
      </w:pPr>
      <w:bookmarkStart w:id="9" w:name="_Toc4933"/>
      <w:bookmarkStart w:id="10" w:name="_Toc14990"/>
      <w:bookmarkStart w:id="11" w:name="_Toc31446"/>
      <w:r>
        <w:rPr>
          <w:rFonts w:hint="eastAsia" w:ascii="宋体" w:hAnsi="宋体" w:cs="宋体"/>
          <w:b/>
          <w:bCs/>
          <w:sz w:val="36"/>
          <w:szCs w:val="36"/>
        </w:rPr>
        <w:t>第一部分</w:t>
      </w:r>
      <w:bookmarkEnd w:id="0"/>
      <w:r>
        <w:rPr>
          <w:rFonts w:hint="eastAsia" w:ascii="宋体" w:hAnsi="宋体" w:cs="宋体"/>
          <w:b/>
          <w:bCs/>
          <w:sz w:val="36"/>
          <w:szCs w:val="36"/>
        </w:rPr>
        <w:t xml:space="preserve">  </w:t>
      </w:r>
      <w:r>
        <w:rPr>
          <w:rFonts w:hint="eastAsia" w:ascii="宋体" w:hAnsi="宋体" w:eastAsia="宋体" w:cs="宋体"/>
          <w:b/>
          <w:bCs/>
          <w:sz w:val="36"/>
          <w:szCs w:val="36"/>
        </w:rPr>
        <w:t>谈判公告</w:t>
      </w:r>
      <w:bookmarkEnd w:id="1"/>
      <w:bookmarkEnd w:id="2"/>
      <w:bookmarkEnd w:id="3"/>
      <w:bookmarkEnd w:id="4"/>
      <w:bookmarkEnd w:id="5"/>
      <w:bookmarkEnd w:id="6"/>
      <w:bookmarkEnd w:id="9"/>
      <w:bookmarkEnd w:id="10"/>
      <w:bookmarkEnd w:id="11"/>
      <w:bookmarkStart w:id="12" w:name="OLE_LINK5"/>
      <w:bookmarkStart w:id="13" w:name="_Toc246928892"/>
      <w:bookmarkStart w:id="14" w:name="OLE_LINK6"/>
      <w:bookmarkStart w:id="15" w:name="OLE_LINK15"/>
    </w:p>
    <w:p w14:paraId="09220F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项目概况</w:t>
      </w:r>
    </w:p>
    <w:p w14:paraId="3B2E0D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绥德县历史和非遗文化丛书编撰印刷服务</w:t>
      </w:r>
      <w:r>
        <w:rPr>
          <w:rFonts w:hint="eastAsia"/>
          <w:sz w:val="24"/>
          <w:szCs w:val="24"/>
        </w:rPr>
        <w:t>采购项目的潜在供应商应在CA锁自行下载获取采购文件，并于 2025年11月21日 13时30分 （北京时间）前提交响应文件。</w:t>
      </w:r>
    </w:p>
    <w:p w14:paraId="1DCF8D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一、项目基本情况</w:t>
      </w:r>
    </w:p>
    <w:p w14:paraId="5642B0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项目编号：HYDZB-2025-093</w:t>
      </w:r>
    </w:p>
    <w:p w14:paraId="65AA4A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项目名称：绥德县历史和非遗文化丛书编撰印刷服务</w:t>
      </w:r>
    </w:p>
    <w:p w14:paraId="2CAD12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采购方式：竞争性谈判</w:t>
      </w:r>
    </w:p>
    <w:p w14:paraId="02F169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预算金额：1,600,000.00元</w:t>
      </w:r>
    </w:p>
    <w:p w14:paraId="622536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采购需求：</w:t>
      </w:r>
    </w:p>
    <w:p w14:paraId="72992A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合同包1(绥德县历史和非遗文化丛书编撰印刷服务):</w:t>
      </w:r>
    </w:p>
    <w:p w14:paraId="0E4F79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合同包预算金额：1,600,000.00元</w:t>
      </w:r>
    </w:p>
    <w:p w14:paraId="5D22A9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合同包最高限价：1,600,000.00元</w:t>
      </w:r>
    </w:p>
    <w:tbl>
      <w:tblPr>
        <w:tblStyle w:val="22"/>
        <w:tblW w:w="96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48"/>
        <w:gridCol w:w="1720"/>
        <w:gridCol w:w="3491"/>
        <w:gridCol w:w="829"/>
        <w:gridCol w:w="1429"/>
        <w:gridCol w:w="1500"/>
      </w:tblGrid>
      <w:tr w14:paraId="19017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2" w:hRule="atLeast"/>
          <w:tblHeader/>
        </w:trPr>
        <w:tc>
          <w:tcPr>
            <w:tcW w:w="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587822">
            <w:pPr>
              <w:jc w:val="center"/>
              <w:rPr>
                <w:sz w:val="24"/>
                <w:szCs w:val="22"/>
              </w:rPr>
            </w:pPr>
            <w:r>
              <w:rPr>
                <w:sz w:val="24"/>
                <w:szCs w:val="22"/>
                <w:lang w:val="en-US" w:eastAsia="zh-CN"/>
              </w:rPr>
              <w:t>品目号</w:t>
            </w:r>
          </w:p>
        </w:tc>
        <w:tc>
          <w:tcPr>
            <w:tcW w:w="183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A12B5E">
            <w:pPr>
              <w:jc w:val="center"/>
              <w:rPr>
                <w:sz w:val="24"/>
                <w:szCs w:val="22"/>
              </w:rPr>
            </w:pPr>
            <w:r>
              <w:rPr>
                <w:sz w:val="24"/>
                <w:szCs w:val="22"/>
                <w:lang w:val="en-US" w:eastAsia="zh-CN"/>
              </w:rPr>
              <w:t>品目名称</w:t>
            </w:r>
          </w:p>
        </w:tc>
        <w:tc>
          <w:tcPr>
            <w:tcW w:w="33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50F1A6">
            <w:pPr>
              <w:jc w:val="center"/>
              <w:rPr>
                <w:sz w:val="24"/>
                <w:szCs w:val="22"/>
              </w:rPr>
            </w:pPr>
            <w:r>
              <w:rPr>
                <w:sz w:val="24"/>
                <w:szCs w:val="22"/>
                <w:lang w:val="en-US" w:eastAsia="zh-CN"/>
              </w:rPr>
              <w:t>采购标的</w:t>
            </w:r>
          </w:p>
        </w:tc>
        <w:tc>
          <w:tcPr>
            <w:tcW w:w="8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B3A66E">
            <w:pPr>
              <w:jc w:val="center"/>
              <w:rPr>
                <w:sz w:val="24"/>
                <w:szCs w:val="22"/>
              </w:rPr>
            </w:pPr>
            <w:r>
              <w:rPr>
                <w:sz w:val="24"/>
                <w:szCs w:val="22"/>
                <w:lang w:val="en-US" w:eastAsia="zh-CN"/>
              </w:rPr>
              <w:t>数量（单位）</w:t>
            </w:r>
          </w:p>
        </w:tc>
        <w:tc>
          <w:tcPr>
            <w:tcW w:w="13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675917">
            <w:pPr>
              <w:jc w:val="center"/>
              <w:rPr>
                <w:sz w:val="24"/>
                <w:szCs w:val="22"/>
              </w:rPr>
            </w:pPr>
            <w:r>
              <w:rPr>
                <w:sz w:val="24"/>
                <w:szCs w:val="22"/>
                <w:lang w:val="en-US" w:eastAsia="zh-CN"/>
              </w:rPr>
              <w:t>技术规格、参数及要求</w:t>
            </w:r>
          </w:p>
        </w:tc>
        <w:tc>
          <w:tcPr>
            <w:tcW w:w="14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D69FDC">
            <w:pPr>
              <w:jc w:val="center"/>
              <w:rPr>
                <w:sz w:val="24"/>
                <w:szCs w:val="22"/>
              </w:rPr>
            </w:pPr>
            <w:r>
              <w:rPr>
                <w:sz w:val="24"/>
                <w:szCs w:val="22"/>
                <w:lang w:val="en-US" w:eastAsia="zh-CN"/>
              </w:rPr>
              <w:t>品目预算(元)</w:t>
            </w:r>
          </w:p>
        </w:tc>
      </w:tr>
      <w:tr w14:paraId="53F27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8"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887A84">
            <w:pPr>
              <w:jc w:val="center"/>
              <w:rPr>
                <w:sz w:val="24"/>
                <w:szCs w:val="22"/>
              </w:rPr>
            </w:pPr>
            <w:r>
              <w:rPr>
                <w:sz w:val="24"/>
                <w:szCs w:val="22"/>
                <w:lang w:val="en-US" w:eastAsia="zh-CN"/>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73913B">
            <w:pPr>
              <w:jc w:val="center"/>
              <w:rPr>
                <w:sz w:val="24"/>
                <w:szCs w:val="22"/>
              </w:rPr>
            </w:pPr>
            <w:r>
              <w:rPr>
                <w:sz w:val="24"/>
                <w:szCs w:val="22"/>
                <w:lang w:val="en-US" w:eastAsia="zh-CN"/>
              </w:rPr>
              <w:t>其他文化艺术服务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46C86F">
            <w:pPr>
              <w:jc w:val="center"/>
              <w:rPr>
                <w:sz w:val="24"/>
                <w:szCs w:val="22"/>
              </w:rPr>
            </w:pPr>
            <w:r>
              <w:rPr>
                <w:sz w:val="24"/>
                <w:szCs w:val="22"/>
                <w:lang w:val="en-US" w:eastAsia="zh-CN"/>
              </w:rPr>
              <w:t>绥德县历史和非遗文化丛书编撰印刷服务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ACA384">
            <w:pPr>
              <w:jc w:val="center"/>
              <w:rPr>
                <w:sz w:val="24"/>
                <w:szCs w:val="22"/>
              </w:rPr>
            </w:pPr>
            <w:r>
              <w:rPr>
                <w:sz w:val="24"/>
                <w:szCs w:val="22"/>
                <w:lang w:val="en-US" w:eastAsia="zh-CN"/>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777A5D">
            <w:pPr>
              <w:jc w:val="center"/>
              <w:rPr>
                <w:sz w:val="24"/>
                <w:szCs w:val="22"/>
              </w:rPr>
            </w:pPr>
            <w:r>
              <w:rPr>
                <w:sz w:val="24"/>
                <w:szCs w:val="22"/>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1F2D27">
            <w:pPr>
              <w:jc w:val="center"/>
              <w:rPr>
                <w:sz w:val="24"/>
                <w:szCs w:val="22"/>
              </w:rPr>
            </w:pPr>
            <w:r>
              <w:rPr>
                <w:sz w:val="24"/>
                <w:szCs w:val="22"/>
                <w:lang w:val="en-US" w:eastAsia="zh-CN"/>
              </w:rPr>
              <w:t>1,600,000.00</w:t>
            </w:r>
          </w:p>
        </w:tc>
      </w:tr>
    </w:tbl>
    <w:p w14:paraId="4736A3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本合同包不接受联合体投标</w:t>
      </w:r>
    </w:p>
    <w:p w14:paraId="287B39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合同履行期限：6个月</w:t>
      </w:r>
    </w:p>
    <w:p w14:paraId="30D89B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二、申请人的资格要求：</w:t>
      </w:r>
    </w:p>
    <w:p w14:paraId="13D7AF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1.满足《中华人民共和国政府采购法》第二十二条规定;</w:t>
      </w:r>
    </w:p>
    <w:p w14:paraId="389026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2.落实政府采购政策需满足的资格要求：</w:t>
      </w:r>
    </w:p>
    <w:p w14:paraId="5A89F2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合同包1(绥德县历史和非遗文化丛书编撰印刷服务)落实政府采购政策需满足的资格要求如下:</w:t>
      </w:r>
    </w:p>
    <w:p w14:paraId="440C55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（1）《政府采购促进中小企业发展管理办法》（财库〔2020〕46号）；</w:t>
      </w:r>
      <w:r>
        <w:rPr>
          <w:rFonts w:hint="eastAsia"/>
          <w:sz w:val="24"/>
          <w:szCs w:val="24"/>
        </w:rPr>
        <w:br w:type="textWrapping"/>
      </w:r>
      <w:r>
        <w:rPr>
          <w:rFonts w:hint="eastAsia"/>
          <w:sz w:val="24"/>
          <w:szCs w:val="24"/>
        </w:rPr>
        <w:t>（2）《财政部司法部关于政府采购支持监狱企业发展有关问题的通知》（财库〔2014〕68号）；</w:t>
      </w:r>
      <w:r>
        <w:rPr>
          <w:rFonts w:hint="eastAsia"/>
          <w:sz w:val="24"/>
          <w:szCs w:val="24"/>
        </w:rPr>
        <w:br w:type="textWrapping"/>
      </w:r>
      <w:r>
        <w:rPr>
          <w:rFonts w:hint="eastAsia"/>
          <w:sz w:val="24"/>
          <w:szCs w:val="24"/>
        </w:rPr>
        <w:t>（3）《国务院办公厅关于建立政府强制采购节能产品制度的通知》（国办发〔2007〕51号）；</w:t>
      </w:r>
      <w:r>
        <w:rPr>
          <w:rFonts w:hint="eastAsia"/>
          <w:sz w:val="24"/>
          <w:szCs w:val="24"/>
        </w:rPr>
        <w:br w:type="textWrapping"/>
      </w:r>
      <w:r>
        <w:rPr>
          <w:rFonts w:hint="eastAsia"/>
          <w:sz w:val="24"/>
          <w:szCs w:val="24"/>
        </w:rPr>
        <w:t>（4）《财政部、民政部、中国残疾人联合会关于促进残疾人就业政府采购政策的通知》（财库[2017]141号）；</w:t>
      </w:r>
      <w:r>
        <w:rPr>
          <w:rFonts w:hint="eastAsia"/>
          <w:sz w:val="24"/>
          <w:szCs w:val="24"/>
        </w:rPr>
        <w:br w:type="textWrapping"/>
      </w:r>
      <w:r>
        <w:rPr>
          <w:rFonts w:hint="eastAsia"/>
          <w:sz w:val="24"/>
          <w:szCs w:val="24"/>
        </w:rPr>
        <w:t>（5）陕西省财政厅关于印发《陕西省中小企业政府采购信用融资办法》（陕财办采〔2018〕23号）；相关政策、业务流程、办理平台(http://www.ccgpshaanxi.gov.cn/zcdservice/zcd/shanxi/)；</w:t>
      </w:r>
      <w:r>
        <w:rPr>
          <w:rFonts w:hint="eastAsia"/>
          <w:sz w:val="24"/>
          <w:szCs w:val="24"/>
        </w:rPr>
        <w:br w:type="textWrapping"/>
      </w:r>
      <w:r>
        <w:rPr>
          <w:rFonts w:hint="eastAsia"/>
          <w:sz w:val="24"/>
          <w:szCs w:val="24"/>
        </w:rPr>
        <w:t>（6）《关于在政府采购活动中查询及使用信用记录有关问题的通知》（财库〔2016〕125号）；</w:t>
      </w:r>
      <w:r>
        <w:rPr>
          <w:rFonts w:hint="eastAsia"/>
          <w:sz w:val="24"/>
          <w:szCs w:val="24"/>
        </w:rPr>
        <w:br w:type="textWrapping"/>
      </w:r>
      <w:r>
        <w:rPr>
          <w:rFonts w:hint="eastAsia"/>
          <w:sz w:val="24"/>
          <w:szCs w:val="24"/>
        </w:rPr>
        <w:t>（7）《榆林市财政局关于进一步加大政府采购支持中小企业力度的通知》（榆政财采发〔2022〕10号)；</w:t>
      </w:r>
      <w:r>
        <w:rPr>
          <w:rFonts w:hint="eastAsia"/>
          <w:sz w:val="24"/>
          <w:szCs w:val="24"/>
        </w:rPr>
        <w:br w:type="textWrapping"/>
      </w:r>
      <w:r>
        <w:rPr>
          <w:rFonts w:hint="eastAsia"/>
          <w:sz w:val="24"/>
          <w:szCs w:val="24"/>
        </w:rPr>
        <w:t>（8）《陕西省财政厅关于进一步加大政府采购支持中小企业力度的通知》(陕财采发〔2022〕5号)；</w:t>
      </w:r>
      <w:r>
        <w:rPr>
          <w:rFonts w:hint="eastAsia"/>
          <w:sz w:val="24"/>
          <w:szCs w:val="24"/>
        </w:rPr>
        <w:br w:type="textWrapping"/>
      </w:r>
      <w:r>
        <w:rPr>
          <w:rFonts w:hint="eastAsia"/>
          <w:sz w:val="24"/>
          <w:szCs w:val="24"/>
        </w:rPr>
        <w:t>（9）《陕西省财政厅中国人民银行西安分行关于深人推进政府采购信用融资业务的通知》（陕财办采〔2023]5号）。</w:t>
      </w:r>
      <w:r>
        <w:rPr>
          <w:rFonts w:hint="eastAsia"/>
          <w:sz w:val="24"/>
          <w:szCs w:val="24"/>
        </w:rPr>
        <w:br w:type="textWrapping"/>
      </w:r>
      <w:r>
        <w:rPr>
          <w:rFonts w:hint="eastAsia"/>
          <w:sz w:val="24"/>
          <w:szCs w:val="24"/>
        </w:rPr>
        <w:t>（10）其他需要落实的政府采购政策。</w:t>
      </w:r>
    </w:p>
    <w:p w14:paraId="01DE10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3.本项目的特定资格要求：</w:t>
      </w:r>
    </w:p>
    <w:p w14:paraId="38857E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合同包1(绥德县历史和非遗文化丛书编撰印刷服务)特定资格要求如下:</w:t>
      </w:r>
    </w:p>
    <w:p w14:paraId="508726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  1、投标人须具备独立承担民事责任能力的法人或其他组织，提供合法有效的统一社会信用代码的营业执照； </w:t>
      </w:r>
      <w:r>
        <w:rPr>
          <w:rFonts w:hint="eastAsia"/>
          <w:sz w:val="24"/>
          <w:szCs w:val="24"/>
        </w:rPr>
        <w:br w:type="textWrapping"/>
      </w:r>
      <w:r>
        <w:rPr>
          <w:rFonts w:hint="eastAsia"/>
          <w:sz w:val="24"/>
          <w:szCs w:val="24"/>
        </w:rPr>
        <w:t>  2、财务状况报告：提供企业2024年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r>
        <w:rPr>
          <w:rFonts w:hint="eastAsia"/>
          <w:sz w:val="24"/>
          <w:szCs w:val="24"/>
        </w:rPr>
        <w:br w:type="textWrapping"/>
      </w:r>
      <w:r>
        <w:rPr>
          <w:rFonts w:hint="eastAsia"/>
          <w:sz w:val="24"/>
          <w:szCs w:val="24"/>
        </w:rPr>
        <w:t>  3、社会保障资金缴纳证明：提供2025年1月至今已缴存的至少一个月的社会保障资金缴纳证明（社会保障资金缴存单据或社保机构开具的社会保险参保缴费情况证明），依法不需要缴纳社会保障资金的单位应提供相关证明材料；</w:t>
      </w:r>
      <w:r>
        <w:rPr>
          <w:rFonts w:hint="eastAsia"/>
          <w:sz w:val="24"/>
          <w:szCs w:val="24"/>
        </w:rPr>
        <w:br w:type="textWrapping"/>
      </w:r>
      <w:r>
        <w:rPr>
          <w:rFonts w:hint="eastAsia"/>
          <w:sz w:val="24"/>
          <w:szCs w:val="24"/>
        </w:rPr>
        <w:t>  4、税收缴纳证明：提供2025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r>
        <w:rPr>
          <w:rFonts w:hint="eastAsia"/>
          <w:sz w:val="24"/>
          <w:szCs w:val="24"/>
        </w:rPr>
        <w:br w:type="textWrapping"/>
      </w:r>
      <w:r>
        <w:rPr>
          <w:rFonts w:hint="eastAsia"/>
          <w:sz w:val="24"/>
          <w:szCs w:val="24"/>
        </w:rPr>
        <w:t>  5、参加政府采购活动前3年内在经营活动中没有重大违法记录的书面声明（格式自拟，加盖投标人公章）；</w:t>
      </w:r>
      <w:r>
        <w:rPr>
          <w:rFonts w:hint="eastAsia"/>
          <w:sz w:val="24"/>
          <w:szCs w:val="24"/>
        </w:rPr>
        <w:br w:type="textWrapping"/>
      </w:r>
      <w:r>
        <w:rPr>
          <w:rFonts w:hint="eastAsia"/>
          <w:sz w:val="24"/>
          <w:szCs w:val="24"/>
        </w:rPr>
        <w:t>  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sz w:val="24"/>
          <w:szCs w:val="24"/>
        </w:rPr>
        <w:br w:type="textWrapping"/>
      </w:r>
      <w:r>
        <w:rPr>
          <w:rFonts w:hint="eastAsia"/>
          <w:sz w:val="24"/>
          <w:szCs w:val="24"/>
        </w:rPr>
        <w:t>  7、投标保证金用投标信用承诺书代替（提供投标信用承诺书）；</w:t>
      </w:r>
      <w:r>
        <w:rPr>
          <w:rFonts w:hint="eastAsia"/>
          <w:sz w:val="24"/>
          <w:szCs w:val="24"/>
        </w:rPr>
        <w:br w:type="textWrapping"/>
      </w:r>
      <w:r>
        <w:rPr>
          <w:rFonts w:hint="eastAsia"/>
          <w:sz w:val="24"/>
          <w:szCs w:val="24"/>
        </w:rPr>
        <w:t>  8、本项目专门面向小微企业采购（须提供小微企业声明函）；</w:t>
      </w:r>
      <w:r>
        <w:rPr>
          <w:rFonts w:hint="eastAsia"/>
          <w:sz w:val="24"/>
          <w:szCs w:val="24"/>
        </w:rPr>
        <w:br w:type="textWrapping"/>
      </w:r>
      <w:r>
        <w:rPr>
          <w:rFonts w:hint="eastAsia"/>
          <w:sz w:val="24"/>
          <w:szCs w:val="24"/>
        </w:rPr>
        <w:t>  9、本项目不接受联合体投标，单位负责人为同一人或者存在直接控股、管理关系的不同投标人，不得参加同一合同项下的政府采购活动（须提供非联合体投标声明函）；</w:t>
      </w:r>
      <w:r>
        <w:rPr>
          <w:rFonts w:hint="eastAsia"/>
          <w:sz w:val="24"/>
          <w:szCs w:val="24"/>
        </w:rPr>
        <w:br w:type="textWrapping"/>
      </w:r>
      <w:r>
        <w:rPr>
          <w:rFonts w:hint="eastAsia"/>
          <w:sz w:val="24"/>
          <w:szCs w:val="24"/>
        </w:rPr>
        <w:t>  10、供应商须具有印刷经营许可证。</w:t>
      </w:r>
    </w:p>
    <w:p w14:paraId="3437D1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三、获取采购文件</w:t>
      </w:r>
    </w:p>
    <w:p w14:paraId="16689C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时间： 2025年11月18日 至 2025年11月20日 ，每天上午 08:00:00 至 12:00:00 ，下午 12:00:00 至 18:00:00 （北京时间）</w:t>
      </w:r>
    </w:p>
    <w:p w14:paraId="589FB0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途径：CA锁自行下载</w:t>
      </w:r>
    </w:p>
    <w:p w14:paraId="70F77A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方式：在线获取</w:t>
      </w:r>
    </w:p>
    <w:p w14:paraId="73DE40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售价： 0元</w:t>
      </w:r>
    </w:p>
    <w:p w14:paraId="556607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四、响应文件提交</w:t>
      </w:r>
    </w:p>
    <w:p w14:paraId="7443BA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截止时间： 2025年11月21日 13时30分00秒 （北京时间）</w:t>
      </w:r>
    </w:p>
    <w:p w14:paraId="700FDF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地点：网上递交</w:t>
      </w:r>
    </w:p>
    <w:p w14:paraId="71D41C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五、开启</w:t>
      </w:r>
    </w:p>
    <w:p w14:paraId="22944C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时间： 2025年11月21日 13时30分00秒 （北京时间）</w:t>
      </w:r>
    </w:p>
    <w:p w14:paraId="3D37CF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地点：榆林市公共资源交易中心十楼开标11室</w:t>
      </w:r>
    </w:p>
    <w:p w14:paraId="4FC96E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六、公告期限</w:t>
      </w:r>
    </w:p>
    <w:p w14:paraId="05E145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自本公告发布之日起3个工作日。</w:t>
      </w:r>
    </w:p>
    <w:p w14:paraId="50793A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七、其他补充事宜</w:t>
      </w:r>
    </w:p>
    <w:p w14:paraId="203983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1.供应商可登录全国公共资源交易中心平台(陕西省) (http://www.sxggzyjy.cn/) ,选择“电子交易平台-陕西政府采购交易系统-陕西省公共资源交易平台-供应商”进行登录，登录后选择“交易乙方”身份进入供应商界面进行报名并免费下载谈判文件。</w:t>
      </w:r>
    </w:p>
    <w:p w14:paraId="2E6A9E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2.本项目采用电子化招投标的方式，供应商使用数字认证证书(CA锁)对投标文件进行签章、加密、递交及开标时解密等相关招投标事宜。</w:t>
      </w:r>
    </w:p>
    <w:p w14:paraId="46CD32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3.电子投标文件制作软件技术支持热线：400-998-0000，CA锁购买：榆林市民大厦3楼E18、E19窗口,电话：0912-3452148。</w:t>
      </w:r>
    </w:p>
    <w:p w14:paraId="0312D7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4.本项目采用“不见面”开标形式，不见面开标系统操作手册下载方式：登录【全国公共资源交易平台(陕西省)】网站首页选择【服务指南】-【下载专区】 -点击【关于陕西省公共资源交易平台多CA互认系统正式上线运行的通知】进行下载。</w:t>
      </w:r>
    </w:p>
    <w:p w14:paraId="6DA4E3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5、供应商应随时关注发布的变更公告，当澄清或修改的内容影响投标文件编制时，将在交易平台上发布答疑文件，投标人应从“项目流程·〉答疑文件下载”下载最新发布的答疑文件（*.SXSCF格式），并使用该文件重新编制电子投标文件（*.SXSTF格式），使用旧版电子谈判文件或旧版答疑文件制作的电子投标文件，系统将拒绝接收。</w:t>
      </w:r>
    </w:p>
    <w:p w14:paraId="11D013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lang w:val="en-US" w:eastAsia="zh-CN"/>
        </w:rPr>
        <w:t>6.请各供应商按照陕西省财政厅《关于政府采购投标供应商注册登记有关事项的通知》要求，通过陕西省政府采购 (http://www.ccgp-shaanxi.gov.cn/) 注册登记加入陕西省政府采购投标供应商库。</w:t>
      </w:r>
    </w:p>
    <w:p w14:paraId="5B0C40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八、对本次招标提出询问，请按以下方式联系。</w:t>
      </w:r>
    </w:p>
    <w:p w14:paraId="766234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1.采购人信息</w:t>
      </w:r>
    </w:p>
    <w:p w14:paraId="3C3177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名称：中共绥德县委组织部</w:t>
      </w:r>
    </w:p>
    <w:p w14:paraId="76192D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地址：陕西省榆林市绥德县千狮路89号</w:t>
      </w:r>
    </w:p>
    <w:p w14:paraId="3ACD44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联系方式：13002935330</w:t>
      </w:r>
    </w:p>
    <w:p w14:paraId="7618B8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2.采购代理机构信息</w:t>
      </w:r>
    </w:p>
    <w:p w14:paraId="071B9E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名称：榆林市恒易达工程项目管理有限公司</w:t>
      </w:r>
    </w:p>
    <w:p w14:paraId="2A6117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地址：榆林市高新区安居东路58号（金叶小区一楼商铺）</w:t>
      </w:r>
    </w:p>
    <w:p w14:paraId="23DFE5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联系方式：0912-3448777</w:t>
      </w:r>
    </w:p>
    <w:p w14:paraId="1713C6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3.项目联系方式</w:t>
      </w:r>
    </w:p>
    <w:p w14:paraId="0DB381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项目联系人：纪瑜</w:t>
      </w:r>
    </w:p>
    <w:p w14:paraId="32BF75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电话：15619910006</w:t>
      </w:r>
    </w:p>
    <w:p w14:paraId="79B251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sz w:val="24"/>
          <w:szCs w:val="24"/>
        </w:rPr>
      </w:pPr>
      <w:r>
        <w:rPr>
          <w:rFonts w:hint="eastAsia"/>
          <w:sz w:val="24"/>
          <w:szCs w:val="24"/>
        </w:rPr>
        <w:t>榆林市恒易达工程项目管理有限公司</w:t>
      </w:r>
    </w:p>
    <w:p w14:paraId="027BDC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sz w:val="24"/>
          <w:szCs w:val="24"/>
        </w:rPr>
      </w:pPr>
      <w:r>
        <w:rPr>
          <w:rFonts w:hint="eastAsia"/>
          <w:sz w:val="24"/>
          <w:szCs w:val="24"/>
        </w:rPr>
        <w:t>2025年11月17日</w:t>
      </w:r>
    </w:p>
    <w:p w14:paraId="05DBC4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212392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76942763">
      <w:pPr>
        <w:pStyle w:val="38"/>
        <w:keepNext w:val="0"/>
        <w:keepLines w:val="0"/>
        <w:pageBreakBefore w:val="0"/>
        <w:kinsoku/>
        <w:overflowPunct/>
        <w:topLinePunct w:val="0"/>
        <w:autoSpaceDE/>
        <w:autoSpaceDN/>
        <w:bidi w:val="0"/>
        <w:adjustRightInd/>
        <w:snapToGrid/>
        <w:spacing w:line="360" w:lineRule="auto"/>
        <w:ind w:firstLine="480" w:firstLineChars="200"/>
        <w:rPr>
          <w:rFonts w:hint="eastAsia"/>
          <w:sz w:val="24"/>
          <w:szCs w:val="24"/>
        </w:rPr>
      </w:pPr>
    </w:p>
    <w:p w14:paraId="6B6899E2">
      <w:pPr>
        <w:pStyle w:val="38"/>
        <w:rPr>
          <w:rFonts w:hint="eastAsia"/>
          <w:sz w:val="24"/>
          <w:szCs w:val="24"/>
        </w:rPr>
      </w:pPr>
    </w:p>
    <w:p w14:paraId="4FD89608">
      <w:pPr>
        <w:pStyle w:val="38"/>
        <w:rPr>
          <w:rFonts w:hint="eastAsia"/>
          <w:sz w:val="24"/>
          <w:szCs w:val="24"/>
        </w:rPr>
      </w:pPr>
    </w:p>
    <w:p w14:paraId="2A367547">
      <w:pPr>
        <w:pStyle w:val="38"/>
        <w:rPr>
          <w:rFonts w:hint="eastAsia"/>
          <w:sz w:val="24"/>
          <w:szCs w:val="24"/>
        </w:rPr>
      </w:pPr>
    </w:p>
    <w:p w14:paraId="0D513818">
      <w:pPr>
        <w:pStyle w:val="38"/>
        <w:rPr>
          <w:rFonts w:hint="eastAsia"/>
          <w:sz w:val="24"/>
          <w:szCs w:val="24"/>
        </w:rPr>
      </w:pPr>
    </w:p>
    <w:p w14:paraId="715A631E">
      <w:pPr>
        <w:pStyle w:val="38"/>
        <w:rPr>
          <w:rFonts w:hint="eastAsia"/>
          <w:sz w:val="24"/>
          <w:szCs w:val="24"/>
        </w:rPr>
      </w:pPr>
    </w:p>
    <w:p w14:paraId="3AC3C84A">
      <w:pPr>
        <w:pStyle w:val="38"/>
        <w:rPr>
          <w:rFonts w:hint="eastAsia"/>
          <w:sz w:val="24"/>
          <w:szCs w:val="24"/>
        </w:rPr>
      </w:pPr>
    </w:p>
    <w:p w14:paraId="243B2D01">
      <w:pPr>
        <w:pStyle w:val="38"/>
        <w:rPr>
          <w:rFonts w:hint="eastAsia"/>
          <w:sz w:val="24"/>
          <w:szCs w:val="24"/>
        </w:rPr>
      </w:pPr>
    </w:p>
    <w:p w14:paraId="2A6FD2F1">
      <w:pPr>
        <w:pStyle w:val="38"/>
        <w:rPr>
          <w:rFonts w:hint="eastAsia"/>
          <w:sz w:val="24"/>
          <w:szCs w:val="24"/>
        </w:rPr>
      </w:pPr>
    </w:p>
    <w:p w14:paraId="3A23EF8A">
      <w:pPr>
        <w:pStyle w:val="38"/>
        <w:rPr>
          <w:rFonts w:hint="eastAsia"/>
          <w:sz w:val="24"/>
          <w:szCs w:val="24"/>
        </w:rPr>
      </w:pPr>
    </w:p>
    <w:p w14:paraId="07399A34">
      <w:pPr>
        <w:pStyle w:val="38"/>
        <w:rPr>
          <w:rFonts w:hint="eastAsia"/>
          <w:sz w:val="24"/>
          <w:szCs w:val="24"/>
        </w:rPr>
      </w:pPr>
    </w:p>
    <w:p w14:paraId="75DBDFBA">
      <w:pPr>
        <w:pStyle w:val="38"/>
        <w:rPr>
          <w:rFonts w:hint="eastAsia"/>
          <w:sz w:val="24"/>
          <w:szCs w:val="24"/>
        </w:rPr>
      </w:pPr>
    </w:p>
    <w:p w14:paraId="0FEC22E0">
      <w:pPr>
        <w:pStyle w:val="38"/>
        <w:rPr>
          <w:rFonts w:hint="eastAsia"/>
          <w:sz w:val="24"/>
          <w:szCs w:val="24"/>
        </w:rPr>
      </w:pPr>
    </w:p>
    <w:p w14:paraId="20DF59D2">
      <w:pPr>
        <w:pStyle w:val="38"/>
        <w:rPr>
          <w:rFonts w:hint="eastAsia"/>
          <w:sz w:val="24"/>
          <w:szCs w:val="24"/>
        </w:rPr>
      </w:pPr>
    </w:p>
    <w:p w14:paraId="21E934D0">
      <w:pPr>
        <w:pStyle w:val="38"/>
        <w:rPr>
          <w:rFonts w:hint="eastAsia"/>
          <w:sz w:val="24"/>
          <w:szCs w:val="24"/>
        </w:rPr>
      </w:pPr>
    </w:p>
    <w:p w14:paraId="3EB08AFF">
      <w:pPr>
        <w:pStyle w:val="38"/>
        <w:rPr>
          <w:rFonts w:hint="eastAsia"/>
          <w:sz w:val="24"/>
          <w:szCs w:val="24"/>
        </w:rPr>
      </w:pPr>
    </w:p>
    <w:p w14:paraId="478A03BA">
      <w:pPr>
        <w:pStyle w:val="38"/>
        <w:rPr>
          <w:rFonts w:hint="eastAsia"/>
          <w:sz w:val="24"/>
          <w:szCs w:val="24"/>
        </w:rPr>
      </w:pPr>
    </w:p>
    <w:p w14:paraId="1DF39D5A">
      <w:pPr>
        <w:pStyle w:val="38"/>
        <w:rPr>
          <w:rFonts w:hint="eastAsia"/>
          <w:sz w:val="24"/>
          <w:szCs w:val="24"/>
        </w:rPr>
      </w:pPr>
    </w:p>
    <w:p w14:paraId="2B8A7E71">
      <w:pPr>
        <w:pStyle w:val="38"/>
        <w:rPr>
          <w:rFonts w:hint="eastAsia"/>
          <w:sz w:val="24"/>
          <w:szCs w:val="24"/>
        </w:rPr>
      </w:pPr>
    </w:p>
    <w:p w14:paraId="0EB1D710">
      <w:pPr>
        <w:pStyle w:val="38"/>
        <w:rPr>
          <w:rFonts w:hint="eastAsia"/>
          <w:sz w:val="24"/>
          <w:szCs w:val="24"/>
        </w:rPr>
      </w:pPr>
    </w:p>
    <w:p w14:paraId="4EDBDAAD">
      <w:pPr>
        <w:pStyle w:val="38"/>
        <w:rPr>
          <w:rFonts w:hint="eastAsia"/>
          <w:sz w:val="24"/>
          <w:szCs w:val="24"/>
        </w:rPr>
      </w:pPr>
    </w:p>
    <w:p w14:paraId="3E6A12A7">
      <w:pPr>
        <w:pStyle w:val="38"/>
        <w:rPr>
          <w:rFonts w:hint="eastAsia"/>
          <w:sz w:val="24"/>
          <w:szCs w:val="24"/>
        </w:rPr>
      </w:pPr>
    </w:p>
    <w:p w14:paraId="6CBA684C">
      <w:pPr>
        <w:pStyle w:val="38"/>
        <w:rPr>
          <w:rFonts w:hint="eastAsia"/>
          <w:sz w:val="24"/>
          <w:szCs w:val="24"/>
        </w:rPr>
      </w:pPr>
    </w:p>
    <w:p w14:paraId="3BAD94D5">
      <w:pPr>
        <w:pStyle w:val="38"/>
        <w:rPr>
          <w:rFonts w:hint="eastAsia"/>
          <w:sz w:val="24"/>
          <w:szCs w:val="24"/>
        </w:rPr>
      </w:pPr>
    </w:p>
    <w:p w14:paraId="49E47A27">
      <w:pPr>
        <w:pStyle w:val="38"/>
        <w:rPr>
          <w:rFonts w:hint="eastAsia"/>
          <w:sz w:val="24"/>
          <w:szCs w:val="24"/>
        </w:rPr>
      </w:pPr>
    </w:p>
    <w:p w14:paraId="31E31A19">
      <w:pPr>
        <w:pStyle w:val="38"/>
        <w:rPr>
          <w:rFonts w:hint="eastAsia"/>
          <w:sz w:val="24"/>
          <w:szCs w:val="24"/>
        </w:rPr>
      </w:pPr>
    </w:p>
    <w:p w14:paraId="35C92674">
      <w:pPr>
        <w:pStyle w:val="38"/>
        <w:rPr>
          <w:rFonts w:hint="eastAsia"/>
          <w:sz w:val="24"/>
          <w:szCs w:val="24"/>
        </w:rPr>
      </w:pPr>
    </w:p>
    <w:p w14:paraId="6A13BAC5">
      <w:pPr>
        <w:pStyle w:val="38"/>
        <w:rPr>
          <w:rFonts w:hint="eastAsia"/>
          <w:sz w:val="24"/>
          <w:szCs w:val="24"/>
        </w:rPr>
      </w:pPr>
    </w:p>
    <w:p w14:paraId="41DEB942">
      <w:pPr>
        <w:pStyle w:val="38"/>
        <w:rPr>
          <w:rFonts w:hint="eastAsia"/>
          <w:sz w:val="24"/>
          <w:szCs w:val="24"/>
        </w:rPr>
      </w:pPr>
    </w:p>
    <w:p w14:paraId="647F23FD">
      <w:pPr>
        <w:pStyle w:val="38"/>
        <w:rPr>
          <w:rFonts w:hint="eastAsia"/>
          <w:sz w:val="24"/>
          <w:szCs w:val="24"/>
        </w:rPr>
      </w:pPr>
    </w:p>
    <w:p w14:paraId="6ED662D0">
      <w:pPr>
        <w:pStyle w:val="2"/>
        <w:numPr>
          <w:ilvl w:val="0"/>
          <w:numId w:val="1"/>
        </w:numPr>
        <w:spacing w:line="360" w:lineRule="auto"/>
        <w:jc w:val="center"/>
        <w:rPr>
          <w:rFonts w:ascii="宋体" w:hAnsi="宋体" w:cs="宋体"/>
          <w:sz w:val="36"/>
          <w:szCs w:val="36"/>
        </w:rPr>
      </w:pPr>
      <w:r>
        <w:rPr>
          <w:rFonts w:hint="eastAsia" w:ascii="宋体" w:hAnsi="宋体" w:cs="宋体"/>
          <w:sz w:val="36"/>
          <w:szCs w:val="36"/>
        </w:rPr>
        <w:t xml:space="preserve"> </w:t>
      </w:r>
      <w:bookmarkStart w:id="16" w:name="_Toc27563"/>
      <w:bookmarkStart w:id="17" w:name="_Toc21055"/>
      <w:bookmarkStart w:id="18" w:name="_Toc17537"/>
      <w:r>
        <w:rPr>
          <w:rFonts w:hint="eastAsia" w:ascii="宋体" w:hAnsi="宋体" w:cs="宋体"/>
          <w:sz w:val="36"/>
          <w:szCs w:val="36"/>
        </w:rPr>
        <w:t>供应商须知前附表</w:t>
      </w:r>
      <w:bookmarkEnd w:id="16"/>
      <w:bookmarkEnd w:id="17"/>
      <w:bookmarkEnd w:id="18"/>
    </w:p>
    <w:tbl>
      <w:tblPr>
        <w:tblStyle w:val="22"/>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9041"/>
      </w:tblGrid>
      <w:tr w14:paraId="6A83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52" w:type="dxa"/>
            <w:noWrap w:val="0"/>
            <w:vAlign w:val="center"/>
          </w:tcPr>
          <w:p w14:paraId="4DDCBB04">
            <w:pPr>
              <w:spacing w:line="360" w:lineRule="auto"/>
              <w:jc w:val="center"/>
              <w:rPr>
                <w:rFonts w:ascii="宋体" w:hAnsi="宋体" w:cs="宋体"/>
                <w:b/>
                <w:sz w:val="24"/>
                <w:szCs w:val="24"/>
              </w:rPr>
            </w:pPr>
            <w:r>
              <w:rPr>
                <w:rFonts w:hint="eastAsia" w:ascii="宋体" w:hAnsi="宋体" w:cs="宋体"/>
                <w:b/>
                <w:sz w:val="24"/>
                <w:szCs w:val="24"/>
              </w:rPr>
              <w:t>项号</w:t>
            </w:r>
          </w:p>
        </w:tc>
        <w:tc>
          <w:tcPr>
            <w:tcW w:w="9041" w:type="dxa"/>
            <w:noWrap w:val="0"/>
            <w:vAlign w:val="center"/>
          </w:tcPr>
          <w:p w14:paraId="4EE8BDF7">
            <w:pPr>
              <w:spacing w:line="360" w:lineRule="auto"/>
              <w:jc w:val="center"/>
              <w:rPr>
                <w:rFonts w:ascii="宋体" w:hAnsi="宋体" w:cs="宋体"/>
                <w:b/>
                <w:sz w:val="24"/>
                <w:szCs w:val="24"/>
              </w:rPr>
            </w:pPr>
            <w:r>
              <w:rPr>
                <w:rFonts w:hint="eastAsia" w:ascii="宋体" w:hAnsi="宋体" w:cs="宋体"/>
                <w:b/>
                <w:sz w:val="24"/>
                <w:szCs w:val="24"/>
              </w:rPr>
              <w:t>编列内容</w:t>
            </w:r>
          </w:p>
        </w:tc>
      </w:tr>
      <w:tr w14:paraId="09C8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752" w:type="dxa"/>
            <w:noWrap w:val="0"/>
            <w:vAlign w:val="center"/>
          </w:tcPr>
          <w:p w14:paraId="326A9C74">
            <w:pPr>
              <w:numPr>
                <w:ilvl w:val="0"/>
                <w:numId w:val="2"/>
              </w:numPr>
              <w:spacing w:line="360" w:lineRule="auto"/>
              <w:jc w:val="center"/>
              <w:rPr>
                <w:rFonts w:ascii="宋体" w:hAnsi="宋体" w:cs="宋体"/>
                <w:sz w:val="24"/>
                <w:szCs w:val="24"/>
              </w:rPr>
            </w:pPr>
          </w:p>
        </w:tc>
        <w:tc>
          <w:tcPr>
            <w:tcW w:w="9041" w:type="dxa"/>
            <w:noWrap w:val="0"/>
            <w:vAlign w:val="center"/>
          </w:tcPr>
          <w:p w14:paraId="5E991249">
            <w:pPr>
              <w:adjustRightInd w:val="0"/>
              <w:snapToGrid w:val="0"/>
              <w:spacing w:line="450" w:lineRule="exact"/>
              <w:jc w:val="left"/>
              <w:rPr>
                <w:rFonts w:hint="eastAsia"/>
                <w:sz w:val="24"/>
                <w:szCs w:val="22"/>
                <w:lang w:eastAsia="zh-CN"/>
              </w:rPr>
            </w:pPr>
            <w:r>
              <w:rPr>
                <w:rFonts w:hint="eastAsia" w:ascii="宋体" w:hAnsi="宋体" w:cs="宋体"/>
                <w:sz w:val="24"/>
                <w:szCs w:val="24"/>
              </w:rPr>
              <w:t>采购项目名称：</w:t>
            </w:r>
            <w:r>
              <w:rPr>
                <w:rFonts w:hint="eastAsia"/>
                <w:sz w:val="24"/>
                <w:szCs w:val="22"/>
                <w:lang w:eastAsia="zh-CN"/>
              </w:rPr>
              <w:t>中共绥德县委组织部绥德县历史和非遗文化丛书编撰印刷服务</w:t>
            </w:r>
          </w:p>
          <w:p w14:paraId="27AAA3CE">
            <w:pPr>
              <w:adjustRightInd w:val="0"/>
              <w:snapToGrid w:val="0"/>
              <w:spacing w:line="450" w:lineRule="exact"/>
              <w:jc w:val="left"/>
              <w:rPr>
                <w:rFonts w:hint="default" w:eastAsia="宋体"/>
                <w:lang w:val="en-US" w:eastAsia="zh-CN"/>
              </w:rPr>
            </w:pPr>
            <w:r>
              <w:rPr>
                <w:rFonts w:hint="eastAsia" w:ascii="宋体" w:hAnsi="宋体" w:cs="宋体"/>
                <w:sz w:val="24"/>
                <w:szCs w:val="24"/>
              </w:rPr>
              <w:t>采购项目编号：</w:t>
            </w:r>
            <w:r>
              <w:rPr>
                <w:rFonts w:hint="eastAsia" w:ascii="宋体" w:hAnsi="宋体" w:cs="宋体"/>
                <w:sz w:val="24"/>
                <w:szCs w:val="24"/>
                <w:lang w:eastAsia="zh-CN"/>
              </w:rPr>
              <w:t>HYDZB-2025-093</w:t>
            </w:r>
          </w:p>
        </w:tc>
      </w:tr>
      <w:tr w14:paraId="2D10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752" w:type="dxa"/>
            <w:noWrap w:val="0"/>
            <w:vAlign w:val="center"/>
          </w:tcPr>
          <w:p w14:paraId="3FBA4D41">
            <w:pPr>
              <w:numPr>
                <w:ilvl w:val="0"/>
                <w:numId w:val="2"/>
              </w:numPr>
              <w:spacing w:line="360" w:lineRule="auto"/>
              <w:jc w:val="center"/>
              <w:rPr>
                <w:rFonts w:ascii="宋体" w:hAnsi="宋体" w:cs="宋体"/>
                <w:sz w:val="24"/>
                <w:szCs w:val="24"/>
              </w:rPr>
            </w:pPr>
          </w:p>
        </w:tc>
        <w:tc>
          <w:tcPr>
            <w:tcW w:w="9041" w:type="dxa"/>
            <w:noWrap w:val="0"/>
            <w:vAlign w:val="center"/>
          </w:tcPr>
          <w:p w14:paraId="49B62031">
            <w:pPr>
              <w:spacing w:line="360" w:lineRule="auto"/>
              <w:rPr>
                <w:rFonts w:ascii="宋体" w:hAnsi="宋体" w:cs="宋体"/>
                <w:sz w:val="24"/>
                <w:szCs w:val="24"/>
              </w:rPr>
            </w:pPr>
            <w:r>
              <w:rPr>
                <w:rFonts w:hint="eastAsia" w:ascii="宋体" w:hAnsi="宋体" w:cs="宋体"/>
                <w:sz w:val="24"/>
                <w:szCs w:val="24"/>
              </w:rPr>
              <w:t>项目性质：财政拨款</w:t>
            </w:r>
          </w:p>
          <w:p w14:paraId="2999EF6A">
            <w:pPr>
              <w:spacing w:line="360" w:lineRule="auto"/>
              <w:rPr>
                <w:rFonts w:hint="eastAsia" w:ascii="宋体" w:hAnsi="宋体" w:eastAsia="宋体" w:cs="宋体"/>
                <w:sz w:val="24"/>
                <w:szCs w:val="24"/>
                <w:lang w:eastAsia="zh-CN"/>
              </w:rPr>
            </w:pPr>
            <w:r>
              <w:rPr>
                <w:rFonts w:hint="eastAsia" w:ascii="宋体" w:hAnsi="宋体" w:cs="宋体"/>
                <w:sz w:val="24"/>
                <w:szCs w:val="24"/>
              </w:rPr>
              <w:t>本项目采购总预算：</w:t>
            </w:r>
            <w:r>
              <w:rPr>
                <w:rFonts w:hint="eastAsia"/>
                <w:sz w:val="24"/>
                <w:szCs w:val="24"/>
              </w:rPr>
              <w:t>1,600,000.00元</w:t>
            </w:r>
          </w:p>
          <w:p w14:paraId="038D1368">
            <w:pPr>
              <w:spacing w:line="360" w:lineRule="auto"/>
              <w:rPr>
                <w:rFonts w:ascii="宋体" w:hAnsi="宋体" w:cs="宋体"/>
                <w:sz w:val="24"/>
                <w:szCs w:val="24"/>
              </w:rPr>
            </w:pPr>
            <w:r>
              <w:rPr>
                <w:rFonts w:hint="eastAsia" w:ascii="宋体" w:hAnsi="宋体" w:cs="宋体"/>
                <w:sz w:val="24"/>
                <w:szCs w:val="24"/>
              </w:rPr>
              <w:t>供应商报价超出采购预算，作为不实质响应竞争性谈判文件，按无</w:t>
            </w:r>
            <w:r>
              <w:rPr>
                <w:rFonts w:hint="eastAsia" w:ascii="宋体" w:hAnsi="宋体" w:cs="宋体"/>
                <w:sz w:val="24"/>
                <w:szCs w:val="24"/>
                <w:lang w:eastAsia="zh-CN"/>
              </w:rPr>
              <w:t>谈判响应文件</w:t>
            </w:r>
            <w:r>
              <w:rPr>
                <w:rFonts w:hint="eastAsia" w:ascii="宋体" w:hAnsi="宋体" w:cs="宋体"/>
                <w:sz w:val="24"/>
                <w:szCs w:val="24"/>
              </w:rPr>
              <w:t>处理。</w:t>
            </w:r>
          </w:p>
        </w:tc>
      </w:tr>
      <w:tr w14:paraId="72D5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52" w:type="dxa"/>
            <w:noWrap w:val="0"/>
            <w:vAlign w:val="center"/>
          </w:tcPr>
          <w:p w14:paraId="7F077DB1">
            <w:pPr>
              <w:numPr>
                <w:ilvl w:val="0"/>
                <w:numId w:val="2"/>
              </w:numPr>
              <w:spacing w:line="360" w:lineRule="auto"/>
              <w:jc w:val="center"/>
              <w:rPr>
                <w:rFonts w:ascii="宋体" w:hAnsi="宋体" w:cs="宋体"/>
                <w:sz w:val="24"/>
                <w:szCs w:val="24"/>
              </w:rPr>
            </w:pPr>
          </w:p>
        </w:tc>
        <w:tc>
          <w:tcPr>
            <w:tcW w:w="9041" w:type="dxa"/>
            <w:noWrap w:val="0"/>
            <w:vAlign w:val="center"/>
          </w:tcPr>
          <w:p w14:paraId="6EF54490">
            <w:pPr>
              <w:spacing w:line="360" w:lineRule="auto"/>
              <w:ind w:left="960" w:hanging="960" w:hangingChars="400"/>
              <w:rPr>
                <w:rFonts w:hint="default" w:ascii="宋体" w:hAnsi="宋体" w:eastAsia="宋体" w:cs="宋体"/>
                <w:sz w:val="24"/>
                <w:szCs w:val="24"/>
                <w:lang w:val="en-US" w:eastAsia="zh-CN"/>
              </w:rPr>
            </w:pPr>
            <w:r>
              <w:rPr>
                <w:rFonts w:hint="eastAsia" w:ascii="宋体" w:hAnsi="宋体" w:cs="宋体"/>
                <w:sz w:val="24"/>
                <w:szCs w:val="24"/>
              </w:rPr>
              <w:t>采购人：</w:t>
            </w:r>
            <w:r>
              <w:rPr>
                <w:rFonts w:hint="eastAsia" w:ascii="宋体" w:hAnsi="宋体" w:cs="宋体"/>
                <w:sz w:val="24"/>
                <w:szCs w:val="24"/>
                <w:lang w:val="en-US" w:eastAsia="zh-CN"/>
              </w:rPr>
              <w:t>中共绥德县委组织部</w:t>
            </w:r>
          </w:p>
          <w:p w14:paraId="53A8C1A6">
            <w:pPr>
              <w:spacing w:line="360" w:lineRule="auto"/>
              <w:ind w:left="960" w:hanging="960" w:hangingChars="400"/>
              <w:rPr>
                <w:rFonts w:hint="eastAsia" w:ascii="宋体" w:hAnsi="宋体" w:eastAsia="宋体" w:cs="宋体"/>
                <w:sz w:val="24"/>
                <w:szCs w:val="24"/>
                <w:lang w:eastAsia="zh-CN"/>
              </w:rPr>
            </w:pPr>
            <w:r>
              <w:rPr>
                <w:rFonts w:hint="eastAsia" w:ascii="宋体" w:hAnsi="宋体" w:cs="宋体"/>
                <w:sz w:val="24"/>
                <w:szCs w:val="24"/>
              </w:rPr>
              <w:t>采购代理机构：</w:t>
            </w:r>
            <w:r>
              <w:rPr>
                <w:rFonts w:hint="eastAsia" w:ascii="宋体" w:hAnsi="宋体" w:cs="宋体"/>
                <w:sz w:val="24"/>
                <w:szCs w:val="24"/>
                <w:lang w:eastAsia="zh-CN"/>
              </w:rPr>
              <w:t>榆林市恒易达工程项目管理有限公司</w:t>
            </w:r>
          </w:p>
        </w:tc>
      </w:tr>
      <w:tr w14:paraId="7540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752" w:type="dxa"/>
            <w:noWrap w:val="0"/>
            <w:vAlign w:val="center"/>
          </w:tcPr>
          <w:p w14:paraId="152EAF6F">
            <w:pPr>
              <w:numPr>
                <w:ilvl w:val="0"/>
                <w:numId w:val="2"/>
              </w:numPr>
              <w:spacing w:line="360" w:lineRule="auto"/>
              <w:jc w:val="center"/>
              <w:rPr>
                <w:rFonts w:ascii="宋体" w:hAnsi="宋体" w:cs="宋体"/>
                <w:sz w:val="24"/>
                <w:szCs w:val="24"/>
              </w:rPr>
            </w:pPr>
          </w:p>
        </w:tc>
        <w:tc>
          <w:tcPr>
            <w:tcW w:w="9041" w:type="dxa"/>
            <w:noWrap w:val="0"/>
            <w:vAlign w:val="center"/>
          </w:tcPr>
          <w:p w14:paraId="42B29ACC">
            <w:pPr>
              <w:spacing w:line="360" w:lineRule="auto"/>
              <w:rPr>
                <w:rFonts w:ascii="宋体" w:hAnsi="宋体" w:cs="宋体"/>
                <w:sz w:val="24"/>
                <w:szCs w:val="24"/>
              </w:rPr>
            </w:pPr>
            <w:r>
              <w:rPr>
                <w:rFonts w:hint="eastAsia" w:ascii="宋体" w:hAnsi="宋体" w:cs="宋体"/>
                <w:sz w:val="24"/>
                <w:szCs w:val="24"/>
              </w:rPr>
              <w:t>采购内容具体见竞争性谈判文件第</w:t>
            </w:r>
            <w:r>
              <w:rPr>
                <w:rFonts w:hint="eastAsia" w:ascii="宋体" w:hAnsi="宋体" w:cs="宋体"/>
                <w:sz w:val="24"/>
                <w:szCs w:val="24"/>
                <w:lang w:val="en-US" w:eastAsia="zh-CN"/>
              </w:rPr>
              <w:t>六</w:t>
            </w:r>
            <w:r>
              <w:rPr>
                <w:rFonts w:hint="eastAsia" w:ascii="宋体" w:hAnsi="宋体" w:cs="宋体"/>
                <w:sz w:val="24"/>
                <w:szCs w:val="24"/>
              </w:rPr>
              <w:t>部分采购内容及要求</w:t>
            </w:r>
          </w:p>
          <w:p w14:paraId="4F31D395">
            <w:pPr>
              <w:spacing w:line="360" w:lineRule="auto"/>
              <w:rPr>
                <w:rFonts w:ascii="宋体" w:hAnsi="宋体" w:cs="宋体"/>
                <w:sz w:val="24"/>
                <w:szCs w:val="24"/>
              </w:rPr>
            </w:pPr>
            <w:r>
              <w:rPr>
                <w:rFonts w:hint="eastAsia" w:ascii="宋体" w:hAnsi="宋体" w:cs="宋体"/>
                <w:sz w:val="24"/>
                <w:szCs w:val="24"/>
              </w:rPr>
              <w:t>本次采购、报价、谈判、评审和合同授予均以项目为单位，供应商必须就整个项目进行响应。</w:t>
            </w:r>
          </w:p>
        </w:tc>
      </w:tr>
      <w:tr w14:paraId="3592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52" w:type="dxa"/>
            <w:noWrap w:val="0"/>
            <w:vAlign w:val="center"/>
          </w:tcPr>
          <w:p w14:paraId="6C7B60D6">
            <w:pPr>
              <w:numPr>
                <w:ilvl w:val="0"/>
                <w:numId w:val="2"/>
              </w:numPr>
              <w:spacing w:line="360" w:lineRule="auto"/>
              <w:jc w:val="center"/>
              <w:rPr>
                <w:rFonts w:ascii="宋体" w:hAnsi="宋体" w:cs="宋体"/>
                <w:sz w:val="24"/>
                <w:szCs w:val="24"/>
              </w:rPr>
            </w:pPr>
          </w:p>
        </w:tc>
        <w:tc>
          <w:tcPr>
            <w:tcW w:w="9041" w:type="dxa"/>
            <w:noWrap w:val="0"/>
            <w:vAlign w:val="center"/>
          </w:tcPr>
          <w:p w14:paraId="5726E3FF">
            <w:pPr>
              <w:spacing w:line="360" w:lineRule="auto"/>
              <w:rPr>
                <w:rFonts w:ascii="宋体" w:hAnsi="宋体" w:cs="宋体"/>
                <w:sz w:val="24"/>
                <w:szCs w:val="24"/>
              </w:rPr>
            </w:pPr>
            <w:r>
              <w:rPr>
                <w:rFonts w:hint="eastAsia" w:ascii="宋体" w:hAnsi="宋体" w:cs="宋体"/>
                <w:sz w:val="24"/>
                <w:szCs w:val="24"/>
              </w:rPr>
              <w:t>投标报价：报价包含</w:t>
            </w:r>
            <w:r>
              <w:rPr>
                <w:rFonts w:hint="eastAsia" w:ascii="宋体" w:hAnsi="宋体" w:cs="仿宋_GB2312"/>
                <w:sz w:val="24"/>
                <w:szCs w:val="24"/>
              </w:rPr>
              <w:t>完成本次投标项目所包含的一切相关费用</w:t>
            </w:r>
            <w:r>
              <w:rPr>
                <w:rFonts w:hint="eastAsia" w:ascii="宋体" w:hAnsi="宋体" w:cs="宋体"/>
                <w:sz w:val="24"/>
                <w:szCs w:val="24"/>
              </w:rPr>
              <w:t>。</w:t>
            </w:r>
          </w:p>
        </w:tc>
      </w:tr>
      <w:tr w14:paraId="33AB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jc w:val="center"/>
        </w:trPr>
        <w:tc>
          <w:tcPr>
            <w:tcW w:w="752" w:type="dxa"/>
            <w:noWrap w:val="0"/>
            <w:vAlign w:val="center"/>
          </w:tcPr>
          <w:p w14:paraId="54032645">
            <w:pPr>
              <w:numPr>
                <w:ilvl w:val="0"/>
                <w:numId w:val="2"/>
              </w:numPr>
              <w:spacing w:line="360" w:lineRule="auto"/>
              <w:jc w:val="center"/>
              <w:rPr>
                <w:rFonts w:ascii="宋体" w:hAnsi="宋体" w:cs="宋体"/>
                <w:sz w:val="24"/>
                <w:szCs w:val="24"/>
              </w:rPr>
            </w:pPr>
          </w:p>
        </w:tc>
        <w:tc>
          <w:tcPr>
            <w:tcW w:w="9041" w:type="dxa"/>
            <w:noWrap w:val="0"/>
            <w:vAlign w:val="center"/>
          </w:tcPr>
          <w:p w14:paraId="726EAE24">
            <w:pPr>
              <w:spacing w:line="360" w:lineRule="auto"/>
              <w:rPr>
                <w:rFonts w:ascii="宋体" w:hAnsi="宋体" w:cs="宋体"/>
                <w:sz w:val="24"/>
                <w:szCs w:val="24"/>
              </w:rPr>
            </w:pPr>
            <w:r>
              <w:rPr>
                <w:rFonts w:hint="eastAsia" w:ascii="宋体" w:hAnsi="宋体" w:cs="宋体"/>
                <w:sz w:val="24"/>
                <w:szCs w:val="24"/>
              </w:rPr>
              <w:t>竞争性谈判响应文件递交截止时间及谈判时间和地点：</w:t>
            </w:r>
          </w:p>
          <w:p w14:paraId="64C0E948">
            <w:pPr>
              <w:spacing w:line="360" w:lineRule="auto"/>
              <w:rPr>
                <w:rFonts w:ascii="宋体" w:hAnsi="宋体" w:cs="宋体"/>
                <w:color w:val="auto"/>
                <w:sz w:val="24"/>
                <w:szCs w:val="24"/>
              </w:rPr>
            </w:pPr>
            <w:r>
              <w:rPr>
                <w:rFonts w:hint="eastAsia" w:ascii="宋体" w:hAnsi="宋体" w:cs="宋体"/>
                <w:sz w:val="24"/>
                <w:szCs w:val="24"/>
              </w:rPr>
              <w:t>竞争性谈判响应文件递交截止时间</w:t>
            </w:r>
            <w:r>
              <w:rPr>
                <w:rFonts w:hint="eastAsia" w:ascii="宋体" w:hAnsi="宋体" w:cs="宋体"/>
                <w:color w:val="auto"/>
                <w:sz w:val="24"/>
                <w:szCs w:val="24"/>
              </w:rPr>
              <w:t xml:space="preserve">：2025年11月21日 </w:t>
            </w:r>
            <w:r>
              <w:rPr>
                <w:rFonts w:hint="eastAsia" w:ascii="宋体" w:hAnsi="宋体" w:cs="宋体"/>
                <w:color w:val="auto"/>
                <w:sz w:val="24"/>
                <w:szCs w:val="24"/>
                <w:lang w:val="en-US" w:eastAsia="zh-CN"/>
              </w:rPr>
              <w:t>13</w:t>
            </w:r>
            <w:r>
              <w:rPr>
                <w:rFonts w:hint="eastAsia" w:ascii="宋体" w:hAnsi="宋体" w:cs="宋体"/>
                <w:color w:val="auto"/>
                <w:sz w:val="24"/>
                <w:szCs w:val="24"/>
              </w:rPr>
              <w:t>时30分</w:t>
            </w:r>
          </w:p>
          <w:p w14:paraId="2A3B7D0A">
            <w:pPr>
              <w:spacing w:line="360" w:lineRule="auto"/>
              <w:rPr>
                <w:rFonts w:ascii="宋体" w:hAnsi="宋体" w:cs="宋体"/>
                <w:color w:val="auto"/>
                <w:sz w:val="24"/>
                <w:szCs w:val="24"/>
              </w:rPr>
            </w:pPr>
            <w:r>
              <w:rPr>
                <w:rFonts w:hint="eastAsia" w:ascii="宋体" w:hAnsi="宋体" w:cs="宋体"/>
                <w:color w:val="auto"/>
                <w:sz w:val="24"/>
                <w:szCs w:val="24"/>
              </w:rPr>
              <w:t>谈判时间：2025年11月21日</w:t>
            </w:r>
            <w:r>
              <w:rPr>
                <w:rFonts w:hint="eastAsia" w:ascii="宋体" w:hAnsi="宋体" w:cs="宋体"/>
                <w:color w:val="auto"/>
                <w:sz w:val="24"/>
                <w:szCs w:val="24"/>
                <w:lang w:val="en-US" w:eastAsia="zh-CN"/>
              </w:rPr>
              <w:t>13</w:t>
            </w:r>
            <w:r>
              <w:rPr>
                <w:rFonts w:hint="eastAsia" w:ascii="宋体" w:hAnsi="宋体" w:cs="宋体"/>
                <w:color w:val="auto"/>
                <w:sz w:val="24"/>
                <w:szCs w:val="24"/>
              </w:rPr>
              <w:t>时30分</w:t>
            </w:r>
          </w:p>
          <w:p w14:paraId="380F7831">
            <w:pPr>
              <w:spacing w:line="360" w:lineRule="auto"/>
              <w:rPr>
                <w:rFonts w:hint="eastAsia" w:ascii="宋体" w:hAnsi="宋体" w:eastAsia="宋体" w:cs="宋体"/>
                <w:sz w:val="24"/>
                <w:szCs w:val="24"/>
                <w:u w:val="single"/>
                <w:lang w:val="en-US" w:eastAsia="zh-CN"/>
              </w:rPr>
            </w:pPr>
            <w:r>
              <w:rPr>
                <w:rFonts w:hint="eastAsia" w:ascii="宋体" w:hAnsi="宋体" w:cs="宋体"/>
                <w:sz w:val="24"/>
                <w:szCs w:val="24"/>
              </w:rPr>
              <w:t>谈判地点：</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榆林市公共资源交易中心10楼开标</w:t>
            </w:r>
            <w:r>
              <w:rPr>
                <w:rFonts w:hint="eastAsia" w:ascii="宋体" w:hAnsi="宋体" w:cs="宋体"/>
                <w:i w:val="0"/>
                <w:iCs w:val="0"/>
                <w:caps w:val="0"/>
                <w:color w:val="000000" w:themeColor="text1"/>
                <w:spacing w:val="0"/>
                <w:sz w:val="24"/>
                <w:szCs w:val="24"/>
                <w:shd w:val="clear" w:fill="FFFFFF"/>
                <w:lang w:val="en-US" w:eastAsia="zh-CN"/>
                <w14:textFill>
                  <w14:solidFill>
                    <w14:schemeClr w14:val="tx1"/>
                  </w14:solidFill>
                </w14:textFill>
              </w:rPr>
              <w:t>11</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室</w:t>
            </w:r>
          </w:p>
        </w:tc>
      </w:tr>
      <w:tr w14:paraId="006C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14:paraId="587BCF0C">
            <w:pPr>
              <w:numPr>
                <w:ilvl w:val="0"/>
                <w:numId w:val="2"/>
              </w:numPr>
              <w:spacing w:line="360" w:lineRule="auto"/>
              <w:jc w:val="center"/>
              <w:rPr>
                <w:rFonts w:ascii="宋体" w:hAnsi="宋体" w:cs="宋体"/>
                <w:sz w:val="24"/>
                <w:szCs w:val="24"/>
              </w:rPr>
            </w:pPr>
          </w:p>
        </w:tc>
        <w:tc>
          <w:tcPr>
            <w:tcW w:w="9041" w:type="dxa"/>
            <w:noWrap w:val="0"/>
            <w:vAlign w:val="center"/>
          </w:tcPr>
          <w:p w14:paraId="2E3EEEC8">
            <w:pPr>
              <w:spacing w:line="360" w:lineRule="auto"/>
              <w:rPr>
                <w:rFonts w:ascii="宋体" w:hAnsi="宋体" w:cs="宋体"/>
                <w:sz w:val="24"/>
                <w:szCs w:val="24"/>
              </w:rPr>
            </w:pPr>
            <w:r>
              <w:rPr>
                <w:rFonts w:hint="eastAsia" w:ascii="宋体" w:hAnsi="宋体" w:cs="宋体"/>
                <w:sz w:val="24"/>
                <w:szCs w:val="24"/>
              </w:rPr>
              <w:t>是否退还</w:t>
            </w:r>
            <w:r>
              <w:rPr>
                <w:rFonts w:hint="eastAsia" w:ascii="宋体" w:hAnsi="宋体" w:cs="宋体"/>
                <w:sz w:val="24"/>
                <w:szCs w:val="24"/>
                <w:lang w:eastAsia="zh-CN"/>
              </w:rPr>
              <w:t>谈判响应文件</w:t>
            </w:r>
            <w:r>
              <w:rPr>
                <w:rFonts w:hint="eastAsia" w:ascii="宋体" w:hAnsi="宋体" w:cs="宋体"/>
                <w:sz w:val="24"/>
                <w:szCs w:val="24"/>
              </w:rPr>
              <w:t>:</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否</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是</w:t>
            </w:r>
          </w:p>
        </w:tc>
      </w:tr>
      <w:tr w14:paraId="35B7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5DBD5042">
            <w:pPr>
              <w:numPr>
                <w:ilvl w:val="0"/>
                <w:numId w:val="2"/>
              </w:numPr>
              <w:spacing w:line="360" w:lineRule="auto"/>
              <w:jc w:val="center"/>
              <w:rPr>
                <w:rFonts w:ascii="宋体" w:hAnsi="宋体" w:cs="宋体"/>
                <w:sz w:val="24"/>
                <w:szCs w:val="24"/>
              </w:rPr>
            </w:pPr>
          </w:p>
        </w:tc>
        <w:tc>
          <w:tcPr>
            <w:tcW w:w="9041" w:type="dxa"/>
            <w:noWrap w:val="0"/>
            <w:vAlign w:val="center"/>
          </w:tcPr>
          <w:p w14:paraId="6A0E24D2">
            <w:pPr>
              <w:spacing w:line="360" w:lineRule="auto"/>
              <w:rPr>
                <w:rFonts w:ascii="宋体" w:hAnsi="宋体" w:cs="宋体"/>
                <w:sz w:val="24"/>
                <w:szCs w:val="24"/>
              </w:rPr>
            </w:pPr>
            <w:r>
              <w:rPr>
                <w:rFonts w:hint="eastAsia" w:ascii="宋体" w:hAnsi="宋体" w:cs="宋体"/>
                <w:sz w:val="24"/>
                <w:szCs w:val="24"/>
              </w:rPr>
              <w:t>不允许提供备选方案。</w:t>
            </w:r>
          </w:p>
        </w:tc>
      </w:tr>
      <w:tr w14:paraId="63C7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752" w:type="dxa"/>
            <w:noWrap w:val="0"/>
            <w:vAlign w:val="center"/>
          </w:tcPr>
          <w:p w14:paraId="2AF55AC3">
            <w:pPr>
              <w:numPr>
                <w:ilvl w:val="0"/>
                <w:numId w:val="2"/>
              </w:numPr>
              <w:spacing w:line="360" w:lineRule="auto"/>
              <w:jc w:val="center"/>
              <w:rPr>
                <w:rFonts w:ascii="宋体" w:hAnsi="宋体" w:cs="宋体"/>
                <w:sz w:val="24"/>
                <w:szCs w:val="24"/>
              </w:rPr>
            </w:pPr>
          </w:p>
        </w:tc>
        <w:tc>
          <w:tcPr>
            <w:tcW w:w="9041" w:type="dxa"/>
            <w:noWrap w:val="0"/>
            <w:vAlign w:val="center"/>
          </w:tcPr>
          <w:p w14:paraId="2BEB4D4C">
            <w:pPr>
              <w:spacing w:line="360" w:lineRule="auto"/>
              <w:rPr>
                <w:rFonts w:ascii="宋体" w:hAnsi="宋体" w:cs="宋体"/>
                <w:sz w:val="24"/>
                <w:szCs w:val="24"/>
              </w:rPr>
            </w:pPr>
            <w:r>
              <w:rPr>
                <w:rFonts w:hint="eastAsia" w:ascii="宋体" w:hAnsi="宋体" w:cs="宋体"/>
                <w:sz w:val="24"/>
                <w:szCs w:val="24"/>
              </w:rPr>
              <w:t>本次招标采用项目整体打包方式，投标人可根据自身的资质情况和经营范围进行投标，但不得将其自行分解或只对本次项目中的品目进行不完全投标，任何不完全的投标将按无效投标处理。</w:t>
            </w:r>
          </w:p>
        </w:tc>
      </w:tr>
      <w:tr w14:paraId="324C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14:paraId="79A65044">
            <w:pPr>
              <w:numPr>
                <w:ilvl w:val="0"/>
                <w:numId w:val="2"/>
              </w:numPr>
              <w:spacing w:line="360" w:lineRule="auto"/>
              <w:rPr>
                <w:rFonts w:ascii="宋体" w:hAnsi="宋体" w:cs="宋体"/>
                <w:color w:val="auto"/>
                <w:sz w:val="24"/>
                <w:szCs w:val="24"/>
              </w:rPr>
            </w:pPr>
          </w:p>
        </w:tc>
        <w:tc>
          <w:tcPr>
            <w:tcW w:w="9041" w:type="dxa"/>
            <w:noWrap w:val="0"/>
            <w:vAlign w:val="center"/>
          </w:tcPr>
          <w:p w14:paraId="6CDBD738">
            <w:pPr>
              <w:spacing w:line="360" w:lineRule="auto"/>
              <w:rPr>
                <w:rFonts w:hint="default" w:eastAsia="宋体"/>
                <w:color w:val="auto"/>
                <w:lang w:val="en-US" w:eastAsia="zh-CN"/>
              </w:rPr>
            </w:pPr>
            <w:r>
              <w:rPr>
                <w:rFonts w:hint="eastAsia" w:ascii="宋体" w:hAnsi="宋体" w:cs="宋体"/>
                <w:color w:val="auto"/>
                <w:sz w:val="24"/>
                <w:szCs w:val="24"/>
                <w:lang w:val="en-US" w:eastAsia="zh-CN"/>
              </w:rPr>
              <w:t>项目总周期</w:t>
            </w:r>
            <w:r>
              <w:rPr>
                <w:rFonts w:hint="eastAsia" w:ascii="宋体" w:hAnsi="宋体" w:cs="宋体"/>
                <w:color w:val="auto"/>
                <w:sz w:val="24"/>
                <w:szCs w:val="24"/>
              </w:rPr>
              <w:t>：</w:t>
            </w:r>
            <w:r>
              <w:rPr>
                <w:rFonts w:hint="eastAsia" w:ascii="宋体" w:hAnsi="宋体" w:eastAsia="宋体" w:cs="宋体"/>
                <w:sz w:val="24"/>
                <w:szCs w:val="24"/>
              </w:rPr>
              <w:t>不超过6个月(根据进度可调整)</w:t>
            </w:r>
          </w:p>
        </w:tc>
      </w:tr>
      <w:tr w14:paraId="49DE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52" w:type="dxa"/>
            <w:noWrap w:val="0"/>
            <w:vAlign w:val="center"/>
          </w:tcPr>
          <w:p w14:paraId="095C7D66">
            <w:pPr>
              <w:numPr>
                <w:ilvl w:val="0"/>
                <w:numId w:val="2"/>
              </w:numPr>
              <w:spacing w:line="360" w:lineRule="auto"/>
              <w:rPr>
                <w:rFonts w:ascii="宋体" w:hAnsi="宋体" w:cs="宋体"/>
                <w:sz w:val="24"/>
                <w:szCs w:val="24"/>
              </w:rPr>
            </w:pPr>
          </w:p>
        </w:tc>
        <w:tc>
          <w:tcPr>
            <w:tcW w:w="9041" w:type="dxa"/>
            <w:noWrap w:val="0"/>
            <w:vAlign w:val="center"/>
          </w:tcPr>
          <w:p w14:paraId="336DEBAA">
            <w:pPr>
              <w:spacing w:line="360" w:lineRule="auto"/>
              <w:rPr>
                <w:rFonts w:hint="eastAsia" w:ascii="宋体" w:hAnsi="宋体" w:eastAsia="宋体" w:cs="宋体"/>
                <w:sz w:val="24"/>
                <w:szCs w:val="24"/>
                <w:lang w:eastAsia="zh-CN"/>
              </w:rPr>
            </w:pPr>
            <w:r>
              <w:rPr>
                <w:rFonts w:hint="eastAsia" w:ascii="宋体" w:hAnsi="宋体" w:cs="宋体"/>
                <w:sz w:val="24"/>
                <w:szCs w:val="24"/>
                <w:lang w:val="en-US" w:eastAsia="zh-CN"/>
              </w:rPr>
              <w:t>服务</w:t>
            </w:r>
            <w:r>
              <w:rPr>
                <w:rFonts w:hint="eastAsia" w:ascii="宋体" w:hAnsi="宋体" w:cs="宋体"/>
                <w:sz w:val="24"/>
                <w:szCs w:val="24"/>
              </w:rPr>
              <w:t>地点：采购人</w:t>
            </w:r>
            <w:r>
              <w:rPr>
                <w:rFonts w:hint="eastAsia" w:ascii="宋体" w:hAnsi="宋体" w:cs="宋体"/>
                <w:sz w:val="24"/>
              </w:rPr>
              <w:t>指定地点</w:t>
            </w:r>
            <w:r>
              <w:rPr>
                <w:rFonts w:hint="eastAsia" w:ascii="宋体" w:hAnsi="宋体" w:cs="宋体"/>
                <w:sz w:val="24"/>
                <w:lang w:eastAsia="zh-CN"/>
              </w:rPr>
              <w:t>。</w:t>
            </w:r>
          </w:p>
        </w:tc>
      </w:tr>
      <w:tr w14:paraId="1886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52" w:type="dxa"/>
            <w:noWrap w:val="0"/>
            <w:vAlign w:val="center"/>
          </w:tcPr>
          <w:p w14:paraId="1E3C99AF">
            <w:pPr>
              <w:numPr>
                <w:ilvl w:val="0"/>
                <w:numId w:val="2"/>
              </w:numPr>
              <w:spacing w:line="360" w:lineRule="auto"/>
              <w:rPr>
                <w:rFonts w:ascii="宋体" w:hAnsi="宋体" w:cs="宋体"/>
                <w:sz w:val="24"/>
                <w:szCs w:val="24"/>
              </w:rPr>
            </w:pPr>
          </w:p>
        </w:tc>
        <w:tc>
          <w:tcPr>
            <w:tcW w:w="9041" w:type="dxa"/>
            <w:noWrap w:val="0"/>
            <w:vAlign w:val="center"/>
          </w:tcPr>
          <w:p w14:paraId="6F0058B7">
            <w:pPr>
              <w:adjustRightInd w:val="0"/>
              <w:snapToGrid w:val="0"/>
              <w:spacing w:line="360" w:lineRule="auto"/>
              <w:jc w:val="left"/>
              <w:rPr>
                <w:rFonts w:hint="default"/>
                <w:lang w:val="en-US"/>
              </w:rPr>
            </w:pPr>
            <w:r>
              <w:rPr>
                <w:rFonts w:hint="eastAsia"/>
                <w:sz w:val="24"/>
                <w:szCs w:val="24"/>
              </w:rPr>
              <w:t>付款方式：合同签订后15个工作日内，甲方支付合同总金额的40% 作为预付款，用于供应商启动调研、资料采集</w:t>
            </w:r>
            <w:r>
              <w:rPr>
                <w:rFonts w:hint="eastAsia"/>
                <w:sz w:val="24"/>
                <w:szCs w:val="24"/>
                <w:lang w:eastAsia="zh-CN"/>
              </w:rPr>
              <w:t>；</w:t>
            </w:r>
            <w:r>
              <w:rPr>
                <w:rFonts w:hint="eastAsia"/>
                <w:sz w:val="24"/>
                <w:szCs w:val="24"/>
              </w:rPr>
              <w:t>丛书编撰定稿并通过专家评审后15个工作日内，支付合同总金额的30%</w:t>
            </w:r>
            <w:r>
              <w:rPr>
                <w:rFonts w:hint="eastAsia"/>
                <w:sz w:val="24"/>
                <w:szCs w:val="24"/>
                <w:lang w:eastAsia="zh-CN"/>
              </w:rPr>
              <w:t>；</w:t>
            </w:r>
            <w:r>
              <w:rPr>
                <w:rFonts w:hint="eastAsia"/>
                <w:sz w:val="24"/>
                <w:szCs w:val="24"/>
              </w:rPr>
              <w:t xml:space="preserve"> 印刷成品交付并验收合格后15个工作日内，支付剩余30% 尾款。</w:t>
            </w:r>
          </w:p>
        </w:tc>
      </w:tr>
      <w:tr w14:paraId="04FF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52" w:type="dxa"/>
            <w:noWrap w:val="0"/>
            <w:vAlign w:val="center"/>
          </w:tcPr>
          <w:p w14:paraId="1E248EDE">
            <w:pPr>
              <w:numPr>
                <w:ilvl w:val="0"/>
                <w:numId w:val="2"/>
              </w:numPr>
              <w:spacing w:line="360" w:lineRule="auto"/>
              <w:jc w:val="center"/>
              <w:rPr>
                <w:rFonts w:ascii="宋体" w:hAnsi="宋体" w:cs="宋体"/>
                <w:sz w:val="24"/>
                <w:szCs w:val="24"/>
              </w:rPr>
            </w:pPr>
          </w:p>
        </w:tc>
        <w:tc>
          <w:tcPr>
            <w:tcW w:w="9041" w:type="dxa"/>
            <w:noWrap w:val="0"/>
            <w:vAlign w:val="center"/>
          </w:tcPr>
          <w:p w14:paraId="63FEA6E7">
            <w:pPr>
              <w:spacing w:line="360" w:lineRule="auto"/>
            </w:pPr>
            <w:r>
              <w:rPr>
                <w:rFonts w:hint="default"/>
                <w:sz w:val="24"/>
                <w:szCs w:val="22"/>
              </w:rPr>
              <w:t>投标保证金可用投标信用承诺书代替（提供投标信用承诺书）；</w:t>
            </w:r>
          </w:p>
        </w:tc>
      </w:tr>
      <w:tr w14:paraId="5CA9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752" w:type="dxa"/>
            <w:noWrap w:val="0"/>
            <w:vAlign w:val="center"/>
          </w:tcPr>
          <w:p w14:paraId="5D807D7C">
            <w:pPr>
              <w:numPr>
                <w:ilvl w:val="0"/>
                <w:numId w:val="2"/>
              </w:numPr>
              <w:spacing w:line="360" w:lineRule="auto"/>
              <w:jc w:val="center"/>
              <w:rPr>
                <w:rFonts w:ascii="宋体" w:hAnsi="宋体" w:cs="宋体"/>
                <w:sz w:val="24"/>
                <w:szCs w:val="24"/>
              </w:rPr>
            </w:pPr>
          </w:p>
        </w:tc>
        <w:tc>
          <w:tcPr>
            <w:tcW w:w="9041" w:type="dxa"/>
            <w:noWrap w:val="0"/>
            <w:vAlign w:val="center"/>
          </w:tcPr>
          <w:p w14:paraId="6B1AA553">
            <w:pPr>
              <w:spacing w:line="360" w:lineRule="auto"/>
              <w:rPr>
                <w:rFonts w:ascii="宋体" w:hAnsi="宋体" w:cs="宋体"/>
                <w:sz w:val="24"/>
                <w:szCs w:val="24"/>
              </w:rPr>
            </w:pPr>
            <w:r>
              <w:rPr>
                <w:rFonts w:hint="eastAsia" w:ascii="宋体" w:hAnsi="宋体" w:cs="宋体"/>
                <w:sz w:val="24"/>
                <w:szCs w:val="24"/>
              </w:rPr>
              <w:t>谈判有效期：</w:t>
            </w:r>
            <w:bookmarkStart w:id="19" w:name="OLE_LINK9"/>
            <w:bookmarkStart w:id="20" w:name="OLE_LINK10"/>
            <w:r>
              <w:rPr>
                <w:rFonts w:hint="eastAsia" w:ascii="宋体" w:hAnsi="宋体" w:cs="宋体"/>
                <w:sz w:val="24"/>
                <w:szCs w:val="24"/>
                <w:lang w:eastAsia="zh-CN"/>
              </w:rPr>
              <w:t>谈判响应文件</w:t>
            </w:r>
            <w:r>
              <w:rPr>
                <w:rFonts w:hint="eastAsia" w:ascii="宋体" w:hAnsi="宋体" w:cs="宋体"/>
                <w:sz w:val="24"/>
                <w:szCs w:val="24"/>
              </w:rPr>
              <w:t>从投标截止日起，投标有效期为90天</w:t>
            </w:r>
            <w:bookmarkEnd w:id="19"/>
            <w:bookmarkEnd w:id="20"/>
            <w:r>
              <w:rPr>
                <w:rFonts w:hint="eastAsia" w:ascii="宋体" w:hAnsi="宋体" w:cs="宋体"/>
                <w:sz w:val="24"/>
                <w:szCs w:val="24"/>
              </w:rPr>
              <w:t>，投标有效期短于此规定期限的响应文件，视为无效文件。成交供应商的响应文件有效期延长至合同执行完毕。</w:t>
            </w:r>
          </w:p>
        </w:tc>
      </w:tr>
      <w:tr w14:paraId="3AC2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58C3F4F8">
            <w:pPr>
              <w:numPr>
                <w:ilvl w:val="0"/>
                <w:numId w:val="2"/>
              </w:numPr>
              <w:spacing w:line="360" w:lineRule="auto"/>
              <w:jc w:val="center"/>
              <w:rPr>
                <w:rFonts w:ascii="宋体" w:hAnsi="宋体" w:cs="宋体"/>
                <w:sz w:val="24"/>
                <w:szCs w:val="24"/>
              </w:rPr>
            </w:pPr>
          </w:p>
        </w:tc>
        <w:tc>
          <w:tcPr>
            <w:tcW w:w="9041" w:type="dxa"/>
            <w:noWrap w:val="0"/>
            <w:vAlign w:val="center"/>
          </w:tcPr>
          <w:p w14:paraId="256D9F26">
            <w:pPr>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不见面开标（供应商如担心系统前期测试不稳定因素，投标人可现场携带笔记本电脑及CA锁参加该项目。）</w:t>
            </w:r>
          </w:p>
          <w:p w14:paraId="15FB850E">
            <w:pPr>
              <w:numPr>
                <w:ilvl w:val="0"/>
                <w:numId w:val="3"/>
              </w:numPr>
              <w:spacing w:line="360" w:lineRule="auto"/>
              <w:rPr>
                <w:rFonts w:hint="eastAsia" w:ascii="思源宋体 CN Light" w:hAnsi="思源宋体 CN Light" w:eastAsia="思源宋体 CN Light" w:cs="思源宋体 CN Light"/>
                <w:color w:val="auto"/>
                <w:sz w:val="24"/>
                <w:szCs w:val="24"/>
              </w:rPr>
            </w:pPr>
            <w:r>
              <w:rPr>
                <w:rFonts w:hint="eastAsia" w:ascii="宋体" w:hAnsi="宋体" w:eastAsia="宋体" w:cs="宋体"/>
                <w:color w:val="auto"/>
                <w:sz w:val="24"/>
                <w:szCs w:val="24"/>
                <w:lang w:val="en-US" w:eastAsia="zh-CN"/>
              </w:rPr>
              <w:t>项目采取“不见面”开标的形式，投标人无须到达开标现场，即可在网上直接参与开标活动。相关注意事项如下：</w:t>
            </w:r>
          </w:p>
          <w:p w14:paraId="18D45578">
            <w:pPr>
              <w:numPr>
                <w:ilvl w:val="0"/>
                <w:numId w:val="3"/>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开标当日，请各供应商</w:t>
            </w:r>
            <w:r>
              <w:rPr>
                <w:rFonts w:hint="eastAsia" w:ascii="思源宋体 CN Light" w:hAnsi="思源宋体 CN Light" w:eastAsia="思源宋体 CN Light" w:cs="思源宋体 CN Light"/>
                <w:color w:val="auto"/>
                <w:sz w:val="24"/>
                <w:szCs w:val="24"/>
                <w:lang w:val="en-US" w:eastAsia="zh-CN"/>
              </w:rPr>
              <w:t>在开标截止时间前</w:t>
            </w:r>
            <w:r>
              <w:rPr>
                <w:rFonts w:hint="eastAsia" w:ascii="思源宋体 CN Light" w:hAnsi="思源宋体 CN Light" w:eastAsia="思源宋体 CN Light" w:cs="思源宋体 CN Light"/>
                <w:color w:val="auto"/>
                <w:sz w:val="24"/>
                <w:szCs w:val="24"/>
              </w:rPr>
              <w:t>至少提前半小时登录“不见面”开标系统</w:t>
            </w:r>
            <w:r>
              <w:rPr>
                <w:rFonts w:hint="eastAsia" w:ascii="思源宋体 CN Light" w:hAnsi="思源宋体 CN Light" w:eastAsia="思源宋体 CN Light" w:cs="思源宋体 CN Light"/>
                <w:color w:val="auto"/>
                <w:sz w:val="24"/>
                <w:szCs w:val="24"/>
                <w:lang w:val="en-US" w:eastAsia="zh-CN"/>
              </w:rPr>
              <w:t>登录方式有以下几种：</w:t>
            </w:r>
          </w:p>
          <w:p w14:paraId="03D6DC5E">
            <w:pPr>
              <w:numPr>
                <w:ilvl w:val="0"/>
                <w:numId w:val="4"/>
              </w:numPr>
              <w:spacing w:line="360" w:lineRule="auto"/>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IE浏览器输入网址：</w:t>
            </w:r>
          </w:p>
          <w:p w14:paraId="164FEC84">
            <w:pPr>
              <w:numPr>
                <w:ilvl w:val="0"/>
                <w:numId w:val="0"/>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"http://219.145.120.168:8082/BidOpeningHall/bidhall/default/login），" </w:instrText>
            </w:r>
            <w:r>
              <w:rPr>
                <w:rFonts w:hint="eastAsia" w:ascii="思源宋体 CN Light" w:hAnsi="思源宋体 CN Light" w:eastAsia="思源宋体 CN Light" w:cs="思源宋体 CN Light"/>
                <w:color w:val="auto"/>
                <w:sz w:val="24"/>
                <w:szCs w:val="24"/>
              </w:rPr>
              <w:fldChar w:fldCharType="separate"/>
            </w:r>
            <w:r>
              <w:rPr>
                <w:rStyle w:val="32"/>
                <w:rFonts w:hint="eastAsia" w:ascii="思源宋体 CN Light" w:hAnsi="思源宋体 CN Light" w:eastAsia="思源宋体 CN Light" w:cs="思源宋体 CN Light"/>
                <w:color w:val="auto"/>
                <w:sz w:val="24"/>
                <w:szCs w:val="24"/>
              </w:rPr>
              <w:t>http://111.20.184.126:8081/BidOpeningHallCS/bidhall/default/login</w:t>
            </w:r>
            <w:r>
              <w:rPr>
                <w:rStyle w:val="32"/>
                <w:rFonts w:hint="eastAsia" w:ascii="思源宋体 CN Light" w:hAnsi="思源宋体 CN Light" w:eastAsia="思源宋体 CN Light" w:cs="思源宋体 CN Light"/>
                <w:color w:val="auto"/>
                <w:sz w:val="24"/>
                <w:szCs w:val="24"/>
                <w:u w:val="none"/>
                <w:lang w:eastAsia="zh-CN"/>
              </w:rPr>
              <w:t>；</w:t>
            </w:r>
            <w:r>
              <w:rPr>
                <w:rFonts w:hint="eastAsia" w:ascii="思源宋体 CN Light" w:hAnsi="思源宋体 CN Light" w:eastAsia="思源宋体 CN Light" w:cs="思源宋体 CN Light"/>
                <w:color w:val="auto"/>
                <w:sz w:val="24"/>
                <w:szCs w:val="24"/>
              </w:rPr>
              <w:fldChar w:fldCharType="end"/>
            </w:r>
          </w:p>
          <w:p w14:paraId="32CC9742">
            <w:pPr>
              <w:numPr>
                <w:ilvl w:val="0"/>
                <w:numId w:val="4"/>
              </w:numPr>
              <w:spacing w:line="360" w:lineRule="auto"/>
              <w:ind w:left="0" w:leftChars="0" w:firstLine="0" w:firstLine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rPr>
              <w:t>在【全国公共资源交易平台（陕西省·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网站首页点击不见面开标模块进入；</w:t>
            </w:r>
          </w:p>
          <w:p w14:paraId="7E723A5D">
            <w:pPr>
              <w:numPr>
                <w:ilvl w:val="0"/>
                <w:numId w:val="4"/>
              </w:numPr>
              <w:spacing w:line="360" w:lineRule="auto"/>
              <w:ind w:left="0" w:leftChars="0" w:firstLine="0" w:firstLine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在</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网站首页点击不见面开标模块选择榆林市进入。</w:t>
            </w:r>
          </w:p>
          <w:p w14:paraId="56D00680">
            <w:pPr>
              <w:numPr>
                <w:ilvl w:val="0"/>
                <w:numId w:val="0"/>
              </w:numPr>
              <w:spacing w:line="360" w:lineRule="auto"/>
              <w:ind w:leftChars="0"/>
              <w:rPr>
                <w:rFonts w:hint="default"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注：登录不见面开标系统请选择IE11浏览器</w:t>
            </w:r>
          </w:p>
          <w:p w14:paraId="63585472">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2、供应商应</w:t>
            </w:r>
            <w:r>
              <w:rPr>
                <w:rFonts w:hint="eastAsia" w:ascii="思源宋体 CN Light" w:hAnsi="思源宋体 CN Light" w:eastAsia="思源宋体 CN Light" w:cs="思源宋体 CN Light"/>
                <w:color w:val="auto"/>
                <w:sz w:val="24"/>
                <w:szCs w:val="24"/>
              </w:rPr>
              <w:t>按要求及时签到</w:t>
            </w:r>
            <w:r>
              <w:rPr>
                <w:rFonts w:hint="eastAsia" w:ascii="思源宋体 CN Light" w:hAnsi="思源宋体 CN Light" w:eastAsia="思源宋体 CN Light" w:cs="思源宋体 CN Light"/>
                <w:b/>
                <w:bCs/>
                <w:color w:val="auto"/>
                <w:sz w:val="24"/>
                <w:szCs w:val="24"/>
                <w:lang w:val="en-US" w:eastAsia="zh-CN"/>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lang w:val="en-US" w:eastAsia="zh-CN"/>
              </w:rPr>
              <w:t>，</w:t>
            </w:r>
            <w:r>
              <w:rPr>
                <w:rFonts w:hint="eastAsia" w:ascii="思源宋体 CN Light" w:hAnsi="思源宋体 CN Light" w:eastAsia="思源宋体 CN Light" w:cs="思源宋体 CN Light"/>
                <w:color w:val="auto"/>
                <w:sz w:val="24"/>
                <w:szCs w:val="24"/>
              </w:rPr>
              <w:t>评审过程中，评标委员会可能会就某些问题要求供应商进行在线澄清</w:t>
            </w:r>
            <w:r>
              <w:rPr>
                <w:rFonts w:hint="eastAsia" w:ascii="思源宋体 CN Light" w:hAnsi="思源宋体 CN Light" w:eastAsia="思源宋体 CN Light" w:cs="思源宋体 CN Light"/>
                <w:color w:val="auto"/>
                <w:sz w:val="24"/>
                <w:szCs w:val="24"/>
                <w:lang w:eastAsia="zh-CN"/>
              </w:rPr>
              <w:t>，</w:t>
            </w:r>
            <w:r>
              <w:rPr>
                <w:rFonts w:hint="eastAsia" w:ascii="思源宋体 CN Light" w:hAnsi="思源宋体 CN Light" w:eastAsia="思源宋体 CN Light" w:cs="思源宋体 CN Light"/>
                <w:color w:val="auto"/>
                <w:sz w:val="24"/>
                <w:szCs w:val="24"/>
                <w:lang w:val="en-US" w:eastAsia="zh-CN"/>
              </w:rPr>
              <w:t>请供应商</w:t>
            </w:r>
            <w:r>
              <w:rPr>
                <w:rFonts w:hint="eastAsia" w:ascii="思源宋体 CN Light" w:hAnsi="思源宋体 CN Light" w:eastAsia="思源宋体 CN Light" w:cs="思源宋体 CN Light"/>
                <w:color w:val="auto"/>
                <w:sz w:val="24"/>
                <w:szCs w:val="24"/>
              </w:rPr>
              <w:t>保持在线直到评审结束；</w:t>
            </w:r>
          </w:p>
          <w:p w14:paraId="747C93F8">
            <w:pPr>
              <w:spacing w:line="360" w:lineRule="auto"/>
              <w:rPr>
                <w:rFonts w:hint="eastAsia" w:ascii="思源宋体 CN Light" w:hAnsi="思源宋体 CN Light" w:eastAsia="思源宋体 CN Light" w:cs="思源宋体 CN Light"/>
                <w:b/>
                <w:bCs/>
                <w:color w:val="auto"/>
                <w:sz w:val="24"/>
                <w:szCs w:val="24"/>
                <w:lang w:eastAsia="zh-CN"/>
              </w:rPr>
            </w:pPr>
            <w:r>
              <w:rPr>
                <w:rFonts w:hint="eastAsia" w:ascii="思源宋体 CN Light" w:hAnsi="思源宋体 CN Light" w:eastAsia="思源宋体 CN Light" w:cs="思源宋体 CN Light"/>
                <w:color w:val="auto"/>
                <w:sz w:val="24"/>
                <w:szCs w:val="24"/>
                <w:lang w:val="en-US" w:eastAsia="zh-CN"/>
              </w:rPr>
              <w:t>3</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eastAsia="zh-CN"/>
              </w:rPr>
              <w:t>谈判供应商在开标时</w:t>
            </w:r>
            <w:r>
              <w:rPr>
                <w:rFonts w:hint="eastAsia" w:ascii="思源宋体 CN Light" w:hAnsi="思源宋体 CN Light" w:eastAsia="思源宋体 CN Light" w:cs="思源宋体 CN Light"/>
                <w:color w:val="auto"/>
                <w:sz w:val="24"/>
                <w:szCs w:val="24"/>
              </w:rPr>
              <w:t>无需提交纸质</w:t>
            </w:r>
            <w:r>
              <w:rPr>
                <w:rFonts w:hint="eastAsia" w:ascii="思源宋体 CN Light" w:hAnsi="思源宋体 CN Light" w:eastAsia="思源宋体 CN Light" w:cs="思源宋体 CN Light"/>
                <w:color w:val="auto"/>
                <w:sz w:val="24"/>
                <w:szCs w:val="24"/>
                <w:lang w:eastAsia="zh-CN"/>
              </w:rPr>
              <w:t>谈判响应</w:t>
            </w:r>
            <w:r>
              <w:rPr>
                <w:rFonts w:hint="eastAsia" w:ascii="思源宋体 CN Light" w:hAnsi="思源宋体 CN Light" w:eastAsia="思源宋体 CN Light" w:cs="思源宋体 CN Light"/>
                <w:color w:val="auto"/>
                <w:sz w:val="24"/>
                <w:szCs w:val="24"/>
              </w:rPr>
              <w:t>文件，待</w:t>
            </w:r>
            <w:r>
              <w:rPr>
                <w:rFonts w:hint="eastAsia" w:ascii="思源宋体 CN Light" w:hAnsi="思源宋体 CN Light" w:eastAsia="思源宋体 CN Light" w:cs="思源宋体 CN Light"/>
                <w:color w:val="auto"/>
                <w:sz w:val="24"/>
                <w:szCs w:val="24"/>
                <w:lang w:eastAsia="zh-CN"/>
              </w:rPr>
              <w:t>开标结束</w:t>
            </w:r>
            <w:r>
              <w:rPr>
                <w:rFonts w:hint="eastAsia" w:ascii="思源宋体 CN Light" w:hAnsi="思源宋体 CN Light" w:eastAsia="思源宋体 CN Light" w:cs="思源宋体 CN Light"/>
                <w:color w:val="auto"/>
                <w:sz w:val="24"/>
                <w:szCs w:val="24"/>
              </w:rPr>
              <w:t>后，</w:t>
            </w:r>
            <w:r>
              <w:rPr>
                <w:rFonts w:hint="eastAsia" w:ascii="思源宋体 CN Light" w:hAnsi="思源宋体 CN Light" w:eastAsia="思源宋体 CN Light" w:cs="思源宋体 CN Light"/>
                <w:color w:val="auto"/>
                <w:sz w:val="24"/>
                <w:szCs w:val="24"/>
                <w:lang w:eastAsia="zh-CN"/>
              </w:rPr>
              <w:t>成交单位需邮寄补交一正两幅纸质谈判响应文件及谈判文件要求需要单独邮寄的资料</w:t>
            </w:r>
            <w:r>
              <w:rPr>
                <w:rFonts w:hint="eastAsia" w:ascii="思源宋体 CN Light" w:hAnsi="思源宋体 CN Light" w:eastAsia="思源宋体 CN Light" w:cs="思源宋体 CN Light"/>
                <w:b/>
                <w:bCs/>
                <w:color w:val="auto"/>
                <w:sz w:val="24"/>
                <w:szCs w:val="24"/>
                <w:lang w:eastAsia="zh-CN"/>
              </w:rPr>
              <w:t>（公示结果公告及备案用）。</w:t>
            </w:r>
          </w:p>
          <w:p w14:paraId="77F31C4D">
            <w:pPr>
              <w:spacing w:line="360" w:lineRule="auto"/>
              <w:rPr>
                <w:rFonts w:hint="eastAsia"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4</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谈判</w:t>
            </w:r>
            <w:r>
              <w:rPr>
                <w:rFonts w:hint="eastAsia" w:ascii="思源宋体 CN Light" w:hAnsi="思源宋体 CN Light" w:eastAsia="思源宋体 CN Light" w:cs="思源宋体 CN Light"/>
                <w:color w:val="auto"/>
                <w:sz w:val="24"/>
                <w:szCs w:val="24"/>
              </w:rPr>
              <w:t>过程中，供应商在收到工作人员“开始解密”指令后，请及时使用CA对电子</w:t>
            </w:r>
            <w:r>
              <w:rPr>
                <w:rFonts w:hint="eastAsia" w:ascii="思源宋体 CN Light" w:hAnsi="思源宋体 CN Light" w:eastAsia="思源宋体 CN Light" w:cs="思源宋体 CN Light"/>
                <w:color w:val="auto"/>
                <w:sz w:val="24"/>
                <w:szCs w:val="24"/>
                <w:lang w:eastAsia="zh-CN"/>
              </w:rPr>
              <w:t>谈判响应文件</w:t>
            </w:r>
            <w:r>
              <w:rPr>
                <w:rFonts w:hint="eastAsia" w:ascii="思源宋体 CN Light" w:hAnsi="思源宋体 CN Light" w:eastAsia="思源宋体 CN Light" w:cs="思源宋体 CN Light"/>
                <w:color w:val="auto"/>
                <w:sz w:val="24"/>
                <w:szCs w:val="24"/>
              </w:rPr>
              <w:t>进行解密。解密时所用CA应与加密</w:t>
            </w:r>
            <w:r>
              <w:rPr>
                <w:rFonts w:hint="eastAsia" w:ascii="思源宋体 CN Light" w:hAnsi="思源宋体 CN Light" w:eastAsia="思源宋体 CN Light" w:cs="思源宋体 CN Light"/>
                <w:color w:val="auto"/>
                <w:sz w:val="24"/>
                <w:szCs w:val="24"/>
                <w:lang w:eastAsia="zh-CN"/>
              </w:rPr>
              <w:t>谈判响应文件</w:t>
            </w:r>
            <w:r>
              <w:rPr>
                <w:rFonts w:hint="eastAsia" w:ascii="思源宋体 CN Light" w:hAnsi="思源宋体 CN Light" w:eastAsia="思源宋体 CN Light" w:cs="思源宋体 CN Light"/>
                <w:color w:val="auto"/>
                <w:sz w:val="24"/>
                <w:szCs w:val="24"/>
              </w:rPr>
              <w:t>时所用CA相同；</w:t>
            </w:r>
            <w:r>
              <w:rPr>
                <w:rFonts w:hint="eastAsia" w:ascii="思源宋体 CN Light" w:hAnsi="思源宋体 CN Light" w:eastAsia="思源宋体 CN Light" w:cs="思源宋体 CN Light"/>
                <w:b/>
                <w:bCs/>
                <w:color w:val="auto"/>
                <w:sz w:val="24"/>
                <w:szCs w:val="24"/>
                <w:lang w:val="en-US" w:eastAsia="zh-CN"/>
              </w:rPr>
              <w:t>注：解密时间为30分钟，在解密时间内供应商全部解密完成后，可提前进入开标下一阶段。</w:t>
            </w:r>
          </w:p>
          <w:p w14:paraId="49AFEAED">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5</w:t>
            </w:r>
            <w:r>
              <w:rPr>
                <w:rFonts w:hint="eastAsia" w:ascii="思源宋体 CN Light" w:hAnsi="思源宋体 CN Light" w:eastAsia="思源宋体 CN Light" w:cs="思源宋体 CN Light"/>
                <w:color w:val="auto"/>
                <w:sz w:val="24"/>
                <w:szCs w:val="24"/>
              </w:rPr>
              <w:t>、相关技术问题，请咨询软件开发商：</w:t>
            </w:r>
          </w:p>
          <w:p w14:paraId="558E8717">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（1）技术支持热线：400-998-0000/400-928-0095</w:t>
            </w:r>
          </w:p>
          <w:p w14:paraId="3D5F5CD1">
            <w:pPr>
              <w:spacing w:line="360" w:lineRule="auto"/>
              <w:rPr>
                <w:rFonts w:ascii="宋体" w:hAnsi="宋体" w:cs="宋体"/>
                <w:sz w:val="24"/>
                <w:szCs w:val="24"/>
              </w:rPr>
            </w:pPr>
            <w:r>
              <w:rPr>
                <w:rFonts w:hint="eastAsia" w:ascii="思源宋体 CN Light" w:hAnsi="思源宋体 CN Light" w:eastAsia="思源宋体 CN Light" w:cs="思源宋体 CN Light"/>
                <w:color w:val="auto"/>
                <w:sz w:val="24"/>
                <w:szCs w:val="24"/>
                <w:lang w:val="en-US" w:eastAsia="zh-CN"/>
              </w:rPr>
              <w:t>6</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不见面开标</w:t>
            </w:r>
            <w:r>
              <w:rPr>
                <w:rFonts w:hint="eastAsia" w:ascii="思源宋体 CN Light" w:hAnsi="思源宋体 CN Light" w:eastAsia="思源宋体 CN Light" w:cs="思源宋体 CN Light"/>
                <w:color w:val="auto"/>
                <w:sz w:val="24"/>
                <w:szCs w:val="24"/>
                <w:lang w:val="en-US" w:eastAsia="zh-CN"/>
              </w:rPr>
              <w:t>系统</w:t>
            </w:r>
            <w:r>
              <w:rPr>
                <w:rFonts w:hint="eastAsia" w:ascii="思源宋体 CN Light" w:hAnsi="思源宋体 CN Light" w:eastAsia="思源宋体 CN Light" w:cs="思源宋体 CN Light"/>
                <w:color w:val="auto"/>
                <w:sz w:val="24"/>
                <w:szCs w:val="24"/>
              </w:rPr>
              <w:t>操作手册</w:t>
            </w:r>
            <w:r>
              <w:rPr>
                <w:rFonts w:hint="eastAsia" w:ascii="思源宋体 CN Light" w:hAnsi="思源宋体 CN Light" w:eastAsia="思源宋体 CN Light" w:cs="思源宋体 CN Light"/>
                <w:color w:val="auto"/>
                <w:sz w:val="24"/>
                <w:szCs w:val="24"/>
                <w:lang w:val="en-US" w:eastAsia="zh-CN"/>
              </w:rPr>
              <w:t>下载方式：登录</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网站首页选择【服务指南】-【下载专区】-点击【</w:t>
            </w: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思源宋体 CN Light" w:hAnsi="思源宋体 CN Light" w:eastAsia="思源宋体 CN Light" w:cs="思源宋体 CN Light"/>
                <w:color w:val="auto"/>
                <w:sz w:val="24"/>
                <w:szCs w:val="24"/>
              </w:rPr>
              <w:fldChar w:fldCharType="separate"/>
            </w:r>
            <w:r>
              <w:rPr>
                <w:rFonts w:hint="eastAsia" w:ascii="思源宋体 CN Light" w:hAnsi="思源宋体 CN Light" w:eastAsia="思源宋体 CN Light" w:cs="思源宋体 CN Light"/>
                <w:color w:val="auto"/>
                <w:sz w:val="24"/>
                <w:szCs w:val="24"/>
              </w:rPr>
              <w:t>榆林不见面开标系统操作手册（投标人）</w:t>
            </w:r>
            <w:r>
              <w:rPr>
                <w:rFonts w:hint="eastAsia" w:ascii="思源宋体 CN Light" w:hAnsi="思源宋体 CN Light" w:eastAsia="思源宋体 CN Light" w:cs="思源宋体 CN Light"/>
                <w:color w:val="auto"/>
                <w:sz w:val="24"/>
                <w:szCs w:val="24"/>
              </w:rPr>
              <w:fldChar w:fldCharType="end"/>
            </w:r>
            <w:r>
              <w:rPr>
                <w:rFonts w:hint="eastAsia" w:ascii="思源宋体 CN Light" w:hAnsi="思源宋体 CN Light" w:eastAsia="思源宋体 CN Light" w:cs="思源宋体 CN Light"/>
                <w:color w:val="auto"/>
                <w:sz w:val="24"/>
                <w:szCs w:val="24"/>
                <w:lang w:val="en-US" w:eastAsia="zh-CN"/>
              </w:rPr>
              <w:t>】进行下载</w:t>
            </w:r>
            <w:r>
              <w:rPr>
                <w:rFonts w:hint="eastAsia" w:ascii="思源宋体 CN Light" w:hAnsi="思源宋体 CN Light" w:eastAsia="思源宋体 CN Light" w:cs="思源宋体 CN Light"/>
                <w:color w:val="auto"/>
                <w:sz w:val="24"/>
                <w:szCs w:val="24"/>
              </w:rPr>
              <w:t>。</w:t>
            </w:r>
          </w:p>
        </w:tc>
      </w:tr>
      <w:tr w14:paraId="3C96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265BA2F4">
            <w:pPr>
              <w:numPr>
                <w:ilvl w:val="0"/>
                <w:numId w:val="2"/>
              </w:numPr>
              <w:spacing w:line="360" w:lineRule="auto"/>
              <w:jc w:val="center"/>
              <w:rPr>
                <w:rFonts w:ascii="宋体" w:hAnsi="宋体" w:cs="宋体"/>
                <w:sz w:val="24"/>
                <w:szCs w:val="24"/>
              </w:rPr>
            </w:pPr>
          </w:p>
        </w:tc>
        <w:tc>
          <w:tcPr>
            <w:tcW w:w="9041" w:type="dxa"/>
            <w:noWrap w:val="0"/>
            <w:vAlign w:val="center"/>
          </w:tcPr>
          <w:p w14:paraId="722CB74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竞争性谈判响应文件递交方式：</w:t>
            </w:r>
          </w:p>
          <w:p w14:paraId="28A8DB0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firstLine="480" w:firstLineChars="20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1、供应商应于提交竞争性谈判响应文件截止时间前任意时段登录交易平台〖首页〉电子交易平台〉企业端〗在线提交电子谈判响应文件，逾期提交系统间拒绝接收。</w:t>
            </w:r>
          </w:p>
          <w:p w14:paraId="1116D384">
            <w:pPr>
              <w:spacing w:line="360" w:lineRule="auto"/>
              <w:ind w:firstLine="480" w:firstLineChars="20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2、本项目采用“不见面”开标形式，供应商可登录榆林交易平台〖首页〉不见面开标〗在线参与开评标过程，详见谈判文件以及交易平台〖首页〉服务指南〉下载专区〗中的《榆林市不见面开标大厅操作手册（投标人）》。</w:t>
            </w:r>
          </w:p>
        </w:tc>
      </w:tr>
      <w:tr w14:paraId="0C36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750ADEFD">
            <w:pPr>
              <w:numPr>
                <w:ilvl w:val="0"/>
                <w:numId w:val="2"/>
              </w:numPr>
              <w:spacing w:line="360" w:lineRule="auto"/>
              <w:jc w:val="center"/>
              <w:rPr>
                <w:rFonts w:ascii="宋体" w:hAnsi="宋体" w:cs="宋体"/>
                <w:sz w:val="24"/>
                <w:szCs w:val="24"/>
              </w:rPr>
            </w:pPr>
          </w:p>
        </w:tc>
        <w:tc>
          <w:tcPr>
            <w:tcW w:w="9041" w:type="dxa"/>
            <w:noWrap w:val="0"/>
            <w:vAlign w:val="center"/>
          </w:tcPr>
          <w:p w14:paraId="4CD3FF78">
            <w:pPr>
              <w:spacing w:line="360" w:lineRule="auto"/>
              <w:rPr>
                <w:rFonts w:hint="eastAsia" w:ascii="宋体" w:hAnsi="宋体" w:eastAsia="宋体" w:cs="宋体"/>
                <w:sz w:val="24"/>
                <w:szCs w:val="24"/>
                <w:lang w:eastAsia="zh-CN"/>
              </w:rPr>
            </w:pPr>
            <w:r>
              <w:rPr>
                <w:rFonts w:hint="eastAsia" w:ascii="宋体" w:hAnsi="宋体" w:cs="宋体"/>
                <w:sz w:val="24"/>
                <w:szCs w:val="24"/>
              </w:rPr>
              <w:t xml:space="preserve">    </w:t>
            </w:r>
            <w:r>
              <w:rPr>
                <w:rFonts w:hint="eastAsia" w:ascii="宋体" w:hAnsi="宋体" w:cs="宋体"/>
                <w:b/>
                <w:bCs/>
                <w:sz w:val="24"/>
                <w:szCs w:val="24"/>
              </w:rPr>
              <w:t>谈判</w:t>
            </w:r>
            <w:r>
              <w:rPr>
                <w:rFonts w:hint="eastAsia" w:ascii="宋体" w:hAnsi="宋体" w:cs="宋体"/>
                <w:b/>
                <w:bCs/>
                <w:sz w:val="24"/>
                <w:szCs w:val="24"/>
                <w:lang w:eastAsia="zh-CN"/>
              </w:rPr>
              <w:t>响应文件中需</w:t>
            </w:r>
            <w:r>
              <w:rPr>
                <w:rFonts w:hint="eastAsia" w:ascii="宋体" w:hAnsi="宋体" w:cs="宋体"/>
                <w:b/>
                <w:bCs/>
                <w:sz w:val="24"/>
                <w:szCs w:val="24"/>
              </w:rPr>
              <w:t>提交以下资质及</w:t>
            </w:r>
            <w:r>
              <w:rPr>
                <w:rFonts w:hint="eastAsia" w:ascii="宋体" w:hAnsi="宋体" w:cs="宋体"/>
                <w:b/>
                <w:bCs/>
                <w:sz w:val="24"/>
                <w:szCs w:val="24"/>
                <w:lang w:eastAsia="zh-CN"/>
              </w:rPr>
              <w:t>谈判</w:t>
            </w:r>
            <w:r>
              <w:rPr>
                <w:rFonts w:hint="eastAsia" w:ascii="宋体" w:hAnsi="宋体" w:cs="宋体"/>
                <w:b/>
                <w:bCs/>
                <w:sz w:val="24"/>
                <w:szCs w:val="24"/>
              </w:rPr>
              <w:t>文件要求的其他证明材料</w:t>
            </w:r>
            <w:r>
              <w:rPr>
                <w:rFonts w:hint="eastAsia" w:ascii="宋体" w:hAnsi="宋体" w:cs="宋体"/>
                <w:b/>
                <w:bCs/>
                <w:sz w:val="24"/>
                <w:szCs w:val="24"/>
                <w:lang w:eastAsia="zh-CN"/>
              </w:rPr>
              <w:t>：</w:t>
            </w:r>
          </w:p>
          <w:p w14:paraId="1904951E">
            <w:pPr>
              <w:adjustRightInd w:val="0"/>
              <w:snapToGrid w:val="0"/>
              <w:spacing w:line="360" w:lineRule="auto"/>
              <w:ind w:left="8" w:firstLine="410" w:firstLineChars="171"/>
              <w:rPr>
                <w:rFonts w:hint="eastAsia" w:ascii="宋体" w:hAnsi="宋体" w:cs="宋体"/>
                <w:color w:val="000000"/>
                <w:sz w:val="24"/>
              </w:rPr>
            </w:pPr>
            <w:r>
              <w:rPr>
                <w:rFonts w:hint="eastAsia" w:ascii="宋体" w:hAnsi="宋体" w:cs="宋体"/>
                <w:color w:val="000000"/>
                <w:sz w:val="24"/>
              </w:rPr>
              <w:t>（一）基本资格条件：符合《中华人民共和国政府采购法》第二十二条的规定。</w:t>
            </w:r>
          </w:p>
          <w:p w14:paraId="1690F57F">
            <w:pPr>
              <w:adjustRightInd w:val="0"/>
              <w:snapToGrid w:val="0"/>
              <w:spacing w:line="360" w:lineRule="auto"/>
              <w:ind w:left="8" w:firstLine="410" w:firstLineChars="171"/>
              <w:rPr>
                <w:rFonts w:hint="eastAsia" w:ascii="宋体" w:hAnsi="宋体" w:cs="宋体"/>
                <w:color w:val="000000"/>
                <w:sz w:val="24"/>
              </w:rPr>
            </w:pPr>
            <w:r>
              <w:rPr>
                <w:rFonts w:hint="eastAsia" w:ascii="宋体" w:hAnsi="宋体" w:cs="宋体"/>
                <w:color w:val="000000"/>
                <w:sz w:val="24"/>
              </w:rPr>
              <w:t>（二）特定资格条件：</w:t>
            </w:r>
          </w:p>
          <w:p w14:paraId="3216B0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合同包1特定资格要求如下:</w:t>
            </w:r>
          </w:p>
          <w:p w14:paraId="42D129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   1、投标人须具备独立承担民事责任能力的法人或其他组织，提供合法有效的统一社会信用代码的营业执照； </w:t>
            </w:r>
            <w:r>
              <w:rPr>
                <w:rFonts w:hint="eastAsia"/>
                <w:sz w:val="24"/>
                <w:szCs w:val="24"/>
              </w:rPr>
              <w:br w:type="textWrapping"/>
            </w:r>
            <w:r>
              <w:rPr>
                <w:rFonts w:hint="eastAsia"/>
                <w:sz w:val="24"/>
                <w:szCs w:val="24"/>
              </w:rPr>
              <w:t>  2、财务状况报告：提供企业2024年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r>
              <w:rPr>
                <w:rFonts w:hint="eastAsia"/>
                <w:sz w:val="24"/>
                <w:szCs w:val="24"/>
              </w:rPr>
              <w:br w:type="textWrapping"/>
            </w:r>
            <w:r>
              <w:rPr>
                <w:rFonts w:hint="eastAsia"/>
                <w:sz w:val="24"/>
                <w:szCs w:val="24"/>
              </w:rPr>
              <w:t>  3、社会保障资金缴纳证明：提供2025年1月至今已缴存的至少一个月的社会保障资金缴纳证明（社会保障资金缴存单据或社保机构开具的社会保险参保缴费情况证明），依法不需要缴纳社会保障资金的单位应提供相关证明材料；</w:t>
            </w:r>
            <w:r>
              <w:rPr>
                <w:rFonts w:hint="eastAsia"/>
                <w:sz w:val="24"/>
                <w:szCs w:val="24"/>
              </w:rPr>
              <w:br w:type="textWrapping"/>
            </w:r>
            <w:r>
              <w:rPr>
                <w:rFonts w:hint="eastAsia"/>
                <w:sz w:val="24"/>
                <w:szCs w:val="24"/>
              </w:rPr>
              <w:t>  4、税收缴纳证明：提供2025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r>
              <w:rPr>
                <w:rFonts w:hint="eastAsia"/>
                <w:sz w:val="24"/>
                <w:szCs w:val="24"/>
              </w:rPr>
              <w:br w:type="textWrapping"/>
            </w:r>
            <w:r>
              <w:rPr>
                <w:rFonts w:hint="eastAsia"/>
                <w:sz w:val="24"/>
                <w:szCs w:val="24"/>
              </w:rPr>
              <w:t>  5、参加政府采购活动前3年内在经营活动中没有重大违法记录的书面声明（格式自拟，加盖投标人公章）；</w:t>
            </w:r>
            <w:r>
              <w:rPr>
                <w:rFonts w:hint="eastAsia"/>
                <w:sz w:val="24"/>
                <w:szCs w:val="24"/>
              </w:rPr>
              <w:br w:type="textWrapping"/>
            </w:r>
            <w:r>
              <w:rPr>
                <w:rFonts w:hint="eastAsia"/>
                <w:sz w:val="24"/>
                <w:szCs w:val="24"/>
              </w:rPr>
              <w:t>  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sz w:val="24"/>
                <w:szCs w:val="24"/>
              </w:rPr>
              <w:br w:type="textWrapping"/>
            </w:r>
            <w:r>
              <w:rPr>
                <w:rFonts w:hint="eastAsia"/>
                <w:sz w:val="24"/>
                <w:szCs w:val="24"/>
              </w:rPr>
              <w:t>  7、投标保证金用投标信用承诺书代替（提供投标信用承诺书）；</w:t>
            </w:r>
            <w:r>
              <w:rPr>
                <w:rFonts w:hint="eastAsia"/>
                <w:sz w:val="24"/>
                <w:szCs w:val="24"/>
              </w:rPr>
              <w:br w:type="textWrapping"/>
            </w:r>
            <w:r>
              <w:rPr>
                <w:rFonts w:hint="eastAsia"/>
                <w:sz w:val="24"/>
                <w:szCs w:val="24"/>
              </w:rPr>
              <w:t>  8、本项目专门面向小微企业采购（须提供小微企业声明函）；</w:t>
            </w:r>
            <w:r>
              <w:rPr>
                <w:rFonts w:hint="eastAsia"/>
                <w:sz w:val="24"/>
                <w:szCs w:val="24"/>
              </w:rPr>
              <w:br w:type="textWrapping"/>
            </w:r>
            <w:r>
              <w:rPr>
                <w:rFonts w:hint="eastAsia"/>
                <w:sz w:val="24"/>
                <w:szCs w:val="24"/>
              </w:rPr>
              <w:t>  9、本项目不接受联合体投标，单位负责人为同一人或者存在直接控股、管理关系的不同投标人，不得参加同一合同项下的政府采购活动（须提供非联合体投标声明函）；</w:t>
            </w:r>
            <w:r>
              <w:rPr>
                <w:rFonts w:hint="eastAsia"/>
                <w:sz w:val="24"/>
                <w:szCs w:val="24"/>
              </w:rPr>
              <w:br w:type="textWrapping"/>
            </w:r>
            <w:r>
              <w:rPr>
                <w:rFonts w:hint="eastAsia"/>
                <w:sz w:val="24"/>
                <w:szCs w:val="24"/>
              </w:rPr>
              <w:t>  10、供应商须具有印刷经营许可证。</w:t>
            </w:r>
          </w:p>
          <w:p w14:paraId="21939ADF">
            <w:pPr>
              <w:numPr>
                <w:ilvl w:val="0"/>
                <w:numId w:val="0"/>
              </w:numPr>
              <w:spacing w:line="360" w:lineRule="auto"/>
              <w:rPr>
                <w:rFonts w:ascii="宋体" w:hAnsi="宋体" w:cs="宋体"/>
                <w:sz w:val="24"/>
                <w:szCs w:val="24"/>
              </w:rPr>
            </w:pPr>
            <w:r>
              <w:rPr>
                <w:rFonts w:hint="eastAsia" w:ascii="宋体" w:hAnsi="宋体" w:cs="宋体"/>
                <w:b/>
                <w:bCs/>
                <w:color w:val="000000"/>
                <w:sz w:val="24"/>
                <w:szCs w:val="24"/>
              </w:rPr>
              <w:t>注：上述资质为必备资质，</w:t>
            </w:r>
            <w:r>
              <w:rPr>
                <w:rFonts w:hint="eastAsia" w:ascii="宋体" w:hAnsi="宋体" w:cs="宋体"/>
                <w:b/>
                <w:bCs/>
                <w:color w:val="000000"/>
                <w:sz w:val="24"/>
                <w:szCs w:val="24"/>
                <w:lang w:eastAsia="zh-CN"/>
              </w:rPr>
              <w:t>谈判响应文件中</w:t>
            </w:r>
            <w:r>
              <w:rPr>
                <w:rFonts w:hint="eastAsia" w:ascii="宋体" w:hAnsi="宋体" w:cs="宋体"/>
                <w:b/>
                <w:bCs/>
                <w:color w:val="000000"/>
                <w:sz w:val="24"/>
                <w:szCs w:val="24"/>
              </w:rPr>
              <w:t>欠缺其中任何一项，按无效响应文件处理。</w:t>
            </w:r>
          </w:p>
        </w:tc>
      </w:tr>
      <w:tr w14:paraId="5231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428002CC">
            <w:pPr>
              <w:numPr>
                <w:ilvl w:val="0"/>
                <w:numId w:val="2"/>
              </w:numPr>
              <w:spacing w:line="360" w:lineRule="auto"/>
              <w:jc w:val="center"/>
              <w:rPr>
                <w:rFonts w:ascii="宋体" w:hAnsi="宋体" w:cs="宋体"/>
                <w:sz w:val="24"/>
                <w:szCs w:val="24"/>
              </w:rPr>
            </w:pPr>
          </w:p>
        </w:tc>
        <w:tc>
          <w:tcPr>
            <w:tcW w:w="9041" w:type="dxa"/>
            <w:noWrap w:val="0"/>
            <w:vAlign w:val="center"/>
          </w:tcPr>
          <w:p w14:paraId="7584624F">
            <w:pPr>
              <w:spacing w:line="360" w:lineRule="auto"/>
              <w:rPr>
                <w:rFonts w:ascii="宋体" w:hAnsi="宋体" w:cs="宋体"/>
                <w:sz w:val="24"/>
                <w:szCs w:val="24"/>
              </w:rPr>
            </w:pPr>
            <w:r>
              <w:rPr>
                <w:rFonts w:hint="eastAsia" w:ascii="宋体" w:hAnsi="宋体" w:cs="宋体"/>
                <w:sz w:val="24"/>
                <w:szCs w:val="24"/>
              </w:rPr>
              <w:t>支持中小企业发展：</w:t>
            </w:r>
          </w:p>
          <w:p w14:paraId="3A3618CE">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lang w:eastAsia="zh-CN"/>
              </w:rPr>
              <w:instrText xml:space="preserve">,</w:instrText>
            </w:r>
            <w:r>
              <w:rPr>
                <w:rFonts w:hint="eastAsia" w:ascii="宋体" w:hAnsi="宋体" w:cs="宋体"/>
                <w:position w:val="2"/>
                <w:sz w:val="16"/>
                <w:szCs w:val="24"/>
                <w:lang w:eastAsia="zh-CN"/>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专门面向</w:t>
            </w:r>
            <w:r>
              <w:rPr>
                <w:rFonts w:hint="eastAsia"/>
                <w:sz w:val="24"/>
                <w:szCs w:val="24"/>
                <w:lang w:val="en-US" w:eastAsia="zh-CN"/>
              </w:rPr>
              <w:t>小微</w:t>
            </w:r>
            <w:r>
              <w:rPr>
                <w:rFonts w:hint="eastAsia" w:ascii="宋体" w:hAnsi="宋体" w:cs="宋体"/>
                <w:sz w:val="24"/>
                <w:szCs w:val="24"/>
              </w:rPr>
              <w:t>企业采购项目</w:t>
            </w:r>
          </w:p>
          <w:p w14:paraId="17937BC4">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eq \o\ac(□)</w:instrText>
            </w:r>
            <w:r>
              <w:rPr>
                <w:rFonts w:hint="eastAsia" w:ascii="宋体" w:hAnsi="宋体" w:cs="宋体"/>
                <w:color w:val="auto"/>
                <w:sz w:val="24"/>
                <w:szCs w:val="24"/>
              </w:rPr>
              <w:fldChar w:fldCharType="end"/>
            </w:r>
            <w:r>
              <w:rPr>
                <w:rFonts w:hint="eastAsia" w:ascii="宋体" w:hAnsi="宋体" w:cs="宋体"/>
                <w:color w:val="auto"/>
                <w:sz w:val="24"/>
                <w:szCs w:val="24"/>
              </w:rPr>
              <w:t>非专门面向中小企业采购项目（价格扣除）：</w:t>
            </w:r>
          </w:p>
          <w:p w14:paraId="4905CD3F">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sym w:font="Wingdings" w:char="F081"/>
            </w:r>
            <w:r>
              <w:rPr>
                <w:rFonts w:hint="eastAsia" w:ascii="宋体" w:hAnsi="宋体" w:cs="宋体"/>
                <w:color w:val="auto"/>
                <w:sz w:val="24"/>
                <w:szCs w:val="24"/>
              </w:rPr>
              <w:t>对小型和微型企业产品的价格给与</w:t>
            </w:r>
            <w:r>
              <w:rPr>
                <w:rFonts w:hint="eastAsia" w:ascii="宋体" w:hAnsi="宋体" w:cs="宋体"/>
                <w:color w:val="auto"/>
                <w:sz w:val="24"/>
                <w:szCs w:val="24"/>
                <w:lang w:val="en-US" w:eastAsia="zh-CN"/>
              </w:rPr>
              <w:t>10</w:t>
            </w:r>
            <w:r>
              <w:rPr>
                <w:rFonts w:hint="eastAsia" w:ascii="宋体" w:hAnsi="宋体" w:cs="宋体"/>
                <w:color w:val="auto"/>
                <w:sz w:val="24"/>
                <w:szCs w:val="24"/>
              </w:rPr>
              <w:t>%~</w:t>
            </w:r>
            <w:r>
              <w:rPr>
                <w:rFonts w:hint="eastAsia" w:ascii="宋体" w:hAnsi="宋体" w:cs="宋体"/>
                <w:color w:val="auto"/>
                <w:sz w:val="24"/>
                <w:szCs w:val="24"/>
                <w:lang w:val="en-US" w:eastAsia="zh-CN"/>
              </w:rPr>
              <w:t>20</w:t>
            </w:r>
            <w:r>
              <w:rPr>
                <w:rFonts w:hint="eastAsia" w:ascii="宋体" w:hAnsi="宋体" w:cs="宋体"/>
                <w:color w:val="auto"/>
                <w:sz w:val="24"/>
                <w:szCs w:val="24"/>
              </w:rPr>
              <w:t>%的扣除，用扣除后的价格参与评审。本项目的扣除比例为：小型企业扣除</w:t>
            </w:r>
            <w:r>
              <w:rPr>
                <w:rFonts w:hint="eastAsia" w:ascii="宋体" w:hAnsi="宋体" w:cs="宋体"/>
                <w:color w:val="auto"/>
                <w:sz w:val="24"/>
                <w:szCs w:val="24"/>
                <w:lang w:val="en-US" w:eastAsia="zh-CN"/>
              </w:rPr>
              <w:t>20</w:t>
            </w:r>
            <w:r>
              <w:rPr>
                <w:rFonts w:hint="eastAsia" w:ascii="宋体" w:hAnsi="宋体" w:cs="宋体"/>
                <w:color w:val="auto"/>
                <w:sz w:val="24"/>
                <w:szCs w:val="24"/>
              </w:rPr>
              <w:t>%，微型企业扣除</w:t>
            </w:r>
            <w:r>
              <w:rPr>
                <w:rFonts w:hint="eastAsia" w:ascii="宋体" w:hAnsi="宋体" w:cs="宋体"/>
                <w:color w:val="auto"/>
                <w:sz w:val="24"/>
                <w:szCs w:val="24"/>
                <w:lang w:val="en-US" w:eastAsia="zh-CN"/>
              </w:rPr>
              <w:t>20</w:t>
            </w:r>
            <w:r>
              <w:rPr>
                <w:rFonts w:hint="eastAsia" w:ascii="宋体" w:hAnsi="宋体" w:cs="宋体"/>
                <w:color w:val="auto"/>
                <w:sz w:val="24"/>
                <w:szCs w:val="24"/>
              </w:rPr>
              <w:t>%。</w:t>
            </w:r>
          </w:p>
          <w:p w14:paraId="313134E7">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sym w:font="Wingdings" w:char="F082"/>
            </w:r>
            <w:r>
              <w:rPr>
                <w:rFonts w:hint="eastAsia" w:ascii="宋体" w:hAnsi="宋体" w:cs="宋体"/>
                <w:color w:val="auto"/>
                <w:sz w:val="24"/>
                <w:szCs w:val="24"/>
              </w:rPr>
              <w:t>本项目接收联合体投标的，若小型和微型企业的协议合同金额占到联合体协议合同金额30%以上的，可给予联合体 2% ~3%的扣除，用扣除后的价格参与评审。本项目的扣除比例为：</w:t>
            </w:r>
            <w:r>
              <w:rPr>
                <w:rFonts w:hint="eastAsia" w:ascii="宋体" w:hAnsi="宋体" w:cs="宋体"/>
                <w:color w:val="auto"/>
                <w:sz w:val="24"/>
                <w:szCs w:val="24"/>
                <w:lang w:val="en-US" w:eastAsia="zh-CN"/>
              </w:rPr>
              <w:t>10</w:t>
            </w:r>
            <w:r>
              <w:rPr>
                <w:rFonts w:hint="eastAsia" w:ascii="宋体" w:hAnsi="宋体" w:cs="宋体"/>
                <w:color w:val="auto"/>
                <w:sz w:val="24"/>
                <w:szCs w:val="24"/>
              </w:rPr>
              <w:t>%。</w:t>
            </w:r>
          </w:p>
          <w:p w14:paraId="47CD37A4">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eq \o\ac(□)</w:instrText>
            </w:r>
            <w:r>
              <w:rPr>
                <w:rFonts w:hint="eastAsia" w:ascii="宋体" w:hAnsi="宋体" w:cs="宋体"/>
                <w:color w:val="auto"/>
                <w:sz w:val="24"/>
                <w:szCs w:val="24"/>
              </w:rPr>
              <w:fldChar w:fldCharType="end"/>
            </w:r>
            <w:r>
              <w:rPr>
                <w:rFonts w:hint="eastAsia" w:ascii="宋体" w:hAnsi="宋体" w:cs="宋体"/>
                <w:color w:val="auto"/>
                <w:sz w:val="24"/>
                <w:szCs w:val="24"/>
              </w:rPr>
              <w:t>非专门面向中小企业采购项目</w:t>
            </w:r>
          </w:p>
          <w:p w14:paraId="17F81975">
            <w:pPr>
              <w:adjustRightInd w:val="0"/>
              <w:snapToGrid w:val="0"/>
              <w:spacing w:line="360" w:lineRule="auto"/>
              <w:rPr>
                <w:rFonts w:ascii="宋体" w:hAnsi="宋体" w:cs="宋体"/>
                <w:sz w:val="24"/>
                <w:szCs w:val="24"/>
              </w:rPr>
            </w:pPr>
            <w:r>
              <w:rPr>
                <w:rFonts w:hint="eastAsia" w:ascii="宋体" w:hAnsi="宋体" w:cs="宋体"/>
                <w:color w:val="auto"/>
                <w:sz w:val="24"/>
                <w:szCs w:val="24"/>
              </w:rPr>
              <w:sym w:font="Wingdings" w:char="F081"/>
            </w:r>
            <w:r>
              <w:rPr>
                <w:rFonts w:hint="eastAsia" w:ascii="宋体" w:hAnsi="宋体" w:cs="宋体"/>
                <w:color w:val="auto"/>
                <w:sz w:val="24"/>
                <w:szCs w:val="24"/>
              </w:rPr>
              <w:t>供应商提供的货物既有中小企业制造货物，也有大型企业制造货物的，不享受《政府采购促进中小企业发展管理办法》规定的中小企业扶持政策。</w:t>
            </w:r>
          </w:p>
        </w:tc>
      </w:tr>
      <w:tr w14:paraId="5F47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7A12120D">
            <w:pPr>
              <w:numPr>
                <w:ilvl w:val="0"/>
                <w:numId w:val="2"/>
              </w:numPr>
              <w:spacing w:line="360" w:lineRule="auto"/>
              <w:jc w:val="center"/>
              <w:rPr>
                <w:rFonts w:ascii="宋体" w:hAnsi="宋体" w:cs="宋体"/>
                <w:sz w:val="24"/>
                <w:szCs w:val="24"/>
              </w:rPr>
            </w:pPr>
          </w:p>
        </w:tc>
        <w:tc>
          <w:tcPr>
            <w:tcW w:w="9041" w:type="dxa"/>
            <w:noWrap w:val="0"/>
            <w:vAlign w:val="center"/>
          </w:tcPr>
          <w:p w14:paraId="29B6066A">
            <w:pPr>
              <w:spacing w:line="360" w:lineRule="auto"/>
              <w:rPr>
                <w:rFonts w:ascii="宋体" w:hAnsi="宋体" w:cs="宋体"/>
                <w:sz w:val="24"/>
                <w:szCs w:val="24"/>
              </w:rPr>
            </w:pPr>
            <w:r>
              <w:rPr>
                <w:rFonts w:hint="eastAsia" w:ascii="宋体" w:hAnsi="宋体" w:cs="宋体"/>
                <w:sz w:val="24"/>
                <w:szCs w:val="24"/>
              </w:rPr>
              <w:t>支持监狱企业发展：</w:t>
            </w:r>
          </w:p>
          <w:p w14:paraId="399AE6B3">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专门面向监狱企业采购项目</w:t>
            </w:r>
          </w:p>
          <w:p w14:paraId="1FEE84C2">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position w:val="-4"/>
                <w:sz w:val="36"/>
                <w:szCs w:val="24"/>
                <w:lang w:eastAsia="zh-CN"/>
              </w:rPr>
              <w:instrText xml:space="preserve">,</w:instrText>
            </w:r>
            <w:r>
              <w:rPr>
                <w:rFonts w:hint="eastAsia" w:ascii="宋体" w:hAnsi="宋体" w:cs="宋体"/>
                <w:position w:val="0"/>
                <w:sz w:val="25"/>
                <w:szCs w:val="24"/>
                <w:lang w:eastAsia="zh-CN"/>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非专门面向监狱企业采购项目（价格扣除）：监狱企业可视同小微企业在价格评审时给予6%~10%的扣除，用扣除后的价格参与评审。本项目的扣除比例为：扣除6%。</w:t>
            </w:r>
          </w:p>
        </w:tc>
      </w:tr>
      <w:tr w14:paraId="136C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59A5B200">
            <w:pPr>
              <w:numPr>
                <w:ilvl w:val="0"/>
                <w:numId w:val="2"/>
              </w:numPr>
              <w:spacing w:line="360" w:lineRule="auto"/>
              <w:jc w:val="center"/>
              <w:rPr>
                <w:rFonts w:ascii="宋体" w:hAnsi="宋体" w:cs="宋体"/>
                <w:sz w:val="24"/>
                <w:szCs w:val="24"/>
              </w:rPr>
            </w:pPr>
          </w:p>
        </w:tc>
        <w:tc>
          <w:tcPr>
            <w:tcW w:w="9041" w:type="dxa"/>
            <w:noWrap w:val="0"/>
            <w:vAlign w:val="center"/>
          </w:tcPr>
          <w:p w14:paraId="776F06D9">
            <w:pPr>
              <w:spacing w:line="360" w:lineRule="auto"/>
              <w:rPr>
                <w:rFonts w:ascii="宋体" w:hAnsi="宋体" w:cs="宋体"/>
                <w:sz w:val="24"/>
                <w:szCs w:val="24"/>
              </w:rPr>
            </w:pPr>
            <w:r>
              <w:rPr>
                <w:rFonts w:hint="eastAsia" w:ascii="宋体" w:hAnsi="宋体" w:cs="宋体"/>
                <w:sz w:val="24"/>
                <w:szCs w:val="24"/>
              </w:rPr>
              <w:t>踏勘现场:</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不组织</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组织，</w:t>
            </w:r>
            <w:r>
              <w:rPr>
                <w:rFonts w:hint="eastAsia" w:ascii="宋体" w:hAnsi="宋体" w:cs="宋体"/>
                <w:color w:val="000000"/>
                <w:sz w:val="24"/>
                <w:szCs w:val="24"/>
              </w:rPr>
              <w:t>本项目采购人及采购代理机构不集中组织踏勘现场；需要现场踏勘的，由投标人自行踏勘，安全责任由投标人自负，费用自理。如需踏勘，请按招标公告中的联系方式联系采购人</w:t>
            </w:r>
            <w:r>
              <w:rPr>
                <w:rFonts w:hint="eastAsia" w:ascii="宋体" w:hAnsi="宋体" w:cs="宋体"/>
                <w:sz w:val="24"/>
                <w:szCs w:val="24"/>
              </w:rPr>
              <w:t>。</w:t>
            </w:r>
          </w:p>
        </w:tc>
      </w:tr>
      <w:tr w14:paraId="12CF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16717BF7">
            <w:pPr>
              <w:numPr>
                <w:ilvl w:val="0"/>
                <w:numId w:val="2"/>
              </w:numPr>
              <w:spacing w:line="360" w:lineRule="auto"/>
              <w:jc w:val="center"/>
              <w:rPr>
                <w:rFonts w:ascii="宋体" w:hAnsi="宋体" w:cs="宋体"/>
                <w:sz w:val="24"/>
                <w:szCs w:val="24"/>
              </w:rPr>
            </w:pPr>
          </w:p>
        </w:tc>
        <w:tc>
          <w:tcPr>
            <w:tcW w:w="9041" w:type="dxa"/>
            <w:noWrap w:val="0"/>
            <w:vAlign w:val="center"/>
          </w:tcPr>
          <w:p w14:paraId="6C21691C">
            <w:pPr>
              <w:spacing w:line="360" w:lineRule="auto"/>
              <w:rPr>
                <w:rFonts w:ascii="宋体" w:hAnsi="宋体" w:cs="宋体"/>
                <w:sz w:val="24"/>
                <w:szCs w:val="24"/>
              </w:rPr>
            </w:pPr>
            <w:r>
              <w:rPr>
                <w:rFonts w:hint="eastAsia" w:ascii="宋体" w:hAnsi="宋体" w:cs="宋体"/>
                <w:sz w:val="24"/>
                <w:szCs w:val="24"/>
              </w:rPr>
              <w:t>投标答疑会:</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不召开</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召开，招标代理机构将对供应商所提出的问题予以解答，并出具书面答疑纪要。答疑纪要为招标文件的组成部分，与招标文件具有同等法律效力。</w:t>
            </w:r>
          </w:p>
        </w:tc>
      </w:tr>
      <w:tr w14:paraId="35CF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5AB26523">
            <w:pPr>
              <w:numPr>
                <w:ilvl w:val="0"/>
                <w:numId w:val="2"/>
              </w:numPr>
              <w:spacing w:line="360" w:lineRule="auto"/>
              <w:rPr>
                <w:rFonts w:ascii="宋体" w:hAnsi="宋体" w:cs="宋体"/>
                <w:sz w:val="24"/>
                <w:szCs w:val="24"/>
              </w:rPr>
            </w:pPr>
          </w:p>
        </w:tc>
        <w:tc>
          <w:tcPr>
            <w:tcW w:w="9041" w:type="dxa"/>
            <w:noWrap w:val="0"/>
            <w:vAlign w:val="center"/>
          </w:tcPr>
          <w:p w14:paraId="2A1B1F92">
            <w:pPr>
              <w:spacing w:line="360" w:lineRule="auto"/>
              <w:rPr>
                <w:rFonts w:ascii="宋体" w:hAnsi="宋体" w:cs="宋体"/>
                <w:color w:val="FF0000"/>
                <w:sz w:val="24"/>
                <w:szCs w:val="24"/>
              </w:rPr>
            </w:pPr>
            <w:r>
              <w:rPr>
                <w:rFonts w:hint="eastAsia" w:ascii="宋体" w:hAnsi="宋体" w:cs="宋体"/>
                <w:sz w:val="24"/>
                <w:szCs w:val="24"/>
              </w:rPr>
              <w:t>分包：</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不允许</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允许，分包内容要求：在征得招标人同意后，承包人可以将本项目的专业工程进行分包。分包金额要求：接受分包的第三人资质要求；符合施工拟分包的专业工程国家相关强制规定。</w:t>
            </w:r>
          </w:p>
        </w:tc>
      </w:tr>
      <w:tr w14:paraId="5263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6AF3BAC0">
            <w:pPr>
              <w:numPr>
                <w:ilvl w:val="0"/>
                <w:numId w:val="2"/>
              </w:numPr>
              <w:spacing w:line="360" w:lineRule="auto"/>
              <w:rPr>
                <w:rFonts w:ascii="宋体" w:hAnsi="宋体" w:cs="宋体"/>
                <w:sz w:val="24"/>
                <w:szCs w:val="24"/>
              </w:rPr>
            </w:pPr>
          </w:p>
        </w:tc>
        <w:tc>
          <w:tcPr>
            <w:tcW w:w="9041" w:type="dxa"/>
            <w:noWrap w:val="0"/>
            <w:vAlign w:val="center"/>
          </w:tcPr>
          <w:p w14:paraId="43B02FCA">
            <w:pPr>
              <w:pStyle w:val="38"/>
              <w:spacing w:line="360" w:lineRule="auto"/>
              <w:ind w:left="0" w:leftChars="0" w:firstLine="0" w:firstLineChars="0"/>
              <w:rPr>
                <w:rFonts w:hint="eastAsia" w:ascii="宋体" w:hAnsi="宋体" w:eastAsia="宋体" w:cs="宋体"/>
                <w:b/>
                <w:bCs/>
                <w:color w:val="auto"/>
                <w:kern w:val="2"/>
                <w:sz w:val="24"/>
                <w:szCs w:val="22"/>
                <w:highlight w:val="none"/>
                <w:lang w:val="en-US" w:eastAsia="zh-CN" w:bidi="ar-SA"/>
              </w:rPr>
            </w:pPr>
            <w:r>
              <w:rPr>
                <w:rFonts w:hint="eastAsia" w:ascii="宋体" w:hAnsi="宋体" w:eastAsia="宋体" w:cs="宋体"/>
                <w:b/>
                <w:bCs/>
                <w:color w:val="auto"/>
                <w:kern w:val="2"/>
                <w:sz w:val="24"/>
                <w:szCs w:val="22"/>
                <w:highlight w:val="none"/>
                <w:lang w:val="en-US" w:eastAsia="zh-CN" w:bidi="ar-SA"/>
              </w:rPr>
              <w:t>信用承诺公示要求：</w:t>
            </w:r>
          </w:p>
          <w:p w14:paraId="4277B264">
            <w:pPr>
              <w:pStyle w:val="38"/>
              <w:spacing w:line="360" w:lineRule="auto"/>
              <w:ind w:firstLine="480" w:firstLineChars="200"/>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均应在“信用中国（陕西榆林）”网站进行注册、登陆，自主上报信用承诺书（网址：</w:t>
            </w:r>
            <w:r>
              <w:rPr>
                <w:rFonts w:hint="eastAsia" w:ascii="宋体" w:hAnsi="宋体" w:eastAsia="宋体" w:cs="宋体"/>
                <w:color w:val="auto"/>
                <w:kern w:val="2"/>
                <w:sz w:val="24"/>
                <w:szCs w:val="22"/>
                <w:highlight w:val="none"/>
                <w:lang w:val="en-US" w:eastAsia="zh-CN" w:bidi="ar-SA"/>
              </w:rPr>
              <w:fldChar w:fldCharType="begin"/>
            </w:r>
            <w:r>
              <w:rPr>
                <w:rFonts w:hint="eastAsia" w:ascii="宋体" w:hAnsi="宋体" w:eastAsia="宋体" w:cs="宋体"/>
                <w:color w:val="auto"/>
                <w:kern w:val="2"/>
                <w:sz w:val="24"/>
                <w:szCs w:val="22"/>
                <w:highlight w:val="none"/>
                <w:lang w:val="en-US" w:eastAsia="zh-CN" w:bidi="ar-SA"/>
              </w:rPr>
              <w:instrText xml:space="preserve"> HYPERLINK "https://credit.yl.gov.cn/），各相关交易主体注册、登陆后根据承诺事项选择相应的模板填写《信用承诺书》，并载明承诺事由，政府采购活动中，各方交易主体的承诺事由为\“公共资源交易平台的所有活动\”。" </w:instrText>
            </w:r>
            <w:r>
              <w:rPr>
                <w:rFonts w:hint="eastAsia" w:ascii="宋体" w:hAnsi="宋体" w:eastAsia="宋体" w:cs="宋体"/>
                <w:color w:val="auto"/>
                <w:kern w:val="2"/>
                <w:sz w:val="24"/>
                <w:szCs w:val="22"/>
                <w:highlight w:val="none"/>
                <w:lang w:val="en-US" w:eastAsia="zh-CN" w:bidi="ar-SA"/>
              </w:rPr>
              <w:fldChar w:fldCharType="separate"/>
            </w:r>
            <w:r>
              <w:rPr>
                <w:rFonts w:hint="eastAsia" w:ascii="宋体" w:hAnsi="宋体" w:eastAsia="宋体" w:cs="宋体"/>
                <w:color w:val="auto"/>
                <w:kern w:val="2"/>
                <w:sz w:val="24"/>
                <w:szCs w:val="22"/>
                <w:highlight w:val="none"/>
                <w:lang w:val="en-US" w:eastAsia="zh-CN" w:bidi="ar-SA"/>
              </w:rPr>
              <w:t>https://credit.yl.gov.cn/），各相关交易主体注册、登陆后根据承诺事项选择相应的模板填写《信用承诺书》，并载明承诺事由，政府采购活动中，各方交易主体的承诺事由为“公共资源交易平台的所有活动”。</w:t>
            </w:r>
            <w:r>
              <w:rPr>
                <w:rFonts w:hint="eastAsia" w:ascii="宋体" w:hAnsi="宋体" w:eastAsia="宋体" w:cs="宋体"/>
                <w:color w:val="auto"/>
                <w:kern w:val="2"/>
                <w:sz w:val="24"/>
                <w:szCs w:val="22"/>
                <w:highlight w:val="none"/>
                <w:lang w:val="en-US" w:eastAsia="zh-CN" w:bidi="ar-SA"/>
              </w:rPr>
              <w:fldChar w:fldCharType="end"/>
            </w:r>
          </w:p>
          <w:p w14:paraId="5446115A">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附件：信用承诺上报操作指南</w:t>
            </w:r>
          </w:p>
          <w:p w14:paraId="6E6C1910">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注:①法定代表人直接参与谈判的无须上报和提供《投标人委托代理人员信用承诺书》</w:t>
            </w:r>
          </w:p>
          <w:p w14:paraId="0906D9A9">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②)不见面开标结束后由采购代理机构通过平台进行核实查验,未在“信用中国(陕西榆林)”网站进行自主上报信用承诺或响应文件中所附内容与上报内容不符的将否决其谈判。</w:t>
            </w:r>
          </w:p>
        </w:tc>
      </w:tr>
      <w:tr w14:paraId="39E9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446E7D25">
            <w:pPr>
              <w:numPr>
                <w:ilvl w:val="0"/>
                <w:numId w:val="2"/>
              </w:numPr>
              <w:spacing w:line="360" w:lineRule="auto"/>
              <w:rPr>
                <w:rFonts w:ascii="宋体" w:hAnsi="宋体" w:cs="宋体"/>
                <w:sz w:val="24"/>
                <w:szCs w:val="24"/>
              </w:rPr>
            </w:pPr>
          </w:p>
        </w:tc>
        <w:tc>
          <w:tcPr>
            <w:tcW w:w="9041" w:type="dxa"/>
            <w:noWrap w:val="0"/>
            <w:vAlign w:val="center"/>
          </w:tcPr>
          <w:p w14:paraId="3623E90A">
            <w:pPr>
              <w:spacing w:line="360" w:lineRule="auto"/>
              <w:rPr>
                <w:rFonts w:ascii="宋体" w:hAnsi="宋体" w:cs="宋体"/>
                <w:color w:val="FF0000"/>
                <w:sz w:val="24"/>
                <w:szCs w:val="24"/>
              </w:rPr>
            </w:pPr>
            <w:r>
              <w:rPr>
                <w:rFonts w:hint="eastAsia" w:ascii="宋体" w:hAnsi="宋体" w:cs="宋体"/>
                <w:sz w:val="24"/>
                <w:szCs w:val="24"/>
                <w:lang w:eastAsia="zh-CN"/>
              </w:rPr>
              <w:t>谈判响应文件</w:t>
            </w:r>
            <w:r>
              <w:rPr>
                <w:rFonts w:hint="eastAsia" w:ascii="宋体" w:hAnsi="宋体" w:cs="宋体"/>
                <w:sz w:val="24"/>
                <w:szCs w:val="24"/>
              </w:rPr>
              <w:t>中的复印件（含扫描件）必须加盖供应商公章（鲜章），否则按无效文件处理。所有复印件应是最新、有效、清晰的。因复印件不清晰而可能导致资料无效，由</w:t>
            </w:r>
            <w:r>
              <w:rPr>
                <w:rFonts w:hint="eastAsia" w:ascii="宋体" w:hAnsi="宋体" w:cs="宋体"/>
                <w:sz w:val="24"/>
                <w:szCs w:val="24"/>
                <w:lang w:eastAsia="zh-CN"/>
              </w:rPr>
              <w:t>谈判供应商</w:t>
            </w:r>
            <w:r>
              <w:rPr>
                <w:rFonts w:hint="eastAsia" w:ascii="宋体" w:hAnsi="宋体" w:cs="宋体"/>
                <w:sz w:val="24"/>
                <w:szCs w:val="24"/>
              </w:rPr>
              <w:t>自行负责。</w:t>
            </w:r>
          </w:p>
        </w:tc>
      </w:tr>
      <w:tr w14:paraId="78DA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52" w:type="dxa"/>
            <w:noWrap w:val="0"/>
            <w:vAlign w:val="center"/>
          </w:tcPr>
          <w:p w14:paraId="1175FE21">
            <w:pPr>
              <w:numPr>
                <w:ilvl w:val="0"/>
                <w:numId w:val="2"/>
              </w:numPr>
              <w:spacing w:line="360" w:lineRule="auto"/>
              <w:rPr>
                <w:rFonts w:ascii="宋体" w:hAnsi="宋体" w:cs="宋体"/>
                <w:sz w:val="24"/>
                <w:szCs w:val="24"/>
              </w:rPr>
            </w:pPr>
          </w:p>
        </w:tc>
        <w:tc>
          <w:tcPr>
            <w:tcW w:w="9041" w:type="dxa"/>
            <w:noWrap w:val="0"/>
            <w:vAlign w:val="center"/>
          </w:tcPr>
          <w:p w14:paraId="33567157">
            <w:pPr>
              <w:spacing w:line="360" w:lineRule="auto"/>
              <w:rPr>
                <w:rFonts w:ascii="宋体" w:hAnsi="宋体" w:cs="宋体"/>
                <w:sz w:val="24"/>
                <w:szCs w:val="24"/>
              </w:rPr>
            </w:pPr>
            <w:r>
              <w:rPr>
                <w:rFonts w:hint="eastAsia" w:ascii="宋体" w:hAnsi="宋体" w:cs="宋体"/>
                <w:sz w:val="24"/>
                <w:szCs w:val="24"/>
              </w:rPr>
              <w:t>合同签订：成交供应商和采购人签订合同。</w:t>
            </w:r>
          </w:p>
        </w:tc>
      </w:tr>
      <w:tr w14:paraId="7808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752" w:type="dxa"/>
            <w:noWrap w:val="0"/>
            <w:vAlign w:val="center"/>
          </w:tcPr>
          <w:p w14:paraId="12965BD0">
            <w:pPr>
              <w:numPr>
                <w:ilvl w:val="0"/>
                <w:numId w:val="2"/>
              </w:numPr>
              <w:spacing w:line="360" w:lineRule="auto"/>
              <w:rPr>
                <w:rFonts w:ascii="宋体" w:hAnsi="宋体" w:cs="宋体"/>
                <w:sz w:val="24"/>
                <w:szCs w:val="24"/>
              </w:rPr>
            </w:pPr>
          </w:p>
        </w:tc>
        <w:tc>
          <w:tcPr>
            <w:tcW w:w="9041" w:type="dxa"/>
            <w:noWrap w:val="0"/>
            <w:vAlign w:val="center"/>
          </w:tcPr>
          <w:p w14:paraId="67D88725">
            <w:pPr>
              <w:spacing w:line="360" w:lineRule="auto"/>
              <w:rPr>
                <w:rFonts w:ascii="宋体" w:hAnsi="宋体" w:cs="宋体"/>
                <w:sz w:val="24"/>
                <w:szCs w:val="24"/>
              </w:rPr>
            </w:pPr>
            <w:r>
              <w:rPr>
                <w:rFonts w:hint="eastAsia" w:ascii="宋体" w:hAnsi="宋体" w:cs="宋体"/>
                <w:sz w:val="24"/>
                <w:szCs w:val="24"/>
              </w:rPr>
              <w:t>其他：1、供应商若对竞争性谈判文件有质疑的，应当在谈判截止时间2日前以书面形式向采购代理机构提出。在此之后提出的质疑无效。</w:t>
            </w:r>
          </w:p>
          <w:p w14:paraId="2D1FF0DB">
            <w:pPr>
              <w:pStyle w:val="14"/>
              <w:ind w:firstLine="720" w:firstLineChars="300"/>
            </w:pPr>
            <w:r>
              <w:rPr>
                <w:rFonts w:hint="eastAsia" w:ascii="宋体" w:hAnsi="宋体" w:cs="宋体"/>
                <w:sz w:val="24"/>
                <w:szCs w:val="24"/>
              </w:rPr>
              <w:t>2、当供应商不足三家时，按相关文件执行。</w:t>
            </w:r>
          </w:p>
        </w:tc>
      </w:tr>
      <w:tr w14:paraId="4808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52" w:type="dxa"/>
            <w:noWrap w:val="0"/>
            <w:vAlign w:val="center"/>
          </w:tcPr>
          <w:p w14:paraId="75961A24">
            <w:pPr>
              <w:numPr>
                <w:ilvl w:val="0"/>
                <w:numId w:val="2"/>
              </w:numPr>
              <w:spacing w:line="360" w:lineRule="auto"/>
              <w:rPr>
                <w:rFonts w:ascii="宋体" w:hAnsi="宋体" w:cs="宋体"/>
                <w:sz w:val="24"/>
                <w:szCs w:val="24"/>
              </w:rPr>
            </w:pPr>
          </w:p>
        </w:tc>
        <w:tc>
          <w:tcPr>
            <w:tcW w:w="9041" w:type="dxa"/>
            <w:noWrap w:val="0"/>
            <w:vAlign w:val="center"/>
          </w:tcPr>
          <w:p w14:paraId="0B5086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国办《关于促进中小企业健康发展的指导意见》、财政部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工信部《政府采购促进中小企业发展</w:t>
            </w:r>
            <w:r>
              <w:rPr>
                <w:rFonts w:hint="eastAsia" w:ascii="宋体" w:hAnsi="宋体" w:eastAsia="宋体" w:cs="宋体"/>
                <w:sz w:val="24"/>
                <w:szCs w:val="24"/>
                <w:lang w:val="en-US" w:eastAsia="zh-CN"/>
              </w:rPr>
              <w:t>管理</w:t>
            </w:r>
            <w:r>
              <w:rPr>
                <w:rFonts w:hint="eastAsia" w:ascii="宋体" w:hAnsi="宋体" w:eastAsia="宋体" w:cs="宋体"/>
                <w:sz w:val="24"/>
                <w:szCs w:val="24"/>
              </w:rPr>
              <w:t>办法》（财库〔20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46</w:t>
            </w:r>
            <w:r>
              <w:rPr>
                <w:rFonts w:hint="eastAsia" w:ascii="宋体" w:hAnsi="宋体" w:eastAsia="宋体" w:cs="宋体"/>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《陕西省财政厅 中国人民银行西安分行关于深入推进政府采购信用融资业务的通知》</w:t>
            </w:r>
            <w:r>
              <w:rPr>
                <w:rFonts w:hint="eastAsia" w:ascii="宋体" w:hAnsi="宋体" w:eastAsia="宋体" w:cs="宋体"/>
                <w:sz w:val="24"/>
                <w:szCs w:val="24"/>
              </w:rPr>
              <w:t>（陕财办采〔202</w:t>
            </w:r>
            <w:r>
              <w:rPr>
                <w:rFonts w:hint="eastAsia" w:ascii="宋体" w:hAnsi="宋体" w:eastAsia="宋体" w:cs="宋体"/>
                <w:sz w:val="24"/>
                <w:szCs w:val="24"/>
                <w:lang w:val="en-US" w:eastAsia="zh-CN"/>
              </w:rPr>
              <w:t>3</w:t>
            </w:r>
            <w:r>
              <w:rPr>
                <w:rFonts w:hint="eastAsia" w:ascii="宋体" w:hAnsi="宋体" w:eastAsia="宋体" w:cs="宋体"/>
                <w:sz w:val="24"/>
                <w:szCs w:val="24"/>
              </w:rPr>
              <w:t>〕5号）等有关规定，按照</w:t>
            </w:r>
            <w:r>
              <w:rPr>
                <w:rFonts w:hint="eastAsia" w:ascii="宋体" w:hAnsi="宋体" w:eastAsia="宋体" w:cs="宋体"/>
                <w:sz w:val="24"/>
                <w:szCs w:val="24"/>
                <w:lang w:val="en-US" w:eastAsia="zh-CN"/>
              </w:rPr>
              <w:t>政府</w:t>
            </w:r>
            <w:r>
              <w:rPr>
                <w:rFonts w:hint="eastAsia" w:ascii="宋体" w:hAnsi="宋体" w:eastAsia="宋体" w:cs="宋体"/>
                <w:sz w:val="24"/>
                <w:szCs w:val="24"/>
              </w:rPr>
              <w:t>引导、</w:t>
            </w:r>
            <w:r>
              <w:rPr>
                <w:rFonts w:hint="eastAsia" w:ascii="宋体" w:hAnsi="宋体" w:eastAsia="宋体" w:cs="宋体"/>
                <w:sz w:val="24"/>
                <w:szCs w:val="24"/>
                <w:lang w:val="en-US" w:eastAsia="zh-CN"/>
              </w:rPr>
              <w:t>市场运作、银企</w:t>
            </w:r>
            <w:r>
              <w:rPr>
                <w:rFonts w:hint="eastAsia" w:ascii="宋体" w:hAnsi="宋体" w:eastAsia="宋体" w:cs="宋体"/>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sz w:val="24"/>
                <w:szCs w:val="24"/>
                <w:lang w:val="en-US" w:eastAsia="zh-CN"/>
              </w:rPr>
              <w:t>或中征平台（https://www.crcrfsp.com）</w:t>
            </w:r>
            <w:r>
              <w:rPr>
                <w:rFonts w:hint="eastAsia" w:ascii="宋体" w:hAnsi="宋体" w:eastAsia="宋体" w:cs="宋体"/>
                <w:sz w:val="24"/>
                <w:szCs w:val="24"/>
              </w:rPr>
              <w:t>在线申请，依法参加政府采购信用融资活动。</w:t>
            </w:r>
          </w:p>
          <w:tbl>
            <w:tblPr>
              <w:tblStyle w:val="22"/>
              <w:tblpPr w:leftFromText="180" w:rightFromText="180" w:vertAnchor="page" w:horzAnchor="page" w:tblpX="30" w:tblpY="3319"/>
              <w:tblOverlap w:val="never"/>
              <w:tblW w:w="8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973"/>
              <w:gridCol w:w="984"/>
              <w:gridCol w:w="1017"/>
              <w:gridCol w:w="1028"/>
              <w:gridCol w:w="1283"/>
              <w:gridCol w:w="1017"/>
              <w:gridCol w:w="1896"/>
            </w:tblGrid>
            <w:tr w14:paraId="37975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8839" w:type="dxa"/>
                  <w:gridSpan w:val="8"/>
                  <w:tcBorders>
                    <w:top w:val="nil"/>
                    <w:left w:val="nil"/>
                    <w:bottom w:val="nil"/>
                    <w:right w:val="nil"/>
                  </w:tcBorders>
                  <w:noWrap/>
                  <w:vAlign w:val="center"/>
                </w:tcPr>
                <w:p w14:paraId="4ED735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榆林市“政采贷”业务办理银行联系表</w:t>
                  </w:r>
                </w:p>
              </w:tc>
            </w:tr>
            <w:tr w14:paraId="2A212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622FA4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08900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银行名称</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F11BC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4E4C9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贷款额度</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6827EC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贷款期限</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FBA5A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贷款利率</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4314D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办理时效</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15AF09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联系人</w:t>
                  </w:r>
                </w:p>
              </w:tc>
            </w:tr>
            <w:tr w14:paraId="5887F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1F542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4190F0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长安银行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79A0C4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B5380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03D78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75A719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741DD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2E79EA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  众15109123951</w:t>
                  </w:r>
                </w:p>
              </w:tc>
            </w:tr>
            <w:tr w14:paraId="67FE7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880FE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757323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中信银行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B2C47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5239B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001106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6F6F4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62CA8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03A2D2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  靖15509125117</w:t>
                  </w:r>
                </w:p>
              </w:tc>
            </w:tr>
            <w:tr w14:paraId="17B4C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655776C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493EF2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光大银行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1D151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B92FD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3A287D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5B242B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0938E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0EBFBF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刘  波18809125468</w:t>
                  </w:r>
                </w:p>
              </w:tc>
            </w:tr>
            <w:tr w14:paraId="7DFB3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910D2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EBE8C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541D7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秦政贷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2F9B0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CAA9D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90C70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65794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ECE50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  飞15291296886</w:t>
                  </w:r>
                </w:p>
              </w:tc>
            </w:tr>
            <w:tr w14:paraId="509E7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EFC15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7D23E8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中国银行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7E83C3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3BCA5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09B006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12FDA4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EB501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154371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  浩18691230007</w:t>
                  </w:r>
                </w:p>
              </w:tc>
            </w:tr>
            <w:tr w14:paraId="505EA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3B21BB9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0F1FF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111FE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5F275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610B79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07376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EE3F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17F37B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  烨15596100007</w:t>
                  </w:r>
                </w:p>
              </w:tc>
            </w:tr>
            <w:tr w14:paraId="7B625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63DC40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0ABD9C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浦发银行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784EC0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3149F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688178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67F21B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B9CED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410F1F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  君15629169158</w:t>
                  </w:r>
                </w:p>
              </w:tc>
            </w:tr>
            <w:tr w14:paraId="73E68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34BC8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7F0731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F0085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6D7E1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114E5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AF7B8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3.45%-5.8%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2D4A9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0A78D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璐15529875056</w:t>
                  </w:r>
                </w:p>
              </w:tc>
            </w:tr>
            <w:tr w14:paraId="67FCC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33BCB2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404671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DE4FB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818CD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44D21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4BA91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3.45%-3.85%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43209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7FBEB0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杨  尧13325409313</w:t>
                  </w:r>
                </w:p>
              </w:tc>
            </w:tr>
            <w:tr w14:paraId="7A623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A3E6C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DFFB7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民生银行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2B2FD1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EFC8C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0E8718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7FCA02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484B8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19BF8E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郝双双15991225850</w:t>
                  </w:r>
                </w:p>
              </w:tc>
            </w:tr>
          </w:tbl>
          <w:p w14:paraId="0F567731">
            <w:pPr>
              <w:spacing w:line="360" w:lineRule="auto"/>
              <w:ind w:firstLine="440" w:firstLineChars="200"/>
              <w:jc w:val="left"/>
              <w:rPr>
                <w:rFonts w:ascii="宋体" w:hAnsi="宋体" w:cs="宋体"/>
                <w:sz w:val="24"/>
                <w:szCs w:val="24"/>
              </w:rPr>
            </w:pPr>
            <w:r>
              <w:rPr>
                <w:rFonts w:hint="eastAsia" w:ascii="宋体" w:hAnsi="宋体" w:eastAsia="宋体" w:cs="宋体"/>
                <w:i w:val="0"/>
                <w:iCs w:val="0"/>
                <w:color w:val="000000"/>
                <w:kern w:val="0"/>
                <w:sz w:val="22"/>
                <w:szCs w:val="22"/>
                <w:u w:val="none"/>
                <w:lang w:val="en-US" w:eastAsia="zh-CN" w:bidi="ar"/>
              </w:rPr>
              <w:t>备注：银行排名不分先后。如产品额度、期限、利率等内容发生改变，以银行解释为准。</w:t>
            </w:r>
          </w:p>
        </w:tc>
      </w:tr>
      <w:tr w14:paraId="1908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752" w:type="dxa"/>
            <w:noWrap w:val="0"/>
            <w:vAlign w:val="center"/>
          </w:tcPr>
          <w:p w14:paraId="483F35D5">
            <w:pPr>
              <w:spacing w:line="360" w:lineRule="auto"/>
              <w:jc w:val="center"/>
              <w:rPr>
                <w:rFonts w:ascii="宋体" w:hAnsi="宋体" w:cs="宋体"/>
                <w:sz w:val="24"/>
                <w:szCs w:val="24"/>
              </w:rPr>
            </w:pPr>
            <w:r>
              <w:rPr>
                <w:rFonts w:hint="eastAsia" w:ascii="宋体" w:hAnsi="宋体" w:cs="仿宋_GB2312"/>
                <w:sz w:val="24"/>
                <w:szCs w:val="24"/>
              </w:rPr>
              <w:t>26</w:t>
            </w:r>
          </w:p>
        </w:tc>
        <w:tc>
          <w:tcPr>
            <w:tcW w:w="9041" w:type="dxa"/>
            <w:noWrap w:val="0"/>
            <w:vAlign w:val="center"/>
          </w:tcPr>
          <w:p w14:paraId="70BFBD83">
            <w:pPr>
              <w:spacing w:line="360" w:lineRule="auto"/>
              <w:rPr>
                <w:rFonts w:ascii="宋体" w:hAnsi="宋体" w:cs="仿宋_GB2312"/>
                <w:sz w:val="24"/>
                <w:szCs w:val="24"/>
              </w:rPr>
            </w:pPr>
            <w:r>
              <w:rPr>
                <w:rFonts w:hint="eastAsia" w:ascii="宋体" w:hAnsi="宋体" w:cs="仿宋_GB2312"/>
                <w:sz w:val="24"/>
                <w:szCs w:val="24"/>
              </w:rPr>
              <w:t>招标代理服务费：</w:t>
            </w:r>
          </w:p>
          <w:p w14:paraId="384CBE3A">
            <w:pPr>
              <w:spacing w:line="360" w:lineRule="auto"/>
              <w:rPr>
                <w:rFonts w:ascii="宋体" w:hAnsi="宋体" w:cs="仿宋_GB2312"/>
                <w:sz w:val="24"/>
                <w:szCs w:val="24"/>
              </w:rPr>
            </w:pPr>
            <w:r>
              <w:rPr>
                <w:rFonts w:hint="eastAsia" w:ascii="宋体" w:hAnsi="宋体" w:cs="仿宋_GB2312"/>
                <w:sz w:val="24"/>
                <w:szCs w:val="24"/>
              </w:rPr>
              <w:t>(1)招标代理服务费的收取参见国家计委颁布的《招标代理服务收费管理暂行办法》（计价格[2002]1980号）和（发改办价格[2011]534号）中</w:t>
            </w:r>
            <w:r>
              <w:rPr>
                <w:rFonts w:hint="eastAsia" w:ascii="宋体" w:hAnsi="宋体"/>
                <w:sz w:val="24"/>
                <w:szCs w:val="24"/>
              </w:rPr>
              <w:t>规定的差额定律累进法计算,向成交供应商收取。</w:t>
            </w:r>
          </w:p>
          <w:p w14:paraId="16E82A31">
            <w:pPr>
              <w:spacing w:line="360" w:lineRule="auto"/>
              <w:rPr>
                <w:rFonts w:ascii="宋体" w:hAnsi="宋体" w:cs="宋体"/>
                <w:sz w:val="24"/>
                <w:szCs w:val="24"/>
              </w:rPr>
            </w:pPr>
            <w:r>
              <w:rPr>
                <w:rFonts w:hint="eastAsia" w:ascii="宋体" w:hAnsi="宋体" w:cs="仿宋_GB2312"/>
                <w:sz w:val="24"/>
                <w:szCs w:val="24"/>
              </w:rPr>
              <w:t>(2)</w:t>
            </w:r>
            <w:r>
              <w:rPr>
                <w:rFonts w:hint="eastAsia" w:ascii="宋体" w:hAnsi="宋体" w:cs="宋体"/>
                <w:sz w:val="24"/>
                <w:szCs w:val="24"/>
              </w:rPr>
              <w:t>支付方式：成交供应商应在领取通知书的同时，向</w:t>
            </w:r>
            <w:r>
              <w:rPr>
                <w:rFonts w:hint="eastAsia" w:ascii="宋体" w:hAnsi="宋体" w:cs="宋体"/>
                <w:sz w:val="24"/>
                <w:szCs w:val="24"/>
                <w:lang w:eastAsia="zh-CN"/>
              </w:rPr>
              <w:t>榆林市恒易达工程项目管理有限公司</w:t>
            </w:r>
            <w:r>
              <w:rPr>
                <w:rFonts w:hint="eastAsia" w:ascii="宋体" w:hAnsi="宋体" w:cs="宋体"/>
                <w:sz w:val="24"/>
                <w:szCs w:val="24"/>
              </w:rPr>
              <w:t>交纳本项目采购代理服务费。</w:t>
            </w:r>
          </w:p>
          <w:p w14:paraId="6F28F933">
            <w:pPr>
              <w:spacing w:line="360" w:lineRule="auto"/>
              <w:rPr>
                <w:rFonts w:hint="eastAsia" w:ascii="宋体" w:hAnsi="宋体" w:cs="宋体"/>
                <w:sz w:val="24"/>
                <w:szCs w:val="24"/>
              </w:rPr>
            </w:pPr>
            <w:r>
              <w:rPr>
                <w:rFonts w:hint="eastAsia" w:ascii="宋体" w:hAnsi="宋体" w:cs="宋体"/>
                <w:sz w:val="24"/>
                <w:szCs w:val="24"/>
              </w:rPr>
              <w:t>3、采购代理服务费按差额定率累进法计算：</w:t>
            </w:r>
          </w:p>
          <w:tbl>
            <w:tblPr>
              <w:tblStyle w:val="22"/>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8"/>
              <w:gridCol w:w="1715"/>
              <w:gridCol w:w="2042"/>
              <w:gridCol w:w="2043"/>
            </w:tblGrid>
            <w:tr w14:paraId="6FFA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2898" w:type="dxa"/>
                  <w:noWrap w:val="0"/>
                  <w:vAlign w:val="top"/>
                </w:tcPr>
                <w:p w14:paraId="345B228F">
                  <w:pPr>
                    <w:spacing w:line="360" w:lineRule="auto"/>
                    <w:rPr>
                      <w:rFonts w:ascii="宋体" w:hAnsi="宋体" w:cs="宋体"/>
                      <w:sz w:val="24"/>
                      <w:szCs w:val="24"/>
                    </w:rPr>
                  </w:pPr>
                  <w:r>
                    <w:rPr>
                      <w:rFonts w:hint="eastAsia" w:ascii="宋体" w:hAnsi="宋体" w:cs="宋体"/>
                      <w:sz w:val="24"/>
                      <w:szCs w:val="24"/>
                    </w:rPr>
                    <w:t>服务类型/费率/中标金额（万元）</w:t>
                  </w:r>
                </w:p>
              </w:tc>
              <w:tc>
                <w:tcPr>
                  <w:tcW w:w="1715" w:type="dxa"/>
                  <w:noWrap w:val="0"/>
                  <w:vAlign w:val="center"/>
                </w:tcPr>
                <w:p w14:paraId="46B3654B">
                  <w:pPr>
                    <w:spacing w:line="360" w:lineRule="auto"/>
                    <w:rPr>
                      <w:rFonts w:ascii="宋体" w:hAnsi="宋体" w:cs="宋体"/>
                      <w:sz w:val="24"/>
                      <w:szCs w:val="24"/>
                    </w:rPr>
                  </w:pPr>
                  <w:r>
                    <w:rPr>
                      <w:rFonts w:hint="eastAsia" w:ascii="宋体" w:hAnsi="宋体" w:cs="宋体"/>
                      <w:sz w:val="24"/>
                      <w:szCs w:val="24"/>
                    </w:rPr>
                    <w:t>货物招标</w:t>
                  </w:r>
                </w:p>
              </w:tc>
              <w:tc>
                <w:tcPr>
                  <w:tcW w:w="2042" w:type="dxa"/>
                  <w:noWrap w:val="0"/>
                  <w:vAlign w:val="center"/>
                </w:tcPr>
                <w:p w14:paraId="079A44FE">
                  <w:pPr>
                    <w:spacing w:line="360" w:lineRule="auto"/>
                    <w:jc w:val="center"/>
                    <w:rPr>
                      <w:rFonts w:ascii="宋体" w:hAnsi="宋体" w:cs="宋体"/>
                      <w:sz w:val="24"/>
                      <w:szCs w:val="24"/>
                    </w:rPr>
                  </w:pPr>
                  <w:r>
                    <w:rPr>
                      <w:rFonts w:hint="eastAsia" w:ascii="宋体" w:hAnsi="宋体" w:cs="宋体"/>
                      <w:sz w:val="24"/>
                      <w:szCs w:val="24"/>
                    </w:rPr>
                    <w:t>服务招标</w:t>
                  </w:r>
                </w:p>
              </w:tc>
              <w:tc>
                <w:tcPr>
                  <w:tcW w:w="2043" w:type="dxa"/>
                  <w:noWrap w:val="0"/>
                  <w:vAlign w:val="center"/>
                </w:tcPr>
                <w:p w14:paraId="446A795E">
                  <w:pPr>
                    <w:spacing w:line="360" w:lineRule="auto"/>
                    <w:rPr>
                      <w:rFonts w:ascii="宋体" w:hAnsi="宋体" w:cs="宋体"/>
                      <w:sz w:val="24"/>
                      <w:szCs w:val="24"/>
                    </w:rPr>
                  </w:pPr>
                  <w:r>
                    <w:rPr>
                      <w:rFonts w:hint="eastAsia" w:ascii="宋体" w:hAnsi="宋体" w:cs="宋体"/>
                      <w:sz w:val="24"/>
                      <w:szCs w:val="24"/>
                    </w:rPr>
                    <w:t>工程招标</w:t>
                  </w:r>
                </w:p>
              </w:tc>
            </w:tr>
            <w:tr w14:paraId="760C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7A5B0266">
                  <w:pPr>
                    <w:spacing w:line="360" w:lineRule="auto"/>
                    <w:rPr>
                      <w:rFonts w:ascii="宋体" w:hAnsi="宋体" w:cs="宋体"/>
                      <w:sz w:val="24"/>
                      <w:szCs w:val="24"/>
                    </w:rPr>
                  </w:pPr>
                  <w:r>
                    <w:rPr>
                      <w:rFonts w:hint="eastAsia" w:ascii="宋体" w:hAnsi="宋体" w:cs="宋体"/>
                      <w:sz w:val="24"/>
                      <w:szCs w:val="24"/>
                    </w:rPr>
                    <w:t>100以下</w:t>
                  </w:r>
                </w:p>
              </w:tc>
              <w:tc>
                <w:tcPr>
                  <w:tcW w:w="1715" w:type="dxa"/>
                  <w:noWrap w:val="0"/>
                  <w:vAlign w:val="top"/>
                </w:tcPr>
                <w:p w14:paraId="70FAD276">
                  <w:pPr>
                    <w:spacing w:line="360" w:lineRule="auto"/>
                    <w:rPr>
                      <w:rFonts w:ascii="宋体" w:hAnsi="宋体" w:cs="宋体"/>
                      <w:sz w:val="24"/>
                      <w:szCs w:val="24"/>
                    </w:rPr>
                  </w:pPr>
                  <w:r>
                    <w:rPr>
                      <w:rFonts w:hint="eastAsia" w:ascii="宋体" w:hAnsi="宋体" w:cs="宋体"/>
                      <w:sz w:val="24"/>
                      <w:szCs w:val="24"/>
                    </w:rPr>
                    <w:t>1.5%</w:t>
                  </w:r>
                </w:p>
              </w:tc>
              <w:tc>
                <w:tcPr>
                  <w:tcW w:w="2042" w:type="dxa"/>
                  <w:noWrap w:val="0"/>
                  <w:vAlign w:val="top"/>
                </w:tcPr>
                <w:p w14:paraId="3786DFBC">
                  <w:pPr>
                    <w:spacing w:line="360" w:lineRule="auto"/>
                    <w:rPr>
                      <w:rFonts w:ascii="宋体" w:hAnsi="宋体" w:cs="宋体"/>
                      <w:sz w:val="24"/>
                      <w:szCs w:val="24"/>
                    </w:rPr>
                  </w:pPr>
                  <w:r>
                    <w:rPr>
                      <w:rFonts w:hint="eastAsia" w:ascii="宋体" w:hAnsi="宋体" w:cs="宋体"/>
                      <w:sz w:val="24"/>
                      <w:szCs w:val="24"/>
                    </w:rPr>
                    <w:t>1.5%</w:t>
                  </w:r>
                </w:p>
              </w:tc>
              <w:tc>
                <w:tcPr>
                  <w:tcW w:w="2043" w:type="dxa"/>
                  <w:noWrap w:val="0"/>
                  <w:vAlign w:val="top"/>
                </w:tcPr>
                <w:p w14:paraId="1FBC2554">
                  <w:pPr>
                    <w:spacing w:line="360" w:lineRule="auto"/>
                    <w:rPr>
                      <w:rFonts w:ascii="宋体" w:hAnsi="宋体" w:cs="宋体"/>
                      <w:sz w:val="24"/>
                      <w:szCs w:val="24"/>
                    </w:rPr>
                  </w:pPr>
                  <w:r>
                    <w:rPr>
                      <w:rFonts w:hint="eastAsia" w:ascii="宋体" w:hAnsi="宋体" w:cs="宋体"/>
                      <w:sz w:val="24"/>
                      <w:szCs w:val="24"/>
                    </w:rPr>
                    <w:t>1.0%</w:t>
                  </w:r>
                </w:p>
              </w:tc>
            </w:tr>
            <w:tr w14:paraId="1FB8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470F85F8">
                  <w:pPr>
                    <w:spacing w:line="360" w:lineRule="auto"/>
                    <w:rPr>
                      <w:rFonts w:ascii="宋体" w:hAnsi="宋体" w:cs="宋体"/>
                      <w:sz w:val="24"/>
                      <w:szCs w:val="24"/>
                    </w:rPr>
                  </w:pPr>
                  <w:r>
                    <w:rPr>
                      <w:rFonts w:hint="eastAsia" w:ascii="宋体" w:hAnsi="宋体" w:cs="宋体"/>
                      <w:sz w:val="24"/>
                      <w:szCs w:val="24"/>
                    </w:rPr>
                    <w:t>100-500</w:t>
                  </w:r>
                </w:p>
              </w:tc>
              <w:tc>
                <w:tcPr>
                  <w:tcW w:w="1715" w:type="dxa"/>
                  <w:noWrap w:val="0"/>
                  <w:vAlign w:val="top"/>
                </w:tcPr>
                <w:p w14:paraId="694018A7">
                  <w:pPr>
                    <w:spacing w:line="360" w:lineRule="auto"/>
                    <w:rPr>
                      <w:rFonts w:ascii="宋体" w:hAnsi="宋体" w:cs="宋体"/>
                      <w:sz w:val="24"/>
                      <w:szCs w:val="24"/>
                    </w:rPr>
                  </w:pPr>
                  <w:r>
                    <w:rPr>
                      <w:rFonts w:hint="eastAsia" w:ascii="宋体" w:hAnsi="宋体" w:cs="宋体"/>
                      <w:sz w:val="24"/>
                      <w:szCs w:val="24"/>
                    </w:rPr>
                    <w:t>1.1%</w:t>
                  </w:r>
                </w:p>
              </w:tc>
              <w:tc>
                <w:tcPr>
                  <w:tcW w:w="2042" w:type="dxa"/>
                  <w:noWrap w:val="0"/>
                  <w:vAlign w:val="top"/>
                </w:tcPr>
                <w:p w14:paraId="24155494">
                  <w:pPr>
                    <w:spacing w:line="360" w:lineRule="auto"/>
                    <w:rPr>
                      <w:rFonts w:ascii="宋体" w:hAnsi="宋体" w:cs="宋体"/>
                      <w:sz w:val="24"/>
                      <w:szCs w:val="24"/>
                    </w:rPr>
                  </w:pPr>
                  <w:r>
                    <w:rPr>
                      <w:rFonts w:hint="eastAsia" w:ascii="宋体" w:hAnsi="宋体" w:cs="宋体"/>
                      <w:sz w:val="24"/>
                      <w:szCs w:val="24"/>
                    </w:rPr>
                    <w:t>0.8%</w:t>
                  </w:r>
                </w:p>
              </w:tc>
              <w:tc>
                <w:tcPr>
                  <w:tcW w:w="2043" w:type="dxa"/>
                  <w:noWrap w:val="0"/>
                  <w:vAlign w:val="top"/>
                </w:tcPr>
                <w:p w14:paraId="2065B068">
                  <w:pPr>
                    <w:spacing w:line="360" w:lineRule="auto"/>
                    <w:rPr>
                      <w:rFonts w:ascii="宋体" w:hAnsi="宋体" w:cs="宋体"/>
                      <w:sz w:val="24"/>
                      <w:szCs w:val="24"/>
                    </w:rPr>
                  </w:pPr>
                  <w:r>
                    <w:rPr>
                      <w:rFonts w:hint="eastAsia" w:ascii="宋体" w:hAnsi="宋体" w:cs="宋体"/>
                      <w:sz w:val="24"/>
                      <w:szCs w:val="24"/>
                    </w:rPr>
                    <w:t>0.7%</w:t>
                  </w:r>
                </w:p>
              </w:tc>
            </w:tr>
            <w:tr w14:paraId="07B5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5DA1E244">
                  <w:pPr>
                    <w:spacing w:line="360" w:lineRule="auto"/>
                    <w:rPr>
                      <w:rFonts w:ascii="宋体" w:hAnsi="宋体" w:cs="宋体"/>
                      <w:sz w:val="24"/>
                      <w:szCs w:val="24"/>
                    </w:rPr>
                  </w:pPr>
                  <w:r>
                    <w:rPr>
                      <w:rFonts w:hint="eastAsia" w:ascii="宋体" w:hAnsi="宋体" w:cs="宋体"/>
                      <w:sz w:val="24"/>
                      <w:szCs w:val="24"/>
                    </w:rPr>
                    <w:t>500-1000</w:t>
                  </w:r>
                </w:p>
              </w:tc>
              <w:tc>
                <w:tcPr>
                  <w:tcW w:w="1715" w:type="dxa"/>
                  <w:noWrap w:val="0"/>
                  <w:vAlign w:val="top"/>
                </w:tcPr>
                <w:p w14:paraId="64088B7E">
                  <w:pPr>
                    <w:spacing w:line="360" w:lineRule="auto"/>
                    <w:rPr>
                      <w:rFonts w:ascii="宋体" w:hAnsi="宋体" w:cs="宋体"/>
                      <w:sz w:val="24"/>
                      <w:szCs w:val="24"/>
                    </w:rPr>
                  </w:pPr>
                  <w:r>
                    <w:rPr>
                      <w:rFonts w:hint="eastAsia" w:ascii="宋体" w:hAnsi="宋体" w:cs="宋体"/>
                      <w:sz w:val="24"/>
                      <w:szCs w:val="24"/>
                    </w:rPr>
                    <w:t>0.8%</w:t>
                  </w:r>
                </w:p>
              </w:tc>
              <w:tc>
                <w:tcPr>
                  <w:tcW w:w="2042" w:type="dxa"/>
                  <w:noWrap w:val="0"/>
                  <w:vAlign w:val="top"/>
                </w:tcPr>
                <w:p w14:paraId="45B4110B">
                  <w:pPr>
                    <w:spacing w:line="360" w:lineRule="auto"/>
                    <w:rPr>
                      <w:rFonts w:ascii="宋体" w:hAnsi="宋体" w:cs="宋体"/>
                      <w:sz w:val="24"/>
                      <w:szCs w:val="24"/>
                    </w:rPr>
                  </w:pPr>
                  <w:r>
                    <w:rPr>
                      <w:rFonts w:hint="eastAsia" w:ascii="宋体" w:hAnsi="宋体" w:cs="宋体"/>
                      <w:sz w:val="24"/>
                      <w:szCs w:val="24"/>
                    </w:rPr>
                    <w:t>0.45%</w:t>
                  </w:r>
                </w:p>
              </w:tc>
              <w:tc>
                <w:tcPr>
                  <w:tcW w:w="2043" w:type="dxa"/>
                  <w:noWrap w:val="0"/>
                  <w:vAlign w:val="top"/>
                </w:tcPr>
                <w:p w14:paraId="013CCFAC">
                  <w:pPr>
                    <w:spacing w:line="360" w:lineRule="auto"/>
                    <w:rPr>
                      <w:rFonts w:ascii="宋体" w:hAnsi="宋体" w:cs="宋体"/>
                      <w:sz w:val="24"/>
                      <w:szCs w:val="24"/>
                    </w:rPr>
                  </w:pPr>
                  <w:r>
                    <w:rPr>
                      <w:rFonts w:hint="eastAsia" w:ascii="宋体" w:hAnsi="宋体" w:cs="宋体"/>
                      <w:sz w:val="24"/>
                      <w:szCs w:val="24"/>
                    </w:rPr>
                    <w:t>0.55%</w:t>
                  </w:r>
                </w:p>
              </w:tc>
            </w:tr>
            <w:tr w14:paraId="6A36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3EAE3A63">
                  <w:pPr>
                    <w:spacing w:line="360" w:lineRule="auto"/>
                    <w:rPr>
                      <w:rFonts w:ascii="宋体" w:hAnsi="宋体" w:cs="宋体"/>
                      <w:sz w:val="24"/>
                      <w:szCs w:val="24"/>
                    </w:rPr>
                  </w:pPr>
                  <w:r>
                    <w:rPr>
                      <w:rFonts w:hint="eastAsia" w:ascii="宋体" w:hAnsi="宋体" w:cs="宋体"/>
                      <w:sz w:val="24"/>
                      <w:szCs w:val="24"/>
                    </w:rPr>
                    <w:t>1000-5000</w:t>
                  </w:r>
                </w:p>
              </w:tc>
              <w:tc>
                <w:tcPr>
                  <w:tcW w:w="1715" w:type="dxa"/>
                  <w:noWrap w:val="0"/>
                  <w:vAlign w:val="top"/>
                </w:tcPr>
                <w:p w14:paraId="435C969E">
                  <w:pPr>
                    <w:spacing w:line="360" w:lineRule="auto"/>
                    <w:rPr>
                      <w:rFonts w:ascii="宋体" w:hAnsi="宋体" w:cs="宋体"/>
                      <w:sz w:val="24"/>
                      <w:szCs w:val="24"/>
                    </w:rPr>
                  </w:pPr>
                  <w:r>
                    <w:rPr>
                      <w:rFonts w:hint="eastAsia" w:ascii="宋体" w:hAnsi="宋体" w:cs="宋体"/>
                      <w:sz w:val="24"/>
                      <w:szCs w:val="24"/>
                    </w:rPr>
                    <w:t>0.5%</w:t>
                  </w:r>
                </w:p>
              </w:tc>
              <w:tc>
                <w:tcPr>
                  <w:tcW w:w="2042" w:type="dxa"/>
                  <w:noWrap w:val="0"/>
                  <w:vAlign w:val="top"/>
                </w:tcPr>
                <w:p w14:paraId="44A9DDAA">
                  <w:pPr>
                    <w:spacing w:line="360" w:lineRule="auto"/>
                    <w:rPr>
                      <w:rFonts w:ascii="宋体" w:hAnsi="宋体" w:cs="宋体"/>
                      <w:sz w:val="24"/>
                      <w:szCs w:val="24"/>
                    </w:rPr>
                  </w:pPr>
                  <w:r>
                    <w:rPr>
                      <w:rFonts w:hint="eastAsia" w:ascii="宋体" w:hAnsi="宋体" w:cs="宋体"/>
                      <w:sz w:val="24"/>
                      <w:szCs w:val="24"/>
                    </w:rPr>
                    <w:t>0.25%</w:t>
                  </w:r>
                </w:p>
              </w:tc>
              <w:tc>
                <w:tcPr>
                  <w:tcW w:w="2043" w:type="dxa"/>
                  <w:noWrap w:val="0"/>
                  <w:vAlign w:val="top"/>
                </w:tcPr>
                <w:p w14:paraId="06172DEE">
                  <w:pPr>
                    <w:spacing w:line="360" w:lineRule="auto"/>
                    <w:rPr>
                      <w:rFonts w:ascii="宋体" w:hAnsi="宋体" w:cs="宋体"/>
                      <w:sz w:val="24"/>
                      <w:szCs w:val="24"/>
                    </w:rPr>
                  </w:pPr>
                  <w:r>
                    <w:rPr>
                      <w:rFonts w:hint="eastAsia" w:ascii="宋体" w:hAnsi="宋体" w:cs="宋体"/>
                      <w:sz w:val="24"/>
                      <w:szCs w:val="24"/>
                    </w:rPr>
                    <w:t>0.35%</w:t>
                  </w:r>
                </w:p>
              </w:tc>
            </w:tr>
            <w:tr w14:paraId="55CB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1A775FC2">
                  <w:pPr>
                    <w:spacing w:line="360" w:lineRule="auto"/>
                    <w:rPr>
                      <w:rFonts w:ascii="宋体" w:hAnsi="宋体" w:cs="宋体"/>
                      <w:sz w:val="24"/>
                      <w:szCs w:val="24"/>
                    </w:rPr>
                  </w:pPr>
                  <w:r>
                    <w:rPr>
                      <w:rFonts w:hint="eastAsia" w:ascii="宋体" w:hAnsi="宋体" w:cs="宋体"/>
                      <w:sz w:val="24"/>
                      <w:szCs w:val="24"/>
                    </w:rPr>
                    <w:t>5000-10000</w:t>
                  </w:r>
                </w:p>
              </w:tc>
              <w:tc>
                <w:tcPr>
                  <w:tcW w:w="1715" w:type="dxa"/>
                  <w:noWrap w:val="0"/>
                  <w:vAlign w:val="top"/>
                </w:tcPr>
                <w:p w14:paraId="4B675FBF">
                  <w:pPr>
                    <w:spacing w:line="360" w:lineRule="auto"/>
                    <w:rPr>
                      <w:rFonts w:ascii="宋体" w:hAnsi="宋体" w:cs="宋体"/>
                      <w:sz w:val="24"/>
                      <w:szCs w:val="24"/>
                    </w:rPr>
                  </w:pPr>
                  <w:r>
                    <w:rPr>
                      <w:rFonts w:hint="eastAsia" w:ascii="宋体" w:hAnsi="宋体" w:cs="宋体"/>
                      <w:sz w:val="24"/>
                      <w:szCs w:val="24"/>
                    </w:rPr>
                    <w:t>0.25%</w:t>
                  </w:r>
                </w:p>
              </w:tc>
              <w:tc>
                <w:tcPr>
                  <w:tcW w:w="2042" w:type="dxa"/>
                  <w:noWrap w:val="0"/>
                  <w:vAlign w:val="top"/>
                </w:tcPr>
                <w:p w14:paraId="631B18FA">
                  <w:pPr>
                    <w:spacing w:line="360" w:lineRule="auto"/>
                    <w:rPr>
                      <w:rFonts w:ascii="宋体" w:hAnsi="宋体" w:cs="宋体"/>
                      <w:sz w:val="24"/>
                      <w:szCs w:val="24"/>
                    </w:rPr>
                  </w:pPr>
                  <w:r>
                    <w:rPr>
                      <w:rFonts w:hint="eastAsia" w:ascii="宋体" w:hAnsi="宋体" w:cs="宋体"/>
                      <w:sz w:val="24"/>
                      <w:szCs w:val="24"/>
                    </w:rPr>
                    <w:t>0.1%</w:t>
                  </w:r>
                </w:p>
              </w:tc>
              <w:tc>
                <w:tcPr>
                  <w:tcW w:w="2043" w:type="dxa"/>
                  <w:noWrap w:val="0"/>
                  <w:vAlign w:val="top"/>
                </w:tcPr>
                <w:p w14:paraId="2C50AE6C">
                  <w:pPr>
                    <w:spacing w:line="360" w:lineRule="auto"/>
                    <w:rPr>
                      <w:rFonts w:ascii="宋体" w:hAnsi="宋体" w:cs="宋体"/>
                      <w:sz w:val="24"/>
                      <w:szCs w:val="24"/>
                    </w:rPr>
                  </w:pPr>
                  <w:r>
                    <w:rPr>
                      <w:rFonts w:hint="eastAsia" w:ascii="宋体" w:hAnsi="宋体" w:cs="宋体"/>
                      <w:sz w:val="24"/>
                      <w:szCs w:val="24"/>
                    </w:rPr>
                    <w:t>0.2%</w:t>
                  </w:r>
                </w:p>
              </w:tc>
            </w:tr>
            <w:tr w14:paraId="0A64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5A274929">
                  <w:pPr>
                    <w:spacing w:line="360" w:lineRule="auto"/>
                    <w:rPr>
                      <w:rFonts w:ascii="宋体" w:hAnsi="宋体" w:cs="宋体"/>
                      <w:sz w:val="24"/>
                      <w:szCs w:val="24"/>
                    </w:rPr>
                  </w:pPr>
                  <w:r>
                    <w:rPr>
                      <w:rFonts w:hint="eastAsia" w:ascii="宋体" w:hAnsi="宋体" w:cs="宋体"/>
                      <w:sz w:val="24"/>
                      <w:szCs w:val="24"/>
                    </w:rPr>
                    <w:t>10000-100000</w:t>
                  </w:r>
                </w:p>
              </w:tc>
              <w:tc>
                <w:tcPr>
                  <w:tcW w:w="1715" w:type="dxa"/>
                  <w:noWrap w:val="0"/>
                  <w:vAlign w:val="top"/>
                </w:tcPr>
                <w:p w14:paraId="654EB690">
                  <w:pPr>
                    <w:spacing w:line="360" w:lineRule="auto"/>
                    <w:rPr>
                      <w:rFonts w:ascii="宋体" w:hAnsi="宋体" w:cs="宋体"/>
                      <w:sz w:val="24"/>
                      <w:szCs w:val="24"/>
                    </w:rPr>
                  </w:pPr>
                  <w:r>
                    <w:rPr>
                      <w:rFonts w:hint="eastAsia" w:ascii="宋体" w:hAnsi="宋体" w:cs="宋体"/>
                      <w:sz w:val="24"/>
                      <w:szCs w:val="24"/>
                    </w:rPr>
                    <w:t>0.05%</w:t>
                  </w:r>
                </w:p>
              </w:tc>
              <w:tc>
                <w:tcPr>
                  <w:tcW w:w="2042" w:type="dxa"/>
                  <w:noWrap w:val="0"/>
                  <w:vAlign w:val="top"/>
                </w:tcPr>
                <w:p w14:paraId="7F780C28">
                  <w:pPr>
                    <w:spacing w:line="360" w:lineRule="auto"/>
                    <w:rPr>
                      <w:rFonts w:ascii="宋体" w:hAnsi="宋体" w:cs="宋体"/>
                      <w:sz w:val="24"/>
                      <w:szCs w:val="24"/>
                    </w:rPr>
                  </w:pPr>
                  <w:r>
                    <w:rPr>
                      <w:rFonts w:hint="eastAsia" w:ascii="宋体" w:hAnsi="宋体" w:cs="宋体"/>
                      <w:sz w:val="24"/>
                      <w:szCs w:val="24"/>
                    </w:rPr>
                    <w:t>0.05%</w:t>
                  </w:r>
                </w:p>
              </w:tc>
              <w:tc>
                <w:tcPr>
                  <w:tcW w:w="2043" w:type="dxa"/>
                  <w:noWrap w:val="0"/>
                  <w:vAlign w:val="top"/>
                </w:tcPr>
                <w:p w14:paraId="1C6E4FF1">
                  <w:pPr>
                    <w:spacing w:line="360" w:lineRule="auto"/>
                    <w:rPr>
                      <w:rFonts w:ascii="宋体" w:hAnsi="宋体" w:cs="宋体"/>
                      <w:sz w:val="24"/>
                      <w:szCs w:val="24"/>
                    </w:rPr>
                  </w:pPr>
                  <w:r>
                    <w:rPr>
                      <w:rFonts w:hint="eastAsia" w:ascii="宋体" w:hAnsi="宋体" w:cs="宋体"/>
                      <w:sz w:val="24"/>
                      <w:szCs w:val="24"/>
                    </w:rPr>
                    <w:t>0.05%</w:t>
                  </w:r>
                </w:p>
              </w:tc>
            </w:tr>
            <w:tr w14:paraId="46FA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898" w:type="dxa"/>
                  <w:noWrap w:val="0"/>
                  <w:vAlign w:val="top"/>
                </w:tcPr>
                <w:p w14:paraId="6E4085E0">
                  <w:pPr>
                    <w:spacing w:line="360" w:lineRule="auto"/>
                    <w:rPr>
                      <w:rFonts w:ascii="宋体" w:hAnsi="宋体" w:cs="宋体"/>
                      <w:sz w:val="24"/>
                      <w:szCs w:val="24"/>
                    </w:rPr>
                  </w:pPr>
                  <w:r>
                    <w:rPr>
                      <w:rFonts w:hint="eastAsia" w:ascii="宋体" w:hAnsi="宋体" w:cs="宋体"/>
                      <w:sz w:val="24"/>
                      <w:szCs w:val="24"/>
                    </w:rPr>
                    <w:t>1000000以上</w:t>
                  </w:r>
                </w:p>
              </w:tc>
              <w:tc>
                <w:tcPr>
                  <w:tcW w:w="1715" w:type="dxa"/>
                  <w:noWrap w:val="0"/>
                  <w:vAlign w:val="top"/>
                </w:tcPr>
                <w:p w14:paraId="1A9421EA">
                  <w:pPr>
                    <w:spacing w:line="360" w:lineRule="auto"/>
                    <w:rPr>
                      <w:rFonts w:ascii="宋体" w:hAnsi="宋体" w:cs="宋体"/>
                      <w:sz w:val="24"/>
                      <w:szCs w:val="24"/>
                    </w:rPr>
                  </w:pPr>
                  <w:r>
                    <w:rPr>
                      <w:rFonts w:hint="eastAsia" w:ascii="宋体" w:hAnsi="宋体" w:cs="宋体"/>
                      <w:sz w:val="24"/>
                      <w:szCs w:val="24"/>
                    </w:rPr>
                    <w:t>0.01%</w:t>
                  </w:r>
                </w:p>
              </w:tc>
              <w:tc>
                <w:tcPr>
                  <w:tcW w:w="2042" w:type="dxa"/>
                  <w:noWrap w:val="0"/>
                  <w:vAlign w:val="top"/>
                </w:tcPr>
                <w:p w14:paraId="16375411">
                  <w:pPr>
                    <w:spacing w:line="360" w:lineRule="auto"/>
                    <w:rPr>
                      <w:rFonts w:ascii="宋体" w:hAnsi="宋体" w:cs="宋体"/>
                      <w:sz w:val="24"/>
                      <w:szCs w:val="24"/>
                    </w:rPr>
                  </w:pPr>
                  <w:r>
                    <w:rPr>
                      <w:rFonts w:hint="eastAsia" w:ascii="宋体" w:hAnsi="宋体" w:cs="宋体"/>
                      <w:sz w:val="24"/>
                      <w:szCs w:val="24"/>
                    </w:rPr>
                    <w:t>0.01%</w:t>
                  </w:r>
                </w:p>
              </w:tc>
              <w:tc>
                <w:tcPr>
                  <w:tcW w:w="2043" w:type="dxa"/>
                  <w:noWrap w:val="0"/>
                  <w:vAlign w:val="top"/>
                </w:tcPr>
                <w:p w14:paraId="2CA60F3C">
                  <w:pPr>
                    <w:spacing w:line="360" w:lineRule="auto"/>
                    <w:rPr>
                      <w:rFonts w:ascii="宋体" w:hAnsi="宋体" w:cs="宋体"/>
                      <w:sz w:val="24"/>
                      <w:szCs w:val="24"/>
                    </w:rPr>
                  </w:pPr>
                  <w:r>
                    <w:rPr>
                      <w:rFonts w:hint="eastAsia" w:ascii="宋体" w:hAnsi="宋体" w:cs="宋体"/>
                      <w:sz w:val="24"/>
                      <w:szCs w:val="24"/>
                    </w:rPr>
                    <w:t>0.01%</w:t>
                  </w:r>
                </w:p>
              </w:tc>
            </w:tr>
          </w:tbl>
          <w:p w14:paraId="6AF0AA81">
            <w:pPr>
              <w:spacing w:line="360" w:lineRule="auto"/>
              <w:rPr>
                <w:rFonts w:ascii="宋体" w:hAnsi="宋体" w:cs="宋体"/>
                <w:sz w:val="24"/>
                <w:szCs w:val="24"/>
              </w:rPr>
            </w:pPr>
            <w:r>
              <w:rPr>
                <w:rFonts w:hint="eastAsia" w:ascii="宋体" w:hAnsi="宋体" w:cs="宋体"/>
                <w:sz w:val="24"/>
                <w:szCs w:val="24"/>
              </w:rPr>
              <w:t>例如：某货物招标成交金额为678.2万元，采购代理服务费计算如下：</w:t>
            </w:r>
          </w:p>
          <w:p w14:paraId="3BB2E55D">
            <w:pPr>
              <w:spacing w:line="360" w:lineRule="auto"/>
              <w:rPr>
                <w:rFonts w:ascii="宋体" w:hAnsi="宋体" w:cs="宋体"/>
                <w:sz w:val="24"/>
                <w:szCs w:val="24"/>
              </w:rPr>
            </w:pPr>
            <w:r>
              <w:rPr>
                <w:rFonts w:hint="eastAsia" w:ascii="宋体" w:hAnsi="宋体" w:cs="宋体"/>
                <w:sz w:val="24"/>
                <w:szCs w:val="24"/>
              </w:rPr>
              <w:t xml:space="preserve">100万元*1.5%=1.50万元 </w:t>
            </w:r>
          </w:p>
          <w:p w14:paraId="16962F1F">
            <w:pPr>
              <w:spacing w:line="360" w:lineRule="auto"/>
              <w:rPr>
                <w:rFonts w:ascii="宋体" w:hAnsi="宋体" w:cs="宋体"/>
                <w:sz w:val="24"/>
                <w:szCs w:val="24"/>
              </w:rPr>
            </w:pPr>
            <w:r>
              <w:rPr>
                <w:rFonts w:hint="eastAsia" w:ascii="宋体" w:hAnsi="宋体" w:cs="宋体"/>
                <w:sz w:val="24"/>
                <w:szCs w:val="24"/>
              </w:rPr>
              <w:t>(500-100)*1.1%=4.40万元</w:t>
            </w:r>
          </w:p>
          <w:p w14:paraId="10BB0835">
            <w:pPr>
              <w:spacing w:line="360" w:lineRule="auto"/>
              <w:rPr>
                <w:rFonts w:ascii="宋体" w:hAnsi="宋体" w:cs="宋体"/>
                <w:sz w:val="24"/>
                <w:szCs w:val="24"/>
              </w:rPr>
            </w:pPr>
            <w:r>
              <w:rPr>
                <w:rFonts w:hint="eastAsia" w:ascii="宋体" w:hAnsi="宋体" w:cs="宋体"/>
                <w:sz w:val="24"/>
                <w:szCs w:val="24"/>
              </w:rPr>
              <w:t>(678.2-500)*0.8%=1.4256万元</w:t>
            </w:r>
          </w:p>
          <w:p w14:paraId="0CA186C6">
            <w:pPr>
              <w:spacing w:line="360" w:lineRule="auto"/>
              <w:rPr>
                <w:rFonts w:ascii="宋体" w:hAnsi="宋体" w:cs="宋体"/>
                <w:sz w:val="24"/>
                <w:szCs w:val="24"/>
              </w:rPr>
            </w:pPr>
            <w:r>
              <w:rPr>
                <w:rFonts w:hint="eastAsia" w:ascii="宋体" w:hAnsi="宋体" w:cs="宋体"/>
                <w:sz w:val="24"/>
                <w:szCs w:val="24"/>
              </w:rPr>
              <w:t>服务费=1.50+4.40+1.4256=7.3256万元。</w:t>
            </w:r>
          </w:p>
          <w:p w14:paraId="0246ADF9">
            <w:pPr>
              <w:spacing w:line="360" w:lineRule="auto"/>
              <w:rPr>
                <w:rFonts w:ascii="宋体" w:hAnsi="宋体" w:cs="宋体"/>
                <w:sz w:val="24"/>
                <w:szCs w:val="24"/>
              </w:rPr>
            </w:pPr>
            <w:r>
              <w:rPr>
                <w:rFonts w:hint="eastAsia" w:ascii="宋体" w:hAnsi="宋体" w:cs="宋体"/>
                <w:sz w:val="24"/>
                <w:szCs w:val="24"/>
              </w:rPr>
              <w:t>4、本项目项目属性：</w:t>
            </w:r>
            <w:r>
              <w:rPr>
                <w:rFonts w:hint="eastAsia" w:ascii="宋体" w:hAnsi="宋体" w:cs="宋体"/>
                <w:sz w:val="24"/>
                <w:szCs w:val="24"/>
                <w:lang w:val="en-US" w:eastAsia="zh-CN"/>
              </w:rPr>
              <w:t>服务</w:t>
            </w:r>
            <w:r>
              <w:rPr>
                <w:rFonts w:hint="eastAsia" w:ascii="宋体" w:hAnsi="宋体" w:cs="宋体"/>
                <w:sz w:val="24"/>
                <w:szCs w:val="24"/>
              </w:rPr>
              <w:t>招标。</w:t>
            </w:r>
          </w:p>
        </w:tc>
      </w:tr>
      <w:tr w14:paraId="1EBE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2" w:type="dxa"/>
            <w:noWrap w:val="0"/>
            <w:vAlign w:val="center"/>
          </w:tcPr>
          <w:p w14:paraId="22EF1DA3">
            <w:pPr>
              <w:spacing w:line="360" w:lineRule="auto"/>
              <w:jc w:val="center"/>
              <w:rPr>
                <w:rFonts w:ascii="宋体" w:hAnsi="宋体" w:cs="仿宋_GB2312"/>
                <w:sz w:val="24"/>
                <w:szCs w:val="24"/>
              </w:rPr>
            </w:pPr>
            <w:r>
              <w:rPr>
                <w:rFonts w:hint="eastAsia" w:ascii="宋体" w:hAnsi="宋体" w:cs="仿宋_GB2312"/>
                <w:sz w:val="24"/>
                <w:szCs w:val="24"/>
              </w:rPr>
              <w:t>27</w:t>
            </w:r>
          </w:p>
        </w:tc>
        <w:tc>
          <w:tcPr>
            <w:tcW w:w="9041" w:type="dxa"/>
            <w:noWrap w:val="0"/>
            <w:vAlign w:val="center"/>
          </w:tcPr>
          <w:p w14:paraId="12DE5B30">
            <w:pPr>
              <w:spacing w:line="360" w:lineRule="auto"/>
              <w:rPr>
                <w:rFonts w:hint="eastAsia" w:ascii="宋体" w:hAnsi="宋体" w:eastAsia="宋体" w:cs="宋体"/>
                <w:sz w:val="24"/>
                <w:szCs w:val="24"/>
              </w:rPr>
            </w:pPr>
            <w:r>
              <w:rPr>
                <w:rFonts w:hint="eastAsia" w:ascii="宋体" w:hAnsi="宋体" w:eastAsia="宋体" w:cs="宋体"/>
                <w:sz w:val="24"/>
                <w:szCs w:val="24"/>
              </w:rPr>
              <w:t>谈判报价轮次：</w:t>
            </w:r>
          </w:p>
          <w:p w14:paraId="5A333E75">
            <w:pPr>
              <w:spacing w:line="360" w:lineRule="auto"/>
              <w:rPr>
                <w:rFonts w:hint="eastAsia" w:ascii="宋体" w:hAnsi="宋体" w:eastAsia="宋体" w:cs="宋体"/>
                <w:sz w:val="24"/>
                <w:szCs w:val="24"/>
              </w:rPr>
            </w:pPr>
            <w:r>
              <w:rPr>
                <w:rFonts w:hint="eastAsia" w:ascii="宋体" w:hAnsi="宋体" w:eastAsia="宋体" w:cs="宋体"/>
                <w:sz w:val="24"/>
                <w:szCs w:val="24"/>
              </w:rPr>
              <w:t>多轮（报价文件中报价为第一轮，谈判现场为第二轮）</w:t>
            </w:r>
          </w:p>
          <w:p w14:paraId="01DE7BDA">
            <w:pPr>
              <w:spacing w:line="360" w:lineRule="auto"/>
              <w:rPr>
                <w:rFonts w:hint="eastAsia" w:ascii="宋体" w:hAnsi="宋体" w:eastAsia="宋体" w:cs="宋体"/>
                <w:sz w:val="24"/>
                <w:szCs w:val="24"/>
              </w:rPr>
            </w:pPr>
            <w:r>
              <w:rPr>
                <w:rFonts w:hint="eastAsia" w:ascii="宋体" w:hAnsi="宋体" w:eastAsia="宋体" w:cs="宋体"/>
                <w:sz w:val="24"/>
                <w:szCs w:val="24"/>
              </w:rPr>
              <w:t>供应商保持在线直到评审结束</w:t>
            </w:r>
          </w:p>
          <w:p w14:paraId="16DB54B9">
            <w:pPr>
              <w:spacing w:line="360" w:lineRule="auto"/>
              <w:rPr>
                <w:rFonts w:hint="eastAsia" w:ascii="宋体" w:hAnsi="宋体" w:eastAsia="宋体" w:cs="宋体"/>
                <w:sz w:val="24"/>
                <w:szCs w:val="24"/>
              </w:rPr>
            </w:pPr>
            <w:r>
              <w:rPr>
                <w:rFonts w:hint="eastAsia" w:ascii="宋体" w:hAnsi="宋体" w:eastAsia="宋体" w:cs="宋体"/>
                <w:sz w:val="24"/>
                <w:szCs w:val="24"/>
              </w:rPr>
              <w:t>多轮（</w:t>
            </w:r>
            <w:r>
              <w:rPr>
                <w:rFonts w:hint="eastAsia" w:ascii="宋体" w:hAnsi="宋体" w:eastAsia="宋体" w:cs="宋体"/>
                <w:sz w:val="24"/>
                <w:szCs w:val="24"/>
                <w:lang w:eastAsia="zh-CN"/>
              </w:rPr>
              <w:t>谈判</w:t>
            </w:r>
            <w:r>
              <w:rPr>
                <w:rFonts w:hint="eastAsia" w:ascii="宋体" w:hAnsi="宋体" w:eastAsia="宋体" w:cs="宋体"/>
                <w:sz w:val="24"/>
                <w:szCs w:val="24"/>
              </w:rPr>
              <w:t>响应文件中报价为第一轮，</w:t>
            </w:r>
            <w:r>
              <w:rPr>
                <w:rFonts w:hint="eastAsia" w:ascii="宋体" w:hAnsi="宋体" w:eastAsia="宋体" w:cs="宋体"/>
                <w:sz w:val="24"/>
                <w:szCs w:val="24"/>
                <w:lang w:eastAsia="zh-CN"/>
              </w:rPr>
              <w:t>谈判</w:t>
            </w:r>
            <w:r>
              <w:rPr>
                <w:rFonts w:hint="eastAsia" w:ascii="宋体" w:hAnsi="宋体" w:eastAsia="宋体" w:cs="宋体"/>
                <w:sz w:val="24"/>
                <w:szCs w:val="24"/>
              </w:rPr>
              <w:t>不见面开标会议为第二轮）</w:t>
            </w:r>
          </w:p>
          <w:p w14:paraId="4CD383CC">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不见面开标结束后，通过资格审查和符合性审查的供应商才有机会进入一对一</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环节。依据财政部关于印发《政府采购竞争性</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采购方式管理暂行办法》第十九条规定，</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小组所有成员应当集中与单一供应商分别进行</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，并给予所有参加</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的供应商平等的</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机会。已提交响应文件的供应商，在提交最后报价之前，可以根据</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情况退出</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。具体</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流程如下:</w:t>
            </w:r>
          </w:p>
          <w:p w14:paraId="1722DA78">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eastAsia="zh-CN"/>
              </w:rPr>
              <w:t>1.一对一</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将通过腾讯视频会议的方式进行，供应商应</w:t>
            </w:r>
            <w:r>
              <w:rPr>
                <w:rFonts w:hint="eastAsia" w:ascii="宋体" w:hAnsi="宋体" w:eastAsia="宋体" w:cs="宋体"/>
                <w:sz w:val="24"/>
                <w:szCs w:val="24"/>
                <w:lang w:val="en-US" w:eastAsia="zh-CN"/>
              </w:rPr>
              <w:t>提前</w:t>
            </w:r>
            <w:r>
              <w:rPr>
                <w:rFonts w:hint="eastAsia" w:ascii="宋体" w:hAnsi="宋体" w:eastAsia="宋体" w:cs="宋体"/>
                <w:sz w:val="24"/>
                <w:szCs w:val="24"/>
                <w:lang w:eastAsia="zh-CN"/>
              </w:rPr>
              <w:t>在手机或电脑终端上下载“腾讯会议”软件，</w:t>
            </w:r>
            <w:r>
              <w:rPr>
                <w:rFonts w:hint="eastAsia" w:ascii="宋体" w:hAnsi="宋体" w:eastAsia="宋体" w:cs="宋体"/>
                <w:sz w:val="24"/>
                <w:szCs w:val="24"/>
                <w:lang w:val="en-US" w:eastAsia="zh-CN"/>
              </w:rPr>
              <w:t>开标现场由代理机构通知进入并告知腾讯视频会议号及会议密码。</w:t>
            </w:r>
          </w:p>
          <w:p w14:paraId="7730FA42">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2.加入会议室的同时将各参与</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的人员姓名修改为“供应商简称”，</w:t>
            </w:r>
          </w:p>
          <w:p w14:paraId="2D960F3C">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.谈判结束后，将进行提交最终报价的环节，各供应商应及时关注全国公共资源交易平台(陕西省·榆林市)(http://y1.sxggzyjy.cn/)的网上报价情况，应当在谈判小组规定的时间内提交最终报价。</w:t>
            </w:r>
          </w:p>
          <w:p w14:paraId="3F4A0215">
            <w:pPr>
              <w:spacing w:line="360" w:lineRule="auto"/>
              <w:rPr>
                <w:rFonts w:hint="eastAsia" w:ascii="宋体" w:hAnsi="宋体" w:eastAsia="宋体" w:cs="宋体"/>
                <w:sz w:val="24"/>
                <w:szCs w:val="24"/>
              </w:rPr>
            </w:pPr>
            <w:r>
              <w:rPr>
                <w:rFonts w:hint="eastAsia" w:ascii="宋体" w:hAnsi="宋体" w:eastAsia="宋体" w:cs="宋体"/>
                <w:sz w:val="24"/>
                <w:szCs w:val="24"/>
                <w:lang w:eastAsia="zh-CN"/>
              </w:rPr>
              <w:t>注:供应商未在规定时间内提交最终报价的将视为自动退出谈判，该供应商响应无效。</w:t>
            </w:r>
          </w:p>
        </w:tc>
      </w:tr>
      <w:tr w14:paraId="75A2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52" w:type="dxa"/>
            <w:noWrap w:val="0"/>
            <w:vAlign w:val="center"/>
          </w:tcPr>
          <w:p w14:paraId="432933B8">
            <w:pPr>
              <w:spacing w:line="360" w:lineRule="auto"/>
              <w:jc w:val="center"/>
              <w:rPr>
                <w:rFonts w:hint="eastAsia" w:ascii="宋体" w:hAnsi="宋体" w:eastAsia="宋体" w:cs="仿宋_GB2312"/>
                <w:sz w:val="24"/>
                <w:szCs w:val="24"/>
                <w:lang w:eastAsia="zh-CN"/>
              </w:rPr>
            </w:pPr>
            <w:r>
              <w:rPr>
                <w:rFonts w:hint="eastAsia" w:ascii="宋体" w:hAnsi="宋体" w:cs="仿宋_GB2312"/>
                <w:sz w:val="24"/>
                <w:szCs w:val="24"/>
              </w:rPr>
              <w:t>2</w:t>
            </w:r>
            <w:r>
              <w:rPr>
                <w:rFonts w:hint="eastAsia" w:ascii="宋体" w:hAnsi="宋体" w:cs="仿宋_GB2312"/>
                <w:sz w:val="24"/>
                <w:szCs w:val="24"/>
                <w:lang w:val="en-US" w:eastAsia="zh-CN"/>
              </w:rPr>
              <w:t>8</w:t>
            </w:r>
          </w:p>
        </w:tc>
        <w:tc>
          <w:tcPr>
            <w:tcW w:w="9041" w:type="dxa"/>
            <w:noWrap w:val="0"/>
            <w:vAlign w:val="center"/>
          </w:tcPr>
          <w:p w14:paraId="1741497B">
            <w:pPr>
              <w:widowControl/>
              <w:spacing w:line="360" w:lineRule="auto"/>
              <w:jc w:val="left"/>
            </w:pPr>
            <w:r>
              <w:rPr>
                <w:rFonts w:hint="eastAsia" w:ascii="宋体" w:hAnsi="宋体" w:cs="宋体"/>
                <w:b/>
                <w:bCs/>
                <w:kern w:val="0"/>
                <w:sz w:val="24"/>
                <w:szCs w:val="24"/>
              </w:rPr>
              <w:t>特别提醒：本项目采用电子化投标的方式。</w:t>
            </w:r>
          </w:p>
          <w:p w14:paraId="3B914CC2">
            <w:pPr>
              <w:widowControl/>
              <w:spacing w:line="360" w:lineRule="auto"/>
              <w:jc w:val="left"/>
            </w:pPr>
            <w:r>
              <w:rPr>
                <w:rFonts w:hint="eastAsia" w:ascii="宋体" w:hAnsi="宋体" w:cs="宋体"/>
                <w:kern w:val="0"/>
                <w:sz w:val="24"/>
                <w:szCs w:val="24"/>
              </w:rPr>
              <w:t xml:space="preserve">1、投标人须使用数字认证证书对电子谈判响应文件进行签章、加密、递交及开标时解密等相关招投标事宜。递交谈判响应文件时务必携带数字认证证书（主锁及上传文件所用的副锁），如因投标人自身原因未携带数字认证证书造成无法解密谈判响应文件，按无效投标对待。 </w:t>
            </w:r>
          </w:p>
          <w:p w14:paraId="09E1EB76">
            <w:pPr>
              <w:widowControl/>
              <w:spacing w:line="360" w:lineRule="auto"/>
              <w:jc w:val="left"/>
            </w:pPr>
            <w:r>
              <w:rPr>
                <w:rFonts w:hint="eastAsia" w:ascii="宋体" w:hAnsi="宋体" w:cs="宋体"/>
                <w:kern w:val="0"/>
                <w:sz w:val="24"/>
                <w:szCs w:val="24"/>
              </w:rPr>
              <w:t xml:space="preserve">2、制作电子谈判响应文件。投标人须在“全国公共资源交易中心平台（陕西省）（http://www.sxggzyjy.cn/）”的“服务指南”栏目“下载专区”中，免费下载“陕西省公共资源交易平台政府采购电子标书制作工具”及“政府采购投标单位操作手册”，并使用该客户端制作电子谈判响应文件，制作扩展名为“.SXSTF”的电子谈判响应文件。 </w:t>
            </w:r>
          </w:p>
          <w:p w14:paraId="18EDEC91">
            <w:pPr>
              <w:widowControl/>
              <w:spacing w:line="360" w:lineRule="auto"/>
            </w:pPr>
            <w:r>
              <w:rPr>
                <w:rFonts w:hint="eastAsia" w:ascii="宋体" w:hAnsi="宋体" w:cs="宋体"/>
                <w:kern w:val="0"/>
                <w:sz w:val="24"/>
                <w:szCs w:val="24"/>
              </w:rPr>
              <w:t xml:space="preserve">3、递交电子谈判响应文件。登录陕西省公共资源交易中心平台（http://xxxq.sxggzyjy.cn/），选择“电子交易平台-陕西政府采购交易系统-陕西省公共资源交易平台-供应商”进行登录，登录后选择“交易乙方”身份进入，选择“上传谈判响应文件”菜单页面，上传加密的电子谈判响应文件。上传成功后，电子化平台将予以记录。 </w:t>
            </w:r>
          </w:p>
          <w:p w14:paraId="39327354">
            <w:pPr>
              <w:spacing w:line="360" w:lineRule="auto"/>
              <w:rPr>
                <w:rFonts w:ascii="宋体" w:hAnsi="宋体" w:cs="宋体"/>
                <w:sz w:val="24"/>
                <w:szCs w:val="24"/>
              </w:rPr>
            </w:pPr>
            <w:r>
              <w:rPr>
                <w:rFonts w:hint="eastAsia" w:ascii="宋体" w:hAnsi="宋体" w:cs="宋体"/>
                <w:kern w:val="0"/>
                <w:sz w:val="24"/>
                <w:szCs w:val="24"/>
              </w:rPr>
              <w:t>4、谈判响应文件中所有涉及签字、盖章的，各投标单位须将所有签字盖章完成后上传。</w:t>
            </w:r>
          </w:p>
        </w:tc>
      </w:tr>
      <w:tr w14:paraId="7E3A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52" w:type="dxa"/>
            <w:noWrap w:val="0"/>
            <w:vAlign w:val="center"/>
          </w:tcPr>
          <w:p w14:paraId="64E544E1">
            <w:pPr>
              <w:spacing w:line="360" w:lineRule="auto"/>
              <w:jc w:val="center"/>
              <w:rPr>
                <w:rFonts w:hint="default" w:ascii="宋体" w:hAnsi="宋体" w:cs="仿宋_GB2312"/>
                <w:sz w:val="24"/>
                <w:szCs w:val="24"/>
                <w:lang w:val="en-US" w:eastAsia="zh-CN"/>
              </w:rPr>
            </w:pPr>
            <w:r>
              <w:rPr>
                <w:rFonts w:hint="eastAsia" w:ascii="宋体" w:hAnsi="宋体" w:cs="仿宋_GB2312"/>
                <w:sz w:val="24"/>
                <w:szCs w:val="24"/>
                <w:lang w:val="en-US" w:eastAsia="zh-CN"/>
              </w:rPr>
              <w:t>29</w:t>
            </w:r>
          </w:p>
        </w:tc>
        <w:tc>
          <w:tcPr>
            <w:tcW w:w="9041" w:type="dxa"/>
            <w:noWrap w:val="0"/>
            <w:vAlign w:val="center"/>
          </w:tcPr>
          <w:p w14:paraId="5DACB786">
            <w:pPr>
              <w:adjustRightInd w:val="0"/>
              <w:snapToGrid w:val="0"/>
              <w:spacing w:line="360" w:lineRule="auto"/>
              <w:rPr>
                <w:rFonts w:hint="eastAsia" w:ascii="宋体" w:hAnsi="宋体" w:eastAsia="宋体" w:cs="宋体"/>
                <w:sz w:val="24"/>
              </w:rPr>
            </w:pPr>
            <w:r>
              <w:rPr>
                <w:rFonts w:hint="eastAsia" w:ascii="宋体" w:hAnsi="宋体" w:eastAsia="宋体" w:cs="宋体"/>
                <w:sz w:val="24"/>
              </w:rPr>
              <w:t>各行业划分标准具体为</w:t>
            </w:r>
          </w:p>
          <w:p w14:paraId="471D0BD8">
            <w:pPr>
              <w:adjustRightInd w:val="0"/>
              <w:snapToGrid w:val="0"/>
              <w:spacing w:line="360" w:lineRule="auto"/>
              <w:rPr>
                <w:rFonts w:hint="eastAsia" w:ascii="宋体" w:hAnsi="宋体" w:eastAsia="宋体" w:cs="宋体"/>
                <w:sz w:val="24"/>
              </w:rPr>
            </w:pPr>
            <w:r>
              <w:rPr>
                <w:rFonts w:hint="eastAsia" w:ascii="宋体" w:hAnsi="宋体" w:eastAsia="宋体" w:cs="宋体"/>
                <w:sz w:val="24"/>
              </w:rPr>
              <w:t>1、农、林、牧、渔业。营业收入20000万元以下的为中小微型企业。其中，营业收入500万元及以上的为中型企业,营业收入50万元及以上的为小型企业，营业收入50万元以下的为微型企业。　　</w:t>
            </w:r>
          </w:p>
          <w:p w14:paraId="2300AD04">
            <w:pPr>
              <w:adjustRightInd w:val="0"/>
              <w:snapToGrid w:val="0"/>
              <w:spacing w:line="360" w:lineRule="auto"/>
              <w:rPr>
                <w:rFonts w:hint="eastAsia" w:ascii="宋体" w:hAnsi="宋体" w:eastAsia="宋体" w:cs="宋体"/>
                <w:sz w:val="24"/>
              </w:rPr>
            </w:pPr>
            <w:r>
              <w:rPr>
                <w:rFonts w:hint="eastAsia" w:ascii="宋体" w:hAnsi="宋体" w:eastAsia="宋体" w:cs="宋体"/>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6E476B2E">
            <w:pPr>
              <w:adjustRightInd w:val="0"/>
              <w:snapToGrid w:val="0"/>
              <w:spacing w:line="360" w:lineRule="auto"/>
              <w:rPr>
                <w:rFonts w:hint="eastAsia" w:ascii="宋体" w:hAnsi="宋体" w:eastAsia="宋体" w:cs="宋体"/>
                <w:sz w:val="24"/>
              </w:rPr>
            </w:pPr>
            <w:r>
              <w:rPr>
                <w:rFonts w:hint="eastAsia" w:ascii="宋体" w:hAnsi="宋体" w:eastAsia="宋体" w:cs="宋体"/>
                <w:sz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046EBD97">
            <w:pPr>
              <w:adjustRightInd w:val="0"/>
              <w:snapToGrid w:val="0"/>
              <w:spacing w:line="360" w:lineRule="auto"/>
              <w:rPr>
                <w:rFonts w:hint="eastAsia" w:ascii="宋体" w:hAnsi="宋体" w:eastAsia="宋体" w:cs="宋体"/>
                <w:sz w:val="24"/>
              </w:rPr>
            </w:pPr>
            <w:r>
              <w:rPr>
                <w:rFonts w:hint="eastAsia" w:ascii="宋体" w:hAnsi="宋体" w:eastAsia="宋体" w:cs="宋体"/>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643F9694">
            <w:pPr>
              <w:adjustRightInd w:val="0"/>
              <w:snapToGrid w:val="0"/>
              <w:spacing w:line="360" w:lineRule="auto"/>
              <w:rPr>
                <w:rFonts w:hint="eastAsia" w:ascii="宋体" w:hAnsi="宋体" w:eastAsia="宋体" w:cs="宋体"/>
                <w:sz w:val="24"/>
              </w:rPr>
            </w:pPr>
            <w:r>
              <w:rPr>
                <w:rFonts w:hint="eastAsia" w:ascii="宋体" w:hAnsi="宋体" w:eastAsia="宋体" w:cs="宋体"/>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7C1583B7">
            <w:pPr>
              <w:adjustRightInd w:val="0"/>
              <w:snapToGrid w:val="0"/>
              <w:spacing w:line="360" w:lineRule="auto"/>
              <w:rPr>
                <w:rFonts w:hint="eastAsia" w:ascii="宋体" w:hAnsi="宋体" w:eastAsia="宋体" w:cs="宋体"/>
                <w:sz w:val="24"/>
              </w:rPr>
            </w:pPr>
            <w:r>
              <w:rPr>
                <w:rFonts w:hint="eastAsia" w:ascii="宋体" w:hAnsi="宋体" w:eastAsia="宋体" w:cs="宋体"/>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4D740C44">
            <w:pPr>
              <w:adjustRightInd w:val="0"/>
              <w:snapToGrid w:val="0"/>
              <w:spacing w:line="360" w:lineRule="auto"/>
              <w:rPr>
                <w:rFonts w:hint="eastAsia" w:ascii="宋体" w:hAnsi="宋体" w:eastAsia="宋体" w:cs="宋体"/>
                <w:sz w:val="24"/>
              </w:rPr>
            </w:pPr>
            <w:r>
              <w:rPr>
                <w:rFonts w:hint="eastAsia" w:ascii="宋体" w:hAnsi="宋体" w:eastAsia="宋体" w:cs="宋体"/>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453E7D21">
            <w:pPr>
              <w:adjustRightInd w:val="0"/>
              <w:snapToGrid w:val="0"/>
              <w:spacing w:line="360" w:lineRule="auto"/>
              <w:rPr>
                <w:rFonts w:hint="eastAsia" w:ascii="宋体" w:hAnsi="宋体" w:eastAsia="宋体" w:cs="宋体"/>
                <w:sz w:val="24"/>
              </w:rPr>
            </w:pPr>
            <w:r>
              <w:rPr>
                <w:rFonts w:hint="eastAsia" w:ascii="宋体" w:hAnsi="宋体" w:eastAsia="宋体" w:cs="宋体"/>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6106A48D">
            <w:pPr>
              <w:adjustRightInd w:val="0"/>
              <w:snapToGrid w:val="0"/>
              <w:spacing w:line="360" w:lineRule="auto"/>
              <w:rPr>
                <w:rFonts w:hint="eastAsia" w:ascii="宋体" w:hAnsi="宋体" w:eastAsia="宋体" w:cs="宋体"/>
                <w:sz w:val="24"/>
              </w:rPr>
            </w:pPr>
            <w:r>
              <w:rPr>
                <w:rFonts w:hint="eastAsia" w:ascii="宋体" w:hAnsi="宋体" w:eastAsia="宋体" w:cs="宋体"/>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42837979">
            <w:pPr>
              <w:adjustRightInd w:val="0"/>
              <w:snapToGrid w:val="0"/>
              <w:spacing w:line="360" w:lineRule="auto"/>
              <w:rPr>
                <w:rFonts w:hint="eastAsia" w:ascii="宋体" w:hAnsi="宋体" w:eastAsia="宋体" w:cs="宋体"/>
                <w:sz w:val="24"/>
              </w:rPr>
            </w:pPr>
            <w:r>
              <w:rPr>
                <w:rFonts w:hint="eastAsia" w:ascii="宋体" w:hAnsi="宋体" w:eastAsia="宋体" w:cs="宋体"/>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5A83EBC5">
            <w:pPr>
              <w:adjustRightInd w:val="0"/>
              <w:snapToGrid w:val="0"/>
              <w:spacing w:line="360" w:lineRule="auto"/>
              <w:rPr>
                <w:rFonts w:hint="eastAsia" w:ascii="宋体" w:hAnsi="宋体" w:eastAsia="宋体" w:cs="宋体"/>
                <w:sz w:val="24"/>
              </w:rPr>
            </w:pPr>
            <w:r>
              <w:rPr>
                <w:rFonts w:hint="eastAsia" w:ascii="宋体" w:hAnsi="宋体" w:eastAsia="宋体" w:cs="宋体"/>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0FD99E82">
            <w:pPr>
              <w:adjustRightInd w:val="0"/>
              <w:snapToGrid w:val="0"/>
              <w:spacing w:line="360" w:lineRule="auto"/>
              <w:rPr>
                <w:rFonts w:hint="eastAsia" w:ascii="宋体" w:hAnsi="宋体" w:eastAsia="宋体" w:cs="宋体"/>
                <w:sz w:val="24"/>
              </w:rPr>
            </w:pPr>
            <w:r>
              <w:rPr>
                <w:rFonts w:hint="eastAsia" w:ascii="宋体" w:hAnsi="宋体" w:eastAsia="宋体" w:cs="宋体"/>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77396A2C">
            <w:pPr>
              <w:adjustRightInd w:val="0"/>
              <w:snapToGrid w:val="0"/>
              <w:spacing w:line="360" w:lineRule="auto"/>
              <w:rPr>
                <w:rFonts w:hint="eastAsia" w:ascii="宋体" w:hAnsi="宋体" w:eastAsia="宋体" w:cs="宋体"/>
                <w:sz w:val="24"/>
              </w:rPr>
            </w:pPr>
            <w:r>
              <w:rPr>
                <w:rFonts w:hint="eastAsia" w:ascii="宋体" w:hAnsi="宋体" w:eastAsia="宋体" w:cs="宋体"/>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305DD78E">
            <w:pPr>
              <w:adjustRightInd w:val="0"/>
              <w:snapToGrid w:val="0"/>
              <w:spacing w:line="360" w:lineRule="auto"/>
              <w:rPr>
                <w:rFonts w:hint="eastAsia" w:ascii="宋体" w:hAnsi="宋体" w:eastAsia="宋体" w:cs="宋体"/>
                <w:sz w:val="24"/>
              </w:rPr>
            </w:pPr>
            <w:r>
              <w:rPr>
                <w:rFonts w:hint="eastAsia" w:ascii="宋体" w:hAnsi="宋体" w:eastAsia="宋体" w:cs="宋体"/>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2B02B959">
            <w:pPr>
              <w:adjustRightInd w:val="0"/>
              <w:snapToGrid w:val="0"/>
              <w:spacing w:line="360" w:lineRule="auto"/>
              <w:rPr>
                <w:rFonts w:hint="eastAsia" w:ascii="宋体" w:hAnsi="宋体" w:eastAsia="宋体" w:cs="宋体"/>
                <w:sz w:val="24"/>
              </w:rPr>
            </w:pPr>
            <w:r>
              <w:rPr>
                <w:rFonts w:hint="eastAsia" w:ascii="宋体" w:hAnsi="宋体" w:eastAsia="宋体" w:cs="宋体"/>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710790DF">
            <w:pPr>
              <w:adjustRightInd w:val="0"/>
              <w:snapToGrid w:val="0"/>
              <w:spacing w:line="360" w:lineRule="auto"/>
              <w:rPr>
                <w:rFonts w:hint="eastAsia" w:ascii="宋体" w:hAnsi="宋体" w:eastAsia="宋体" w:cs="宋体"/>
              </w:rPr>
            </w:pPr>
            <w:r>
              <w:rPr>
                <w:rFonts w:hint="eastAsia" w:ascii="宋体" w:hAnsi="宋体" w:eastAsia="宋体" w:cs="宋体"/>
                <w:sz w:val="24"/>
              </w:rPr>
              <w:t>16、其他未列明行业.从业人员300人以下的为中小微型企业。其中，从业人员100人及以上的为中型企业;从业人员10人及以上的为小型企业；从业人员10人以下的为微型企业。</w:t>
            </w:r>
          </w:p>
          <w:p w14:paraId="60768DE4">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b/>
                <w:bCs/>
                <w:color w:val="auto"/>
                <w:sz w:val="24"/>
                <w:szCs w:val="24"/>
              </w:rPr>
              <w:t>本项目</w:t>
            </w:r>
            <w:r>
              <w:rPr>
                <w:rFonts w:hint="eastAsia" w:ascii="宋体" w:hAnsi="宋体" w:cs="宋体"/>
                <w:b/>
                <w:bCs/>
                <w:color w:val="auto"/>
                <w:sz w:val="24"/>
                <w:szCs w:val="24"/>
                <w:lang w:val="en-US" w:eastAsia="zh-CN"/>
              </w:rPr>
              <w:t>所属行业</w:t>
            </w:r>
            <w:r>
              <w:rPr>
                <w:rFonts w:hint="eastAsia" w:ascii="宋体" w:hAnsi="宋体" w:eastAsia="宋体" w:cs="宋体"/>
                <w:b/>
                <w:bCs/>
                <w:color w:val="auto"/>
                <w:sz w:val="24"/>
                <w:szCs w:val="24"/>
              </w:rPr>
              <w:t>：商务服务业</w:t>
            </w:r>
          </w:p>
        </w:tc>
      </w:tr>
      <w:bookmarkEnd w:id="7"/>
      <w:bookmarkEnd w:id="12"/>
      <w:bookmarkEnd w:id="13"/>
      <w:bookmarkEnd w:id="14"/>
      <w:bookmarkEnd w:id="15"/>
    </w:tbl>
    <w:p w14:paraId="56CCBFDD">
      <w:pPr>
        <w:pStyle w:val="2"/>
        <w:spacing w:line="240" w:lineRule="auto"/>
        <w:jc w:val="center"/>
        <w:rPr>
          <w:rFonts w:ascii="宋体" w:hAnsi="宋体" w:cs="宋体"/>
          <w:sz w:val="36"/>
          <w:szCs w:val="36"/>
        </w:rPr>
      </w:pPr>
      <w:bookmarkStart w:id="21" w:name="_Toc17129"/>
      <w:bookmarkStart w:id="22" w:name="_Toc8259"/>
      <w:bookmarkStart w:id="23" w:name="_Toc16531"/>
      <w:bookmarkStart w:id="24" w:name="_Toc465958087"/>
      <w:bookmarkStart w:id="25" w:name="_Toc4754"/>
      <w:bookmarkStart w:id="26" w:name="_Toc23139"/>
      <w:bookmarkStart w:id="27" w:name="_Toc246928894"/>
      <w:bookmarkStart w:id="28" w:name="_Toc30436"/>
      <w:bookmarkStart w:id="29" w:name="_Toc12300"/>
      <w:r>
        <w:rPr>
          <w:rFonts w:hint="eastAsia" w:ascii="宋体" w:hAnsi="宋体" w:cs="宋体"/>
          <w:sz w:val="36"/>
          <w:szCs w:val="36"/>
        </w:rPr>
        <w:t>第三部分  供应商须知</w:t>
      </w:r>
      <w:bookmarkEnd w:id="21"/>
      <w:bookmarkEnd w:id="22"/>
      <w:bookmarkEnd w:id="23"/>
      <w:bookmarkEnd w:id="24"/>
      <w:bookmarkEnd w:id="25"/>
      <w:bookmarkEnd w:id="26"/>
      <w:bookmarkEnd w:id="27"/>
      <w:bookmarkEnd w:id="28"/>
      <w:bookmarkEnd w:id="29"/>
    </w:p>
    <w:p w14:paraId="42EF0FDA">
      <w:pPr>
        <w:pStyle w:val="3"/>
        <w:spacing w:line="240" w:lineRule="auto"/>
        <w:rPr>
          <w:rFonts w:ascii="宋体" w:hAnsi="宋体" w:eastAsia="宋体" w:cs="宋体"/>
          <w:sz w:val="36"/>
          <w:szCs w:val="24"/>
        </w:rPr>
      </w:pPr>
      <w:bookmarkStart w:id="30" w:name="_Toc465958088"/>
      <w:bookmarkStart w:id="31" w:name="_Toc23623"/>
      <w:bookmarkStart w:id="32" w:name="_Toc30345"/>
      <w:bookmarkStart w:id="33" w:name="_Toc246928895"/>
      <w:bookmarkStart w:id="34" w:name="_Toc31058"/>
      <w:bookmarkStart w:id="35" w:name="_Toc32198"/>
      <w:r>
        <w:rPr>
          <w:rFonts w:hint="eastAsia" w:ascii="宋体" w:hAnsi="宋体" w:eastAsia="宋体" w:cs="宋体"/>
          <w:sz w:val="36"/>
          <w:szCs w:val="24"/>
        </w:rPr>
        <w:t>A 总则</w:t>
      </w:r>
      <w:bookmarkEnd w:id="30"/>
      <w:bookmarkEnd w:id="31"/>
      <w:bookmarkEnd w:id="32"/>
      <w:bookmarkEnd w:id="33"/>
      <w:bookmarkEnd w:id="34"/>
      <w:bookmarkEnd w:id="35"/>
    </w:p>
    <w:p w14:paraId="02F58DAA">
      <w:pPr>
        <w:pStyle w:val="4"/>
        <w:spacing w:beforeLines="50" w:afterLines="50"/>
        <w:rPr>
          <w:rFonts w:ascii="宋体" w:hAnsi="宋体" w:cs="宋体"/>
          <w:szCs w:val="24"/>
        </w:rPr>
      </w:pPr>
      <w:bookmarkStart w:id="36" w:name="_Toc465958089"/>
      <w:bookmarkStart w:id="37" w:name="_Toc31417"/>
      <w:bookmarkStart w:id="38" w:name="_Toc21639"/>
      <w:bookmarkStart w:id="39" w:name="_Toc13194"/>
      <w:bookmarkStart w:id="40" w:name="_Toc246928896"/>
      <w:bookmarkStart w:id="41" w:name="_Toc7587"/>
      <w:bookmarkStart w:id="42" w:name="_Toc4811"/>
      <w:r>
        <w:rPr>
          <w:rFonts w:hint="eastAsia" w:ascii="宋体" w:hAnsi="宋体" w:cs="宋体"/>
          <w:szCs w:val="24"/>
        </w:rPr>
        <w:t>1 适用范围</w:t>
      </w:r>
      <w:bookmarkEnd w:id="36"/>
      <w:bookmarkEnd w:id="37"/>
      <w:bookmarkEnd w:id="38"/>
      <w:bookmarkEnd w:id="39"/>
      <w:bookmarkEnd w:id="40"/>
      <w:bookmarkEnd w:id="41"/>
      <w:bookmarkEnd w:id="42"/>
    </w:p>
    <w:p w14:paraId="507022DA">
      <w:pPr>
        <w:spacing w:line="360" w:lineRule="auto"/>
        <w:rPr>
          <w:rFonts w:ascii="宋体" w:hAnsi="宋体" w:cs="宋体"/>
          <w:sz w:val="24"/>
          <w:szCs w:val="24"/>
        </w:rPr>
      </w:pPr>
      <w:r>
        <w:rPr>
          <w:rFonts w:hint="eastAsia" w:ascii="宋体" w:hAnsi="宋体" w:cs="宋体"/>
          <w:sz w:val="24"/>
          <w:szCs w:val="24"/>
        </w:rPr>
        <w:t>1.1本竞争性谈判文件仅适用于本谈判公告中所叙述项目的</w:t>
      </w:r>
      <w:r>
        <w:rPr>
          <w:rFonts w:hint="eastAsia" w:ascii="宋体" w:hAnsi="宋体" w:cs="宋体"/>
          <w:sz w:val="24"/>
        </w:rPr>
        <w:t>货物及服务采购</w:t>
      </w:r>
      <w:r>
        <w:rPr>
          <w:rFonts w:hint="eastAsia" w:ascii="宋体" w:hAnsi="宋体" w:cs="宋体"/>
          <w:sz w:val="24"/>
          <w:szCs w:val="24"/>
        </w:rPr>
        <w:t>。</w:t>
      </w:r>
    </w:p>
    <w:p w14:paraId="689DC749">
      <w:pPr>
        <w:spacing w:line="360" w:lineRule="auto"/>
        <w:rPr>
          <w:rFonts w:ascii="宋体" w:hAnsi="宋体" w:cs="宋体"/>
          <w:sz w:val="24"/>
          <w:szCs w:val="24"/>
        </w:rPr>
      </w:pPr>
      <w:r>
        <w:rPr>
          <w:rFonts w:hint="eastAsia" w:ascii="宋体" w:hAnsi="宋体" w:cs="宋体"/>
          <w:sz w:val="24"/>
          <w:szCs w:val="24"/>
        </w:rPr>
        <w:t>1.2本次采购属政府采购，采购人，采购代理机构、供应商、谈判小组的相关行为均受《中华人民共和国政府采购法》、财政部规章及政府采购项目所在地有关法规、规章的约束，其权利受到上述法律法规的保护。</w:t>
      </w:r>
    </w:p>
    <w:p w14:paraId="184EF18C">
      <w:pPr>
        <w:pStyle w:val="4"/>
        <w:spacing w:beforeLines="50" w:afterLines="50" w:line="360" w:lineRule="auto"/>
        <w:rPr>
          <w:rFonts w:ascii="宋体" w:hAnsi="宋体" w:cs="宋体"/>
          <w:szCs w:val="24"/>
        </w:rPr>
      </w:pPr>
      <w:bookmarkStart w:id="43" w:name="_Toc31636"/>
      <w:bookmarkStart w:id="44" w:name="_Toc28727"/>
      <w:bookmarkStart w:id="45" w:name="_Toc9614"/>
      <w:bookmarkStart w:id="46" w:name="_Toc465958090"/>
      <w:bookmarkStart w:id="47" w:name="_Toc246928897"/>
      <w:bookmarkStart w:id="48" w:name="_Toc6698"/>
      <w:bookmarkStart w:id="49" w:name="_Toc18894"/>
      <w:r>
        <w:rPr>
          <w:rFonts w:hint="eastAsia" w:ascii="宋体" w:hAnsi="宋体" w:cs="宋体"/>
          <w:szCs w:val="24"/>
        </w:rPr>
        <w:t>2 定义</w:t>
      </w:r>
      <w:bookmarkEnd w:id="43"/>
      <w:bookmarkEnd w:id="44"/>
      <w:bookmarkEnd w:id="45"/>
      <w:bookmarkEnd w:id="46"/>
      <w:bookmarkEnd w:id="47"/>
      <w:bookmarkEnd w:id="48"/>
      <w:bookmarkEnd w:id="49"/>
      <w:r>
        <w:rPr>
          <w:rFonts w:hint="eastAsia" w:ascii="宋体" w:hAnsi="宋体" w:cs="宋体"/>
          <w:szCs w:val="24"/>
        </w:rPr>
        <w:t xml:space="preserve"> </w:t>
      </w:r>
    </w:p>
    <w:p w14:paraId="6AF0873D">
      <w:pPr>
        <w:spacing w:line="360" w:lineRule="auto"/>
        <w:rPr>
          <w:rFonts w:ascii="宋体" w:hAnsi="宋体" w:cs="宋体"/>
          <w:sz w:val="24"/>
          <w:szCs w:val="24"/>
        </w:rPr>
      </w:pPr>
      <w:r>
        <w:rPr>
          <w:rFonts w:hint="eastAsia" w:ascii="宋体" w:hAnsi="宋体" w:cs="宋体"/>
          <w:sz w:val="24"/>
          <w:szCs w:val="24"/>
        </w:rPr>
        <w:t>2.1 “采购人”系指</w:t>
      </w:r>
      <w:r>
        <w:rPr>
          <w:rFonts w:hint="eastAsia" w:ascii="宋体" w:hAnsi="宋体" w:cs="宋体"/>
          <w:color w:val="000000"/>
          <w:sz w:val="24"/>
          <w:szCs w:val="24"/>
          <w:shd w:val="clear" w:color="auto" w:fill="FFFFFF"/>
          <w:lang w:val="en-US" w:eastAsia="zh-CN"/>
        </w:rPr>
        <w:t>中共绥德县委组织部</w:t>
      </w:r>
      <w:r>
        <w:rPr>
          <w:rFonts w:hint="eastAsia" w:ascii="宋体" w:hAnsi="宋体" w:cs="宋体"/>
          <w:sz w:val="24"/>
          <w:szCs w:val="24"/>
        </w:rPr>
        <w:t>。</w:t>
      </w:r>
    </w:p>
    <w:p w14:paraId="77EC5288">
      <w:pPr>
        <w:spacing w:line="360" w:lineRule="auto"/>
        <w:ind w:firstLine="480" w:firstLineChars="200"/>
        <w:rPr>
          <w:rFonts w:ascii="宋体" w:hAnsi="宋体" w:cs="宋体"/>
          <w:sz w:val="24"/>
          <w:szCs w:val="24"/>
        </w:rPr>
      </w:pPr>
      <w:r>
        <w:rPr>
          <w:rFonts w:hint="eastAsia" w:ascii="宋体" w:hAnsi="宋体" w:cs="宋体"/>
          <w:sz w:val="24"/>
          <w:szCs w:val="24"/>
        </w:rPr>
        <w:t>“采购代理机构”系指</w:t>
      </w:r>
      <w:r>
        <w:rPr>
          <w:rFonts w:hint="eastAsia" w:ascii="宋体" w:hAnsi="宋体" w:cs="宋体"/>
          <w:sz w:val="24"/>
          <w:szCs w:val="24"/>
          <w:lang w:eastAsia="zh-CN"/>
        </w:rPr>
        <w:t>榆林市恒易达工程项目管理有限公司</w:t>
      </w:r>
      <w:r>
        <w:rPr>
          <w:rFonts w:hint="eastAsia" w:ascii="宋体" w:hAnsi="宋体" w:cs="宋体"/>
          <w:sz w:val="24"/>
          <w:szCs w:val="24"/>
        </w:rPr>
        <w:t>。</w:t>
      </w:r>
    </w:p>
    <w:p w14:paraId="61D42F40">
      <w:pPr>
        <w:spacing w:line="360" w:lineRule="auto"/>
        <w:rPr>
          <w:rFonts w:ascii="宋体" w:hAnsi="宋体" w:cs="宋体"/>
          <w:sz w:val="24"/>
          <w:szCs w:val="24"/>
        </w:rPr>
      </w:pPr>
      <w:r>
        <w:rPr>
          <w:rFonts w:hint="eastAsia" w:ascii="宋体" w:hAnsi="宋体" w:cs="宋体"/>
          <w:sz w:val="24"/>
          <w:szCs w:val="24"/>
        </w:rPr>
        <w:t>2.2 “供应商”系指响应采购人要求，向采购人提交竞争性谈判响应文件的供应商。</w:t>
      </w:r>
    </w:p>
    <w:p w14:paraId="3B97856D">
      <w:pPr>
        <w:spacing w:line="360" w:lineRule="auto"/>
        <w:rPr>
          <w:rFonts w:ascii="宋体" w:hAnsi="宋体" w:cs="仿宋_GB2312"/>
          <w:sz w:val="24"/>
          <w:szCs w:val="24"/>
        </w:rPr>
      </w:pPr>
      <w:bookmarkStart w:id="50" w:name="_Toc246928898"/>
      <w:r>
        <w:rPr>
          <w:rFonts w:hint="eastAsia" w:ascii="宋体" w:hAnsi="宋体" w:cs="仿宋_GB2312"/>
          <w:sz w:val="24"/>
          <w:szCs w:val="24"/>
        </w:rPr>
        <w:t>2.3 “货物”系指供应商按招标文件规定，须向买方提供的货物、备品配件、耗材、设备及其它有关技术资料和材料。</w:t>
      </w:r>
    </w:p>
    <w:p w14:paraId="04D55062">
      <w:pPr>
        <w:spacing w:line="360" w:lineRule="auto"/>
        <w:rPr>
          <w:rFonts w:ascii="宋体" w:hAnsi="宋体" w:cs="宋体"/>
          <w:sz w:val="24"/>
          <w:szCs w:val="24"/>
        </w:rPr>
      </w:pPr>
      <w:r>
        <w:rPr>
          <w:rFonts w:hint="eastAsia" w:ascii="宋体" w:hAnsi="宋体" w:cs="仿宋_GB2312"/>
          <w:sz w:val="24"/>
          <w:szCs w:val="24"/>
        </w:rPr>
        <w:t>2.4 “服务”系指招标文件规定供应商须承担的测试、检验、调试、技术支持、售后服务以及其他类似服务的义务。</w:t>
      </w:r>
    </w:p>
    <w:bookmarkEnd w:id="50"/>
    <w:p w14:paraId="5B2969F6">
      <w:pPr>
        <w:pStyle w:val="4"/>
        <w:spacing w:beforeLines="50" w:afterLines="50" w:line="360" w:lineRule="auto"/>
        <w:rPr>
          <w:rFonts w:ascii="宋体" w:hAnsi="宋体" w:cs="宋体"/>
          <w:szCs w:val="24"/>
        </w:rPr>
      </w:pPr>
      <w:bookmarkStart w:id="51" w:name="_Toc20739"/>
      <w:bookmarkStart w:id="52" w:name="_Toc465958091"/>
      <w:bookmarkStart w:id="53" w:name="_Toc26952"/>
      <w:bookmarkStart w:id="54" w:name="_Toc16727"/>
      <w:bookmarkStart w:id="55" w:name="_Toc27989"/>
      <w:bookmarkStart w:id="56" w:name="_Toc19646"/>
      <w:r>
        <w:rPr>
          <w:rFonts w:hint="eastAsia" w:ascii="宋体" w:hAnsi="宋体" w:cs="宋体"/>
          <w:szCs w:val="24"/>
        </w:rPr>
        <w:t>3 合格的</w:t>
      </w:r>
      <w:bookmarkEnd w:id="51"/>
      <w:bookmarkEnd w:id="52"/>
      <w:bookmarkEnd w:id="53"/>
      <w:bookmarkEnd w:id="54"/>
      <w:bookmarkEnd w:id="55"/>
      <w:bookmarkEnd w:id="56"/>
      <w:r>
        <w:rPr>
          <w:rFonts w:hint="eastAsia" w:ascii="宋体" w:hAnsi="宋体" w:cs="宋体"/>
          <w:szCs w:val="24"/>
        </w:rPr>
        <w:t>供应商</w:t>
      </w:r>
    </w:p>
    <w:p w14:paraId="4BE4D726">
      <w:pPr>
        <w:wordWrap w:val="0"/>
        <w:topLinePunct/>
        <w:spacing w:line="360" w:lineRule="auto"/>
        <w:jc w:val="left"/>
        <w:rPr>
          <w:rFonts w:ascii="宋体" w:hAnsi="宋体"/>
          <w:sz w:val="24"/>
        </w:rPr>
      </w:pPr>
      <w:bookmarkStart w:id="57" w:name="_Toc18683"/>
      <w:bookmarkStart w:id="58" w:name="_Toc3389"/>
      <w:bookmarkStart w:id="59" w:name="_Toc465958092"/>
      <w:bookmarkStart w:id="60" w:name="_Toc21286"/>
      <w:bookmarkStart w:id="61" w:name="_Toc246928899"/>
      <w:bookmarkStart w:id="62" w:name="_Toc9563"/>
      <w:bookmarkStart w:id="63" w:name="_Toc18171"/>
      <w:r>
        <w:rPr>
          <w:rFonts w:hint="eastAsia" w:ascii="宋体" w:hAnsi="宋体" w:cs="宋体"/>
          <w:sz w:val="24"/>
          <w:szCs w:val="24"/>
        </w:rPr>
        <w:t xml:space="preserve">3.1 </w:t>
      </w:r>
      <w:r>
        <w:rPr>
          <w:rFonts w:hint="eastAsia" w:ascii="宋体" w:hAnsi="宋体"/>
          <w:sz w:val="24"/>
        </w:rPr>
        <w:t>合格的供应商：满足下列资格条件且有能力提供项目所需服务的供应商。</w:t>
      </w:r>
    </w:p>
    <w:p w14:paraId="122AE3F4">
      <w:pPr>
        <w:spacing w:line="360" w:lineRule="auto"/>
        <w:rPr>
          <w:rFonts w:ascii="宋体" w:hAnsi="宋体"/>
          <w:bCs/>
          <w:sz w:val="24"/>
        </w:rPr>
      </w:pPr>
      <w:r>
        <w:rPr>
          <w:rFonts w:hint="eastAsia" w:ascii="宋体" w:hAnsi="宋体" w:cs="宋体"/>
          <w:sz w:val="24"/>
          <w:szCs w:val="24"/>
        </w:rPr>
        <w:t>3.2</w:t>
      </w:r>
      <w:r>
        <w:rPr>
          <w:rFonts w:hint="eastAsia" w:ascii="宋体" w:hAnsi="宋体"/>
          <w:bCs/>
          <w:sz w:val="24"/>
        </w:rPr>
        <w:t>资格条件</w:t>
      </w:r>
    </w:p>
    <w:p w14:paraId="36198721">
      <w:pPr>
        <w:spacing w:line="360" w:lineRule="auto"/>
        <w:ind w:firstLine="480" w:firstLineChars="200"/>
        <w:rPr>
          <w:rFonts w:ascii="宋体" w:hAnsi="宋体" w:cs="宋体"/>
          <w:sz w:val="24"/>
          <w:szCs w:val="24"/>
        </w:rPr>
      </w:pPr>
      <w:r>
        <w:rPr>
          <w:rFonts w:hint="eastAsia" w:ascii="宋体" w:hAnsi="宋体"/>
          <w:bCs/>
          <w:sz w:val="24"/>
        </w:rPr>
        <w:t>3.2.1</w:t>
      </w:r>
      <w:r>
        <w:rPr>
          <w:rFonts w:hint="eastAsia" w:ascii="宋体" w:hAnsi="宋体" w:cs="宋体"/>
          <w:sz w:val="24"/>
          <w:szCs w:val="24"/>
        </w:rPr>
        <w:t>供应商应当符合《中华人民共和国政府采购法》第二十二条第一款规定的投标人基本资格条件；以及竞争性谈判文件规定的供应商</w:t>
      </w:r>
      <w:r>
        <w:rPr>
          <w:rFonts w:hint="eastAsia" w:ascii="宋体" w:hAnsi="宋体" w:cs="宋体"/>
          <w:sz w:val="24"/>
        </w:rPr>
        <w:t>特定资格条件</w:t>
      </w:r>
      <w:r>
        <w:rPr>
          <w:rFonts w:hint="eastAsia" w:ascii="宋体" w:hAnsi="宋体" w:cs="宋体"/>
          <w:sz w:val="24"/>
          <w:szCs w:val="24"/>
        </w:rPr>
        <w:t>。</w:t>
      </w:r>
    </w:p>
    <w:p w14:paraId="6B47E77A">
      <w:pPr>
        <w:spacing w:line="360" w:lineRule="auto"/>
        <w:rPr>
          <w:rFonts w:ascii="宋体" w:hAnsi="宋体" w:cs="宋体"/>
          <w:sz w:val="24"/>
          <w:szCs w:val="24"/>
        </w:rPr>
      </w:pPr>
      <w:r>
        <w:rPr>
          <w:rFonts w:hint="eastAsia" w:ascii="宋体" w:hAnsi="宋体" w:cs="宋体"/>
          <w:sz w:val="24"/>
          <w:szCs w:val="24"/>
        </w:rPr>
        <w:t>3.3供应商必须从采购代理机构获取竞争性谈判文件，供应商自行转让或复制的竞争性谈判文件视为无效文件；竞争性谈判文件一经售出，一律不退，仅作为本次谈判使用。</w:t>
      </w:r>
    </w:p>
    <w:p w14:paraId="0008DB90">
      <w:pPr>
        <w:spacing w:line="360" w:lineRule="auto"/>
      </w:pPr>
      <w:r>
        <w:rPr>
          <w:rFonts w:hint="eastAsia" w:ascii="宋体" w:hAnsi="宋体" w:cs="宋体"/>
          <w:sz w:val="24"/>
          <w:szCs w:val="24"/>
        </w:rPr>
        <w:t>3.4法定代表人或者负责人为同一人或者存在控股、管理关系的两个以上供应商，不得参加同一政府采购项目投标。</w:t>
      </w:r>
    </w:p>
    <w:p w14:paraId="73F8A84D">
      <w:pPr>
        <w:spacing w:line="360" w:lineRule="auto"/>
        <w:rPr>
          <w:rFonts w:ascii="宋体" w:hAnsi="宋体" w:cs="宋体"/>
          <w:color w:val="000000"/>
          <w:sz w:val="24"/>
          <w:szCs w:val="24"/>
        </w:rPr>
      </w:pPr>
      <w:r>
        <w:rPr>
          <w:rFonts w:hint="eastAsia" w:ascii="宋体" w:hAnsi="宋体" w:cs="宋体"/>
          <w:sz w:val="24"/>
          <w:szCs w:val="24"/>
        </w:rPr>
        <w:t>3.5是否接受联合体投标：见投标人须知前附表。接受联合体投标的，两个以上的自</w:t>
      </w:r>
      <w:r>
        <w:rPr>
          <w:rFonts w:hint="eastAsia" w:ascii="宋体" w:hAnsi="宋体" w:cs="宋体"/>
          <w:color w:val="000000"/>
          <w:sz w:val="24"/>
          <w:szCs w:val="24"/>
        </w:rPr>
        <w:t>然人、法人或者其他组织可以组成一个联合体，以一个供应商的身份共同参加政府采购。以联合体形式进行政府采购的，参加联合体的供应商均应当具备招标文件规定的条件，并应当向采购人提交联合协议，载明联合体各方承担的工作和义务。联合体各方应当共同与采购人签订采购合同，就采购合同约定的事项对采购人承担连带责任。</w:t>
      </w:r>
    </w:p>
    <w:p w14:paraId="4E505A28">
      <w:pPr>
        <w:spacing w:line="360" w:lineRule="auto"/>
        <w:rPr>
          <w:rFonts w:ascii="宋体" w:hAnsi="宋体" w:cs="宋体"/>
          <w:color w:val="000000"/>
          <w:sz w:val="24"/>
          <w:szCs w:val="24"/>
        </w:rPr>
      </w:pPr>
      <w:r>
        <w:rPr>
          <w:rFonts w:hint="eastAsia" w:ascii="宋体" w:hAnsi="宋体" w:cs="宋体"/>
          <w:color w:val="000000"/>
          <w:sz w:val="24"/>
          <w:szCs w:val="24"/>
        </w:rPr>
        <w:t>3.6供应商应参照《中华人民共和国政府采购法》及其它有关的中国法律和法规。</w:t>
      </w:r>
    </w:p>
    <w:p w14:paraId="4B85DB07">
      <w:pPr>
        <w:pStyle w:val="4"/>
        <w:spacing w:line="360" w:lineRule="auto"/>
        <w:rPr>
          <w:rFonts w:ascii="宋体" w:hAnsi="宋体" w:cs="宋体"/>
        </w:rPr>
      </w:pPr>
      <w:r>
        <w:rPr>
          <w:rFonts w:hint="eastAsia" w:ascii="宋体" w:hAnsi="宋体" w:cs="宋体"/>
        </w:rPr>
        <w:t>4 费用</w:t>
      </w:r>
      <w:bookmarkEnd w:id="57"/>
      <w:bookmarkEnd w:id="58"/>
      <w:bookmarkEnd w:id="59"/>
      <w:bookmarkEnd w:id="60"/>
      <w:bookmarkEnd w:id="61"/>
      <w:bookmarkEnd w:id="62"/>
      <w:bookmarkEnd w:id="63"/>
    </w:p>
    <w:p w14:paraId="530CC6A7">
      <w:pPr>
        <w:spacing w:line="360" w:lineRule="auto"/>
        <w:rPr>
          <w:rFonts w:ascii="宋体" w:hAnsi="宋体" w:cs="宋体"/>
          <w:sz w:val="24"/>
        </w:rPr>
      </w:pPr>
      <w:r>
        <w:rPr>
          <w:rFonts w:hint="eastAsia" w:ascii="宋体" w:hAnsi="宋体" w:cs="宋体"/>
          <w:sz w:val="24"/>
        </w:rPr>
        <w:t>4.1 供应商应承担所有与编写和提交竞争性谈判响应文件有关的费用，无论谈判过程中的做法和结果如何，供应商自行承担参加谈判相关的全部费用。</w:t>
      </w:r>
    </w:p>
    <w:p w14:paraId="1BF406CB">
      <w:pPr>
        <w:pStyle w:val="3"/>
        <w:rPr>
          <w:rFonts w:ascii="宋体" w:hAnsi="宋体" w:eastAsia="宋体" w:cs="宋体"/>
          <w:sz w:val="44"/>
        </w:rPr>
      </w:pPr>
      <w:bookmarkStart w:id="64" w:name="_Toc1383"/>
      <w:bookmarkStart w:id="65" w:name="_Toc246928900"/>
      <w:bookmarkStart w:id="66" w:name="_Toc465958093"/>
      <w:bookmarkStart w:id="67" w:name="_Toc3331"/>
      <w:bookmarkStart w:id="68" w:name="_Toc26140"/>
      <w:bookmarkStart w:id="69" w:name="_Toc24227"/>
      <w:r>
        <w:rPr>
          <w:rFonts w:hint="eastAsia" w:ascii="宋体" w:hAnsi="宋体" w:eastAsia="宋体" w:cs="宋体"/>
          <w:sz w:val="44"/>
        </w:rPr>
        <w:t>B 竞争性谈判文件说明</w:t>
      </w:r>
      <w:bookmarkEnd w:id="64"/>
      <w:bookmarkEnd w:id="65"/>
      <w:bookmarkEnd w:id="66"/>
      <w:bookmarkEnd w:id="67"/>
      <w:bookmarkEnd w:id="68"/>
      <w:bookmarkEnd w:id="69"/>
    </w:p>
    <w:p w14:paraId="17959A7C">
      <w:pPr>
        <w:pStyle w:val="4"/>
        <w:spacing w:line="360" w:lineRule="auto"/>
        <w:rPr>
          <w:rFonts w:ascii="宋体" w:hAnsi="宋体" w:cs="宋体"/>
        </w:rPr>
      </w:pPr>
      <w:bookmarkStart w:id="70" w:name="_Toc21132"/>
      <w:bookmarkStart w:id="71" w:name="_Toc7327"/>
      <w:bookmarkStart w:id="72" w:name="_Toc15639"/>
      <w:bookmarkStart w:id="73" w:name="_Toc6287"/>
      <w:bookmarkStart w:id="74" w:name="_Toc16142"/>
      <w:bookmarkStart w:id="75" w:name="_Toc246928901"/>
      <w:bookmarkStart w:id="76" w:name="_Toc465958094"/>
      <w:r>
        <w:rPr>
          <w:rFonts w:hint="eastAsia" w:ascii="宋体" w:hAnsi="宋体" w:cs="宋体"/>
        </w:rPr>
        <w:t>5 竞争性谈判文件的构成</w:t>
      </w:r>
      <w:bookmarkEnd w:id="70"/>
      <w:bookmarkEnd w:id="71"/>
      <w:bookmarkEnd w:id="72"/>
      <w:bookmarkEnd w:id="73"/>
      <w:bookmarkEnd w:id="74"/>
      <w:bookmarkEnd w:id="75"/>
      <w:bookmarkEnd w:id="76"/>
    </w:p>
    <w:p w14:paraId="79905F2F">
      <w:pPr>
        <w:spacing w:line="360" w:lineRule="auto"/>
        <w:rPr>
          <w:rFonts w:ascii="宋体" w:hAnsi="宋体" w:cs="宋体"/>
          <w:sz w:val="24"/>
        </w:rPr>
      </w:pPr>
      <w:r>
        <w:rPr>
          <w:rFonts w:hint="eastAsia" w:ascii="宋体" w:hAnsi="宋体" w:cs="宋体"/>
          <w:sz w:val="24"/>
        </w:rPr>
        <w:t>5.1 竞争性谈判文件以阐明所需提供的货物、采购、谈判程序和合同条件。竞争性谈判文件包括：</w:t>
      </w:r>
    </w:p>
    <w:p w14:paraId="3C955A6F">
      <w:pPr>
        <w:spacing w:line="360" w:lineRule="auto"/>
        <w:rPr>
          <w:rFonts w:ascii="宋体" w:hAnsi="宋体" w:cs="宋体"/>
          <w:sz w:val="24"/>
        </w:rPr>
      </w:pPr>
      <w:r>
        <w:rPr>
          <w:rFonts w:hint="eastAsia" w:ascii="宋体" w:hAnsi="宋体" w:cs="宋体"/>
          <w:sz w:val="24"/>
        </w:rPr>
        <w:t>5.1.1 竞争性谈判公告；</w:t>
      </w:r>
    </w:p>
    <w:p w14:paraId="269F3444">
      <w:pPr>
        <w:spacing w:line="360" w:lineRule="auto"/>
        <w:rPr>
          <w:rFonts w:ascii="宋体" w:hAnsi="宋体" w:cs="宋体"/>
          <w:sz w:val="24"/>
        </w:rPr>
      </w:pPr>
      <w:r>
        <w:rPr>
          <w:rFonts w:hint="eastAsia" w:ascii="宋体" w:hAnsi="宋体" w:cs="宋体"/>
          <w:sz w:val="24"/>
        </w:rPr>
        <w:t>5.1.2 供应商须知前附表；</w:t>
      </w:r>
    </w:p>
    <w:p w14:paraId="745AE9AE">
      <w:pPr>
        <w:spacing w:line="360" w:lineRule="auto"/>
        <w:rPr>
          <w:rFonts w:ascii="宋体" w:hAnsi="宋体" w:cs="宋体"/>
          <w:sz w:val="24"/>
        </w:rPr>
      </w:pPr>
      <w:r>
        <w:rPr>
          <w:rFonts w:hint="eastAsia" w:ascii="宋体" w:hAnsi="宋体" w:cs="宋体"/>
          <w:sz w:val="24"/>
        </w:rPr>
        <w:t>5.1.3 供应商须知；</w:t>
      </w:r>
    </w:p>
    <w:p w14:paraId="7149F9D5">
      <w:pPr>
        <w:tabs>
          <w:tab w:val="left" w:pos="2415"/>
        </w:tabs>
        <w:spacing w:line="360" w:lineRule="auto"/>
        <w:rPr>
          <w:rFonts w:ascii="宋体" w:hAnsi="宋体" w:cs="宋体"/>
          <w:sz w:val="24"/>
        </w:rPr>
      </w:pPr>
      <w:r>
        <w:rPr>
          <w:rFonts w:hint="eastAsia" w:ascii="宋体" w:hAnsi="宋体" w:cs="宋体"/>
          <w:sz w:val="24"/>
        </w:rPr>
        <w:t>5.1.4 政府采购合同；</w:t>
      </w:r>
      <w:r>
        <w:rPr>
          <w:rFonts w:hint="eastAsia" w:ascii="宋体" w:hAnsi="宋体" w:cs="宋体"/>
          <w:sz w:val="24"/>
        </w:rPr>
        <w:tab/>
      </w:r>
    </w:p>
    <w:p w14:paraId="211607EE">
      <w:pPr>
        <w:spacing w:line="360" w:lineRule="auto"/>
        <w:rPr>
          <w:rFonts w:ascii="宋体" w:hAnsi="宋体" w:cs="宋体"/>
          <w:sz w:val="24"/>
        </w:rPr>
      </w:pPr>
      <w:r>
        <w:rPr>
          <w:rFonts w:hint="eastAsia" w:ascii="宋体" w:hAnsi="宋体" w:cs="宋体"/>
          <w:sz w:val="24"/>
        </w:rPr>
        <w:t>5.1.5 商务要求；</w:t>
      </w:r>
    </w:p>
    <w:p w14:paraId="7293BD45">
      <w:pPr>
        <w:spacing w:line="360" w:lineRule="auto"/>
        <w:rPr>
          <w:rFonts w:ascii="宋体" w:hAnsi="宋体" w:cs="宋体"/>
          <w:sz w:val="24"/>
        </w:rPr>
      </w:pPr>
      <w:r>
        <w:rPr>
          <w:rFonts w:hint="eastAsia" w:ascii="宋体" w:hAnsi="宋体" w:cs="宋体"/>
          <w:sz w:val="24"/>
        </w:rPr>
        <w:t xml:space="preserve">5.1.6 采购内容及要求； </w:t>
      </w:r>
    </w:p>
    <w:p w14:paraId="4E9E47E7">
      <w:pPr>
        <w:pStyle w:val="14"/>
        <w:spacing w:line="360" w:lineRule="auto"/>
        <w:rPr>
          <w:rFonts w:ascii="宋体" w:hAnsi="宋体" w:cs="宋体"/>
          <w:sz w:val="24"/>
        </w:rPr>
      </w:pPr>
      <w:r>
        <w:rPr>
          <w:rFonts w:hint="eastAsia" w:ascii="宋体" w:hAnsi="宋体" w:cs="宋体"/>
          <w:sz w:val="24"/>
        </w:rPr>
        <w:t>5.1.7 评审方法；</w:t>
      </w:r>
    </w:p>
    <w:p w14:paraId="07FFC53D">
      <w:pPr>
        <w:pStyle w:val="14"/>
        <w:spacing w:line="360" w:lineRule="auto"/>
        <w:rPr>
          <w:rFonts w:ascii="宋体" w:hAnsi="宋体" w:cs="宋体"/>
          <w:sz w:val="24"/>
        </w:rPr>
      </w:pPr>
      <w:r>
        <w:rPr>
          <w:rFonts w:hint="eastAsia" w:ascii="宋体" w:hAnsi="宋体" w:cs="宋体"/>
          <w:sz w:val="24"/>
        </w:rPr>
        <w:t>5.1.8竞争性谈判响应文件格式</w:t>
      </w:r>
    </w:p>
    <w:p w14:paraId="281C47B0">
      <w:pPr>
        <w:pStyle w:val="14"/>
        <w:spacing w:line="360" w:lineRule="auto"/>
        <w:rPr>
          <w:rFonts w:ascii="宋体" w:hAnsi="宋体" w:cs="宋体"/>
          <w:sz w:val="24"/>
        </w:rPr>
      </w:pPr>
      <w:r>
        <w:rPr>
          <w:rFonts w:hint="eastAsia" w:ascii="宋体" w:hAnsi="宋体" w:cs="宋体"/>
          <w:sz w:val="24"/>
        </w:rPr>
        <w:t>5.1.9封袋正面标识式样</w:t>
      </w:r>
    </w:p>
    <w:p w14:paraId="5020AFE6">
      <w:pPr>
        <w:spacing w:line="360" w:lineRule="auto"/>
        <w:rPr>
          <w:rFonts w:ascii="宋体" w:hAnsi="宋体" w:cs="宋体"/>
          <w:sz w:val="24"/>
        </w:rPr>
      </w:pPr>
      <w:r>
        <w:rPr>
          <w:rFonts w:hint="eastAsia" w:ascii="宋体" w:hAnsi="宋体" w:cs="宋体"/>
          <w:sz w:val="24"/>
        </w:rPr>
        <w:t>5.2 供应商应认真阅读竞争性谈判文件中所有的事项、格式、条款和规范要求等。</w:t>
      </w:r>
    </w:p>
    <w:p w14:paraId="34ED9DE5">
      <w:pPr>
        <w:spacing w:line="360" w:lineRule="auto"/>
        <w:rPr>
          <w:rFonts w:ascii="宋体" w:hAnsi="宋体" w:cs="宋体"/>
          <w:sz w:val="24"/>
        </w:rPr>
      </w:pPr>
      <w:r>
        <w:rPr>
          <w:rFonts w:hint="eastAsia" w:ascii="宋体" w:hAnsi="宋体" w:cs="宋体"/>
          <w:sz w:val="24"/>
        </w:rPr>
        <w:t>5.3 供应商没有对竞争性谈判文件全面做出实质性响应是供应商的风险。采购人有权拒绝没有对竞争性谈判文件要求做出实质性响应的谈判。</w:t>
      </w:r>
    </w:p>
    <w:p w14:paraId="54CBB371">
      <w:pPr>
        <w:spacing w:line="360" w:lineRule="auto"/>
        <w:rPr>
          <w:rFonts w:ascii="宋体" w:hAnsi="宋体" w:cs="宋体"/>
          <w:sz w:val="24"/>
          <w:szCs w:val="24"/>
        </w:rPr>
      </w:pPr>
      <w:r>
        <w:rPr>
          <w:rFonts w:hint="eastAsia" w:ascii="宋体" w:hAnsi="宋体" w:cs="宋体"/>
          <w:sz w:val="24"/>
          <w:szCs w:val="24"/>
        </w:rPr>
        <w:t>5.4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4995D230">
      <w:pPr>
        <w:pStyle w:val="19"/>
        <w:spacing w:before="0" w:beforeAutospacing="0" w:after="0" w:afterAutospacing="0" w:line="360" w:lineRule="auto"/>
        <w:ind w:firstLine="480" w:firstLineChars="200"/>
        <w:jc w:val="both"/>
        <w:rPr>
          <w:rFonts w:ascii="宋体" w:hAnsi="宋体" w:cs="宋体"/>
          <w:bCs/>
          <w:szCs w:val="24"/>
        </w:rPr>
      </w:pPr>
      <w:r>
        <w:rPr>
          <w:rFonts w:hint="eastAsia" w:ascii="宋体" w:hAnsi="宋体" w:cs="宋体"/>
          <w:bCs/>
          <w:szCs w:val="24"/>
        </w:rPr>
        <w:t>5.4.1</w:t>
      </w:r>
      <w:r>
        <w:rPr>
          <w:rFonts w:hint="eastAsia" w:ascii="宋体" w:hAnsi="宋体" w:cs="宋体"/>
          <w:spacing w:val="6"/>
          <w:kern w:val="2"/>
          <w:szCs w:val="24"/>
        </w:rPr>
        <w:t>根据</w:t>
      </w:r>
      <w:r>
        <w:rPr>
          <w:rFonts w:hint="eastAsia" w:ascii="宋体" w:hAnsi="宋体" w:cs="宋体"/>
          <w:kern w:val="2"/>
          <w:szCs w:val="24"/>
        </w:rPr>
        <w:t>《政府采购促进中小企业发展管理办法》（财库【2020】46号）</w:t>
      </w:r>
      <w:r>
        <w:rPr>
          <w:rFonts w:hint="eastAsia" w:ascii="宋体" w:hAnsi="宋体" w:cs="宋体"/>
          <w:spacing w:val="6"/>
          <w:kern w:val="2"/>
          <w:szCs w:val="24"/>
        </w:rPr>
        <w:t>的规定</w:t>
      </w:r>
      <w:r>
        <w:rPr>
          <w:rFonts w:hint="eastAsia" w:ascii="宋体" w:hAnsi="宋体" w:cs="宋体"/>
          <w:kern w:val="2"/>
          <w:szCs w:val="24"/>
        </w:rPr>
        <w:t>中、小、微企业参加投标时对小型和微型企业产品的价格给予</w:t>
      </w:r>
      <w:r>
        <w:rPr>
          <w:rFonts w:hint="eastAsia" w:ascii="宋体" w:hAnsi="宋体" w:cs="宋体"/>
          <w:kern w:val="2"/>
          <w:szCs w:val="24"/>
          <w:lang w:val="en-US" w:eastAsia="zh-CN"/>
        </w:rPr>
        <w:t>20</w:t>
      </w:r>
      <w:r>
        <w:rPr>
          <w:rFonts w:hint="eastAsia" w:ascii="宋体" w:hAnsi="宋体" w:cs="宋体"/>
          <w:kern w:val="2"/>
          <w:szCs w:val="24"/>
        </w:rPr>
        <w:t>%的扣除，用扣除后的价格参与评审。</w:t>
      </w:r>
    </w:p>
    <w:p w14:paraId="0BBF0F40">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5.4.2《财政部司法部关于政府采购支持监狱企业发展有关问题的通知》--财库[2014]68号 ；</w:t>
      </w:r>
    </w:p>
    <w:p w14:paraId="1D4A4810">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5.4.3《国务院办公厅关于建立政府强制采购节能产品制度的通知》--国办发[2007]51号 ；</w:t>
      </w:r>
    </w:p>
    <w:p w14:paraId="4AFC0640">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 xml:space="preserve">5.4.4《节能产品政府采购实施意见》--（财库[2004]185号）； </w:t>
      </w:r>
    </w:p>
    <w:p w14:paraId="0C101F0D">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5.4.5《环境标志产品政府采购实施的意见》--财库[2006]90号，投标人所投产品应优先选择财政部、国家发展改革委公布的环境标志产品政府采购清单目录内的产品（须提供节能、环保认证证书复印件加盖公章）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cs="宋体"/>
          <w:sz w:val="24"/>
          <w:szCs w:val="24"/>
        </w:rPr>
        <w:t>；</w:t>
      </w:r>
    </w:p>
    <w:p w14:paraId="4EAA046F">
      <w:pPr>
        <w:spacing w:line="360" w:lineRule="auto"/>
        <w:ind w:firstLine="420" w:firstLineChars="175"/>
        <w:rPr>
          <w:rFonts w:ascii="宋体" w:hAnsi="宋体" w:cs="宋体"/>
          <w:bCs/>
          <w:kern w:val="0"/>
          <w:sz w:val="24"/>
          <w:szCs w:val="24"/>
        </w:rPr>
      </w:pPr>
      <w:r>
        <w:rPr>
          <w:rFonts w:hint="eastAsia" w:ascii="宋体" w:hAnsi="宋体" w:cs="宋体"/>
          <w:bCs/>
          <w:kern w:val="0"/>
          <w:sz w:val="24"/>
          <w:szCs w:val="24"/>
        </w:rPr>
        <w:t>5.4.6《财政部民政部中国残疾人联合会关于促进残疾人就业政府采购政策的通知》--（财库〔2017〕141号）；</w:t>
      </w:r>
    </w:p>
    <w:p w14:paraId="11187B9E">
      <w:pPr>
        <w:pStyle w:val="9"/>
        <w:spacing w:line="360" w:lineRule="auto"/>
        <w:rPr>
          <w:rFonts w:ascii="宋体" w:hAnsi="宋体" w:cs="宋体"/>
          <w:bCs/>
          <w:kern w:val="0"/>
          <w:sz w:val="24"/>
          <w:szCs w:val="24"/>
        </w:rPr>
      </w:pPr>
      <w:r>
        <w:rPr>
          <w:rFonts w:hint="eastAsia" w:ascii="宋体" w:hAnsi="宋体" w:cs="宋体"/>
          <w:bCs/>
          <w:kern w:val="0"/>
          <w:sz w:val="24"/>
          <w:szCs w:val="24"/>
        </w:rPr>
        <w:t xml:space="preserve">    5.4.7《政府采购贫困地区农副产品实施方案》--（财库〔2019〕41号）；</w:t>
      </w:r>
    </w:p>
    <w:p w14:paraId="04EF27C2">
      <w:pPr>
        <w:widowControl/>
        <w:tabs>
          <w:tab w:val="left" w:pos="1620"/>
        </w:tabs>
        <w:adjustRightInd w:val="0"/>
        <w:snapToGrid w:val="0"/>
        <w:spacing w:line="360" w:lineRule="auto"/>
        <w:ind w:firstLine="480" w:firstLineChars="200"/>
        <w:jc w:val="left"/>
        <w:rPr>
          <w:rFonts w:ascii="宋体" w:hAnsi="宋体" w:cs="宋体"/>
          <w:bCs/>
          <w:kern w:val="0"/>
          <w:sz w:val="24"/>
          <w:szCs w:val="24"/>
        </w:rPr>
      </w:pPr>
      <w:r>
        <w:rPr>
          <w:rFonts w:hint="eastAsia" w:ascii="宋体" w:hAnsi="宋体" w:cs="宋体"/>
          <w:bCs/>
          <w:kern w:val="0"/>
          <w:sz w:val="24"/>
          <w:szCs w:val="24"/>
        </w:rPr>
        <w:t>5.4.8《关于在政府采购活动中查询及使用信用记录有关问题的通知》（财库〔2016〕125号）；</w:t>
      </w:r>
    </w:p>
    <w:p w14:paraId="685C3933">
      <w:pPr>
        <w:pStyle w:val="9"/>
        <w:spacing w:line="360" w:lineRule="auto"/>
        <w:ind w:left="19" w:leftChars="9" w:firstLine="458" w:firstLineChars="191"/>
      </w:pPr>
      <w:r>
        <w:rPr>
          <w:rFonts w:hint="eastAsia" w:ascii="宋体" w:hAnsi="宋体" w:cs="宋体"/>
          <w:bCs/>
          <w:kern w:val="0"/>
          <w:sz w:val="24"/>
          <w:szCs w:val="24"/>
        </w:rPr>
        <w:t xml:space="preserve">5.4.9《关于开展政府采购信用担保试点工作的通知》（财库【2011】124号）。 </w:t>
      </w:r>
    </w:p>
    <w:p w14:paraId="4DDEEE95">
      <w:pPr>
        <w:spacing w:line="360" w:lineRule="auto"/>
        <w:ind w:firstLine="480" w:firstLineChars="200"/>
        <w:rPr>
          <w:rFonts w:hint="eastAsia" w:ascii="宋体" w:hAnsi="宋体" w:eastAsia="宋体" w:cs="宋体"/>
          <w:sz w:val="24"/>
          <w:szCs w:val="24"/>
        </w:rPr>
      </w:pPr>
      <w:r>
        <w:rPr>
          <w:rFonts w:hint="eastAsia" w:ascii="宋体" w:hAnsi="宋体" w:cs="仿宋_GB2312"/>
          <w:kern w:val="0"/>
          <w:sz w:val="24"/>
          <w:szCs w:val="24"/>
        </w:rPr>
        <w:t>5.4.10</w:t>
      </w:r>
      <w:r>
        <w:rPr>
          <w:rFonts w:hint="eastAsia" w:ascii="宋体" w:hAnsi="宋体" w:eastAsia="宋体" w:cs="宋体"/>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国办《关于促进中小企业健康发展的指导意见》、财政部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工信部《政府采购促进中小企业发展</w:t>
      </w:r>
      <w:r>
        <w:rPr>
          <w:rFonts w:hint="eastAsia" w:ascii="宋体" w:hAnsi="宋体" w:eastAsia="宋体" w:cs="宋体"/>
          <w:sz w:val="24"/>
          <w:szCs w:val="24"/>
          <w:lang w:val="en-US" w:eastAsia="zh-CN"/>
        </w:rPr>
        <w:t>管理</w:t>
      </w:r>
      <w:r>
        <w:rPr>
          <w:rFonts w:hint="eastAsia" w:ascii="宋体" w:hAnsi="宋体" w:eastAsia="宋体" w:cs="宋体"/>
          <w:sz w:val="24"/>
          <w:szCs w:val="24"/>
        </w:rPr>
        <w:t>办法》（财库〔20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46</w:t>
      </w:r>
      <w:r>
        <w:rPr>
          <w:rFonts w:hint="eastAsia" w:ascii="宋体" w:hAnsi="宋体" w:eastAsia="宋体" w:cs="宋体"/>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《陕西省财政厅 中国人民银行西安分行关于深入推进政府采购信用融资业务的通知》</w:t>
      </w:r>
      <w:r>
        <w:rPr>
          <w:rFonts w:hint="eastAsia" w:ascii="宋体" w:hAnsi="宋体" w:eastAsia="宋体" w:cs="宋体"/>
          <w:sz w:val="24"/>
          <w:szCs w:val="24"/>
        </w:rPr>
        <w:t>（陕财办采〔202</w:t>
      </w:r>
      <w:r>
        <w:rPr>
          <w:rFonts w:hint="eastAsia" w:ascii="宋体" w:hAnsi="宋体" w:eastAsia="宋体" w:cs="宋体"/>
          <w:sz w:val="24"/>
          <w:szCs w:val="24"/>
          <w:lang w:val="en-US" w:eastAsia="zh-CN"/>
        </w:rPr>
        <w:t>3</w:t>
      </w:r>
      <w:r>
        <w:rPr>
          <w:rFonts w:hint="eastAsia" w:ascii="宋体" w:hAnsi="宋体" w:eastAsia="宋体" w:cs="宋体"/>
          <w:sz w:val="24"/>
          <w:szCs w:val="24"/>
        </w:rPr>
        <w:t>〕5号）等有关规定，按照</w:t>
      </w:r>
      <w:r>
        <w:rPr>
          <w:rFonts w:hint="eastAsia" w:ascii="宋体" w:hAnsi="宋体" w:eastAsia="宋体" w:cs="宋体"/>
          <w:sz w:val="24"/>
          <w:szCs w:val="24"/>
          <w:lang w:val="en-US" w:eastAsia="zh-CN"/>
        </w:rPr>
        <w:t>政府</w:t>
      </w:r>
      <w:r>
        <w:rPr>
          <w:rFonts w:hint="eastAsia" w:ascii="宋体" w:hAnsi="宋体" w:eastAsia="宋体" w:cs="宋体"/>
          <w:sz w:val="24"/>
          <w:szCs w:val="24"/>
        </w:rPr>
        <w:t>引导、</w:t>
      </w:r>
      <w:r>
        <w:rPr>
          <w:rFonts w:hint="eastAsia" w:ascii="宋体" w:hAnsi="宋体" w:eastAsia="宋体" w:cs="宋体"/>
          <w:sz w:val="24"/>
          <w:szCs w:val="24"/>
          <w:lang w:val="en-US" w:eastAsia="zh-CN"/>
        </w:rPr>
        <w:t>市场运作、银企</w:t>
      </w:r>
      <w:r>
        <w:rPr>
          <w:rFonts w:hint="eastAsia" w:ascii="宋体" w:hAnsi="宋体" w:eastAsia="宋体" w:cs="宋体"/>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sz w:val="24"/>
          <w:szCs w:val="24"/>
          <w:lang w:val="en-US" w:eastAsia="zh-CN"/>
        </w:rPr>
        <w:t>或中征平台（https://www.crcrfsp.com）</w:t>
      </w:r>
      <w:r>
        <w:rPr>
          <w:rFonts w:hint="eastAsia" w:ascii="宋体" w:hAnsi="宋体" w:eastAsia="宋体" w:cs="宋体"/>
          <w:sz w:val="24"/>
          <w:szCs w:val="24"/>
        </w:rPr>
        <w:t>在线申请，依法参加政府采购信用融资活动。</w:t>
      </w:r>
    </w:p>
    <w:tbl>
      <w:tblPr>
        <w:tblStyle w:val="22"/>
        <w:tblpPr w:leftFromText="180" w:rightFromText="180" w:vertAnchor="page" w:horzAnchor="page" w:tblpX="1890" w:tblpY="4548"/>
        <w:tblOverlap w:val="never"/>
        <w:tblW w:w="8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973"/>
        <w:gridCol w:w="984"/>
        <w:gridCol w:w="1017"/>
        <w:gridCol w:w="1028"/>
        <w:gridCol w:w="1283"/>
        <w:gridCol w:w="1017"/>
        <w:gridCol w:w="1896"/>
      </w:tblGrid>
      <w:tr w14:paraId="77455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8839" w:type="dxa"/>
            <w:gridSpan w:val="8"/>
            <w:tcBorders>
              <w:top w:val="nil"/>
              <w:left w:val="nil"/>
              <w:bottom w:val="nil"/>
              <w:right w:val="nil"/>
            </w:tcBorders>
            <w:noWrap/>
            <w:vAlign w:val="center"/>
          </w:tcPr>
          <w:p w14:paraId="1D4D86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榆林市“政采贷”业务办理银行联系表</w:t>
            </w:r>
          </w:p>
        </w:tc>
      </w:tr>
      <w:tr w14:paraId="0E034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1D714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0BF556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银行名称</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C7E96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B377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贷款额度</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120CA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贷款期限</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74104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贷款利率</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1FB98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办理时效</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0DB07F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联系人</w:t>
            </w:r>
          </w:p>
        </w:tc>
      </w:tr>
      <w:tr w14:paraId="118EB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13CA1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E19E3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长安银行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F7DF8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5016F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67BD97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8815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A2762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0E90E4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  众15109123951</w:t>
            </w:r>
          </w:p>
        </w:tc>
      </w:tr>
      <w:tr w14:paraId="79A01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5D398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3A745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中信银行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1E221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01445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400B4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5554DE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0F073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49379C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  靖15509125117</w:t>
            </w:r>
          </w:p>
        </w:tc>
      </w:tr>
      <w:tr w14:paraId="3BDE6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45DE3C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C5309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光大银行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A4D7D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21E2D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D6DB7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D6EC1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A2145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0F024D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刘  波18809125468</w:t>
            </w:r>
          </w:p>
        </w:tc>
      </w:tr>
      <w:tr w14:paraId="1C8DB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38CDDB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5737F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94BE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秦政贷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892AD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01DBEC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B487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9A404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7DBA20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  飞15291296886</w:t>
            </w:r>
          </w:p>
        </w:tc>
      </w:tr>
      <w:tr w14:paraId="680A9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0D7EE4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B0932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中国银行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24737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C91C1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05F6CF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49B2C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A91C4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29B01E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  浩18691230007</w:t>
            </w:r>
          </w:p>
        </w:tc>
      </w:tr>
      <w:tr w14:paraId="2D403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4C3700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7BFA7A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E1940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6ED8A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F899B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5B2F02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8C45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7F6F3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  烨15596100007</w:t>
            </w:r>
          </w:p>
        </w:tc>
      </w:tr>
      <w:tr w14:paraId="5D4A6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09F6DF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1BC92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浦发银行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0D66F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5CC8A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E690A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7E417A5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9AFF5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239CDD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  君15629169158</w:t>
            </w:r>
          </w:p>
        </w:tc>
      </w:tr>
      <w:tr w14:paraId="0414A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E116E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D3B82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DE9DB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4E89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C5BD4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2AA81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3.45%-5.8%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67A3E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1A5665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璐15529875056</w:t>
            </w:r>
          </w:p>
        </w:tc>
      </w:tr>
      <w:tr w14:paraId="69144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68C7A9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4BBF6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7D7E0B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1C5E8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45DC0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F6AD4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3.45%-3.85%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55C8F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7A36B6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杨  尧13325409313</w:t>
            </w:r>
          </w:p>
        </w:tc>
      </w:tr>
      <w:tr w14:paraId="573DA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3B9F4A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47D9F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民生银行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35A61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8F089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A8404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14F86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62C08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716576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郝双双15991225850</w:t>
            </w:r>
          </w:p>
        </w:tc>
      </w:tr>
    </w:tbl>
    <w:p w14:paraId="4F08FA1D">
      <w:pPr>
        <w:adjustRightInd w:val="0"/>
        <w:snapToGrid w:val="0"/>
        <w:spacing w:line="360" w:lineRule="auto"/>
        <w:rPr>
          <w:rFonts w:ascii="宋体" w:hAnsi="宋体" w:cs="宋体"/>
          <w:bCs/>
          <w:kern w:val="0"/>
          <w:sz w:val="24"/>
          <w:szCs w:val="24"/>
        </w:rPr>
      </w:pPr>
      <w:r>
        <w:rPr>
          <w:rFonts w:hint="eastAsia" w:ascii="宋体" w:hAnsi="宋体" w:eastAsia="宋体" w:cs="宋体"/>
          <w:i w:val="0"/>
          <w:iCs w:val="0"/>
          <w:color w:val="000000"/>
          <w:kern w:val="0"/>
          <w:sz w:val="22"/>
          <w:szCs w:val="22"/>
          <w:u w:val="none"/>
          <w:lang w:val="en-US" w:eastAsia="zh-CN" w:bidi="ar"/>
        </w:rPr>
        <w:t>备注：银行排名不分先后。如产品额度、期限、利率等内容发生改变，以银行解释为准。</w:t>
      </w:r>
    </w:p>
    <w:p w14:paraId="50E3DE65">
      <w:pPr>
        <w:pStyle w:val="4"/>
        <w:spacing w:line="360" w:lineRule="auto"/>
        <w:rPr>
          <w:rFonts w:ascii="宋体" w:hAnsi="宋体" w:cs="宋体"/>
        </w:rPr>
      </w:pPr>
      <w:bookmarkStart w:id="77" w:name="_Toc465958095"/>
      <w:bookmarkStart w:id="78" w:name="_Toc9452"/>
      <w:bookmarkStart w:id="79" w:name="_Toc246928902"/>
      <w:bookmarkStart w:id="80" w:name="_Toc2275"/>
      <w:bookmarkStart w:id="81" w:name="_Toc29090"/>
      <w:bookmarkStart w:id="82" w:name="_Toc32248"/>
      <w:bookmarkStart w:id="83" w:name="_Toc7858"/>
      <w:r>
        <w:rPr>
          <w:rFonts w:hint="eastAsia" w:ascii="宋体" w:hAnsi="宋体" w:cs="宋体"/>
        </w:rPr>
        <w:t>6 竞争性谈判文件的澄清</w:t>
      </w:r>
      <w:bookmarkEnd w:id="77"/>
      <w:bookmarkEnd w:id="78"/>
      <w:bookmarkEnd w:id="79"/>
      <w:bookmarkEnd w:id="80"/>
      <w:bookmarkEnd w:id="81"/>
      <w:bookmarkEnd w:id="82"/>
      <w:bookmarkEnd w:id="83"/>
    </w:p>
    <w:p w14:paraId="2DA88550">
      <w:pPr>
        <w:spacing w:line="360" w:lineRule="auto"/>
        <w:rPr>
          <w:rFonts w:ascii="宋体" w:hAnsi="宋体" w:cs="宋体"/>
          <w:sz w:val="24"/>
        </w:rPr>
      </w:pPr>
      <w:r>
        <w:rPr>
          <w:rFonts w:hint="eastAsia" w:ascii="宋体" w:hAnsi="宋体" w:cs="宋体"/>
          <w:sz w:val="24"/>
        </w:rPr>
        <w:t>6.1 任何要求对竞争性谈判文件澄清的供应商，均应以书面形式在谈判截止时间2日前通知采购代理机构。采购代理机构将以书面形式予以答复，并在其认为必要时，将不标明查询来源的书面答复通知竞争性谈判文件收受人。</w:t>
      </w:r>
    </w:p>
    <w:p w14:paraId="741CFA2B">
      <w:pPr>
        <w:spacing w:line="360" w:lineRule="auto"/>
        <w:rPr>
          <w:rFonts w:ascii="宋体" w:hAnsi="宋体" w:cs="宋体"/>
          <w:sz w:val="24"/>
        </w:rPr>
      </w:pPr>
      <w:r>
        <w:rPr>
          <w:rFonts w:hint="eastAsia" w:ascii="宋体" w:hAnsi="宋体" w:cs="宋体"/>
          <w:sz w:val="24"/>
        </w:rPr>
        <w:t>6.2 供应商收到上述通知后，应当立即向采购代理机构发出回函予以确认。</w:t>
      </w:r>
    </w:p>
    <w:p w14:paraId="1BC2AD99">
      <w:pPr>
        <w:spacing w:line="360" w:lineRule="auto"/>
        <w:rPr>
          <w:rFonts w:ascii="宋体" w:hAnsi="宋体" w:cs="宋体"/>
          <w:sz w:val="24"/>
        </w:rPr>
      </w:pPr>
      <w:r>
        <w:rPr>
          <w:rFonts w:hint="eastAsia" w:ascii="宋体" w:hAnsi="宋体" w:cs="宋体"/>
          <w:sz w:val="24"/>
        </w:rPr>
        <w:t>6.3 该澄清的内容为竞争性谈判文件的组成部分。</w:t>
      </w:r>
    </w:p>
    <w:p w14:paraId="53312557">
      <w:pPr>
        <w:pStyle w:val="4"/>
        <w:spacing w:line="360" w:lineRule="auto"/>
        <w:rPr>
          <w:rFonts w:ascii="宋体" w:hAnsi="宋体" w:cs="宋体"/>
        </w:rPr>
      </w:pPr>
      <w:bookmarkStart w:id="84" w:name="_Toc25100"/>
      <w:bookmarkStart w:id="85" w:name="_Toc11107"/>
      <w:bookmarkStart w:id="86" w:name="_Toc28323"/>
      <w:bookmarkStart w:id="87" w:name="_Toc246928903"/>
      <w:bookmarkStart w:id="88" w:name="_Toc29244"/>
      <w:bookmarkStart w:id="89" w:name="_Toc30004"/>
      <w:bookmarkStart w:id="90" w:name="_Toc465958096"/>
      <w:r>
        <w:rPr>
          <w:rFonts w:hint="eastAsia" w:ascii="宋体" w:hAnsi="宋体" w:cs="宋体"/>
        </w:rPr>
        <w:t>7 竞争性谈判文件的修改</w:t>
      </w:r>
      <w:bookmarkEnd w:id="84"/>
      <w:bookmarkEnd w:id="85"/>
      <w:bookmarkEnd w:id="86"/>
      <w:bookmarkEnd w:id="87"/>
      <w:bookmarkEnd w:id="88"/>
      <w:bookmarkEnd w:id="89"/>
      <w:bookmarkEnd w:id="90"/>
    </w:p>
    <w:p w14:paraId="1ABBFB88">
      <w:pPr>
        <w:spacing w:line="360" w:lineRule="auto"/>
        <w:rPr>
          <w:rFonts w:ascii="宋体" w:hAnsi="宋体" w:cs="宋体"/>
          <w:sz w:val="24"/>
        </w:rPr>
      </w:pPr>
      <w:r>
        <w:rPr>
          <w:rFonts w:hint="eastAsia" w:ascii="宋体" w:hAnsi="宋体" w:cs="宋体"/>
          <w:sz w:val="24"/>
        </w:rPr>
        <w:t>7.1 在竞争性谈判截止期前，无论出于何种原因，采购人可主动地或在解答供应商要求澄清的问题时对竞争性谈判文件进行修改。</w:t>
      </w:r>
    </w:p>
    <w:p w14:paraId="0A4FE256">
      <w:pPr>
        <w:spacing w:line="360" w:lineRule="auto"/>
        <w:rPr>
          <w:rFonts w:ascii="宋体" w:hAnsi="宋体" w:cs="宋体"/>
          <w:sz w:val="24"/>
        </w:rPr>
      </w:pPr>
      <w:r>
        <w:rPr>
          <w:rFonts w:hint="eastAsia" w:ascii="宋体" w:hAnsi="宋体" w:cs="宋体"/>
          <w:sz w:val="24"/>
        </w:rPr>
        <w:t>7.2 竞争性谈判文件的修改将以书面形式通知所有竞争性谈判文件的收受人，供应商在收到该通知后应立即以书面形式予以确认。</w:t>
      </w:r>
    </w:p>
    <w:p w14:paraId="587E2306">
      <w:pPr>
        <w:spacing w:line="360" w:lineRule="auto"/>
        <w:rPr>
          <w:rFonts w:ascii="宋体" w:hAnsi="宋体" w:cs="宋体"/>
          <w:sz w:val="24"/>
        </w:rPr>
      </w:pPr>
      <w:r>
        <w:rPr>
          <w:rFonts w:hint="eastAsia" w:ascii="宋体" w:hAnsi="宋体" w:cs="宋体"/>
          <w:sz w:val="24"/>
        </w:rPr>
        <w:t>7.3 为使供应商在准备竞争性谈判响应文件时，有充分的时间对竞争性谈判文件的修改进行研究考虑，采购人可自行决定，酌情推迟竞争性谈判响应文件截止日期和谈判时间，并以书面形式通知所有已领取竞争性谈判文件的供应商。</w:t>
      </w:r>
    </w:p>
    <w:p w14:paraId="52DA06A9">
      <w:pPr>
        <w:spacing w:line="360" w:lineRule="auto"/>
        <w:rPr>
          <w:rFonts w:ascii="宋体" w:hAnsi="宋体" w:cs="宋体"/>
          <w:sz w:val="24"/>
        </w:rPr>
      </w:pPr>
      <w:r>
        <w:rPr>
          <w:rFonts w:hint="eastAsia" w:ascii="宋体" w:hAnsi="宋体" w:cs="宋体"/>
          <w:sz w:val="24"/>
        </w:rPr>
        <w:t>7.4 竞争性谈判文件修改书将构成竞争性谈判文件的一部分，对采购人和供应商都具有约束力。</w:t>
      </w:r>
    </w:p>
    <w:p w14:paraId="2746C4BC">
      <w:pPr>
        <w:pStyle w:val="4"/>
        <w:rPr>
          <w:rFonts w:ascii="宋体" w:hAnsi="宋体" w:cs="宋体"/>
          <w:szCs w:val="24"/>
        </w:rPr>
      </w:pPr>
      <w:r>
        <w:rPr>
          <w:rFonts w:hint="eastAsia" w:ascii="宋体" w:hAnsi="宋体" w:cs="宋体"/>
        </w:rPr>
        <w:t>8 竞争性谈判文件的获取</w:t>
      </w:r>
    </w:p>
    <w:p w14:paraId="3C96B8D0">
      <w:pPr>
        <w:spacing w:line="360" w:lineRule="auto"/>
        <w:ind w:firstLine="480" w:firstLineChars="200"/>
        <w:rPr>
          <w:rFonts w:ascii="宋体" w:hAnsi="宋体" w:cs="宋体"/>
          <w:sz w:val="24"/>
          <w:szCs w:val="24"/>
        </w:rPr>
      </w:pPr>
      <w:r>
        <w:rPr>
          <w:rFonts w:hint="eastAsia" w:ascii="宋体" w:hAnsi="宋体" w:cs="宋体"/>
          <w:sz w:val="24"/>
          <w:szCs w:val="24"/>
        </w:rPr>
        <w:t>招标采购公告发布后，有意向的投标人应从采购代理机构获取竞争性谈判文件及平台报名并下载谈判文件，仅作为本次招标使用。投标单位自行转让或复制的竞争性谈判文件视为无效文件。</w:t>
      </w:r>
    </w:p>
    <w:p w14:paraId="1ED68CFB">
      <w:pPr>
        <w:pStyle w:val="4"/>
        <w:rPr>
          <w:rFonts w:ascii="宋体" w:hAnsi="宋体" w:cs="宋体"/>
          <w:sz w:val="24"/>
          <w:szCs w:val="24"/>
        </w:rPr>
      </w:pPr>
      <w:r>
        <w:rPr>
          <w:rFonts w:hint="eastAsia" w:ascii="宋体" w:hAnsi="宋体" w:cs="宋体"/>
        </w:rPr>
        <w:t>9 解释权归属</w:t>
      </w:r>
    </w:p>
    <w:p w14:paraId="0AB5BFCF">
      <w:pPr>
        <w:spacing w:line="360" w:lineRule="auto"/>
        <w:ind w:firstLine="566" w:firstLineChars="236"/>
      </w:pPr>
      <w:r>
        <w:rPr>
          <w:rFonts w:hint="eastAsia" w:ascii="宋体" w:hAnsi="宋体" w:cs="宋体"/>
          <w:sz w:val="24"/>
          <w:szCs w:val="24"/>
        </w:rPr>
        <w:t xml:space="preserve">本次竞争性谈判文件的解释权归采购代理机构。 </w:t>
      </w:r>
    </w:p>
    <w:p w14:paraId="009D9C1B">
      <w:pPr>
        <w:pStyle w:val="3"/>
        <w:rPr>
          <w:rFonts w:ascii="宋体" w:hAnsi="宋体" w:eastAsia="宋体" w:cs="宋体"/>
          <w:sz w:val="36"/>
        </w:rPr>
      </w:pPr>
      <w:bookmarkStart w:id="91" w:name="_Toc585"/>
      <w:bookmarkStart w:id="92" w:name="_Toc19669"/>
      <w:bookmarkStart w:id="93" w:name="_Toc28020"/>
      <w:bookmarkStart w:id="94" w:name="_Toc30520"/>
      <w:bookmarkStart w:id="95" w:name="_Toc465958097"/>
      <w:bookmarkStart w:id="96" w:name="_Toc246928904"/>
      <w:r>
        <w:rPr>
          <w:rFonts w:hint="eastAsia" w:ascii="宋体" w:hAnsi="宋体" w:eastAsia="宋体" w:cs="宋体"/>
          <w:sz w:val="36"/>
        </w:rPr>
        <w:t>C 竞争性谈判响应文件的编写</w:t>
      </w:r>
      <w:bookmarkEnd w:id="91"/>
      <w:bookmarkEnd w:id="92"/>
      <w:bookmarkEnd w:id="93"/>
      <w:bookmarkEnd w:id="94"/>
      <w:bookmarkEnd w:id="95"/>
      <w:bookmarkEnd w:id="96"/>
    </w:p>
    <w:p w14:paraId="4F8A46A4">
      <w:pPr>
        <w:pStyle w:val="4"/>
        <w:spacing w:line="360" w:lineRule="auto"/>
        <w:rPr>
          <w:rFonts w:ascii="宋体" w:hAnsi="宋体" w:cs="宋体"/>
        </w:rPr>
      </w:pPr>
      <w:bookmarkStart w:id="97" w:name="_Toc246928905"/>
      <w:bookmarkStart w:id="98" w:name="_Toc25855"/>
      <w:bookmarkStart w:id="99" w:name="_Toc32164"/>
      <w:bookmarkStart w:id="100" w:name="_Toc20725"/>
      <w:bookmarkStart w:id="101" w:name="_Toc465958098"/>
      <w:bookmarkStart w:id="102" w:name="_Toc25916"/>
      <w:bookmarkStart w:id="103" w:name="_Toc3361"/>
      <w:r>
        <w:rPr>
          <w:rFonts w:hint="eastAsia" w:ascii="宋体" w:hAnsi="宋体" w:cs="宋体"/>
        </w:rPr>
        <w:t>10 谈判语言</w:t>
      </w:r>
      <w:bookmarkEnd w:id="97"/>
      <w:bookmarkEnd w:id="98"/>
      <w:bookmarkEnd w:id="99"/>
      <w:bookmarkEnd w:id="100"/>
      <w:bookmarkEnd w:id="101"/>
      <w:bookmarkEnd w:id="102"/>
      <w:bookmarkEnd w:id="103"/>
    </w:p>
    <w:p w14:paraId="1785746F">
      <w:pPr>
        <w:spacing w:line="360" w:lineRule="auto"/>
        <w:rPr>
          <w:rFonts w:ascii="宋体" w:hAnsi="宋体" w:cs="宋体"/>
          <w:sz w:val="24"/>
        </w:rPr>
      </w:pPr>
      <w:r>
        <w:rPr>
          <w:rFonts w:hint="eastAsia" w:ascii="宋体" w:hAnsi="宋体" w:cs="宋体"/>
          <w:sz w:val="24"/>
        </w:rPr>
        <w:t>10.1 由供应商编写的竞争性谈判响应文件和往来信件应以中文书写。</w:t>
      </w:r>
    </w:p>
    <w:p w14:paraId="0497ABF1">
      <w:pPr>
        <w:pStyle w:val="4"/>
        <w:spacing w:line="360" w:lineRule="auto"/>
        <w:rPr>
          <w:rFonts w:ascii="宋体" w:hAnsi="宋体" w:cs="宋体"/>
        </w:rPr>
      </w:pPr>
      <w:bookmarkStart w:id="104" w:name="_Toc14629"/>
      <w:bookmarkStart w:id="105" w:name="_Toc26252"/>
      <w:bookmarkStart w:id="106" w:name="_Toc465958099"/>
      <w:bookmarkStart w:id="107" w:name="_Toc12423"/>
      <w:bookmarkStart w:id="108" w:name="_Toc30244"/>
      <w:bookmarkStart w:id="109" w:name="_Toc246928906"/>
      <w:bookmarkStart w:id="110" w:name="_Toc6421"/>
      <w:r>
        <w:rPr>
          <w:rFonts w:hint="eastAsia" w:ascii="宋体" w:hAnsi="宋体" w:cs="宋体"/>
        </w:rPr>
        <w:t>11 计量单位</w:t>
      </w:r>
      <w:bookmarkEnd w:id="104"/>
      <w:bookmarkEnd w:id="105"/>
      <w:bookmarkEnd w:id="106"/>
      <w:bookmarkEnd w:id="107"/>
      <w:bookmarkEnd w:id="108"/>
      <w:bookmarkEnd w:id="109"/>
      <w:bookmarkEnd w:id="110"/>
    </w:p>
    <w:p w14:paraId="43D577F5">
      <w:pPr>
        <w:spacing w:line="360" w:lineRule="auto"/>
        <w:rPr>
          <w:rFonts w:ascii="宋体" w:hAnsi="宋体" w:cs="宋体"/>
          <w:sz w:val="24"/>
        </w:rPr>
      </w:pPr>
      <w:r>
        <w:rPr>
          <w:rFonts w:hint="eastAsia" w:ascii="宋体" w:hAnsi="宋体" w:cs="宋体"/>
          <w:sz w:val="24"/>
        </w:rPr>
        <w:t>11.1 除在竞争性谈判文件中有特殊要求外，计量单位应使用中华人民共和国法定计量单位及通用图形符号。</w:t>
      </w:r>
    </w:p>
    <w:p w14:paraId="0BE615CF">
      <w:pPr>
        <w:spacing w:line="360" w:lineRule="auto"/>
        <w:rPr>
          <w:rFonts w:ascii="宋体" w:hAnsi="宋体" w:cs="宋体"/>
          <w:sz w:val="24"/>
        </w:rPr>
      </w:pPr>
      <w:r>
        <w:rPr>
          <w:rFonts w:hint="eastAsia" w:ascii="宋体" w:hAnsi="宋体" w:cs="宋体"/>
          <w:sz w:val="24"/>
        </w:rPr>
        <w:t>11.2 本次采购、谈判报价、谈判、评审和合同授予均以项目为单位，供应商必须就整个项目进行响应，不得将整个项目中的内容拆开谈判。拆开谈判的，按无效竞争性谈判响应文件处理。</w:t>
      </w:r>
    </w:p>
    <w:p w14:paraId="5F8490A9">
      <w:pPr>
        <w:pStyle w:val="4"/>
        <w:spacing w:line="360" w:lineRule="auto"/>
        <w:rPr>
          <w:rFonts w:ascii="宋体" w:hAnsi="宋体" w:cs="宋体"/>
        </w:rPr>
      </w:pPr>
      <w:bookmarkStart w:id="111" w:name="_Toc3415"/>
      <w:bookmarkStart w:id="112" w:name="_Toc26388"/>
      <w:bookmarkStart w:id="113" w:name="_Toc13655"/>
      <w:bookmarkStart w:id="114" w:name="_Toc1098"/>
      <w:bookmarkStart w:id="115" w:name="_Toc465958100"/>
      <w:bookmarkStart w:id="116" w:name="_Toc27123"/>
      <w:bookmarkStart w:id="117" w:name="_Toc246928907"/>
      <w:r>
        <w:rPr>
          <w:rFonts w:hint="eastAsia" w:ascii="宋体" w:hAnsi="宋体" w:cs="宋体"/>
        </w:rPr>
        <w:t>12 竞争性谈判响应文件的构成</w:t>
      </w:r>
      <w:bookmarkEnd w:id="111"/>
      <w:bookmarkEnd w:id="112"/>
      <w:bookmarkEnd w:id="113"/>
      <w:bookmarkEnd w:id="114"/>
      <w:bookmarkEnd w:id="115"/>
      <w:bookmarkEnd w:id="116"/>
      <w:bookmarkEnd w:id="117"/>
    </w:p>
    <w:p w14:paraId="217BD1F6">
      <w:pPr>
        <w:spacing w:line="360" w:lineRule="auto"/>
        <w:rPr>
          <w:rFonts w:ascii="宋体" w:hAnsi="宋体" w:cs="宋体"/>
          <w:sz w:val="24"/>
        </w:rPr>
      </w:pPr>
      <w:r>
        <w:rPr>
          <w:rFonts w:hint="eastAsia" w:ascii="宋体" w:hAnsi="宋体" w:cs="宋体"/>
          <w:sz w:val="24"/>
        </w:rPr>
        <w:t>12.1 供应商编写的竞争性谈判响应文件应包括下列部分：</w:t>
      </w:r>
    </w:p>
    <w:p w14:paraId="3ECC2734">
      <w:pPr>
        <w:spacing w:line="360" w:lineRule="auto"/>
        <w:rPr>
          <w:rFonts w:ascii="宋体" w:hAnsi="宋体" w:cs="宋体"/>
          <w:sz w:val="24"/>
        </w:rPr>
      </w:pPr>
      <w:r>
        <w:rPr>
          <w:rFonts w:hint="eastAsia" w:ascii="宋体" w:hAnsi="宋体" w:cs="宋体"/>
          <w:sz w:val="24"/>
        </w:rPr>
        <w:t>12.1.1 响应函（格式）；</w:t>
      </w:r>
    </w:p>
    <w:p w14:paraId="2E784901">
      <w:pPr>
        <w:spacing w:line="360" w:lineRule="auto"/>
        <w:rPr>
          <w:rFonts w:ascii="宋体" w:hAnsi="宋体" w:cs="宋体"/>
          <w:sz w:val="24"/>
        </w:rPr>
      </w:pPr>
      <w:r>
        <w:rPr>
          <w:rFonts w:hint="eastAsia" w:ascii="宋体" w:hAnsi="宋体" w:cs="宋体"/>
          <w:sz w:val="24"/>
        </w:rPr>
        <w:t>12.1.2 第一次谈判报价表；</w:t>
      </w:r>
    </w:p>
    <w:p w14:paraId="3290442B">
      <w:pPr>
        <w:pStyle w:val="14"/>
        <w:spacing w:line="360" w:lineRule="auto"/>
        <w:rPr>
          <w:rFonts w:ascii="宋体" w:hAnsi="宋体" w:cs="宋体"/>
          <w:sz w:val="24"/>
        </w:rPr>
      </w:pPr>
      <w:r>
        <w:rPr>
          <w:rFonts w:hint="eastAsia" w:ascii="宋体" w:hAnsi="宋体" w:cs="宋体"/>
          <w:sz w:val="24"/>
        </w:rPr>
        <w:t>12.1.3 竞争性谈判响应文件格式的所有内容。具体见竞争性谈判响应文件格式</w:t>
      </w:r>
    </w:p>
    <w:p w14:paraId="345C557B">
      <w:pPr>
        <w:spacing w:line="360" w:lineRule="auto"/>
        <w:rPr>
          <w:rFonts w:ascii="宋体" w:hAnsi="宋体" w:cs="宋体"/>
          <w:sz w:val="24"/>
        </w:rPr>
      </w:pPr>
      <w:r>
        <w:rPr>
          <w:rFonts w:hint="eastAsia" w:ascii="宋体" w:hAnsi="宋体" w:cs="宋体"/>
          <w:sz w:val="24"/>
        </w:rPr>
        <w:t>12.2 供应商的所有资格证明文件均应当为合法、有效文件，否则将被视为该文件未递交。</w:t>
      </w:r>
    </w:p>
    <w:p w14:paraId="1FB75257">
      <w:pPr>
        <w:spacing w:line="360" w:lineRule="auto"/>
        <w:rPr>
          <w:rFonts w:ascii="宋体" w:hAnsi="宋体" w:cs="宋体"/>
          <w:sz w:val="24"/>
        </w:rPr>
      </w:pPr>
      <w:r>
        <w:rPr>
          <w:rFonts w:hint="eastAsia" w:ascii="宋体" w:hAnsi="宋体" w:cs="宋体"/>
          <w:sz w:val="24"/>
        </w:rPr>
        <w:t>12.3 上述文件应当按照竞争性谈判文件规定的格式填写、签署和盖章。</w:t>
      </w:r>
    </w:p>
    <w:p w14:paraId="65AF84A5">
      <w:pPr>
        <w:pStyle w:val="4"/>
        <w:spacing w:line="360" w:lineRule="auto"/>
        <w:rPr>
          <w:rFonts w:ascii="宋体" w:hAnsi="宋体" w:cs="宋体"/>
        </w:rPr>
      </w:pPr>
      <w:bookmarkStart w:id="118" w:name="_Toc246928909"/>
      <w:bookmarkStart w:id="119" w:name="_Toc11558"/>
      <w:bookmarkStart w:id="120" w:name="_Toc23839"/>
      <w:bookmarkStart w:id="121" w:name="_Toc27931"/>
      <w:bookmarkStart w:id="122" w:name="_Toc465958101"/>
      <w:bookmarkStart w:id="123" w:name="_Toc285"/>
      <w:bookmarkStart w:id="124" w:name="_Toc7488"/>
      <w:r>
        <w:rPr>
          <w:rFonts w:hint="eastAsia" w:ascii="宋体" w:hAnsi="宋体" w:cs="宋体"/>
        </w:rPr>
        <w:t>13 谈判报价</w:t>
      </w:r>
      <w:bookmarkEnd w:id="118"/>
      <w:bookmarkEnd w:id="119"/>
      <w:bookmarkEnd w:id="120"/>
      <w:bookmarkEnd w:id="121"/>
      <w:bookmarkEnd w:id="122"/>
      <w:bookmarkEnd w:id="123"/>
      <w:bookmarkEnd w:id="124"/>
    </w:p>
    <w:p w14:paraId="1BC2A810">
      <w:pPr>
        <w:spacing w:line="360" w:lineRule="auto"/>
        <w:rPr>
          <w:rFonts w:ascii="宋体" w:hAnsi="宋体" w:cs="宋体"/>
          <w:sz w:val="24"/>
        </w:rPr>
      </w:pPr>
      <w:r>
        <w:rPr>
          <w:rFonts w:hint="eastAsia" w:ascii="宋体" w:hAnsi="宋体" w:cs="宋体"/>
          <w:sz w:val="24"/>
        </w:rPr>
        <w:t>13.1 所有谈判均以人民币报价。</w:t>
      </w:r>
    </w:p>
    <w:p w14:paraId="71B3D45B">
      <w:pPr>
        <w:spacing w:line="360" w:lineRule="auto"/>
        <w:rPr>
          <w:rFonts w:ascii="宋体" w:hAnsi="宋体" w:cs="宋体"/>
          <w:sz w:val="24"/>
        </w:rPr>
      </w:pPr>
      <w:r>
        <w:rPr>
          <w:rFonts w:hint="eastAsia" w:ascii="宋体" w:hAnsi="宋体" w:cs="宋体"/>
          <w:sz w:val="24"/>
        </w:rPr>
        <w:t>13.2 供应商依据竞争性谈判文件提供的货物及服务要求等资料并自行考虑风险因素计算谈判报价，一旦成交，谈判报价将不会因国家政策调整及市场变化因素而得到调整。</w:t>
      </w:r>
    </w:p>
    <w:p w14:paraId="66647E49">
      <w:pPr>
        <w:spacing w:line="360" w:lineRule="auto"/>
        <w:rPr>
          <w:rFonts w:ascii="宋体" w:hAnsi="宋体" w:cs="宋体"/>
          <w:sz w:val="24"/>
        </w:rPr>
      </w:pPr>
      <w:bookmarkStart w:id="125" w:name="_Toc246928911"/>
      <w:r>
        <w:rPr>
          <w:rFonts w:hint="eastAsia" w:ascii="宋体" w:hAnsi="宋体" w:cs="宋体"/>
          <w:sz w:val="24"/>
        </w:rPr>
        <w:t>13.3 供应商应对所列的所有服务进行响应，不得将采购内容拆开谈判。</w:t>
      </w:r>
    </w:p>
    <w:p w14:paraId="276C524F">
      <w:pPr>
        <w:spacing w:line="360" w:lineRule="auto"/>
        <w:rPr>
          <w:rFonts w:ascii="宋体" w:hAnsi="宋体" w:cs="宋体"/>
          <w:sz w:val="24"/>
        </w:rPr>
      </w:pPr>
      <w:r>
        <w:rPr>
          <w:rFonts w:hint="eastAsia" w:ascii="宋体" w:hAnsi="宋体" w:cs="宋体"/>
          <w:sz w:val="24"/>
        </w:rPr>
        <w:t>13.4 采购人只接受供应商提供的唯一谈判响应方案，不接受备选方案。</w:t>
      </w:r>
    </w:p>
    <w:p w14:paraId="38F877AA">
      <w:pPr>
        <w:pStyle w:val="4"/>
        <w:spacing w:line="360" w:lineRule="auto"/>
        <w:rPr>
          <w:rFonts w:ascii="宋体" w:hAnsi="宋体" w:cs="宋体"/>
        </w:rPr>
      </w:pPr>
      <w:bookmarkStart w:id="126" w:name="_Toc14151"/>
      <w:bookmarkStart w:id="127" w:name="_Toc465958102"/>
      <w:bookmarkStart w:id="128" w:name="_Toc30975"/>
      <w:bookmarkStart w:id="129" w:name="_Toc7647"/>
      <w:bookmarkStart w:id="130" w:name="_Toc10046"/>
      <w:bookmarkStart w:id="131" w:name="_Toc28059"/>
      <w:r>
        <w:rPr>
          <w:rFonts w:hint="eastAsia" w:ascii="宋体" w:hAnsi="宋体" w:cs="宋体"/>
        </w:rPr>
        <w:t>14 证明供应商资格的证明文件</w:t>
      </w:r>
      <w:bookmarkEnd w:id="125"/>
      <w:bookmarkEnd w:id="126"/>
      <w:bookmarkEnd w:id="127"/>
      <w:bookmarkEnd w:id="128"/>
      <w:bookmarkEnd w:id="129"/>
      <w:bookmarkEnd w:id="130"/>
      <w:bookmarkEnd w:id="131"/>
    </w:p>
    <w:p w14:paraId="7047B7A3">
      <w:pPr>
        <w:spacing w:line="360" w:lineRule="auto"/>
        <w:rPr>
          <w:rFonts w:ascii="宋体" w:hAnsi="宋体" w:cs="宋体"/>
          <w:sz w:val="24"/>
        </w:rPr>
      </w:pPr>
      <w:r>
        <w:rPr>
          <w:rFonts w:hint="eastAsia" w:ascii="宋体" w:hAnsi="宋体" w:cs="宋体"/>
          <w:sz w:val="24"/>
        </w:rPr>
        <w:t>12.1 供应商必须按要求提交证明文件，以证明其有资格参加谈判和成交后有履行合同的能力，并作为其竞争性谈判响应文件的一部分。</w:t>
      </w:r>
    </w:p>
    <w:p w14:paraId="78F87D36">
      <w:pPr>
        <w:spacing w:line="360" w:lineRule="auto"/>
        <w:rPr>
          <w:rFonts w:ascii="宋体" w:hAnsi="宋体" w:cs="宋体"/>
          <w:sz w:val="24"/>
        </w:rPr>
      </w:pPr>
      <w:r>
        <w:rPr>
          <w:rFonts w:hint="eastAsia" w:ascii="宋体" w:hAnsi="宋体" w:cs="宋体"/>
          <w:sz w:val="24"/>
        </w:rPr>
        <w:t>12.2供应商应具有履行合同所需的财务、技术和生产能力；</w:t>
      </w:r>
    </w:p>
    <w:p w14:paraId="140628DD">
      <w:pPr>
        <w:spacing w:line="360" w:lineRule="auto"/>
        <w:rPr>
          <w:rFonts w:ascii="宋体" w:hAnsi="宋体" w:cs="宋体"/>
          <w:sz w:val="24"/>
        </w:rPr>
      </w:pPr>
      <w:r>
        <w:rPr>
          <w:rFonts w:hint="eastAsia" w:ascii="宋体" w:hAnsi="宋体" w:cs="宋体"/>
          <w:sz w:val="24"/>
        </w:rPr>
        <w:t>12.3供应商应有能力履行竞争性谈判文件所规定的由供应商在服务地点提供服务的人员及技术支持和服务；</w:t>
      </w:r>
    </w:p>
    <w:p w14:paraId="7FCD8510">
      <w:pPr>
        <w:spacing w:line="360" w:lineRule="auto"/>
        <w:rPr>
          <w:rFonts w:ascii="宋体" w:hAnsi="宋体" w:cs="宋体"/>
          <w:sz w:val="24"/>
        </w:rPr>
      </w:pPr>
      <w:r>
        <w:rPr>
          <w:rFonts w:hint="eastAsia" w:ascii="宋体" w:hAnsi="宋体" w:cs="宋体"/>
          <w:sz w:val="24"/>
        </w:rPr>
        <w:t>12.4供应商认为能够证明供应商及其提供服务的等其他文件。</w:t>
      </w:r>
    </w:p>
    <w:p w14:paraId="628DEAC3">
      <w:pPr>
        <w:pStyle w:val="4"/>
        <w:spacing w:line="360" w:lineRule="auto"/>
        <w:rPr>
          <w:rFonts w:ascii="宋体" w:hAnsi="宋体" w:cs="宋体"/>
        </w:rPr>
      </w:pPr>
      <w:bookmarkStart w:id="132" w:name="_Toc465958103"/>
      <w:bookmarkStart w:id="133" w:name="_Toc7233"/>
      <w:bookmarkStart w:id="134" w:name="_Toc246928912"/>
      <w:bookmarkStart w:id="135" w:name="_Toc19118"/>
      <w:bookmarkStart w:id="136" w:name="_Toc23372"/>
      <w:bookmarkStart w:id="137" w:name="_Toc28780"/>
      <w:bookmarkStart w:id="138" w:name="_Toc32534"/>
      <w:r>
        <w:rPr>
          <w:rFonts w:hint="eastAsia" w:ascii="宋体" w:hAnsi="宋体" w:cs="宋体"/>
        </w:rPr>
        <w:t>15 证明服务符合竞争性谈判文件规定的文件</w:t>
      </w:r>
      <w:bookmarkEnd w:id="132"/>
      <w:bookmarkEnd w:id="133"/>
      <w:bookmarkEnd w:id="134"/>
      <w:bookmarkEnd w:id="135"/>
      <w:bookmarkEnd w:id="136"/>
      <w:bookmarkEnd w:id="137"/>
      <w:bookmarkEnd w:id="138"/>
    </w:p>
    <w:p w14:paraId="21A2214A">
      <w:pPr>
        <w:spacing w:line="360" w:lineRule="auto"/>
        <w:rPr>
          <w:rFonts w:ascii="宋体" w:hAnsi="宋体" w:cs="宋体"/>
          <w:sz w:val="24"/>
        </w:rPr>
      </w:pPr>
      <w:r>
        <w:rPr>
          <w:rFonts w:hint="eastAsia" w:ascii="宋体" w:hAnsi="宋体" w:cs="宋体"/>
          <w:sz w:val="24"/>
        </w:rPr>
        <w:t>15.1 供应商所提供的服务须符合法律、法规、相关规章及国家强制性技术标准和竞争性谈判文件的规定。</w:t>
      </w:r>
    </w:p>
    <w:p w14:paraId="53D72A9C">
      <w:pPr>
        <w:spacing w:line="360" w:lineRule="auto"/>
        <w:rPr>
          <w:rFonts w:ascii="宋体" w:hAnsi="宋体" w:cs="宋体"/>
          <w:sz w:val="24"/>
        </w:rPr>
      </w:pPr>
      <w:r>
        <w:rPr>
          <w:rFonts w:hint="eastAsia" w:ascii="宋体" w:hAnsi="宋体" w:cs="宋体"/>
          <w:sz w:val="24"/>
        </w:rPr>
        <w:t>15.2 供应商应对竞争性谈判文件中的各项条款做出清晰准确的答复。</w:t>
      </w:r>
    </w:p>
    <w:p w14:paraId="7A819D40">
      <w:pPr>
        <w:spacing w:line="360" w:lineRule="auto"/>
        <w:ind w:left="-181" w:leftChars="-86" w:firstLine="180" w:firstLineChars="75"/>
        <w:rPr>
          <w:rFonts w:ascii="宋体" w:hAnsi="宋体" w:cs="宋体"/>
          <w:sz w:val="24"/>
        </w:rPr>
      </w:pPr>
      <w:r>
        <w:rPr>
          <w:rFonts w:hint="eastAsia" w:ascii="宋体" w:hAnsi="宋体" w:cs="宋体"/>
          <w:sz w:val="24"/>
        </w:rPr>
        <w:t>15.3 提交文件可以是文字资料也可以是图纸、图片等资料。</w:t>
      </w:r>
    </w:p>
    <w:p w14:paraId="5E4EECC6">
      <w:pPr>
        <w:pStyle w:val="4"/>
        <w:spacing w:line="360" w:lineRule="auto"/>
        <w:rPr>
          <w:rFonts w:ascii="宋体" w:hAnsi="宋体" w:cs="宋体"/>
        </w:rPr>
      </w:pPr>
      <w:bookmarkStart w:id="139" w:name="_Toc246928913"/>
      <w:bookmarkStart w:id="140" w:name="_Toc4194"/>
      <w:bookmarkStart w:id="141" w:name="_Toc22564"/>
      <w:bookmarkStart w:id="142" w:name="_Toc465958104"/>
      <w:bookmarkStart w:id="143" w:name="_Toc21933"/>
      <w:bookmarkStart w:id="144" w:name="_Toc27673"/>
      <w:bookmarkStart w:id="145" w:name="_Toc6620"/>
      <w:r>
        <w:rPr>
          <w:rFonts w:hint="eastAsia" w:ascii="宋体" w:hAnsi="宋体" w:cs="宋体"/>
        </w:rPr>
        <w:t>16 谈判保证金</w:t>
      </w:r>
      <w:bookmarkEnd w:id="139"/>
      <w:bookmarkEnd w:id="140"/>
      <w:bookmarkEnd w:id="141"/>
      <w:bookmarkEnd w:id="142"/>
      <w:bookmarkEnd w:id="143"/>
      <w:bookmarkEnd w:id="144"/>
      <w:bookmarkEnd w:id="145"/>
    </w:p>
    <w:p w14:paraId="25E00ED6">
      <w:pPr>
        <w:pStyle w:val="4"/>
        <w:spacing w:line="360" w:lineRule="auto"/>
        <w:rPr>
          <w:rFonts w:hint="eastAsia" w:ascii="宋体" w:hAnsi="宋体" w:cs="宋体"/>
          <w:sz w:val="24"/>
          <w:szCs w:val="28"/>
        </w:rPr>
      </w:pPr>
      <w:bookmarkStart w:id="146" w:name="_Toc22789"/>
      <w:bookmarkStart w:id="147" w:name="_Toc465958105"/>
      <w:bookmarkStart w:id="148" w:name="_Toc246928914"/>
      <w:bookmarkStart w:id="149" w:name="_Toc4413"/>
      <w:bookmarkStart w:id="150" w:name="_Toc8022"/>
      <w:bookmarkStart w:id="151" w:name="_Toc20201"/>
      <w:bookmarkStart w:id="152" w:name="_Toc4576"/>
      <w:r>
        <w:rPr>
          <w:rFonts w:hint="eastAsia" w:ascii="宋体" w:hAnsi="宋体" w:cs="宋体"/>
          <w:b w:val="0"/>
          <w:bCs w:val="0"/>
          <w:sz w:val="24"/>
          <w:szCs w:val="28"/>
          <w:lang w:val="en-US" w:eastAsia="zh-CN"/>
        </w:rPr>
        <w:t>16.1</w:t>
      </w:r>
      <w:r>
        <w:rPr>
          <w:rFonts w:hint="eastAsia" w:ascii="宋体" w:hAnsi="宋体" w:cs="宋体"/>
          <w:b w:val="0"/>
          <w:bCs w:val="0"/>
          <w:sz w:val="24"/>
          <w:szCs w:val="28"/>
        </w:rPr>
        <w:t>投标保证金可用投标信用承诺书代替（提供投标信用承诺书）；</w:t>
      </w:r>
    </w:p>
    <w:p w14:paraId="2B9E11D5">
      <w:pPr>
        <w:pStyle w:val="4"/>
        <w:spacing w:line="360" w:lineRule="auto"/>
        <w:rPr>
          <w:rFonts w:ascii="宋体" w:hAnsi="宋体" w:cs="宋体"/>
        </w:rPr>
      </w:pPr>
      <w:r>
        <w:rPr>
          <w:rFonts w:hint="eastAsia" w:ascii="宋体" w:hAnsi="宋体" w:cs="宋体"/>
        </w:rPr>
        <w:t>17 谈判有效期</w:t>
      </w:r>
      <w:bookmarkEnd w:id="146"/>
      <w:bookmarkEnd w:id="147"/>
      <w:bookmarkEnd w:id="148"/>
      <w:bookmarkEnd w:id="149"/>
      <w:bookmarkEnd w:id="150"/>
      <w:bookmarkEnd w:id="151"/>
      <w:bookmarkEnd w:id="152"/>
    </w:p>
    <w:p w14:paraId="54671BF6">
      <w:pPr>
        <w:spacing w:line="360" w:lineRule="auto"/>
        <w:rPr>
          <w:rFonts w:ascii="宋体" w:hAnsi="宋体" w:cs="宋体"/>
          <w:sz w:val="24"/>
        </w:rPr>
      </w:pPr>
      <w:r>
        <w:rPr>
          <w:rFonts w:hint="eastAsia" w:ascii="宋体" w:hAnsi="宋体" w:cs="宋体"/>
          <w:sz w:val="24"/>
        </w:rPr>
        <w:t>17.1  竞争性谈判响应文件从开标之日起，谈判有效期为90日历天。谈判有效期不满足要求的谈判属于无效谈判情形。</w:t>
      </w:r>
    </w:p>
    <w:p w14:paraId="371B83A6">
      <w:pPr>
        <w:spacing w:line="360" w:lineRule="auto"/>
        <w:rPr>
          <w:rFonts w:ascii="宋体" w:hAnsi="宋体" w:cs="宋体"/>
          <w:sz w:val="24"/>
        </w:rPr>
      </w:pPr>
      <w:r>
        <w:rPr>
          <w:rFonts w:hint="eastAsia" w:ascii="宋体" w:hAnsi="宋体" w:cs="宋体"/>
          <w:sz w:val="24"/>
          <w:szCs w:val="24"/>
        </w:rPr>
        <w:t>17.2成交供应商的竞争性谈判响应文件有效期延长至合同执行完毕。</w:t>
      </w:r>
    </w:p>
    <w:p w14:paraId="7B64AB48">
      <w:pPr>
        <w:spacing w:line="360" w:lineRule="auto"/>
        <w:rPr>
          <w:rFonts w:ascii="宋体" w:hAnsi="宋体" w:cs="宋体"/>
          <w:sz w:val="24"/>
        </w:rPr>
      </w:pPr>
      <w:r>
        <w:rPr>
          <w:rFonts w:hint="eastAsia" w:ascii="宋体" w:hAnsi="宋体" w:cs="宋体"/>
          <w:sz w:val="24"/>
        </w:rPr>
        <w:t>17.3  特殊情况下，采购人可于谈判有效期满之前要求供应商同意延长有效期，要求与答复均应为书面形式。供应商可以拒绝上述要求，对于同意该要求的供应商，既不要求也不允许其修改竞争性谈判响应文件。</w:t>
      </w:r>
    </w:p>
    <w:p w14:paraId="562DC032">
      <w:pPr>
        <w:pStyle w:val="4"/>
        <w:spacing w:before="120" w:after="120" w:line="360" w:lineRule="auto"/>
        <w:rPr>
          <w:rFonts w:ascii="宋体" w:hAnsi="宋体" w:cs="宋体"/>
        </w:rPr>
      </w:pPr>
      <w:bookmarkStart w:id="153" w:name="_Toc246928915"/>
      <w:bookmarkStart w:id="154" w:name="_Toc465958106"/>
      <w:bookmarkStart w:id="155" w:name="_Toc282"/>
      <w:bookmarkStart w:id="156" w:name="_Toc14012"/>
      <w:bookmarkStart w:id="157" w:name="_Toc22552"/>
      <w:bookmarkStart w:id="158" w:name="_Toc17754"/>
      <w:bookmarkStart w:id="159" w:name="_Toc15795"/>
      <w:r>
        <w:rPr>
          <w:rFonts w:hint="eastAsia" w:ascii="宋体" w:hAnsi="宋体" w:cs="宋体"/>
        </w:rPr>
        <w:t>18 竞争性谈判响应文件的签署及</w:t>
      </w:r>
      <w:bookmarkEnd w:id="153"/>
      <w:r>
        <w:rPr>
          <w:rFonts w:hint="eastAsia" w:ascii="宋体" w:hAnsi="宋体" w:cs="宋体"/>
        </w:rPr>
        <w:t>规定</w:t>
      </w:r>
      <w:bookmarkEnd w:id="154"/>
      <w:bookmarkEnd w:id="155"/>
      <w:bookmarkEnd w:id="156"/>
      <w:bookmarkEnd w:id="157"/>
      <w:bookmarkEnd w:id="158"/>
      <w:bookmarkEnd w:id="159"/>
    </w:p>
    <w:p w14:paraId="3F8E35CD">
      <w:pPr>
        <w:spacing w:line="360" w:lineRule="auto"/>
        <w:rPr>
          <w:rFonts w:ascii="宋体" w:hAnsi="宋体" w:cs="宋体"/>
          <w:sz w:val="24"/>
        </w:rPr>
      </w:pPr>
      <w:r>
        <w:rPr>
          <w:rFonts w:hint="eastAsia" w:ascii="宋体" w:hAnsi="宋体" w:cs="宋体"/>
          <w:sz w:val="24"/>
        </w:rPr>
        <w:t xml:space="preserve">18.1 </w:t>
      </w:r>
      <w:r>
        <w:rPr>
          <w:rFonts w:hint="eastAsia" w:ascii="宋体" w:hAnsi="宋体" w:cs="宋体"/>
          <w:sz w:val="24"/>
          <w:lang w:eastAsia="zh-CN"/>
        </w:rPr>
        <w:t>纸质</w:t>
      </w:r>
      <w:r>
        <w:rPr>
          <w:rFonts w:hint="eastAsia" w:ascii="宋体" w:hAnsi="宋体" w:cs="宋体"/>
          <w:sz w:val="24"/>
        </w:rPr>
        <w:t>谈判响应文件正本和所有副本均需</w:t>
      </w:r>
      <w:r>
        <w:rPr>
          <w:rFonts w:hint="eastAsia" w:ascii="宋体" w:hAnsi="宋体" w:cs="宋体"/>
          <w:sz w:val="24"/>
          <w:szCs w:val="24"/>
        </w:rPr>
        <w:t>用A4幅面纸张</w:t>
      </w:r>
      <w:r>
        <w:rPr>
          <w:rFonts w:hint="eastAsia" w:ascii="宋体" w:hAnsi="宋体" w:cs="宋体"/>
          <w:sz w:val="24"/>
        </w:rPr>
        <w:t>打印或用不褪色的蓝(黑)色墨水(汁)书写,并由投标人法定代表人或经法定代表人正式授权的代表签字。谈判响应文件若由授权代表签署，须按招标文件规定的格式提供的“法定代表人授权委托书”原件附在</w:t>
      </w:r>
      <w:r>
        <w:rPr>
          <w:rFonts w:hint="eastAsia" w:ascii="宋体" w:hAnsi="宋体" w:cs="宋体"/>
          <w:sz w:val="24"/>
          <w:lang w:eastAsia="zh-CN"/>
        </w:rPr>
        <w:t>谈判响应文件</w:t>
      </w:r>
      <w:r>
        <w:rPr>
          <w:rFonts w:hint="eastAsia" w:ascii="宋体" w:hAnsi="宋体" w:cs="宋体"/>
          <w:sz w:val="24"/>
        </w:rPr>
        <w:t>中。所有要求签字（名）处，均须由签字（名）者本人用不褪色的蓝(黑)色墨水(汁)书写，不得用任何形式的图章代替。所有谈判响应文件正本和副本须按规定的顺序编排、并应编制三级及以上目录、逐页标注连续页码，每一页的正下方清楚标明页码，并统一装订（胶装）成册。</w:t>
      </w:r>
    </w:p>
    <w:p w14:paraId="49116444">
      <w:pPr>
        <w:adjustRightInd w:val="0"/>
        <w:snapToGrid w:val="0"/>
        <w:spacing w:line="360" w:lineRule="auto"/>
        <w:rPr>
          <w:rFonts w:ascii="宋体" w:hAnsi="宋体" w:cs="宋体"/>
          <w:sz w:val="24"/>
          <w:szCs w:val="22"/>
        </w:rPr>
      </w:pPr>
      <w:r>
        <w:rPr>
          <w:rFonts w:hint="eastAsia" w:ascii="宋体" w:hAnsi="宋体" w:cs="宋体"/>
          <w:sz w:val="24"/>
        </w:rPr>
        <w:t>18.2  除投标人对错处作必要修改外，谈判响应文件中不许有加行、涂抹或改写。若有修改须由授权代表或法定代表人在修改处签字</w:t>
      </w:r>
      <w:r>
        <w:rPr>
          <w:rFonts w:hint="eastAsia" w:ascii="宋体" w:hAnsi="宋体" w:cs="宋体"/>
          <w:sz w:val="24"/>
          <w:szCs w:val="22"/>
        </w:rPr>
        <w:t xml:space="preserve">。 </w:t>
      </w:r>
    </w:p>
    <w:p w14:paraId="113ABC47">
      <w:pPr>
        <w:adjustRightInd w:val="0"/>
        <w:snapToGrid w:val="0"/>
        <w:spacing w:line="360" w:lineRule="auto"/>
        <w:rPr>
          <w:rFonts w:ascii="宋体" w:hAnsi="宋体" w:cs="宋体"/>
          <w:sz w:val="24"/>
          <w:szCs w:val="22"/>
        </w:rPr>
      </w:pPr>
      <w:r>
        <w:rPr>
          <w:rFonts w:hint="eastAsia" w:ascii="宋体" w:hAnsi="宋体" w:cs="宋体"/>
          <w:sz w:val="24"/>
          <w:szCs w:val="22"/>
        </w:rPr>
        <w:t xml:space="preserve">18.3  </w:t>
      </w:r>
      <w:r>
        <w:rPr>
          <w:rFonts w:hint="eastAsia" w:ascii="宋体" w:hAnsi="宋体" w:cs="宋体"/>
          <w:sz w:val="24"/>
        </w:rPr>
        <w:t>投标人</w:t>
      </w:r>
      <w:r>
        <w:rPr>
          <w:rFonts w:hint="eastAsia" w:ascii="宋体" w:hAnsi="宋体" w:cs="宋体"/>
          <w:sz w:val="24"/>
          <w:szCs w:val="22"/>
        </w:rPr>
        <w:t>名称应填写全称，</w:t>
      </w:r>
      <w:r>
        <w:rPr>
          <w:rFonts w:hint="eastAsia" w:ascii="宋体" w:hAnsi="宋体" w:cs="宋体"/>
          <w:sz w:val="24"/>
        </w:rPr>
        <w:t>谈判响应文件</w:t>
      </w:r>
      <w:r>
        <w:rPr>
          <w:rFonts w:hint="eastAsia" w:ascii="宋体" w:hAnsi="宋体" w:cs="宋体"/>
          <w:sz w:val="24"/>
          <w:szCs w:val="22"/>
        </w:rPr>
        <w:t>正本必须逐页加盖</w:t>
      </w:r>
      <w:r>
        <w:rPr>
          <w:rFonts w:hint="eastAsia" w:ascii="宋体" w:hAnsi="宋体" w:cs="宋体"/>
          <w:sz w:val="24"/>
        </w:rPr>
        <w:t>投标人</w:t>
      </w:r>
      <w:r>
        <w:rPr>
          <w:rFonts w:hint="eastAsia" w:ascii="宋体" w:hAnsi="宋体" w:cs="宋体"/>
          <w:sz w:val="24"/>
          <w:szCs w:val="22"/>
        </w:rPr>
        <w:t>公章，</w:t>
      </w:r>
      <w:r>
        <w:rPr>
          <w:rFonts w:hint="eastAsia" w:ascii="宋体" w:hAnsi="宋体" w:cs="宋体"/>
          <w:sz w:val="24"/>
        </w:rPr>
        <w:t>谈判响应文件</w:t>
      </w:r>
      <w:r>
        <w:rPr>
          <w:rFonts w:hint="eastAsia" w:ascii="宋体" w:hAnsi="宋体" w:cs="宋体"/>
          <w:sz w:val="24"/>
          <w:szCs w:val="22"/>
        </w:rPr>
        <w:t>正本和副本必须加盖骑缝章。</w:t>
      </w:r>
    </w:p>
    <w:p w14:paraId="44A9D287">
      <w:pPr>
        <w:pStyle w:val="9"/>
        <w:spacing w:line="360" w:lineRule="auto"/>
        <w:rPr>
          <w:rFonts w:ascii="宋体" w:hAnsi="宋体" w:cs="宋体"/>
          <w:sz w:val="24"/>
        </w:rPr>
      </w:pPr>
      <w:r>
        <w:rPr>
          <w:rFonts w:hint="eastAsia" w:ascii="宋体" w:hAnsi="宋体" w:cs="宋体"/>
          <w:sz w:val="24"/>
        </w:rPr>
        <w:t>18.4本项目采用电子化</w:t>
      </w:r>
      <w:r>
        <w:rPr>
          <w:rFonts w:hint="eastAsia" w:ascii="宋体" w:hAnsi="宋体" w:cs="宋体"/>
          <w:sz w:val="24"/>
          <w:lang w:eastAsia="zh-CN"/>
        </w:rPr>
        <w:t>投标</w:t>
      </w:r>
      <w:r>
        <w:rPr>
          <w:rFonts w:hint="eastAsia" w:ascii="宋体" w:hAnsi="宋体" w:cs="宋体"/>
          <w:sz w:val="24"/>
        </w:rPr>
        <w:t>的方式。投标人须使用数字认证证书对电子化谈判响应文件进行签章、加密、递交及开标时解密等相关招投标事宜。</w:t>
      </w:r>
    </w:p>
    <w:p w14:paraId="557E7CDE">
      <w:pPr>
        <w:adjustRightInd w:val="0"/>
        <w:snapToGrid w:val="0"/>
        <w:spacing w:line="360" w:lineRule="auto"/>
        <w:rPr>
          <w:rFonts w:ascii="宋体" w:hAnsi="宋体" w:cs="宋体"/>
          <w:sz w:val="24"/>
        </w:rPr>
      </w:pPr>
      <w:r>
        <w:rPr>
          <w:rFonts w:hint="eastAsia" w:ascii="宋体" w:hAnsi="宋体" w:cs="宋体"/>
          <w:sz w:val="24"/>
          <w:szCs w:val="22"/>
        </w:rPr>
        <w:t>18.5  采购人拒绝接受以电报、电话、传真、电</w:t>
      </w:r>
      <w:r>
        <w:rPr>
          <w:rFonts w:hint="eastAsia" w:ascii="宋体" w:hAnsi="宋体" w:cs="宋体"/>
          <w:sz w:val="24"/>
        </w:rPr>
        <w:t>子邮件形式的投标。</w:t>
      </w:r>
    </w:p>
    <w:p w14:paraId="7FBC742D">
      <w:pPr>
        <w:adjustRightInd w:val="0"/>
        <w:snapToGrid w:val="0"/>
        <w:spacing w:line="360" w:lineRule="auto"/>
        <w:rPr>
          <w:rFonts w:ascii="宋体" w:hAnsi="宋体" w:cs="宋体"/>
          <w:sz w:val="24"/>
        </w:rPr>
      </w:pPr>
      <w:r>
        <w:rPr>
          <w:rFonts w:hint="eastAsia" w:ascii="宋体" w:hAnsi="宋体" w:cs="宋体"/>
          <w:sz w:val="24"/>
        </w:rPr>
        <w:t>18.6  未按上述要求编制及签署的</w:t>
      </w:r>
      <w:r>
        <w:rPr>
          <w:rFonts w:hint="eastAsia" w:ascii="宋体" w:hAnsi="宋体" w:cs="宋体"/>
          <w:sz w:val="24"/>
          <w:lang w:eastAsia="zh-CN"/>
        </w:rPr>
        <w:t>谈判响应文件</w:t>
      </w:r>
      <w:r>
        <w:rPr>
          <w:rFonts w:hint="eastAsia" w:ascii="宋体" w:hAnsi="宋体" w:cs="宋体"/>
          <w:sz w:val="24"/>
        </w:rPr>
        <w:t>视为无效</w:t>
      </w:r>
      <w:r>
        <w:rPr>
          <w:rFonts w:hint="eastAsia" w:ascii="宋体" w:hAnsi="宋体" w:cs="宋体"/>
          <w:sz w:val="24"/>
          <w:lang w:eastAsia="zh-CN"/>
        </w:rPr>
        <w:t>谈判响应文件</w:t>
      </w:r>
      <w:r>
        <w:rPr>
          <w:rFonts w:hint="eastAsia" w:ascii="宋体" w:hAnsi="宋体" w:cs="宋体"/>
          <w:sz w:val="24"/>
        </w:rPr>
        <w:t>。</w:t>
      </w:r>
    </w:p>
    <w:p w14:paraId="54134E36">
      <w:pPr>
        <w:adjustRightInd w:val="0"/>
        <w:snapToGrid w:val="0"/>
        <w:spacing w:line="360" w:lineRule="auto"/>
        <w:rPr>
          <w:rFonts w:ascii="宋体" w:hAnsi="宋体" w:cs="宋体"/>
          <w:sz w:val="24"/>
          <w:szCs w:val="22"/>
        </w:rPr>
      </w:pPr>
      <w:r>
        <w:rPr>
          <w:rFonts w:hint="eastAsia" w:ascii="宋体" w:hAnsi="宋体" w:cs="宋体"/>
          <w:sz w:val="24"/>
          <w:szCs w:val="22"/>
        </w:rPr>
        <w:t xml:space="preserve">18.7电子谈判文件下载。供应商登录全国公共资源交易平台（陕西省） 网站〖首 </w:t>
      </w:r>
    </w:p>
    <w:p w14:paraId="0D98442A">
      <w:pPr>
        <w:adjustRightInd w:val="0"/>
        <w:snapToGrid w:val="0"/>
        <w:spacing w:line="360" w:lineRule="auto"/>
        <w:rPr>
          <w:rFonts w:ascii="宋体" w:hAnsi="宋体" w:cs="宋体"/>
          <w:sz w:val="24"/>
          <w:szCs w:val="22"/>
        </w:rPr>
      </w:pPr>
      <w:r>
        <w:rPr>
          <w:rFonts w:hint="eastAsia" w:ascii="宋体" w:hAnsi="宋体" w:cs="宋体"/>
          <w:sz w:val="24"/>
          <w:szCs w:val="22"/>
        </w:rPr>
        <w:t xml:space="preserve">页·〉电子交易平台·〉企业端〗后，选择项目点击 “我要投标”，参与投标活动。然后即可在〖我的项目〗中点击“项目流程&gt;交易文件下载”下载电子谈判文件。 </w:t>
      </w:r>
    </w:p>
    <w:p w14:paraId="016F277F">
      <w:pPr>
        <w:adjustRightInd w:val="0"/>
        <w:snapToGrid w:val="0"/>
        <w:spacing w:line="360" w:lineRule="auto"/>
        <w:rPr>
          <w:rFonts w:ascii="宋体" w:hAnsi="宋体" w:cs="宋体"/>
          <w:sz w:val="24"/>
          <w:szCs w:val="22"/>
        </w:rPr>
      </w:pPr>
      <w:r>
        <w:rPr>
          <w:rFonts w:hint="eastAsia" w:ascii="宋体" w:hAnsi="宋体" w:cs="宋体"/>
          <w:sz w:val="24"/>
          <w:szCs w:val="22"/>
        </w:rPr>
        <w:t>18.8 电子谈判文件需要使用专用软件打开、浏览。供应商可在全国公共资源交易平台（陕西省）网站〖首页·〉服务指南·〉下载专区〗免费下载“陕西省公共资源交易平台政府采购电子标书制作工具(V8.0.0.36)”，并升级至最新版本，使用该客户端可以打开电子</w:t>
      </w:r>
      <w:r>
        <w:rPr>
          <w:rFonts w:hint="eastAsia" w:ascii="宋体" w:hAnsi="宋体" w:cs="宋体"/>
          <w:sz w:val="24"/>
          <w:szCs w:val="22"/>
          <w:lang w:eastAsia="zh-CN"/>
        </w:rPr>
        <w:t>谈判响应文件</w:t>
      </w:r>
      <w:r>
        <w:rPr>
          <w:rFonts w:hint="eastAsia" w:ascii="宋体" w:hAnsi="宋体" w:cs="宋体"/>
          <w:sz w:val="24"/>
          <w:szCs w:val="22"/>
        </w:rPr>
        <w:t xml:space="preserve">。软件操作手册详见全国公共资源交易平台（陕西省）网站〖首页·〉服务指南·〉下载专区〗中的《陕西省公共资源交易（政府采购类）响应文件制作软件操作手册》。 </w:t>
      </w:r>
    </w:p>
    <w:p w14:paraId="620F84F4">
      <w:pPr>
        <w:adjustRightInd w:val="0"/>
        <w:snapToGrid w:val="0"/>
        <w:spacing w:line="360" w:lineRule="auto"/>
        <w:rPr>
          <w:rFonts w:ascii="宋体" w:hAnsi="宋体" w:cs="宋体"/>
          <w:sz w:val="24"/>
          <w:szCs w:val="22"/>
        </w:rPr>
      </w:pPr>
      <w:r>
        <w:rPr>
          <w:rFonts w:hint="eastAsia" w:ascii="宋体" w:hAnsi="宋体" w:cs="宋体"/>
          <w:sz w:val="24"/>
          <w:szCs w:val="22"/>
        </w:rPr>
        <w:t>18.9 制作电子</w:t>
      </w:r>
      <w:r>
        <w:rPr>
          <w:rFonts w:hint="eastAsia" w:ascii="宋体" w:hAnsi="宋体" w:cs="宋体"/>
          <w:sz w:val="24"/>
        </w:rPr>
        <w:t>谈判响应文件</w:t>
      </w:r>
      <w:r>
        <w:rPr>
          <w:rFonts w:hint="eastAsia" w:ascii="宋体" w:hAnsi="宋体" w:cs="宋体"/>
          <w:sz w:val="24"/>
          <w:szCs w:val="22"/>
        </w:rPr>
        <w:t>。电子</w:t>
      </w:r>
      <w:r>
        <w:rPr>
          <w:rFonts w:hint="eastAsia" w:ascii="宋体" w:hAnsi="宋体" w:cs="宋体"/>
          <w:sz w:val="24"/>
        </w:rPr>
        <w:t>谈判响应文件</w:t>
      </w:r>
      <w:r>
        <w:rPr>
          <w:rFonts w:hint="eastAsia" w:ascii="宋体" w:hAnsi="宋体" w:cs="宋体"/>
          <w:sz w:val="24"/>
          <w:szCs w:val="22"/>
        </w:rPr>
        <w:t xml:space="preserve">同样需要使用上述软件进行编制。在编制过程中，如有技术性问题，请先翻阅操作手册，或致电软件开发商。 </w:t>
      </w:r>
    </w:p>
    <w:p w14:paraId="357BD034">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 xml:space="preserve">技术支持热线：4009280095、4009980000 </w:t>
      </w:r>
    </w:p>
    <w:p w14:paraId="382E1C64">
      <w:pPr>
        <w:pStyle w:val="9"/>
        <w:ind w:firstLine="480" w:firstLineChars="200"/>
        <w:rPr>
          <w:rFonts w:ascii="宋体" w:hAnsi="宋体" w:cs="宋体"/>
          <w:sz w:val="24"/>
          <w:szCs w:val="22"/>
        </w:rPr>
      </w:pPr>
      <w:r>
        <w:rPr>
          <w:rFonts w:hint="eastAsia" w:ascii="宋体" w:hAnsi="宋体" w:cs="宋体"/>
          <w:sz w:val="24"/>
          <w:szCs w:val="22"/>
        </w:rPr>
        <w:t>CA 锁购买：榆林市民大厦3楼E18、E19窗口,电话：0912-3452148</w:t>
      </w:r>
    </w:p>
    <w:p w14:paraId="7AD8E03C">
      <w:pPr>
        <w:pStyle w:val="3"/>
        <w:spacing w:before="120" w:after="120"/>
        <w:rPr>
          <w:rFonts w:ascii="宋体" w:hAnsi="宋体" w:eastAsia="宋体" w:cs="宋体"/>
          <w:sz w:val="36"/>
        </w:rPr>
      </w:pPr>
      <w:bookmarkStart w:id="160" w:name="_Toc26918"/>
      <w:bookmarkStart w:id="161" w:name="_Toc12354"/>
      <w:bookmarkStart w:id="162" w:name="_Toc28593"/>
      <w:bookmarkStart w:id="163" w:name="_Toc246928916"/>
      <w:bookmarkStart w:id="164" w:name="_Toc12671"/>
      <w:bookmarkStart w:id="165" w:name="_Toc465958107"/>
      <w:r>
        <w:rPr>
          <w:rFonts w:hint="eastAsia" w:ascii="宋体" w:hAnsi="宋体" w:eastAsia="宋体" w:cs="宋体"/>
          <w:sz w:val="36"/>
        </w:rPr>
        <w:t>D 竞争性谈判响应文件的递交</w:t>
      </w:r>
      <w:bookmarkEnd w:id="160"/>
      <w:bookmarkEnd w:id="161"/>
      <w:bookmarkEnd w:id="162"/>
      <w:bookmarkEnd w:id="163"/>
      <w:bookmarkEnd w:id="164"/>
      <w:bookmarkEnd w:id="165"/>
    </w:p>
    <w:p w14:paraId="2F862749">
      <w:pPr>
        <w:pStyle w:val="4"/>
        <w:spacing w:before="120" w:after="120" w:line="360" w:lineRule="auto"/>
        <w:rPr>
          <w:rFonts w:ascii="宋体" w:hAnsi="宋体" w:cs="宋体"/>
        </w:rPr>
      </w:pPr>
      <w:bookmarkStart w:id="166" w:name="_Toc17004"/>
      <w:bookmarkStart w:id="167" w:name="_Toc246928917"/>
      <w:bookmarkStart w:id="168" w:name="_Toc14296"/>
      <w:bookmarkStart w:id="169" w:name="_Toc22531"/>
      <w:bookmarkStart w:id="170" w:name="_Toc20693"/>
      <w:bookmarkStart w:id="171" w:name="_Toc5378"/>
      <w:bookmarkStart w:id="172" w:name="_Toc465958108"/>
      <w:r>
        <w:rPr>
          <w:rFonts w:hint="eastAsia" w:ascii="宋体" w:hAnsi="宋体" w:cs="宋体"/>
        </w:rPr>
        <w:t>19 竞争性谈判响应文件的密封和标记</w:t>
      </w:r>
      <w:bookmarkEnd w:id="166"/>
      <w:bookmarkEnd w:id="167"/>
      <w:bookmarkEnd w:id="168"/>
      <w:bookmarkEnd w:id="169"/>
      <w:bookmarkEnd w:id="170"/>
      <w:bookmarkEnd w:id="171"/>
      <w:bookmarkEnd w:id="172"/>
    </w:p>
    <w:p w14:paraId="7C6EC26D">
      <w:pPr>
        <w:spacing w:line="360" w:lineRule="auto"/>
        <w:rPr>
          <w:rFonts w:ascii="宋体" w:hAnsi="宋体" w:cs="仿宋_GB2312"/>
          <w:bCs/>
          <w:sz w:val="24"/>
          <w:szCs w:val="22"/>
        </w:rPr>
      </w:pPr>
      <w:bookmarkStart w:id="173" w:name="_Toc2644"/>
      <w:bookmarkStart w:id="174" w:name="_Toc27391"/>
      <w:bookmarkStart w:id="175" w:name="_Toc465958109"/>
      <w:bookmarkStart w:id="176" w:name="_Toc246928918"/>
      <w:bookmarkStart w:id="177" w:name="_Toc10052"/>
      <w:bookmarkStart w:id="178" w:name="_Toc27827"/>
      <w:bookmarkStart w:id="179" w:name="_Toc4222"/>
      <w:r>
        <w:rPr>
          <w:rFonts w:hint="eastAsia" w:ascii="宋体" w:hAnsi="宋体" w:cs="仿宋_GB2312"/>
          <w:bCs/>
          <w:sz w:val="24"/>
        </w:rPr>
        <w:t>19.1</w:t>
      </w:r>
      <w:r>
        <w:rPr>
          <w:rFonts w:hint="eastAsia" w:ascii="宋体" w:hAnsi="宋体" w:cs="仿宋_GB2312"/>
          <w:bCs/>
          <w:sz w:val="24"/>
          <w:lang w:eastAsia="zh-CN"/>
        </w:rPr>
        <w:t>开标后成交</w:t>
      </w:r>
      <w:r>
        <w:rPr>
          <w:rFonts w:hint="eastAsia" w:ascii="宋体" w:hAnsi="宋体" w:cs="仿宋_GB2312"/>
          <w:bCs/>
          <w:sz w:val="24"/>
        </w:rPr>
        <w:t>供应商应提交正本壹份、副本贰份、</w:t>
      </w:r>
      <w:r>
        <w:rPr>
          <w:rFonts w:hint="eastAsia" w:ascii="宋体" w:hAnsi="宋体"/>
          <w:sz w:val="24"/>
        </w:rPr>
        <w:t>电子文件（U盘或移动硬盘，谢绝光盘）</w:t>
      </w:r>
      <w:r>
        <w:rPr>
          <w:rFonts w:hint="eastAsia" w:ascii="宋体" w:hAnsi="宋体" w:cs="仿宋_GB2312"/>
          <w:bCs/>
          <w:sz w:val="24"/>
        </w:rPr>
        <w:t>壹</w:t>
      </w:r>
      <w:r>
        <w:rPr>
          <w:rFonts w:hint="eastAsia" w:ascii="宋体" w:hAnsi="宋体"/>
          <w:sz w:val="24"/>
        </w:rPr>
        <w:t>份</w:t>
      </w:r>
      <w:r>
        <w:rPr>
          <w:rFonts w:hint="eastAsia" w:ascii="宋体" w:hAnsi="宋体"/>
          <w:sz w:val="24"/>
          <w:lang w:eastAsia="zh-CN"/>
        </w:rPr>
        <w:t>邮寄至代理机构</w:t>
      </w:r>
      <w:r>
        <w:rPr>
          <w:rFonts w:hint="eastAsia" w:ascii="宋体" w:hAnsi="宋体" w:cs="仿宋_GB2312"/>
          <w:bCs/>
          <w:sz w:val="24"/>
        </w:rPr>
        <w:t>。</w:t>
      </w:r>
    </w:p>
    <w:p w14:paraId="759EA323">
      <w:pPr>
        <w:pStyle w:val="4"/>
        <w:spacing w:line="360" w:lineRule="auto"/>
        <w:rPr>
          <w:rFonts w:ascii="宋体" w:hAnsi="宋体" w:cs="宋体"/>
        </w:rPr>
      </w:pPr>
      <w:r>
        <w:rPr>
          <w:rFonts w:hint="eastAsia" w:ascii="宋体" w:hAnsi="宋体" w:cs="宋体"/>
        </w:rPr>
        <w:t>20 竞争性谈判响应文件的递交</w:t>
      </w:r>
      <w:bookmarkEnd w:id="173"/>
      <w:bookmarkEnd w:id="174"/>
      <w:bookmarkEnd w:id="175"/>
      <w:bookmarkEnd w:id="176"/>
      <w:bookmarkEnd w:id="177"/>
      <w:bookmarkEnd w:id="178"/>
      <w:bookmarkEnd w:id="179"/>
    </w:p>
    <w:p w14:paraId="146934A8">
      <w:pPr>
        <w:pStyle w:val="14"/>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1</w:t>
      </w:r>
      <w:r>
        <w:rPr>
          <w:rFonts w:hint="eastAsia" w:ascii="宋体" w:hAnsi="宋体" w:cs="宋体"/>
          <w:sz w:val="24"/>
        </w:rPr>
        <w:t xml:space="preserve"> 无论供应商成交与否，其竞争性谈判响应文件恕不退还。</w:t>
      </w:r>
    </w:p>
    <w:p w14:paraId="799E93F0">
      <w:pPr>
        <w:pStyle w:val="14"/>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2</w:t>
      </w:r>
      <w:r>
        <w:rPr>
          <w:rFonts w:hint="eastAsia" w:ascii="宋体" w:hAnsi="宋体" w:cs="宋体"/>
          <w:sz w:val="24"/>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p>
    <w:p w14:paraId="3BBF58A5">
      <w:pPr>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3</w:t>
      </w:r>
      <w:r>
        <w:rPr>
          <w:rFonts w:hint="eastAsia" w:ascii="宋体" w:hAnsi="宋体" w:cs="宋体"/>
          <w:sz w:val="24"/>
        </w:rPr>
        <w:t xml:space="preserve"> 采购人或采购代理机构有权按本须知的规定，通过修改竞争性谈判文件延长谈判截止时间。在此情况下，采购人和供应商受谈判截止时间制约的所有权利和义务均应当延长至新的截止期。</w:t>
      </w:r>
    </w:p>
    <w:p w14:paraId="3ACB3E19">
      <w:pPr>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4</w:t>
      </w:r>
      <w:r>
        <w:rPr>
          <w:rFonts w:hint="eastAsia" w:ascii="宋体" w:hAnsi="宋体" w:cs="宋体"/>
          <w:sz w:val="24"/>
        </w:rPr>
        <w:t xml:space="preserve"> 采购人及采购代理机构将拒绝接收竞争性谈判文件规定的谈判截止时间之后递交的任何竞争性谈判响应文件。</w:t>
      </w:r>
    </w:p>
    <w:p w14:paraId="05C39D2B">
      <w:pPr>
        <w:pStyle w:val="4"/>
        <w:spacing w:line="360" w:lineRule="auto"/>
        <w:rPr>
          <w:rFonts w:ascii="宋体" w:hAnsi="宋体" w:cs="宋体"/>
        </w:rPr>
      </w:pPr>
      <w:bookmarkStart w:id="180" w:name="_Toc465958110"/>
      <w:bookmarkStart w:id="181" w:name="_Toc7672"/>
      <w:bookmarkStart w:id="182" w:name="_Toc13225"/>
      <w:bookmarkStart w:id="183" w:name="_Toc10103"/>
      <w:bookmarkStart w:id="184" w:name="_Toc4701"/>
      <w:bookmarkStart w:id="185" w:name="_Toc29885"/>
      <w:r>
        <w:rPr>
          <w:rFonts w:hint="eastAsia" w:ascii="宋体" w:hAnsi="宋体" w:cs="宋体"/>
        </w:rPr>
        <w:t>21 竞争性谈判响应文件的修改与撤回</w:t>
      </w:r>
      <w:bookmarkEnd w:id="180"/>
      <w:bookmarkEnd w:id="181"/>
      <w:bookmarkEnd w:id="182"/>
      <w:bookmarkEnd w:id="183"/>
      <w:bookmarkEnd w:id="184"/>
      <w:bookmarkEnd w:id="185"/>
    </w:p>
    <w:p w14:paraId="60D5A271">
      <w:pPr>
        <w:spacing w:line="360" w:lineRule="auto"/>
        <w:rPr>
          <w:rFonts w:ascii="宋体" w:hAnsi="宋体" w:cs="宋体"/>
          <w:sz w:val="24"/>
        </w:rPr>
      </w:pPr>
      <w:r>
        <w:rPr>
          <w:rFonts w:hint="eastAsia" w:ascii="宋体" w:hAnsi="宋体" w:cs="宋体"/>
          <w:sz w:val="24"/>
        </w:rPr>
        <w:t>21.1 供应商在谈判截止时间前，可以对所递交的竞争性谈判响应文件进行补充、修改或者撤回，并书面通知采购代理机构。补充、修改的内容应当按竞争性谈判文件要求签署、盖章，并作为竞争性谈判响应文件的组成部分。</w:t>
      </w:r>
    </w:p>
    <w:p w14:paraId="3E01ECA1">
      <w:pPr>
        <w:spacing w:line="360" w:lineRule="auto"/>
        <w:rPr>
          <w:rFonts w:ascii="宋体" w:hAnsi="宋体" w:cs="宋体"/>
          <w:sz w:val="24"/>
        </w:rPr>
      </w:pPr>
      <w:r>
        <w:rPr>
          <w:rFonts w:hint="eastAsia" w:ascii="宋体" w:hAnsi="宋体" w:cs="宋体"/>
          <w:sz w:val="24"/>
        </w:rPr>
        <w:t>21.2 谈判截止时间后，供应商不得对其竞争性谈判响应文件做任何修改。</w:t>
      </w:r>
    </w:p>
    <w:p w14:paraId="59CB18E0">
      <w:pPr>
        <w:spacing w:line="360" w:lineRule="auto"/>
        <w:rPr>
          <w:rFonts w:ascii="宋体" w:hAnsi="宋体" w:cs="宋体"/>
          <w:sz w:val="24"/>
        </w:rPr>
      </w:pPr>
      <w:r>
        <w:rPr>
          <w:rFonts w:hint="eastAsia" w:ascii="宋体" w:hAnsi="宋体" w:cs="宋体"/>
          <w:sz w:val="24"/>
        </w:rPr>
        <w:t>21.3 从谈判截止期至供应商在谈判函格式中确定的谈判有效期之间，供应商不得撤销其谈判。</w:t>
      </w:r>
    </w:p>
    <w:p w14:paraId="61735405">
      <w:pPr>
        <w:pStyle w:val="3"/>
        <w:rPr>
          <w:rFonts w:ascii="宋体" w:hAnsi="宋体" w:eastAsia="宋体" w:cs="宋体"/>
          <w:sz w:val="36"/>
        </w:rPr>
      </w:pPr>
      <w:bookmarkStart w:id="186" w:name="_Toc246928919"/>
      <w:bookmarkStart w:id="187" w:name="_Toc3199"/>
      <w:bookmarkStart w:id="188" w:name="_Toc22666"/>
      <w:bookmarkStart w:id="189" w:name="_Toc21818"/>
      <w:bookmarkStart w:id="190" w:name="_Toc465958111"/>
      <w:bookmarkStart w:id="191" w:name="_Toc24049"/>
      <w:r>
        <w:rPr>
          <w:rFonts w:hint="eastAsia" w:ascii="宋体" w:hAnsi="宋体" w:eastAsia="宋体" w:cs="宋体"/>
          <w:sz w:val="36"/>
        </w:rPr>
        <w:t>E 开标与评审</w:t>
      </w:r>
      <w:bookmarkEnd w:id="186"/>
      <w:bookmarkEnd w:id="187"/>
      <w:bookmarkEnd w:id="188"/>
      <w:bookmarkEnd w:id="189"/>
      <w:bookmarkEnd w:id="190"/>
      <w:bookmarkEnd w:id="191"/>
    </w:p>
    <w:p w14:paraId="6806E1DD">
      <w:pPr>
        <w:pStyle w:val="4"/>
        <w:spacing w:line="360" w:lineRule="auto"/>
        <w:rPr>
          <w:rFonts w:ascii="宋体" w:hAnsi="宋体" w:cs="宋体"/>
        </w:rPr>
      </w:pPr>
      <w:bookmarkStart w:id="192" w:name="_Toc28426"/>
      <w:bookmarkStart w:id="193" w:name="_Toc465958112"/>
      <w:bookmarkStart w:id="194" w:name="_Toc11145"/>
      <w:bookmarkStart w:id="195" w:name="_Toc246928920"/>
      <w:bookmarkStart w:id="196" w:name="_Toc6346"/>
      <w:bookmarkStart w:id="197" w:name="_Toc15292"/>
      <w:bookmarkStart w:id="198" w:name="_Toc25438"/>
      <w:r>
        <w:rPr>
          <w:rFonts w:hint="eastAsia" w:ascii="宋体" w:hAnsi="宋体" w:cs="宋体"/>
        </w:rPr>
        <w:t xml:space="preserve">22 </w:t>
      </w:r>
      <w:bookmarkEnd w:id="192"/>
      <w:bookmarkEnd w:id="193"/>
      <w:bookmarkEnd w:id="194"/>
      <w:bookmarkEnd w:id="195"/>
      <w:bookmarkEnd w:id="196"/>
      <w:bookmarkEnd w:id="197"/>
      <w:bookmarkEnd w:id="198"/>
      <w:r>
        <w:rPr>
          <w:rFonts w:hint="eastAsia" w:ascii="宋体" w:hAnsi="宋体" w:cs="宋体"/>
        </w:rPr>
        <w:t>开标</w:t>
      </w:r>
    </w:p>
    <w:p w14:paraId="79B84040">
      <w:pPr>
        <w:spacing w:line="360" w:lineRule="auto"/>
        <w:rPr>
          <w:rFonts w:hint="eastAsia" w:ascii="宋体" w:hAnsi="宋体" w:eastAsia="宋体" w:cs="宋体"/>
          <w:sz w:val="24"/>
          <w:lang w:eastAsia="zh-CN"/>
        </w:rPr>
      </w:pPr>
      <w:r>
        <w:rPr>
          <w:rFonts w:hint="eastAsia" w:ascii="宋体" w:hAnsi="宋体" w:cs="宋体"/>
          <w:sz w:val="24"/>
        </w:rPr>
        <w:t>22.1 采购代理机构在规定的时间和地点组织谈判。谈判时所有供应商代表自愿参加，不参加的视为认同开标结果，参加谈判的代表应签名报到以证明其出席。</w:t>
      </w:r>
    </w:p>
    <w:p w14:paraId="6953F018">
      <w:pPr>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2</w:t>
      </w:r>
      <w:r>
        <w:rPr>
          <w:rFonts w:hint="eastAsia" w:ascii="宋体" w:hAnsi="宋体" w:cs="宋体"/>
          <w:sz w:val="24"/>
        </w:rPr>
        <w:t xml:space="preserve"> 谈判有效供应商不足三家的，按照国家相关法律、法规及有关规定执行。</w:t>
      </w:r>
    </w:p>
    <w:p w14:paraId="34B31214">
      <w:pPr>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3</w:t>
      </w:r>
      <w:r>
        <w:rPr>
          <w:rFonts w:hint="eastAsia" w:ascii="宋体" w:hAnsi="宋体" w:cs="宋体"/>
          <w:sz w:val="24"/>
        </w:rPr>
        <w:t xml:space="preserve"> 采购代理机构将做开标记录，存档备查。</w:t>
      </w:r>
    </w:p>
    <w:p w14:paraId="10FE2711">
      <w:pPr>
        <w:pStyle w:val="14"/>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4</w:t>
      </w:r>
      <w:r>
        <w:rPr>
          <w:rFonts w:hint="eastAsia" w:ascii="宋体" w:hAnsi="宋体" w:cs="宋体"/>
          <w:sz w:val="24"/>
        </w:rPr>
        <w:t>在开标、评审过程中，如因停电、断网、电子化系统故障等特殊原因导致电子化开、评标无法正常进行时，视具体情况确定是否从线上转线下或者停止开评标活动。 </w:t>
      </w:r>
    </w:p>
    <w:p w14:paraId="425EC986">
      <w:pPr>
        <w:pStyle w:val="4"/>
        <w:spacing w:beforeLines="50" w:afterLines="50" w:line="360" w:lineRule="auto"/>
        <w:rPr>
          <w:rFonts w:ascii="宋体" w:hAnsi="宋体" w:cs="宋体"/>
          <w:sz w:val="30"/>
          <w:szCs w:val="30"/>
        </w:rPr>
      </w:pPr>
      <w:bookmarkStart w:id="199" w:name="_Toc246928923"/>
      <w:bookmarkStart w:id="200" w:name="_Toc32736"/>
      <w:bookmarkStart w:id="201" w:name="_Toc30377"/>
      <w:bookmarkStart w:id="202" w:name="_Toc9869"/>
      <w:bookmarkStart w:id="203" w:name="_Toc29724"/>
      <w:bookmarkStart w:id="204" w:name="_Toc465958115"/>
      <w:bookmarkStart w:id="205" w:name="_Toc23381"/>
      <w:r>
        <w:rPr>
          <w:rFonts w:hint="eastAsia" w:ascii="宋体" w:hAnsi="宋体" w:cs="宋体"/>
          <w:sz w:val="30"/>
          <w:szCs w:val="30"/>
        </w:rPr>
        <w:t>2</w:t>
      </w:r>
      <w:r>
        <w:rPr>
          <w:rFonts w:hint="eastAsia" w:ascii="宋体" w:hAnsi="宋体" w:cs="宋体"/>
          <w:sz w:val="30"/>
          <w:szCs w:val="30"/>
          <w:lang w:val="en-US" w:eastAsia="zh-CN"/>
        </w:rPr>
        <w:t>3</w:t>
      </w:r>
      <w:r>
        <w:rPr>
          <w:rFonts w:hint="eastAsia" w:ascii="宋体" w:hAnsi="宋体" w:cs="宋体"/>
          <w:sz w:val="30"/>
          <w:szCs w:val="30"/>
        </w:rPr>
        <w:t xml:space="preserve"> 谈判小组</w:t>
      </w:r>
    </w:p>
    <w:p w14:paraId="53F93139">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.1 采购代理机构根据《中华人民共和国政府采购法》、《中华人民共和国政府采购法实施条例》和“</w:t>
      </w:r>
      <w:r>
        <w:rPr>
          <w:rFonts w:hint="eastAsia" w:ascii="宋体" w:hAnsi="宋体" w:cs="宋体"/>
          <w:bCs/>
          <w:sz w:val="24"/>
        </w:rPr>
        <w:t>财政部第87号部长令</w:t>
      </w:r>
      <w:r>
        <w:rPr>
          <w:rFonts w:hint="eastAsia" w:ascii="宋体" w:hAnsi="宋体" w:cs="宋体"/>
          <w:sz w:val="24"/>
        </w:rPr>
        <w:t>”的规定，依法组建谈判小组，谈判小组专家成员在陕西省政府采购网专家抽取管理系统中随机抽取。</w:t>
      </w:r>
    </w:p>
    <w:p w14:paraId="3398E6A1">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.2 谈判小组成员由采购人代表和评审专家3人以上单数组成，评审专家人数应占总人数的2/3以上。</w:t>
      </w:r>
    </w:p>
    <w:p w14:paraId="79876E7C">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.3 谈判小组成员对各供应商竞争性谈判响应文件进行审查、质疑、评估和比较，并推荐出成交候选供应商。</w:t>
      </w:r>
    </w:p>
    <w:p w14:paraId="79C101F0">
      <w:pPr>
        <w:pStyle w:val="4"/>
        <w:spacing w:line="360" w:lineRule="auto"/>
        <w:rPr>
          <w:rFonts w:ascii="宋体" w:hAnsi="宋体" w:cs="宋体"/>
        </w:rPr>
      </w:pPr>
      <w:r>
        <w:rPr>
          <w:rFonts w:hint="eastAsia" w:ascii="宋体" w:hAnsi="宋体" w:cs="宋体"/>
        </w:rPr>
        <w:t>2</w:t>
      </w:r>
      <w:r>
        <w:rPr>
          <w:rFonts w:hint="eastAsia" w:ascii="宋体" w:hAnsi="宋体" w:cs="宋体"/>
          <w:lang w:val="en-US" w:eastAsia="zh-CN"/>
        </w:rPr>
        <w:t>4</w:t>
      </w:r>
      <w:r>
        <w:rPr>
          <w:rFonts w:hint="eastAsia" w:ascii="宋体" w:hAnsi="宋体" w:cs="宋体"/>
        </w:rPr>
        <w:t xml:space="preserve"> 评标</w:t>
      </w:r>
    </w:p>
    <w:p w14:paraId="1C2A8E6E">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.1谈判小组对供应商进行</w:t>
      </w:r>
      <w:r>
        <w:rPr>
          <w:rFonts w:hint="eastAsia" w:ascii="宋体" w:hAnsi="宋体" w:cs="宋体"/>
          <w:bCs/>
          <w:sz w:val="24"/>
          <w:lang w:val="en-US" w:eastAsia="zh-CN"/>
        </w:rPr>
        <w:t>资格性、</w:t>
      </w:r>
      <w:r>
        <w:rPr>
          <w:rFonts w:hint="eastAsia" w:ascii="宋体" w:hAnsi="宋体" w:cs="宋体"/>
          <w:bCs/>
          <w:sz w:val="24"/>
        </w:rPr>
        <w:t>符合性审查，审查不合格者不进入下一步评审。</w:t>
      </w:r>
    </w:p>
    <w:p w14:paraId="5A24908B">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.2 对竞争性谈判响应文件含义不明确、同类问题表述不一致或者有明显文字和计算错误的内容，谈判小组可以要求供应商在规定的时间内做出必要的澄清、说明或者纠正。供应商的澄清、说明或者补正应当采用书面形式，有其授权的代表签字，并不得超出竞争性谈判响应文件的范围或者改变竞争性谈判响应文件的实质性内容。</w:t>
      </w:r>
    </w:p>
    <w:p w14:paraId="78D9961B">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.3 澄清文件将作为竞争性谈判响应文件的一部分。</w:t>
      </w:r>
    </w:p>
    <w:p w14:paraId="24ACA8F8">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 算术错误将按以下方法更正：</w:t>
      </w:r>
    </w:p>
    <w:p w14:paraId="2E80022C">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.4.1 竞争性谈判响应文件的大写金额和小写金额不一致的，以大写金额为准；</w:t>
      </w:r>
    </w:p>
    <w:p w14:paraId="4AFB38F6">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.4.2 总价金额与按单价汇总金额不一致的，以单价金额计算结果为准；</w:t>
      </w:r>
    </w:p>
    <w:p w14:paraId="06B25167">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.4.3 单价金额小数点有明显错位的，应当以总价为准，并修改单价；</w:t>
      </w:r>
    </w:p>
    <w:p w14:paraId="33473B7D">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.4.4 对不同文字文本竞争性谈判响应文件的解释发生异议的，以中文文本为准；</w:t>
      </w:r>
    </w:p>
    <w:p w14:paraId="1A9E9E1A">
      <w:pPr>
        <w:spacing w:line="360" w:lineRule="auto"/>
        <w:rPr>
          <w:rFonts w:ascii="宋体" w:hAnsi="宋体" w:cs="宋体"/>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.4.5 对于供应商不接受对其错误的更改，其谈判属于无效谈判情形。</w:t>
      </w:r>
    </w:p>
    <w:bookmarkEnd w:id="199"/>
    <w:bookmarkEnd w:id="200"/>
    <w:bookmarkEnd w:id="201"/>
    <w:bookmarkEnd w:id="202"/>
    <w:bookmarkEnd w:id="203"/>
    <w:bookmarkEnd w:id="204"/>
    <w:bookmarkEnd w:id="205"/>
    <w:p w14:paraId="777DAD14">
      <w:pPr>
        <w:pStyle w:val="4"/>
        <w:spacing w:beforeLines="50" w:afterLines="50" w:line="360" w:lineRule="auto"/>
        <w:rPr>
          <w:rFonts w:ascii="宋体" w:hAnsi="宋体" w:cs="宋体"/>
          <w:sz w:val="30"/>
          <w:szCs w:val="30"/>
        </w:rPr>
      </w:pPr>
      <w:bookmarkStart w:id="206" w:name="_Toc12911"/>
      <w:bookmarkStart w:id="207" w:name="_Toc246928924"/>
      <w:bookmarkStart w:id="208" w:name="_Toc8037"/>
      <w:bookmarkStart w:id="209" w:name="_Toc6609"/>
      <w:bookmarkStart w:id="210" w:name="_Toc2865"/>
      <w:bookmarkStart w:id="211" w:name="_Toc25350"/>
      <w:bookmarkStart w:id="212" w:name="_Toc465958116"/>
      <w:r>
        <w:rPr>
          <w:rFonts w:hint="eastAsia" w:ascii="宋体" w:hAnsi="宋体" w:cs="宋体"/>
          <w:sz w:val="30"/>
          <w:szCs w:val="30"/>
        </w:rPr>
        <w:t>2</w:t>
      </w:r>
      <w:r>
        <w:rPr>
          <w:rFonts w:hint="eastAsia" w:ascii="宋体" w:hAnsi="宋体" w:cs="宋体"/>
          <w:sz w:val="30"/>
          <w:szCs w:val="30"/>
          <w:lang w:val="en-US" w:eastAsia="zh-CN"/>
        </w:rPr>
        <w:t>5</w:t>
      </w:r>
      <w:r>
        <w:rPr>
          <w:rFonts w:hint="eastAsia" w:ascii="宋体" w:hAnsi="宋体" w:cs="宋体"/>
          <w:sz w:val="30"/>
          <w:szCs w:val="30"/>
        </w:rPr>
        <w:t xml:space="preserve"> 竞争性谈判响应文件的评价和比较</w:t>
      </w:r>
    </w:p>
    <w:p w14:paraId="4723B8C0">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.1 谈判小组将对有效的竞争性谈判响应文件进行评估和比较。</w:t>
      </w:r>
    </w:p>
    <w:p w14:paraId="62C7164F">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 评审时除考虑谈判报价竞争有利性以外，还将考虑以下因素：</w:t>
      </w:r>
    </w:p>
    <w:p w14:paraId="265D53A1">
      <w:pPr>
        <w:spacing w:line="360" w:lineRule="auto"/>
        <w:rPr>
          <w:rFonts w:hint="eastAsia" w:ascii="宋体" w:hAnsi="宋体" w:cs="宋体"/>
          <w:sz w:val="24"/>
          <w:szCs w:val="22"/>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.2.1竞争性谈判响应文件中各项报价的合理性，谈判小组</w:t>
      </w:r>
      <w:r>
        <w:rPr>
          <w:rFonts w:hint="eastAsia" w:ascii="宋体" w:hAnsi="宋体" w:cs="宋体"/>
          <w:sz w:val="24"/>
          <w:szCs w:val="22"/>
        </w:rPr>
        <w:t>认为投标人的报价明显低于其他通过符合性审查投标人的报价，有可能影响产品质量或者不能诚信履约的，应当要求其在评标现场合理的时间内提供书面说明，必要时提交相关证明材料，竞争性谈判响应文件中各项报价的合理性，评标委员会三分之二以上专家认为某投标报价有低于成本价嫌疑的，为无效报价；</w:t>
      </w:r>
    </w:p>
    <w:bookmarkEnd w:id="206"/>
    <w:bookmarkEnd w:id="207"/>
    <w:bookmarkEnd w:id="208"/>
    <w:bookmarkEnd w:id="209"/>
    <w:bookmarkEnd w:id="210"/>
    <w:bookmarkEnd w:id="211"/>
    <w:bookmarkEnd w:id="212"/>
    <w:p w14:paraId="4B3B4D14">
      <w:pPr>
        <w:spacing w:line="460" w:lineRule="exact"/>
        <w:rPr>
          <w:rFonts w:ascii="宋体" w:hAnsi="宋体" w:cs="宋体"/>
          <w:sz w:val="24"/>
        </w:rPr>
      </w:pPr>
      <w:bookmarkStart w:id="213" w:name="_Toc11926"/>
      <w:bookmarkStart w:id="214" w:name="_Toc20287"/>
      <w:bookmarkStart w:id="215" w:name="_Toc465958117"/>
      <w:bookmarkStart w:id="216" w:name="_Toc20736"/>
      <w:bookmarkStart w:id="217" w:name="_Toc26106"/>
      <w:bookmarkStart w:id="218" w:name="_Toc8450"/>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.2.2承诺的</w:t>
      </w:r>
      <w:r>
        <w:rPr>
          <w:rFonts w:hint="eastAsia" w:ascii="宋体" w:hAnsi="宋体" w:cs="宋体"/>
          <w:sz w:val="24"/>
          <w:lang w:val="en-US" w:eastAsia="zh-CN"/>
        </w:rPr>
        <w:t>服务期</w:t>
      </w:r>
      <w:r>
        <w:rPr>
          <w:rFonts w:hint="eastAsia" w:ascii="宋体" w:hAnsi="宋体" w:cs="宋体"/>
          <w:sz w:val="24"/>
        </w:rPr>
        <w:t>及付款方式；</w:t>
      </w:r>
    </w:p>
    <w:p w14:paraId="31D4A13B">
      <w:pPr>
        <w:spacing w:line="460" w:lineRule="exact"/>
        <w:rPr>
          <w:rFonts w:hint="eastAsia"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.2.3项目的</w:t>
      </w:r>
      <w:r>
        <w:rPr>
          <w:rFonts w:hint="eastAsia" w:ascii="宋体" w:hAnsi="宋体" w:cs="宋体"/>
          <w:sz w:val="24"/>
          <w:lang w:val="en-US" w:eastAsia="zh-CN"/>
        </w:rPr>
        <w:t>服务</w:t>
      </w:r>
      <w:r>
        <w:rPr>
          <w:rFonts w:hint="eastAsia" w:ascii="宋体" w:hAnsi="宋体" w:cs="宋体"/>
          <w:sz w:val="24"/>
        </w:rPr>
        <w:t>方案的完整合理性；</w:t>
      </w:r>
    </w:p>
    <w:p w14:paraId="0308B653">
      <w:pPr>
        <w:spacing w:line="460" w:lineRule="exact"/>
        <w:rPr>
          <w:rFonts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项目的人员配备情况的合理性；</w:t>
      </w:r>
    </w:p>
    <w:p w14:paraId="144D562D">
      <w:pPr>
        <w:spacing w:line="460" w:lineRule="exact"/>
        <w:rPr>
          <w:rFonts w:ascii="宋体" w:hAnsi="宋体" w:cs="宋体"/>
          <w:sz w:val="24"/>
          <w:szCs w:val="22"/>
        </w:rPr>
      </w:pPr>
      <w:r>
        <w:rPr>
          <w:rFonts w:hint="eastAsia" w:ascii="宋体" w:hAnsi="宋体" w:cs="宋体"/>
          <w:sz w:val="24"/>
          <w:szCs w:val="22"/>
        </w:rPr>
        <w:t>2</w:t>
      </w:r>
      <w:r>
        <w:rPr>
          <w:rFonts w:hint="eastAsia" w:ascii="宋体" w:hAnsi="宋体" w:cs="宋体"/>
          <w:sz w:val="24"/>
          <w:szCs w:val="22"/>
          <w:lang w:val="en-US" w:eastAsia="zh-CN"/>
        </w:rPr>
        <w:t>5</w:t>
      </w:r>
      <w:r>
        <w:rPr>
          <w:rFonts w:hint="eastAsia" w:ascii="宋体" w:hAnsi="宋体" w:cs="宋体"/>
          <w:sz w:val="24"/>
          <w:szCs w:val="22"/>
        </w:rPr>
        <w:t>.2.</w:t>
      </w:r>
      <w:r>
        <w:rPr>
          <w:rFonts w:hint="eastAsia" w:ascii="宋体" w:hAnsi="宋体" w:cs="宋体"/>
          <w:sz w:val="24"/>
          <w:szCs w:val="22"/>
          <w:lang w:val="en-US" w:eastAsia="zh-CN"/>
        </w:rPr>
        <w:t>5</w:t>
      </w:r>
      <w:r>
        <w:rPr>
          <w:rFonts w:hint="eastAsia" w:ascii="宋体" w:hAnsi="宋体" w:eastAsia="宋体" w:cs="宋体"/>
          <w:b w:val="0"/>
          <w:bCs w:val="0"/>
          <w:color w:val="auto"/>
          <w:sz w:val="24"/>
          <w:highlight w:val="none"/>
          <w:lang w:val="en-US" w:eastAsia="zh-CN"/>
        </w:rPr>
        <w:t>质量保证承诺</w:t>
      </w:r>
      <w:r>
        <w:rPr>
          <w:rFonts w:hint="eastAsia" w:ascii="宋体" w:hAnsi="宋体" w:cs="宋体"/>
          <w:sz w:val="24"/>
          <w:szCs w:val="22"/>
        </w:rPr>
        <w:t>；</w:t>
      </w:r>
    </w:p>
    <w:p w14:paraId="76DF96D8">
      <w:pPr>
        <w:spacing w:line="460" w:lineRule="exact"/>
        <w:rPr>
          <w:rFonts w:hint="eastAsia" w:ascii="宋体" w:hAnsi="宋体" w:cs="宋体"/>
          <w:sz w:val="24"/>
          <w:szCs w:val="22"/>
        </w:rPr>
      </w:pPr>
      <w:r>
        <w:rPr>
          <w:rFonts w:hint="eastAsia" w:ascii="宋体" w:hAnsi="宋体" w:cs="宋体"/>
          <w:sz w:val="24"/>
          <w:szCs w:val="22"/>
        </w:rPr>
        <w:t>2</w:t>
      </w:r>
      <w:r>
        <w:rPr>
          <w:rFonts w:hint="eastAsia" w:ascii="宋体" w:hAnsi="宋体" w:cs="宋体"/>
          <w:sz w:val="24"/>
          <w:szCs w:val="22"/>
          <w:lang w:val="en-US" w:eastAsia="zh-CN"/>
        </w:rPr>
        <w:t>5</w:t>
      </w:r>
      <w:r>
        <w:rPr>
          <w:rFonts w:hint="eastAsia" w:ascii="宋体" w:hAnsi="宋体" w:cs="宋体"/>
          <w:sz w:val="24"/>
          <w:szCs w:val="22"/>
        </w:rPr>
        <w:t>.2.</w:t>
      </w:r>
      <w:r>
        <w:rPr>
          <w:rFonts w:hint="eastAsia" w:ascii="宋体" w:hAnsi="宋体" w:cs="宋体"/>
          <w:sz w:val="24"/>
          <w:szCs w:val="22"/>
          <w:lang w:val="en-US" w:eastAsia="zh-CN"/>
        </w:rPr>
        <w:t>6</w:t>
      </w:r>
      <w:r>
        <w:rPr>
          <w:rFonts w:hint="eastAsia" w:ascii="宋体" w:hAnsi="宋体" w:cs="宋体"/>
          <w:sz w:val="24"/>
          <w:szCs w:val="22"/>
        </w:rPr>
        <w:t>其他特殊要求因素（如安全及环保等）。</w:t>
      </w:r>
    </w:p>
    <w:p w14:paraId="228AC99E">
      <w:pPr>
        <w:pStyle w:val="4"/>
        <w:spacing w:beforeLines="50" w:afterLines="50" w:line="360" w:lineRule="auto"/>
        <w:rPr>
          <w:rFonts w:ascii="宋体" w:hAnsi="宋体" w:cs="宋体"/>
          <w:sz w:val="30"/>
          <w:szCs w:val="30"/>
        </w:rPr>
      </w:pPr>
      <w:r>
        <w:rPr>
          <w:rFonts w:hint="eastAsia" w:ascii="宋体" w:hAnsi="宋体" w:cs="宋体"/>
          <w:sz w:val="30"/>
          <w:szCs w:val="30"/>
        </w:rPr>
        <w:t>2</w:t>
      </w:r>
      <w:r>
        <w:rPr>
          <w:rFonts w:hint="eastAsia" w:ascii="宋体" w:hAnsi="宋体" w:cs="宋体"/>
          <w:sz w:val="30"/>
          <w:szCs w:val="30"/>
          <w:lang w:val="en-US" w:eastAsia="zh-CN"/>
        </w:rPr>
        <w:t>6</w:t>
      </w:r>
      <w:r>
        <w:rPr>
          <w:rFonts w:hint="eastAsia" w:ascii="宋体" w:hAnsi="宋体" w:cs="宋体"/>
          <w:sz w:val="30"/>
          <w:szCs w:val="30"/>
        </w:rPr>
        <w:t xml:space="preserve"> 评审原则及主要方法</w:t>
      </w:r>
    </w:p>
    <w:p w14:paraId="79F79623">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.1 谈判小组将遵循公开、公平、公正和择优的原则，禁止不正当竞争。对所有供应商的竞争性谈判响应文件评审，都采用相同的程序和标准。</w:t>
      </w:r>
    </w:p>
    <w:p w14:paraId="75593BFF">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.2 评审过程的保密：在竞争性谈判响应文件的审查、谈判、报价、成交候选供应商推荐以及授予合同的过程中，供应商向采购人和谈判小组施加影响的任何行为，都将会导致其报价被拒绝；成交供应商确定后，采购人不对未成交供应商就评审过程以及未能成交原因做出任何解释。未成交供应商不得向谈判小组成员或其他相关人员索问评审过程的情况和材料。与评审有关的其他任何情况均严格保密。</w:t>
      </w:r>
    </w:p>
    <w:p w14:paraId="6677AC9F">
      <w:pPr>
        <w:pStyle w:val="14"/>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.3 竞争性谈判响应文件的初步评审（含资格性检查和符合性审查）</w:t>
      </w:r>
    </w:p>
    <w:p w14:paraId="329DB864">
      <w:pPr>
        <w:pStyle w:val="14"/>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.3.1 谈判小组将审查竞争性谈判响应文件是否完整、资格证明文件是否合格，不合格均按无效投标处理。</w:t>
      </w:r>
    </w:p>
    <w:p w14:paraId="2558E949">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.4 在详细评审之前，谈判小组要审查每份竞争性谈判响应文件是否实质上响应了竞争性谈判文件的要求。实质上响应的谈判应该是与竞争性谈判文件要求的全部条款、条件和规格参数相符，没有偏离的谈判。谈判小组对供应商提供的响应参数、人员配置、售后服务承诺，能满足采购人服务要求的，则可进行二次报价。</w:t>
      </w:r>
    </w:p>
    <w:p w14:paraId="3025DF9A">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.5 实质上没有响应竞争性谈判文件要求的谈判将被拒绝。供应商不得通过修正或撤销不合要求的偏离从而使其谈判成为实质性响应的谈判。供应商或竞争性谈判响应文件出现的下列情形将按照无效谈判处理，由谈判小组否决其谈判：</w:t>
      </w:r>
    </w:p>
    <w:p w14:paraId="47510281">
      <w:pPr>
        <w:pStyle w:val="9"/>
        <w:adjustRightInd w:val="0"/>
        <w:snapToGrid w:val="0"/>
        <w:spacing w:line="360" w:lineRule="auto"/>
      </w:pPr>
      <w:r>
        <w:rPr>
          <w:rFonts w:hint="eastAsia" w:ascii="宋体" w:hAnsi="宋体" w:cs="宋体"/>
          <w:sz w:val="24"/>
          <w:szCs w:val="24"/>
        </w:rPr>
        <w:t>2</w:t>
      </w:r>
      <w:r>
        <w:rPr>
          <w:rFonts w:hint="eastAsia" w:ascii="宋体" w:hAnsi="宋体" w:cs="宋体"/>
          <w:sz w:val="24"/>
          <w:szCs w:val="24"/>
          <w:lang w:val="en-US" w:eastAsia="zh-CN"/>
        </w:rPr>
        <w:t>6</w:t>
      </w:r>
      <w:r>
        <w:rPr>
          <w:rFonts w:hint="eastAsia" w:ascii="宋体" w:hAnsi="宋体" w:cs="宋体"/>
          <w:sz w:val="24"/>
          <w:szCs w:val="24"/>
        </w:rPr>
        <w:t>.5.1投标单位的投标报价超过采购预算；</w:t>
      </w:r>
    </w:p>
    <w:p w14:paraId="21445811">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 xml:space="preserve">.5.2 </w:t>
      </w:r>
      <w:r>
        <w:rPr>
          <w:rFonts w:hint="eastAsia" w:ascii="宋体" w:hAnsi="宋体"/>
          <w:sz w:val="24"/>
          <w:lang w:eastAsia="zh-CN"/>
        </w:rPr>
        <w:t>谈判响应文件</w:t>
      </w:r>
      <w:r>
        <w:rPr>
          <w:rFonts w:hint="eastAsia" w:ascii="宋体" w:hAnsi="宋体"/>
          <w:sz w:val="24"/>
        </w:rPr>
        <w:t>、投标函未加盖投标人公章，或未经法定代表人（负责人）或其授权代表签字或盖章的；</w:t>
      </w:r>
    </w:p>
    <w:p w14:paraId="779F311B">
      <w:pPr>
        <w:adjustRightInd w:val="0"/>
        <w:snapToGrid w:val="0"/>
        <w:spacing w:line="360" w:lineRule="auto"/>
      </w:pPr>
      <w:r>
        <w:rPr>
          <w:rFonts w:hint="eastAsia" w:ascii="宋体" w:hAnsi="宋体" w:cs="宋体"/>
          <w:sz w:val="24"/>
          <w:szCs w:val="24"/>
        </w:rPr>
        <w:t>2</w:t>
      </w:r>
      <w:r>
        <w:rPr>
          <w:rFonts w:hint="eastAsia" w:ascii="宋体" w:hAnsi="宋体" w:cs="宋体"/>
          <w:sz w:val="24"/>
          <w:szCs w:val="24"/>
          <w:lang w:val="en-US" w:eastAsia="zh-CN"/>
        </w:rPr>
        <w:t>6</w:t>
      </w:r>
      <w:r>
        <w:rPr>
          <w:rFonts w:hint="eastAsia" w:ascii="宋体" w:hAnsi="宋体" w:cs="宋体"/>
          <w:sz w:val="24"/>
          <w:szCs w:val="24"/>
        </w:rPr>
        <w:t>.5.3投标单位未按照谈判文件规定时间</w:t>
      </w:r>
      <w:r>
        <w:rPr>
          <w:rFonts w:hint="eastAsia" w:ascii="宋体" w:hAnsi="宋体" w:cs="宋体"/>
          <w:sz w:val="24"/>
          <w:szCs w:val="24"/>
          <w:lang w:eastAsia="zh-CN"/>
        </w:rPr>
        <w:t>提交投标信用承诺书的（保证金）</w:t>
      </w:r>
      <w:r>
        <w:rPr>
          <w:rFonts w:hint="eastAsia" w:ascii="宋体" w:hAnsi="宋体" w:cs="宋体"/>
          <w:sz w:val="24"/>
          <w:szCs w:val="24"/>
        </w:rPr>
        <w:t>；</w:t>
      </w:r>
    </w:p>
    <w:p w14:paraId="2AEFB3BE">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 xml:space="preserve">.5.4 </w:t>
      </w:r>
      <w:r>
        <w:rPr>
          <w:rFonts w:hint="eastAsia" w:ascii="宋体" w:hAnsi="宋体"/>
          <w:sz w:val="24"/>
          <w:lang w:eastAsia="zh-CN"/>
        </w:rPr>
        <w:t>谈判响应文件</w:t>
      </w:r>
      <w:r>
        <w:rPr>
          <w:rFonts w:hint="eastAsia" w:ascii="宋体" w:hAnsi="宋体"/>
          <w:sz w:val="24"/>
        </w:rPr>
        <w:t>没有法定代表人（负责人）授权书（法人直接投标除外）或授权书的合法性或有效性不符合</w:t>
      </w:r>
      <w:r>
        <w:rPr>
          <w:rFonts w:hint="eastAsia" w:ascii="宋体" w:hAnsi="宋体"/>
          <w:sz w:val="24"/>
          <w:lang w:eastAsia="zh-CN"/>
        </w:rPr>
        <w:t>谈判</w:t>
      </w:r>
      <w:r>
        <w:rPr>
          <w:rFonts w:hint="eastAsia" w:ascii="宋体" w:hAnsi="宋体"/>
          <w:sz w:val="24"/>
        </w:rPr>
        <w:t>文件规定的；</w:t>
      </w:r>
    </w:p>
    <w:p w14:paraId="1C4DA6C7">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 xml:space="preserve">.5.5 </w:t>
      </w:r>
      <w:r>
        <w:rPr>
          <w:rFonts w:hint="eastAsia" w:ascii="宋体" w:hAnsi="宋体"/>
          <w:sz w:val="24"/>
          <w:lang w:eastAsia="zh-CN"/>
        </w:rPr>
        <w:t>谈判响应文件</w:t>
      </w:r>
      <w:r>
        <w:rPr>
          <w:rFonts w:hint="eastAsia" w:ascii="宋体" w:hAnsi="宋体"/>
          <w:sz w:val="24"/>
        </w:rPr>
        <w:t>未按招标文件规定要求装订、签署、盖章的,无投标有效期或有效期达不到招标文件要求的；</w:t>
      </w:r>
    </w:p>
    <w:p w14:paraId="290A7D2F">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.5.6</w:t>
      </w:r>
      <w:r>
        <w:rPr>
          <w:rFonts w:hint="eastAsia" w:ascii="宋体" w:hAnsi="宋体"/>
          <w:sz w:val="24"/>
          <w:lang w:eastAsia="zh-CN"/>
        </w:rPr>
        <w:t>谈判响应文件</w:t>
      </w:r>
      <w:r>
        <w:rPr>
          <w:rFonts w:hint="eastAsia" w:ascii="宋体" w:hAnsi="宋体"/>
          <w:sz w:val="24"/>
        </w:rPr>
        <w:t>的关键内容字迹模糊、无法辨认的；</w:t>
      </w:r>
    </w:p>
    <w:p w14:paraId="621261B3">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.5.7提供虚假证明（包括第三方提供的虚假证明），开具虚假资质，出现虚假应答，除按无效</w:t>
      </w:r>
      <w:r>
        <w:rPr>
          <w:rFonts w:hint="eastAsia" w:ascii="宋体" w:hAnsi="宋体"/>
          <w:sz w:val="24"/>
          <w:lang w:eastAsia="zh-CN"/>
        </w:rPr>
        <w:t>谈判响应文件</w:t>
      </w:r>
      <w:r>
        <w:rPr>
          <w:rFonts w:hint="eastAsia" w:ascii="宋体" w:hAnsi="宋体"/>
          <w:sz w:val="24"/>
        </w:rPr>
        <w:t>处理外，并进行相应的处罚；</w:t>
      </w:r>
    </w:p>
    <w:p w14:paraId="1291CE56">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.5.8 对</w:t>
      </w:r>
      <w:r>
        <w:rPr>
          <w:rFonts w:hint="eastAsia" w:ascii="宋体" w:hAnsi="宋体"/>
          <w:sz w:val="24"/>
          <w:lang w:eastAsia="zh-CN"/>
        </w:rPr>
        <w:t>谈判</w:t>
      </w:r>
      <w:r>
        <w:rPr>
          <w:rFonts w:hint="eastAsia" w:ascii="宋体" w:hAnsi="宋体"/>
          <w:sz w:val="24"/>
        </w:rPr>
        <w:t xml:space="preserve">文件未做实质性响应或有重大缺项漏项,明显不符合技术规格、技术标准的要求的；  </w:t>
      </w:r>
    </w:p>
    <w:p w14:paraId="484E2342">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.5.9 投标人针对同一项目递交两份或多份内容不同的</w:t>
      </w:r>
      <w:r>
        <w:rPr>
          <w:rFonts w:hint="eastAsia" w:ascii="宋体" w:hAnsi="宋体"/>
          <w:sz w:val="24"/>
          <w:lang w:eastAsia="zh-CN"/>
        </w:rPr>
        <w:t>谈判响应文件</w:t>
      </w:r>
      <w:r>
        <w:rPr>
          <w:rFonts w:hint="eastAsia" w:ascii="宋体" w:hAnsi="宋体"/>
          <w:sz w:val="24"/>
        </w:rPr>
        <w:t>，未书面声明哪一份是有效的或出现选择性报价的；</w:t>
      </w:r>
    </w:p>
    <w:p w14:paraId="25074A67">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.5.10投标报价大于项目预算或与市场价偏离较大，低于成本，形成不正当竞争的；</w:t>
      </w:r>
    </w:p>
    <w:p w14:paraId="5AEB5B86">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.5.11投标人有围标、串标现象（不同投标人的</w:t>
      </w:r>
      <w:r>
        <w:rPr>
          <w:rFonts w:hint="eastAsia" w:ascii="宋体" w:hAnsi="宋体"/>
          <w:sz w:val="24"/>
          <w:lang w:eastAsia="zh-CN"/>
        </w:rPr>
        <w:t>谈判响应文件</w:t>
      </w:r>
      <w:r>
        <w:rPr>
          <w:rFonts w:hint="eastAsia" w:ascii="宋体" w:hAnsi="宋体"/>
          <w:sz w:val="24"/>
        </w:rPr>
        <w:t>错漏之处一致的、不同投标人的投标报价或者报价组成异常一致的或者成规律性变化的），经查证属实的。</w:t>
      </w:r>
    </w:p>
    <w:p w14:paraId="1D02485F">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.5.12逾期提交电子响应文件；</w:t>
      </w:r>
    </w:p>
    <w:p w14:paraId="3CE6B9F8">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.5.13提交的响应文件与本项目不相符；</w:t>
      </w:r>
    </w:p>
    <w:p w14:paraId="17287467">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.5.14供应商拒绝对电子响应文件进行解密；</w:t>
      </w:r>
    </w:p>
    <w:p w14:paraId="7166D83C">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.5.15因供应商自身原因（如未带 CA 锁、或所带 CA 锁与制作电子响应文件使用的 CA锁不一致、或沿用旧版谈判文件编制响应文件等情形），导致在规定时间内无法解密响应文件；</w:t>
      </w:r>
    </w:p>
    <w:p w14:paraId="14C9465A">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.5.16上传的电子响应文件无法打开。</w:t>
      </w:r>
    </w:p>
    <w:p w14:paraId="49C3A0B9">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.5.17谈判文件规定的其他要求。</w:t>
      </w:r>
    </w:p>
    <w:bookmarkEnd w:id="213"/>
    <w:bookmarkEnd w:id="214"/>
    <w:bookmarkEnd w:id="215"/>
    <w:bookmarkEnd w:id="216"/>
    <w:bookmarkEnd w:id="217"/>
    <w:bookmarkEnd w:id="218"/>
    <w:p w14:paraId="2C34B599">
      <w:pPr>
        <w:pStyle w:val="4"/>
        <w:spacing w:beforeLines="50" w:afterLines="50" w:line="360" w:lineRule="auto"/>
        <w:rPr>
          <w:rFonts w:ascii="宋体" w:hAnsi="宋体" w:cs="宋体"/>
          <w:sz w:val="30"/>
          <w:szCs w:val="30"/>
        </w:rPr>
      </w:pPr>
      <w:bookmarkStart w:id="219" w:name="_Toc25216"/>
      <w:bookmarkStart w:id="220" w:name="_Toc497551782"/>
      <w:bookmarkStart w:id="221" w:name="_Toc497546880"/>
      <w:bookmarkStart w:id="222" w:name="_Toc24562"/>
      <w:bookmarkStart w:id="223" w:name="_Toc492955421"/>
      <w:bookmarkStart w:id="224" w:name="_Toc385992360"/>
      <w:bookmarkStart w:id="225" w:name="_Toc4915"/>
      <w:bookmarkStart w:id="226" w:name="_Toc2448"/>
      <w:bookmarkStart w:id="227" w:name="_Toc497711547"/>
      <w:bookmarkStart w:id="228" w:name="_Toc389620199"/>
      <w:bookmarkStart w:id="229" w:name="_Toc246928925"/>
      <w:bookmarkStart w:id="230" w:name="_Toc497712095"/>
      <w:bookmarkStart w:id="231" w:name="_Toc465958118"/>
      <w:r>
        <w:rPr>
          <w:rFonts w:hint="eastAsia" w:ascii="宋体" w:hAnsi="宋体" w:cs="宋体"/>
          <w:sz w:val="30"/>
          <w:szCs w:val="30"/>
        </w:rPr>
        <w:t>2</w:t>
      </w:r>
      <w:r>
        <w:rPr>
          <w:rFonts w:hint="eastAsia" w:ascii="宋体" w:hAnsi="宋体" w:cs="宋体"/>
          <w:sz w:val="30"/>
          <w:szCs w:val="30"/>
          <w:lang w:val="en-US" w:eastAsia="zh-CN"/>
        </w:rPr>
        <w:t>7</w:t>
      </w:r>
      <w:r>
        <w:rPr>
          <w:rFonts w:hint="eastAsia" w:ascii="宋体" w:hAnsi="宋体" w:cs="宋体"/>
          <w:sz w:val="30"/>
          <w:szCs w:val="30"/>
        </w:rPr>
        <w:t xml:space="preserve"> 谈判</w:t>
      </w:r>
    </w:p>
    <w:p w14:paraId="05EED6E9">
      <w:pPr>
        <w:adjustRightInd w:val="0"/>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.1谈判过程依次为记录第一次谈判投标报价（不对供应商公布）、竞争性谈判响应文件资格性审查、符合性审查、谈判与承诺、最后报价五个阶段。</w:t>
      </w:r>
    </w:p>
    <w:p w14:paraId="314F3BC2">
      <w:pPr>
        <w:adjustRightInd w:val="0"/>
        <w:spacing w:line="360" w:lineRule="auto"/>
        <w:ind w:firstLine="480" w:firstLineChars="200"/>
        <w:rPr>
          <w:rFonts w:ascii="宋体" w:hAnsi="宋体" w:cs="宋体"/>
          <w:sz w:val="24"/>
        </w:rPr>
      </w:pPr>
      <w:r>
        <w:rPr>
          <w:rFonts w:hint="eastAsia" w:ascii="宋体" w:hAnsi="宋体" w:cs="宋体"/>
          <w:sz w:val="24"/>
        </w:rPr>
        <w:t>谈判小组对各供应商的资质证明文件进行评审，不符合竞争性谈判文件要求的按无效谈判响应处理，不得进入后续评审。</w:t>
      </w:r>
    </w:p>
    <w:p w14:paraId="4BD9F3C5">
      <w:pPr>
        <w:adjustRightInd w:val="0"/>
        <w:spacing w:line="360" w:lineRule="auto"/>
        <w:ind w:firstLine="480" w:firstLineChars="200"/>
        <w:rPr>
          <w:rFonts w:ascii="宋体" w:hAnsi="宋体" w:cs="宋体"/>
          <w:sz w:val="24"/>
        </w:rPr>
      </w:pPr>
      <w:r>
        <w:rPr>
          <w:rFonts w:hint="eastAsia" w:ascii="宋体" w:hAnsi="宋体" w:cs="宋体"/>
          <w:sz w:val="24"/>
        </w:rPr>
        <w:t>对通过资格审查的供应商，谈判小组对于各个供应商的竞争性谈判响应文件进行符合性审查，审查不合格者不进入下一步评审。</w:t>
      </w:r>
    </w:p>
    <w:p w14:paraId="3654F27F">
      <w:pPr>
        <w:snapToGrid w:val="0"/>
        <w:spacing w:line="360" w:lineRule="auto"/>
        <w:ind w:firstLine="480" w:firstLineChars="200"/>
        <w:rPr>
          <w:rFonts w:ascii="宋体" w:hAnsi="宋体" w:cs="宋体"/>
          <w:sz w:val="24"/>
        </w:rPr>
      </w:pPr>
      <w:r>
        <w:rPr>
          <w:rFonts w:hint="eastAsia" w:ascii="宋体" w:hAnsi="宋体" w:cs="宋体"/>
          <w:sz w:val="24"/>
        </w:rPr>
        <w:t>谈判采取背对背的方式。即谈判小组所有成员集中与各供应商分别进行一对一、面对面的谈判。谈判小组可以要求供应商对竞争性谈判响应文件含义不明确的内容做出必要的澄清或说明，供应商应采用书面形式进行澄清或说明，但不得超出竞争性谈判响应文件的范围或改变竞争性谈判响应文件的实质性内容。</w:t>
      </w:r>
    </w:p>
    <w:p w14:paraId="740E3ED6">
      <w:pPr>
        <w:snapToGrid w:val="0"/>
        <w:spacing w:line="360" w:lineRule="auto"/>
        <w:ind w:firstLine="480" w:firstLineChars="200"/>
        <w:rPr>
          <w:rFonts w:ascii="宋体" w:hAnsi="宋体" w:cs="宋体"/>
          <w:sz w:val="24"/>
        </w:rPr>
      </w:pPr>
      <w:r>
        <w:rPr>
          <w:rFonts w:hint="eastAsia" w:ascii="宋体" w:hAnsi="宋体" w:cs="宋体"/>
          <w:sz w:val="24"/>
        </w:rPr>
        <w:t>双方经过谈判，质量和服务均能满足采购文件实质性响应要求的供应商才具有最后报价的机会。</w:t>
      </w:r>
    </w:p>
    <w:p w14:paraId="0819AE92">
      <w:pPr>
        <w:spacing w:line="360" w:lineRule="auto"/>
        <w:rPr>
          <w:rFonts w:ascii="宋体" w:hAnsi="宋体" w:cs="宋体"/>
          <w:sz w:val="24"/>
        </w:rPr>
      </w:pPr>
      <w:r>
        <w:rPr>
          <w:rFonts w:hint="eastAsia" w:ascii="宋体" w:hAnsi="宋体" w:cs="宋体"/>
          <w:sz w:val="24"/>
          <w:lang w:val="en-US" w:eastAsia="zh-CN"/>
        </w:rPr>
        <w:t>27</w:t>
      </w:r>
      <w:r>
        <w:rPr>
          <w:rFonts w:hint="eastAsia" w:ascii="宋体" w:hAnsi="宋体" w:cs="宋体"/>
          <w:sz w:val="24"/>
        </w:rPr>
        <w:t>.2谈判后，供应商应按谈判小组规定的时间进行最后报价，各供应商请携带电脑现场进行最后报价，最后报价现场不对供应商公布。该谈判报价为不可更改价格，作为谈判小组推荐成交候选人的依据。</w:t>
      </w:r>
    </w:p>
    <w:p w14:paraId="530A7986">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.3特殊情况处理：按相关法律法规执行。</w:t>
      </w:r>
    </w:p>
    <w:p w14:paraId="6F8B8583">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 xml:space="preserve">.4评审方法：谈判小组从质量和服务均能满足采购文件实质性响应要求的供应商中，按照最后报价由低到高的顺序提出成交候选人。 </w:t>
      </w:r>
    </w:p>
    <w:p w14:paraId="091079D9">
      <w:pPr>
        <w:pStyle w:val="3"/>
        <w:spacing w:before="120" w:after="120"/>
        <w:rPr>
          <w:rFonts w:ascii="宋体" w:hAnsi="宋体" w:eastAsia="宋体" w:cs="宋体"/>
          <w:sz w:val="36"/>
        </w:rPr>
      </w:pPr>
      <w:r>
        <w:rPr>
          <w:rFonts w:hint="eastAsia" w:ascii="宋体" w:hAnsi="宋体" w:eastAsia="宋体" w:cs="宋体"/>
          <w:sz w:val="36"/>
        </w:rPr>
        <w:t>F</w:t>
      </w:r>
      <w:bookmarkStart w:id="232" w:name="_Hlt491765714"/>
      <w:bookmarkEnd w:id="232"/>
      <w:r>
        <w:rPr>
          <w:rFonts w:hint="eastAsia" w:ascii="宋体" w:hAnsi="宋体" w:eastAsia="宋体" w:cs="宋体"/>
          <w:sz w:val="36"/>
        </w:rPr>
        <w:t xml:space="preserve"> </w:t>
      </w:r>
      <w:bookmarkStart w:id="233" w:name="_Hlt497547134"/>
      <w:bookmarkEnd w:id="233"/>
      <w:r>
        <w:rPr>
          <w:rFonts w:hint="eastAsia" w:ascii="宋体" w:hAnsi="宋体" w:eastAsia="宋体" w:cs="宋体"/>
          <w:sz w:val="36"/>
        </w:rPr>
        <w:t>授予合同</w:t>
      </w:r>
      <w:bookmarkEnd w:id="219"/>
      <w:bookmarkEnd w:id="220"/>
      <w:bookmarkEnd w:id="221"/>
      <w:bookmarkEnd w:id="222"/>
      <w:bookmarkEnd w:id="223"/>
      <w:bookmarkEnd w:id="224"/>
      <w:bookmarkEnd w:id="225"/>
      <w:bookmarkEnd w:id="226"/>
      <w:bookmarkEnd w:id="227"/>
      <w:bookmarkEnd w:id="228"/>
      <w:bookmarkEnd w:id="229"/>
      <w:bookmarkEnd w:id="230"/>
      <w:bookmarkEnd w:id="231"/>
    </w:p>
    <w:p w14:paraId="56ADCCE1">
      <w:pPr>
        <w:pStyle w:val="4"/>
        <w:spacing w:beforeLines="50" w:afterLines="50" w:line="360" w:lineRule="auto"/>
        <w:rPr>
          <w:rFonts w:ascii="宋体" w:hAnsi="宋体" w:cs="宋体"/>
          <w:sz w:val="30"/>
          <w:szCs w:val="30"/>
        </w:rPr>
      </w:pPr>
      <w:bookmarkStart w:id="234" w:name="_Toc17220"/>
      <w:bookmarkStart w:id="235" w:name="_Toc30376"/>
      <w:bookmarkStart w:id="236" w:name="_Toc465958119"/>
      <w:bookmarkStart w:id="237" w:name="_Toc264"/>
      <w:bookmarkStart w:id="238" w:name="_Toc389620200"/>
      <w:bookmarkStart w:id="239" w:name="_Toc21436"/>
      <w:bookmarkStart w:id="240" w:name="_Toc246928926"/>
      <w:bookmarkStart w:id="241" w:name="_Toc9423"/>
      <w:bookmarkStart w:id="242" w:name="_Toc385992361"/>
      <w:bookmarkStart w:id="243" w:name="_Toc385992366"/>
      <w:bookmarkStart w:id="244" w:name="_Toc465958121"/>
      <w:bookmarkStart w:id="245" w:name="_Toc246928928"/>
      <w:bookmarkStart w:id="246" w:name="_Toc15641"/>
      <w:bookmarkStart w:id="247" w:name="_Toc389620205"/>
      <w:bookmarkStart w:id="248" w:name="_Toc6603"/>
      <w:bookmarkStart w:id="249" w:name="_Toc9330"/>
      <w:bookmarkStart w:id="250" w:name="_Toc30811"/>
      <w:bookmarkStart w:id="251" w:name="_Toc5090"/>
      <w:r>
        <w:rPr>
          <w:rFonts w:hint="eastAsia" w:ascii="宋体" w:hAnsi="宋体" w:cs="宋体"/>
          <w:sz w:val="30"/>
          <w:szCs w:val="30"/>
        </w:rPr>
        <w:t>2</w:t>
      </w:r>
      <w:r>
        <w:rPr>
          <w:rFonts w:hint="eastAsia" w:ascii="宋体" w:hAnsi="宋体" w:cs="宋体"/>
          <w:sz w:val="30"/>
          <w:szCs w:val="30"/>
          <w:lang w:val="en-US" w:eastAsia="zh-CN"/>
        </w:rPr>
        <w:t>8</w:t>
      </w:r>
      <w:r>
        <w:rPr>
          <w:rFonts w:hint="eastAsia" w:ascii="宋体" w:hAnsi="宋体" w:cs="宋体"/>
          <w:sz w:val="30"/>
          <w:szCs w:val="30"/>
        </w:rPr>
        <w:t xml:space="preserve"> 成交准则</w:t>
      </w:r>
      <w:bookmarkEnd w:id="234"/>
      <w:bookmarkEnd w:id="235"/>
      <w:bookmarkEnd w:id="236"/>
      <w:bookmarkEnd w:id="237"/>
      <w:bookmarkEnd w:id="238"/>
      <w:bookmarkEnd w:id="239"/>
      <w:bookmarkEnd w:id="240"/>
      <w:bookmarkEnd w:id="241"/>
      <w:bookmarkEnd w:id="242"/>
    </w:p>
    <w:p w14:paraId="326AA0CC">
      <w:pPr>
        <w:spacing w:before="120"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.1合同将授予竞争性谈判响应文件符合竞争性谈判文件要求、并能圆满地履行合同、对采购人最为有利且价格最低的供应商。</w:t>
      </w:r>
    </w:p>
    <w:p w14:paraId="16FC28D1">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.2谈判小组将根据评审方法推荐成交候选供应商名单。</w:t>
      </w:r>
      <w:bookmarkStart w:id="252" w:name="_Toc389620201"/>
      <w:bookmarkStart w:id="253" w:name="_Toc385992362"/>
    </w:p>
    <w:p w14:paraId="65663CFA">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.3采购代理机构在评审结束后将评审报告送采购人，采购人在收到评审报告后按照评审报告中推荐的成交候选供应商顺序确定成交供应商。</w:t>
      </w:r>
    </w:p>
    <w:p w14:paraId="2398EA3F">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.4成交供应商因不可抗力或自身原因不能履行政府采购合同的，采购人可以再排位在成交供应商之后的第一位的成交候选供应商签订政府采购合同，以此类推。</w:t>
      </w:r>
    </w:p>
    <w:bookmarkEnd w:id="252"/>
    <w:bookmarkEnd w:id="253"/>
    <w:p w14:paraId="1BCB7A45">
      <w:pPr>
        <w:pStyle w:val="4"/>
        <w:spacing w:beforeLines="50" w:afterLines="50" w:line="360" w:lineRule="auto"/>
        <w:rPr>
          <w:rFonts w:ascii="宋体" w:hAnsi="宋体" w:cs="宋体"/>
          <w:sz w:val="30"/>
          <w:szCs w:val="30"/>
        </w:rPr>
      </w:pPr>
      <w:bookmarkStart w:id="254" w:name="_Toc389620203"/>
      <w:bookmarkStart w:id="255" w:name="_Toc385992364"/>
      <w:bookmarkStart w:id="256" w:name="_Toc246928927"/>
      <w:bookmarkStart w:id="257" w:name="_Toc19435"/>
      <w:bookmarkStart w:id="258" w:name="_Toc21691"/>
      <w:bookmarkStart w:id="259" w:name="_Toc30974"/>
      <w:bookmarkStart w:id="260" w:name="_Toc465958120"/>
      <w:bookmarkStart w:id="261" w:name="_Toc12205"/>
      <w:bookmarkStart w:id="262" w:name="_Toc19328"/>
      <w:r>
        <w:rPr>
          <w:rFonts w:hint="eastAsia" w:ascii="宋体" w:hAnsi="宋体" w:cs="宋体"/>
          <w:sz w:val="30"/>
          <w:szCs w:val="30"/>
          <w:lang w:val="en-US" w:eastAsia="zh-CN"/>
        </w:rPr>
        <w:t>29</w:t>
      </w:r>
      <w:r>
        <w:rPr>
          <w:rFonts w:hint="eastAsia" w:ascii="宋体" w:hAnsi="宋体" w:cs="宋体"/>
          <w:sz w:val="30"/>
          <w:szCs w:val="30"/>
        </w:rPr>
        <w:t xml:space="preserve"> </w:t>
      </w:r>
      <w:bookmarkEnd w:id="254"/>
      <w:bookmarkEnd w:id="255"/>
      <w:r>
        <w:rPr>
          <w:rFonts w:hint="eastAsia" w:ascii="宋体" w:hAnsi="宋体" w:cs="宋体"/>
          <w:sz w:val="30"/>
          <w:szCs w:val="30"/>
        </w:rPr>
        <w:t>成交通知</w:t>
      </w:r>
      <w:bookmarkEnd w:id="256"/>
      <w:r>
        <w:rPr>
          <w:rFonts w:hint="eastAsia" w:ascii="宋体" w:hAnsi="宋体" w:cs="宋体"/>
          <w:sz w:val="30"/>
          <w:szCs w:val="30"/>
        </w:rPr>
        <w:t>书</w:t>
      </w:r>
      <w:bookmarkEnd w:id="257"/>
      <w:bookmarkEnd w:id="258"/>
      <w:bookmarkEnd w:id="259"/>
      <w:bookmarkEnd w:id="260"/>
      <w:bookmarkEnd w:id="261"/>
      <w:bookmarkEnd w:id="262"/>
    </w:p>
    <w:p w14:paraId="263275C0">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.1 在谈判有效期内，确定成交供应商后，成交结果在财政部门指定的政府采购信息发布媒体上公告。</w:t>
      </w:r>
    </w:p>
    <w:p w14:paraId="6CCB75E1">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 xml:space="preserve">.2 采购代理机构向成交供应商发出成交通知书。 </w:t>
      </w:r>
    </w:p>
    <w:p w14:paraId="3D4E402C">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.3 成交通知书将作为签订合同的依据。</w:t>
      </w:r>
    </w:p>
    <w:p w14:paraId="342C6ECD">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.4 对未成交者，采购人不做出解释，同时亦不退还竞争性谈判响应文件。</w:t>
      </w:r>
    </w:p>
    <w:bookmarkEnd w:id="243"/>
    <w:bookmarkEnd w:id="244"/>
    <w:bookmarkEnd w:id="245"/>
    <w:bookmarkEnd w:id="246"/>
    <w:bookmarkEnd w:id="247"/>
    <w:bookmarkEnd w:id="248"/>
    <w:bookmarkEnd w:id="249"/>
    <w:bookmarkEnd w:id="250"/>
    <w:bookmarkEnd w:id="251"/>
    <w:p w14:paraId="7440C275">
      <w:pPr>
        <w:pStyle w:val="4"/>
        <w:spacing w:beforeLines="50" w:afterLines="50" w:line="360" w:lineRule="auto"/>
        <w:rPr>
          <w:rFonts w:ascii="宋体" w:hAnsi="宋体" w:cs="宋体"/>
          <w:sz w:val="30"/>
          <w:szCs w:val="30"/>
        </w:rPr>
      </w:pPr>
      <w:bookmarkStart w:id="263" w:name="_Toc246928929"/>
      <w:bookmarkStart w:id="264" w:name="_Toc9873"/>
      <w:bookmarkStart w:id="265" w:name="_Toc23493"/>
      <w:bookmarkStart w:id="266" w:name="_Toc385992368"/>
      <w:bookmarkStart w:id="267" w:name="_Toc11754"/>
      <w:bookmarkStart w:id="268" w:name="_Toc389620207"/>
      <w:bookmarkStart w:id="269" w:name="_Toc20377"/>
      <w:bookmarkStart w:id="270" w:name="_Toc23291"/>
      <w:bookmarkStart w:id="271" w:name="_Toc465958122"/>
      <w:r>
        <w:rPr>
          <w:rFonts w:hint="eastAsia" w:ascii="宋体" w:hAnsi="宋体" w:cs="宋体"/>
          <w:sz w:val="30"/>
          <w:szCs w:val="30"/>
        </w:rPr>
        <w:t>3</w:t>
      </w:r>
      <w:r>
        <w:rPr>
          <w:rFonts w:hint="eastAsia" w:ascii="宋体" w:hAnsi="宋体" w:cs="宋体"/>
          <w:sz w:val="30"/>
          <w:szCs w:val="30"/>
          <w:lang w:val="en-US" w:eastAsia="zh-CN"/>
        </w:rPr>
        <w:t>0</w:t>
      </w:r>
      <w:r>
        <w:rPr>
          <w:rFonts w:hint="eastAsia" w:ascii="宋体" w:hAnsi="宋体" w:cs="宋体"/>
          <w:sz w:val="30"/>
          <w:szCs w:val="30"/>
        </w:rPr>
        <w:t xml:space="preserve"> 签订合同</w:t>
      </w:r>
    </w:p>
    <w:p w14:paraId="1682137F">
      <w:pPr>
        <w:spacing w:line="360" w:lineRule="auto"/>
        <w:rPr>
          <w:rFonts w:ascii="宋体" w:hAnsi="宋体" w:cs="宋体"/>
          <w:sz w:val="24"/>
        </w:rPr>
      </w:pPr>
      <w:r>
        <w:rPr>
          <w:rFonts w:hint="eastAsia" w:ascii="宋体" w:hAnsi="宋体" w:cs="宋体"/>
          <w:sz w:val="24"/>
        </w:rPr>
        <w:t>3</w:t>
      </w:r>
      <w:r>
        <w:rPr>
          <w:rFonts w:hint="eastAsia" w:ascii="宋体" w:hAnsi="宋体" w:cs="宋体"/>
          <w:sz w:val="24"/>
          <w:lang w:val="en-US" w:eastAsia="zh-CN"/>
        </w:rPr>
        <w:t>0</w:t>
      </w:r>
      <w:r>
        <w:rPr>
          <w:rFonts w:hint="eastAsia" w:ascii="宋体" w:hAnsi="宋体" w:cs="宋体"/>
          <w:sz w:val="24"/>
        </w:rPr>
        <w:t>.1成交供应商应当自成交通知书发出之日起</w:t>
      </w:r>
      <w:r>
        <w:rPr>
          <w:rFonts w:hint="eastAsia" w:ascii="宋体" w:hAnsi="宋体" w:cs="宋体"/>
          <w:sz w:val="24"/>
          <w:lang w:val="en-US" w:eastAsia="zh-CN"/>
        </w:rPr>
        <w:t>1</w:t>
      </w:r>
      <w:r>
        <w:rPr>
          <w:rFonts w:hint="eastAsia" w:ascii="宋体" w:hAnsi="宋体" w:cs="宋体"/>
          <w:sz w:val="24"/>
        </w:rPr>
        <w:t>0日内，按照竞争性谈判文件确定的事项和成交供应商的竞争性谈判响应文件与采购人签订政府采购合同；成交通知书发出后采购人改变成交结果的，或者成交供应商放弃成交项目的，应当依法承担法律责任。采购人可以按照评审报告推荐的成交候选人名单顺序，确定下一候选人为成交供应商，也可以重新开展政府采购活动。</w:t>
      </w:r>
    </w:p>
    <w:p w14:paraId="3EBBD1C8">
      <w:pPr>
        <w:spacing w:line="360" w:lineRule="auto"/>
        <w:rPr>
          <w:rFonts w:ascii="宋体" w:hAnsi="宋体" w:cs="宋体"/>
          <w:sz w:val="24"/>
        </w:rPr>
      </w:pPr>
      <w:r>
        <w:rPr>
          <w:rFonts w:hint="eastAsia" w:ascii="宋体" w:hAnsi="宋体" w:cs="宋体"/>
          <w:sz w:val="24"/>
        </w:rPr>
        <w:t>3</w:t>
      </w:r>
      <w:r>
        <w:rPr>
          <w:rFonts w:hint="eastAsia" w:ascii="宋体" w:hAnsi="宋体" w:cs="宋体"/>
          <w:sz w:val="24"/>
          <w:lang w:val="en-US" w:eastAsia="zh-CN"/>
        </w:rPr>
        <w:t>0</w:t>
      </w:r>
      <w:r>
        <w:rPr>
          <w:rFonts w:hint="eastAsia" w:ascii="宋体" w:hAnsi="宋体" w:cs="宋体"/>
          <w:sz w:val="24"/>
        </w:rPr>
        <w:t>.2 竞争性谈判文件、成交供应商的竞争性谈判响应文件和补充文件（如澄清、承诺等）等，均为签订合同的依据。所签订的合同不得对竞争性谈判文件和成交供应商竞争性谈判响应文件作实质性修改。</w:t>
      </w:r>
    </w:p>
    <w:bookmarkEnd w:id="263"/>
    <w:bookmarkEnd w:id="264"/>
    <w:bookmarkEnd w:id="265"/>
    <w:bookmarkEnd w:id="266"/>
    <w:bookmarkEnd w:id="267"/>
    <w:bookmarkEnd w:id="268"/>
    <w:bookmarkEnd w:id="269"/>
    <w:bookmarkEnd w:id="270"/>
    <w:bookmarkEnd w:id="271"/>
    <w:p w14:paraId="4A375FE8">
      <w:pPr>
        <w:pStyle w:val="4"/>
        <w:spacing w:beforeLines="50" w:afterLines="50" w:line="360" w:lineRule="auto"/>
        <w:rPr>
          <w:rFonts w:ascii="宋体" w:hAnsi="宋体" w:cs="宋体"/>
          <w:sz w:val="30"/>
          <w:szCs w:val="30"/>
        </w:rPr>
      </w:pPr>
      <w:r>
        <w:rPr>
          <w:rFonts w:hint="eastAsia" w:ascii="宋体" w:hAnsi="宋体" w:cs="宋体"/>
          <w:sz w:val="30"/>
          <w:szCs w:val="30"/>
        </w:rPr>
        <w:t>3</w:t>
      </w:r>
      <w:r>
        <w:rPr>
          <w:rFonts w:hint="eastAsia" w:ascii="宋体" w:hAnsi="宋体" w:cs="宋体"/>
          <w:sz w:val="30"/>
          <w:szCs w:val="30"/>
          <w:lang w:val="en-US" w:eastAsia="zh-CN"/>
        </w:rPr>
        <w:t>1</w:t>
      </w:r>
      <w:r>
        <w:rPr>
          <w:rFonts w:hint="eastAsia" w:ascii="宋体" w:hAnsi="宋体" w:cs="宋体"/>
          <w:sz w:val="30"/>
          <w:szCs w:val="30"/>
        </w:rPr>
        <w:t xml:space="preserve"> 招标代理服务费 </w:t>
      </w:r>
    </w:p>
    <w:p w14:paraId="119CD357">
      <w:pPr>
        <w:spacing w:line="360" w:lineRule="auto"/>
        <w:rPr>
          <w:rFonts w:ascii="宋体" w:hAnsi="宋体" w:cs="仿宋_GB2312"/>
          <w:sz w:val="24"/>
          <w:szCs w:val="24"/>
        </w:rPr>
      </w:pPr>
      <w:r>
        <w:rPr>
          <w:rFonts w:hint="eastAsia" w:ascii="宋体" w:hAnsi="宋体" w:cs="宋体"/>
          <w:sz w:val="24"/>
        </w:rPr>
        <w:t>3</w:t>
      </w:r>
      <w:r>
        <w:rPr>
          <w:rFonts w:hint="eastAsia" w:ascii="宋体" w:hAnsi="宋体" w:cs="宋体"/>
          <w:sz w:val="24"/>
          <w:lang w:val="en-US" w:eastAsia="zh-CN"/>
        </w:rPr>
        <w:t>1</w:t>
      </w:r>
      <w:r>
        <w:rPr>
          <w:rFonts w:hint="eastAsia" w:ascii="宋体" w:hAnsi="宋体" w:cs="宋体"/>
          <w:sz w:val="24"/>
        </w:rPr>
        <w:t xml:space="preserve">.1  </w:t>
      </w:r>
      <w:r>
        <w:rPr>
          <w:rFonts w:hint="eastAsia" w:ascii="宋体" w:hAnsi="宋体" w:cs="仿宋_GB2312"/>
          <w:sz w:val="24"/>
          <w:szCs w:val="24"/>
        </w:rPr>
        <w:t>招标代理服务费的收取参见国家计委颁布的《招标代理服务收费管理暂行办法》（计价格[2002]1980号）和（发改办价格[2011]534号）中</w:t>
      </w:r>
      <w:r>
        <w:rPr>
          <w:rFonts w:hint="eastAsia" w:ascii="宋体" w:hAnsi="宋体"/>
          <w:sz w:val="24"/>
        </w:rPr>
        <w:t>规定的差额定律累进法计算,向成交单位收取。</w:t>
      </w:r>
    </w:p>
    <w:p w14:paraId="22D8D1DB">
      <w:pPr>
        <w:spacing w:line="360" w:lineRule="auto"/>
        <w:rPr>
          <w:rFonts w:ascii="宋体" w:hAnsi="宋体" w:cs="宋体"/>
          <w:sz w:val="24"/>
          <w:highlight w:val="yellow"/>
        </w:rPr>
      </w:pPr>
      <w:r>
        <w:rPr>
          <w:rFonts w:hint="eastAsia" w:ascii="宋体" w:hAnsi="宋体" w:cs="仿宋_GB2312"/>
          <w:sz w:val="24"/>
          <w:szCs w:val="24"/>
        </w:rPr>
        <w:t>3</w:t>
      </w:r>
      <w:r>
        <w:rPr>
          <w:rFonts w:hint="eastAsia" w:ascii="宋体" w:hAnsi="宋体" w:cs="仿宋_GB2312"/>
          <w:sz w:val="24"/>
          <w:szCs w:val="24"/>
          <w:lang w:val="en-US" w:eastAsia="zh-CN"/>
        </w:rPr>
        <w:t>1</w:t>
      </w:r>
      <w:r>
        <w:rPr>
          <w:rFonts w:hint="eastAsia" w:ascii="宋体" w:hAnsi="宋体" w:cs="仿宋_GB2312"/>
          <w:sz w:val="24"/>
          <w:szCs w:val="24"/>
        </w:rPr>
        <w:t>.2  成交单位在领取成交通知书前，须向采购代理机构一次性支付招标代理服务费。</w:t>
      </w:r>
    </w:p>
    <w:p w14:paraId="0C9658BC">
      <w:pPr>
        <w:pStyle w:val="4"/>
        <w:spacing w:before="120" w:after="120" w:line="360" w:lineRule="auto"/>
        <w:rPr>
          <w:rFonts w:ascii="宋体" w:hAnsi="宋体" w:cs="宋体"/>
          <w:szCs w:val="22"/>
        </w:rPr>
      </w:pPr>
      <w:bookmarkStart w:id="272" w:name="_Hlt497548036"/>
      <w:bookmarkEnd w:id="272"/>
      <w:bookmarkStart w:id="273" w:name="_Toc13928"/>
      <w:bookmarkStart w:id="274" w:name="_Toc497546918"/>
      <w:bookmarkStart w:id="275" w:name="_Toc28607"/>
      <w:bookmarkStart w:id="276" w:name="_Toc497551820"/>
      <w:bookmarkStart w:id="277" w:name="_Toc93800308"/>
      <w:bookmarkStart w:id="278" w:name="_Toc497712133"/>
      <w:bookmarkStart w:id="279" w:name="_Toc492955459"/>
      <w:bookmarkStart w:id="280" w:name="_Toc497711585"/>
      <w:bookmarkStart w:id="281" w:name="_Toc347478708"/>
      <w:bookmarkStart w:id="282" w:name="_Toc9748"/>
      <w:bookmarkStart w:id="283" w:name="_Toc10852"/>
      <w:bookmarkStart w:id="284" w:name="_Toc492955460"/>
      <w:bookmarkStart w:id="285" w:name="_Toc389620242"/>
      <w:bookmarkStart w:id="286" w:name="_Toc246928960"/>
      <w:bookmarkStart w:id="287" w:name="_Toc497551821"/>
      <w:bookmarkStart w:id="288" w:name="_Toc497712134"/>
      <w:bookmarkStart w:id="289" w:name="_Toc497546919"/>
      <w:bookmarkStart w:id="290" w:name="_Toc497711586"/>
      <w:bookmarkStart w:id="291" w:name="_Toc385992402"/>
      <w:r>
        <w:rPr>
          <w:rFonts w:hint="eastAsia" w:ascii="宋体" w:hAnsi="宋体" w:cs="宋体"/>
          <w:szCs w:val="22"/>
        </w:rPr>
        <w:t>3</w:t>
      </w:r>
      <w:r>
        <w:rPr>
          <w:rFonts w:hint="eastAsia" w:ascii="宋体" w:hAnsi="宋体" w:cs="宋体"/>
          <w:szCs w:val="22"/>
          <w:lang w:val="en-US" w:eastAsia="zh-CN"/>
        </w:rPr>
        <w:t>2</w:t>
      </w:r>
      <w:r>
        <w:rPr>
          <w:rFonts w:hint="eastAsia" w:ascii="宋体" w:hAnsi="宋体" w:cs="宋体"/>
          <w:szCs w:val="22"/>
        </w:rPr>
        <w:t xml:space="preserve"> 其他</w:t>
      </w:r>
    </w:p>
    <w:p w14:paraId="59739EBC">
      <w:pPr>
        <w:spacing w:line="360" w:lineRule="auto"/>
        <w:ind w:firstLine="480" w:firstLineChars="200"/>
        <w:rPr>
          <w:rFonts w:ascii="宋体" w:hAnsi="宋体" w:cs="宋体"/>
          <w:sz w:val="24"/>
        </w:rPr>
      </w:pPr>
      <w:r>
        <w:rPr>
          <w:rFonts w:hint="eastAsia" w:ascii="宋体" w:hAnsi="宋体" w:cs="宋体"/>
          <w:sz w:val="24"/>
          <w:szCs w:val="24"/>
        </w:rPr>
        <w:t>谈判截止时间结束后，参加投标的投标人不足3家，或在评标期间，出现符合条件的投标人或者对竞争性谈判文件做出实质性响应的投标人不足3家的，按照中华人民共和国财政部令第87号《政府采购货物和服务招标投标管理办法》第四十一条、第四十三条、第四十四条等相关条款处理。</w:t>
      </w:r>
    </w:p>
    <w:p w14:paraId="382AA0DD">
      <w:pPr>
        <w:pStyle w:val="4"/>
        <w:spacing w:before="120" w:after="120" w:line="360" w:lineRule="auto"/>
        <w:rPr>
          <w:rFonts w:ascii="宋体" w:hAnsi="宋体" w:cs="宋体"/>
          <w:szCs w:val="22"/>
        </w:rPr>
      </w:pPr>
      <w:r>
        <w:rPr>
          <w:rFonts w:hint="eastAsia" w:ascii="宋体" w:hAnsi="宋体" w:cs="宋体"/>
          <w:szCs w:val="22"/>
        </w:rPr>
        <w:t>3</w:t>
      </w:r>
      <w:r>
        <w:rPr>
          <w:rFonts w:hint="eastAsia" w:ascii="宋体" w:hAnsi="宋体" w:cs="宋体"/>
          <w:szCs w:val="22"/>
          <w:lang w:val="en-US" w:eastAsia="zh-CN"/>
        </w:rPr>
        <w:t>3</w:t>
      </w:r>
      <w:r>
        <w:rPr>
          <w:rFonts w:hint="eastAsia" w:ascii="宋体" w:hAnsi="宋体" w:cs="宋体"/>
          <w:szCs w:val="22"/>
        </w:rPr>
        <w:t xml:space="preserve"> 质疑提出与答复</w:t>
      </w:r>
    </w:p>
    <w:p w14:paraId="216A9E99">
      <w:pPr>
        <w:pStyle w:val="19"/>
        <w:adjustRightInd w:val="0"/>
        <w:snapToGrid w:val="0"/>
        <w:spacing w:before="0" w:beforeAutospacing="0" w:after="0" w:afterAutospacing="0" w:line="420" w:lineRule="exact"/>
        <w:ind w:firstLine="360" w:firstLineChars="150"/>
      </w:pPr>
      <w:r>
        <w:rPr>
          <w:rFonts w:hint="eastAsia"/>
        </w:rPr>
        <w:t>供应商如果认为采购程序、采购过程或中标结果使自身的合法权益受到损害，可以在知道或者应知其权益受到损害之日起7个工作日内，以书面形式向采购代理机构提出。</w:t>
      </w:r>
    </w:p>
    <w:p w14:paraId="35A30014">
      <w:pPr>
        <w:pStyle w:val="19"/>
        <w:adjustRightInd w:val="0"/>
        <w:snapToGrid w:val="0"/>
        <w:spacing w:before="0" w:beforeAutospacing="0" w:after="0" w:afterAutospacing="0" w:line="420" w:lineRule="exact"/>
        <w:ind w:firstLine="360" w:firstLineChars="150"/>
      </w:pPr>
      <w:r>
        <w:rPr>
          <w:rFonts w:hint="eastAsia"/>
        </w:rPr>
        <w:t>1、供应商提出质疑应当提交质疑函和必要的证明材料，并按财政部《质疑函范本》给定的格式进行填写，范本下载详见【财政部国库司（gks.mof.gov.cn）】网站〖首页•〉政府采购管理〗栏目中的《政府采购供应商质疑函范本》。</w:t>
      </w:r>
    </w:p>
    <w:p w14:paraId="2810B818">
      <w:pPr>
        <w:pStyle w:val="19"/>
        <w:adjustRightInd w:val="0"/>
        <w:snapToGrid w:val="0"/>
        <w:spacing w:before="0" w:beforeAutospacing="0" w:after="0" w:afterAutospacing="0" w:line="420" w:lineRule="exact"/>
        <w:ind w:firstLine="360" w:firstLineChars="150"/>
      </w:pPr>
      <w:r>
        <w:rPr>
          <w:rFonts w:hint="eastAsia"/>
        </w:rPr>
        <w:t>《政府采购供应商质疑函范本》链接地址：</w:t>
      </w:r>
    </w:p>
    <w:p w14:paraId="28F0C2F7">
      <w:pPr>
        <w:pStyle w:val="19"/>
        <w:adjustRightInd w:val="0"/>
        <w:snapToGrid w:val="0"/>
        <w:spacing w:before="0" w:beforeAutospacing="0" w:after="0" w:afterAutospacing="0" w:line="420" w:lineRule="exact"/>
        <w:ind w:firstLine="360" w:firstLineChars="150"/>
      </w:pPr>
      <w:r>
        <w:rPr>
          <w:rFonts w:hint="eastAsia"/>
        </w:rPr>
        <w:t>http://www.mof.gov.cn/gp/xxgkml/gks/201802/t20180201_2804587.htm</w:t>
      </w:r>
    </w:p>
    <w:p w14:paraId="431ABC3E">
      <w:pPr>
        <w:pStyle w:val="19"/>
        <w:adjustRightInd w:val="0"/>
        <w:snapToGrid w:val="0"/>
        <w:spacing w:before="0" w:beforeAutospacing="0" w:after="0" w:afterAutospacing="0" w:line="420" w:lineRule="exact"/>
        <w:ind w:firstLine="360" w:firstLineChars="150"/>
      </w:pPr>
      <w:r>
        <w:rPr>
          <w:rFonts w:hint="eastAsia"/>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45539B50">
      <w:pPr>
        <w:pStyle w:val="19"/>
        <w:adjustRightInd w:val="0"/>
        <w:snapToGrid w:val="0"/>
        <w:spacing w:before="0" w:beforeAutospacing="0" w:after="0" w:afterAutospacing="0" w:line="420" w:lineRule="exact"/>
        <w:ind w:firstLine="360" w:firstLineChars="150"/>
      </w:pPr>
      <w:r>
        <w:rPr>
          <w:rFonts w:hint="eastAsia"/>
        </w:rPr>
        <w:t>2.1质疑函应当包括下列内容：</w:t>
      </w:r>
    </w:p>
    <w:p w14:paraId="4D2F087A">
      <w:pPr>
        <w:pStyle w:val="19"/>
        <w:adjustRightInd w:val="0"/>
        <w:snapToGrid w:val="0"/>
        <w:spacing w:before="0" w:beforeAutospacing="0" w:after="0" w:afterAutospacing="0" w:line="420" w:lineRule="exact"/>
        <w:ind w:firstLine="360" w:firstLineChars="150"/>
      </w:pPr>
      <w:r>
        <w:rPr>
          <w:rFonts w:hint="eastAsia"/>
        </w:rPr>
        <w:t>（1）</w:t>
      </w:r>
      <w:r>
        <w:rPr>
          <w:rFonts w:hint="eastAsia"/>
          <w:lang w:val="zh-CN"/>
        </w:rPr>
        <w:t>投标人</w:t>
      </w:r>
      <w:r>
        <w:rPr>
          <w:rFonts w:hint="eastAsia"/>
        </w:rPr>
        <w:t>的姓名或者名称、地址、邮编、联系人及联系电话；</w:t>
      </w:r>
    </w:p>
    <w:p w14:paraId="41659D0A">
      <w:pPr>
        <w:pStyle w:val="19"/>
        <w:adjustRightInd w:val="0"/>
        <w:snapToGrid w:val="0"/>
        <w:spacing w:before="0" w:beforeAutospacing="0" w:after="0" w:afterAutospacing="0" w:line="420" w:lineRule="exact"/>
        <w:ind w:firstLine="360" w:firstLineChars="150"/>
      </w:pPr>
      <w:r>
        <w:rPr>
          <w:rFonts w:hint="eastAsia"/>
        </w:rPr>
        <w:t>（2）质疑项目的名称、编号；</w:t>
      </w:r>
    </w:p>
    <w:p w14:paraId="19316363">
      <w:pPr>
        <w:pStyle w:val="19"/>
        <w:adjustRightInd w:val="0"/>
        <w:snapToGrid w:val="0"/>
        <w:spacing w:before="0" w:beforeAutospacing="0" w:after="0" w:afterAutospacing="0" w:line="420" w:lineRule="exact"/>
        <w:ind w:firstLine="360" w:firstLineChars="150"/>
      </w:pPr>
      <w:r>
        <w:rPr>
          <w:rFonts w:hint="eastAsia"/>
        </w:rPr>
        <w:t>（3）具体、明确的质疑事项和与质疑事项相关的请求；</w:t>
      </w:r>
    </w:p>
    <w:p w14:paraId="0AEA9B95">
      <w:pPr>
        <w:pStyle w:val="19"/>
        <w:adjustRightInd w:val="0"/>
        <w:snapToGrid w:val="0"/>
        <w:spacing w:before="0" w:beforeAutospacing="0" w:after="0" w:afterAutospacing="0" w:line="420" w:lineRule="exact"/>
        <w:ind w:firstLine="360" w:firstLineChars="150"/>
      </w:pPr>
      <w:r>
        <w:rPr>
          <w:rFonts w:hint="eastAsia"/>
        </w:rPr>
        <w:t>（4）事实依据；</w:t>
      </w:r>
    </w:p>
    <w:p w14:paraId="64C849C9">
      <w:pPr>
        <w:pStyle w:val="19"/>
        <w:adjustRightInd w:val="0"/>
        <w:snapToGrid w:val="0"/>
        <w:spacing w:before="0" w:beforeAutospacing="0" w:after="0" w:afterAutospacing="0" w:line="420" w:lineRule="exact"/>
        <w:ind w:firstLine="360" w:firstLineChars="150"/>
      </w:pPr>
      <w:r>
        <w:rPr>
          <w:rFonts w:hint="eastAsia"/>
        </w:rPr>
        <w:t>（5）必要的法律依据；</w:t>
      </w:r>
    </w:p>
    <w:p w14:paraId="36A68BC2">
      <w:pPr>
        <w:pStyle w:val="19"/>
        <w:adjustRightInd w:val="0"/>
        <w:snapToGrid w:val="0"/>
        <w:spacing w:before="0" w:beforeAutospacing="0" w:after="0" w:afterAutospacing="0" w:line="420" w:lineRule="exact"/>
        <w:ind w:firstLine="360" w:firstLineChars="150"/>
      </w:pPr>
      <w:r>
        <w:rPr>
          <w:rFonts w:hint="eastAsia"/>
        </w:rPr>
        <w:t xml:space="preserve">（6）提出质疑的日期。 </w:t>
      </w:r>
    </w:p>
    <w:p w14:paraId="3FAE782D">
      <w:pPr>
        <w:pStyle w:val="19"/>
        <w:adjustRightInd w:val="0"/>
        <w:snapToGrid w:val="0"/>
        <w:spacing w:before="0" w:beforeAutospacing="0" w:after="0" w:afterAutospacing="0" w:line="420" w:lineRule="exact"/>
        <w:ind w:firstLine="360" w:firstLineChars="150"/>
      </w:pPr>
      <w:r>
        <w:rPr>
          <w:rFonts w:hint="eastAsia"/>
        </w:rPr>
        <w:t>3、在法定质疑期内，针对同一采购程序环节的质疑应当一次性提出。采购代理机构或采购人将在收到书面质疑后7个工作日内做出答复，并以书面形式通知质疑人和其他有关供应商。</w:t>
      </w:r>
    </w:p>
    <w:p w14:paraId="7DBC036A">
      <w:pPr>
        <w:pStyle w:val="19"/>
        <w:adjustRightInd w:val="0"/>
        <w:snapToGrid w:val="0"/>
        <w:spacing w:before="0" w:beforeAutospacing="0" w:after="0" w:afterAutospacing="0" w:line="420" w:lineRule="exact"/>
        <w:ind w:firstLine="360" w:firstLineChars="150"/>
      </w:pPr>
      <w:r>
        <w:rPr>
          <w:rFonts w:hint="eastAsia"/>
        </w:rPr>
        <w:t>4、有下列情形之一的，属于无效质疑，采购代理机构和采购人不予受理：</w:t>
      </w:r>
    </w:p>
    <w:p w14:paraId="051B7C6F">
      <w:pPr>
        <w:pStyle w:val="19"/>
        <w:adjustRightInd w:val="0"/>
        <w:snapToGrid w:val="0"/>
        <w:spacing w:before="0" w:beforeAutospacing="0" w:after="0" w:afterAutospacing="0" w:line="420" w:lineRule="exact"/>
        <w:ind w:firstLine="360" w:firstLineChars="150"/>
      </w:pPr>
      <w:r>
        <w:rPr>
          <w:rFonts w:hint="eastAsia"/>
        </w:rPr>
        <w:t>（1）质疑人不是参与本次政府采购项目的供应商或潜在供应商；</w:t>
      </w:r>
    </w:p>
    <w:p w14:paraId="3138A626">
      <w:pPr>
        <w:pStyle w:val="19"/>
        <w:adjustRightInd w:val="0"/>
        <w:snapToGrid w:val="0"/>
        <w:spacing w:before="0" w:beforeAutospacing="0" w:after="0" w:afterAutospacing="0" w:line="420" w:lineRule="exact"/>
        <w:ind w:firstLine="360" w:firstLineChars="150"/>
      </w:pPr>
      <w:r>
        <w:rPr>
          <w:rFonts w:hint="eastAsia"/>
        </w:rPr>
        <w:t>（2）质疑人与质疑事项不存在利害关系的；</w:t>
      </w:r>
    </w:p>
    <w:p w14:paraId="17CE7B4A">
      <w:pPr>
        <w:pStyle w:val="19"/>
        <w:adjustRightInd w:val="0"/>
        <w:snapToGrid w:val="0"/>
        <w:spacing w:before="0" w:beforeAutospacing="0" w:after="0" w:afterAutospacing="0" w:line="420" w:lineRule="exact"/>
        <w:ind w:firstLine="360" w:firstLineChars="150"/>
      </w:pPr>
      <w:r>
        <w:rPr>
          <w:rFonts w:hint="eastAsia"/>
        </w:rPr>
        <w:t>（3）未在法定期限内提出质疑的；</w:t>
      </w:r>
    </w:p>
    <w:p w14:paraId="6C71B5E3">
      <w:pPr>
        <w:pStyle w:val="19"/>
        <w:adjustRightInd w:val="0"/>
        <w:snapToGrid w:val="0"/>
        <w:spacing w:before="0" w:beforeAutospacing="0" w:after="0" w:afterAutospacing="0" w:line="420" w:lineRule="exact"/>
        <w:ind w:firstLine="360" w:firstLineChars="150"/>
      </w:pPr>
      <w:r>
        <w:rPr>
          <w:rFonts w:hint="eastAsia"/>
        </w:rPr>
        <w:t>（4）质疑未以书面形式提出，或质疑函主要内容构成不完整的，或缺乏必要的证明材料及证明材料不完整的；</w:t>
      </w:r>
    </w:p>
    <w:p w14:paraId="70707884">
      <w:pPr>
        <w:pStyle w:val="19"/>
        <w:adjustRightInd w:val="0"/>
        <w:snapToGrid w:val="0"/>
        <w:spacing w:before="0" w:beforeAutospacing="0" w:after="0" w:afterAutospacing="0" w:line="420" w:lineRule="exact"/>
        <w:ind w:firstLine="360" w:firstLineChars="150"/>
      </w:pPr>
      <w:r>
        <w:rPr>
          <w:rFonts w:hint="eastAsia"/>
        </w:rPr>
        <w:t>（5）质疑函没有合法有效的签字、盖章或授权的；</w:t>
      </w:r>
    </w:p>
    <w:p w14:paraId="09379591">
      <w:pPr>
        <w:pStyle w:val="19"/>
        <w:adjustRightInd w:val="0"/>
        <w:snapToGrid w:val="0"/>
        <w:spacing w:before="0" w:beforeAutospacing="0" w:after="0" w:afterAutospacing="0" w:line="420" w:lineRule="exact"/>
        <w:ind w:firstLine="360" w:firstLineChars="150"/>
      </w:pPr>
      <w:r>
        <w:rPr>
          <w:rFonts w:hint="eastAsia"/>
        </w:rPr>
        <w:t>（6）以非法手段取得证据、材料的；</w:t>
      </w:r>
    </w:p>
    <w:p w14:paraId="57A0138C">
      <w:pPr>
        <w:pStyle w:val="19"/>
        <w:adjustRightInd w:val="0"/>
        <w:snapToGrid w:val="0"/>
        <w:spacing w:before="0" w:beforeAutospacing="0" w:after="0" w:afterAutospacing="0" w:line="420" w:lineRule="exact"/>
        <w:ind w:firstLine="360" w:firstLineChars="150"/>
      </w:pPr>
      <w:r>
        <w:rPr>
          <w:rFonts w:hint="eastAsia"/>
        </w:rPr>
        <w:t>（7）质疑答复后，同一质疑人就同一事项再次提出质疑的；</w:t>
      </w:r>
    </w:p>
    <w:p w14:paraId="6DFCEE7B">
      <w:pPr>
        <w:pStyle w:val="19"/>
        <w:adjustRightInd w:val="0"/>
        <w:snapToGrid w:val="0"/>
        <w:spacing w:before="0" w:beforeAutospacing="0" w:after="0" w:afterAutospacing="0" w:line="420" w:lineRule="exact"/>
        <w:ind w:firstLine="360" w:firstLineChars="150"/>
      </w:pPr>
      <w:r>
        <w:rPr>
          <w:rFonts w:hint="eastAsia"/>
        </w:rPr>
        <w:t>（8）不符合法律、法规、规章和政府采购监管机构规定的其他条件的。</w:t>
      </w:r>
    </w:p>
    <w:p w14:paraId="01E824C1">
      <w:pPr>
        <w:pStyle w:val="19"/>
        <w:adjustRightInd w:val="0"/>
        <w:snapToGrid w:val="0"/>
        <w:spacing w:before="0" w:beforeAutospacing="0" w:after="0" w:afterAutospacing="0" w:line="420" w:lineRule="exact"/>
        <w:ind w:firstLine="360" w:firstLineChars="150"/>
      </w:pPr>
      <w:r>
        <w:rPr>
          <w:rFonts w:hint="eastAsia"/>
        </w:rPr>
        <w:t>5、质疑人对采购代理机构或采购人的答复不满意，以及采购代理机构或采购人未在规定时间内做出答复的，可以在答复期满后15个工作日内向政府采购监管机构提出投诉。</w:t>
      </w:r>
    </w:p>
    <w:p w14:paraId="160CC271">
      <w:pPr>
        <w:pStyle w:val="19"/>
        <w:adjustRightInd w:val="0"/>
        <w:snapToGrid w:val="0"/>
        <w:spacing w:before="0" w:beforeAutospacing="0" w:after="0" w:afterAutospacing="0" w:line="420" w:lineRule="exact"/>
        <w:ind w:firstLine="360" w:firstLineChars="150"/>
      </w:pPr>
      <w:r>
        <w:rPr>
          <w:rFonts w:hint="eastAsia"/>
        </w:rPr>
        <w:t>6、供应商投诉的事项不得超出已质疑事项的范围。</w:t>
      </w:r>
    </w:p>
    <w:p w14:paraId="54EF4251">
      <w:pPr>
        <w:pStyle w:val="19"/>
        <w:adjustRightInd w:val="0"/>
        <w:snapToGrid w:val="0"/>
        <w:spacing w:before="0" w:beforeAutospacing="0" w:after="0" w:afterAutospacing="0" w:line="420" w:lineRule="exact"/>
        <w:ind w:firstLine="360" w:firstLineChars="150"/>
      </w:pPr>
      <w:r>
        <w:rPr>
          <w:rFonts w:hint="eastAsia"/>
        </w:rPr>
        <w:t>7、对捏造事实、提供虚假材料进行质疑、投诉的行为予以严肃处理：</w:t>
      </w:r>
    </w:p>
    <w:p w14:paraId="7D5FE728">
      <w:pPr>
        <w:pStyle w:val="19"/>
        <w:adjustRightInd w:val="0"/>
        <w:snapToGrid w:val="0"/>
        <w:spacing w:before="0" w:beforeAutospacing="0" w:after="0" w:afterAutospacing="0" w:line="420" w:lineRule="exact"/>
        <w:ind w:firstLine="360" w:firstLineChars="150"/>
      </w:pPr>
      <w:r>
        <w:rPr>
          <w:rFonts w:hint="eastAsia"/>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63F52C48">
      <w:pPr>
        <w:pStyle w:val="19"/>
        <w:adjustRightInd w:val="0"/>
        <w:snapToGrid w:val="0"/>
        <w:spacing w:before="0" w:beforeAutospacing="0" w:after="0" w:afterAutospacing="0" w:line="420" w:lineRule="exact"/>
        <w:ind w:firstLine="360" w:firstLineChars="150"/>
      </w:pPr>
      <w:r>
        <w:rPr>
          <w:rFonts w:hint="eastAsia"/>
        </w:rPr>
        <w:t>8、对捏造事实诬告陷害他人、诽谤他人的法律适用：</w:t>
      </w:r>
    </w:p>
    <w:p w14:paraId="27D7A176">
      <w:pPr>
        <w:pStyle w:val="19"/>
        <w:adjustRightInd w:val="0"/>
        <w:snapToGrid w:val="0"/>
        <w:spacing w:before="0" w:beforeAutospacing="0" w:after="0" w:afterAutospacing="0" w:line="420" w:lineRule="exact"/>
        <w:ind w:firstLine="360" w:firstLineChars="150"/>
      </w:pPr>
      <w:r>
        <w:rPr>
          <w:rFonts w:hint="eastAsia"/>
        </w:rPr>
        <w:t>《中华人民共和国刑法》第243条【诬告陷害罪】捏造事实诬告陷害他人，意图使他人受刑事追究，情节严重的，处三年以下有期徒刑、拘役或者管制；造成严重后果的，处三年以上十年以下有期徒刑。</w:t>
      </w:r>
    </w:p>
    <w:p w14:paraId="4CA647B1">
      <w:pPr>
        <w:pStyle w:val="19"/>
        <w:adjustRightInd w:val="0"/>
        <w:snapToGrid w:val="0"/>
        <w:spacing w:before="0" w:beforeAutospacing="0" w:after="0" w:afterAutospacing="0" w:line="420" w:lineRule="exact"/>
        <w:ind w:firstLine="360" w:firstLineChars="150"/>
      </w:pPr>
      <w:r>
        <w:rPr>
          <w:rFonts w:hint="eastAsia"/>
        </w:rPr>
        <w:t>《中华人民共和国刑法》第246条【侮辱罪、诽谤罪】以暴力或者其他方法公然侮辱他人或者捏造事实诽谤他人，情节严重的，处三年以下有期徒刑、拘役、管制或者剥夺政治权利。</w:t>
      </w:r>
    </w:p>
    <w:p w14:paraId="134582F7">
      <w:pPr>
        <w:pStyle w:val="19"/>
        <w:adjustRightInd w:val="0"/>
        <w:snapToGrid w:val="0"/>
        <w:spacing w:before="0" w:beforeAutospacing="0" w:after="0" w:afterAutospacing="0" w:line="420" w:lineRule="exact"/>
        <w:ind w:firstLine="360" w:firstLineChars="150"/>
      </w:pPr>
      <w:r>
        <w:rPr>
          <w:rFonts w:hint="eastAsia"/>
        </w:rPr>
        <w:t>9、质疑函递交地址：</w:t>
      </w:r>
      <w:r>
        <w:rPr>
          <w:rFonts w:hint="eastAsia" w:ascii="宋体" w:hAnsi="宋体" w:eastAsia="宋体" w:cs="宋体"/>
          <w:i w:val="0"/>
          <w:caps w:val="0"/>
          <w:color w:val="333333"/>
          <w:spacing w:val="0"/>
          <w:sz w:val="24"/>
          <w:szCs w:val="24"/>
          <w:shd w:val="clear" w:color="auto" w:fill="FFFFFF"/>
          <w:vertAlign w:val="baseline"/>
        </w:rPr>
        <w:t>榆林市高新区安居路14号金叶小区一楼商铺</w:t>
      </w:r>
    </w:p>
    <w:p w14:paraId="3DB4EB5B">
      <w:pPr>
        <w:pStyle w:val="19"/>
        <w:adjustRightInd w:val="0"/>
        <w:snapToGrid w:val="0"/>
        <w:spacing w:before="0" w:beforeAutospacing="0" w:after="0" w:afterAutospacing="0" w:line="420" w:lineRule="exact"/>
        <w:ind w:firstLine="360" w:firstLineChars="150"/>
        <w:rPr>
          <w:rFonts w:ascii="Calibri" w:hAnsi="Calibri"/>
        </w:rPr>
      </w:pPr>
      <w:r>
        <w:rPr>
          <w:rFonts w:hint="eastAsia" w:ascii="Calibri" w:hAnsi="Calibri"/>
        </w:rPr>
        <w:t>联系人：纪瑜</w:t>
      </w:r>
    </w:p>
    <w:p w14:paraId="1348E38E">
      <w:pPr>
        <w:pStyle w:val="19"/>
        <w:adjustRightInd w:val="0"/>
        <w:snapToGrid w:val="0"/>
        <w:spacing w:before="0" w:beforeAutospacing="0" w:after="0" w:afterAutospacing="0" w:line="420" w:lineRule="exact"/>
        <w:ind w:firstLine="360" w:firstLineChars="150"/>
        <w:rPr>
          <w:rFonts w:ascii="Calibri" w:hAnsi="Calibri"/>
        </w:rPr>
      </w:pPr>
      <w:r>
        <w:rPr>
          <w:rFonts w:hint="eastAsia" w:ascii="Calibri" w:hAnsi="Calibri"/>
        </w:rPr>
        <w:t>联系方式：0912-3448777</w:t>
      </w:r>
    </w:p>
    <w:bookmarkEnd w:id="273"/>
    <w:bookmarkEnd w:id="274"/>
    <w:bookmarkEnd w:id="275"/>
    <w:bookmarkEnd w:id="276"/>
    <w:bookmarkEnd w:id="277"/>
    <w:bookmarkEnd w:id="278"/>
    <w:bookmarkEnd w:id="279"/>
    <w:bookmarkEnd w:id="280"/>
    <w:bookmarkEnd w:id="281"/>
    <w:bookmarkEnd w:id="282"/>
    <w:bookmarkEnd w:id="283"/>
    <w:p w14:paraId="2DDCB407">
      <w:pPr>
        <w:pStyle w:val="2"/>
        <w:spacing w:line="240" w:lineRule="auto"/>
        <w:jc w:val="center"/>
        <w:rPr>
          <w:rFonts w:ascii="宋体" w:hAnsi="宋体" w:cs="仿宋_GB2312"/>
          <w:sz w:val="36"/>
          <w:szCs w:val="22"/>
        </w:rPr>
        <w:sectPr>
          <w:headerReference r:id="rId8" w:type="default"/>
          <w:footerReference r:id="rId9" w:type="default"/>
          <w:pgSz w:w="11906" w:h="16838"/>
          <w:pgMar w:top="1440" w:right="1800" w:bottom="1440" w:left="1800" w:header="851" w:footer="992" w:gutter="0"/>
          <w:cols w:space="720" w:num="1"/>
          <w:docGrid w:type="lines" w:linePitch="312" w:charSpace="0"/>
        </w:sectPr>
      </w:pPr>
      <w:bookmarkStart w:id="292" w:name="_Toc24136"/>
      <w:bookmarkStart w:id="293" w:name="_Toc18524"/>
    </w:p>
    <w:p w14:paraId="017E4321">
      <w:pPr>
        <w:pStyle w:val="2"/>
        <w:spacing w:line="240" w:lineRule="auto"/>
        <w:jc w:val="center"/>
        <w:rPr>
          <w:rFonts w:ascii="宋体" w:hAnsi="宋体" w:cs="宋体"/>
          <w:sz w:val="24"/>
          <w:szCs w:val="24"/>
        </w:rPr>
      </w:pPr>
      <w:bookmarkStart w:id="294" w:name="_Toc26946"/>
      <w:r>
        <w:rPr>
          <w:rFonts w:hint="eastAsia" w:ascii="宋体" w:hAnsi="宋体" w:cs="仿宋_GB2312"/>
          <w:sz w:val="36"/>
          <w:szCs w:val="22"/>
        </w:rPr>
        <w:t xml:space="preserve">第四部分   </w:t>
      </w:r>
      <w:r>
        <w:rPr>
          <w:rFonts w:hint="eastAsia" w:ascii="宋体" w:hAnsi="宋体" w:cs="仿宋_GB2312"/>
          <w:bCs/>
          <w:sz w:val="36"/>
          <w:szCs w:val="22"/>
        </w:rPr>
        <w:t>政府采购合同</w:t>
      </w:r>
      <w:bookmarkEnd w:id="294"/>
      <w:bookmarkStart w:id="295" w:name="_Toc3964"/>
    </w:p>
    <w:p w14:paraId="087D6B3B">
      <w:pPr>
        <w:spacing w:line="360" w:lineRule="auto"/>
        <w:jc w:val="center"/>
        <w:rPr>
          <w:rFonts w:hint="eastAsia" w:ascii="宋体" w:hAnsi="宋体"/>
          <w:b/>
          <w:sz w:val="24"/>
        </w:rPr>
      </w:pPr>
      <w:r>
        <w:rPr>
          <w:rFonts w:hint="eastAsia"/>
          <w:b/>
        </w:rPr>
        <w:t>（此合同只作为参考，最终签订的合同以采购人确定的合同内容为准。）</w:t>
      </w:r>
    </w:p>
    <w:p w14:paraId="50FA5372">
      <w:pPr>
        <w:adjustRightInd w:val="0"/>
        <w:snapToGrid w:val="0"/>
        <w:spacing w:line="520" w:lineRule="exact"/>
        <w:ind w:firstLine="482" w:firstLineChars="200"/>
        <w:rPr>
          <w:rFonts w:hint="eastAsia" w:ascii="宋体" w:hAnsi="宋体"/>
          <w:b/>
          <w:sz w:val="24"/>
        </w:rPr>
      </w:pPr>
      <w:r>
        <w:rPr>
          <w:rFonts w:hint="eastAsia" w:ascii="宋体" w:hAnsi="宋体"/>
          <w:b/>
          <w:sz w:val="24"/>
        </w:rPr>
        <w:t>采购人（全称）：</w:t>
      </w:r>
      <w:r>
        <w:rPr>
          <w:rFonts w:hint="eastAsia" w:ascii="宋体" w:hAnsi="宋体"/>
          <w:b/>
          <w:sz w:val="24"/>
          <w:u w:val="single"/>
        </w:rPr>
        <w:t xml:space="preserve">                                      </w:t>
      </w:r>
    </w:p>
    <w:p w14:paraId="3B63D214">
      <w:pPr>
        <w:adjustRightInd w:val="0"/>
        <w:snapToGrid w:val="0"/>
        <w:spacing w:line="520" w:lineRule="exact"/>
        <w:ind w:firstLine="482" w:firstLineChars="200"/>
        <w:rPr>
          <w:rFonts w:hint="eastAsia" w:ascii="宋体" w:hAnsi="宋体"/>
          <w:sz w:val="24"/>
        </w:rPr>
      </w:pPr>
      <w:r>
        <w:rPr>
          <w:rFonts w:hint="eastAsia" w:ascii="宋体" w:hAnsi="宋体"/>
          <w:b/>
          <w:sz w:val="24"/>
        </w:rPr>
        <w:t>供应商（全称）：</w:t>
      </w:r>
      <w:r>
        <w:rPr>
          <w:rFonts w:hint="eastAsia" w:ascii="宋体" w:hAnsi="宋体"/>
          <w:b/>
          <w:sz w:val="24"/>
          <w:u w:val="single"/>
        </w:rPr>
        <w:t xml:space="preserve">                                   </w:t>
      </w:r>
      <w:r>
        <w:rPr>
          <w:rFonts w:hint="eastAsia" w:ascii="宋体" w:hAnsi="宋体"/>
          <w:sz w:val="24"/>
          <w:u w:val="single"/>
        </w:rPr>
        <w:t xml:space="preserve">   </w:t>
      </w:r>
    </w:p>
    <w:p w14:paraId="2B3CF057">
      <w:pPr>
        <w:adjustRightInd w:val="0"/>
        <w:snapToGrid w:val="0"/>
        <w:spacing w:line="520" w:lineRule="exact"/>
        <w:ind w:firstLine="480" w:firstLineChars="200"/>
        <w:rPr>
          <w:rFonts w:hint="eastAsia" w:ascii="宋体" w:hAnsi="宋体"/>
          <w:sz w:val="24"/>
          <w:u w:val="single"/>
        </w:rPr>
      </w:pPr>
      <w:r>
        <w:rPr>
          <w:rFonts w:hint="eastAsia" w:ascii="宋体" w:hAnsi="宋体"/>
          <w:sz w:val="24"/>
        </w:rPr>
        <w:t>根据《</w:t>
      </w:r>
      <w:r>
        <w:rPr>
          <w:rFonts w:hint="eastAsia" w:ascii="宋体" w:hAnsi="宋体"/>
          <w:sz w:val="24"/>
          <w:lang w:eastAsia="zh-CN"/>
        </w:rPr>
        <w:t>中华人民共和国民法典</w:t>
      </w:r>
      <w:r>
        <w:rPr>
          <w:rFonts w:hint="eastAsia" w:ascii="宋体" w:hAnsi="宋体"/>
          <w:sz w:val="24"/>
        </w:rPr>
        <w:t>》及其他有关法律、法规，遵循平等、自愿、公平和诚信的原则，双方就下述项目范围与相关服务事项协商一致，订立本合同。</w:t>
      </w:r>
    </w:p>
    <w:p w14:paraId="6A8DE51E">
      <w:pPr>
        <w:adjustRightInd w:val="0"/>
        <w:snapToGrid w:val="0"/>
        <w:spacing w:line="520" w:lineRule="exact"/>
        <w:rPr>
          <w:rFonts w:hint="eastAsia" w:ascii="宋体" w:hAnsi="宋体"/>
          <w:b/>
          <w:sz w:val="24"/>
        </w:rPr>
      </w:pPr>
      <w:r>
        <w:rPr>
          <w:rFonts w:hint="eastAsia" w:ascii="宋体" w:hAnsi="宋体"/>
          <w:b/>
          <w:sz w:val="24"/>
        </w:rPr>
        <w:t>一、项目概况</w:t>
      </w:r>
    </w:p>
    <w:p w14:paraId="6E8666FB">
      <w:pPr>
        <w:adjustRightInd w:val="0"/>
        <w:snapToGrid w:val="0"/>
        <w:spacing w:line="520" w:lineRule="exact"/>
        <w:ind w:firstLine="475" w:firstLineChars="198"/>
        <w:rPr>
          <w:rFonts w:hint="eastAsia" w:ascii="宋体" w:hAnsi="宋体"/>
          <w:sz w:val="24"/>
        </w:rPr>
      </w:pPr>
      <w:r>
        <w:rPr>
          <w:rFonts w:hint="eastAsia" w:ascii="宋体" w:hAnsi="宋体"/>
          <w:sz w:val="24"/>
        </w:rPr>
        <w:t>1. 项目名称：</w:t>
      </w:r>
      <w:r>
        <w:rPr>
          <w:rFonts w:hint="eastAsia" w:ascii="宋体" w:hAnsi="宋体"/>
          <w:sz w:val="24"/>
          <w:u w:val="single"/>
        </w:rPr>
        <w:t xml:space="preserve">                                         </w:t>
      </w:r>
      <w:r>
        <w:rPr>
          <w:rFonts w:hint="eastAsia" w:ascii="宋体" w:hAnsi="宋体"/>
          <w:sz w:val="24"/>
        </w:rPr>
        <w:t>；</w:t>
      </w:r>
    </w:p>
    <w:p w14:paraId="11D1CAD2">
      <w:pPr>
        <w:adjustRightInd w:val="0"/>
        <w:snapToGrid w:val="0"/>
        <w:spacing w:line="520" w:lineRule="exact"/>
        <w:ind w:firstLine="475" w:firstLineChars="198"/>
        <w:rPr>
          <w:rFonts w:hint="eastAsia" w:ascii="宋体" w:hAnsi="宋体"/>
          <w:sz w:val="24"/>
        </w:rPr>
      </w:pPr>
      <w:r>
        <w:rPr>
          <w:rFonts w:hint="eastAsia" w:ascii="宋体" w:hAnsi="宋体"/>
          <w:sz w:val="24"/>
        </w:rPr>
        <w:t>2. 项目地点：</w:t>
      </w:r>
      <w:r>
        <w:rPr>
          <w:rFonts w:hint="eastAsia" w:ascii="宋体" w:hAnsi="宋体"/>
          <w:sz w:val="24"/>
          <w:u w:val="single"/>
        </w:rPr>
        <w:t xml:space="preserve">  采购人指定地点                         </w:t>
      </w:r>
      <w:r>
        <w:rPr>
          <w:rFonts w:hint="eastAsia" w:ascii="宋体" w:hAnsi="宋体"/>
          <w:sz w:val="24"/>
        </w:rPr>
        <w:t>；</w:t>
      </w:r>
    </w:p>
    <w:p w14:paraId="0E146449">
      <w:pPr>
        <w:adjustRightInd w:val="0"/>
        <w:snapToGrid w:val="0"/>
        <w:spacing w:line="520" w:lineRule="exact"/>
        <w:ind w:firstLine="475" w:firstLineChars="198"/>
        <w:jc w:val="left"/>
        <w:rPr>
          <w:rFonts w:hint="eastAsia" w:ascii="宋体" w:hAnsi="宋体"/>
          <w:sz w:val="24"/>
        </w:rPr>
      </w:pPr>
      <w:r>
        <w:rPr>
          <w:rFonts w:hint="eastAsia" w:ascii="宋体" w:hAnsi="宋体"/>
          <w:sz w:val="24"/>
        </w:rPr>
        <w:t>3. 项目</w:t>
      </w:r>
      <w:r>
        <w:rPr>
          <w:rFonts w:hint="eastAsia" w:ascii="宋体" w:hAnsi="宋体"/>
          <w:kern w:val="0"/>
          <w:sz w:val="24"/>
        </w:rPr>
        <w:t>内容</w:t>
      </w:r>
      <w:r>
        <w:rPr>
          <w:rFonts w:hint="eastAsia" w:ascii="宋体" w:hAnsi="宋体"/>
          <w:sz w:val="24"/>
        </w:rPr>
        <w:t>：</w:t>
      </w:r>
      <w:r>
        <w:rPr>
          <w:rFonts w:hint="eastAsia" w:ascii="宋体" w:hAnsi="宋体"/>
          <w:sz w:val="24"/>
          <w:u w:val="single"/>
        </w:rPr>
        <w:t xml:space="preserve">                                         </w:t>
      </w:r>
      <w:r>
        <w:rPr>
          <w:rFonts w:hint="eastAsia" w:ascii="宋体" w:hAnsi="宋体"/>
          <w:sz w:val="24"/>
        </w:rPr>
        <w:t>。</w:t>
      </w:r>
    </w:p>
    <w:p w14:paraId="06CD40BF">
      <w:pPr>
        <w:adjustRightInd w:val="0"/>
        <w:snapToGrid w:val="0"/>
        <w:spacing w:line="520" w:lineRule="exact"/>
        <w:rPr>
          <w:rFonts w:hint="eastAsia" w:ascii="宋体" w:hAnsi="宋体"/>
          <w:b/>
          <w:sz w:val="24"/>
        </w:rPr>
      </w:pPr>
      <w:r>
        <w:rPr>
          <w:rFonts w:hint="eastAsia" w:ascii="宋体" w:hAnsi="宋体"/>
          <w:b/>
          <w:sz w:val="24"/>
        </w:rPr>
        <w:t>二、组成本合同的文件</w:t>
      </w:r>
    </w:p>
    <w:p w14:paraId="22C5D96C">
      <w:pPr>
        <w:adjustRightInd w:val="0"/>
        <w:snapToGrid w:val="0"/>
        <w:spacing w:line="520" w:lineRule="exact"/>
        <w:ind w:firstLine="475" w:firstLineChars="198"/>
        <w:rPr>
          <w:rFonts w:hint="eastAsia" w:ascii="宋体" w:hAnsi="宋体"/>
          <w:sz w:val="24"/>
        </w:rPr>
      </w:pPr>
      <w:r>
        <w:rPr>
          <w:rFonts w:hint="eastAsia" w:ascii="宋体" w:hAnsi="宋体"/>
          <w:sz w:val="24"/>
        </w:rPr>
        <w:t>1. 协议书；</w:t>
      </w:r>
    </w:p>
    <w:p w14:paraId="7947C593">
      <w:pPr>
        <w:adjustRightInd w:val="0"/>
        <w:snapToGrid w:val="0"/>
        <w:spacing w:line="520" w:lineRule="exact"/>
        <w:ind w:firstLine="475" w:firstLineChars="198"/>
        <w:rPr>
          <w:rFonts w:hint="eastAsia" w:ascii="宋体" w:hAnsi="宋体"/>
          <w:sz w:val="24"/>
        </w:rPr>
      </w:pPr>
      <w:r>
        <w:rPr>
          <w:rFonts w:hint="eastAsia" w:ascii="宋体" w:hAnsi="宋体"/>
          <w:sz w:val="24"/>
        </w:rPr>
        <w:t>2. 竞争性谈判响应文件、澄清、成交通知书；</w:t>
      </w:r>
    </w:p>
    <w:p w14:paraId="56E10CAA">
      <w:pPr>
        <w:adjustRightInd w:val="0"/>
        <w:snapToGrid w:val="0"/>
        <w:spacing w:line="520" w:lineRule="exact"/>
        <w:ind w:firstLine="480" w:firstLineChars="200"/>
        <w:rPr>
          <w:rFonts w:hint="eastAsia" w:ascii="宋体" w:hAnsi="宋体"/>
          <w:sz w:val="24"/>
        </w:rPr>
      </w:pPr>
      <w:r>
        <w:rPr>
          <w:rFonts w:hint="eastAsia" w:ascii="宋体" w:hAnsi="宋体"/>
          <w:sz w:val="24"/>
        </w:rPr>
        <w:t>3. 相关服务建议书；</w:t>
      </w:r>
    </w:p>
    <w:p w14:paraId="2A8629D6">
      <w:pPr>
        <w:adjustRightInd w:val="0"/>
        <w:snapToGrid w:val="0"/>
        <w:spacing w:line="520" w:lineRule="exact"/>
        <w:rPr>
          <w:rFonts w:hint="eastAsia" w:ascii="宋体" w:hAnsi="宋体"/>
          <w:sz w:val="24"/>
        </w:rPr>
      </w:pPr>
      <w:r>
        <w:rPr>
          <w:rFonts w:hint="eastAsia" w:ascii="宋体" w:hAnsi="宋体"/>
          <w:sz w:val="24"/>
        </w:rPr>
        <w:t xml:space="preserve">    4. 附录，即：附表内相关服务的范围和内容；</w:t>
      </w:r>
    </w:p>
    <w:p w14:paraId="5DE99E06">
      <w:pPr>
        <w:adjustRightInd w:val="0"/>
        <w:snapToGrid w:val="0"/>
        <w:spacing w:line="520" w:lineRule="exact"/>
        <w:ind w:firstLine="475" w:firstLineChars="198"/>
        <w:rPr>
          <w:rFonts w:hint="eastAsia" w:ascii="宋体" w:hAnsi="宋体"/>
          <w:sz w:val="24"/>
        </w:rPr>
      </w:pPr>
      <w:r>
        <w:rPr>
          <w:rFonts w:hint="eastAsia" w:ascii="宋体" w:hAnsi="宋体"/>
          <w:sz w:val="24"/>
        </w:rPr>
        <w:t>本合同签订后，双方依法签订的补充协议、备忘录也是本合同文件的组成部分。</w:t>
      </w:r>
    </w:p>
    <w:p w14:paraId="6069B32B">
      <w:pPr>
        <w:adjustRightInd w:val="0"/>
        <w:snapToGrid w:val="0"/>
        <w:spacing w:line="520" w:lineRule="exact"/>
        <w:rPr>
          <w:rFonts w:hint="eastAsia" w:ascii="宋体" w:hAnsi="宋体"/>
          <w:b/>
          <w:sz w:val="24"/>
        </w:rPr>
      </w:pPr>
      <w:r>
        <w:rPr>
          <w:rFonts w:hint="eastAsia" w:ascii="宋体" w:hAnsi="宋体"/>
          <w:b/>
          <w:sz w:val="24"/>
        </w:rPr>
        <w:t>三、签约金额</w:t>
      </w:r>
    </w:p>
    <w:p w14:paraId="66826B31">
      <w:pPr>
        <w:adjustRightInd w:val="0"/>
        <w:snapToGrid w:val="0"/>
        <w:spacing w:line="520" w:lineRule="exact"/>
        <w:ind w:firstLine="475" w:firstLineChars="198"/>
        <w:rPr>
          <w:rFonts w:hint="eastAsia" w:ascii="宋体" w:hAnsi="宋体"/>
          <w:sz w:val="24"/>
        </w:rPr>
      </w:pPr>
      <w:r>
        <w:rPr>
          <w:rFonts w:hint="eastAsia" w:ascii="宋体" w:hAnsi="宋体"/>
          <w:sz w:val="24"/>
        </w:rPr>
        <w:t>签约金额（大写）：</w:t>
      </w:r>
      <w:r>
        <w:rPr>
          <w:rFonts w:hint="eastAsia" w:ascii="宋体" w:hAnsi="宋体"/>
          <w:sz w:val="24"/>
          <w:u w:val="single"/>
        </w:rPr>
        <w:t xml:space="preserve">                            </w:t>
      </w:r>
      <w:r>
        <w:rPr>
          <w:rFonts w:hint="eastAsia" w:ascii="宋体" w:hAnsi="宋体"/>
          <w:sz w:val="24"/>
        </w:rPr>
        <w:t>（¥        ）。</w:t>
      </w:r>
    </w:p>
    <w:p w14:paraId="4AB318CE">
      <w:pPr>
        <w:adjustRightInd w:val="0"/>
        <w:snapToGrid w:val="0"/>
        <w:spacing w:line="520" w:lineRule="exact"/>
        <w:ind w:firstLine="475" w:firstLineChars="198"/>
        <w:rPr>
          <w:rFonts w:hint="eastAsia" w:ascii="宋体" w:hAnsi="宋体"/>
          <w:sz w:val="24"/>
        </w:rPr>
      </w:pPr>
      <w:r>
        <w:rPr>
          <w:rFonts w:hint="eastAsia" w:ascii="宋体" w:hAnsi="宋体"/>
          <w:sz w:val="24"/>
        </w:rPr>
        <w:t>合同单价一次包死，不受市场价变化或实际工作量变化的影响，合同价格为含税价，供应商（成交人）提供服务所发生的一切税（包括增值税）费等都已包含于合同价款中。</w:t>
      </w:r>
    </w:p>
    <w:p w14:paraId="1711852B">
      <w:pPr>
        <w:numPr>
          <w:ilvl w:val="0"/>
          <w:numId w:val="5"/>
        </w:numPr>
        <w:adjustRightInd w:val="0"/>
        <w:snapToGrid w:val="0"/>
        <w:spacing w:line="520" w:lineRule="exact"/>
        <w:ind w:firstLine="477" w:firstLineChars="198"/>
        <w:rPr>
          <w:rFonts w:hint="eastAsia" w:ascii="宋体" w:hAnsi="宋体"/>
          <w:b/>
          <w:sz w:val="24"/>
        </w:rPr>
      </w:pPr>
      <w:r>
        <w:rPr>
          <w:rFonts w:hint="eastAsia" w:ascii="宋体" w:hAnsi="宋体"/>
          <w:b/>
          <w:sz w:val="24"/>
        </w:rPr>
        <w:t>结算方式：</w:t>
      </w:r>
    </w:p>
    <w:p w14:paraId="7FD0163C">
      <w:pPr>
        <w:adjustRightInd w:val="0"/>
        <w:snapToGrid w:val="0"/>
        <w:spacing w:line="520" w:lineRule="exact"/>
        <w:ind w:firstLine="480" w:firstLineChars="200"/>
        <w:rPr>
          <w:rFonts w:hint="eastAsia" w:ascii="宋体" w:hAnsi="宋体"/>
          <w:sz w:val="24"/>
        </w:rPr>
      </w:pPr>
      <w:r>
        <w:rPr>
          <w:rFonts w:hint="eastAsia" w:ascii="宋体" w:hAnsi="宋体"/>
          <w:sz w:val="24"/>
        </w:rPr>
        <w:t>（1）结算单位：由采购人以人民币负责结算，在付款前，</w:t>
      </w:r>
      <w:r>
        <w:rPr>
          <w:rFonts w:hint="eastAsia" w:hAnsi="宋体"/>
          <w:sz w:val="24"/>
        </w:rPr>
        <w:t>供应商</w:t>
      </w:r>
      <w:r>
        <w:rPr>
          <w:rFonts w:hint="eastAsia" w:ascii="宋体" w:hAnsi="宋体"/>
          <w:sz w:val="24"/>
        </w:rPr>
        <w:t>必须开具发票给采购人。</w:t>
      </w:r>
    </w:p>
    <w:p w14:paraId="1DDFAA3E">
      <w:pPr>
        <w:spacing w:line="360" w:lineRule="auto"/>
        <w:ind w:firstLine="480" w:firstLineChars="200"/>
        <w:rPr>
          <w:rFonts w:hint="eastAsia" w:ascii="宋体" w:hAnsi="宋体"/>
          <w:color w:val="auto"/>
          <w:sz w:val="24"/>
        </w:rPr>
      </w:pPr>
      <w:r>
        <w:rPr>
          <w:rFonts w:hint="eastAsia" w:ascii="宋体" w:hAnsi="宋体"/>
          <w:sz w:val="24"/>
        </w:rPr>
        <w:t>（2）</w:t>
      </w:r>
      <w:r>
        <w:rPr>
          <w:rFonts w:hint="eastAsia" w:ascii="宋体" w:hAnsi="宋体"/>
          <w:sz w:val="24"/>
          <w:szCs w:val="24"/>
        </w:rPr>
        <w:t>付款方式：</w:t>
      </w:r>
    </w:p>
    <w:p w14:paraId="6981F267">
      <w:pPr>
        <w:adjustRightInd w:val="0"/>
        <w:snapToGrid w:val="0"/>
        <w:spacing w:line="520" w:lineRule="exact"/>
        <w:rPr>
          <w:rFonts w:hint="eastAsia" w:ascii="宋体" w:hAnsi="宋体"/>
          <w:b/>
          <w:sz w:val="24"/>
        </w:rPr>
      </w:pPr>
      <w:r>
        <w:rPr>
          <w:rFonts w:hint="eastAsia" w:ascii="宋体" w:hAnsi="宋体"/>
          <w:b/>
          <w:sz w:val="24"/>
        </w:rPr>
        <w:t>五、期限</w:t>
      </w:r>
    </w:p>
    <w:p w14:paraId="58D7E95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项目总周期</w:t>
      </w:r>
      <w:r>
        <w:rPr>
          <w:rFonts w:hint="eastAsia" w:ascii="宋体" w:hAnsi="宋体" w:eastAsia="宋体" w:cs="宋体"/>
          <w:color w:val="auto"/>
          <w:sz w:val="24"/>
          <w:szCs w:val="24"/>
        </w:rPr>
        <w:t>：</w:t>
      </w:r>
    </w:p>
    <w:p w14:paraId="65FBDF0C">
      <w:pPr>
        <w:adjustRightInd w:val="0"/>
        <w:snapToGrid w:val="0"/>
        <w:spacing w:line="520" w:lineRule="exact"/>
        <w:rPr>
          <w:rFonts w:hint="eastAsia" w:ascii="宋体" w:hAnsi="宋体"/>
          <w:b/>
          <w:sz w:val="24"/>
        </w:rPr>
      </w:pPr>
      <w:r>
        <w:rPr>
          <w:rFonts w:hint="eastAsia" w:ascii="宋体" w:hAnsi="宋体"/>
          <w:b/>
          <w:sz w:val="24"/>
        </w:rPr>
        <w:t>六、双方承诺</w:t>
      </w:r>
    </w:p>
    <w:p w14:paraId="34CAE82D">
      <w:pPr>
        <w:adjustRightInd w:val="0"/>
        <w:snapToGrid w:val="0"/>
        <w:spacing w:line="520" w:lineRule="exact"/>
        <w:ind w:firstLine="475" w:firstLineChars="198"/>
        <w:rPr>
          <w:rFonts w:hint="eastAsia" w:ascii="宋体" w:hAnsi="宋体"/>
          <w:sz w:val="24"/>
        </w:rPr>
      </w:pPr>
      <w:r>
        <w:rPr>
          <w:rFonts w:hint="eastAsia" w:ascii="宋体" w:hAnsi="宋体"/>
          <w:sz w:val="24"/>
        </w:rPr>
        <w:t>1. 供应商向采购人承诺，按照本合同约定提供相关服务。</w:t>
      </w:r>
    </w:p>
    <w:p w14:paraId="2F6FE63C">
      <w:pPr>
        <w:adjustRightInd w:val="0"/>
        <w:snapToGrid w:val="0"/>
        <w:spacing w:line="520" w:lineRule="exact"/>
        <w:ind w:firstLine="475" w:firstLineChars="198"/>
        <w:rPr>
          <w:rFonts w:hint="eastAsia" w:ascii="宋体" w:hAnsi="宋体"/>
          <w:sz w:val="24"/>
        </w:rPr>
      </w:pPr>
      <w:r>
        <w:rPr>
          <w:rFonts w:hint="eastAsia" w:ascii="宋体" w:hAnsi="宋体"/>
          <w:sz w:val="24"/>
        </w:rPr>
        <w:t>2. 采购人向供应商承诺，按照本合同约定支付服务款项。</w:t>
      </w:r>
    </w:p>
    <w:p w14:paraId="7C2ABA35">
      <w:pPr>
        <w:tabs>
          <w:tab w:val="left" w:pos="840"/>
        </w:tabs>
        <w:adjustRightInd w:val="0"/>
        <w:snapToGrid w:val="0"/>
        <w:spacing w:line="520" w:lineRule="exact"/>
        <w:rPr>
          <w:rFonts w:hint="eastAsia" w:ascii="宋体" w:hAnsi="宋体"/>
          <w:b/>
          <w:sz w:val="24"/>
        </w:rPr>
      </w:pPr>
      <w:r>
        <w:rPr>
          <w:rFonts w:hint="eastAsia" w:ascii="宋体" w:hAnsi="宋体"/>
          <w:b/>
          <w:sz w:val="24"/>
        </w:rPr>
        <w:t>七、内容及要求：</w:t>
      </w:r>
    </w:p>
    <w:p w14:paraId="5B52BAB3">
      <w:pPr>
        <w:tabs>
          <w:tab w:val="left" w:pos="840"/>
        </w:tabs>
        <w:adjustRightInd w:val="0"/>
        <w:snapToGrid w:val="0"/>
        <w:spacing w:line="520" w:lineRule="exact"/>
        <w:ind w:firstLine="480" w:firstLineChars="200"/>
        <w:rPr>
          <w:rFonts w:hint="eastAsia" w:ascii="宋体" w:hAnsi="宋体"/>
          <w:sz w:val="24"/>
        </w:rPr>
      </w:pPr>
      <w:r>
        <w:rPr>
          <w:rFonts w:hint="eastAsia" w:ascii="宋体" w:hAnsi="宋体"/>
          <w:sz w:val="24"/>
        </w:rPr>
        <w:t>即</w:t>
      </w:r>
      <w:r>
        <w:rPr>
          <w:rFonts w:hint="eastAsia" w:ascii="宋体" w:hAnsi="宋体"/>
          <w:sz w:val="24"/>
          <w:lang w:val="en-US" w:eastAsia="zh-CN"/>
        </w:rPr>
        <w:t>交货</w:t>
      </w:r>
      <w:r>
        <w:rPr>
          <w:rFonts w:hint="eastAsia" w:ascii="宋体" w:hAnsi="宋体"/>
          <w:sz w:val="24"/>
        </w:rPr>
        <w:t>内容与竞争性谈判响应文件、成交通知书等所指明的，或者与本合同所指明的服务内容相一致。（附清单）</w:t>
      </w:r>
    </w:p>
    <w:p w14:paraId="6FE44D98">
      <w:pPr>
        <w:adjustRightInd w:val="0"/>
        <w:snapToGrid w:val="0"/>
        <w:spacing w:line="520" w:lineRule="exact"/>
        <w:rPr>
          <w:rFonts w:hint="eastAsia" w:ascii="宋体" w:hAnsi="宋体"/>
          <w:b/>
          <w:sz w:val="24"/>
        </w:rPr>
      </w:pPr>
      <w:r>
        <w:rPr>
          <w:rFonts w:hint="eastAsia" w:ascii="宋体" w:hAnsi="宋体"/>
          <w:b/>
          <w:sz w:val="24"/>
        </w:rPr>
        <w:t>八、项目服务地点：</w:t>
      </w:r>
      <w:r>
        <w:rPr>
          <w:rFonts w:hint="eastAsia" w:ascii="宋体" w:hAnsi="宋体" w:cs="宋体"/>
          <w:sz w:val="24"/>
        </w:rPr>
        <w:t>采购人</w:t>
      </w:r>
      <w:r>
        <w:rPr>
          <w:rFonts w:hint="eastAsia" w:ascii="宋体" w:hAnsi="宋体" w:cs="宋体"/>
          <w:bCs/>
          <w:sz w:val="24"/>
        </w:rPr>
        <w:t>指定地点</w:t>
      </w:r>
      <w:r>
        <w:rPr>
          <w:rFonts w:hint="eastAsia" w:ascii="宋体" w:hAnsi="宋体"/>
          <w:sz w:val="24"/>
        </w:rPr>
        <w:t>。</w:t>
      </w:r>
    </w:p>
    <w:p w14:paraId="35A539CE">
      <w:pPr>
        <w:adjustRightInd w:val="0"/>
        <w:snapToGrid w:val="0"/>
        <w:spacing w:line="520" w:lineRule="exact"/>
        <w:rPr>
          <w:rFonts w:hint="eastAsia" w:ascii="宋体" w:hAnsi="宋体"/>
          <w:b/>
          <w:color w:val="000000"/>
          <w:sz w:val="24"/>
          <w:szCs w:val="24"/>
        </w:rPr>
      </w:pPr>
      <w:r>
        <w:rPr>
          <w:rFonts w:hint="eastAsia" w:ascii="宋体" w:hAnsi="宋体"/>
          <w:b/>
          <w:sz w:val="24"/>
        </w:rPr>
        <w:t>九、</w:t>
      </w:r>
      <w:r>
        <w:rPr>
          <w:rFonts w:hint="eastAsia" w:ascii="宋体" w:hAnsi="宋体"/>
          <w:b/>
          <w:color w:val="000000"/>
          <w:sz w:val="24"/>
          <w:szCs w:val="24"/>
        </w:rPr>
        <w:t>保密</w:t>
      </w:r>
    </w:p>
    <w:p w14:paraId="0348835B">
      <w:pPr>
        <w:adjustRightInd w:val="0"/>
        <w:snapToGrid w:val="0"/>
        <w:spacing w:line="520" w:lineRule="exact"/>
        <w:rPr>
          <w:rFonts w:hint="eastAsia" w:ascii="宋体" w:hAnsi="宋体"/>
          <w:sz w:val="24"/>
          <w:szCs w:val="24"/>
        </w:rPr>
      </w:pPr>
      <w:r>
        <w:rPr>
          <w:rFonts w:hint="eastAsia" w:ascii="宋体" w:hAnsi="宋体"/>
          <w:sz w:val="24"/>
          <w:szCs w:val="24"/>
        </w:rPr>
        <w:t>双方须对工作中了解到的使用单位技术、机密等进行严格保密，不得向他人泄漏。</w:t>
      </w:r>
    </w:p>
    <w:p w14:paraId="53186503">
      <w:pPr>
        <w:adjustRightInd w:val="0"/>
        <w:snapToGrid w:val="0"/>
        <w:spacing w:line="520" w:lineRule="exact"/>
        <w:rPr>
          <w:rFonts w:hint="eastAsia" w:ascii="宋体" w:hAnsi="宋体"/>
          <w:b/>
          <w:color w:val="000000"/>
          <w:sz w:val="24"/>
          <w:szCs w:val="24"/>
        </w:rPr>
      </w:pPr>
      <w:r>
        <w:rPr>
          <w:rFonts w:hint="eastAsia" w:ascii="宋体" w:hAnsi="宋体"/>
          <w:b/>
          <w:color w:val="000000"/>
          <w:sz w:val="24"/>
          <w:szCs w:val="24"/>
        </w:rPr>
        <w:t>十、知识产权</w:t>
      </w:r>
    </w:p>
    <w:p w14:paraId="37A9988E">
      <w:pPr>
        <w:adjustRightInd w:val="0"/>
        <w:snapToGrid w:val="0"/>
        <w:spacing w:line="520" w:lineRule="exact"/>
        <w:rPr>
          <w:rFonts w:hint="eastAsia" w:ascii="宋体" w:hAnsi="宋体"/>
          <w:sz w:val="24"/>
          <w:szCs w:val="24"/>
        </w:rPr>
      </w:pPr>
      <w:r>
        <w:rPr>
          <w:rFonts w:hint="eastAsia" w:ascii="宋体" w:hAnsi="宋体"/>
          <w:sz w:val="24"/>
          <w:szCs w:val="24"/>
        </w:rPr>
        <w:t>供应商应保证投标产品及服务不会出现因第三方提出侵犯其专利权、商标权或其它知识产权而引发法律或经济纠纷，否则由供应商承担全部责任。</w:t>
      </w:r>
      <w:r>
        <w:rPr>
          <w:rFonts w:ascii="宋体" w:hAnsi="宋体"/>
          <w:sz w:val="24"/>
          <w:szCs w:val="24"/>
        </w:rPr>
        <w:t>任何被</w:t>
      </w:r>
      <w:r>
        <w:rPr>
          <w:rFonts w:hint="eastAsia" w:ascii="宋体" w:hAnsi="宋体"/>
          <w:sz w:val="24"/>
          <w:szCs w:val="24"/>
        </w:rPr>
        <w:t>供应商</w:t>
      </w:r>
      <w:r>
        <w:rPr>
          <w:rFonts w:ascii="宋体" w:hAnsi="宋体"/>
          <w:sz w:val="24"/>
          <w:szCs w:val="24"/>
        </w:rPr>
        <w:t>用于未经授权的商业目的行为所造成的违约或侵权责任由</w:t>
      </w:r>
      <w:r>
        <w:rPr>
          <w:rFonts w:hint="eastAsia" w:ascii="宋体" w:hAnsi="宋体"/>
          <w:sz w:val="24"/>
          <w:szCs w:val="24"/>
        </w:rPr>
        <w:t>供应商</w:t>
      </w:r>
      <w:r>
        <w:rPr>
          <w:rFonts w:ascii="宋体" w:hAnsi="宋体"/>
          <w:sz w:val="24"/>
          <w:szCs w:val="24"/>
        </w:rPr>
        <w:t>承但。</w:t>
      </w:r>
    </w:p>
    <w:p w14:paraId="2223EA15">
      <w:pPr>
        <w:adjustRightInd w:val="0"/>
        <w:snapToGrid w:val="0"/>
        <w:spacing w:line="520" w:lineRule="exact"/>
        <w:rPr>
          <w:rFonts w:hint="eastAsia" w:ascii="宋体" w:hAnsi="宋体"/>
          <w:sz w:val="24"/>
        </w:rPr>
      </w:pPr>
      <w:r>
        <w:rPr>
          <w:rFonts w:hint="eastAsia" w:ascii="宋体" w:hAnsi="宋体"/>
          <w:b/>
          <w:sz w:val="24"/>
        </w:rPr>
        <w:t>十一、合同争议的解决：</w:t>
      </w:r>
      <w:r>
        <w:rPr>
          <w:rFonts w:hint="eastAsia" w:ascii="宋体" w:hAnsi="宋体"/>
          <w:sz w:val="24"/>
        </w:rPr>
        <w:t>合同执行中发生争议的，当事人双方应协商解决，协商达不成一致时，可向采购人住所地有管辖权的人民法院提请诉讼。</w:t>
      </w:r>
    </w:p>
    <w:p w14:paraId="657BA420">
      <w:pPr>
        <w:adjustRightInd w:val="0"/>
        <w:snapToGrid w:val="0"/>
        <w:spacing w:line="520" w:lineRule="exact"/>
        <w:rPr>
          <w:rFonts w:hint="eastAsia" w:ascii="宋体" w:hAnsi="宋体"/>
          <w:sz w:val="24"/>
        </w:rPr>
      </w:pPr>
      <w:r>
        <w:rPr>
          <w:rFonts w:hint="eastAsia" w:ascii="宋体" w:hAnsi="宋体"/>
          <w:b/>
          <w:sz w:val="24"/>
        </w:rPr>
        <w:t>十二、</w:t>
      </w:r>
      <w:r>
        <w:rPr>
          <w:rFonts w:hint="eastAsia" w:ascii="宋体" w:hAnsi="宋体"/>
          <w:sz w:val="24"/>
        </w:rPr>
        <w:t>在发生不可抗力情况下的应对措施和解决办法。</w:t>
      </w:r>
    </w:p>
    <w:p w14:paraId="6800F9BE">
      <w:pPr>
        <w:adjustRightInd w:val="0"/>
        <w:snapToGrid w:val="0"/>
        <w:spacing w:line="520" w:lineRule="exact"/>
        <w:rPr>
          <w:rFonts w:hint="eastAsia" w:ascii="宋体" w:hAnsi="宋体"/>
          <w:sz w:val="24"/>
        </w:rPr>
      </w:pPr>
      <w:r>
        <w:rPr>
          <w:rFonts w:hint="eastAsia" w:ascii="宋体" w:hAnsi="宋体"/>
          <w:b/>
          <w:sz w:val="24"/>
        </w:rPr>
        <w:t>十三、</w:t>
      </w:r>
      <w:r>
        <w:rPr>
          <w:rFonts w:hint="eastAsia" w:ascii="宋体" w:hAnsi="宋体"/>
          <w:sz w:val="24"/>
        </w:rPr>
        <w:t>合同一经签订，不得擅自变更、中止或者终止合同。对确需变更、调整或者中止、终止合同的，应按规定履行相应的手续。</w:t>
      </w:r>
    </w:p>
    <w:p w14:paraId="4E695973">
      <w:pPr>
        <w:adjustRightInd w:val="0"/>
        <w:snapToGrid w:val="0"/>
        <w:spacing w:line="520" w:lineRule="exact"/>
        <w:rPr>
          <w:rFonts w:hint="eastAsia" w:ascii="宋体" w:hAnsi="宋体"/>
          <w:sz w:val="24"/>
        </w:rPr>
      </w:pPr>
      <w:r>
        <w:rPr>
          <w:rFonts w:hint="eastAsia" w:ascii="宋体" w:hAnsi="宋体"/>
          <w:b/>
          <w:sz w:val="24"/>
        </w:rPr>
        <w:t>十四、违约责任：</w:t>
      </w:r>
      <w:r>
        <w:rPr>
          <w:rFonts w:hint="eastAsia" w:ascii="宋体" w:hAnsi="宋体"/>
          <w:sz w:val="24"/>
        </w:rPr>
        <w:t>依据《</w:t>
      </w:r>
      <w:r>
        <w:rPr>
          <w:rFonts w:hint="eastAsia" w:ascii="宋体" w:hAnsi="宋体"/>
          <w:sz w:val="24"/>
          <w:lang w:eastAsia="zh-CN"/>
        </w:rPr>
        <w:t>中华人民共和国民法典</w:t>
      </w:r>
      <w:r>
        <w:rPr>
          <w:rFonts w:hint="eastAsia" w:ascii="宋体" w:hAnsi="宋体"/>
          <w:sz w:val="24"/>
        </w:rPr>
        <w:t>》、《中华人民共和国政府采购法》的相关条款和本合同约定，成交供应商未全面履行合同义务或者发生违约，采购单位会同采购代理机构有权终止合同，依法向成交供应商进行经济索赔，并报请政府采购监督管理机关进行相应的行政处罚。采购单位违约的，应当赔偿给成交供应商造成的经济损失。</w:t>
      </w:r>
    </w:p>
    <w:p w14:paraId="4219C7D6">
      <w:pPr>
        <w:adjustRightInd w:val="0"/>
        <w:snapToGrid w:val="0"/>
        <w:spacing w:line="520" w:lineRule="exact"/>
        <w:rPr>
          <w:rFonts w:hint="eastAsia" w:ascii="宋体" w:hAnsi="宋体"/>
          <w:b/>
          <w:sz w:val="24"/>
        </w:rPr>
      </w:pPr>
      <w:r>
        <w:rPr>
          <w:rFonts w:hint="eastAsia" w:ascii="宋体" w:hAnsi="宋体"/>
          <w:b/>
          <w:sz w:val="24"/>
        </w:rPr>
        <w:t>十五、验收</w:t>
      </w:r>
    </w:p>
    <w:p w14:paraId="35EEAB33">
      <w:pPr>
        <w:adjustRightInd w:val="0"/>
        <w:snapToGrid w:val="0"/>
        <w:spacing w:line="520" w:lineRule="exact"/>
        <w:rPr>
          <w:rFonts w:hint="eastAsia" w:ascii="宋体" w:hAnsi="宋体"/>
          <w:sz w:val="24"/>
          <w:szCs w:val="22"/>
        </w:rPr>
      </w:pPr>
      <w:r>
        <w:rPr>
          <w:rFonts w:hint="eastAsia" w:ascii="宋体" w:hAnsi="宋体"/>
          <w:sz w:val="24"/>
          <w:szCs w:val="22"/>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谈判文件及响应文件、澄清、及国家相应的标准、规范等为依据。</w:t>
      </w:r>
    </w:p>
    <w:p w14:paraId="04018FE6">
      <w:pPr>
        <w:adjustRightInd w:val="0"/>
        <w:snapToGrid w:val="0"/>
        <w:spacing w:line="520" w:lineRule="exact"/>
        <w:rPr>
          <w:rFonts w:hint="eastAsia" w:ascii="宋体" w:hAnsi="宋体"/>
          <w:b/>
          <w:sz w:val="24"/>
          <w:szCs w:val="22"/>
        </w:rPr>
      </w:pPr>
      <w:r>
        <w:rPr>
          <w:rFonts w:hint="eastAsia" w:ascii="宋体" w:hAnsi="宋体"/>
          <w:b/>
          <w:sz w:val="24"/>
          <w:szCs w:val="22"/>
        </w:rPr>
        <w:t>十六、其他（在合同中具体明确）</w:t>
      </w:r>
    </w:p>
    <w:p w14:paraId="1AF7DB33">
      <w:pPr>
        <w:adjustRightInd w:val="0"/>
        <w:snapToGrid w:val="0"/>
        <w:spacing w:line="520" w:lineRule="exact"/>
        <w:rPr>
          <w:rFonts w:hint="eastAsia" w:ascii="宋体" w:hAnsi="宋体"/>
          <w:b/>
          <w:sz w:val="24"/>
        </w:rPr>
      </w:pPr>
      <w:r>
        <w:rPr>
          <w:rFonts w:hint="eastAsia" w:ascii="宋体" w:hAnsi="宋体"/>
          <w:b/>
          <w:sz w:val="24"/>
        </w:rPr>
        <w:t>十七、合同订立</w:t>
      </w:r>
    </w:p>
    <w:p w14:paraId="24670240">
      <w:pPr>
        <w:adjustRightInd w:val="0"/>
        <w:snapToGrid w:val="0"/>
        <w:spacing w:line="520" w:lineRule="exact"/>
        <w:ind w:firstLine="475" w:firstLineChars="198"/>
        <w:rPr>
          <w:rFonts w:hint="eastAsia" w:ascii="宋体" w:hAnsi="宋体"/>
          <w:sz w:val="24"/>
        </w:rPr>
      </w:pPr>
      <w:r>
        <w:rPr>
          <w:rFonts w:hint="eastAsia" w:ascii="宋体" w:hAnsi="宋体"/>
          <w:sz w:val="24"/>
        </w:rPr>
        <w:t>1. 订立时间：</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1EBD45B">
      <w:pPr>
        <w:adjustRightInd w:val="0"/>
        <w:snapToGrid w:val="0"/>
        <w:spacing w:line="520" w:lineRule="exact"/>
        <w:ind w:firstLine="475" w:firstLineChars="198"/>
        <w:rPr>
          <w:rFonts w:hint="eastAsia" w:ascii="宋体" w:hAnsi="宋体"/>
          <w:sz w:val="24"/>
        </w:rPr>
      </w:pPr>
      <w:r>
        <w:rPr>
          <w:rFonts w:hint="eastAsia" w:ascii="宋体" w:hAnsi="宋体"/>
          <w:sz w:val="24"/>
        </w:rPr>
        <w:t>2. 订立地点：</w:t>
      </w:r>
      <w:r>
        <w:rPr>
          <w:rFonts w:hint="eastAsia" w:ascii="宋体" w:hAnsi="宋体"/>
          <w:sz w:val="24"/>
          <w:u w:val="single"/>
        </w:rPr>
        <w:t xml:space="preserve">                                 </w:t>
      </w:r>
      <w:r>
        <w:rPr>
          <w:rFonts w:hint="eastAsia" w:ascii="宋体" w:hAnsi="宋体"/>
          <w:sz w:val="24"/>
        </w:rPr>
        <w:t>。</w:t>
      </w:r>
    </w:p>
    <w:p w14:paraId="31E0E21B">
      <w:pPr>
        <w:tabs>
          <w:tab w:val="left" w:pos="980"/>
        </w:tabs>
        <w:kinsoku w:val="0"/>
        <w:adjustRightInd w:val="0"/>
        <w:snapToGrid w:val="0"/>
        <w:spacing w:line="520" w:lineRule="exact"/>
        <w:ind w:left="218" w:leftChars="104" w:firstLine="259" w:firstLineChars="108"/>
        <w:rPr>
          <w:rFonts w:hint="eastAsia" w:ascii="宋体" w:hAnsi="宋体"/>
          <w:sz w:val="24"/>
        </w:rPr>
      </w:pPr>
      <w:r>
        <w:rPr>
          <w:rFonts w:hint="eastAsia" w:ascii="宋体" w:hAnsi="宋体"/>
          <w:sz w:val="24"/>
        </w:rPr>
        <w:t>3. 本合同一式</w:t>
      </w:r>
      <w:r>
        <w:rPr>
          <w:rFonts w:hint="eastAsia" w:ascii="宋体" w:hAnsi="宋体"/>
          <w:sz w:val="24"/>
          <w:u w:val="single"/>
        </w:rPr>
        <w:t xml:space="preserve">    </w:t>
      </w:r>
      <w:r>
        <w:rPr>
          <w:rFonts w:hint="eastAsia" w:ascii="宋体" w:hAnsi="宋体"/>
          <w:sz w:val="24"/>
        </w:rPr>
        <w:t>份，具有同等法律效力，双方各执</w:t>
      </w:r>
      <w:r>
        <w:rPr>
          <w:rFonts w:hint="eastAsia" w:ascii="宋体" w:hAnsi="宋体"/>
          <w:sz w:val="24"/>
          <w:u w:val="single"/>
        </w:rPr>
        <w:t xml:space="preserve">    </w:t>
      </w:r>
      <w:r>
        <w:rPr>
          <w:rFonts w:hint="eastAsia" w:ascii="宋体" w:hAnsi="宋体"/>
          <w:sz w:val="24"/>
        </w:rPr>
        <w:t>份，监管部门备案壹份、采购代理机构存档壹份。各方签字盖章后生效，合同执行完毕自动失效（合同的服务承诺则长期有效）。</w:t>
      </w:r>
    </w:p>
    <w:p w14:paraId="0611820C">
      <w:pPr>
        <w:adjustRightInd w:val="0"/>
        <w:snapToGrid w:val="0"/>
        <w:spacing w:line="520" w:lineRule="exact"/>
        <w:ind w:firstLine="475" w:firstLineChars="198"/>
        <w:rPr>
          <w:rFonts w:hint="eastAsia" w:ascii="宋体" w:hAnsi="宋体"/>
          <w:sz w:val="24"/>
        </w:rPr>
      </w:pPr>
      <w:r>
        <w:rPr>
          <w:rFonts w:hint="eastAsia" w:ascii="宋体" w:hAnsi="宋体"/>
          <w:sz w:val="24"/>
        </w:rPr>
        <w:t>采购人：</w:t>
      </w:r>
      <w:r>
        <w:rPr>
          <w:rFonts w:hint="eastAsia" w:ascii="宋体" w:hAnsi="宋体"/>
          <w:sz w:val="24"/>
          <w:u w:val="single"/>
        </w:rPr>
        <w:t xml:space="preserve">   （盖章）     </w:t>
      </w:r>
      <w:r>
        <w:rPr>
          <w:rFonts w:hint="eastAsia" w:ascii="宋体" w:hAnsi="宋体"/>
          <w:sz w:val="24"/>
        </w:rPr>
        <w:t xml:space="preserve">           供应商：</w:t>
      </w:r>
      <w:r>
        <w:rPr>
          <w:rFonts w:hint="eastAsia" w:ascii="宋体" w:hAnsi="宋体"/>
          <w:sz w:val="24"/>
          <w:u w:val="single"/>
        </w:rPr>
        <w:t xml:space="preserve">   （盖章）    </w:t>
      </w:r>
    </w:p>
    <w:p w14:paraId="2D7B1A6F">
      <w:pPr>
        <w:adjustRightInd w:val="0"/>
        <w:snapToGrid w:val="0"/>
        <w:spacing w:line="520" w:lineRule="exact"/>
        <w:ind w:firstLine="475" w:firstLineChars="198"/>
        <w:rPr>
          <w:rFonts w:hint="eastAsia" w:ascii="宋体" w:hAnsi="宋体"/>
          <w:sz w:val="24"/>
        </w:rPr>
      </w:pPr>
      <w:r>
        <w:rPr>
          <w:rFonts w:hint="eastAsia" w:ascii="宋体" w:hAnsi="宋体"/>
          <w:sz w:val="24"/>
        </w:rPr>
        <w:t xml:space="preserve">地址： </w:t>
      </w:r>
      <w:r>
        <w:rPr>
          <w:rFonts w:hint="eastAsia" w:ascii="宋体" w:hAnsi="宋体"/>
          <w:sz w:val="24"/>
          <w:u w:val="single"/>
        </w:rPr>
        <w:t xml:space="preserve">                     </w:t>
      </w:r>
      <w:r>
        <w:rPr>
          <w:rFonts w:hint="eastAsia" w:ascii="宋体" w:hAnsi="宋体"/>
          <w:sz w:val="24"/>
        </w:rPr>
        <w:t xml:space="preserve">       地址： </w:t>
      </w:r>
      <w:r>
        <w:rPr>
          <w:rFonts w:hint="eastAsia" w:ascii="宋体" w:hAnsi="宋体"/>
          <w:sz w:val="24"/>
          <w:u w:val="single"/>
        </w:rPr>
        <w:t xml:space="preserve">                      </w:t>
      </w:r>
    </w:p>
    <w:p w14:paraId="33E41EE7">
      <w:pPr>
        <w:adjustRightInd w:val="0"/>
        <w:snapToGrid w:val="0"/>
        <w:spacing w:line="520" w:lineRule="exact"/>
        <w:ind w:firstLine="480" w:firstLineChars="200"/>
        <w:rPr>
          <w:rFonts w:hint="eastAsia" w:ascii="宋体" w:hAnsi="宋体"/>
          <w:sz w:val="24"/>
        </w:rPr>
      </w:pPr>
      <w:r>
        <w:rPr>
          <w:rFonts w:hint="eastAsia" w:ascii="宋体" w:hAnsi="宋体"/>
          <w:sz w:val="24"/>
        </w:rPr>
        <w:t>邮政编码：</w:t>
      </w:r>
      <w:r>
        <w:rPr>
          <w:rFonts w:hint="eastAsia" w:ascii="宋体" w:hAnsi="宋体"/>
          <w:sz w:val="24"/>
          <w:u w:val="single"/>
        </w:rPr>
        <w:t xml:space="preserve">                  </w:t>
      </w:r>
      <w:r>
        <w:rPr>
          <w:rFonts w:hint="eastAsia" w:ascii="宋体" w:hAnsi="宋体"/>
          <w:sz w:val="24"/>
        </w:rPr>
        <w:t xml:space="preserve">       邮政编码：</w:t>
      </w:r>
      <w:r>
        <w:rPr>
          <w:rFonts w:hint="eastAsia" w:ascii="宋体" w:hAnsi="宋体"/>
          <w:sz w:val="24"/>
          <w:u w:val="single"/>
        </w:rPr>
        <w:t xml:space="preserve">                  </w:t>
      </w:r>
    </w:p>
    <w:p w14:paraId="2B8E5034">
      <w:pPr>
        <w:adjustRightInd w:val="0"/>
        <w:snapToGrid w:val="0"/>
        <w:spacing w:line="520" w:lineRule="exact"/>
        <w:ind w:firstLine="475" w:firstLineChars="198"/>
        <w:rPr>
          <w:rFonts w:hint="eastAsia" w:ascii="宋体" w:hAnsi="宋体"/>
          <w:sz w:val="24"/>
        </w:rPr>
      </w:pPr>
      <w:r>
        <w:rPr>
          <w:rFonts w:hint="eastAsia" w:ascii="宋体" w:hAnsi="宋体"/>
          <w:sz w:val="24"/>
        </w:rPr>
        <w:t>法定代表人或其授权                 法定代表人或其授权</w:t>
      </w:r>
    </w:p>
    <w:p w14:paraId="0DDABFA0">
      <w:pPr>
        <w:adjustRightInd w:val="0"/>
        <w:snapToGrid w:val="0"/>
        <w:spacing w:line="520" w:lineRule="exact"/>
        <w:ind w:firstLine="475" w:firstLineChars="198"/>
        <w:rPr>
          <w:rFonts w:hint="eastAsia" w:ascii="宋体" w:hAnsi="宋体"/>
          <w:sz w:val="24"/>
        </w:rPr>
      </w:pPr>
      <w:r>
        <w:rPr>
          <w:rFonts w:hint="eastAsia" w:ascii="宋体" w:hAnsi="宋体"/>
          <w:sz w:val="24"/>
        </w:rPr>
        <w:t>的代理人：</w:t>
      </w:r>
      <w:r>
        <w:rPr>
          <w:rFonts w:hint="eastAsia" w:ascii="宋体" w:hAnsi="宋体"/>
          <w:sz w:val="24"/>
          <w:u w:val="single"/>
        </w:rPr>
        <w:t xml:space="preserve">（签字）      </w:t>
      </w:r>
      <w:r>
        <w:rPr>
          <w:rFonts w:hint="eastAsia" w:ascii="宋体" w:hAnsi="宋体"/>
          <w:sz w:val="24"/>
        </w:rPr>
        <w:t xml:space="preserve">           的代理人：</w:t>
      </w:r>
      <w:r>
        <w:rPr>
          <w:rFonts w:hint="eastAsia" w:ascii="宋体" w:hAnsi="宋体"/>
          <w:sz w:val="24"/>
          <w:u w:val="single"/>
        </w:rPr>
        <w:t xml:space="preserve">（签字）          </w:t>
      </w:r>
    </w:p>
    <w:p w14:paraId="4FD6415C">
      <w:pPr>
        <w:adjustRightInd w:val="0"/>
        <w:snapToGrid w:val="0"/>
        <w:spacing w:line="520" w:lineRule="exact"/>
        <w:ind w:firstLine="475" w:firstLineChars="198"/>
        <w:rPr>
          <w:rFonts w:hint="eastAsia" w:ascii="宋体" w:hAnsi="宋体"/>
          <w:sz w:val="24"/>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开户银行：</w:t>
      </w:r>
      <w:r>
        <w:rPr>
          <w:rFonts w:hint="eastAsia" w:ascii="宋体" w:hAnsi="宋体"/>
          <w:sz w:val="24"/>
          <w:u w:val="single"/>
        </w:rPr>
        <w:t xml:space="preserve">                  </w:t>
      </w:r>
    </w:p>
    <w:p w14:paraId="4E9CA3B8">
      <w:pPr>
        <w:adjustRightInd w:val="0"/>
        <w:snapToGrid w:val="0"/>
        <w:spacing w:line="520" w:lineRule="exact"/>
        <w:ind w:firstLine="475" w:firstLineChars="198"/>
        <w:rPr>
          <w:rFonts w:hint="eastAsia" w:ascii="宋体" w:hAnsi="宋体"/>
          <w:sz w:val="24"/>
        </w:rPr>
      </w:pPr>
      <w:r>
        <w:rPr>
          <w:rFonts w:hint="eastAsia" w:ascii="宋体" w:hAnsi="宋体"/>
          <w:sz w:val="24"/>
        </w:rPr>
        <w:t>账号：</w:t>
      </w:r>
      <w:r>
        <w:rPr>
          <w:rFonts w:hint="eastAsia" w:ascii="宋体" w:hAnsi="宋体"/>
          <w:sz w:val="24"/>
          <w:u w:val="single"/>
        </w:rPr>
        <w:t xml:space="preserve">                      </w:t>
      </w:r>
      <w:r>
        <w:rPr>
          <w:rFonts w:hint="eastAsia" w:ascii="宋体" w:hAnsi="宋体"/>
          <w:sz w:val="24"/>
        </w:rPr>
        <w:t xml:space="preserve">       账号：</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14:paraId="75A6CC1A">
      <w:pPr>
        <w:adjustRightInd w:val="0"/>
        <w:snapToGrid w:val="0"/>
        <w:spacing w:line="520" w:lineRule="exact"/>
        <w:ind w:firstLine="475" w:firstLineChars="198"/>
        <w:rPr>
          <w:rFonts w:hint="eastAsia" w:ascii="宋体" w:hAnsi="宋体"/>
          <w:sz w:val="24"/>
        </w:rPr>
      </w:pPr>
      <w:r>
        <w:rPr>
          <w:rFonts w:hint="eastAsia" w:ascii="宋体" w:hAnsi="宋体"/>
          <w:sz w:val="24"/>
        </w:rPr>
        <w:t>电话：</w:t>
      </w:r>
      <w:r>
        <w:rPr>
          <w:rFonts w:hint="eastAsia" w:ascii="宋体" w:hAnsi="宋体"/>
          <w:sz w:val="24"/>
          <w:u w:val="single"/>
        </w:rPr>
        <w:t xml:space="preserve">                      </w:t>
      </w:r>
      <w:r>
        <w:rPr>
          <w:rFonts w:hint="eastAsia" w:ascii="宋体" w:hAnsi="宋体"/>
          <w:sz w:val="24"/>
        </w:rPr>
        <w:t xml:space="preserve">       电话：</w:t>
      </w:r>
      <w:r>
        <w:rPr>
          <w:rFonts w:hint="eastAsia" w:ascii="宋体" w:hAnsi="宋体"/>
          <w:sz w:val="24"/>
          <w:u w:val="single"/>
        </w:rPr>
        <w:t xml:space="preserve">                       </w:t>
      </w:r>
    </w:p>
    <w:p w14:paraId="2137F536">
      <w:pPr>
        <w:adjustRightInd w:val="0"/>
        <w:snapToGrid w:val="0"/>
        <w:spacing w:line="520" w:lineRule="exact"/>
        <w:ind w:firstLine="475" w:firstLineChars="198"/>
        <w:rPr>
          <w:rFonts w:hint="eastAsia" w:ascii="宋体" w:hAnsi="宋体"/>
          <w:sz w:val="24"/>
        </w:rPr>
      </w:pPr>
      <w:r>
        <w:rPr>
          <w:rFonts w:hint="eastAsia" w:ascii="宋体" w:hAnsi="宋体"/>
          <w:sz w:val="24"/>
        </w:rPr>
        <w:t>传真：</w:t>
      </w:r>
      <w:r>
        <w:rPr>
          <w:rFonts w:hint="eastAsia" w:ascii="宋体" w:hAnsi="宋体"/>
          <w:sz w:val="24"/>
          <w:u w:val="single"/>
        </w:rPr>
        <w:t xml:space="preserve">                      </w:t>
      </w:r>
      <w:r>
        <w:rPr>
          <w:rFonts w:hint="eastAsia" w:ascii="宋体" w:hAnsi="宋体"/>
          <w:sz w:val="24"/>
        </w:rPr>
        <w:t xml:space="preserve">       传真：</w:t>
      </w:r>
      <w:r>
        <w:rPr>
          <w:rFonts w:hint="eastAsia" w:ascii="宋体" w:hAnsi="宋体"/>
          <w:sz w:val="24"/>
          <w:u w:val="single"/>
        </w:rPr>
        <w:t xml:space="preserve">                       </w:t>
      </w:r>
    </w:p>
    <w:p w14:paraId="59E463B8">
      <w:pPr>
        <w:adjustRightInd w:val="0"/>
        <w:snapToGrid w:val="0"/>
        <w:spacing w:line="520" w:lineRule="exact"/>
        <w:ind w:firstLine="480" w:firstLineChars="200"/>
        <w:rPr>
          <w:rFonts w:hint="eastAsia" w:ascii="宋体" w:hAnsi="宋体"/>
          <w:sz w:val="24"/>
          <w:u w:val="single"/>
        </w:rPr>
      </w:pPr>
      <w:r>
        <w:rPr>
          <w:rFonts w:hint="eastAsia" w:ascii="宋体" w:hAnsi="宋体"/>
          <w:sz w:val="24"/>
        </w:rPr>
        <w:t>电子邮箱：</w:t>
      </w:r>
      <w:r>
        <w:rPr>
          <w:rFonts w:hint="eastAsia" w:ascii="宋体" w:hAnsi="宋体"/>
          <w:sz w:val="24"/>
          <w:u w:val="single"/>
        </w:rPr>
        <w:t xml:space="preserve">                 </w:t>
      </w:r>
      <w:r>
        <w:rPr>
          <w:rFonts w:hint="eastAsia" w:ascii="宋体" w:hAnsi="宋体"/>
          <w:sz w:val="24"/>
        </w:rPr>
        <w:t xml:space="preserve">        电子邮箱：</w:t>
      </w:r>
      <w:r>
        <w:rPr>
          <w:rFonts w:hint="eastAsia" w:ascii="宋体" w:hAnsi="宋体"/>
          <w:sz w:val="24"/>
          <w:u w:val="single"/>
        </w:rPr>
        <w:t xml:space="preserve">               </w:t>
      </w:r>
    </w:p>
    <w:p w14:paraId="0D3CB313">
      <w:pPr>
        <w:spacing w:line="360" w:lineRule="auto"/>
        <w:jc w:val="center"/>
        <w:outlineLvl w:val="0"/>
        <w:rPr>
          <w:rFonts w:hint="eastAsia" w:ascii="宋体" w:hAnsi="宋体" w:cs="宋体"/>
          <w:b/>
          <w:kern w:val="44"/>
          <w:sz w:val="36"/>
          <w:szCs w:val="22"/>
        </w:rPr>
      </w:pPr>
    </w:p>
    <w:p w14:paraId="6588205D">
      <w:pPr>
        <w:spacing w:line="360" w:lineRule="auto"/>
        <w:jc w:val="center"/>
        <w:outlineLvl w:val="0"/>
        <w:rPr>
          <w:rFonts w:hint="eastAsia" w:ascii="宋体" w:hAnsi="宋体" w:cs="宋体"/>
          <w:b/>
          <w:kern w:val="44"/>
          <w:sz w:val="36"/>
          <w:szCs w:val="22"/>
        </w:rPr>
      </w:pPr>
    </w:p>
    <w:p w14:paraId="28359D67">
      <w:pPr>
        <w:spacing w:line="360" w:lineRule="auto"/>
        <w:jc w:val="center"/>
        <w:outlineLvl w:val="0"/>
        <w:rPr>
          <w:rFonts w:hint="eastAsia" w:ascii="宋体" w:hAnsi="宋体" w:cs="宋体"/>
          <w:b/>
          <w:kern w:val="44"/>
          <w:sz w:val="36"/>
          <w:szCs w:val="22"/>
        </w:rPr>
      </w:pPr>
    </w:p>
    <w:p w14:paraId="0DCCBFE4">
      <w:pPr>
        <w:spacing w:line="360" w:lineRule="auto"/>
        <w:jc w:val="center"/>
        <w:outlineLvl w:val="0"/>
        <w:rPr>
          <w:rFonts w:hint="eastAsia" w:ascii="宋体" w:hAnsi="宋体" w:cs="宋体"/>
          <w:b/>
          <w:kern w:val="44"/>
          <w:sz w:val="36"/>
          <w:szCs w:val="22"/>
        </w:rPr>
      </w:pPr>
    </w:p>
    <w:p w14:paraId="245E5BB6">
      <w:pPr>
        <w:pStyle w:val="8"/>
        <w:rPr>
          <w:rFonts w:hint="eastAsia" w:ascii="宋体" w:hAnsi="宋体" w:cs="宋体"/>
          <w:b/>
          <w:kern w:val="44"/>
          <w:sz w:val="36"/>
          <w:szCs w:val="22"/>
        </w:rPr>
      </w:pPr>
    </w:p>
    <w:p w14:paraId="2D93DC99">
      <w:pPr>
        <w:rPr>
          <w:rFonts w:hint="eastAsia"/>
        </w:rPr>
      </w:pPr>
    </w:p>
    <w:p w14:paraId="6DFBE440">
      <w:pPr>
        <w:spacing w:line="360" w:lineRule="auto"/>
        <w:jc w:val="center"/>
        <w:outlineLvl w:val="0"/>
        <w:rPr>
          <w:rFonts w:ascii="宋体" w:hAnsi="宋体" w:cs="宋体"/>
          <w:b/>
          <w:kern w:val="44"/>
          <w:sz w:val="36"/>
          <w:szCs w:val="22"/>
        </w:rPr>
      </w:pPr>
      <w:r>
        <w:rPr>
          <w:rFonts w:hint="eastAsia" w:ascii="宋体" w:hAnsi="宋体" w:cs="宋体"/>
          <w:b/>
          <w:kern w:val="44"/>
          <w:sz w:val="36"/>
          <w:szCs w:val="22"/>
        </w:rPr>
        <w:t>第五部分   商务要求</w:t>
      </w:r>
      <w:bookmarkEnd w:id="292"/>
      <w:bookmarkEnd w:id="293"/>
      <w:bookmarkEnd w:id="295"/>
    </w:p>
    <w:bookmarkEnd w:id="284"/>
    <w:bookmarkEnd w:id="285"/>
    <w:bookmarkEnd w:id="286"/>
    <w:bookmarkEnd w:id="287"/>
    <w:bookmarkEnd w:id="288"/>
    <w:bookmarkEnd w:id="289"/>
    <w:bookmarkEnd w:id="290"/>
    <w:bookmarkEnd w:id="291"/>
    <w:p w14:paraId="559EB3DC">
      <w:pPr>
        <w:spacing w:line="360" w:lineRule="auto"/>
        <w:ind w:firstLine="448" w:firstLineChars="186"/>
        <w:rPr>
          <w:rFonts w:ascii="宋体" w:hAnsi="宋体" w:cs="宋体"/>
          <w:bCs/>
          <w:sz w:val="24"/>
        </w:rPr>
      </w:pPr>
      <w:bookmarkStart w:id="296" w:name="_Toc14458"/>
      <w:bookmarkStart w:id="297" w:name="_Toc465958129"/>
      <w:bookmarkStart w:id="298" w:name="_Toc246928961"/>
      <w:bookmarkStart w:id="299" w:name="_Toc128557264"/>
      <w:bookmarkStart w:id="300" w:name="_Toc246928962"/>
      <w:bookmarkStart w:id="301" w:name="_Toc389620244"/>
      <w:bookmarkStart w:id="302" w:name="_Toc497711589"/>
      <w:bookmarkStart w:id="303" w:name="_Toc497546922"/>
      <w:bookmarkStart w:id="304" w:name="_Toc385992404"/>
      <w:bookmarkStart w:id="305" w:name="_Toc497551824"/>
      <w:bookmarkStart w:id="306" w:name="_Toc497712137"/>
      <w:bookmarkStart w:id="307" w:name="_Toc492955463"/>
      <w:r>
        <w:rPr>
          <w:rFonts w:hint="eastAsia" w:ascii="宋体" w:hAnsi="宋体" w:cs="宋体"/>
          <w:b/>
          <w:bCs/>
          <w:sz w:val="24"/>
        </w:rPr>
        <w:t>一、</w:t>
      </w:r>
      <w:r>
        <w:rPr>
          <w:rFonts w:hint="eastAsia" w:ascii="宋体" w:hAnsi="宋体" w:cs="宋体"/>
          <w:b/>
          <w:bCs/>
          <w:sz w:val="24"/>
          <w:szCs w:val="24"/>
          <w:lang w:val="en-US" w:eastAsia="zh-CN"/>
        </w:rPr>
        <w:t>服务</w:t>
      </w:r>
      <w:r>
        <w:rPr>
          <w:rFonts w:hint="eastAsia" w:ascii="宋体" w:hAnsi="宋体" w:cs="宋体"/>
          <w:b/>
          <w:bCs/>
          <w:sz w:val="24"/>
          <w:szCs w:val="24"/>
        </w:rPr>
        <w:t>地点：</w:t>
      </w:r>
      <w:r>
        <w:rPr>
          <w:rFonts w:hint="eastAsia" w:ascii="宋体" w:hAnsi="宋体" w:cs="宋体"/>
          <w:sz w:val="24"/>
        </w:rPr>
        <w:t>采购人指定地点</w:t>
      </w:r>
      <w:r>
        <w:rPr>
          <w:rFonts w:hint="eastAsia" w:ascii="宋体" w:hAnsi="宋体" w:cs="宋体"/>
          <w:sz w:val="24"/>
          <w:szCs w:val="24"/>
        </w:rPr>
        <w:t>。</w:t>
      </w:r>
    </w:p>
    <w:p w14:paraId="0E2361DE">
      <w:pPr>
        <w:spacing w:line="360" w:lineRule="auto"/>
        <w:ind w:firstLine="482" w:firstLineChars="200"/>
        <w:rPr>
          <w:rFonts w:ascii="宋体" w:hAnsi="宋体" w:cs="宋体"/>
          <w:color w:val="FF0000"/>
          <w:sz w:val="24"/>
          <w:szCs w:val="24"/>
        </w:rPr>
      </w:pPr>
      <w:r>
        <w:rPr>
          <w:rFonts w:hint="eastAsia" w:ascii="宋体" w:hAnsi="宋体" w:cs="宋体"/>
          <w:b/>
          <w:bCs/>
          <w:sz w:val="24"/>
        </w:rPr>
        <w:t>二、</w:t>
      </w:r>
      <w:r>
        <w:rPr>
          <w:rFonts w:hint="eastAsia" w:ascii="宋体" w:hAnsi="宋体" w:cs="宋体"/>
          <w:b/>
          <w:bCs/>
          <w:sz w:val="24"/>
          <w:szCs w:val="24"/>
          <w:lang w:val="en-US" w:eastAsia="zh-CN"/>
        </w:rPr>
        <w:t>项目总周期</w:t>
      </w:r>
      <w:r>
        <w:rPr>
          <w:rFonts w:hint="eastAsia" w:ascii="宋体" w:hAnsi="宋体" w:cs="宋体"/>
          <w:sz w:val="24"/>
          <w:szCs w:val="24"/>
        </w:rPr>
        <w:t>：</w:t>
      </w:r>
      <w:r>
        <w:rPr>
          <w:sz w:val="24"/>
          <w:szCs w:val="22"/>
        </w:rPr>
        <w:t>不超过6个月(根据进度可调整)。</w:t>
      </w:r>
      <w:r>
        <w:rPr>
          <w:rFonts w:hint="eastAsia" w:ascii="宋体" w:hAnsi="宋体" w:cs="宋体"/>
          <w:color w:val="FF0000"/>
          <w:sz w:val="24"/>
          <w:szCs w:val="24"/>
        </w:rPr>
        <w:t xml:space="preserve">   </w:t>
      </w:r>
    </w:p>
    <w:p w14:paraId="08812834">
      <w:pPr>
        <w:spacing w:line="360" w:lineRule="auto"/>
        <w:ind w:firstLine="482" w:firstLineChars="200"/>
        <w:rPr>
          <w:rFonts w:ascii="宋体" w:hAnsi="宋体" w:cs="宋体"/>
          <w:b/>
          <w:bCs/>
          <w:sz w:val="24"/>
        </w:rPr>
      </w:pPr>
      <w:r>
        <w:rPr>
          <w:rFonts w:hint="eastAsia" w:ascii="宋体" w:hAnsi="宋体" w:cs="宋体"/>
          <w:b/>
          <w:bCs/>
          <w:sz w:val="24"/>
        </w:rPr>
        <w:t>三、合同价款</w:t>
      </w:r>
    </w:p>
    <w:p w14:paraId="5B489D32">
      <w:pPr>
        <w:spacing w:line="360" w:lineRule="auto"/>
        <w:ind w:firstLine="480" w:firstLineChars="200"/>
        <w:rPr>
          <w:rFonts w:hint="eastAsia" w:ascii="宋体" w:hAnsi="宋体" w:cs="宋体"/>
          <w:color w:val="000000"/>
          <w:sz w:val="24"/>
          <w:szCs w:val="24"/>
        </w:rPr>
      </w:pPr>
      <w:r>
        <w:rPr>
          <w:rFonts w:hint="eastAsia" w:ascii="宋体" w:hAnsi="宋体" w:cs="宋体"/>
          <w:sz w:val="24"/>
        </w:rPr>
        <w:t>1、</w:t>
      </w:r>
      <w:r>
        <w:rPr>
          <w:rFonts w:hint="eastAsia" w:ascii="宋体" w:hAnsi="宋体"/>
          <w:color w:val="000000"/>
          <w:sz w:val="24"/>
          <w:szCs w:val="24"/>
        </w:rPr>
        <w:t>投标报价</w:t>
      </w:r>
      <w:r>
        <w:rPr>
          <w:rFonts w:hint="eastAsia" w:ascii="宋体" w:hAnsi="宋体" w:cs="宋体"/>
          <w:color w:val="000000"/>
          <w:sz w:val="24"/>
          <w:szCs w:val="24"/>
        </w:rPr>
        <w:t>包含完成本次投标项目所包含的一切相关费用。</w:t>
      </w:r>
    </w:p>
    <w:p w14:paraId="2FB2FCBA">
      <w:pPr>
        <w:spacing w:line="360" w:lineRule="auto"/>
        <w:ind w:firstLine="480" w:firstLineChars="200"/>
        <w:rPr>
          <w:rFonts w:ascii="宋体" w:hAnsi="宋体" w:cs="宋体"/>
          <w:sz w:val="24"/>
        </w:rPr>
      </w:pPr>
      <w:r>
        <w:rPr>
          <w:rFonts w:hint="eastAsia" w:ascii="宋体" w:hAnsi="宋体" w:cs="宋体"/>
          <w:sz w:val="24"/>
        </w:rPr>
        <w:t>2、合同总价一次包死，不受市场价变化的影响。</w:t>
      </w:r>
    </w:p>
    <w:p w14:paraId="743E4FF3">
      <w:pPr>
        <w:spacing w:line="360" w:lineRule="auto"/>
        <w:ind w:firstLine="482" w:firstLineChars="200"/>
        <w:rPr>
          <w:rFonts w:ascii="宋体" w:hAnsi="宋体" w:cs="宋体"/>
          <w:b/>
          <w:bCs/>
          <w:sz w:val="24"/>
        </w:rPr>
      </w:pPr>
      <w:r>
        <w:rPr>
          <w:rFonts w:hint="eastAsia" w:ascii="宋体" w:hAnsi="宋体" w:cs="宋体"/>
          <w:b/>
          <w:bCs/>
          <w:sz w:val="24"/>
        </w:rPr>
        <w:t>四、款项结算</w:t>
      </w:r>
    </w:p>
    <w:p w14:paraId="34F0C093">
      <w:pPr>
        <w:spacing w:line="360" w:lineRule="auto"/>
        <w:ind w:firstLine="420" w:firstLineChars="175"/>
        <w:rPr>
          <w:rFonts w:hint="eastAsia"/>
          <w:sz w:val="24"/>
          <w:szCs w:val="24"/>
        </w:rPr>
      </w:pPr>
      <w:r>
        <w:rPr>
          <w:rFonts w:hint="eastAsia"/>
          <w:sz w:val="24"/>
          <w:szCs w:val="24"/>
        </w:rPr>
        <w:t>1、付款方式：合同签订后15个工作日内，甲方支付合同总金额的40% 作为预付款，用于供应商启动调研、资料采集</w:t>
      </w:r>
      <w:r>
        <w:rPr>
          <w:rFonts w:hint="eastAsia"/>
          <w:sz w:val="24"/>
          <w:szCs w:val="24"/>
          <w:lang w:eastAsia="zh-CN"/>
        </w:rPr>
        <w:t>；</w:t>
      </w:r>
      <w:r>
        <w:rPr>
          <w:rFonts w:hint="eastAsia"/>
          <w:sz w:val="24"/>
          <w:szCs w:val="24"/>
        </w:rPr>
        <w:t>丛书编撰定稿并通过专家评审后15个工作日内，支付合同总金额的30%</w:t>
      </w:r>
      <w:r>
        <w:rPr>
          <w:rFonts w:hint="eastAsia"/>
          <w:sz w:val="24"/>
          <w:szCs w:val="24"/>
          <w:lang w:eastAsia="zh-CN"/>
        </w:rPr>
        <w:t>；</w:t>
      </w:r>
      <w:r>
        <w:rPr>
          <w:rFonts w:hint="eastAsia"/>
          <w:sz w:val="24"/>
          <w:szCs w:val="24"/>
        </w:rPr>
        <w:t>印刷成品交付并验收合格后15个工作日内，支付剩余30% 尾款。</w:t>
      </w:r>
    </w:p>
    <w:p w14:paraId="067B6322">
      <w:pPr>
        <w:spacing w:line="360" w:lineRule="auto"/>
        <w:ind w:firstLine="420" w:firstLineChars="175"/>
        <w:rPr>
          <w:rFonts w:ascii="宋体" w:hAnsi="宋体" w:cs="宋体"/>
          <w:sz w:val="24"/>
          <w:szCs w:val="24"/>
        </w:rPr>
      </w:pPr>
      <w:r>
        <w:rPr>
          <w:rFonts w:hint="eastAsia" w:ascii="宋体" w:hAnsi="宋体" w:cs="仿宋_GB2312"/>
          <w:sz w:val="24"/>
          <w:szCs w:val="22"/>
        </w:rPr>
        <w:t>2、结算方式：</w:t>
      </w:r>
      <w:r>
        <w:rPr>
          <w:rFonts w:hint="eastAsia" w:ascii="宋体" w:hAnsi="宋体"/>
          <w:color w:val="000000"/>
          <w:sz w:val="24"/>
        </w:rPr>
        <w:t>采购人结算，在付款前，必须开具全额（等额）发票给采购人</w:t>
      </w:r>
      <w:r>
        <w:rPr>
          <w:rFonts w:hint="eastAsia" w:ascii="宋体" w:hAnsi="宋体" w:cs="宋体"/>
          <w:color w:val="000000"/>
          <w:sz w:val="24"/>
          <w:szCs w:val="24"/>
        </w:rPr>
        <w:t>。</w:t>
      </w:r>
    </w:p>
    <w:p w14:paraId="6BE179A0">
      <w:pPr>
        <w:spacing w:line="360" w:lineRule="auto"/>
        <w:ind w:firstLine="482" w:firstLineChars="200"/>
        <w:rPr>
          <w:rFonts w:ascii="宋体" w:hAnsi="宋体" w:cs="宋体"/>
          <w:b/>
          <w:bCs/>
          <w:sz w:val="24"/>
        </w:rPr>
      </w:pPr>
      <w:r>
        <w:rPr>
          <w:rFonts w:hint="eastAsia" w:ascii="宋体" w:hAnsi="宋体" w:cs="宋体"/>
          <w:b/>
          <w:bCs/>
          <w:sz w:val="24"/>
          <w:lang w:val="en-US" w:eastAsia="zh-CN"/>
        </w:rPr>
        <w:t>五</w:t>
      </w:r>
      <w:r>
        <w:rPr>
          <w:rFonts w:hint="eastAsia" w:ascii="宋体" w:hAnsi="宋体" w:cs="宋体"/>
          <w:b/>
          <w:bCs/>
          <w:sz w:val="24"/>
        </w:rPr>
        <w:t>、违约责任</w:t>
      </w:r>
    </w:p>
    <w:p w14:paraId="6A9B15AD">
      <w:pPr>
        <w:spacing w:line="360" w:lineRule="auto"/>
        <w:ind w:firstLine="480" w:firstLineChars="200"/>
        <w:rPr>
          <w:rFonts w:ascii="宋体" w:hAnsi="宋体" w:cs="宋体"/>
          <w:sz w:val="24"/>
        </w:rPr>
      </w:pPr>
      <w:r>
        <w:rPr>
          <w:rFonts w:hint="eastAsia" w:ascii="宋体" w:hAnsi="宋体" w:cs="宋体"/>
          <w:sz w:val="24"/>
        </w:rPr>
        <w:t>1、按《</w:t>
      </w:r>
      <w:r>
        <w:rPr>
          <w:rFonts w:hint="eastAsia" w:ascii="宋体" w:hAnsi="宋体" w:cs="宋体"/>
          <w:sz w:val="24"/>
          <w:lang w:val="en-US" w:eastAsia="zh-CN"/>
        </w:rPr>
        <w:t>民法典</w:t>
      </w:r>
      <w:r>
        <w:rPr>
          <w:rFonts w:hint="eastAsia" w:ascii="宋体" w:hAnsi="宋体" w:cs="宋体"/>
          <w:sz w:val="24"/>
        </w:rPr>
        <w:t>》中的相关条款执行。</w:t>
      </w:r>
    </w:p>
    <w:p w14:paraId="019B5A08">
      <w:pPr>
        <w:spacing w:line="360" w:lineRule="auto"/>
        <w:ind w:firstLine="480" w:firstLineChars="200"/>
        <w:rPr>
          <w:rFonts w:ascii="宋体" w:hAnsi="宋体" w:cs="宋体"/>
          <w:sz w:val="24"/>
        </w:rPr>
      </w:pPr>
      <w:r>
        <w:rPr>
          <w:rFonts w:hint="eastAsia" w:ascii="宋体" w:hAnsi="宋体" w:cs="宋体"/>
          <w:sz w:val="24"/>
        </w:rPr>
        <w:t>2、未按合同要求提供</w:t>
      </w:r>
      <w:r>
        <w:rPr>
          <w:rFonts w:hint="eastAsia" w:ascii="宋体" w:hAnsi="宋体" w:cs="宋体"/>
          <w:sz w:val="24"/>
          <w:lang w:val="en-US" w:eastAsia="zh-CN"/>
        </w:rPr>
        <w:t>服务</w:t>
      </w:r>
      <w:r>
        <w:rPr>
          <w:rFonts w:hint="eastAsia" w:ascii="宋体" w:hAnsi="宋体" w:cs="宋体"/>
          <w:sz w:val="24"/>
        </w:rPr>
        <w:t>质量不能满足技术要求，采购人同招标公司有权终止合同和对供方违约行为进行追究，同时按政府采购法的有关规定进行相应的处罚。</w:t>
      </w:r>
    </w:p>
    <w:p w14:paraId="5D1E82E6">
      <w:pPr>
        <w:spacing w:line="360" w:lineRule="auto"/>
        <w:ind w:firstLine="482" w:firstLineChars="200"/>
        <w:rPr>
          <w:rFonts w:ascii="宋体" w:hAnsi="宋体" w:cs="宋体"/>
          <w:b/>
          <w:bCs/>
          <w:sz w:val="24"/>
        </w:rPr>
      </w:pPr>
      <w:r>
        <w:rPr>
          <w:rFonts w:hint="eastAsia" w:ascii="宋体" w:hAnsi="宋体" w:cs="宋体"/>
          <w:b/>
          <w:bCs/>
          <w:sz w:val="24"/>
          <w:lang w:val="en-US" w:eastAsia="zh-CN"/>
        </w:rPr>
        <w:t>六</w:t>
      </w:r>
      <w:r>
        <w:rPr>
          <w:rFonts w:hint="eastAsia" w:ascii="宋体" w:hAnsi="宋体" w:cs="宋体"/>
          <w:b/>
          <w:bCs/>
          <w:sz w:val="24"/>
        </w:rPr>
        <w:t>、验收</w:t>
      </w:r>
    </w:p>
    <w:bookmarkEnd w:id="296"/>
    <w:p w14:paraId="009EB1BC">
      <w:pPr>
        <w:adjustRightInd w:val="0"/>
        <w:snapToGrid w:val="0"/>
        <w:spacing w:line="520" w:lineRule="exact"/>
        <w:ind w:firstLine="480" w:firstLineChars="200"/>
        <w:rPr>
          <w:rFonts w:hint="eastAsia" w:ascii="宋体" w:hAnsi="宋体"/>
          <w:sz w:val="24"/>
          <w:szCs w:val="22"/>
        </w:rPr>
      </w:pPr>
      <w:r>
        <w:rPr>
          <w:rFonts w:hint="eastAsia" w:ascii="宋体" w:hAnsi="宋体"/>
          <w:sz w:val="24"/>
          <w:szCs w:val="22"/>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谈判文件及响应文件、澄清、及国家相应的标准、规范等为依据。</w:t>
      </w:r>
    </w:p>
    <w:p w14:paraId="0CAB61DB">
      <w:pPr>
        <w:bidi w:val="0"/>
        <w:rPr>
          <w:rFonts w:hint="eastAsia"/>
        </w:rPr>
      </w:pPr>
    </w:p>
    <w:p w14:paraId="1E934DE3">
      <w:pPr>
        <w:bidi w:val="0"/>
        <w:rPr>
          <w:rFonts w:hint="eastAsia"/>
        </w:rPr>
      </w:pPr>
    </w:p>
    <w:p w14:paraId="5505E4A1">
      <w:pPr>
        <w:bidi w:val="0"/>
        <w:rPr>
          <w:rFonts w:hint="eastAsia"/>
        </w:rPr>
      </w:pPr>
    </w:p>
    <w:p w14:paraId="7D87C5BB">
      <w:pPr>
        <w:pStyle w:val="5"/>
        <w:rPr>
          <w:rFonts w:hint="eastAsia"/>
        </w:rPr>
      </w:pPr>
    </w:p>
    <w:p w14:paraId="302AF6CC">
      <w:pPr>
        <w:pStyle w:val="5"/>
        <w:rPr>
          <w:rFonts w:hint="eastAsia"/>
        </w:rPr>
      </w:pPr>
    </w:p>
    <w:p w14:paraId="1C69B662">
      <w:pPr>
        <w:pStyle w:val="5"/>
        <w:rPr>
          <w:rFonts w:hint="eastAsia"/>
        </w:rPr>
      </w:pPr>
    </w:p>
    <w:p w14:paraId="17C9C043">
      <w:pPr>
        <w:pStyle w:val="2"/>
        <w:numPr>
          <w:ilvl w:val="0"/>
          <w:numId w:val="6"/>
        </w:numPr>
        <w:spacing w:line="360" w:lineRule="auto"/>
        <w:jc w:val="center"/>
        <w:rPr>
          <w:rFonts w:hint="eastAsia" w:ascii="宋体" w:hAnsi="宋体" w:cs="宋体"/>
          <w:color w:val="000000"/>
          <w:sz w:val="32"/>
          <w:szCs w:val="32"/>
        </w:rPr>
        <w:sectPr>
          <w:footerReference r:id="rId12" w:type="first"/>
          <w:headerReference r:id="rId10" w:type="default"/>
          <w:footerReference r:id="rId11" w:type="default"/>
          <w:footnotePr>
            <w:pos w:val="beneathText"/>
          </w:footnotePr>
          <w:pgSz w:w="11906" w:h="16838"/>
          <w:pgMar w:top="1701" w:right="1418" w:bottom="1701" w:left="1418" w:header="1091" w:footer="992" w:gutter="0"/>
          <w:cols w:space="720" w:num="1"/>
          <w:titlePg/>
          <w:docGrid w:type="lines" w:linePitch="312" w:charSpace="0"/>
        </w:sectPr>
      </w:pPr>
    </w:p>
    <w:p w14:paraId="7AF650A6">
      <w:pPr>
        <w:bidi w:val="0"/>
        <w:jc w:val="center"/>
        <w:rPr>
          <w:rFonts w:hint="eastAsia" w:ascii="宋体" w:hAnsi="宋体" w:eastAsia="宋体" w:cs="宋体"/>
          <w:b/>
          <w:bCs/>
          <w:sz w:val="36"/>
          <w:szCs w:val="52"/>
          <w:lang w:val="en-US" w:eastAsia="zh-CN"/>
        </w:rPr>
      </w:pPr>
      <w:bookmarkStart w:id="308" w:name="_Toc28145"/>
      <w:r>
        <w:rPr>
          <w:rFonts w:hint="eastAsia" w:ascii="宋体" w:hAnsi="宋体" w:eastAsia="宋体" w:cs="宋体"/>
          <w:b/>
          <w:bCs/>
          <w:sz w:val="36"/>
          <w:szCs w:val="52"/>
          <w:lang w:val="en-US" w:eastAsia="zh-CN"/>
        </w:rPr>
        <w:t>第六部分</w:t>
      </w:r>
      <w:r>
        <w:rPr>
          <w:rFonts w:hint="eastAsia" w:ascii="宋体" w:hAnsi="宋体" w:cs="宋体"/>
          <w:b/>
          <w:bCs/>
          <w:sz w:val="36"/>
          <w:szCs w:val="52"/>
          <w:lang w:val="en-US" w:eastAsia="zh-CN"/>
        </w:rPr>
        <w:t xml:space="preserve">  </w:t>
      </w:r>
      <w:r>
        <w:rPr>
          <w:rFonts w:hint="eastAsia" w:ascii="宋体" w:hAnsi="宋体" w:eastAsia="宋体" w:cs="宋体"/>
          <w:b/>
          <w:bCs/>
          <w:sz w:val="36"/>
          <w:szCs w:val="52"/>
          <w:lang w:val="en-US" w:eastAsia="zh-CN"/>
        </w:rPr>
        <w:t>采购内容需求</w:t>
      </w:r>
    </w:p>
    <w:p w14:paraId="2FD80C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p>
    <w:p w14:paraId="081463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为深入贯彻落实习近平总书记来陕考察重要讲话重要指示，深度挖掘绥德丰富独特的历史和非遗文化资源，传承本土文化，推动文化资源转化，现启动《绥德县历史和非遗文化丛书》编撰、印刷服务采购工作。</w:t>
      </w:r>
    </w:p>
    <w:p w14:paraId="5A7A22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一 、基本情况</w:t>
      </w:r>
    </w:p>
    <w:p w14:paraId="13B731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绥德是历史文化名城，是黄土文化的重要发源地之一，是全国文化先进县和中国民间文化艺术“民歌之乡”</w:t>
      </w:r>
      <w:r>
        <w:rPr>
          <w:rFonts w:hint="eastAsia"/>
          <w:sz w:val="24"/>
          <w:szCs w:val="22"/>
          <w:lang w:eastAsia="zh-CN"/>
        </w:rPr>
        <w:t>、</w:t>
      </w:r>
      <w:r>
        <w:rPr>
          <w:sz w:val="24"/>
          <w:szCs w:val="22"/>
        </w:rPr>
        <w:t>“秧歌之乡”</w:t>
      </w:r>
      <w:r>
        <w:rPr>
          <w:rFonts w:hint="eastAsia"/>
          <w:sz w:val="24"/>
          <w:szCs w:val="22"/>
          <w:lang w:eastAsia="zh-CN"/>
        </w:rPr>
        <w:t>、</w:t>
      </w:r>
      <w:r>
        <w:rPr>
          <w:sz w:val="24"/>
          <w:szCs w:val="22"/>
        </w:rPr>
        <w:t>“唢呐之乡”</w:t>
      </w:r>
      <w:r>
        <w:rPr>
          <w:rFonts w:hint="eastAsia"/>
          <w:sz w:val="24"/>
          <w:szCs w:val="22"/>
          <w:lang w:eastAsia="zh-CN"/>
        </w:rPr>
        <w:t>、</w:t>
      </w:r>
      <w:r>
        <w:rPr>
          <w:sz w:val="24"/>
          <w:szCs w:val="22"/>
        </w:rPr>
        <w:t>“石雕之乡”和“剪纸之乡”,历史文化和非物质文化遗产资源丰富。虽然历史文化和非遗文化资源丰富，但仍然存在梳理不透、挖掘不深的问题亟待解决。为此，我们特制定如下采购方案。</w:t>
      </w:r>
    </w:p>
    <w:p w14:paraId="73737F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二 、采购需求</w:t>
      </w:r>
    </w:p>
    <w:p w14:paraId="7A8A12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本次采购包含两大核心服务，具体要求如下：</w:t>
      </w:r>
    </w:p>
    <w:p w14:paraId="2B6EDB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 一)丛书编撰服务</w:t>
      </w:r>
    </w:p>
    <w:p w14:paraId="471EC7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1. 内容要求：涵盖绥德县历史脉络(建置沿革、重大事件、名人轶事等)、非遗文化(项目介绍、传承谱系、技艺流程、保护现状等),需实地调研采集一手资料，确保内容真实、详实，语言通俗且具文化质感。</w:t>
      </w:r>
    </w:p>
    <w:p w14:paraId="5D1CFD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2. 编撰规范：统一丛书体例(如章节结构、注释格式、图片标注),单册页数控制在400-500页/册，计划编撰5册，初稿完成后需配合甲方组织专家评审、修改完善，直至定稿。</w:t>
      </w:r>
    </w:p>
    <w:p w14:paraId="57D257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3.  交付成果：最终定稿的电子文稿 (word和 PDF格式)、配套图片素材(高清原图，注明来源)、专家评审意见及修改说明。</w:t>
      </w:r>
    </w:p>
    <w:p w14:paraId="2D67D3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(二)丛书印刷服务</w:t>
      </w:r>
    </w:p>
    <w:p w14:paraId="0540E7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1. 印刷规格：16K(260mmx185mm)成品排版。带护封、勒口、书舌及特殊工艺，用157克铜版纸或特种纸，以具体确定设计做烫金等工艺。全书中要加前后环衬；彩页采用157克铜板纸印刷；内容采用100克特种纸黑白印刷。要求高质量印刷，文字要清晰整洁，图片布局要科学合理，印刷要色彩鲜艳。装订要用腹亚膜、锁钱拔圆、简装。单册进行塑封，带腰封。确保坚实牢固，不能存在散页、错页的情况，裁口要齐整。</w:t>
      </w:r>
    </w:p>
    <w:p w14:paraId="40E4D1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2. 印刷数量：单册印刷1000册，总印量5000册，需提供样书(每册1-2本)供甲方确认，样书合格后方可批量印刷。</w:t>
      </w:r>
    </w:p>
    <w:p w14:paraId="35685A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3. 交付成果：批量印刷的成品图书(包装完好，附送货清单)、印刷质检报告(含纸张材质证明、色彩校准记录)。</w:t>
      </w:r>
    </w:p>
    <w:p w14:paraId="58628C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三、付款方式</w:t>
      </w:r>
    </w:p>
    <w:p w14:paraId="747346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1. 合同签订后15个工作日内，甲方支付合同总金额的40% 作为预付款，用于供应商启动调研、资料采集。</w:t>
      </w:r>
    </w:p>
    <w:p w14:paraId="6C1DDD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2. 丛书编撰定稿并通过专家评审后15个工作日内，支付合同总金额的30%。</w:t>
      </w:r>
    </w:p>
    <w:p w14:paraId="417E23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3. 印刷成品交付并验收合格后15个工作日内，支付剩余30% 尾款 。</w:t>
      </w:r>
    </w:p>
    <w:p w14:paraId="7B6EEA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四 、服务周期</w:t>
      </w:r>
    </w:p>
    <w:p w14:paraId="25CBD6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1. 编撰周期：自合同签订之日起2个月内完成初稿的整理，1个月内完成修改、定稿，总计3个月。</w:t>
      </w:r>
    </w:p>
    <w:p w14:paraId="38E32E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2. 印刷周期：定稿后1个月内完成样书制作、确认，确认后 2个月内完成批量印刷并交付，总计3个月。</w:t>
      </w:r>
    </w:p>
    <w:p w14:paraId="4270B1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r>
        <w:rPr>
          <w:sz w:val="24"/>
          <w:szCs w:val="22"/>
        </w:rPr>
        <w:t>3. 项目总周期：不超过6个月(根据进度可调整)。</w:t>
      </w:r>
    </w:p>
    <w:p w14:paraId="21859D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2"/>
          <w:lang w:val="en-US" w:eastAsia="zh-CN"/>
        </w:rPr>
      </w:pPr>
      <w:r>
        <w:rPr>
          <w:rFonts w:hint="eastAsia"/>
          <w:sz w:val="24"/>
          <w:szCs w:val="22"/>
          <w:lang w:val="en-US" w:eastAsia="zh-CN"/>
        </w:rPr>
        <w:t>五、其他要求</w:t>
      </w:r>
    </w:p>
    <w:p w14:paraId="030AC3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2"/>
          <w:lang w:val="en-US" w:eastAsia="zh-CN"/>
        </w:rPr>
      </w:pPr>
      <w:r>
        <w:rPr>
          <w:rFonts w:hint="eastAsia"/>
          <w:sz w:val="24"/>
          <w:szCs w:val="22"/>
          <w:lang w:val="en-US" w:eastAsia="zh-CN"/>
        </w:rPr>
        <w:t>1、设计排版：包含封面设计、内页排版、插图和图表处理、版式设计、目录设计等；</w:t>
      </w:r>
    </w:p>
    <w:p w14:paraId="63D283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2"/>
          <w:lang w:val="en-US" w:eastAsia="zh-CN"/>
        </w:rPr>
      </w:pPr>
      <w:r>
        <w:rPr>
          <w:rFonts w:hint="eastAsia"/>
          <w:sz w:val="24"/>
          <w:szCs w:val="22"/>
          <w:lang w:val="en-US" w:eastAsia="zh-CN"/>
        </w:rPr>
        <w:t>2、差错率万分之一以内，需申请书号公开出版；</w:t>
      </w:r>
    </w:p>
    <w:p w14:paraId="00E9AB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2"/>
          <w:lang w:val="en-US" w:eastAsia="zh-CN"/>
        </w:rPr>
      </w:pPr>
      <w:r>
        <w:rPr>
          <w:rFonts w:hint="eastAsia"/>
          <w:sz w:val="24"/>
          <w:szCs w:val="22"/>
          <w:lang w:val="en-US" w:eastAsia="zh-CN"/>
        </w:rPr>
        <w:t>3、为保证项目质量，供应商为本项目制定相关的服务内容包含服务方案、项目组织方案、编纂技术方案等，并具有相关履约经验，为本项目配备相关人员。</w:t>
      </w:r>
    </w:p>
    <w:p w14:paraId="58A7AF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2"/>
          <w:lang w:val="en-US" w:eastAsia="zh-CN"/>
        </w:rPr>
      </w:pPr>
      <w:r>
        <w:rPr>
          <w:rFonts w:hint="eastAsia"/>
          <w:sz w:val="24"/>
          <w:szCs w:val="22"/>
          <w:lang w:val="en-US" w:eastAsia="zh-CN"/>
        </w:rPr>
        <w:t>保密要求：成交供应商因履行本合同所获得的一切原始资料、信息及相关工作成果属采购人所有，成交供应商负有保密义务。未经采购人书面同意，成交供应商不得在合同期内或合同履行完毕后以任何方式对外泄露或用于与本项目无关的其他任何事项。如因成交供应商过错导致采购人遭受损失的，成交供应商应承担全部赔偿责任。采购人提供的所有技术资料和基础资料（文字、图纸、电子数据等）均受版权保护，未经采购人授权，任何人不得将其内容复制、引用、改编、分发、发布、外借、转让。</w:t>
      </w:r>
    </w:p>
    <w:p w14:paraId="4E1953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2"/>
          <w:lang w:val="en-US" w:eastAsia="zh-CN"/>
        </w:rPr>
      </w:pPr>
      <w:r>
        <w:rPr>
          <w:rFonts w:hint="default"/>
          <w:sz w:val="24"/>
          <w:szCs w:val="22"/>
          <w:lang w:val="en-US" w:eastAsia="zh-CN"/>
        </w:rPr>
        <w:t>在履行合同过程中，由成交供应商自行负责和承担相关安全责任。若发生由于自身安全措施不力造成事故，其责任和因此发生的费用及后果由成交人承担，成交供应商投入本项目工作人员的人身安全由成交供应商负责。成交供应商应为本项目工作人员购买人身意外伤害险及与本项目实施有关的一切保险。（单独提供承诺函，格式自拟并加盖供应商公章）</w:t>
      </w:r>
    </w:p>
    <w:p w14:paraId="0B36DA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2"/>
        </w:rPr>
      </w:pPr>
    </w:p>
    <w:p w14:paraId="0F8E5C5C"/>
    <w:p w14:paraId="22863A98"/>
    <w:p w14:paraId="176E32A1"/>
    <w:p w14:paraId="10C7028B">
      <w:pPr>
        <w:pStyle w:val="9"/>
      </w:pPr>
    </w:p>
    <w:p w14:paraId="14CE5AEC"/>
    <w:p w14:paraId="797E7506">
      <w:pPr>
        <w:pStyle w:val="9"/>
      </w:pPr>
    </w:p>
    <w:p w14:paraId="2D210932"/>
    <w:p w14:paraId="5D66CF1A">
      <w:pPr>
        <w:pStyle w:val="9"/>
      </w:pPr>
    </w:p>
    <w:p w14:paraId="351AECAD">
      <w:pPr>
        <w:pStyle w:val="9"/>
      </w:pPr>
    </w:p>
    <w:p w14:paraId="2B40E2E8">
      <w:pPr>
        <w:pStyle w:val="9"/>
      </w:pPr>
    </w:p>
    <w:p w14:paraId="2F4C6CA8">
      <w:pPr>
        <w:pStyle w:val="9"/>
      </w:pPr>
    </w:p>
    <w:p w14:paraId="3ABAA036">
      <w:pPr>
        <w:pStyle w:val="9"/>
      </w:pPr>
    </w:p>
    <w:p w14:paraId="00EE5B1A">
      <w:pPr>
        <w:pStyle w:val="9"/>
      </w:pPr>
    </w:p>
    <w:p w14:paraId="07A84541">
      <w:pPr>
        <w:pStyle w:val="9"/>
      </w:pPr>
    </w:p>
    <w:p w14:paraId="25399F1B">
      <w:pPr>
        <w:pStyle w:val="9"/>
      </w:pPr>
    </w:p>
    <w:p w14:paraId="76B250C4">
      <w:pPr>
        <w:pStyle w:val="9"/>
      </w:pPr>
    </w:p>
    <w:p w14:paraId="5F190685">
      <w:pPr>
        <w:pStyle w:val="9"/>
      </w:pPr>
    </w:p>
    <w:p w14:paraId="21B9263F">
      <w:pPr>
        <w:pStyle w:val="9"/>
      </w:pPr>
    </w:p>
    <w:p w14:paraId="3C7391F3">
      <w:pPr>
        <w:pStyle w:val="9"/>
      </w:pPr>
    </w:p>
    <w:p w14:paraId="1A69F4C6">
      <w:pPr>
        <w:pStyle w:val="9"/>
      </w:pPr>
    </w:p>
    <w:p w14:paraId="5DE20541">
      <w:pPr>
        <w:pStyle w:val="9"/>
      </w:pPr>
    </w:p>
    <w:p w14:paraId="37A88B99">
      <w:pPr>
        <w:pStyle w:val="9"/>
      </w:pPr>
    </w:p>
    <w:p w14:paraId="2144FD71">
      <w:pPr>
        <w:pStyle w:val="9"/>
      </w:pPr>
    </w:p>
    <w:p w14:paraId="7E8A07D5">
      <w:pPr>
        <w:pStyle w:val="9"/>
      </w:pPr>
    </w:p>
    <w:p w14:paraId="37BD896E">
      <w:pPr>
        <w:pStyle w:val="9"/>
      </w:pPr>
    </w:p>
    <w:p w14:paraId="595A787D">
      <w:pPr>
        <w:pStyle w:val="9"/>
      </w:pPr>
    </w:p>
    <w:p w14:paraId="6D7B6109">
      <w:pPr>
        <w:pStyle w:val="9"/>
      </w:pPr>
    </w:p>
    <w:p w14:paraId="51D371B7">
      <w:pPr>
        <w:pStyle w:val="9"/>
      </w:pPr>
    </w:p>
    <w:p w14:paraId="587F4721">
      <w:pPr>
        <w:pStyle w:val="9"/>
      </w:pPr>
    </w:p>
    <w:p w14:paraId="4C8B7246">
      <w:pPr>
        <w:pStyle w:val="9"/>
      </w:pPr>
    </w:p>
    <w:p w14:paraId="7F2E4ECE">
      <w:pPr>
        <w:pStyle w:val="9"/>
      </w:pPr>
    </w:p>
    <w:p w14:paraId="4997D55D">
      <w:pPr>
        <w:pStyle w:val="9"/>
      </w:pPr>
    </w:p>
    <w:p w14:paraId="2321C59A"/>
    <w:p w14:paraId="3D9628FF">
      <w:pPr>
        <w:pStyle w:val="9"/>
      </w:pPr>
    </w:p>
    <w:p w14:paraId="07F724DA"/>
    <w:p w14:paraId="209D73BF"/>
    <w:p w14:paraId="6EE1EC37"/>
    <w:p w14:paraId="79639F5B">
      <w:pPr>
        <w:pStyle w:val="2"/>
        <w:spacing w:line="240" w:lineRule="auto"/>
        <w:jc w:val="center"/>
        <w:rPr>
          <w:rFonts w:ascii="宋体" w:hAnsi="宋体" w:cs="宋体"/>
          <w:bCs/>
          <w:sz w:val="24"/>
          <w:szCs w:val="24"/>
        </w:rPr>
      </w:pPr>
      <w:r>
        <w:rPr>
          <w:rFonts w:hint="eastAsia" w:ascii="宋体" w:hAnsi="宋体" w:cs="宋体"/>
          <w:sz w:val="36"/>
          <w:szCs w:val="22"/>
        </w:rPr>
        <w:t>第七部分 评审方法</w:t>
      </w:r>
      <w:bookmarkEnd w:id="308"/>
    </w:p>
    <w:p w14:paraId="3D7B8050">
      <w:pPr>
        <w:spacing w:line="360" w:lineRule="auto"/>
        <w:rPr>
          <w:rFonts w:ascii="宋体" w:hAnsi="宋体" w:cs="宋体"/>
          <w:b/>
          <w:bCs/>
          <w:sz w:val="24"/>
          <w:szCs w:val="24"/>
        </w:rPr>
      </w:pPr>
      <w:r>
        <w:rPr>
          <w:rFonts w:hint="eastAsia" w:ascii="宋体" w:hAnsi="宋体" w:cs="宋体"/>
          <w:b/>
          <w:bCs/>
          <w:sz w:val="24"/>
          <w:szCs w:val="24"/>
        </w:rPr>
        <w:t>一、评审方法</w:t>
      </w:r>
    </w:p>
    <w:p w14:paraId="479829DE">
      <w:pPr>
        <w:spacing w:line="360" w:lineRule="auto"/>
        <w:ind w:firstLine="480" w:firstLineChars="200"/>
        <w:rPr>
          <w:rFonts w:ascii="宋体" w:hAnsi="宋体" w:cs="宋体"/>
          <w:sz w:val="24"/>
          <w:szCs w:val="24"/>
        </w:rPr>
      </w:pPr>
      <w:r>
        <w:rPr>
          <w:rFonts w:hint="eastAsia" w:ascii="宋体" w:hAnsi="宋体" w:cs="宋体"/>
          <w:sz w:val="24"/>
          <w:szCs w:val="24"/>
        </w:rPr>
        <w:t>按照中华人民共和国财政部令第 74 号--《政府采购非招标采购方式管理办法》</w:t>
      </w:r>
    </w:p>
    <w:p w14:paraId="2F60E110">
      <w:pPr>
        <w:spacing w:line="360" w:lineRule="auto"/>
        <w:rPr>
          <w:rFonts w:ascii="宋体" w:hAnsi="宋体" w:cs="宋体"/>
          <w:sz w:val="24"/>
          <w:szCs w:val="24"/>
        </w:rPr>
      </w:pPr>
      <w:r>
        <w:rPr>
          <w:rFonts w:hint="eastAsia" w:ascii="宋体" w:hAnsi="宋体" w:cs="宋体"/>
          <w:sz w:val="24"/>
          <w:szCs w:val="24"/>
        </w:rPr>
        <w:t>的规定，本次评审采用最低评标价法，即质量和服务均能满足谈判文件要求的供应</w:t>
      </w:r>
    </w:p>
    <w:p w14:paraId="656797CE">
      <w:pPr>
        <w:spacing w:line="360" w:lineRule="auto"/>
        <w:rPr>
          <w:rFonts w:ascii="宋体" w:hAnsi="宋体" w:cs="宋体"/>
          <w:sz w:val="24"/>
          <w:szCs w:val="24"/>
        </w:rPr>
      </w:pPr>
      <w:r>
        <w:rPr>
          <w:rFonts w:hint="eastAsia" w:ascii="宋体" w:hAnsi="宋体" w:cs="宋体"/>
          <w:sz w:val="24"/>
          <w:szCs w:val="24"/>
        </w:rPr>
        <w:t>商中，按照最后报价由低到高的顺序依次排序，推荐成交候选人。</w:t>
      </w:r>
    </w:p>
    <w:p w14:paraId="10A9E31D">
      <w:pPr>
        <w:spacing w:line="360" w:lineRule="auto"/>
        <w:rPr>
          <w:rFonts w:ascii="宋体" w:hAnsi="宋体" w:cs="宋体"/>
          <w:b/>
          <w:bCs/>
          <w:sz w:val="24"/>
          <w:szCs w:val="24"/>
        </w:rPr>
      </w:pPr>
      <w:r>
        <w:rPr>
          <w:rFonts w:hint="eastAsia" w:ascii="宋体" w:hAnsi="宋体" w:cs="宋体"/>
          <w:b/>
          <w:bCs/>
          <w:sz w:val="24"/>
          <w:szCs w:val="24"/>
        </w:rPr>
        <w:t>二、评审程序</w:t>
      </w:r>
    </w:p>
    <w:p w14:paraId="13A71BED">
      <w:pPr>
        <w:spacing w:line="360" w:lineRule="auto"/>
        <w:ind w:firstLine="480" w:firstLineChars="200"/>
        <w:rPr>
          <w:rFonts w:ascii="宋体" w:hAnsi="宋体" w:cs="宋体"/>
          <w:sz w:val="24"/>
          <w:szCs w:val="24"/>
        </w:rPr>
      </w:pPr>
      <w:r>
        <w:rPr>
          <w:rFonts w:hint="eastAsia" w:ascii="宋体" w:hAnsi="宋体" w:cs="宋体"/>
          <w:sz w:val="24"/>
          <w:szCs w:val="24"/>
        </w:rPr>
        <w:t>按照资格审查、符合性审查、谈判、最终报价推荐成交候选单位等步骤进行评审，</w:t>
      </w:r>
    </w:p>
    <w:p w14:paraId="51946AE3">
      <w:pPr>
        <w:spacing w:line="360" w:lineRule="auto"/>
        <w:rPr>
          <w:rFonts w:hint="eastAsia" w:ascii="宋体" w:hAnsi="宋体" w:cs="宋体"/>
          <w:sz w:val="24"/>
          <w:szCs w:val="24"/>
        </w:rPr>
      </w:pPr>
      <w:r>
        <w:rPr>
          <w:rFonts w:hint="eastAsia" w:ascii="宋体" w:hAnsi="宋体" w:cs="宋体"/>
          <w:sz w:val="24"/>
          <w:szCs w:val="24"/>
        </w:rPr>
        <w:t>资格性审查由采购人和代理机构共同审查，符合性审查由谈判小组审查。在上一步评审中被废标者，不进入下一步的评审。</w:t>
      </w:r>
    </w:p>
    <w:p w14:paraId="6AEB2AD1">
      <w:pPr>
        <w:spacing w:line="360" w:lineRule="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、对竞争性谈判响应文件的</w:t>
      </w:r>
      <w:r>
        <w:rPr>
          <w:rFonts w:hint="eastAsia" w:ascii="宋体" w:hAnsi="宋体" w:cs="宋体"/>
          <w:sz w:val="24"/>
          <w:szCs w:val="24"/>
          <w:lang w:val="en-US" w:eastAsia="zh-CN"/>
        </w:rPr>
        <w:t>资格性</w:t>
      </w:r>
      <w:r>
        <w:rPr>
          <w:rFonts w:hint="eastAsia" w:ascii="宋体" w:hAnsi="宋体" w:cs="宋体"/>
          <w:sz w:val="24"/>
          <w:szCs w:val="24"/>
        </w:rPr>
        <w:t>审查：</w:t>
      </w:r>
    </w:p>
    <w:p w14:paraId="298992CE">
      <w:pPr>
        <w:spacing w:line="360" w:lineRule="auto"/>
        <w:rPr>
          <w:rFonts w:ascii="宋体" w:hAnsi="宋体" w:cs="宋体"/>
          <w:sz w:val="24"/>
          <w:szCs w:val="24"/>
        </w:rPr>
      </w:pPr>
      <w:r>
        <w:rPr>
          <w:rFonts w:hint="eastAsia" w:ascii="宋体" w:hAnsi="宋体" w:cs="宋体"/>
          <w:sz w:val="24"/>
          <w:szCs w:val="24"/>
        </w:rPr>
        <w:t>按照以下内容对竞争性谈判响应文件</w:t>
      </w:r>
      <w:r>
        <w:rPr>
          <w:rFonts w:hint="eastAsia" w:ascii="宋体" w:hAnsi="宋体" w:cs="宋体"/>
          <w:sz w:val="24"/>
          <w:szCs w:val="24"/>
          <w:lang w:val="en-US" w:eastAsia="zh-CN"/>
        </w:rPr>
        <w:t>资格性</w:t>
      </w:r>
      <w:r>
        <w:rPr>
          <w:rFonts w:hint="eastAsia" w:ascii="宋体" w:hAnsi="宋体" w:cs="宋体"/>
          <w:sz w:val="24"/>
          <w:szCs w:val="24"/>
        </w:rPr>
        <w:t>审查，一项不合格其投标即为无效投标。</w:t>
      </w:r>
    </w:p>
    <w:tbl>
      <w:tblPr>
        <w:tblStyle w:val="23"/>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973"/>
        <w:gridCol w:w="5536"/>
      </w:tblGrid>
      <w:tr w14:paraId="6586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noWrap w:val="0"/>
            <w:vAlign w:val="center"/>
          </w:tcPr>
          <w:p w14:paraId="4A68E02D">
            <w:pPr>
              <w:jc w:val="center"/>
              <w:rPr>
                <w:rFonts w:ascii="宋体" w:hAnsi="宋体" w:cs="宋体"/>
                <w:b/>
                <w:bCs/>
                <w:sz w:val="24"/>
                <w:szCs w:val="24"/>
              </w:rPr>
            </w:pPr>
            <w:r>
              <w:rPr>
                <w:rFonts w:hint="eastAsia" w:ascii="宋体" w:hAnsi="宋体" w:cs="宋体"/>
                <w:b/>
                <w:bCs/>
                <w:sz w:val="24"/>
                <w:szCs w:val="24"/>
              </w:rPr>
              <w:t>序号</w:t>
            </w:r>
          </w:p>
        </w:tc>
        <w:tc>
          <w:tcPr>
            <w:tcW w:w="2973" w:type="dxa"/>
            <w:noWrap w:val="0"/>
            <w:vAlign w:val="center"/>
          </w:tcPr>
          <w:p w14:paraId="162FD3E0">
            <w:pPr>
              <w:jc w:val="center"/>
              <w:rPr>
                <w:rFonts w:ascii="宋体" w:hAnsi="宋体" w:cs="宋体"/>
                <w:b/>
                <w:bCs/>
                <w:sz w:val="24"/>
                <w:szCs w:val="24"/>
              </w:rPr>
            </w:pPr>
            <w:r>
              <w:rPr>
                <w:rFonts w:hint="eastAsia" w:ascii="宋体" w:hAnsi="宋体" w:cs="宋体"/>
                <w:b/>
                <w:bCs/>
                <w:sz w:val="24"/>
                <w:szCs w:val="24"/>
              </w:rPr>
              <w:t>评审名称</w:t>
            </w:r>
          </w:p>
        </w:tc>
        <w:tc>
          <w:tcPr>
            <w:tcW w:w="5536" w:type="dxa"/>
            <w:noWrap w:val="0"/>
            <w:vAlign w:val="center"/>
          </w:tcPr>
          <w:p w14:paraId="595508E2">
            <w:pPr>
              <w:jc w:val="center"/>
              <w:rPr>
                <w:rFonts w:ascii="宋体" w:hAnsi="宋体" w:cs="宋体"/>
                <w:b/>
                <w:bCs/>
                <w:sz w:val="24"/>
                <w:szCs w:val="24"/>
              </w:rPr>
            </w:pPr>
            <w:r>
              <w:rPr>
                <w:rFonts w:hint="eastAsia" w:ascii="宋体" w:hAnsi="宋体" w:cs="宋体"/>
                <w:b/>
                <w:bCs/>
                <w:sz w:val="24"/>
                <w:szCs w:val="24"/>
              </w:rPr>
              <w:t>评审标准</w:t>
            </w:r>
          </w:p>
        </w:tc>
      </w:tr>
      <w:tr w14:paraId="57E9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6EC335E9">
            <w:pPr>
              <w:jc w:val="center"/>
              <w:rPr>
                <w:rFonts w:ascii="宋体" w:hAnsi="宋体" w:cs="宋体"/>
                <w:sz w:val="24"/>
                <w:szCs w:val="24"/>
              </w:rPr>
            </w:pPr>
            <w:r>
              <w:rPr>
                <w:rFonts w:hint="eastAsia" w:ascii="宋体" w:hAnsi="宋体" w:cs="宋体"/>
                <w:sz w:val="24"/>
                <w:szCs w:val="24"/>
              </w:rPr>
              <w:t>1</w:t>
            </w:r>
          </w:p>
        </w:tc>
        <w:tc>
          <w:tcPr>
            <w:tcW w:w="2973" w:type="dxa"/>
            <w:noWrap w:val="0"/>
            <w:vAlign w:val="center"/>
          </w:tcPr>
          <w:p w14:paraId="51EE8694">
            <w:pPr>
              <w:jc w:val="center"/>
              <w:rPr>
                <w:rFonts w:ascii="宋体" w:hAnsi="宋体" w:cs="宋体"/>
                <w:sz w:val="24"/>
                <w:szCs w:val="24"/>
              </w:rPr>
            </w:pPr>
            <w:r>
              <w:rPr>
                <w:rFonts w:hint="eastAsia"/>
                <w:sz w:val="24"/>
                <w:szCs w:val="24"/>
              </w:rPr>
              <w:t>营业执照</w:t>
            </w:r>
          </w:p>
        </w:tc>
        <w:tc>
          <w:tcPr>
            <w:tcW w:w="5536" w:type="dxa"/>
            <w:noWrap w:val="0"/>
            <w:vAlign w:val="center"/>
          </w:tcPr>
          <w:p w14:paraId="43AB7E44">
            <w:pPr>
              <w:rPr>
                <w:rFonts w:ascii="宋体" w:hAnsi="宋体" w:cs="宋体"/>
                <w:sz w:val="24"/>
                <w:szCs w:val="24"/>
              </w:rPr>
            </w:pPr>
            <w:r>
              <w:rPr>
                <w:rFonts w:hint="eastAsia" w:ascii="宋体" w:hAnsi="宋体" w:cs="宋体"/>
                <w:sz w:val="24"/>
                <w:szCs w:val="24"/>
              </w:rPr>
              <w:t>投标人须具备独立承担民事责任能力的法人或其他组织，提供合法有效的统一社会信用代码的营业执照； </w:t>
            </w:r>
          </w:p>
        </w:tc>
      </w:tr>
      <w:tr w14:paraId="2FAB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2F1DEA53">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2</w:t>
            </w:r>
          </w:p>
        </w:tc>
        <w:tc>
          <w:tcPr>
            <w:tcW w:w="2973" w:type="dxa"/>
            <w:noWrap w:val="0"/>
            <w:vAlign w:val="center"/>
          </w:tcPr>
          <w:p w14:paraId="346CE0D5">
            <w:pPr>
              <w:jc w:val="center"/>
              <w:rPr>
                <w:rFonts w:hint="eastAsia"/>
                <w:sz w:val="24"/>
                <w:szCs w:val="24"/>
              </w:rPr>
            </w:pPr>
            <w:r>
              <w:rPr>
                <w:rFonts w:hint="eastAsia"/>
                <w:sz w:val="24"/>
                <w:szCs w:val="24"/>
              </w:rPr>
              <w:t>财务状况报告</w:t>
            </w:r>
          </w:p>
        </w:tc>
        <w:tc>
          <w:tcPr>
            <w:tcW w:w="5536" w:type="dxa"/>
            <w:noWrap w:val="0"/>
            <w:vAlign w:val="center"/>
          </w:tcPr>
          <w:p w14:paraId="1B0614D6">
            <w:pPr>
              <w:rPr>
                <w:rFonts w:hint="eastAsia"/>
                <w:sz w:val="24"/>
                <w:szCs w:val="24"/>
              </w:rPr>
            </w:pPr>
            <w:r>
              <w:rPr>
                <w:rFonts w:hint="eastAsia"/>
                <w:sz w:val="24"/>
                <w:szCs w:val="24"/>
              </w:rPr>
              <w:t>提供企业2024年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 </w:t>
            </w:r>
          </w:p>
        </w:tc>
      </w:tr>
      <w:tr w14:paraId="7396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007D7776">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2973" w:type="dxa"/>
            <w:noWrap w:val="0"/>
            <w:vAlign w:val="center"/>
          </w:tcPr>
          <w:p w14:paraId="4DD76763">
            <w:pPr>
              <w:jc w:val="center"/>
              <w:rPr>
                <w:rFonts w:hint="eastAsia"/>
                <w:sz w:val="24"/>
                <w:szCs w:val="24"/>
              </w:rPr>
            </w:pPr>
            <w:r>
              <w:rPr>
                <w:rFonts w:hint="eastAsia"/>
                <w:sz w:val="24"/>
                <w:szCs w:val="24"/>
              </w:rPr>
              <w:t>社会保障资金缴纳证明</w:t>
            </w:r>
          </w:p>
        </w:tc>
        <w:tc>
          <w:tcPr>
            <w:tcW w:w="5536" w:type="dxa"/>
            <w:noWrap w:val="0"/>
            <w:vAlign w:val="center"/>
          </w:tcPr>
          <w:p w14:paraId="0CE468C2">
            <w:pPr>
              <w:rPr>
                <w:rFonts w:hint="eastAsia"/>
                <w:sz w:val="24"/>
                <w:szCs w:val="24"/>
              </w:rPr>
            </w:pPr>
            <w:r>
              <w:rPr>
                <w:rFonts w:hint="eastAsia"/>
                <w:sz w:val="24"/>
                <w:szCs w:val="24"/>
              </w:rPr>
              <w:t>提供2025年1月至今已缴存的至少一个月的社会保障资金缴纳证明（社会保障资金缴存单据或社保机构开具的社会保险参保缴费情况证明），依法不需要缴纳社会保障资金的单位应提供相关证明材料；</w:t>
            </w:r>
          </w:p>
        </w:tc>
      </w:tr>
      <w:tr w14:paraId="7B13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18AB437D">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4</w:t>
            </w:r>
          </w:p>
        </w:tc>
        <w:tc>
          <w:tcPr>
            <w:tcW w:w="2973" w:type="dxa"/>
            <w:noWrap w:val="0"/>
            <w:vAlign w:val="center"/>
          </w:tcPr>
          <w:p w14:paraId="2EE8595B">
            <w:pPr>
              <w:jc w:val="center"/>
              <w:rPr>
                <w:rFonts w:ascii="宋体" w:hAnsi="宋体" w:cs="宋体"/>
                <w:sz w:val="24"/>
                <w:szCs w:val="24"/>
              </w:rPr>
            </w:pPr>
            <w:r>
              <w:rPr>
                <w:rFonts w:hint="eastAsia"/>
                <w:sz w:val="24"/>
                <w:szCs w:val="24"/>
              </w:rPr>
              <w:t>税收缴纳证明</w:t>
            </w:r>
          </w:p>
        </w:tc>
        <w:tc>
          <w:tcPr>
            <w:tcW w:w="5536" w:type="dxa"/>
            <w:noWrap w:val="0"/>
            <w:vAlign w:val="center"/>
          </w:tcPr>
          <w:p w14:paraId="59E2CD17">
            <w:pPr>
              <w:rPr>
                <w:rFonts w:ascii="宋体" w:hAnsi="宋体" w:cs="宋体"/>
                <w:sz w:val="24"/>
                <w:szCs w:val="24"/>
              </w:rPr>
            </w:pPr>
            <w:r>
              <w:rPr>
                <w:rFonts w:hint="eastAsia"/>
                <w:sz w:val="24"/>
                <w:szCs w:val="24"/>
              </w:rPr>
              <w:t>提供2025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p>
        </w:tc>
      </w:tr>
      <w:tr w14:paraId="2E9C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778" w:type="dxa"/>
            <w:noWrap w:val="0"/>
            <w:vAlign w:val="center"/>
          </w:tcPr>
          <w:p w14:paraId="735D159C">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5</w:t>
            </w:r>
          </w:p>
        </w:tc>
        <w:tc>
          <w:tcPr>
            <w:tcW w:w="2973" w:type="dxa"/>
            <w:noWrap w:val="0"/>
            <w:vAlign w:val="center"/>
          </w:tcPr>
          <w:p w14:paraId="43EC3562">
            <w:pPr>
              <w:jc w:val="center"/>
              <w:rPr>
                <w:rFonts w:ascii="宋体" w:hAnsi="宋体" w:cs="宋体"/>
                <w:sz w:val="24"/>
                <w:szCs w:val="24"/>
              </w:rPr>
            </w:pPr>
            <w:r>
              <w:rPr>
                <w:rFonts w:hint="eastAsia"/>
                <w:sz w:val="24"/>
                <w:szCs w:val="24"/>
              </w:rPr>
              <w:t>没有重大违法记录的书面声明</w:t>
            </w:r>
          </w:p>
        </w:tc>
        <w:tc>
          <w:tcPr>
            <w:tcW w:w="5536" w:type="dxa"/>
            <w:noWrap w:val="0"/>
            <w:vAlign w:val="center"/>
          </w:tcPr>
          <w:p w14:paraId="7E7CBB11">
            <w:pPr>
              <w:rPr>
                <w:rFonts w:ascii="宋体" w:hAnsi="宋体" w:cs="宋体"/>
                <w:sz w:val="24"/>
                <w:szCs w:val="24"/>
              </w:rPr>
            </w:pPr>
            <w:r>
              <w:rPr>
                <w:rFonts w:hint="eastAsia"/>
                <w:sz w:val="24"/>
                <w:szCs w:val="24"/>
              </w:rPr>
              <w:t>参加政府采购活动前3年内在经营活动中没有重大违法记录的书面声明（格式自拟，加盖投标人公章）；</w:t>
            </w:r>
            <w:r>
              <w:rPr>
                <w:rFonts w:hint="eastAsia"/>
                <w:sz w:val="24"/>
                <w:szCs w:val="24"/>
              </w:rPr>
              <w:br w:type="textWrapping"/>
            </w:r>
          </w:p>
        </w:tc>
      </w:tr>
      <w:tr w14:paraId="25CC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78" w:type="dxa"/>
            <w:noWrap w:val="0"/>
            <w:vAlign w:val="center"/>
          </w:tcPr>
          <w:p w14:paraId="231B1284">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6</w:t>
            </w:r>
          </w:p>
        </w:tc>
        <w:tc>
          <w:tcPr>
            <w:tcW w:w="2973" w:type="dxa"/>
            <w:noWrap w:val="0"/>
            <w:vAlign w:val="center"/>
          </w:tcPr>
          <w:p w14:paraId="294201C0">
            <w:pPr>
              <w:jc w:val="center"/>
              <w:rPr>
                <w:rFonts w:ascii="宋体" w:hAnsi="宋体" w:cs="宋体"/>
                <w:sz w:val="24"/>
                <w:szCs w:val="24"/>
              </w:rPr>
            </w:pPr>
            <w:r>
              <w:rPr>
                <w:rFonts w:hint="eastAsia"/>
                <w:sz w:val="24"/>
                <w:szCs w:val="24"/>
              </w:rPr>
              <w:t>信用中国</w:t>
            </w:r>
          </w:p>
        </w:tc>
        <w:tc>
          <w:tcPr>
            <w:tcW w:w="5536" w:type="dxa"/>
            <w:noWrap w:val="0"/>
            <w:vAlign w:val="center"/>
          </w:tcPr>
          <w:p w14:paraId="22CC5B85">
            <w:pPr>
              <w:spacing w:line="360" w:lineRule="auto"/>
              <w:rPr>
                <w:rFonts w:hint="default" w:eastAsia="宋体"/>
                <w:lang w:val="en-US" w:eastAsia="zh-CN"/>
              </w:rPr>
            </w:pPr>
            <w:r>
              <w:rPr>
                <w:rFonts w:hint="eastAsia"/>
                <w:sz w:val="24"/>
                <w:szCs w:val="24"/>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ascii="宋体" w:hAnsi="宋体" w:eastAsia="宋体" w:cs="宋体"/>
                <w:color w:val="auto"/>
                <w:sz w:val="24"/>
                <w:szCs w:val="24"/>
              </w:rPr>
              <w:t xml:space="preserve">    </w:t>
            </w:r>
          </w:p>
        </w:tc>
      </w:tr>
      <w:tr w14:paraId="53A0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5A754E43">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7</w:t>
            </w:r>
          </w:p>
        </w:tc>
        <w:tc>
          <w:tcPr>
            <w:tcW w:w="2973" w:type="dxa"/>
            <w:noWrap w:val="0"/>
            <w:vAlign w:val="center"/>
          </w:tcPr>
          <w:p w14:paraId="7E072AB2">
            <w:pPr>
              <w:jc w:val="center"/>
              <w:rPr>
                <w:rFonts w:hint="eastAsia" w:ascii="宋体" w:hAnsi="宋体" w:cs="宋体"/>
                <w:sz w:val="24"/>
                <w:szCs w:val="24"/>
              </w:rPr>
            </w:pPr>
            <w:r>
              <w:rPr>
                <w:rFonts w:hint="eastAsia"/>
                <w:sz w:val="24"/>
                <w:szCs w:val="24"/>
              </w:rPr>
              <w:t>投标信用承诺书</w:t>
            </w:r>
          </w:p>
        </w:tc>
        <w:tc>
          <w:tcPr>
            <w:tcW w:w="5536" w:type="dxa"/>
            <w:noWrap w:val="0"/>
            <w:vAlign w:val="center"/>
          </w:tcPr>
          <w:p w14:paraId="63D4D22E">
            <w:pPr>
              <w:rPr>
                <w:rFonts w:hint="eastAsia" w:ascii="宋体" w:hAnsi="宋体" w:cs="宋体"/>
                <w:sz w:val="24"/>
                <w:szCs w:val="24"/>
              </w:rPr>
            </w:pPr>
            <w:r>
              <w:rPr>
                <w:rFonts w:hint="eastAsia"/>
                <w:sz w:val="24"/>
                <w:szCs w:val="24"/>
              </w:rPr>
              <w:t>投标保证金用投标信用承诺书代替（提供投标信用承诺书）；</w:t>
            </w:r>
          </w:p>
        </w:tc>
      </w:tr>
      <w:tr w14:paraId="15D9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6B946CD3">
            <w:pPr>
              <w:jc w:val="center"/>
              <w:rPr>
                <w:rFonts w:hint="default" w:ascii="宋体" w:hAnsi="宋体" w:cs="宋体"/>
                <w:sz w:val="24"/>
                <w:szCs w:val="24"/>
                <w:lang w:val="en-US" w:eastAsia="zh-CN"/>
              </w:rPr>
            </w:pPr>
            <w:r>
              <w:rPr>
                <w:rFonts w:hint="eastAsia" w:ascii="宋体" w:hAnsi="宋体" w:cs="宋体"/>
                <w:sz w:val="24"/>
                <w:szCs w:val="24"/>
                <w:lang w:val="en-US" w:eastAsia="zh-CN"/>
              </w:rPr>
              <w:t>8</w:t>
            </w:r>
          </w:p>
        </w:tc>
        <w:tc>
          <w:tcPr>
            <w:tcW w:w="2973" w:type="dxa"/>
            <w:noWrap w:val="0"/>
            <w:vAlign w:val="center"/>
          </w:tcPr>
          <w:p w14:paraId="6E3A216B">
            <w:pPr>
              <w:jc w:val="center"/>
              <w:rPr>
                <w:rFonts w:hint="eastAsia"/>
                <w:sz w:val="24"/>
                <w:szCs w:val="24"/>
              </w:rPr>
            </w:pPr>
            <w:r>
              <w:rPr>
                <w:rFonts w:hint="eastAsia"/>
                <w:sz w:val="24"/>
                <w:szCs w:val="24"/>
              </w:rPr>
              <w:t>小微企业声明函</w:t>
            </w:r>
          </w:p>
        </w:tc>
        <w:tc>
          <w:tcPr>
            <w:tcW w:w="5536" w:type="dxa"/>
            <w:noWrap w:val="0"/>
            <w:vAlign w:val="center"/>
          </w:tcPr>
          <w:p w14:paraId="382ECE91">
            <w:pPr>
              <w:rPr>
                <w:rFonts w:hint="eastAsia"/>
                <w:sz w:val="24"/>
                <w:szCs w:val="24"/>
              </w:rPr>
            </w:pPr>
            <w:r>
              <w:rPr>
                <w:rFonts w:hint="eastAsia"/>
                <w:sz w:val="24"/>
                <w:szCs w:val="24"/>
              </w:rPr>
              <w:t>本项目专门面向小微企业采购（须提供小微企业声明函）；</w:t>
            </w:r>
          </w:p>
        </w:tc>
      </w:tr>
      <w:tr w14:paraId="7C5A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55B1C719">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9</w:t>
            </w:r>
          </w:p>
        </w:tc>
        <w:tc>
          <w:tcPr>
            <w:tcW w:w="2973" w:type="dxa"/>
            <w:noWrap w:val="0"/>
            <w:vAlign w:val="center"/>
          </w:tcPr>
          <w:p w14:paraId="547D900D">
            <w:pPr>
              <w:jc w:val="center"/>
              <w:rPr>
                <w:rFonts w:hint="eastAsia" w:ascii="宋体" w:hAnsi="宋体" w:cs="宋体"/>
                <w:sz w:val="24"/>
                <w:szCs w:val="24"/>
              </w:rPr>
            </w:pPr>
            <w:r>
              <w:rPr>
                <w:rFonts w:hint="eastAsia"/>
                <w:sz w:val="24"/>
                <w:szCs w:val="24"/>
              </w:rPr>
              <w:t>非联合体投标声明函</w:t>
            </w:r>
          </w:p>
        </w:tc>
        <w:tc>
          <w:tcPr>
            <w:tcW w:w="5536" w:type="dxa"/>
            <w:noWrap w:val="0"/>
            <w:vAlign w:val="center"/>
          </w:tcPr>
          <w:p w14:paraId="2642865B">
            <w:pPr>
              <w:rPr>
                <w:rFonts w:hint="eastAsia" w:ascii="宋体" w:hAnsi="宋体" w:cs="宋体"/>
                <w:sz w:val="24"/>
                <w:szCs w:val="24"/>
              </w:rPr>
            </w:pPr>
            <w:r>
              <w:rPr>
                <w:rFonts w:hint="eastAsia"/>
                <w:sz w:val="24"/>
                <w:szCs w:val="24"/>
              </w:rPr>
              <w:t>本项目不接受联合体投标，单位负责人为同一人或者存在直接控股、管理关系的不同投标人，不得参加同一合同项下的政府采购活动（须提供非联合体投标声明函）。</w:t>
            </w:r>
          </w:p>
        </w:tc>
      </w:tr>
      <w:tr w14:paraId="799E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2DEF8073">
            <w:pPr>
              <w:jc w:val="center"/>
              <w:rPr>
                <w:rFonts w:hint="default" w:ascii="宋体" w:hAnsi="宋体" w:cs="宋体"/>
                <w:sz w:val="24"/>
                <w:szCs w:val="24"/>
                <w:lang w:val="en-US" w:eastAsia="zh-CN"/>
              </w:rPr>
            </w:pPr>
            <w:r>
              <w:rPr>
                <w:rFonts w:hint="eastAsia" w:ascii="宋体" w:hAnsi="宋体" w:cs="宋体"/>
                <w:sz w:val="24"/>
                <w:szCs w:val="24"/>
                <w:lang w:val="en-US" w:eastAsia="zh-CN"/>
              </w:rPr>
              <w:t>10</w:t>
            </w:r>
          </w:p>
        </w:tc>
        <w:tc>
          <w:tcPr>
            <w:tcW w:w="2973" w:type="dxa"/>
            <w:noWrap w:val="0"/>
            <w:vAlign w:val="center"/>
          </w:tcPr>
          <w:p w14:paraId="30CAB12E">
            <w:pPr>
              <w:jc w:val="center"/>
              <w:rPr>
                <w:rFonts w:hint="eastAsia"/>
                <w:sz w:val="24"/>
                <w:szCs w:val="24"/>
              </w:rPr>
            </w:pPr>
            <w:r>
              <w:rPr>
                <w:rFonts w:hint="eastAsia"/>
                <w:sz w:val="24"/>
                <w:szCs w:val="24"/>
              </w:rPr>
              <w:t>印刷经营许可证</w:t>
            </w:r>
          </w:p>
        </w:tc>
        <w:tc>
          <w:tcPr>
            <w:tcW w:w="5536" w:type="dxa"/>
            <w:noWrap w:val="0"/>
            <w:vAlign w:val="center"/>
          </w:tcPr>
          <w:p w14:paraId="6FE929D4">
            <w:pPr>
              <w:rPr>
                <w:rFonts w:hint="eastAsia"/>
                <w:sz w:val="24"/>
                <w:szCs w:val="24"/>
              </w:rPr>
            </w:pPr>
            <w:r>
              <w:rPr>
                <w:rFonts w:hint="eastAsia"/>
                <w:sz w:val="24"/>
                <w:szCs w:val="24"/>
              </w:rPr>
              <w:t>供应商须具有印刷经营许可证。</w:t>
            </w:r>
          </w:p>
        </w:tc>
      </w:tr>
    </w:tbl>
    <w:p w14:paraId="23E2ADCB">
      <w:pPr>
        <w:spacing w:line="360" w:lineRule="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、对竞争性谈判响应文件的符合性审查：</w:t>
      </w:r>
    </w:p>
    <w:p w14:paraId="472F9780">
      <w:pPr>
        <w:spacing w:line="360" w:lineRule="auto"/>
        <w:rPr>
          <w:rFonts w:ascii="宋体" w:hAnsi="宋体" w:cs="宋体"/>
          <w:sz w:val="24"/>
          <w:szCs w:val="24"/>
        </w:rPr>
      </w:pPr>
      <w:r>
        <w:rPr>
          <w:rFonts w:hint="eastAsia" w:ascii="宋体" w:hAnsi="宋体" w:cs="宋体"/>
          <w:sz w:val="24"/>
          <w:szCs w:val="24"/>
        </w:rPr>
        <w:t>按照以下内容对竞争性谈判响应文件符合性审查，一项不合格其投标即为无效投标。</w:t>
      </w:r>
    </w:p>
    <w:tbl>
      <w:tblPr>
        <w:tblStyle w:val="23"/>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973"/>
        <w:gridCol w:w="5536"/>
      </w:tblGrid>
      <w:tr w14:paraId="00A0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noWrap w:val="0"/>
            <w:vAlign w:val="center"/>
          </w:tcPr>
          <w:p w14:paraId="3D2EEAE9">
            <w:pPr>
              <w:jc w:val="center"/>
              <w:rPr>
                <w:rFonts w:ascii="宋体" w:hAnsi="宋体" w:cs="宋体"/>
                <w:b/>
                <w:bCs/>
                <w:sz w:val="24"/>
                <w:szCs w:val="24"/>
              </w:rPr>
            </w:pPr>
            <w:r>
              <w:rPr>
                <w:rFonts w:hint="eastAsia" w:ascii="宋体" w:hAnsi="宋体" w:cs="宋体"/>
                <w:b/>
                <w:bCs/>
                <w:sz w:val="24"/>
                <w:szCs w:val="24"/>
              </w:rPr>
              <w:t>序号</w:t>
            </w:r>
          </w:p>
        </w:tc>
        <w:tc>
          <w:tcPr>
            <w:tcW w:w="2973" w:type="dxa"/>
            <w:noWrap w:val="0"/>
            <w:vAlign w:val="center"/>
          </w:tcPr>
          <w:p w14:paraId="3216E987">
            <w:pPr>
              <w:jc w:val="center"/>
              <w:rPr>
                <w:rFonts w:ascii="宋体" w:hAnsi="宋体" w:cs="宋体"/>
                <w:b/>
                <w:bCs/>
                <w:sz w:val="24"/>
                <w:szCs w:val="24"/>
              </w:rPr>
            </w:pPr>
            <w:r>
              <w:rPr>
                <w:rFonts w:hint="eastAsia" w:ascii="宋体" w:hAnsi="宋体" w:cs="宋体"/>
                <w:b/>
                <w:bCs/>
                <w:sz w:val="24"/>
                <w:szCs w:val="24"/>
              </w:rPr>
              <w:t>评审名称</w:t>
            </w:r>
          </w:p>
        </w:tc>
        <w:tc>
          <w:tcPr>
            <w:tcW w:w="5536" w:type="dxa"/>
            <w:noWrap w:val="0"/>
            <w:vAlign w:val="center"/>
          </w:tcPr>
          <w:p w14:paraId="6B248A14">
            <w:pPr>
              <w:jc w:val="center"/>
              <w:rPr>
                <w:rFonts w:ascii="宋体" w:hAnsi="宋体" w:cs="宋体"/>
                <w:b/>
                <w:bCs/>
                <w:sz w:val="24"/>
                <w:szCs w:val="24"/>
              </w:rPr>
            </w:pPr>
            <w:r>
              <w:rPr>
                <w:rFonts w:hint="eastAsia" w:ascii="宋体" w:hAnsi="宋体" w:cs="宋体"/>
                <w:b/>
                <w:bCs/>
                <w:sz w:val="24"/>
                <w:szCs w:val="24"/>
              </w:rPr>
              <w:t>评审标准</w:t>
            </w:r>
          </w:p>
        </w:tc>
      </w:tr>
      <w:tr w14:paraId="05A6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47F5635B">
            <w:pPr>
              <w:jc w:val="center"/>
              <w:rPr>
                <w:rFonts w:ascii="宋体" w:hAnsi="宋体" w:cs="宋体"/>
                <w:sz w:val="24"/>
                <w:szCs w:val="24"/>
              </w:rPr>
            </w:pPr>
            <w:r>
              <w:rPr>
                <w:rFonts w:hint="eastAsia" w:ascii="宋体" w:hAnsi="宋体" w:cs="宋体"/>
                <w:sz w:val="24"/>
                <w:szCs w:val="24"/>
              </w:rPr>
              <w:t>1</w:t>
            </w:r>
          </w:p>
        </w:tc>
        <w:tc>
          <w:tcPr>
            <w:tcW w:w="2973" w:type="dxa"/>
            <w:noWrap w:val="0"/>
            <w:vAlign w:val="center"/>
          </w:tcPr>
          <w:p w14:paraId="2E33A931">
            <w:pPr>
              <w:jc w:val="center"/>
              <w:rPr>
                <w:rFonts w:ascii="宋体" w:hAnsi="宋体" w:cs="宋体"/>
                <w:sz w:val="24"/>
                <w:szCs w:val="24"/>
              </w:rPr>
            </w:pPr>
            <w:r>
              <w:rPr>
                <w:rFonts w:hint="eastAsia" w:ascii="宋体" w:hAnsi="宋体" w:cs="宋体"/>
                <w:sz w:val="24"/>
                <w:szCs w:val="24"/>
              </w:rPr>
              <w:t>响应函签署、盖章</w:t>
            </w:r>
          </w:p>
        </w:tc>
        <w:tc>
          <w:tcPr>
            <w:tcW w:w="5536" w:type="dxa"/>
            <w:noWrap w:val="0"/>
            <w:vAlign w:val="center"/>
          </w:tcPr>
          <w:p w14:paraId="4913CAF2">
            <w:pPr>
              <w:rPr>
                <w:rFonts w:ascii="宋体" w:hAnsi="宋体" w:cs="宋体"/>
                <w:sz w:val="24"/>
                <w:szCs w:val="24"/>
              </w:rPr>
            </w:pPr>
            <w:r>
              <w:rPr>
                <w:rFonts w:hint="eastAsia" w:ascii="宋体" w:hAnsi="宋体" w:cs="宋体"/>
                <w:sz w:val="24"/>
                <w:szCs w:val="24"/>
              </w:rPr>
              <w:t>谈判函加盖投标人公章，且经法定代表人或其授权代表签字或盖章的。</w:t>
            </w:r>
          </w:p>
        </w:tc>
      </w:tr>
      <w:tr w14:paraId="50CC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778" w:type="dxa"/>
            <w:noWrap w:val="0"/>
            <w:vAlign w:val="center"/>
          </w:tcPr>
          <w:p w14:paraId="2A5A1F5C">
            <w:pPr>
              <w:jc w:val="center"/>
              <w:rPr>
                <w:rFonts w:ascii="宋体" w:hAnsi="宋体" w:cs="宋体"/>
                <w:sz w:val="24"/>
                <w:szCs w:val="24"/>
              </w:rPr>
            </w:pPr>
            <w:r>
              <w:rPr>
                <w:rFonts w:hint="eastAsia" w:ascii="宋体" w:hAnsi="宋体" w:cs="宋体"/>
                <w:sz w:val="24"/>
                <w:szCs w:val="24"/>
              </w:rPr>
              <w:t>2</w:t>
            </w:r>
          </w:p>
        </w:tc>
        <w:tc>
          <w:tcPr>
            <w:tcW w:w="2973" w:type="dxa"/>
            <w:noWrap w:val="0"/>
            <w:vAlign w:val="center"/>
          </w:tcPr>
          <w:p w14:paraId="52407818">
            <w:pPr>
              <w:jc w:val="center"/>
              <w:rPr>
                <w:rFonts w:ascii="宋体" w:hAnsi="宋体" w:cs="宋体"/>
                <w:sz w:val="24"/>
                <w:szCs w:val="24"/>
              </w:rPr>
            </w:pPr>
            <w:r>
              <w:rPr>
                <w:rFonts w:hint="eastAsia" w:ascii="宋体" w:hAnsi="宋体" w:cs="宋体"/>
                <w:sz w:val="24"/>
                <w:szCs w:val="24"/>
              </w:rPr>
              <w:t>投标保证金</w:t>
            </w:r>
          </w:p>
        </w:tc>
        <w:tc>
          <w:tcPr>
            <w:tcW w:w="5536" w:type="dxa"/>
            <w:noWrap w:val="0"/>
            <w:vAlign w:val="center"/>
          </w:tcPr>
          <w:p w14:paraId="2B78D519">
            <w:pPr>
              <w:rPr>
                <w:rFonts w:hint="eastAsia" w:ascii="宋体" w:hAnsi="宋体" w:eastAsia="宋体" w:cs="宋体"/>
                <w:sz w:val="24"/>
                <w:szCs w:val="24"/>
                <w:lang w:eastAsia="zh-CN"/>
              </w:rPr>
            </w:pPr>
            <w:r>
              <w:rPr>
                <w:rFonts w:hint="eastAsia" w:ascii="宋体" w:hAnsi="宋体" w:cs="宋体"/>
                <w:sz w:val="24"/>
                <w:szCs w:val="24"/>
              </w:rPr>
              <w:t>投标单位按照谈判文件规定时间</w:t>
            </w:r>
            <w:r>
              <w:rPr>
                <w:rFonts w:hint="eastAsia" w:ascii="宋体" w:hAnsi="宋体" w:cs="宋体"/>
                <w:sz w:val="24"/>
                <w:szCs w:val="24"/>
                <w:lang w:eastAsia="zh-CN"/>
              </w:rPr>
              <w:t>提交投标信用承诺书；</w:t>
            </w:r>
          </w:p>
        </w:tc>
      </w:tr>
      <w:tr w14:paraId="497E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78" w:type="dxa"/>
            <w:noWrap w:val="0"/>
            <w:vAlign w:val="center"/>
          </w:tcPr>
          <w:p w14:paraId="3E6883B8">
            <w:pPr>
              <w:jc w:val="center"/>
              <w:rPr>
                <w:rFonts w:ascii="宋体" w:hAnsi="宋体" w:cs="宋体"/>
                <w:sz w:val="24"/>
                <w:szCs w:val="24"/>
              </w:rPr>
            </w:pPr>
            <w:r>
              <w:rPr>
                <w:rFonts w:hint="eastAsia" w:ascii="宋体" w:hAnsi="宋体" w:cs="宋体"/>
                <w:sz w:val="24"/>
                <w:szCs w:val="24"/>
              </w:rPr>
              <w:t>3</w:t>
            </w:r>
          </w:p>
        </w:tc>
        <w:tc>
          <w:tcPr>
            <w:tcW w:w="2973" w:type="dxa"/>
            <w:noWrap w:val="0"/>
            <w:vAlign w:val="center"/>
          </w:tcPr>
          <w:p w14:paraId="4F2E8DDB">
            <w:pPr>
              <w:jc w:val="center"/>
              <w:rPr>
                <w:rFonts w:ascii="宋体" w:hAnsi="宋体" w:cs="宋体"/>
                <w:sz w:val="24"/>
                <w:szCs w:val="24"/>
              </w:rPr>
            </w:pPr>
            <w:r>
              <w:rPr>
                <w:rFonts w:hint="eastAsia" w:ascii="宋体" w:hAnsi="宋体" w:cs="宋体"/>
                <w:sz w:val="24"/>
                <w:szCs w:val="24"/>
              </w:rPr>
              <w:t>法定代表人授权书</w:t>
            </w:r>
          </w:p>
        </w:tc>
        <w:tc>
          <w:tcPr>
            <w:tcW w:w="5536" w:type="dxa"/>
            <w:noWrap w:val="0"/>
            <w:vAlign w:val="center"/>
          </w:tcPr>
          <w:p w14:paraId="4EEDBD46">
            <w:pPr>
              <w:rPr>
                <w:rFonts w:ascii="宋体" w:hAnsi="宋体" w:cs="宋体"/>
                <w:sz w:val="24"/>
                <w:szCs w:val="24"/>
              </w:rPr>
            </w:pPr>
            <w:r>
              <w:rPr>
                <w:rFonts w:hint="eastAsia" w:ascii="宋体" w:hAnsi="宋体" w:cs="宋体"/>
                <w:sz w:val="24"/>
                <w:szCs w:val="24"/>
                <w:lang w:eastAsia="zh-CN"/>
              </w:rPr>
              <w:t>谈判响应文件</w:t>
            </w:r>
            <w:r>
              <w:rPr>
                <w:rFonts w:hint="eastAsia" w:ascii="宋体" w:hAnsi="宋体" w:cs="宋体"/>
                <w:sz w:val="24"/>
                <w:szCs w:val="24"/>
              </w:rPr>
              <w:t>有法定代表人授权书（法人直接投标除外）且授权书的合法性和有效性符合竞争性谈判文件规定的。</w:t>
            </w:r>
          </w:p>
        </w:tc>
      </w:tr>
      <w:tr w14:paraId="6B58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778" w:type="dxa"/>
            <w:noWrap w:val="0"/>
            <w:vAlign w:val="center"/>
          </w:tcPr>
          <w:p w14:paraId="1957BE0C">
            <w:pPr>
              <w:jc w:val="center"/>
              <w:rPr>
                <w:rFonts w:ascii="宋体" w:hAnsi="宋体" w:cs="宋体"/>
                <w:sz w:val="24"/>
                <w:szCs w:val="24"/>
              </w:rPr>
            </w:pPr>
            <w:r>
              <w:rPr>
                <w:rFonts w:hint="eastAsia" w:ascii="宋体" w:hAnsi="宋体" w:cs="宋体"/>
                <w:sz w:val="24"/>
                <w:szCs w:val="24"/>
              </w:rPr>
              <w:t>4</w:t>
            </w:r>
          </w:p>
        </w:tc>
        <w:tc>
          <w:tcPr>
            <w:tcW w:w="2973" w:type="dxa"/>
            <w:noWrap w:val="0"/>
            <w:vAlign w:val="center"/>
          </w:tcPr>
          <w:p w14:paraId="2A1C8ED9">
            <w:pPr>
              <w:jc w:val="center"/>
              <w:rPr>
                <w:rFonts w:ascii="宋体" w:hAnsi="宋体" w:cs="宋体"/>
                <w:sz w:val="24"/>
                <w:szCs w:val="24"/>
              </w:rPr>
            </w:pPr>
            <w:r>
              <w:rPr>
                <w:rFonts w:hint="eastAsia" w:ascii="宋体" w:hAnsi="宋体" w:cs="宋体"/>
                <w:sz w:val="24"/>
                <w:szCs w:val="24"/>
              </w:rPr>
              <w:t>谈判文件签署、盖章及投标有效期</w:t>
            </w:r>
          </w:p>
        </w:tc>
        <w:tc>
          <w:tcPr>
            <w:tcW w:w="5536" w:type="dxa"/>
            <w:noWrap w:val="0"/>
            <w:vAlign w:val="center"/>
          </w:tcPr>
          <w:p w14:paraId="47AA2CA7">
            <w:pPr>
              <w:rPr>
                <w:rFonts w:ascii="宋体" w:hAnsi="宋体" w:cs="宋体"/>
                <w:sz w:val="24"/>
                <w:szCs w:val="24"/>
              </w:rPr>
            </w:pPr>
            <w:r>
              <w:rPr>
                <w:rFonts w:hint="eastAsia" w:ascii="宋体" w:hAnsi="宋体" w:cs="宋体"/>
                <w:sz w:val="24"/>
                <w:szCs w:val="24"/>
              </w:rPr>
              <w:t>谈判响应文件按竞争性谈判文件规定要求装订、签署、盖章的,投标有效期达到竞争性谈判文件要求的。</w:t>
            </w:r>
          </w:p>
        </w:tc>
      </w:tr>
      <w:tr w14:paraId="4AF0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7E150552">
            <w:pPr>
              <w:jc w:val="center"/>
              <w:rPr>
                <w:rFonts w:ascii="宋体" w:hAnsi="宋体" w:cs="宋体"/>
                <w:sz w:val="24"/>
                <w:szCs w:val="24"/>
              </w:rPr>
            </w:pPr>
            <w:r>
              <w:rPr>
                <w:rFonts w:hint="eastAsia" w:ascii="宋体" w:hAnsi="宋体" w:cs="宋体"/>
                <w:sz w:val="24"/>
                <w:szCs w:val="24"/>
              </w:rPr>
              <w:t>5</w:t>
            </w:r>
          </w:p>
        </w:tc>
        <w:tc>
          <w:tcPr>
            <w:tcW w:w="2973" w:type="dxa"/>
            <w:noWrap w:val="0"/>
            <w:vAlign w:val="center"/>
          </w:tcPr>
          <w:p w14:paraId="4B674A8C">
            <w:pPr>
              <w:jc w:val="center"/>
              <w:rPr>
                <w:rFonts w:ascii="宋体" w:hAnsi="宋体" w:cs="宋体"/>
                <w:sz w:val="24"/>
                <w:szCs w:val="24"/>
              </w:rPr>
            </w:pPr>
            <w:r>
              <w:rPr>
                <w:rFonts w:hint="eastAsia" w:ascii="宋体" w:hAnsi="宋体" w:cs="宋体"/>
                <w:sz w:val="24"/>
                <w:szCs w:val="24"/>
              </w:rPr>
              <w:t>谈判响应文件编写</w:t>
            </w:r>
          </w:p>
        </w:tc>
        <w:tc>
          <w:tcPr>
            <w:tcW w:w="5536" w:type="dxa"/>
            <w:noWrap w:val="0"/>
            <w:vAlign w:val="center"/>
          </w:tcPr>
          <w:p w14:paraId="1BC4F144">
            <w:pPr>
              <w:rPr>
                <w:rFonts w:ascii="宋体" w:hAnsi="宋体" w:cs="宋体"/>
                <w:sz w:val="24"/>
                <w:szCs w:val="24"/>
              </w:rPr>
            </w:pPr>
            <w:r>
              <w:rPr>
                <w:rFonts w:hint="eastAsia" w:ascii="宋体" w:hAnsi="宋体" w:cs="宋体"/>
                <w:sz w:val="24"/>
                <w:szCs w:val="24"/>
              </w:rPr>
              <w:t>谈判响应文件按照竞争性谈判文件要求的格式编写及谈判响应文件的关键内容字迹清晰、可辨认的。</w:t>
            </w:r>
          </w:p>
        </w:tc>
      </w:tr>
      <w:tr w14:paraId="23F3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3C6BB153">
            <w:pPr>
              <w:jc w:val="center"/>
              <w:rPr>
                <w:rFonts w:ascii="宋体" w:hAnsi="宋体" w:cs="宋体"/>
                <w:sz w:val="24"/>
                <w:szCs w:val="24"/>
              </w:rPr>
            </w:pPr>
            <w:r>
              <w:rPr>
                <w:rFonts w:hint="eastAsia" w:ascii="宋体" w:hAnsi="宋体" w:cs="宋体"/>
                <w:sz w:val="24"/>
                <w:szCs w:val="24"/>
              </w:rPr>
              <w:t>6</w:t>
            </w:r>
          </w:p>
        </w:tc>
        <w:tc>
          <w:tcPr>
            <w:tcW w:w="2973" w:type="dxa"/>
            <w:noWrap w:val="0"/>
            <w:vAlign w:val="center"/>
          </w:tcPr>
          <w:p w14:paraId="7BC8EEB6">
            <w:pPr>
              <w:jc w:val="center"/>
              <w:rPr>
                <w:rFonts w:ascii="宋体" w:hAnsi="宋体" w:cs="宋体"/>
                <w:sz w:val="24"/>
                <w:szCs w:val="24"/>
              </w:rPr>
            </w:pPr>
            <w:r>
              <w:rPr>
                <w:rFonts w:hint="eastAsia" w:ascii="宋体" w:hAnsi="宋体" w:cs="宋体"/>
                <w:sz w:val="24"/>
                <w:szCs w:val="24"/>
              </w:rPr>
              <w:t>虚假材料</w:t>
            </w:r>
          </w:p>
        </w:tc>
        <w:tc>
          <w:tcPr>
            <w:tcW w:w="5536" w:type="dxa"/>
            <w:noWrap w:val="0"/>
            <w:vAlign w:val="center"/>
          </w:tcPr>
          <w:p w14:paraId="2A8B30B3">
            <w:pPr>
              <w:rPr>
                <w:rFonts w:ascii="宋体" w:hAnsi="宋体" w:cs="宋体"/>
                <w:sz w:val="24"/>
                <w:szCs w:val="24"/>
              </w:rPr>
            </w:pPr>
            <w:r>
              <w:rPr>
                <w:rFonts w:hint="eastAsia" w:ascii="宋体" w:hAnsi="宋体" w:cs="宋体"/>
                <w:sz w:val="24"/>
                <w:szCs w:val="24"/>
              </w:rPr>
              <w:t>未提供虚假证明（包括第三方提供的虚假证明），未开具虚假资质，未出现虚假应答。</w:t>
            </w:r>
          </w:p>
        </w:tc>
      </w:tr>
      <w:tr w14:paraId="2DC9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778" w:type="dxa"/>
            <w:noWrap w:val="0"/>
            <w:vAlign w:val="center"/>
          </w:tcPr>
          <w:p w14:paraId="48491DD0">
            <w:pPr>
              <w:jc w:val="center"/>
              <w:rPr>
                <w:rFonts w:ascii="宋体" w:hAnsi="宋体" w:cs="宋体"/>
                <w:sz w:val="24"/>
                <w:szCs w:val="24"/>
              </w:rPr>
            </w:pPr>
            <w:r>
              <w:rPr>
                <w:rFonts w:hint="eastAsia" w:ascii="宋体" w:hAnsi="宋体" w:cs="宋体"/>
                <w:sz w:val="24"/>
                <w:szCs w:val="24"/>
              </w:rPr>
              <w:t>7</w:t>
            </w:r>
          </w:p>
        </w:tc>
        <w:tc>
          <w:tcPr>
            <w:tcW w:w="2973" w:type="dxa"/>
            <w:noWrap w:val="0"/>
            <w:vAlign w:val="center"/>
          </w:tcPr>
          <w:p w14:paraId="617A962E">
            <w:pPr>
              <w:jc w:val="center"/>
              <w:rPr>
                <w:rFonts w:ascii="宋体" w:hAnsi="宋体" w:cs="宋体"/>
                <w:sz w:val="24"/>
                <w:szCs w:val="24"/>
              </w:rPr>
            </w:pPr>
            <w:r>
              <w:rPr>
                <w:rFonts w:hint="eastAsia" w:ascii="宋体" w:hAnsi="宋体" w:cs="宋体"/>
                <w:sz w:val="24"/>
                <w:szCs w:val="24"/>
              </w:rPr>
              <w:t>实质性响应</w:t>
            </w:r>
          </w:p>
        </w:tc>
        <w:tc>
          <w:tcPr>
            <w:tcW w:w="5536" w:type="dxa"/>
            <w:noWrap w:val="0"/>
            <w:vAlign w:val="center"/>
          </w:tcPr>
          <w:p w14:paraId="2E3095A7">
            <w:pPr>
              <w:rPr>
                <w:rFonts w:ascii="宋体" w:hAnsi="宋体" w:cs="宋体"/>
                <w:sz w:val="24"/>
                <w:szCs w:val="24"/>
              </w:rPr>
            </w:pPr>
            <w:r>
              <w:rPr>
                <w:rFonts w:hint="eastAsia" w:ascii="宋体" w:hAnsi="宋体" w:cs="宋体"/>
                <w:sz w:val="24"/>
                <w:szCs w:val="24"/>
              </w:rPr>
              <w:t>对竞争性谈判文件做出了实质性响应没有重大缺项漏项,无明显不符合技术规格、技术标准的要求的。</w:t>
            </w:r>
          </w:p>
        </w:tc>
      </w:tr>
      <w:tr w14:paraId="179F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778" w:type="dxa"/>
            <w:noWrap w:val="0"/>
            <w:vAlign w:val="center"/>
          </w:tcPr>
          <w:p w14:paraId="6AE6F2BD">
            <w:pPr>
              <w:jc w:val="center"/>
              <w:rPr>
                <w:rFonts w:ascii="宋体" w:hAnsi="宋体" w:cs="宋体"/>
                <w:sz w:val="24"/>
                <w:szCs w:val="24"/>
              </w:rPr>
            </w:pPr>
            <w:r>
              <w:rPr>
                <w:rFonts w:hint="eastAsia" w:ascii="宋体" w:hAnsi="宋体" w:cs="宋体"/>
                <w:sz w:val="24"/>
                <w:szCs w:val="24"/>
              </w:rPr>
              <w:t>8</w:t>
            </w:r>
          </w:p>
        </w:tc>
        <w:tc>
          <w:tcPr>
            <w:tcW w:w="2973" w:type="dxa"/>
            <w:noWrap w:val="0"/>
            <w:vAlign w:val="center"/>
          </w:tcPr>
          <w:p w14:paraId="3B528709">
            <w:pPr>
              <w:jc w:val="center"/>
              <w:rPr>
                <w:rFonts w:ascii="宋体" w:hAnsi="宋体" w:cs="宋体"/>
                <w:sz w:val="24"/>
                <w:szCs w:val="24"/>
              </w:rPr>
            </w:pPr>
            <w:r>
              <w:rPr>
                <w:rFonts w:hint="eastAsia" w:ascii="宋体" w:hAnsi="宋体" w:cs="宋体"/>
                <w:sz w:val="24"/>
                <w:szCs w:val="24"/>
              </w:rPr>
              <w:t>报价</w:t>
            </w:r>
          </w:p>
        </w:tc>
        <w:tc>
          <w:tcPr>
            <w:tcW w:w="5536" w:type="dxa"/>
            <w:noWrap w:val="0"/>
            <w:vAlign w:val="center"/>
          </w:tcPr>
          <w:p w14:paraId="2714C14F">
            <w:pPr>
              <w:rPr>
                <w:rFonts w:ascii="宋体" w:hAnsi="宋体" w:cs="宋体"/>
                <w:sz w:val="24"/>
                <w:szCs w:val="24"/>
              </w:rPr>
            </w:pPr>
            <w:r>
              <w:rPr>
                <w:rFonts w:hint="eastAsia" w:ascii="宋体" w:hAnsi="宋体" w:cs="宋体"/>
                <w:sz w:val="24"/>
                <w:szCs w:val="24"/>
              </w:rPr>
              <w:t>1）供应商在同一份谈判响应文件中，只有一个有效报价的；</w:t>
            </w:r>
          </w:p>
          <w:p w14:paraId="045E3E71">
            <w:pPr>
              <w:rPr>
                <w:rFonts w:ascii="宋体" w:hAnsi="宋体" w:cs="宋体"/>
                <w:sz w:val="24"/>
                <w:szCs w:val="24"/>
              </w:rPr>
            </w:pPr>
            <w:r>
              <w:rPr>
                <w:rFonts w:hint="eastAsia" w:ascii="宋体" w:hAnsi="宋体" w:cs="宋体"/>
                <w:sz w:val="24"/>
                <w:szCs w:val="24"/>
              </w:rPr>
              <w:t>2）报价未超过竞争性谈判文件中规定的预算金额或者未与市场价格偏离较大、低于成本、形成不正当竞争的。</w:t>
            </w:r>
          </w:p>
        </w:tc>
      </w:tr>
      <w:tr w14:paraId="022E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78" w:type="dxa"/>
            <w:noWrap w:val="0"/>
            <w:vAlign w:val="center"/>
          </w:tcPr>
          <w:p w14:paraId="1B56C7F6">
            <w:pPr>
              <w:jc w:val="center"/>
              <w:rPr>
                <w:rFonts w:ascii="宋体" w:hAnsi="宋体" w:cs="宋体"/>
                <w:sz w:val="24"/>
                <w:szCs w:val="24"/>
              </w:rPr>
            </w:pPr>
            <w:r>
              <w:rPr>
                <w:rFonts w:hint="eastAsia" w:ascii="宋体" w:hAnsi="宋体" w:cs="宋体"/>
                <w:sz w:val="24"/>
                <w:szCs w:val="24"/>
              </w:rPr>
              <w:t>9</w:t>
            </w:r>
          </w:p>
        </w:tc>
        <w:tc>
          <w:tcPr>
            <w:tcW w:w="2973" w:type="dxa"/>
            <w:noWrap w:val="0"/>
            <w:vAlign w:val="center"/>
          </w:tcPr>
          <w:p w14:paraId="3219B75D">
            <w:pPr>
              <w:jc w:val="center"/>
              <w:rPr>
                <w:rFonts w:ascii="宋体" w:hAnsi="宋体" w:cs="宋体"/>
                <w:sz w:val="24"/>
                <w:szCs w:val="24"/>
              </w:rPr>
            </w:pPr>
            <w:r>
              <w:rPr>
                <w:rFonts w:hint="eastAsia" w:ascii="宋体" w:hAnsi="宋体" w:cs="宋体"/>
                <w:sz w:val="24"/>
                <w:szCs w:val="24"/>
              </w:rPr>
              <w:t>商务要求</w:t>
            </w:r>
          </w:p>
        </w:tc>
        <w:tc>
          <w:tcPr>
            <w:tcW w:w="5536" w:type="dxa"/>
            <w:noWrap w:val="0"/>
            <w:vAlign w:val="center"/>
          </w:tcPr>
          <w:p w14:paraId="3063BD1A">
            <w:pPr>
              <w:rPr>
                <w:rFonts w:ascii="宋体" w:hAnsi="宋体" w:cs="宋体"/>
                <w:sz w:val="24"/>
                <w:szCs w:val="24"/>
              </w:rPr>
            </w:pPr>
            <w:r>
              <w:rPr>
                <w:rFonts w:hint="eastAsia" w:ascii="宋体" w:hAnsi="宋体" w:cs="宋体"/>
                <w:sz w:val="24"/>
                <w:szCs w:val="24"/>
              </w:rPr>
              <w:t>商务要求逐条响应并满足竞争性谈判文件要求。</w:t>
            </w:r>
          </w:p>
        </w:tc>
      </w:tr>
      <w:tr w14:paraId="65FD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78" w:type="dxa"/>
            <w:noWrap w:val="0"/>
            <w:vAlign w:val="center"/>
          </w:tcPr>
          <w:p w14:paraId="6CEA2B2F">
            <w:pPr>
              <w:jc w:val="center"/>
              <w:rPr>
                <w:rFonts w:ascii="宋体" w:hAnsi="宋体" w:cs="宋体"/>
                <w:sz w:val="24"/>
                <w:szCs w:val="24"/>
              </w:rPr>
            </w:pPr>
            <w:r>
              <w:rPr>
                <w:rFonts w:hint="eastAsia" w:ascii="宋体" w:hAnsi="宋体" w:cs="宋体"/>
                <w:sz w:val="24"/>
                <w:szCs w:val="24"/>
              </w:rPr>
              <w:t>10</w:t>
            </w:r>
          </w:p>
        </w:tc>
        <w:tc>
          <w:tcPr>
            <w:tcW w:w="2973" w:type="dxa"/>
            <w:noWrap w:val="0"/>
            <w:vAlign w:val="center"/>
          </w:tcPr>
          <w:p w14:paraId="01ECDA8D">
            <w:pPr>
              <w:jc w:val="center"/>
              <w:rPr>
                <w:rFonts w:ascii="宋体" w:hAnsi="宋体" w:cs="宋体"/>
                <w:sz w:val="24"/>
                <w:szCs w:val="24"/>
              </w:rPr>
            </w:pPr>
            <w:r>
              <w:rPr>
                <w:rFonts w:hint="eastAsia" w:ascii="宋体" w:hAnsi="宋体" w:cs="宋体"/>
                <w:sz w:val="24"/>
                <w:szCs w:val="24"/>
              </w:rPr>
              <w:t>响应方案</w:t>
            </w:r>
          </w:p>
        </w:tc>
        <w:tc>
          <w:tcPr>
            <w:tcW w:w="5536" w:type="dxa"/>
            <w:noWrap w:val="0"/>
            <w:vAlign w:val="center"/>
          </w:tcPr>
          <w:p w14:paraId="3971293B">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1）</w:t>
            </w:r>
            <w:r>
              <w:rPr>
                <w:rFonts w:hint="eastAsia" w:ascii="宋体" w:hAnsi="宋体" w:cs="宋体"/>
                <w:sz w:val="24"/>
              </w:rPr>
              <w:t>承诺的</w:t>
            </w:r>
            <w:r>
              <w:rPr>
                <w:rFonts w:hint="eastAsia" w:ascii="宋体" w:hAnsi="宋体" w:cs="宋体"/>
                <w:sz w:val="24"/>
                <w:lang w:val="en-US" w:eastAsia="zh-CN"/>
              </w:rPr>
              <w:t>服务期</w:t>
            </w:r>
            <w:r>
              <w:rPr>
                <w:rFonts w:hint="eastAsia" w:ascii="宋体" w:hAnsi="宋体" w:cs="宋体"/>
                <w:sz w:val="24"/>
              </w:rPr>
              <w:t>及付款方式；</w:t>
            </w:r>
          </w:p>
          <w:p w14:paraId="2CD0893D">
            <w:pPr>
              <w:spacing w:line="360" w:lineRule="auto"/>
              <w:rPr>
                <w:rFonts w:hint="eastAsia" w:ascii="宋体" w:hAnsi="宋体" w:cs="宋体"/>
                <w:sz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cs="宋体"/>
                <w:sz w:val="24"/>
              </w:rPr>
              <w:t>项目的</w:t>
            </w:r>
            <w:r>
              <w:rPr>
                <w:rFonts w:hint="eastAsia" w:ascii="宋体" w:hAnsi="宋体" w:cs="宋体"/>
                <w:sz w:val="24"/>
                <w:lang w:val="en-US" w:eastAsia="zh-CN"/>
              </w:rPr>
              <w:t>服务</w:t>
            </w:r>
            <w:r>
              <w:rPr>
                <w:rFonts w:hint="eastAsia" w:ascii="宋体" w:hAnsi="宋体" w:cs="宋体"/>
                <w:sz w:val="24"/>
              </w:rPr>
              <w:t>方案的完整合理性；</w:t>
            </w:r>
          </w:p>
          <w:p w14:paraId="3787D274">
            <w:pPr>
              <w:spacing w:line="360" w:lineRule="auto"/>
              <w:rPr>
                <w:rFonts w:hint="default" w:ascii="宋体" w:hAnsi="宋体" w:eastAsia="宋体" w:cs="宋体"/>
                <w:sz w:val="24"/>
                <w:szCs w:val="24"/>
                <w:lang w:val="en-US" w:eastAsia="zh-CN"/>
              </w:rPr>
            </w:pPr>
            <w:r>
              <w:rPr>
                <w:rFonts w:hint="eastAsia" w:ascii="宋体" w:hAnsi="宋体" w:cs="宋体"/>
                <w:sz w:val="24"/>
                <w:lang w:val="en-US" w:eastAsia="zh-CN"/>
              </w:rPr>
              <w:t>3）</w:t>
            </w:r>
            <w:r>
              <w:rPr>
                <w:rFonts w:hint="eastAsia" w:ascii="宋体" w:hAnsi="宋体" w:cs="宋体"/>
                <w:sz w:val="24"/>
              </w:rPr>
              <w:t>项目的人员配备情况的合理性；</w:t>
            </w:r>
          </w:p>
          <w:p w14:paraId="6F82ACB4">
            <w:pPr>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b w:val="0"/>
                <w:bCs w:val="0"/>
                <w:color w:val="auto"/>
                <w:sz w:val="24"/>
                <w:highlight w:val="none"/>
                <w:lang w:val="en-US" w:eastAsia="zh-CN"/>
              </w:rPr>
              <w:t>质量保证承诺</w:t>
            </w:r>
            <w:r>
              <w:rPr>
                <w:rFonts w:hint="eastAsia" w:ascii="宋体" w:hAnsi="宋体" w:cs="宋体"/>
                <w:sz w:val="24"/>
                <w:szCs w:val="22"/>
              </w:rPr>
              <w:t>；</w:t>
            </w:r>
          </w:p>
          <w:p w14:paraId="378E511C">
            <w:pPr>
              <w:spacing w:line="360" w:lineRule="auto"/>
              <w:rPr>
                <w:rFonts w:hint="default" w:eastAsia="宋体"/>
                <w:lang w:val="en-US" w:eastAsia="zh-CN"/>
              </w:rPr>
            </w:pPr>
            <w:r>
              <w:rPr>
                <w:rFonts w:hint="eastAsia" w:ascii="宋体" w:hAnsi="宋体" w:cs="宋体"/>
                <w:sz w:val="24"/>
                <w:szCs w:val="24"/>
                <w:lang w:val="en-US" w:eastAsia="zh-CN"/>
              </w:rPr>
              <w:t>5</w:t>
            </w:r>
            <w:r>
              <w:rPr>
                <w:rFonts w:hint="eastAsia" w:ascii="宋体" w:hAnsi="宋体" w:eastAsia="宋体" w:cs="宋体"/>
                <w:sz w:val="24"/>
                <w:szCs w:val="24"/>
              </w:rPr>
              <w:t>）</w:t>
            </w:r>
            <w:r>
              <w:rPr>
                <w:rFonts w:hint="eastAsia" w:ascii="宋体" w:hAnsi="宋体" w:cs="宋体"/>
                <w:sz w:val="24"/>
                <w:szCs w:val="22"/>
              </w:rPr>
              <w:t>其他特殊要求因素（如安全及环保等）。</w:t>
            </w:r>
            <w:r>
              <w:rPr>
                <w:rFonts w:hint="eastAsia" w:ascii="宋体" w:hAnsi="宋体" w:eastAsia="宋体" w:cs="宋体"/>
                <w:color w:val="auto"/>
                <w:sz w:val="24"/>
                <w:szCs w:val="24"/>
              </w:rPr>
              <w:t xml:space="preserve">   </w:t>
            </w:r>
          </w:p>
        </w:tc>
      </w:tr>
      <w:tr w14:paraId="4F25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67922A2D">
            <w:pPr>
              <w:jc w:val="center"/>
              <w:rPr>
                <w:rFonts w:ascii="宋体" w:hAnsi="宋体" w:cs="宋体"/>
                <w:sz w:val="24"/>
                <w:szCs w:val="24"/>
              </w:rPr>
            </w:pPr>
            <w:r>
              <w:rPr>
                <w:rFonts w:hint="eastAsia" w:ascii="宋体" w:hAnsi="宋体" w:cs="宋体"/>
                <w:sz w:val="24"/>
                <w:szCs w:val="24"/>
              </w:rPr>
              <w:t>11</w:t>
            </w:r>
          </w:p>
        </w:tc>
        <w:tc>
          <w:tcPr>
            <w:tcW w:w="2973" w:type="dxa"/>
            <w:noWrap w:val="0"/>
            <w:vAlign w:val="center"/>
          </w:tcPr>
          <w:p w14:paraId="4CF475A8">
            <w:pPr>
              <w:jc w:val="center"/>
              <w:rPr>
                <w:rFonts w:ascii="宋体" w:hAnsi="宋体" w:cs="宋体"/>
                <w:sz w:val="24"/>
                <w:szCs w:val="24"/>
              </w:rPr>
            </w:pPr>
            <w:r>
              <w:rPr>
                <w:rFonts w:hint="eastAsia" w:ascii="宋体" w:hAnsi="宋体" w:cs="宋体"/>
                <w:sz w:val="24"/>
                <w:szCs w:val="24"/>
              </w:rPr>
              <w:t>其他要求</w:t>
            </w:r>
          </w:p>
        </w:tc>
        <w:tc>
          <w:tcPr>
            <w:tcW w:w="5536" w:type="dxa"/>
            <w:noWrap w:val="0"/>
            <w:vAlign w:val="center"/>
          </w:tcPr>
          <w:p w14:paraId="54A8719E">
            <w:pPr>
              <w:rPr>
                <w:rFonts w:ascii="宋体" w:hAnsi="宋体" w:cs="宋体"/>
                <w:sz w:val="24"/>
                <w:szCs w:val="24"/>
              </w:rPr>
            </w:pPr>
            <w:r>
              <w:rPr>
                <w:rFonts w:hint="eastAsia" w:ascii="宋体" w:hAnsi="宋体" w:cs="宋体"/>
                <w:sz w:val="24"/>
                <w:szCs w:val="24"/>
              </w:rPr>
              <w:t>满足谈判文件规定的其他要求。</w:t>
            </w:r>
          </w:p>
        </w:tc>
      </w:tr>
    </w:tbl>
    <w:p w14:paraId="0EC18240">
      <w:pPr>
        <w:spacing w:line="360" w:lineRule="auto"/>
        <w:ind w:firstLine="480" w:firstLineChars="200"/>
        <w:rPr>
          <w:rFonts w:ascii="宋体" w:hAnsi="宋体" w:cs="宋体"/>
          <w:sz w:val="24"/>
          <w:szCs w:val="24"/>
        </w:rPr>
      </w:pPr>
      <w:r>
        <w:rPr>
          <w:rFonts w:hint="eastAsia" w:ascii="宋体" w:hAnsi="宋体" w:cs="宋体"/>
          <w:sz w:val="24"/>
          <w:szCs w:val="24"/>
        </w:rPr>
        <w:t>2、对于竞争性谈判响应文件中可能出现的不一致和算术计算错误按以下方法</w:t>
      </w:r>
    </w:p>
    <w:p w14:paraId="3E7B5335">
      <w:pPr>
        <w:spacing w:line="360" w:lineRule="auto"/>
        <w:rPr>
          <w:rFonts w:ascii="宋体" w:hAnsi="宋体" w:cs="宋体"/>
          <w:sz w:val="24"/>
          <w:szCs w:val="24"/>
        </w:rPr>
      </w:pPr>
      <w:r>
        <w:rPr>
          <w:rFonts w:hint="eastAsia" w:ascii="宋体" w:hAnsi="宋体" w:cs="宋体"/>
          <w:sz w:val="24"/>
          <w:szCs w:val="24"/>
        </w:rPr>
        <w:t>更正：</w:t>
      </w:r>
    </w:p>
    <w:p w14:paraId="137CC59E">
      <w:pPr>
        <w:spacing w:line="360" w:lineRule="auto"/>
        <w:ind w:firstLine="480" w:firstLineChars="200"/>
        <w:rPr>
          <w:rFonts w:ascii="宋体" w:hAnsi="宋体" w:cs="宋体"/>
          <w:sz w:val="24"/>
          <w:szCs w:val="24"/>
        </w:rPr>
      </w:pPr>
      <w:r>
        <w:rPr>
          <w:rFonts w:hint="eastAsia" w:ascii="宋体" w:hAnsi="宋体" w:cs="宋体"/>
          <w:sz w:val="24"/>
          <w:szCs w:val="24"/>
        </w:rPr>
        <w:t>1）开标时，竞争性谈判响应文件中谈判报价表（报价表）内容与竞争性谈判</w:t>
      </w:r>
    </w:p>
    <w:p w14:paraId="1F9387C0">
      <w:pPr>
        <w:spacing w:line="360" w:lineRule="auto"/>
        <w:rPr>
          <w:rFonts w:ascii="宋体" w:hAnsi="宋体" w:cs="宋体"/>
          <w:sz w:val="24"/>
          <w:szCs w:val="24"/>
        </w:rPr>
      </w:pPr>
      <w:r>
        <w:rPr>
          <w:rFonts w:hint="eastAsia" w:ascii="宋体" w:hAnsi="宋体" w:cs="宋体"/>
          <w:sz w:val="24"/>
          <w:szCs w:val="24"/>
        </w:rPr>
        <w:t>响应文件中明细表内容不一致的，以谈判报价表（报价表）为准。</w:t>
      </w:r>
    </w:p>
    <w:p w14:paraId="5412465A">
      <w:pPr>
        <w:spacing w:line="360" w:lineRule="auto"/>
        <w:ind w:firstLine="480" w:firstLineChars="200"/>
        <w:rPr>
          <w:rFonts w:ascii="宋体" w:hAnsi="宋体" w:cs="宋体"/>
          <w:sz w:val="24"/>
          <w:szCs w:val="24"/>
        </w:rPr>
      </w:pPr>
      <w:r>
        <w:rPr>
          <w:rFonts w:hint="eastAsia" w:ascii="宋体" w:hAnsi="宋体" w:cs="宋体"/>
          <w:sz w:val="24"/>
          <w:szCs w:val="24"/>
        </w:rPr>
        <w:t>2）用数字表示的金额和用文字表示的金额不一致的，以文字表示的金额为准。</w:t>
      </w:r>
    </w:p>
    <w:p w14:paraId="175008E5">
      <w:pPr>
        <w:spacing w:line="360" w:lineRule="auto"/>
        <w:ind w:firstLine="480" w:firstLineChars="200"/>
        <w:rPr>
          <w:rFonts w:ascii="宋体" w:hAnsi="宋体" w:cs="宋体"/>
          <w:sz w:val="24"/>
          <w:szCs w:val="24"/>
        </w:rPr>
      </w:pPr>
      <w:r>
        <w:rPr>
          <w:rFonts w:hint="eastAsia" w:ascii="宋体" w:hAnsi="宋体" w:cs="宋体"/>
          <w:sz w:val="24"/>
          <w:szCs w:val="24"/>
        </w:rPr>
        <w:t>3）总价金额与按单价汇总金额不一致的，以单价金额计算结果为准；但单价</w:t>
      </w:r>
    </w:p>
    <w:p w14:paraId="13142B35">
      <w:pPr>
        <w:spacing w:line="360" w:lineRule="auto"/>
        <w:rPr>
          <w:rFonts w:ascii="宋体" w:hAnsi="宋体" w:cs="宋体"/>
          <w:sz w:val="24"/>
          <w:szCs w:val="24"/>
        </w:rPr>
      </w:pPr>
      <w:r>
        <w:rPr>
          <w:rFonts w:hint="eastAsia" w:ascii="宋体" w:hAnsi="宋体" w:cs="宋体"/>
          <w:sz w:val="24"/>
          <w:szCs w:val="24"/>
        </w:rPr>
        <w:t>金额小数点有明显错位的，以总价为准，并修正单价。</w:t>
      </w:r>
    </w:p>
    <w:p w14:paraId="0C401C9A">
      <w:pPr>
        <w:spacing w:line="360" w:lineRule="auto"/>
        <w:ind w:firstLine="480" w:firstLineChars="200"/>
        <w:rPr>
          <w:rFonts w:ascii="宋体" w:hAnsi="宋体" w:cs="宋体"/>
          <w:sz w:val="24"/>
          <w:szCs w:val="24"/>
        </w:rPr>
      </w:pPr>
      <w:r>
        <w:rPr>
          <w:rFonts w:hint="eastAsia" w:ascii="宋体" w:hAnsi="宋体" w:cs="宋体"/>
          <w:sz w:val="24"/>
          <w:szCs w:val="24"/>
        </w:rPr>
        <w:t>谈判小组将按照上述修正错误的方法修正竞争性谈判响应文件中的谈判报价，修正后的价格对供应商具有约束力。如果供应商不接受修正后的价格，其谈判将被拒绝。</w:t>
      </w:r>
    </w:p>
    <w:p w14:paraId="7D7446DB">
      <w:pPr>
        <w:spacing w:line="360" w:lineRule="auto"/>
        <w:ind w:firstLine="480" w:firstLineChars="200"/>
        <w:rPr>
          <w:rFonts w:ascii="宋体" w:hAnsi="宋体" w:cs="宋体"/>
          <w:sz w:val="24"/>
          <w:szCs w:val="24"/>
        </w:rPr>
      </w:pPr>
      <w:r>
        <w:rPr>
          <w:rFonts w:hint="eastAsia" w:ascii="宋体" w:hAnsi="宋体" w:cs="宋体"/>
          <w:sz w:val="24"/>
          <w:szCs w:val="24"/>
        </w:rPr>
        <w:t>3、对于经初审合格的所有谈判，由谈判小组各成员依据谈判响应文件，从质量和服务均能满足谈判文件要求的供应商中，按照最后报价（依照政策性扣减）由低到高的顺序依次排序，推荐成交候选人。谈判报价相同的，按照技术指标优劣顺序排序或由全体谈判小组成员无记名投票，得票高者排序在前。</w:t>
      </w:r>
    </w:p>
    <w:p w14:paraId="3707D98E">
      <w:pPr>
        <w:spacing w:line="360" w:lineRule="auto"/>
        <w:ind w:firstLine="480" w:firstLineChars="200"/>
        <w:rPr>
          <w:rFonts w:ascii="宋体" w:hAnsi="宋体" w:cs="宋体"/>
          <w:sz w:val="24"/>
          <w:szCs w:val="24"/>
        </w:rPr>
      </w:pPr>
      <w:r>
        <w:rPr>
          <w:rFonts w:hint="eastAsia" w:ascii="宋体" w:hAnsi="宋体" w:cs="宋体"/>
          <w:sz w:val="24"/>
          <w:szCs w:val="24"/>
        </w:rPr>
        <w:t>4、政策性扣减</w:t>
      </w:r>
    </w:p>
    <w:p w14:paraId="49A15D75">
      <w:pPr>
        <w:spacing w:line="360" w:lineRule="auto"/>
        <w:ind w:firstLine="480" w:firstLineChars="200"/>
        <w:rPr>
          <w:rFonts w:ascii="宋体" w:hAnsi="宋体" w:cs="宋体"/>
          <w:sz w:val="24"/>
          <w:szCs w:val="24"/>
        </w:rPr>
      </w:pPr>
      <w:r>
        <w:rPr>
          <w:rFonts w:hint="eastAsia" w:ascii="宋体" w:hAnsi="宋体" w:cs="宋体"/>
          <w:sz w:val="24"/>
          <w:szCs w:val="24"/>
        </w:rPr>
        <w:t>依据《中华人民共和国政府采购法》和《中华人民共和国政府采购实施条例》</w:t>
      </w:r>
    </w:p>
    <w:p w14:paraId="57522D91">
      <w:pPr>
        <w:spacing w:line="360" w:lineRule="auto"/>
        <w:ind w:firstLine="480" w:firstLineChars="200"/>
        <w:rPr>
          <w:rFonts w:ascii="宋体" w:hAnsi="宋体" w:cs="宋体"/>
          <w:sz w:val="24"/>
          <w:szCs w:val="24"/>
        </w:rPr>
      </w:pPr>
      <w:r>
        <w:rPr>
          <w:rFonts w:hint="eastAsia" w:ascii="宋体" w:hAnsi="宋体" w:cs="宋体"/>
          <w:sz w:val="24"/>
          <w:szCs w:val="24"/>
        </w:rPr>
        <w:t>的有关规定，落实政府采购“扶持小微企业、监狱企业、福利企业”等相关政策。</w:t>
      </w:r>
    </w:p>
    <w:p w14:paraId="414D921B">
      <w:pPr>
        <w:spacing w:line="360" w:lineRule="auto"/>
        <w:ind w:firstLine="480" w:firstLineChars="200"/>
        <w:rPr>
          <w:rFonts w:ascii="宋体" w:hAnsi="宋体" w:cs="宋体"/>
          <w:sz w:val="24"/>
          <w:szCs w:val="24"/>
        </w:rPr>
      </w:pPr>
      <w:r>
        <w:rPr>
          <w:rFonts w:hint="eastAsia" w:ascii="宋体" w:hAnsi="宋体" w:cs="宋体"/>
          <w:sz w:val="24"/>
          <w:szCs w:val="24"/>
        </w:rPr>
        <w:t>(1)《政府采购促进中小企业发展管理办法》（财库〔2020〕46 号）；</w:t>
      </w:r>
    </w:p>
    <w:p w14:paraId="367D9B14">
      <w:pPr>
        <w:spacing w:line="360" w:lineRule="auto"/>
        <w:ind w:firstLine="480" w:firstLineChars="200"/>
        <w:rPr>
          <w:rFonts w:ascii="宋体" w:hAnsi="宋体" w:cs="宋体"/>
          <w:sz w:val="24"/>
          <w:szCs w:val="24"/>
        </w:rPr>
      </w:pPr>
      <w:r>
        <w:rPr>
          <w:rFonts w:hint="eastAsia" w:ascii="宋体" w:hAnsi="宋体" w:cs="宋体"/>
          <w:sz w:val="24"/>
          <w:szCs w:val="24"/>
        </w:rPr>
        <w:t>(2)《财政部 司法部关于政府采购支持监狱企业发展有关问题的通知》（财</w:t>
      </w:r>
    </w:p>
    <w:p w14:paraId="11F860B5">
      <w:pPr>
        <w:spacing w:line="360" w:lineRule="auto"/>
        <w:ind w:firstLine="480" w:firstLineChars="200"/>
        <w:rPr>
          <w:rFonts w:ascii="宋体" w:hAnsi="宋体" w:cs="宋体"/>
          <w:sz w:val="24"/>
          <w:szCs w:val="24"/>
        </w:rPr>
      </w:pPr>
      <w:r>
        <w:rPr>
          <w:rFonts w:hint="eastAsia" w:ascii="宋体" w:hAnsi="宋体" w:cs="宋体"/>
          <w:sz w:val="24"/>
          <w:szCs w:val="24"/>
        </w:rPr>
        <w:t>库〔2014〕68 号）；</w:t>
      </w:r>
    </w:p>
    <w:p w14:paraId="16EA5FB1">
      <w:pPr>
        <w:spacing w:line="360" w:lineRule="auto"/>
        <w:ind w:firstLine="480" w:firstLineChars="200"/>
        <w:rPr>
          <w:rFonts w:ascii="宋体" w:hAnsi="宋体" w:cs="宋体"/>
          <w:sz w:val="24"/>
          <w:szCs w:val="24"/>
        </w:rPr>
      </w:pPr>
      <w:r>
        <w:rPr>
          <w:rFonts w:hint="eastAsia" w:ascii="宋体" w:hAnsi="宋体" w:cs="宋体"/>
          <w:sz w:val="24"/>
          <w:szCs w:val="24"/>
        </w:rPr>
        <w:t>(3)《财政部、民政部、中国残疾人联合会关于促进残疾人就业政府采购政策</w:t>
      </w:r>
    </w:p>
    <w:p w14:paraId="19ED5DAF">
      <w:pPr>
        <w:spacing w:line="360" w:lineRule="auto"/>
        <w:ind w:firstLine="480" w:firstLineChars="200"/>
        <w:rPr>
          <w:rFonts w:ascii="宋体" w:hAnsi="宋体" w:cs="宋体"/>
          <w:sz w:val="24"/>
          <w:szCs w:val="24"/>
        </w:rPr>
      </w:pPr>
      <w:r>
        <w:rPr>
          <w:rFonts w:hint="eastAsia" w:ascii="宋体" w:hAnsi="宋体" w:cs="宋体"/>
          <w:sz w:val="24"/>
          <w:szCs w:val="24"/>
        </w:rPr>
        <w:t>的通知》（财库[2017]141 号）。</w:t>
      </w:r>
    </w:p>
    <w:p w14:paraId="6F178C9D">
      <w:pPr>
        <w:spacing w:line="360" w:lineRule="auto"/>
        <w:ind w:firstLine="480" w:firstLineChars="200"/>
        <w:rPr>
          <w:sz w:val="24"/>
          <w:szCs w:val="24"/>
        </w:rPr>
      </w:pPr>
      <w:r>
        <w:rPr>
          <w:rFonts w:hint="eastAsia"/>
          <w:sz w:val="24"/>
          <w:szCs w:val="24"/>
        </w:rPr>
        <w:t>（4）《国务院办公厅关于建立政府强制采购节能产品制度的通知》（国办发〔2007〕</w:t>
      </w:r>
    </w:p>
    <w:p w14:paraId="7D75265C">
      <w:pPr>
        <w:spacing w:line="360" w:lineRule="auto"/>
        <w:rPr>
          <w:sz w:val="24"/>
          <w:szCs w:val="24"/>
        </w:rPr>
      </w:pPr>
      <w:r>
        <w:rPr>
          <w:rFonts w:hint="eastAsia"/>
          <w:sz w:val="24"/>
          <w:szCs w:val="24"/>
        </w:rPr>
        <w:t>51 号）；</w:t>
      </w:r>
    </w:p>
    <w:p w14:paraId="481C057C">
      <w:pPr>
        <w:spacing w:line="360" w:lineRule="auto"/>
        <w:ind w:firstLine="480" w:firstLineChars="200"/>
        <w:rPr>
          <w:sz w:val="24"/>
          <w:szCs w:val="24"/>
        </w:rPr>
      </w:pPr>
      <w:r>
        <w:rPr>
          <w:rFonts w:hint="eastAsia"/>
          <w:sz w:val="24"/>
          <w:szCs w:val="24"/>
        </w:rPr>
        <w:t>（5）《节能产品政府采购实施意见》（财库[2004]185 号）；</w:t>
      </w:r>
    </w:p>
    <w:p w14:paraId="2916627D">
      <w:pPr>
        <w:spacing w:line="360" w:lineRule="auto"/>
        <w:ind w:firstLine="480" w:firstLineChars="200"/>
        <w:rPr>
          <w:sz w:val="24"/>
          <w:szCs w:val="24"/>
        </w:rPr>
      </w:pPr>
      <w:r>
        <w:rPr>
          <w:rFonts w:hint="eastAsia"/>
          <w:sz w:val="24"/>
          <w:szCs w:val="24"/>
        </w:rPr>
        <w:t>（6）《环境标志产品政府采购实施的意见》（财库[2006]90 号）；</w:t>
      </w:r>
    </w:p>
    <w:p w14:paraId="5684A8D1">
      <w:pPr>
        <w:spacing w:line="360" w:lineRule="auto"/>
        <w:ind w:firstLine="480" w:firstLineChars="200"/>
        <w:rPr>
          <w:sz w:val="24"/>
          <w:szCs w:val="24"/>
        </w:rPr>
      </w:pPr>
      <w:r>
        <w:rPr>
          <w:rFonts w:hint="eastAsia"/>
          <w:sz w:val="24"/>
          <w:szCs w:val="24"/>
        </w:rPr>
        <w:t>（7） 《陕西省中小企业政府采购信用融资办法》（陕财办采〔2018〕23 号）。</w:t>
      </w:r>
    </w:p>
    <w:p w14:paraId="7E485B2A">
      <w:pPr>
        <w:spacing w:line="360" w:lineRule="auto"/>
        <w:rPr>
          <w:sz w:val="24"/>
          <w:szCs w:val="24"/>
        </w:rPr>
      </w:pPr>
      <w:r>
        <w:rPr>
          <w:rFonts w:hint="eastAsia"/>
          <w:sz w:val="24"/>
          <w:szCs w:val="24"/>
        </w:rPr>
        <w:t>在政府采购活动中，供应商提供的货物、工程 或者服务符合下列情形的，享受管理办法规定的中小企业扶持政策：</w:t>
      </w:r>
    </w:p>
    <w:p w14:paraId="3CCDDAD0">
      <w:pPr>
        <w:spacing w:line="360" w:lineRule="auto"/>
        <w:ind w:firstLine="480" w:firstLineChars="200"/>
        <w:rPr>
          <w:sz w:val="24"/>
          <w:szCs w:val="24"/>
        </w:rPr>
      </w:pPr>
      <w:r>
        <w:rPr>
          <w:rFonts w:hint="eastAsia"/>
          <w:sz w:val="24"/>
          <w:szCs w:val="24"/>
        </w:rPr>
        <w:t>1）在货物采购项目中，货物由中小企业制造，即货物由中小企业生产且使用该中小企业商号或者注册商标；</w:t>
      </w:r>
    </w:p>
    <w:p w14:paraId="250CA842">
      <w:pPr>
        <w:spacing w:line="360" w:lineRule="auto"/>
        <w:ind w:firstLine="480" w:firstLineChars="200"/>
        <w:rPr>
          <w:sz w:val="24"/>
          <w:szCs w:val="24"/>
        </w:rPr>
      </w:pPr>
      <w:r>
        <w:rPr>
          <w:rFonts w:hint="eastAsia"/>
          <w:sz w:val="24"/>
          <w:szCs w:val="24"/>
        </w:rPr>
        <w:t>2）在工程采购项目中，工程由中小企业承建，即工程施工单位为中小企业；</w:t>
      </w:r>
    </w:p>
    <w:p w14:paraId="00D11085">
      <w:pPr>
        <w:spacing w:line="360" w:lineRule="auto"/>
        <w:ind w:firstLine="480" w:firstLineChars="200"/>
        <w:rPr>
          <w:sz w:val="24"/>
          <w:szCs w:val="24"/>
        </w:rPr>
      </w:pPr>
      <w:r>
        <w:rPr>
          <w:rFonts w:hint="eastAsia"/>
          <w:sz w:val="24"/>
          <w:szCs w:val="24"/>
        </w:rPr>
        <w:t>3）在服务采购项目中，服务由中小企业承接，即提供服务的人员为中小企业依照《中华人民共和国劳动合同法》 订立劳动合同的从业人员。</w:t>
      </w:r>
    </w:p>
    <w:p w14:paraId="1A80B528">
      <w:pPr>
        <w:spacing w:line="360" w:lineRule="auto"/>
        <w:ind w:firstLine="480" w:firstLineChars="200"/>
        <w:rPr>
          <w:sz w:val="24"/>
          <w:szCs w:val="24"/>
        </w:rPr>
      </w:pPr>
      <w:r>
        <w:rPr>
          <w:rFonts w:hint="eastAsia"/>
          <w:sz w:val="24"/>
          <w:szCs w:val="24"/>
        </w:rPr>
        <w:t>在货物采购项目中，供应商提供的货物既有中小企业制造货物，也有大型企业制造货物的，不享受管理办法规定的中小企业扶持政策。</w:t>
      </w:r>
    </w:p>
    <w:p w14:paraId="530328AE">
      <w:pPr>
        <w:spacing w:line="360" w:lineRule="auto"/>
        <w:ind w:firstLine="480" w:firstLineChars="200"/>
        <w:rPr>
          <w:sz w:val="24"/>
          <w:szCs w:val="24"/>
        </w:rPr>
      </w:pPr>
      <w:r>
        <w:rPr>
          <w:rFonts w:hint="eastAsia"/>
          <w:sz w:val="24"/>
          <w:szCs w:val="24"/>
        </w:rPr>
        <w:t>以联合体形式参加政府采购活动，联合体各方均为中小企业的，联合体视同</w:t>
      </w:r>
    </w:p>
    <w:p w14:paraId="3664C32A">
      <w:pPr>
        <w:spacing w:line="360" w:lineRule="auto"/>
        <w:rPr>
          <w:sz w:val="24"/>
          <w:szCs w:val="24"/>
        </w:rPr>
      </w:pPr>
      <w:r>
        <w:rPr>
          <w:rFonts w:hint="eastAsia"/>
          <w:sz w:val="24"/>
          <w:szCs w:val="24"/>
        </w:rPr>
        <w:t>中小企业。其中，联合体各方均为小微企业的，联合体视同小微企业。</w:t>
      </w:r>
    </w:p>
    <w:p w14:paraId="2380B823">
      <w:pPr>
        <w:spacing w:line="360" w:lineRule="auto"/>
        <w:ind w:firstLine="482" w:firstLineChars="200"/>
        <w:rPr>
          <w:b/>
          <w:bCs/>
          <w:sz w:val="24"/>
          <w:szCs w:val="24"/>
        </w:rPr>
      </w:pPr>
      <w:r>
        <w:rPr>
          <w:rFonts w:hint="eastAsia"/>
          <w:b/>
          <w:bCs/>
          <w:sz w:val="24"/>
          <w:szCs w:val="24"/>
        </w:rPr>
        <w:t>供应商为非联合体参与投标的情况：</w:t>
      </w:r>
    </w:p>
    <w:p w14:paraId="434C8CDE">
      <w:pPr>
        <w:spacing w:line="360" w:lineRule="auto"/>
        <w:ind w:firstLine="480" w:firstLineChars="200"/>
        <w:rPr>
          <w:sz w:val="24"/>
          <w:szCs w:val="24"/>
        </w:rPr>
      </w:pPr>
      <w:r>
        <w:rPr>
          <w:rFonts w:hint="eastAsia"/>
          <w:sz w:val="24"/>
          <w:szCs w:val="24"/>
        </w:rPr>
        <w:t>①根据《政府采购促进中小企业发展管理办法》的相关规定，对于经主管预算单位统筹后未预留份额专门面向中小企业采购的采购项目，以及预留份额项目中的非预</w:t>
      </w:r>
      <w:r>
        <w:rPr>
          <w:rFonts w:hint="eastAsia"/>
          <w:sz w:val="24"/>
          <w:szCs w:val="24"/>
          <w:lang w:val="en-US" w:eastAsia="zh-CN"/>
        </w:rPr>
        <w:t>20</w:t>
      </w:r>
      <w:r>
        <w:rPr>
          <w:rFonts w:hint="eastAsia"/>
          <w:sz w:val="24"/>
          <w:szCs w:val="24"/>
        </w:rPr>
        <w:t>%的扣除，用扣除后的价格参加评审。</w:t>
      </w:r>
    </w:p>
    <w:p w14:paraId="78239DEE">
      <w:pPr>
        <w:spacing w:line="360" w:lineRule="auto"/>
        <w:ind w:firstLine="480" w:firstLineChars="200"/>
        <w:rPr>
          <w:sz w:val="24"/>
          <w:szCs w:val="24"/>
        </w:rPr>
      </w:pPr>
      <w:r>
        <w:rPr>
          <w:rFonts w:hint="eastAsia"/>
          <w:sz w:val="24"/>
          <w:szCs w:val="24"/>
        </w:rPr>
        <w:t>②中小企业参加政府采购活动，应当出具管理办法规定的《中小企业声明函》，</w:t>
      </w:r>
    </w:p>
    <w:p w14:paraId="30C353B9">
      <w:pPr>
        <w:spacing w:line="360" w:lineRule="auto"/>
        <w:rPr>
          <w:sz w:val="24"/>
          <w:szCs w:val="24"/>
        </w:rPr>
      </w:pPr>
      <w:r>
        <w:rPr>
          <w:rFonts w:hint="eastAsia"/>
          <w:sz w:val="24"/>
          <w:szCs w:val="24"/>
        </w:rPr>
        <w:t>否则不得享受相关中小企业扶持政策。任何单位和个人不得要求供应商提供《中小企业声明函》之外的中小企业身份证明文件。</w:t>
      </w:r>
    </w:p>
    <w:p w14:paraId="6F575F49">
      <w:pPr>
        <w:spacing w:line="360" w:lineRule="auto"/>
        <w:ind w:firstLine="480" w:firstLineChars="200"/>
        <w:rPr>
          <w:sz w:val="24"/>
          <w:szCs w:val="24"/>
        </w:rPr>
      </w:pPr>
      <w:r>
        <w:rPr>
          <w:rFonts w:hint="eastAsia"/>
          <w:sz w:val="24"/>
          <w:szCs w:val="24"/>
        </w:rPr>
        <w:t>③根据《财政部民政部中国残疾人联合会关于促进残疾人就业政府采购政策的通知》（财库〔2017〕141 号）的规定，对符合条件的残疾人福利性单位产品的价格给予</w:t>
      </w:r>
      <w:r>
        <w:rPr>
          <w:rFonts w:hint="eastAsia"/>
          <w:sz w:val="24"/>
          <w:szCs w:val="24"/>
          <w:lang w:val="en-US" w:eastAsia="zh-CN"/>
        </w:rPr>
        <w:t>10</w:t>
      </w:r>
      <w:r>
        <w:rPr>
          <w:rFonts w:hint="eastAsia"/>
          <w:sz w:val="24"/>
          <w:szCs w:val="24"/>
        </w:rPr>
        <w:t>%的扣除，用扣除后的价格参与评审。</w:t>
      </w:r>
    </w:p>
    <w:p w14:paraId="4DBA3A9B">
      <w:pPr>
        <w:spacing w:line="360" w:lineRule="auto"/>
        <w:ind w:firstLine="480" w:firstLineChars="200"/>
        <w:rPr>
          <w:sz w:val="24"/>
          <w:szCs w:val="24"/>
        </w:rPr>
      </w:pPr>
      <w:r>
        <w:rPr>
          <w:rFonts w:hint="eastAsia"/>
          <w:sz w:val="24"/>
          <w:szCs w:val="24"/>
        </w:rPr>
        <w:t>④中小企业、监狱企业级和残疾人福利企业优惠政策同中小企业，以上政策同时具备的仅对其进行一次</w:t>
      </w:r>
      <w:r>
        <w:rPr>
          <w:rFonts w:hint="eastAsia"/>
          <w:sz w:val="24"/>
          <w:szCs w:val="24"/>
          <w:lang w:val="en-US" w:eastAsia="zh-CN"/>
        </w:rPr>
        <w:t>10</w:t>
      </w:r>
      <w:r>
        <w:rPr>
          <w:rFonts w:hint="eastAsia"/>
          <w:sz w:val="24"/>
          <w:szCs w:val="24"/>
        </w:rPr>
        <w:t>%的价格扣除，不重复扣除。</w:t>
      </w:r>
    </w:p>
    <w:p w14:paraId="1A40E73C">
      <w:pPr>
        <w:spacing w:line="360" w:lineRule="auto"/>
        <w:ind w:firstLine="480" w:firstLineChars="200"/>
        <w:rPr>
          <w:sz w:val="24"/>
          <w:szCs w:val="24"/>
        </w:rPr>
      </w:pPr>
      <w:r>
        <w:rPr>
          <w:rFonts w:hint="eastAsia"/>
          <w:sz w:val="24"/>
          <w:szCs w:val="24"/>
        </w:rPr>
        <w:t>评审过程中，如涉及，在同等条件下优先采购具有环境标志、节能、自主创新的产品。</w:t>
      </w:r>
    </w:p>
    <w:p w14:paraId="44CD7A3B">
      <w:pPr>
        <w:spacing w:line="360" w:lineRule="auto"/>
        <w:ind w:firstLine="480" w:firstLineChars="200"/>
        <w:rPr>
          <w:sz w:val="24"/>
          <w:szCs w:val="24"/>
        </w:rPr>
      </w:pPr>
      <w:r>
        <w:rPr>
          <w:rFonts w:hint="eastAsia"/>
          <w:sz w:val="24"/>
          <w:szCs w:val="24"/>
        </w:rPr>
        <w:t>环境标志产品是指由财政部、国家环境保护总局颁布的环境标志产品政府采购清单”中的有效期内的产品。其评标价=投标报价*（1-1%）；</w:t>
      </w:r>
    </w:p>
    <w:p w14:paraId="0739B15E">
      <w:pPr>
        <w:spacing w:line="360" w:lineRule="auto"/>
        <w:ind w:firstLine="480" w:firstLineChars="200"/>
        <w:rPr>
          <w:sz w:val="24"/>
          <w:szCs w:val="24"/>
        </w:rPr>
      </w:pPr>
      <w:r>
        <w:rPr>
          <w:rFonts w:hint="eastAsia"/>
          <w:sz w:val="24"/>
          <w:szCs w:val="24"/>
        </w:rPr>
        <w:t>节能产品是指由财政部、国家发展改革委颁布的“节能产品政府采购清单”中的有效期内的产品。其评标价=投标报价*（1-3%）；</w:t>
      </w:r>
    </w:p>
    <w:p w14:paraId="6B392EAB">
      <w:pPr>
        <w:spacing w:line="360" w:lineRule="auto"/>
        <w:ind w:firstLine="480" w:firstLineChars="200"/>
        <w:rPr>
          <w:sz w:val="24"/>
          <w:szCs w:val="24"/>
        </w:rPr>
      </w:pPr>
      <w:r>
        <w:rPr>
          <w:rFonts w:hint="eastAsia"/>
          <w:sz w:val="24"/>
          <w:szCs w:val="24"/>
        </w:rPr>
        <w:t>根据《政府采购促进中小企业发展管理办法》及《财政部司法部关于政府采购支持监狱企业发展有关问题的通知》，属中小企业的，投标人须提供《中小企业声明函》，其划型标准严格按照工业和信息化部、国家统计局、国家发展和改革委员会、财政部出台的《中小企业划型标准规定》（工信部联企业[2011]300号）执行。提供其他小微企业制造的货物时还需提供货物制造商的小微企业声明函。</w:t>
      </w:r>
    </w:p>
    <w:p w14:paraId="20A594F1">
      <w:pPr>
        <w:spacing w:line="360" w:lineRule="auto"/>
        <w:ind w:firstLine="480" w:firstLineChars="200"/>
        <w:rPr>
          <w:sz w:val="24"/>
          <w:szCs w:val="24"/>
        </w:rPr>
      </w:pPr>
      <w:r>
        <w:rPr>
          <w:rFonts w:hint="eastAsia"/>
          <w:sz w:val="24"/>
          <w:szCs w:val="24"/>
        </w:rPr>
        <w:t>投标人提供的《中小企业声明函》必须真实有效，如果被举报经查实出具虚假声明函的，将被取消投标资格，并按有关规定予以处理。监狱、戒毒企业视同小微企业，享受政府采购相关政策；</w:t>
      </w:r>
    </w:p>
    <w:p w14:paraId="3DFBF3EE">
      <w:pPr>
        <w:spacing w:line="360" w:lineRule="auto"/>
        <w:ind w:firstLine="480" w:firstLineChars="200"/>
        <w:rPr>
          <w:sz w:val="24"/>
          <w:szCs w:val="24"/>
        </w:rPr>
      </w:pPr>
      <w:r>
        <w:rPr>
          <w:rFonts w:hint="eastAsia"/>
          <w:sz w:val="24"/>
          <w:szCs w:val="24"/>
        </w:rPr>
        <w:t>监狱和戒毒企业须提供由省级以上监狱管理局、戒毒管理局(含新疆生产建设兵团)出具的属于监狱企业的证明文件。</w:t>
      </w:r>
    </w:p>
    <w:p w14:paraId="2D3874EA">
      <w:pPr>
        <w:spacing w:line="360" w:lineRule="auto"/>
        <w:ind w:firstLine="480" w:firstLineChars="200"/>
        <w:rPr>
          <w:sz w:val="24"/>
          <w:szCs w:val="24"/>
        </w:rPr>
      </w:pPr>
      <w:r>
        <w:rPr>
          <w:rFonts w:hint="eastAsia"/>
          <w:sz w:val="24"/>
          <w:szCs w:val="24"/>
        </w:rPr>
        <w:t>根据《财政部 民政部 中国残疾人联合会关于促进残疾人就业政府采购政策</w:t>
      </w:r>
    </w:p>
    <w:p w14:paraId="0B2CB6F4">
      <w:pPr>
        <w:spacing w:line="360" w:lineRule="auto"/>
        <w:rPr>
          <w:sz w:val="24"/>
          <w:szCs w:val="24"/>
        </w:rPr>
      </w:pPr>
      <w:r>
        <w:rPr>
          <w:rFonts w:hint="eastAsia"/>
          <w:sz w:val="24"/>
          <w:szCs w:val="24"/>
        </w:rPr>
        <w:t>的通知》（财库〔2017〕，符合条件的残疾人福利性单位在参加政府采购活动时，</w:t>
      </w:r>
    </w:p>
    <w:p w14:paraId="390EDCE2">
      <w:pPr>
        <w:spacing w:line="360" w:lineRule="auto"/>
        <w:rPr>
          <w:sz w:val="24"/>
          <w:szCs w:val="24"/>
        </w:rPr>
      </w:pPr>
      <w:r>
        <w:rPr>
          <w:rFonts w:hint="eastAsia"/>
          <w:sz w:val="24"/>
          <w:szCs w:val="24"/>
        </w:rPr>
        <w:t>应当提供本通知规定的《残疾人福利性单位声明函》（见附件），并对声明的真</w:t>
      </w:r>
    </w:p>
    <w:p w14:paraId="3E94A5ED">
      <w:pPr>
        <w:spacing w:line="360" w:lineRule="auto"/>
        <w:rPr>
          <w:sz w:val="24"/>
          <w:szCs w:val="24"/>
        </w:rPr>
      </w:pPr>
      <w:r>
        <w:rPr>
          <w:rFonts w:hint="eastAsia"/>
          <w:sz w:val="24"/>
          <w:szCs w:val="24"/>
        </w:rPr>
        <w:t>实性负责。中标、成交供应商为残疾人福利性单位的，采购人或者其委托的采购</w:t>
      </w:r>
    </w:p>
    <w:p w14:paraId="56813282">
      <w:pPr>
        <w:spacing w:line="360" w:lineRule="auto"/>
        <w:rPr>
          <w:sz w:val="24"/>
          <w:szCs w:val="24"/>
        </w:rPr>
      </w:pPr>
      <w:r>
        <w:rPr>
          <w:rFonts w:hint="eastAsia"/>
          <w:sz w:val="24"/>
          <w:szCs w:val="24"/>
        </w:rPr>
        <w:t>代理机构应当随中标、成交结果同时公告其《残疾人福利性单位声明函》，接受</w:t>
      </w:r>
    </w:p>
    <w:p w14:paraId="78A98016">
      <w:pPr>
        <w:spacing w:line="360" w:lineRule="auto"/>
        <w:rPr>
          <w:sz w:val="24"/>
          <w:szCs w:val="24"/>
        </w:rPr>
      </w:pPr>
      <w:r>
        <w:rPr>
          <w:rFonts w:hint="eastAsia"/>
          <w:sz w:val="24"/>
          <w:szCs w:val="24"/>
        </w:rPr>
        <w:t>社会监督。投标人提供的《残疾人福利性单位声明函》与事实不符的，依照《政</w:t>
      </w:r>
    </w:p>
    <w:p w14:paraId="52457737">
      <w:pPr>
        <w:spacing w:line="360" w:lineRule="auto"/>
        <w:rPr>
          <w:sz w:val="24"/>
          <w:szCs w:val="24"/>
        </w:rPr>
      </w:pPr>
      <w:r>
        <w:rPr>
          <w:rFonts w:hint="eastAsia"/>
          <w:sz w:val="24"/>
          <w:szCs w:val="24"/>
        </w:rPr>
        <w:t>府采购法》第七十七条第一款的规定追究法律责任。</w:t>
      </w:r>
    </w:p>
    <w:p w14:paraId="21C51727">
      <w:pPr>
        <w:rPr>
          <w:rFonts w:ascii="宋体" w:hAnsi="宋体" w:cs="宋体"/>
          <w:sz w:val="24"/>
          <w:szCs w:val="24"/>
        </w:rPr>
      </w:pPr>
      <w:r>
        <w:rPr>
          <w:rFonts w:hint="eastAsia" w:ascii="宋体" w:hAnsi="宋体" w:cs="宋体"/>
          <w:b/>
          <w:bCs/>
          <w:sz w:val="24"/>
          <w:szCs w:val="24"/>
        </w:rPr>
        <w:t>三、谈判方法</w:t>
      </w:r>
    </w:p>
    <w:p w14:paraId="7672BE3B">
      <w:pPr>
        <w:spacing w:line="360" w:lineRule="auto"/>
        <w:ind w:firstLine="480" w:firstLineChars="200"/>
        <w:rPr>
          <w:rFonts w:ascii="宋体" w:hAnsi="宋体" w:cs="宋体"/>
          <w:sz w:val="24"/>
          <w:szCs w:val="24"/>
        </w:rPr>
      </w:pPr>
      <w:r>
        <w:rPr>
          <w:rFonts w:hint="eastAsia" w:ascii="宋体" w:hAnsi="宋体" w:cs="宋体"/>
          <w:sz w:val="24"/>
          <w:szCs w:val="24"/>
        </w:rPr>
        <w:t>1、谈判原则：按照财政部令《第 74 号》文件精神，谈判方式应采取“符合采</w:t>
      </w:r>
    </w:p>
    <w:p w14:paraId="26E35A94">
      <w:pPr>
        <w:spacing w:line="360" w:lineRule="auto"/>
        <w:rPr>
          <w:rFonts w:ascii="宋体" w:hAnsi="宋体" w:cs="宋体"/>
          <w:sz w:val="24"/>
          <w:szCs w:val="24"/>
        </w:rPr>
      </w:pPr>
      <w:r>
        <w:rPr>
          <w:rFonts w:hint="eastAsia" w:ascii="宋体" w:hAnsi="宋体" w:cs="宋体"/>
          <w:sz w:val="24"/>
          <w:szCs w:val="24"/>
        </w:rPr>
        <w:t>购需求情况下，坚持低价优先原则。”谈判小组应当从质量和服务均能满足谈判文</w:t>
      </w:r>
    </w:p>
    <w:p w14:paraId="6F233ABE">
      <w:pPr>
        <w:spacing w:line="360" w:lineRule="auto"/>
        <w:rPr>
          <w:rFonts w:ascii="宋体" w:hAnsi="宋体" w:cs="宋体"/>
          <w:sz w:val="24"/>
          <w:szCs w:val="24"/>
        </w:rPr>
      </w:pPr>
      <w:r>
        <w:rPr>
          <w:rFonts w:hint="eastAsia" w:ascii="宋体" w:hAnsi="宋体" w:cs="宋体"/>
          <w:sz w:val="24"/>
          <w:szCs w:val="24"/>
        </w:rPr>
        <w:t>件实质性要求的供应商中，按照最后报价由低到高的顺序推荐成交候选供应商，经</w:t>
      </w:r>
    </w:p>
    <w:p w14:paraId="4AC5F6F8">
      <w:pPr>
        <w:spacing w:line="360" w:lineRule="auto"/>
        <w:rPr>
          <w:rFonts w:ascii="宋体" w:hAnsi="宋体" w:cs="宋体"/>
          <w:sz w:val="24"/>
          <w:szCs w:val="24"/>
        </w:rPr>
      </w:pPr>
      <w:r>
        <w:rPr>
          <w:rFonts w:hint="eastAsia" w:ascii="宋体" w:hAnsi="宋体" w:cs="宋体"/>
          <w:sz w:val="24"/>
          <w:szCs w:val="24"/>
        </w:rPr>
        <w:t>采购人确认，以供应商的最低报价作为成交价格。</w:t>
      </w:r>
    </w:p>
    <w:p w14:paraId="1A9A0C24">
      <w:pPr>
        <w:spacing w:line="360" w:lineRule="auto"/>
        <w:ind w:firstLine="480" w:firstLineChars="200"/>
        <w:rPr>
          <w:rFonts w:ascii="宋体" w:hAnsi="宋体" w:cs="宋体"/>
          <w:sz w:val="24"/>
          <w:szCs w:val="24"/>
        </w:rPr>
      </w:pPr>
      <w:r>
        <w:rPr>
          <w:rFonts w:hint="eastAsia" w:ascii="宋体" w:hAnsi="宋体" w:cs="宋体"/>
          <w:sz w:val="24"/>
          <w:szCs w:val="24"/>
        </w:rPr>
        <w:t>2、谈判程序：分步评审，每一步评审不符合者，不进入下一步评审。谈判开始</w:t>
      </w:r>
    </w:p>
    <w:p w14:paraId="2B6A6D40">
      <w:pPr>
        <w:spacing w:line="360" w:lineRule="auto"/>
        <w:rPr>
          <w:rFonts w:ascii="宋体" w:hAnsi="宋体" w:cs="宋体"/>
          <w:sz w:val="24"/>
          <w:szCs w:val="24"/>
        </w:rPr>
      </w:pPr>
      <w:r>
        <w:rPr>
          <w:rFonts w:hint="eastAsia" w:ascii="宋体" w:hAnsi="宋体" w:cs="宋体"/>
          <w:sz w:val="24"/>
          <w:szCs w:val="24"/>
        </w:rPr>
        <w:t>前将由监督人员当众检验谈判响应文件的密封情况，确认无误后方可进行拆封、谈判。由谈判小组成员集中与单一参加谈判的供应商分别进行谈判，可以进行多轮报价，直至采购方满意为止。</w:t>
      </w:r>
    </w:p>
    <w:p w14:paraId="00E67AC8">
      <w:pPr>
        <w:spacing w:line="360" w:lineRule="auto"/>
        <w:ind w:firstLine="480" w:firstLineChars="200"/>
        <w:rPr>
          <w:rFonts w:ascii="宋体" w:hAnsi="宋体" w:cs="宋体"/>
          <w:sz w:val="24"/>
          <w:szCs w:val="24"/>
        </w:rPr>
      </w:pPr>
      <w:r>
        <w:rPr>
          <w:rFonts w:hint="eastAsia" w:ascii="宋体" w:hAnsi="宋体" w:cs="宋体"/>
          <w:sz w:val="24"/>
          <w:szCs w:val="24"/>
        </w:rPr>
        <w:t>3、竞争性谈判确定的最终价格及服务等仍不能满足采购人的要求，采购人及谈判小组将保留最终放弃本次谈判的权利。</w:t>
      </w:r>
    </w:p>
    <w:p w14:paraId="573F47C6">
      <w:pPr>
        <w:spacing w:line="360" w:lineRule="auto"/>
        <w:rPr>
          <w:rFonts w:ascii="宋体" w:hAnsi="宋体" w:cs="宋体"/>
          <w:sz w:val="24"/>
          <w:szCs w:val="24"/>
        </w:rPr>
      </w:pPr>
      <w:r>
        <w:rPr>
          <w:rFonts w:hint="eastAsia" w:ascii="宋体" w:hAnsi="宋体" w:cs="宋体"/>
          <w:b/>
          <w:bCs/>
          <w:sz w:val="24"/>
          <w:szCs w:val="24"/>
        </w:rPr>
        <w:t>四、成交：</w:t>
      </w:r>
    </w:p>
    <w:p w14:paraId="1CB8F4CB">
      <w:pPr>
        <w:spacing w:line="360" w:lineRule="auto"/>
        <w:rPr>
          <w:rFonts w:ascii="宋体" w:hAnsi="宋体" w:cs="宋体"/>
          <w:sz w:val="24"/>
          <w:szCs w:val="24"/>
        </w:rPr>
      </w:pPr>
      <w:r>
        <w:rPr>
          <w:rFonts w:hint="eastAsia" w:ascii="宋体" w:hAnsi="宋体" w:cs="宋体"/>
          <w:sz w:val="24"/>
          <w:szCs w:val="24"/>
        </w:rPr>
        <w:t>1、评审结果报告由全体评委签字确认。</w:t>
      </w:r>
    </w:p>
    <w:p w14:paraId="600EF79B">
      <w:pPr>
        <w:spacing w:line="360" w:lineRule="auto"/>
        <w:rPr>
          <w:rFonts w:ascii="宋体" w:hAnsi="宋体" w:cs="宋体"/>
          <w:sz w:val="24"/>
          <w:szCs w:val="24"/>
        </w:rPr>
      </w:pPr>
      <w:r>
        <w:rPr>
          <w:rFonts w:hint="eastAsia" w:ascii="宋体" w:hAnsi="宋体" w:cs="宋体"/>
          <w:sz w:val="24"/>
          <w:szCs w:val="24"/>
        </w:rPr>
        <w:t>2、采购人根据谈判报告中推荐的成交候选人排列顺序确定成交人，以复函通知采购代理公司。</w:t>
      </w:r>
    </w:p>
    <w:p w14:paraId="4DBABC9D">
      <w:pPr>
        <w:pStyle w:val="2"/>
        <w:spacing w:line="360" w:lineRule="auto"/>
        <w:jc w:val="center"/>
        <w:rPr>
          <w:rFonts w:ascii="宋体" w:hAnsi="宋体" w:cs="宋体"/>
          <w:sz w:val="36"/>
          <w:szCs w:val="22"/>
        </w:rPr>
        <w:sectPr>
          <w:footnotePr>
            <w:pos w:val="beneathText"/>
          </w:footnotePr>
          <w:pgSz w:w="11906" w:h="16838"/>
          <w:pgMar w:top="1701" w:right="1418" w:bottom="1701" w:left="1418" w:header="1091" w:footer="992" w:gutter="0"/>
          <w:cols w:space="720" w:num="1"/>
          <w:titlePg/>
          <w:docGrid w:type="lines" w:linePitch="312" w:charSpace="0"/>
        </w:sectPr>
      </w:pPr>
    </w:p>
    <w:p w14:paraId="1A981AFE">
      <w:pPr>
        <w:pStyle w:val="2"/>
        <w:spacing w:line="360" w:lineRule="auto"/>
        <w:jc w:val="center"/>
        <w:rPr>
          <w:rFonts w:ascii="宋体" w:hAnsi="宋体" w:cs="宋体"/>
          <w:b w:val="0"/>
          <w:bCs/>
          <w:sz w:val="32"/>
          <w:szCs w:val="32"/>
        </w:rPr>
      </w:pPr>
      <w:bookmarkStart w:id="309" w:name="_Toc29159"/>
      <w:r>
        <w:rPr>
          <w:rFonts w:hint="eastAsia" w:ascii="宋体" w:hAnsi="宋体" w:cs="宋体"/>
          <w:sz w:val="36"/>
          <w:szCs w:val="22"/>
        </w:rPr>
        <w:t>第八部分  竞争性谈判响应文件格式</w:t>
      </w:r>
      <w:bookmarkEnd w:id="309"/>
    </w:p>
    <w:p w14:paraId="306571F6">
      <w:pPr>
        <w:spacing w:line="360" w:lineRule="auto"/>
        <w:rPr>
          <w:rFonts w:ascii="宋体" w:hAnsi="宋体" w:cs="宋体"/>
          <w:bCs/>
          <w:sz w:val="28"/>
          <w:szCs w:val="28"/>
        </w:rPr>
      </w:pPr>
      <w:r>
        <w:rPr>
          <w:rFonts w:hint="eastAsia" w:ascii="宋体" w:hAnsi="宋体" w:cs="宋体"/>
          <w:b/>
          <w:bCs/>
          <w:sz w:val="32"/>
          <w:szCs w:val="32"/>
        </w:rPr>
        <w:t>（封面）</w:t>
      </w:r>
      <w:r>
        <w:rPr>
          <w:rFonts w:hint="eastAsia" w:ascii="宋体" w:hAnsi="宋体" w:cs="宋体"/>
          <w:b/>
          <w:bCs/>
          <w:sz w:val="24"/>
          <w:szCs w:val="24"/>
        </w:rPr>
        <w:t xml:space="preserve">                                                  </w:t>
      </w:r>
      <w:r>
        <w:rPr>
          <w:rFonts w:hint="eastAsia" w:ascii="宋体" w:hAnsi="宋体" w:cs="宋体"/>
          <w:b/>
          <w:kern w:val="0"/>
          <w:sz w:val="36"/>
          <w:szCs w:val="36"/>
          <w:bdr w:val="single" w:color="auto" w:sz="4" w:space="0"/>
        </w:rPr>
        <w:t>正/副本</w:t>
      </w:r>
    </w:p>
    <w:p w14:paraId="2BE70EC5">
      <w:pPr>
        <w:spacing w:line="360" w:lineRule="auto"/>
        <w:jc w:val="left"/>
        <w:rPr>
          <w:rFonts w:ascii="宋体" w:hAnsi="宋体" w:cs="宋体"/>
          <w:b/>
          <w:sz w:val="28"/>
          <w:szCs w:val="28"/>
        </w:rPr>
      </w:pPr>
      <w:r>
        <w:rPr>
          <w:rFonts w:hint="eastAsia" w:ascii="宋体" w:hAnsi="宋体" w:cs="宋体"/>
          <w:b/>
          <w:sz w:val="28"/>
          <w:szCs w:val="28"/>
        </w:rPr>
        <w:t>采购项目编号：</w:t>
      </w:r>
      <w:bookmarkEnd w:id="297"/>
    </w:p>
    <w:p w14:paraId="3368B7FA">
      <w:pPr>
        <w:pStyle w:val="9"/>
      </w:pPr>
    </w:p>
    <w:p w14:paraId="3E4E6788"/>
    <w:p w14:paraId="3973E17C">
      <w:pPr>
        <w:jc w:val="center"/>
        <w:rPr>
          <w:sz w:val="21"/>
          <w:szCs w:val="20"/>
        </w:rPr>
      </w:pPr>
      <w:r>
        <w:rPr>
          <w:rFonts w:hint="eastAsia" w:cs="Times New Roman"/>
          <w:b/>
          <w:bCs/>
          <w:kern w:val="2"/>
          <w:sz w:val="60"/>
          <w:szCs w:val="56"/>
          <w:lang w:val="en-US" w:eastAsia="zh-CN" w:bidi="ar-SA"/>
        </w:rPr>
        <w:t>中共绥德县委组织部绥德县历史和非遗文化丛书编撰印刷服务</w:t>
      </w:r>
    </w:p>
    <w:p w14:paraId="546CA437">
      <w:pPr>
        <w:pStyle w:val="21"/>
      </w:pPr>
    </w:p>
    <w:p w14:paraId="3F8FD0D0">
      <w:pPr>
        <w:pStyle w:val="21"/>
      </w:pPr>
    </w:p>
    <w:p w14:paraId="0AC79630">
      <w:pPr>
        <w:pStyle w:val="21"/>
      </w:pPr>
    </w:p>
    <w:p w14:paraId="1995FFF5">
      <w:pPr>
        <w:pStyle w:val="21"/>
      </w:pPr>
    </w:p>
    <w:p w14:paraId="63AA8D61">
      <w:pPr>
        <w:pStyle w:val="21"/>
      </w:pPr>
    </w:p>
    <w:p w14:paraId="39DEEA02"/>
    <w:p w14:paraId="61BC09F7">
      <w:pPr>
        <w:pStyle w:val="38"/>
      </w:pPr>
    </w:p>
    <w:p w14:paraId="67CFCDAC">
      <w:pPr>
        <w:spacing w:line="360" w:lineRule="auto"/>
        <w:jc w:val="center"/>
        <w:rPr>
          <w:rFonts w:ascii="宋体" w:hAnsi="宋体" w:cs="宋体"/>
          <w:b/>
          <w:sz w:val="24"/>
          <w:szCs w:val="24"/>
        </w:rPr>
      </w:pPr>
      <w:r>
        <w:rPr>
          <w:rFonts w:hint="eastAsia" w:ascii="宋体" w:hAnsi="宋体" w:cs="宋体"/>
          <w:b/>
          <w:sz w:val="72"/>
          <w:szCs w:val="72"/>
        </w:rPr>
        <w:t>竞争性谈判响应文件</w:t>
      </w:r>
      <w:r>
        <w:rPr>
          <w:rFonts w:hint="eastAsia" w:ascii="宋体" w:hAnsi="宋体" w:cs="宋体"/>
          <w:b/>
          <w:sz w:val="24"/>
          <w:szCs w:val="24"/>
        </w:rPr>
        <w:t xml:space="preserve"> </w:t>
      </w:r>
    </w:p>
    <w:p w14:paraId="35715147"/>
    <w:p w14:paraId="1BA8349E">
      <w:pPr>
        <w:pStyle w:val="5"/>
      </w:pPr>
    </w:p>
    <w:p w14:paraId="4C2A5475">
      <w:pPr>
        <w:pStyle w:val="5"/>
      </w:pPr>
    </w:p>
    <w:p w14:paraId="67B58D3F">
      <w:pPr>
        <w:pStyle w:val="5"/>
      </w:pPr>
    </w:p>
    <w:p w14:paraId="17EFA3DD"/>
    <w:p w14:paraId="7F9111A3">
      <w:pPr>
        <w:pStyle w:val="9"/>
      </w:pPr>
    </w:p>
    <w:p w14:paraId="6F1D60D6">
      <w:pPr>
        <w:spacing w:line="360" w:lineRule="auto"/>
        <w:jc w:val="center"/>
        <w:rPr>
          <w:rFonts w:ascii="宋体" w:hAnsi="宋体" w:cs="宋体"/>
          <w:b/>
          <w:sz w:val="28"/>
          <w:szCs w:val="22"/>
        </w:rPr>
      </w:pPr>
      <w:r>
        <w:rPr>
          <w:rFonts w:hint="eastAsia" w:ascii="宋体" w:hAnsi="宋体" w:cs="宋体"/>
          <w:b/>
          <w:sz w:val="28"/>
          <w:szCs w:val="22"/>
          <w:lang w:eastAsia="zh-CN"/>
        </w:rPr>
        <w:t>谈判供应商</w:t>
      </w:r>
      <w:r>
        <w:rPr>
          <w:rFonts w:hint="eastAsia" w:ascii="宋体" w:hAnsi="宋体" w:cs="宋体"/>
          <w:b/>
          <w:sz w:val="28"/>
          <w:szCs w:val="22"/>
        </w:rPr>
        <w:t>：</w:t>
      </w:r>
      <w:r>
        <w:rPr>
          <w:rFonts w:hint="eastAsia" w:ascii="宋体" w:hAnsi="宋体" w:cs="宋体"/>
          <w:b/>
          <w:sz w:val="28"/>
          <w:u w:val="single"/>
        </w:rPr>
        <w:t xml:space="preserve">                     </w:t>
      </w:r>
      <w:r>
        <w:rPr>
          <w:rFonts w:hint="eastAsia" w:ascii="宋体" w:hAnsi="宋体" w:cs="宋体"/>
          <w:b/>
          <w:sz w:val="28"/>
          <w:szCs w:val="22"/>
        </w:rPr>
        <w:t>（盖章）</w:t>
      </w:r>
    </w:p>
    <w:p w14:paraId="77834806">
      <w:pPr>
        <w:spacing w:line="360" w:lineRule="auto"/>
        <w:ind w:firstLine="1687" w:firstLineChars="600"/>
        <w:rPr>
          <w:rFonts w:hint="eastAsia" w:ascii="宋体" w:hAnsi="宋体" w:cs="宋体"/>
          <w:b/>
          <w:sz w:val="28"/>
          <w:szCs w:val="22"/>
        </w:rPr>
      </w:pPr>
      <w:r>
        <w:rPr>
          <w:rFonts w:hint="eastAsia" w:ascii="宋体" w:hAnsi="宋体" w:cs="宋体"/>
          <w:b/>
          <w:sz w:val="28"/>
          <w:szCs w:val="22"/>
        </w:rPr>
        <w:t>法定代表人或被授权人（签字或盖章）：</w:t>
      </w:r>
    </w:p>
    <w:p w14:paraId="4D593D7E">
      <w:pPr>
        <w:spacing w:line="360" w:lineRule="auto"/>
        <w:jc w:val="center"/>
        <w:rPr>
          <w:rFonts w:ascii="宋体" w:hAnsi="宋体" w:cs="宋体"/>
          <w:b/>
          <w:sz w:val="28"/>
          <w:szCs w:val="22"/>
        </w:rPr>
      </w:pPr>
      <w:r>
        <w:rPr>
          <w:rFonts w:hint="eastAsia" w:ascii="宋体" w:hAnsi="宋体" w:cs="宋体"/>
          <w:b/>
          <w:sz w:val="28"/>
          <w:szCs w:val="22"/>
        </w:rPr>
        <w:t>二零二</w:t>
      </w:r>
      <w:r>
        <w:rPr>
          <w:rFonts w:hint="eastAsia" w:ascii="宋体" w:hAnsi="宋体" w:cs="宋体"/>
          <w:b/>
          <w:sz w:val="28"/>
          <w:szCs w:val="22"/>
          <w:lang w:val="en-US" w:eastAsia="zh-CN"/>
        </w:rPr>
        <w:t>五</w:t>
      </w:r>
      <w:r>
        <w:rPr>
          <w:rFonts w:hint="eastAsia" w:ascii="宋体" w:hAnsi="宋体" w:cs="宋体"/>
          <w:b/>
          <w:sz w:val="28"/>
          <w:szCs w:val="22"/>
        </w:rPr>
        <w:t>年   月</w:t>
      </w:r>
    </w:p>
    <w:p w14:paraId="1FA8A790">
      <w:pPr>
        <w:rPr>
          <w:sz w:val="24"/>
          <w:szCs w:val="24"/>
        </w:rPr>
        <w:sectPr>
          <w:footnotePr>
            <w:pos w:val="beneathText"/>
          </w:footnotePr>
          <w:pgSz w:w="11906" w:h="16838"/>
          <w:pgMar w:top="1701" w:right="1418" w:bottom="1701" w:left="1418" w:header="1091" w:footer="992" w:gutter="0"/>
          <w:cols w:space="720" w:num="1"/>
          <w:titlePg/>
          <w:docGrid w:type="lines" w:linePitch="312" w:charSpace="0"/>
        </w:sectPr>
      </w:pPr>
      <w:bookmarkStart w:id="310" w:name="_Toc357087380"/>
      <w:bookmarkStart w:id="311" w:name="_Toc21305"/>
    </w:p>
    <w:p w14:paraId="7504E62E">
      <w:pPr>
        <w:tabs>
          <w:tab w:val="left" w:pos="3329"/>
        </w:tabs>
        <w:jc w:val="center"/>
        <w:rPr>
          <w:rFonts w:hint="eastAsia"/>
          <w:b/>
          <w:sz w:val="44"/>
        </w:rPr>
      </w:pPr>
      <w:bookmarkStart w:id="312" w:name="_Toc22764"/>
      <w:bookmarkStart w:id="313" w:name="_Toc15746"/>
      <w:bookmarkStart w:id="314" w:name="_Toc24244"/>
      <w:bookmarkStart w:id="315" w:name="_Toc6250"/>
      <w:bookmarkStart w:id="316" w:name="_Toc30709"/>
      <w:bookmarkStart w:id="317" w:name="_Toc465958130"/>
    </w:p>
    <w:p w14:paraId="11196B27">
      <w:pPr>
        <w:tabs>
          <w:tab w:val="left" w:pos="3329"/>
        </w:tabs>
        <w:jc w:val="center"/>
        <w:rPr>
          <w:rFonts w:hint="eastAsia"/>
          <w:b/>
          <w:sz w:val="44"/>
        </w:rPr>
      </w:pPr>
    </w:p>
    <w:p w14:paraId="68128E25">
      <w:pPr>
        <w:tabs>
          <w:tab w:val="left" w:pos="3329"/>
        </w:tabs>
        <w:jc w:val="center"/>
        <w:rPr>
          <w:b/>
          <w:sz w:val="44"/>
        </w:rPr>
      </w:pPr>
      <w:r>
        <w:rPr>
          <w:rFonts w:hint="eastAsia"/>
          <w:b/>
          <w:sz w:val="44"/>
        </w:rPr>
        <w:t>目  录</w:t>
      </w:r>
    </w:p>
    <w:p w14:paraId="7B8C2839">
      <w:pPr>
        <w:jc w:val="center"/>
        <w:rPr>
          <w:rFonts w:hAnsi="宋体"/>
          <w:b/>
          <w:bCs/>
          <w:szCs w:val="24"/>
        </w:rPr>
      </w:pPr>
      <w:r>
        <w:rPr>
          <w:rFonts w:hint="eastAsia" w:ascii="宋体" w:hAnsi="宋体" w:cs="宋体"/>
          <w:b/>
          <w:bCs/>
          <w:kern w:val="0"/>
          <w:sz w:val="24"/>
          <w:szCs w:val="24"/>
        </w:rPr>
        <w:t>(引用三级目录）</w:t>
      </w:r>
    </w:p>
    <w:p w14:paraId="3C2D2B13">
      <w:pPr>
        <w:jc w:val="center"/>
        <w:rPr>
          <w:rFonts w:hAnsi="宋体"/>
          <w:b/>
          <w:bCs/>
          <w:sz w:val="44"/>
        </w:rPr>
      </w:pPr>
    </w:p>
    <w:p w14:paraId="2CF1B90E">
      <w:pPr>
        <w:pStyle w:val="3"/>
        <w:rPr>
          <w:rFonts w:ascii="宋体" w:hAnsi="宋体" w:eastAsia="宋体" w:cs="宋体"/>
          <w:szCs w:val="22"/>
        </w:rPr>
      </w:pPr>
    </w:p>
    <w:p w14:paraId="01471A35">
      <w:pPr>
        <w:pStyle w:val="3"/>
        <w:rPr>
          <w:rFonts w:ascii="宋体" w:hAnsi="宋体" w:eastAsia="宋体" w:cs="宋体"/>
          <w:szCs w:val="22"/>
        </w:rPr>
      </w:pPr>
    </w:p>
    <w:p w14:paraId="5AF614E6">
      <w:pPr>
        <w:pStyle w:val="3"/>
        <w:rPr>
          <w:rFonts w:ascii="宋体" w:hAnsi="宋体" w:eastAsia="宋体" w:cs="宋体"/>
          <w:szCs w:val="22"/>
        </w:rPr>
      </w:pPr>
    </w:p>
    <w:p w14:paraId="3665FA14">
      <w:pPr>
        <w:pStyle w:val="3"/>
        <w:rPr>
          <w:rFonts w:ascii="宋体" w:hAnsi="宋体" w:eastAsia="宋体" w:cs="宋体"/>
          <w:szCs w:val="22"/>
        </w:rPr>
      </w:pPr>
    </w:p>
    <w:p w14:paraId="48E98E70">
      <w:pPr>
        <w:pStyle w:val="3"/>
        <w:rPr>
          <w:rFonts w:ascii="宋体" w:hAnsi="宋体" w:eastAsia="宋体" w:cs="宋体"/>
          <w:szCs w:val="22"/>
        </w:rPr>
      </w:pPr>
    </w:p>
    <w:p w14:paraId="204DEC5F">
      <w:pPr>
        <w:pStyle w:val="3"/>
        <w:rPr>
          <w:rFonts w:ascii="宋体" w:hAnsi="宋体" w:eastAsia="宋体" w:cs="宋体"/>
          <w:szCs w:val="22"/>
        </w:rPr>
      </w:pPr>
    </w:p>
    <w:p w14:paraId="18736C32">
      <w:pPr>
        <w:pStyle w:val="3"/>
        <w:rPr>
          <w:rFonts w:ascii="宋体" w:hAnsi="宋体" w:eastAsia="宋体" w:cs="宋体"/>
          <w:szCs w:val="22"/>
        </w:rPr>
      </w:pPr>
    </w:p>
    <w:p w14:paraId="78A3563A">
      <w:pPr>
        <w:pStyle w:val="3"/>
        <w:rPr>
          <w:rFonts w:ascii="宋体" w:hAnsi="宋体" w:eastAsia="宋体" w:cs="宋体"/>
          <w:szCs w:val="22"/>
        </w:rPr>
      </w:pPr>
    </w:p>
    <w:p w14:paraId="6EE32306">
      <w:pPr>
        <w:pStyle w:val="3"/>
        <w:rPr>
          <w:rFonts w:ascii="宋体" w:hAnsi="宋体" w:eastAsia="宋体" w:cs="宋体"/>
          <w:szCs w:val="22"/>
        </w:rPr>
      </w:pPr>
    </w:p>
    <w:bookmarkEnd w:id="298"/>
    <w:bookmarkEnd w:id="310"/>
    <w:bookmarkEnd w:id="311"/>
    <w:bookmarkEnd w:id="312"/>
    <w:bookmarkEnd w:id="313"/>
    <w:bookmarkEnd w:id="314"/>
    <w:bookmarkEnd w:id="315"/>
    <w:bookmarkEnd w:id="316"/>
    <w:bookmarkEnd w:id="317"/>
    <w:p w14:paraId="3D0709D9">
      <w:pPr>
        <w:spacing w:line="400" w:lineRule="atLeast"/>
        <w:ind w:firstLine="540" w:firstLineChars="225"/>
        <w:rPr>
          <w:rFonts w:ascii="宋体" w:hAnsi="宋体" w:cs="宋体"/>
          <w:sz w:val="24"/>
          <w:szCs w:val="24"/>
        </w:rPr>
      </w:pPr>
    </w:p>
    <w:p w14:paraId="6529445D">
      <w:pPr>
        <w:spacing w:line="400" w:lineRule="atLeast"/>
        <w:ind w:firstLine="540" w:firstLineChars="225"/>
        <w:rPr>
          <w:rFonts w:ascii="宋体" w:hAnsi="宋体" w:cs="宋体"/>
          <w:sz w:val="24"/>
          <w:szCs w:val="24"/>
        </w:rPr>
      </w:pPr>
    </w:p>
    <w:p w14:paraId="2E0A7B7C">
      <w:pPr>
        <w:spacing w:line="360" w:lineRule="auto"/>
        <w:rPr>
          <w:rFonts w:ascii="宋体" w:hAnsi="宋体" w:cs="宋体"/>
          <w:sz w:val="24"/>
          <w:szCs w:val="24"/>
        </w:rPr>
      </w:pPr>
    </w:p>
    <w:p w14:paraId="3A1531C0">
      <w:pPr>
        <w:spacing w:line="360" w:lineRule="auto"/>
        <w:rPr>
          <w:rFonts w:ascii="宋体" w:hAnsi="宋体" w:cs="宋体"/>
          <w:sz w:val="24"/>
          <w:szCs w:val="24"/>
        </w:rPr>
      </w:pPr>
    </w:p>
    <w:p w14:paraId="7338957F">
      <w:pPr>
        <w:spacing w:line="360" w:lineRule="auto"/>
        <w:rPr>
          <w:rFonts w:ascii="宋体" w:hAnsi="宋体" w:cs="宋体"/>
          <w:sz w:val="24"/>
          <w:szCs w:val="24"/>
        </w:rPr>
      </w:pPr>
    </w:p>
    <w:p w14:paraId="354477CF">
      <w:pPr>
        <w:spacing w:line="360" w:lineRule="auto"/>
        <w:rPr>
          <w:rFonts w:ascii="宋体" w:hAnsi="宋体" w:cs="宋体"/>
          <w:sz w:val="24"/>
          <w:szCs w:val="24"/>
        </w:rPr>
      </w:pPr>
    </w:p>
    <w:p w14:paraId="11951B52">
      <w:pPr>
        <w:spacing w:line="360" w:lineRule="auto"/>
        <w:rPr>
          <w:rFonts w:ascii="宋体" w:hAnsi="宋体" w:cs="宋体"/>
          <w:sz w:val="24"/>
          <w:szCs w:val="24"/>
        </w:rPr>
      </w:pPr>
    </w:p>
    <w:p w14:paraId="07B98316">
      <w:pPr>
        <w:pStyle w:val="11"/>
        <w:rPr>
          <w:rFonts w:ascii="宋体" w:hAnsi="宋体" w:cs="宋体"/>
          <w:sz w:val="24"/>
          <w:szCs w:val="24"/>
        </w:rPr>
      </w:pPr>
    </w:p>
    <w:p w14:paraId="2706D4E9">
      <w:pPr>
        <w:pStyle w:val="11"/>
        <w:rPr>
          <w:rFonts w:ascii="宋体" w:hAnsi="宋体" w:cs="宋体"/>
          <w:sz w:val="24"/>
          <w:szCs w:val="24"/>
        </w:rPr>
      </w:pPr>
    </w:p>
    <w:p w14:paraId="07B36861">
      <w:pPr>
        <w:pStyle w:val="11"/>
        <w:rPr>
          <w:rFonts w:ascii="宋体" w:hAnsi="宋体" w:cs="宋体"/>
          <w:sz w:val="24"/>
          <w:szCs w:val="24"/>
        </w:rPr>
      </w:pPr>
    </w:p>
    <w:p w14:paraId="15510092">
      <w:pPr>
        <w:pStyle w:val="11"/>
        <w:rPr>
          <w:rFonts w:ascii="宋体" w:hAnsi="宋体" w:cs="宋体"/>
          <w:sz w:val="24"/>
          <w:szCs w:val="24"/>
        </w:rPr>
      </w:pPr>
    </w:p>
    <w:p w14:paraId="39D78469">
      <w:pPr>
        <w:pStyle w:val="11"/>
        <w:rPr>
          <w:rFonts w:ascii="宋体" w:hAnsi="宋体" w:cs="宋体"/>
          <w:sz w:val="24"/>
          <w:szCs w:val="24"/>
        </w:rPr>
      </w:pPr>
    </w:p>
    <w:p w14:paraId="71CD180A">
      <w:pPr>
        <w:pStyle w:val="11"/>
        <w:rPr>
          <w:rFonts w:ascii="宋体" w:hAnsi="宋体" w:cs="宋体"/>
          <w:sz w:val="24"/>
          <w:szCs w:val="24"/>
        </w:rPr>
      </w:pPr>
    </w:p>
    <w:p w14:paraId="0D210A30">
      <w:pPr>
        <w:pStyle w:val="11"/>
        <w:rPr>
          <w:rFonts w:ascii="宋体" w:hAnsi="宋体" w:cs="宋体"/>
          <w:sz w:val="24"/>
          <w:szCs w:val="24"/>
        </w:rPr>
      </w:pPr>
    </w:p>
    <w:p w14:paraId="3B3453AF">
      <w:pPr>
        <w:pStyle w:val="3"/>
        <w:rPr>
          <w:rFonts w:ascii="宋体" w:hAnsi="宋体" w:cs="宋体"/>
          <w:sz w:val="24"/>
          <w:szCs w:val="24"/>
        </w:rPr>
      </w:pPr>
      <w:r>
        <w:rPr>
          <w:rFonts w:hint="eastAsia" w:ascii="宋体" w:hAnsi="宋体" w:eastAsia="宋体" w:cs="宋体"/>
          <w:szCs w:val="22"/>
        </w:rPr>
        <w:t>一、响应函</w:t>
      </w:r>
    </w:p>
    <w:bookmarkEnd w:id="299"/>
    <w:bookmarkEnd w:id="300"/>
    <w:p w14:paraId="74025FFA">
      <w:pPr>
        <w:spacing w:line="360" w:lineRule="auto"/>
        <w:rPr>
          <w:rFonts w:hint="eastAsia" w:ascii="宋体" w:hAnsi="宋体" w:eastAsia="宋体" w:cs="宋体"/>
          <w:sz w:val="24"/>
          <w:lang w:eastAsia="zh-CN"/>
        </w:rPr>
      </w:pPr>
      <w:bookmarkStart w:id="318" w:name="_Toc465958131"/>
      <w:bookmarkStart w:id="319" w:name="_Toc698"/>
      <w:bookmarkStart w:id="320" w:name="_Toc25167"/>
      <w:bookmarkStart w:id="321" w:name="_Toc21360"/>
      <w:bookmarkStart w:id="322" w:name="_Toc190"/>
      <w:r>
        <w:rPr>
          <w:rFonts w:hint="eastAsia" w:ascii="宋体" w:hAnsi="宋体" w:cs="宋体"/>
          <w:sz w:val="24"/>
        </w:rPr>
        <w:t>致：</w:t>
      </w:r>
      <w:r>
        <w:rPr>
          <w:rFonts w:hint="eastAsia" w:ascii="宋体" w:hAnsi="宋体" w:cs="宋体"/>
          <w:sz w:val="24"/>
          <w:lang w:val="en-US" w:eastAsia="zh-CN"/>
        </w:rPr>
        <w:t>中共绥德县委组织部</w:t>
      </w:r>
    </w:p>
    <w:p w14:paraId="26EB3111">
      <w:pPr>
        <w:spacing w:line="400" w:lineRule="atLeast"/>
        <w:ind w:firstLine="540" w:firstLineChars="225"/>
        <w:rPr>
          <w:rFonts w:ascii="宋体" w:hAnsi="宋体" w:cs="宋体"/>
          <w:sz w:val="24"/>
        </w:rPr>
      </w:pPr>
      <w:r>
        <w:rPr>
          <w:rFonts w:hint="eastAsia" w:ascii="宋体" w:hAnsi="宋体" w:cs="宋体"/>
          <w:sz w:val="24"/>
        </w:rPr>
        <w:t>根据已收到贵方的采购项目编号为（采购项目编号）的（采购项目名称）的竞争性谈判文件，签字代表</w:t>
      </w:r>
      <w:r>
        <w:rPr>
          <w:rFonts w:hint="eastAsia" w:ascii="宋体" w:hAnsi="宋体" w:cs="宋体"/>
          <w:sz w:val="24"/>
          <w:u w:val="single"/>
        </w:rPr>
        <w:t xml:space="preserve">              </w:t>
      </w:r>
      <w:r>
        <w:rPr>
          <w:rFonts w:hint="eastAsia" w:ascii="宋体" w:hAnsi="宋体" w:cs="宋体"/>
          <w:sz w:val="24"/>
        </w:rPr>
        <w:t>(全名、职务)经正式授权并代表 (供应商名称、地址、统一社会信用代码）提交</w:t>
      </w:r>
      <w:r>
        <w:rPr>
          <w:rFonts w:hint="eastAsia" w:ascii="宋体" w:hAnsi="宋体" w:cs="宋体"/>
          <w:sz w:val="24"/>
          <w:lang w:val="en-US" w:eastAsia="zh-CN"/>
        </w:rPr>
        <w:t>电子</w:t>
      </w:r>
      <w:r>
        <w:rPr>
          <w:rFonts w:hint="eastAsia" w:ascii="宋体" w:hAnsi="宋体" w:cs="宋体"/>
          <w:sz w:val="24"/>
        </w:rPr>
        <w:t>谈判响应文件一份。</w:t>
      </w:r>
    </w:p>
    <w:p w14:paraId="5C346980">
      <w:pPr>
        <w:spacing w:line="360" w:lineRule="auto"/>
        <w:rPr>
          <w:rFonts w:ascii="宋体" w:hAnsi="宋体" w:cs="宋体"/>
          <w:sz w:val="24"/>
        </w:rPr>
      </w:pPr>
      <w:r>
        <w:rPr>
          <w:rFonts w:hint="eastAsia" w:ascii="宋体" w:hAnsi="宋体" w:cs="宋体"/>
          <w:sz w:val="24"/>
        </w:rPr>
        <w:t xml:space="preserve">    (1) </w:t>
      </w:r>
      <w:r>
        <w:rPr>
          <w:rFonts w:hint="eastAsia" w:ascii="宋体" w:hAnsi="宋体" w:cs="宋体"/>
          <w:sz w:val="24"/>
          <w:szCs w:val="24"/>
        </w:rPr>
        <w:t>谈判函</w:t>
      </w:r>
    </w:p>
    <w:p w14:paraId="268D8FE9">
      <w:pPr>
        <w:spacing w:line="360" w:lineRule="auto"/>
        <w:rPr>
          <w:rFonts w:ascii="宋体" w:hAnsi="宋体" w:cs="宋体"/>
          <w:sz w:val="24"/>
        </w:rPr>
      </w:pPr>
      <w:r>
        <w:rPr>
          <w:rFonts w:hint="eastAsia" w:ascii="宋体" w:hAnsi="宋体" w:cs="宋体"/>
          <w:sz w:val="24"/>
        </w:rPr>
        <w:t xml:space="preserve">    (2) 报价一览表</w:t>
      </w:r>
    </w:p>
    <w:p w14:paraId="156286A7">
      <w:pPr>
        <w:spacing w:line="360" w:lineRule="auto"/>
        <w:rPr>
          <w:rFonts w:ascii="宋体" w:hAnsi="宋体" w:cs="宋体"/>
          <w:sz w:val="24"/>
        </w:rPr>
      </w:pPr>
      <w:r>
        <w:rPr>
          <w:rFonts w:hint="eastAsia" w:ascii="宋体" w:hAnsi="宋体" w:cs="宋体"/>
          <w:sz w:val="24"/>
        </w:rPr>
        <w:t xml:space="preserve">    (3) 按供应商须知要求提供的全部文件和竞争性谈判文件要求的响应文件。</w:t>
      </w:r>
    </w:p>
    <w:p w14:paraId="023F0A2D">
      <w:pPr>
        <w:spacing w:line="360" w:lineRule="auto"/>
        <w:rPr>
          <w:rFonts w:ascii="宋体" w:hAnsi="宋体" w:cs="宋体"/>
          <w:sz w:val="24"/>
        </w:rPr>
      </w:pPr>
      <w:r>
        <w:rPr>
          <w:rFonts w:hint="eastAsia" w:ascii="宋体" w:hAnsi="宋体" w:cs="宋体"/>
          <w:sz w:val="24"/>
        </w:rPr>
        <w:t xml:space="preserve">    (4) 供应商资格证明文件。</w:t>
      </w:r>
    </w:p>
    <w:p w14:paraId="3EA10BEC">
      <w:pPr>
        <w:spacing w:line="360" w:lineRule="auto"/>
        <w:ind w:firstLine="480"/>
        <w:rPr>
          <w:rFonts w:ascii="宋体" w:hAnsi="宋体" w:cs="宋体"/>
          <w:sz w:val="24"/>
        </w:rPr>
      </w:pPr>
      <w:r>
        <w:rPr>
          <w:rFonts w:hint="eastAsia" w:ascii="宋体" w:hAnsi="宋体" w:cs="宋体"/>
          <w:sz w:val="24"/>
        </w:rPr>
        <w:t>(5) 已</w:t>
      </w:r>
      <w:r>
        <w:rPr>
          <w:rFonts w:hint="eastAsia" w:ascii="宋体" w:hAnsi="宋体" w:cs="宋体"/>
          <w:sz w:val="24"/>
          <w:lang w:eastAsia="zh-CN"/>
        </w:rPr>
        <w:t>提交投标信用承诺书（保证金）</w:t>
      </w:r>
      <w:r>
        <w:rPr>
          <w:rFonts w:hint="eastAsia" w:ascii="宋体" w:hAnsi="宋体" w:cs="宋体"/>
          <w:sz w:val="24"/>
        </w:rPr>
        <w:t>。</w:t>
      </w:r>
    </w:p>
    <w:p w14:paraId="7D523BD3">
      <w:pPr>
        <w:spacing w:line="360" w:lineRule="auto"/>
        <w:rPr>
          <w:rFonts w:ascii="宋体" w:hAnsi="宋体" w:cs="宋体"/>
          <w:sz w:val="24"/>
        </w:rPr>
      </w:pPr>
      <w:r>
        <w:rPr>
          <w:rFonts w:hint="eastAsia" w:ascii="宋体" w:hAnsi="宋体" w:cs="宋体"/>
          <w:sz w:val="24"/>
        </w:rPr>
        <w:tab/>
      </w:r>
      <w:r>
        <w:rPr>
          <w:rFonts w:hint="eastAsia" w:ascii="宋体" w:hAnsi="宋体" w:cs="宋体"/>
          <w:sz w:val="24"/>
        </w:rPr>
        <w:t>据此函，签字代表宣布同意如下：</w:t>
      </w:r>
    </w:p>
    <w:p w14:paraId="4892F290">
      <w:pPr>
        <w:spacing w:line="360" w:lineRule="auto"/>
        <w:rPr>
          <w:rFonts w:ascii="宋体" w:hAnsi="宋体" w:cs="宋体"/>
          <w:sz w:val="24"/>
          <w:u w:val="single"/>
        </w:rPr>
      </w:pPr>
      <w:r>
        <w:rPr>
          <w:rFonts w:hint="eastAsia" w:ascii="宋体" w:hAnsi="宋体" w:cs="宋体"/>
          <w:sz w:val="24"/>
        </w:rPr>
        <w:t xml:space="preserve">  </w:t>
      </w:r>
      <w:r>
        <w:rPr>
          <w:rFonts w:hint="eastAsia" w:ascii="宋体" w:hAnsi="宋体" w:cs="宋体"/>
          <w:sz w:val="24"/>
        </w:rPr>
        <w:tab/>
      </w:r>
      <w:r>
        <w:rPr>
          <w:rFonts w:hint="eastAsia" w:ascii="宋体" w:hAnsi="宋体" w:cs="宋体"/>
          <w:sz w:val="24"/>
        </w:rPr>
        <w:t>1. 所附报价一览表中规定的谈判报价为：</w:t>
      </w:r>
      <w:r>
        <w:rPr>
          <w:rFonts w:hint="eastAsia" w:ascii="宋体" w:hAnsi="宋体" w:cs="宋体"/>
          <w:sz w:val="24"/>
          <w:u w:val="single"/>
        </w:rPr>
        <w:t xml:space="preserve">        </w:t>
      </w:r>
      <w:r>
        <w:rPr>
          <w:rFonts w:hint="eastAsia" w:ascii="宋体" w:hAnsi="宋体" w:cs="宋体"/>
          <w:sz w:val="24"/>
        </w:rPr>
        <w:t>元（即：</w:t>
      </w:r>
      <w:r>
        <w:rPr>
          <w:rFonts w:hint="eastAsia" w:ascii="宋体" w:hAnsi="宋体" w:cs="宋体"/>
          <w:sz w:val="24"/>
          <w:u w:val="single"/>
        </w:rPr>
        <w:t xml:space="preserve">         大写金额</w:t>
      </w:r>
      <w:r>
        <w:rPr>
          <w:rFonts w:hint="eastAsia" w:ascii="宋体" w:hAnsi="宋体" w:cs="宋体"/>
          <w:sz w:val="24"/>
        </w:rPr>
        <w:t>），</w:t>
      </w:r>
      <w:r>
        <w:rPr>
          <w:rFonts w:hint="eastAsia" w:ascii="宋体" w:hAnsi="宋体" w:cs="宋体"/>
          <w:sz w:val="24"/>
          <w:lang w:val="en-US" w:eastAsia="zh-CN"/>
        </w:rPr>
        <w:t>项目总周期</w:t>
      </w:r>
      <w:r>
        <w:rPr>
          <w:rFonts w:hint="eastAsia" w:ascii="宋体" w:hAnsi="宋体" w:cs="宋体"/>
          <w:sz w:val="24"/>
          <w:u w:val="single"/>
        </w:rPr>
        <w:t xml:space="preserve">         </w:t>
      </w:r>
      <w:r>
        <w:rPr>
          <w:rFonts w:hint="eastAsia" w:ascii="宋体" w:hAnsi="宋体" w:cs="宋体"/>
          <w:sz w:val="24"/>
        </w:rPr>
        <w:t>；</w:t>
      </w:r>
    </w:p>
    <w:p w14:paraId="3C86159D">
      <w:pPr>
        <w:spacing w:line="360" w:lineRule="auto"/>
        <w:ind w:firstLine="420"/>
        <w:rPr>
          <w:rFonts w:ascii="宋体" w:hAnsi="宋体" w:cs="宋体"/>
          <w:sz w:val="24"/>
        </w:rPr>
      </w:pPr>
      <w:r>
        <w:rPr>
          <w:rFonts w:hint="eastAsia" w:ascii="宋体" w:hAnsi="宋体" w:cs="宋体"/>
          <w:sz w:val="24"/>
        </w:rPr>
        <w:t>2. 供应商将按竞争性谈判文件的规定履行合同责任和义务；</w:t>
      </w:r>
    </w:p>
    <w:p w14:paraId="1CD6C655">
      <w:pPr>
        <w:spacing w:line="360" w:lineRule="auto"/>
        <w:ind w:firstLine="420"/>
        <w:rPr>
          <w:rFonts w:ascii="宋体" w:hAnsi="宋体" w:cs="宋体"/>
          <w:sz w:val="24"/>
        </w:rPr>
      </w:pPr>
      <w:r>
        <w:rPr>
          <w:rFonts w:hint="eastAsia" w:ascii="宋体" w:hAnsi="宋体" w:cs="宋体"/>
          <w:sz w:val="24"/>
        </w:rPr>
        <w:t>3. 供应商已详细审查全部竞争性谈判文件，包括修改文件（如有的话）以及全部参考资料和有关附件。我们完全理解并同意放弃对这方面有不明及误解的权利；</w:t>
      </w:r>
    </w:p>
    <w:p w14:paraId="54517DE8">
      <w:pPr>
        <w:spacing w:line="360" w:lineRule="auto"/>
        <w:ind w:firstLine="420"/>
        <w:rPr>
          <w:rFonts w:ascii="宋体" w:hAnsi="宋体" w:cs="宋体"/>
          <w:sz w:val="24"/>
        </w:rPr>
      </w:pPr>
      <w:r>
        <w:rPr>
          <w:rFonts w:hint="eastAsia" w:ascii="宋体" w:hAnsi="宋体" w:cs="宋体"/>
          <w:sz w:val="24"/>
        </w:rPr>
        <w:t>4. 谈判报价自谈判截止之日起有效期为</w:t>
      </w:r>
      <w:r>
        <w:rPr>
          <w:rFonts w:hint="eastAsia" w:ascii="宋体" w:hAnsi="宋体" w:cs="宋体"/>
          <w:sz w:val="24"/>
          <w:u w:val="single"/>
        </w:rPr>
        <w:t xml:space="preserve">      </w:t>
      </w:r>
      <w:r>
        <w:rPr>
          <w:rFonts w:hint="eastAsia" w:ascii="宋体" w:hAnsi="宋体" w:cs="宋体"/>
          <w:sz w:val="24"/>
        </w:rPr>
        <w:t>个日历天；</w:t>
      </w:r>
    </w:p>
    <w:p w14:paraId="1C431140">
      <w:pPr>
        <w:spacing w:line="360" w:lineRule="auto"/>
        <w:ind w:firstLine="420"/>
        <w:rPr>
          <w:rFonts w:ascii="宋体" w:hAnsi="宋体" w:cs="宋体"/>
          <w:sz w:val="24"/>
        </w:rPr>
      </w:pPr>
      <w:r>
        <w:rPr>
          <w:rFonts w:hint="eastAsia" w:ascii="宋体" w:hAnsi="宋体" w:cs="宋体"/>
          <w:sz w:val="24"/>
          <w:lang w:val="en-US" w:eastAsia="zh-CN"/>
        </w:rPr>
        <w:t>5</w:t>
      </w:r>
      <w:r>
        <w:rPr>
          <w:rFonts w:hint="eastAsia" w:ascii="宋体" w:hAnsi="宋体" w:cs="宋体"/>
          <w:sz w:val="24"/>
        </w:rPr>
        <w:t>. 供应商同意提供按照贵方可能要求的与其报价有关的一切数据或资料。</w:t>
      </w:r>
    </w:p>
    <w:p w14:paraId="66020119">
      <w:pPr>
        <w:spacing w:line="360" w:lineRule="auto"/>
        <w:ind w:firstLine="420"/>
        <w:rPr>
          <w:rFonts w:ascii="宋体" w:hAnsi="宋体" w:cs="宋体"/>
          <w:sz w:val="24"/>
        </w:rPr>
      </w:pPr>
      <w:r>
        <w:rPr>
          <w:rFonts w:hint="eastAsia" w:ascii="宋体" w:hAnsi="宋体" w:cs="宋体"/>
          <w:sz w:val="24"/>
          <w:lang w:val="en-US" w:eastAsia="zh-CN"/>
        </w:rPr>
        <w:t>6</w:t>
      </w:r>
      <w:r>
        <w:rPr>
          <w:rFonts w:hint="eastAsia" w:ascii="宋体" w:hAnsi="宋体" w:cs="宋体"/>
          <w:sz w:val="24"/>
        </w:rPr>
        <w:t>. 与本谈判有关的一切正式往来通讯请寄：</w:t>
      </w:r>
    </w:p>
    <w:p w14:paraId="5856D3E3">
      <w:pPr>
        <w:spacing w:line="360" w:lineRule="auto"/>
        <w:ind w:firstLine="360" w:firstLineChars="150"/>
        <w:rPr>
          <w:rFonts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邮编：</w:t>
      </w:r>
      <w:r>
        <w:rPr>
          <w:rFonts w:hint="eastAsia" w:ascii="宋体" w:hAnsi="宋体" w:cs="宋体"/>
          <w:sz w:val="24"/>
          <w:u w:val="single"/>
        </w:rPr>
        <w:t xml:space="preserve">                    </w:t>
      </w:r>
    </w:p>
    <w:p w14:paraId="0DDD63CB">
      <w:pPr>
        <w:spacing w:line="360" w:lineRule="auto"/>
        <w:ind w:firstLine="360" w:firstLineChars="150"/>
        <w:rPr>
          <w:rFonts w:ascii="宋体" w:hAnsi="宋体" w:cs="宋体"/>
          <w:sz w:val="24"/>
        </w:rPr>
      </w:pP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 xml:space="preserve">  传真：</w:t>
      </w:r>
      <w:r>
        <w:rPr>
          <w:rFonts w:hint="eastAsia" w:ascii="宋体" w:hAnsi="宋体" w:cs="宋体"/>
          <w:sz w:val="24"/>
          <w:u w:val="single"/>
        </w:rPr>
        <w:t xml:space="preserve">                    </w:t>
      </w:r>
      <w:r>
        <w:rPr>
          <w:rFonts w:hint="eastAsia" w:ascii="宋体" w:hAnsi="宋体" w:cs="宋体"/>
          <w:sz w:val="24"/>
        </w:rPr>
        <w:t xml:space="preserve"> </w:t>
      </w:r>
    </w:p>
    <w:p w14:paraId="473FEAD2">
      <w:pPr>
        <w:spacing w:line="360" w:lineRule="auto"/>
        <w:ind w:firstLine="360" w:firstLineChars="150"/>
        <w:rPr>
          <w:rFonts w:ascii="宋体" w:hAnsi="宋体" w:cs="宋体"/>
          <w:sz w:val="24"/>
        </w:rPr>
      </w:pPr>
      <w:r>
        <w:rPr>
          <w:rFonts w:hint="eastAsia" w:ascii="宋体" w:hAnsi="宋体" w:cs="宋体"/>
          <w:sz w:val="24"/>
        </w:rPr>
        <w:t>供应商代表姓名、职务：</w:t>
      </w:r>
      <w:r>
        <w:rPr>
          <w:rFonts w:hint="eastAsia" w:ascii="宋体" w:hAnsi="宋体" w:cs="宋体"/>
          <w:sz w:val="24"/>
          <w:u w:val="single"/>
        </w:rPr>
        <w:t xml:space="preserve">                                   </w:t>
      </w:r>
    </w:p>
    <w:p w14:paraId="3D9FF8DA">
      <w:pPr>
        <w:spacing w:line="360" w:lineRule="auto"/>
        <w:ind w:firstLine="360" w:firstLineChars="150"/>
        <w:rPr>
          <w:rFonts w:ascii="宋体" w:hAnsi="宋体" w:cs="宋体"/>
          <w:sz w:val="24"/>
        </w:rPr>
      </w:pPr>
      <w:r>
        <w:rPr>
          <w:rFonts w:hint="eastAsia" w:ascii="宋体" w:hAnsi="宋体" w:cs="宋体"/>
          <w:sz w:val="24"/>
        </w:rPr>
        <w:t>供应商名称：</w:t>
      </w:r>
      <w:r>
        <w:rPr>
          <w:rFonts w:hint="eastAsia" w:ascii="宋体" w:hAnsi="宋体" w:cs="宋体"/>
          <w:sz w:val="24"/>
          <w:u w:val="single"/>
        </w:rPr>
        <w:t xml:space="preserve">                    （公章）</w:t>
      </w:r>
    </w:p>
    <w:p w14:paraId="1742FEAB">
      <w:pPr>
        <w:spacing w:line="360" w:lineRule="auto"/>
        <w:ind w:firstLine="360" w:firstLineChars="15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r>
        <w:rPr>
          <w:rFonts w:hint="eastAsia" w:ascii="宋体" w:hAnsi="宋体" w:cs="宋体"/>
          <w:sz w:val="24"/>
          <w:u w:val="single"/>
        </w:rPr>
        <w:t xml:space="preserve">                       </w:t>
      </w:r>
    </w:p>
    <w:p w14:paraId="4698C573">
      <w:pPr>
        <w:spacing w:line="360" w:lineRule="auto"/>
        <w:ind w:firstLine="360" w:firstLineChars="150"/>
        <w:rPr>
          <w:rFonts w:ascii="宋体" w:hAnsi="宋体" w:cs="宋体"/>
        </w:rPr>
      </w:pPr>
      <w:r>
        <w:rPr>
          <w:rFonts w:hint="eastAsia" w:ascii="宋体" w:hAnsi="宋体" w:cs="宋体"/>
          <w:sz w:val="24"/>
        </w:rPr>
        <w:t xml:space="preserve">日期：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bookmarkEnd w:id="318"/>
    <w:bookmarkEnd w:id="319"/>
    <w:bookmarkEnd w:id="320"/>
    <w:bookmarkEnd w:id="321"/>
    <w:bookmarkEnd w:id="322"/>
    <w:p w14:paraId="6074F834">
      <w:pPr>
        <w:pStyle w:val="3"/>
        <w:keepLines w:val="0"/>
        <w:numPr>
          <w:ilvl w:val="0"/>
          <w:numId w:val="7"/>
        </w:numPr>
        <w:adjustRightInd w:val="0"/>
        <w:textAlignment w:val="baseline"/>
        <w:rPr>
          <w:rFonts w:ascii="宋体" w:hAnsi="宋体" w:eastAsia="宋体" w:cs="宋体"/>
        </w:rPr>
      </w:pPr>
      <w:r>
        <w:rPr>
          <w:rFonts w:hint="eastAsia" w:ascii="宋体" w:hAnsi="宋体" w:eastAsia="宋体" w:cs="宋体"/>
        </w:rPr>
        <w:t>第一次谈判报价表</w:t>
      </w:r>
    </w:p>
    <w:p w14:paraId="34F5B2DC">
      <w:pPr>
        <w:pStyle w:val="4"/>
        <w:spacing w:line="360" w:lineRule="auto"/>
        <w:jc w:val="center"/>
      </w:pPr>
      <w:r>
        <w:rPr>
          <w:rFonts w:hint="eastAsia"/>
        </w:rPr>
        <w:t>2.1谈判报价表</w:t>
      </w:r>
    </w:p>
    <w:tbl>
      <w:tblPr>
        <w:tblStyle w:val="22"/>
        <w:tblW w:w="8979"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64"/>
        <w:gridCol w:w="7015"/>
      </w:tblGrid>
      <w:tr w14:paraId="1BA60D9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51" w:hRule="atLeast"/>
        </w:trPr>
        <w:tc>
          <w:tcPr>
            <w:tcW w:w="1964" w:type="dxa"/>
            <w:tcBorders>
              <w:bottom w:val="single" w:color="auto" w:sz="4" w:space="0"/>
            </w:tcBorders>
            <w:noWrap w:val="0"/>
            <w:vAlign w:val="center"/>
          </w:tcPr>
          <w:p w14:paraId="7E7F11D0">
            <w:pPr>
              <w:spacing w:line="360" w:lineRule="auto"/>
              <w:jc w:val="center"/>
              <w:rPr>
                <w:rFonts w:ascii="宋体" w:hAnsi="宋体" w:cs="宋体"/>
                <w:b/>
                <w:bCs/>
                <w:sz w:val="24"/>
              </w:rPr>
            </w:pPr>
            <w:bookmarkStart w:id="323" w:name="OLE_LINK14"/>
            <w:r>
              <w:rPr>
                <w:rFonts w:hint="eastAsia" w:ascii="宋体" w:hAnsi="宋体" w:cs="宋体"/>
                <w:b/>
                <w:bCs/>
                <w:sz w:val="24"/>
              </w:rPr>
              <w:t>采购项目名称</w:t>
            </w:r>
          </w:p>
        </w:tc>
        <w:tc>
          <w:tcPr>
            <w:tcW w:w="7015" w:type="dxa"/>
            <w:noWrap w:val="0"/>
            <w:vAlign w:val="center"/>
          </w:tcPr>
          <w:p w14:paraId="7C105A6C">
            <w:pPr>
              <w:pStyle w:val="2"/>
              <w:spacing w:line="360" w:lineRule="auto"/>
              <w:jc w:val="center"/>
              <w:rPr>
                <w:rFonts w:ascii="宋体" w:hAnsi="宋体" w:cs="宋体"/>
                <w:b w:val="0"/>
                <w:bCs/>
                <w:kern w:val="2"/>
                <w:sz w:val="24"/>
              </w:rPr>
            </w:pPr>
          </w:p>
        </w:tc>
      </w:tr>
      <w:tr w14:paraId="08B6EBA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41" w:hRule="atLeast"/>
        </w:trPr>
        <w:tc>
          <w:tcPr>
            <w:tcW w:w="1964" w:type="dxa"/>
            <w:tcBorders>
              <w:bottom w:val="single" w:color="auto" w:sz="4" w:space="0"/>
            </w:tcBorders>
            <w:noWrap w:val="0"/>
            <w:vAlign w:val="center"/>
          </w:tcPr>
          <w:p w14:paraId="425A1628">
            <w:pPr>
              <w:spacing w:line="360" w:lineRule="auto"/>
              <w:jc w:val="center"/>
              <w:rPr>
                <w:rFonts w:ascii="宋体" w:hAnsi="宋体" w:cs="宋体"/>
                <w:b/>
                <w:bCs/>
                <w:sz w:val="24"/>
              </w:rPr>
            </w:pPr>
            <w:r>
              <w:rPr>
                <w:rFonts w:hint="eastAsia" w:ascii="宋体" w:hAnsi="宋体" w:cs="宋体"/>
                <w:b/>
                <w:bCs/>
                <w:sz w:val="24"/>
              </w:rPr>
              <w:t>采购项目编号</w:t>
            </w:r>
          </w:p>
        </w:tc>
        <w:tc>
          <w:tcPr>
            <w:tcW w:w="7015" w:type="dxa"/>
            <w:tcBorders>
              <w:bottom w:val="single" w:color="auto" w:sz="4" w:space="0"/>
            </w:tcBorders>
            <w:noWrap w:val="0"/>
            <w:vAlign w:val="center"/>
          </w:tcPr>
          <w:p w14:paraId="5C602206">
            <w:pPr>
              <w:spacing w:line="360" w:lineRule="auto"/>
              <w:jc w:val="center"/>
              <w:rPr>
                <w:rFonts w:ascii="宋体" w:hAnsi="宋体" w:cs="宋体"/>
                <w:bCs/>
                <w:sz w:val="24"/>
              </w:rPr>
            </w:pPr>
          </w:p>
        </w:tc>
      </w:tr>
      <w:tr w14:paraId="1129D90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3" w:hRule="atLeast"/>
        </w:trPr>
        <w:tc>
          <w:tcPr>
            <w:tcW w:w="1964" w:type="dxa"/>
            <w:noWrap w:val="0"/>
            <w:vAlign w:val="center"/>
          </w:tcPr>
          <w:p w14:paraId="643C87F2">
            <w:pPr>
              <w:spacing w:line="360" w:lineRule="auto"/>
              <w:jc w:val="center"/>
              <w:rPr>
                <w:rFonts w:ascii="宋体" w:hAnsi="宋体" w:cs="宋体"/>
                <w:b/>
                <w:bCs/>
                <w:sz w:val="24"/>
              </w:rPr>
            </w:pPr>
            <w:r>
              <w:rPr>
                <w:rFonts w:hint="eastAsia" w:ascii="宋体" w:hAnsi="宋体" w:cs="宋体"/>
                <w:b/>
                <w:bCs/>
                <w:sz w:val="24"/>
              </w:rPr>
              <w:t>供应商名称</w:t>
            </w:r>
          </w:p>
          <w:p w14:paraId="707EC446">
            <w:pPr>
              <w:spacing w:line="360" w:lineRule="auto"/>
              <w:jc w:val="center"/>
              <w:rPr>
                <w:rFonts w:ascii="宋体" w:hAnsi="宋体" w:cs="宋体"/>
                <w:b/>
                <w:bCs/>
                <w:sz w:val="24"/>
              </w:rPr>
            </w:pPr>
            <w:r>
              <w:rPr>
                <w:rFonts w:hint="eastAsia" w:ascii="宋体" w:hAnsi="宋体" w:cs="宋体"/>
                <w:b/>
                <w:bCs/>
                <w:sz w:val="24"/>
              </w:rPr>
              <w:t>(单位名称)</w:t>
            </w:r>
          </w:p>
        </w:tc>
        <w:tc>
          <w:tcPr>
            <w:tcW w:w="7015" w:type="dxa"/>
            <w:noWrap w:val="0"/>
            <w:vAlign w:val="center"/>
          </w:tcPr>
          <w:p w14:paraId="23A2CEBA">
            <w:pPr>
              <w:spacing w:line="360" w:lineRule="auto"/>
              <w:jc w:val="center"/>
              <w:rPr>
                <w:rFonts w:ascii="宋体" w:hAnsi="宋体" w:cs="宋体"/>
                <w:b/>
                <w:bCs/>
                <w:sz w:val="24"/>
              </w:rPr>
            </w:pPr>
          </w:p>
        </w:tc>
      </w:tr>
      <w:tr w14:paraId="5056E4B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929" w:hRule="atLeast"/>
        </w:trPr>
        <w:tc>
          <w:tcPr>
            <w:tcW w:w="1964" w:type="dxa"/>
            <w:noWrap w:val="0"/>
            <w:vAlign w:val="center"/>
          </w:tcPr>
          <w:p w14:paraId="2460551F">
            <w:pPr>
              <w:spacing w:line="360" w:lineRule="auto"/>
              <w:jc w:val="center"/>
              <w:rPr>
                <w:rFonts w:ascii="宋体" w:hAnsi="宋体" w:cs="宋体"/>
                <w:b/>
                <w:bCs/>
                <w:sz w:val="24"/>
              </w:rPr>
            </w:pPr>
            <w:r>
              <w:rPr>
                <w:rFonts w:hint="eastAsia" w:ascii="宋体" w:hAnsi="宋体" w:cs="宋体"/>
                <w:b/>
                <w:bCs/>
                <w:sz w:val="24"/>
              </w:rPr>
              <w:t>谈判报价</w:t>
            </w:r>
          </w:p>
          <w:p w14:paraId="41021A5C">
            <w:pPr>
              <w:spacing w:line="360" w:lineRule="auto"/>
              <w:jc w:val="center"/>
              <w:rPr>
                <w:rFonts w:ascii="宋体" w:hAnsi="宋体" w:cs="宋体"/>
                <w:b/>
                <w:bCs/>
                <w:sz w:val="24"/>
              </w:rPr>
            </w:pPr>
            <w:r>
              <w:rPr>
                <w:rFonts w:hint="eastAsia" w:ascii="宋体" w:hAnsi="宋体" w:cs="宋体"/>
                <w:b/>
                <w:bCs/>
                <w:sz w:val="24"/>
              </w:rPr>
              <w:t>（人民币）</w:t>
            </w:r>
          </w:p>
        </w:tc>
        <w:tc>
          <w:tcPr>
            <w:tcW w:w="7015" w:type="dxa"/>
            <w:noWrap w:val="0"/>
            <w:vAlign w:val="top"/>
          </w:tcPr>
          <w:p w14:paraId="60694F6F">
            <w:pPr>
              <w:spacing w:line="360" w:lineRule="auto"/>
              <w:rPr>
                <w:rFonts w:ascii="宋体" w:hAnsi="宋体" w:cs="宋体"/>
                <w:b/>
                <w:bCs/>
                <w:sz w:val="24"/>
              </w:rPr>
            </w:pPr>
          </w:p>
          <w:p w14:paraId="417A13C3">
            <w:pPr>
              <w:spacing w:line="360" w:lineRule="auto"/>
              <w:rPr>
                <w:rFonts w:ascii="宋体" w:hAnsi="宋体" w:cs="宋体"/>
                <w:b/>
                <w:bCs/>
                <w:sz w:val="24"/>
              </w:rPr>
            </w:pPr>
            <w:r>
              <w:rPr>
                <w:rFonts w:hint="eastAsia" w:ascii="宋体" w:hAnsi="宋体" w:cs="宋体"/>
                <w:b/>
                <w:bCs/>
                <w:sz w:val="24"/>
              </w:rPr>
              <w:t>人 民 币（大写）：</w:t>
            </w:r>
            <w:r>
              <w:rPr>
                <w:rFonts w:hint="eastAsia" w:ascii="宋体" w:hAnsi="宋体" w:cs="宋体"/>
                <w:b/>
                <w:bCs/>
                <w:sz w:val="24"/>
                <w:u w:val="single"/>
              </w:rPr>
              <w:t xml:space="preserve">                  </w:t>
            </w:r>
            <w:r>
              <w:rPr>
                <w:rFonts w:hint="eastAsia" w:ascii="宋体" w:hAnsi="宋体" w:cs="宋体"/>
                <w:b/>
                <w:bCs/>
                <w:sz w:val="24"/>
              </w:rPr>
              <w:t xml:space="preserve"> 元</w:t>
            </w:r>
          </w:p>
          <w:p w14:paraId="141442DF">
            <w:pPr>
              <w:spacing w:line="360" w:lineRule="auto"/>
              <w:rPr>
                <w:rFonts w:ascii="宋体" w:hAnsi="宋体" w:cs="宋体"/>
                <w:b/>
                <w:bCs/>
                <w:sz w:val="24"/>
              </w:rPr>
            </w:pPr>
          </w:p>
          <w:p w14:paraId="43A92D80">
            <w:pPr>
              <w:spacing w:line="360" w:lineRule="auto"/>
              <w:rPr>
                <w:rFonts w:ascii="宋体" w:hAnsi="宋体" w:cs="宋体"/>
                <w:b/>
                <w:bCs/>
                <w:sz w:val="24"/>
              </w:rPr>
            </w:pPr>
            <w:r>
              <w:rPr>
                <w:rFonts w:hint="eastAsia" w:ascii="宋体" w:hAnsi="宋体" w:cs="宋体"/>
                <w:b/>
                <w:bCs/>
                <w:sz w:val="24"/>
              </w:rPr>
              <w:t>人 民 币（小写）：</w:t>
            </w:r>
            <w:r>
              <w:rPr>
                <w:rFonts w:hint="eastAsia" w:ascii="宋体" w:hAnsi="宋体" w:cs="宋体"/>
                <w:b/>
                <w:bCs/>
                <w:sz w:val="24"/>
                <w:u w:val="single"/>
              </w:rPr>
              <w:t xml:space="preserve">                 </w:t>
            </w:r>
            <w:r>
              <w:rPr>
                <w:rFonts w:hint="eastAsia" w:ascii="宋体" w:hAnsi="宋体" w:cs="宋体"/>
                <w:b/>
                <w:bCs/>
                <w:sz w:val="24"/>
              </w:rPr>
              <w:t xml:space="preserve"> 元</w:t>
            </w:r>
          </w:p>
          <w:p w14:paraId="2C790536">
            <w:pPr>
              <w:spacing w:line="360" w:lineRule="auto"/>
              <w:rPr>
                <w:rFonts w:ascii="宋体" w:hAnsi="宋体" w:cs="宋体"/>
                <w:b/>
                <w:bCs/>
                <w:sz w:val="24"/>
              </w:rPr>
            </w:pPr>
            <w:r>
              <w:rPr>
                <w:rFonts w:hint="eastAsia" w:ascii="宋体" w:hAnsi="宋体" w:cs="宋体"/>
                <w:b/>
                <w:bCs/>
                <w:sz w:val="24"/>
              </w:rPr>
              <w:t xml:space="preserve"> </w:t>
            </w:r>
          </w:p>
        </w:tc>
      </w:tr>
      <w:tr w14:paraId="1D3F89E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4" w:hRule="atLeast"/>
        </w:trPr>
        <w:tc>
          <w:tcPr>
            <w:tcW w:w="1964" w:type="dxa"/>
            <w:noWrap w:val="0"/>
            <w:vAlign w:val="center"/>
          </w:tcPr>
          <w:p w14:paraId="279A2D7C">
            <w:pPr>
              <w:spacing w:line="360" w:lineRule="auto"/>
              <w:jc w:val="center"/>
              <w:rPr>
                <w:rFonts w:ascii="宋体" w:hAnsi="宋体" w:cs="宋体"/>
                <w:b/>
                <w:bCs/>
                <w:sz w:val="24"/>
              </w:rPr>
            </w:pPr>
            <w:r>
              <w:rPr>
                <w:rFonts w:hint="eastAsia" w:ascii="宋体" w:hAnsi="宋体" w:cs="宋体"/>
                <w:b/>
                <w:bCs/>
                <w:sz w:val="24"/>
                <w:lang w:val="en-US" w:eastAsia="zh-CN"/>
              </w:rPr>
              <w:t>项目总周期</w:t>
            </w:r>
          </w:p>
        </w:tc>
        <w:tc>
          <w:tcPr>
            <w:tcW w:w="7015" w:type="dxa"/>
            <w:noWrap w:val="0"/>
            <w:vAlign w:val="top"/>
          </w:tcPr>
          <w:p w14:paraId="0D0010B9">
            <w:pPr>
              <w:spacing w:line="360" w:lineRule="auto"/>
              <w:rPr>
                <w:rFonts w:ascii="宋体" w:hAnsi="宋体" w:cs="宋体"/>
                <w:b/>
                <w:bCs/>
                <w:sz w:val="24"/>
              </w:rPr>
            </w:pPr>
          </w:p>
        </w:tc>
      </w:tr>
      <w:tr w14:paraId="1869AF9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14" w:hRule="atLeast"/>
        </w:trPr>
        <w:tc>
          <w:tcPr>
            <w:tcW w:w="1964" w:type="dxa"/>
            <w:noWrap w:val="0"/>
            <w:vAlign w:val="center"/>
          </w:tcPr>
          <w:p w14:paraId="4A6D0D68">
            <w:pPr>
              <w:spacing w:line="360" w:lineRule="auto"/>
              <w:jc w:val="center"/>
              <w:rPr>
                <w:rFonts w:ascii="宋体" w:hAnsi="宋体" w:cs="宋体"/>
                <w:b/>
                <w:bCs/>
                <w:sz w:val="24"/>
              </w:rPr>
            </w:pPr>
            <w:r>
              <w:rPr>
                <w:rFonts w:hint="eastAsia" w:ascii="宋体" w:hAnsi="宋体" w:cs="宋体"/>
                <w:b/>
                <w:bCs/>
                <w:sz w:val="24"/>
              </w:rPr>
              <w:t>投标声明</w:t>
            </w:r>
          </w:p>
        </w:tc>
        <w:tc>
          <w:tcPr>
            <w:tcW w:w="7015" w:type="dxa"/>
            <w:noWrap w:val="0"/>
            <w:vAlign w:val="top"/>
          </w:tcPr>
          <w:p w14:paraId="058EC6D1">
            <w:pPr>
              <w:spacing w:line="360" w:lineRule="auto"/>
              <w:rPr>
                <w:rFonts w:ascii="宋体" w:hAnsi="宋体" w:cs="宋体"/>
                <w:b/>
                <w:bCs/>
                <w:sz w:val="24"/>
              </w:rPr>
            </w:pPr>
          </w:p>
        </w:tc>
      </w:tr>
      <w:bookmarkEnd w:id="323"/>
    </w:tbl>
    <w:p w14:paraId="47FEEB47">
      <w:pPr>
        <w:spacing w:line="360" w:lineRule="auto"/>
        <w:ind w:right="-161"/>
        <w:rPr>
          <w:rFonts w:hint="eastAsia" w:ascii="宋体" w:hAnsi="宋体" w:eastAsia="宋体" w:cs="宋体"/>
          <w:sz w:val="24"/>
          <w:szCs w:val="24"/>
          <w:lang w:eastAsia="zh-CN"/>
        </w:rPr>
      </w:pPr>
    </w:p>
    <w:p w14:paraId="5628998C">
      <w:pPr>
        <w:pStyle w:val="11"/>
        <w:rPr>
          <w:rFonts w:hint="eastAsia" w:ascii="宋体" w:hAnsi="宋体" w:eastAsia="宋体" w:cs="宋体"/>
          <w:sz w:val="24"/>
          <w:szCs w:val="24"/>
          <w:lang w:eastAsia="zh-CN"/>
        </w:rPr>
      </w:pPr>
    </w:p>
    <w:p w14:paraId="2D084969">
      <w:pPr>
        <w:pStyle w:val="11"/>
        <w:rPr>
          <w:rFonts w:hint="eastAsia" w:ascii="宋体" w:hAnsi="宋体" w:eastAsia="宋体" w:cs="宋体"/>
          <w:sz w:val="24"/>
          <w:szCs w:val="24"/>
          <w:lang w:eastAsia="zh-CN"/>
        </w:rPr>
      </w:pPr>
    </w:p>
    <w:p w14:paraId="6423FEAB">
      <w:pPr>
        <w:pStyle w:val="11"/>
        <w:rPr>
          <w:rFonts w:hint="eastAsia" w:ascii="宋体" w:hAnsi="宋体" w:eastAsia="宋体" w:cs="宋体"/>
          <w:sz w:val="24"/>
          <w:szCs w:val="24"/>
          <w:lang w:eastAsia="zh-CN"/>
        </w:rPr>
      </w:pPr>
    </w:p>
    <w:p w14:paraId="03A4F372">
      <w:pPr>
        <w:spacing w:line="360" w:lineRule="auto"/>
        <w:ind w:right="-161"/>
        <w:rPr>
          <w:rFonts w:ascii="宋体" w:hAnsi="宋体" w:cs="宋体"/>
          <w:sz w:val="24"/>
          <w:szCs w:val="24"/>
        </w:rPr>
      </w:pPr>
    </w:p>
    <w:p w14:paraId="783B933C">
      <w:pPr>
        <w:spacing w:line="360" w:lineRule="auto"/>
        <w:ind w:right="-161" w:firstLine="2640" w:firstLineChars="1100"/>
        <w:rPr>
          <w:rFonts w:ascii="宋体" w:hAnsi="宋体" w:cs="宋体"/>
          <w:sz w:val="24"/>
          <w:szCs w:val="24"/>
        </w:rPr>
      </w:pPr>
      <w:r>
        <w:rPr>
          <w:rFonts w:hint="eastAsia" w:ascii="宋体" w:hAnsi="宋体" w:cs="宋体"/>
          <w:sz w:val="24"/>
          <w:szCs w:val="24"/>
        </w:rPr>
        <w:t>法定代表人或被授权代表（签字或盖章）：</w:t>
      </w:r>
      <w:r>
        <w:rPr>
          <w:rFonts w:hint="eastAsia" w:ascii="宋体" w:hAnsi="宋体" w:cs="宋体"/>
          <w:sz w:val="24"/>
          <w:szCs w:val="24"/>
          <w:u w:val="single"/>
        </w:rPr>
        <w:t xml:space="preserve">                 </w:t>
      </w:r>
      <w:r>
        <w:rPr>
          <w:rFonts w:hint="eastAsia" w:ascii="宋体" w:hAnsi="宋体" w:cs="宋体"/>
          <w:sz w:val="24"/>
          <w:szCs w:val="24"/>
        </w:rPr>
        <w:t xml:space="preserve">                 </w:t>
      </w:r>
    </w:p>
    <w:p w14:paraId="022C4D91">
      <w:pPr>
        <w:spacing w:line="360" w:lineRule="auto"/>
        <w:ind w:right="-161" w:firstLine="2640" w:firstLineChars="1100"/>
        <w:rPr>
          <w:rFonts w:ascii="宋体" w:hAnsi="宋体" w:cs="宋体"/>
          <w:sz w:val="24"/>
          <w:szCs w:val="24"/>
        </w:rPr>
      </w:pPr>
      <w:r>
        <w:rPr>
          <w:rFonts w:hint="eastAsia" w:ascii="宋体" w:hAnsi="宋体" w:cs="宋体"/>
          <w:sz w:val="24"/>
          <w:szCs w:val="24"/>
        </w:rPr>
        <w:t>供       应       商（公        章）：</w:t>
      </w:r>
      <w:r>
        <w:rPr>
          <w:rFonts w:hint="eastAsia" w:ascii="宋体" w:hAnsi="宋体" w:cs="宋体"/>
          <w:sz w:val="24"/>
          <w:szCs w:val="24"/>
          <w:u w:val="single"/>
        </w:rPr>
        <w:t xml:space="preserve">                                    </w:t>
      </w:r>
    </w:p>
    <w:p w14:paraId="1908606D">
      <w:pPr>
        <w:spacing w:line="360" w:lineRule="auto"/>
        <w:ind w:firstLine="2640" w:firstLineChars="1100"/>
        <w:rPr>
          <w:rFonts w:ascii="宋体" w:hAnsi="宋体" w:cs="宋体"/>
          <w:sz w:val="24"/>
          <w:szCs w:val="24"/>
        </w:rPr>
      </w:pPr>
      <w:r>
        <w:rPr>
          <w:rFonts w:hint="eastAsia" w:ascii="宋体" w:hAnsi="宋体" w:cs="宋体"/>
          <w:sz w:val="24"/>
          <w:szCs w:val="24"/>
        </w:rPr>
        <w:t>日                              期  ：</w:t>
      </w:r>
      <w:r>
        <w:rPr>
          <w:rFonts w:hint="eastAsia" w:ascii="宋体" w:hAnsi="宋体" w:cs="宋体"/>
          <w:sz w:val="24"/>
          <w:szCs w:val="24"/>
          <w:u w:val="single"/>
        </w:rPr>
        <w:t xml:space="preserve">                            </w:t>
      </w:r>
    </w:p>
    <w:bookmarkEnd w:id="301"/>
    <w:bookmarkEnd w:id="302"/>
    <w:bookmarkEnd w:id="303"/>
    <w:bookmarkEnd w:id="304"/>
    <w:bookmarkEnd w:id="305"/>
    <w:bookmarkEnd w:id="306"/>
    <w:bookmarkEnd w:id="307"/>
    <w:p w14:paraId="1D5122E4">
      <w:pPr>
        <w:bidi w:val="0"/>
        <w:rPr>
          <w:rFonts w:hint="eastAsia"/>
        </w:rPr>
      </w:pPr>
      <w:bookmarkStart w:id="324" w:name="_Toc23496"/>
      <w:bookmarkStart w:id="325" w:name="_Toc9067"/>
      <w:bookmarkStart w:id="326" w:name="_Toc29346"/>
      <w:bookmarkStart w:id="327" w:name="_Toc27665"/>
      <w:bookmarkStart w:id="328" w:name="_Toc30603"/>
      <w:bookmarkStart w:id="329" w:name="_Toc29567"/>
      <w:bookmarkStart w:id="330" w:name="_Toc8483"/>
      <w:bookmarkStart w:id="331" w:name="_Toc7129"/>
      <w:bookmarkStart w:id="332" w:name="_Toc14320"/>
      <w:bookmarkStart w:id="333" w:name="_Toc26959"/>
      <w:bookmarkStart w:id="334" w:name="_Toc25449"/>
      <w:bookmarkStart w:id="335" w:name="_Toc31054"/>
      <w:bookmarkStart w:id="336" w:name="_Toc30297"/>
      <w:bookmarkStart w:id="337" w:name="_Toc465958133"/>
    </w:p>
    <w:p w14:paraId="559D6367">
      <w:pPr>
        <w:pStyle w:val="5"/>
        <w:rPr>
          <w:rFonts w:hint="eastAsia"/>
        </w:rPr>
      </w:pPr>
    </w:p>
    <w:p w14:paraId="0070B03B">
      <w:pPr>
        <w:pStyle w:val="5"/>
        <w:rPr>
          <w:rFonts w:hint="eastAsia"/>
        </w:rPr>
      </w:pPr>
    </w:p>
    <w:p w14:paraId="2C8D3138">
      <w:pPr>
        <w:pStyle w:val="4"/>
        <w:spacing w:line="360" w:lineRule="auto"/>
        <w:jc w:val="center"/>
        <w:rPr>
          <w:rFonts w:ascii="宋体" w:hAnsi="宋体" w:cs="宋体"/>
          <w:szCs w:val="22"/>
        </w:rPr>
      </w:pPr>
      <w:r>
        <w:rPr>
          <w:rFonts w:hint="eastAsia"/>
        </w:rPr>
        <w:t>2.2分项报价表</w:t>
      </w:r>
      <w:bookmarkEnd w:id="324"/>
    </w:p>
    <w:p w14:paraId="38A5EE5C">
      <w:pPr>
        <w:spacing w:line="360" w:lineRule="auto"/>
        <w:ind w:firstLine="240" w:firstLineChars="100"/>
        <w:rPr>
          <w:rFonts w:ascii="宋体" w:hAnsi="宋体" w:cs="宋体"/>
          <w:color w:val="000000"/>
          <w:sz w:val="24"/>
          <w:u w:val="single"/>
        </w:rPr>
      </w:pPr>
      <w:r>
        <w:rPr>
          <w:rFonts w:hint="eastAsia" w:ascii="宋体" w:hAnsi="宋体" w:cs="宋体"/>
          <w:color w:val="000000"/>
          <w:sz w:val="24"/>
        </w:rPr>
        <w:t xml:space="preserve">供应商名称：                             </w:t>
      </w:r>
      <w:r>
        <w:rPr>
          <w:rFonts w:hint="eastAsia" w:ascii="宋体" w:hAnsi="宋体" w:cs="宋体"/>
          <w:color w:val="000000"/>
          <w:sz w:val="24"/>
          <w:lang w:val="en-US" w:eastAsia="zh-CN"/>
        </w:rPr>
        <w:t xml:space="preserve">  </w:t>
      </w:r>
      <w:r>
        <w:rPr>
          <w:rFonts w:hint="eastAsia" w:ascii="宋体" w:hAnsi="宋体" w:cs="宋体"/>
          <w:color w:val="000000"/>
          <w:sz w:val="24"/>
        </w:rPr>
        <w:t>采购项目编号：</w:t>
      </w:r>
    </w:p>
    <w:p w14:paraId="5ECBE11E">
      <w:pPr>
        <w:pStyle w:val="21"/>
        <w:rPr>
          <w:rFonts w:hint="eastAsia" w:ascii="宋体" w:hAnsi="宋体" w:cs="宋体"/>
          <w:sz w:val="24"/>
        </w:rPr>
      </w:pPr>
    </w:p>
    <w:p w14:paraId="6D6D3D0F">
      <w:pPr>
        <w:pStyle w:val="21"/>
        <w:rPr>
          <w:rFonts w:hint="eastAsia" w:ascii="宋体" w:hAnsi="宋体" w:cs="宋体"/>
          <w:sz w:val="24"/>
        </w:rPr>
      </w:pPr>
    </w:p>
    <w:p w14:paraId="7B4ADD14">
      <w:pPr>
        <w:pStyle w:val="21"/>
        <w:rPr>
          <w:rFonts w:hint="eastAsia" w:ascii="宋体" w:hAnsi="宋体" w:cs="宋体"/>
          <w:sz w:val="24"/>
        </w:rPr>
      </w:pPr>
    </w:p>
    <w:p w14:paraId="370951EF">
      <w:pPr>
        <w:pStyle w:val="21"/>
        <w:rPr>
          <w:rFonts w:hint="eastAsia" w:ascii="宋体" w:hAnsi="宋体" w:cs="宋体"/>
          <w:sz w:val="24"/>
        </w:rPr>
      </w:pPr>
    </w:p>
    <w:p w14:paraId="6F6BD30B">
      <w:pPr>
        <w:pStyle w:val="21"/>
        <w:rPr>
          <w:rFonts w:hint="eastAsia" w:ascii="宋体" w:hAnsi="宋体" w:cs="宋体"/>
          <w:sz w:val="24"/>
        </w:rPr>
      </w:pPr>
    </w:p>
    <w:p w14:paraId="38C4FC40">
      <w:pPr>
        <w:pStyle w:val="21"/>
        <w:jc w:val="center"/>
        <w:rPr>
          <w:rFonts w:hint="eastAsia" w:ascii="宋体" w:hAnsi="宋体" w:eastAsia="宋体" w:cs="宋体"/>
          <w:sz w:val="24"/>
          <w:lang w:val="en-US" w:eastAsia="zh-CN"/>
        </w:rPr>
      </w:pPr>
      <w:r>
        <w:rPr>
          <w:rFonts w:hint="eastAsia" w:ascii="宋体" w:hAnsi="宋体" w:cs="宋体"/>
          <w:sz w:val="24"/>
          <w:lang w:val="en-US" w:eastAsia="zh-CN"/>
        </w:rPr>
        <w:t>自拟</w:t>
      </w:r>
    </w:p>
    <w:p w14:paraId="6312F47C">
      <w:pPr>
        <w:pStyle w:val="21"/>
        <w:rPr>
          <w:rFonts w:hint="eastAsia" w:ascii="宋体" w:hAnsi="宋体" w:cs="宋体"/>
          <w:sz w:val="24"/>
        </w:rPr>
      </w:pPr>
    </w:p>
    <w:p w14:paraId="4D63223D">
      <w:pPr>
        <w:pStyle w:val="21"/>
        <w:rPr>
          <w:rFonts w:hint="eastAsia" w:ascii="宋体" w:hAnsi="宋体" w:cs="宋体"/>
          <w:sz w:val="24"/>
        </w:rPr>
      </w:pPr>
    </w:p>
    <w:p w14:paraId="641EAAC6">
      <w:pPr>
        <w:pStyle w:val="21"/>
        <w:rPr>
          <w:rFonts w:hint="eastAsia" w:ascii="宋体" w:hAnsi="宋体" w:cs="宋体"/>
          <w:sz w:val="24"/>
        </w:rPr>
      </w:pPr>
    </w:p>
    <w:p w14:paraId="0F5F2E06">
      <w:pPr>
        <w:pStyle w:val="21"/>
        <w:rPr>
          <w:rFonts w:hint="eastAsia" w:ascii="宋体" w:hAnsi="宋体" w:cs="宋体"/>
          <w:sz w:val="24"/>
        </w:rPr>
      </w:pPr>
    </w:p>
    <w:p w14:paraId="02B49E9A">
      <w:pPr>
        <w:pStyle w:val="21"/>
        <w:rPr>
          <w:rFonts w:hint="eastAsia" w:ascii="宋体" w:hAnsi="宋体" w:cs="宋体"/>
          <w:sz w:val="24"/>
        </w:rPr>
      </w:pPr>
    </w:p>
    <w:p w14:paraId="5A02864D">
      <w:pPr>
        <w:pStyle w:val="21"/>
        <w:rPr>
          <w:rFonts w:hint="eastAsia" w:ascii="宋体" w:hAnsi="宋体" w:cs="宋体"/>
          <w:sz w:val="24"/>
        </w:rPr>
      </w:pPr>
    </w:p>
    <w:p w14:paraId="1CE59D61">
      <w:pPr>
        <w:pStyle w:val="21"/>
        <w:rPr>
          <w:rFonts w:hint="eastAsia" w:ascii="宋体" w:hAnsi="宋体" w:cs="宋体"/>
          <w:sz w:val="24"/>
        </w:rPr>
      </w:pPr>
    </w:p>
    <w:p w14:paraId="038ADD71">
      <w:pPr>
        <w:spacing w:line="360" w:lineRule="auto"/>
        <w:ind w:right="-161" w:firstLine="2640" w:firstLineChars="1100"/>
        <w:rPr>
          <w:rFonts w:ascii="宋体" w:hAnsi="宋体" w:cs="宋体"/>
          <w:sz w:val="24"/>
          <w:u w:val="single"/>
        </w:rPr>
      </w:pPr>
      <w:r>
        <w:rPr>
          <w:rFonts w:hint="eastAsia" w:ascii="宋体" w:hAnsi="宋体" w:cs="宋体"/>
          <w:sz w:val="24"/>
        </w:rPr>
        <w:t>供应商名称（公章）：</w:t>
      </w:r>
    </w:p>
    <w:p w14:paraId="530297F0">
      <w:pPr>
        <w:spacing w:line="360" w:lineRule="auto"/>
        <w:ind w:right="-161" w:firstLine="2640" w:firstLineChars="110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p>
    <w:p w14:paraId="78D2359C">
      <w:pPr>
        <w:spacing w:line="360" w:lineRule="auto"/>
        <w:ind w:right="480" w:firstLine="2640" w:firstLineChars="1100"/>
        <w:rPr>
          <w:rFonts w:ascii="宋体" w:hAnsi="宋体" w:cs="宋体"/>
          <w:sz w:val="24"/>
        </w:rPr>
        <w:sectPr>
          <w:type w:val="continuous"/>
          <w:pgSz w:w="11906" w:h="16838"/>
          <w:pgMar w:top="1440" w:right="1417" w:bottom="1440" w:left="1417" w:header="1134" w:footer="1134" w:gutter="0"/>
          <w:cols w:space="720" w:num="1"/>
          <w:titlePg/>
          <w:docGrid w:type="lines" w:linePitch="312" w:charSpace="0"/>
        </w:sectPr>
      </w:pPr>
      <w:r>
        <w:rPr>
          <w:rFonts w:hint="eastAsia" w:ascii="宋体" w:hAnsi="宋体" w:cs="宋体"/>
          <w:sz w:val="24"/>
        </w:rPr>
        <w:t>日期：</w:t>
      </w:r>
      <w:bookmarkStart w:id="338" w:name="_Toc5391"/>
    </w:p>
    <w:bookmarkEnd w:id="338"/>
    <w:p w14:paraId="6D668644">
      <w:pPr>
        <w:spacing w:line="480" w:lineRule="auto"/>
        <w:ind w:right="-161"/>
        <w:jc w:val="center"/>
        <w:outlineLvl w:val="0"/>
        <w:rPr>
          <w:b/>
          <w:bCs/>
          <w:sz w:val="36"/>
          <w:szCs w:val="16"/>
        </w:rPr>
      </w:pPr>
    </w:p>
    <w:p w14:paraId="4D6E8AB6">
      <w:pPr>
        <w:spacing w:line="480" w:lineRule="auto"/>
        <w:ind w:right="-161"/>
        <w:jc w:val="center"/>
        <w:outlineLvl w:val="0"/>
        <w:rPr>
          <w:b/>
          <w:bCs/>
          <w:sz w:val="36"/>
          <w:szCs w:val="16"/>
        </w:rPr>
      </w:pPr>
    </w:p>
    <w:p w14:paraId="5F6EAD56">
      <w:pPr>
        <w:spacing w:line="480" w:lineRule="auto"/>
        <w:ind w:right="-161"/>
        <w:jc w:val="center"/>
        <w:outlineLvl w:val="0"/>
        <w:rPr>
          <w:b/>
          <w:bCs/>
          <w:sz w:val="36"/>
          <w:szCs w:val="16"/>
        </w:rPr>
      </w:pPr>
    </w:p>
    <w:p w14:paraId="48F6C06C">
      <w:pPr>
        <w:pStyle w:val="9"/>
        <w:rPr>
          <w:b/>
          <w:bCs/>
          <w:sz w:val="36"/>
          <w:szCs w:val="16"/>
        </w:rPr>
      </w:pPr>
    </w:p>
    <w:p w14:paraId="69892EA5">
      <w:pPr>
        <w:pStyle w:val="9"/>
        <w:rPr>
          <w:b/>
          <w:bCs/>
          <w:sz w:val="36"/>
          <w:szCs w:val="16"/>
        </w:rPr>
      </w:pPr>
    </w:p>
    <w:p w14:paraId="2822345D">
      <w:pPr>
        <w:pStyle w:val="9"/>
        <w:rPr>
          <w:b/>
          <w:bCs/>
          <w:sz w:val="36"/>
          <w:szCs w:val="16"/>
        </w:rPr>
      </w:pPr>
    </w:p>
    <w:p w14:paraId="44AD9726">
      <w:pPr>
        <w:pStyle w:val="9"/>
        <w:rPr>
          <w:b/>
          <w:bCs/>
          <w:sz w:val="36"/>
          <w:szCs w:val="16"/>
        </w:rPr>
      </w:pPr>
    </w:p>
    <w:p w14:paraId="4B8F2F10">
      <w:pPr>
        <w:pStyle w:val="9"/>
        <w:rPr>
          <w:b/>
          <w:bCs/>
          <w:sz w:val="36"/>
          <w:szCs w:val="16"/>
        </w:rPr>
      </w:pPr>
    </w:p>
    <w:p w14:paraId="42419DD6">
      <w:pPr>
        <w:spacing w:line="480" w:lineRule="auto"/>
        <w:ind w:right="-161"/>
        <w:jc w:val="center"/>
        <w:outlineLvl w:val="0"/>
        <w:rPr>
          <w:rFonts w:ascii="宋体" w:hAnsi="宋体" w:cs="宋体"/>
          <w:b/>
          <w:bCs/>
          <w:sz w:val="24"/>
          <w:szCs w:val="24"/>
          <w:u w:val="single"/>
        </w:rPr>
      </w:pPr>
      <w:r>
        <w:rPr>
          <w:rFonts w:hint="eastAsia"/>
          <w:b/>
          <w:bCs/>
          <w:sz w:val="36"/>
          <w:szCs w:val="16"/>
        </w:rPr>
        <w:t>三、资格证明文件</w:t>
      </w:r>
      <w:bookmarkEnd w:id="325"/>
      <w:bookmarkEnd w:id="326"/>
      <w:bookmarkEnd w:id="327"/>
      <w:bookmarkEnd w:id="328"/>
      <w:bookmarkEnd w:id="329"/>
      <w:bookmarkEnd w:id="330"/>
    </w:p>
    <w:p w14:paraId="0035E21B">
      <w:pPr>
        <w:spacing w:line="360" w:lineRule="auto"/>
        <w:ind w:firstLine="482" w:firstLineChars="200"/>
        <w:rPr>
          <w:b/>
          <w:bCs/>
        </w:rPr>
      </w:pPr>
      <w:r>
        <w:rPr>
          <w:rFonts w:hint="eastAsia" w:ascii="宋体" w:hAnsi="宋体" w:cs="宋体"/>
          <w:b/>
          <w:bCs/>
          <w:sz w:val="24"/>
          <w:szCs w:val="24"/>
        </w:rPr>
        <w:t>谈判响应文件中附以下资质证明文件的复印件加盖公章。</w:t>
      </w:r>
    </w:p>
    <w:p w14:paraId="6539328E">
      <w:pPr>
        <w:spacing w:line="360" w:lineRule="auto"/>
        <w:ind w:firstLine="720" w:firstLineChars="300"/>
        <w:rPr>
          <w:rFonts w:ascii="宋体" w:hAnsi="宋体" w:cs="仿宋_GB2312"/>
          <w:bCs/>
          <w:kern w:val="0"/>
          <w:sz w:val="24"/>
          <w:szCs w:val="24"/>
        </w:rPr>
      </w:pPr>
      <w:r>
        <w:rPr>
          <w:rFonts w:hint="eastAsia" w:ascii="宋体" w:hAnsi="宋体" w:cs="宋体"/>
          <w:kern w:val="0"/>
          <w:sz w:val="24"/>
          <w:szCs w:val="24"/>
        </w:rPr>
        <w:t>1、供应商为本项目提供的资格证明要求见供应商须知前附表；</w:t>
      </w:r>
    </w:p>
    <w:p w14:paraId="2CCB7959">
      <w:pPr>
        <w:spacing w:line="360" w:lineRule="auto"/>
        <w:ind w:firstLine="720" w:firstLineChars="300"/>
      </w:pPr>
      <w:r>
        <w:rPr>
          <w:rFonts w:hint="eastAsia" w:ascii="宋体" w:hAnsi="宋体" w:cs="仿宋_GB2312"/>
          <w:bCs/>
          <w:kern w:val="0"/>
          <w:sz w:val="24"/>
          <w:szCs w:val="24"/>
          <w:lang w:val="en-US" w:eastAsia="zh-CN"/>
        </w:rPr>
        <w:t>2</w:t>
      </w:r>
      <w:r>
        <w:rPr>
          <w:rFonts w:hint="eastAsia" w:ascii="宋体" w:hAnsi="宋体" w:cs="仿宋_GB2312"/>
          <w:bCs/>
          <w:kern w:val="0"/>
          <w:sz w:val="24"/>
          <w:szCs w:val="24"/>
        </w:rPr>
        <w:t>、其他可以证明供应商实力的文件。</w:t>
      </w:r>
    </w:p>
    <w:p w14:paraId="451DC68F">
      <w:pPr>
        <w:pStyle w:val="14"/>
      </w:pPr>
    </w:p>
    <w:p w14:paraId="014142A6">
      <w:pPr>
        <w:pStyle w:val="3"/>
        <w:rPr>
          <w:rFonts w:ascii="宋体" w:hAnsi="宋体" w:eastAsia="宋体" w:cs="宋体"/>
          <w:szCs w:val="22"/>
        </w:rPr>
      </w:pPr>
    </w:p>
    <w:p w14:paraId="52B23009">
      <w:pPr>
        <w:pStyle w:val="3"/>
        <w:rPr>
          <w:rFonts w:ascii="宋体" w:hAnsi="宋体" w:eastAsia="宋体" w:cs="宋体"/>
          <w:szCs w:val="22"/>
        </w:rPr>
      </w:pPr>
    </w:p>
    <w:p w14:paraId="529E3E4A">
      <w:pPr>
        <w:pStyle w:val="3"/>
        <w:rPr>
          <w:rFonts w:ascii="宋体" w:hAnsi="宋体" w:eastAsia="宋体" w:cs="宋体"/>
          <w:szCs w:val="22"/>
        </w:rPr>
      </w:pPr>
    </w:p>
    <w:p w14:paraId="04B32589">
      <w:pPr>
        <w:pStyle w:val="3"/>
        <w:rPr>
          <w:rFonts w:ascii="宋体" w:hAnsi="宋体" w:eastAsia="宋体" w:cs="宋体"/>
          <w:szCs w:val="22"/>
        </w:rPr>
      </w:pPr>
    </w:p>
    <w:p w14:paraId="2E5A93CF">
      <w:pPr>
        <w:rPr>
          <w:rFonts w:ascii="宋体" w:hAnsi="宋体" w:cs="宋体"/>
          <w:szCs w:val="22"/>
        </w:rPr>
      </w:pPr>
    </w:p>
    <w:p w14:paraId="3C222A9E">
      <w:pPr>
        <w:pStyle w:val="14"/>
        <w:rPr>
          <w:rFonts w:ascii="宋体" w:hAnsi="宋体" w:cs="宋体"/>
          <w:szCs w:val="22"/>
        </w:rPr>
      </w:pPr>
    </w:p>
    <w:p w14:paraId="7341F63D">
      <w:pPr>
        <w:pStyle w:val="14"/>
        <w:rPr>
          <w:rFonts w:ascii="宋体" w:hAnsi="宋体" w:cs="宋体"/>
          <w:szCs w:val="22"/>
        </w:rPr>
      </w:pPr>
    </w:p>
    <w:p w14:paraId="0E03FF39">
      <w:pPr>
        <w:pStyle w:val="14"/>
        <w:rPr>
          <w:rFonts w:ascii="宋体" w:hAnsi="宋体" w:cs="宋体"/>
          <w:szCs w:val="22"/>
        </w:rPr>
      </w:pPr>
    </w:p>
    <w:p w14:paraId="0AE6385B">
      <w:pPr>
        <w:pStyle w:val="14"/>
        <w:rPr>
          <w:rFonts w:ascii="宋体" w:hAnsi="宋体" w:cs="宋体"/>
          <w:szCs w:val="22"/>
        </w:rPr>
      </w:pPr>
    </w:p>
    <w:p w14:paraId="39449628">
      <w:pPr>
        <w:pStyle w:val="14"/>
        <w:rPr>
          <w:rFonts w:ascii="宋体" w:hAnsi="宋体" w:cs="宋体"/>
          <w:szCs w:val="22"/>
        </w:rPr>
      </w:pPr>
    </w:p>
    <w:p w14:paraId="3AAA1381">
      <w:pPr>
        <w:pStyle w:val="14"/>
        <w:rPr>
          <w:rFonts w:ascii="宋体" w:hAnsi="宋体" w:cs="宋体"/>
          <w:szCs w:val="22"/>
        </w:rPr>
      </w:pPr>
    </w:p>
    <w:p w14:paraId="632F298E">
      <w:pPr>
        <w:pStyle w:val="14"/>
        <w:rPr>
          <w:rFonts w:ascii="宋体" w:hAnsi="宋体" w:cs="宋体"/>
          <w:szCs w:val="22"/>
        </w:rPr>
      </w:pPr>
    </w:p>
    <w:p w14:paraId="166333AB">
      <w:pPr>
        <w:pStyle w:val="14"/>
        <w:rPr>
          <w:rFonts w:ascii="宋体" w:hAnsi="宋体" w:cs="宋体"/>
          <w:szCs w:val="22"/>
        </w:rPr>
      </w:pPr>
    </w:p>
    <w:p w14:paraId="61E860BD">
      <w:pPr>
        <w:pStyle w:val="14"/>
        <w:rPr>
          <w:rFonts w:ascii="宋体" w:hAnsi="宋体" w:cs="宋体"/>
          <w:szCs w:val="22"/>
        </w:rPr>
      </w:pPr>
    </w:p>
    <w:p w14:paraId="467769A0">
      <w:pPr>
        <w:pStyle w:val="14"/>
        <w:rPr>
          <w:rFonts w:ascii="宋体" w:hAnsi="宋体" w:cs="宋体"/>
          <w:szCs w:val="22"/>
        </w:rPr>
      </w:pPr>
    </w:p>
    <w:p w14:paraId="54176273">
      <w:pPr>
        <w:pStyle w:val="14"/>
        <w:rPr>
          <w:rFonts w:ascii="宋体" w:hAnsi="宋体" w:cs="宋体"/>
          <w:szCs w:val="22"/>
        </w:rPr>
      </w:pPr>
    </w:p>
    <w:p w14:paraId="2DE26FD7">
      <w:pPr>
        <w:pStyle w:val="14"/>
        <w:rPr>
          <w:rFonts w:ascii="宋体" w:hAnsi="宋体" w:cs="宋体"/>
          <w:szCs w:val="22"/>
        </w:rPr>
      </w:pPr>
    </w:p>
    <w:p w14:paraId="319B8F33">
      <w:pPr>
        <w:pStyle w:val="14"/>
        <w:rPr>
          <w:rFonts w:ascii="宋体" w:hAnsi="宋体" w:cs="宋体"/>
          <w:szCs w:val="22"/>
        </w:rPr>
      </w:pPr>
    </w:p>
    <w:p w14:paraId="17C800F7">
      <w:pPr>
        <w:pStyle w:val="14"/>
        <w:rPr>
          <w:rFonts w:ascii="宋体" w:hAnsi="宋体" w:cs="宋体"/>
          <w:szCs w:val="22"/>
        </w:rPr>
      </w:pPr>
    </w:p>
    <w:p w14:paraId="3A163692">
      <w:pPr>
        <w:pStyle w:val="14"/>
        <w:rPr>
          <w:rFonts w:ascii="宋体" w:hAnsi="宋体" w:cs="宋体"/>
          <w:szCs w:val="22"/>
        </w:rPr>
      </w:pPr>
    </w:p>
    <w:p w14:paraId="160B2511">
      <w:pPr>
        <w:pStyle w:val="14"/>
        <w:rPr>
          <w:rFonts w:ascii="宋体" w:hAnsi="宋体" w:cs="宋体"/>
          <w:szCs w:val="22"/>
        </w:rPr>
      </w:pPr>
    </w:p>
    <w:p w14:paraId="63E6420B">
      <w:pPr>
        <w:pStyle w:val="14"/>
        <w:rPr>
          <w:rFonts w:ascii="宋体" w:hAnsi="宋体" w:cs="宋体"/>
          <w:szCs w:val="22"/>
        </w:rPr>
      </w:pPr>
    </w:p>
    <w:p w14:paraId="799C1291">
      <w:pPr>
        <w:pStyle w:val="14"/>
        <w:rPr>
          <w:rFonts w:ascii="宋体" w:hAnsi="宋体" w:cs="宋体"/>
          <w:szCs w:val="22"/>
        </w:rPr>
      </w:pPr>
    </w:p>
    <w:p w14:paraId="49274F58">
      <w:pPr>
        <w:pStyle w:val="14"/>
        <w:jc w:val="both"/>
        <w:rPr>
          <w:rFonts w:ascii="宋体" w:hAnsi="宋体" w:cs="宋体"/>
          <w:b/>
          <w:sz w:val="32"/>
          <w:szCs w:val="22"/>
        </w:rPr>
        <w:sectPr>
          <w:type w:val="continuous"/>
          <w:pgSz w:w="11906" w:h="16838"/>
          <w:pgMar w:top="1157" w:right="1703" w:bottom="1157" w:left="1701" w:header="720" w:footer="720" w:gutter="0"/>
          <w:cols w:space="720" w:num="1"/>
          <w:docGrid w:type="lines" w:linePitch="312" w:charSpace="0"/>
        </w:sectPr>
      </w:pPr>
    </w:p>
    <w:p w14:paraId="6BFCD9FB">
      <w:pPr>
        <w:spacing w:line="360" w:lineRule="atLeast"/>
        <w:rPr>
          <w:rFonts w:ascii="宋体" w:hAnsi="宋体" w:cs="宋体"/>
          <w:b w:val="0"/>
          <w:bCs w:val="0"/>
          <w:sz w:val="28"/>
          <w:szCs w:val="28"/>
        </w:rPr>
      </w:pPr>
      <w:r>
        <w:rPr>
          <w:rFonts w:hint="eastAsia" w:ascii="宋体" w:hAnsi="宋体" w:cs="宋体"/>
          <w:b w:val="0"/>
          <w:bCs w:val="0"/>
          <w:sz w:val="28"/>
          <w:szCs w:val="28"/>
        </w:rPr>
        <w:t>附件</w:t>
      </w:r>
      <w:r>
        <w:rPr>
          <w:rFonts w:hint="eastAsia" w:ascii="宋体" w:hAnsi="宋体" w:cs="宋体"/>
          <w:b w:val="0"/>
          <w:bCs w:val="0"/>
          <w:sz w:val="28"/>
          <w:szCs w:val="28"/>
          <w:lang w:val="en-US" w:eastAsia="zh-CN"/>
        </w:rPr>
        <w:t>1</w:t>
      </w:r>
      <w:r>
        <w:rPr>
          <w:rFonts w:hint="eastAsia" w:ascii="宋体" w:hAnsi="宋体" w:cs="宋体"/>
          <w:b w:val="0"/>
          <w:bCs w:val="0"/>
          <w:sz w:val="28"/>
          <w:szCs w:val="28"/>
        </w:rPr>
        <w:t>：</w:t>
      </w:r>
    </w:p>
    <w:p w14:paraId="28DD19D0">
      <w:pPr>
        <w:pStyle w:val="19"/>
        <w:widowControl/>
        <w:shd w:val="clear" w:color="060000" w:fill="FFFFFF"/>
        <w:adjustRightInd w:val="0"/>
        <w:snapToGrid w:val="0"/>
        <w:spacing w:before="0" w:beforeAutospacing="0" w:after="150" w:afterAutospacing="0" w:line="500" w:lineRule="exact"/>
        <w:ind w:firstLine="480"/>
        <w:jc w:val="center"/>
        <w:rPr>
          <w:rFonts w:ascii="宋体" w:hAnsi="宋体" w:cs="宋体"/>
          <w:color w:val="333333"/>
          <w:szCs w:val="24"/>
        </w:rPr>
      </w:pPr>
      <w:r>
        <w:rPr>
          <w:rFonts w:hint="eastAsia" w:ascii="宋体" w:hAnsi="宋体" w:cs="宋体"/>
          <w:b/>
          <w:bCs/>
          <w:color w:val="333333"/>
          <w:sz w:val="36"/>
          <w:szCs w:val="36"/>
          <w:shd w:val="clear" w:color="070000" w:fill="FFFFFF"/>
        </w:rPr>
        <w:t>榆林市政府采购</w:t>
      </w:r>
      <w:r>
        <w:rPr>
          <w:rFonts w:hint="eastAsia" w:ascii="宋体" w:hAnsi="宋体" w:cs="宋体"/>
          <w:b/>
          <w:bCs/>
          <w:color w:val="333333"/>
          <w:sz w:val="36"/>
          <w:szCs w:val="36"/>
          <w:shd w:val="clear" w:color="070000" w:fill="FFFFFF"/>
          <w:lang w:val="en-US" w:eastAsia="zh-CN"/>
        </w:rPr>
        <w:t>服务</w:t>
      </w:r>
      <w:r>
        <w:rPr>
          <w:rFonts w:hint="eastAsia" w:ascii="宋体" w:hAnsi="宋体" w:cs="宋体"/>
          <w:b/>
          <w:bCs/>
          <w:color w:val="333333"/>
          <w:sz w:val="36"/>
          <w:szCs w:val="36"/>
          <w:shd w:val="clear" w:color="070000" w:fill="FFFFFF"/>
        </w:rPr>
        <w:t>类项目供应商信用承诺书</w:t>
      </w:r>
    </w:p>
    <w:p w14:paraId="576D7324">
      <w:pPr>
        <w:pStyle w:val="19"/>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2"/>
          <w:szCs w:val="22"/>
        </w:rPr>
      </w:pPr>
      <w:r>
        <w:rPr>
          <w:rFonts w:hint="eastAsia" w:ascii="宋体" w:hAnsi="宋体" w:cs="宋体"/>
          <w:color w:val="333333"/>
          <w:sz w:val="28"/>
          <w:szCs w:val="28"/>
          <w:shd w:val="clear" w:color="auto" w:fill="FFFFFF"/>
        </w:rPr>
        <w:t>市场主体名称：</w:t>
      </w:r>
    </w:p>
    <w:p w14:paraId="75703493">
      <w:pPr>
        <w:pStyle w:val="19"/>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2"/>
          <w:szCs w:val="22"/>
        </w:rPr>
      </w:pPr>
      <w:r>
        <w:rPr>
          <w:rFonts w:hint="eastAsia" w:ascii="宋体" w:hAnsi="宋体" w:cs="宋体"/>
          <w:color w:val="333333"/>
          <w:sz w:val="28"/>
          <w:szCs w:val="28"/>
          <w:shd w:val="clear" w:color="auto" w:fill="FFFFFF"/>
        </w:rPr>
        <w:t>证件类型：统一社会信用代码</w:t>
      </w:r>
    </w:p>
    <w:p w14:paraId="5FB26F42">
      <w:pPr>
        <w:pStyle w:val="19"/>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证件号码：</w:t>
      </w:r>
    </w:p>
    <w:p w14:paraId="70F1E4B9">
      <w:pPr>
        <w:pStyle w:val="19"/>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法人代表：</w:t>
      </w:r>
    </w:p>
    <w:p w14:paraId="1E1BA5D2">
      <w:pPr>
        <w:pStyle w:val="19"/>
        <w:widowControl/>
        <w:shd w:val="clear" w:color="auto" w:fill="FFFFFF"/>
        <w:adjustRightInd w:val="0"/>
        <w:snapToGrid w:val="0"/>
        <w:spacing w:before="0" w:beforeAutospacing="0" w:after="150" w:afterAutospacing="0" w:line="560" w:lineRule="exact"/>
        <w:ind w:firstLine="480"/>
        <w:jc w:val="both"/>
        <w:rPr>
          <w:rFonts w:hint="eastAsia" w:ascii="宋体" w:hAnsi="宋体" w:eastAsia="宋体" w:cs="宋体"/>
          <w:color w:val="333333"/>
          <w:sz w:val="28"/>
          <w:szCs w:val="28"/>
          <w:shd w:val="clear" w:color="auto" w:fill="FFFFFF"/>
          <w:lang w:val="en-US" w:eastAsia="zh-CN"/>
        </w:rPr>
      </w:pPr>
      <w:r>
        <w:rPr>
          <w:rFonts w:hint="eastAsia" w:ascii="宋体" w:hAnsi="宋体" w:cs="宋体"/>
          <w:color w:val="333333"/>
          <w:sz w:val="28"/>
          <w:szCs w:val="28"/>
          <w:shd w:val="clear" w:color="auto" w:fill="FFFFFF"/>
        </w:rPr>
        <w:t>承诺有效期限：   年    月   日—   年   月   日</w:t>
      </w:r>
      <w:r>
        <w:rPr>
          <w:rFonts w:hint="eastAsia" w:ascii="宋体" w:hAnsi="宋体" w:cs="宋体"/>
          <w:color w:val="333333"/>
          <w:sz w:val="28"/>
          <w:szCs w:val="28"/>
          <w:shd w:val="clear" w:color="auto" w:fill="FFFFFF"/>
          <w:lang w:eastAsia="zh-CN"/>
        </w:rPr>
        <w:t>（有效期一年）</w:t>
      </w:r>
    </w:p>
    <w:p w14:paraId="10AF4C05">
      <w:pPr>
        <w:pStyle w:val="19"/>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2"/>
          <w:szCs w:val="22"/>
        </w:rPr>
      </w:pPr>
      <w:r>
        <w:rPr>
          <w:rFonts w:hint="eastAsia" w:ascii="宋体" w:hAnsi="宋体" w:cs="宋体"/>
          <w:color w:val="333333"/>
          <w:sz w:val="28"/>
          <w:szCs w:val="28"/>
          <w:shd w:val="clear" w:color="auto" w:fill="FFFFFF"/>
        </w:rPr>
        <w:t>承诺内容：</w:t>
      </w:r>
    </w:p>
    <w:p w14:paraId="358F20D0">
      <w:pPr>
        <w:pStyle w:val="19"/>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为维护公开、公平、公正的政府采购市场秩序，树立诚实守信的政府采购供应商形象，本单位自愿做出以下承诺：</w:t>
      </w:r>
    </w:p>
    <w:p w14:paraId="26B73BEA">
      <w:pPr>
        <w:pStyle w:val="19"/>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一、承诺本单位严格遵守国家法律、法规和规章，全面履行应尽的责任和义务，全面做到履约守信，具备《政府采购法》第二十二条第一款规定的条件;</w:t>
      </w:r>
    </w:p>
    <w:p w14:paraId="37A152D2">
      <w:pPr>
        <w:pStyle w:val="19"/>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007B0AF6">
      <w:pPr>
        <w:pStyle w:val="19"/>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三、承诺本单位严格依法开展生产经营活动，主动接受行业监管，自愿接受依法开展的日常检查；违法失信经营后将自愿接受约束和惩戒，并依法承担相应责任；</w:t>
      </w:r>
    </w:p>
    <w:p w14:paraId="15B9E4F3">
      <w:pPr>
        <w:pStyle w:val="19"/>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四、承诺本单位自觉接受行政管理部门、行业组织、社会公众、新闻舆论的监督；</w:t>
      </w:r>
    </w:p>
    <w:p w14:paraId="328D824C">
      <w:pPr>
        <w:pStyle w:val="19"/>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五、承诺本单位自我约束、自我管理，重合同、守信用，不制假售假、商标侵权、虚假宣传、违约毁约、恶意逃债、偷税漏税、价格欺诈、垄断和不正当竞争，维护经营者、消费者的合法权益；</w:t>
      </w:r>
    </w:p>
    <w:p w14:paraId="4D07482E">
      <w:pPr>
        <w:pStyle w:val="19"/>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六、承诺本单位提出政府采购质疑和投诉坚持依法依规、诚实信用原则，在全国范围12个月内没有三次以上查无实据的政府采购投诉；</w:t>
      </w:r>
    </w:p>
    <w:p w14:paraId="445C7662">
      <w:pPr>
        <w:pStyle w:val="19"/>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七、根据政府采购相关法律法规的规定需要作出的其他承诺：</w:t>
      </w:r>
      <w:r>
        <w:rPr>
          <w:rFonts w:hint="eastAsia" w:ascii="宋体" w:hAnsi="宋体" w:cs="宋体"/>
          <w:color w:val="333333"/>
          <w:sz w:val="28"/>
          <w:szCs w:val="28"/>
          <w:u w:val="single"/>
          <w:shd w:val="clear" w:color="auto" w:fill="FFFFFF"/>
        </w:rPr>
        <w:t>                                                              </w:t>
      </w:r>
    </w:p>
    <w:p w14:paraId="29179C82">
      <w:pPr>
        <w:pStyle w:val="19"/>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7102D1FF">
      <w:pPr>
        <w:pStyle w:val="19"/>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         </w:t>
      </w:r>
    </w:p>
    <w:p w14:paraId="4E78DEAD">
      <w:pPr>
        <w:pStyle w:val="19"/>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 xml:space="preserve">              承诺单位（盖章）：</w:t>
      </w:r>
    </w:p>
    <w:p w14:paraId="16753B88">
      <w:pPr>
        <w:pStyle w:val="19"/>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 xml:space="preserve">      法定代表人（负责人）：          </w:t>
      </w:r>
    </w:p>
    <w:p w14:paraId="444EA2F4">
      <w:pPr>
        <w:pStyle w:val="19"/>
        <w:widowControl/>
        <w:shd w:val="clear" w:color="auto" w:fill="FFFFFF"/>
        <w:adjustRightInd w:val="0"/>
        <w:snapToGrid w:val="0"/>
        <w:spacing w:before="0" w:beforeAutospacing="0" w:after="150" w:afterAutospacing="0" w:line="560" w:lineRule="exact"/>
        <w:ind w:firstLine="2520" w:firstLineChars="90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法定代表人（负责人）身份证号：</w:t>
      </w:r>
    </w:p>
    <w:p w14:paraId="16945247">
      <w:pPr>
        <w:pStyle w:val="19"/>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         承诺日期：</w:t>
      </w:r>
    </w:p>
    <w:p w14:paraId="2484B2B6">
      <w:pPr>
        <w:pStyle w:val="19"/>
        <w:widowControl/>
        <w:shd w:val="clear" w:color="auto" w:fill="FFFFFF"/>
        <w:adjustRightInd w:val="0"/>
        <w:snapToGrid w:val="0"/>
        <w:spacing w:before="0" w:beforeAutospacing="0" w:after="150" w:afterAutospacing="0" w:line="560" w:lineRule="exact"/>
        <w:ind w:firstLine="560" w:firstLineChars="20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注：法定代表人或负责人、主体名称发生变更的应当重新做出承诺；承诺书标题按照工程类、货物类、服务类确定。</w:t>
      </w:r>
    </w:p>
    <w:p w14:paraId="7E99AD26">
      <w:pPr>
        <w:pStyle w:val="9"/>
        <w:adjustRightInd w:val="0"/>
        <w:snapToGrid w:val="0"/>
        <w:spacing w:line="500" w:lineRule="exact"/>
        <w:rPr>
          <w:rFonts w:ascii="宋体" w:hAnsi="宋体" w:cs="宋体"/>
          <w:color w:val="333333"/>
          <w:kern w:val="0"/>
          <w:sz w:val="31"/>
          <w:szCs w:val="31"/>
          <w:shd w:val="clear" w:color="070000" w:fill="FFFFFF"/>
        </w:rPr>
      </w:pPr>
      <w:r>
        <w:rPr>
          <w:rFonts w:hint="eastAsia" w:ascii="宋体" w:hAnsi="宋体" w:cs="宋体"/>
          <w:b/>
          <w:sz w:val="24"/>
        </w:rPr>
        <w:t xml:space="preserve">    </w:t>
      </w:r>
      <w:r>
        <w:rPr>
          <w:rFonts w:hint="eastAsia" w:ascii="宋体" w:hAnsi="宋体" w:cs="宋体"/>
          <w:color w:val="333333"/>
          <w:kern w:val="0"/>
          <w:sz w:val="31"/>
          <w:szCs w:val="31"/>
          <w:shd w:val="clear" w:color="070000" w:fill="FFFFFF"/>
        </w:rPr>
        <w:t xml:space="preserve"> </w:t>
      </w:r>
    </w:p>
    <w:p w14:paraId="41663B04">
      <w:pPr>
        <w:rPr>
          <w:rFonts w:ascii="宋体" w:hAnsi="宋体" w:cs="宋体"/>
          <w:color w:val="333333"/>
          <w:kern w:val="0"/>
          <w:sz w:val="31"/>
          <w:szCs w:val="31"/>
          <w:shd w:val="clear" w:color="070000" w:fill="FFFFFF"/>
        </w:rPr>
      </w:pPr>
    </w:p>
    <w:p w14:paraId="56723627">
      <w:pPr>
        <w:pStyle w:val="9"/>
        <w:rPr>
          <w:rFonts w:ascii="宋体" w:hAnsi="宋体" w:cs="宋体"/>
          <w:color w:val="333333"/>
          <w:kern w:val="0"/>
          <w:sz w:val="31"/>
          <w:szCs w:val="31"/>
          <w:shd w:val="clear" w:color="070000" w:fill="FFFFFF"/>
        </w:rPr>
      </w:pPr>
    </w:p>
    <w:p w14:paraId="056D64AA">
      <w:pPr>
        <w:pStyle w:val="4"/>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附件2：</w:t>
      </w:r>
    </w:p>
    <w:p w14:paraId="7C1AADD1">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kern w:val="0"/>
          <w:sz w:val="24"/>
          <w:szCs w:val="24"/>
        </w:rPr>
      </w:pPr>
      <w:r>
        <w:rPr>
          <w:rFonts w:hint="eastAsia" w:ascii="宋体" w:hAnsi="宋体" w:eastAsia="宋体" w:cs="宋体"/>
          <w:b/>
          <w:bCs/>
          <w:sz w:val="24"/>
          <w:szCs w:val="24"/>
          <w:lang w:val="en-US" w:eastAsia="zh-CN"/>
        </w:rPr>
        <w:t>投标信用承诺书</w:t>
      </w:r>
    </w:p>
    <w:p w14:paraId="12BCC076">
      <w:pPr>
        <w:widowControl/>
        <w:spacing w:line="540" w:lineRule="exact"/>
        <w:jc w:val="left"/>
        <w:rPr>
          <w:rFonts w:hint="eastAsia" w:ascii="宋体" w:hAnsi="宋体" w:eastAsia="宋体" w:cs="宋体"/>
          <w:kern w:val="0"/>
          <w:sz w:val="24"/>
          <w:szCs w:val="24"/>
          <w:u w:val="single"/>
          <w:lang w:val="en-US" w:eastAsia="zh-CN"/>
        </w:rPr>
      </w:pPr>
      <w:r>
        <w:rPr>
          <w:rFonts w:hint="eastAsia" w:ascii="宋体" w:hAnsi="宋体" w:eastAsia="宋体" w:cs="宋体"/>
          <w:kern w:val="0"/>
          <w:sz w:val="24"/>
          <w:szCs w:val="24"/>
        </w:rPr>
        <w:t>项目</w:t>
      </w:r>
      <w:r>
        <w:rPr>
          <w:rFonts w:hint="eastAsia" w:ascii="宋体" w:hAnsi="宋体" w:eastAsia="宋体" w:cs="宋体"/>
          <w:kern w:val="0"/>
          <w:sz w:val="24"/>
          <w:szCs w:val="24"/>
          <w:lang w:eastAsia="zh-CN"/>
        </w:rPr>
        <w:t>名称</w:t>
      </w:r>
      <w:r>
        <w:rPr>
          <w:rFonts w:hint="eastAsia" w:ascii="宋体" w:hAnsi="宋体" w:eastAsia="宋体" w:cs="宋体"/>
          <w:kern w:val="0"/>
          <w:sz w:val="24"/>
          <w:szCs w:val="24"/>
        </w:rPr>
        <w:t>：</w:t>
      </w:r>
      <w:r>
        <w:rPr>
          <w:rFonts w:hint="eastAsia" w:ascii="宋体" w:hAnsi="宋体" w:eastAsia="宋体" w:cs="宋体"/>
          <w:color w:val="FFFFFF"/>
          <w:kern w:val="0"/>
          <w:sz w:val="24"/>
          <w:szCs w:val="24"/>
          <w:u w:val="single"/>
          <w:lang w:val="en-US" w:eastAsia="zh-CN"/>
        </w:rPr>
        <w:t>1</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p>
    <w:p w14:paraId="3A98AEC5">
      <w:pPr>
        <w:widowControl/>
        <w:spacing w:line="540" w:lineRule="exact"/>
        <w:jc w:val="left"/>
        <w:rPr>
          <w:rFonts w:hint="eastAsia" w:ascii="宋体" w:hAnsi="宋体" w:eastAsia="宋体" w:cs="宋体"/>
          <w:kern w:val="0"/>
          <w:sz w:val="24"/>
          <w:szCs w:val="24"/>
          <w:u w:val="single"/>
        </w:rPr>
      </w:pP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p>
    <w:p w14:paraId="5A62E3CF">
      <w:pPr>
        <w:widowControl/>
        <w:spacing w:line="540" w:lineRule="exact"/>
        <w:jc w:val="left"/>
        <w:rPr>
          <w:rFonts w:hint="eastAsia" w:ascii="宋体" w:hAnsi="宋体" w:eastAsia="宋体" w:cs="宋体"/>
          <w:kern w:val="0"/>
          <w:sz w:val="24"/>
          <w:szCs w:val="24"/>
          <w:u w:val="single"/>
        </w:rPr>
      </w:pPr>
      <w:r>
        <w:rPr>
          <w:rFonts w:hint="eastAsia" w:ascii="宋体" w:hAnsi="宋体" w:eastAsia="宋体" w:cs="宋体"/>
          <w:kern w:val="0"/>
          <w:sz w:val="24"/>
          <w:szCs w:val="24"/>
        </w:rPr>
        <w:t>统一社会信用代码：</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r>
        <w:rPr>
          <w:rFonts w:hint="eastAsia" w:ascii="宋体" w:hAnsi="宋体" w:eastAsia="宋体" w:cs="宋体"/>
          <w:kern w:val="0"/>
          <w:sz w:val="24"/>
          <w:szCs w:val="24"/>
        </w:rPr>
        <w:t>法人代表</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p>
    <w:p w14:paraId="31C611F2">
      <w:pPr>
        <w:widowControl/>
        <w:adjustRightInd w:val="0"/>
        <w:snapToGrid w:val="0"/>
        <w:spacing w:line="54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在本项目标段招投标活动中，我公司（单位）自愿作出以下投标信用承诺：</w:t>
      </w:r>
    </w:p>
    <w:p w14:paraId="7CE32F49">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（一）能严格遵守法律法规、职业道德和行业规范。</w:t>
      </w:r>
    </w:p>
    <w:p w14:paraId="02397999">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3E65E16">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009CC11E">
      <w:pPr>
        <w:widowControl/>
        <w:adjustRightInd w:val="0"/>
        <w:snapToGrid w:val="0"/>
        <w:spacing w:line="540" w:lineRule="exact"/>
        <w:ind w:firstLine="480" w:firstLineChars="200"/>
        <w:jc w:val="left"/>
        <w:rPr>
          <w:rFonts w:hint="eastAsia" w:ascii="宋体" w:hAnsi="宋体" w:eastAsia="宋体" w:cs="宋体"/>
          <w:kern w:val="0"/>
          <w:sz w:val="24"/>
          <w:szCs w:val="24"/>
        </w:rPr>
      </w:pPr>
    </w:p>
    <w:p w14:paraId="6215B6CF">
      <w:pPr>
        <w:widowControl/>
        <w:tabs>
          <w:tab w:val="left" w:pos="4395"/>
        </w:tabs>
        <w:adjustRightInd w:val="0"/>
        <w:snapToGrid w:val="0"/>
        <w:spacing w:line="500" w:lineRule="exact"/>
        <w:jc w:val="left"/>
        <w:rPr>
          <w:rFonts w:hint="eastAsia" w:ascii="宋体" w:hAnsi="宋体" w:eastAsia="宋体" w:cs="宋体"/>
          <w:kern w:val="0"/>
          <w:sz w:val="24"/>
          <w:szCs w:val="24"/>
          <w:lang w:val="en-US"/>
        </w:rPr>
      </w:pPr>
      <w:r>
        <w:rPr>
          <w:rFonts w:hint="eastAsia" w:ascii="宋体" w:hAnsi="宋体" w:eastAsia="宋体" w:cs="宋体"/>
          <w:kern w:val="0"/>
          <w:sz w:val="24"/>
          <w:szCs w:val="24"/>
        </w:rPr>
        <w:t xml:space="preserve">法定代表人（签章）：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投标人（盖章）：</w:t>
      </w:r>
      <w:r>
        <w:rPr>
          <w:rFonts w:hint="eastAsia" w:ascii="宋体" w:hAnsi="宋体" w:eastAsia="宋体" w:cs="宋体"/>
          <w:kern w:val="0"/>
          <w:sz w:val="24"/>
          <w:szCs w:val="24"/>
          <w:u w:val="single"/>
          <w:lang w:val="en-US" w:eastAsia="zh-CN"/>
        </w:rPr>
        <w:t xml:space="preserve">                        </w:t>
      </w:r>
    </w:p>
    <w:p w14:paraId="566C95E9">
      <w:pPr>
        <w:adjustRightInd w:val="0"/>
        <w:snapToGrid w:val="0"/>
        <w:spacing w:line="500" w:lineRule="exact"/>
        <w:rPr>
          <w:rFonts w:hint="eastAsia" w:ascii="宋体" w:hAnsi="宋体" w:eastAsia="宋体" w:cs="宋体"/>
          <w:b/>
          <w:kern w:val="0"/>
          <w:sz w:val="24"/>
          <w:szCs w:val="24"/>
        </w:rPr>
      </w:pPr>
    </w:p>
    <w:p w14:paraId="2480F985">
      <w:pPr>
        <w:pStyle w:val="38"/>
        <w:ind w:firstLine="4080" w:firstLineChars="1700"/>
        <w:rPr>
          <w:rFonts w:hint="eastAsia" w:ascii="宋体" w:hAnsi="宋体" w:eastAsia="宋体" w:cs="宋体"/>
          <w:kern w:val="0"/>
          <w:sz w:val="24"/>
          <w:szCs w:val="24"/>
        </w:rPr>
      </w:pPr>
      <w:r>
        <w:rPr>
          <w:rFonts w:hint="eastAsia" w:ascii="宋体" w:hAnsi="宋体" w:eastAsia="宋体" w:cs="宋体"/>
          <w:kern w:val="0"/>
          <w:sz w:val="24"/>
          <w:szCs w:val="24"/>
        </w:rPr>
        <w:t>承诺时间：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日</w:t>
      </w:r>
    </w:p>
    <w:p w14:paraId="0D7243B9">
      <w:pPr>
        <w:pStyle w:val="38"/>
        <w:rPr>
          <w:rFonts w:hint="eastAsia" w:ascii="宋体" w:hAnsi="宋体" w:eastAsia="宋体" w:cs="宋体"/>
          <w:kern w:val="0"/>
          <w:sz w:val="24"/>
          <w:szCs w:val="24"/>
        </w:rPr>
      </w:pPr>
    </w:p>
    <w:p w14:paraId="4641F087">
      <w:pPr>
        <w:pStyle w:val="38"/>
        <w:rPr>
          <w:rFonts w:hint="eastAsia" w:ascii="宋体" w:hAnsi="宋体" w:eastAsia="宋体" w:cs="宋体"/>
          <w:kern w:val="0"/>
          <w:sz w:val="24"/>
          <w:szCs w:val="24"/>
        </w:rPr>
      </w:pPr>
    </w:p>
    <w:p w14:paraId="0D76DE59">
      <w:pPr>
        <w:pStyle w:val="38"/>
        <w:rPr>
          <w:rFonts w:hint="eastAsia" w:ascii="宋体" w:hAnsi="宋体" w:eastAsia="宋体" w:cs="宋体"/>
          <w:kern w:val="0"/>
          <w:sz w:val="24"/>
          <w:szCs w:val="24"/>
        </w:rPr>
      </w:pPr>
      <w:r>
        <w:rPr>
          <w:rFonts w:hint="eastAsia" w:ascii="宋体" w:hAnsi="宋体" w:eastAsia="宋体" w:cs="宋体"/>
          <w:b/>
          <w:kern w:val="0"/>
          <w:sz w:val="24"/>
          <w:szCs w:val="24"/>
          <w:lang w:eastAsia="zh-CN"/>
        </w:rPr>
        <w:t>注：</w:t>
      </w:r>
      <w:r>
        <w:rPr>
          <w:rFonts w:hint="eastAsia" w:ascii="宋体" w:hAnsi="宋体" w:eastAsia="宋体" w:cs="宋体"/>
          <w:b/>
          <w:kern w:val="0"/>
          <w:sz w:val="24"/>
          <w:szCs w:val="24"/>
        </w:rPr>
        <w:t>本承诺书效力和作用等同投标保证金，其有效期与投标有效期一致。</w:t>
      </w:r>
    </w:p>
    <w:p w14:paraId="654C39C3">
      <w:pPr>
        <w:pStyle w:val="14"/>
        <w:jc w:val="center"/>
        <w:rPr>
          <w:rFonts w:hint="eastAsia" w:ascii="宋体" w:hAnsi="宋体" w:cs="宋体"/>
          <w:b/>
          <w:sz w:val="32"/>
          <w:szCs w:val="22"/>
        </w:rPr>
      </w:pPr>
    </w:p>
    <w:p w14:paraId="6A3F37AE">
      <w:pPr>
        <w:pStyle w:val="14"/>
        <w:jc w:val="center"/>
        <w:rPr>
          <w:rFonts w:hint="eastAsia" w:ascii="宋体" w:hAnsi="宋体" w:cs="宋体"/>
          <w:b/>
          <w:sz w:val="32"/>
          <w:szCs w:val="22"/>
        </w:rPr>
      </w:pPr>
    </w:p>
    <w:p w14:paraId="78E73641">
      <w:pPr>
        <w:pStyle w:val="14"/>
        <w:jc w:val="center"/>
        <w:rPr>
          <w:rFonts w:hint="eastAsia" w:ascii="宋体" w:hAnsi="宋体" w:cs="宋体"/>
          <w:b/>
          <w:sz w:val="32"/>
          <w:szCs w:val="22"/>
        </w:rPr>
      </w:pPr>
    </w:p>
    <w:p w14:paraId="6E0DEB09">
      <w:pPr>
        <w:pStyle w:val="14"/>
        <w:jc w:val="center"/>
        <w:rPr>
          <w:rFonts w:hint="eastAsia" w:ascii="宋体" w:hAnsi="宋体" w:cs="宋体"/>
          <w:b/>
          <w:sz w:val="32"/>
          <w:szCs w:val="22"/>
        </w:rPr>
      </w:pPr>
    </w:p>
    <w:p w14:paraId="2CE4EB7C">
      <w:pPr>
        <w:spacing w:line="0" w:lineRule="atLeast"/>
        <w:rPr>
          <w:rFonts w:hint="eastAsia" w:ascii="宋体" w:hAnsi="宋体" w:cs="宋体"/>
          <w:b w:val="0"/>
          <w:bCs/>
          <w:sz w:val="24"/>
        </w:rPr>
      </w:pPr>
      <w:r>
        <w:rPr>
          <w:rFonts w:hint="eastAsia" w:ascii="宋体" w:hAnsi="宋体" w:cs="宋体"/>
          <w:b w:val="0"/>
          <w:bCs/>
          <w:sz w:val="24"/>
        </w:rPr>
        <w:t>附件</w:t>
      </w:r>
      <w:r>
        <w:rPr>
          <w:rFonts w:hint="eastAsia" w:hAnsi="宋体" w:cs="宋体"/>
          <w:b w:val="0"/>
          <w:bCs/>
          <w:sz w:val="24"/>
          <w:lang w:val="en-US" w:eastAsia="zh-CN"/>
        </w:rPr>
        <w:t>3</w:t>
      </w:r>
      <w:r>
        <w:rPr>
          <w:rFonts w:hint="eastAsia" w:ascii="宋体" w:hAnsi="宋体" w:cs="宋体"/>
          <w:b w:val="0"/>
          <w:bCs/>
          <w:sz w:val="24"/>
        </w:rPr>
        <w:t>：</w:t>
      </w:r>
    </w:p>
    <w:p w14:paraId="70BCC4D3">
      <w:pPr>
        <w:spacing w:line="200" w:lineRule="exact"/>
        <w:rPr>
          <w:rFonts w:hint="eastAsia" w:ascii="宋体" w:hAnsi="宋体" w:cs="宋体"/>
        </w:rPr>
      </w:pPr>
    </w:p>
    <w:p w14:paraId="4E5DBF1A">
      <w:pPr>
        <w:widowControl/>
        <w:spacing w:line="360" w:lineRule="auto"/>
        <w:jc w:val="center"/>
        <w:rPr>
          <w:rFonts w:hint="eastAsia" w:ascii="宋体" w:hAnsi="宋体" w:eastAsia="宋体" w:cs="宋体"/>
          <w:b/>
          <w:bCs/>
          <w:color w:val="000000"/>
          <w:kern w:val="0"/>
          <w:sz w:val="36"/>
          <w:szCs w:val="36"/>
          <w:lang w:eastAsia="zh-CN" w:bidi="ar"/>
        </w:rPr>
      </w:pPr>
      <w:r>
        <w:rPr>
          <w:rFonts w:hint="eastAsia" w:ascii="宋体" w:hAnsi="宋体" w:cs="宋体"/>
          <w:b/>
          <w:bCs/>
          <w:color w:val="000000"/>
          <w:kern w:val="0"/>
          <w:sz w:val="36"/>
          <w:szCs w:val="36"/>
          <w:lang w:val="en-US" w:eastAsia="zh-CN" w:bidi="ar"/>
        </w:rPr>
        <w:t>小微</w:t>
      </w:r>
      <w:r>
        <w:rPr>
          <w:rFonts w:hint="eastAsia" w:ascii="宋体" w:hAnsi="宋体" w:cs="宋体"/>
          <w:b/>
          <w:bCs/>
          <w:color w:val="000000"/>
          <w:kern w:val="0"/>
          <w:sz w:val="36"/>
          <w:szCs w:val="36"/>
          <w:lang w:bidi="ar"/>
        </w:rPr>
        <w:t>企业声明函</w:t>
      </w:r>
      <w:r>
        <w:rPr>
          <w:rFonts w:hint="eastAsia" w:ascii="宋体" w:hAnsi="宋体" w:cs="宋体"/>
          <w:b/>
          <w:bCs/>
          <w:color w:val="000000"/>
          <w:kern w:val="0"/>
          <w:sz w:val="36"/>
          <w:szCs w:val="36"/>
          <w:lang w:eastAsia="zh-CN" w:bidi="ar"/>
        </w:rPr>
        <w:t>（</w:t>
      </w:r>
      <w:r>
        <w:rPr>
          <w:rFonts w:hint="eastAsia" w:ascii="宋体" w:hAnsi="宋体" w:cs="宋体"/>
          <w:b/>
          <w:bCs/>
          <w:color w:val="000000"/>
          <w:kern w:val="0"/>
          <w:sz w:val="36"/>
          <w:szCs w:val="36"/>
          <w:lang w:val="en-US" w:eastAsia="zh-CN" w:bidi="ar"/>
        </w:rPr>
        <w:t>服务</w:t>
      </w:r>
      <w:r>
        <w:rPr>
          <w:rFonts w:hint="eastAsia" w:ascii="宋体" w:hAnsi="宋体" w:cs="宋体"/>
          <w:b/>
          <w:bCs/>
          <w:color w:val="000000"/>
          <w:kern w:val="0"/>
          <w:sz w:val="36"/>
          <w:szCs w:val="36"/>
          <w:lang w:eastAsia="zh-CN" w:bidi="ar"/>
        </w:rPr>
        <w:t>）</w:t>
      </w:r>
    </w:p>
    <w:p w14:paraId="7BAF052D">
      <w:pPr>
        <w:spacing w:line="360" w:lineRule="auto"/>
        <w:ind w:firstLine="480" w:firstLineChars="200"/>
        <w:rPr>
          <w:rFonts w:hint="eastAsia" w:ascii="宋体" w:hAnsi="宋体" w:cs="宋体"/>
          <w:sz w:val="24"/>
        </w:rPr>
      </w:pPr>
      <w:r>
        <w:rPr>
          <w:rFonts w:hint="eastAsia" w:ascii="宋体" w:hAnsi="宋体" w:cs="宋体"/>
          <w:sz w:val="24"/>
        </w:rPr>
        <w:t>本公司郑重声明，根据《政府采购促进中小企业发展管理办法》（财库﹝2020﹞46 号）的规定，本公司参加（</w:t>
      </w:r>
      <w:r>
        <w:rPr>
          <w:rFonts w:hint="eastAsia" w:ascii="宋体" w:hAnsi="宋体" w:cs="宋体"/>
          <w:sz w:val="24"/>
          <w:u w:val="single"/>
        </w:rPr>
        <w:t>单位名称</w:t>
      </w:r>
      <w:r>
        <w:rPr>
          <w:rFonts w:hint="eastAsia" w:ascii="宋体" w:hAnsi="宋体" w:cs="宋体"/>
          <w:sz w:val="24"/>
        </w:rPr>
        <w:t>）的（</w:t>
      </w:r>
      <w:r>
        <w:rPr>
          <w:rFonts w:hint="eastAsia" w:ascii="宋体" w:hAnsi="宋体" w:cs="宋体"/>
          <w:sz w:val="24"/>
          <w:u w:val="single"/>
        </w:rPr>
        <w:t>项目名称</w:t>
      </w:r>
      <w:r>
        <w:rPr>
          <w:rFonts w:hint="eastAsia" w:ascii="宋体" w:hAnsi="宋体" w:cs="宋体"/>
          <w:sz w:val="24"/>
        </w:rPr>
        <w:t>）采购活动，工程的施工单位全部为符合政策要求的中小企业（或者：服务全部由符合政策要求的中小企业承接）。相关企业（含联合体中的中小企业、签订分包意向协议的中小企业）的具体情况如下：</w:t>
      </w:r>
    </w:p>
    <w:p w14:paraId="15D12A44">
      <w:pPr>
        <w:spacing w:line="360" w:lineRule="auto"/>
        <w:ind w:firstLine="480" w:firstLineChars="200"/>
        <w:rPr>
          <w:rFonts w:hint="eastAsia" w:ascii="宋体" w:hAnsi="宋体" w:cs="宋体"/>
          <w:sz w:val="24"/>
        </w:rPr>
      </w:pPr>
      <w:r>
        <w:rPr>
          <w:rFonts w:hint="eastAsia" w:ascii="宋体" w:hAnsi="宋体" w:cs="宋体"/>
          <w:sz w:val="24"/>
        </w:rPr>
        <w:t>1. （</w:t>
      </w:r>
      <w:r>
        <w:rPr>
          <w:rFonts w:hint="eastAsia" w:ascii="宋体" w:hAnsi="宋体" w:cs="宋体"/>
          <w:sz w:val="24"/>
          <w:u w:val="single"/>
        </w:rPr>
        <w:t>标的名称</w:t>
      </w:r>
      <w:r>
        <w:rPr>
          <w:rFonts w:hint="eastAsia" w:ascii="宋体" w:hAnsi="宋体" w:cs="宋体"/>
          <w:sz w:val="24"/>
        </w:rPr>
        <w:t>） ，属于（</w:t>
      </w:r>
      <w:r>
        <w:rPr>
          <w:rFonts w:hint="eastAsia" w:ascii="宋体" w:hAnsi="宋体" w:cs="宋体"/>
          <w:sz w:val="24"/>
          <w:u w:val="single"/>
        </w:rPr>
        <w:t>采购文件中明确的所属行业</w:t>
      </w:r>
      <w:r>
        <w:rPr>
          <w:rFonts w:hint="eastAsia" w:ascii="宋体" w:hAnsi="宋体" w:cs="宋体"/>
          <w:sz w:val="24"/>
        </w:rPr>
        <w:t>）；承建（承接）企业为（企业名称），从业人员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 xml:space="preserve">万元，属于（ 小型企业、微型企业）； </w:t>
      </w:r>
    </w:p>
    <w:p w14:paraId="53F50AB0">
      <w:pPr>
        <w:spacing w:line="360" w:lineRule="auto"/>
        <w:ind w:firstLine="480" w:firstLineChars="200"/>
        <w:rPr>
          <w:rFonts w:hint="eastAsia" w:ascii="宋体" w:hAnsi="宋体" w:cs="宋体"/>
          <w:sz w:val="24"/>
        </w:rPr>
      </w:pPr>
      <w:r>
        <w:rPr>
          <w:rFonts w:hint="eastAsia" w:ascii="宋体" w:hAnsi="宋体" w:cs="宋体"/>
          <w:sz w:val="24"/>
        </w:rPr>
        <w:t xml:space="preserve"> </w:t>
      </w:r>
    </w:p>
    <w:p w14:paraId="61D72835">
      <w:pPr>
        <w:spacing w:line="360" w:lineRule="auto"/>
        <w:ind w:firstLine="480" w:firstLineChars="200"/>
        <w:rPr>
          <w:rFonts w:hint="eastAsia" w:ascii="宋体" w:hAnsi="宋体" w:cs="宋体"/>
          <w:sz w:val="24"/>
        </w:rPr>
      </w:pPr>
      <w:r>
        <w:rPr>
          <w:rFonts w:hint="eastAsia" w:ascii="宋体" w:hAnsi="宋体" w:cs="宋体"/>
          <w:sz w:val="24"/>
        </w:rPr>
        <w:t>……</w:t>
      </w:r>
    </w:p>
    <w:p w14:paraId="11F0588B">
      <w:pPr>
        <w:spacing w:line="360" w:lineRule="auto"/>
        <w:ind w:firstLine="480" w:firstLineChars="200"/>
        <w:rPr>
          <w:rFonts w:hint="eastAsia"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578FE320">
      <w:pPr>
        <w:spacing w:line="360" w:lineRule="auto"/>
        <w:ind w:firstLine="480" w:firstLineChars="200"/>
        <w:rPr>
          <w:rFonts w:hint="eastAsia" w:ascii="宋体" w:hAnsi="宋体" w:cs="宋体"/>
          <w:sz w:val="24"/>
        </w:rPr>
      </w:pPr>
      <w:r>
        <w:rPr>
          <w:rFonts w:hint="eastAsia" w:ascii="宋体" w:hAnsi="宋体" w:cs="宋体"/>
          <w:sz w:val="24"/>
        </w:rPr>
        <w:t xml:space="preserve">本企业对上述声明内容的真实性负责。如有虚假，将依法承担相应责任。 </w:t>
      </w:r>
    </w:p>
    <w:p w14:paraId="4503A97D">
      <w:pPr>
        <w:spacing w:line="360" w:lineRule="auto"/>
        <w:ind w:firstLine="480" w:firstLineChars="200"/>
        <w:jc w:val="center"/>
        <w:rPr>
          <w:rFonts w:hint="eastAsia" w:ascii="宋体" w:hAnsi="宋体" w:cs="宋体"/>
          <w:sz w:val="24"/>
        </w:rPr>
      </w:pPr>
    </w:p>
    <w:p w14:paraId="6939C64C">
      <w:pPr>
        <w:spacing w:line="360" w:lineRule="auto"/>
        <w:ind w:firstLine="480" w:firstLineChars="200"/>
        <w:jc w:val="center"/>
        <w:rPr>
          <w:rFonts w:ascii="宋体" w:hAnsi="宋体" w:cs="宋体"/>
          <w:sz w:val="24"/>
          <w:u w:val="single"/>
        </w:rPr>
      </w:pPr>
      <w:r>
        <w:rPr>
          <w:rFonts w:hint="eastAsia" w:ascii="宋体" w:hAnsi="宋体" w:cs="宋体"/>
          <w:sz w:val="24"/>
        </w:rPr>
        <w:t xml:space="preserve">企业名称（盖章）： </w:t>
      </w:r>
      <w:r>
        <w:rPr>
          <w:rFonts w:hint="eastAsia" w:ascii="宋体" w:hAnsi="宋体" w:cs="宋体"/>
          <w:sz w:val="24"/>
          <w:u w:val="single"/>
        </w:rPr>
        <w:t xml:space="preserve">                  </w:t>
      </w:r>
    </w:p>
    <w:p w14:paraId="4D2EAA25">
      <w:pPr>
        <w:spacing w:line="360" w:lineRule="auto"/>
        <w:ind w:firstLine="480" w:firstLineChars="200"/>
        <w:jc w:val="center"/>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 xml:space="preserve"> </w:t>
      </w:r>
    </w:p>
    <w:p w14:paraId="666A4BBD">
      <w:pPr>
        <w:spacing w:line="360" w:lineRule="auto"/>
        <w:ind w:firstLine="480" w:firstLineChars="200"/>
        <w:rPr>
          <w:rFonts w:hint="eastAsia" w:ascii="宋体" w:hAnsi="宋体" w:cs="宋体"/>
          <w:sz w:val="24"/>
          <w:szCs w:val="24"/>
        </w:rPr>
      </w:pPr>
    </w:p>
    <w:p w14:paraId="553AB637">
      <w:pPr>
        <w:pStyle w:val="4"/>
        <w:bidi w:val="0"/>
        <w:jc w:val="center"/>
        <w:rPr>
          <w:rFonts w:hint="eastAsia"/>
          <w:sz w:val="36"/>
          <w:szCs w:val="21"/>
          <w:lang w:eastAsia="zh-CN"/>
        </w:rPr>
      </w:pPr>
      <w:r>
        <w:rPr>
          <w:rFonts w:hint="eastAsia" w:ascii="宋体" w:hAnsi="宋体" w:cs="宋体"/>
          <w:b/>
          <w:bCs/>
          <w:kern w:val="0"/>
          <w:sz w:val="24"/>
          <w:highlight w:val="none"/>
          <w:lang w:val="zh-CN"/>
        </w:rPr>
        <w:t>备注：</w:t>
      </w:r>
      <w:r>
        <w:rPr>
          <w:rFonts w:hint="eastAsia" w:ascii="宋体" w:hAnsi="宋体" w:eastAsia="宋体" w:cs="宋体"/>
          <w:b/>
          <w:bCs/>
          <w:sz w:val="24"/>
          <w:szCs w:val="24"/>
          <w:highlight w:val="none"/>
          <w:lang w:val="en-US" w:eastAsia="zh-CN"/>
        </w:rPr>
        <w:t>本项目专门面</w:t>
      </w:r>
      <w:r>
        <w:rPr>
          <w:rFonts w:hint="eastAsia" w:ascii="宋体" w:hAnsi="宋体" w:cs="宋体"/>
          <w:b/>
          <w:bCs/>
          <w:sz w:val="24"/>
          <w:szCs w:val="24"/>
          <w:highlight w:val="none"/>
          <w:lang w:val="en-US" w:eastAsia="zh-CN"/>
        </w:rPr>
        <w:t>小微</w:t>
      </w:r>
      <w:r>
        <w:rPr>
          <w:rFonts w:hint="eastAsia" w:ascii="宋体" w:hAnsi="宋体" w:eastAsia="宋体" w:cs="宋体"/>
          <w:b/>
          <w:bCs/>
          <w:sz w:val="24"/>
          <w:szCs w:val="24"/>
          <w:highlight w:val="none"/>
          <w:lang w:val="en-US" w:eastAsia="zh-CN"/>
        </w:rPr>
        <w:t>企业采购，供应商须提供《小微企业声明函》。</w:t>
      </w:r>
    </w:p>
    <w:p w14:paraId="438B9402">
      <w:pPr>
        <w:pStyle w:val="14"/>
        <w:jc w:val="center"/>
        <w:rPr>
          <w:rFonts w:hint="eastAsia" w:ascii="宋体" w:hAnsi="宋体" w:cs="宋体"/>
          <w:b/>
          <w:sz w:val="32"/>
          <w:szCs w:val="22"/>
        </w:rPr>
      </w:pPr>
    </w:p>
    <w:p w14:paraId="7CEFDEC3">
      <w:pPr>
        <w:pStyle w:val="14"/>
        <w:jc w:val="center"/>
        <w:rPr>
          <w:rFonts w:hint="eastAsia" w:ascii="宋体" w:hAnsi="宋体" w:cs="宋体"/>
          <w:b/>
          <w:sz w:val="32"/>
          <w:szCs w:val="22"/>
        </w:rPr>
      </w:pPr>
    </w:p>
    <w:p w14:paraId="424BF35B">
      <w:pPr>
        <w:pStyle w:val="14"/>
        <w:jc w:val="center"/>
        <w:rPr>
          <w:rFonts w:hint="eastAsia" w:ascii="宋体" w:hAnsi="宋体" w:cs="宋体"/>
          <w:b/>
          <w:sz w:val="32"/>
          <w:szCs w:val="22"/>
        </w:rPr>
      </w:pPr>
    </w:p>
    <w:p w14:paraId="68618622">
      <w:pPr>
        <w:pStyle w:val="14"/>
        <w:jc w:val="center"/>
        <w:rPr>
          <w:rFonts w:hint="eastAsia" w:ascii="宋体" w:hAnsi="宋体" w:cs="宋体"/>
          <w:b/>
          <w:sz w:val="32"/>
          <w:szCs w:val="22"/>
        </w:rPr>
      </w:pPr>
    </w:p>
    <w:p w14:paraId="6D2FFCA9">
      <w:pPr>
        <w:pStyle w:val="14"/>
        <w:jc w:val="center"/>
        <w:rPr>
          <w:rFonts w:hint="eastAsia" w:ascii="宋体" w:hAnsi="宋体" w:cs="宋体"/>
          <w:b/>
          <w:sz w:val="32"/>
          <w:szCs w:val="22"/>
        </w:rPr>
      </w:pPr>
    </w:p>
    <w:p w14:paraId="21A26EA7">
      <w:pPr>
        <w:pStyle w:val="14"/>
        <w:jc w:val="center"/>
        <w:rPr>
          <w:rFonts w:hint="eastAsia" w:ascii="宋体" w:hAnsi="宋体" w:cs="宋体"/>
          <w:b/>
          <w:sz w:val="32"/>
          <w:szCs w:val="22"/>
        </w:rPr>
      </w:pPr>
    </w:p>
    <w:p w14:paraId="03D7C89F">
      <w:pPr>
        <w:pStyle w:val="14"/>
        <w:jc w:val="center"/>
        <w:rPr>
          <w:rFonts w:hint="eastAsia" w:ascii="宋体" w:hAnsi="宋体" w:cs="宋体"/>
          <w:b/>
          <w:sz w:val="32"/>
          <w:szCs w:val="22"/>
        </w:rPr>
      </w:pPr>
    </w:p>
    <w:p w14:paraId="5A041A37">
      <w:pPr>
        <w:pStyle w:val="14"/>
        <w:jc w:val="center"/>
        <w:rPr>
          <w:rFonts w:hint="eastAsia" w:ascii="宋体" w:hAnsi="宋体" w:cs="宋体"/>
          <w:b/>
          <w:sz w:val="32"/>
          <w:szCs w:val="22"/>
        </w:rPr>
      </w:pPr>
    </w:p>
    <w:p w14:paraId="4A937BDE">
      <w:pPr>
        <w:pStyle w:val="14"/>
        <w:jc w:val="center"/>
        <w:rPr>
          <w:rFonts w:hint="eastAsia" w:ascii="宋体" w:hAnsi="宋体" w:cs="宋体"/>
          <w:b/>
          <w:sz w:val="32"/>
          <w:szCs w:val="22"/>
        </w:rPr>
      </w:pPr>
    </w:p>
    <w:p w14:paraId="31040C16">
      <w:pPr>
        <w:pStyle w:val="14"/>
        <w:jc w:val="center"/>
        <w:rPr>
          <w:rFonts w:hint="eastAsia" w:ascii="宋体" w:hAnsi="宋体" w:cs="宋体"/>
          <w:b/>
          <w:sz w:val="32"/>
          <w:szCs w:val="22"/>
        </w:rPr>
      </w:pPr>
    </w:p>
    <w:p w14:paraId="1BC8B858">
      <w:pPr>
        <w:pStyle w:val="14"/>
        <w:jc w:val="center"/>
        <w:rPr>
          <w:rFonts w:hint="eastAsia" w:ascii="宋体" w:hAnsi="宋体" w:cs="宋体"/>
          <w:b/>
          <w:sz w:val="32"/>
          <w:szCs w:val="22"/>
        </w:rPr>
      </w:pPr>
    </w:p>
    <w:p w14:paraId="751C26D6">
      <w:pPr>
        <w:pStyle w:val="14"/>
        <w:jc w:val="center"/>
        <w:rPr>
          <w:rFonts w:hint="eastAsia" w:ascii="宋体" w:hAnsi="宋体" w:cs="宋体"/>
          <w:bCs/>
          <w:sz w:val="32"/>
          <w:szCs w:val="32"/>
          <w:lang w:val="en-US" w:eastAsia="zh-CN"/>
        </w:rPr>
      </w:pPr>
      <w:r>
        <w:rPr>
          <w:rFonts w:hint="eastAsia" w:ascii="宋体" w:hAnsi="宋体" w:cs="宋体"/>
          <w:b/>
          <w:sz w:val="32"/>
          <w:szCs w:val="22"/>
        </w:rPr>
        <w:t>四、响应方案</w:t>
      </w:r>
    </w:p>
    <w:p w14:paraId="73157635">
      <w:pPr>
        <w:pStyle w:val="38"/>
      </w:pPr>
    </w:p>
    <w:p w14:paraId="2D07DBD6">
      <w:pPr>
        <w:adjustRightInd w:val="0"/>
        <w:spacing w:line="360" w:lineRule="auto"/>
        <w:ind w:firstLine="480" w:firstLineChars="200"/>
        <w:textAlignment w:val="baseline"/>
        <w:rPr>
          <w:rFonts w:hint="eastAsia" w:ascii="宋体" w:hAnsi="宋体"/>
          <w:color w:val="auto"/>
          <w:sz w:val="24"/>
        </w:rPr>
      </w:pPr>
      <w:r>
        <w:rPr>
          <w:rFonts w:hint="eastAsia" w:ascii="宋体" w:hAnsi="宋体"/>
          <w:color w:val="auto"/>
          <w:sz w:val="24"/>
        </w:rPr>
        <w:t>投标人应按照</w:t>
      </w:r>
      <w:r>
        <w:rPr>
          <w:rFonts w:hint="eastAsia" w:ascii="宋体" w:hAnsi="宋体"/>
          <w:color w:val="auto"/>
          <w:sz w:val="24"/>
          <w:lang w:val="en-US" w:eastAsia="zh-CN"/>
        </w:rPr>
        <w:t>谈判</w:t>
      </w:r>
      <w:r>
        <w:rPr>
          <w:rFonts w:hint="eastAsia" w:ascii="宋体" w:hAnsi="宋体"/>
          <w:color w:val="auto"/>
          <w:sz w:val="24"/>
        </w:rPr>
        <w:t>文件要求，做出全面响应。</w:t>
      </w:r>
      <w:r>
        <w:rPr>
          <w:rFonts w:hint="eastAsia" w:ascii="宋体" w:hAnsi="宋体"/>
          <w:color w:val="auto"/>
          <w:sz w:val="24"/>
          <w:lang w:eastAsia="zh-CN"/>
        </w:rPr>
        <w:t>提供详细的供货方案及服务方案与措施</w:t>
      </w:r>
      <w:r>
        <w:rPr>
          <w:rFonts w:hint="eastAsia" w:ascii="宋体" w:hAnsi="宋体"/>
          <w:color w:val="auto"/>
          <w:sz w:val="24"/>
        </w:rPr>
        <w:t>。包含但不限于以下内容：</w:t>
      </w:r>
    </w:p>
    <w:p w14:paraId="1497BE9F">
      <w:pPr>
        <w:spacing w:line="360" w:lineRule="auto"/>
        <w:ind w:left="0" w:leftChars="0" w:right="-161" w:firstLine="638" w:firstLineChars="266"/>
        <w:rPr>
          <w:rFonts w:hint="eastAsia" w:ascii="宋体" w:hAnsi="宋体" w:cs="宋体"/>
          <w:sz w:val="24"/>
        </w:rPr>
      </w:pPr>
      <w:r>
        <w:rPr>
          <w:rFonts w:hint="eastAsia" w:ascii="宋体" w:hAnsi="宋体" w:cs="宋体"/>
          <w:sz w:val="24"/>
        </w:rPr>
        <w:t>1）承诺的服务期及付款方式；</w:t>
      </w:r>
    </w:p>
    <w:p w14:paraId="6988EE2D">
      <w:pPr>
        <w:spacing w:line="360" w:lineRule="auto"/>
        <w:ind w:left="0" w:leftChars="0" w:right="-161" w:firstLine="638" w:firstLineChars="266"/>
        <w:rPr>
          <w:rFonts w:hint="eastAsia" w:ascii="宋体" w:hAnsi="宋体" w:cs="宋体"/>
          <w:sz w:val="24"/>
        </w:rPr>
      </w:pPr>
      <w:r>
        <w:rPr>
          <w:rFonts w:hint="eastAsia" w:ascii="宋体" w:hAnsi="宋体" w:cs="宋体"/>
          <w:sz w:val="24"/>
        </w:rPr>
        <w:t>2）项目的服务方案的完整合理性；</w:t>
      </w:r>
    </w:p>
    <w:p w14:paraId="5DC0A849">
      <w:pPr>
        <w:spacing w:line="360" w:lineRule="auto"/>
        <w:ind w:left="0" w:leftChars="0" w:right="-161" w:firstLine="638" w:firstLineChars="266"/>
        <w:rPr>
          <w:rFonts w:hint="eastAsia" w:ascii="宋体" w:hAnsi="宋体" w:cs="宋体"/>
          <w:sz w:val="24"/>
        </w:rPr>
      </w:pPr>
      <w:r>
        <w:rPr>
          <w:rFonts w:hint="eastAsia" w:ascii="宋体" w:hAnsi="宋体" w:cs="宋体"/>
          <w:sz w:val="24"/>
        </w:rPr>
        <w:t>3）项目的人员配备情况的合理性；</w:t>
      </w:r>
    </w:p>
    <w:p w14:paraId="5F5CB14D">
      <w:pPr>
        <w:spacing w:line="360" w:lineRule="auto"/>
        <w:ind w:left="0" w:leftChars="0" w:right="-161" w:firstLine="638" w:firstLineChars="266"/>
        <w:rPr>
          <w:rFonts w:hint="eastAsia" w:ascii="宋体" w:hAnsi="宋体" w:cs="宋体"/>
          <w:sz w:val="24"/>
        </w:rPr>
      </w:pPr>
      <w:r>
        <w:rPr>
          <w:rFonts w:hint="eastAsia" w:ascii="宋体" w:hAnsi="宋体" w:cs="宋体"/>
          <w:sz w:val="24"/>
        </w:rPr>
        <w:t>4）质量保证承诺；</w:t>
      </w:r>
    </w:p>
    <w:p w14:paraId="1B4AF426">
      <w:pPr>
        <w:spacing w:line="360" w:lineRule="auto"/>
        <w:ind w:left="0" w:leftChars="0" w:right="-161" w:firstLine="638" w:firstLineChars="266"/>
        <w:rPr>
          <w:rFonts w:hint="eastAsia" w:ascii="宋体" w:hAnsi="宋体" w:cs="宋体"/>
          <w:sz w:val="24"/>
        </w:rPr>
      </w:pPr>
      <w:r>
        <w:rPr>
          <w:rFonts w:hint="eastAsia" w:ascii="宋体" w:hAnsi="宋体" w:cs="宋体"/>
          <w:sz w:val="24"/>
        </w:rPr>
        <w:t>5）其他特殊要求因素（如安全及环保等）。</w:t>
      </w:r>
    </w:p>
    <w:p w14:paraId="5017CC37">
      <w:pPr>
        <w:spacing w:line="360" w:lineRule="auto"/>
        <w:ind w:right="-161" w:firstLine="2640" w:firstLineChars="1100"/>
        <w:rPr>
          <w:rFonts w:hint="eastAsia" w:ascii="宋体" w:hAnsi="宋体" w:cs="宋体"/>
          <w:sz w:val="24"/>
        </w:rPr>
      </w:pPr>
    </w:p>
    <w:p w14:paraId="38709BE8">
      <w:pPr>
        <w:spacing w:line="360" w:lineRule="auto"/>
        <w:ind w:right="-161" w:firstLine="2640" w:firstLineChars="1100"/>
        <w:rPr>
          <w:rFonts w:ascii="宋体" w:hAnsi="宋体" w:cs="宋体"/>
          <w:sz w:val="24"/>
          <w:u w:val="single"/>
        </w:rPr>
      </w:pPr>
      <w:r>
        <w:rPr>
          <w:rFonts w:hint="eastAsia" w:ascii="宋体" w:hAnsi="宋体" w:cs="宋体"/>
          <w:sz w:val="24"/>
        </w:rPr>
        <w:t>供应商名称（公章）：</w:t>
      </w:r>
    </w:p>
    <w:p w14:paraId="64FBF994">
      <w:pPr>
        <w:spacing w:line="360" w:lineRule="auto"/>
        <w:ind w:right="-161" w:firstLine="2640" w:firstLineChars="110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p>
    <w:p w14:paraId="4C63EC78">
      <w:pPr>
        <w:spacing w:line="360" w:lineRule="auto"/>
        <w:ind w:right="480" w:firstLine="2640" w:firstLineChars="1100"/>
        <w:rPr>
          <w:rFonts w:ascii="宋体" w:hAnsi="宋体" w:cs="宋体"/>
          <w:sz w:val="24"/>
        </w:rPr>
        <w:sectPr>
          <w:pgSz w:w="11906" w:h="16838"/>
          <w:pgMar w:top="1440" w:right="1417" w:bottom="1440" w:left="1417" w:header="1134" w:footer="1134" w:gutter="0"/>
          <w:cols w:space="720" w:num="1"/>
          <w:titlePg/>
          <w:docGrid w:type="lines" w:linePitch="312" w:charSpace="0"/>
        </w:sectPr>
      </w:pPr>
      <w:r>
        <w:rPr>
          <w:rFonts w:hint="eastAsia" w:ascii="宋体" w:hAnsi="宋体" w:cs="宋体"/>
          <w:sz w:val="24"/>
        </w:rPr>
        <w:t>日期：</w:t>
      </w:r>
    </w:p>
    <w:bookmarkEnd w:id="331"/>
    <w:bookmarkEnd w:id="332"/>
    <w:bookmarkEnd w:id="333"/>
    <w:bookmarkEnd w:id="334"/>
    <w:bookmarkEnd w:id="335"/>
    <w:bookmarkEnd w:id="336"/>
    <w:bookmarkEnd w:id="337"/>
    <w:p w14:paraId="7A61264D">
      <w:pPr>
        <w:pStyle w:val="9"/>
        <w:jc w:val="center"/>
        <w:rPr>
          <w:rFonts w:ascii="宋体" w:hAnsi="宋体" w:cs="宋体"/>
          <w:b/>
          <w:color w:val="000000"/>
          <w:sz w:val="32"/>
          <w:szCs w:val="32"/>
        </w:rPr>
      </w:pPr>
      <w:r>
        <w:rPr>
          <w:rFonts w:hint="eastAsia" w:ascii="宋体" w:hAnsi="宋体" w:cs="宋体"/>
          <w:b/>
          <w:color w:val="000000"/>
          <w:sz w:val="32"/>
          <w:szCs w:val="32"/>
        </w:rPr>
        <w:t xml:space="preserve">五、商务偏离表 </w:t>
      </w:r>
    </w:p>
    <w:p w14:paraId="434E798C">
      <w:pPr>
        <w:spacing w:line="360" w:lineRule="auto"/>
        <w:ind w:firstLine="240" w:firstLineChars="100"/>
        <w:rPr>
          <w:rFonts w:ascii="宋体" w:hAnsi="宋体" w:cs="宋体"/>
          <w:color w:val="000000"/>
          <w:sz w:val="24"/>
          <w:u w:val="single"/>
        </w:rPr>
      </w:pPr>
      <w:r>
        <w:rPr>
          <w:rFonts w:hint="eastAsia" w:ascii="宋体" w:hAnsi="宋体" w:cs="宋体"/>
          <w:color w:val="000000"/>
          <w:sz w:val="24"/>
        </w:rPr>
        <w:t>供应商名称：                             采购项目编号：</w:t>
      </w:r>
    </w:p>
    <w:tbl>
      <w:tblPr>
        <w:tblStyle w:val="22"/>
        <w:tblW w:w="879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807"/>
        <w:gridCol w:w="1072"/>
      </w:tblGrid>
      <w:tr w14:paraId="3E228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14:paraId="009400C4">
            <w:pPr>
              <w:spacing w:line="360" w:lineRule="auto"/>
              <w:jc w:val="center"/>
              <w:rPr>
                <w:rFonts w:ascii="宋体" w:hAnsi="宋体" w:cs="宋体"/>
                <w:b/>
                <w:color w:val="000000"/>
                <w:sz w:val="24"/>
              </w:rPr>
            </w:pPr>
            <w:r>
              <w:rPr>
                <w:rFonts w:hint="eastAsia" w:ascii="宋体" w:hAnsi="宋体" w:cs="宋体"/>
                <w:b/>
                <w:color w:val="000000"/>
                <w:sz w:val="24"/>
              </w:rPr>
              <w:t>序号</w:t>
            </w:r>
          </w:p>
        </w:tc>
        <w:tc>
          <w:tcPr>
            <w:tcW w:w="2931" w:type="dxa"/>
            <w:noWrap w:val="0"/>
            <w:vAlign w:val="top"/>
          </w:tcPr>
          <w:p w14:paraId="0B660844">
            <w:pPr>
              <w:spacing w:line="360" w:lineRule="auto"/>
              <w:jc w:val="center"/>
              <w:rPr>
                <w:rFonts w:ascii="宋体" w:hAnsi="宋体" w:cs="宋体"/>
                <w:b/>
                <w:color w:val="000000"/>
                <w:sz w:val="24"/>
              </w:rPr>
            </w:pPr>
            <w:r>
              <w:rPr>
                <w:rFonts w:hint="eastAsia" w:ascii="宋体" w:hAnsi="宋体" w:cs="宋体"/>
                <w:b/>
                <w:color w:val="000000"/>
                <w:sz w:val="24"/>
              </w:rPr>
              <w:t>竞争性谈判文件商务要求</w:t>
            </w:r>
          </w:p>
        </w:tc>
        <w:tc>
          <w:tcPr>
            <w:tcW w:w="3231" w:type="dxa"/>
            <w:noWrap w:val="0"/>
            <w:vAlign w:val="top"/>
          </w:tcPr>
          <w:p w14:paraId="27A62E37">
            <w:pPr>
              <w:spacing w:line="360" w:lineRule="auto"/>
              <w:jc w:val="center"/>
              <w:rPr>
                <w:rFonts w:ascii="宋体" w:hAnsi="宋体" w:cs="宋体"/>
                <w:b/>
                <w:color w:val="000000"/>
                <w:sz w:val="24"/>
              </w:rPr>
            </w:pPr>
            <w:r>
              <w:rPr>
                <w:rFonts w:hint="eastAsia" w:ascii="宋体" w:hAnsi="宋体" w:cs="宋体"/>
                <w:b/>
                <w:color w:val="000000"/>
                <w:sz w:val="24"/>
              </w:rPr>
              <w:t>竞争性谈判响应文件商务响应</w:t>
            </w:r>
          </w:p>
        </w:tc>
        <w:tc>
          <w:tcPr>
            <w:tcW w:w="807" w:type="dxa"/>
            <w:noWrap w:val="0"/>
            <w:vAlign w:val="top"/>
          </w:tcPr>
          <w:p w14:paraId="52D9AE63">
            <w:pPr>
              <w:spacing w:line="360" w:lineRule="auto"/>
              <w:jc w:val="center"/>
              <w:rPr>
                <w:rFonts w:ascii="宋体" w:hAnsi="宋体" w:cs="宋体"/>
                <w:b/>
                <w:color w:val="000000"/>
                <w:sz w:val="24"/>
              </w:rPr>
            </w:pPr>
            <w:r>
              <w:rPr>
                <w:rFonts w:hint="eastAsia" w:ascii="宋体" w:hAnsi="宋体" w:cs="宋体"/>
                <w:b/>
                <w:color w:val="000000"/>
                <w:sz w:val="24"/>
              </w:rPr>
              <w:t>偏离</w:t>
            </w:r>
          </w:p>
        </w:tc>
        <w:tc>
          <w:tcPr>
            <w:tcW w:w="1072" w:type="dxa"/>
            <w:noWrap w:val="0"/>
            <w:vAlign w:val="top"/>
          </w:tcPr>
          <w:p w14:paraId="14DE231D">
            <w:pPr>
              <w:spacing w:line="360" w:lineRule="auto"/>
              <w:jc w:val="center"/>
              <w:rPr>
                <w:rFonts w:ascii="宋体" w:hAnsi="宋体" w:cs="宋体"/>
                <w:b/>
                <w:color w:val="000000"/>
                <w:sz w:val="24"/>
              </w:rPr>
            </w:pPr>
            <w:r>
              <w:rPr>
                <w:rFonts w:hint="eastAsia" w:ascii="宋体" w:hAnsi="宋体" w:cs="宋体"/>
                <w:b/>
                <w:color w:val="000000"/>
                <w:sz w:val="24"/>
              </w:rPr>
              <w:t>响应</w:t>
            </w:r>
            <w:r>
              <w:rPr>
                <w:rFonts w:hint="eastAsia" w:ascii="宋体" w:hAnsi="宋体" w:cs="宋体"/>
                <w:b/>
                <w:color w:val="000000"/>
                <w:sz w:val="24"/>
                <w:szCs w:val="22"/>
              </w:rPr>
              <w:t>说明</w:t>
            </w:r>
          </w:p>
        </w:tc>
      </w:tr>
      <w:tr w14:paraId="38C17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FB49935">
            <w:pPr>
              <w:spacing w:line="360" w:lineRule="auto"/>
              <w:jc w:val="center"/>
              <w:rPr>
                <w:rFonts w:ascii="宋体" w:hAnsi="宋体" w:cs="宋体"/>
                <w:color w:val="000000"/>
                <w:sz w:val="24"/>
              </w:rPr>
            </w:pPr>
          </w:p>
        </w:tc>
        <w:tc>
          <w:tcPr>
            <w:tcW w:w="2931" w:type="dxa"/>
            <w:noWrap w:val="0"/>
            <w:vAlign w:val="top"/>
          </w:tcPr>
          <w:p w14:paraId="6D97D0B6">
            <w:pPr>
              <w:spacing w:line="360" w:lineRule="auto"/>
              <w:jc w:val="center"/>
              <w:rPr>
                <w:rFonts w:ascii="宋体" w:hAnsi="宋体" w:cs="宋体"/>
                <w:color w:val="000000"/>
                <w:sz w:val="24"/>
              </w:rPr>
            </w:pPr>
          </w:p>
        </w:tc>
        <w:tc>
          <w:tcPr>
            <w:tcW w:w="3231" w:type="dxa"/>
            <w:noWrap w:val="0"/>
            <w:vAlign w:val="top"/>
          </w:tcPr>
          <w:p w14:paraId="12F303E2">
            <w:pPr>
              <w:spacing w:line="360" w:lineRule="auto"/>
              <w:jc w:val="center"/>
              <w:rPr>
                <w:rFonts w:ascii="宋体" w:hAnsi="宋体" w:cs="宋体"/>
                <w:color w:val="000000"/>
                <w:sz w:val="24"/>
              </w:rPr>
            </w:pPr>
          </w:p>
        </w:tc>
        <w:tc>
          <w:tcPr>
            <w:tcW w:w="807" w:type="dxa"/>
            <w:noWrap w:val="0"/>
            <w:vAlign w:val="top"/>
          </w:tcPr>
          <w:p w14:paraId="146D1A04">
            <w:pPr>
              <w:spacing w:line="360" w:lineRule="auto"/>
              <w:jc w:val="center"/>
              <w:rPr>
                <w:rFonts w:ascii="宋体" w:hAnsi="宋体" w:cs="宋体"/>
                <w:color w:val="000000"/>
                <w:sz w:val="24"/>
              </w:rPr>
            </w:pPr>
          </w:p>
        </w:tc>
        <w:tc>
          <w:tcPr>
            <w:tcW w:w="1072" w:type="dxa"/>
            <w:noWrap w:val="0"/>
            <w:vAlign w:val="top"/>
          </w:tcPr>
          <w:p w14:paraId="3142E7AF">
            <w:pPr>
              <w:spacing w:line="360" w:lineRule="auto"/>
              <w:jc w:val="center"/>
              <w:rPr>
                <w:rFonts w:ascii="宋体" w:hAnsi="宋体" w:cs="宋体"/>
                <w:color w:val="000000"/>
                <w:sz w:val="24"/>
              </w:rPr>
            </w:pPr>
          </w:p>
        </w:tc>
      </w:tr>
      <w:tr w14:paraId="6BAB2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94A32BB">
            <w:pPr>
              <w:spacing w:line="360" w:lineRule="auto"/>
              <w:jc w:val="center"/>
              <w:rPr>
                <w:rFonts w:ascii="宋体" w:hAnsi="宋体" w:cs="宋体"/>
                <w:color w:val="000000"/>
                <w:sz w:val="24"/>
              </w:rPr>
            </w:pPr>
          </w:p>
        </w:tc>
        <w:tc>
          <w:tcPr>
            <w:tcW w:w="2931" w:type="dxa"/>
            <w:noWrap w:val="0"/>
            <w:vAlign w:val="top"/>
          </w:tcPr>
          <w:p w14:paraId="78BC481D">
            <w:pPr>
              <w:spacing w:line="360" w:lineRule="auto"/>
              <w:jc w:val="center"/>
              <w:rPr>
                <w:rFonts w:ascii="宋体" w:hAnsi="宋体" w:cs="宋体"/>
                <w:color w:val="000000"/>
                <w:sz w:val="24"/>
              </w:rPr>
            </w:pPr>
          </w:p>
        </w:tc>
        <w:tc>
          <w:tcPr>
            <w:tcW w:w="3231" w:type="dxa"/>
            <w:noWrap w:val="0"/>
            <w:vAlign w:val="top"/>
          </w:tcPr>
          <w:p w14:paraId="3B31566F">
            <w:pPr>
              <w:spacing w:line="360" w:lineRule="auto"/>
              <w:jc w:val="center"/>
              <w:rPr>
                <w:rFonts w:ascii="宋体" w:hAnsi="宋体" w:cs="宋体"/>
                <w:color w:val="000000"/>
                <w:sz w:val="24"/>
              </w:rPr>
            </w:pPr>
          </w:p>
        </w:tc>
        <w:tc>
          <w:tcPr>
            <w:tcW w:w="807" w:type="dxa"/>
            <w:noWrap w:val="0"/>
            <w:vAlign w:val="top"/>
          </w:tcPr>
          <w:p w14:paraId="2CEB890A">
            <w:pPr>
              <w:spacing w:line="360" w:lineRule="auto"/>
              <w:jc w:val="center"/>
              <w:rPr>
                <w:rFonts w:ascii="宋体" w:hAnsi="宋体" w:cs="宋体"/>
                <w:color w:val="000000"/>
                <w:sz w:val="24"/>
              </w:rPr>
            </w:pPr>
          </w:p>
        </w:tc>
        <w:tc>
          <w:tcPr>
            <w:tcW w:w="1072" w:type="dxa"/>
            <w:noWrap w:val="0"/>
            <w:vAlign w:val="top"/>
          </w:tcPr>
          <w:p w14:paraId="72AB316B">
            <w:pPr>
              <w:spacing w:line="360" w:lineRule="auto"/>
              <w:jc w:val="center"/>
              <w:rPr>
                <w:rFonts w:ascii="宋体" w:hAnsi="宋体" w:cs="宋体"/>
                <w:color w:val="000000"/>
                <w:sz w:val="24"/>
              </w:rPr>
            </w:pPr>
          </w:p>
        </w:tc>
      </w:tr>
      <w:tr w14:paraId="73FA4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DC6AF8B">
            <w:pPr>
              <w:spacing w:line="360" w:lineRule="auto"/>
              <w:jc w:val="center"/>
              <w:rPr>
                <w:rFonts w:ascii="宋体" w:hAnsi="宋体" w:cs="宋体"/>
                <w:color w:val="000000"/>
                <w:sz w:val="24"/>
              </w:rPr>
            </w:pPr>
          </w:p>
        </w:tc>
        <w:tc>
          <w:tcPr>
            <w:tcW w:w="2931" w:type="dxa"/>
            <w:noWrap w:val="0"/>
            <w:vAlign w:val="top"/>
          </w:tcPr>
          <w:p w14:paraId="2F3D1A10">
            <w:pPr>
              <w:spacing w:line="360" w:lineRule="auto"/>
              <w:jc w:val="center"/>
              <w:rPr>
                <w:rFonts w:ascii="宋体" w:hAnsi="宋体" w:cs="宋体"/>
                <w:color w:val="000000"/>
                <w:sz w:val="24"/>
              </w:rPr>
            </w:pPr>
          </w:p>
        </w:tc>
        <w:tc>
          <w:tcPr>
            <w:tcW w:w="3231" w:type="dxa"/>
            <w:noWrap w:val="0"/>
            <w:vAlign w:val="top"/>
          </w:tcPr>
          <w:p w14:paraId="711ECF1B">
            <w:pPr>
              <w:spacing w:line="360" w:lineRule="auto"/>
              <w:jc w:val="center"/>
              <w:rPr>
                <w:rFonts w:ascii="宋体" w:hAnsi="宋体" w:cs="宋体"/>
                <w:color w:val="000000"/>
                <w:sz w:val="24"/>
              </w:rPr>
            </w:pPr>
          </w:p>
        </w:tc>
        <w:tc>
          <w:tcPr>
            <w:tcW w:w="807" w:type="dxa"/>
            <w:noWrap w:val="0"/>
            <w:vAlign w:val="top"/>
          </w:tcPr>
          <w:p w14:paraId="0255FC16">
            <w:pPr>
              <w:spacing w:line="360" w:lineRule="auto"/>
              <w:jc w:val="center"/>
              <w:rPr>
                <w:rFonts w:ascii="宋体" w:hAnsi="宋体" w:cs="宋体"/>
                <w:color w:val="000000"/>
                <w:sz w:val="24"/>
              </w:rPr>
            </w:pPr>
          </w:p>
        </w:tc>
        <w:tc>
          <w:tcPr>
            <w:tcW w:w="1072" w:type="dxa"/>
            <w:noWrap w:val="0"/>
            <w:vAlign w:val="top"/>
          </w:tcPr>
          <w:p w14:paraId="1F597B7F">
            <w:pPr>
              <w:spacing w:line="360" w:lineRule="auto"/>
              <w:jc w:val="center"/>
              <w:rPr>
                <w:rFonts w:ascii="宋体" w:hAnsi="宋体" w:cs="宋体"/>
                <w:color w:val="000000"/>
                <w:sz w:val="24"/>
              </w:rPr>
            </w:pPr>
          </w:p>
        </w:tc>
      </w:tr>
      <w:tr w14:paraId="2BA21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821F93C">
            <w:pPr>
              <w:spacing w:line="360" w:lineRule="auto"/>
              <w:jc w:val="center"/>
              <w:rPr>
                <w:rFonts w:ascii="宋体" w:hAnsi="宋体" w:cs="宋体"/>
                <w:color w:val="000000"/>
                <w:sz w:val="24"/>
              </w:rPr>
            </w:pPr>
          </w:p>
        </w:tc>
        <w:tc>
          <w:tcPr>
            <w:tcW w:w="2931" w:type="dxa"/>
            <w:noWrap w:val="0"/>
            <w:vAlign w:val="top"/>
          </w:tcPr>
          <w:p w14:paraId="3523AD0B">
            <w:pPr>
              <w:spacing w:line="360" w:lineRule="auto"/>
              <w:jc w:val="center"/>
              <w:rPr>
                <w:rFonts w:ascii="宋体" w:hAnsi="宋体" w:cs="宋体"/>
                <w:color w:val="000000"/>
                <w:sz w:val="24"/>
              </w:rPr>
            </w:pPr>
          </w:p>
        </w:tc>
        <w:tc>
          <w:tcPr>
            <w:tcW w:w="3231" w:type="dxa"/>
            <w:noWrap w:val="0"/>
            <w:vAlign w:val="top"/>
          </w:tcPr>
          <w:p w14:paraId="0E22D960">
            <w:pPr>
              <w:spacing w:line="360" w:lineRule="auto"/>
              <w:jc w:val="center"/>
              <w:rPr>
                <w:rFonts w:ascii="宋体" w:hAnsi="宋体" w:cs="宋体"/>
                <w:color w:val="000000"/>
                <w:sz w:val="24"/>
              </w:rPr>
            </w:pPr>
          </w:p>
        </w:tc>
        <w:tc>
          <w:tcPr>
            <w:tcW w:w="807" w:type="dxa"/>
            <w:noWrap w:val="0"/>
            <w:vAlign w:val="top"/>
          </w:tcPr>
          <w:p w14:paraId="4FDB164E">
            <w:pPr>
              <w:spacing w:line="360" w:lineRule="auto"/>
              <w:jc w:val="center"/>
              <w:rPr>
                <w:rFonts w:ascii="宋体" w:hAnsi="宋体" w:cs="宋体"/>
                <w:color w:val="000000"/>
                <w:sz w:val="24"/>
              </w:rPr>
            </w:pPr>
          </w:p>
        </w:tc>
        <w:tc>
          <w:tcPr>
            <w:tcW w:w="1072" w:type="dxa"/>
            <w:noWrap w:val="0"/>
            <w:vAlign w:val="top"/>
          </w:tcPr>
          <w:p w14:paraId="27FA93A9">
            <w:pPr>
              <w:spacing w:line="360" w:lineRule="auto"/>
              <w:jc w:val="center"/>
              <w:rPr>
                <w:rFonts w:ascii="宋体" w:hAnsi="宋体" w:cs="宋体"/>
                <w:color w:val="000000"/>
                <w:sz w:val="24"/>
              </w:rPr>
            </w:pPr>
          </w:p>
        </w:tc>
      </w:tr>
      <w:tr w14:paraId="4762C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9F201C4">
            <w:pPr>
              <w:spacing w:line="360" w:lineRule="auto"/>
              <w:jc w:val="center"/>
              <w:rPr>
                <w:rFonts w:ascii="宋体" w:hAnsi="宋体" w:cs="宋体"/>
                <w:color w:val="000000"/>
                <w:sz w:val="24"/>
              </w:rPr>
            </w:pPr>
          </w:p>
        </w:tc>
        <w:tc>
          <w:tcPr>
            <w:tcW w:w="2931" w:type="dxa"/>
            <w:noWrap w:val="0"/>
            <w:vAlign w:val="top"/>
          </w:tcPr>
          <w:p w14:paraId="2F7D1CA9">
            <w:pPr>
              <w:spacing w:line="360" w:lineRule="auto"/>
              <w:jc w:val="center"/>
              <w:rPr>
                <w:rFonts w:ascii="宋体" w:hAnsi="宋体" w:cs="宋体"/>
                <w:color w:val="000000"/>
                <w:sz w:val="24"/>
              </w:rPr>
            </w:pPr>
          </w:p>
        </w:tc>
        <w:tc>
          <w:tcPr>
            <w:tcW w:w="3231" w:type="dxa"/>
            <w:noWrap w:val="0"/>
            <w:vAlign w:val="top"/>
          </w:tcPr>
          <w:p w14:paraId="1CE06487">
            <w:pPr>
              <w:spacing w:line="360" w:lineRule="auto"/>
              <w:jc w:val="center"/>
              <w:rPr>
                <w:rFonts w:ascii="宋体" w:hAnsi="宋体" w:cs="宋体"/>
                <w:color w:val="000000"/>
                <w:sz w:val="24"/>
              </w:rPr>
            </w:pPr>
          </w:p>
        </w:tc>
        <w:tc>
          <w:tcPr>
            <w:tcW w:w="807" w:type="dxa"/>
            <w:noWrap w:val="0"/>
            <w:vAlign w:val="top"/>
          </w:tcPr>
          <w:p w14:paraId="236411B2">
            <w:pPr>
              <w:spacing w:line="360" w:lineRule="auto"/>
              <w:jc w:val="center"/>
              <w:rPr>
                <w:rFonts w:ascii="宋体" w:hAnsi="宋体" w:cs="宋体"/>
                <w:color w:val="000000"/>
                <w:sz w:val="24"/>
              </w:rPr>
            </w:pPr>
          </w:p>
        </w:tc>
        <w:tc>
          <w:tcPr>
            <w:tcW w:w="1072" w:type="dxa"/>
            <w:noWrap w:val="0"/>
            <w:vAlign w:val="top"/>
          </w:tcPr>
          <w:p w14:paraId="19FCBD48">
            <w:pPr>
              <w:spacing w:line="360" w:lineRule="auto"/>
              <w:jc w:val="center"/>
              <w:rPr>
                <w:rFonts w:ascii="宋体" w:hAnsi="宋体" w:cs="宋体"/>
                <w:color w:val="000000"/>
                <w:sz w:val="24"/>
              </w:rPr>
            </w:pPr>
          </w:p>
        </w:tc>
      </w:tr>
      <w:tr w14:paraId="336AA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B0E4F5A">
            <w:pPr>
              <w:spacing w:line="360" w:lineRule="auto"/>
              <w:jc w:val="center"/>
              <w:rPr>
                <w:rFonts w:ascii="宋体" w:hAnsi="宋体" w:cs="宋体"/>
                <w:color w:val="000000"/>
                <w:sz w:val="24"/>
              </w:rPr>
            </w:pPr>
          </w:p>
        </w:tc>
        <w:tc>
          <w:tcPr>
            <w:tcW w:w="2931" w:type="dxa"/>
            <w:noWrap w:val="0"/>
            <w:vAlign w:val="top"/>
          </w:tcPr>
          <w:p w14:paraId="11B2B3F6">
            <w:pPr>
              <w:spacing w:line="360" w:lineRule="auto"/>
              <w:jc w:val="center"/>
              <w:rPr>
                <w:rFonts w:ascii="宋体" w:hAnsi="宋体" w:cs="宋体"/>
                <w:color w:val="000000"/>
                <w:sz w:val="24"/>
              </w:rPr>
            </w:pPr>
          </w:p>
        </w:tc>
        <w:tc>
          <w:tcPr>
            <w:tcW w:w="3231" w:type="dxa"/>
            <w:noWrap w:val="0"/>
            <w:vAlign w:val="top"/>
          </w:tcPr>
          <w:p w14:paraId="61B07E34">
            <w:pPr>
              <w:spacing w:line="360" w:lineRule="auto"/>
              <w:jc w:val="center"/>
              <w:rPr>
                <w:rFonts w:ascii="宋体" w:hAnsi="宋体" w:cs="宋体"/>
                <w:color w:val="000000"/>
                <w:sz w:val="24"/>
              </w:rPr>
            </w:pPr>
          </w:p>
        </w:tc>
        <w:tc>
          <w:tcPr>
            <w:tcW w:w="807" w:type="dxa"/>
            <w:noWrap w:val="0"/>
            <w:vAlign w:val="top"/>
          </w:tcPr>
          <w:p w14:paraId="056B1E3B">
            <w:pPr>
              <w:spacing w:line="360" w:lineRule="auto"/>
              <w:jc w:val="center"/>
              <w:rPr>
                <w:rFonts w:ascii="宋体" w:hAnsi="宋体" w:cs="宋体"/>
                <w:color w:val="000000"/>
                <w:sz w:val="24"/>
              </w:rPr>
            </w:pPr>
          </w:p>
        </w:tc>
        <w:tc>
          <w:tcPr>
            <w:tcW w:w="1072" w:type="dxa"/>
            <w:noWrap w:val="0"/>
            <w:vAlign w:val="top"/>
          </w:tcPr>
          <w:p w14:paraId="6A93C3BB">
            <w:pPr>
              <w:spacing w:line="360" w:lineRule="auto"/>
              <w:jc w:val="center"/>
              <w:rPr>
                <w:rFonts w:ascii="宋体" w:hAnsi="宋体" w:cs="宋体"/>
                <w:color w:val="000000"/>
                <w:sz w:val="24"/>
              </w:rPr>
            </w:pPr>
          </w:p>
        </w:tc>
      </w:tr>
      <w:tr w14:paraId="06DDE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16486F4">
            <w:pPr>
              <w:spacing w:line="360" w:lineRule="auto"/>
              <w:jc w:val="center"/>
              <w:rPr>
                <w:rFonts w:ascii="宋体" w:hAnsi="宋体" w:cs="宋体"/>
                <w:color w:val="000000"/>
                <w:sz w:val="24"/>
              </w:rPr>
            </w:pPr>
          </w:p>
        </w:tc>
        <w:tc>
          <w:tcPr>
            <w:tcW w:w="2931" w:type="dxa"/>
            <w:noWrap w:val="0"/>
            <w:vAlign w:val="top"/>
          </w:tcPr>
          <w:p w14:paraId="71D44B91">
            <w:pPr>
              <w:spacing w:line="360" w:lineRule="auto"/>
              <w:jc w:val="center"/>
              <w:rPr>
                <w:rFonts w:ascii="宋体" w:hAnsi="宋体" w:cs="宋体"/>
                <w:color w:val="000000"/>
                <w:sz w:val="24"/>
              </w:rPr>
            </w:pPr>
          </w:p>
        </w:tc>
        <w:tc>
          <w:tcPr>
            <w:tcW w:w="3231" w:type="dxa"/>
            <w:noWrap w:val="0"/>
            <w:vAlign w:val="top"/>
          </w:tcPr>
          <w:p w14:paraId="4A1A29E6">
            <w:pPr>
              <w:spacing w:line="360" w:lineRule="auto"/>
              <w:jc w:val="center"/>
              <w:rPr>
                <w:rFonts w:ascii="宋体" w:hAnsi="宋体" w:cs="宋体"/>
                <w:color w:val="000000"/>
                <w:sz w:val="24"/>
              </w:rPr>
            </w:pPr>
          </w:p>
        </w:tc>
        <w:tc>
          <w:tcPr>
            <w:tcW w:w="807" w:type="dxa"/>
            <w:noWrap w:val="0"/>
            <w:vAlign w:val="top"/>
          </w:tcPr>
          <w:p w14:paraId="2A3D7345">
            <w:pPr>
              <w:spacing w:line="360" w:lineRule="auto"/>
              <w:jc w:val="center"/>
              <w:rPr>
                <w:rFonts w:ascii="宋体" w:hAnsi="宋体" w:cs="宋体"/>
                <w:color w:val="000000"/>
                <w:sz w:val="24"/>
              </w:rPr>
            </w:pPr>
          </w:p>
        </w:tc>
        <w:tc>
          <w:tcPr>
            <w:tcW w:w="1072" w:type="dxa"/>
            <w:noWrap w:val="0"/>
            <w:vAlign w:val="top"/>
          </w:tcPr>
          <w:p w14:paraId="79198ADF">
            <w:pPr>
              <w:spacing w:line="360" w:lineRule="auto"/>
              <w:jc w:val="center"/>
              <w:rPr>
                <w:rFonts w:ascii="宋体" w:hAnsi="宋体" w:cs="宋体"/>
                <w:color w:val="000000"/>
                <w:sz w:val="24"/>
              </w:rPr>
            </w:pPr>
          </w:p>
        </w:tc>
      </w:tr>
      <w:tr w14:paraId="50106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1780761">
            <w:pPr>
              <w:spacing w:line="360" w:lineRule="auto"/>
              <w:jc w:val="center"/>
              <w:rPr>
                <w:rFonts w:ascii="宋体" w:hAnsi="宋体" w:cs="宋体"/>
                <w:color w:val="000000"/>
                <w:sz w:val="24"/>
              </w:rPr>
            </w:pPr>
          </w:p>
        </w:tc>
        <w:tc>
          <w:tcPr>
            <w:tcW w:w="2931" w:type="dxa"/>
            <w:noWrap w:val="0"/>
            <w:vAlign w:val="top"/>
          </w:tcPr>
          <w:p w14:paraId="5EACB015">
            <w:pPr>
              <w:spacing w:line="360" w:lineRule="auto"/>
              <w:jc w:val="center"/>
              <w:rPr>
                <w:rFonts w:ascii="宋体" w:hAnsi="宋体" w:cs="宋体"/>
                <w:color w:val="000000"/>
                <w:sz w:val="24"/>
              </w:rPr>
            </w:pPr>
          </w:p>
        </w:tc>
        <w:tc>
          <w:tcPr>
            <w:tcW w:w="3231" w:type="dxa"/>
            <w:noWrap w:val="0"/>
            <w:vAlign w:val="top"/>
          </w:tcPr>
          <w:p w14:paraId="1DB8B9D2">
            <w:pPr>
              <w:spacing w:line="360" w:lineRule="auto"/>
              <w:jc w:val="center"/>
              <w:rPr>
                <w:rFonts w:ascii="宋体" w:hAnsi="宋体" w:cs="宋体"/>
                <w:color w:val="000000"/>
                <w:sz w:val="24"/>
              </w:rPr>
            </w:pPr>
          </w:p>
        </w:tc>
        <w:tc>
          <w:tcPr>
            <w:tcW w:w="807" w:type="dxa"/>
            <w:noWrap w:val="0"/>
            <w:vAlign w:val="top"/>
          </w:tcPr>
          <w:p w14:paraId="01F3D035">
            <w:pPr>
              <w:spacing w:line="360" w:lineRule="auto"/>
              <w:jc w:val="center"/>
              <w:rPr>
                <w:rFonts w:ascii="宋体" w:hAnsi="宋体" w:cs="宋体"/>
                <w:color w:val="000000"/>
                <w:sz w:val="24"/>
              </w:rPr>
            </w:pPr>
          </w:p>
        </w:tc>
        <w:tc>
          <w:tcPr>
            <w:tcW w:w="1072" w:type="dxa"/>
            <w:noWrap w:val="0"/>
            <w:vAlign w:val="top"/>
          </w:tcPr>
          <w:p w14:paraId="5DA1007B">
            <w:pPr>
              <w:spacing w:line="360" w:lineRule="auto"/>
              <w:jc w:val="center"/>
              <w:rPr>
                <w:rFonts w:ascii="宋体" w:hAnsi="宋体" w:cs="宋体"/>
                <w:color w:val="000000"/>
                <w:sz w:val="24"/>
              </w:rPr>
            </w:pPr>
          </w:p>
        </w:tc>
      </w:tr>
      <w:tr w14:paraId="5D1C4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DBE4633">
            <w:pPr>
              <w:spacing w:line="360" w:lineRule="auto"/>
              <w:jc w:val="center"/>
              <w:rPr>
                <w:rFonts w:ascii="宋体" w:hAnsi="宋体" w:cs="宋体"/>
                <w:color w:val="000000"/>
                <w:sz w:val="24"/>
              </w:rPr>
            </w:pPr>
          </w:p>
        </w:tc>
        <w:tc>
          <w:tcPr>
            <w:tcW w:w="2931" w:type="dxa"/>
            <w:noWrap w:val="0"/>
            <w:vAlign w:val="top"/>
          </w:tcPr>
          <w:p w14:paraId="5B6B25D0">
            <w:pPr>
              <w:spacing w:line="360" w:lineRule="auto"/>
              <w:jc w:val="center"/>
              <w:rPr>
                <w:rFonts w:ascii="宋体" w:hAnsi="宋体" w:cs="宋体"/>
                <w:color w:val="000000"/>
                <w:sz w:val="24"/>
              </w:rPr>
            </w:pPr>
          </w:p>
        </w:tc>
        <w:tc>
          <w:tcPr>
            <w:tcW w:w="3231" w:type="dxa"/>
            <w:noWrap w:val="0"/>
            <w:vAlign w:val="top"/>
          </w:tcPr>
          <w:p w14:paraId="4C7AE2F6">
            <w:pPr>
              <w:spacing w:line="360" w:lineRule="auto"/>
              <w:jc w:val="center"/>
              <w:rPr>
                <w:rFonts w:ascii="宋体" w:hAnsi="宋体" w:cs="宋体"/>
                <w:color w:val="000000"/>
                <w:sz w:val="24"/>
              </w:rPr>
            </w:pPr>
          </w:p>
        </w:tc>
        <w:tc>
          <w:tcPr>
            <w:tcW w:w="807" w:type="dxa"/>
            <w:noWrap w:val="0"/>
            <w:vAlign w:val="top"/>
          </w:tcPr>
          <w:p w14:paraId="531B2EA4">
            <w:pPr>
              <w:spacing w:line="360" w:lineRule="auto"/>
              <w:jc w:val="center"/>
              <w:rPr>
                <w:rFonts w:ascii="宋体" w:hAnsi="宋体" w:cs="宋体"/>
                <w:color w:val="000000"/>
                <w:sz w:val="24"/>
              </w:rPr>
            </w:pPr>
          </w:p>
        </w:tc>
        <w:tc>
          <w:tcPr>
            <w:tcW w:w="1072" w:type="dxa"/>
            <w:noWrap w:val="0"/>
            <w:vAlign w:val="top"/>
          </w:tcPr>
          <w:p w14:paraId="2BD1A1CC">
            <w:pPr>
              <w:spacing w:line="360" w:lineRule="auto"/>
              <w:jc w:val="center"/>
              <w:rPr>
                <w:rFonts w:ascii="宋体" w:hAnsi="宋体" w:cs="宋体"/>
                <w:color w:val="000000"/>
                <w:sz w:val="24"/>
              </w:rPr>
            </w:pPr>
          </w:p>
        </w:tc>
      </w:tr>
      <w:tr w14:paraId="210F7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8402504">
            <w:pPr>
              <w:spacing w:line="360" w:lineRule="auto"/>
              <w:jc w:val="center"/>
              <w:rPr>
                <w:rFonts w:ascii="宋体" w:hAnsi="宋体" w:cs="宋体"/>
                <w:color w:val="000000"/>
                <w:sz w:val="24"/>
              </w:rPr>
            </w:pPr>
          </w:p>
        </w:tc>
        <w:tc>
          <w:tcPr>
            <w:tcW w:w="2931" w:type="dxa"/>
            <w:noWrap w:val="0"/>
            <w:vAlign w:val="top"/>
          </w:tcPr>
          <w:p w14:paraId="55185257">
            <w:pPr>
              <w:spacing w:line="360" w:lineRule="auto"/>
              <w:jc w:val="center"/>
              <w:rPr>
                <w:rFonts w:ascii="宋体" w:hAnsi="宋体" w:cs="宋体"/>
                <w:color w:val="000000"/>
                <w:sz w:val="24"/>
              </w:rPr>
            </w:pPr>
          </w:p>
        </w:tc>
        <w:tc>
          <w:tcPr>
            <w:tcW w:w="3231" w:type="dxa"/>
            <w:noWrap w:val="0"/>
            <w:vAlign w:val="top"/>
          </w:tcPr>
          <w:p w14:paraId="5B746EA4">
            <w:pPr>
              <w:spacing w:line="360" w:lineRule="auto"/>
              <w:jc w:val="center"/>
              <w:rPr>
                <w:rFonts w:ascii="宋体" w:hAnsi="宋体" w:cs="宋体"/>
                <w:color w:val="000000"/>
                <w:sz w:val="24"/>
              </w:rPr>
            </w:pPr>
          </w:p>
        </w:tc>
        <w:tc>
          <w:tcPr>
            <w:tcW w:w="807" w:type="dxa"/>
            <w:noWrap w:val="0"/>
            <w:vAlign w:val="top"/>
          </w:tcPr>
          <w:p w14:paraId="7B93A6A8">
            <w:pPr>
              <w:spacing w:line="360" w:lineRule="auto"/>
              <w:jc w:val="center"/>
              <w:rPr>
                <w:rFonts w:ascii="宋体" w:hAnsi="宋体" w:cs="宋体"/>
                <w:color w:val="000000"/>
                <w:sz w:val="24"/>
              </w:rPr>
            </w:pPr>
          </w:p>
        </w:tc>
        <w:tc>
          <w:tcPr>
            <w:tcW w:w="1072" w:type="dxa"/>
            <w:noWrap w:val="0"/>
            <w:vAlign w:val="top"/>
          </w:tcPr>
          <w:p w14:paraId="7D0C066F">
            <w:pPr>
              <w:spacing w:line="360" w:lineRule="auto"/>
              <w:jc w:val="center"/>
              <w:rPr>
                <w:rFonts w:ascii="宋体" w:hAnsi="宋体" w:cs="宋体"/>
                <w:color w:val="000000"/>
                <w:sz w:val="24"/>
              </w:rPr>
            </w:pPr>
          </w:p>
        </w:tc>
      </w:tr>
      <w:tr w14:paraId="6949B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A12C9C9">
            <w:pPr>
              <w:spacing w:line="360" w:lineRule="auto"/>
              <w:jc w:val="center"/>
              <w:rPr>
                <w:rFonts w:ascii="宋体" w:hAnsi="宋体" w:cs="宋体"/>
                <w:color w:val="000000"/>
                <w:sz w:val="24"/>
              </w:rPr>
            </w:pPr>
          </w:p>
        </w:tc>
        <w:tc>
          <w:tcPr>
            <w:tcW w:w="2931" w:type="dxa"/>
            <w:noWrap w:val="0"/>
            <w:vAlign w:val="top"/>
          </w:tcPr>
          <w:p w14:paraId="2F11BF52">
            <w:pPr>
              <w:spacing w:line="360" w:lineRule="auto"/>
              <w:jc w:val="center"/>
              <w:rPr>
                <w:rFonts w:ascii="宋体" w:hAnsi="宋体" w:cs="宋体"/>
                <w:color w:val="000000"/>
                <w:sz w:val="24"/>
              </w:rPr>
            </w:pPr>
          </w:p>
        </w:tc>
        <w:tc>
          <w:tcPr>
            <w:tcW w:w="3231" w:type="dxa"/>
            <w:noWrap w:val="0"/>
            <w:vAlign w:val="top"/>
          </w:tcPr>
          <w:p w14:paraId="78F62B56">
            <w:pPr>
              <w:spacing w:line="360" w:lineRule="auto"/>
              <w:jc w:val="center"/>
              <w:rPr>
                <w:rFonts w:ascii="宋体" w:hAnsi="宋体" w:cs="宋体"/>
                <w:color w:val="000000"/>
                <w:sz w:val="24"/>
              </w:rPr>
            </w:pPr>
          </w:p>
        </w:tc>
        <w:tc>
          <w:tcPr>
            <w:tcW w:w="807" w:type="dxa"/>
            <w:noWrap w:val="0"/>
            <w:vAlign w:val="top"/>
          </w:tcPr>
          <w:p w14:paraId="5D72FF65">
            <w:pPr>
              <w:spacing w:line="360" w:lineRule="auto"/>
              <w:jc w:val="center"/>
              <w:rPr>
                <w:rFonts w:ascii="宋体" w:hAnsi="宋体" w:cs="宋体"/>
                <w:color w:val="000000"/>
                <w:sz w:val="24"/>
              </w:rPr>
            </w:pPr>
          </w:p>
        </w:tc>
        <w:tc>
          <w:tcPr>
            <w:tcW w:w="1072" w:type="dxa"/>
            <w:noWrap w:val="0"/>
            <w:vAlign w:val="top"/>
          </w:tcPr>
          <w:p w14:paraId="30A8DBCB">
            <w:pPr>
              <w:spacing w:line="360" w:lineRule="auto"/>
              <w:jc w:val="center"/>
              <w:rPr>
                <w:rFonts w:ascii="宋体" w:hAnsi="宋体" w:cs="宋体"/>
                <w:color w:val="000000"/>
                <w:sz w:val="24"/>
              </w:rPr>
            </w:pPr>
          </w:p>
        </w:tc>
      </w:tr>
      <w:tr w14:paraId="048A5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7E85A16">
            <w:pPr>
              <w:spacing w:line="360" w:lineRule="auto"/>
              <w:jc w:val="center"/>
              <w:rPr>
                <w:rFonts w:ascii="宋体" w:hAnsi="宋体" w:cs="宋体"/>
                <w:color w:val="000000"/>
                <w:sz w:val="24"/>
              </w:rPr>
            </w:pPr>
          </w:p>
        </w:tc>
        <w:tc>
          <w:tcPr>
            <w:tcW w:w="2931" w:type="dxa"/>
            <w:noWrap w:val="0"/>
            <w:vAlign w:val="top"/>
          </w:tcPr>
          <w:p w14:paraId="0FDEF13A">
            <w:pPr>
              <w:spacing w:line="360" w:lineRule="auto"/>
              <w:jc w:val="center"/>
              <w:rPr>
                <w:rFonts w:ascii="宋体" w:hAnsi="宋体" w:cs="宋体"/>
                <w:color w:val="000000"/>
                <w:sz w:val="24"/>
              </w:rPr>
            </w:pPr>
          </w:p>
        </w:tc>
        <w:tc>
          <w:tcPr>
            <w:tcW w:w="3231" w:type="dxa"/>
            <w:noWrap w:val="0"/>
            <w:vAlign w:val="top"/>
          </w:tcPr>
          <w:p w14:paraId="40140E33">
            <w:pPr>
              <w:spacing w:line="360" w:lineRule="auto"/>
              <w:jc w:val="center"/>
              <w:rPr>
                <w:rFonts w:ascii="宋体" w:hAnsi="宋体" w:cs="宋体"/>
                <w:color w:val="000000"/>
                <w:sz w:val="24"/>
              </w:rPr>
            </w:pPr>
          </w:p>
        </w:tc>
        <w:tc>
          <w:tcPr>
            <w:tcW w:w="807" w:type="dxa"/>
            <w:noWrap w:val="0"/>
            <w:vAlign w:val="top"/>
          </w:tcPr>
          <w:p w14:paraId="043C4EAA">
            <w:pPr>
              <w:spacing w:line="360" w:lineRule="auto"/>
              <w:jc w:val="center"/>
              <w:rPr>
                <w:rFonts w:ascii="宋体" w:hAnsi="宋体" w:cs="宋体"/>
                <w:color w:val="000000"/>
                <w:sz w:val="24"/>
              </w:rPr>
            </w:pPr>
          </w:p>
        </w:tc>
        <w:tc>
          <w:tcPr>
            <w:tcW w:w="1072" w:type="dxa"/>
            <w:noWrap w:val="0"/>
            <w:vAlign w:val="top"/>
          </w:tcPr>
          <w:p w14:paraId="537E58FB">
            <w:pPr>
              <w:spacing w:line="360" w:lineRule="auto"/>
              <w:jc w:val="center"/>
              <w:rPr>
                <w:rFonts w:ascii="宋体" w:hAnsi="宋体" w:cs="宋体"/>
                <w:color w:val="000000"/>
                <w:sz w:val="24"/>
              </w:rPr>
            </w:pPr>
          </w:p>
        </w:tc>
      </w:tr>
    </w:tbl>
    <w:p w14:paraId="222D753A">
      <w:pPr>
        <w:spacing w:line="360" w:lineRule="auto"/>
        <w:ind w:right="-161"/>
        <w:rPr>
          <w:rFonts w:ascii="宋体" w:hAnsi="宋体" w:cs="宋体"/>
          <w:color w:val="000000"/>
          <w:sz w:val="24"/>
        </w:rPr>
      </w:pPr>
      <w:r>
        <w:rPr>
          <w:rFonts w:hint="eastAsia" w:ascii="宋体" w:hAnsi="宋体" w:cs="宋体"/>
          <w:color w:val="000000"/>
          <w:sz w:val="24"/>
        </w:rPr>
        <w:t>说明：</w:t>
      </w:r>
    </w:p>
    <w:p w14:paraId="49F68C5F">
      <w:pPr>
        <w:spacing w:line="360" w:lineRule="auto"/>
        <w:ind w:right="-161" w:firstLine="480" w:firstLineChars="200"/>
        <w:rPr>
          <w:rFonts w:ascii="宋体" w:hAnsi="宋体" w:cs="宋体"/>
          <w:color w:val="000000"/>
          <w:sz w:val="24"/>
        </w:rPr>
      </w:pPr>
      <w:r>
        <w:rPr>
          <w:rFonts w:hint="eastAsia" w:ascii="宋体" w:hAnsi="宋体" w:cs="宋体"/>
          <w:color w:val="000000"/>
          <w:sz w:val="24"/>
        </w:rPr>
        <w:t>1、</w:t>
      </w:r>
      <w:r>
        <w:rPr>
          <w:rFonts w:hint="eastAsia" w:ascii="宋体" w:hAnsi="宋体" w:cs="宋体"/>
          <w:color w:val="000000"/>
          <w:sz w:val="24"/>
          <w:lang w:eastAsia="zh-CN"/>
        </w:rPr>
        <w:t>谈判响应文件</w:t>
      </w:r>
      <w:r>
        <w:rPr>
          <w:rFonts w:hint="eastAsia" w:ascii="宋体" w:hAnsi="宋体" w:cs="宋体"/>
          <w:color w:val="000000"/>
          <w:sz w:val="24"/>
        </w:rPr>
        <w:t>根据商务要求如实填写；</w:t>
      </w:r>
    </w:p>
    <w:p w14:paraId="3BF6E890">
      <w:pPr>
        <w:spacing w:line="360" w:lineRule="auto"/>
        <w:ind w:right="-161" w:firstLine="480" w:firstLineChars="200"/>
        <w:rPr>
          <w:rFonts w:ascii="宋体" w:hAnsi="宋体" w:cs="宋体"/>
          <w:color w:val="000000"/>
          <w:sz w:val="24"/>
        </w:rPr>
      </w:pPr>
      <w:r>
        <w:rPr>
          <w:rFonts w:hint="eastAsia" w:ascii="宋体" w:hAnsi="宋体" w:cs="宋体"/>
          <w:color w:val="000000"/>
          <w:sz w:val="24"/>
        </w:rPr>
        <w:t>2、偏离填写：优于、相同、低于；</w:t>
      </w:r>
    </w:p>
    <w:p w14:paraId="007F1966">
      <w:pPr>
        <w:spacing w:line="360" w:lineRule="auto"/>
        <w:ind w:right="-161" w:firstLine="480" w:firstLineChars="200"/>
      </w:pPr>
      <w:r>
        <w:rPr>
          <w:rFonts w:hint="eastAsia" w:ascii="宋体" w:hAnsi="宋体" w:cs="宋体"/>
          <w:color w:val="000000"/>
          <w:sz w:val="24"/>
        </w:rPr>
        <w:t xml:space="preserve">3、响应说明填写：对偏离做出详细的说明。 </w:t>
      </w:r>
      <w:r>
        <w:rPr>
          <w:rFonts w:hint="eastAsia" w:ascii="宋体" w:hAnsi="宋体" w:cs="宋体"/>
          <w:sz w:val="24"/>
        </w:rPr>
        <w:t xml:space="preserve"> </w:t>
      </w:r>
    </w:p>
    <w:p w14:paraId="0E49FF85">
      <w:pPr>
        <w:spacing w:line="360" w:lineRule="auto"/>
        <w:ind w:right="-161" w:firstLine="2640" w:firstLineChars="1100"/>
        <w:rPr>
          <w:rFonts w:ascii="宋体" w:hAnsi="宋体" w:cs="宋体"/>
          <w:color w:val="000000"/>
          <w:sz w:val="24"/>
          <w:szCs w:val="24"/>
        </w:rPr>
      </w:pPr>
    </w:p>
    <w:p w14:paraId="70397EDB">
      <w:pPr>
        <w:spacing w:line="480" w:lineRule="auto"/>
        <w:ind w:right="-161" w:firstLine="2640" w:firstLineChars="1100"/>
        <w:rPr>
          <w:rFonts w:ascii="宋体" w:hAnsi="宋体" w:cs="仿宋_GB2312"/>
          <w:sz w:val="24"/>
          <w:szCs w:val="24"/>
          <w:u w:val="single"/>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仿宋_GB2312"/>
          <w:sz w:val="24"/>
          <w:szCs w:val="24"/>
        </w:rPr>
        <w:t>：</w:t>
      </w:r>
      <w:r>
        <w:rPr>
          <w:rFonts w:hint="eastAsia" w:ascii="宋体" w:hAnsi="宋体" w:cs="仿宋_GB2312"/>
          <w:sz w:val="24"/>
          <w:szCs w:val="24"/>
          <w:u w:val="single"/>
        </w:rPr>
        <w:t xml:space="preserve">                      </w:t>
      </w:r>
    </w:p>
    <w:p w14:paraId="30624362">
      <w:pPr>
        <w:spacing w:line="480" w:lineRule="auto"/>
        <w:ind w:right="-161" w:firstLine="2640" w:firstLineChars="1100"/>
        <w:rPr>
          <w:rFonts w:ascii="宋体" w:hAnsi="宋体" w:cs="仿宋_GB2312"/>
          <w:sz w:val="24"/>
          <w:szCs w:val="24"/>
        </w:rPr>
      </w:pPr>
      <w:r>
        <w:rPr>
          <w:rFonts w:hint="eastAsia" w:ascii="宋体" w:hAnsi="宋体" w:cs="仿宋_GB2312"/>
          <w:sz w:val="24"/>
          <w:szCs w:val="24"/>
        </w:rPr>
        <w:t>投   标   单  位  公  章：</w:t>
      </w:r>
      <w:r>
        <w:rPr>
          <w:rFonts w:hint="eastAsia" w:ascii="宋体" w:hAnsi="宋体" w:cs="仿宋_GB2312"/>
          <w:sz w:val="24"/>
          <w:szCs w:val="24"/>
          <w:u w:val="single"/>
        </w:rPr>
        <w:t xml:space="preserve">                      </w:t>
      </w:r>
    </w:p>
    <w:p w14:paraId="041558E5">
      <w:pPr>
        <w:spacing w:line="480" w:lineRule="auto"/>
        <w:ind w:right="480" w:firstLine="2640" w:firstLineChars="1100"/>
        <w:rPr>
          <w:rFonts w:ascii="宋体" w:hAnsi="宋体" w:cs="仿宋_GB2312"/>
          <w:sz w:val="24"/>
          <w:szCs w:val="24"/>
          <w:u w:val="single"/>
        </w:rPr>
      </w:pPr>
      <w:r>
        <w:rPr>
          <w:rFonts w:hint="eastAsia" w:ascii="宋体" w:hAnsi="宋体" w:cs="仿宋_GB2312"/>
          <w:sz w:val="24"/>
          <w:szCs w:val="24"/>
        </w:rPr>
        <w:t>日                    期：</w:t>
      </w:r>
      <w:r>
        <w:rPr>
          <w:rFonts w:hint="eastAsia" w:ascii="宋体" w:hAnsi="宋体" w:cs="仿宋_GB2312"/>
          <w:sz w:val="24"/>
          <w:szCs w:val="24"/>
          <w:u w:val="single"/>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w:t>
      </w:r>
      <w:r>
        <w:rPr>
          <w:rFonts w:hint="eastAsia" w:ascii="宋体" w:hAnsi="宋体" w:cs="仿宋_GB2312"/>
          <w:sz w:val="24"/>
          <w:szCs w:val="24"/>
          <w:u w:val="single"/>
        </w:rPr>
        <w:t xml:space="preserve">  </w:t>
      </w:r>
      <w:bookmarkStart w:id="339" w:name="_Toc312789407"/>
      <w:bookmarkStart w:id="340" w:name="_Toc311415661"/>
      <w:bookmarkStart w:id="341" w:name="_Toc334522295"/>
      <w:bookmarkStart w:id="342" w:name="_Toc283240500"/>
      <w:bookmarkStart w:id="343" w:name="_Toc347478750"/>
    </w:p>
    <w:bookmarkEnd w:id="339"/>
    <w:bookmarkEnd w:id="340"/>
    <w:bookmarkEnd w:id="341"/>
    <w:bookmarkEnd w:id="342"/>
    <w:bookmarkEnd w:id="343"/>
    <w:p w14:paraId="1F631276">
      <w:pPr>
        <w:jc w:val="center"/>
        <w:rPr>
          <w:rFonts w:ascii="宋体" w:hAnsi="宋体" w:cs="宋体"/>
          <w:b/>
          <w:sz w:val="32"/>
          <w:szCs w:val="32"/>
        </w:rPr>
        <w:sectPr>
          <w:pgSz w:w="11906" w:h="16838"/>
          <w:pgMar w:top="1157" w:right="1703" w:bottom="1157" w:left="1701" w:header="720" w:footer="720" w:gutter="0"/>
          <w:cols w:space="720" w:num="1"/>
          <w:docGrid w:type="lines" w:linePitch="312" w:charSpace="0"/>
        </w:sectPr>
      </w:pPr>
      <w:bookmarkStart w:id="344" w:name="_Hlt491573425"/>
      <w:bookmarkEnd w:id="344"/>
      <w:bookmarkStart w:id="345" w:name="_Hlt491765868"/>
      <w:bookmarkEnd w:id="345"/>
      <w:bookmarkStart w:id="346" w:name="_Hlt491572882"/>
      <w:bookmarkEnd w:id="346"/>
      <w:bookmarkStart w:id="347" w:name="_Hlt491766019"/>
      <w:bookmarkEnd w:id="347"/>
      <w:bookmarkStart w:id="348" w:name="_Hlt491765944"/>
      <w:bookmarkEnd w:id="348"/>
      <w:bookmarkStart w:id="349" w:name="_Toc12278"/>
      <w:bookmarkStart w:id="350" w:name="_Toc19031"/>
      <w:bookmarkStart w:id="351" w:name="_Toc17542"/>
      <w:bookmarkStart w:id="352" w:name="_Toc465958135"/>
      <w:bookmarkStart w:id="353" w:name="_Toc10670"/>
      <w:bookmarkStart w:id="354" w:name="_Toc14838"/>
      <w:bookmarkStart w:id="355" w:name="_Toc354655332"/>
      <w:bookmarkStart w:id="356" w:name="_Toc32070"/>
      <w:bookmarkStart w:id="357" w:name="_Toc385992410"/>
      <w:bookmarkStart w:id="358" w:name="_Toc389620250"/>
    </w:p>
    <w:p w14:paraId="73A05A33">
      <w:pPr>
        <w:pStyle w:val="3"/>
        <w:adjustRightInd w:val="0"/>
        <w:textAlignment w:val="baseline"/>
        <w:rPr>
          <w:rFonts w:ascii="宋体" w:hAnsi="宋体" w:eastAsia="宋体" w:cs="宋体"/>
          <w:color w:val="000000"/>
          <w:szCs w:val="22"/>
        </w:rPr>
      </w:pPr>
      <w:r>
        <w:rPr>
          <w:rFonts w:hint="eastAsia" w:ascii="宋体" w:hAnsi="宋体" w:eastAsia="宋体" w:cs="宋体"/>
          <w:color w:val="000000"/>
          <w:szCs w:val="22"/>
          <w:lang w:val="en-US" w:eastAsia="zh-CN"/>
        </w:rPr>
        <w:t>六</w:t>
      </w:r>
      <w:r>
        <w:rPr>
          <w:rFonts w:hint="eastAsia" w:ascii="宋体" w:hAnsi="宋体" w:eastAsia="宋体" w:cs="宋体"/>
          <w:color w:val="000000"/>
          <w:szCs w:val="22"/>
        </w:rPr>
        <w:t>、法定代表人证明书及法定代表人授权委托书</w:t>
      </w:r>
    </w:p>
    <w:p w14:paraId="6A1DB5B3">
      <w:pPr>
        <w:pStyle w:val="3"/>
        <w:adjustRightInd w:val="0"/>
        <w:textAlignment w:val="baseline"/>
        <w:rPr>
          <w:rFonts w:ascii="宋体" w:hAnsi="宋体" w:eastAsia="宋体" w:cs="宋体"/>
          <w:color w:val="000000"/>
          <w:szCs w:val="22"/>
        </w:rPr>
      </w:pPr>
      <w:r>
        <w:rPr>
          <w:rFonts w:hint="eastAsia" w:ascii="宋体" w:hAnsi="宋体" w:eastAsia="宋体" w:cs="宋体"/>
          <w:color w:val="000000"/>
          <w:szCs w:val="22"/>
          <w:lang w:val="en-US" w:eastAsia="zh-CN"/>
        </w:rPr>
        <w:t>6</w:t>
      </w:r>
      <w:r>
        <w:rPr>
          <w:rFonts w:hint="eastAsia" w:ascii="宋体" w:hAnsi="宋体" w:eastAsia="宋体" w:cs="宋体"/>
          <w:color w:val="000000"/>
          <w:szCs w:val="22"/>
        </w:rPr>
        <w:t>.1法定代表人证明书</w:t>
      </w:r>
    </w:p>
    <w:tbl>
      <w:tblPr>
        <w:tblStyle w:val="22"/>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2207"/>
        <w:gridCol w:w="2205"/>
        <w:gridCol w:w="186"/>
        <w:gridCol w:w="2203"/>
        <w:gridCol w:w="2160"/>
      </w:tblGrid>
      <w:tr w14:paraId="392B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540" w:type="dxa"/>
            <w:gridSpan w:val="6"/>
            <w:noWrap w:val="0"/>
            <w:vAlign w:val="center"/>
          </w:tcPr>
          <w:p w14:paraId="60E0AD2E">
            <w:pPr>
              <w:tabs>
                <w:tab w:val="left" w:pos="210"/>
              </w:tabs>
              <w:spacing w:line="320" w:lineRule="exact"/>
              <w:rPr>
                <w:rFonts w:hint="eastAsia" w:ascii="宋体" w:hAnsi="宋体" w:eastAsia="宋体" w:cs="Arial"/>
                <w:color w:val="000000"/>
                <w:kern w:val="0"/>
                <w:sz w:val="24"/>
                <w:lang w:eastAsia="zh-CN"/>
              </w:rPr>
            </w:pPr>
            <w:r>
              <w:rPr>
                <w:rFonts w:hint="eastAsia" w:ascii="宋体" w:hAnsi="宋体" w:cs="Arial"/>
                <w:color w:val="000000"/>
                <w:kern w:val="0"/>
                <w:sz w:val="24"/>
              </w:rPr>
              <w:t>致：</w:t>
            </w:r>
            <w:r>
              <w:rPr>
                <w:rFonts w:hint="eastAsia" w:ascii="宋体" w:hAnsi="宋体" w:cs="Arial"/>
                <w:color w:val="000000"/>
                <w:kern w:val="0"/>
                <w:sz w:val="24"/>
                <w:lang w:val="en-US" w:eastAsia="zh-CN"/>
              </w:rPr>
              <w:t>中共绥德县委组织部</w:t>
            </w:r>
          </w:p>
        </w:tc>
      </w:tr>
      <w:tr w14:paraId="3C80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restart"/>
            <w:noWrap w:val="0"/>
            <w:vAlign w:val="center"/>
          </w:tcPr>
          <w:p w14:paraId="38F0FE18">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企</w:t>
            </w:r>
          </w:p>
          <w:p w14:paraId="7BF7F085">
            <w:pPr>
              <w:tabs>
                <w:tab w:val="left" w:pos="210"/>
              </w:tabs>
              <w:spacing w:line="320" w:lineRule="exact"/>
              <w:jc w:val="center"/>
              <w:rPr>
                <w:rFonts w:ascii="宋体" w:hAnsi="宋体" w:cs="Arial"/>
                <w:color w:val="000000"/>
                <w:kern w:val="0"/>
                <w:sz w:val="24"/>
              </w:rPr>
            </w:pPr>
          </w:p>
          <w:p w14:paraId="3F358129">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业</w:t>
            </w:r>
          </w:p>
          <w:p w14:paraId="36E20310">
            <w:pPr>
              <w:tabs>
                <w:tab w:val="left" w:pos="210"/>
              </w:tabs>
              <w:spacing w:line="320" w:lineRule="exact"/>
              <w:jc w:val="center"/>
              <w:rPr>
                <w:rFonts w:ascii="宋体" w:hAnsi="宋体" w:cs="Arial"/>
                <w:color w:val="000000"/>
                <w:kern w:val="0"/>
                <w:sz w:val="24"/>
              </w:rPr>
            </w:pPr>
          </w:p>
          <w:p w14:paraId="4242B4FD">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w:t>
            </w:r>
          </w:p>
          <w:p w14:paraId="1A1C60E2">
            <w:pPr>
              <w:tabs>
                <w:tab w:val="left" w:pos="210"/>
              </w:tabs>
              <w:spacing w:line="320" w:lineRule="exact"/>
              <w:jc w:val="center"/>
              <w:rPr>
                <w:rFonts w:ascii="宋体" w:hAnsi="宋体" w:cs="Arial"/>
                <w:color w:val="000000"/>
                <w:kern w:val="0"/>
                <w:sz w:val="24"/>
              </w:rPr>
            </w:pPr>
          </w:p>
          <w:p w14:paraId="1D7A6C46">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人</w:t>
            </w:r>
          </w:p>
        </w:tc>
        <w:tc>
          <w:tcPr>
            <w:tcW w:w="2207" w:type="dxa"/>
            <w:noWrap w:val="0"/>
            <w:vAlign w:val="center"/>
          </w:tcPr>
          <w:p w14:paraId="2983E99C">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企业名称</w:t>
            </w:r>
          </w:p>
        </w:tc>
        <w:tc>
          <w:tcPr>
            <w:tcW w:w="6754" w:type="dxa"/>
            <w:gridSpan w:val="4"/>
            <w:noWrap w:val="0"/>
            <w:vAlign w:val="center"/>
          </w:tcPr>
          <w:p w14:paraId="58120E22">
            <w:pPr>
              <w:tabs>
                <w:tab w:val="left" w:pos="210"/>
              </w:tabs>
              <w:spacing w:line="320" w:lineRule="exact"/>
              <w:jc w:val="center"/>
              <w:rPr>
                <w:rFonts w:ascii="宋体" w:hAnsi="宋体" w:cs="Arial"/>
                <w:color w:val="000000"/>
                <w:kern w:val="0"/>
                <w:sz w:val="24"/>
              </w:rPr>
            </w:pPr>
          </w:p>
        </w:tc>
      </w:tr>
      <w:tr w14:paraId="556E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1B3F3CF4">
            <w:pPr>
              <w:tabs>
                <w:tab w:val="left" w:pos="210"/>
              </w:tabs>
              <w:spacing w:line="320" w:lineRule="exact"/>
              <w:jc w:val="center"/>
              <w:rPr>
                <w:rFonts w:ascii="宋体" w:hAnsi="宋体" w:cs="Arial"/>
                <w:color w:val="000000"/>
                <w:kern w:val="0"/>
                <w:sz w:val="24"/>
              </w:rPr>
            </w:pPr>
          </w:p>
        </w:tc>
        <w:tc>
          <w:tcPr>
            <w:tcW w:w="2207" w:type="dxa"/>
            <w:noWrap w:val="0"/>
            <w:vAlign w:val="center"/>
          </w:tcPr>
          <w:p w14:paraId="1B28A9D8">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法定地址</w:t>
            </w:r>
          </w:p>
        </w:tc>
        <w:tc>
          <w:tcPr>
            <w:tcW w:w="6754" w:type="dxa"/>
            <w:gridSpan w:val="4"/>
            <w:noWrap w:val="0"/>
            <w:vAlign w:val="center"/>
          </w:tcPr>
          <w:p w14:paraId="266228C7">
            <w:pPr>
              <w:tabs>
                <w:tab w:val="left" w:pos="210"/>
              </w:tabs>
              <w:spacing w:line="320" w:lineRule="exact"/>
              <w:jc w:val="center"/>
              <w:rPr>
                <w:rFonts w:ascii="宋体" w:hAnsi="宋体" w:cs="Arial"/>
                <w:color w:val="000000"/>
                <w:kern w:val="0"/>
                <w:sz w:val="24"/>
              </w:rPr>
            </w:pPr>
          </w:p>
        </w:tc>
      </w:tr>
      <w:tr w14:paraId="65BA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7CCF8AE8">
            <w:pPr>
              <w:tabs>
                <w:tab w:val="left" w:pos="210"/>
              </w:tabs>
              <w:spacing w:line="320" w:lineRule="exact"/>
              <w:jc w:val="center"/>
              <w:rPr>
                <w:rFonts w:ascii="宋体" w:hAnsi="宋体" w:cs="Arial"/>
                <w:color w:val="000000"/>
                <w:kern w:val="0"/>
                <w:sz w:val="24"/>
              </w:rPr>
            </w:pPr>
          </w:p>
        </w:tc>
        <w:tc>
          <w:tcPr>
            <w:tcW w:w="2207" w:type="dxa"/>
            <w:noWrap w:val="0"/>
            <w:vAlign w:val="center"/>
          </w:tcPr>
          <w:p w14:paraId="74A8A282">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邮政编码</w:t>
            </w:r>
          </w:p>
        </w:tc>
        <w:tc>
          <w:tcPr>
            <w:tcW w:w="6754" w:type="dxa"/>
            <w:gridSpan w:val="4"/>
            <w:noWrap w:val="0"/>
            <w:vAlign w:val="center"/>
          </w:tcPr>
          <w:p w14:paraId="695FD6B6">
            <w:pPr>
              <w:tabs>
                <w:tab w:val="left" w:pos="210"/>
              </w:tabs>
              <w:spacing w:line="320" w:lineRule="exact"/>
              <w:jc w:val="center"/>
              <w:rPr>
                <w:rFonts w:ascii="宋体" w:hAnsi="宋体" w:cs="Arial"/>
                <w:color w:val="000000"/>
                <w:kern w:val="0"/>
                <w:sz w:val="24"/>
              </w:rPr>
            </w:pPr>
          </w:p>
        </w:tc>
      </w:tr>
      <w:tr w14:paraId="33B9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321BE03B">
            <w:pPr>
              <w:tabs>
                <w:tab w:val="left" w:pos="210"/>
              </w:tabs>
              <w:spacing w:line="320" w:lineRule="exact"/>
              <w:jc w:val="center"/>
              <w:rPr>
                <w:rFonts w:ascii="宋体" w:hAnsi="宋体" w:cs="Arial"/>
                <w:color w:val="000000"/>
                <w:kern w:val="0"/>
                <w:sz w:val="24"/>
              </w:rPr>
            </w:pPr>
          </w:p>
        </w:tc>
        <w:tc>
          <w:tcPr>
            <w:tcW w:w="2207" w:type="dxa"/>
            <w:noWrap w:val="0"/>
            <w:vAlign w:val="center"/>
          </w:tcPr>
          <w:p w14:paraId="7BABF040">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工商登记机关</w:t>
            </w:r>
          </w:p>
        </w:tc>
        <w:tc>
          <w:tcPr>
            <w:tcW w:w="6754" w:type="dxa"/>
            <w:gridSpan w:val="4"/>
            <w:noWrap w:val="0"/>
            <w:vAlign w:val="center"/>
          </w:tcPr>
          <w:p w14:paraId="24B7A1D5">
            <w:pPr>
              <w:tabs>
                <w:tab w:val="left" w:pos="210"/>
              </w:tabs>
              <w:spacing w:line="320" w:lineRule="exact"/>
              <w:jc w:val="center"/>
              <w:rPr>
                <w:rFonts w:ascii="宋体" w:hAnsi="宋体" w:cs="Arial"/>
                <w:color w:val="000000"/>
                <w:kern w:val="0"/>
                <w:sz w:val="24"/>
              </w:rPr>
            </w:pPr>
          </w:p>
        </w:tc>
      </w:tr>
      <w:tr w14:paraId="12D9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579" w:type="dxa"/>
            <w:vMerge w:val="continue"/>
            <w:noWrap w:val="0"/>
            <w:vAlign w:val="center"/>
          </w:tcPr>
          <w:p w14:paraId="3F65D7E8">
            <w:pPr>
              <w:tabs>
                <w:tab w:val="left" w:pos="210"/>
              </w:tabs>
              <w:spacing w:line="320" w:lineRule="exact"/>
              <w:jc w:val="center"/>
              <w:rPr>
                <w:rFonts w:ascii="宋体" w:hAnsi="宋体" w:cs="Arial"/>
                <w:color w:val="000000"/>
                <w:kern w:val="0"/>
                <w:sz w:val="24"/>
              </w:rPr>
            </w:pPr>
          </w:p>
        </w:tc>
        <w:tc>
          <w:tcPr>
            <w:tcW w:w="2207" w:type="dxa"/>
            <w:noWrap w:val="0"/>
            <w:vAlign w:val="center"/>
          </w:tcPr>
          <w:p w14:paraId="2FEEC662">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税务登记机关</w:t>
            </w:r>
          </w:p>
        </w:tc>
        <w:tc>
          <w:tcPr>
            <w:tcW w:w="6754" w:type="dxa"/>
            <w:gridSpan w:val="4"/>
            <w:noWrap w:val="0"/>
            <w:vAlign w:val="center"/>
          </w:tcPr>
          <w:p w14:paraId="2A07434D">
            <w:pPr>
              <w:tabs>
                <w:tab w:val="left" w:pos="210"/>
              </w:tabs>
              <w:spacing w:line="320" w:lineRule="exact"/>
              <w:jc w:val="center"/>
              <w:rPr>
                <w:rFonts w:ascii="宋体" w:hAnsi="宋体" w:cs="Arial"/>
                <w:color w:val="000000"/>
                <w:kern w:val="0"/>
                <w:sz w:val="24"/>
              </w:rPr>
            </w:pPr>
          </w:p>
        </w:tc>
      </w:tr>
      <w:tr w14:paraId="590D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1355714A">
            <w:pPr>
              <w:tabs>
                <w:tab w:val="left" w:pos="210"/>
              </w:tabs>
              <w:spacing w:line="320" w:lineRule="exact"/>
              <w:jc w:val="center"/>
              <w:rPr>
                <w:rFonts w:ascii="宋体" w:hAnsi="宋体" w:cs="Arial"/>
                <w:color w:val="000000"/>
                <w:kern w:val="0"/>
                <w:sz w:val="24"/>
              </w:rPr>
            </w:pPr>
          </w:p>
        </w:tc>
        <w:tc>
          <w:tcPr>
            <w:tcW w:w="2207" w:type="dxa"/>
            <w:noWrap w:val="0"/>
            <w:vAlign w:val="center"/>
          </w:tcPr>
          <w:p w14:paraId="0C2AAFC7">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机构代码证号</w:t>
            </w:r>
          </w:p>
        </w:tc>
        <w:tc>
          <w:tcPr>
            <w:tcW w:w="6754" w:type="dxa"/>
            <w:gridSpan w:val="4"/>
            <w:noWrap w:val="0"/>
            <w:vAlign w:val="center"/>
          </w:tcPr>
          <w:p w14:paraId="142EE224">
            <w:pPr>
              <w:tabs>
                <w:tab w:val="left" w:pos="210"/>
              </w:tabs>
              <w:spacing w:line="320" w:lineRule="exact"/>
              <w:jc w:val="center"/>
              <w:rPr>
                <w:rFonts w:ascii="宋体" w:hAnsi="宋体" w:cs="Arial"/>
                <w:color w:val="000000"/>
                <w:kern w:val="0"/>
                <w:sz w:val="24"/>
              </w:rPr>
            </w:pPr>
          </w:p>
        </w:tc>
      </w:tr>
      <w:tr w14:paraId="3FC4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restart"/>
            <w:noWrap w:val="0"/>
            <w:vAlign w:val="center"/>
          </w:tcPr>
          <w:p w14:paraId="47A66078">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w:t>
            </w:r>
          </w:p>
        </w:tc>
        <w:tc>
          <w:tcPr>
            <w:tcW w:w="2207" w:type="dxa"/>
            <w:noWrap w:val="0"/>
            <w:vAlign w:val="center"/>
          </w:tcPr>
          <w:p w14:paraId="41543133">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姓名</w:t>
            </w:r>
          </w:p>
        </w:tc>
        <w:tc>
          <w:tcPr>
            <w:tcW w:w="2391" w:type="dxa"/>
            <w:gridSpan w:val="2"/>
            <w:noWrap w:val="0"/>
            <w:vAlign w:val="center"/>
          </w:tcPr>
          <w:p w14:paraId="287C3960">
            <w:pPr>
              <w:tabs>
                <w:tab w:val="left" w:pos="210"/>
              </w:tabs>
              <w:spacing w:line="320" w:lineRule="exact"/>
              <w:jc w:val="center"/>
              <w:rPr>
                <w:rFonts w:ascii="宋体" w:hAnsi="宋体" w:cs="Arial"/>
                <w:color w:val="000000"/>
                <w:kern w:val="0"/>
                <w:sz w:val="24"/>
              </w:rPr>
            </w:pPr>
          </w:p>
        </w:tc>
        <w:tc>
          <w:tcPr>
            <w:tcW w:w="2203" w:type="dxa"/>
            <w:noWrap w:val="0"/>
            <w:vAlign w:val="center"/>
          </w:tcPr>
          <w:p w14:paraId="494373BE">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性别</w:t>
            </w:r>
          </w:p>
        </w:tc>
        <w:tc>
          <w:tcPr>
            <w:tcW w:w="2160" w:type="dxa"/>
            <w:noWrap w:val="0"/>
            <w:vAlign w:val="center"/>
          </w:tcPr>
          <w:p w14:paraId="7CF62E5F">
            <w:pPr>
              <w:tabs>
                <w:tab w:val="left" w:pos="210"/>
              </w:tabs>
              <w:spacing w:line="320" w:lineRule="exact"/>
              <w:jc w:val="center"/>
              <w:rPr>
                <w:rFonts w:ascii="宋体" w:hAnsi="宋体" w:cs="Arial"/>
                <w:color w:val="000000"/>
                <w:kern w:val="0"/>
                <w:sz w:val="24"/>
              </w:rPr>
            </w:pPr>
          </w:p>
        </w:tc>
      </w:tr>
      <w:tr w14:paraId="0105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46715078">
            <w:pPr>
              <w:tabs>
                <w:tab w:val="left" w:pos="210"/>
              </w:tabs>
              <w:spacing w:line="320" w:lineRule="exact"/>
              <w:jc w:val="center"/>
              <w:rPr>
                <w:rFonts w:ascii="宋体" w:hAnsi="宋体" w:cs="Arial"/>
                <w:color w:val="000000"/>
                <w:kern w:val="0"/>
                <w:sz w:val="24"/>
              </w:rPr>
            </w:pPr>
          </w:p>
        </w:tc>
        <w:tc>
          <w:tcPr>
            <w:tcW w:w="2207" w:type="dxa"/>
            <w:noWrap w:val="0"/>
            <w:vAlign w:val="center"/>
          </w:tcPr>
          <w:p w14:paraId="2E7AE4AE">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职务</w:t>
            </w:r>
          </w:p>
        </w:tc>
        <w:tc>
          <w:tcPr>
            <w:tcW w:w="2391" w:type="dxa"/>
            <w:gridSpan w:val="2"/>
            <w:noWrap w:val="0"/>
            <w:vAlign w:val="center"/>
          </w:tcPr>
          <w:p w14:paraId="09E62B66">
            <w:pPr>
              <w:tabs>
                <w:tab w:val="left" w:pos="210"/>
              </w:tabs>
              <w:spacing w:line="320" w:lineRule="exact"/>
              <w:jc w:val="center"/>
              <w:rPr>
                <w:rFonts w:ascii="宋体" w:hAnsi="宋体" w:cs="Arial"/>
                <w:color w:val="000000"/>
                <w:kern w:val="0"/>
                <w:sz w:val="24"/>
              </w:rPr>
            </w:pPr>
          </w:p>
        </w:tc>
        <w:tc>
          <w:tcPr>
            <w:tcW w:w="2203" w:type="dxa"/>
            <w:noWrap w:val="0"/>
            <w:vAlign w:val="center"/>
          </w:tcPr>
          <w:p w14:paraId="2DA6A8D3">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联系电话</w:t>
            </w:r>
          </w:p>
        </w:tc>
        <w:tc>
          <w:tcPr>
            <w:tcW w:w="2160" w:type="dxa"/>
            <w:noWrap w:val="0"/>
            <w:vAlign w:val="center"/>
          </w:tcPr>
          <w:p w14:paraId="52CBE172">
            <w:pPr>
              <w:tabs>
                <w:tab w:val="left" w:pos="210"/>
              </w:tabs>
              <w:spacing w:line="320" w:lineRule="exact"/>
              <w:jc w:val="center"/>
              <w:rPr>
                <w:rFonts w:ascii="宋体" w:hAnsi="宋体" w:cs="Arial"/>
                <w:color w:val="000000"/>
                <w:kern w:val="0"/>
                <w:sz w:val="24"/>
              </w:rPr>
            </w:pPr>
          </w:p>
        </w:tc>
      </w:tr>
      <w:tr w14:paraId="5F83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059FCDF8">
            <w:pPr>
              <w:tabs>
                <w:tab w:val="left" w:pos="210"/>
              </w:tabs>
              <w:spacing w:line="320" w:lineRule="exact"/>
              <w:jc w:val="center"/>
              <w:rPr>
                <w:rFonts w:ascii="宋体" w:hAnsi="宋体" w:cs="Arial"/>
                <w:color w:val="000000"/>
                <w:kern w:val="0"/>
                <w:sz w:val="24"/>
              </w:rPr>
            </w:pPr>
          </w:p>
        </w:tc>
        <w:tc>
          <w:tcPr>
            <w:tcW w:w="2207" w:type="dxa"/>
            <w:noWrap w:val="0"/>
            <w:vAlign w:val="center"/>
          </w:tcPr>
          <w:p w14:paraId="22CBD265">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传真</w:t>
            </w:r>
          </w:p>
        </w:tc>
        <w:tc>
          <w:tcPr>
            <w:tcW w:w="6754" w:type="dxa"/>
            <w:gridSpan w:val="4"/>
            <w:noWrap w:val="0"/>
            <w:vAlign w:val="center"/>
          </w:tcPr>
          <w:p w14:paraId="16D450A4">
            <w:pPr>
              <w:tabs>
                <w:tab w:val="left" w:pos="210"/>
              </w:tabs>
              <w:spacing w:line="320" w:lineRule="exact"/>
              <w:jc w:val="center"/>
              <w:rPr>
                <w:rFonts w:ascii="宋体" w:hAnsi="宋体" w:cs="Arial"/>
                <w:color w:val="000000"/>
                <w:kern w:val="0"/>
                <w:sz w:val="24"/>
              </w:rPr>
            </w:pPr>
          </w:p>
        </w:tc>
      </w:tr>
      <w:tr w14:paraId="5A0E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4991" w:type="dxa"/>
            <w:gridSpan w:val="3"/>
            <w:vMerge w:val="restart"/>
            <w:noWrap w:val="0"/>
            <w:vAlign w:val="center"/>
          </w:tcPr>
          <w:p w14:paraId="313B1B37">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法定代表人身份证（正反面）复印件</w:t>
            </w:r>
          </w:p>
        </w:tc>
        <w:tc>
          <w:tcPr>
            <w:tcW w:w="4549" w:type="dxa"/>
            <w:gridSpan w:val="3"/>
            <w:noWrap w:val="0"/>
            <w:vAlign w:val="center"/>
          </w:tcPr>
          <w:p w14:paraId="4830DDB2">
            <w:pPr>
              <w:tabs>
                <w:tab w:val="left" w:pos="210"/>
              </w:tabs>
              <w:spacing w:line="320" w:lineRule="exact"/>
              <w:jc w:val="center"/>
              <w:rPr>
                <w:rFonts w:hint="eastAsia" w:ascii="宋体" w:hAnsi="宋体" w:eastAsia="宋体" w:cs="Arial"/>
                <w:color w:val="000000"/>
                <w:kern w:val="0"/>
                <w:sz w:val="24"/>
                <w:lang w:eastAsia="zh-CN"/>
              </w:rPr>
            </w:pPr>
            <w:r>
              <w:rPr>
                <w:rFonts w:hint="eastAsia" w:ascii="宋体" w:hAnsi="宋体" w:cs="Arial"/>
                <w:color w:val="000000"/>
                <w:kern w:val="0"/>
                <w:sz w:val="24"/>
              </w:rPr>
              <w:t>法定代表人签字</w:t>
            </w:r>
            <w:r>
              <w:rPr>
                <w:rFonts w:hint="eastAsia" w:ascii="宋体" w:hAnsi="宋体" w:cs="Arial"/>
                <w:color w:val="000000"/>
                <w:kern w:val="0"/>
                <w:sz w:val="24"/>
                <w:lang w:eastAsia="zh-CN"/>
              </w:rPr>
              <w:t>或盖章</w:t>
            </w:r>
          </w:p>
        </w:tc>
      </w:tr>
      <w:tr w14:paraId="5458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4991" w:type="dxa"/>
            <w:gridSpan w:val="3"/>
            <w:vMerge w:val="continue"/>
            <w:tcBorders>
              <w:bottom w:val="single" w:color="auto" w:sz="4" w:space="0"/>
            </w:tcBorders>
            <w:noWrap w:val="0"/>
            <w:vAlign w:val="center"/>
          </w:tcPr>
          <w:p w14:paraId="60E770CA">
            <w:pPr>
              <w:tabs>
                <w:tab w:val="left" w:pos="210"/>
              </w:tabs>
              <w:spacing w:line="320" w:lineRule="exact"/>
              <w:jc w:val="center"/>
              <w:rPr>
                <w:rFonts w:ascii="宋体" w:hAnsi="宋体" w:cs="Arial"/>
                <w:color w:val="000000"/>
                <w:kern w:val="0"/>
                <w:sz w:val="24"/>
              </w:rPr>
            </w:pPr>
          </w:p>
        </w:tc>
        <w:tc>
          <w:tcPr>
            <w:tcW w:w="4549" w:type="dxa"/>
            <w:gridSpan w:val="3"/>
            <w:tcBorders>
              <w:bottom w:val="single" w:color="auto" w:sz="4" w:space="0"/>
            </w:tcBorders>
            <w:noWrap w:val="0"/>
            <w:vAlign w:val="bottom"/>
          </w:tcPr>
          <w:p w14:paraId="3F292D5D">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（公章）</w:t>
            </w:r>
          </w:p>
          <w:p w14:paraId="5386877F">
            <w:pPr>
              <w:tabs>
                <w:tab w:val="left" w:pos="210"/>
              </w:tabs>
              <w:spacing w:line="320" w:lineRule="exact"/>
              <w:jc w:val="center"/>
              <w:rPr>
                <w:rFonts w:ascii="宋体" w:hAnsi="宋体" w:cs="Arial"/>
                <w:color w:val="000000"/>
                <w:kern w:val="0"/>
                <w:sz w:val="24"/>
              </w:rPr>
            </w:pPr>
          </w:p>
          <w:p w14:paraId="68D816C0">
            <w:pPr>
              <w:tabs>
                <w:tab w:val="left" w:pos="210"/>
              </w:tabs>
              <w:spacing w:line="320" w:lineRule="exact"/>
              <w:jc w:val="center"/>
              <w:rPr>
                <w:rFonts w:ascii="宋体" w:hAnsi="宋体" w:cs="Arial"/>
                <w:color w:val="000000"/>
                <w:kern w:val="0"/>
                <w:sz w:val="24"/>
              </w:rPr>
            </w:pPr>
          </w:p>
          <w:p w14:paraId="0AC072A5">
            <w:pPr>
              <w:tabs>
                <w:tab w:val="left" w:pos="210"/>
              </w:tabs>
              <w:spacing w:line="320" w:lineRule="exact"/>
              <w:jc w:val="center"/>
              <w:rPr>
                <w:rFonts w:ascii="宋体" w:hAnsi="宋体" w:cs="Arial"/>
                <w:color w:val="000000"/>
                <w:kern w:val="0"/>
                <w:sz w:val="24"/>
              </w:rPr>
            </w:pPr>
          </w:p>
          <w:p w14:paraId="627FA2C5">
            <w:pPr>
              <w:tabs>
                <w:tab w:val="left" w:pos="210"/>
              </w:tabs>
              <w:spacing w:line="320" w:lineRule="exact"/>
              <w:jc w:val="right"/>
              <w:rPr>
                <w:rFonts w:ascii="宋体" w:hAnsi="宋体" w:cs="Arial"/>
                <w:color w:val="000000"/>
                <w:kern w:val="0"/>
                <w:sz w:val="24"/>
              </w:rPr>
            </w:pPr>
            <w:r>
              <w:rPr>
                <w:rFonts w:hint="eastAsia" w:ascii="宋体" w:hAnsi="宋体" w:cs="Arial"/>
                <w:color w:val="000000"/>
                <w:kern w:val="0"/>
                <w:sz w:val="24"/>
              </w:rPr>
              <w:t xml:space="preserve">年  月  日 </w:t>
            </w:r>
          </w:p>
        </w:tc>
      </w:tr>
    </w:tbl>
    <w:p w14:paraId="5F0D4352">
      <w:pPr>
        <w:pStyle w:val="3"/>
        <w:adjustRightInd w:val="0"/>
        <w:textAlignment w:val="baseline"/>
        <w:rPr>
          <w:rFonts w:ascii="宋体" w:hAnsi="宋体" w:eastAsia="宋体" w:cs="宋体"/>
          <w:color w:val="000000"/>
          <w:sz w:val="24"/>
          <w:szCs w:val="24"/>
        </w:rPr>
      </w:pPr>
      <w:r>
        <w:rPr>
          <w:rFonts w:hint="eastAsia" w:ascii="宋体" w:hAnsi="宋体" w:eastAsia="宋体" w:cs="宋体"/>
          <w:color w:val="000000"/>
          <w:szCs w:val="22"/>
          <w:lang w:val="en-US" w:eastAsia="zh-CN"/>
        </w:rPr>
        <w:t>6</w:t>
      </w:r>
      <w:r>
        <w:rPr>
          <w:rFonts w:hint="eastAsia" w:ascii="宋体" w:hAnsi="宋体" w:eastAsia="宋体" w:cs="宋体"/>
          <w:color w:val="000000"/>
          <w:szCs w:val="22"/>
        </w:rPr>
        <w:t>.2法定代表人授权委托书</w:t>
      </w:r>
    </w:p>
    <w:p w14:paraId="07EB29E8">
      <w:pPr>
        <w:tabs>
          <w:tab w:val="left" w:pos="8820"/>
        </w:tabs>
        <w:spacing w:line="480" w:lineRule="auto"/>
        <w:ind w:firstLine="570"/>
        <w:rPr>
          <w:rFonts w:ascii="宋体" w:hAnsi="宋体" w:cs="宋体"/>
          <w:color w:val="000000"/>
          <w:sz w:val="24"/>
          <w:szCs w:val="24"/>
          <w:u w:val="single"/>
        </w:rPr>
      </w:pPr>
      <w:r>
        <w:rPr>
          <w:rFonts w:hint="eastAsia" w:ascii="宋体" w:hAnsi="宋体" w:cs="宋体"/>
          <w:color w:val="000000"/>
          <w:sz w:val="24"/>
          <w:szCs w:val="24"/>
        </w:rPr>
        <w:t>本授权委托书声明：我</w:t>
      </w:r>
      <w:r>
        <w:rPr>
          <w:rFonts w:hint="eastAsia" w:ascii="宋体" w:hAnsi="宋体" w:cs="宋体"/>
          <w:color w:val="000000"/>
          <w:sz w:val="24"/>
          <w:szCs w:val="24"/>
          <w:u w:val="single"/>
        </w:rPr>
        <w:t>（法定代表人姓名）</w:t>
      </w:r>
      <w:r>
        <w:rPr>
          <w:rFonts w:hint="eastAsia" w:ascii="宋体" w:hAnsi="宋体" w:cs="宋体"/>
          <w:color w:val="000000"/>
          <w:sz w:val="24"/>
          <w:szCs w:val="24"/>
        </w:rPr>
        <w:t>系注册于</w:t>
      </w:r>
      <w:r>
        <w:rPr>
          <w:rFonts w:hint="eastAsia" w:ascii="宋体" w:hAnsi="宋体" w:cs="宋体"/>
          <w:color w:val="000000"/>
          <w:sz w:val="24"/>
          <w:szCs w:val="24"/>
          <w:u w:val="single"/>
        </w:rPr>
        <w:t xml:space="preserve">  （供应商地址）           </w:t>
      </w:r>
      <w:r>
        <w:rPr>
          <w:rFonts w:hint="eastAsia" w:ascii="宋体" w:hAnsi="宋体" w:cs="宋体"/>
          <w:color w:val="000000"/>
          <w:sz w:val="24"/>
          <w:szCs w:val="24"/>
        </w:rPr>
        <w:t>的</w:t>
      </w:r>
      <w:r>
        <w:rPr>
          <w:rFonts w:hint="eastAsia" w:ascii="宋体" w:hAnsi="宋体" w:cs="宋体"/>
          <w:color w:val="000000"/>
          <w:sz w:val="24"/>
          <w:szCs w:val="24"/>
          <w:u w:val="single"/>
        </w:rPr>
        <w:t xml:space="preserve">（供应商名称）  </w:t>
      </w:r>
      <w:r>
        <w:rPr>
          <w:rFonts w:hint="eastAsia" w:ascii="宋体" w:hAnsi="宋体" w:cs="宋体"/>
          <w:color w:val="000000"/>
          <w:sz w:val="24"/>
          <w:szCs w:val="24"/>
        </w:rPr>
        <w:t>的法定代表人，现代表公司授权下面签字的</w:t>
      </w:r>
      <w:r>
        <w:rPr>
          <w:rFonts w:hint="eastAsia" w:ascii="宋体" w:hAnsi="宋体" w:cs="宋体"/>
          <w:color w:val="000000"/>
          <w:sz w:val="24"/>
          <w:szCs w:val="24"/>
          <w:u w:val="single"/>
        </w:rPr>
        <w:t>（被授权人的姓名、职务）</w:t>
      </w:r>
      <w:r>
        <w:rPr>
          <w:rFonts w:hint="eastAsia" w:ascii="宋体" w:hAnsi="宋体" w:cs="宋体"/>
          <w:color w:val="000000"/>
          <w:sz w:val="24"/>
          <w:szCs w:val="24"/>
        </w:rPr>
        <w:t>为我公司合法代理人，代表本公司参加</w:t>
      </w:r>
      <w:r>
        <w:rPr>
          <w:rFonts w:hint="eastAsia" w:ascii="宋体" w:hAnsi="宋体" w:cs="宋体"/>
          <w:color w:val="000000"/>
          <w:sz w:val="24"/>
          <w:szCs w:val="24"/>
          <w:u w:val="single"/>
        </w:rPr>
        <w:t xml:space="preserve">  （采购项目名称） (</w:t>
      </w:r>
      <w:r>
        <w:rPr>
          <w:rFonts w:hint="eastAsia" w:ascii="宋体" w:hAnsi="宋体" w:cs="宋体"/>
          <w:color w:val="000000"/>
          <w:sz w:val="24"/>
          <w:szCs w:val="24"/>
        </w:rPr>
        <w:t>采购项目编号)为</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的谈判活动。代理人在本次谈判中所签署的一切文件和处理的一切有关事物，我公司均予承认。</w:t>
      </w:r>
    </w:p>
    <w:p w14:paraId="5A6709E2">
      <w:pPr>
        <w:spacing w:line="48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本授权书于 </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日签字（盖章）生效，有效期自谈判之日起</w:t>
      </w:r>
      <w:r>
        <w:rPr>
          <w:rFonts w:hint="eastAsia" w:ascii="宋体" w:hAnsi="宋体" w:cs="宋体"/>
          <w:color w:val="000000"/>
          <w:sz w:val="24"/>
          <w:szCs w:val="24"/>
          <w:u w:val="single"/>
        </w:rPr>
        <w:t xml:space="preserve">   </w:t>
      </w:r>
      <w:r>
        <w:rPr>
          <w:rFonts w:hint="eastAsia" w:ascii="宋体" w:hAnsi="宋体" w:cs="宋体"/>
          <w:color w:val="000000"/>
          <w:sz w:val="24"/>
          <w:szCs w:val="24"/>
        </w:rPr>
        <w:t>天，特此声明。</w:t>
      </w:r>
    </w:p>
    <w:p w14:paraId="0EEE5557">
      <w:pPr>
        <w:spacing w:line="360" w:lineRule="auto"/>
        <w:outlineLvl w:val="0"/>
        <w:rPr>
          <w:rFonts w:ascii="宋体" w:hAnsi="宋体" w:cs="宋体"/>
          <w:color w:val="000000"/>
          <w:sz w:val="24"/>
          <w:szCs w:val="24"/>
        </w:rPr>
      </w:pPr>
      <w:r>
        <w:rPr>
          <w:rFonts w:hint="eastAsia" w:ascii="宋体" w:hAnsi="宋体" w:cs="宋体"/>
          <w:color w:val="000000"/>
          <w:sz w:val="24"/>
          <w:szCs w:val="24"/>
        </w:rPr>
        <w:t xml:space="preserve">    </w:t>
      </w:r>
      <w:bookmarkStart w:id="359" w:name="_Toc3685"/>
      <w:bookmarkStart w:id="360" w:name="_Toc17538"/>
      <w:bookmarkStart w:id="361" w:name="_Toc26509"/>
      <w:bookmarkStart w:id="362" w:name="_Toc12419"/>
      <w:r>
        <w:rPr>
          <w:rFonts w:hint="eastAsia" w:ascii="宋体" w:hAnsi="宋体" w:cs="宋体"/>
          <w:color w:val="000000"/>
          <w:sz w:val="24"/>
          <w:szCs w:val="24"/>
        </w:rPr>
        <w:t>附：法定代表人、被授权人身份证复印件。（注：如使用二代身份证需复印正、反两面）</w:t>
      </w:r>
      <w:bookmarkEnd w:id="359"/>
      <w:bookmarkEnd w:id="360"/>
      <w:bookmarkEnd w:id="361"/>
      <w:bookmarkEnd w:id="362"/>
    </w:p>
    <w:tbl>
      <w:tblPr>
        <w:tblStyle w:val="22"/>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2"/>
        <w:gridCol w:w="4397"/>
      </w:tblGrid>
      <w:tr w14:paraId="74E0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4322" w:type="dxa"/>
            <w:tcBorders>
              <w:top w:val="single" w:color="auto" w:sz="4" w:space="0"/>
              <w:left w:val="single" w:color="auto" w:sz="4" w:space="0"/>
              <w:bottom w:val="single" w:color="auto" w:sz="4" w:space="0"/>
              <w:right w:val="single" w:color="auto" w:sz="4" w:space="0"/>
            </w:tcBorders>
            <w:noWrap w:val="0"/>
            <w:vAlign w:val="center"/>
          </w:tcPr>
          <w:p w14:paraId="3F31918C">
            <w:pPr>
              <w:spacing w:line="360" w:lineRule="auto"/>
              <w:jc w:val="center"/>
              <w:rPr>
                <w:rFonts w:ascii="宋体" w:hAnsi="宋体" w:cs="宋体"/>
                <w:color w:val="000000"/>
                <w:sz w:val="24"/>
                <w:szCs w:val="24"/>
              </w:rPr>
            </w:pPr>
          </w:p>
          <w:p w14:paraId="3610D03E">
            <w:pPr>
              <w:spacing w:line="360" w:lineRule="auto"/>
              <w:jc w:val="center"/>
              <w:outlineLvl w:val="0"/>
              <w:rPr>
                <w:rFonts w:ascii="宋体" w:hAnsi="宋体" w:cs="宋体"/>
                <w:color w:val="000000"/>
                <w:sz w:val="24"/>
                <w:szCs w:val="24"/>
              </w:rPr>
            </w:pPr>
            <w:bookmarkStart w:id="363" w:name="_Toc5583"/>
            <w:bookmarkStart w:id="364" w:name="_Toc19741"/>
            <w:bookmarkStart w:id="365" w:name="_Toc3175"/>
            <w:bookmarkStart w:id="366" w:name="_Toc12606"/>
            <w:r>
              <w:rPr>
                <w:rFonts w:hint="eastAsia" w:ascii="宋体" w:hAnsi="宋体" w:cs="宋体"/>
                <w:color w:val="000000"/>
                <w:sz w:val="24"/>
                <w:szCs w:val="24"/>
              </w:rPr>
              <w:t>法定代表人身份证复印件</w:t>
            </w:r>
            <w:bookmarkEnd w:id="363"/>
            <w:bookmarkEnd w:id="364"/>
            <w:bookmarkEnd w:id="365"/>
            <w:bookmarkEnd w:id="366"/>
          </w:p>
          <w:p w14:paraId="2CBEAC6D">
            <w:pPr>
              <w:spacing w:line="360" w:lineRule="auto"/>
              <w:jc w:val="center"/>
              <w:rPr>
                <w:rFonts w:ascii="宋体" w:hAnsi="宋体" w:cs="宋体"/>
                <w:color w:val="000000"/>
                <w:sz w:val="24"/>
                <w:szCs w:val="24"/>
              </w:rPr>
            </w:pPr>
          </w:p>
        </w:tc>
        <w:tc>
          <w:tcPr>
            <w:tcW w:w="4397" w:type="dxa"/>
            <w:tcBorders>
              <w:left w:val="single" w:color="auto" w:sz="4" w:space="0"/>
            </w:tcBorders>
            <w:noWrap w:val="0"/>
            <w:vAlign w:val="center"/>
          </w:tcPr>
          <w:p w14:paraId="30905D54">
            <w:pPr>
              <w:spacing w:line="360" w:lineRule="auto"/>
              <w:jc w:val="center"/>
              <w:outlineLvl w:val="0"/>
              <w:rPr>
                <w:rFonts w:ascii="宋体" w:hAnsi="宋体" w:cs="宋体"/>
                <w:color w:val="000000"/>
                <w:sz w:val="24"/>
                <w:szCs w:val="24"/>
              </w:rPr>
            </w:pPr>
            <w:bookmarkStart w:id="367" w:name="_Toc14341"/>
            <w:bookmarkStart w:id="368" w:name="_Toc31188"/>
            <w:bookmarkStart w:id="369" w:name="_Toc2151"/>
            <w:bookmarkStart w:id="370" w:name="_Toc28825"/>
            <w:r>
              <w:rPr>
                <w:rFonts w:hint="eastAsia" w:ascii="宋体" w:hAnsi="宋体" w:cs="宋体"/>
                <w:color w:val="000000"/>
                <w:sz w:val="24"/>
                <w:szCs w:val="24"/>
              </w:rPr>
              <w:t>被授权人身份证复印件</w:t>
            </w:r>
            <w:bookmarkEnd w:id="367"/>
            <w:bookmarkEnd w:id="368"/>
            <w:bookmarkEnd w:id="369"/>
            <w:bookmarkEnd w:id="370"/>
          </w:p>
          <w:p w14:paraId="21D1FC25">
            <w:pPr>
              <w:spacing w:line="360" w:lineRule="auto"/>
              <w:jc w:val="center"/>
              <w:outlineLvl w:val="0"/>
              <w:rPr>
                <w:rFonts w:ascii="宋体" w:hAnsi="宋体" w:cs="宋体"/>
                <w:color w:val="000000"/>
                <w:sz w:val="24"/>
                <w:szCs w:val="24"/>
              </w:rPr>
            </w:pPr>
          </w:p>
        </w:tc>
      </w:tr>
      <w:tr w14:paraId="4A72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4322" w:type="dxa"/>
            <w:tcBorders>
              <w:top w:val="single" w:color="auto" w:sz="4" w:space="0"/>
              <w:left w:val="single" w:color="auto" w:sz="4" w:space="0"/>
              <w:bottom w:val="single" w:color="auto" w:sz="4" w:space="0"/>
              <w:right w:val="single" w:color="auto" w:sz="4" w:space="0"/>
            </w:tcBorders>
            <w:noWrap w:val="0"/>
            <w:vAlign w:val="center"/>
          </w:tcPr>
          <w:p w14:paraId="39AEC103">
            <w:pPr>
              <w:spacing w:line="360" w:lineRule="auto"/>
              <w:jc w:val="center"/>
              <w:outlineLvl w:val="0"/>
              <w:rPr>
                <w:rFonts w:ascii="宋体" w:hAnsi="宋体" w:cs="宋体"/>
                <w:color w:val="000000"/>
                <w:sz w:val="24"/>
                <w:szCs w:val="24"/>
              </w:rPr>
            </w:pPr>
            <w:bookmarkStart w:id="371" w:name="_Toc12477"/>
            <w:bookmarkStart w:id="372" w:name="_Toc28695"/>
            <w:bookmarkStart w:id="373" w:name="_Toc14312"/>
            <w:bookmarkStart w:id="374" w:name="_Toc28549"/>
            <w:r>
              <w:rPr>
                <w:rFonts w:hint="eastAsia" w:ascii="宋体" w:hAnsi="宋体" w:cs="宋体"/>
                <w:color w:val="000000"/>
                <w:sz w:val="24"/>
                <w:szCs w:val="24"/>
              </w:rPr>
              <w:t>法定代表人身份证复印件</w:t>
            </w:r>
            <w:bookmarkEnd w:id="371"/>
            <w:bookmarkEnd w:id="372"/>
            <w:bookmarkEnd w:id="373"/>
            <w:bookmarkEnd w:id="374"/>
          </w:p>
          <w:p w14:paraId="05F9C567">
            <w:pPr>
              <w:spacing w:line="360" w:lineRule="auto"/>
              <w:jc w:val="center"/>
              <w:outlineLvl w:val="0"/>
              <w:rPr>
                <w:rFonts w:ascii="宋体" w:hAnsi="宋体" w:cs="宋体"/>
                <w:color w:val="000000"/>
                <w:sz w:val="24"/>
                <w:szCs w:val="24"/>
              </w:rPr>
            </w:pPr>
          </w:p>
        </w:tc>
        <w:tc>
          <w:tcPr>
            <w:tcW w:w="4397" w:type="dxa"/>
            <w:tcBorders>
              <w:left w:val="single" w:color="auto" w:sz="4" w:space="0"/>
            </w:tcBorders>
            <w:noWrap w:val="0"/>
            <w:vAlign w:val="center"/>
          </w:tcPr>
          <w:p w14:paraId="75C35CD4">
            <w:pPr>
              <w:spacing w:line="360" w:lineRule="auto"/>
              <w:jc w:val="center"/>
              <w:outlineLvl w:val="0"/>
              <w:rPr>
                <w:rFonts w:ascii="宋体" w:hAnsi="宋体" w:cs="宋体"/>
                <w:color w:val="000000"/>
                <w:sz w:val="24"/>
                <w:szCs w:val="24"/>
              </w:rPr>
            </w:pPr>
            <w:bookmarkStart w:id="375" w:name="_Toc7697"/>
            <w:bookmarkStart w:id="376" w:name="_Toc17870"/>
            <w:bookmarkStart w:id="377" w:name="_Toc5386"/>
            <w:bookmarkStart w:id="378" w:name="_Toc17968"/>
            <w:r>
              <w:rPr>
                <w:rFonts w:hint="eastAsia" w:ascii="宋体" w:hAnsi="宋体" w:cs="宋体"/>
                <w:color w:val="000000"/>
                <w:sz w:val="24"/>
                <w:szCs w:val="24"/>
              </w:rPr>
              <w:t>被授权人身份证复印件</w:t>
            </w:r>
            <w:bookmarkEnd w:id="375"/>
            <w:bookmarkEnd w:id="376"/>
            <w:bookmarkEnd w:id="377"/>
            <w:bookmarkEnd w:id="378"/>
          </w:p>
          <w:p w14:paraId="05FA0466">
            <w:pPr>
              <w:spacing w:line="360" w:lineRule="auto"/>
              <w:jc w:val="center"/>
              <w:outlineLvl w:val="0"/>
              <w:rPr>
                <w:rFonts w:ascii="宋体" w:hAnsi="宋体" w:cs="宋体"/>
                <w:color w:val="000000"/>
                <w:sz w:val="24"/>
                <w:szCs w:val="24"/>
              </w:rPr>
            </w:pPr>
          </w:p>
        </w:tc>
      </w:tr>
    </w:tbl>
    <w:p w14:paraId="4CB01F12">
      <w:pPr>
        <w:spacing w:line="360" w:lineRule="auto"/>
        <w:ind w:firstLine="3360" w:firstLineChars="1400"/>
        <w:rPr>
          <w:rFonts w:hint="eastAsia" w:ascii="宋体" w:hAnsi="宋体" w:cs="宋体"/>
          <w:color w:val="000000"/>
          <w:sz w:val="24"/>
          <w:szCs w:val="24"/>
        </w:rPr>
      </w:pPr>
    </w:p>
    <w:p w14:paraId="7B9F32FD">
      <w:pPr>
        <w:spacing w:line="360" w:lineRule="auto"/>
        <w:ind w:firstLine="3360" w:firstLineChars="1400"/>
        <w:rPr>
          <w:rFonts w:hint="eastAsia" w:ascii="宋体" w:hAnsi="宋体" w:cs="宋体"/>
          <w:color w:val="000000"/>
          <w:sz w:val="24"/>
          <w:szCs w:val="24"/>
        </w:rPr>
      </w:pPr>
    </w:p>
    <w:p w14:paraId="7D766773">
      <w:pPr>
        <w:spacing w:line="360" w:lineRule="auto"/>
        <w:ind w:firstLine="3360" w:firstLineChars="1400"/>
        <w:rPr>
          <w:rFonts w:ascii="宋体" w:hAnsi="宋体" w:cs="宋体"/>
          <w:color w:val="000000"/>
          <w:sz w:val="24"/>
          <w:szCs w:val="24"/>
        </w:rPr>
      </w:pPr>
      <w:r>
        <w:rPr>
          <w:rFonts w:hint="eastAsia" w:ascii="宋体" w:hAnsi="宋体" w:cs="宋体"/>
          <w:color w:val="000000"/>
          <w:sz w:val="24"/>
          <w:szCs w:val="24"/>
        </w:rPr>
        <w:t>供应商：</w:t>
      </w:r>
      <w:r>
        <w:rPr>
          <w:rFonts w:hint="eastAsia" w:ascii="宋体" w:hAnsi="宋体" w:cs="宋体"/>
          <w:color w:val="000000"/>
          <w:sz w:val="24"/>
          <w:szCs w:val="24"/>
          <w:u w:val="single"/>
        </w:rPr>
        <w:t xml:space="preserve">                            </w:t>
      </w:r>
      <w:r>
        <w:rPr>
          <w:rFonts w:hint="eastAsia" w:ascii="宋体" w:hAnsi="宋体" w:cs="宋体"/>
          <w:color w:val="000000"/>
          <w:sz w:val="24"/>
          <w:szCs w:val="24"/>
        </w:rPr>
        <w:t>（公章）</w:t>
      </w:r>
    </w:p>
    <w:p w14:paraId="597A6586">
      <w:pPr>
        <w:spacing w:line="360" w:lineRule="auto"/>
        <w:rPr>
          <w:rFonts w:ascii="宋体" w:hAnsi="宋体" w:cs="宋体"/>
          <w:color w:val="000000"/>
          <w:sz w:val="24"/>
          <w:szCs w:val="24"/>
          <w:u w:val="single"/>
        </w:rPr>
      </w:pPr>
      <w:r>
        <w:rPr>
          <w:rFonts w:hint="eastAsia" w:ascii="宋体" w:hAnsi="宋体" w:cs="宋体"/>
          <w:color w:val="000000"/>
          <w:sz w:val="24"/>
          <w:szCs w:val="24"/>
        </w:rPr>
        <w:t xml:space="preserve">                            法定代表人（签字</w:t>
      </w:r>
      <w:r>
        <w:rPr>
          <w:rFonts w:hint="eastAsia" w:ascii="宋体" w:hAnsi="宋体" w:cs="宋体"/>
          <w:color w:val="000000"/>
          <w:sz w:val="24"/>
          <w:szCs w:val="24"/>
          <w:lang w:eastAsia="zh-CN"/>
        </w:rPr>
        <w:t>或</w:t>
      </w:r>
      <w:r>
        <w:rPr>
          <w:rFonts w:hint="eastAsia" w:ascii="宋体" w:hAnsi="宋体" w:cs="宋体"/>
          <w:color w:val="000000"/>
          <w:sz w:val="24"/>
          <w:szCs w:val="24"/>
        </w:rPr>
        <w:t>盖章）：</w:t>
      </w:r>
      <w:r>
        <w:rPr>
          <w:rFonts w:hint="eastAsia" w:ascii="宋体" w:hAnsi="宋体" w:cs="宋体"/>
          <w:color w:val="000000"/>
          <w:sz w:val="24"/>
          <w:szCs w:val="24"/>
          <w:u w:val="single"/>
        </w:rPr>
        <w:t xml:space="preserve">                  </w:t>
      </w:r>
    </w:p>
    <w:p w14:paraId="7C8EBCF4">
      <w:pPr>
        <w:spacing w:line="360" w:lineRule="auto"/>
        <w:ind w:firstLine="3360" w:firstLineChars="1400"/>
        <w:rPr>
          <w:rFonts w:ascii="宋体" w:hAnsi="宋体" w:cs="宋体"/>
          <w:color w:val="000000"/>
          <w:sz w:val="24"/>
          <w:szCs w:val="24"/>
        </w:rPr>
      </w:pPr>
      <w:r>
        <w:rPr>
          <w:rFonts w:hint="eastAsia" w:ascii="宋体" w:hAnsi="宋体" w:cs="宋体"/>
          <w:color w:val="000000"/>
          <w:sz w:val="24"/>
          <w:szCs w:val="24"/>
        </w:rPr>
        <w:t xml:space="preserve">被授权代表（签字）： </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w:t>
      </w:r>
    </w:p>
    <w:bookmarkEnd w:id="349"/>
    <w:bookmarkEnd w:id="350"/>
    <w:bookmarkEnd w:id="351"/>
    <w:bookmarkEnd w:id="352"/>
    <w:bookmarkEnd w:id="353"/>
    <w:bookmarkEnd w:id="354"/>
    <w:bookmarkEnd w:id="355"/>
    <w:bookmarkEnd w:id="356"/>
    <w:p w14:paraId="2D056268">
      <w:pPr>
        <w:pStyle w:val="11"/>
        <w:spacing w:line="360" w:lineRule="auto"/>
        <w:rPr>
          <w:rFonts w:hint="default" w:ascii="Times New Roman" w:hAnsi="Times New Roman"/>
        </w:rPr>
      </w:pPr>
      <w:bookmarkStart w:id="379" w:name="_Toc465958138"/>
      <w:bookmarkStart w:id="380" w:name="_Toc246928973"/>
      <w:bookmarkStart w:id="381" w:name="_Toc26762"/>
    </w:p>
    <w:bookmarkEnd w:id="357"/>
    <w:bookmarkEnd w:id="358"/>
    <w:bookmarkEnd w:id="379"/>
    <w:bookmarkEnd w:id="380"/>
    <w:bookmarkEnd w:id="381"/>
    <w:p w14:paraId="0601F8ED">
      <w:pPr>
        <w:pStyle w:val="2"/>
        <w:numPr>
          <w:ilvl w:val="0"/>
          <w:numId w:val="0"/>
        </w:numPr>
        <w:spacing w:line="240" w:lineRule="auto"/>
        <w:jc w:val="center"/>
        <w:rPr>
          <w:rFonts w:hint="eastAsia" w:ascii="宋体" w:hAnsi="宋体" w:cs="宋体"/>
          <w:bCs w:val="0"/>
          <w:sz w:val="32"/>
          <w:szCs w:val="32"/>
        </w:rPr>
      </w:pPr>
      <w:bookmarkStart w:id="382" w:name="_Toc31861"/>
      <w:bookmarkStart w:id="383" w:name="_Toc25170"/>
      <w:bookmarkStart w:id="384" w:name="_Hlk17733230"/>
      <w:r>
        <w:rPr>
          <w:rFonts w:hint="eastAsia" w:ascii="宋体" w:hAnsi="宋体" w:cs="宋体"/>
          <w:bCs w:val="0"/>
          <w:sz w:val="32"/>
          <w:szCs w:val="32"/>
          <w:lang w:val="en-US" w:eastAsia="zh-CN"/>
        </w:rPr>
        <w:t>七、</w:t>
      </w:r>
      <w:r>
        <w:rPr>
          <w:rFonts w:hint="eastAsia" w:ascii="宋体" w:hAnsi="宋体" w:cs="宋体"/>
          <w:bCs w:val="0"/>
          <w:sz w:val="32"/>
          <w:szCs w:val="32"/>
        </w:rPr>
        <w:t>信用中国陕西榆林承诺申报截图</w:t>
      </w:r>
      <w:bookmarkEnd w:id="382"/>
      <w:bookmarkEnd w:id="383"/>
    </w:p>
    <w:p w14:paraId="7427B57D">
      <w:pPr>
        <w:widowControl w:val="0"/>
        <w:numPr>
          <w:ilvl w:val="0"/>
          <w:numId w:val="0"/>
        </w:numPr>
        <w:jc w:val="both"/>
        <w:rPr>
          <w:rFonts w:hint="eastAsia"/>
        </w:rPr>
      </w:pPr>
    </w:p>
    <w:p w14:paraId="6F99D69C">
      <w:pPr>
        <w:pStyle w:val="164"/>
        <w:jc w:val="center"/>
        <w:rPr>
          <w:rFonts w:hint="default" w:eastAsia="宋体"/>
          <w:sz w:val="22"/>
          <w:szCs w:val="28"/>
          <w:lang w:val="en-US" w:eastAsia="zh-CN"/>
        </w:rPr>
        <w:sectPr>
          <w:footnotePr>
            <w:pos w:val="beneathText"/>
          </w:footnotePr>
          <w:pgSz w:w="11906" w:h="16838"/>
          <w:pgMar w:top="1417" w:right="1417" w:bottom="1417" w:left="1417" w:header="851" w:footer="992" w:gutter="0"/>
          <w:cols w:space="720" w:num="1"/>
          <w:docGrid w:linePitch="312" w:charSpace="0"/>
        </w:sectPr>
      </w:pPr>
      <w:r>
        <w:rPr>
          <w:rFonts w:hint="eastAsia"/>
          <w:sz w:val="22"/>
          <w:szCs w:val="28"/>
          <w:lang w:val="en-US" w:eastAsia="zh-CN"/>
        </w:rPr>
        <w:t>注：截图须体现项目名称。</w:t>
      </w:r>
    </w:p>
    <w:bookmarkEnd w:id="384"/>
    <w:p w14:paraId="45E754F9">
      <w:pPr>
        <w:pStyle w:val="2"/>
        <w:numPr>
          <w:ilvl w:val="0"/>
          <w:numId w:val="0"/>
        </w:numPr>
        <w:spacing w:line="240" w:lineRule="auto"/>
        <w:jc w:val="center"/>
        <w:rPr>
          <w:rFonts w:hint="default" w:ascii="宋体" w:hAnsi="宋体" w:eastAsia="宋体" w:cs="宋体"/>
          <w:bCs w:val="0"/>
          <w:sz w:val="32"/>
          <w:szCs w:val="32"/>
          <w:lang w:val="en-US" w:eastAsia="zh-CN"/>
        </w:rPr>
      </w:pPr>
      <w:r>
        <w:rPr>
          <w:rFonts w:hint="eastAsia" w:ascii="宋体" w:hAnsi="宋体" w:eastAsia="宋体" w:cs="宋体"/>
          <w:bCs w:val="0"/>
          <w:sz w:val="32"/>
          <w:szCs w:val="32"/>
          <w:lang w:val="en-US" w:eastAsia="zh-CN"/>
        </w:rPr>
        <w:t>九、附件</w:t>
      </w:r>
    </w:p>
    <w:p w14:paraId="6689FCBF">
      <w:pPr>
        <w:spacing w:line="360" w:lineRule="auto"/>
        <w:jc w:val="center"/>
        <w:rPr>
          <w:rFonts w:hint="eastAsia" w:ascii="宋体" w:hAnsi="宋体" w:cs="宋体"/>
          <w:b/>
          <w:bCs/>
          <w:color w:val="auto"/>
          <w:sz w:val="32"/>
          <w:szCs w:val="32"/>
        </w:rPr>
      </w:pPr>
      <w:r>
        <w:rPr>
          <w:rFonts w:hint="eastAsia"/>
          <w:b/>
          <w:bCs/>
          <w:sz w:val="28"/>
          <w:szCs w:val="28"/>
        </w:rPr>
        <w:t>（投标人须在开标前将附件1、附件2、附件3按时上传至信用中国（陕西榆林）进行公示，并将上传后的截图附在投标文件中。）</w:t>
      </w:r>
    </w:p>
    <w:p w14:paraId="32D7F4C2">
      <w:pPr>
        <w:spacing w:line="360" w:lineRule="auto"/>
        <w:jc w:val="center"/>
        <w:rPr>
          <w:rFonts w:hint="eastAsia" w:ascii="宋体" w:hAnsi="宋体" w:cs="宋体"/>
          <w:color w:val="auto"/>
          <w:sz w:val="40"/>
          <w:szCs w:val="40"/>
        </w:rPr>
      </w:pPr>
      <w:r>
        <w:rPr>
          <w:rFonts w:hint="eastAsia" w:ascii="宋体" w:hAnsi="宋体" w:cs="宋体"/>
          <w:b/>
          <w:bCs/>
          <w:color w:val="auto"/>
          <w:sz w:val="32"/>
          <w:szCs w:val="32"/>
        </w:rPr>
        <w:t>附件1 投标人信用承诺书</w:t>
      </w:r>
    </w:p>
    <w:p w14:paraId="541E5D48">
      <w:pPr>
        <w:widowControl/>
        <w:adjustRightInd w:val="0"/>
        <w:snapToGrid w:val="0"/>
        <w:spacing w:line="480" w:lineRule="auto"/>
        <w:jc w:val="left"/>
        <w:rPr>
          <w:rFonts w:ascii="宋体" w:hAnsi="宋体" w:cs="宋体"/>
          <w:color w:val="auto"/>
          <w:kern w:val="0"/>
          <w:sz w:val="24"/>
          <w:u w:val="single"/>
        </w:rPr>
      </w:pPr>
      <w:r>
        <w:rPr>
          <w:rFonts w:hint="eastAsia" w:ascii="宋体" w:hAnsi="宋体" w:cs="宋体"/>
          <w:color w:val="auto"/>
          <w:kern w:val="0"/>
          <w:sz w:val="24"/>
        </w:rPr>
        <w:t>投标人：</w:t>
      </w:r>
      <w:r>
        <w:rPr>
          <w:rFonts w:ascii="宋体" w:hAnsi="宋体" w:cs="宋体"/>
          <w:color w:val="auto"/>
          <w:kern w:val="0"/>
          <w:sz w:val="24"/>
          <w:u w:val="single"/>
        </w:rPr>
        <w:t xml:space="preserve">                                                                   </w:t>
      </w:r>
    </w:p>
    <w:p w14:paraId="438E23F2">
      <w:pPr>
        <w:widowControl/>
        <w:adjustRightInd w:val="0"/>
        <w:snapToGrid w:val="0"/>
        <w:spacing w:line="480" w:lineRule="auto"/>
        <w:jc w:val="left"/>
        <w:rPr>
          <w:rFonts w:ascii="宋体" w:hAnsi="宋体" w:cs="宋体"/>
          <w:color w:val="auto"/>
          <w:kern w:val="0"/>
          <w:sz w:val="24"/>
          <w:u w:val="single"/>
        </w:rPr>
      </w:pPr>
      <w:r>
        <w:rPr>
          <w:rFonts w:hint="eastAsia" w:ascii="宋体" w:hAnsi="宋体" w:cs="宋体"/>
          <w:color w:val="auto"/>
          <w:kern w:val="0"/>
          <w:sz w:val="24"/>
        </w:rPr>
        <w:t>统一社会信用代码：</w:t>
      </w:r>
      <w:r>
        <w:rPr>
          <w:rFonts w:ascii="宋体" w:hAnsi="宋体" w:cs="宋体"/>
          <w:color w:val="auto"/>
          <w:kern w:val="0"/>
          <w:sz w:val="24"/>
          <w:u w:val="single"/>
        </w:rPr>
        <w:t xml:space="preserve">                             </w:t>
      </w:r>
      <w:r>
        <w:rPr>
          <w:rFonts w:hint="eastAsia" w:ascii="宋体" w:hAnsi="宋体" w:cs="宋体"/>
          <w:color w:val="auto"/>
          <w:kern w:val="0"/>
          <w:sz w:val="24"/>
        </w:rPr>
        <w:t>法人代表：</w:t>
      </w:r>
      <w:r>
        <w:rPr>
          <w:rFonts w:ascii="宋体" w:hAnsi="宋体" w:cs="宋体"/>
          <w:color w:val="auto"/>
          <w:kern w:val="0"/>
          <w:sz w:val="24"/>
          <w:u w:val="single"/>
        </w:rPr>
        <w:t xml:space="preserve">                  </w:t>
      </w:r>
    </w:p>
    <w:p w14:paraId="07B3F968">
      <w:pPr>
        <w:widowControl/>
        <w:adjustRightInd w:val="0"/>
        <w:snapToGrid w:val="0"/>
        <w:spacing w:line="480" w:lineRule="auto"/>
        <w:jc w:val="left"/>
        <w:rPr>
          <w:rFonts w:ascii="宋体" w:cs="宋体"/>
          <w:color w:val="auto"/>
          <w:kern w:val="0"/>
          <w:sz w:val="24"/>
          <w:u w:val="single"/>
        </w:rPr>
      </w:pPr>
      <w:r>
        <w:rPr>
          <w:rFonts w:hint="eastAsia" w:ascii="宋体" w:hAnsi="宋体" w:cs="宋体"/>
          <w:color w:val="auto"/>
          <w:kern w:val="0"/>
          <w:sz w:val="24"/>
        </w:rPr>
        <w:t>承诺有效期限：</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r>
        <w:rPr>
          <w:rFonts w:ascii="宋体" w:hAnsi="宋体" w:cs="宋体"/>
          <w:color w:val="auto"/>
          <w:kern w:val="0"/>
          <w:sz w:val="24"/>
        </w:rPr>
        <w:t>—</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29F0916F">
      <w:pPr>
        <w:widowControl/>
        <w:adjustRightInd w:val="0"/>
        <w:snapToGrid w:val="0"/>
        <w:spacing w:line="480" w:lineRule="auto"/>
        <w:ind w:firstLine="480" w:firstLineChars="200"/>
        <w:jc w:val="left"/>
        <w:rPr>
          <w:rFonts w:ascii="宋体" w:cs="宋体"/>
          <w:color w:val="auto"/>
          <w:kern w:val="0"/>
          <w:sz w:val="24"/>
        </w:rPr>
      </w:pPr>
      <w:r>
        <w:rPr>
          <w:rFonts w:hint="eastAsia" w:ascii="宋体" w:hAnsi="宋体" w:cs="宋体"/>
          <w:color w:val="auto"/>
          <w:kern w:val="0"/>
          <w:sz w:val="24"/>
        </w:rPr>
        <w:t>在</w:t>
      </w:r>
      <w:r>
        <w:rPr>
          <w:rFonts w:ascii="宋体" w:hAnsi="宋体" w:cs="宋体"/>
          <w:color w:val="auto"/>
          <w:kern w:val="0"/>
          <w:sz w:val="24"/>
          <w:u w:val="single"/>
        </w:rPr>
        <w:t xml:space="preserve">                                   </w:t>
      </w:r>
      <w:r>
        <w:rPr>
          <w:rFonts w:hint="eastAsia" w:ascii="宋体" w:hAnsi="宋体" w:cs="宋体"/>
          <w:color w:val="auto"/>
          <w:kern w:val="0"/>
          <w:sz w:val="24"/>
        </w:rPr>
        <w:t>项目招投标活动中，我公司（单位）郑重作出以下信用承诺：</w:t>
      </w:r>
    </w:p>
    <w:p w14:paraId="5E3FF735">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AEDCB3A">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14:paraId="0EE174E5">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（三）自愿接受招投标监督部门和有关行政监督部门的依法检查。</w:t>
      </w:r>
    </w:p>
    <w:p w14:paraId="0A4025A4">
      <w:pPr>
        <w:widowControl/>
        <w:adjustRightInd w:val="0"/>
        <w:snapToGrid w:val="0"/>
        <w:spacing w:line="480" w:lineRule="auto"/>
        <w:ind w:firstLine="480"/>
        <w:jc w:val="left"/>
        <w:rPr>
          <w:rFonts w:ascii="宋体" w:cs="宋体"/>
          <w:color w:val="auto"/>
          <w:kern w:val="0"/>
          <w:sz w:val="24"/>
        </w:rPr>
      </w:pPr>
      <w:r>
        <w:rPr>
          <w:rFonts w:hint="eastAsia" w:ascii="宋体" w:hAnsi="宋体" w:cs="宋体"/>
          <w:color w:val="auto"/>
          <w:kern w:val="0"/>
          <w:sz w:val="24"/>
        </w:rPr>
        <w:t>（四）同意将此信用承诺纳入陕西省公共信用信息平台和榆林市公共信用信息共享平台，并上网公示，接受社会监督。</w:t>
      </w:r>
    </w:p>
    <w:p w14:paraId="40033375">
      <w:pPr>
        <w:widowControl/>
        <w:adjustRightInd w:val="0"/>
        <w:snapToGrid w:val="0"/>
        <w:spacing w:line="480" w:lineRule="auto"/>
        <w:ind w:firstLine="480"/>
        <w:jc w:val="left"/>
        <w:rPr>
          <w:rFonts w:hint="eastAsia" w:ascii="宋体" w:hAnsi="宋体" w:cs="宋体"/>
          <w:color w:val="auto"/>
          <w:kern w:val="0"/>
          <w:sz w:val="24"/>
        </w:rPr>
      </w:pPr>
      <w:r>
        <w:rPr>
          <w:rFonts w:hint="eastAsia" w:ascii="宋体" w:hAnsi="宋体" w:cs="宋体"/>
          <w:color w:val="auto"/>
          <w:kern w:val="0"/>
          <w:sz w:val="24"/>
        </w:rPr>
        <w:t>（五）若我公司（单位）及相关参与人员违背以上承诺事项，即被视为失信企业（法人），依据《关于对公共资源交易领域严重失信主体开展联合惩戒的备忘录》（发改法规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号），自愿接受失信联合惩戒和依法给予的行政处罚（处理），并依法承担赔偿责任和刑事责任。</w:t>
      </w:r>
    </w:p>
    <w:p w14:paraId="67AED971">
      <w:pPr>
        <w:pStyle w:val="9"/>
        <w:rPr>
          <w:color w:val="auto"/>
        </w:rPr>
      </w:pPr>
    </w:p>
    <w:p w14:paraId="684BF34A">
      <w:pPr>
        <w:widowControl/>
        <w:tabs>
          <w:tab w:val="left" w:pos="4395"/>
        </w:tabs>
        <w:adjustRightInd w:val="0"/>
        <w:snapToGrid w:val="0"/>
        <w:spacing w:line="480" w:lineRule="auto"/>
        <w:jc w:val="left"/>
        <w:rPr>
          <w:rFonts w:ascii="宋体" w:cs="宋体"/>
          <w:color w:val="auto"/>
          <w:kern w:val="0"/>
          <w:sz w:val="24"/>
        </w:rPr>
      </w:pPr>
      <w:r>
        <w:rPr>
          <w:rFonts w:hint="eastAsia" w:ascii="宋体" w:hAnsi="宋体" w:cs="宋体"/>
          <w:color w:val="auto"/>
          <w:kern w:val="0"/>
          <w:sz w:val="24"/>
        </w:rPr>
        <w:t>法定代表人（签章）：</w:t>
      </w:r>
      <w:r>
        <w:rPr>
          <w:rFonts w:ascii="宋体" w:hAnsi="宋体" w:cs="宋体"/>
          <w:color w:val="auto"/>
          <w:kern w:val="0"/>
          <w:sz w:val="24"/>
        </w:rPr>
        <w:t xml:space="preserve">                 </w:t>
      </w:r>
      <w:r>
        <w:rPr>
          <w:rFonts w:hint="eastAsia" w:ascii="宋体" w:hAnsi="宋体" w:cs="宋体"/>
          <w:color w:val="auto"/>
          <w:kern w:val="0"/>
          <w:sz w:val="24"/>
        </w:rPr>
        <w:t>投标人（盖章）：</w:t>
      </w:r>
    </w:p>
    <w:p w14:paraId="6F303576">
      <w:pPr>
        <w:adjustRightInd w:val="0"/>
        <w:snapToGrid w:val="0"/>
        <w:spacing w:line="480" w:lineRule="auto"/>
        <w:jc w:val="center"/>
        <w:rPr>
          <w:rFonts w:ascii="宋体" w:cs="宋体"/>
          <w:color w:val="auto"/>
          <w:kern w:val="0"/>
          <w:sz w:val="24"/>
        </w:rPr>
      </w:pPr>
    </w:p>
    <w:p w14:paraId="4F179F00">
      <w:pPr>
        <w:adjustRightInd w:val="0"/>
        <w:snapToGrid w:val="0"/>
        <w:spacing w:line="480" w:lineRule="auto"/>
        <w:jc w:val="center"/>
        <w:rPr>
          <w:rFonts w:ascii="宋体" w:cs="宋体"/>
          <w:color w:val="auto"/>
          <w:kern w:val="0"/>
          <w:sz w:val="24"/>
        </w:rPr>
      </w:pPr>
      <w:r>
        <w:rPr>
          <w:rFonts w:hint="eastAsia" w:ascii="宋体" w:hAnsi="宋体" w:cs="宋体"/>
          <w:color w:val="auto"/>
          <w:kern w:val="0"/>
          <w:sz w:val="24"/>
        </w:rPr>
        <w:t xml:space="preserve">                             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10B42136">
      <w:pPr>
        <w:spacing w:line="480" w:lineRule="auto"/>
        <w:ind w:right="-2"/>
        <w:jc w:val="center"/>
        <w:rPr>
          <w:rFonts w:hint="eastAsia" w:ascii="宋体" w:hAnsi="宋体" w:cs="宋体"/>
          <w:b/>
          <w:bCs/>
          <w:color w:val="auto"/>
          <w:sz w:val="32"/>
          <w:szCs w:val="32"/>
        </w:rPr>
        <w:sectPr>
          <w:footerReference r:id="rId13" w:type="default"/>
          <w:pgSz w:w="11906" w:h="16838"/>
          <w:pgMar w:top="1219" w:right="1803" w:bottom="1219" w:left="1803" w:header="850" w:footer="992" w:gutter="0"/>
          <w:pgNumType w:fmt="decimal"/>
          <w:cols w:space="720" w:num="1"/>
          <w:rtlGutter w:val="0"/>
          <w:docGrid w:type="lines" w:linePitch="313" w:charSpace="0"/>
        </w:sectPr>
      </w:pPr>
    </w:p>
    <w:p w14:paraId="1900B35C">
      <w:pPr>
        <w:spacing w:line="560" w:lineRule="exact"/>
        <w:ind w:right="-2"/>
        <w:jc w:val="center"/>
        <w:rPr>
          <w:rFonts w:hint="eastAsia" w:ascii="宋体" w:hAnsi="宋体" w:cs="宋体"/>
          <w:b/>
          <w:bCs/>
          <w:color w:val="auto"/>
          <w:sz w:val="32"/>
          <w:szCs w:val="32"/>
        </w:rPr>
      </w:pPr>
      <w:r>
        <w:rPr>
          <w:rFonts w:hint="eastAsia" w:ascii="宋体" w:hAnsi="宋体" w:cs="宋体"/>
          <w:b/>
          <w:bCs/>
          <w:color w:val="auto"/>
          <w:sz w:val="32"/>
          <w:szCs w:val="32"/>
        </w:rPr>
        <w:t>附件2 投标人委托代理人员信用承诺书</w:t>
      </w:r>
    </w:p>
    <w:p w14:paraId="55DC7C04">
      <w:pPr>
        <w:widowControl/>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在</w:t>
      </w:r>
      <w:r>
        <w:rPr>
          <w:rFonts w:ascii="宋体" w:hAnsi="宋体" w:cs="宋体"/>
          <w:color w:val="auto"/>
          <w:kern w:val="0"/>
          <w:sz w:val="24"/>
          <w:u w:val="single"/>
        </w:rPr>
        <w:t xml:space="preserve">                                   </w:t>
      </w:r>
      <w:r>
        <w:rPr>
          <w:rFonts w:hint="eastAsia" w:ascii="宋体" w:hAnsi="宋体" w:cs="宋体"/>
          <w:color w:val="auto"/>
          <w:kern w:val="0"/>
          <w:sz w:val="24"/>
        </w:rPr>
        <w:t>项目招投标活动中，我个人郑重作出以下信用承诺：</w:t>
      </w:r>
    </w:p>
    <w:p w14:paraId="6B705FAB">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2C94C67E">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14:paraId="776BA78A">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（三）自愿接受招投标监督部门和有关行政监督部门的依法检查。</w:t>
      </w:r>
    </w:p>
    <w:p w14:paraId="35FE8995">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（四）同意将此信用承诺纳入陕西省公共信用信息平台和榆林市公共信用信息共享平台，并接受社会监督。</w:t>
      </w:r>
    </w:p>
    <w:p w14:paraId="5B3C012D">
      <w:pPr>
        <w:widowControl/>
        <w:adjustRightInd w:val="0"/>
        <w:snapToGrid w:val="0"/>
        <w:spacing w:line="540" w:lineRule="exact"/>
        <w:ind w:firstLine="480"/>
        <w:jc w:val="left"/>
        <w:rPr>
          <w:rFonts w:ascii="宋体" w:cs="宋体"/>
          <w:color w:val="auto"/>
          <w:kern w:val="0"/>
          <w:sz w:val="24"/>
        </w:rPr>
      </w:pPr>
      <w:r>
        <w:rPr>
          <w:rFonts w:hint="eastAsia" w:ascii="宋体" w:hAnsi="宋体" w:cs="宋体"/>
          <w:color w:val="auto"/>
          <w:kern w:val="0"/>
          <w:sz w:val="24"/>
        </w:rPr>
        <w:t>（五）若我违背以上承诺事项，即被视为失信人，依据《关于对公共资源交易领域严重失信主体开展联合惩戒的备忘录》（发改法规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号），自愿接受失信联合惩戒和依法给予的行政处罚（处理），并依法承担赔偿责任和刑事责任。</w:t>
      </w:r>
    </w:p>
    <w:p w14:paraId="46BC9AC1">
      <w:pPr>
        <w:widowControl/>
        <w:spacing w:line="320" w:lineRule="exact"/>
        <w:ind w:firstLine="482"/>
        <w:jc w:val="left"/>
        <w:rPr>
          <w:rFonts w:ascii="宋体" w:hAnsi="宋体" w:cs="宋体"/>
          <w:color w:val="auto"/>
          <w:kern w:val="0"/>
          <w:sz w:val="24"/>
        </w:rPr>
      </w:pPr>
    </w:p>
    <w:p w14:paraId="682D48FF">
      <w:pPr>
        <w:widowControl/>
        <w:spacing w:line="320" w:lineRule="exact"/>
        <w:ind w:firstLine="482"/>
        <w:jc w:val="left"/>
        <w:rPr>
          <w:rFonts w:ascii="宋体" w:cs="宋体"/>
          <w:color w:val="auto"/>
          <w:kern w:val="0"/>
          <w:sz w:val="24"/>
          <w:u w:val="single"/>
        </w:rPr>
      </w:pPr>
      <w:r>
        <w:rPr>
          <w:rFonts w:hint="eastAsia" w:ascii="宋体" w:hAnsi="宋体" w:cs="宋体"/>
          <w:color w:val="auto"/>
          <w:kern w:val="0"/>
          <w:sz w:val="24"/>
        </w:rPr>
        <w:t>承诺有效期限：</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r>
        <w:rPr>
          <w:rFonts w:ascii="宋体" w:hAnsi="宋体" w:cs="宋体"/>
          <w:color w:val="auto"/>
          <w:kern w:val="0"/>
          <w:sz w:val="24"/>
        </w:rPr>
        <w:t>—</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78497C27">
      <w:pPr>
        <w:widowControl/>
        <w:spacing w:line="320" w:lineRule="exact"/>
        <w:ind w:firstLine="482"/>
        <w:jc w:val="left"/>
        <w:rPr>
          <w:rFonts w:ascii="宋体" w:hAnsi="宋体" w:cs="宋体"/>
          <w:color w:val="auto"/>
          <w:kern w:val="0"/>
          <w:sz w:val="24"/>
        </w:rPr>
      </w:pPr>
    </w:p>
    <w:p w14:paraId="4B0ED21C">
      <w:pPr>
        <w:widowControl/>
        <w:spacing w:line="320" w:lineRule="exact"/>
        <w:ind w:firstLine="482"/>
        <w:jc w:val="left"/>
        <w:rPr>
          <w:rFonts w:ascii="宋体" w:cs="宋体"/>
          <w:color w:val="auto"/>
          <w:kern w:val="0"/>
          <w:sz w:val="24"/>
          <w:u w:val="single"/>
        </w:rPr>
      </w:pPr>
      <w:r>
        <w:rPr>
          <w:rFonts w:hint="eastAsia" w:ascii="宋体" w:hAnsi="宋体" w:cs="宋体"/>
          <w:color w:val="auto"/>
          <w:kern w:val="0"/>
          <w:sz w:val="24"/>
        </w:rPr>
        <w:t>投标人：</w:t>
      </w:r>
      <w:r>
        <w:rPr>
          <w:rFonts w:hint="eastAsia" w:ascii="宋体" w:hAnsi="宋体" w:cs="宋体"/>
          <w:color w:val="auto"/>
          <w:kern w:val="0"/>
          <w:sz w:val="24"/>
          <w:u w:val="single"/>
        </w:rPr>
        <w:t xml:space="preserve">                                                        </w:t>
      </w:r>
    </w:p>
    <w:p w14:paraId="71B7E66D">
      <w:pPr>
        <w:widowControl/>
        <w:spacing w:line="320" w:lineRule="exact"/>
        <w:ind w:firstLine="482"/>
        <w:jc w:val="left"/>
        <w:rPr>
          <w:rFonts w:ascii="宋体" w:hAnsi="宋体" w:cs="宋体"/>
          <w:color w:val="auto"/>
          <w:kern w:val="0"/>
          <w:sz w:val="24"/>
        </w:rPr>
      </w:pPr>
    </w:p>
    <w:p w14:paraId="7ED7AA10">
      <w:pPr>
        <w:widowControl/>
        <w:spacing w:line="320" w:lineRule="exact"/>
        <w:ind w:firstLine="482"/>
        <w:jc w:val="left"/>
        <w:rPr>
          <w:rFonts w:ascii="宋体" w:hAnsi="宋体" w:cs="宋体"/>
          <w:color w:val="auto"/>
          <w:kern w:val="0"/>
          <w:sz w:val="24"/>
          <w:u w:val="single"/>
        </w:rPr>
      </w:pPr>
      <w:r>
        <w:rPr>
          <w:rFonts w:hint="eastAsia" w:ascii="宋体" w:hAnsi="宋体" w:cs="宋体"/>
          <w:color w:val="auto"/>
          <w:kern w:val="0"/>
          <w:sz w:val="24"/>
        </w:rPr>
        <w:t>承诺人</w:t>
      </w:r>
      <w:r>
        <w:rPr>
          <w:rFonts w:hint="eastAsia" w:ascii="宋体" w:hAnsi="宋体" w:cs="宋体"/>
          <w:color w:val="auto"/>
          <w:sz w:val="24"/>
          <w:szCs w:val="24"/>
        </w:rPr>
        <w:t>（签字或盖章）</w:t>
      </w:r>
      <w:r>
        <w:rPr>
          <w:rFonts w:hint="eastAsia" w:ascii="宋体" w:hAnsi="宋体" w:cs="宋体"/>
          <w:color w:val="auto"/>
          <w:kern w:val="0"/>
          <w:sz w:val="24"/>
        </w:rPr>
        <w:t>：</w:t>
      </w:r>
      <w:r>
        <w:rPr>
          <w:rFonts w:hint="eastAsia" w:ascii="宋体" w:hAnsi="宋体" w:cs="宋体"/>
          <w:color w:val="auto"/>
          <w:kern w:val="0"/>
          <w:sz w:val="24"/>
          <w:u w:val="single"/>
        </w:rPr>
        <w:t xml:space="preserve">                 </w:t>
      </w:r>
    </w:p>
    <w:p w14:paraId="22EABE8B">
      <w:pPr>
        <w:widowControl/>
        <w:spacing w:line="320" w:lineRule="exact"/>
        <w:ind w:firstLine="482"/>
        <w:jc w:val="left"/>
        <w:rPr>
          <w:rFonts w:ascii="宋体" w:hAnsi="宋体" w:cs="宋体"/>
          <w:color w:val="auto"/>
          <w:kern w:val="0"/>
          <w:sz w:val="24"/>
          <w:u w:val="single"/>
        </w:rPr>
      </w:pPr>
    </w:p>
    <w:p w14:paraId="4EA3AD7E">
      <w:pPr>
        <w:ind w:firstLine="480" w:firstLineChars="200"/>
        <w:rPr>
          <w:color w:val="auto"/>
        </w:rPr>
      </w:pPr>
      <w:r>
        <w:rPr>
          <w:rFonts w:hint="eastAsia" w:ascii="宋体" w:hAnsi="宋体" w:cs="宋体"/>
          <w:color w:val="auto"/>
          <w:kern w:val="0"/>
          <w:sz w:val="24"/>
        </w:rPr>
        <w:t>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7E9DDA80">
      <w:pPr>
        <w:spacing w:line="560" w:lineRule="exact"/>
        <w:ind w:right="-2"/>
        <w:jc w:val="center"/>
        <w:rPr>
          <w:rFonts w:hint="eastAsia" w:ascii="宋体" w:hAnsi="宋体" w:cs="宋体"/>
          <w:b/>
          <w:bCs/>
          <w:color w:val="auto"/>
          <w:sz w:val="32"/>
          <w:szCs w:val="32"/>
        </w:rPr>
        <w:sectPr>
          <w:pgSz w:w="11906" w:h="16838"/>
          <w:pgMar w:top="1219" w:right="1803" w:bottom="1219" w:left="1803" w:header="850" w:footer="992" w:gutter="0"/>
          <w:pgNumType w:fmt="decimal"/>
          <w:cols w:space="720" w:num="1"/>
          <w:rtlGutter w:val="0"/>
          <w:docGrid w:type="lines" w:linePitch="313" w:charSpace="0"/>
        </w:sectPr>
      </w:pPr>
    </w:p>
    <w:p w14:paraId="5E68515F">
      <w:pPr>
        <w:spacing w:line="560" w:lineRule="exact"/>
        <w:ind w:right="-2"/>
        <w:jc w:val="center"/>
        <w:rPr>
          <w:rFonts w:hint="eastAsia" w:ascii="宋体" w:hAnsi="宋体" w:cs="宋体"/>
          <w:b/>
          <w:bCs/>
          <w:color w:val="auto"/>
          <w:kern w:val="0"/>
          <w:szCs w:val="16"/>
        </w:rPr>
      </w:pPr>
      <w:r>
        <w:rPr>
          <w:rFonts w:hint="eastAsia" w:ascii="宋体" w:hAnsi="宋体" w:cs="宋体"/>
          <w:b/>
          <w:bCs/>
          <w:color w:val="auto"/>
          <w:sz w:val="32"/>
          <w:szCs w:val="32"/>
        </w:rPr>
        <w:t>附件3  投标信用承诺书</w:t>
      </w:r>
    </w:p>
    <w:p w14:paraId="7DCC9EEC">
      <w:pPr>
        <w:widowControl/>
        <w:spacing w:line="540" w:lineRule="exact"/>
        <w:jc w:val="left"/>
        <w:rPr>
          <w:rFonts w:ascii="宋体" w:cs="宋体"/>
          <w:color w:val="auto"/>
          <w:kern w:val="0"/>
          <w:sz w:val="24"/>
          <w:u w:val="single"/>
        </w:rPr>
      </w:pPr>
      <w:r>
        <w:rPr>
          <w:rFonts w:hint="eastAsia" w:ascii="宋体" w:hAnsi="宋体" w:cs="宋体"/>
          <w:color w:val="auto"/>
          <w:kern w:val="0"/>
          <w:sz w:val="24"/>
        </w:rPr>
        <w:t>项目标段：</w:t>
      </w:r>
      <w:r>
        <w:rPr>
          <w:rFonts w:ascii="宋体" w:hAnsi="宋体" w:cs="宋体"/>
          <w:color w:val="auto"/>
          <w:kern w:val="0"/>
          <w:sz w:val="24"/>
          <w:u w:val="single"/>
        </w:rPr>
        <w:t xml:space="preserve">            </w:t>
      </w:r>
      <w:r>
        <w:rPr>
          <w:rFonts w:hint="eastAsia" w:ascii="宋体" w:hAnsi="宋体" w:cs="宋体"/>
          <w:color w:val="auto"/>
          <w:kern w:val="0"/>
          <w:sz w:val="24"/>
          <w:u w:val="single"/>
        </w:rPr>
        <w:t xml:space="preserve">  </w:t>
      </w:r>
      <w:r>
        <w:rPr>
          <w:rFonts w:ascii="宋体" w:hAnsi="宋体" w:cs="宋体"/>
          <w:color w:val="auto"/>
          <w:kern w:val="0"/>
          <w:sz w:val="24"/>
          <w:u w:val="single"/>
        </w:rPr>
        <w:t xml:space="preserve">                                                    </w:t>
      </w:r>
    </w:p>
    <w:p w14:paraId="48C0FD68">
      <w:pPr>
        <w:widowControl/>
        <w:spacing w:line="540" w:lineRule="exact"/>
        <w:jc w:val="left"/>
        <w:rPr>
          <w:rFonts w:ascii="宋体" w:hAnsi="宋体" w:cs="宋体"/>
          <w:color w:val="auto"/>
          <w:kern w:val="0"/>
          <w:sz w:val="24"/>
          <w:u w:val="single"/>
        </w:rPr>
      </w:pPr>
      <w:r>
        <w:rPr>
          <w:rFonts w:hint="eastAsia" w:ascii="宋体" w:hAnsi="宋体" w:cs="宋体"/>
          <w:color w:val="auto"/>
          <w:kern w:val="0"/>
          <w:sz w:val="24"/>
        </w:rPr>
        <w:t>投标人：</w:t>
      </w:r>
      <w:r>
        <w:rPr>
          <w:rFonts w:ascii="宋体" w:hAnsi="宋体" w:cs="宋体"/>
          <w:color w:val="auto"/>
          <w:kern w:val="0"/>
          <w:sz w:val="24"/>
          <w:u w:val="single"/>
        </w:rPr>
        <w:t xml:space="preserve">                                                                    </w:t>
      </w:r>
    </w:p>
    <w:p w14:paraId="681B9798">
      <w:pPr>
        <w:widowControl/>
        <w:spacing w:line="540" w:lineRule="exact"/>
        <w:jc w:val="left"/>
        <w:rPr>
          <w:rFonts w:ascii="宋体" w:hAnsi="宋体" w:cs="宋体"/>
          <w:color w:val="auto"/>
          <w:kern w:val="0"/>
          <w:sz w:val="24"/>
          <w:u w:val="single"/>
        </w:rPr>
      </w:pPr>
      <w:r>
        <w:rPr>
          <w:rFonts w:hint="eastAsia" w:ascii="宋体" w:hAnsi="宋体" w:cs="宋体"/>
          <w:color w:val="auto"/>
          <w:kern w:val="0"/>
          <w:sz w:val="24"/>
        </w:rPr>
        <w:t>统一社会信用代码：</w:t>
      </w:r>
      <w:r>
        <w:rPr>
          <w:rFonts w:ascii="宋体" w:hAnsi="宋体" w:cs="宋体"/>
          <w:color w:val="auto"/>
          <w:kern w:val="0"/>
          <w:sz w:val="24"/>
          <w:u w:val="single"/>
        </w:rPr>
        <w:t xml:space="preserve">                               </w:t>
      </w:r>
      <w:r>
        <w:rPr>
          <w:rFonts w:hint="eastAsia" w:ascii="宋体" w:hAnsi="宋体" w:cs="宋体"/>
          <w:color w:val="auto"/>
          <w:kern w:val="0"/>
          <w:sz w:val="24"/>
        </w:rPr>
        <w:t>法人代表：</w:t>
      </w:r>
      <w:r>
        <w:rPr>
          <w:rFonts w:ascii="宋体" w:hAnsi="宋体" w:cs="宋体"/>
          <w:color w:val="auto"/>
          <w:kern w:val="0"/>
          <w:sz w:val="24"/>
          <w:u w:val="single"/>
        </w:rPr>
        <w:t xml:space="preserve">                 </w:t>
      </w:r>
    </w:p>
    <w:p w14:paraId="5BD2FA07">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在本项目标段招投标活动中，我公司（单位）自愿作出以下投标信用承诺：</w:t>
      </w:r>
    </w:p>
    <w:p w14:paraId="1B690F4A">
      <w:pPr>
        <w:widowControl/>
        <w:adjustRightInd w:val="0"/>
        <w:snapToGrid w:val="0"/>
        <w:spacing w:line="540" w:lineRule="exact"/>
        <w:ind w:firstLine="480" w:firstLineChars="200"/>
        <w:jc w:val="left"/>
        <w:rPr>
          <w:rFonts w:ascii="宋体" w:hAnsi="宋体" w:cs="宋体"/>
          <w:color w:val="auto"/>
          <w:kern w:val="0"/>
          <w:sz w:val="24"/>
        </w:rPr>
      </w:pPr>
      <w:r>
        <w:rPr>
          <w:rFonts w:hint="eastAsia" w:ascii="宋体" w:hAnsi="宋体" w:cs="宋体"/>
          <w:color w:val="auto"/>
          <w:kern w:val="0"/>
          <w:sz w:val="24"/>
        </w:rPr>
        <w:t>（一）能严格遵守法律法规、职业道德和行业规范。</w:t>
      </w:r>
    </w:p>
    <w:p w14:paraId="767C99A0">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（二）不得有以下违法违规行为：</w:t>
      </w:r>
      <w:r>
        <w:rPr>
          <w:rFonts w:ascii="宋体" w:hAnsi="宋体" w:cs="宋体"/>
          <w:color w:val="auto"/>
          <w:kern w:val="0"/>
          <w:sz w:val="24"/>
        </w:rPr>
        <w:t>1.</w:t>
      </w:r>
      <w:r>
        <w:rPr>
          <w:rFonts w:hint="eastAsia" w:ascii="宋体" w:hAnsi="宋体" w:cs="宋体"/>
          <w:color w:val="auto"/>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color w:val="auto"/>
          <w:kern w:val="0"/>
          <w:sz w:val="24"/>
        </w:rPr>
        <w:t>2.</w:t>
      </w:r>
      <w:r>
        <w:rPr>
          <w:rFonts w:hint="eastAsia" w:ascii="宋体" w:hAnsi="宋体" w:cs="宋体"/>
          <w:color w:val="auto"/>
          <w:kern w:val="0"/>
          <w:sz w:val="24"/>
        </w:rPr>
        <w:t>向招投标监督部门、交易中心、招标人、招标代理机构、评审委员会及其成员等当事主体赠送财物。</w:t>
      </w:r>
      <w:r>
        <w:rPr>
          <w:rFonts w:ascii="宋体" w:hAnsi="宋体" w:cs="宋体"/>
          <w:color w:val="auto"/>
          <w:kern w:val="0"/>
          <w:sz w:val="24"/>
        </w:rPr>
        <w:t>3.</w:t>
      </w:r>
      <w:r>
        <w:rPr>
          <w:rFonts w:hint="eastAsia" w:ascii="宋体" w:hAnsi="宋体" w:cs="宋体"/>
          <w:color w:val="auto"/>
          <w:kern w:val="0"/>
          <w:sz w:val="24"/>
        </w:rPr>
        <w:t>投标截止后至中标人确定前，修改或者撤销投标文件。</w:t>
      </w:r>
      <w:r>
        <w:rPr>
          <w:rFonts w:ascii="宋体" w:hAnsi="宋体" w:cs="宋体"/>
          <w:color w:val="auto"/>
          <w:kern w:val="0"/>
          <w:sz w:val="24"/>
        </w:rPr>
        <w:t>4.</w:t>
      </w:r>
      <w:r>
        <w:rPr>
          <w:rFonts w:hint="eastAsia" w:ascii="宋体" w:hAnsi="宋体" w:cs="宋体"/>
          <w:color w:val="auto"/>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color w:val="auto"/>
          <w:kern w:val="0"/>
          <w:sz w:val="24"/>
        </w:rPr>
        <w:t>5.</w:t>
      </w:r>
      <w:r>
        <w:rPr>
          <w:rFonts w:hint="eastAsia" w:ascii="宋体" w:hAnsi="宋体" w:cs="宋体"/>
          <w:color w:val="auto"/>
          <w:kern w:val="0"/>
          <w:sz w:val="24"/>
        </w:rPr>
        <w:t>招投标法规定的其它违法违规行为。</w:t>
      </w:r>
    </w:p>
    <w:p w14:paraId="08908903">
      <w:pPr>
        <w:widowControl/>
        <w:adjustRightInd w:val="0"/>
        <w:snapToGrid w:val="0"/>
        <w:spacing w:line="540" w:lineRule="exact"/>
        <w:ind w:firstLine="480" w:firstLineChars="200"/>
        <w:jc w:val="left"/>
        <w:rPr>
          <w:rFonts w:ascii="宋体" w:cs="宋体"/>
          <w:color w:val="auto"/>
          <w:kern w:val="0"/>
          <w:sz w:val="24"/>
        </w:rPr>
      </w:pPr>
      <w:r>
        <w:rPr>
          <w:rFonts w:hint="eastAsia" w:ascii="宋体" w:hAnsi="宋体" w:cs="宋体"/>
          <w:color w:val="auto"/>
          <w:kern w:val="0"/>
          <w:sz w:val="24"/>
        </w:rPr>
        <w:t>（三）若我公司（单位）及相关参与人员违背以上承诺事项，即被视为失信企业（法人），依据《关于对公共资源交易领域严重失信主体开展联合惩戒的备忘录》（发改法规</w:t>
      </w:r>
      <w:r>
        <w:rPr>
          <w:rFonts w:ascii="宋体" w:hAnsi="宋体" w:cs="宋体"/>
          <w:color w:val="auto"/>
          <w:kern w:val="0"/>
          <w:sz w:val="24"/>
        </w:rPr>
        <w:t>[2018]457</w:t>
      </w:r>
      <w:r>
        <w:rPr>
          <w:rFonts w:hint="eastAsia" w:ascii="宋体" w:hAnsi="宋体" w:cs="宋体"/>
          <w:color w:val="auto"/>
          <w:kern w:val="0"/>
          <w:sz w:val="24"/>
        </w:rPr>
        <w:t>号），自愿接受</w:t>
      </w:r>
      <w:r>
        <w:rPr>
          <w:rFonts w:ascii="宋体" w:hAnsi="宋体" w:cs="宋体"/>
          <w:color w:val="auto"/>
          <w:kern w:val="0"/>
          <w:sz w:val="24"/>
        </w:rPr>
        <w:t>1</w:t>
      </w:r>
      <w:r>
        <w:rPr>
          <w:rFonts w:hint="eastAsia" w:ascii="宋体" w:hAnsi="宋体" w:cs="宋体"/>
          <w:color w:val="auto"/>
          <w:kern w:val="0"/>
          <w:sz w:val="24"/>
        </w:rPr>
        <w:t>至</w:t>
      </w:r>
      <w:r>
        <w:rPr>
          <w:rFonts w:ascii="宋体" w:hAnsi="宋体" w:cs="宋体"/>
          <w:color w:val="auto"/>
          <w:kern w:val="0"/>
          <w:sz w:val="24"/>
        </w:rPr>
        <w:t>3</w:t>
      </w:r>
      <w:r>
        <w:rPr>
          <w:rFonts w:hint="eastAsia" w:ascii="宋体" w:hAnsi="宋体" w:cs="宋体"/>
          <w:color w:val="auto"/>
          <w:kern w:val="0"/>
          <w:sz w:val="24"/>
        </w:rPr>
        <w:t>年内限制参与公共资源交易活动。</w:t>
      </w:r>
    </w:p>
    <w:p w14:paraId="1DCE9ADE">
      <w:pPr>
        <w:widowControl/>
        <w:adjustRightInd w:val="0"/>
        <w:snapToGrid w:val="0"/>
        <w:spacing w:line="540" w:lineRule="exact"/>
        <w:ind w:firstLine="480" w:firstLineChars="200"/>
        <w:jc w:val="left"/>
        <w:rPr>
          <w:rFonts w:ascii="宋体" w:hAnsi="宋体" w:cs="宋体"/>
          <w:color w:val="auto"/>
          <w:kern w:val="0"/>
          <w:sz w:val="24"/>
        </w:rPr>
      </w:pPr>
    </w:p>
    <w:p w14:paraId="1B5CF2F4">
      <w:pPr>
        <w:widowControl/>
        <w:tabs>
          <w:tab w:val="left" w:pos="4395"/>
        </w:tabs>
        <w:adjustRightInd w:val="0"/>
        <w:snapToGrid w:val="0"/>
        <w:spacing w:line="500" w:lineRule="exact"/>
        <w:ind w:firstLine="480" w:firstLineChars="200"/>
        <w:jc w:val="left"/>
        <w:rPr>
          <w:rFonts w:ascii="宋体" w:cs="宋体"/>
          <w:color w:val="auto"/>
          <w:kern w:val="0"/>
          <w:sz w:val="24"/>
        </w:rPr>
      </w:pPr>
      <w:r>
        <w:rPr>
          <w:rFonts w:hint="eastAsia" w:ascii="宋体" w:hAnsi="宋体" w:cs="宋体"/>
          <w:color w:val="auto"/>
          <w:kern w:val="0"/>
          <w:sz w:val="24"/>
        </w:rPr>
        <w:t>法定代表人（签章）：</w:t>
      </w:r>
      <w:r>
        <w:rPr>
          <w:rFonts w:ascii="宋体" w:hAnsi="宋体" w:cs="宋体"/>
          <w:color w:val="auto"/>
          <w:kern w:val="0"/>
          <w:sz w:val="24"/>
        </w:rPr>
        <w:t xml:space="preserve">             </w:t>
      </w:r>
      <w:r>
        <w:rPr>
          <w:rFonts w:hint="eastAsia" w:ascii="宋体" w:hAnsi="宋体" w:cs="宋体"/>
          <w:color w:val="auto"/>
          <w:kern w:val="0"/>
          <w:sz w:val="24"/>
        </w:rPr>
        <w:t>投标人（盖章）：</w:t>
      </w:r>
    </w:p>
    <w:p w14:paraId="4422CE03">
      <w:pPr>
        <w:adjustRightInd w:val="0"/>
        <w:snapToGrid w:val="0"/>
        <w:spacing w:line="500" w:lineRule="exact"/>
        <w:rPr>
          <w:rFonts w:ascii="宋体" w:hAnsi="宋体" w:cs="宋体"/>
          <w:b/>
          <w:color w:val="auto"/>
          <w:kern w:val="0"/>
          <w:sz w:val="24"/>
        </w:rPr>
      </w:pPr>
    </w:p>
    <w:p w14:paraId="2C909F36">
      <w:pPr>
        <w:adjustRightInd w:val="0"/>
        <w:snapToGrid w:val="0"/>
        <w:spacing w:line="500" w:lineRule="exact"/>
        <w:ind w:firstLine="4440" w:firstLineChars="1850"/>
        <w:rPr>
          <w:rFonts w:ascii="宋体" w:hAnsi="宋体" w:cs="宋体"/>
          <w:b/>
          <w:color w:val="auto"/>
          <w:kern w:val="0"/>
          <w:sz w:val="24"/>
        </w:rPr>
      </w:pPr>
      <w:r>
        <w:rPr>
          <w:rFonts w:hint="eastAsia" w:ascii="宋体" w:hAnsi="宋体" w:cs="宋体"/>
          <w:color w:val="auto"/>
          <w:kern w:val="0"/>
          <w:sz w:val="24"/>
        </w:rPr>
        <w:t>承诺时间：</w:t>
      </w:r>
      <w:r>
        <w:rPr>
          <w:rFonts w:ascii="宋体" w:hAnsi="宋体" w:cs="宋体"/>
          <w:color w:val="auto"/>
          <w:kern w:val="0"/>
          <w:sz w:val="24"/>
          <w:u w:val="single"/>
        </w:rPr>
        <w:t xml:space="preserve">       </w:t>
      </w:r>
      <w:r>
        <w:rPr>
          <w:rFonts w:hint="eastAsia" w:ascii="宋体" w:hAnsi="宋体" w:cs="宋体"/>
          <w:color w:val="auto"/>
          <w:kern w:val="0"/>
          <w:sz w:val="24"/>
        </w:rPr>
        <w:t>年</w:t>
      </w:r>
      <w:r>
        <w:rPr>
          <w:rFonts w:ascii="宋体" w:hAnsi="宋体" w:cs="宋体"/>
          <w:color w:val="auto"/>
          <w:kern w:val="0"/>
          <w:sz w:val="24"/>
          <w:u w:val="single"/>
        </w:rPr>
        <w:t xml:space="preserve">     </w:t>
      </w:r>
      <w:r>
        <w:rPr>
          <w:rFonts w:hint="eastAsia" w:ascii="宋体" w:hAnsi="宋体" w:cs="宋体"/>
          <w:color w:val="auto"/>
          <w:kern w:val="0"/>
          <w:sz w:val="24"/>
        </w:rPr>
        <w:t>月</w:t>
      </w:r>
      <w:r>
        <w:rPr>
          <w:rFonts w:ascii="宋体" w:hAnsi="宋体" w:cs="宋体"/>
          <w:color w:val="auto"/>
          <w:kern w:val="0"/>
          <w:sz w:val="24"/>
          <w:u w:val="single"/>
        </w:rPr>
        <w:t xml:space="preserve">     </w:t>
      </w:r>
      <w:r>
        <w:rPr>
          <w:rFonts w:hint="eastAsia" w:ascii="宋体" w:hAnsi="宋体" w:cs="宋体"/>
          <w:color w:val="auto"/>
          <w:kern w:val="0"/>
          <w:sz w:val="24"/>
        </w:rPr>
        <w:t>日</w:t>
      </w:r>
    </w:p>
    <w:p w14:paraId="1F79E1B1">
      <w:pPr>
        <w:pStyle w:val="3"/>
        <w:spacing w:line="240" w:lineRule="auto"/>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 </w:t>
      </w:r>
    </w:p>
    <w:p w14:paraId="206BC950">
      <w:pPr>
        <w:pStyle w:val="3"/>
        <w:spacing w:line="240" w:lineRule="auto"/>
        <w:jc w:val="center"/>
        <w:rPr>
          <w:rFonts w:hint="eastAsia" w:ascii="宋体" w:hAnsi="宋体" w:eastAsia="宋体" w:cs="宋体"/>
          <w:color w:val="auto"/>
          <w:kern w:val="0"/>
          <w:sz w:val="24"/>
          <w:lang w:val="en-US" w:eastAsia="zh-CN"/>
        </w:rPr>
      </w:pPr>
    </w:p>
    <w:p w14:paraId="0CD83865">
      <w:pPr>
        <w:pStyle w:val="3"/>
        <w:spacing w:line="240" w:lineRule="auto"/>
        <w:jc w:val="center"/>
        <w:rPr>
          <w:rFonts w:hint="eastAsia" w:ascii="宋体" w:hAnsi="宋体" w:eastAsia="宋体" w:cs="宋体"/>
          <w:b/>
          <w:color w:val="auto"/>
          <w:kern w:val="0"/>
          <w:sz w:val="24"/>
          <w:lang w:val="en-US" w:eastAsia="zh-CN"/>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说明：本承诺书效力和作用等</w:t>
      </w:r>
      <w:r>
        <w:rPr>
          <w:rFonts w:hint="eastAsia" w:ascii="宋体" w:hAnsi="宋体" w:eastAsia="宋体" w:cs="宋体"/>
          <w:b/>
          <w:color w:val="auto"/>
          <w:kern w:val="0"/>
          <w:sz w:val="24"/>
        </w:rPr>
        <w:t>同投标保证金，其有效期与投标有效期一致</w:t>
      </w:r>
      <w:r>
        <w:rPr>
          <w:rFonts w:hint="eastAsia" w:ascii="宋体" w:hAnsi="宋体" w:eastAsia="宋体" w:cs="宋体"/>
          <w:b/>
          <w:color w:val="auto"/>
          <w:kern w:val="0"/>
          <w:sz w:val="24"/>
          <w:lang w:eastAsia="zh-CN"/>
        </w:rPr>
        <w:t>。</w:t>
      </w:r>
    </w:p>
    <w:p w14:paraId="7406127B"/>
    <w:p w14:paraId="731AE2A6"/>
    <w:p w14:paraId="75F4A6AE"/>
    <w:p w14:paraId="3FC52C26">
      <w:pPr>
        <w:shd w:val="clear" w:color="auto" w:fill="auto"/>
        <w:spacing w:line="360" w:lineRule="auto"/>
        <w:jc w:val="both"/>
        <w:rPr>
          <w:rFonts w:hint="eastAsia" w:ascii="宋体" w:hAnsi="宋体" w:eastAsia="宋体" w:cs="宋体"/>
          <w:b/>
          <w:bCs/>
          <w:color w:val="auto"/>
          <w:sz w:val="24"/>
          <w:szCs w:val="22"/>
          <w:highlight w:val="none"/>
        </w:rPr>
      </w:pPr>
    </w:p>
    <w:p w14:paraId="6098A5EE">
      <w:pPr>
        <w:shd w:val="clear" w:color="auto" w:fill="auto"/>
        <w:spacing w:line="360" w:lineRule="auto"/>
        <w:jc w:val="both"/>
        <w:rPr>
          <w:rFonts w:hint="eastAsia" w:ascii="宋体" w:hAnsi="宋体" w:eastAsia="宋体" w:cs="宋体"/>
          <w:b/>
          <w:bCs/>
          <w:color w:val="auto"/>
          <w:sz w:val="24"/>
          <w:szCs w:val="22"/>
          <w:highlight w:val="none"/>
        </w:rPr>
      </w:pPr>
    </w:p>
    <w:p w14:paraId="0BF03707">
      <w:pPr>
        <w:shd w:val="clear" w:color="auto" w:fill="auto"/>
        <w:spacing w:line="360" w:lineRule="auto"/>
        <w:jc w:val="both"/>
        <w:rPr>
          <w:rFonts w:hint="eastAsia" w:ascii="宋体" w:hAnsi="宋体" w:eastAsia="宋体" w:cs="宋体"/>
          <w:b/>
          <w:bCs/>
          <w:color w:val="auto"/>
          <w:sz w:val="24"/>
          <w:szCs w:val="22"/>
          <w:highlight w:val="none"/>
          <w:lang w:eastAsia="zh-CN"/>
        </w:rPr>
      </w:pPr>
      <w:r>
        <w:rPr>
          <w:rFonts w:hint="eastAsia" w:ascii="宋体" w:hAnsi="宋体" w:eastAsia="宋体" w:cs="宋体"/>
          <w:b/>
          <w:bCs/>
          <w:color w:val="auto"/>
          <w:sz w:val="24"/>
          <w:szCs w:val="22"/>
          <w:highlight w:val="none"/>
        </w:rPr>
        <w:t>附件：</w:t>
      </w:r>
      <w:r>
        <w:rPr>
          <w:rFonts w:hint="eastAsia" w:ascii="宋体" w:hAnsi="宋体" w:eastAsia="宋体" w:cs="宋体"/>
          <w:b/>
          <w:bCs/>
          <w:color w:val="auto"/>
          <w:sz w:val="24"/>
          <w:szCs w:val="22"/>
          <w:highlight w:val="none"/>
          <w:lang w:eastAsia="zh-CN"/>
        </w:rPr>
        <w:t>信用承诺上报操作指南</w:t>
      </w:r>
    </w:p>
    <w:p w14:paraId="02A6EA78">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操作指南</w:t>
      </w:r>
    </w:p>
    <w:p w14:paraId="1A30240F">
      <w:pPr>
        <w:pStyle w:val="38"/>
        <w:ind w:left="0" w:leftChars="0" w:firstLine="0" w:firstLineChars="0"/>
        <w:rPr>
          <w:rFonts w:hint="default"/>
          <w:b/>
          <w:bCs/>
          <w:lang w:val="en-US" w:eastAsia="zh-CN"/>
        </w:rPr>
      </w:pPr>
      <w:r>
        <w:rPr>
          <w:rFonts w:hint="eastAsia" w:ascii="宋体" w:hAnsi="宋体" w:eastAsia="宋体" w:cs="宋体"/>
          <w:color w:val="auto"/>
          <w:lang w:val="en-US" w:eastAsia="zh-CN"/>
        </w:rPr>
        <w:drawing>
          <wp:inline distT="0" distB="0" distL="114300" distR="114300">
            <wp:extent cx="5676265" cy="3564890"/>
            <wp:effectExtent l="0" t="0" r="635" b="16510"/>
            <wp:docPr id="5" name="图片 1" descr="2068b17ab7a423a7fe6b5eb44d1c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2068b17ab7a423a7fe6b5eb44d1c156"/>
                    <pic:cNvPicPr>
                      <a:picLocks noChangeAspect="1"/>
                    </pic:cNvPicPr>
                  </pic:nvPicPr>
                  <pic:blipFill>
                    <a:blip r:embed="rId15"/>
                    <a:stretch>
                      <a:fillRect/>
                    </a:stretch>
                  </pic:blipFill>
                  <pic:spPr>
                    <a:xfrm>
                      <a:off x="0" y="0"/>
                      <a:ext cx="5676265" cy="3564890"/>
                    </a:xfrm>
                    <a:prstGeom prst="rect">
                      <a:avLst/>
                    </a:prstGeom>
                    <a:noFill/>
                    <a:ln>
                      <a:noFill/>
                    </a:ln>
                  </pic:spPr>
                </pic:pic>
              </a:graphicData>
            </a:graphic>
          </wp:inline>
        </w:drawing>
      </w:r>
    </w:p>
    <w:p w14:paraId="1FCDB62A">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r>
        <w:drawing>
          <wp:inline distT="0" distB="0" distL="114300" distR="114300">
            <wp:extent cx="5700395" cy="3401060"/>
            <wp:effectExtent l="0" t="0" r="1460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5700395" cy="3401060"/>
                    </a:xfrm>
                    <a:prstGeom prst="rect">
                      <a:avLst/>
                    </a:prstGeom>
                    <a:noFill/>
                    <a:ln>
                      <a:noFill/>
                    </a:ln>
                  </pic:spPr>
                </pic:pic>
              </a:graphicData>
            </a:graphic>
          </wp:inline>
        </w:drawing>
      </w:r>
    </w:p>
    <w:p w14:paraId="4E9C8042">
      <w:pPr>
        <w:pStyle w:val="38"/>
      </w:pPr>
      <w:r>
        <w:drawing>
          <wp:inline distT="0" distB="0" distL="114300" distR="114300">
            <wp:extent cx="5723890" cy="3676650"/>
            <wp:effectExtent l="0" t="0" r="1016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5723890" cy="3676650"/>
                    </a:xfrm>
                    <a:prstGeom prst="rect">
                      <a:avLst/>
                    </a:prstGeom>
                    <a:noFill/>
                    <a:ln>
                      <a:noFill/>
                    </a:ln>
                  </pic:spPr>
                </pic:pic>
              </a:graphicData>
            </a:graphic>
          </wp:inline>
        </w:drawing>
      </w:r>
      <w:r>
        <w:drawing>
          <wp:inline distT="0" distB="0" distL="114300" distR="114300">
            <wp:extent cx="5723890" cy="2724785"/>
            <wp:effectExtent l="0" t="0" r="10160" b="1841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8"/>
                    <a:stretch>
                      <a:fillRect/>
                    </a:stretch>
                  </pic:blipFill>
                  <pic:spPr>
                    <a:xfrm>
                      <a:off x="0" y="0"/>
                      <a:ext cx="5723890" cy="2724785"/>
                    </a:xfrm>
                    <a:prstGeom prst="rect">
                      <a:avLst/>
                    </a:prstGeom>
                    <a:noFill/>
                    <a:ln>
                      <a:noFill/>
                    </a:ln>
                  </pic:spPr>
                </pic:pic>
              </a:graphicData>
            </a:graphic>
          </wp:inline>
        </w:drawing>
      </w:r>
      <w:r>
        <w:drawing>
          <wp:inline distT="0" distB="0" distL="114300" distR="114300">
            <wp:extent cx="5715635" cy="2556510"/>
            <wp:effectExtent l="0" t="0" r="18415" b="1524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9"/>
                    <a:stretch>
                      <a:fillRect/>
                    </a:stretch>
                  </pic:blipFill>
                  <pic:spPr>
                    <a:xfrm>
                      <a:off x="0" y="0"/>
                      <a:ext cx="5715635" cy="2556510"/>
                    </a:xfrm>
                    <a:prstGeom prst="rect">
                      <a:avLst/>
                    </a:prstGeom>
                    <a:noFill/>
                    <a:ln>
                      <a:noFill/>
                    </a:ln>
                  </pic:spPr>
                </pic:pic>
              </a:graphicData>
            </a:graphic>
          </wp:inline>
        </w:drawing>
      </w:r>
    </w:p>
    <w:sectPr>
      <w:pgSz w:w="11906" w:h="16838"/>
      <w:pgMar w:top="1157" w:right="1703" w:bottom="1157" w:left="1701"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SourceHanSansCN-Regular">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AGYXIQ+Frutiger-Cn">
    <w:altName w:val="宋体"/>
    <w:panose1 w:val="020B0604020202020204"/>
    <w:charset w:val="86"/>
    <w:family w:val="swiss"/>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思源宋体 CN Light">
    <w:altName w:val="宋体"/>
    <w:panose1 w:val="02020300000000000000"/>
    <w:charset w:val="00"/>
    <w:family w:val="auto"/>
    <w:pitch w:val="default"/>
    <w:sig w:usb0="00000000" w:usb1="00000000" w:usb2="00000016" w:usb3="00000000" w:csb0="60060107"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F4597">
    <w:pPr>
      <w:pStyle w:val="14"/>
      <w:tabs>
        <w:tab w:val="left" w:pos="5022"/>
        <w:tab w:val="clear" w:pos="4153"/>
        <w:tab w:val="clear" w:pos="830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5CDC9">
    <w:pPr>
      <w:pStyle w:val="14"/>
      <w:tabs>
        <w:tab w:val="left" w:pos="5022"/>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6D6E4D0">
                          <w:pPr>
                            <w:pStyle w:val="14"/>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ENr589gBAACyAwAADgAAAAAAAAAB&#10;ACAAAAAiAQAAZHJzL2Uyb0RvYy54bWxQSwUGAAAAAAYABgBZAQAAbAUAAAAA&#10;">
              <v:fill on="f" focussize="0,0"/>
              <v:stroke on="f" weight="1.25pt"/>
              <v:imagedata o:title=""/>
              <o:lock v:ext="edit" aspectratio="f"/>
              <v:textbox inset="0mm,0mm,0mm,0mm" style="mso-fit-shape-to-text:t;">
                <w:txbxContent>
                  <w:p w14:paraId="56D6E4D0">
                    <w:pPr>
                      <w:pStyle w:val="14"/>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6917E">
    <w:pPr>
      <w:pStyle w:val="14"/>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779597C">
                          <w:pPr>
                            <w:pStyle w:val="14"/>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X0wjc0BAACoAwAADgAAAAAAAAABACAAAAAeAQAAZHJzL2Uy&#10;b0RvYy54bWxQSwUGAAAAAAYABgBZAQAAXQUAAAAA&#10;">
              <v:fill on="f" focussize="0,0"/>
              <v:stroke on="f"/>
              <v:imagedata o:title=""/>
              <o:lock v:ext="edit" aspectratio="f"/>
              <v:textbox inset="0mm,0mm,0mm,0mm" style="mso-fit-shape-to-text:t;">
                <w:txbxContent>
                  <w:p w14:paraId="0779597C">
                    <w:pPr>
                      <w:pStyle w:val="14"/>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FC623">
    <w:pPr>
      <w:pStyle w:val="14"/>
      <w:tabs>
        <w:tab w:val="left" w:pos="5022"/>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23950" cy="1828800"/>
              <wp:effectExtent l="0" t="0" r="0" b="0"/>
              <wp:wrapNone/>
              <wp:docPr id="15" name="文本框 11"/>
              <wp:cNvGraphicFramePr/>
              <a:graphic xmlns:a="http://schemas.openxmlformats.org/drawingml/2006/main">
                <a:graphicData uri="http://schemas.microsoft.com/office/word/2010/wordprocessingShape">
                  <wps:wsp>
                    <wps:cNvSpPr txBox="1"/>
                    <wps:spPr>
                      <a:xfrm>
                        <a:off x="0" y="0"/>
                        <a:ext cx="1123950" cy="1828800"/>
                      </a:xfrm>
                      <a:prstGeom prst="rect">
                        <a:avLst/>
                      </a:prstGeom>
                      <a:noFill/>
                      <a:ln w="15875">
                        <a:noFill/>
                      </a:ln>
                      <a:effectLst/>
                    </wps:spPr>
                    <wps:txbx>
                      <w:txbxContent>
                        <w:p w14:paraId="5939A57C">
                          <w:pPr>
                            <w:pStyle w:val="14"/>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lIns="0" tIns="0" rIns="0" bIns="0" upright="0">
                      <a:spAutoFit/>
                    </wps:bodyPr>
                  </wps:wsp>
                </a:graphicData>
              </a:graphic>
            </wp:anchor>
          </w:drawing>
        </mc:Choice>
        <mc:Fallback>
          <w:pict>
            <v:shape id="文本框 11" o:spid="_x0000_s1026" o:spt="202" type="#_x0000_t202" style="position:absolute;left:0pt;margin-top:0pt;height:144pt;width:88.5pt;mso-position-horizontal:center;mso-position-horizontal-relative:margin;z-index:251661312;mso-width-relative:page;mso-height-relative:page;" filled="f" stroked="f" coordsize="21600,21600" o:gfxdata="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HcfKdQAAAAFAQAADwAAAAAAAAABACAAAAAi&#10;AAAAZHJzL2Rvd25yZXYueG1sUEsBAhQAFAAAAAgAh07iQKsnbRfVAQAApwMAAA4AAAAAAAAAAQAg&#10;AAAAIwEAAGRycy9lMm9Eb2MueG1sUEsFBgAAAAAGAAYAWQEAAGoFAAAAAA==&#10;">
              <v:fill on="f" focussize="0,0"/>
              <v:stroke on="f" weight="1.25pt"/>
              <v:imagedata o:title=""/>
              <o:lock v:ext="edit" aspectratio="f"/>
              <v:textbox inset="0mm,0mm,0mm,0mm" style="mso-fit-shape-to-text:t;">
                <w:txbxContent>
                  <w:p w14:paraId="5939A57C">
                    <w:pPr>
                      <w:pStyle w:val="14"/>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09F1D">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1A4CC22">
                          <w:pPr>
                            <w:pStyle w:val="14"/>
                          </w:pPr>
                          <w:r>
                            <w:rPr>
                              <w:rFonts w:hint="eastAsia"/>
                            </w:rPr>
                            <w:t xml:space="preserve">第 </w:t>
                          </w:r>
                          <w:r>
                            <w:fldChar w:fldCharType="begin"/>
                          </w:r>
                          <w:r>
                            <w:instrText xml:space="preserve"> PAGE  \* MERGEFORMAT </w:instrText>
                          </w:r>
                          <w:r>
                            <w:fldChar w:fldCharType="separate"/>
                          </w:r>
                          <w:r>
                            <w:t>35</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CrNl0V1wEAALMDAAAOAAAAAAAAAAEA&#10;IAAAACIBAABkcnMvZTJvRG9jLnhtbFBLBQYAAAAABgAGAFkBAABrBQAAAAA=&#10;">
              <v:fill on="f" focussize="0,0"/>
              <v:stroke on="f" weight="1.25pt"/>
              <v:imagedata o:title=""/>
              <o:lock v:ext="edit" aspectratio="f"/>
              <v:textbox inset="0mm,0mm,0mm,0mm" style="mso-fit-shape-to-text:t;">
                <w:txbxContent>
                  <w:p w14:paraId="31A4CC22">
                    <w:pPr>
                      <w:pStyle w:val="14"/>
                    </w:pPr>
                    <w:r>
                      <w:rPr>
                        <w:rFonts w:hint="eastAsia"/>
                      </w:rPr>
                      <w:t xml:space="preserve">第 </w:t>
                    </w:r>
                    <w:r>
                      <w:fldChar w:fldCharType="begin"/>
                    </w:r>
                    <w:r>
                      <w:instrText xml:space="preserve"> PAGE  \* MERGEFORMAT </w:instrText>
                    </w:r>
                    <w:r>
                      <w:fldChar w:fldCharType="separate"/>
                    </w:r>
                    <w:r>
                      <w:t>35</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r>
      <w:rPr>
        <w:rFonts w:hint="eastAsia"/>
      </w:rPr>
      <w:t xml:space="preserve">                                             </w:t>
    </w:r>
    <w:r>
      <w:rPr>
        <w:rFonts w:hint="eastAsia"/>
        <w:sz w:val="16"/>
        <w:szCs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21E07">
    <w:pPr>
      <w:pStyle w:val="14"/>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6FD37F6">
                          <w:pPr>
                            <w:pStyle w:val="14"/>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IUtONgBAACzAwAADgAAAAAAAAAB&#10;ACAAAAAiAQAAZHJzL2Uyb0RvYy54bWxQSwUGAAAAAAYABgBZAQAAbAUAAAAA&#10;">
              <v:fill on="f" focussize="0,0"/>
              <v:stroke on="f" weight="1.25pt"/>
              <v:imagedata o:title=""/>
              <o:lock v:ext="edit" aspectratio="f"/>
              <v:textbox inset="0mm,0mm,0mm,0mm" style="mso-fit-shape-to-text:t;">
                <w:txbxContent>
                  <w:p w14:paraId="46FD37F6">
                    <w:pPr>
                      <w:pStyle w:val="14"/>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1A251">
    <w:pPr>
      <w:pStyle w:val="16"/>
      <w:pBdr>
        <w:bottom w:val="none" w:color="auto" w:sz="0" w:space="1"/>
      </w:pBdr>
      <w:tabs>
        <w:tab w:val="left" w:pos="7864"/>
        <w:tab w:val="clear" w:pos="4153"/>
      </w:tabs>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9698B">
    <w:pPr>
      <w:pStyle w:val="16"/>
      <w:jc w:val="left"/>
    </w:pPr>
    <w:r>
      <w:rPr>
        <w:rFonts w:hint="eastAsia"/>
        <w:szCs w:val="18"/>
        <w:lang w:eastAsia="zh-CN"/>
      </w:rPr>
      <w:t>榆林市恒易达工程项目管理有限公司</w:t>
    </w:r>
    <w:r>
      <w:rPr>
        <w:rFonts w:hint="eastAsia"/>
        <w:szCs w:val="18"/>
      </w:rPr>
      <w:t xml:space="preserve">                                                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CCA91">
    <w:pPr>
      <w:pStyle w:val="16"/>
      <w:pBdr>
        <w:bottom w:val="none" w:color="auto" w:sz="0" w:space="1"/>
      </w:pBdr>
      <w:tabs>
        <w:tab w:val="left" w:pos="7864"/>
        <w:tab w:val="clear" w:pos="4153"/>
      </w:tabs>
      <w:jc w:val="left"/>
      <w:rPr>
        <w:sz w:val="10"/>
        <w:szCs w:val="10"/>
        <w:u w:val="single"/>
      </w:rPr>
    </w:pPr>
    <w:r>
      <w:rPr>
        <w:rFonts w:hint="eastAsia" w:ascii="宋体" w:hAnsi="宋体" w:cs="宋体"/>
        <w:sz w:val="15"/>
        <w:szCs w:val="15"/>
        <w:u w:val="single"/>
        <w:lang w:eastAsia="zh-CN"/>
      </w:rPr>
      <w:t>榆林市恒易达工程项目管理有限公司</w:t>
    </w:r>
    <w:r>
      <w:rPr>
        <w:rFonts w:hint="eastAsia" w:ascii="宋体" w:hAnsi="宋体" w:cs="宋体"/>
        <w:sz w:val="15"/>
        <w:szCs w:val="15"/>
        <w:u w:val="single"/>
      </w:rPr>
      <w:t xml:space="preserve">                                                                   竞争性谈判文件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07942">
    <w:pPr>
      <w:pStyle w:val="16"/>
      <w:jc w:val="left"/>
    </w:pPr>
    <w:r>
      <w:rPr>
        <w:rFonts w:hint="eastAsia"/>
        <w:szCs w:val="18"/>
        <w:lang w:eastAsia="zh-CN"/>
      </w:rPr>
      <w:t>榆林市恒易达工程项目管理有限公司</w:t>
    </w:r>
    <w:r>
      <w:rPr>
        <w:rFonts w:hint="eastAsia"/>
        <w:szCs w:val="18"/>
      </w:rPr>
      <w:t xml:space="preserve">                                             竞争性谈判文件</w:t>
    </w:r>
  </w:p>
  <w:p w14:paraId="5FE3F56E">
    <w:pPr>
      <w:pStyle w:val="16"/>
      <w:pBdr>
        <w:bottom w:val="none" w:color="auto" w:sz="0" w:space="1"/>
      </w:pBdr>
      <w:tabs>
        <w:tab w:val="left" w:pos="7864"/>
        <w:tab w:val="clear" w:pos="4153"/>
      </w:tabs>
      <w:rPr>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871B8">
    <w:pPr>
      <w:pStyle w:val="16"/>
      <w:jc w:val="left"/>
    </w:pPr>
    <w:r>
      <w:rPr>
        <w:rFonts w:hint="eastAsia"/>
        <w:szCs w:val="18"/>
        <w:lang w:eastAsia="zh-CN"/>
      </w:rPr>
      <w:t>榆林市恒易达工程项目管理有限公司</w:t>
    </w:r>
    <w:r>
      <w:rPr>
        <w:rFonts w:hint="eastAsia"/>
        <w:szCs w:val="18"/>
      </w:rPr>
      <w:t xml:space="preserve">                                              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86C2BE"/>
    <w:multiLevelType w:val="singleLevel"/>
    <w:tmpl w:val="A886C2BE"/>
    <w:lvl w:ilvl="0" w:tentative="0">
      <w:start w:val="4"/>
      <w:numFmt w:val="chineseCounting"/>
      <w:suff w:val="nothing"/>
      <w:lvlText w:val="%1、"/>
      <w:lvlJc w:val="left"/>
      <w:rPr>
        <w:rFonts w:hint="eastAsia"/>
      </w:rPr>
    </w:lvl>
  </w:abstractNum>
  <w:abstractNum w:abstractNumId="1">
    <w:nsid w:val="AE6F79D6"/>
    <w:multiLevelType w:val="singleLevel"/>
    <w:tmpl w:val="AE6F79D6"/>
    <w:lvl w:ilvl="0" w:tentative="0">
      <w:start w:val="1"/>
      <w:numFmt w:val="decimal"/>
      <w:suff w:val="nothing"/>
      <w:lvlText w:val="%1）"/>
      <w:lvlJc w:val="left"/>
    </w:lvl>
  </w:abstractNum>
  <w:abstractNum w:abstractNumId="2">
    <w:nsid w:val="E87660C1"/>
    <w:multiLevelType w:val="singleLevel"/>
    <w:tmpl w:val="E87660C1"/>
    <w:lvl w:ilvl="0" w:tentative="0">
      <w:start w:val="2"/>
      <w:numFmt w:val="chineseCounting"/>
      <w:suff w:val="nothing"/>
      <w:lvlText w:val="%1、"/>
      <w:lvlJc w:val="left"/>
      <w:rPr>
        <w:rFonts w:hint="eastAsia"/>
      </w:rPr>
    </w:lvl>
  </w:abstractNum>
  <w:abstractNum w:abstractNumId="3">
    <w:nsid w:val="F592BCE5"/>
    <w:multiLevelType w:val="singleLevel"/>
    <w:tmpl w:val="F592BCE5"/>
    <w:lvl w:ilvl="0" w:tentative="0">
      <w:start w:val="6"/>
      <w:numFmt w:val="chineseCounting"/>
      <w:suff w:val="space"/>
      <w:lvlText w:val="第%1部分"/>
      <w:lvlJc w:val="left"/>
      <w:rPr>
        <w:rFonts w:hint="eastAsia"/>
        <w:sz w:val="36"/>
        <w:szCs w:val="36"/>
      </w:rPr>
    </w:lvl>
  </w:abstractNum>
  <w:abstractNum w:abstractNumId="4">
    <w:nsid w:val="00000032"/>
    <w:multiLevelType w:val="multilevel"/>
    <w:tmpl w:val="00000032"/>
    <w:lvl w:ilvl="0" w:tentative="0">
      <w:start w:val="1"/>
      <w:numFmt w:val="decimal"/>
      <w:lvlText w:val="%1"/>
      <w:lvlJc w:val="left"/>
      <w:pPr>
        <w:tabs>
          <w:tab w:val="left" w:pos="420"/>
        </w:tabs>
        <w:ind w:left="46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9FB0796"/>
    <w:multiLevelType w:val="singleLevel"/>
    <w:tmpl w:val="59FB0796"/>
    <w:lvl w:ilvl="0" w:tentative="0">
      <w:start w:val="1"/>
      <w:numFmt w:val="decimal"/>
      <w:suff w:val="nothing"/>
      <w:lvlText w:val="%1、"/>
      <w:lvlJc w:val="left"/>
    </w:lvl>
  </w:abstractNum>
  <w:abstractNum w:abstractNumId="6">
    <w:nsid w:val="5A1F7005"/>
    <w:multiLevelType w:val="singleLevel"/>
    <w:tmpl w:val="5A1F7005"/>
    <w:lvl w:ilvl="0" w:tentative="0">
      <w:start w:val="2"/>
      <w:numFmt w:val="chineseCounting"/>
      <w:suff w:val="space"/>
      <w:lvlText w:val="第%1部分"/>
      <w:lvlJc w:val="left"/>
    </w:lvl>
  </w:abstractNum>
  <w:num w:numId="1">
    <w:abstractNumId w:val="6"/>
  </w:num>
  <w:num w:numId="2">
    <w:abstractNumId w:val="4"/>
  </w:num>
  <w:num w:numId="3">
    <w:abstractNumId w:val="5"/>
  </w:num>
  <w:num w:numId="4">
    <w:abstractNumId w:val="1"/>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2OGE4OWVmOTcwNjQ0ZTIxNDc2YTU0NjQ2Mjg3MDYifQ=="/>
  </w:docVars>
  <w:rsids>
    <w:rsidRoot w:val="7AD2169E"/>
    <w:rsid w:val="0020796E"/>
    <w:rsid w:val="003776F8"/>
    <w:rsid w:val="00531B7A"/>
    <w:rsid w:val="008C36D4"/>
    <w:rsid w:val="008D1106"/>
    <w:rsid w:val="00DB6DE4"/>
    <w:rsid w:val="00E41943"/>
    <w:rsid w:val="01113D6B"/>
    <w:rsid w:val="01AF5332"/>
    <w:rsid w:val="01D64C2C"/>
    <w:rsid w:val="01EB45BC"/>
    <w:rsid w:val="024F1E56"/>
    <w:rsid w:val="029702A0"/>
    <w:rsid w:val="02A44DCE"/>
    <w:rsid w:val="03345AEF"/>
    <w:rsid w:val="03401B03"/>
    <w:rsid w:val="035C6DF3"/>
    <w:rsid w:val="04CB2483"/>
    <w:rsid w:val="05D0476C"/>
    <w:rsid w:val="060847BA"/>
    <w:rsid w:val="06565574"/>
    <w:rsid w:val="076766B5"/>
    <w:rsid w:val="08A27337"/>
    <w:rsid w:val="094A21A2"/>
    <w:rsid w:val="0A9652E1"/>
    <w:rsid w:val="0AB06179"/>
    <w:rsid w:val="0B0B7D58"/>
    <w:rsid w:val="0B827D72"/>
    <w:rsid w:val="0BB94EEC"/>
    <w:rsid w:val="0C1A050D"/>
    <w:rsid w:val="0C361E92"/>
    <w:rsid w:val="0C5A2E51"/>
    <w:rsid w:val="0CF34650"/>
    <w:rsid w:val="0D2C67AC"/>
    <w:rsid w:val="0E550B2A"/>
    <w:rsid w:val="0E652949"/>
    <w:rsid w:val="0ED14B39"/>
    <w:rsid w:val="0ED168E7"/>
    <w:rsid w:val="11867E5D"/>
    <w:rsid w:val="11902A8A"/>
    <w:rsid w:val="137E6912"/>
    <w:rsid w:val="13904FC3"/>
    <w:rsid w:val="13D16BF6"/>
    <w:rsid w:val="14117786"/>
    <w:rsid w:val="14C4231A"/>
    <w:rsid w:val="14DC5FE6"/>
    <w:rsid w:val="151E0666"/>
    <w:rsid w:val="151E288C"/>
    <w:rsid w:val="15211C4B"/>
    <w:rsid w:val="152C2AC9"/>
    <w:rsid w:val="156009C5"/>
    <w:rsid w:val="156C23C2"/>
    <w:rsid w:val="164B6110"/>
    <w:rsid w:val="1794365F"/>
    <w:rsid w:val="17E268DE"/>
    <w:rsid w:val="18340673"/>
    <w:rsid w:val="189A5F9C"/>
    <w:rsid w:val="18AC437F"/>
    <w:rsid w:val="18E11E1D"/>
    <w:rsid w:val="191044B0"/>
    <w:rsid w:val="19EC0A79"/>
    <w:rsid w:val="1A2F2313"/>
    <w:rsid w:val="1B6C00C4"/>
    <w:rsid w:val="1BB2744F"/>
    <w:rsid w:val="1DB93368"/>
    <w:rsid w:val="1DCD0BC2"/>
    <w:rsid w:val="1F2558DA"/>
    <w:rsid w:val="1F3B4F37"/>
    <w:rsid w:val="1FAA11BB"/>
    <w:rsid w:val="1FD177C5"/>
    <w:rsid w:val="1FE93FAC"/>
    <w:rsid w:val="21867A05"/>
    <w:rsid w:val="21F20BF7"/>
    <w:rsid w:val="22347461"/>
    <w:rsid w:val="23797AEA"/>
    <w:rsid w:val="23A203FB"/>
    <w:rsid w:val="24741F74"/>
    <w:rsid w:val="24A106B2"/>
    <w:rsid w:val="25657932"/>
    <w:rsid w:val="25C61A2C"/>
    <w:rsid w:val="26246288"/>
    <w:rsid w:val="287732F1"/>
    <w:rsid w:val="28FE4902"/>
    <w:rsid w:val="293D3C3C"/>
    <w:rsid w:val="2A585CB7"/>
    <w:rsid w:val="2B520D22"/>
    <w:rsid w:val="2B88437A"/>
    <w:rsid w:val="2C864D5D"/>
    <w:rsid w:val="2CB01DDA"/>
    <w:rsid w:val="2CDD4919"/>
    <w:rsid w:val="2D016553"/>
    <w:rsid w:val="2D8C0151"/>
    <w:rsid w:val="2D92328E"/>
    <w:rsid w:val="2E45132A"/>
    <w:rsid w:val="2E586286"/>
    <w:rsid w:val="2E8928E3"/>
    <w:rsid w:val="2F142B94"/>
    <w:rsid w:val="2F1F547B"/>
    <w:rsid w:val="2F353AB6"/>
    <w:rsid w:val="2F4A3E20"/>
    <w:rsid w:val="30EC0490"/>
    <w:rsid w:val="313C3C3D"/>
    <w:rsid w:val="31466AF4"/>
    <w:rsid w:val="31FF7E5D"/>
    <w:rsid w:val="3392223A"/>
    <w:rsid w:val="33BB606C"/>
    <w:rsid w:val="33E74334"/>
    <w:rsid w:val="347F27BE"/>
    <w:rsid w:val="34F4706D"/>
    <w:rsid w:val="351D1FD7"/>
    <w:rsid w:val="35E825E5"/>
    <w:rsid w:val="36214C00"/>
    <w:rsid w:val="362E7723"/>
    <w:rsid w:val="36405F7D"/>
    <w:rsid w:val="375907F6"/>
    <w:rsid w:val="37BB657C"/>
    <w:rsid w:val="38BB5D8F"/>
    <w:rsid w:val="39D97A10"/>
    <w:rsid w:val="3A176FF5"/>
    <w:rsid w:val="3B016F16"/>
    <w:rsid w:val="3B1E43B3"/>
    <w:rsid w:val="3B345984"/>
    <w:rsid w:val="3B4402BD"/>
    <w:rsid w:val="3B806E1C"/>
    <w:rsid w:val="3BC22595"/>
    <w:rsid w:val="3C6F3118"/>
    <w:rsid w:val="3C8B3CCA"/>
    <w:rsid w:val="3E0E4BB3"/>
    <w:rsid w:val="3E860A9B"/>
    <w:rsid w:val="3E9B60A4"/>
    <w:rsid w:val="3F2B5902"/>
    <w:rsid w:val="3FA0183A"/>
    <w:rsid w:val="3FA109E2"/>
    <w:rsid w:val="3FA96941"/>
    <w:rsid w:val="3FD00372"/>
    <w:rsid w:val="40077B0C"/>
    <w:rsid w:val="40421EA3"/>
    <w:rsid w:val="4175335E"/>
    <w:rsid w:val="41831141"/>
    <w:rsid w:val="41DF2AEE"/>
    <w:rsid w:val="42873B0C"/>
    <w:rsid w:val="42884F34"/>
    <w:rsid w:val="44417DD6"/>
    <w:rsid w:val="44441E0B"/>
    <w:rsid w:val="44D54F56"/>
    <w:rsid w:val="44ED72D0"/>
    <w:rsid w:val="45162194"/>
    <w:rsid w:val="45344EFF"/>
    <w:rsid w:val="456330E1"/>
    <w:rsid w:val="463278E8"/>
    <w:rsid w:val="463F16FB"/>
    <w:rsid w:val="465D66D7"/>
    <w:rsid w:val="469B2D5C"/>
    <w:rsid w:val="471A45C8"/>
    <w:rsid w:val="47266AC9"/>
    <w:rsid w:val="47995741"/>
    <w:rsid w:val="48142DC6"/>
    <w:rsid w:val="482B7A3F"/>
    <w:rsid w:val="486A487A"/>
    <w:rsid w:val="48F12205"/>
    <w:rsid w:val="49426B77"/>
    <w:rsid w:val="495516A9"/>
    <w:rsid w:val="49932766"/>
    <w:rsid w:val="49A43D68"/>
    <w:rsid w:val="4AB32D6A"/>
    <w:rsid w:val="4AC2591E"/>
    <w:rsid w:val="4D4D14B4"/>
    <w:rsid w:val="4DA90454"/>
    <w:rsid w:val="4DE53493"/>
    <w:rsid w:val="4E1E674C"/>
    <w:rsid w:val="4E477394"/>
    <w:rsid w:val="4EE64015"/>
    <w:rsid w:val="4F22401A"/>
    <w:rsid w:val="4FE70DC0"/>
    <w:rsid w:val="5058443B"/>
    <w:rsid w:val="50865861"/>
    <w:rsid w:val="508D7BB9"/>
    <w:rsid w:val="5163251D"/>
    <w:rsid w:val="51CC4711"/>
    <w:rsid w:val="52374D6B"/>
    <w:rsid w:val="52A04F8E"/>
    <w:rsid w:val="52ED5725"/>
    <w:rsid w:val="53220A8C"/>
    <w:rsid w:val="53446C55"/>
    <w:rsid w:val="53D855EF"/>
    <w:rsid w:val="54300F87"/>
    <w:rsid w:val="554C1DF1"/>
    <w:rsid w:val="55843C1A"/>
    <w:rsid w:val="55C64900"/>
    <w:rsid w:val="56B7773E"/>
    <w:rsid w:val="56BF519F"/>
    <w:rsid w:val="56FE7D56"/>
    <w:rsid w:val="57193E77"/>
    <w:rsid w:val="571B5F1F"/>
    <w:rsid w:val="57411A85"/>
    <w:rsid w:val="57A001D2"/>
    <w:rsid w:val="586B4468"/>
    <w:rsid w:val="58783B88"/>
    <w:rsid w:val="599C4537"/>
    <w:rsid w:val="5AF509F4"/>
    <w:rsid w:val="5AFB2BCB"/>
    <w:rsid w:val="5BD01963"/>
    <w:rsid w:val="5D41670D"/>
    <w:rsid w:val="5E1717A5"/>
    <w:rsid w:val="5E84084D"/>
    <w:rsid w:val="5E9D23EF"/>
    <w:rsid w:val="5F0455DC"/>
    <w:rsid w:val="5F08322C"/>
    <w:rsid w:val="5F1871E8"/>
    <w:rsid w:val="5F2931A3"/>
    <w:rsid w:val="604E6D59"/>
    <w:rsid w:val="60E50312"/>
    <w:rsid w:val="610F24CD"/>
    <w:rsid w:val="61344F63"/>
    <w:rsid w:val="61BF4336"/>
    <w:rsid w:val="61D05B58"/>
    <w:rsid w:val="622814F0"/>
    <w:rsid w:val="6355699C"/>
    <w:rsid w:val="63B43AF8"/>
    <w:rsid w:val="63C11A36"/>
    <w:rsid w:val="63DE27AE"/>
    <w:rsid w:val="64631235"/>
    <w:rsid w:val="64D14887"/>
    <w:rsid w:val="64D36A0C"/>
    <w:rsid w:val="65432F68"/>
    <w:rsid w:val="65FC1361"/>
    <w:rsid w:val="66315EC2"/>
    <w:rsid w:val="68352BB8"/>
    <w:rsid w:val="68C93267"/>
    <w:rsid w:val="696A74A4"/>
    <w:rsid w:val="69B62C25"/>
    <w:rsid w:val="6A1F767C"/>
    <w:rsid w:val="6A381D3E"/>
    <w:rsid w:val="6A3D3FA6"/>
    <w:rsid w:val="6A415CDB"/>
    <w:rsid w:val="6A5512F0"/>
    <w:rsid w:val="6A62547B"/>
    <w:rsid w:val="6ADB7A47"/>
    <w:rsid w:val="6AED32D6"/>
    <w:rsid w:val="6BD667C4"/>
    <w:rsid w:val="6C7F463A"/>
    <w:rsid w:val="6C940135"/>
    <w:rsid w:val="6C9E46DB"/>
    <w:rsid w:val="6CB51B62"/>
    <w:rsid w:val="6CCD7344"/>
    <w:rsid w:val="6D4164CC"/>
    <w:rsid w:val="6D543AE1"/>
    <w:rsid w:val="6D9640F9"/>
    <w:rsid w:val="6DCA78FF"/>
    <w:rsid w:val="6DEA1D4F"/>
    <w:rsid w:val="6DF25D19"/>
    <w:rsid w:val="6E0B0E56"/>
    <w:rsid w:val="6F30035B"/>
    <w:rsid w:val="70003AAC"/>
    <w:rsid w:val="703D085C"/>
    <w:rsid w:val="71265794"/>
    <w:rsid w:val="71570B74"/>
    <w:rsid w:val="717D271A"/>
    <w:rsid w:val="729D3834"/>
    <w:rsid w:val="72C24A5E"/>
    <w:rsid w:val="72E94CCB"/>
    <w:rsid w:val="7345352C"/>
    <w:rsid w:val="739F538A"/>
    <w:rsid w:val="762070B4"/>
    <w:rsid w:val="769A6A08"/>
    <w:rsid w:val="76A2766B"/>
    <w:rsid w:val="77010F17"/>
    <w:rsid w:val="772A3C3C"/>
    <w:rsid w:val="773C6A7A"/>
    <w:rsid w:val="77ED3394"/>
    <w:rsid w:val="78F16688"/>
    <w:rsid w:val="79FC1788"/>
    <w:rsid w:val="7A075F91"/>
    <w:rsid w:val="7A6E2D6A"/>
    <w:rsid w:val="7A9E62B3"/>
    <w:rsid w:val="7AD2169E"/>
    <w:rsid w:val="7B7755C5"/>
    <w:rsid w:val="7B9F23CB"/>
    <w:rsid w:val="7C234BCD"/>
    <w:rsid w:val="7C5238E1"/>
    <w:rsid w:val="7C9932BE"/>
    <w:rsid w:val="7D0133EC"/>
    <w:rsid w:val="7D0D7808"/>
    <w:rsid w:val="7D2D56B4"/>
    <w:rsid w:val="7D407BDD"/>
    <w:rsid w:val="7D653A0A"/>
    <w:rsid w:val="7D787377"/>
    <w:rsid w:val="7DCB56F9"/>
    <w:rsid w:val="7DCC7162"/>
    <w:rsid w:val="7E157BB7"/>
    <w:rsid w:val="7E6520B7"/>
    <w:rsid w:val="7EC3336F"/>
    <w:rsid w:val="7F1E7AAB"/>
    <w:rsid w:val="7F6776A3"/>
    <w:rsid w:val="FBFE00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9"/>
    <w:pPr>
      <w:keepNext/>
      <w:keepLines/>
      <w:spacing w:line="576" w:lineRule="auto"/>
      <w:outlineLvl w:val="0"/>
    </w:pPr>
    <w:rPr>
      <w:b/>
      <w:kern w:val="44"/>
      <w:sz w:val="44"/>
    </w:rPr>
  </w:style>
  <w:style w:type="paragraph" w:styleId="3">
    <w:name w:val="heading 2"/>
    <w:basedOn w:val="1"/>
    <w:next w:val="1"/>
    <w:autoRedefine/>
    <w:unhideWhenUsed/>
    <w:qFormat/>
    <w:uiPriority w:val="0"/>
    <w:pPr>
      <w:keepNext/>
      <w:keepLines/>
      <w:spacing w:line="360" w:lineRule="auto"/>
      <w:jc w:val="center"/>
      <w:outlineLvl w:val="1"/>
    </w:pPr>
    <w:rPr>
      <w:rFonts w:ascii="Arial" w:hAnsi="Arial" w:eastAsia="黑体"/>
      <w:b/>
      <w:bCs/>
      <w:sz w:val="32"/>
      <w:szCs w:val="32"/>
    </w:rPr>
  </w:style>
  <w:style w:type="paragraph" w:styleId="4">
    <w:name w:val="heading 3"/>
    <w:basedOn w:val="1"/>
    <w:next w:val="5"/>
    <w:link w:val="37"/>
    <w:autoRedefine/>
    <w:unhideWhenUsed/>
    <w:qFormat/>
    <w:uiPriority w:val="0"/>
    <w:pPr>
      <w:keepNext/>
      <w:keepLines/>
      <w:jc w:val="left"/>
      <w:outlineLvl w:val="2"/>
    </w:pPr>
    <w:rPr>
      <w:b/>
      <w:bCs/>
      <w:sz w:val="28"/>
      <w:szCs w:val="32"/>
    </w:rPr>
  </w:style>
  <w:style w:type="paragraph" w:styleId="6">
    <w:name w:val="heading 4"/>
    <w:basedOn w:val="1"/>
    <w:next w:val="1"/>
    <w:autoRedefine/>
    <w:unhideWhenUsed/>
    <w:qFormat/>
    <w:uiPriority w:val="0"/>
    <w:pPr>
      <w:keepNext/>
      <w:keepLines/>
      <w:spacing w:beforeLines="50" w:afterLines="50"/>
      <w:jc w:val="left"/>
      <w:outlineLvl w:val="3"/>
    </w:pPr>
    <w:rPr>
      <w:rFonts w:ascii="Calibri" w:hAnsi="Calibri"/>
      <w:b/>
      <w:bCs/>
      <w:sz w:val="24"/>
      <w:szCs w:val="28"/>
      <w:lang w:val="zh-CN"/>
    </w:rPr>
  </w:style>
  <w:style w:type="paragraph" w:styleId="7">
    <w:name w:val="heading 6"/>
    <w:basedOn w:val="1"/>
    <w:next w:val="1"/>
    <w:autoRedefine/>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4">
    <w:name w:val="Default Paragraph Font"/>
    <w:autoRedefine/>
    <w:unhideWhenUsed/>
    <w:qFormat/>
    <w:uiPriority w:val="1"/>
  </w:style>
  <w:style w:type="table" w:default="1" w:styleId="22">
    <w:name w:val="Normal Table"/>
    <w:autoRedefine/>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8">
    <w:name w:val="toa heading"/>
    <w:basedOn w:val="1"/>
    <w:next w:val="1"/>
    <w:autoRedefine/>
    <w:semiHidden/>
    <w:qFormat/>
    <w:uiPriority w:val="99"/>
    <w:pPr>
      <w:spacing w:before="120"/>
    </w:pPr>
    <w:rPr>
      <w:rFonts w:ascii="Arial" w:hAnsi="Arial"/>
      <w:sz w:val="24"/>
      <w:szCs w:val="20"/>
    </w:rPr>
  </w:style>
  <w:style w:type="paragraph" w:styleId="9">
    <w:name w:val="Body Text"/>
    <w:basedOn w:val="1"/>
    <w:autoRedefine/>
    <w:qFormat/>
    <w:uiPriority w:val="0"/>
  </w:style>
  <w:style w:type="paragraph" w:styleId="10">
    <w:name w:val="Body Text Indent"/>
    <w:basedOn w:val="1"/>
    <w:autoRedefine/>
    <w:qFormat/>
    <w:uiPriority w:val="0"/>
    <w:pPr>
      <w:ind w:left="1083" w:leftChars="30" w:hanging="1020" w:hangingChars="425"/>
    </w:pPr>
    <w:rPr>
      <w:rFonts w:ascii="宋体" w:hAnsi="宋体"/>
      <w:sz w:val="24"/>
    </w:rPr>
  </w:style>
  <w:style w:type="paragraph" w:styleId="11">
    <w:name w:val="Plain Text"/>
    <w:basedOn w:val="9"/>
    <w:autoRedefine/>
    <w:unhideWhenUsed/>
    <w:qFormat/>
    <w:uiPriority w:val="99"/>
    <w:rPr>
      <w:rFonts w:hint="eastAsia" w:ascii="宋体" w:hAnsi="Courier New"/>
      <w:sz w:val="24"/>
    </w:rPr>
  </w:style>
  <w:style w:type="paragraph" w:styleId="12">
    <w:name w:val="Body Text Indent 2"/>
    <w:basedOn w:val="1"/>
    <w:autoRedefine/>
    <w:qFormat/>
    <w:uiPriority w:val="99"/>
    <w:pPr>
      <w:tabs>
        <w:tab w:val="left" w:pos="5625"/>
      </w:tabs>
      <w:ind w:left="1138" w:leftChars="542"/>
    </w:pPr>
    <w:rPr>
      <w:rFonts w:ascii="Times New Roman"/>
      <w:kern w:val="2"/>
    </w:rPr>
  </w:style>
  <w:style w:type="paragraph" w:styleId="13">
    <w:name w:val="Balloon Text"/>
    <w:basedOn w:val="1"/>
    <w:link w:val="40"/>
    <w:autoRedefine/>
    <w:qFormat/>
    <w:uiPriority w:val="0"/>
    <w:rPr>
      <w:sz w:val="18"/>
      <w:szCs w:val="18"/>
    </w:rPr>
  </w:style>
  <w:style w:type="paragraph" w:styleId="14">
    <w:name w:val="footer"/>
    <w:basedOn w:val="1"/>
    <w:autoRedefine/>
    <w:unhideWhenUsed/>
    <w:qFormat/>
    <w:uiPriority w:val="99"/>
    <w:pPr>
      <w:tabs>
        <w:tab w:val="center" w:pos="4153"/>
        <w:tab w:val="right" w:pos="8306"/>
      </w:tabs>
      <w:snapToGrid w:val="0"/>
      <w:jc w:val="left"/>
    </w:pPr>
    <w:rPr>
      <w:sz w:val="18"/>
    </w:rPr>
  </w:style>
  <w:style w:type="paragraph" w:styleId="15">
    <w:name w:val="envelope return"/>
    <w:basedOn w:val="1"/>
    <w:autoRedefine/>
    <w:qFormat/>
    <w:uiPriority w:val="0"/>
    <w:pPr>
      <w:snapToGrid w:val="0"/>
    </w:pPr>
    <w:rPr>
      <w:rFonts w:ascii="Arial" w:hAnsi="Arial"/>
    </w:rPr>
  </w:style>
  <w:style w:type="paragraph" w:styleId="16">
    <w:name w:val="header"/>
    <w:basedOn w:val="1"/>
    <w:autoRedefine/>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7">
    <w:name w:val="toc 1"/>
    <w:basedOn w:val="1"/>
    <w:next w:val="1"/>
    <w:autoRedefine/>
    <w:unhideWhenUsed/>
    <w:qFormat/>
    <w:uiPriority w:val="39"/>
  </w:style>
  <w:style w:type="paragraph" w:styleId="18">
    <w:name w:val="Body Text 2"/>
    <w:basedOn w:val="1"/>
    <w:qFormat/>
    <w:uiPriority w:val="0"/>
    <w:pPr>
      <w:spacing w:after="120" w:line="480" w:lineRule="auto"/>
    </w:pPr>
  </w:style>
  <w:style w:type="paragraph" w:styleId="19">
    <w:name w:val="Normal (Web)"/>
    <w:basedOn w:val="1"/>
    <w:next w:val="15"/>
    <w:autoRedefine/>
    <w:unhideWhenUsed/>
    <w:qFormat/>
    <w:uiPriority w:val="99"/>
    <w:pPr>
      <w:spacing w:before="100" w:beforeAutospacing="1" w:after="100" w:afterAutospacing="1"/>
      <w:jc w:val="left"/>
    </w:pPr>
    <w:rPr>
      <w:kern w:val="0"/>
      <w:sz w:val="24"/>
    </w:rPr>
  </w:style>
  <w:style w:type="paragraph" w:styleId="20">
    <w:name w:val="Body Text First Indent"/>
    <w:basedOn w:val="9"/>
    <w:next w:val="1"/>
    <w:autoRedefine/>
    <w:unhideWhenUsed/>
    <w:qFormat/>
    <w:uiPriority w:val="99"/>
    <w:pPr>
      <w:ind w:firstLine="420" w:firstLineChars="100"/>
    </w:pPr>
  </w:style>
  <w:style w:type="paragraph" w:styleId="21">
    <w:name w:val="Body Text First Indent 2"/>
    <w:basedOn w:val="10"/>
    <w:autoRedefine/>
    <w:qFormat/>
    <w:uiPriority w:val="0"/>
    <w:pPr>
      <w:spacing w:after="120" w:afterLines="0" w:line="276" w:lineRule="auto"/>
      <w:ind w:left="420" w:leftChars="200" w:firstLine="420" w:firstLineChars="200"/>
      <w:jc w:val="left"/>
    </w:pPr>
    <w:rPr>
      <w:rFonts w:ascii="Calibri" w:hAnsi="Calibri"/>
      <w:kern w:val="0"/>
      <w:sz w:val="22"/>
      <w:szCs w:val="22"/>
      <w:lang w:eastAsia="en-US"/>
    </w:rPr>
  </w:style>
  <w:style w:type="table" w:styleId="23">
    <w:name w:val="Table Grid"/>
    <w:basedOn w:val="22"/>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autoRedefine/>
    <w:qFormat/>
    <w:uiPriority w:val="0"/>
    <w:rPr>
      <w:b/>
      <w:bCs/>
    </w:rPr>
  </w:style>
  <w:style w:type="character" w:styleId="26">
    <w:name w:val="FollowedHyperlink"/>
    <w:basedOn w:val="24"/>
    <w:autoRedefine/>
    <w:qFormat/>
    <w:uiPriority w:val="0"/>
    <w:rPr>
      <w:color w:val="800080"/>
      <w:u w:val="none"/>
    </w:rPr>
  </w:style>
  <w:style w:type="character" w:styleId="27">
    <w:name w:val="Emphasis"/>
    <w:basedOn w:val="24"/>
    <w:autoRedefine/>
    <w:qFormat/>
    <w:uiPriority w:val="0"/>
    <w:rPr>
      <w:b/>
      <w:bCs/>
    </w:rPr>
  </w:style>
  <w:style w:type="character" w:styleId="28">
    <w:name w:val="HTML Definition"/>
    <w:basedOn w:val="24"/>
    <w:autoRedefine/>
    <w:qFormat/>
    <w:uiPriority w:val="0"/>
  </w:style>
  <w:style w:type="character" w:styleId="29">
    <w:name w:val="HTML Typewriter"/>
    <w:basedOn w:val="24"/>
    <w:autoRedefine/>
    <w:qFormat/>
    <w:uiPriority w:val="0"/>
    <w:rPr>
      <w:rFonts w:hint="default" w:ascii="monospace" w:hAnsi="monospace" w:eastAsia="monospace" w:cs="monospace"/>
      <w:sz w:val="20"/>
    </w:rPr>
  </w:style>
  <w:style w:type="character" w:styleId="30">
    <w:name w:val="HTML Acronym"/>
    <w:basedOn w:val="24"/>
    <w:autoRedefine/>
    <w:qFormat/>
    <w:uiPriority w:val="0"/>
  </w:style>
  <w:style w:type="character" w:styleId="31">
    <w:name w:val="HTML Variable"/>
    <w:basedOn w:val="24"/>
    <w:autoRedefine/>
    <w:qFormat/>
    <w:uiPriority w:val="0"/>
  </w:style>
  <w:style w:type="character" w:styleId="32">
    <w:name w:val="Hyperlink"/>
    <w:basedOn w:val="24"/>
    <w:autoRedefine/>
    <w:qFormat/>
    <w:uiPriority w:val="0"/>
    <w:rPr>
      <w:rFonts w:hint="eastAsia" w:ascii="宋体" w:hAnsi="宋体" w:eastAsia="宋体" w:cs="宋体"/>
      <w:color w:val="000000"/>
      <w:sz w:val="18"/>
      <w:szCs w:val="18"/>
      <w:u w:val="none"/>
    </w:rPr>
  </w:style>
  <w:style w:type="character" w:styleId="33">
    <w:name w:val="HTML Code"/>
    <w:basedOn w:val="24"/>
    <w:autoRedefine/>
    <w:qFormat/>
    <w:uiPriority w:val="0"/>
    <w:rPr>
      <w:rFonts w:hint="default" w:ascii="monospace" w:hAnsi="monospace" w:eastAsia="monospace" w:cs="monospace"/>
      <w:sz w:val="20"/>
    </w:rPr>
  </w:style>
  <w:style w:type="character" w:styleId="34">
    <w:name w:val="HTML Cite"/>
    <w:basedOn w:val="24"/>
    <w:autoRedefine/>
    <w:qFormat/>
    <w:uiPriority w:val="0"/>
  </w:style>
  <w:style w:type="character" w:styleId="35">
    <w:name w:val="HTML Keyboard"/>
    <w:basedOn w:val="24"/>
    <w:autoRedefine/>
    <w:qFormat/>
    <w:uiPriority w:val="0"/>
    <w:rPr>
      <w:rFonts w:ascii="monospace" w:hAnsi="monospace" w:eastAsia="monospace" w:cs="monospace"/>
      <w:sz w:val="20"/>
    </w:rPr>
  </w:style>
  <w:style w:type="character" w:styleId="36">
    <w:name w:val="HTML Sample"/>
    <w:basedOn w:val="24"/>
    <w:autoRedefine/>
    <w:qFormat/>
    <w:uiPriority w:val="0"/>
    <w:rPr>
      <w:rFonts w:hint="default" w:ascii="monospace" w:hAnsi="monospace" w:eastAsia="monospace" w:cs="monospace"/>
    </w:rPr>
  </w:style>
  <w:style w:type="character" w:customStyle="1" w:styleId="37">
    <w:name w:val="标题 3 Char"/>
    <w:link w:val="4"/>
    <w:autoRedefine/>
    <w:qFormat/>
    <w:uiPriority w:val="0"/>
    <w:rPr>
      <w:rFonts w:ascii="Times New Roman" w:hAnsi="Times New Roman" w:eastAsia="宋体" w:cs="Times New Roman"/>
      <w:b/>
      <w:bCs/>
      <w:sz w:val="28"/>
      <w:szCs w:val="32"/>
    </w:rPr>
  </w:style>
  <w:style w:type="paragraph" w:customStyle="1" w:styleId="38">
    <w:name w:val="正文缩进1"/>
    <w:basedOn w:val="1"/>
    <w:autoRedefine/>
    <w:qFormat/>
    <w:uiPriority w:val="0"/>
    <w:pPr>
      <w:ind w:firstLine="420" w:firstLineChars="200"/>
    </w:pPr>
  </w:style>
  <w:style w:type="paragraph" w:customStyle="1" w:styleId="39">
    <w:name w:val="样式1"/>
    <w:basedOn w:val="1"/>
    <w:autoRedefine/>
    <w:qFormat/>
    <w:uiPriority w:val="0"/>
    <w:rPr>
      <w:sz w:val="18"/>
    </w:rPr>
  </w:style>
  <w:style w:type="character" w:customStyle="1" w:styleId="40">
    <w:name w:val="批注框文本 Char"/>
    <w:basedOn w:val="24"/>
    <w:link w:val="13"/>
    <w:autoRedefine/>
    <w:qFormat/>
    <w:uiPriority w:val="0"/>
    <w:rPr>
      <w:kern w:val="2"/>
      <w:sz w:val="18"/>
      <w:szCs w:val="18"/>
    </w:rPr>
  </w:style>
  <w:style w:type="paragraph" w:customStyle="1" w:styleId="41">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Heading2"/>
    <w:basedOn w:val="1"/>
    <w:next w:val="1"/>
    <w:autoRedefine/>
    <w:qFormat/>
    <w:uiPriority w:val="0"/>
    <w:pPr>
      <w:keepNext/>
      <w:keepLines/>
      <w:spacing w:before="260" w:after="260"/>
      <w:jc w:val="center"/>
    </w:pPr>
    <w:rPr>
      <w:rFonts w:ascii="Arial" w:hAnsi="Arial"/>
      <w:b/>
      <w:sz w:val="30"/>
    </w:rPr>
  </w:style>
  <w:style w:type="character" w:customStyle="1" w:styleId="43">
    <w:name w:val="NormalCharacter"/>
    <w:link w:val="44"/>
    <w:autoRedefine/>
    <w:qFormat/>
    <w:uiPriority w:val="0"/>
  </w:style>
  <w:style w:type="paragraph" w:customStyle="1" w:styleId="44">
    <w:name w:val="UserStyle_34"/>
    <w:basedOn w:val="1"/>
    <w:link w:val="43"/>
    <w:autoRedefine/>
    <w:qFormat/>
    <w:uiPriority w:val="0"/>
  </w:style>
  <w:style w:type="paragraph" w:customStyle="1" w:styleId="45">
    <w:name w:val="List Paragraph"/>
    <w:basedOn w:val="1"/>
    <w:autoRedefine/>
    <w:qFormat/>
    <w:uiPriority w:val="34"/>
    <w:pPr>
      <w:ind w:firstLine="420" w:firstLineChars="200"/>
    </w:pPr>
    <w:rPr>
      <w:szCs w:val="24"/>
    </w:rPr>
  </w:style>
  <w:style w:type="character" w:customStyle="1" w:styleId="46">
    <w:name w:val="font91"/>
    <w:basedOn w:val="24"/>
    <w:autoRedefine/>
    <w:qFormat/>
    <w:uiPriority w:val="0"/>
    <w:rPr>
      <w:rFonts w:hint="eastAsia" w:ascii="宋体" w:hAnsi="宋体" w:eastAsia="宋体" w:cs="宋体"/>
      <w:color w:val="000000"/>
      <w:sz w:val="24"/>
      <w:szCs w:val="24"/>
      <w:u w:val="none"/>
    </w:rPr>
  </w:style>
  <w:style w:type="character" w:customStyle="1" w:styleId="47">
    <w:name w:val="font121"/>
    <w:basedOn w:val="24"/>
    <w:autoRedefine/>
    <w:qFormat/>
    <w:uiPriority w:val="0"/>
    <w:rPr>
      <w:rFonts w:hint="eastAsia" w:ascii="宋体" w:hAnsi="宋体" w:eastAsia="宋体" w:cs="宋体"/>
      <w:color w:val="000000"/>
      <w:sz w:val="24"/>
      <w:szCs w:val="24"/>
      <w:u w:val="none"/>
    </w:rPr>
  </w:style>
  <w:style w:type="character" w:customStyle="1" w:styleId="48">
    <w:name w:val="font141"/>
    <w:basedOn w:val="24"/>
    <w:autoRedefine/>
    <w:qFormat/>
    <w:uiPriority w:val="0"/>
    <w:rPr>
      <w:rFonts w:hint="eastAsia" w:ascii="宋体" w:hAnsi="宋体" w:eastAsia="宋体" w:cs="宋体"/>
      <w:color w:val="000000"/>
      <w:sz w:val="24"/>
      <w:szCs w:val="24"/>
      <w:u w:val="none"/>
    </w:rPr>
  </w:style>
  <w:style w:type="character" w:customStyle="1" w:styleId="49">
    <w:name w:val="font212"/>
    <w:basedOn w:val="24"/>
    <w:autoRedefine/>
    <w:qFormat/>
    <w:uiPriority w:val="0"/>
    <w:rPr>
      <w:rFonts w:hint="eastAsia" w:ascii="宋体" w:hAnsi="宋体" w:eastAsia="宋体" w:cs="宋体"/>
      <w:color w:val="000000"/>
      <w:sz w:val="24"/>
      <w:szCs w:val="24"/>
      <w:u w:val="none"/>
      <w:vertAlign w:val="superscript"/>
    </w:rPr>
  </w:style>
  <w:style w:type="character" w:customStyle="1" w:styleId="50">
    <w:name w:val="font31"/>
    <w:basedOn w:val="24"/>
    <w:autoRedefine/>
    <w:qFormat/>
    <w:uiPriority w:val="0"/>
    <w:rPr>
      <w:rFonts w:hint="eastAsia" w:ascii="宋体" w:hAnsi="宋体" w:eastAsia="宋体" w:cs="宋体"/>
      <w:color w:val="000000"/>
      <w:sz w:val="24"/>
      <w:szCs w:val="24"/>
      <w:u w:val="none"/>
    </w:rPr>
  </w:style>
  <w:style w:type="character" w:customStyle="1" w:styleId="51">
    <w:name w:val="font231"/>
    <w:basedOn w:val="24"/>
    <w:autoRedefine/>
    <w:qFormat/>
    <w:uiPriority w:val="0"/>
    <w:rPr>
      <w:rFonts w:hint="eastAsia" w:ascii="宋体" w:hAnsi="宋体" w:eastAsia="宋体" w:cs="宋体"/>
      <w:color w:val="000000"/>
      <w:sz w:val="24"/>
      <w:szCs w:val="24"/>
      <w:u w:val="none"/>
    </w:rPr>
  </w:style>
  <w:style w:type="table" w:customStyle="1" w:styleId="52">
    <w:name w:val="Table Normal"/>
    <w:autoRedefine/>
    <w:unhideWhenUsed/>
    <w:qFormat/>
    <w:uiPriority w:val="0"/>
    <w:tblPr>
      <w:tblCellMar>
        <w:top w:w="0" w:type="dxa"/>
        <w:left w:w="0" w:type="dxa"/>
        <w:bottom w:w="0" w:type="dxa"/>
        <w:right w:w="0" w:type="dxa"/>
      </w:tblCellMar>
    </w:tblPr>
  </w:style>
  <w:style w:type="character" w:customStyle="1" w:styleId="53">
    <w:name w:val="tang-pass-qrcode-list-bj"/>
    <w:basedOn w:val="24"/>
    <w:autoRedefine/>
    <w:qFormat/>
    <w:uiPriority w:val="0"/>
  </w:style>
  <w:style w:type="character" w:customStyle="1" w:styleId="54">
    <w:name w:val="pass-generalerror"/>
    <w:basedOn w:val="24"/>
    <w:autoRedefine/>
    <w:qFormat/>
    <w:uiPriority w:val="0"/>
    <w:rPr>
      <w:sz w:val="21"/>
      <w:szCs w:val="21"/>
    </w:rPr>
  </w:style>
  <w:style w:type="character" w:customStyle="1" w:styleId="55">
    <w:name w:val="pass-placeholder"/>
    <w:basedOn w:val="24"/>
    <w:autoRedefine/>
    <w:qFormat/>
    <w:uiPriority w:val="0"/>
  </w:style>
  <w:style w:type="character" w:customStyle="1" w:styleId="56">
    <w:name w:val="pass-placeholder1"/>
    <w:basedOn w:val="24"/>
    <w:autoRedefine/>
    <w:qFormat/>
    <w:uiPriority w:val="0"/>
  </w:style>
  <w:style w:type="character" w:customStyle="1" w:styleId="57">
    <w:name w:val="pass-placeholder2"/>
    <w:basedOn w:val="24"/>
    <w:autoRedefine/>
    <w:qFormat/>
    <w:uiPriority w:val="0"/>
  </w:style>
  <w:style w:type="character" w:customStyle="1" w:styleId="58">
    <w:name w:val="pass-placeholder3"/>
    <w:basedOn w:val="24"/>
    <w:autoRedefine/>
    <w:qFormat/>
    <w:uiPriority w:val="0"/>
  </w:style>
  <w:style w:type="character" w:customStyle="1" w:styleId="59">
    <w:name w:val="tang-pass-qrcode-list-aq"/>
    <w:basedOn w:val="24"/>
    <w:autoRedefine/>
    <w:qFormat/>
    <w:uiPriority w:val="0"/>
  </w:style>
  <w:style w:type="character" w:customStyle="1" w:styleId="60">
    <w:name w:val="pass-clearbtn-verifycode"/>
    <w:basedOn w:val="24"/>
    <w:autoRedefine/>
    <w:qFormat/>
    <w:uiPriority w:val="0"/>
    <w:rPr>
      <w:color w:val="CCCCCC"/>
      <w:sz w:val="21"/>
      <w:szCs w:val="21"/>
    </w:rPr>
  </w:style>
  <w:style w:type="character" w:customStyle="1" w:styleId="61">
    <w:name w:val="pass-clearbtn-smsverifycode"/>
    <w:basedOn w:val="24"/>
    <w:autoRedefine/>
    <w:qFormat/>
    <w:uiPriority w:val="0"/>
  </w:style>
  <w:style w:type="character" w:customStyle="1" w:styleId="62">
    <w:name w:val="open"/>
    <w:basedOn w:val="24"/>
    <w:autoRedefine/>
    <w:qFormat/>
    <w:uiPriority w:val="0"/>
  </w:style>
  <w:style w:type="character" w:customStyle="1" w:styleId="63">
    <w:name w:val="tang-pass-qrcode-list-gx"/>
    <w:basedOn w:val="24"/>
    <w:autoRedefine/>
    <w:qFormat/>
    <w:uiPriority w:val="0"/>
  </w:style>
  <w:style w:type="paragraph" w:customStyle="1" w:styleId="64">
    <w:name w:val="xl36"/>
    <w:basedOn w:val="1"/>
    <w:autoRedefine/>
    <w:qFormat/>
    <w:uiPriority w:val="0"/>
    <w:pPr>
      <w:widowControl/>
      <w:spacing w:before="100" w:beforeLines="0" w:beforeAutospacing="0" w:after="100" w:afterLines="0" w:afterAutospacing="0"/>
      <w:jc w:val="center"/>
    </w:pPr>
    <w:rPr>
      <w:rFonts w:hint="eastAsia" w:ascii="宋体" w:hAnsi="宋体"/>
      <w:kern w:val="0"/>
      <w:sz w:val="24"/>
    </w:rPr>
  </w:style>
  <w:style w:type="character" w:customStyle="1" w:styleId="65">
    <w:name w:val="font101"/>
    <w:basedOn w:val="24"/>
    <w:autoRedefine/>
    <w:qFormat/>
    <w:uiPriority w:val="0"/>
    <w:rPr>
      <w:rFonts w:hint="default" w:ascii="Calibri" w:hAnsi="Calibri" w:cs="Calibri"/>
      <w:color w:val="000000"/>
      <w:sz w:val="21"/>
      <w:szCs w:val="21"/>
      <w:u w:val="none"/>
    </w:rPr>
  </w:style>
  <w:style w:type="character" w:customStyle="1" w:styleId="66">
    <w:name w:val="nth-of-type(3)"/>
    <w:basedOn w:val="24"/>
    <w:autoRedefine/>
    <w:qFormat/>
    <w:uiPriority w:val="0"/>
  </w:style>
  <w:style w:type="character" w:customStyle="1" w:styleId="67">
    <w:name w:val="nth-of-type(3)1"/>
    <w:basedOn w:val="24"/>
    <w:autoRedefine/>
    <w:qFormat/>
    <w:uiPriority w:val="0"/>
  </w:style>
  <w:style w:type="character" w:customStyle="1" w:styleId="68">
    <w:name w:val="nth-of-type(3)2"/>
    <w:basedOn w:val="24"/>
    <w:autoRedefine/>
    <w:qFormat/>
    <w:uiPriority w:val="0"/>
  </w:style>
  <w:style w:type="character" w:customStyle="1" w:styleId="69">
    <w:name w:val="nth-of-type(3)3"/>
    <w:basedOn w:val="24"/>
    <w:autoRedefine/>
    <w:qFormat/>
    <w:uiPriority w:val="0"/>
  </w:style>
  <w:style w:type="character" w:customStyle="1" w:styleId="70">
    <w:name w:val="nth-of-type(3)4"/>
    <w:basedOn w:val="24"/>
    <w:autoRedefine/>
    <w:qFormat/>
    <w:uiPriority w:val="0"/>
  </w:style>
  <w:style w:type="character" w:customStyle="1" w:styleId="71">
    <w:name w:val="nth-of-type(3)5"/>
    <w:basedOn w:val="24"/>
    <w:autoRedefine/>
    <w:qFormat/>
    <w:uiPriority w:val="0"/>
  </w:style>
  <w:style w:type="character" w:customStyle="1" w:styleId="72">
    <w:name w:val="nth-of-type(3)6"/>
    <w:basedOn w:val="24"/>
    <w:autoRedefine/>
    <w:qFormat/>
    <w:uiPriority w:val="0"/>
    <w:rPr>
      <w:sz w:val="21"/>
      <w:szCs w:val="21"/>
    </w:rPr>
  </w:style>
  <w:style w:type="character" w:customStyle="1" w:styleId="73">
    <w:name w:val="nth-of-type(3)7"/>
    <w:basedOn w:val="24"/>
    <w:autoRedefine/>
    <w:qFormat/>
    <w:uiPriority w:val="0"/>
  </w:style>
  <w:style w:type="character" w:customStyle="1" w:styleId="74">
    <w:name w:val="last-child"/>
    <w:basedOn w:val="24"/>
    <w:autoRedefine/>
    <w:qFormat/>
    <w:uiPriority w:val="0"/>
  </w:style>
  <w:style w:type="character" w:customStyle="1" w:styleId="75">
    <w:name w:val="last-child1"/>
    <w:basedOn w:val="24"/>
    <w:autoRedefine/>
    <w:qFormat/>
    <w:uiPriority w:val="0"/>
    <w:rPr>
      <w:color w:val="FFFFFF"/>
    </w:rPr>
  </w:style>
  <w:style w:type="character" w:customStyle="1" w:styleId="76">
    <w:name w:val="nth-of-type(4)"/>
    <w:basedOn w:val="24"/>
    <w:autoRedefine/>
    <w:qFormat/>
    <w:uiPriority w:val="0"/>
  </w:style>
  <w:style w:type="character" w:customStyle="1" w:styleId="77">
    <w:name w:val="nth-of-type(1)"/>
    <w:basedOn w:val="24"/>
    <w:autoRedefine/>
    <w:qFormat/>
    <w:uiPriority w:val="0"/>
  </w:style>
  <w:style w:type="character" w:customStyle="1" w:styleId="78">
    <w:name w:val="nth-of-type(1)1"/>
    <w:basedOn w:val="24"/>
    <w:autoRedefine/>
    <w:qFormat/>
    <w:uiPriority w:val="0"/>
  </w:style>
  <w:style w:type="character" w:customStyle="1" w:styleId="79">
    <w:name w:val="nth-of-type(1)2"/>
    <w:basedOn w:val="24"/>
    <w:autoRedefine/>
    <w:qFormat/>
    <w:uiPriority w:val="0"/>
  </w:style>
  <w:style w:type="character" w:customStyle="1" w:styleId="80">
    <w:name w:val="nth-of-type(1)3"/>
    <w:basedOn w:val="24"/>
    <w:autoRedefine/>
    <w:qFormat/>
    <w:uiPriority w:val="0"/>
  </w:style>
  <w:style w:type="character" w:customStyle="1" w:styleId="81">
    <w:name w:val="nth-of-type(1)4"/>
    <w:basedOn w:val="24"/>
    <w:autoRedefine/>
    <w:qFormat/>
    <w:uiPriority w:val="0"/>
    <w:rPr>
      <w:rFonts w:ascii="SourceHanSansCN-Regular" w:hAnsi="SourceHanSansCN-Regular" w:eastAsia="SourceHanSansCN-Regular" w:cs="SourceHanSansCN-Regular"/>
      <w:color w:val="FB560A"/>
      <w:sz w:val="21"/>
      <w:szCs w:val="21"/>
    </w:rPr>
  </w:style>
  <w:style w:type="character" w:customStyle="1" w:styleId="82">
    <w:name w:val="nth-of-type(1)5"/>
    <w:basedOn w:val="24"/>
    <w:autoRedefine/>
    <w:qFormat/>
    <w:uiPriority w:val="0"/>
  </w:style>
  <w:style w:type="character" w:customStyle="1" w:styleId="83">
    <w:name w:val="nth-of-type(1)6"/>
    <w:basedOn w:val="24"/>
    <w:autoRedefine/>
    <w:qFormat/>
    <w:uiPriority w:val="0"/>
  </w:style>
  <w:style w:type="character" w:customStyle="1" w:styleId="84">
    <w:name w:val="nth-of-type(1)7"/>
    <w:basedOn w:val="24"/>
    <w:autoRedefine/>
    <w:qFormat/>
    <w:uiPriority w:val="0"/>
  </w:style>
  <w:style w:type="character" w:customStyle="1" w:styleId="85">
    <w:name w:val="nth-of-type(1)8"/>
    <w:basedOn w:val="24"/>
    <w:autoRedefine/>
    <w:qFormat/>
    <w:uiPriority w:val="0"/>
  </w:style>
  <w:style w:type="character" w:customStyle="1" w:styleId="86">
    <w:name w:val="nth-of-type(1)9"/>
    <w:basedOn w:val="24"/>
    <w:autoRedefine/>
    <w:qFormat/>
    <w:uiPriority w:val="0"/>
  </w:style>
  <w:style w:type="character" w:customStyle="1" w:styleId="87">
    <w:name w:val="nth-of-type(1)10"/>
    <w:basedOn w:val="24"/>
    <w:autoRedefine/>
    <w:qFormat/>
    <w:uiPriority w:val="0"/>
  </w:style>
  <w:style w:type="character" w:customStyle="1" w:styleId="88">
    <w:name w:val="nth-of-type(1)11"/>
    <w:basedOn w:val="24"/>
    <w:autoRedefine/>
    <w:qFormat/>
    <w:uiPriority w:val="0"/>
  </w:style>
  <w:style w:type="character" w:customStyle="1" w:styleId="89">
    <w:name w:val="nth-of-type(1)12"/>
    <w:basedOn w:val="24"/>
    <w:autoRedefine/>
    <w:qFormat/>
    <w:uiPriority w:val="0"/>
  </w:style>
  <w:style w:type="character" w:customStyle="1" w:styleId="90">
    <w:name w:val="nth-of-type(1)13"/>
    <w:basedOn w:val="24"/>
    <w:autoRedefine/>
    <w:qFormat/>
    <w:uiPriority w:val="0"/>
  </w:style>
  <w:style w:type="character" w:customStyle="1" w:styleId="91">
    <w:name w:val="nth-of-type(1)14"/>
    <w:basedOn w:val="24"/>
    <w:autoRedefine/>
    <w:qFormat/>
    <w:uiPriority w:val="0"/>
  </w:style>
  <w:style w:type="character" w:customStyle="1" w:styleId="92">
    <w:name w:val="nth-of-type(1)15"/>
    <w:basedOn w:val="24"/>
    <w:autoRedefine/>
    <w:qFormat/>
    <w:uiPriority w:val="0"/>
  </w:style>
  <w:style w:type="character" w:customStyle="1" w:styleId="93">
    <w:name w:val="nth-of-type(1)16"/>
    <w:basedOn w:val="24"/>
    <w:autoRedefine/>
    <w:qFormat/>
    <w:uiPriority w:val="0"/>
  </w:style>
  <w:style w:type="character" w:customStyle="1" w:styleId="94">
    <w:name w:val="nth-of-type(1)17"/>
    <w:basedOn w:val="24"/>
    <w:autoRedefine/>
    <w:qFormat/>
    <w:uiPriority w:val="0"/>
    <w:rPr>
      <w:sz w:val="21"/>
      <w:szCs w:val="21"/>
    </w:rPr>
  </w:style>
  <w:style w:type="character" w:customStyle="1" w:styleId="95">
    <w:name w:val="nth-of-type(1)18"/>
    <w:basedOn w:val="24"/>
    <w:autoRedefine/>
    <w:qFormat/>
    <w:uiPriority w:val="0"/>
  </w:style>
  <w:style w:type="character" w:customStyle="1" w:styleId="96">
    <w:name w:val="nth-of-type(9)"/>
    <w:basedOn w:val="24"/>
    <w:autoRedefine/>
    <w:qFormat/>
    <w:uiPriority w:val="0"/>
  </w:style>
  <w:style w:type="character" w:customStyle="1" w:styleId="97">
    <w:name w:val="nth-of-type(2)"/>
    <w:basedOn w:val="24"/>
    <w:autoRedefine/>
    <w:qFormat/>
    <w:uiPriority w:val="0"/>
  </w:style>
  <w:style w:type="character" w:customStyle="1" w:styleId="98">
    <w:name w:val="nth-of-type(2)1"/>
    <w:basedOn w:val="24"/>
    <w:autoRedefine/>
    <w:qFormat/>
    <w:uiPriority w:val="0"/>
  </w:style>
  <w:style w:type="character" w:customStyle="1" w:styleId="99">
    <w:name w:val="nth-of-type(2)2"/>
    <w:basedOn w:val="24"/>
    <w:autoRedefine/>
    <w:qFormat/>
    <w:uiPriority w:val="0"/>
  </w:style>
  <w:style w:type="character" w:customStyle="1" w:styleId="100">
    <w:name w:val="nth-of-type(2)3"/>
    <w:basedOn w:val="24"/>
    <w:autoRedefine/>
    <w:qFormat/>
    <w:uiPriority w:val="0"/>
  </w:style>
  <w:style w:type="character" w:customStyle="1" w:styleId="101">
    <w:name w:val="nth-of-type(2)4"/>
    <w:basedOn w:val="24"/>
    <w:autoRedefine/>
    <w:qFormat/>
    <w:uiPriority w:val="0"/>
  </w:style>
  <w:style w:type="character" w:customStyle="1" w:styleId="102">
    <w:name w:val="nth-of-type(2)5"/>
    <w:basedOn w:val="24"/>
    <w:autoRedefine/>
    <w:qFormat/>
    <w:uiPriority w:val="0"/>
  </w:style>
  <w:style w:type="character" w:customStyle="1" w:styleId="103">
    <w:name w:val="nth-of-type(2)6"/>
    <w:basedOn w:val="24"/>
    <w:autoRedefine/>
    <w:qFormat/>
    <w:uiPriority w:val="0"/>
  </w:style>
  <w:style w:type="character" w:customStyle="1" w:styleId="104">
    <w:name w:val="nth-of-type(2)7"/>
    <w:basedOn w:val="24"/>
    <w:autoRedefine/>
    <w:qFormat/>
    <w:uiPriority w:val="0"/>
  </w:style>
  <w:style w:type="character" w:customStyle="1" w:styleId="105">
    <w:name w:val="nth-of-type(2)8"/>
    <w:basedOn w:val="24"/>
    <w:autoRedefine/>
    <w:qFormat/>
    <w:uiPriority w:val="0"/>
  </w:style>
  <w:style w:type="character" w:customStyle="1" w:styleId="106">
    <w:name w:val="nth-of-type(2)9"/>
    <w:basedOn w:val="24"/>
    <w:autoRedefine/>
    <w:qFormat/>
    <w:uiPriority w:val="0"/>
  </w:style>
  <w:style w:type="character" w:customStyle="1" w:styleId="107">
    <w:name w:val="nth-of-type(2)10"/>
    <w:basedOn w:val="24"/>
    <w:autoRedefine/>
    <w:qFormat/>
    <w:uiPriority w:val="0"/>
  </w:style>
  <w:style w:type="character" w:customStyle="1" w:styleId="108">
    <w:name w:val="nth-of-type(2)11"/>
    <w:basedOn w:val="24"/>
    <w:autoRedefine/>
    <w:qFormat/>
    <w:uiPriority w:val="0"/>
  </w:style>
  <w:style w:type="character" w:customStyle="1" w:styleId="109">
    <w:name w:val="nth-of-type(2)12"/>
    <w:basedOn w:val="24"/>
    <w:autoRedefine/>
    <w:qFormat/>
    <w:uiPriority w:val="0"/>
  </w:style>
  <w:style w:type="character" w:customStyle="1" w:styleId="110">
    <w:name w:val="nth-of-type(2)13"/>
    <w:basedOn w:val="24"/>
    <w:autoRedefine/>
    <w:qFormat/>
    <w:uiPriority w:val="0"/>
    <w:rPr>
      <w:sz w:val="21"/>
      <w:szCs w:val="21"/>
    </w:rPr>
  </w:style>
  <w:style w:type="character" w:customStyle="1" w:styleId="111">
    <w:name w:val="nth-of-type(2)14"/>
    <w:basedOn w:val="24"/>
    <w:autoRedefine/>
    <w:qFormat/>
    <w:uiPriority w:val="0"/>
  </w:style>
  <w:style w:type="character" w:customStyle="1" w:styleId="112">
    <w:name w:val="layui-this4"/>
    <w:basedOn w:val="24"/>
    <w:autoRedefine/>
    <w:qFormat/>
    <w:uiPriority w:val="0"/>
    <w:rPr>
      <w:bdr w:val="single" w:color="EEEEEE" w:sz="6" w:space="0"/>
      <w:shd w:val="clear" w:color="auto" w:fill="FFFFFF"/>
    </w:rPr>
  </w:style>
  <w:style w:type="character" w:customStyle="1" w:styleId="113">
    <w:name w:val="nth-child(1)"/>
    <w:basedOn w:val="24"/>
    <w:autoRedefine/>
    <w:qFormat/>
    <w:uiPriority w:val="0"/>
  </w:style>
  <w:style w:type="character" w:customStyle="1" w:styleId="114">
    <w:name w:val="before2"/>
    <w:basedOn w:val="24"/>
    <w:autoRedefine/>
    <w:qFormat/>
    <w:uiPriority w:val="0"/>
    <w:rPr>
      <w:shd w:val="clear" w:color="auto" w:fill="C20E0C"/>
    </w:rPr>
  </w:style>
  <w:style w:type="character" w:customStyle="1" w:styleId="115">
    <w:name w:val="lineshow"/>
    <w:basedOn w:val="24"/>
    <w:autoRedefine/>
    <w:qFormat/>
    <w:uiPriority w:val="0"/>
  </w:style>
  <w:style w:type="character" w:customStyle="1" w:styleId="116">
    <w:name w:val="lineshow1"/>
    <w:basedOn w:val="24"/>
    <w:autoRedefine/>
    <w:qFormat/>
    <w:uiPriority w:val="0"/>
  </w:style>
  <w:style w:type="character" w:customStyle="1" w:styleId="117">
    <w:name w:val="first-child"/>
    <w:basedOn w:val="24"/>
    <w:autoRedefine/>
    <w:qFormat/>
    <w:uiPriority w:val="0"/>
  </w:style>
  <w:style w:type="character" w:customStyle="1" w:styleId="118">
    <w:name w:val="first-child1"/>
    <w:basedOn w:val="24"/>
    <w:autoRedefine/>
    <w:qFormat/>
    <w:uiPriority w:val="0"/>
  </w:style>
  <w:style w:type="character" w:customStyle="1" w:styleId="119">
    <w:name w:val="first-child2"/>
    <w:basedOn w:val="24"/>
    <w:autoRedefine/>
    <w:qFormat/>
    <w:uiPriority w:val="0"/>
  </w:style>
  <w:style w:type="character" w:customStyle="1" w:styleId="120">
    <w:name w:val="first-child3"/>
    <w:basedOn w:val="24"/>
    <w:autoRedefine/>
    <w:qFormat/>
    <w:uiPriority w:val="0"/>
  </w:style>
  <w:style w:type="character" w:customStyle="1" w:styleId="121">
    <w:name w:val="hover25"/>
    <w:basedOn w:val="24"/>
    <w:autoRedefine/>
    <w:qFormat/>
    <w:uiPriority w:val="0"/>
    <w:rPr>
      <w:color w:val="167AE0"/>
    </w:rPr>
  </w:style>
  <w:style w:type="character" w:customStyle="1" w:styleId="122">
    <w:name w:val="hover26"/>
    <w:basedOn w:val="24"/>
    <w:autoRedefine/>
    <w:qFormat/>
    <w:uiPriority w:val="0"/>
  </w:style>
  <w:style w:type="character" w:customStyle="1" w:styleId="123">
    <w:name w:val="nth-of-type(5)"/>
    <w:basedOn w:val="24"/>
    <w:autoRedefine/>
    <w:qFormat/>
    <w:uiPriority w:val="0"/>
  </w:style>
  <w:style w:type="character" w:customStyle="1" w:styleId="124">
    <w:name w:val="nth-of-type(5)1"/>
    <w:basedOn w:val="24"/>
    <w:autoRedefine/>
    <w:qFormat/>
    <w:uiPriority w:val="0"/>
  </w:style>
  <w:style w:type="character" w:customStyle="1" w:styleId="125">
    <w:name w:val="nth-of-type(5)2"/>
    <w:basedOn w:val="24"/>
    <w:autoRedefine/>
    <w:qFormat/>
    <w:uiPriority w:val="0"/>
  </w:style>
  <w:style w:type="character" w:customStyle="1" w:styleId="126">
    <w:name w:val="nth-of-type(5)3"/>
    <w:basedOn w:val="24"/>
    <w:autoRedefine/>
    <w:qFormat/>
    <w:uiPriority w:val="0"/>
  </w:style>
  <w:style w:type="character" w:customStyle="1" w:styleId="127">
    <w:name w:val="nth-of-type(5)4"/>
    <w:basedOn w:val="24"/>
    <w:autoRedefine/>
    <w:qFormat/>
    <w:uiPriority w:val="0"/>
  </w:style>
  <w:style w:type="character" w:customStyle="1" w:styleId="128">
    <w:name w:val="nth-of-type(5)5"/>
    <w:basedOn w:val="24"/>
    <w:autoRedefine/>
    <w:qFormat/>
    <w:uiPriority w:val="0"/>
    <w:rPr>
      <w:sz w:val="21"/>
      <w:szCs w:val="21"/>
    </w:rPr>
  </w:style>
  <w:style w:type="character" w:customStyle="1" w:styleId="129">
    <w:name w:val="nth-of-type(5)6"/>
    <w:basedOn w:val="24"/>
    <w:autoRedefine/>
    <w:qFormat/>
    <w:uiPriority w:val="0"/>
  </w:style>
  <w:style w:type="character" w:customStyle="1" w:styleId="130">
    <w:name w:val="nth-of-type(8)"/>
    <w:basedOn w:val="24"/>
    <w:autoRedefine/>
    <w:qFormat/>
    <w:uiPriority w:val="0"/>
  </w:style>
  <w:style w:type="character" w:customStyle="1" w:styleId="131">
    <w:name w:val="nth-of-type(10)"/>
    <w:basedOn w:val="24"/>
    <w:autoRedefine/>
    <w:qFormat/>
    <w:uiPriority w:val="0"/>
  </w:style>
  <w:style w:type="character" w:customStyle="1" w:styleId="132">
    <w:name w:val="nth-of-type(7)"/>
    <w:basedOn w:val="24"/>
    <w:autoRedefine/>
    <w:qFormat/>
    <w:uiPriority w:val="0"/>
  </w:style>
  <w:style w:type="character" w:customStyle="1" w:styleId="133">
    <w:name w:val="nth-of-type(7)1"/>
    <w:basedOn w:val="24"/>
    <w:autoRedefine/>
    <w:qFormat/>
    <w:uiPriority w:val="0"/>
  </w:style>
  <w:style w:type="character" w:customStyle="1" w:styleId="134">
    <w:name w:val="nth-of-type(7)2"/>
    <w:basedOn w:val="24"/>
    <w:autoRedefine/>
    <w:qFormat/>
    <w:uiPriority w:val="0"/>
  </w:style>
  <w:style w:type="character" w:customStyle="1" w:styleId="135">
    <w:name w:val="nth-of-type(6)"/>
    <w:basedOn w:val="24"/>
    <w:autoRedefine/>
    <w:qFormat/>
    <w:uiPriority w:val="0"/>
  </w:style>
  <w:style w:type="character" w:customStyle="1" w:styleId="136">
    <w:name w:val="nth-of-type(6)1"/>
    <w:basedOn w:val="24"/>
    <w:autoRedefine/>
    <w:qFormat/>
    <w:uiPriority w:val="0"/>
  </w:style>
  <w:style w:type="character" w:customStyle="1" w:styleId="137">
    <w:name w:val="nth-of-type(6)2"/>
    <w:basedOn w:val="24"/>
    <w:autoRedefine/>
    <w:qFormat/>
    <w:uiPriority w:val="0"/>
  </w:style>
  <w:style w:type="character" w:customStyle="1" w:styleId="138">
    <w:name w:val="nth-of-type(6)3"/>
    <w:basedOn w:val="24"/>
    <w:autoRedefine/>
    <w:qFormat/>
    <w:uiPriority w:val="0"/>
    <w:rPr>
      <w:color w:val="0082DF"/>
    </w:rPr>
  </w:style>
  <w:style w:type="character" w:customStyle="1" w:styleId="139">
    <w:name w:val="nth-of-type(6)4"/>
    <w:basedOn w:val="24"/>
    <w:autoRedefine/>
    <w:qFormat/>
    <w:uiPriority w:val="0"/>
  </w:style>
  <w:style w:type="character" w:customStyle="1" w:styleId="140">
    <w:name w:val="nth-of-type(6)5"/>
    <w:basedOn w:val="24"/>
    <w:autoRedefine/>
    <w:qFormat/>
    <w:uiPriority w:val="0"/>
  </w:style>
  <w:style w:type="character" w:customStyle="1" w:styleId="141">
    <w:name w:val="nth-child(2)"/>
    <w:basedOn w:val="24"/>
    <w:autoRedefine/>
    <w:qFormat/>
    <w:uiPriority w:val="0"/>
  </w:style>
  <w:style w:type="character" w:customStyle="1" w:styleId="142">
    <w:name w:val="layui-laypage-curr"/>
    <w:basedOn w:val="24"/>
    <w:autoRedefine/>
    <w:qFormat/>
    <w:uiPriority w:val="0"/>
  </w:style>
  <w:style w:type="character" w:customStyle="1" w:styleId="143">
    <w:name w:val="titleshow"/>
    <w:basedOn w:val="24"/>
    <w:autoRedefine/>
    <w:qFormat/>
    <w:uiPriority w:val="0"/>
    <w:rPr>
      <w:color w:val="3E464C"/>
    </w:rPr>
  </w:style>
  <w:style w:type="character" w:customStyle="1" w:styleId="144">
    <w:name w:val="nth-child(3)"/>
    <w:basedOn w:val="24"/>
    <w:autoRedefine/>
    <w:qFormat/>
    <w:uiPriority w:val="0"/>
  </w:style>
  <w:style w:type="character" w:customStyle="1" w:styleId="145">
    <w:name w:val="last-child2"/>
    <w:basedOn w:val="24"/>
    <w:autoRedefine/>
    <w:qFormat/>
    <w:uiPriority w:val="0"/>
    <w:rPr>
      <w:color w:val="011F4F"/>
    </w:rPr>
  </w:style>
  <w:style w:type="character" w:customStyle="1" w:styleId="146">
    <w:name w:val="hover23"/>
    <w:basedOn w:val="24"/>
    <w:autoRedefine/>
    <w:qFormat/>
    <w:uiPriority w:val="0"/>
  </w:style>
  <w:style w:type="character" w:customStyle="1" w:styleId="147">
    <w:name w:val="hover24"/>
    <w:basedOn w:val="24"/>
    <w:autoRedefine/>
    <w:qFormat/>
    <w:uiPriority w:val="0"/>
    <w:rPr>
      <w:color w:val="167AE0"/>
    </w:rPr>
  </w:style>
  <w:style w:type="character" w:customStyle="1" w:styleId="148">
    <w:name w:val="nth-of-type(4)1"/>
    <w:basedOn w:val="24"/>
    <w:autoRedefine/>
    <w:qFormat/>
    <w:uiPriority w:val="0"/>
  </w:style>
  <w:style w:type="character" w:customStyle="1" w:styleId="149">
    <w:name w:val="nth-of-type(4)2"/>
    <w:basedOn w:val="24"/>
    <w:autoRedefine/>
    <w:qFormat/>
    <w:uiPriority w:val="0"/>
  </w:style>
  <w:style w:type="character" w:customStyle="1" w:styleId="150">
    <w:name w:val="nth-of-type(4)3"/>
    <w:basedOn w:val="24"/>
    <w:autoRedefine/>
    <w:qFormat/>
    <w:uiPriority w:val="0"/>
  </w:style>
  <w:style w:type="character" w:customStyle="1" w:styleId="151">
    <w:name w:val="nth-of-type(4)4"/>
    <w:basedOn w:val="24"/>
    <w:autoRedefine/>
    <w:qFormat/>
    <w:uiPriority w:val="0"/>
  </w:style>
  <w:style w:type="character" w:customStyle="1" w:styleId="152">
    <w:name w:val="nth-of-type(4)5"/>
    <w:basedOn w:val="24"/>
    <w:autoRedefine/>
    <w:qFormat/>
    <w:uiPriority w:val="0"/>
  </w:style>
  <w:style w:type="character" w:customStyle="1" w:styleId="153">
    <w:name w:val="nth-of-type(4)6"/>
    <w:basedOn w:val="24"/>
    <w:autoRedefine/>
    <w:qFormat/>
    <w:uiPriority w:val="0"/>
  </w:style>
  <w:style w:type="character" w:customStyle="1" w:styleId="154">
    <w:name w:val="nth-of-type(4)7"/>
    <w:basedOn w:val="24"/>
    <w:autoRedefine/>
    <w:qFormat/>
    <w:uiPriority w:val="0"/>
  </w:style>
  <w:style w:type="character" w:customStyle="1" w:styleId="155">
    <w:name w:val="nth-of-type(4)8"/>
    <w:basedOn w:val="24"/>
    <w:autoRedefine/>
    <w:qFormat/>
    <w:uiPriority w:val="0"/>
  </w:style>
  <w:style w:type="character" w:customStyle="1" w:styleId="156">
    <w:name w:val="layui-this"/>
    <w:basedOn w:val="24"/>
    <w:autoRedefine/>
    <w:qFormat/>
    <w:uiPriority w:val="0"/>
    <w:rPr>
      <w:bdr w:val="single" w:color="EEEEEE" w:sz="6" w:space="0"/>
      <w:shd w:val="clear" w:color="auto" w:fill="FFFFFF"/>
    </w:rPr>
  </w:style>
  <w:style w:type="character" w:customStyle="1" w:styleId="157">
    <w:name w:val="font21"/>
    <w:basedOn w:val="24"/>
    <w:autoRedefine/>
    <w:qFormat/>
    <w:uiPriority w:val="0"/>
    <w:rPr>
      <w:rFonts w:hint="eastAsia" w:ascii="仿宋" w:hAnsi="仿宋" w:eastAsia="仿宋" w:cs="仿宋"/>
      <w:color w:val="000000"/>
      <w:sz w:val="28"/>
      <w:szCs w:val="28"/>
      <w:u w:val="none"/>
    </w:rPr>
  </w:style>
  <w:style w:type="character" w:customStyle="1" w:styleId="158">
    <w:name w:val="font11"/>
    <w:basedOn w:val="24"/>
    <w:autoRedefine/>
    <w:qFormat/>
    <w:uiPriority w:val="0"/>
    <w:rPr>
      <w:rFonts w:hint="eastAsia" w:ascii="宋体" w:hAnsi="宋体" w:eastAsia="宋体" w:cs="宋体"/>
      <w:color w:val="000000"/>
      <w:sz w:val="28"/>
      <w:szCs w:val="28"/>
      <w:u w:val="none"/>
    </w:rPr>
  </w:style>
  <w:style w:type="character" w:customStyle="1" w:styleId="159">
    <w:name w:val="font71"/>
    <w:basedOn w:val="24"/>
    <w:autoRedefine/>
    <w:qFormat/>
    <w:uiPriority w:val="0"/>
    <w:rPr>
      <w:rFonts w:hint="eastAsia" w:ascii="微软雅黑" w:hAnsi="微软雅黑" w:eastAsia="微软雅黑" w:cs="微软雅黑"/>
      <w:color w:val="000000"/>
      <w:sz w:val="20"/>
      <w:szCs w:val="20"/>
      <w:u w:val="none"/>
    </w:rPr>
  </w:style>
  <w:style w:type="character" w:customStyle="1" w:styleId="160">
    <w:name w:val="font131"/>
    <w:basedOn w:val="24"/>
    <w:autoRedefine/>
    <w:qFormat/>
    <w:uiPriority w:val="0"/>
    <w:rPr>
      <w:rFonts w:ascii="宋体" w:hAnsi="宋体" w:eastAsia="宋体" w:cs="宋体"/>
      <w:color w:val="000000"/>
      <w:sz w:val="20"/>
      <w:szCs w:val="20"/>
      <w:u w:val="none"/>
    </w:rPr>
  </w:style>
  <w:style w:type="character" w:customStyle="1" w:styleId="161">
    <w:name w:val="font81"/>
    <w:basedOn w:val="24"/>
    <w:autoRedefine/>
    <w:qFormat/>
    <w:uiPriority w:val="0"/>
    <w:rPr>
      <w:rFonts w:hint="eastAsia" w:ascii="宋体" w:hAnsi="宋体" w:eastAsia="宋体" w:cs="宋体"/>
      <w:color w:val="000000"/>
      <w:sz w:val="20"/>
      <w:szCs w:val="20"/>
      <w:u w:val="none"/>
    </w:rPr>
  </w:style>
  <w:style w:type="character" w:customStyle="1" w:styleId="162">
    <w:name w:val="font112"/>
    <w:basedOn w:val="24"/>
    <w:autoRedefine/>
    <w:qFormat/>
    <w:uiPriority w:val="0"/>
    <w:rPr>
      <w:rFonts w:hint="eastAsia" w:ascii="微软雅黑" w:hAnsi="微软雅黑" w:eastAsia="微软雅黑" w:cs="微软雅黑"/>
      <w:color w:val="000000"/>
      <w:sz w:val="20"/>
      <w:szCs w:val="20"/>
      <w:u w:val="none"/>
    </w:rPr>
  </w:style>
  <w:style w:type="character" w:customStyle="1" w:styleId="163">
    <w:name w:val="font51"/>
    <w:basedOn w:val="24"/>
    <w:autoRedefine/>
    <w:qFormat/>
    <w:uiPriority w:val="0"/>
    <w:rPr>
      <w:rFonts w:hint="eastAsia" w:ascii="仿宋" w:hAnsi="仿宋" w:eastAsia="仿宋" w:cs="仿宋"/>
      <w:color w:val="000000"/>
      <w:sz w:val="22"/>
      <w:szCs w:val="22"/>
      <w:u w:val="none"/>
    </w:rPr>
  </w:style>
  <w:style w:type="paragraph" w:customStyle="1" w:styleId="164">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5">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166">
    <w:name w:val="null3"/>
    <w:hidden/>
    <w:qFormat/>
    <w:uiPriority w:val="0"/>
    <w:rPr>
      <w:rFonts w:hint="eastAsia" w:asciiTheme="minorHAnsi" w:hAnsiTheme="minorHAnsi" w:eastAsiaTheme="minorEastAsia" w:cstheme="minorBidi"/>
      <w:kern w:val="0"/>
      <w:sz w:val="20"/>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67</Pages>
  <Words>6906</Words>
  <Characters>7921</Characters>
  <Lines>320</Lines>
  <Paragraphs>90</Paragraphs>
  <TotalTime>5</TotalTime>
  <ScaleCrop>false</ScaleCrop>
  <LinksUpToDate>false</LinksUpToDate>
  <CharactersWithSpaces>8064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2021-10-28T17:47:00Z</dcterms:created>
  <dc:creator>、许多年以后</dc:creator>
  <cp:lastModifiedBy>向阳</cp:lastModifiedBy>
  <cp:lastPrinted>2022-06-07T17:41:00Z</cp:lastPrinted>
  <dcterms:modified xsi:type="dcterms:W3CDTF">2025-11-21T08:02:23Z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76DA21F949D346738DE3FC64632B1693_13</vt:lpwstr>
  </property>
  <property fmtid="{D5CDD505-2E9C-101B-9397-08002B2CF9AE}" pid="4" name="KSOTemplateDocerSaveRecord">
    <vt:lpwstr>eyJoZGlkIjoiMWQ2OGE4OWVmOTcwNjQ0ZTIxNDc2YTU0NjQ2Mjg3MDYiLCJ1c2VySWQiOiIzMjEzMzA1MzMifQ==</vt:lpwstr>
  </property>
</Properties>
</file>