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522"/>
      </w:tblGrid>
      <w:tr w14:paraId="5D57FB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34934B67">
            <w:pPr>
              <w:pStyle w:val="4"/>
            </w:pPr>
            <w:r>
              <w:rPr>
                <w:rFonts w:ascii="仿宋_GB2312" w:hAnsi="仿宋_GB2312" w:eastAsia="仿宋_GB2312" w:cs="仿宋_GB2312"/>
                <w:sz w:val="24"/>
              </w:rPr>
              <w:t>一、工作范围</w:t>
            </w:r>
          </w:p>
          <w:p w14:paraId="5CAF354A">
            <w:pPr>
              <w:pStyle w:val="4"/>
              <w:ind w:firstLine="480"/>
              <w:jc w:val="both"/>
            </w:pPr>
            <w:r>
              <w:rPr>
                <w:rFonts w:ascii="仿宋_GB2312" w:hAnsi="仿宋_GB2312" w:eastAsia="仿宋_GB2312" w:cs="仿宋_GB2312"/>
                <w:sz w:val="24"/>
              </w:rPr>
              <w:t>工作范围：分为全域监测范围和城区监测范围两类。</w:t>
            </w:r>
          </w:p>
          <w:p w14:paraId="55A0C82C">
            <w:pPr>
              <w:pStyle w:val="4"/>
              <w:ind w:firstLine="480"/>
              <w:jc w:val="both"/>
            </w:pPr>
            <w:r>
              <w:rPr>
                <w:rFonts w:ascii="仿宋_GB2312" w:hAnsi="仿宋_GB2312" w:eastAsia="仿宋_GB2312" w:cs="仿宋_GB2312"/>
                <w:sz w:val="24"/>
              </w:rPr>
              <w:t>全域监测范围指阎良区整个行政区域，其界线与2024年度国土变更调查成果中的调查界线一致。</w:t>
            </w:r>
          </w:p>
          <w:p w14:paraId="5FA051BB">
            <w:pPr>
              <w:pStyle w:val="4"/>
              <w:ind w:firstLine="480"/>
              <w:jc w:val="both"/>
            </w:pPr>
            <w:r>
              <w:rPr>
                <w:rFonts w:ascii="仿宋_GB2312" w:hAnsi="仿宋_GB2312" w:eastAsia="仿宋_GB2312" w:cs="仿宋_GB2312"/>
                <w:sz w:val="24"/>
              </w:rPr>
              <w:t>城区监测范围指自然资源部确认的“城区范围”和2024年度国土变更调查确定的城市(201,不含县级市和县)范围的并集。依据《国 土空间规划城市体检评估规程》进行“城区”相关统计分析工作时，仍按照“城区范围”执行。</w:t>
            </w:r>
          </w:p>
          <w:p w14:paraId="5D2D9186">
            <w:pPr>
              <w:pStyle w:val="4"/>
              <w:jc w:val="both"/>
            </w:pPr>
            <w:r>
              <w:rPr>
                <w:rFonts w:ascii="仿宋_GB2312" w:hAnsi="仿宋_GB2312" w:eastAsia="仿宋_GB2312" w:cs="仿宋_GB2312"/>
                <w:sz w:val="24"/>
              </w:rPr>
              <w:t>二、工作内容</w:t>
            </w:r>
          </w:p>
          <w:p w14:paraId="59106511">
            <w:pPr>
              <w:pStyle w:val="4"/>
              <w:ind w:firstLine="480"/>
              <w:jc w:val="both"/>
            </w:pPr>
            <w:r>
              <w:rPr>
                <w:rFonts w:ascii="仿宋_GB2312" w:hAnsi="仿宋_GB2312" w:eastAsia="仿宋_GB2312" w:cs="仿宋_GB2312"/>
                <w:sz w:val="24"/>
              </w:rPr>
              <w:t>一是对于有独立用地的监测要素：</w:t>
            </w:r>
          </w:p>
          <w:p w14:paraId="7774A85F">
            <w:pPr>
              <w:pStyle w:val="4"/>
              <w:ind w:firstLine="480"/>
              <w:jc w:val="both"/>
            </w:pPr>
            <w:r>
              <w:rPr>
                <w:rFonts w:ascii="仿宋_GB2312" w:hAnsi="仿宋_GB2312" w:eastAsia="仿宋_GB2312" w:cs="仿宋_GB2312"/>
                <w:sz w:val="24"/>
              </w:rPr>
              <w:t>监测时实地与2024年度国土变更调查成果地类二级类一致的，在变更调查成果底图上进行细化采集，矢量化相关位置和范围，并标注相关属性；</w:t>
            </w:r>
          </w:p>
          <w:p w14:paraId="73B14CD8">
            <w:pPr>
              <w:pStyle w:val="4"/>
              <w:ind w:firstLine="480"/>
              <w:jc w:val="both"/>
            </w:pPr>
            <w:r>
              <w:rPr>
                <w:rFonts w:ascii="仿宋_GB2312" w:hAnsi="仿宋_GB2312" w:eastAsia="仿宋_GB2312" w:cs="仿宋_GB2312"/>
                <w:sz w:val="24"/>
              </w:rPr>
              <w:t>监测时实地与2024年度国土变更调查成果地类二级类不一致的， 在单独图层上进行采集，矢量化相关位置和范围，并标注相关属性，同时，按照国土变更调查外业举证相关要求进行举证。</w:t>
            </w:r>
          </w:p>
          <w:p w14:paraId="239BD6EC">
            <w:pPr>
              <w:pStyle w:val="4"/>
              <w:ind w:firstLine="480"/>
              <w:jc w:val="both"/>
            </w:pPr>
            <w:r>
              <w:rPr>
                <w:rFonts w:ascii="仿宋_GB2312" w:hAnsi="仿宋_GB2312" w:eastAsia="仿宋_GB2312" w:cs="仿宋_GB2312"/>
                <w:sz w:val="24"/>
              </w:rPr>
              <w:t>可采用实地外业举证、影像举证或提交附件佐证材料的举证方式；实地照片、影像、佐证材料要准确反映监测要素的名称、范围、用途等信息。佐证材料包括但不限于不动产登记、供地、地籍、地形、规划设计图纸和数据等权威资料。</w:t>
            </w:r>
          </w:p>
          <w:p w14:paraId="3B2CF230">
            <w:pPr>
              <w:pStyle w:val="4"/>
              <w:ind w:firstLine="480"/>
              <w:jc w:val="both"/>
            </w:pPr>
            <w:r>
              <w:rPr>
                <w:rFonts w:ascii="仿宋_GB2312" w:hAnsi="仿宋_GB2312" w:eastAsia="仿宋_GB2312" w:cs="仿宋_GB2312"/>
                <w:sz w:val="24"/>
              </w:rPr>
              <w:t>二是对于没有独立用地的监测要素，以单独图层表示其矢量位置，并标注相关属性。</w:t>
            </w:r>
          </w:p>
          <w:p w14:paraId="2E26016A">
            <w:pPr>
              <w:pStyle w:val="4"/>
              <w:ind w:firstLine="480"/>
              <w:jc w:val="both"/>
            </w:pPr>
            <w:r>
              <w:rPr>
                <w:rFonts w:ascii="仿宋_GB2312" w:hAnsi="仿宋_GB2312" w:eastAsia="仿宋_GB2312" w:cs="仿宋_GB2312"/>
                <w:sz w:val="24"/>
              </w:rPr>
              <w:t>三是对于相关部门权威资料可以表明相关属性的，可以在无明显逻辑矛盾的情况下直接使用；对于无权威资料或相关资料不能表明相关属性的，要结合外业实地调查确定相关属性。</w:t>
            </w:r>
          </w:p>
          <w:p w14:paraId="5966BAE7">
            <w:pPr>
              <w:pStyle w:val="4"/>
              <w:ind w:firstLine="480"/>
              <w:jc w:val="both"/>
            </w:pPr>
            <w:r>
              <w:rPr>
                <w:rFonts w:ascii="仿宋_GB2312" w:hAnsi="仿宋_GB2312" w:eastAsia="仿宋_GB2312" w:cs="仿宋_GB2312"/>
                <w:sz w:val="24"/>
              </w:rPr>
              <w:t>四是对于监测时原有监测要素改变为其他要素，或者监测要素的范围缩小且连片面积达到采集指标的，对其范围或位置进行标注，以单独图层表示。</w:t>
            </w:r>
          </w:p>
          <w:p w14:paraId="4C90BE17">
            <w:pPr>
              <w:pStyle w:val="4"/>
              <w:ind w:firstLine="480"/>
              <w:jc w:val="both"/>
            </w:pPr>
            <w:r>
              <w:rPr>
                <w:rFonts w:ascii="仿宋_GB2312" w:hAnsi="仿宋_GB2312" w:eastAsia="仿宋_GB2312" w:cs="仿宋_GB2312"/>
                <w:sz w:val="24"/>
              </w:rPr>
              <w:t>五是水域网络、交通网络只更新河湖(含大型水库)岸线、河渠结构线，铁路(含高速铁路)、公路(含高速公路)、城市道路、乡村道路、匝道中心线，高速公路出入口。</w:t>
            </w:r>
          </w:p>
          <w:p w14:paraId="007CAC63">
            <w:pPr>
              <w:pStyle w:val="4"/>
              <w:ind w:firstLine="480"/>
              <w:jc w:val="both"/>
            </w:pPr>
            <w:r>
              <w:rPr>
                <w:rFonts w:ascii="仿宋_GB2312" w:hAnsi="仿宋_GB2312" w:eastAsia="仿宋_GB2312" w:cs="仿宋_GB2312"/>
                <w:sz w:val="24"/>
              </w:rPr>
              <w:t>六是结合管理资料和实地调查对室外滑雪场范围及相关属性进行更新与补充。</w:t>
            </w:r>
          </w:p>
          <w:p w14:paraId="4F383559">
            <w:pPr>
              <w:pStyle w:val="4"/>
              <w:jc w:val="both"/>
            </w:pPr>
            <w:r>
              <w:rPr>
                <w:rFonts w:ascii="仿宋_GB2312" w:hAnsi="仿宋_GB2312" w:eastAsia="仿宋_GB2312" w:cs="仿宋_GB2312"/>
                <w:sz w:val="24"/>
              </w:rPr>
              <w:t>三、要求</w:t>
            </w:r>
          </w:p>
          <w:p w14:paraId="4331B52E">
            <w:pPr>
              <w:pStyle w:val="4"/>
              <w:ind w:firstLine="480"/>
              <w:jc w:val="both"/>
            </w:pPr>
            <w:r>
              <w:rPr>
                <w:rFonts w:ascii="仿宋_GB2312" w:hAnsi="仿宋_GB2312" w:eastAsia="仿宋_GB2312" w:cs="仿宋_GB2312"/>
                <w:sz w:val="24"/>
              </w:rPr>
              <w:t>(一)数学基础</w:t>
            </w:r>
          </w:p>
          <w:p w14:paraId="1FBE44F3">
            <w:pPr>
              <w:pStyle w:val="4"/>
              <w:ind w:firstLine="480"/>
              <w:jc w:val="both"/>
            </w:pPr>
            <w:r>
              <w:rPr>
                <w:rFonts w:ascii="仿宋_GB2312" w:hAnsi="仿宋_GB2312" w:eastAsia="仿宋_GB2312" w:cs="仿宋_GB2312"/>
                <w:sz w:val="24"/>
              </w:rPr>
              <w:t>(1)采用2000国家大地坐标系。</w:t>
            </w:r>
          </w:p>
          <w:p w14:paraId="5E215774">
            <w:pPr>
              <w:pStyle w:val="4"/>
              <w:ind w:firstLine="480"/>
              <w:jc w:val="both"/>
            </w:pPr>
            <w:r>
              <w:rPr>
                <w:rFonts w:ascii="仿宋_GB2312" w:hAnsi="仿宋_GB2312" w:eastAsia="仿宋_GB2312" w:cs="仿宋_GB2312"/>
                <w:sz w:val="24"/>
              </w:rPr>
              <w:t>(2)采用1985国家高程基准。</w:t>
            </w:r>
          </w:p>
          <w:p w14:paraId="50D4307E">
            <w:pPr>
              <w:pStyle w:val="4"/>
              <w:ind w:firstLine="480"/>
              <w:jc w:val="both"/>
            </w:pPr>
            <w:r>
              <w:rPr>
                <w:rFonts w:ascii="仿宋_GB2312" w:hAnsi="仿宋_GB2312" w:eastAsia="仿宋_GB2312" w:cs="仿宋_GB2312"/>
                <w:sz w:val="24"/>
              </w:rPr>
              <w:t>(3)数据成果投影分带要求与第三次全国国土调查一致。</w:t>
            </w:r>
          </w:p>
          <w:p w14:paraId="0BB4D769">
            <w:pPr>
              <w:pStyle w:val="4"/>
              <w:ind w:firstLine="480"/>
              <w:jc w:val="both"/>
            </w:pPr>
            <w:r>
              <w:rPr>
                <w:rFonts w:ascii="仿宋_GB2312" w:hAnsi="仿宋_GB2312" w:eastAsia="仿宋_GB2312" w:cs="仿宋_GB2312"/>
                <w:sz w:val="24"/>
              </w:rPr>
              <w:t>(4)矢量数据采用地理坐标，经纬度值采用“度”为单位，用双精度浮点数表示，保留9位有效小数位。</w:t>
            </w:r>
          </w:p>
          <w:p w14:paraId="6DBBBF41">
            <w:pPr>
              <w:pStyle w:val="4"/>
              <w:ind w:firstLine="480"/>
              <w:jc w:val="both"/>
            </w:pPr>
            <w:r>
              <w:rPr>
                <w:rFonts w:ascii="仿宋_GB2312" w:hAnsi="仿宋_GB2312" w:eastAsia="仿宋_GB2312" w:cs="仿宋_GB2312"/>
                <w:sz w:val="24"/>
              </w:rPr>
              <w:t>(二)计量单位与属性精度</w:t>
            </w:r>
          </w:p>
          <w:p w14:paraId="24C9CCD4">
            <w:pPr>
              <w:pStyle w:val="4"/>
              <w:ind w:firstLine="480"/>
              <w:jc w:val="both"/>
            </w:pPr>
            <w:r>
              <w:rPr>
                <w:rFonts w:ascii="仿宋_GB2312" w:hAnsi="仿宋_GB2312" w:eastAsia="仿宋_GB2312" w:cs="仿宋_GB2312"/>
                <w:sz w:val="24"/>
              </w:rPr>
              <w:t>长度、宽度、高程、面积等均采用米制单位。若无特殊说明，长度、宽度、高程单位均采用米(m); 面积计算单位采用平方米(m²)。</w:t>
            </w:r>
          </w:p>
          <w:p w14:paraId="617B0D3D">
            <w:pPr>
              <w:pStyle w:val="4"/>
              <w:ind w:firstLine="480"/>
              <w:jc w:val="both"/>
            </w:pPr>
            <w:r>
              <w:rPr>
                <w:rFonts w:ascii="仿宋_GB2312" w:hAnsi="仿宋_GB2312" w:eastAsia="仿宋_GB2312" w:cs="仿宋_GB2312"/>
                <w:sz w:val="24"/>
              </w:rPr>
              <w:t>获取的定量属性值保留的有效小数位、值域范围应符合《2025年城市国土空间监测技术方案》中各具体属性项的要求，并与地物实际属性相符。面积计算一般采用椭球面积。</w:t>
            </w:r>
          </w:p>
          <w:p w14:paraId="00A3F46A">
            <w:pPr>
              <w:pStyle w:val="4"/>
              <w:ind w:firstLine="480"/>
              <w:jc w:val="both"/>
            </w:pPr>
            <w:r>
              <w:rPr>
                <w:rFonts w:ascii="仿宋_GB2312" w:hAnsi="仿宋_GB2312" w:eastAsia="仿宋_GB2312" w:cs="仿宋_GB2312"/>
                <w:sz w:val="24"/>
              </w:rPr>
              <w:t>(三)数据现势性：应达到2025年。</w:t>
            </w:r>
          </w:p>
          <w:p w14:paraId="473CA9E1">
            <w:pPr>
              <w:pStyle w:val="4"/>
              <w:ind w:firstLine="480"/>
              <w:jc w:val="both"/>
            </w:pPr>
            <w:r>
              <w:rPr>
                <w:rFonts w:ascii="仿宋_GB2312" w:hAnsi="仿宋_GB2312" w:eastAsia="仿宋_GB2312" w:cs="仿宋_GB2312"/>
                <w:sz w:val="24"/>
              </w:rPr>
              <w:t>(四)数据接边包括图形接边和属性接边。省内相邻行政区域之间，属性项包含 “NAME”字段的所有实体要素数据均需接边。跨越省际的新增水域网络、交通网络要素，若属性相同，应进行数据接边。图形相接的同一实体，应进行属性接边，确保属性信息的一致性、合理性。</w:t>
            </w:r>
          </w:p>
          <w:p w14:paraId="7CD2AD72">
            <w:pPr>
              <w:pStyle w:val="4"/>
              <w:jc w:val="both"/>
            </w:pPr>
            <w:r>
              <w:rPr>
                <w:rFonts w:ascii="仿宋_GB2312" w:hAnsi="仿宋_GB2312" w:eastAsia="仿宋_GB2312" w:cs="仿宋_GB2312"/>
                <w:sz w:val="24"/>
              </w:rPr>
              <w:t>四、服务要求</w:t>
            </w:r>
          </w:p>
          <w:p w14:paraId="464F7941">
            <w:pPr>
              <w:pStyle w:val="4"/>
              <w:ind w:firstLine="480"/>
              <w:jc w:val="both"/>
            </w:pPr>
            <w:r>
              <w:rPr>
                <w:rFonts w:ascii="仿宋_GB2312" w:hAnsi="仿宋_GB2312" w:eastAsia="仿宋_GB2312" w:cs="仿宋_GB2312"/>
                <w:sz w:val="24"/>
              </w:rPr>
              <w:t>（一）人员配置</w:t>
            </w:r>
          </w:p>
          <w:p w14:paraId="4181053A">
            <w:pPr>
              <w:pStyle w:val="4"/>
              <w:ind w:firstLine="480"/>
              <w:jc w:val="both"/>
            </w:pPr>
            <w:r>
              <w:rPr>
                <w:rFonts w:ascii="仿宋_GB2312" w:hAnsi="仿宋_GB2312" w:eastAsia="仿宋_GB2312" w:cs="仿宋_GB2312"/>
                <w:sz w:val="24"/>
              </w:rPr>
              <w:t>1、项目负责人具有中级技术职称。</w:t>
            </w:r>
          </w:p>
          <w:p w14:paraId="79691210">
            <w:pPr>
              <w:pStyle w:val="4"/>
              <w:ind w:firstLine="480"/>
              <w:jc w:val="both"/>
            </w:pPr>
            <w:r>
              <w:rPr>
                <w:rFonts w:ascii="仿宋_GB2312" w:hAnsi="仿宋_GB2312" w:eastAsia="仿宋_GB2312" w:cs="仿宋_GB2312"/>
                <w:sz w:val="24"/>
              </w:rPr>
              <w:t>2、技术负责人具有中级工程师职称。</w:t>
            </w:r>
          </w:p>
          <w:p w14:paraId="67384CBF">
            <w:pPr>
              <w:pStyle w:val="4"/>
              <w:ind w:firstLine="480"/>
              <w:jc w:val="both"/>
            </w:pPr>
            <w:r>
              <w:rPr>
                <w:rFonts w:ascii="仿宋_GB2312" w:hAnsi="仿宋_GB2312" w:eastAsia="仿宋_GB2312" w:cs="仿宋_GB2312"/>
                <w:sz w:val="24"/>
              </w:rPr>
              <w:t>3、项目人员配置不低于5人。</w:t>
            </w:r>
          </w:p>
          <w:p w14:paraId="75164C00">
            <w:pPr>
              <w:pStyle w:val="4"/>
              <w:ind w:firstLine="480"/>
              <w:jc w:val="both"/>
            </w:pPr>
            <w:r>
              <w:rPr>
                <w:rFonts w:ascii="仿宋_GB2312" w:hAnsi="仿宋_GB2312" w:eastAsia="仿宋_GB2312" w:cs="仿宋_GB2312"/>
                <w:sz w:val="24"/>
              </w:rPr>
              <w:t>（二）仪器设备</w:t>
            </w:r>
          </w:p>
          <w:p w14:paraId="17229395">
            <w:pPr>
              <w:pStyle w:val="4"/>
              <w:ind w:firstLine="480"/>
              <w:jc w:val="both"/>
            </w:pPr>
            <w:r>
              <w:rPr>
                <w:rFonts w:ascii="仿宋_GB2312" w:hAnsi="仿宋_GB2312" w:eastAsia="仿宋_GB2312" w:cs="仿宋_GB2312"/>
                <w:sz w:val="24"/>
              </w:rPr>
              <w:t>针对本项目拟投入的设备、仪器完整、齐全，配备合理，完全满足项目需求。</w:t>
            </w:r>
          </w:p>
          <w:p w14:paraId="07DB3AFE">
            <w:pPr>
              <w:pStyle w:val="4"/>
              <w:ind w:firstLine="480"/>
              <w:jc w:val="both"/>
            </w:pPr>
            <w:r>
              <w:rPr>
                <w:rFonts w:ascii="仿宋_GB2312" w:hAnsi="仿宋_GB2312" w:eastAsia="仿宋_GB2312" w:cs="仿宋_GB2312"/>
                <w:sz w:val="24"/>
              </w:rPr>
              <w:t>（三）服务标准</w:t>
            </w:r>
          </w:p>
          <w:p w14:paraId="3371F28B">
            <w:pPr>
              <w:pStyle w:val="4"/>
              <w:ind w:firstLine="480"/>
              <w:jc w:val="both"/>
            </w:pPr>
            <w:r>
              <w:rPr>
                <w:rFonts w:ascii="仿宋_GB2312" w:hAnsi="仿宋_GB2312" w:eastAsia="仿宋_GB2312" w:cs="仿宋_GB2312"/>
                <w:sz w:val="24"/>
              </w:rPr>
              <w:t>提交的所有成果，符合国家、省、市相关技术规程。</w:t>
            </w:r>
          </w:p>
          <w:p w14:paraId="526271DD">
            <w:pPr>
              <w:pStyle w:val="4"/>
              <w:jc w:val="both"/>
            </w:pPr>
            <w:r>
              <w:rPr>
                <w:rFonts w:ascii="仿宋_GB2312" w:hAnsi="仿宋_GB2312" w:eastAsia="仿宋_GB2312" w:cs="仿宋_GB2312"/>
                <w:sz w:val="24"/>
              </w:rPr>
              <w:t>五、成果交付要求</w:t>
            </w:r>
          </w:p>
          <w:p w14:paraId="10C230B3">
            <w:pPr>
              <w:pStyle w:val="4"/>
              <w:ind w:firstLine="480"/>
              <w:jc w:val="both"/>
            </w:pPr>
            <w:r>
              <w:rPr>
                <w:rFonts w:ascii="仿宋_GB2312" w:hAnsi="仿宋_GB2312" w:eastAsia="仿宋_GB2312" w:cs="仿宋_GB2312"/>
                <w:sz w:val="24"/>
              </w:rPr>
              <w:t>(1)基础成果</w:t>
            </w:r>
          </w:p>
          <w:p w14:paraId="62281473">
            <w:pPr>
              <w:pStyle w:val="4"/>
              <w:ind w:firstLine="480"/>
              <w:jc w:val="both"/>
            </w:pPr>
            <w:r>
              <w:rPr>
                <w:rFonts w:ascii="仿宋_GB2312" w:hAnsi="仿宋_GB2312" w:eastAsia="仿宋_GB2312" w:cs="仿宋_GB2312"/>
                <w:sz w:val="24"/>
              </w:rPr>
              <w:t>按照统一要求，通过整合、采集、细化与更新形成的空间数据成果。</w:t>
            </w:r>
          </w:p>
          <w:p w14:paraId="61544971">
            <w:pPr>
              <w:pStyle w:val="4"/>
              <w:ind w:firstLine="480"/>
              <w:jc w:val="both"/>
            </w:pPr>
            <w:r>
              <w:rPr>
                <w:rFonts w:ascii="仿宋_GB2312" w:hAnsi="仿宋_GB2312" w:eastAsia="仿宋_GB2312" w:cs="仿宋_GB2312"/>
                <w:sz w:val="24"/>
              </w:rPr>
              <w:t>(2)统计成果</w:t>
            </w:r>
          </w:p>
          <w:p w14:paraId="168DB843">
            <w:pPr>
              <w:pStyle w:val="4"/>
              <w:ind w:firstLine="480"/>
              <w:jc w:val="both"/>
            </w:pPr>
            <w:r>
              <w:rPr>
                <w:rFonts w:ascii="仿宋_GB2312" w:hAnsi="仿宋_GB2312" w:eastAsia="仿宋_GB2312" w:cs="仿宋_GB2312"/>
                <w:sz w:val="24"/>
              </w:rPr>
              <w:t>基于基础成果进行汇总统计形成的数据成果。</w:t>
            </w:r>
          </w:p>
          <w:p w14:paraId="7F9FFC5E">
            <w:pPr>
              <w:pStyle w:val="4"/>
              <w:ind w:firstLine="480"/>
              <w:jc w:val="both"/>
            </w:pPr>
            <w:r>
              <w:rPr>
                <w:rFonts w:ascii="仿宋_GB2312" w:hAnsi="仿宋_GB2312" w:eastAsia="仿宋_GB2312" w:cs="仿宋_GB2312"/>
                <w:sz w:val="24"/>
              </w:rPr>
              <w:t>(3)分析成果</w:t>
            </w:r>
          </w:p>
          <w:p w14:paraId="6A4608EB">
            <w:pPr>
              <w:pStyle w:val="4"/>
              <w:ind w:firstLine="480"/>
              <w:jc w:val="both"/>
            </w:pPr>
            <w:r>
              <w:rPr>
                <w:rFonts w:ascii="仿宋_GB2312" w:hAnsi="仿宋_GB2312" w:eastAsia="仿宋_GB2312" w:cs="仿宋_GB2312"/>
                <w:sz w:val="24"/>
              </w:rPr>
              <w:t>根据业务管理需要，结合其他有关数据，通过计算和分析形成的数据成果和报告。</w:t>
            </w:r>
          </w:p>
          <w:p w14:paraId="4536764C">
            <w:pPr>
              <w:pStyle w:val="4"/>
              <w:jc w:val="both"/>
            </w:pPr>
            <w:r>
              <w:rPr>
                <w:rFonts w:ascii="仿宋_GB2312" w:hAnsi="仿宋_GB2312" w:eastAsia="仿宋_GB2312" w:cs="仿宋_GB2312"/>
                <w:sz w:val="24"/>
              </w:rPr>
              <w:t>六、质量验收标准或规范</w:t>
            </w:r>
          </w:p>
          <w:p w14:paraId="75B29AA6">
            <w:pPr>
              <w:pStyle w:val="4"/>
              <w:ind w:firstLine="480"/>
              <w:jc w:val="both"/>
            </w:pPr>
            <w:r>
              <w:rPr>
                <w:rFonts w:ascii="仿宋_GB2312" w:hAnsi="仿宋_GB2312" w:eastAsia="仿宋_GB2312" w:cs="仿宋_GB2312"/>
                <w:sz w:val="24"/>
              </w:rPr>
              <w:t>最终成果数据通过省级质检站验收及最后通过国家验收。</w:t>
            </w:r>
          </w:p>
        </w:tc>
      </w:tr>
    </w:tbl>
    <w:p w14:paraId="547876D8">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0F0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2025-11-26T06:11:14Z</dcterms:created>
  <dc:creator>Administrator</dc:creator>
  <cp:lastModifiedBy>123</cp:lastModifiedBy>
  <dcterms:modified xsi:type="dcterms:W3CDTF">2025-11-26T06:11:26Z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eyJoZGlkIjoiOGQ3ODNlYjZjZWMzNDM3YjRkMjE4MzBmODAzNWZiY2UiLCJ1c2VySWQiOiI0NDQ4NzkxMjQifQ==</vt:lpwstr>
  </property>
  <property fmtid="{D5CDD505-2E9C-101B-9397-08002B2CF9AE}" pid="4" name="ICV">
    <vt:lpwstr>FF03327183474DF9934C042E44E4D73A_12</vt:lpwstr>
  </property>
</Properties>
</file>