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FDD491">
      <w:pPr>
        <w:pStyle w:val="2"/>
        <w:rPr>
          <w:rFonts w:hint="eastAsia" w:ascii="仿宋" w:hAnsi="仿宋" w:eastAsia="仿宋" w:cs="Times New Roman"/>
          <w:b/>
          <w:bCs/>
        </w:rPr>
      </w:pPr>
      <w:r>
        <w:rPr>
          <w:rFonts w:hint="eastAsia" w:ascii="仿宋" w:hAnsi="仿宋" w:eastAsia="仿宋" w:cs="Times New Roman"/>
          <w:b/>
          <w:bCs/>
        </w:rPr>
        <w:t>采购需求</w:t>
      </w:r>
      <w:bookmarkStart w:id="0" w:name="_GoBack"/>
      <w:bookmarkEnd w:id="0"/>
    </w:p>
    <w:p w14:paraId="1CD15820">
      <w:pPr>
        <w:jc w:val="left"/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一、采购内容</w:t>
      </w:r>
    </w:p>
    <w:tbl>
      <w:tblPr>
        <w:tblStyle w:val="3"/>
        <w:tblW w:w="4998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1"/>
        <w:gridCol w:w="1101"/>
        <w:gridCol w:w="3174"/>
        <w:gridCol w:w="1016"/>
        <w:gridCol w:w="2437"/>
      </w:tblGrid>
      <w:tr w14:paraId="1C358D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8" w:hRule="atLeast"/>
        </w:trPr>
        <w:tc>
          <w:tcPr>
            <w:tcW w:w="464" w:type="pct"/>
            <w:tcBorders>
              <w:right w:val="single" w:color="auto" w:sz="4" w:space="0"/>
            </w:tcBorders>
            <w:noWrap w:val="0"/>
            <w:vAlign w:val="center"/>
          </w:tcPr>
          <w:p w14:paraId="3EF7E763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序号</w:t>
            </w:r>
          </w:p>
        </w:tc>
        <w:tc>
          <w:tcPr>
            <w:tcW w:w="646" w:type="pct"/>
            <w:tcBorders>
              <w:left w:val="single" w:color="auto" w:sz="4" w:space="0"/>
            </w:tcBorders>
            <w:noWrap w:val="0"/>
            <w:vAlign w:val="center"/>
          </w:tcPr>
          <w:p w14:paraId="0C8EC65D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服务</w:t>
            </w:r>
          </w:p>
          <w:p w14:paraId="6426A837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名称</w:t>
            </w:r>
          </w:p>
        </w:tc>
        <w:tc>
          <w:tcPr>
            <w:tcW w:w="1862" w:type="pct"/>
            <w:tcBorders>
              <w:right w:val="single" w:color="auto" w:sz="4" w:space="0"/>
            </w:tcBorders>
            <w:noWrap w:val="0"/>
            <w:vAlign w:val="center"/>
          </w:tcPr>
          <w:p w14:paraId="0735185B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技术指标/服务内容</w:t>
            </w:r>
          </w:p>
        </w:tc>
        <w:tc>
          <w:tcPr>
            <w:tcW w:w="596" w:type="pct"/>
            <w:tcBorders>
              <w:left w:val="single" w:color="auto" w:sz="4" w:space="0"/>
            </w:tcBorders>
            <w:noWrap w:val="0"/>
            <w:vAlign w:val="center"/>
          </w:tcPr>
          <w:p w14:paraId="51E6328F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数量</w:t>
            </w:r>
          </w:p>
        </w:tc>
        <w:tc>
          <w:tcPr>
            <w:tcW w:w="1430" w:type="pct"/>
            <w:noWrap w:val="0"/>
            <w:vAlign w:val="center"/>
          </w:tcPr>
          <w:p w14:paraId="711B274E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备注</w:t>
            </w:r>
          </w:p>
        </w:tc>
      </w:tr>
      <w:tr w14:paraId="70DB5E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9" w:hRule="atLeast"/>
        </w:trPr>
        <w:tc>
          <w:tcPr>
            <w:tcW w:w="464" w:type="pct"/>
            <w:tcBorders>
              <w:right w:val="single" w:color="auto" w:sz="4" w:space="0"/>
            </w:tcBorders>
            <w:noWrap w:val="0"/>
            <w:vAlign w:val="center"/>
          </w:tcPr>
          <w:p w14:paraId="7EFA9449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646" w:type="pct"/>
            <w:tcBorders>
              <w:left w:val="single" w:color="auto" w:sz="4" w:space="0"/>
            </w:tcBorders>
            <w:noWrap w:val="0"/>
            <w:vAlign w:val="center"/>
          </w:tcPr>
          <w:p w14:paraId="0A3E98CE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电梯</w:t>
            </w:r>
          </w:p>
          <w:p w14:paraId="3866981F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维保</w:t>
            </w:r>
          </w:p>
        </w:tc>
        <w:tc>
          <w:tcPr>
            <w:tcW w:w="1862" w:type="pct"/>
            <w:tcBorders>
              <w:right w:val="single" w:color="auto" w:sz="4" w:space="0"/>
            </w:tcBorders>
            <w:noWrap w:val="0"/>
            <w:vAlign w:val="center"/>
          </w:tcPr>
          <w:p w14:paraId="2B46289A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长安校区校务楼、图书馆、启智楼、7号学生公寓、8号学生公寓、教师公寓三期等楼宇总计54部电梯维保服务项目</w:t>
            </w:r>
          </w:p>
        </w:tc>
        <w:tc>
          <w:tcPr>
            <w:tcW w:w="596" w:type="pct"/>
            <w:tcBorders>
              <w:left w:val="single" w:color="auto" w:sz="4" w:space="0"/>
            </w:tcBorders>
            <w:noWrap w:val="0"/>
            <w:vAlign w:val="center"/>
          </w:tcPr>
          <w:p w14:paraId="6E0693AC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54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1430" w:type="pct"/>
            <w:noWrap w:val="0"/>
            <w:vAlign w:val="center"/>
          </w:tcPr>
          <w:p w14:paraId="164B6F6F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本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项目每年预算207327.60元，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三年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总预算费用621982.80元</w:t>
            </w:r>
          </w:p>
        </w:tc>
      </w:tr>
    </w:tbl>
    <w:p w14:paraId="20A88742">
      <w:pPr>
        <w:jc w:val="left"/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电梯清单：</w:t>
      </w:r>
    </w:p>
    <w:tbl>
      <w:tblPr>
        <w:tblStyle w:val="4"/>
        <w:tblW w:w="499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546"/>
        <w:gridCol w:w="730"/>
        <w:gridCol w:w="1117"/>
        <w:gridCol w:w="1635"/>
        <w:gridCol w:w="1297"/>
        <w:gridCol w:w="1075"/>
      </w:tblGrid>
      <w:tr w14:paraId="7C1BE1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665" w:type="pct"/>
            <w:noWrap w:val="0"/>
            <w:vAlign w:val="center"/>
          </w:tcPr>
          <w:p w14:paraId="263B670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区域</w:t>
            </w:r>
          </w:p>
        </w:tc>
        <w:tc>
          <w:tcPr>
            <w:tcW w:w="918" w:type="pct"/>
            <w:noWrap w:val="0"/>
            <w:vAlign w:val="center"/>
          </w:tcPr>
          <w:p w14:paraId="7460373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所在楼宇</w:t>
            </w:r>
          </w:p>
        </w:tc>
        <w:tc>
          <w:tcPr>
            <w:tcW w:w="439" w:type="pct"/>
            <w:noWrap w:val="0"/>
            <w:vAlign w:val="center"/>
          </w:tcPr>
          <w:p w14:paraId="74F86A4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数量</w:t>
            </w:r>
          </w:p>
        </w:tc>
        <w:tc>
          <w:tcPr>
            <w:tcW w:w="666" w:type="pct"/>
            <w:noWrap w:val="0"/>
            <w:vAlign w:val="center"/>
          </w:tcPr>
          <w:p w14:paraId="28C6572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功能</w:t>
            </w:r>
          </w:p>
        </w:tc>
        <w:tc>
          <w:tcPr>
            <w:tcW w:w="970" w:type="pct"/>
            <w:noWrap w:val="0"/>
            <w:vAlign w:val="center"/>
          </w:tcPr>
          <w:p w14:paraId="72DBAB1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品牌</w:t>
            </w:r>
          </w:p>
        </w:tc>
        <w:tc>
          <w:tcPr>
            <w:tcW w:w="698" w:type="pct"/>
            <w:noWrap w:val="0"/>
            <w:vAlign w:val="center"/>
          </w:tcPr>
          <w:p w14:paraId="0231342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型号</w:t>
            </w:r>
          </w:p>
        </w:tc>
        <w:tc>
          <w:tcPr>
            <w:tcW w:w="641" w:type="pct"/>
            <w:noWrap w:val="0"/>
            <w:vAlign w:val="center"/>
          </w:tcPr>
          <w:p w14:paraId="7BA7345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层站数</w:t>
            </w:r>
          </w:p>
        </w:tc>
      </w:tr>
      <w:tr w14:paraId="51050B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665" w:type="pct"/>
            <w:vMerge w:val="restart"/>
            <w:noWrap w:val="0"/>
            <w:vAlign w:val="center"/>
          </w:tcPr>
          <w:p w14:paraId="2958C8B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教学区</w:t>
            </w:r>
          </w:p>
        </w:tc>
        <w:tc>
          <w:tcPr>
            <w:tcW w:w="918" w:type="pct"/>
            <w:noWrap w:val="0"/>
            <w:vAlign w:val="center"/>
          </w:tcPr>
          <w:p w14:paraId="4B278DC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校务楼</w:t>
            </w:r>
          </w:p>
        </w:tc>
        <w:tc>
          <w:tcPr>
            <w:tcW w:w="439" w:type="pct"/>
            <w:noWrap w:val="0"/>
            <w:vAlign w:val="center"/>
          </w:tcPr>
          <w:p w14:paraId="6740423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666" w:type="pct"/>
            <w:noWrap w:val="0"/>
            <w:vAlign w:val="center"/>
          </w:tcPr>
          <w:p w14:paraId="327149D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客梯</w:t>
            </w:r>
          </w:p>
        </w:tc>
        <w:tc>
          <w:tcPr>
            <w:tcW w:w="970" w:type="pct"/>
            <w:noWrap w:val="0"/>
            <w:vAlign w:val="center"/>
          </w:tcPr>
          <w:p w14:paraId="6CC46B4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三菱电梯</w:t>
            </w:r>
          </w:p>
        </w:tc>
        <w:tc>
          <w:tcPr>
            <w:tcW w:w="698" w:type="pct"/>
            <w:noWrap w:val="0"/>
            <w:vAlign w:val="center"/>
          </w:tcPr>
          <w:p w14:paraId="64EA1E5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LEHY</w:t>
            </w:r>
          </w:p>
        </w:tc>
        <w:tc>
          <w:tcPr>
            <w:tcW w:w="641" w:type="pct"/>
            <w:noWrap w:val="0"/>
            <w:vAlign w:val="center"/>
          </w:tcPr>
          <w:p w14:paraId="36DB46F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5/5</w:t>
            </w:r>
          </w:p>
        </w:tc>
      </w:tr>
      <w:tr w14:paraId="291B67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665" w:type="pct"/>
            <w:vMerge w:val="continue"/>
            <w:noWrap w:val="0"/>
            <w:vAlign w:val="center"/>
          </w:tcPr>
          <w:p w14:paraId="5E08D4F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18" w:type="pct"/>
            <w:noWrap w:val="0"/>
            <w:vAlign w:val="center"/>
          </w:tcPr>
          <w:p w14:paraId="1950F16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图书馆</w:t>
            </w:r>
          </w:p>
        </w:tc>
        <w:tc>
          <w:tcPr>
            <w:tcW w:w="439" w:type="pct"/>
            <w:noWrap w:val="0"/>
            <w:vAlign w:val="center"/>
          </w:tcPr>
          <w:p w14:paraId="5DB635D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666" w:type="pct"/>
            <w:noWrap w:val="0"/>
            <w:vAlign w:val="center"/>
          </w:tcPr>
          <w:p w14:paraId="0AC4456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客梯</w:t>
            </w:r>
          </w:p>
        </w:tc>
        <w:tc>
          <w:tcPr>
            <w:tcW w:w="970" w:type="pct"/>
            <w:noWrap w:val="0"/>
            <w:vAlign w:val="center"/>
          </w:tcPr>
          <w:p w14:paraId="5EB6E4A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三菱电梯</w:t>
            </w:r>
          </w:p>
        </w:tc>
        <w:tc>
          <w:tcPr>
            <w:tcW w:w="698" w:type="pct"/>
            <w:noWrap w:val="0"/>
            <w:vAlign w:val="center"/>
          </w:tcPr>
          <w:p w14:paraId="45F6841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LEHY</w:t>
            </w:r>
          </w:p>
        </w:tc>
        <w:tc>
          <w:tcPr>
            <w:tcW w:w="641" w:type="pct"/>
            <w:noWrap w:val="0"/>
            <w:vAlign w:val="center"/>
          </w:tcPr>
          <w:p w14:paraId="5C13260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6/6</w:t>
            </w:r>
          </w:p>
        </w:tc>
      </w:tr>
      <w:tr w14:paraId="2BCED8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665" w:type="pct"/>
            <w:vMerge w:val="continue"/>
            <w:noWrap w:val="0"/>
            <w:vAlign w:val="center"/>
          </w:tcPr>
          <w:p w14:paraId="0AAC0F7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18" w:type="pct"/>
            <w:vMerge w:val="restart"/>
            <w:noWrap w:val="0"/>
            <w:vAlign w:val="center"/>
          </w:tcPr>
          <w:p w14:paraId="6EA03D5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启智楼</w:t>
            </w:r>
          </w:p>
        </w:tc>
        <w:tc>
          <w:tcPr>
            <w:tcW w:w="439" w:type="pct"/>
            <w:noWrap w:val="0"/>
            <w:vAlign w:val="center"/>
          </w:tcPr>
          <w:p w14:paraId="2E24D0D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666" w:type="pct"/>
            <w:noWrap w:val="0"/>
            <w:vAlign w:val="center"/>
          </w:tcPr>
          <w:p w14:paraId="3AA1128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客梯</w:t>
            </w:r>
          </w:p>
        </w:tc>
        <w:tc>
          <w:tcPr>
            <w:tcW w:w="970" w:type="pct"/>
            <w:noWrap w:val="0"/>
            <w:vAlign w:val="center"/>
          </w:tcPr>
          <w:p w14:paraId="1264A42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奥的斯电梯</w:t>
            </w:r>
          </w:p>
        </w:tc>
        <w:tc>
          <w:tcPr>
            <w:tcW w:w="698" w:type="pct"/>
            <w:noWrap w:val="0"/>
            <w:vAlign w:val="center"/>
          </w:tcPr>
          <w:p w14:paraId="748C4FF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GeN2-MR</w:t>
            </w:r>
          </w:p>
        </w:tc>
        <w:tc>
          <w:tcPr>
            <w:tcW w:w="641" w:type="pct"/>
            <w:noWrap w:val="0"/>
            <w:vAlign w:val="center"/>
          </w:tcPr>
          <w:p w14:paraId="40E731D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12/12</w:t>
            </w:r>
          </w:p>
        </w:tc>
      </w:tr>
      <w:tr w14:paraId="282985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665" w:type="pct"/>
            <w:vMerge w:val="continue"/>
            <w:noWrap w:val="0"/>
            <w:vAlign w:val="center"/>
          </w:tcPr>
          <w:p w14:paraId="586817E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18" w:type="pct"/>
            <w:vMerge w:val="continue"/>
            <w:noWrap w:val="0"/>
            <w:vAlign w:val="center"/>
          </w:tcPr>
          <w:p w14:paraId="7F351B0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439" w:type="pct"/>
            <w:noWrap w:val="0"/>
            <w:vAlign w:val="center"/>
          </w:tcPr>
          <w:p w14:paraId="40CC399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666" w:type="pct"/>
            <w:noWrap w:val="0"/>
            <w:vAlign w:val="center"/>
          </w:tcPr>
          <w:p w14:paraId="7F83EDA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客梯</w:t>
            </w:r>
          </w:p>
        </w:tc>
        <w:tc>
          <w:tcPr>
            <w:tcW w:w="970" w:type="pct"/>
            <w:noWrap w:val="0"/>
            <w:vAlign w:val="center"/>
          </w:tcPr>
          <w:p w14:paraId="26A5104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奥的斯电梯</w:t>
            </w:r>
          </w:p>
        </w:tc>
        <w:tc>
          <w:tcPr>
            <w:tcW w:w="698" w:type="pct"/>
            <w:noWrap w:val="0"/>
            <w:vAlign w:val="center"/>
          </w:tcPr>
          <w:p w14:paraId="47B38F7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GeN2-MR</w:t>
            </w:r>
          </w:p>
        </w:tc>
        <w:tc>
          <w:tcPr>
            <w:tcW w:w="641" w:type="pct"/>
            <w:noWrap w:val="0"/>
            <w:vAlign w:val="center"/>
          </w:tcPr>
          <w:p w14:paraId="0C6A182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8/8</w:t>
            </w:r>
          </w:p>
        </w:tc>
      </w:tr>
      <w:tr w14:paraId="415CC3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665" w:type="pct"/>
            <w:vMerge w:val="continue"/>
            <w:noWrap w:val="0"/>
            <w:vAlign w:val="center"/>
          </w:tcPr>
          <w:p w14:paraId="1E52136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18" w:type="pct"/>
            <w:vMerge w:val="restart"/>
            <w:noWrap w:val="0"/>
            <w:vAlign w:val="center"/>
          </w:tcPr>
          <w:p w14:paraId="13DCCE4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7号学生公寓</w:t>
            </w:r>
          </w:p>
        </w:tc>
        <w:tc>
          <w:tcPr>
            <w:tcW w:w="439" w:type="pct"/>
            <w:noWrap w:val="0"/>
            <w:vAlign w:val="center"/>
          </w:tcPr>
          <w:p w14:paraId="12F2AD7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666" w:type="pct"/>
            <w:noWrap w:val="0"/>
            <w:vAlign w:val="center"/>
          </w:tcPr>
          <w:p w14:paraId="345D2D7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客梯</w:t>
            </w:r>
          </w:p>
        </w:tc>
        <w:tc>
          <w:tcPr>
            <w:tcW w:w="970" w:type="pct"/>
            <w:noWrap w:val="0"/>
            <w:vAlign w:val="center"/>
          </w:tcPr>
          <w:p w14:paraId="5FF0C94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奥的斯电梯</w:t>
            </w:r>
          </w:p>
        </w:tc>
        <w:tc>
          <w:tcPr>
            <w:tcW w:w="698" w:type="pct"/>
            <w:noWrap w:val="0"/>
            <w:vAlign w:val="center"/>
          </w:tcPr>
          <w:p w14:paraId="454B14A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GeN2</w:t>
            </w:r>
          </w:p>
          <w:p w14:paraId="4422B44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Icon-MR</w:t>
            </w:r>
          </w:p>
        </w:tc>
        <w:tc>
          <w:tcPr>
            <w:tcW w:w="641" w:type="pct"/>
            <w:noWrap w:val="0"/>
            <w:vAlign w:val="center"/>
          </w:tcPr>
          <w:p w14:paraId="1DBE046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18/18</w:t>
            </w:r>
          </w:p>
        </w:tc>
      </w:tr>
      <w:tr w14:paraId="1F76FB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665" w:type="pct"/>
            <w:vMerge w:val="continue"/>
            <w:noWrap w:val="0"/>
            <w:vAlign w:val="center"/>
          </w:tcPr>
          <w:p w14:paraId="7DC4D74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18" w:type="pct"/>
            <w:vMerge w:val="continue"/>
            <w:noWrap w:val="0"/>
            <w:vAlign w:val="center"/>
          </w:tcPr>
          <w:p w14:paraId="64F45AA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9" w:type="pct"/>
            <w:noWrap w:val="0"/>
            <w:vAlign w:val="center"/>
          </w:tcPr>
          <w:p w14:paraId="529F7DB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666" w:type="pct"/>
            <w:noWrap w:val="0"/>
            <w:vAlign w:val="center"/>
          </w:tcPr>
          <w:p w14:paraId="164483F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客梯</w:t>
            </w:r>
          </w:p>
        </w:tc>
        <w:tc>
          <w:tcPr>
            <w:tcW w:w="970" w:type="pct"/>
            <w:noWrap w:val="0"/>
            <w:vAlign w:val="center"/>
          </w:tcPr>
          <w:p w14:paraId="10DD574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奥的斯电梯</w:t>
            </w:r>
          </w:p>
        </w:tc>
        <w:tc>
          <w:tcPr>
            <w:tcW w:w="698" w:type="pct"/>
            <w:noWrap w:val="0"/>
            <w:vAlign w:val="center"/>
          </w:tcPr>
          <w:p w14:paraId="255E1AD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GeN2</w:t>
            </w:r>
          </w:p>
          <w:p w14:paraId="13B9BD9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Icon-MR</w:t>
            </w:r>
          </w:p>
        </w:tc>
        <w:tc>
          <w:tcPr>
            <w:tcW w:w="641" w:type="pct"/>
            <w:noWrap w:val="0"/>
            <w:vAlign w:val="center"/>
          </w:tcPr>
          <w:p w14:paraId="252E8CB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19/19</w:t>
            </w:r>
          </w:p>
        </w:tc>
      </w:tr>
      <w:tr w14:paraId="762755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665" w:type="pct"/>
            <w:vMerge w:val="continue"/>
            <w:noWrap w:val="0"/>
            <w:vAlign w:val="center"/>
          </w:tcPr>
          <w:p w14:paraId="21382B5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18" w:type="pct"/>
            <w:noWrap w:val="0"/>
            <w:vAlign w:val="center"/>
          </w:tcPr>
          <w:p w14:paraId="67C8A5D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8号学生公寓</w:t>
            </w:r>
          </w:p>
        </w:tc>
        <w:tc>
          <w:tcPr>
            <w:tcW w:w="439" w:type="pct"/>
            <w:noWrap w:val="0"/>
            <w:vAlign w:val="center"/>
          </w:tcPr>
          <w:p w14:paraId="53AA6EA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666" w:type="pct"/>
            <w:noWrap w:val="0"/>
            <w:vAlign w:val="center"/>
          </w:tcPr>
          <w:p w14:paraId="0B3A1E1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客梯</w:t>
            </w:r>
          </w:p>
        </w:tc>
        <w:tc>
          <w:tcPr>
            <w:tcW w:w="970" w:type="pct"/>
            <w:noWrap w:val="0"/>
            <w:vAlign w:val="center"/>
          </w:tcPr>
          <w:p w14:paraId="2B9422B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奥的斯电梯</w:t>
            </w:r>
          </w:p>
        </w:tc>
        <w:tc>
          <w:tcPr>
            <w:tcW w:w="698" w:type="pct"/>
            <w:noWrap w:val="0"/>
            <w:vAlign w:val="center"/>
          </w:tcPr>
          <w:p w14:paraId="6ADAF05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GeN2</w:t>
            </w:r>
          </w:p>
          <w:p w14:paraId="09FD641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Icon-MR</w:t>
            </w:r>
          </w:p>
        </w:tc>
        <w:tc>
          <w:tcPr>
            <w:tcW w:w="641" w:type="pct"/>
            <w:noWrap w:val="0"/>
            <w:vAlign w:val="center"/>
          </w:tcPr>
          <w:p w14:paraId="2D4F5C8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15/15</w:t>
            </w:r>
          </w:p>
        </w:tc>
      </w:tr>
      <w:tr w14:paraId="5473EB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665" w:type="pct"/>
            <w:vMerge w:val="continue"/>
            <w:noWrap w:val="0"/>
            <w:vAlign w:val="center"/>
          </w:tcPr>
          <w:p w14:paraId="0BE1A15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18" w:type="pct"/>
            <w:noWrap w:val="0"/>
            <w:vAlign w:val="center"/>
          </w:tcPr>
          <w:p w14:paraId="3C255E5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文体馆</w:t>
            </w:r>
          </w:p>
        </w:tc>
        <w:tc>
          <w:tcPr>
            <w:tcW w:w="439" w:type="pct"/>
            <w:noWrap w:val="0"/>
            <w:vAlign w:val="center"/>
          </w:tcPr>
          <w:p w14:paraId="6500E60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666" w:type="pct"/>
            <w:noWrap w:val="0"/>
            <w:vAlign w:val="center"/>
          </w:tcPr>
          <w:p w14:paraId="66A1513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客梯</w:t>
            </w:r>
          </w:p>
        </w:tc>
        <w:tc>
          <w:tcPr>
            <w:tcW w:w="970" w:type="pct"/>
            <w:noWrap w:val="0"/>
            <w:vAlign w:val="center"/>
          </w:tcPr>
          <w:p w14:paraId="0206932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通力电梯</w:t>
            </w:r>
          </w:p>
        </w:tc>
        <w:tc>
          <w:tcPr>
            <w:tcW w:w="698" w:type="pct"/>
            <w:noWrap w:val="0"/>
            <w:vAlign w:val="center"/>
          </w:tcPr>
          <w:p w14:paraId="5F6336B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KONE</w:t>
            </w:r>
          </w:p>
          <w:p w14:paraId="6EB8C1F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Monospace</w:t>
            </w:r>
          </w:p>
        </w:tc>
        <w:tc>
          <w:tcPr>
            <w:tcW w:w="641" w:type="pct"/>
            <w:noWrap w:val="0"/>
            <w:vAlign w:val="center"/>
          </w:tcPr>
          <w:p w14:paraId="4E4F3CF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3/3</w:t>
            </w:r>
          </w:p>
        </w:tc>
      </w:tr>
      <w:tr w14:paraId="6A4DB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665" w:type="pct"/>
            <w:vMerge w:val="continue"/>
            <w:noWrap w:val="0"/>
            <w:vAlign w:val="center"/>
          </w:tcPr>
          <w:p w14:paraId="1BE2CB3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18" w:type="pct"/>
            <w:vMerge w:val="restart"/>
            <w:noWrap w:val="0"/>
            <w:vAlign w:val="center"/>
          </w:tcPr>
          <w:p w14:paraId="5C74C17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学生一食堂</w:t>
            </w:r>
          </w:p>
        </w:tc>
        <w:tc>
          <w:tcPr>
            <w:tcW w:w="439" w:type="pct"/>
            <w:noWrap w:val="0"/>
            <w:vAlign w:val="center"/>
          </w:tcPr>
          <w:p w14:paraId="77AF54B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666" w:type="pct"/>
            <w:noWrap w:val="0"/>
            <w:vAlign w:val="center"/>
          </w:tcPr>
          <w:p w14:paraId="0632D0E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自动扶梯</w:t>
            </w:r>
          </w:p>
        </w:tc>
        <w:tc>
          <w:tcPr>
            <w:tcW w:w="970" w:type="pct"/>
            <w:noWrap w:val="0"/>
            <w:vAlign w:val="center"/>
          </w:tcPr>
          <w:p w14:paraId="1F7CECB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东芝电梯</w:t>
            </w:r>
          </w:p>
        </w:tc>
        <w:tc>
          <w:tcPr>
            <w:tcW w:w="698" w:type="pct"/>
            <w:noWrap w:val="0"/>
            <w:vAlign w:val="center"/>
          </w:tcPr>
          <w:p w14:paraId="5956210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TE-S1</w:t>
            </w:r>
          </w:p>
        </w:tc>
        <w:tc>
          <w:tcPr>
            <w:tcW w:w="641" w:type="pct"/>
            <w:noWrap w:val="0"/>
            <w:vAlign w:val="center"/>
          </w:tcPr>
          <w:p w14:paraId="34D2EAD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1/1</w:t>
            </w:r>
          </w:p>
        </w:tc>
      </w:tr>
      <w:tr w14:paraId="10EEDE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665" w:type="pct"/>
            <w:vMerge w:val="continue"/>
            <w:noWrap w:val="0"/>
            <w:vAlign w:val="center"/>
          </w:tcPr>
          <w:p w14:paraId="0008323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18" w:type="pct"/>
            <w:vMerge w:val="continue"/>
            <w:noWrap w:val="0"/>
            <w:vAlign w:val="center"/>
          </w:tcPr>
          <w:p w14:paraId="728E5BB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439" w:type="pct"/>
            <w:noWrap w:val="0"/>
            <w:vAlign w:val="center"/>
          </w:tcPr>
          <w:p w14:paraId="551C460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666" w:type="pct"/>
            <w:noWrap w:val="0"/>
            <w:vAlign w:val="center"/>
          </w:tcPr>
          <w:p w14:paraId="5898AE1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货梯</w:t>
            </w:r>
          </w:p>
        </w:tc>
        <w:tc>
          <w:tcPr>
            <w:tcW w:w="970" w:type="pct"/>
            <w:noWrap w:val="0"/>
            <w:vAlign w:val="center"/>
          </w:tcPr>
          <w:p w14:paraId="349108B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三菱电梯</w:t>
            </w:r>
          </w:p>
        </w:tc>
        <w:tc>
          <w:tcPr>
            <w:tcW w:w="698" w:type="pct"/>
            <w:noWrap w:val="0"/>
            <w:vAlign w:val="center"/>
          </w:tcPr>
          <w:p w14:paraId="7F3FC84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HOPE</w:t>
            </w:r>
          </w:p>
        </w:tc>
        <w:tc>
          <w:tcPr>
            <w:tcW w:w="641" w:type="pct"/>
            <w:noWrap w:val="0"/>
            <w:vAlign w:val="center"/>
          </w:tcPr>
          <w:p w14:paraId="0F54E03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3/3</w:t>
            </w:r>
          </w:p>
        </w:tc>
      </w:tr>
      <w:tr w14:paraId="14944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665" w:type="pct"/>
            <w:vMerge w:val="continue"/>
            <w:noWrap w:val="0"/>
            <w:vAlign w:val="center"/>
          </w:tcPr>
          <w:p w14:paraId="04CCAD1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18" w:type="pct"/>
            <w:vMerge w:val="restart"/>
            <w:noWrap w:val="0"/>
            <w:vAlign w:val="center"/>
          </w:tcPr>
          <w:p w14:paraId="550035D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学生二食堂</w:t>
            </w:r>
          </w:p>
        </w:tc>
        <w:tc>
          <w:tcPr>
            <w:tcW w:w="439" w:type="pct"/>
            <w:noWrap w:val="0"/>
            <w:vAlign w:val="center"/>
          </w:tcPr>
          <w:p w14:paraId="4CA26C8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666" w:type="pct"/>
            <w:noWrap w:val="0"/>
            <w:vAlign w:val="center"/>
          </w:tcPr>
          <w:p w14:paraId="527BE5B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自动扶梯</w:t>
            </w:r>
          </w:p>
        </w:tc>
        <w:tc>
          <w:tcPr>
            <w:tcW w:w="970" w:type="pct"/>
            <w:noWrap w:val="0"/>
            <w:vAlign w:val="center"/>
          </w:tcPr>
          <w:p w14:paraId="2936E0C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蒂升电梯</w:t>
            </w:r>
          </w:p>
        </w:tc>
        <w:tc>
          <w:tcPr>
            <w:tcW w:w="698" w:type="pct"/>
            <w:noWrap w:val="0"/>
            <w:vAlign w:val="center"/>
          </w:tcPr>
          <w:p w14:paraId="437EFC0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velino</w:t>
            </w:r>
          </w:p>
        </w:tc>
        <w:tc>
          <w:tcPr>
            <w:tcW w:w="641" w:type="pct"/>
            <w:noWrap w:val="0"/>
            <w:vAlign w:val="center"/>
          </w:tcPr>
          <w:p w14:paraId="10FE175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1/1</w:t>
            </w:r>
          </w:p>
        </w:tc>
      </w:tr>
      <w:tr w14:paraId="55247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665" w:type="pct"/>
            <w:vMerge w:val="continue"/>
            <w:noWrap w:val="0"/>
            <w:vAlign w:val="center"/>
          </w:tcPr>
          <w:p w14:paraId="382D955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18" w:type="pct"/>
            <w:vMerge w:val="continue"/>
            <w:noWrap w:val="0"/>
            <w:vAlign w:val="center"/>
          </w:tcPr>
          <w:p w14:paraId="7A4BBE7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439" w:type="pct"/>
            <w:noWrap w:val="0"/>
            <w:vAlign w:val="center"/>
          </w:tcPr>
          <w:p w14:paraId="34F5A9D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666" w:type="pct"/>
            <w:noWrap w:val="0"/>
            <w:vAlign w:val="center"/>
          </w:tcPr>
          <w:p w14:paraId="3DBAB2B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货梯</w:t>
            </w:r>
          </w:p>
        </w:tc>
        <w:tc>
          <w:tcPr>
            <w:tcW w:w="970" w:type="pct"/>
            <w:noWrap w:val="0"/>
            <w:vAlign w:val="center"/>
          </w:tcPr>
          <w:p w14:paraId="58F3006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蒂升电梯</w:t>
            </w:r>
          </w:p>
        </w:tc>
        <w:tc>
          <w:tcPr>
            <w:tcW w:w="698" w:type="pct"/>
            <w:noWrap w:val="0"/>
            <w:vAlign w:val="center"/>
          </w:tcPr>
          <w:p w14:paraId="4D1DA69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TE-E</w:t>
            </w:r>
          </w:p>
        </w:tc>
        <w:tc>
          <w:tcPr>
            <w:tcW w:w="641" w:type="pct"/>
            <w:noWrap w:val="0"/>
            <w:vAlign w:val="center"/>
          </w:tcPr>
          <w:p w14:paraId="28DD1CA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3/3</w:t>
            </w:r>
          </w:p>
        </w:tc>
      </w:tr>
      <w:tr w14:paraId="2482A5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665" w:type="pct"/>
            <w:vMerge w:val="continue"/>
            <w:noWrap w:val="0"/>
            <w:vAlign w:val="center"/>
          </w:tcPr>
          <w:p w14:paraId="13FCD2F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18" w:type="pct"/>
            <w:noWrap w:val="0"/>
            <w:vAlign w:val="center"/>
          </w:tcPr>
          <w:p w14:paraId="4E670ED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大学生综合楼</w:t>
            </w:r>
          </w:p>
        </w:tc>
        <w:tc>
          <w:tcPr>
            <w:tcW w:w="439" w:type="pct"/>
            <w:noWrap w:val="0"/>
            <w:vAlign w:val="center"/>
          </w:tcPr>
          <w:p w14:paraId="69D504D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666" w:type="pct"/>
            <w:noWrap w:val="0"/>
            <w:vAlign w:val="center"/>
          </w:tcPr>
          <w:p w14:paraId="2CE5B69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客梯</w:t>
            </w:r>
          </w:p>
        </w:tc>
        <w:tc>
          <w:tcPr>
            <w:tcW w:w="970" w:type="pct"/>
            <w:noWrap w:val="0"/>
            <w:vAlign w:val="center"/>
          </w:tcPr>
          <w:p w14:paraId="7CE8900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迅达电梯</w:t>
            </w:r>
          </w:p>
        </w:tc>
        <w:tc>
          <w:tcPr>
            <w:tcW w:w="698" w:type="pct"/>
            <w:noWrap w:val="0"/>
            <w:vAlign w:val="center"/>
          </w:tcPr>
          <w:p w14:paraId="3597F6B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Schindler</w:t>
            </w:r>
          </w:p>
          <w:p w14:paraId="79F5A7F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5400 </w:t>
            </w:r>
          </w:p>
        </w:tc>
        <w:tc>
          <w:tcPr>
            <w:tcW w:w="641" w:type="pct"/>
            <w:noWrap w:val="0"/>
            <w:vAlign w:val="center"/>
          </w:tcPr>
          <w:p w14:paraId="7585877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3/3</w:t>
            </w:r>
          </w:p>
        </w:tc>
      </w:tr>
      <w:tr w14:paraId="3279D7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665" w:type="pct"/>
            <w:vMerge w:val="restart"/>
            <w:noWrap w:val="0"/>
            <w:vAlign w:val="center"/>
          </w:tcPr>
          <w:p w14:paraId="5235EAB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教师公寓</w:t>
            </w:r>
          </w:p>
        </w:tc>
        <w:tc>
          <w:tcPr>
            <w:tcW w:w="918" w:type="pct"/>
            <w:noWrap w:val="0"/>
            <w:vAlign w:val="center"/>
          </w:tcPr>
          <w:p w14:paraId="039FA3E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物业综合楼</w:t>
            </w:r>
          </w:p>
        </w:tc>
        <w:tc>
          <w:tcPr>
            <w:tcW w:w="439" w:type="pct"/>
            <w:noWrap w:val="0"/>
            <w:vAlign w:val="center"/>
          </w:tcPr>
          <w:p w14:paraId="58C6F3C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666" w:type="pct"/>
            <w:noWrap w:val="0"/>
            <w:vAlign w:val="center"/>
          </w:tcPr>
          <w:p w14:paraId="39947E9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客梯</w:t>
            </w:r>
          </w:p>
        </w:tc>
        <w:tc>
          <w:tcPr>
            <w:tcW w:w="970" w:type="pct"/>
            <w:noWrap w:val="0"/>
            <w:vAlign w:val="center"/>
          </w:tcPr>
          <w:p w14:paraId="755ED01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奥的斯电梯</w:t>
            </w:r>
          </w:p>
        </w:tc>
        <w:tc>
          <w:tcPr>
            <w:tcW w:w="698" w:type="pct"/>
            <w:noWrap w:val="0"/>
            <w:vAlign w:val="center"/>
          </w:tcPr>
          <w:p w14:paraId="5E29109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GeN2-MR</w:t>
            </w:r>
          </w:p>
        </w:tc>
        <w:tc>
          <w:tcPr>
            <w:tcW w:w="641" w:type="pct"/>
            <w:noWrap w:val="0"/>
            <w:vAlign w:val="center"/>
          </w:tcPr>
          <w:p w14:paraId="7B11D9F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5/5</w:t>
            </w:r>
          </w:p>
        </w:tc>
      </w:tr>
      <w:tr w14:paraId="49FEAE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665" w:type="pct"/>
            <w:vMerge w:val="continue"/>
            <w:noWrap w:val="0"/>
            <w:vAlign w:val="center"/>
          </w:tcPr>
          <w:p w14:paraId="756B8E7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18" w:type="pct"/>
            <w:noWrap w:val="0"/>
            <w:vAlign w:val="center"/>
          </w:tcPr>
          <w:p w14:paraId="66554B6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地下车库</w:t>
            </w:r>
          </w:p>
        </w:tc>
        <w:tc>
          <w:tcPr>
            <w:tcW w:w="439" w:type="pct"/>
            <w:noWrap w:val="0"/>
            <w:vAlign w:val="center"/>
          </w:tcPr>
          <w:p w14:paraId="33F96F3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666" w:type="pct"/>
            <w:noWrap w:val="0"/>
            <w:vAlign w:val="center"/>
          </w:tcPr>
          <w:p w14:paraId="742F38C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客梯</w:t>
            </w:r>
          </w:p>
        </w:tc>
        <w:tc>
          <w:tcPr>
            <w:tcW w:w="970" w:type="pct"/>
            <w:noWrap w:val="0"/>
            <w:vAlign w:val="center"/>
          </w:tcPr>
          <w:p w14:paraId="1061967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奥的斯电梯</w:t>
            </w:r>
          </w:p>
        </w:tc>
        <w:tc>
          <w:tcPr>
            <w:tcW w:w="698" w:type="pct"/>
            <w:noWrap w:val="0"/>
            <w:vAlign w:val="center"/>
          </w:tcPr>
          <w:p w14:paraId="1E11D09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GeN2</w:t>
            </w:r>
          </w:p>
        </w:tc>
        <w:tc>
          <w:tcPr>
            <w:tcW w:w="641" w:type="pct"/>
            <w:noWrap w:val="0"/>
            <w:vAlign w:val="center"/>
          </w:tcPr>
          <w:p w14:paraId="1755FD2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3/3</w:t>
            </w:r>
          </w:p>
        </w:tc>
      </w:tr>
      <w:tr w14:paraId="24057E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665" w:type="pct"/>
            <w:vMerge w:val="continue"/>
            <w:noWrap w:val="0"/>
            <w:vAlign w:val="center"/>
          </w:tcPr>
          <w:p w14:paraId="14FA1BB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18" w:type="pct"/>
            <w:noWrap w:val="0"/>
            <w:vAlign w:val="center"/>
          </w:tcPr>
          <w:p w14:paraId="5727E14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10号教师公寓</w:t>
            </w:r>
          </w:p>
        </w:tc>
        <w:tc>
          <w:tcPr>
            <w:tcW w:w="439" w:type="pct"/>
            <w:noWrap w:val="0"/>
            <w:vAlign w:val="center"/>
          </w:tcPr>
          <w:p w14:paraId="3A66258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666" w:type="pct"/>
            <w:noWrap w:val="0"/>
            <w:vAlign w:val="center"/>
          </w:tcPr>
          <w:p w14:paraId="2A5053C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客梯</w:t>
            </w:r>
          </w:p>
        </w:tc>
        <w:tc>
          <w:tcPr>
            <w:tcW w:w="970" w:type="pct"/>
            <w:noWrap w:val="0"/>
            <w:vAlign w:val="center"/>
          </w:tcPr>
          <w:p w14:paraId="5A65FB5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通力电梯</w:t>
            </w:r>
          </w:p>
        </w:tc>
        <w:tc>
          <w:tcPr>
            <w:tcW w:w="698" w:type="pct"/>
            <w:noWrap w:val="0"/>
            <w:vAlign w:val="center"/>
          </w:tcPr>
          <w:p w14:paraId="3A466E6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KNOE MiniSpace</w:t>
            </w:r>
          </w:p>
        </w:tc>
        <w:tc>
          <w:tcPr>
            <w:tcW w:w="641" w:type="pct"/>
            <w:noWrap w:val="0"/>
            <w:vAlign w:val="center"/>
          </w:tcPr>
          <w:p w14:paraId="64CF963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28/28</w:t>
            </w:r>
          </w:p>
        </w:tc>
      </w:tr>
      <w:tr w14:paraId="60C2B7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665" w:type="pct"/>
            <w:vMerge w:val="continue"/>
            <w:noWrap w:val="0"/>
            <w:vAlign w:val="center"/>
          </w:tcPr>
          <w:p w14:paraId="29A02AE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18" w:type="pct"/>
            <w:noWrap w:val="0"/>
            <w:vAlign w:val="center"/>
          </w:tcPr>
          <w:p w14:paraId="2077E22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11号教师公寓</w:t>
            </w:r>
          </w:p>
        </w:tc>
        <w:tc>
          <w:tcPr>
            <w:tcW w:w="439" w:type="pct"/>
            <w:noWrap w:val="0"/>
            <w:vAlign w:val="center"/>
          </w:tcPr>
          <w:p w14:paraId="484D7DF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666" w:type="pct"/>
            <w:noWrap w:val="0"/>
            <w:vAlign w:val="center"/>
          </w:tcPr>
          <w:p w14:paraId="4DEBF62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客梯</w:t>
            </w:r>
          </w:p>
        </w:tc>
        <w:tc>
          <w:tcPr>
            <w:tcW w:w="970" w:type="pct"/>
            <w:noWrap w:val="0"/>
            <w:vAlign w:val="center"/>
          </w:tcPr>
          <w:p w14:paraId="4C12C1E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通力电梯</w:t>
            </w:r>
          </w:p>
        </w:tc>
        <w:tc>
          <w:tcPr>
            <w:tcW w:w="698" w:type="pct"/>
            <w:noWrap w:val="0"/>
            <w:vAlign w:val="center"/>
          </w:tcPr>
          <w:p w14:paraId="673EC12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KNOE MiniSpace</w:t>
            </w:r>
          </w:p>
        </w:tc>
        <w:tc>
          <w:tcPr>
            <w:tcW w:w="641" w:type="pct"/>
            <w:noWrap w:val="0"/>
            <w:vAlign w:val="center"/>
          </w:tcPr>
          <w:p w14:paraId="0A1FED5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28/28</w:t>
            </w:r>
          </w:p>
        </w:tc>
      </w:tr>
      <w:tr w14:paraId="75CD06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665" w:type="pct"/>
            <w:vMerge w:val="continue"/>
            <w:noWrap w:val="0"/>
            <w:vAlign w:val="center"/>
          </w:tcPr>
          <w:p w14:paraId="50F114C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18" w:type="pct"/>
            <w:noWrap w:val="0"/>
            <w:vAlign w:val="center"/>
          </w:tcPr>
          <w:p w14:paraId="69B458E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13号教师公寓</w:t>
            </w:r>
          </w:p>
        </w:tc>
        <w:tc>
          <w:tcPr>
            <w:tcW w:w="439" w:type="pct"/>
            <w:noWrap w:val="0"/>
            <w:vAlign w:val="center"/>
          </w:tcPr>
          <w:p w14:paraId="0C4C8A5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666" w:type="pct"/>
            <w:noWrap w:val="0"/>
            <w:vAlign w:val="center"/>
          </w:tcPr>
          <w:p w14:paraId="2E43FC7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客梯</w:t>
            </w:r>
          </w:p>
        </w:tc>
        <w:tc>
          <w:tcPr>
            <w:tcW w:w="970" w:type="pct"/>
            <w:noWrap w:val="0"/>
            <w:vAlign w:val="center"/>
          </w:tcPr>
          <w:p w14:paraId="336B929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通力电梯</w:t>
            </w:r>
          </w:p>
        </w:tc>
        <w:tc>
          <w:tcPr>
            <w:tcW w:w="698" w:type="pct"/>
            <w:noWrap w:val="0"/>
            <w:vAlign w:val="center"/>
          </w:tcPr>
          <w:p w14:paraId="68FF8D7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KNOE MiniSpace</w:t>
            </w:r>
          </w:p>
        </w:tc>
        <w:tc>
          <w:tcPr>
            <w:tcW w:w="641" w:type="pct"/>
            <w:noWrap w:val="0"/>
            <w:vAlign w:val="center"/>
          </w:tcPr>
          <w:p w14:paraId="11F5BE0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28/28</w:t>
            </w:r>
          </w:p>
        </w:tc>
      </w:tr>
      <w:tr w14:paraId="4AB404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665" w:type="pct"/>
            <w:noWrap w:val="0"/>
            <w:vAlign w:val="center"/>
          </w:tcPr>
          <w:p w14:paraId="56BD991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18" w:type="pct"/>
            <w:noWrap w:val="0"/>
            <w:vAlign w:val="center"/>
          </w:tcPr>
          <w:p w14:paraId="0F2695E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合计</w:t>
            </w:r>
          </w:p>
        </w:tc>
        <w:tc>
          <w:tcPr>
            <w:tcW w:w="439" w:type="pct"/>
            <w:noWrap w:val="0"/>
            <w:vAlign w:val="center"/>
          </w:tcPr>
          <w:p w14:paraId="7719C69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fldChar w:fldCharType="begin"/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instrText xml:space="preserve"> = sum(C2:C17) \* MERGEFORMAT </w:instrTex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fldChar w:fldCharType="separate"/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54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fldChar w:fldCharType="end"/>
            </w:r>
          </w:p>
        </w:tc>
        <w:tc>
          <w:tcPr>
            <w:tcW w:w="666" w:type="pct"/>
            <w:noWrap w:val="0"/>
            <w:vAlign w:val="center"/>
          </w:tcPr>
          <w:p w14:paraId="4B91F92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70" w:type="pct"/>
            <w:noWrap w:val="0"/>
            <w:vAlign w:val="center"/>
          </w:tcPr>
          <w:p w14:paraId="680C5B9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98" w:type="pct"/>
            <w:noWrap w:val="0"/>
            <w:vAlign w:val="center"/>
          </w:tcPr>
          <w:p w14:paraId="1340616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41" w:type="pct"/>
            <w:noWrap w:val="0"/>
            <w:vAlign w:val="center"/>
          </w:tcPr>
          <w:p w14:paraId="1CB1DE3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</w:tr>
    </w:tbl>
    <w:p w14:paraId="16B0D379">
      <w:pPr>
        <w:jc w:val="left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二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服务范围与标准</w:t>
      </w:r>
    </w:p>
    <w:p w14:paraId="36B9FADC">
      <w:pPr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28"/>
        </w:rPr>
        <w:t>.1 全面覆盖：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供应商</w:t>
      </w:r>
      <w:r>
        <w:rPr>
          <w:rFonts w:hint="eastAsia" w:ascii="仿宋" w:hAnsi="仿宋" w:eastAsia="仿宋" w:cs="仿宋"/>
          <w:sz w:val="28"/>
          <w:szCs w:val="28"/>
        </w:rPr>
        <w:t>提供的服务应包括但不限于：</w:t>
      </w:r>
    </w:p>
    <w:p w14:paraId="766304A7">
      <w:pPr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1、定期维护保养：严格按照《特种设备安全法》《电梯使用管理与维护保养规则》以及电梯生产厂家的技术规范，对合同约定的全部电梯、自动扶梯及人行道进行月度、季度、半年度及年度维护保养。</w:t>
      </w:r>
    </w:p>
    <w:p w14:paraId="3AC1069C">
      <w:pPr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2、24小时应急故障处理：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供应商</w:t>
      </w:r>
      <w:r>
        <w:rPr>
          <w:rFonts w:hint="eastAsia" w:ascii="仿宋" w:hAnsi="仿宋" w:eastAsia="仿宋" w:cs="仿宋"/>
          <w:sz w:val="28"/>
          <w:szCs w:val="28"/>
        </w:rPr>
        <w:t>必须派维保人员常驻学校，提供全天候紧急召修服务。</w:t>
      </w:r>
    </w:p>
    <w:p w14:paraId="2B8C0092">
      <w:pPr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3、零部件更换：维保服务包含因正常磨损、老化所需的零部件更换费用（具体范围见“备件条款”）。</w:t>
      </w:r>
    </w:p>
    <w:p w14:paraId="42FC125A">
      <w:pPr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4、年度安全检验：负责协助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采购人</w:t>
      </w:r>
      <w:r>
        <w:rPr>
          <w:rFonts w:hint="eastAsia" w:ascii="仿宋" w:hAnsi="仿宋" w:eastAsia="仿宋" w:cs="仿宋"/>
          <w:sz w:val="28"/>
          <w:szCs w:val="28"/>
        </w:rPr>
        <w:t>完成电梯的年度定期检验，并取得合格报告，承担因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供应商</w:t>
      </w:r>
      <w:r>
        <w:rPr>
          <w:rFonts w:hint="eastAsia" w:ascii="仿宋" w:hAnsi="仿宋" w:eastAsia="仿宋" w:cs="仿宋"/>
          <w:sz w:val="28"/>
          <w:szCs w:val="28"/>
        </w:rPr>
        <w:t>维保不到位导致的复检费用。</w:t>
      </w:r>
    </w:p>
    <w:p w14:paraId="03CEEC51">
      <w:pPr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5、技术支持与培训：提供必要的技术咨询，并每年为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采购人</w:t>
      </w:r>
      <w:r>
        <w:rPr>
          <w:rFonts w:hint="eastAsia" w:ascii="仿宋" w:hAnsi="仿宋" w:eastAsia="仿宋" w:cs="仿宋"/>
          <w:sz w:val="28"/>
          <w:szCs w:val="28"/>
        </w:rPr>
        <w:t>管理人员提供至少一次电梯安全使用及应急处理的基础培训。</w:t>
      </w:r>
    </w:p>
    <w:p w14:paraId="612BAF76">
      <w:pPr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1.2 高标准要求：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供应商</w:t>
      </w:r>
      <w:r>
        <w:rPr>
          <w:rFonts w:hint="eastAsia" w:ascii="仿宋" w:hAnsi="仿宋" w:eastAsia="仿宋" w:cs="仿宋"/>
          <w:sz w:val="28"/>
          <w:szCs w:val="28"/>
        </w:rPr>
        <w:t>须以不低于电梯原厂标准的工艺和材料进行维护保养，确保电梯处于最优运行状态，而不仅仅是“符合安全标准”。电梯的运行性能，包括但不限于平层精度、运行噪音、振动、开关门顺畅度等，均应维持在出厂标准或行业优良水平。</w:t>
      </w:r>
    </w:p>
    <w:p w14:paraId="1FFDFB2E">
      <w:pPr>
        <w:ind w:firstLine="562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三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响应时间与服务承诺</w:t>
      </w:r>
    </w:p>
    <w:p w14:paraId="56A59756">
      <w:pPr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</w:rPr>
        <w:t>.1 应急响应：</w:t>
      </w:r>
    </w:p>
    <w:p w14:paraId="045897B0">
      <w:pPr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1、接到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采购人</w:t>
      </w:r>
      <w:r>
        <w:rPr>
          <w:rFonts w:hint="eastAsia" w:ascii="仿宋" w:hAnsi="仿宋" w:eastAsia="仿宋" w:cs="仿宋"/>
          <w:sz w:val="28"/>
          <w:szCs w:val="28"/>
        </w:rPr>
        <w:t>故障通知后，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供应商</w:t>
      </w:r>
      <w:r>
        <w:rPr>
          <w:rFonts w:hint="eastAsia" w:ascii="仿宋" w:hAnsi="仿宋" w:eastAsia="仿宋" w:cs="仿宋"/>
          <w:sz w:val="28"/>
          <w:szCs w:val="28"/>
        </w:rPr>
        <w:t>技术人员必须立即响应，30分钟内抵达现场。</w:t>
      </w:r>
    </w:p>
    <w:p w14:paraId="4C7A9E0F">
      <w:pPr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2、对于困人故障，抵达现场时间不超过15分钟。每延迟一次，处以人民币1000元罚款。</w:t>
      </w:r>
    </w:p>
    <w:p w14:paraId="16DB5505">
      <w:pPr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3、故障需在2小时内解决；如2小时内无法修复，应提供相应解决方案。</w:t>
      </w:r>
    </w:p>
    <w:p w14:paraId="646A9B6A">
      <w:pPr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4、如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供应商</w:t>
      </w:r>
      <w:r>
        <w:rPr>
          <w:rFonts w:hint="eastAsia" w:ascii="仿宋" w:hAnsi="仿宋" w:eastAsia="仿宋" w:cs="仿宋"/>
          <w:sz w:val="28"/>
          <w:szCs w:val="28"/>
        </w:rPr>
        <w:t>迨于或无法解决的，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采购人</w:t>
      </w:r>
      <w:r>
        <w:rPr>
          <w:rFonts w:hint="eastAsia" w:ascii="仿宋" w:hAnsi="仿宋" w:eastAsia="仿宋" w:cs="仿宋"/>
          <w:sz w:val="28"/>
          <w:szCs w:val="28"/>
        </w:rPr>
        <w:t>有权委托第三方处理，由此产生的费用和电梯质量风险由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供应商</w:t>
      </w:r>
      <w:r>
        <w:rPr>
          <w:rFonts w:hint="eastAsia" w:ascii="仿宋" w:hAnsi="仿宋" w:eastAsia="仿宋" w:cs="仿宋"/>
          <w:sz w:val="28"/>
          <w:szCs w:val="28"/>
        </w:rPr>
        <w:t>承担。</w:t>
      </w:r>
    </w:p>
    <w:p w14:paraId="32B48186">
      <w:pPr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</w:rPr>
        <w:t>.2 故障修复：</w:t>
      </w:r>
    </w:p>
    <w:p w14:paraId="4A1C003D">
      <w:pPr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1、一般故障修复时间不超过2小时。</w:t>
      </w:r>
    </w:p>
    <w:p w14:paraId="0662E870">
      <w:pPr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2、重大故障（需更换主要部件）应在24小时内提供解决方案并开始维修。若因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供应商</w:t>
      </w:r>
      <w:r>
        <w:rPr>
          <w:rFonts w:hint="eastAsia" w:ascii="仿宋" w:hAnsi="仿宋" w:eastAsia="仿宋" w:cs="仿宋"/>
          <w:sz w:val="28"/>
          <w:szCs w:val="28"/>
        </w:rPr>
        <w:t>责任导致电梯停梯时间超过24小时，每超过24小时，扣除当月维保费用的10%作为违约金。15天内仍未修好，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采购人</w:t>
      </w:r>
      <w:r>
        <w:rPr>
          <w:rFonts w:hint="eastAsia" w:ascii="仿宋" w:hAnsi="仿宋" w:eastAsia="仿宋" w:cs="仿宋"/>
          <w:sz w:val="28"/>
          <w:szCs w:val="28"/>
        </w:rPr>
        <w:t>有权解除合同，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供应商</w:t>
      </w:r>
      <w:r>
        <w:rPr>
          <w:rFonts w:hint="eastAsia" w:ascii="仿宋" w:hAnsi="仿宋" w:eastAsia="仿宋" w:cs="仿宋"/>
          <w:sz w:val="28"/>
          <w:szCs w:val="28"/>
        </w:rPr>
        <w:t>需承担由此给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采购人</w:t>
      </w:r>
      <w:r>
        <w:rPr>
          <w:rFonts w:hint="eastAsia" w:ascii="仿宋" w:hAnsi="仿宋" w:eastAsia="仿宋" w:cs="仿宋"/>
          <w:sz w:val="28"/>
          <w:szCs w:val="28"/>
        </w:rPr>
        <w:t>造成的全部损失。</w:t>
      </w:r>
    </w:p>
    <w:p w14:paraId="48A3785D">
      <w:pPr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</w:rPr>
        <w:t>.3 计划性保养：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供应商</w:t>
      </w:r>
      <w:r>
        <w:rPr>
          <w:rFonts w:hint="eastAsia" w:ascii="仿宋" w:hAnsi="仿宋" w:eastAsia="仿宋" w:cs="仿宋"/>
          <w:sz w:val="28"/>
          <w:szCs w:val="28"/>
        </w:rPr>
        <w:t>须在每月初提交当月的保养计划，经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采购人</w:t>
      </w:r>
      <w:r>
        <w:rPr>
          <w:rFonts w:hint="eastAsia" w:ascii="仿宋" w:hAnsi="仿宋" w:eastAsia="仿宋" w:cs="仿宋"/>
          <w:sz w:val="28"/>
          <w:szCs w:val="28"/>
        </w:rPr>
        <w:t>确认后执行。保养工作应避开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采购人</w:t>
      </w:r>
      <w:r>
        <w:rPr>
          <w:rFonts w:hint="eastAsia" w:ascii="仿宋" w:hAnsi="仿宋" w:eastAsia="仿宋" w:cs="仿宋"/>
          <w:sz w:val="28"/>
          <w:szCs w:val="28"/>
        </w:rPr>
        <w:t>使用高峰期（如工作日上午8-10点），并在保养完成后提供由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采购人</w:t>
      </w:r>
      <w:r>
        <w:rPr>
          <w:rFonts w:hint="eastAsia" w:ascii="仿宋" w:hAnsi="仿宋" w:eastAsia="仿宋" w:cs="仿宋"/>
          <w:sz w:val="28"/>
          <w:szCs w:val="28"/>
        </w:rPr>
        <w:t>签字确认的《保养工作单》。</w:t>
      </w:r>
    </w:p>
    <w:p w14:paraId="238576D1">
      <w:pPr>
        <w:ind w:firstLine="562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四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备品备件与质量控制</w:t>
      </w:r>
    </w:p>
    <w:p w14:paraId="4C86BF7B">
      <w:pPr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sz w:val="28"/>
          <w:szCs w:val="28"/>
        </w:rPr>
        <w:t>.1 备件质量保证：</w:t>
      </w:r>
    </w:p>
    <w:p w14:paraId="65A359B9">
      <w:pPr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1、所有更换的零部件价值在500元及以下时（不含人工费），均由电梯维保单位免费更换。同时更换的配件必须为电梯原厂全新正品或经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采购人</w:t>
      </w:r>
      <w:r>
        <w:rPr>
          <w:rFonts w:hint="eastAsia" w:ascii="仿宋" w:hAnsi="仿宋" w:eastAsia="仿宋" w:cs="仿宋"/>
          <w:sz w:val="28"/>
          <w:szCs w:val="28"/>
        </w:rPr>
        <w:t>书面同意的、品质不低于原厂标准的国际/国内知名品牌配件。严禁使用翻新件、拆机件或假冒伪劣产品。</w:t>
      </w:r>
    </w:p>
    <w:p w14:paraId="643F1D8F">
      <w:pPr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2、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供应商</w:t>
      </w:r>
      <w:r>
        <w:rPr>
          <w:rFonts w:hint="eastAsia" w:ascii="仿宋" w:hAnsi="仿宋" w:eastAsia="仿宋" w:cs="仿宋"/>
          <w:sz w:val="28"/>
          <w:szCs w:val="28"/>
        </w:rPr>
        <w:t>在更换任何价值超过人民币500元的部件前，必须向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采购人</w:t>
      </w:r>
      <w:r>
        <w:rPr>
          <w:rFonts w:hint="eastAsia" w:ascii="仿宋" w:hAnsi="仿宋" w:eastAsia="仿宋" w:cs="仿宋"/>
          <w:sz w:val="28"/>
          <w:szCs w:val="28"/>
        </w:rPr>
        <w:t>报备并提供至少两个品牌及报价供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采购人</w:t>
      </w:r>
      <w:r>
        <w:rPr>
          <w:rFonts w:hint="eastAsia" w:ascii="仿宋" w:hAnsi="仿宋" w:eastAsia="仿宋" w:cs="仿宋"/>
          <w:sz w:val="28"/>
          <w:szCs w:val="28"/>
        </w:rPr>
        <w:t>选择，无论是否购买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供应商</w:t>
      </w:r>
      <w:r>
        <w:rPr>
          <w:rFonts w:hint="eastAsia" w:ascii="仿宋" w:hAnsi="仿宋" w:eastAsia="仿宋" w:cs="仿宋"/>
          <w:sz w:val="28"/>
          <w:szCs w:val="28"/>
        </w:rPr>
        <w:t>部件，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供应商</w:t>
      </w:r>
      <w:r>
        <w:rPr>
          <w:rFonts w:hint="eastAsia" w:ascii="仿宋" w:hAnsi="仿宋" w:eastAsia="仿宋" w:cs="仿宋"/>
          <w:sz w:val="28"/>
          <w:szCs w:val="28"/>
        </w:rPr>
        <w:t>应第一时间配合免费更换。</w:t>
      </w:r>
    </w:p>
    <w:p w14:paraId="0D0E2170">
      <w:pPr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3、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采购人</w:t>
      </w:r>
      <w:r>
        <w:rPr>
          <w:rFonts w:hint="eastAsia" w:ascii="仿宋" w:hAnsi="仿宋" w:eastAsia="仿宋" w:cs="仿宋"/>
          <w:sz w:val="28"/>
          <w:szCs w:val="28"/>
        </w:rPr>
        <w:t>采购的不涉及电梯安全运行的零部件，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供应商</w:t>
      </w:r>
      <w:r>
        <w:rPr>
          <w:rFonts w:hint="eastAsia" w:ascii="仿宋" w:hAnsi="仿宋" w:eastAsia="仿宋" w:cs="仿宋"/>
          <w:sz w:val="28"/>
          <w:szCs w:val="28"/>
        </w:rPr>
        <w:t>应无条件更换且不得收取任何费用。</w:t>
      </w:r>
    </w:p>
    <w:p w14:paraId="78ADFA1F">
      <w:pPr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sz w:val="28"/>
          <w:szCs w:val="28"/>
        </w:rPr>
        <w:t>.2 旧件回收：每次更换下的旧部件，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供应商</w:t>
      </w:r>
      <w:r>
        <w:rPr>
          <w:rFonts w:hint="eastAsia" w:ascii="仿宋" w:hAnsi="仿宋" w:eastAsia="仿宋" w:cs="仿宋"/>
          <w:sz w:val="28"/>
          <w:szCs w:val="28"/>
        </w:rPr>
        <w:t>必须交由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采购人</w:t>
      </w:r>
      <w:r>
        <w:rPr>
          <w:rFonts w:hint="eastAsia" w:ascii="仿宋" w:hAnsi="仿宋" w:eastAsia="仿宋" w:cs="仿宋"/>
          <w:sz w:val="28"/>
          <w:szCs w:val="28"/>
        </w:rPr>
        <w:t>验证并回收，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采购人</w:t>
      </w:r>
      <w:r>
        <w:rPr>
          <w:rFonts w:hint="eastAsia" w:ascii="仿宋" w:hAnsi="仿宋" w:eastAsia="仿宋" w:cs="仿宋"/>
          <w:sz w:val="28"/>
          <w:szCs w:val="28"/>
        </w:rPr>
        <w:t>有权自行处置。</w:t>
      </w:r>
    </w:p>
    <w:p w14:paraId="7162390F">
      <w:pPr>
        <w:ind w:firstLine="562" w:firstLineChars="200"/>
        <w:jc w:val="left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五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人员资质与管理</w:t>
      </w:r>
    </w:p>
    <w:p w14:paraId="11F935BF">
      <w:pPr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</w:rPr>
        <w:t>.1 固定团队：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供应商</w:t>
      </w:r>
      <w:r>
        <w:rPr>
          <w:rFonts w:hint="eastAsia" w:ascii="仿宋" w:hAnsi="仿宋" w:eastAsia="仿宋" w:cs="仿宋"/>
          <w:sz w:val="28"/>
          <w:szCs w:val="28"/>
        </w:rPr>
        <w:t>必须为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采购人</w:t>
      </w:r>
      <w:r>
        <w:rPr>
          <w:rFonts w:hint="eastAsia" w:ascii="仿宋" w:hAnsi="仿宋" w:eastAsia="仿宋" w:cs="仿宋"/>
          <w:sz w:val="28"/>
          <w:szCs w:val="28"/>
        </w:rPr>
        <w:t>的项目指派固定的、不少于3人的持证维保团队，并将人员资质证明复印件交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采购人</w:t>
      </w:r>
      <w:r>
        <w:rPr>
          <w:rFonts w:hint="eastAsia" w:ascii="仿宋" w:hAnsi="仿宋" w:eastAsia="仿宋" w:cs="仿宋"/>
          <w:sz w:val="28"/>
          <w:szCs w:val="28"/>
        </w:rPr>
        <w:t>备案。未经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采购人</w:t>
      </w:r>
      <w:r>
        <w:rPr>
          <w:rFonts w:hint="eastAsia" w:ascii="仿宋" w:hAnsi="仿宋" w:eastAsia="仿宋" w:cs="仿宋"/>
          <w:sz w:val="28"/>
          <w:szCs w:val="28"/>
        </w:rPr>
        <w:t>同意，不得随意更换核心维保人员。同时维保人员需在校内驻点，未经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采购人</w:t>
      </w:r>
      <w:r>
        <w:rPr>
          <w:rFonts w:hint="eastAsia" w:ascii="仿宋" w:hAnsi="仿宋" w:eastAsia="仿宋" w:cs="仿宋"/>
          <w:sz w:val="28"/>
          <w:szCs w:val="28"/>
        </w:rPr>
        <w:t>管理人员同意，不得擅自离校。</w:t>
      </w:r>
    </w:p>
    <w:p w14:paraId="071CB83A">
      <w:pPr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</w:rPr>
        <w:t>.2 现场行为规范：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供应商</w:t>
      </w:r>
      <w:r>
        <w:rPr>
          <w:rFonts w:hint="eastAsia" w:ascii="仿宋" w:hAnsi="仿宋" w:eastAsia="仿宋" w:cs="仿宋"/>
          <w:sz w:val="28"/>
          <w:szCs w:val="28"/>
        </w:rPr>
        <w:t>人员须遵守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采购人</w:t>
      </w:r>
      <w:r>
        <w:rPr>
          <w:rFonts w:hint="eastAsia" w:ascii="仿宋" w:hAnsi="仿宋" w:eastAsia="仿宋" w:cs="仿宋"/>
          <w:sz w:val="28"/>
          <w:szCs w:val="28"/>
        </w:rPr>
        <w:t>现场管理制度，着装统一、佩戴工牌、文明施工。因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供应商</w:t>
      </w:r>
      <w:r>
        <w:rPr>
          <w:rFonts w:hint="eastAsia" w:ascii="仿宋" w:hAnsi="仿宋" w:eastAsia="仿宋" w:cs="仿宋"/>
          <w:sz w:val="28"/>
          <w:szCs w:val="28"/>
        </w:rPr>
        <w:t>人员行为失当造成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采购人</w:t>
      </w:r>
      <w:r>
        <w:rPr>
          <w:rFonts w:hint="eastAsia" w:ascii="仿宋" w:hAnsi="仿宋" w:eastAsia="仿宋" w:cs="仿宋"/>
          <w:sz w:val="28"/>
          <w:szCs w:val="28"/>
        </w:rPr>
        <w:t>财产损失或声誉影响的，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供应商</w:t>
      </w:r>
      <w:r>
        <w:rPr>
          <w:rFonts w:hint="eastAsia" w:ascii="仿宋" w:hAnsi="仿宋" w:eastAsia="仿宋" w:cs="仿宋"/>
          <w:sz w:val="28"/>
          <w:szCs w:val="28"/>
        </w:rPr>
        <w:t>承担全部赔偿责任。</w:t>
      </w:r>
    </w:p>
    <w:p w14:paraId="50F887FF">
      <w:pPr>
        <w:ind w:firstLine="562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六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、采购人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监督与考核</w:t>
      </w:r>
    </w:p>
    <w:p w14:paraId="38F155E4">
      <w:pPr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sz w:val="28"/>
          <w:szCs w:val="28"/>
        </w:rPr>
        <w:t>.1 关键绩效指标与罚则：</w:t>
      </w:r>
    </w:p>
    <w:p w14:paraId="61496569">
      <w:pPr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1、电梯可用率：承诺月度可用率不低于99.5%。每降低0.1%，扣除当月维保费的2%。</w:t>
      </w:r>
    </w:p>
    <w:p w14:paraId="18851980">
      <w:pPr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2、故障率：单台电梯月故障次数不超过2次。每超一次，扣减该台电梯当月维保费100元/次，月维保费扣完为止。</w:t>
      </w:r>
    </w:p>
    <w:p w14:paraId="3A49CD83">
      <w:pPr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3、检验合格：一次性通过年度检验。若因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供应商</w:t>
      </w:r>
      <w:r>
        <w:rPr>
          <w:rFonts w:hint="eastAsia" w:ascii="仿宋" w:hAnsi="仿宋" w:eastAsia="仿宋" w:cs="仿宋"/>
          <w:sz w:val="28"/>
          <w:szCs w:val="28"/>
        </w:rPr>
        <w:t>责任导致不合格，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供应商</w:t>
      </w:r>
      <w:r>
        <w:rPr>
          <w:rFonts w:hint="eastAsia" w:ascii="仿宋" w:hAnsi="仿宋" w:eastAsia="仿宋" w:cs="仿宋"/>
          <w:sz w:val="28"/>
          <w:szCs w:val="28"/>
        </w:rPr>
        <w:t>承担所有复检费用，并向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采购人</w:t>
      </w:r>
      <w:r>
        <w:rPr>
          <w:rFonts w:hint="eastAsia" w:ascii="仿宋" w:hAnsi="仿宋" w:eastAsia="仿宋" w:cs="仿宋"/>
          <w:sz w:val="28"/>
          <w:szCs w:val="28"/>
        </w:rPr>
        <w:t>支付相当于当月维保费用50%的违约金。</w:t>
      </w:r>
    </w:p>
    <w:p w14:paraId="4B81B6BC">
      <w:pPr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4、用户投诉：经核实确因电梯故障或维保质量问题引发的有效投诉，每发生一次，扣减当月维保费1000元。</w:t>
      </w:r>
    </w:p>
    <w:p w14:paraId="0E570376">
      <w:pPr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sz w:val="28"/>
          <w:szCs w:val="28"/>
        </w:rPr>
        <w:t>.2 检查权：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采购人</w:t>
      </w:r>
      <w:r>
        <w:rPr>
          <w:rFonts w:hint="eastAsia" w:ascii="仿宋" w:hAnsi="仿宋" w:eastAsia="仿宋" w:cs="仿宋"/>
          <w:sz w:val="28"/>
          <w:szCs w:val="28"/>
        </w:rPr>
        <w:t>有权随时对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供应商</w:t>
      </w:r>
      <w:r>
        <w:rPr>
          <w:rFonts w:hint="eastAsia" w:ascii="仿宋" w:hAnsi="仿宋" w:eastAsia="仿宋" w:cs="仿宋"/>
          <w:sz w:val="28"/>
          <w:szCs w:val="28"/>
        </w:rPr>
        <w:t>的维保过程、记录、更换的零部件进行检查和抽样送检，费用由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供应商</w:t>
      </w:r>
      <w:r>
        <w:rPr>
          <w:rFonts w:hint="eastAsia" w:ascii="仿宋" w:hAnsi="仿宋" w:eastAsia="仿宋" w:cs="仿宋"/>
          <w:sz w:val="28"/>
          <w:szCs w:val="28"/>
        </w:rPr>
        <w:t>承担。</w:t>
      </w:r>
    </w:p>
    <w:p w14:paraId="3FB3B4B3">
      <w:pPr>
        <w:ind w:firstLine="562" w:firstLineChars="200"/>
        <w:jc w:val="left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七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保险与责任</w:t>
      </w:r>
    </w:p>
    <w:p w14:paraId="76A79355">
      <w:pPr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 w:cs="仿宋"/>
          <w:sz w:val="28"/>
          <w:szCs w:val="28"/>
        </w:rPr>
        <w:t>.1 保险要求：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供应商</w:t>
      </w:r>
      <w:r>
        <w:rPr>
          <w:rFonts w:hint="eastAsia" w:ascii="仿宋" w:hAnsi="仿宋" w:eastAsia="仿宋" w:cs="仿宋"/>
          <w:sz w:val="28"/>
          <w:szCs w:val="28"/>
        </w:rPr>
        <w:t>必须购买且在整个合同期内维持有效的：</w:t>
      </w:r>
    </w:p>
    <w:p w14:paraId="38AB8FEB">
      <w:pPr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1、公众责任险，每次事故赔偿限额不低于人民币500万元。</w:t>
      </w:r>
    </w:p>
    <w:p w14:paraId="53E1C7CA">
      <w:pPr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2、雇主责任险。</w:t>
      </w:r>
    </w:p>
    <w:p w14:paraId="068F5DBF">
      <w:pPr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3、电梯安全责任险。</w:t>
      </w:r>
    </w:p>
    <w:p w14:paraId="56CF2465">
      <w:pPr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4、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采购人</w:t>
      </w:r>
      <w:r>
        <w:rPr>
          <w:rFonts w:hint="eastAsia" w:ascii="仿宋" w:hAnsi="仿宋" w:eastAsia="仿宋" w:cs="仿宋"/>
          <w:sz w:val="28"/>
          <w:szCs w:val="28"/>
        </w:rPr>
        <w:t>作为附加被保险人。</w:t>
      </w:r>
    </w:p>
    <w:p w14:paraId="26868A49">
      <w:pPr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 w:cs="仿宋"/>
          <w:sz w:val="28"/>
          <w:szCs w:val="28"/>
        </w:rPr>
        <w:t>.2 责任界定：因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供应商</w:t>
      </w:r>
      <w:r>
        <w:rPr>
          <w:rFonts w:hint="eastAsia" w:ascii="仿宋" w:hAnsi="仿宋" w:eastAsia="仿宋" w:cs="仿宋"/>
          <w:sz w:val="28"/>
          <w:szCs w:val="28"/>
        </w:rPr>
        <w:t>维保不当、延误、使用劣质配件、操作失误等直接导致电梯损坏、停运、第三方财产损失或人身伤害的，全部法律责任和经济赔偿责任由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供应商</w:t>
      </w:r>
      <w:r>
        <w:rPr>
          <w:rFonts w:hint="eastAsia" w:ascii="仿宋" w:hAnsi="仿宋" w:eastAsia="仿宋" w:cs="仿宋"/>
          <w:sz w:val="28"/>
          <w:szCs w:val="28"/>
        </w:rPr>
        <w:t>承担。</w:t>
      </w:r>
    </w:p>
    <w:p w14:paraId="4678E30E">
      <w:pPr>
        <w:ind w:firstLine="562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八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违约责任与合同终止</w:t>
      </w:r>
    </w:p>
    <w:p w14:paraId="53A72249">
      <w:pPr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8</w:t>
      </w:r>
      <w:r>
        <w:rPr>
          <w:rFonts w:hint="eastAsia" w:ascii="仿宋" w:hAnsi="仿宋" w:eastAsia="仿宋" w:cs="仿宋"/>
          <w:sz w:val="28"/>
          <w:szCs w:val="28"/>
        </w:rPr>
        <w:t xml:space="preserve">.1 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采购人</w:t>
      </w:r>
      <w:r>
        <w:rPr>
          <w:rFonts w:hint="eastAsia" w:ascii="仿宋" w:hAnsi="仿宋" w:eastAsia="仿宋" w:cs="仿宋"/>
          <w:sz w:val="28"/>
          <w:szCs w:val="28"/>
        </w:rPr>
        <w:t>单方解除权：出现以下情况之一，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采购人</w:t>
      </w:r>
      <w:r>
        <w:rPr>
          <w:rFonts w:hint="eastAsia" w:ascii="仿宋" w:hAnsi="仿宋" w:eastAsia="仿宋" w:cs="仿宋"/>
          <w:sz w:val="28"/>
          <w:szCs w:val="28"/>
        </w:rPr>
        <w:t>有权单方面书面通知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供应商</w:t>
      </w:r>
      <w:r>
        <w:rPr>
          <w:rFonts w:hint="eastAsia" w:ascii="仿宋" w:hAnsi="仿宋" w:eastAsia="仿宋" w:cs="仿宋"/>
          <w:sz w:val="28"/>
          <w:szCs w:val="28"/>
        </w:rPr>
        <w:t>终止合同，且不承担任何违约责任：</w:t>
      </w:r>
    </w:p>
    <w:p w14:paraId="2107A172">
      <w:pPr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1、一个自然月内发生两次及以上电梯困人事故，且经认定为主要责任在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供应商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 w14:paraId="13ED5B16">
      <w:pPr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2、年度检验不合格，且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供应商</w:t>
      </w:r>
      <w:r>
        <w:rPr>
          <w:rFonts w:hint="eastAsia" w:ascii="仿宋" w:hAnsi="仿宋" w:eastAsia="仿宋" w:cs="仿宋"/>
          <w:sz w:val="28"/>
          <w:szCs w:val="28"/>
        </w:rPr>
        <w:t>在约定时间内未能完成整改并通过复检。</w:t>
      </w:r>
    </w:p>
    <w:p w14:paraId="024F9585">
      <w:pPr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3、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供应商</w:t>
      </w:r>
      <w:r>
        <w:rPr>
          <w:rFonts w:hint="eastAsia" w:ascii="仿宋" w:hAnsi="仿宋" w:eastAsia="仿宋" w:cs="仿宋"/>
          <w:sz w:val="28"/>
          <w:szCs w:val="28"/>
        </w:rPr>
        <w:t>将合同义务分包或转包。</w:t>
      </w:r>
    </w:p>
    <w:p w14:paraId="26F81FD3">
      <w:pPr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4、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供应商</w:t>
      </w:r>
      <w:r>
        <w:rPr>
          <w:rFonts w:hint="eastAsia" w:ascii="仿宋" w:hAnsi="仿宋" w:eastAsia="仿宋" w:cs="仿宋"/>
          <w:sz w:val="28"/>
          <w:szCs w:val="28"/>
        </w:rPr>
        <w:t>在应急响应中连续两次或累计三次未能达到约定时间。</w:t>
      </w:r>
    </w:p>
    <w:p w14:paraId="06D3CB40">
      <w:pPr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5、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供应商</w:t>
      </w:r>
      <w:r>
        <w:rPr>
          <w:rFonts w:hint="eastAsia" w:ascii="仿宋" w:hAnsi="仿宋" w:eastAsia="仿宋" w:cs="仿宋"/>
          <w:sz w:val="28"/>
          <w:szCs w:val="28"/>
        </w:rPr>
        <w:t>提供虚假维保记录或使用假冒伪劣配件。</w:t>
      </w:r>
    </w:p>
    <w:p w14:paraId="1EE26BEE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8</w:t>
      </w:r>
      <w:r>
        <w:rPr>
          <w:rFonts w:hint="eastAsia" w:ascii="仿宋" w:hAnsi="仿宋" w:eastAsia="仿宋" w:cs="仿宋"/>
          <w:sz w:val="28"/>
          <w:szCs w:val="28"/>
        </w:rPr>
        <w:t>.2 过渡期义务：合同期满或终止时，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供应商</w:t>
      </w:r>
      <w:r>
        <w:rPr>
          <w:rFonts w:hint="eastAsia" w:ascii="仿宋" w:hAnsi="仿宋" w:eastAsia="仿宋" w:cs="仿宋"/>
          <w:sz w:val="28"/>
          <w:szCs w:val="28"/>
        </w:rPr>
        <w:t>必须无条件、无偿地向新的维保单位或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采购人</w:t>
      </w:r>
      <w:r>
        <w:rPr>
          <w:rFonts w:hint="eastAsia" w:ascii="仿宋" w:hAnsi="仿宋" w:eastAsia="仿宋" w:cs="仿宋"/>
          <w:sz w:val="28"/>
          <w:szCs w:val="28"/>
        </w:rPr>
        <w:t>移交全部电梯技术资料、历史维保记录、密码及所有相关文件，并配合完成现场交接。</w:t>
      </w:r>
    </w:p>
    <w:p w14:paraId="653F7835">
      <w:pPr>
        <w:ind w:firstLine="562" w:firstLineChars="200"/>
        <w:jc w:val="left"/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九、验收标准</w:t>
      </w:r>
    </w:p>
    <w:p w14:paraId="6EC96B0F">
      <w:pPr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1、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依据合同完成年度、季度、月度、旬的维保服务内容，包含机房、轿厢等机械部件和电子元器件的日常维护、井道照明、机房环境、设备运行状态监测、设备年检等相关工作。</w:t>
      </w:r>
    </w:p>
    <w:p w14:paraId="2F3074C5">
      <w:pPr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2、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依据合同约定及时处置各类电梯故障，确保电梯安全运行。</w:t>
      </w:r>
    </w:p>
    <w:p w14:paraId="757F12E6">
      <w:pPr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3、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具体验收标准详见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合同约定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 w14:paraId="732C2C8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24" w:lineRule="auto"/>
      </w:pPr>
      <w:r>
        <w:separator/>
      </w:r>
    </w:p>
  </w:footnote>
  <w:footnote w:type="continuationSeparator" w:id="1">
    <w:p>
      <w:pPr>
        <w:spacing w:line="324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984F48"/>
    <w:rsid w:val="75984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24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ubtitle"/>
    <w:next w:val="1"/>
    <w:qFormat/>
    <w:uiPriority w:val="0"/>
    <w:pPr>
      <w:widowControl w:val="0"/>
      <w:spacing w:before="240" w:after="60" w:line="312" w:lineRule="auto"/>
      <w:jc w:val="center"/>
      <w:outlineLvl w:val="1"/>
    </w:pPr>
    <w:rPr>
      <w:rFonts w:ascii="Cambria" w:hAnsi="Cambria" w:eastAsia="宋体" w:cs="Times New Roman"/>
      <w:b/>
      <w:bCs/>
      <w:kern w:val="28"/>
      <w:sz w:val="32"/>
      <w:szCs w:val="32"/>
      <w:lang w:val="en-US" w:eastAsia="zh-CN" w:bidi="ar-SA"/>
    </w:rPr>
  </w:style>
  <w:style w:type="table" w:styleId="4">
    <w:name w:val="Table Grid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2025-11-27T07:22:00Z</dcterms:created>
  <dc:creator>H</dc:creator>
  <cp:lastModifiedBy>H</cp:lastModifiedBy>
  <dcterms:modified xsi:type="dcterms:W3CDTF">2025-11-27T07:22:25Z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CD49ACECC9E043178112BC15A2BBABBC_11</vt:lpwstr>
  </property>
  <property fmtid="{D5CDD505-2E9C-101B-9397-08002B2CF9AE}" pid="4" name="KSOTemplateDocerSaveRecord">
    <vt:lpwstr>eyJoZGlkIjoiN2ViYTg5NDBiZjhlN2VjMmMxODQyM2Y0NTY5NDI4ZDUiLCJ1c2VySWQiOiI1MjUwOTc0MjQifQ==</vt:lpwstr>
  </property>
</Properties>
</file>