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21E8F">
      <w:pPr>
        <w:pStyle w:val="3"/>
        <w:bidi w:val="0"/>
        <w:rPr>
          <w:color w:val="000000" w:themeColor="text1"/>
          <w:highlight w:val="none"/>
          <w14:textFill>
            <w14:solidFill>
              <w14:schemeClr w14:val="tx1"/>
            </w14:solidFill>
          </w14:textFill>
        </w:rPr>
      </w:pPr>
      <w:bookmarkStart w:id="1" w:name="_GoBack"/>
      <w:bookmarkEnd w:id="1"/>
      <w:bookmarkStart w:id="0" w:name="_Toc19287"/>
      <w:r>
        <w:rPr>
          <w:rFonts w:hint="eastAsia"/>
          <w:color w:val="000000" w:themeColor="text1"/>
          <w:highlight w:val="none"/>
          <w14:textFill>
            <w14:solidFill>
              <w14:schemeClr w14:val="tx1"/>
            </w14:solidFill>
          </w14:textFill>
        </w:rPr>
        <w:t>采购内容及要求</w:t>
      </w:r>
      <w:bookmarkEnd w:id="0"/>
    </w:p>
    <w:p w14:paraId="2B5712F8">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一、项目介绍及总体要求</w:t>
      </w:r>
    </w:p>
    <w:p w14:paraId="1D6C280D">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1、项目介绍</w:t>
      </w:r>
    </w:p>
    <w:p w14:paraId="5AD889FF">
      <w:pPr>
        <w:pStyle w:val="5"/>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本项目地点位于西安市碑林区友谊西路陕西省人民医院，主要施工范围为住院部大楼二层</w:t>
      </w:r>
      <w:r>
        <w:rPr>
          <w:rFonts w:hint="eastAsia"/>
          <w:color w:val="000000" w:themeColor="text1"/>
          <w:highlight w:val="none"/>
          <w14:textFill>
            <w14:solidFill>
              <w14:schemeClr w14:val="tx1"/>
            </w14:solidFill>
          </w14:textFill>
        </w:rPr>
        <w:t>机房</w:t>
      </w:r>
      <w:r>
        <w:rPr>
          <w:rFonts w:hint="eastAsia"/>
          <w:color w:val="000000" w:themeColor="text1"/>
          <w:highlight w:val="none"/>
          <w:lang w:val="zh-CN"/>
          <w14:textFill>
            <w14:solidFill>
              <w14:schemeClr w14:val="tx1"/>
            </w14:solidFill>
          </w14:textFill>
        </w:rPr>
        <w:t>。</w:t>
      </w:r>
    </w:p>
    <w:p w14:paraId="0534B2A4">
      <w:pPr>
        <w:pStyle w:val="5"/>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有机房为2014年起建设,2022年扩容的冷通道群组。冷通道机房原品牌为维谛，共34柜位、配备维谛黑色标准机柜29个、单台制冷量为40KW的维谛列间空调共3台(型号为CR035)、配电列头柜2台。现有动力环境监控系统为安山，可实现网页端和移动端实时监控及报警推送。</w:t>
      </w:r>
    </w:p>
    <w:p w14:paraId="11690A76">
      <w:pPr>
        <w:pStyle w:val="5"/>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为保证全院核心业务正常运行，本次项目为在线改造工程。各供应商须进行详细的实地勘查，充分考虑施工方案的可靠性，同时做好应急保障措施，制定详细的施工计划，不能因任何原因导致停电或对我院正常业务构成影响。</w:t>
      </w:r>
    </w:p>
    <w:p w14:paraId="0185F2C5">
      <w:pPr>
        <w:spacing w:line="360" w:lineRule="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2、总体要求</w:t>
      </w:r>
    </w:p>
    <w:p w14:paraId="7C0685AD">
      <w:pPr>
        <w:pStyle w:val="5"/>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2.1本次</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设备及改造工程整体质保三年。其中，新增设备须统一纳入现有的动力环境监控平台，与现有系统保持一致。</w:t>
      </w:r>
    </w:p>
    <w:p w14:paraId="7D375953">
      <w:pPr>
        <w:pStyle w:val="5"/>
        <w:ind w:firstLine="48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响应报价</w:t>
      </w:r>
      <w:r>
        <w:rPr>
          <w:rFonts w:hint="eastAsia"/>
          <w:color w:val="000000" w:themeColor="text1"/>
          <w:highlight w:val="none"/>
          <w14:textFill>
            <w14:solidFill>
              <w14:schemeClr w14:val="tx1"/>
            </w14:solidFill>
          </w14:textFill>
        </w:rPr>
        <w:t>应包含实现本项目要求的所有功能要求的费用；包含本次改造所需的所有硬件、软件、附件、辅材、及售后服务等。</w:t>
      </w:r>
    </w:p>
    <w:p w14:paraId="517C31E8">
      <w:pPr>
        <w:pStyle w:val="5"/>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2.2各</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必须针对本项目采购内容做出完整的施工技术方案，并对招标</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内容有完整的报价。做出全面响应，不得分解或只报一部分，否则视为</w:t>
      </w:r>
      <w:r>
        <w:rPr>
          <w:rFonts w:hint="eastAsia"/>
          <w:color w:val="000000" w:themeColor="text1"/>
          <w:highlight w:val="none"/>
          <w:lang w:val="en-US" w:eastAsia="zh-CN"/>
          <w14:textFill>
            <w14:solidFill>
              <w14:schemeClr w14:val="tx1"/>
            </w14:solidFill>
          </w14:textFill>
        </w:rPr>
        <w:t>无效响应</w:t>
      </w:r>
      <w:r>
        <w:rPr>
          <w:rFonts w:hint="eastAsia"/>
          <w:color w:val="000000" w:themeColor="text1"/>
          <w:highlight w:val="none"/>
          <w14:textFill>
            <w14:solidFill>
              <w14:schemeClr w14:val="tx1"/>
            </w14:solidFill>
          </w14:textFill>
        </w:rPr>
        <w:t>。</w:t>
      </w:r>
    </w:p>
    <w:p w14:paraId="397E700A">
      <w:pPr>
        <w:pStyle w:val="5"/>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对本项目技术要求中未详尽列明，但又是系统正常运行所必须的设备、器材和软件，有责任进行完善和优化；</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发现本技术要求中有偏差时，应进行详细说明。</w:t>
      </w:r>
    </w:p>
    <w:p w14:paraId="335FA5EE">
      <w:pPr>
        <w:pStyle w:val="5"/>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2.4一旦发现</w:t>
      </w:r>
      <w:r>
        <w:rPr>
          <w:rFonts w:hint="eastAsia"/>
          <w:color w:val="000000" w:themeColor="text1"/>
          <w:highlight w:val="none"/>
          <w:lang w:val="en-US" w:eastAsia="zh-CN"/>
          <w14:textFill>
            <w14:solidFill>
              <w14:schemeClr w14:val="tx1"/>
            </w14:solidFill>
          </w14:textFill>
        </w:rPr>
        <w:t>成交供应商</w:t>
      </w:r>
      <w:r>
        <w:rPr>
          <w:rFonts w:hint="eastAsia"/>
          <w:color w:val="000000" w:themeColor="text1"/>
          <w:highlight w:val="none"/>
          <w14:textFill>
            <w14:solidFill>
              <w14:schemeClr w14:val="tx1"/>
            </w14:solidFill>
          </w14:textFill>
        </w:rPr>
        <w:t>在</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文件中弄虚作假，或在以往的项目实施中曾发生过质量事故，</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将有权取消其</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14:textFill>
            <w14:solidFill>
              <w14:schemeClr w14:val="tx1"/>
            </w14:solidFill>
          </w14:textFill>
        </w:rPr>
        <w:t>资格。</w:t>
      </w:r>
    </w:p>
    <w:p w14:paraId="5A5E56C3">
      <w:pPr>
        <w:pStyle w:val="5"/>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必须保证提供给业主的所有产品不受到第三方关于侵犯专利权、商标权或工业设计权等知识产权的指控。</w:t>
      </w:r>
    </w:p>
    <w:p w14:paraId="5764580B">
      <w:pPr>
        <w:pStyle w:val="4"/>
        <w:bidi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w:t>
      </w:r>
      <w:r>
        <w:rPr>
          <w:rFonts w:hint="eastAsia"/>
          <w:color w:val="000000" w:themeColor="text1"/>
          <w:highlight w:val="none"/>
          <w14:textFill>
            <w14:solidFill>
              <w14:schemeClr w14:val="tx1"/>
            </w14:solidFill>
          </w14:textFill>
        </w:rPr>
        <w:t>采购内容及技术要求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069"/>
        <w:gridCol w:w="7731"/>
      </w:tblGrid>
      <w:tr w14:paraId="16CF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5779A3F9">
            <w:pPr>
              <w:pStyle w:val="9"/>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1069" w:type="dxa"/>
            <w:noWrap w:val="0"/>
            <w:vAlign w:val="center"/>
          </w:tcPr>
          <w:p w14:paraId="10E38762">
            <w:pPr>
              <w:pStyle w:val="9"/>
              <w:rPr>
                <w:rFonts w:hint="eastAsia" w:eastAsia="宋体"/>
                <w:color w:val="000000" w:themeColor="text1"/>
                <w:highlight w:val="none"/>
                <w:lang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名称</w:t>
            </w:r>
          </w:p>
        </w:tc>
        <w:tc>
          <w:tcPr>
            <w:tcW w:w="7731" w:type="dxa"/>
            <w:noWrap w:val="0"/>
            <w:vAlign w:val="center"/>
          </w:tcPr>
          <w:p w14:paraId="178E857A">
            <w:pPr>
              <w:pStyle w:val="9"/>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技术要求</w:t>
            </w:r>
          </w:p>
        </w:tc>
      </w:tr>
      <w:tr w14:paraId="3DD6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3ACB7091">
            <w:pPr>
              <w:pStyle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069" w:type="dxa"/>
            <w:noWrap w:val="0"/>
            <w:vAlign w:val="center"/>
          </w:tcPr>
          <w:p w14:paraId="4849980C">
            <w:pPr>
              <w:pStyle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住院部大楼二层计算机房精密空调改造</w:t>
            </w:r>
          </w:p>
        </w:tc>
        <w:tc>
          <w:tcPr>
            <w:tcW w:w="7731" w:type="dxa"/>
            <w:noWrap w:val="0"/>
            <w:vAlign w:val="center"/>
          </w:tcPr>
          <w:p w14:paraId="3A7969EC">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1、概述</w:t>
            </w:r>
          </w:p>
          <w:p w14:paraId="0BB918F4">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次新增一台制冷量为40KW的水平送风列间精密空调1台，包含室内机及室外机组，与现有三台空调互为备份使用，且四台空调必须能够实现群控功能，并将新安装精密空调纳入现有的动力环境监控平台。原精密空调型号为维谛CR035，要求供应商提供的产品必须保证整个系统的稳定性和兼容性。</w:t>
            </w:r>
          </w:p>
          <w:p w14:paraId="209C1029">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本次还需新增标准机柜一台，与新增精密空调配套，并对原有冷通道进行扩容改造。</w:t>
            </w:r>
          </w:p>
          <w:p w14:paraId="11AE3917">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对原有两台房间级DME12.5KW空调室外机进行迁移，改变安装方式。</w:t>
            </w:r>
          </w:p>
          <w:p w14:paraId="7CBBAB82">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2、引用标准</w:t>
            </w:r>
          </w:p>
          <w:p w14:paraId="1AFFE11E">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（1）《国家A级机房标准》；</w:t>
            </w:r>
          </w:p>
          <w:p w14:paraId="59FE5FD7">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（2）《电信机房空调维护规程》；</w:t>
            </w:r>
          </w:p>
          <w:p w14:paraId="081CA63F">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（3）YDN023-1996《通信电源和集中监控系统技术要求》；</w:t>
            </w:r>
          </w:p>
          <w:p w14:paraId="18B31239">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（4）电网综1997（472）号文《通信电源、机房空调集中监控管理系统暂行规定》；</w:t>
            </w:r>
          </w:p>
          <w:p w14:paraId="17E27820">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（5）电网交1999(625)号文《通信局（站）电源、空调及环境集中监控管理系统前端智能设备通讯协议》；</w:t>
            </w:r>
          </w:p>
          <w:p w14:paraId="3DA6A56B">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（6）GB 50174-2017 数据中心设计规范；</w:t>
            </w:r>
          </w:p>
          <w:p w14:paraId="1A705362">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（7）GB 50462-2015 数据中心基础设施施工及验收规范；</w:t>
            </w:r>
          </w:p>
          <w:p w14:paraId="7432DCBC">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（8）GB 50016-2014 建筑设计防火规范；</w:t>
            </w:r>
          </w:p>
          <w:p w14:paraId="52B7BE56">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（9）GB 50019-2015 工业建筑供暖通风与空气调节设计规范；</w:t>
            </w:r>
          </w:p>
          <w:p w14:paraId="5B0B516A">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（10）GB 50736-2012 民用建筑供暖通风与空气调节设计规范；</w:t>
            </w:r>
          </w:p>
          <w:p w14:paraId="7150FB39">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3、基本要求</w:t>
            </w:r>
          </w:p>
          <w:p w14:paraId="716F2BEB">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▲要求投标产品品牌选型合理、配置齐全，功能满足或优于采购需求，具有良好的兼容性和稳定性。</w:t>
            </w:r>
          </w:p>
          <w:p w14:paraId="7ABA71FF">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▲提供下述清单中产品的合法来源渠道证明文件（包括但不限于制造商厂家授权/销售协议/代理协议等）</w:t>
            </w:r>
          </w:p>
          <w:tbl>
            <w:tblPr>
              <w:tblStyle w:val="7"/>
              <w:tblW w:w="7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687"/>
              <w:gridCol w:w="3963"/>
            </w:tblGrid>
            <w:tr w14:paraId="4195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63020D71">
                  <w:pPr>
                    <w:pStyle w:val="2"/>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2687" w:type="dxa"/>
                  <w:noWrap w:val="0"/>
                  <w:vAlign w:val="top"/>
                </w:tcPr>
                <w:p w14:paraId="2CAEA4CA">
                  <w:pPr>
                    <w:pStyle w:val="2"/>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设备名称</w:t>
                  </w:r>
                </w:p>
              </w:tc>
              <w:tc>
                <w:tcPr>
                  <w:tcW w:w="3963" w:type="dxa"/>
                  <w:noWrap w:val="0"/>
                  <w:vAlign w:val="top"/>
                </w:tcPr>
                <w:p w14:paraId="5D72F756">
                  <w:pPr>
                    <w:pStyle w:val="2"/>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规格</w:t>
                  </w:r>
                </w:p>
              </w:tc>
            </w:tr>
            <w:tr w14:paraId="0A16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300D6BCB">
                  <w:pPr>
                    <w:pStyle w:val="2"/>
                    <w:jc w:val="center"/>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1</w:t>
                  </w:r>
                </w:p>
              </w:tc>
              <w:tc>
                <w:tcPr>
                  <w:tcW w:w="2687" w:type="dxa"/>
                  <w:noWrap w:val="0"/>
                  <w:vAlign w:val="top"/>
                </w:tcPr>
                <w:p w14:paraId="66843BEA">
                  <w:pPr>
                    <w:pStyle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水平送风精密空调</w:t>
                  </w:r>
                </w:p>
              </w:tc>
              <w:tc>
                <w:tcPr>
                  <w:tcW w:w="3963" w:type="dxa"/>
                  <w:noWrap w:val="0"/>
                  <w:vAlign w:val="top"/>
                </w:tcPr>
                <w:p w14:paraId="0518C145">
                  <w:pPr>
                    <w:pStyle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制冷量40KW(含室内机、室外机组)</w:t>
                  </w:r>
                </w:p>
              </w:tc>
            </w:tr>
            <w:tr w14:paraId="3D0B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39EC3CE7">
                  <w:pPr>
                    <w:pStyle w:val="2"/>
                    <w:jc w:val="center"/>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2</w:t>
                  </w:r>
                </w:p>
              </w:tc>
              <w:tc>
                <w:tcPr>
                  <w:tcW w:w="2687" w:type="dxa"/>
                  <w:noWrap w:val="0"/>
                  <w:vAlign w:val="top"/>
                </w:tcPr>
                <w:p w14:paraId="03FC7D4E">
                  <w:pPr>
                    <w:pStyle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动力环境监控系统设备</w:t>
                  </w:r>
                </w:p>
              </w:tc>
              <w:tc>
                <w:tcPr>
                  <w:tcW w:w="3963" w:type="dxa"/>
                  <w:noWrap w:val="0"/>
                  <w:vAlign w:val="top"/>
                </w:tcPr>
                <w:p w14:paraId="2809CA56">
                  <w:pPr>
                    <w:pStyle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对原系统进行需升级改造</w:t>
                  </w:r>
                </w:p>
              </w:tc>
            </w:tr>
          </w:tbl>
          <w:p w14:paraId="23FB7405">
            <w:pPr>
              <w:pStyle w:val="2"/>
              <w:rPr>
                <w:rFonts w:hint="eastAsia" w:ascii="宋体" w:hAnsi="宋体" w:cs="宋体"/>
                <w:color w:val="000000" w:themeColor="text1"/>
                <w:sz w:val="24"/>
                <w:szCs w:val="24"/>
                <w:highlight w:val="none"/>
                <w14:textFill>
                  <w14:solidFill>
                    <w14:schemeClr w14:val="tx1"/>
                  </w14:solidFill>
                </w14:textFill>
              </w:rPr>
            </w:pPr>
          </w:p>
          <w:p w14:paraId="51BABE7E">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▲核心设备生产厂家针对本项目出具的售后服务承诺函（包括但不限于精密空调厂家/动环厂家）</w:t>
            </w:r>
          </w:p>
          <w:p w14:paraId="7A03AD27">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4、计算机房精密空调参数要求</w:t>
            </w:r>
          </w:p>
          <w:p w14:paraId="0734745E">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▲总冷量要求：≥40kW；</w:t>
            </w:r>
          </w:p>
          <w:p w14:paraId="597AC7BF">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送风方式：水平送风；</w:t>
            </w:r>
          </w:p>
          <w:p w14:paraId="3BB2AE35">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▲室内EC风机数量：8个；</w:t>
            </w:r>
          </w:p>
          <w:p w14:paraId="7617E2FF">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▲风量：≥8500m³/h；</w:t>
            </w:r>
          </w:p>
          <w:p w14:paraId="361A5428">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加湿量：≥1.5kg/h；</w:t>
            </w:r>
          </w:p>
          <w:p w14:paraId="5D3D4DF1">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加热量：≥6kW；</w:t>
            </w:r>
          </w:p>
          <w:p w14:paraId="67BEA6F1">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▲室内机尺寸最大值：与机房机柜保持一致；</w:t>
            </w:r>
          </w:p>
          <w:p w14:paraId="1C5948D5">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输入电压允许波动范围：380V±10%；频率：50Hz±2Hz；</w:t>
            </w:r>
          </w:p>
          <w:p w14:paraId="78957E5D">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温度：室内0℃</w:t>
            </w:r>
            <w:r>
              <w:rPr>
                <w:rFonts w:hint="eastAsia" w:ascii="宋体" w:hAnsi="宋体" w:cs="宋体"/>
                <w:color w:val="000000" w:themeColor="text1"/>
                <w:sz w:val="24"/>
                <w:szCs w:val="24"/>
                <w:highlight w:val="none"/>
                <w14:textFill>
                  <w14:solidFill>
                    <w14:schemeClr w14:val="tx1"/>
                  </w14:solidFill>
                </w14:textFill>
              </w:rPr>
              <w:sym w:font="Symbol" w:char="F07E"/>
            </w:r>
            <w:r>
              <w:rPr>
                <w:rFonts w:hint="eastAsia" w:ascii="宋体" w:hAnsi="宋体" w:cs="宋体"/>
                <w:color w:val="000000" w:themeColor="text1"/>
                <w:sz w:val="24"/>
                <w:szCs w:val="24"/>
                <w:highlight w:val="none"/>
                <w14:textFill>
                  <w14:solidFill>
                    <w14:schemeClr w14:val="tx1"/>
                  </w14:solidFill>
                </w14:textFill>
              </w:rPr>
              <w:t>50℃；室外-15℃</w:t>
            </w:r>
            <w:r>
              <w:rPr>
                <w:rFonts w:hint="eastAsia" w:ascii="宋体" w:hAnsi="宋体" w:cs="宋体"/>
                <w:color w:val="000000" w:themeColor="text1"/>
                <w:sz w:val="24"/>
                <w:szCs w:val="24"/>
                <w:highlight w:val="none"/>
                <w14:textFill>
                  <w14:solidFill>
                    <w14:schemeClr w14:val="tx1"/>
                  </w14:solidFill>
                </w14:textFill>
              </w:rPr>
              <w:sym w:font="Symbol" w:char="F07E"/>
            </w:r>
            <w:r>
              <w:rPr>
                <w:rFonts w:hint="eastAsia" w:ascii="宋体" w:hAnsi="宋体" w:cs="宋体"/>
                <w:color w:val="000000" w:themeColor="text1"/>
                <w:sz w:val="24"/>
                <w:szCs w:val="24"/>
                <w:highlight w:val="none"/>
                <w14:textFill>
                  <w14:solidFill>
                    <w14:schemeClr w14:val="tx1"/>
                  </w14:solidFill>
                </w14:textFill>
              </w:rPr>
              <w:t>45℃（低温型 -34℃</w:t>
            </w:r>
            <w:r>
              <w:rPr>
                <w:rFonts w:hint="eastAsia" w:ascii="宋体" w:hAnsi="宋体" w:cs="宋体"/>
                <w:color w:val="000000" w:themeColor="text1"/>
                <w:sz w:val="24"/>
                <w:szCs w:val="24"/>
                <w:highlight w:val="none"/>
                <w14:textFill>
                  <w14:solidFill>
                    <w14:schemeClr w14:val="tx1"/>
                  </w14:solidFill>
                </w14:textFill>
              </w:rPr>
              <w:sym w:font="Symbol" w:char="F07E"/>
            </w:r>
            <w:r>
              <w:rPr>
                <w:rFonts w:hint="eastAsia" w:ascii="宋体" w:hAnsi="宋体" w:cs="宋体"/>
                <w:color w:val="000000" w:themeColor="text1"/>
                <w:sz w:val="24"/>
                <w:szCs w:val="24"/>
                <w:highlight w:val="none"/>
                <w14:textFill>
                  <w14:solidFill>
                    <w14:schemeClr w14:val="tx1"/>
                  </w14:solidFill>
                </w14:textFill>
              </w:rPr>
              <w:t>45℃）；</w:t>
            </w:r>
          </w:p>
          <w:p w14:paraId="08827769">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湿度：≤95%RH；</w:t>
            </w:r>
          </w:p>
          <w:p w14:paraId="7489FFC5">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温度调节范围：18℃ </w:t>
            </w:r>
            <w:r>
              <w:rPr>
                <w:rFonts w:hint="eastAsia" w:ascii="宋体" w:hAnsi="宋体" w:cs="宋体"/>
                <w:color w:val="000000" w:themeColor="text1"/>
                <w:sz w:val="24"/>
                <w:szCs w:val="24"/>
                <w:highlight w:val="none"/>
                <w14:textFill>
                  <w14:solidFill>
                    <w14:schemeClr w14:val="tx1"/>
                  </w14:solidFill>
                </w14:textFill>
              </w:rPr>
              <w:sym w:font="Symbol" w:char="F07E"/>
            </w:r>
            <w:r>
              <w:rPr>
                <w:rFonts w:hint="eastAsia" w:ascii="宋体" w:hAnsi="宋体" w:cs="宋体"/>
                <w:color w:val="000000" w:themeColor="text1"/>
                <w:sz w:val="24"/>
                <w:szCs w:val="24"/>
                <w:highlight w:val="none"/>
                <w14:textFill>
                  <w14:solidFill>
                    <w14:schemeClr w14:val="tx1"/>
                  </w14:solidFill>
                </w14:textFill>
              </w:rPr>
              <w:t xml:space="preserve"> 45℃；温度调节精度：</w:t>
            </w:r>
            <w:r>
              <w:rPr>
                <w:rFonts w:hint="eastAsia" w:ascii="宋体" w:hAnsi="宋体" w:cs="宋体"/>
                <w:color w:val="000000" w:themeColor="text1"/>
                <w:sz w:val="24"/>
                <w:szCs w:val="24"/>
                <w:highlight w:val="none"/>
                <w14:textFill>
                  <w14:solidFill>
                    <w14:schemeClr w14:val="tx1"/>
                  </w14:solidFill>
                </w14:textFill>
              </w:rPr>
              <w:sym w:font="Symbol" w:char="F0B1"/>
            </w:r>
            <w:r>
              <w:rPr>
                <w:rFonts w:hint="eastAsia" w:ascii="宋体" w:hAnsi="宋体" w:cs="宋体"/>
                <w:color w:val="000000" w:themeColor="text1"/>
                <w:sz w:val="24"/>
                <w:szCs w:val="24"/>
                <w:highlight w:val="none"/>
                <w14:textFill>
                  <w14:solidFill>
                    <w14:schemeClr w14:val="tx1"/>
                  </w14:solidFill>
                </w14:textFill>
              </w:rPr>
              <w:t xml:space="preserve">1℃ ，温度变化率＜ 5℃/小时；湿度调节范围：20% </w:t>
            </w:r>
            <w:r>
              <w:rPr>
                <w:rFonts w:hint="eastAsia" w:ascii="宋体" w:hAnsi="宋体" w:cs="宋体"/>
                <w:color w:val="000000" w:themeColor="text1"/>
                <w:sz w:val="24"/>
                <w:szCs w:val="24"/>
                <w:highlight w:val="none"/>
                <w14:textFill>
                  <w14:solidFill>
                    <w14:schemeClr w14:val="tx1"/>
                  </w14:solidFill>
                </w14:textFill>
              </w:rPr>
              <w:sym w:font="Symbol" w:char="F07E"/>
            </w:r>
            <w:r>
              <w:rPr>
                <w:rFonts w:hint="eastAsia" w:ascii="宋体" w:hAnsi="宋体" w:cs="宋体"/>
                <w:color w:val="000000" w:themeColor="text1"/>
                <w:sz w:val="24"/>
                <w:szCs w:val="24"/>
                <w:highlight w:val="none"/>
                <w14:textFill>
                  <w14:solidFill>
                    <w14:schemeClr w14:val="tx1"/>
                  </w14:solidFill>
                </w14:textFill>
              </w:rPr>
              <w:t xml:space="preserve"> 55%RH；湿度调节精度：</w:t>
            </w:r>
            <w:r>
              <w:rPr>
                <w:rFonts w:hint="eastAsia" w:ascii="宋体" w:hAnsi="宋体" w:cs="宋体"/>
                <w:color w:val="000000" w:themeColor="text1"/>
                <w:sz w:val="24"/>
                <w:szCs w:val="24"/>
                <w:highlight w:val="none"/>
                <w14:textFill>
                  <w14:solidFill>
                    <w14:schemeClr w14:val="tx1"/>
                  </w14:solidFill>
                </w14:textFill>
              </w:rPr>
              <w:sym w:font="Symbol" w:char="F0B1"/>
            </w:r>
            <w:r>
              <w:rPr>
                <w:rFonts w:hint="eastAsia" w:ascii="宋体" w:hAnsi="宋体" w:cs="宋体"/>
                <w:color w:val="000000" w:themeColor="text1"/>
                <w:sz w:val="24"/>
                <w:szCs w:val="24"/>
                <w:highlight w:val="none"/>
                <w14:textFill>
                  <w14:solidFill>
                    <w14:schemeClr w14:val="tx1"/>
                  </w14:solidFill>
                </w14:textFill>
              </w:rPr>
              <w:t>5 %RH；</w:t>
            </w:r>
          </w:p>
          <w:p w14:paraId="514EA3CB">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显热比 ≥0.95；</w:t>
            </w:r>
          </w:p>
          <w:p w14:paraId="1CE3B01F">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冷量输出可实现20%</w:t>
            </w:r>
            <w:r>
              <w:rPr>
                <w:rFonts w:hint="eastAsia" w:ascii="宋体" w:hAnsi="宋体" w:cs="宋体"/>
                <w:color w:val="000000" w:themeColor="text1"/>
                <w:sz w:val="24"/>
                <w:szCs w:val="24"/>
                <w:highlight w:val="none"/>
                <w14:textFill>
                  <w14:solidFill>
                    <w14:schemeClr w14:val="tx1"/>
                  </w14:solidFill>
                </w14:textFill>
              </w:rPr>
              <w:sym w:font="Symbol" w:char="F07E"/>
            </w:r>
            <w:r>
              <w:rPr>
                <w:rFonts w:hint="eastAsia" w:ascii="宋体" w:hAnsi="宋体" w:cs="宋体"/>
                <w:color w:val="000000" w:themeColor="text1"/>
                <w:sz w:val="24"/>
                <w:szCs w:val="24"/>
                <w:highlight w:val="none"/>
                <w14:textFill>
                  <w14:solidFill>
                    <w14:schemeClr w14:val="tx1"/>
                  </w14:solidFill>
                </w14:textFill>
              </w:rPr>
              <w:t>100%连续调节；</w:t>
            </w:r>
          </w:p>
          <w:p w14:paraId="3A4D1F38">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机组应有节能措施的设计整机能效比≥3.5；</w:t>
            </w:r>
          </w:p>
          <w:p w14:paraId="4CF0B05E">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具备精确除湿功能；</w:t>
            </w:r>
          </w:p>
          <w:p w14:paraId="4EA9EB0B">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采用电子膨胀阀，无级调节开度10%</w:t>
            </w:r>
            <w:r>
              <w:rPr>
                <w:rFonts w:hint="eastAsia" w:ascii="宋体" w:hAnsi="宋体" w:cs="宋体"/>
                <w:color w:val="000000" w:themeColor="text1"/>
                <w:sz w:val="24"/>
                <w:szCs w:val="24"/>
                <w:highlight w:val="none"/>
                <w14:textFill>
                  <w14:solidFill>
                    <w14:schemeClr w14:val="tx1"/>
                  </w14:solidFill>
                </w14:textFill>
              </w:rPr>
              <w:sym w:font="Symbol" w:char="F07E"/>
            </w:r>
            <w:r>
              <w:rPr>
                <w:rFonts w:hint="eastAsia" w:ascii="宋体" w:hAnsi="宋体" w:cs="宋体"/>
                <w:color w:val="000000" w:themeColor="text1"/>
                <w:sz w:val="24"/>
                <w:szCs w:val="24"/>
                <w:highlight w:val="none"/>
                <w14:textFill>
                  <w14:solidFill>
                    <w14:schemeClr w14:val="tx1"/>
                  </w14:solidFill>
                </w14:textFill>
              </w:rPr>
              <w:t>100%，；</w:t>
            </w:r>
          </w:p>
          <w:p w14:paraId="006CEF02">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机组平均无故障时间MTBF≥10万小时；</w:t>
            </w:r>
          </w:p>
          <w:p w14:paraId="10701805">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列间空调系统应标准配置采用环保制冷剂R410A；</w:t>
            </w:r>
          </w:p>
          <w:p w14:paraId="25099250">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具备电子再热器；</w:t>
            </w:r>
          </w:p>
          <w:p w14:paraId="75DD4FDB">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采用高效电极加湿器；</w:t>
            </w:r>
          </w:p>
          <w:p w14:paraId="0A7765D1">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空气过滤器应符合G4标准；</w:t>
            </w:r>
          </w:p>
          <w:p w14:paraId="30C0FC8C">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控制系统：应具有先进的微处理控制器,应采用先进的模糊逻辑控制或PID调节技术，≥7寸LCD大屏幕触摸式显示器，能显示温湿度曲线，具有图形显示机组内各组件的运行状态的功能应具有大容量的故障报警记录储存的功能，存储历史告警信息不小于999条机组应具有过压 、欠压等报警及故、障诊断，告警记录功能，自动保护，自动恢复，自动重启动等功能。控制系统具有多级密码保护功能。</w:t>
            </w:r>
          </w:p>
          <w:p w14:paraId="61A10851">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群控功能：主备：当运行的机组发生故障，备用的机组启动运行。轮巡：机组按照设定的时间轮流运行。层叠：运行机组不能满足温湿度负荷需要时，启动备用的机组以增加温湿度控制能力。每台机组都应具有独立的控制系统、显示器、加热器、加湿器、独立的温湿度传感器。每台机组标准应配置1个回风温湿度传感器和2个送风温度传感器，另最多可实现配置6个外置温度传感器的功能，监控不同机柜的温度。实现多种控制方式调节制冷量输出，随负荷智能运行。</w:t>
            </w:r>
          </w:p>
          <w:p w14:paraId="68C37CCD">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控性能：列间空调机组应具有方便的现场监控及远程监控能力；系统应具有三遥性能：遥测项目：送风温度、回风温度、回风湿度、显示机组工作状态等；遥信项目：开/关机，电压、电流过高/低，回风温度过高/低，回风湿度过高/低，过滤器正常/堵塞，风机正常/故障，压缩机正常/故障等；遥控项目：空调开/关机；机组应可通过外置温度传感器来计算制冷输出，并且通过可调速风机和可变冷量输出压缩机来实现冷量自动使用。系统应具备通信接口标准具备RS485接口。准确度对三遥量：开关量和控制操作准确度应达到100%；模拟量精确度应达到交流电量误差≤2%；非电量误差≤5%。</w:t>
            </w:r>
          </w:p>
          <w:p w14:paraId="23E774F4">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5、扩容机柜要求</w:t>
            </w:r>
          </w:p>
          <w:p w14:paraId="47506D11">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（1）▲新增加的机柜尺寸、外形、颜色与机房原机柜保持一致。</w:t>
            </w:r>
          </w:p>
          <w:p w14:paraId="12C298FB">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（2）新增加的机柜承重需满足使用标准。</w:t>
            </w:r>
          </w:p>
          <w:p w14:paraId="66D4651D">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（3）新增加的机柜需配备相关的托盘、盲板等。</w:t>
            </w:r>
          </w:p>
          <w:p w14:paraId="76416603">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6、空调室外机迁移要求</w:t>
            </w:r>
          </w:p>
          <w:p w14:paraId="4A936EF7">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（1）将原垂直安装的室外机，改造为水平安装，下沿距离地面≥1.5米。</w:t>
            </w:r>
          </w:p>
          <w:p w14:paraId="76675007">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（2）将原有的管道延长，需保证密封良好且满足后期使用要求。</w:t>
            </w:r>
          </w:p>
          <w:p w14:paraId="5F705538">
            <w:pPr>
              <w:pStyle w:val="9"/>
              <w:rPr>
                <w:rFonts w:hint="eastAsia"/>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（3）室外机下方安装喷淋降温措施，确保高温气候下的室外机正常运行。</w:t>
            </w:r>
          </w:p>
        </w:tc>
      </w:tr>
      <w:tr w14:paraId="7D84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19F9C796">
            <w:pPr>
              <w:pStyle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069" w:type="dxa"/>
            <w:noWrap w:val="0"/>
            <w:vAlign w:val="center"/>
          </w:tcPr>
          <w:p w14:paraId="039CE1EF">
            <w:pPr>
              <w:pStyle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住院部大楼二层计算机房精密空调供排水改造</w:t>
            </w:r>
          </w:p>
        </w:tc>
        <w:tc>
          <w:tcPr>
            <w:tcW w:w="7731" w:type="dxa"/>
            <w:noWrap w:val="0"/>
            <w:vAlign w:val="center"/>
          </w:tcPr>
          <w:p w14:paraId="36C9B882">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1、概述</w:t>
            </w:r>
          </w:p>
          <w:p w14:paraId="35F6E921">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本次要求对新增空调布置供排水管路，供水管路需安装电磁阀，安装漏水检测装置，与漏水报警系统实现联动并纳入现有的动力环境监控平台；排水管路要求排水顺畅。</w:t>
            </w:r>
          </w:p>
          <w:p w14:paraId="3CF16FC2">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2、精密空调供排水参数要求</w:t>
            </w:r>
          </w:p>
          <w:p w14:paraId="07A74AC4">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管道布局走向需合理，不得存在漏水隐患且方便后期维护。</w:t>
            </w:r>
          </w:p>
          <w:p w14:paraId="714AAF72">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保证管道安装过程中不会对服务器机柜设备造成损害。</w:t>
            </w:r>
          </w:p>
          <w:p w14:paraId="29623657">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采用节能节材、环保、轻质高强、耐腐蚀、内壁光滑不结垢、施工和维修简便、使用寿命长的管件。</w:t>
            </w:r>
          </w:p>
          <w:p w14:paraId="455984E8">
            <w:pPr>
              <w:spacing w:line="360" w:lineRule="auto"/>
              <w:rPr>
                <w:rFonts w:hint="eastAsia"/>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▲供水管路安装电磁阀、漏水检测，与漏水报警系统进行联动，发生漏水报警时自动切断机房供水。</w:t>
            </w:r>
          </w:p>
        </w:tc>
      </w:tr>
      <w:tr w14:paraId="5770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6F46A63A">
            <w:pPr>
              <w:pStyle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069" w:type="dxa"/>
            <w:noWrap w:val="0"/>
            <w:vAlign w:val="center"/>
          </w:tcPr>
          <w:p w14:paraId="4ED11EE4">
            <w:pPr>
              <w:pStyle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住院部大楼二层计算机房装修改造</w:t>
            </w:r>
          </w:p>
        </w:tc>
        <w:tc>
          <w:tcPr>
            <w:tcW w:w="7731" w:type="dxa"/>
            <w:noWrap w:val="0"/>
            <w:vAlign w:val="center"/>
          </w:tcPr>
          <w:p w14:paraId="5B5F7B05">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1、概述</w:t>
            </w:r>
          </w:p>
          <w:p w14:paraId="1AA36486">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本次施工涉及到多个区域、包含电缆、空调铜管、供排水管道的敷设，对墙面、吊顶、静电地板等有需要拆除、开孔、切割等相关作业。</w:t>
            </w:r>
          </w:p>
          <w:p w14:paraId="5AEFFCED">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墙体打孔、穿线布放空调供电电缆、空调管道、供排水管道施工等涉及多面墙面、吊顶、需严格执行规范标准，按管道规格施工，不得造成承重墙体破坏。机房静电地板、吊顶、墙面施工完成后需完成修补、更换、恢复原状。</w:t>
            </w:r>
          </w:p>
        </w:tc>
      </w:tr>
      <w:tr w14:paraId="5610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4138CA41">
            <w:pPr>
              <w:pStyle w:val="9"/>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069" w:type="dxa"/>
            <w:noWrap w:val="0"/>
            <w:vAlign w:val="center"/>
          </w:tcPr>
          <w:p w14:paraId="5445365C">
            <w:pPr>
              <w:pStyle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住院部大楼二层配电间市电配电柜改造</w:t>
            </w:r>
          </w:p>
        </w:tc>
        <w:tc>
          <w:tcPr>
            <w:tcW w:w="7731" w:type="dxa"/>
            <w:noWrap w:val="0"/>
            <w:vAlign w:val="center"/>
          </w:tcPr>
          <w:p w14:paraId="5286609C">
            <w:pPr>
              <w:pStyle w:val="9"/>
              <w:jc w:val="left"/>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1、概述</w:t>
            </w:r>
          </w:p>
          <w:p w14:paraId="4F927C22">
            <w:pPr>
              <w:pStyle w:val="9"/>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新增加的精密空调室内外机组、需在配电室市电配电柜内取电，需对原市电配电柜进行在线改造。</w:t>
            </w:r>
          </w:p>
          <w:p w14:paraId="41377032">
            <w:pPr>
              <w:pStyle w:val="9"/>
              <w:jc w:val="left"/>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对原配电室原市电配电柜进行改造，改造完成后接空调供电电缆，室外机电缆、给空调供电。作业人员持证上岗，严格按照低压电工规范操作，电缆用铜线耳压接，热缩管防护，线缆需标识清楚、并更新配电图纸。施工时需保证其他设备供电不得中断。</w:t>
            </w:r>
          </w:p>
        </w:tc>
      </w:tr>
      <w:tr w14:paraId="241F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4F4C171F">
            <w:pPr>
              <w:pStyle w:val="9"/>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1069" w:type="dxa"/>
            <w:noWrap w:val="0"/>
            <w:vAlign w:val="center"/>
          </w:tcPr>
          <w:p w14:paraId="1D094513">
            <w:pPr>
              <w:pStyle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住院部大楼二层计算机房弱电布线、UPS强电供电配套线路优化改造</w:t>
            </w:r>
          </w:p>
        </w:tc>
        <w:tc>
          <w:tcPr>
            <w:tcW w:w="7731" w:type="dxa"/>
            <w:noWrap w:val="0"/>
            <w:vAlign w:val="center"/>
          </w:tcPr>
          <w:p w14:paraId="27F62D58">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1、概述</w:t>
            </w:r>
          </w:p>
          <w:p w14:paraId="3186F4E4">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本次改造涉及到新增加的精密空调供电，新增加的网络机柜供电。要对原有的市电配电柜、冷通道内的强电列头柜进行改造，满足新设备使用需求，且留有冗余。</w:t>
            </w:r>
          </w:p>
          <w:p w14:paraId="70E947AC">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本次要求从配电间市电配电柜内布放满足新空调空调使用的电缆1根，电缆需做防护措施，并对市电配电柜进行改造。</w:t>
            </w:r>
          </w:p>
          <w:p w14:paraId="27D7042C">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本次要求从冷通道里2个列头柜内分别布放满足机柜使用的电缆1根，布放至新增加的机柜端，与工业连接器及PDU连接，给机柜提供双路UPS电源。</w:t>
            </w:r>
          </w:p>
          <w:p w14:paraId="513CF7CE">
            <w:pPr>
              <w:pStyle w:val="9"/>
              <w:jc w:val="both"/>
              <w:rPr>
                <w:rFonts w:hint="eastAsia"/>
                <w:color w:val="000000" w:themeColor="text1"/>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4、</w:t>
            </w:r>
            <w:r>
              <w:rPr>
                <w:rFonts w:hint="eastAsia"/>
                <w:color w:val="000000" w:themeColor="text1"/>
                <w:szCs w:val="24"/>
                <w:highlight w:val="none"/>
                <w:lang w:val="zh-CN"/>
                <w14:textFill>
                  <w14:solidFill>
                    <w14:schemeClr w14:val="tx1"/>
                  </w14:solidFill>
                </w14:textFill>
              </w:rPr>
              <w:t>以上内容均为在线改造，不得因改造工程影响任何现有设备及业务系统的正常运行，如因供应商现场考察不周或技术原因导致任何业务系统故障，或造成业务数据丢失，甲方有权随时终止与该供应商的合同，并责成该供应商承担相关的全部法律及经济责任。</w:t>
            </w:r>
          </w:p>
        </w:tc>
      </w:tr>
      <w:tr w14:paraId="0507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5D1B4AAD">
            <w:pPr>
              <w:pStyle w:val="9"/>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1069" w:type="dxa"/>
            <w:noWrap w:val="0"/>
            <w:vAlign w:val="center"/>
          </w:tcPr>
          <w:p w14:paraId="63FFE301">
            <w:pPr>
              <w:pStyle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住院部大楼二层计算机房动力环境改造</w:t>
            </w:r>
          </w:p>
        </w:tc>
        <w:tc>
          <w:tcPr>
            <w:tcW w:w="7731" w:type="dxa"/>
            <w:noWrap w:val="0"/>
            <w:vAlign w:val="center"/>
          </w:tcPr>
          <w:p w14:paraId="615982C9">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1、概述</w:t>
            </w:r>
          </w:p>
          <w:p w14:paraId="3C3F0831">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次要求供应商将机房列间精密空调接入现有的动力环境监控系统；将新增漏水检测接入现有的动力环境监控系统；对现有冷通道内的温湿度、监控等进行调整。提供产品必须统一接入现有监控平台，保证整个系统的安全性、稳定性和兼容性。</w:t>
            </w:r>
          </w:p>
          <w:p w14:paraId="590FF4D2">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2、计算机房动力环境改造要求</w:t>
            </w:r>
          </w:p>
          <w:p w14:paraId="0F674D4C">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将机房列间精密空调、新增漏水检测接入现有动力环境监控系统，对空调进行监控，实时掌握机房环境温度,发生漏水报警时自动切断机房供水。</w:t>
            </w:r>
          </w:p>
          <w:p w14:paraId="13C88A8D">
            <w:pPr>
              <w:spacing w:line="360" w:lineRule="auto"/>
              <w:rPr>
                <w:rFonts w:hint="eastAsia"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对现有冷通道内的温湿度监控等进行调整，对监控软件升级，使其监控全面、合理。</w:t>
            </w:r>
          </w:p>
          <w:p w14:paraId="70472586">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▲提供产品必须能接入现有动环监控平台，保证整个系统的安全性、稳定性和兼容性。</w:t>
            </w:r>
          </w:p>
        </w:tc>
      </w:tr>
      <w:tr w14:paraId="555D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06A3DE17">
            <w:pPr>
              <w:pStyle w:val="9"/>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069" w:type="dxa"/>
            <w:noWrap w:val="0"/>
            <w:vAlign w:val="center"/>
          </w:tcPr>
          <w:p w14:paraId="1E145739">
            <w:pPr>
              <w:pStyle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住院部大楼二层房间级DME12.5KW空调室外机迁移及线路管道改造</w:t>
            </w:r>
          </w:p>
        </w:tc>
        <w:tc>
          <w:tcPr>
            <w:tcW w:w="7731" w:type="dxa"/>
            <w:noWrap w:val="0"/>
            <w:vAlign w:val="center"/>
          </w:tcPr>
          <w:p w14:paraId="037955C1">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1、概述</w:t>
            </w:r>
          </w:p>
          <w:p w14:paraId="7C252BE0">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本次施工需对原机房在用的DME12.5KW的空调进行移机，为了更好的散热，改变室外机的安装位置和方向，同时增加喷淋系统。</w:t>
            </w:r>
          </w:p>
          <w:p w14:paraId="34EC8496">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迁移时需做好现场考察，选择合理的安装位置和方向，利于散热。</w:t>
            </w:r>
          </w:p>
          <w:p w14:paraId="457EEB6A">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对原有的管道、配电线路、供水管的改造，需满足使用要求。</w:t>
            </w:r>
          </w:p>
          <w:p w14:paraId="7ACD2F19">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增加的喷淋系统需考虑位置及排水问题。</w:t>
            </w:r>
          </w:p>
        </w:tc>
      </w:tr>
      <w:tr w14:paraId="344C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5766DE2B">
            <w:pPr>
              <w:pStyle w:val="9"/>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069" w:type="dxa"/>
            <w:noWrap w:val="0"/>
            <w:vAlign w:val="center"/>
          </w:tcPr>
          <w:p w14:paraId="28D6F75C">
            <w:pPr>
              <w:pStyle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住院部大楼二层计算机房冷通道配套改造</w:t>
            </w:r>
          </w:p>
        </w:tc>
        <w:tc>
          <w:tcPr>
            <w:tcW w:w="7731" w:type="dxa"/>
            <w:noWrap w:val="0"/>
            <w:vAlign w:val="center"/>
          </w:tcPr>
          <w:p w14:paraId="56A78F23">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1、概述</w:t>
            </w:r>
          </w:p>
          <w:p w14:paraId="62ADEAE3">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本次改造要求，在现有机柜东侧增加一个机柜，与新增空调成对放置，原冷通道由34柜位延长至36柜位。</w:t>
            </w:r>
          </w:p>
          <w:p w14:paraId="771D8BBC">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在对应冷通道柜位顶部增加天窗、天窗控制器、轨道、配套照明设施，新增机柜配置对应PDU、电缆、光纤等网络设施。</w:t>
            </w:r>
          </w:p>
          <w:p w14:paraId="7AFB4675">
            <w:pPr>
              <w:pStyle w:val="9"/>
              <w:jc w:val="both"/>
              <w:rPr>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对改造后的吊顶、地板、照明、监控、消防等合理布局改造。</w:t>
            </w:r>
          </w:p>
          <w:p w14:paraId="6615E1B4">
            <w:pPr>
              <w:pStyle w:val="9"/>
              <w:jc w:val="both"/>
              <w:rPr>
                <w:rFonts w:hint="eastAsia" w:ascii="宋体" w:hAnsi="宋体" w:cs="宋体"/>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4、要求扩容后的冷通道与原设备兼容，功能匹配，能够统一控制照明与开启等功能。</w:t>
            </w:r>
          </w:p>
        </w:tc>
      </w:tr>
      <w:tr w14:paraId="7E4A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9287" w:type="dxa"/>
            <w:gridSpan w:val="3"/>
            <w:tcBorders>
              <w:top w:val="single" w:color="auto" w:sz="4" w:space="0"/>
              <w:left w:val="single" w:color="auto" w:sz="4" w:space="0"/>
              <w:bottom w:val="single" w:color="auto" w:sz="4" w:space="0"/>
              <w:right w:val="single" w:color="auto" w:sz="4" w:space="0"/>
            </w:tcBorders>
            <w:noWrap w:val="0"/>
            <w:vAlign w:val="center"/>
          </w:tcPr>
          <w:p w14:paraId="63DC6EEA">
            <w:pPr>
              <w:pStyle w:val="5"/>
              <w:ind w:firstLine="482"/>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注：</w:t>
            </w:r>
          </w:p>
          <w:p w14:paraId="1A19620A">
            <w:pPr>
              <w:pStyle w:val="5"/>
              <w:ind w:firstLine="480"/>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1.以上技术</w:t>
            </w:r>
            <w:r>
              <w:rPr>
                <w:rFonts w:hint="eastAsia"/>
                <w:b/>
                <w:bCs/>
                <w:color w:val="000000" w:themeColor="text1"/>
                <w:sz w:val="24"/>
                <w:szCs w:val="24"/>
                <w:highlight w:val="none"/>
                <w:lang w:val="en-US" w:eastAsia="zh-CN"/>
                <w14:textFill>
                  <w14:solidFill>
                    <w14:schemeClr w14:val="tx1"/>
                  </w14:solidFill>
                </w14:textFill>
              </w:rPr>
              <w:t>要求</w:t>
            </w:r>
            <w:r>
              <w:rPr>
                <w:rFonts w:hint="eastAsia"/>
                <w:b/>
                <w:bCs/>
                <w:color w:val="000000" w:themeColor="text1"/>
                <w:sz w:val="24"/>
                <w:szCs w:val="24"/>
                <w:highlight w:val="none"/>
                <w14:textFill>
                  <w14:solidFill>
                    <w14:schemeClr w14:val="tx1"/>
                  </w14:solidFill>
                </w14:textFill>
              </w:rPr>
              <w:t>供应商应完全响应，并逐条填写《技术响应偏离表》，如有漏项、缺项或负偏离，将被视为未实质性满足谈判文件要求按无效响应处理；若产品品牌型号固定的，需以固定值进行响应；</w:t>
            </w:r>
          </w:p>
          <w:p w14:paraId="12EF3B2A">
            <w:pPr>
              <w:pStyle w:val="5"/>
              <w:ind w:firstLine="480"/>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2.若成交供应商《技术响应偏离表》中完全响应，但供货验收时不合格/未通过，采购人有权终止合同，并保留上报财政的权力；</w:t>
            </w:r>
          </w:p>
          <w:p w14:paraId="68244D5F">
            <w:pPr>
              <w:pStyle w:val="5"/>
              <w:ind w:firstLine="480"/>
              <w:rPr>
                <w:rFonts w:hint="default" w:eastAsia="宋体"/>
                <w:color w:val="000000" w:themeColor="text1"/>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3.若采购需求中有标注“</w:t>
            </w:r>
            <w:r>
              <w:rPr>
                <w:rFonts w:hint="eastAsia" w:ascii="宋体" w:hAnsi="宋体" w:cs="宋体"/>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lang w:val="en-US" w:eastAsia="zh-CN"/>
                <w14:textFill>
                  <w14:solidFill>
                    <w14:schemeClr w14:val="tx1"/>
                  </w14:solidFill>
                </w14:textFill>
              </w:rPr>
              <w:t>”的要求，供应商必须单独提供佐证材料证明其满足，佐证材料包括：彩页或产品说明书或检测报告或厂家技术声明等（有具体要求的以具体要求为准），否则按无效响应处理。</w:t>
            </w:r>
          </w:p>
        </w:tc>
      </w:tr>
    </w:tbl>
    <w:p w14:paraId="1517138F">
      <w:pPr>
        <w:rPr>
          <w:rFonts w:ascii="宋体" w:hAnsi="宋体" w:cs="宋体"/>
          <w:b/>
          <w:bCs/>
          <w:color w:val="000000" w:themeColor="text1"/>
          <w:sz w:val="24"/>
          <w:szCs w:val="24"/>
          <w:highlight w:val="none"/>
          <w14:textFill>
            <w14:solidFill>
              <w14:schemeClr w14:val="tx1"/>
            </w14:solidFill>
          </w14:textFill>
        </w:rPr>
      </w:pPr>
    </w:p>
    <w:p w14:paraId="646DCD0F">
      <w:pPr>
        <w:rPr>
          <w:color w:val="000000" w:themeColor="text1"/>
          <w:highlight w:val="none"/>
          <w14:textFill>
            <w14:solidFill>
              <w14:schemeClr w14:val="tx1"/>
            </w14:solidFill>
          </w14:textFill>
        </w:rPr>
      </w:pPr>
    </w:p>
    <w:p w14:paraId="636759B7">
      <w:pPr>
        <w:pStyle w:val="4"/>
        <w:numPr>
          <w:ilvl w:val="0"/>
          <w:numId w:val="0"/>
        </w:numPr>
        <w:bidi w:val="0"/>
        <w:rPr>
          <w:color w:val="000000" w:themeColor="text1"/>
          <w:highlight w:val="none"/>
          <w14:textFill>
            <w14:solidFill>
              <w14:schemeClr w14:val="tx1"/>
            </w14:solidFill>
          </w14:textFill>
        </w:rPr>
      </w:pPr>
      <w:r>
        <w:rPr>
          <w:rFonts w:hint="eastAsia" w:cs="宋体"/>
          <w:b/>
          <w:color w:val="000000" w:themeColor="text1"/>
          <w:kern w:val="0"/>
          <w:sz w:val="24"/>
          <w:lang w:val="en-US" w:eastAsia="zh-CN" w:bidi="ar-SA"/>
          <w14:textFill>
            <w14:solidFill>
              <w14:schemeClr w14:val="tx1"/>
            </w14:solidFill>
          </w14:textFill>
        </w:rPr>
        <w:t>三</w:t>
      </w:r>
      <w:r>
        <w:rPr>
          <w:rFonts w:hint="eastAsia" w:ascii="宋体" w:hAnsi="宋体" w:eastAsia="宋体" w:cs="宋体"/>
          <w:b/>
          <w:color w:val="000000" w:themeColor="text1"/>
          <w:kern w:val="0"/>
          <w:sz w:val="24"/>
          <w:lang w:val="en-US" w:eastAsia="zh-CN" w:bidi="ar-SA"/>
          <w14:textFill>
            <w14:solidFill>
              <w14:schemeClr w14:val="tx1"/>
            </w14:solidFill>
          </w14:textFill>
        </w:rPr>
        <w:t>、</w:t>
      </w:r>
      <w:r>
        <w:rPr>
          <w:rFonts w:hint="eastAsia"/>
          <w:color w:val="000000" w:themeColor="text1"/>
          <w:highlight w:val="none"/>
          <w14:textFill>
            <w14:solidFill>
              <w14:schemeClr w14:val="tx1"/>
            </w14:solidFill>
          </w14:textFill>
        </w:rPr>
        <w:t>商务要求</w:t>
      </w:r>
    </w:p>
    <w:tbl>
      <w:tblPr>
        <w:tblStyle w:val="7"/>
        <w:tblW w:w="9173"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752"/>
        <w:gridCol w:w="1623"/>
        <w:gridCol w:w="6798"/>
      </w:tblGrid>
      <w:tr w14:paraId="61360D1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68" w:hRule="exact"/>
          <w:jc w:val="center"/>
        </w:trPr>
        <w:tc>
          <w:tcPr>
            <w:tcW w:w="752" w:type="dxa"/>
            <w:noWrap w:val="0"/>
            <w:vAlign w:val="center"/>
          </w:tcPr>
          <w:p w14:paraId="39F4B374">
            <w:pPr>
              <w:pStyle w:val="9"/>
              <w:rPr>
                <w:rFonts w:hint="eastAsia"/>
                <w:b/>
                <w:bCs/>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序号</w:t>
            </w:r>
          </w:p>
        </w:tc>
        <w:tc>
          <w:tcPr>
            <w:tcW w:w="1623" w:type="dxa"/>
            <w:noWrap w:val="0"/>
            <w:vAlign w:val="center"/>
          </w:tcPr>
          <w:p w14:paraId="4AA254A2">
            <w:pPr>
              <w:pStyle w:val="9"/>
              <w:rPr>
                <w:rFonts w:hint="eastAsia"/>
                <w:b/>
                <w:bCs/>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名称</w:t>
            </w:r>
          </w:p>
        </w:tc>
        <w:tc>
          <w:tcPr>
            <w:tcW w:w="6798" w:type="dxa"/>
            <w:noWrap w:val="0"/>
            <w:vAlign w:val="center"/>
          </w:tcPr>
          <w:p w14:paraId="107DB029">
            <w:pPr>
              <w:pStyle w:val="9"/>
              <w:rPr>
                <w:rFonts w:hint="eastAsia"/>
                <w:b/>
                <w:bCs/>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具体要求</w:t>
            </w:r>
          </w:p>
        </w:tc>
      </w:tr>
      <w:tr w14:paraId="414EEF0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52" w:type="dxa"/>
            <w:noWrap w:val="0"/>
            <w:vAlign w:val="center"/>
          </w:tcPr>
          <w:p w14:paraId="2A92A8B8">
            <w:pPr>
              <w:pStyle w:val="9"/>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p>
        </w:tc>
        <w:tc>
          <w:tcPr>
            <w:tcW w:w="1623" w:type="dxa"/>
            <w:noWrap w:val="0"/>
            <w:vAlign w:val="center"/>
          </w:tcPr>
          <w:p w14:paraId="13F60F60">
            <w:pPr>
              <w:pStyle w:val="9"/>
              <w:spacing w:line="312" w:lineRule="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交付期</w:t>
            </w:r>
          </w:p>
        </w:tc>
        <w:tc>
          <w:tcPr>
            <w:tcW w:w="6798" w:type="dxa"/>
            <w:noWrap w:val="0"/>
            <w:vAlign w:val="center"/>
          </w:tcPr>
          <w:p w14:paraId="100E2C11">
            <w:pPr>
              <w:pStyle w:val="10"/>
              <w:spacing w:line="312" w:lineRule="auto"/>
              <w:ind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60日内完成设备安装、调试及项目施工</w:t>
            </w:r>
            <w:r>
              <w:rPr>
                <w:rFonts w:hint="eastAsia" w:ascii="宋体" w:hAnsi="宋体" w:cs="宋体"/>
                <w:color w:val="000000" w:themeColor="text1"/>
                <w:sz w:val="24"/>
                <w:szCs w:val="24"/>
                <w:highlight w:val="none"/>
                <w14:textFill>
                  <w14:solidFill>
                    <w14:schemeClr w14:val="tx1"/>
                  </w14:solidFill>
                </w14:textFill>
              </w:rPr>
              <w:t>，3</w:t>
            </w:r>
            <w:r>
              <w:rPr>
                <w:rFonts w:ascii="宋体" w:hAnsi="宋体" w:cs="宋体"/>
                <w:color w:val="000000" w:themeColor="text1"/>
                <w:sz w:val="24"/>
                <w:szCs w:val="24"/>
                <w:highlight w:val="none"/>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日试运行</w:t>
            </w:r>
          </w:p>
        </w:tc>
      </w:tr>
      <w:tr w14:paraId="63536D8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73" w:hRule="atLeast"/>
          <w:jc w:val="center"/>
        </w:trPr>
        <w:tc>
          <w:tcPr>
            <w:tcW w:w="752" w:type="dxa"/>
            <w:noWrap w:val="0"/>
            <w:vAlign w:val="center"/>
          </w:tcPr>
          <w:p w14:paraId="4B8CA770">
            <w:pPr>
              <w:pStyle w:val="9"/>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w:t>
            </w:r>
          </w:p>
        </w:tc>
        <w:tc>
          <w:tcPr>
            <w:tcW w:w="1623" w:type="dxa"/>
            <w:noWrap w:val="0"/>
            <w:vAlign w:val="center"/>
          </w:tcPr>
          <w:p w14:paraId="3081BFB2">
            <w:pPr>
              <w:pStyle w:val="9"/>
              <w:spacing w:line="312" w:lineRule="auto"/>
              <w:rPr>
                <w:rFonts w:hint="eastAsia" w:eastAsia="宋体"/>
                <w:color w:val="000000" w:themeColor="text1"/>
                <w:szCs w:val="24"/>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交付地点</w:t>
            </w:r>
          </w:p>
        </w:tc>
        <w:tc>
          <w:tcPr>
            <w:tcW w:w="6798" w:type="dxa"/>
            <w:noWrap w:val="0"/>
            <w:vAlign w:val="center"/>
          </w:tcPr>
          <w:p w14:paraId="4F21C24E">
            <w:pPr>
              <w:pStyle w:val="9"/>
              <w:spacing w:line="312" w:lineRule="auto"/>
              <w:jc w:val="left"/>
              <w:rPr>
                <w:rFonts w:hint="eastAsia"/>
                <w:color w:val="000000" w:themeColor="text1"/>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采购人指定地点</w:t>
            </w:r>
          </w:p>
        </w:tc>
      </w:tr>
      <w:tr w14:paraId="7EBB260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05" w:hRule="atLeast"/>
          <w:jc w:val="center"/>
        </w:trPr>
        <w:tc>
          <w:tcPr>
            <w:tcW w:w="752" w:type="dxa"/>
            <w:noWrap w:val="0"/>
            <w:vAlign w:val="center"/>
          </w:tcPr>
          <w:p w14:paraId="58E79C77">
            <w:pPr>
              <w:pStyle w:val="9"/>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w:t>
            </w:r>
          </w:p>
        </w:tc>
        <w:tc>
          <w:tcPr>
            <w:tcW w:w="1623" w:type="dxa"/>
            <w:noWrap w:val="0"/>
            <w:vAlign w:val="center"/>
          </w:tcPr>
          <w:p w14:paraId="165A7EA9">
            <w:pPr>
              <w:pStyle w:val="6"/>
              <w:spacing w:line="360" w:lineRule="auto"/>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质量要求</w:t>
            </w:r>
          </w:p>
        </w:tc>
        <w:tc>
          <w:tcPr>
            <w:tcW w:w="6798" w:type="dxa"/>
            <w:noWrap w:val="0"/>
            <w:vAlign w:val="center"/>
          </w:tcPr>
          <w:p w14:paraId="3E2D2458">
            <w:pPr>
              <w:spacing w:line="360" w:lineRule="auto"/>
              <w:ind w:left="360" w:leftChars="0" w:hanging="360" w:firstLineChars="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合格，满足国家信息安全法律法规及医院信息安全管理制度 。</w:t>
            </w:r>
          </w:p>
        </w:tc>
      </w:tr>
      <w:tr w14:paraId="411BAD6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05" w:hRule="atLeast"/>
          <w:jc w:val="center"/>
        </w:trPr>
        <w:tc>
          <w:tcPr>
            <w:tcW w:w="752" w:type="dxa"/>
            <w:noWrap w:val="0"/>
            <w:vAlign w:val="center"/>
          </w:tcPr>
          <w:p w14:paraId="0D83433B">
            <w:pPr>
              <w:pStyle w:val="9"/>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w:t>
            </w:r>
          </w:p>
        </w:tc>
        <w:tc>
          <w:tcPr>
            <w:tcW w:w="1623" w:type="dxa"/>
            <w:noWrap w:val="0"/>
            <w:vAlign w:val="center"/>
          </w:tcPr>
          <w:p w14:paraId="1795804A">
            <w:pPr>
              <w:pStyle w:val="9"/>
              <w:spacing w:line="312"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项目质保期</w:t>
            </w:r>
          </w:p>
        </w:tc>
        <w:tc>
          <w:tcPr>
            <w:tcW w:w="6798" w:type="dxa"/>
            <w:noWrap w:val="0"/>
            <w:vAlign w:val="center"/>
          </w:tcPr>
          <w:p w14:paraId="6E403DC5">
            <w:pPr>
              <w:pStyle w:val="9"/>
              <w:spacing w:line="312" w:lineRule="auto"/>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验收之日起，质保三年</w:t>
            </w:r>
          </w:p>
        </w:tc>
      </w:tr>
      <w:tr w14:paraId="5C6F9F5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05" w:hRule="atLeast"/>
          <w:jc w:val="center"/>
        </w:trPr>
        <w:tc>
          <w:tcPr>
            <w:tcW w:w="752" w:type="dxa"/>
            <w:noWrap w:val="0"/>
            <w:vAlign w:val="center"/>
          </w:tcPr>
          <w:p w14:paraId="6569302B">
            <w:pPr>
              <w:pStyle w:val="9"/>
              <w:rPr>
                <w:rFonts w:hint="eastAsia"/>
                <w:color w:val="000000" w:themeColor="text1"/>
                <w:szCs w:val="24"/>
                <w:highlight w:val="none"/>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5</w:t>
            </w:r>
          </w:p>
        </w:tc>
        <w:tc>
          <w:tcPr>
            <w:tcW w:w="1623" w:type="dxa"/>
            <w:noWrap w:val="0"/>
            <w:vAlign w:val="center"/>
          </w:tcPr>
          <w:p w14:paraId="237E8F9F">
            <w:pPr>
              <w:pStyle w:val="9"/>
              <w:spacing w:line="312" w:lineRule="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售后服务响应时间（质保期内）</w:t>
            </w:r>
          </w:p>
        </w:tc>
        <w:tc>
          <w:tcPr>
            <w:tcW w:w="6798" w:type="dxa"/>
            <w:noWrap w:val="0"/>
            <w:vAlign w:val="center"/>
          </w:tcPr>
          <w:p w14:paraId="1B8294F8">
            <w:pPr>
              <w:pStyle w:val="9"/>
              <w:spacing w:line="312" w:lineRule="auto"/>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即时响应（包括电话响应）；电话响应无法解决 </w:t>
            </w:r>
            <w:r>
              <w:rPr>
                <w:rFonts w:hint="eastAsia"/>
                <w:color w:val="000000" w:themeColor="text1"/>
                <w:highlight w:val="none"/>
                <w:lang w:val="en-US" w:eastAsia="zh-CN"/>
                <w14:textFill>
                  <w14:solidFill>
                    <w14:schemeClr w14:val="tx1"/>
                  </w14:solidFill>
                </w14:textFill>
              </w:rPr>
              <w:t>60</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分钟</w:t>
            </w:r>
            <w:r>
              <w:rPr>
                <w:rFonts w:hint="eastAsia"/>
                <w:color w:val="000000" w:themeColor="text1"/>
                <w:highlight w:val="none"/>
                <w14:textFill>
                  <w14:solidFill>
                    <w14:schemeClr w14:val="tx1"/>
                  </w14:solidFill>
                </w14:textFill>
              </w:rPr>
              <w:t xml:space="preserve">内到达现场。修复时间 </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 xml:space="preserve"> 小时内解决；如在 </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 xml:space="preserve"> 小时内无法修复，则提供部件冗余服务或采取应急措施，提供相同产品或不低于故障产品规格档次的备用产品供采购人使用，以确保货物的正常使用。</w:t>
            </w:r>
          </w:p>
        </w:tc>
      </w:tr>
      <w:tr w14:paraId="5266EDA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52" w:type="dxa"/>
            <w:noWrap w:val="0"/>
            <w:vAlign w:val="center"/>
          </w:tcPr>
          <w:p w14:paraId="3859BC52">
            <w:pPr>
              <w:pStyle w:val="9"/>
              <w:rPr>
                <w:color w:val="000000" w:themeColor="text1"/>
                <w:szCs w:val="24"/>
                <w:highlight w:val="none"/>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6</w:t>
            </w:r>
          </w:p>
        </w:tc>
        <w:tc>
          <w:tcPr>
            <w:tcW w:w="1623" w:type="dxa"/>
            <w:noWrap w:val="0"/>
            <w:vAlign w:val="center"/>
          </w:tcPr>
          <w:p w14:paraId="50E9395B">
            <w:pPr>
              <w:pStyle w:val="9"/>
              <w:spacing w:line="312"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付款方式</w:t>
            </w:r>
          </w:p>
        </w:tc>
        <w:tc>
          <w:tcPr>
            <w:tcW w:w="6798" w:type="dxa"/>
            <w:noWrap w:val="0"/>
            <w:vAlign w:val="center"/>
          </w:tcPr>
          <w:p w14:paraId="4C6E6D8F">
            <w:pPr>
              <w:pStyle w:val="9"/>
              <w:spacing w:line="312" w:lineRule="auto"/>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1.结算单位：采购人结算。</w:t>
            </w:r>
          </w:p>
          <w:p w14:paraId="3CB9D86C">
            <w:pPr>
              <w:pStyle w:val="9"/>
              <w:spacing w:line="312" w:lineRule="auto"/>
              <w:jc w:val="left"/>
              <w:rPr>
                <w:rFonts w:hint="eastAsia"/>
                <w:bCs/>
                <w:color w:val="000000" w:themeColor="text1"/>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2.付款方式：</w:t>
            </w:r>
            <w:r>
              <w:rPr>
                <w:rFonts w:hint="eastAsia"/>
                <w:color w:val="000000" w:themeColor="text1"/>
                <w:highlight w:val="none"/>
                <w:lang w:eastAsia="zh-CN"/>
                <w14:textFill>
                  <w14:solidFill>
                    <w14:schemeClr w14:val="tx1"/>
                  </w14:solidFill>
                </w14:textFill>
              </w:rPr>
              <w:t>项目完成验收，无任何纠纷后。乙方提供付款相关材料，甲方收到资料后30日内支付100%合同金额</w:t>
            </w:r>
          </w:p>
        </w:tc>
      </w:tr>
      <w:tr w14:paraId="06ECCCC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80" w:hRule="atLeast"/>
          <w:jc w:val="center"/>
        </w:trPr>
        <w:tc>
          <w:tcPr>
            <w:tcW w:w="752" w:type="dxa"/>
            <w:noWrap w:val="0"/>
            <w:vAlign w:val="center"/>
          </w:tcPr>
          <w:p w14:paraId="76DC1A37">
            <w:pPr>
              <w:pStyle w:val="9"/>
              <w:rPr>
                <w:color w:val="000000" w:themeColor="text1"/>
                <w:szCs w:val="24"/>
                <w:highlight w:val="none"/>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7</w:t>
            </w:r>
          </w:p>
        </w:tc>
        <w:tc>
          <w:tcPr>
            <w:tcW w:w="1623" w:type="dxa"/>
            <w:noWrap w:val="0"/>
            <w:vAlign w:val="center"/>
          </w:tcPr>
          <w:p w14:paraId="08D0DC9C">
            <w:pPr>
              <w:pStyle w:val="9"/>
              <w:spacing w:line="312" w:lineRule="auto"/>
              <w:rPr>
                <w:rFonts w:hint="eastAsia"/>
                <w:color w:val="000000" w:themeColor="text1"/>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履约保证金</w:t>
            </w:r>
          </w:p>
        </w:tc>
        <w:tc>
          <w:tcPr>
            <w:tcW w:w="6798" w:type="dxa"/>
            <w:noWrap w:val="0"/>
            <w:vAlign w:val="center"/>
          </w:tcPr>
          <w:p w14:paraId="6A7EC29A">
            <w:pPr>
              <w:pStyle w:val="9"/>
              <w:spacing w:line="312" w:lineRule="auto"/>
              <w:jc w:val="left"/>
              <w:rPr>
                <w:rFonts w:hint="eastAsia"/>
                <w:color w:val="000000" w:themeColor="text1"/>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不要求提供</w:t>
            </w:r>
          </w:p>
        </w:tc>
      </w:tr>
      <w:tr w14:paraId="412F74E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99" w:hRule="atLeast"/>
          <w:jc w:val="center"/>
        </w:trPr>
        <w:tc>
          <w:tcPr>
            <w:tcW w:w="752" w:type="dxa"/>
            <w:noWrap w:val="0"/>
            <w:vAlign w:val="center"/>
          </w:tcPr>
          <w:p w14:paraId="7CB3CC21">
            <w:pPr>
              <w:pStyle w:val="9"/>
              <w:rPr>
                <w:color w:val="000000" w:themeColor="text1"/>
                <w:szCs w:val="24"/>
                <w:highlight w:val="none"/>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8</w:t>
            </w:r>
          </w:p>
        </w:tc>
        <w:tc>
          <w:tcPr>
            <w:tcW w:w="1623" w:type="dxa"/>
            <w:noWrap w:val="0"/>
            <w:vAlign w:val="center"/>
          </w:tcPr>
          <w:p w14:paraId="06640001">
            <w:pPr>
              <w:pStyle w:val="9"/>
              <w:spacing w:line="312" w:lineRule="auto"/>
              <w:rPr>
                <w:rFonts w:hint="eastAsia"/>
                <w:color w:val="000000" w:themeColor="text1"/>
                <w:szCs w:val="24"/>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履约验收</w:t>
            </w:r>
          </w:p>
        </w:tc>
        <w:tc>
          <w:tcPr>
            <w:tcW w:w="6798" w:type="dxa"/>
            <w:noWrap w:val="0"/>
            <w:vAlign w:val="center"/>
          </w:tcPr>
          <w:p w14:paraId="7AA6FE8F">
            <w:pPr>
              <w:pStyle w:val="9"/>
              <w:spacing w:line="312" w:lineRule="auto"/>
              <w:jc w:val="left"/>
              <w:rPr>
                <w:rFonts w:hint="eastAsia"/>
                <w:color w:val="000000" w:themeColor="text1"/>
                <w:szCs w:val="32"/>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履约验收方案：</w:t>
            </w:r>
            <w:r>
              <w:rPr>
                <w:rFonts w:hint="eastAsia"/>
                <w:color w:val="000000" w:themeColor="text1"/>
                <w:szCs w:val="32"/>
                <w:highlight w:val="none"/>
                <w14:textFill>
                  <w14:solidFill>
                    <w14:schemeClr w14:val="tx1"/>
                  </w14:solidFill>
                </w14:textFill>
              </w:rPr>
              <w:t>安装调试、试用结束后进行验收。</w:t>
            </w:r>
          </w:p>
          <w:p w14:paraId="530B07C9">
            <w:pPr>
              <w:pStyle w:val="9"/>
              <w:spacing w:line="312" w:lineRule="auto"/>
              <w:jc w:val="left"/>
              <w:rPr>
                <w:rFonts w:hint="eastAsia"/>
                <w:color w:val="000000" w:themeColor="text1"/>
                <w:szCs w:val="32"/>
                <w:highlight w:val="none"/>
                <w14:textFill>
                  <w14:solidFill>
                    <w14:schemeClr w14:val="tx1"/>
                  </w14:solidFill>
                </w14:textFill>
              </w:rPr>
            </w:pPr>
            <w:r>
              <w:rPr>
                <w:rFonts w:hint="eastAsia"/>
                <w:color w:val="000000" w:themeColor="text1"/>
                <w:szCs w:val="32"/>
                <w:highlight w:val="none"/>
                <w14:textFill>
                  <w14:solidFill>
                    <w14:schemeClr w14:val="tx1"/>
                  </w14:solidFill>
                </w14:textFill>
              </w:rPr>
              <w:t>履约验收标准：</w:t>
            </w:r>
          </w:p>
          <w:p w14:paraId="3D42E388">
            <w:pPr>
              <w:pStyle w:val="9"/>
              <w:spacing w:line="312" w:lineRule="auto"/>
              <w:jc w:val="left"/>
              <w:rPr>
                <w:rFonts w:hint="eastAsia"/>
                <w:color w:val="000000" w:themeColor="text1"/>
                <w:szCs w:val="32"/>
                <w:highlight w:val="none"/>
                <w14:textFill>
                  <w14:solidFill>
                    <w14:schemeClr w14:val="tx1"/>
                  </w14:solidFill>
                </w14:textFill>
              </w:rPr>
            </w:pPr>
            <w:r>
              <w:rPr>
                <w:rFonts w:hint="eastAsia"/>
                <w:color w:val="000000" w:themeColor="text1"/>
                <w:szCs w:val="32"/>
                <w:highlight w:val="none"/>
                <w14:textFill>
                  <w14:solidFill>
                    <w14:schemeClr w14:val="tx1"/>
                  </w14:solidFill>
                </w14:textFill>
              </w:rPr>
              <w:t>1.验收形式： 验收分初次开箱验收和医院最终验收两个阶段，以最终验收为准。</w:t>
            </w:r>
          </w:p>
          <w:p w14:paraId="549E3249">
            <w:pPr>
              <w:pStyle w:val="9"/>
              <w:spacing w:line="312" w:lineRule="auto"/>
              <w:jc w:val="left"/>
              <w:rPr>
                <w:rFonts w:hint="eastAsia"/>
                <w:color w:val="000000" w:themeColor="text1"/>
                <w:szCs w:val="32"/>
                <w:highlight w:val="none"/>
                <w14:textFill>
                  <w14:solidFill>
                    <w14:schemeClr w14:val="tx1"/>
                  </w14:solidFill>
                </w14:textFill>
              </w:rPr>
            </w:pPr>
            <w:r>
              <w:rPr>
                <w:rFonts w:hint="eastAsia"/>
                <w:color w:val="000000" w:themeColor="text1"/>
                <w:szCs w:val="32"/>
                <w:highlight w:val="none"/>
                <w14:textFill>
                  <w14:solidFill>
                    <w14:schemeClr w14:val="tx1"/>
                  </w14:solidFill>
                </w14:textFill>
              </w:rPr>
              <w:t>2.验收标准： 甲、乙双方共同开箱验收。在检查货物原产地、型号、规格、配置符合合同要求后，由乙方负责安装调试、甲方使用单位负责技术验收（乙方协助），验收以国内行业标准或合同文本货物供货配置清单中描述的有关技术要求为准。</w:t>
            </w:r>
          </w:p>
          <w:p w14:paraId="4A896E9D">
            <w:pPr>
              <w:pStyle w:val="9"/>
              <w:spacing w:line="312" w:lineRule="auto"/>
              <w:jc w:val="left"/>
              <w:rPr>
                <w:rFonts w:hint="eastAsia"/>
                <w:color w:val="000000" w:themeColor="text1"/>
                <w:szCs w:val="32"/>
                <w:highlight w:val="none"/>
                <w14:textFill>
                  <w14:solidFill>
                    <w14:schemeClr w14:val="tx1"/>
                  </w14:solidFill>
                </w14:textFill>
              </w:rPr>
            </w:pPr>
            <w:r>
              <w:rPr>
                <w:rFonts w:hint="eastAsia"/>
                <w:color w:val="000000" w:themeColor="text1"/>
                <w:szCs w:val="32"/>
                <w:highlight w:val="none"/>
                <w14:textFill>
                  <w14:solidFill>
                    <w14:schemeClr w14:val="tx1"/>
                  </w14:solidFill>
                </w14:textFill>
              </w:rPr>
              <w:t>验收方法:使用单位初验合格后</w:t>
            </w:r>
            <w:r>
              <w:rPr>
                <w:rFonts w:hint="eastAsia"/>
                <w:color w:val="000000" w:themeColor="text1"/>
                <w:szCs w:val="32"/>
                <w:highlight w:val="none"/>
                <w:lang w:val="en-US" w:eastAsia="zh-CN"/>
                <w14:textFill>
                  <w14:solidFill>
                    <w14:schemeClr w14:val="tx1"/>
                  </w14:solidFill>
                </w14:textFill>
              </w:rPr>
              <w:t>进入试用期，试用期间出现的任何问题乙方需无条件配合解决，试用期结束，无任何纠纷后乙方</w:t>
            </w:r>
            <w:r>
              <w:rPr>
                <w:rFonts w:hint="eastAsia"/>
                <w:color w:val="000000" w:themeColor="text1"/>
                <w:szCs w:val="32"/>
                <w:highlight w:val="none"/>
                <w14:textFill>
                  <w14:solidFill>
                    <w14:schemeClr w14:val="tx1"/>
                  </w14:solidFill>
                </w14:textFill>
              </w:rPr>
              <w:t>提出</w:t>
            </w:r>
            <w:r>
              <w:rPr>
                <w:rFonts w:hint="eastAsia"/>
                <w:color w:val="000000" w:themeColor="text1"/>
                <w:szCs w:val="32"/>
                <w:highlight w:val="none"/>
                <w:lang w:val="en-US" w:eastAsia="zh-CN"/>
                <w14:textFill>
                  <w14:solidFill>
                    <w14:schemeClr w14:val="tx1"/>
                  </w14:solidFill>
                </w14:textFill>
              </w:rPr>
              <w:t>最终</w:t>
            </w:r>
            <w:r>
              <w:rPr>
                <w:rFonts w:hint="eastAsia"/>
                <w:color w:val="000000" w:themeColor="text1"/>
                <w:szCs w:val="32"/>
                <w:highlight w:val="none"/>
                <w14:textFill>
                  <w14:solidFill>
                    <w14:schemeClr w14:val="tx1"/>
                  </w14:solidFill>
                </w14:textFill>
              </w:rPr>
              <w:t>验收申请，医院相关部门根据使用单位技术验收结果，组织有关专家进行货物的最终验收。</w:t>
            </w:r>
          </w:p>
        </w:tc>
      </w:tr>
      <w:tr w14:paraId="7F10BD9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067" w:hRule="atLeast"/>
          <w:jc w:val="center"/>
        </w:trPr>
        <w:tc>
          <w:tcPr>
            <w:tcW w:w="752" w:type="dxa"/>
            <w:noWrap w:val="0"/>
            <w:vAlign w:val="center"/>
          </w:tcPr>
          <w:p w14:paraId="174D74CA">
            <w:pPr>
              <w:pStyle w:val="9"/>
              <w:rPr>
                <w:rFonts w:hint="eastAsia"/>
                <w:color w:val="000000" w:themeColor="text1"/>
                <w:szCs w:val="24"/>
                <w:highlight w:val="none"/>
                <w14:textFill>
                  <w14:solidFill>
                    <w14:schemeClr w14:val="tx1"/>
                  </w14:solidFill>
                </w14:textFill>
              </w:rPr>
            </w:pPr>
            <w:r>
              <w:rPr>
                <w:rFonts w:hint="eastAsia"/>
                <w:b/>
                <w:bCs/>
                <w:color w:val="000000" w:themeColor="text1"/>
                <w:highlight w:val="none"/>
                <w14:textFill>
                  <w14:solidFill>
                    <w14:schemeClr w14:val="tx1"/>
                  </w14:solidFill>
                </w14:textFill>
              </w:rPr>
              <w:t>备注</w:t>
            </w:r>
          </w:p>
        </w:tc>
        <w:tc>
          <w:tcPr>
            <w:tcW w:w="8421" w:type="dxa"/>
            <w:gridSpan w:val="2"/>
            <w:noWrap w:val="0"/>
            <w:vAlign w:val="center"/>
          </w:tcPr>
          <w:p w14:paraId="26DB4770">
            <w:pPr>
              <w:pStyle w:val="9"/>
              <w:jc w:val="left"/>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以上商务要求为必须满足的条款，任意一条不满足，视为重大偏离，按无效响应处理。</w:t>
            </w:r>
          </w:p>
        </w:tc>
      </w:tr>
    </w:tbl>
    <w:p w14:paraId="1AD67C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F24F8"/>
    <w:rsid w:val="4D1F2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480" w:lineRule="auto"/>
      <w:jc w:val="center"/>
      <w:outlineLvl w:val="0"/>
    </w:pPr>
    <w:rPr>
      <w:rFonts w:ascii="Times New Roman" w:hAnsi="Times New Roman" w:eastAsia="宋体" w:cs="Times New Roman"/>
      <w:b/>
      <w:kern w:val="44"/>
      <w:sz w:val="32"/>
    </w:rPr>
  </w:style>
  <w:style w:type="paragraph" w:styleId="4">
    <w:name w:val="heading 4"/>
    <w:basedOn w:val="1"/>
    <w:next w:val="1"/>
    <w:qFormat/>
    <w:uiPriority w:val="0"/>
    <w:pPr>
      <w:keepNext/>
      <w:keepLines/>
      <w:adjustRightInd w:val="0"/>
      <w:spacing w:line="360" w:lineRule="auto"/>
      <w:outlineLvl w:val="3"/>
    </w:pPr>
    <w:rPr>
      <w:rFonts w:ascii="宋体" w:hAnsi="宋体" w:eastAsia="宋体" w:cs="宋体"/>
      <w:b/>
      <w:kern w:val="0"/>
      <w:sz w:val="2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b/>
      <w:sz w:val="28"/>
    </w:rPr>
  </w:style>
  <w:style w:type="paragraph" w:styleId="5">
    <w:name w:val="Normal Indent"/>
    <w:basedOn w:val="1"/>
    <w:uiPriority w:val="0"/>
    <w:pPr>
      <w:spacing w:line="360" w:lineRule="auto"/>
      <w:ind w:firstLine="562" w:firstLineChars="200"/>
    </w:pPr>
    <w:rPr>
      <w:rFonts w:ascii="宋体" w:hAnsi="宋体" w:eastAsia="宋体" w:cs="宋体"/>
      <w:sz w:val="24"/>
    </w:rPr>
  </w:style>
  <w:style w:type="paragraph" w:styleId="6">
    <w:name w:val="Plain Text"/>
    <w:basedOn w:val="1"/>
    <w:qFormat/>
    <w:uiPriority w:val="0"/>
    <w:rPr>
      <w:rFonts w:ascii="宋体" w:hAnsi="Courier New" w:eastAsia="宋体" w:cs="Times New Roman"/>
      <w:sz w:val="24"/>
    </w:rPr>
  </w:style>
  <w:style w:type="paragraph" w:customStyle="1" w:styleId="9">
    <w:name w:val="表格"/>
    <w:basedOn w:val="1"/>
    <w:qFormat/>
    <w:uiPriority w:val="0"/>
    <w:pPr>
      <w:adjustRightInd w:val="0"/>
      <w:snapToGrid w:val="0"/>
      <w:spacing w:line="360" w:lineRule="auto"/>
      <w:jc w:val="center"/>
    </w:pPr>
    <w:rPr>
      <w:rFonts w:ascii="宋体" w:hAnsi="宋体" w:eastAsia="宋体" w:cs="宋体"/>
      <w:sz w:val="24"/>
    </w:rPr>
  </w:style>
  <w:style w:type="paragraph" w:customStyle="1" w:styleId="10">
    <w:name w:val="正文内容"/>
    <w:basedOn w:val="1"/>
    <w:uiPriority w:val="0"/>
    <w:pPr>
      <w:spacing w:line="400" w:lineRule="exact"/>
      <w:ind w:firstLine="420" w:firstLineChars="200"/>
      <w:jc w:val="lef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2025-11-27T09:32:00Z</dcterms:created>
  <dc:creator>好好的</dc:creator>
  <cp:lastModifiedBy>好好的</cp:lastModifiedBy>
  <dcterms:modified xsi:type="dcterms:W3CDTF">2025-11-27T09:32:52Z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EFF85CFA1C8348B080F0B65547ABD12A_11</vt:lpwstr>
  </property>
  <property fmtid="{D5CDD505-2E9C-101B-9397-08002B2CF9AE}" pid="4" name="KSOTemplateDocerSaveRecord">
    <vt:lpwstr>eyJoZGlkIjoiNGI5OTM1M2UwMTUxOGI1ZjZmZGRiNjY2YjkzZTljYmIiLCJ1c2VySWQiOiIzMzEzMzk0MDUifQ==</vt:lpwstr>
  </property>
</Properties>
</file>