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38F33F">
      <w:pPr>
        <w:spacing w:line="420" w:lineRule="auto"/>
        <w:jc w:val="left"/>
        <w:rPr>
          <w:rFonts w:hint="default" w:ascii="宋体" w:hAnsi="宋体" w:eastAsia="宋体" w:cs="宋体"/>
          <w:b/>
          <w:sz w:val="28"/>
          <w:szCs w:val="28"/>
          <w:lang w:val="en-US" w:eastAsia="zh-CN"/>
        </w:rPr>
      </w:pPr>
      <w:bookmarkStart w:id="0" w:name="_Toc193702467"/>
      <w:bookmarkStart w:id="1" w:name="_Toc465958085"/>
      <w:bookmarkStart w:id="2" w:name="_Toc12260"/>
      <w:bookmarkStart w:id="3" w:name="_Toc246928891"/>
      <w:bookmarkStart w:id="4" w:name="_Toc12011"/>
      <w:bookmarkStart w:id="5" w:name="_Toc22392"/>
      <w:bookmarkStart w:id="6" w:name="_Toc6410"/>
      <w:bookmarkStart w:id="7" w:name="OLE_LINK18"/>
      <w:r>
        <w:rPr>
          <w:rFonts w:hint="eastAsia" w:ascii="宋体" w:hAnsi="宋体" w:cs="宋体"/>
          <w:b/>
          <w:sz w:val="28"/>
          <w:szCs w:val="28"/>
        </w:rPr>
        <w:t>采购项目编号：</w:t>
      </w:r>
      <w:r>
        <w:rPr>
          <w:rFonts w:hint="eastAsia" w:ascii="宋体" w:hAnsi="宋体" w:cs="宋体"/>
          <w:b/>
          <w:sz w:val="28"/>
          <w:szCs w:val="28"/>
          <w:lang w:eastAsia="zh-CN"/>
        </w:rPr>
        <w:t>HXZB-2025-016</w:t>
      </w:r>
    </w:p>
    <w:p w14:paraId="360686B5">
      <w:pPr>
        <w:pStyle w:val="3"/>
        <w:jc w:val="both"/>
        <w:rPr>
          <w:rFonts w:hint="eastAsia"/>
          <w:sz w:val="44"/>
          <w:szCs w:val="44"/>
          <w:lang w:val="en-US" w:eastAsia="zh-CN"/>
        </w:rPr>
      </w:pPr>
    </w:p>
    <w:p w14:paraId="26742F48">
      <w:pPr>
        <w:pStyle w:val="3"/>
        <w:rPr>
          <w:rFonts w:hint="eastAsia"/>
          <w:sz w:val="44"/>
          <w:szCs w:val="44"/>
          <w:lang w:val="en-US" w:eastAsia="zh-CN"/>
        </w:rPr>
      </w:pPr>
    </w:p>
    <w:p w14:paraId="158AB852">
      <w:pPr>
        <w:pStyle w:val="9"/>
        <w:jc w:val="center"/>
        <w:rPr>
          <w:rFonts w:hint="eastAsia" w:ascii="宋体" w:hAnsi="宋体" w:cs="宋体"/>
          <w:b/>
          <w:sz w:val="72"/>
          <w:szCs w:val="72"/>
          <w:lang w:eastAsia="zh-CN"/>
        </w:rPr>
      </w:pPr>
      <w:bookmarkStart w:id="388" w:name="_GoBack"/>
      <w:r>
        <w:rPr>
          <w:rFonts w:hint="eastAsia" w:ascii="宋体" w:hAnsi="宋体" w:cs="宋体"/>
          <w:b/>
          <w:sz w:val="72"/>
          <w:szCs w:val="72"/>
          <w:lang w:eastAsia="zh-CN"/>
        </w:rPr>
        <w:t>神木市人民法院庭审业务设备货物采购项目</w:t>
      </w:r>
      <w:bookmarkEnd w:id="388"/>
    </w:p>
    <w:p w14:paraId="4A82EE98">
      <w:pPr>
        <w:rPr>
          <w:rFonts w:hint="eastAsia"/>
        </w:rPr>
      </w:pPr>
    </w:p>
    <w:p w14:paraId="0C83E173">
      <w:pPr>
        <w:pStyle w:val="7"/>
        <w:rPr>
          <w:rFonts w:hint="eastAsia"/>
        </w:rPr>
      </w:pPr>
    </w:p>
    <w:p w14:paraId="53A14483">
      <w:pPr>
        <w:jc w:val="center"/>
        <w:rPr>
          <w:rFonts w:ascii="宋体" w:hAnsi="宋体" w:cs="宋体"/>
          <w:b/>
          <w:sz w:val="80"/>
          <w:szCs w:val="80"/>
        </w:rPr>
      </w:pPr>
      <w:r>
        <w:rPr>
          <w:rFonts w:hint="eastAsia" w:ascii="宋体" w:hAnsi="宋体" w:cs="宋体"/>
          <w:b/>
          <w:sz w:val="80"/>
          <w:szCs w:val="80"/>
        </w:rPr>
        <w:t>竞争性谈判文件</w:t>
      </w:r>
    </w:p>
    <w:p w14:paraId="0FC15ED5">
      <w:pPr>
        <w:spacing w:line="420" w:lineRule="auto"/>
        <w:rPr>
          <w:rFonts w:ascii="宋体" w:hAnsi="宋体" w:cs="宋体"/>
          <w:bCs/>
          <w:sz w:val="24"/>
          <w:szCs w:val="24"/>
        </w:rPr>
      </w:pPr>
    </w:p>
    <w:p w14:paraId="44FA1FAD">
      <w:pPr>
        <w:spacing w:line="420" w:lineRule="auto"/>
        <w:rPr>
          <w:rFonts w:ascii="宋体" w:hAnsi="宋体" w:cs="宋体"/>
          <w:bCs/>
          <w:sz w:val="24"/>
          <w:szCs w:val="24"/>
        </w:rPr>
      </w:pPr>
    </w:p>
    <w:p w14:paraId="69B8B0B5">
      <w:pPr>
        <w:pStyle w:val="9"/>
        <w:rPr>
          <w:rFonts w:ascii="宋体" w:hAnsi="宋体" w:cs="宋体"/>
          <w:bCs/>
          <w:sz w:val="11"/>
          <w:szCs w:val="11"/>
        </w:rPr>
      </w:pPr>
    </w:p>
    <w:p w14:paraId="71D6FD0E">
      <w:pPr>
        <w:rPr>
          <w:rFonts w:ascii="宋体" w:hAnsi="宋体" w:cs="宋体"/>
          <w:bCs/>
          <w:sz w:val="11"/>
          <w:szCs w:val="11"/>
        </w:rPr>
      </w:pPr>
    </w:p>
    <w:p w14:paraId="5C9EF397">
      <w:pPr>
        <w:pStyle w:val="37"/>
        <w:rPr>
          <w:rFonts w:ascii="宋体" w:hAnsi="宋体" w:cs="宋体"/>
          <w:bCs/>
          <w:sz w:val="11"/>
          <w:szCs w:val="11"/>
        </w:rPr>
      </w:pPr>
    </w:p>
    <w:p w14:paraId="1CF43125">
      <w:pPr>
        <w:pStyle w:val="37"/>
        <w:rPr>
          <w:rFonts w:ascii="宋体" w:hAnsi="宋体" w:cs="宋体"/>
          <w:bCs/>
          <w:sz w:val="11"/>
          <w:szCs w:val="11"/>
        </w:rPr>
      </w:pPr>
    </w:p>
    <w:p w14:paraId="258D47C9">
      <w:pPr>
        <w:pStyle w:val="37"/>
        <w:rPr>
          <w:rFonts w:ascii="宋体" w:hAnsi="宋体" w:cs="宋体"/>
          <w:bCs/>
          <w:sz w:val="11"/>
          <w:szCs w:val="11"/>
        </w:rPr>
      </w:pPr>
    </w:p>
    <w:p w14:paraId="664DF54F">
      <w:pPr>
        <w:pStyle w:val="37"/>
        <w:rPr>
          <w:rFonts w:ascii="宋体" w:hAnsi="宋体" w:cs="宋体"/>
          <w:bCs/>
          <w:sz w:val="11"/>
          <w:szCs w:val="11"/>
        </w:rPr>
      </w:pPr>
    </w:p>
    <w:p w14:paraId="22E13A20">
      <w:pPr>
        <w:pStyle w:val="37"/>
        <w:rPr>
          <w:rFonts w:ascii="宋体" w:hAnsi="宋体" w:cs="宋体"/>
          <w:bCs/>
          <w:sz w:val="11"/>
          <w:szCs w:val="11"/>
        </w:rPr>
      </w:pPr>
    </w:p>
    <w:p w14:paraId="6D30A169">
      <w:pPr>
        <w:pStyle w:val="7"/>
        <w:ind w:firstLine="0"/>
        <w:rPr>
          <w:sz w:val="40"/>
          <w:szCs w:val="40"/>
        </w:rPr>
      </w:pPr>
    </w:p>
    <w:p w14:paraId="68D097D9">
      <w:pPr>
        <w:snapToGrid w:val="0"/>
        <w:spacing w:line="480" w:lineRule="auto"/>
        <w:rPr>
          <w:rFonts w:hint="eastAsia" w:ascii="宋体" w:hAnsi="宋体" w:eastAsia="宋体" w:cs="宋体"/>
          <w:b/>
          <w:sz w:val="32"/>
          <w:szCs w:val="32"/>
          <w:lang w:eastAsia="zh-CN"/>
        </w:rPr>
      </w:pPr>
      <w:bookmarkStart w:id="8" w:name="OLE_LINK43"/>
      <w:r>
        <w:rPr>
          <w:rFonts w:hint="eastAsia" w:ascii="宋体" w:hAnsi="宋体" w:cs="宋体"/>
          <w:b/>
          <w:sz w:val="24"/>
          <w:szCs w:val="24"/>
        </w:rPr>
        <w:t xml:space="preserve">     </w:t>
      </w:r>
      <w:r>
        <w:rPr>
          <w:rFonts w:hint="eastAsia" w:ascii="宋体" w:hAnsi="宋体" w:cs="宋体"/>
          <w:b/>
          <w:sz w:val="24"/>
          <w:szCs w:val="24"/>
          <w:lang w:val="en-US" w:eastAsia="zh-CN"/>
        </w:rPr>
        <w:t xml:space="preserve">  </w:t>
      </w:r>
      <w:r>
        <w:rPr>
          <w:rFonts w:hint="eastAsia" w:ascii="宋体" w:hAnsi="宋体" w:cs="宋体"/>
          <w:b/>
          <w:sz w:val="24"/>
          <w:szCs w:val="24"/>
        </w:rPr>
        <w:t xml:space="preserve"> </w:t>
      </w:r>
      <w:r>
        <w:rPr>
          <w:rFonts w:hint="eastAsia" w:ascii="宋体" w:hAnsi="宋体" w:cs="宋体"/>
          <w:b/>
          <w:sz w:val="32"/>
          <w:szCs w:val="32"/>
        </w:rPr>
        <w:t>采购人：</w:t>
      </w:r>
      <w:r>
        <w:rPr>
          <w:rFonts w:hint="eastAsia" w:ascii="宋体" w:hAnsi="宋体" w:cs="宋体"/>
          <w:b/>
          <w:sz w:val="32"/>
          <w:szCs w:val="32"/>
          <w:lang w:eastAsia="zh-CN"/>
        </w:rPr>
        <w:t>神木市人民法院</w:t>
      </w:r>
    </w:p>
    <w:p w14:paraId="5B686079">
      <w:pPr>
        <w:pStyle w:val="9"/>
      </w:pPr>
    </w:p>
    <w:p w14:paraId="6226EBA7">
      <w:pPr>
        <w:snapToGrid w:val="0"/>
        <w:spacing w:line="480" w:lineRule="auto"/>
        <w:jc w:val="center"/>
        <w:rPr>
          <w:rFonts w:ascii="宋体" w:hAnsi="宋体" w:cs="宋体"/>
          <w:b/>
          <w:sz w:val="32"/>
          <w:szCs w:val="32"/>
        </w:rPr>
      </w:pPr>
      <w:r>
        <w:rPr>
          <w:rFonts w:hint="eastAsia" w:ascii="宋体" w:hAnsi="宋体" w:cs="宋体"/>
          <w:b/>
          <w:sz w:val="32"/>
          <w:szCs w:val="32"/>
        </w:rPr>
        <w:t xml:space="preserve"> 采购代理机构：</w:t>
      </w:r>
      <w:r>
        <w:rPr>
          <w:rFonts w:hint="eastAsia" w:ascii="宋体" w:hAnsi="宋体" w:cs="宋体"/>
          <w:b/>
          <w:sz w:val="32"/>
          <w:szCs w:val="32"/>
          <w:lang w:eastAsia="zh-CN"/>
        </w:rPr>
        <w:t>陕西塞上华熙项目管理有限公司</w:t>
      </w:r>
      <w:r>
        <w:rPr>
          <w:rFonts w:hint="eastAsia" w:ascii="宋体" w:hAnsi="宋体" w:cs="宋体"/>
          <w:b/>
          <w:sz w:val="32"/>
          <w:szCs w:val="32"/>
        </w:rPr>
        <w:t xml:space="preserve">     </w:t>
      </w:r>
    </w:p>
    <w:p w14:paraId="63A1CA50">
      <w:pPr>
        <w:spacing w:line="480" w:lineRule="auto"/>
        <w:jc w:val="center"/>
        <w:rPr>
          <w:rFonts w:ascii="宋体" w:hAnsi="宋体" w:cs="宋体"/>
          <w:b/>
          <w:sz w:val="24"/>
          <w:szCs w:val="24"/>
        </w:rPr>
        <w:sectPr>
          <w:headerReference r:id="rId4" w:type="first"/>
          <w:headerReference r:id="rId3" w:type="default"/>
          <w:footerReference r:id="rId5" w:type="default"/>
          <w:footnotePr>
            <w:pos w:val="beneathText"/>
          </w:footnotePr>
          <w:pgSz w:w="11906" w:h="16838"/>
          <w:pgMar w:top="1418" w:right="1644" w:bottom="1191" w:left="1758" w:header="851" w:footer="992" w:gutter="0"/>
          <w:cols w:space="720" w:num="1"/>
          <w:docGrid w:type="lines" w:linePitch="312" w:charSpace="0"/>
        </w:sectPr>
      </w:pPr>
      <w:r>
        <w:rPr>
          <w:rFonts w:hint="eastAsia" w:ascii="宋体" w:hAnsi="宋体" w:cs="宋体"/>
          <w:b/>
          <w:sz w:val="32"/>
          <w:szCs w:val="32"/>
        </w:rPr>
        <w:t xml:space="preserve">  二零二</w:t>
      </w:r>
      <w:r>
        <w:rPr>
          <w:rFonts w:hint="eastAsia" w:ascii="宋体" w:hAnsi="宋体" w:cs="宋体"/>
          <w:b/>
          <w:sz w:val="32"/>
          <w:szCs w:val="32"/>
          <w:lang w:val="en-US" w:eastAsia="zh-CN"/>
        </w:rPr>
        <w:t>五</w:t>
      </w:r>
      <w:r>
        <w:rPr>
          <w:rFonts w:hint="eastAsia" w:ascii="宋体" w:hAnsi="宋体" w:cs="宋体"/>
          <w:b/>
          <w:sz w:val="32"/>
          <w:szCs w:val="32"/>
        </w:rPr>
        <w:t>年</w:t>
      </w:r>
      <w:r>
        <w:rPr>
          <w:rFonts w:hint="eastAsia" w:ascii="宋体" w:hAnsi="宋体" w:cs="宋体"/>
          <w:b/>
          <w:sz w:val="32"/>
          <w:szCs w:val="32"/>
          <w:lang w:val="en-US" w:eastAsia="zh-CN"/>
        </w:rPr>
        <w:t>十一</w:t>
      </w:r>
      <w:r>
        <w:rPr>
          <w:rFonts w:hint="eastAsia" w:ascii="宋体" w:hAnsi="宋体" w:cs="宋体"/>
          <w:b/>
          <w:sz w:val="32"/>
          <w:szCs w:val="32"/>
        </w:rPr>
        <w:t>月</w:t>
      </w:r>
    </w:p>
    <w:bookmarkEnd w:id="8"/>
    <w:p w14:paraId="2EA7DEE3">
      <w:pPr>
        <w:pStyle w:val="18"/>
        <w:spacing w:before="0" w:beforeAutospacing="0" w:after="0" w:afterAutospacing="0" w:line="360" w:lineRule="auto"/>
        <w:jc w:val="center"/>
        <w:rPr>
          <w:rFonts w:ascii="宋体" w:hAnsi="宋体" w:cs="宋体"/>
          <w:b/>
          <w:color w:val="000000"/>
          <w:sz w:val="32"/>
          <w:szCs w:val="32"/>
        </w:rPr>
      </w:pPr>
      <w:r>
        <w:rPr>
          <w:rFonts w:hint="eastAsia" w:ascii="宋体" w:hAnsi="宋体" w:cs="宋体"/>
          <w:b/>
          <w:color w:val="000000"/>
          <w:kern w:val="2"/>
          <w:sz w:val="32"/>
          <w:szCs w:val="32"/>
        </w:rPr>
        <w:t>温馨提示</w:t>
      </w:r>
    </w:p>
    <w:p w14:paraId="319341D0">
      <w:pPr>
        <w:pStyle w:val="17"/>
        <w:tabs>
          <w:tab w:val="right" w:leader="dot" w:pos="8829"/>
        </w:tabs>
        <w:jc w:val="center"/>
        <w:rPr>
          <w:rFonts w:ascii="宋体" w:hAnsi="宋体"/>
          <w:sz w:val="24"/>
          <w:szCs w:val="24"/>
        </w:rPr>
      </w:pPr>
      <w:r>
        <w:rPr>
          <w:rFonts w:hint="eastAsia" w:ascii="宋体" w:hAnsi="宋体" w:cs="宋体"/>
          <w:b/>
          <w:bCs/>
          <w:color w:val="000000"/>
          <w:sz w:val="32"/>
          <w:szCs w:val="32"/>
        </w:rPr>
        <w:t>请供应商认真阅读供应商须知，避免因此造成的无效投标。</w:t>
      </w:r>
    </w:p>
    <w:p w14:paraId="54EE7741">
      <w:pPr>
        <w:spacing w:line="600" w:lineRule="auto"/>
        <w:jc w:val="center"/>
        <w:rPr>
          <w:rFonts w:ascii="宋体" w:hAnsi="宋体"/>
          <w:sz w:val="44"/>
          <w:szCs w:val="44"/>
        </w:rPr>
      </w:pPr>
    </w:p>
    <w:p w14:paraId="7B39FFF7">
      <w:pPr>
        <w:spacing w:line="600" w:lineRule="auto"/>
        <w:jc w:val="center"/>
        <w:rPr>
          <w:sz w:val="44"/>
          <w:szCs w:val="44"/>
        </w:rPr>
      </w:pPr>
      <w:r>
        <w:rPr>
          <w:rFonts w:ascii="宋体" w:hAnsi="宋体"/>
          <w:sz w:val="44"/>
          <w:szCs w:val="44"/>
        </w:rPr>
        <w:t>目</w:t>
      </w:r>
      <w:r>
        <w:rPr>
          <w:rFonts w:hint="eastAsia" w:ascii="宋体" w:hAnsi="宋体"/>
          <w:sz w:val="44"/>
          <w:szCs w:val="44"/>
        </w:rPr>
        <w:t xml:space="preserve">  </w:t>
      </w:r>
      <w:r>
        <w:rPr>
          <w:rFonts w:ascii="宋体" w:hAnsi="宋体"/>
          <w:sz w:val="44"/>
          <w:szCs w:val="44"/>
        </w:rPr>
        <w:t>录</w:t>
      </w:r>
    </w:p>
    <w:p w14:paraId="03A4494D">
      <w:pPr>
        <w:pStyle w:val="17"/>
        <w:tabs>
          <w:tab w:val="right" w:leader="dot" w:pos="8504"/>
        </w:tabs>
        <w:spacing w:line="360" w:lineRule="auto"/>
        <w:rPr>
          <w:sz w:val="28"/>
          <w:szCs w:val="28"/>
        </w:rPr>
      </w:pPr>
      <w:r>
        <w:rPr>
          <w:rFonts w:ascii="宋体" w:hAnsi="宋体" w:cs="宋体"/>
          <w:b/>
          <w:bCs/>
          <w:sz w:val="24"/>
          <w:szCs w:val="24"/>
        </w:rPr>
        <w:fldChar w:fldCharType="begin"/>
      </w:r>
      <w:r>
        <w:rPr>
          <w:rFonts w:ascii="宋体" w:hAnsi="宋体" w:cs="宋体"/>
          <w:b/>
          <w:bCs/>
          <w:sz w:val="24"/>
          <w:szCs w:val="24"/>
        </w:rPr>
        <w:instrText xml:space="preserve">TOC \o "1-1" \h \u </w:instrText>
      </w:r>
      <w:r>
        <w:rPr>
          <w:rFonts w:ascii="宋体" w:hAnsi="宋体" w:cs="宋体"/>
          <w:b/>
          <w:bCs/>
          <w:sz w:val="24"/>
          <w:szCs w:val="24"/>
        </w:rPr>
        <w:fldChar w:fldCharType="separate"/>
      </w:r>
      <w:r>
        <w:fldChar w:fldCharType="begin"/>
      </w:r>
      <w:r>
        <w:instrText xml:space="preserve"> HYPERLINK \l "_Toc31446" </w:instrText>
      </w:r>
      <w:r>
        <w:fldChar w:fldCharType="separate"/>
      </w:r>
      <w:r>
        <w:rPr>
          <w:rFonts w:hint="eastAsia" w:ascii="宋体" w:hAnsi="宋体" w:cs="宋体"/>
          <w:bCs/>
          <w:sz w:val="28"/>
          <w:szCs w:val="28"/>
        </w:rPr>
        <w:t>第一部分  竞争性谈判公告</w:t>
      </w:r>
      <w:r>
        <w:rPr>
          <w:sz w:val="28"/>
          <w:szCs w:val="28"/>
        </w:rPr>
        <w:tab/>
      </w:r>
      <w:r>
        <w:rPr>
          <w:sz w:val="28"/>
          <w:szCs w:val="28"/>
        </w:rPr>
        <w:fldChar w:fldCharType="begin"/>
      </w:r>
      <w:r>
        <w:rPr>
          <w:sz w:val="28"/>
          <w:szCs w:val="28"/>
        </w:rPr>
        <w:instrText xml:space="preserve"> PAGEREF _Toc31446 \h </w:instrText>
      </w:r>
      <w:r>
        <w:rPr>
          <w:sz w:val="28"/>
          <w:szCs w:val="28"/>
        </w:rPr>
        <w:fldChar w:fldCharType="separate"/>
      </w:r>
      <w:r>
        <w:rPr>
          <w:sz w:val="28"/>
          <w:szCs w:val="28"/>
        </w:rPr>
        <w:t>2</w:t>
      </w:r>
      <w:r>
        <w:rPr>
          <w:sz w:val="28"/>
          <w:szCs w:val="28"/>
        </w:rPr>
        <w:fldChar w:fldCharType="end"/>
      </w:r>
      <w:r>
        <w:rPr>
          <w:sz w:val="28"/>
          <w:szCs w:val="28"/>
        </w:rPr>
        <w:fldChar w:fldCharType="end"/>
      </w:r>
    </w:p>
    <w:p w14:paraId="291302ED">
      <w:pPr>
        <w:pStyle w:val="17"/>
        <w:tabs>
          <w:tab w:val="right" w:leader="dot" w:pos="8504"/>
        </w:tabs>
        <w:spacing w:line="360" w:lineRule="auto"/>
        <w:rPr>
          <w:sz w:val="28"/>
          <w:szCs w:val="28"/>
        </w:rPr>
      </w:pPr>
      <w:r>
        <w:fldChar w:fldCharType="begin"/>
      </w:r>
      <w:r>
        <w:instrText xml:space="preserve"> HYPERLINK \l "_Toc27563" </w:instrText>
      </w:r>
      <w:r>
        <w:fldChar w:fldCharType="separate"/>
      </w:r>
      <w:r>
        <w:rPr>
          <w:rFonts w:hint="eastAsia" w:ascii="宋体" w:hAnsi="宋体" w:cs="宋体"/>
          <w:sz w:val="28"/>
          <w:szCs w:val="28"/>
        </w:rPr>
        <w:t>第二部分  供应商须知前附表</w:t>
      </w:r>
      <w:r>
        <w:rPr>
          <w:sz w:val="28"/>
          <w:szCs w:val="28"/>
        </w:rPr>
        <w:tab/>
      </w:r>
      <w:r>
        <w:rPr>
          <w:sz w:val="28"/>
          <w:szCs w:val="28"/>
        </w:rPr>
        <w:fldChar w:fldCharType="begin"/>
      </w:r>
      <w:r>
        <w:rPr>
          <w:sz w:val="28"/>
          <w:szCs w:val="28"/>
        </w:rPr>
        <w:instrText xml:space="preserve"> PAGEREF _Toc27563 \h </w:instrText>
      </w:r>
      <w:r>
        <w:rPr>
          <w:sz w:val="28"/>
          <w:szCs w:val="28"/>
        </w:rPr>
        <w:fldChar w:fldCharType="separate"/>
      </w:r>
      <w:r>
        <w:rPr>
          <w:sz w:val="28"/>
          <w:szCs w:val="28"/>
        </w:rPr>
        <w:t>7</w:t>
      </w:r>
      <w:r>
        <w:rPr>
          <w:sz w:val="28"/>
          <w:szCs w:val="28"/>
        </w:rPr>
        <w:fldChar w:fldCharType="end"/>
      </w:r>
      <w:r>
        <w:rPr>
          <w:sz w:val="28"/>
          <w:szCs w:val="28"/>
        </w:rPr>
        <w:fldChar w:fldCharType="end"/>
      </w:r>
    </w:p>
    <w:p w14:paraId="4253AA79">
      <w:pPr>
        <w:pStyle w:val="17"/>
        <w:tabs>
          <w:tab w:val="right" w:leader="dot" w:pos="8504"/>
        </w:tabs>
        <w:spacing w:line="360" w:lineRule="auto"/>
        <w:rPr>
          <w:sz w:val="28"/>
          <w:szCs w:val="28"/>
        </w:rPr>
      </w:pPr>
      <w:r>
        <w:fldChar w:fldCharType="begin"/>
      </w:r>
      <w:r>
        <w:instrText xml:space="preserve"> HYPERLINK \l "_Toc23139" </w:instrText>
      </w:r>
      <w:r>
        <w:fldChar w:fldCharType="separate"/>
      </w:r>
      <w:r>
        <w:rPr>
          <w:rFonts w:hint="eastAsia" w:ascii="宋体" w:hAnsi="宋体" w:cs="宋体"/>
          <w:sz w:val="28"/>
          <w:szCs w:val="28"/>
        </w:rPr>
        <w:t>第三部分  供应商须知</w:t>
      </w:r>
      <w:r>
        <w:rPr>
          <w:sz w:val="28"/>
          <w:szCs w:val="28"/>
        </w:rPr>
        <w:tab/>
      </w:r>
      <w:r>
        <w:rPr>
          <w:sz w:val="28"/>
          <w:szCs w:val="28"/>
        </w:rPr>
        <w:fldChar w:fldCharType="begin"/>
      </w:r>
      <w:r>
        <w:rPr>
          <w:sz w:val="28"/>
          <w:szCs w:val="28"/>
        </w:rPr>
        <w:instrText xml:space="preserve"> PAGEREF _Toc23139 \h </w:instrText>
      </w:r>
      <w:r>
        <w:rPr>
          <w:sz w:val="28"/>
          <w:szCs w:val="28"/>
        </w:rPr>
        <w:fldChar w:fldCharType="separate"/>
      </w:r>
      <w:r>
        <w:rPr>
          <w:sz w:val="28"/>
          <w:szCs w:val="28"/>
        </w:rPr>
        <w:t>17</w:t>
      </w:r>
      <w:r>
        <w:rPr>
          <w:sz w:val="28"/>
          <w:szCs w:val="28"/>
        </w:rPr>
        <w:fldChar w:fldCharType="end"/>
      </w:r>
      <w:r>
        <w:rPr>
          <w:sz w:val="28"/>
          <w:szCs w:val="28"/>
        </w:rPr>
        <w:fldChar w:fldCharType="end"/>
      </w:r>
    </w:p>
    <w:p w14:paraId="04F5856D">
      <w:pPr>
        <w:pStyle w:val="17"/>
        <w:tabs>
          <w:tab w:val="right" w:leader="dot" w:pos="8504"/>
        </w:tabs>
        <w:spacing w:line="360" w:lineRule="auto"/>
        <w:rPr>
          <w:sz w:val="28"/>
          <w:szCs w:val="28"/>
        </w:rPr>
      </w:pPr>
      <w:r>
        <w:fldChar w:fldCharType="begin"/>
      </w:r>
      <w:r>
        <w:instrText xml:space="preserve"> HYPERLINK \l "_Toc26946" </w:instrText>
      </w:r>
      <w:r>
        <w:fldChar w:fldCharType="separate"/>
      </w:r>
      <w:r>
        <w:rPr>
          <w:rFonts w:hint="eastAsia" w:ascii="宋体" w:hAnsi="宋体" w:cs="仿宋_GB2312"/>
          <w:sz w:val="28"/>
          <w:szCs w:val="28"/>
        </w:rPr>
        <w:t xml:space="preserve">第四部分  </w:t>
      </w:r>
      <w:r>
        <w:rPr>
          <w:rFonts w:hint="eastAsia" w:ascii="宋体" w:hAnsi="宋体" w:cs="仿宋_GB2312"/>
          <w:bCs/>
          <w:sz w:val="28"/>
          <w:szCs w:val="28"/>
        </w:rPr>
        <w:t>政府采购合同</w:t>
      </w:r>
      <w:r>
        <w:rPr>
          <w:sz w:val="28"/>
          <w:szCs w:val="28"/>
        </w:rPr>
        <w:tab/>
      </w:r>
      <w:r>
        <w:rPr>
          <w:sz w:val="28"/>
          <w:szCs w:val="28"/>
        </w:rPr>
        <w:fldChar w:fldCharType="begin"/>
      </w:r>
      <w:r>
        <w:rPr>
          <w:sz w:val="28"/>
          <w:szCs w:val="28"/>
        </w:rPr>
        <w:instrText xml:space="preserve"> PAGEREF _Toc26946 \h </w:instrText>
      </w:r>
      <w:r>
        <w:rPr>
          <w:sz w:val="28"/>
          <w:szCs w:val="28"/>
        </w:rPr>
        <w:fldChar w:fldCharType="separate"/>
      </w:r>
      <w:r>
        <w:rPr>
          <w:sz w:val="28"/>
          <w:szCs w:val="28"/>
        </w:rPr>
        <w:t>33</w:t>
      </w:r>
      <w:r>
        <w:rPr>
          <w:sz w:val="28"/>
          <w:szCs w:val="28"/>
        </w:rPr>
        <w:fldChar w:fldCharType="end"/>
      </w:r>
      <w:r>
        <w:rPr>
          <w:sz w:val="28"/>
          <w:szCs w:val="28"/>
        </w:rPr>
        <w:fldChar w:fldCharType="end"/>
      </w:r>
    </w:p>
    <w:p w14:paraId="19D02F4F">
      <w:pPr>
        <w:pStyle w:val="17"/>
        <w:tabs>
          <w:tab w:val="right" w:leader="dot" w:pos="8504"/>
        </w:tabs>
        <w:spacing w:line="360" w:lineRule="auto"/>
        <w:rPr>
          <w:sz w:val="28"/>
          <w:szCs w:val="28"/>
        </w:rPr>
      </w:pPr>
      <w:r>
        <w:fldChar w:fldCharType="begin"/>
      </w:r>
      <w:r>
        <w:instrText xml:space="preserve"> HYPERLINK \l "_Toc3964" </w:instrText>
      </w:r>
      <w:r>
        <w:fldChar w:fldCharType="separate"/>
      </w:r>
      <w:r>
        <w:rPr>
          <w:rFonts w:hint="eastAsia" w:ascii="宋体" w:hAnsi="宋体" w:cs="宋体"/>
          <w:kern w:val="44"/>
          <w:sz w:val="28"/>
          <w:szCs w:val="28"/>
        </w:rPr>
        <w:t>第五部分  商务要求</w:t>
      </w:r>
      <w:r>
        <w:rPr>
          <w:sz w:val="28"/>
          <w:szCs w:val="28"/>
        </w:rPr>
        <w:tab/>
      </w:r>
      <w:r>
        <w:rPr>
          <w:sz w:val="28"/>
          <w:szCs w:val="28"/>
        </w:rPr>
        <w:fldChar w:fldCharType="begin"/>
      </w:r>
      <w:r>
        <w:rPr>
          <w:sz w:val="28"/>
          <w:szCs w:val="28"/>
        </w:rPr>
        <w:instrText xml:space="preserve"> PAGEREF _Toc3964 \h </w:instrText>
      </w:r>
      <w:r>
        <w:rPr>
          <w:sz w:val="28"/>
          <w:szCs w:val="28"/>
        </w:rPr>
        <w:fldChar w:fldCharType="separate"/>
      </w:r>
      <w:r>
        <w:rPr>
          <w:sz w:val="28"/>
          <w:szCs w:val="28"/>
        </w:rPr>
        <w:t>33</w:t>
      </w:r>
      <w:r>
        <w:rPr>
          <w:sz w:val="28"/>
          <w:szCs w:val="28"/>
        </w:rPr>
        <w:fldChar w:fldCharType="end"/>
      </w:r>
      <w:r>
        <w:rPr>
          <w:sz w:val="28"/>
          <w:szCs w:val="28"/>
        </w:rPr>
        <w:fldChar w:fldCharType="end"/>
      </w:r>
    </w:p>
    <w:p w14:paraId="73921457">
      <w:pPr>
        <w:pStyle w:val="17"/>
        <w:tabs>
          <w:tab w:val="right" w:leader="dot" w:pos="8504"/>
        </w:tabs>
        <w:spacing w:line="360" w:lineRule="auto"/>
        <w:rPr>
          <w:sz w:val="28"/>
          <w:szCs w:val="28"/>
        </w:rPr>
      </w:pPr>
      <w:r>
        <w:fldChar w:fldCharType="begin"/>
      </w:r>
      <w:r>
        <w:instrText xml:space="preserve"> HYPERLINK \l "_Toc14458" </w:instrText>
      </w:r>
      <w:r>
        <w:fldChar w:fldCharType="separate"/>
      </w:r>
      <w:r>
        <w:rPr>
          <w:rFonts w:hint="eastAsia" w:ascii="宋体" w:hAnsi="宋体" w:cs="宋体"/>
          <w:sz w:val="28"/>
          <w:szCs w:val="28"/>
        </w:rPr>
        <w:t>第六部分 采购内容及要求</w:t>
      </w:r>
      <w:r>
        <w:rPr>
          <w:sz w:val="28"/>
          <w:szCs w:val="28"/>
        </w:rPr>
        <w:tab/>
      </w:r>
      <w:r>
        <w:rPr>
          <w:sz w:val="28"/>
          <w:szCs w:val="28"/>
        </w:rPr>
        <w:fldChar w:fldCharType="begin"/>
      </w:r>
      <w:r>
        <w:rPr>
          <w:sz w:val="28"/>
          <w:szCs w:val="28"/>
        </w:rPr>
        <w:instrText xml:space="preserve"> PAGEREF _Toc14458 \h </w:instrText>
      </w:r>
      <w:r>
        <w:rPr>
          <w:sz w:val="28"/>
          <w:szCs w:val="28"/>
        </w:rPr>
        <w:fldChar w:fldCharType="separate"/>
      </w:r>
      <w:r>
        <w:rPr>
          <w:sz w:val="28"/>
          <w:szCs w:val="28"/>
        </w:rPr>
        <w:t>36</w:t>
      </w:r>
      <w:r>
        <w:rPr>
          <w:sz w:val="28"/>
          <w:szCs w:val="28"/>
        </w:rPr>
        <w:fldChar w:fldCharType="end"/>
      </w:r>
      <w:r>
        <w:rPr>
          <w:sz w:val="28"/>
          <w:szCs w:val="28"/>
        </w:rPr>
        <w:fldChar w:fldCharType="end"/>
      </w:r>
    </w:p>
    <w:p w14:paraId="0437AB8E">
      <w:pPr>
        <w:pStyle w:val="17"/>
        <w:tabs>
          <w:tab w:val="right" w:leader="dot" w:pos="8504"/>
        </w:tabs>
        <w:spacing w:line="360" w:lineRule="auto"/>
        <w:rPr>
          <w:sz w:val="28"/>
          <w:szCs w:val="28"/>
        </w:rPr>
      </w:pPr>
      <w:r>
        <w:fldChar w:fldCharType="begin"/>
      </w:r>
      <w:r>
        <w:instrText xml:space="preserve"> HYPERLINK \l "_Toc28145" </w:instrText>
      </w:r>
      <w:r>
        <w:fldChar w:fldCharType="separate"/>
      </w:r>
      <w:r>
        <w:rPr>
          <w:rFonts w:hint="eastAsia" w:ascii="宋体" w:hAnsi="宋体" w:cs="宋体"/>
          <w:sz w:val="28"/>
          <w:szCs w:val="28"/>
        </w:rPr>
        <w:t>第七部分 评审方法</w:t>
      </w:r>
      <w:r>
        <w:rPr>
          <w:sz w:val="28"/>
          <w:szCs w:val="28"/>
        </w:rPr>
        <w:tab/>
      </w:r>
      <w:r>
        <w:rPr>
          <w:sz w:val="28"/>
          <w:szCs w:val="28"/>
        </w:rPr>
        <w:fldChar w:fldCharType="begin"/>
      </w:r>
      <w:r>
        <w:rPr>
          <w:sz w:val="28"/>
          <w:szCs w:val="28"/>
        </w:rPr>
        <w:instrText xml:space="preserve"> PAGEREF _Toc28145 \h </w:instrText>
      </w:r>
      <w:r>
        <w:rPr>
          <w:sz w:val="28"/>
          <w:szCs w:val="28"/>
        </w:rPr>
        <w:fldChar w:fldCharType="separate"/>
      </w:r>
      <w:r>
        <w:rPr>
          <w:sz w:val="28"/>
          <w:szCs w:val="28"/>
        </w:rPr>
        <w:t>37</w:t>
      </w:r>
      <w:r>
        <w:rPr>
          <w:sz w:val="28"/>
          <w:szCs w:val="28"/>
        </w:rPr>
        <w:fldChar w:fldCharType="end"/>
      </w:r>
      <w:r>
        <w:rPr>
          <w:sz w:val="28"/>
          <w:szCs w:val="28"/>
        </w:rPr>
        <w:fldChar w:fldCharType="end"/>
      </w:r>
    </w:p>
    <w:p w14:paraId="1ECF2A63">
      <w:pPr>
        <w:pStyle w:val="17"/>
        <w:tabs>
          <w:tab w:val="right" w:leader="dot" w:pos="8504"/>
        </w:tabs>
        <w:spacing w:line="360" w:lineRule="auto"/>
        <w:rPr>
          <w:sz w:val="28"/>
          <w:szCs w:val="28"/>
        </w:rPr>
      </w:pPr>
      <w:r>
        <w:fldChar w:fldCharType="begin"/>
      </w:r>
      <w:r>
        <w:instrText xml:space="preserve"> HYPERLINK \l "_Toc29159" </w:instrText>
      </w:r>
      <w:r>
        <w:fldChar w:fldCharType="separate"/>
      </w:r>
      <w:r>
        <w:rPr>
          <w:rFonts w:hint="eastAsia" w:ascii="宋体" w:hAnsi="宋体" w:cs="宋体"/>
          <w:sz w:val="28"/>
          <w:szCs w:val="28"/>
        </w:rPr>
        <w:t>第八部分  竞争性谈判响应文件格式</w:t>
      </w:r>
      <w:r>
        <w:rPr>
          <w:sz w:val="28"/>
          <w:szCs w:val="28"/>
        </w:rPr>
        <w:tab/>
      </w:r>
      <w:r>
        <w:rPr>
          <w:sz w:val="28"/>
          <w:szCs w:val="28"/>
        </w:rPr>
        <w:fldChar w:fldCharType="begin"/>
      </w:r>
      <w:r>
        <w:rPr>
          <w:sz w:val="28"/>
          <w:szCs w:val="28"/>
        </w:rPr>
        <w:instrText xml:space="preserve"> PAGEREF _Toc29159 \h </w:instrText>
      </w:r>
      <w:r>
        <w:rPr>
          <w:sz w:val="28"/>
          <w:szCs w:val="28"/>
        </w:rPr>
        <w:fldChar w:fldCharType="separate"/>
      </w:r>
      <w:r>
        <w:rPr>
          <w:sz w:val="28"/>
          <w:szCs w:val="28"/>
        </w:rPr>
        <w:t>47</w:t>
      </w:r>
      <w:r>
        <w:rPr>
          <w:sz w:val="28"/>
          <w:szCs w:val="28"/>
        </w:rPr>
        <w:fldChar w:fldCharType="end"/>
      </w:r>
      <w:r>
        <w:rPr>
          <w:sz w:val="28"/>
          <w:szCs w:val="28"/>
        </w:rPr>
        <w:fldChar w:fldCharType="end"/>
      </w:r>
    </w:p>
    <w:p w14:paraId="3738B4E2">
      <w:pPr>
        <w:pStyle w:val="17"/>
        <w:tabs>
          <w:tab w:val="right" w:leader="dot" w:pos="8810"/>
        </w:tabs>
        <w:spacing w:line="600" w:lineRule="auto"/>
        <w:rPr>
          <w:rFonts w:ascii="宋体" w:hAnsi="宋体" w:cs="宋体"/>
          <w:b/>
          <w:bCs/>
          <w:sz w:val="24"/>
          <w:szCs w:val="24"/>
        </w:rPr>
      </w:pPr>
      <w:r>
        <w:rPr>
          <w:rFonts w:ascii="宋体" w:hAnsi="宋体" w:cs="宋体"/>
          <w:bCs/>
          <w:szCs w:val="24"/>
        </w:rPr>
        <w:fldChar w:fldCharType="end"/>
      </w:r>
    </w:p>
    <w:p w14:paraId="7F76C518">
      <w:pPr>
        <w:tabs>
          <w:tab w:val="left" w:pos="7605"/>
        </w:tabs>
        <w:rPr>
          <w:sz w:val="24"/>
          <w:szCs w:val="24"/>
        </w:rPr>
      </w:pPr>
      <w:r>
        <w:rPr>
          <w:rFonts w:hint="eastAsia"/>
          <w:sz w:val="24"/>
          <w:szCs w:val="24"/>
        </w:rPr>
        <w:tab/>
      </w:r>
    </w:p>
    <w:p w14:paraId="0AF96EC6">
      <w:pPr>
        <w:rPr>
          <w:sz w:val="24"/>
          <w:szCs w:val="24"/>
        </w:rPr>
      </w:pPr>
    </w:p>
    <w:p w14:paraId="35CB3485">
      <w:pPr>
        <w:rPr>
          <w:sz w:val="24"/>
          <w:szCs w:val="24"/>
        </w:rPr>
        <w:sectPr>
          <w:headerReference r:id="rId6" w:type="default"/>
          <w:footerReference r:id="rId7" w:type="default"/>
          <w:footnotePr>
            <w:pos w:val="beneathText"/>
          </w:footnotePr>
          <w:pgSz w:w="11906" w:h="16838"/>
          <w:pgMar w:top="1418" w:right="1644" w:bottom="1191" w:left="1758" w:header="851" w:footer="992" w:gutter="0"/>
          <w:pgNumType w:start="1"/>
          <w:cols w:space="720" w:num="1"/>
          <w:docGrid w:type="lines" w:linePitch="312" w:charSpace="0"/>
        </w:sectPr>
      </w:pPr>
    </w:p>
    <w:p w14:paraId="553833D9">
      <w:pPr>
        <w:pStyle w:val="17"/>
        <w:tabs>
          <w:tab w:val="right" w:leader="dot" w:pos="8829"/>
        </w:tabs>
        <w:spacing w:line="360" w:lineRule="auto"/>
        <w:jc w:val="center"/>
        <w:outlineLvl w:val="0"/>
        <w:rPr>
          <w:rFonts w:ascii="宋体" w:hAnsi="宋体"/>
          <w:sz w:val="24"/>
        </w:rPr>
      </w:pPr>
      <w:bookmarkStart w:id="9" w:name="_Toc14990"/>
      <w:bookmarkStart w:id="10" w:name="_Toc31446"/>
      <w:bookmarkStart w:id="11" w:name="_Toc4933"/>
      <w:r>
        <w:rPr>
          <w:rFonts w:hint="eastAsia" w:ascii="宋体" w:hAnsi="宋体" w:cs="宋体"/>
          <w:b/>
          <w:bCs/>
          <w:sz w:val="36"/>
          <w:szCs w:val="36"/>
        </w:rPr>
        <w:t>第一部分</w:t>
      </w:r>
      <w:bookmarkEnd w:id="0"/>
      <w:r>
        <w:rPr>
          <w:rFonts w:hint="eastAsia" w:ascii="宋体" w:hAnsi="宋体" w:cs="宋体"/>
          <w:b/>
          <w:bCs/>
          <w:sz w:val="36"/>
          <w:szCs w:val="36"/>
        </w:rPr>
        <w:t xml:space="preserve">  </w:t>
      </w:r>
      <w:r>
        <w:rPr>
          <w:rFonts w:hint="eastAsia" w:ascii="宋体" w:hAnsi="宋体" w:eastAsia="宋体" w:cs="宋体"/>
          <w:b/>
          <w:bCs/>
          <w:sz w:val="36"/>
          <w:szCs w:val="36"/>
        </w:rPr>
        <w:t>谈判公告</w:t>
      </w:r>
      <w:bookmarkEnd w:id="1"/>
      <w:bookmarkEnd w:id="2"/>
      <w:bookmarkEnd w:id="3"/>
      <w:bookmarkEnd w:id="4"/>
      <w:bookmarkEnd w:id="5"/>
      <w:bookmarkEnd w:id="6"/>
      <w:bookmarkEnd w:id="9"/>
      <w:bookmarkEnd w:id="10"/>
      <w:bookmarkEnd w:id="11"/>
      <w:bookmarkStart w:id="12" w:name="OLE_LINK5"/>
      <w:bookmarkStart w:id="13" w:name="_Toc246928892"/>
      <w:bookmarkStart w:id="14" w:name="OLE_LINK6"/>
      <w:bookmarkStart w:id="15" w:name="OLE_LINK15"/>
    </w:p>
    <w:p w14:paraId="0AD3D7D1">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50" w:beforeAutospacing="0" w:after="150" w:afterAutospacing="0" w:line="360" w:lineRule="auto"/>
        <w:ind w:left="0" w:right="0"/>
        <w:jc w:val="left"/>
        <w:textAlignment w:val="auto"/>
        <w:rPr>
          <w:rFonts w:hint="eastAsia" w:ascii="宋体" w:hAnsi="宋体" w:eastAsia="宋体" w:cs="宋体"/>
          <w:b w:val="0"/>
          <w:bCs w:val="0"/>
          <w:sz w:val="24"/>
          <w:szCs w:val="24"/>
        </w:rPr>
      </w:pPr>
      <w:r>
        <w:rPr>
          <w:rStyle w:val="24"/>
          <w:rFonts w:hint="eastAsia" w:ascii="宋体" w:hAnsi="宋体" w:eastAsia="宋体" w:cs="宋体"/>
          <w:b/>
          <w:bCs/>
          <w:i w:val="0"/>
          <w:iCs w:val="0"/>
          <w:caps w:val="0"/>
          <w:color w:val="333333"/>
          <w:spacing w:val="0"/>
          <w:sz w:val="24"/>
          <w:szCs w:val="24"/>
          <w:shd w:val="clear" w:fill="FFFFFF"/>
        </w:rPr>
        <w:t>项目概况</w:t>
      </w:r>
    </w:p>
    <w:p w14:paraId="7ECA3FD6">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150" w:beforeAutospacing="0" w:after="150" w:afterAutospacing="0" w:line="360" w:lineRule="auto"/>
        <w:ind w:left="0" w:right="0" w:firstLine="480"/>
        <w:jc w:val="both"/>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庭审业务设备货物采购项目采购项目的潜在供应商应在CA锁自行下载获取采购文件，并于 2025年11月28日 11时30分 （北京时间）前提交响应文件。</w:t>
      </w:r>
    </w:p>
    <w:p w14:paraId="25AFDCE2">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333333"/>
          <w:spacing w:val="0"/>
          <w:sz w:val="24"/>
          <w:szCs w:val="24"/>
        </w:rPr>
      </w:pPr>
      <w:r>
        <w:rPr>
          <w:rStyle w:val="24"/>
          <w:rFonts w:hint="eastAsia" w:ascii="宋体" w:hAnsi="宋体" w:eastAsia="宋体" w:cs="宋体"/>
          <w:b/>
          <w:bCs/>
          <w:i w:val="0"/>
          <w:iCs w:val="0"/>
          <w:caps w:val="0"/>
          <w:color w:val="333333"/>
          <w:spacing w:val="0"/>
          <w:sz w:val="24"/>
          <w:szCs w:val="24"/>
          <w:shd w:val="clear" w:fill="FFFFFF"/>
        </w:rPr>
        <w:t>一、项目基本情况</w:t>
      </w:r>
    </w:p>
    <w:p w14:paraId="60518843">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项目编号：HXZB-2025-016</w:t>
      </w:r>
    </w:p>
    <w:p w14:paraId="7665AEBB">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项目名称：庭审业务设备货物采购项目</w:t>
      </w:r>
    </w:p>
    <w:p w14:paraId="5CF998BD">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采购方式：竞争性谈判</w:t>
      </w:r>
    </w:p>
    <w:p w14:paraId="16071EB7">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预算金额：550,000.00元</w:t>
      </w:r>
    </w:p>
    <w:p w14:paraId="6326D0A7">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采购需求：</w:t>
      </w:r>
    </w:p>
    <w:p w14:paraId="5E7A9D5F">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合同包1(庭审业务设备货物采购项目):</w:t>
      </w:r>
    </w:p>
    <w:p w14:paraId="3A2FB095">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合同包预算金额：550,000.00元</w:t>
      </w:r>
    </w:p>
    <w:p w14:paraId="025DC44E">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合同包最高限价：550,000.00元</w:t>
      </w:r>
    </w:p>
    <w:tbl>
      <w:tblPr>
        <w:tblStyle w:val="21"/>
        <w:tblW w:w="9077"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609"/>
        <w:gridCol w:w="2121"/>
        <w:gridCol w:w="1833"/>
        <w:gridCol w:w="1378"/>
        <w:gridCol w:w="1658"/>
        <w:gridCol w:w="1478"/>
      </w:tblGrid>
      <w:tr w14:paraId="130E5F4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PrEx>
        <w:trPr>
          <w:trHeight w:val="1131" w:hRule="atLeast"/>
          <w:tblHeader/>
        </w:trPr>
        <w:tc>
          <w:tcPr>
            <w:tcW w:w="61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8A15261">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品目号</w:t>
            </w:r>
          </w:p>
        </w:tc>
        <w:tc>
          <w:tcPr>
            <w:tcW w:w="208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D9DCBEA">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品目名称</w:t>
            </w:r>
          </w:p>
        </w:tc>
        <w:tc>
          <w:tcPr>
            <w:tcW w:w="186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D7DA95D">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采购标的</w:t>
            </w:r>
          </w:p>
        </w:tc>
        <w:tc>
          <w:tcPr>
            <w:tcW w:w="139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87920C3">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数量（单位）</w:t>
            </w:r>
          </w:p>
        </w:tc>
        <w:tc>
          <w:tcPr>
            <w:tcW w:w="164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FEFA365">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技术规格、参数及要求</w:t>
            </w:r>
          </w:p>
        </w:tc>
        <w:tc>
          <w:tcPr>
            <w:tcW w:w="147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DA0F37B">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品目预算(元)</w:t>
            </w:r>
          </w:p>
        </w:tc>
      </w:tr>
      <w:tr w14:paraId="78376D6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805" w:hRule="atLeast"/>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1262751">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sz w:val="24"/>
                <w:szCs w:val="24"/>
              </w:rPr>
            </w:pPr>
            <w:r>
              <w:rPr>
                <w:rFonts w:hint="eastAsia" w:ascii="宋体" w:hAnsi="宋体" w:eastAsia="宋体" w:cs="宋体"/>
                <w:kern w:val="0"/>
                <w:sz w:val="24"/>
                <w:szCs w:val="24"/>
                <w:lang w:val="en-US" w:eastAsia="zh-CN" w:bidi="ar"/>
              </w:rPr>
              <w:t>1-1</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B5BD189">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sz w:val="24"/>
                <w:szCs w:val="24"/>
              </w:rPr>
            </w:pPr>
            <w:r>
              <w:rPr>
                <w:rFonts w:hint="eastAsia" w:ascii="宋体" w:hAnsi="宋体" w:eastAsia="宋体" w:cs="宋体"/>
                <w:kern w:val="0"/>
                <w:sz w:val="24"/>
                <w:szCs w:val="24"/>
                <w:lang w:val="en-US" w:eastAsia="zh-CN" w:bidi="ar"/>
              </w:rPr>
              <w:t>其他机房辅助设备</w:t>
            </w:r>
          </w:p>
        </w:tc>
        <w:tc>
          <w:tcPr>
            <w:tcW w:w="186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564C2F3">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sz w:val="24"/>
                <w:szCs w:val="24"/>
              </w:rPr>
            </w:pPr>
            <w:r>
              <w:rPr>
                <w:rFonts w:hint="eastAsia" w:ascii="宋体" w:hAnsi="宋体" w:eastAsia="宋体" w:cs="宋体"/>
                <w:kern w:val="0"/>
                <w:sz w:val="24"/>
                <w:szCs w:val="24"/>
                <w:lang w:val="en-US" w:eastAsia="zh-CN" w:bidi="ar"/>
              </w:rPr>
              <w:t>庭审业务设备货物采购项目</w:t>
            </w:r>
          </w:p>
        </w:tc>
        <w:tc>
          <w:tcPr>
            <w:tcW w:w="139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2E5FA86">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sz w:val="24"/>
                <w:szCs w:val="24"/>
              </w:rPr>
            </w:pPr>
            <w:r>
              <w:rPr>
                <w:rFonts w:hint="eastAsia" w:ascii="宋体" w:hAnsi="宋体" w:eastAsia="宋体" w:cs="宋体"/>
                <w:kern w:val="0"/>
                <w:sz w:val="24"/>
                <w:szCs w:val="24"/>
                <w:lang w:val="en-US" w:eastAsia="zh-CN" w:bidi="ar"/>
              </w:rPr>
              <w:t>1(项)</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2D37409">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sz w:val="24"/>
                <w:szCs w:val="24"/>
              </w:rPr>
            </w:pPr>
            <w:r>
              <w:rPr>
                <w:rFonts w:hint="eastAsia" w:ascii="宋体" w:hAnsi="宋体" w:eastAsia="宋体" w:cs="宋体"/>
                <w:kern w:val="0"/>
                <w:sz w:val="24"/>
                <w:szCs w:val="24"/>
                <w:lang w:val="en-US" w:eastAsia="zh-CN" w:bidi="ar"/>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7F8E3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sz w:val="24"/>
                <w:szCs w:val="24"/>
              </w:rPr>
            </w:pPr>
            <w:r>
              <w:rPr>
                <w:rFonts w:hint="eastAsia" w:ascii="宋体" w:hAnsi="宋体" w:eastAsia="宋体" w:cs="宋体"/>
                <w:kern w:val="0"/>
                <w:sz w:val="24"/>
                <w:szCs w:val="24"/>
                <w:lang w:val="en-US" w:eastAsia="zh-CN" w:bidi="ar"/>
              </w:rPr>
              <w:t>550,000.00</w:t>
            </w:r>
          </w:p>
        </w:tc>
      </w:tr>
    </w:tbl>
    <w:p w14:paraId="022ED758">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本合同包不接受联合体投标</w:t>
      </w:r>
    </w:p>
    <w:p w14:paraId="1692CAB0">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合同履行期限：无</w:t>
      </w:r>
    </w:p>
    <w:p w14:paraId="1878B444">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333333"/>
          <w:spacing w:val="0"/>
          <w:sz w:val="24"/>
          <w:szCs w:val="24"/>
        </w:rPr>
      </w:pPr>
      <w:r>
        <w:rPr>
          <w:rStyle w:val="24"/>
          <w:rFonts w:hint="eastAsia" w:ascii="宋体" w:hAnsi="宋体" w:eastAsia="宋体" w:cs="宋体"/>
          <w:b/>
          <w:bCs/>
          <w:i w:val="0"/>
          <w:iCs w:val="0"/>
          <w:caps w:val="0"/>
          <w:color w:val="333333"/>
          <w:spacing w:val="0"/>
          <w:sz w:val="24"/>
          <w:szCs w:val="24"/>
          <w:shd w:val="clear" w:fill="FFFFFF"/>
        </w:rPr>
        <w:t>二、申请人的资格要求：</w:t>
      </w:r>
    </w:p>
    <w:p w14:paraId="7BE842F9">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1.满足《中华人民共和国政府采购法》第二十二条规定;</w:t>
      </w:r>
    </w:p>
    <w:p w14:paraId="30B7D346">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2.落实政府采购政策需满足的资格要求：</w:t>
      </w:r>
    </w:p>
    <w:p w14:paraId="34237870">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合同包1(庭审业务设备货物采购项目)落实政府采购政策需满足的资格要求如下:</w:t>
      </w:r>
    </w:p>
    <w:p w14:paraId="34D2AB17">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480" w:right="0" w:firstLine="0"/>
        <w:jc w:val="both"/>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（1）《政府采购促进中小企业发展管理办法》（财库〔2020〕46号）；</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（2）《财政部司法部关于政府采购支持监狱企业发展有关问题的通知》（财库〔2014〕68号）；</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（3）《国务院办公厅关于建立政府强制采购节能产品制度的通知》（国办发〔2007〕51号）；</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（4）《财政部、民政部、中国残疾人联合会关于促进残疾人就业政府采购政策的通知》（财库[2017]141号）；</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（5）陕西省财政厅关于印发《陕西省中小企业政府采购信用融资办法》（陕财办采〔2018〕23号）；相关政策、业务流程、办理平台(http://www.ccgpshaanxi.gov.cn/zcdservice/zcd/shanxi/)；</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（6）《关于在政府采购活动中查询及使用信用记录有关问题的通知》（财库〔2016〕125号）；</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（7）《榆林市财政局关于进一步加大政府采购支持中小企业力度的通知》（榆政财采发〔2022〕10号)；</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（8）《陕西省财政厅关于进一步加大政府采购支持中小企业力度的通知》(陕财采发〔2022〕5号)；</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（9）《陕西省财政厅中国人民银行西安分行关于深人推进政府采购信用融资业务的通知》（陕财办采〔2023]5号）。</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（10）其他需要落实的政府采购政策。</w:t>
      </w:r>
    </w:p>
    <w:p w14:paraId="64096104">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3.本项目的特定资格要求：</w:t>
      </w:r>
    </w:p>
    <w:p w14:paraId="5FDFB7BF">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合同包1(庭审业务设备货物采购项目)特定资格要求如下:</w:t>
      </w:r>
    </w:p>
    <w:p w14:paraId="2549F81F">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480" w:right="0" w:firstLine="0"/>
        <w:jc w:val="both"/>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 </w:t>
      </w:r>
      <w:r>
        <w:rPr>
          <w:rFonts w:hint="eastAsia" w:ascii="宋体" w:hAnsi="宋体" w:eastAsia="宋体" w:cs="宋体"/>
          <w:i w:val="0"/>
          <w:iCs w:val="0"/>
          <w:caps w:val="0"/>
          <w:color w:val="333333"/>
          <w:spacing w:val="0"/>
          <w:sz w:val="24"/>
          <w:szCs w:val="24"/>
          <w:shd w:val="clear" w:fill="FFFFFF"/>
          <w:lang w:val="en-US" w:eastAsia="zh-CN"/>
        </w:rPr>
        <w:t xml:space="preserve">  </w:t>
      </w:r>
      <w:r>
        <w:rPr>
          <w:rFonts w:hint="eastAsia" w:ascii="宋体" w:hAnsi="宋体" w:eastAsia="宋体" w:cs="宋体"/>
          <w:i w:val="0"/>
          <w:iCs w:val="0"/>
          <w:caps w:val="0"/>
          <w:color w:val="333333"/>
          <w:spacing w:val="0"/>
          <w:sz w:val="24"/>
          <w:szCs w:val="24"/>
          <w:shd w:val="clear" w:fill="FFFFFF"/>
        </w:rPr>
        <w:t>1、投标人须具备独立承担民事责任能力的法人或其他组织，提供合法有效的统一社会信用代码的营业执照； </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  2、财务状况报告：提供企业2024年赋码财务审计报告（至少包括资产负债表、利润表、现金流量表及附注，提供的财务审计报告需在注册会计师行业统一监管平台（http://acc.mof.gov.cn/）可查询并提供网页截图）或开标前六个月内其基本账户银行出具的资信证明或财政部门认可的政府采购专业担保机构出具的担保函，以上形式的证明资料提供任何一种即可；</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  3、社会保障资金缴纳证明：提供2025年1月至今已缴存的至少一个月的社会保障资金缴纳证明（社会保障资金缴存单据或社保机构开具的社会保险参保缴费情况证明），依法不需要缴纳社会保障资金的单位应提供相关证明材料；</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  4、税收缴纳证明：提供2025年1月至今已缴纳的至少一个月的税收缴纳证明（时间以税款所属日期为准、税种须包含增值税或企业所得税，凭据应有税务机关或代收机关的公章或业务专用章）依法免税或无须缴纳税收的供应商，应提供相应证明文件；</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  5、参加政府采购活动前3年内在经营活动中没有重大违法记录的书面声明（格式自拟，加盖投标人公章）；</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  6、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提供查询结果网页截图并加盖供应商公章）有以上不良记录的不得参与评审活动；</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  7、投标保证金用投标信用承诺书代替（提供投标信用承诺书）；</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  8、本项目不接受联合体投标，单位负责人为同一人或者存在直接控股、管理关系的不同投标人，不得参加同一合同项下的政府采购活动（须提供非联合体投标声明函）。</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  注：本项目非专门面向中小企业采购。</w:t>
      </w:r>
    </w:p>
    <w:p w14:paraId="0FBF415B">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333333"/>
          <w:spacing w:val="0"/>
          <w:sz w:val="24"/>
          <w:szCs w:val="24"/>
        </w:rPr>
      </w:pPr>
      <w:r>
        <w:rPr>
          <w:rStyle w:val="24"/>
          <w:rFonts w:hint="eastAsia" w:ascii="宋体" w:hAnsi="宋体" w:eastAsia="宋体" w:cs="宋体"/>
          <w:b/>
          <w:bCs/>
          <w:i w:val="0"/>
          <w:iCs w:val="0"/>
          <w:caps w:val="0"/>
          <w:color w:val="333333"/>
          <w:spacing w:val="0"/>
          <w:sz w:val="24"/>
          <w:szCs w:val="24"/>
          <w:shd w:val="clear" w:fill="FFFFFF"/>
        </w:rPr>
        <w:t>三、获取采购文件</w:t>
      </w:r>
    </w:p>
    <w:p w14:paraId="5CD8110F">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时间： 2025年11月25日 至 2025年11月27日 ，每天上午 08:00:00 至 12:00:00 ，下午 12:00:00 至 18:00:00 （北京时间）</w:t>
      </w:r>
    </w:p>
    <w:p w14:paraId="0F5F1139">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途径：CA锁自行下载</w:t>
      </w:r>
    </w:p>
    <w:p w14:paraId="2E9C53F3">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方式：在线获取</w:t>
      </w:r>
    </w:p>
    <w:p w14:paraId="16D3E02D">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售价： 0元</w:t>
      </w:r>
    </w:p>
    <w:p w14:paraId="56BAEE5D">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333333"/>
          <w:spacing w:val="0"/>
          <w:sz w:val="24"/>
          <w:szCs w:val="24"/>
        </w:rPr>
      </w:pPr>
      <w:r>
        <w:rPr>
          <w:rStyle w:val="24"/>
          <w:rFonts w:hint="eastAsia" w:ascii="宋体" w:hAnsi="宋体" w:eastAsia="宋体" w:cs="宋体"/>
          <w:b/>
          <w:bCs/>
          <w:i w:val="0"/>
          <w:iCs w:val="0"/>
          <w:caps w:val="0"/>
          <w:color w:val="333333"/>
          <w:spacing w:val="0"/>
          <w:sz w:val="24"/>
          <w:szCs w:val="24"/>
          <w:shd w:val="clear" w:fill="FFFFFF"/>
        </w:rPr>
        <w:t>四、响应文件提交</w:t>
      </w:r>
    </w:p>
    <w:p w14:paraId="0F218BE1">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截止时间： 2025年11月28日 11时30分00秒 （北京时间）</w:t>
      </w:r>
    </w:p>
    <w:p w14:paraId="4C1B19BB">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地点：榆林市公共资源交易中心十楼开标11室</w:t>
      </w:r>
    </w:p>
    <w:p w14:paraId="69B15516">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333333"/>
          <w:spacing w:val="0"/>
          <w:sz w:val="24"/>
          <w:szCs w:val="24"/>
        </w:rPr>
      </w:pPr>
      <w:r>
        <w:rPr>
          <w:rStyle w:val="24"/>
          <w:rFonts w:hint="eastAsia" w:ascii="宋体" w:hAnsi="宋体" w:eastAsia="宋体" w:cs="宋体"/>
          <w:b/>
          <w:bCs/>
          <w:i w:val="0"/>
          <w:iCs w:val="0"/>
          <w:caps w:val="0"/>
          <w:color w:val="333333"/>
          <w:spacing w:val="0"/>
          <w:sz w:val="24"/>
          <w:szCs w:val="24"/>
          <w:shd w:val="clear" w:fill="FFFFFF"/>
        </w:rPr>
        <w:t>五、开启</w:t>
      </w:r>
    </w:p>
    <w:p w14:paraId="0F6F2BCC">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时间： 2025年11月28日 11时30分00秒 （北京时间）</w:t>
      </w:r>
    </w:p>
    <w:p w14:paraId="5566D73C">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地点：榆林市公共资源交易中心十楼开标11室</w:t>
      </w:r>
    </w:p>
    <w:p w14:paraId="4469D57D">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333333"/>
          <w:spacing w:val="0"/>
          <w:sz w:val="24"/>
          <w:szCs w:val="24"/>
        </w:rPr>
      </w:pPr>
      <w:r>
        <w:rPr>
          <w:rStyle w:val="24"/>
          <w:rFonts w:hint="eastAsia" w:ascii="宋体" w:hAnsi="宋体" w:eastAsia="宋体" w:cs="宋体"/>
          <w:b/>
          <w:bCs/>
          <w:i w:val="0"/>
          <w:iCs w:val="0"/>
          <w:caps w:val="0"/>
          <w:color w:val="333333"/>
          <w:spacing w:val="0"/>
          <w:sz w:val="24"/>
          <w:szCs w:val="24"/>
          <w:shd w:val="clear" w:fill="FFFFFF"/>
        </w:rPr>
        <w:t>六、公告期限</w:t>
      </w:r>
    </w:p>
    <w:p w14:paraId="37B605ED">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自本公告发布之日起3个工作日。</w:t>
      </w:r>
    </w:p>
    <w:p w14:paraId="3A89B3C0">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333333"/>
          <w:spacing w:val="0"/>
          <w:sz w:val="24"/>
          <w:szCs w:val="24"/>
        </w:rPr>
      </w:pPr>
      <w:r>
        <w:rPr>
          <w:rStyle w:val="24"/>
          <w:rFonts w:hint="eastAsia" w:ascii="宋体" w:hAnsi="宋体" w:eastAsia="宋体" w:cs="宋体"/>
          <w:b/>
          <w:bCs/>
          <w:i w:val="0"/>
          <w:iCs w:val="0"/>
          <w:caps w:val="0"/>
          <w:color w:val="333333"/>
          <w:spacing w:val="0"/>
          <w:sz w:val="24"/>
          <w:szCs w:val="24"/>
          <w:shd w:val="clear" w:fill="FFFFFF"/>
        </w:rPr>
        <w:t>七、其他补充事宜</w:t>
      </w:r>
    </w:p>
    <w:p w14:paraId="275F1767">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shd w:val="clear" w:fill="FFFFFF"/>
          <w:lang w:val="en-US" w:eastAsia="zh-CN" w:bidi="ar"/>
        </w:rPr>
        <w:t>1.供应商可登录全国公共资源交易中心平台(陕西省) (http://www.sxggzyjy.cn/) ,选择“电子交易平台-陕西政府采购交易系统-陕西省公共资源交易平台-供应商”进行登录，登录后选择“交易乙方”身份进入供应商界面进行报名并免费下载谈判文件。</w:t>
      </w:r>
    </w:p>
    <w:p w14:paraId="3DD0A5F9">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shd w:val="clear" w:fill="FFFFFF"/>
          <w:lang w:val="en-US" w:eastAsia="zh-CN" w:bidi="ar"/>
        </w:rPr>
        <w:t>2.本项目采用电子化招投标的方式，供应商使用数字认证证书(CA锁)对投标文件进行签章、加密、递交及开标时解密等相关招投标事宜。</w:t>
      </w:r>
    </w:p>
    <w:p w14:paraId="2B83BAA0">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shd w:val="clear" w:fill="FFFFFF"/>
          <w:lang w:val="en-US" w:eastAsia="zh-CN" w:bidi="ar"/>
        </w:rPr>
        <w:t>3.电子投标文件制作软件技术支持热线：400-998-0000，CA锁购买：榆林市民大厦3楼E18、E19窗口,电话：0912-3452148。</w:t>
      </w:r>
    </w:p>
    <w:p w14:paraId="28C80669">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shd w:val="clear" w:fill="FFFFFF"/>
          <w:lang w:val="en-US" w:eastAsia="zh-CN" w:bidi="ar"/>
        </w:rPr>
        <w:t>4.本项目采用“不见面”开标形式，不见面开标系统操作手册下载方式：登录【全国公共资源交易平台(陕西省)】网站首页选择【服务指南】-【下载专区】 -点击【关于陕西省公共资源交易平台多CA互认系统正式上线运行的通知】进行下载。</w:t>
      </w:r>
    </w:p>
    <w:p w14:paraId="360ABD7C">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shd w:val="clear" w:fill="FFFFFF"/>
          <w:lang w:val="en-US" w:eastAsia="zh-CN" w:bidi="ar"/>
        </w:rPr>
        <w:t>5、供应商应随时关注发布的变更公告，当澄清或修改的内容影响投标文件编制时，将在交易平台上发布答疑文件，投标人应从“项目流程·〉答疑文件下载”下载最新发布的答疑文件（*.SXSCF格式），并使用该文件重新编制电子投标文件（*.SXSTF格式），使用旧版电子谈判文件或旧版答疑文件制作的电子投标文件，系统将拒绝接收。</w:t>
      </w:r>
    </w:p>
    <w:p w14:paraId="0504433C">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shd w:val="clear" w:fill="FFFFFF"/>
          <w:lang w:val="en-US" w:eastAsia="zh-CN" w:bidi="ar"/>
        </w:rPr>
        <w:t>6.请各供应商按照陕西省财政厅《关于政府采购投标供应商注册登记有关事项的通知》要求，通过陕西省政府采购 (http://www.ccgp-shaanxi.gov.cn/) 注册登记加入陕西省政府采购投标供应商库。</w:t>
      </w:r>
    </w:p>
    <w:p w14:paraId="1BAEF1D8">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150" w:beforeAutospacing="0" w:after="0" w:afterAutospacing="0" w:line="360" w:lineRule="auto"/>
        <w:ind w:left="0" w:right="0" w:firstLine="0"/>
        <w:jc w:val="left"/>
        <w:textAlignment w:val="auto"/>
        <w:rPr>
          <w:rFonts w:hint="eastAsia" w:ascii="宋体" w:hAnsi="宋体" w:eastAsia="宋体" w:cs="宋体"/>
          <w:b w:val="0"/>
          <w:bCs w:val="0"/>
          <w:i w:val="0"/>
          <w:iCs w:val="0"/>
          <w:caps w:val="0"/>
          <w:color w:val="333333"/>
          <w:spacing w:val="0"/>
          <w:sz w:val="24"/>
          <w:szCs w:val="24"/>
        </w:rPr>
      </w:pPr>
      <w:r>
        <w:rPr>
          <w:rStyle w:val="24"/>
          <w:rFonts w:hint="eastAsia" w:ascii="宋体" w:hAnsi="宋体" w:eastAsia="宋体" w:cs="宋体"/>
          <w:b/>
          <w:bCs/>
          <w:i w:val="0"/>
          <w:iCs w:val="0"/>
          <w:caps w:val="0"/>
          <w:color w:val="333333"/>
          <w:spacing w:val="0"/>
          <w:sz w:val="24"/>
          <w:szCs w:val="24"/>
          <w:shd w:val="clear" w:fill="FFFFFF"/>
        </w:rPr>
        <w:t>八、对本次招标提出询问，请按以下方式联系。</w:t>
      </w:r>
    </w:p>
    <w:p w14:paraId="45673AB0">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rPr>
        <w:t>1.采购人信息</w:t>
      </w:r>
    </w:p>
    <w:p w14:paraId="07CAA575">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名称：神木市人民法院</w:t>
      </w:r>
    </w:p>
    <w:p w14:paraId="4DF5C612">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地址：陕西省榆林市神木市东兴街北段</w:t>
      </w:r>
    </w:p>
    <w:p w14:paraId="1DDE2823">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联系方式：15686758672</w:t>
      </w:r>
    </w:p>
    <w:p w14:paraId="230DC0E7">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rPr>
        <w:t>2.采购代理机构信息</w:t>
      </w:r>
    </w:p>
    <w:p w14:paraId="3CE8FCBE">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名称：陕西塞上华熙项目管理有限公司</w:t>
      </w:r>
    </w:p>
    <w:p w14:paraId="447D9AAC">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地址：榆林市高新技术产业园区东环路风景家园3排4号</w:t>
      </w:r>
    </w:p>
    <w:p w14:paraId="67195107">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联系方式：15619910006</w:t>
      </w:r>
    </w:p>
    <w:p w14:paraId="16E80531">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rPr>
        <w:t>3.项目联系方式</w:t>
      </w:r>
    </w:p>
    <w:p w14:paraId="48EA862B">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项目联系人：纪瑜</w:t>
      </w:r>
    </w:p>
    <w:p w14:paraId="335B25A6">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rPr>
        <w:t>电话：15619910006</w:t>
      </w:r>
    </w:p>
    <w:p w14:paraId="06926CB4">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right"/>
        <w:textAlignment w:val="baseline"/>
        <w:rPr>
          <w:rFonts w:hint="eastAsia" w:ascii="宋体" w:hAnsi="宋体" w:eastAsia="宋体" w:cs="宋体"/>
          <w:i w:val="0"/>
          <w:iCs w:val="0"/>
          <w:caps w:val="0"/>
          <w:color w:val="333333"/>
          <w:spacing w:val="0"/>
          <w:sz w:val="24"/>
          <w:szCs w:val="24"/>
          <w:lang w:eastAsia="zh-CN"/>
        </w:rPr>
      </w:pPr>
      <w:r>
        <w:rPr>
          <w:rFonts w:hint="eastAsia" w:ascii="宋体" w:hAnsi="宋体" w:cs="宋体"/>
          <w:i w:val="0"/>
          <w:iCs w:val="0"/>
          <w:caps w:val="0"/>
          <w:color w:val="333333"/>
          <w:spacing w:val="0"/>
          <w:sz w:val="24"/>
          <w:szCs w:val="24"/>
          <w:shd w:val="clear" w:fill="FFFFFF"/>
          <w:vertAlign w:val="baseline"/>
          <w:lang w:eastAsia="zh-CN"/>
        </w:rPr>
        <w:t>陕西塞上华熙项目管理有限公司</w:t>
      </w:r>
    </w:p>
    <w:p w14:paraId="4FAC3271">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right"/>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2025年11月2</w:t>
      </w:r>
      <w:r>
        <w:rPr>
          <w:rFonts w:hint="eastAsia" w:ascii="宋体" w:hAnsi="宋体" w:cs="宋体"/>
          <w:i w:val="0"/>
          <w:iCs w:val="0"/>
          <w:caps w:val="0"/>
          <w:color w:val="333333"/>
          <w:spacing w:val="0"/>
          <w:sz w:val="24"/>
          <w:szCs w:val="24"/>
          <w:shd w:val="clear" w:fill="FFFFFF"/>
          <w:vertAlign w:val="baseline"/>
          <w:lang w:val="en-US" w:eastAsia="zh-CN"/>
        </w:rPr>
        <w:t>4</w:t>
      </w:r>
      <w:r>
        <w:rPr>
          <w:rFonts w:hint="eastAsia" w:ascii="宋体" w:hAnsi="宋体" w:eastAsia="宋体" w:cs="宋体"/>
          <w:i w:val="0"/>
          <w:iCs w:val="0"/>
          <w:caps w:val="0"/>
          <w:color w:val="333333"/>
          <w:spacing w:val="0"/>
          <w:sz w:val="24"/>
          <w:szCs w:val="24"/>
          <w:shd w:val="clear" w:fill="FFFFFF"/>
          <w:vertAlign w:val="baseline"/>
        </w:rPr>
        <w:t>日</w:t>
      </w:r>
    </w:p>
    <w:p w14:paraId="08E2A27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p>
    <w:p w14:paraId="2123924A">
      <w:pPr>
        <w:pStyle w:val="37"/>
        <w:keepNext w:val="0"/>
        <w:keepLines w:val="0"/>
        <w:pageBreakBefore w:val="0"/>
        <w:kinsoku/>
        <w:overflowPunct/>
        <w:topLinePunct w:val="0"/>
        <w:autoSpaceDE/>
        <w:autoSpaceDN/>
        <w:bidi w:val="0"/>
        <w:adjustRightInd/>
        <w:snapToGrid/>
        <w:spacing w:line="360" w:lineRule="auto"/>
        <w:ind w:firstLine="480" w:firstLineChars="200"/>
        <w:rPr>
          <w:rFonts w:hint="eastAsia" w:ascii="宋体" w:hAnsi="宋体" w:eastAsia="宋体" w:cs="宋体"/>
          <w:sz w:val="24"/>
          <w:szCs w:val="24"/>
        </w:rPr>
      </w:pPr>
    </w:p>
    <w:p w14:paraId="76942763">
      <w:pPr>
        <w:pStyle w:val="37"/>
        <w:keepNext w:val="0"/>
        <w:keepLines w:val="0"/>
        <w:pageBreakBefore w:val="0"/>
        <w:kinsoku/>
        <w:overflowPunct/>
        <w:topLinePunct w:val="0"/>
        <w:autoSpaceDE/>
        <w:autoSpaceDN/>
        <w:bidi w:val="0"/>
        <w:adjustRightInd/>
        <w:snapToGrid/>
        <w:spacing w:line="360" w:lineRule="auto"/>
        <w:ind w:firstLine="480" w:firstLineChars="200"/>
        <w:rPr>
          <w:rFonts w:hint="eastAsia"/>
          <w:sz w:val="24"/>
          <w:szCs w:val="24"/>
        </w:rPr>
      </w:pPr>
    </w:p>
    <w:p w14:paraId="6B6899E2">
      <w:pPr>
        <w:pStyle w:val="37"/>
        <w:rPr>
          <w:rFonts w:hint="eastAsia"/>
          <w:sz w:val="24"/>
          <w:szCs w:val="24"/>
        </w:rPr>
      </w:pPr>
    </w:p>
    <w:p w14:paraId="4FD89608">
      <w:pPr>
        <w:pStyle w:val="37"/>
        <w:rPr>
          <w:rFonts w:hint="eastAsia"/>
          <w:sz w:val="24"/>
          <w:szCs w:val="24"/>
        </w:rPr>
      </w:pPr>
    </w:p>
    <w:p w14:paraId="2A367547">
      <w:pPr>
        <w:pStyle w:val="37"/>
        <w:rPr>
          <w:rFonts w:hint="eastAsia"/>
          <w:sz w:val="24"/>
          <w:szCs w:val="24"/>
        </w:rPr>
      </w:pPr>
    </w:p>
    <w:p w14:paraId="0D513818">
      <w:pPr>
        <w:pStyle w:val="37"/>
        <w:rPr>
          <w:rFonts w:hint="eastAsia"/>
          <w:sz w:val="24"/>
          <w:szCs w:val="24"/>
        </w:rPr>
      </w:pPr>
    </w:p>
    <w:p w14:paraId="715A631E">
      <w:pPr>
        <w:pStyle w:val="37"/>
        <w:rPr>
          <w:rFonts w:hint="eastAsia"/>
          <w:sz w:val="24"/>
          <w:szCs w:val="24"/>
        </w:rPr>
      </w:pPr>
    </w:p>
    <w:p w14:paraId="3AC3C84A">
      <w:pPr>
        <w:pStyle w:val="37"/>
        <w:rPr>
          <w:rFonts w:hint="eastAsia"/>
          <w:sz w:val="24"/>
          <w:szCs w:val="24"/>
        </w:rPr>
      </w:pPr>
    </w:p>
    <w:p w14:paraId="243B2D01">
      <w:pPr>
        <w:pStyle w:val="37"/>
        <w:rPr>
          <w:rFonts w:hint="eastAsia"/>
          <w:sz w:val="24"/>
          <w:szCs w:val="24"/>
        </w:rPr>
      </w:pPr>
    </w:p>
    <w:p w14:paraId="2A6FD2F1">
      <w:pPr>
        <w:pStyle w:val="37"/>
        <w:rPr>
          <w:rFonts w:hint="eastAsia"/>
          <w:sz w:val="24"/>
          <w:szCs w:val="24"/>
        </w:rPr>
      </w:pPr>
    </w:p>
    <w:p w14:paraId="6A13BAC5">
      <w:pPr>
        <w:pStyle w:val="37"/>
        <w:rPr>
          <w:rFonts w:hint="eastAsia"/>
          <w:sz w:val="24"/>
          <w:szCs w:val="24"/>
        </w:rPr>
      </w:pPr>
    </w:p>
    <w:p w14:paraId="4FB9C7A5">
      <w:pPr>
        <w:pStyle w:val="37"/>
        <w:rPr>
          <w:rFonts w:hint="eastAsia"/>
          <w:sz w:val="24"/>
          <w:szCs w:val="24"/>
        </w:rPr>
      </w:pPr>
    </w:p>
    <w:p w14:paraId="41DEB942">
      <w:pPr>
        <w:pStyle w:val="37"/>
        <w:rPr>
          <w:rFonts w:hint="eastAsia"/>
          <w:sz w:val="24"/>
          <w:szCs w:val="24"/>
        </w:rPr>
      </w:pPr>
    </w:p>
    <w:p w14:paraId="647F23FD">
      <w:pPr>
        <w:pStyle w:val="37"/>
        <w:rPr>
          <w:rFonts w:hint="eastAsia"/>
          <w:sz w:val="24"/>
          <w:szCs w:val="24"/>
        </w:rPr>
      </w:pPr>
    </w:p>
    <w:p w14:paraId="384EB1CF">
      <w:pPr>
        <w:pStyle w:val="37"/>
        <w:rPr>
          <w:rFonts w:hint="eastAsia"/>
          <w:sz w:val="24"/>
          <w:szCs w:val="24"/>
        </w:rPr>
      </w:pPr>
    </w:p>
    <w:p w14:paraId="6846E0BF">
      <w:pPr>
        <w:pStyle w:val="37"/>
        <w:rPr>
          <w:rFonts w:hint="eastAsia"/>
          <w:sz w:val="24"/>
          <w:szCs w:val="24"/>
        </w:rPr>
      </w:pPr>
    </w:p>
    <w:p w14:paraId="319EEF1E">
      <w:pPr>
        <w:pStyle w:val="37"/>
        <w:rPr>
          <w:rFonts w:hint="eastAsia"/>
          <w:sz w:val="24"/>
          <w:szCs w:val="24"/>
        </w:rPr>
      </w:pPr>
    </w:p>
    <w:p w14:paraId="5D75D635">
      <w:pPr>
        <w:pStyle w:val="37"/>
        <w:rPr>
          <w:rFonts w:hint="eastAsia"/>
          <w:sz w:val="24"/>
          <w:szCs w:val="24"/>
        </w:rPr>
      </w:pPr>
    </w:p>
    <w:p w14:paraId="6ED662D0">
      <w:pPr>
        <w:pStyle w:val="2"/>
        <w:numPr>
          <w:ilvl w:val="0"/>
          <w:numId w:val="1"/>
        </w:numPr>
        <w:spacing w:line="360" w:lineRule="auto"/>
        <w:jc w:val="center"/>
        <w:rPr>
          <w:rFonts w:ascii="宋体" w:hAnsi="宋体" w:cs="宋体"/>
          <w:sz w:val="36"/>
          <w:szCs w:val="36"/>
        </w:rPr>
      </w:pPr>
      <w:r>
        <w:rPr>
          <w:rFonts w:hint="eastAsia" w:ascii="宋体" w:hAnsi="宋体" w:cs="宋体"/>
          <w:sz w:val="36"/>
          <w:szCs w:val="36"/>
        </w:rPr>
        <w:t xml:space="preserve"> </w:t>
      </w:r>
      <w:bookmarkStart w:id="16" w:name="_Toc17537"/>
      <w:bookmarkStart w:id="17" w:name="_Toc27563"/>
      <w:bookmarkStart w:id="18" w:name="_Toc21055"/>
      <w:r>
        <w:rPr>
          <w:rFonts w:hint="eastAsia" w:ascii="宋体" w:hAnsi="宋体" w:cs="宋体"/>
          <w:sz w:val="36"/>
          <w:szCs w:val="36"/>
        </w:rPr>
        <w:t>供应商须知前附表</w:t>
      </w:r>
      <w:bookmarkEnd w:id="16"/>
      <w:bookmarkEnd w:id="17"/>
      <w:bookmarkEnd w:id="18"/>
    </w:p>
    <w:tbl>
      <w:tblPr>
        <w:tblStyle w:val="21"/>
        <w:tblW w:w="97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2"/>
        <w:gridCol w:w="9041"/>
      </w:tblGrid>
      <w:tr w14:paraId="6A838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752" w:type="dxa"/>
            <w:noWrap w:val="0"/>
            <w:vAlign w:val="center"/>
          </w:tcPr>
          <w:p w14:paraId="4DDCBB04">
            <w:pPr>
              <w:spacing w:line="360" w:lineRule="auto"/>
              <w:jc w:val="center"/>
              <w:rPr>
                <w:rFonts w:ascii="宋体" w:hAnsi="宋体" w:cs="宋体"/>
                <w:b/>
                <w:sz w:val="24"/>
                <w:szCs w:val="24"/>
              </w:rPr>
            </w:pPr>
            <w:r>
              <w:rPr>
                <w:rFonts w:hint="eastAsia" w:ascii="宋体" w:hAnsi="宋体" w:cs="宋体"/>
                <w:b/>
                <w:sz w:val="24"/>
                <w:szCs w:val="24"/>
              </w:rPr>
              <w:t>项号</w:t>
            </w:r>
          </w:p>
        </w:tc>
        <w:tc>
          <w:tcPr>
            <w:tcW w:w="9041" w:type="dxa"/>
            <w:noWrap w:val="0"/>
            <w:vAlign w:val="center"/>
          </w:tcPr>
          <w:p w14:paraId="4EE8BDF7">
            <w:pPr>
              <w:spacing w:line="360" w:lineRule="auto"/>
              <w:jc w:val="center"/>
              <w:rPr>
                <w:rFonts w:ascii="宋体" w:hAnsi="宋体" w:cs="宋体"/>
                <w:b/>
                <w:sz w:val="24"/>
                <w:szCs w:val="24"/>
              </w:rPr>
            </w:pPr>
            <w:r>
              <w:rPr>
                <w:rFonts w:hint="eastAsia" w:ascii="宋体" w:hAnsi="宋体" w:cs="宋体"/>
                <w:b/>
                <w:sz w:val="24"/>
                <w:szCs w:val="24"/>
              </w:rPr>
              <w:t>编列内容</w:t>
            </w:r>
          </w:p>
        </w:tc>
      </w:tr>
      <w:tr w14:paraId="09C84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752" w:type="dxa"/>
            <w:noWrap w:val="0"/>
            <w:vAlign w:val="center"/>
          </w:tcPr>
          <w:p w14:paraId="326A9C74">
            <w:pPr>
              <w:numPr>
                <w:ilvl w:val="0"/>
                <w:numId w:val="2"/>
              </w:numPr>
              <w:spacing w:line="360" w:lineRule="auto"/>
              <w:jc w:val="center"/>
              <w:rPr>
                <w:rFonts w:ascii="宋体" w:hAnsi="宋体" w:cs="宋体"/>
                <w:sz w:val="24"/>
                <w:szCs w:val="24"/>
              </w:rPr>
            </w:pPr>
          </w:p>
        </w:tc>
        <w:tc>
          <w:tcPr>
            <w:tcW w:w="9041" w:type="dxa"/>
            <w:noWrap w:val="0"/>
            <w:vAlign w:val="center"/>
          </w:tcPr>
          <w:p w14:paraId="424A3DCC">
            <w:pPr>
              <w:adjustRightInd w:val="0"/>
              <w:snapToGrid w:val="0"/>
              <w:spacing w:line="450" w:lineRule="exact"/>
              <w:jc w:val="left"/>
              <w:rPr>
                <w:rFonts w:hint="eastAsia"/>
                <w:sz w:val="24"/>
                <w:szCs w:val="22"/>
                <w:lang w:eastAsia="zh-CN"/>
              </w:rPr>
            </w:pPr>
            <w:r>
              <w:rPr>
                <w:rFonts w:hint="eastAsia" w:ascii="宋体" w:hAnsi="宋体" w:cs="宋体"/>
                <w:sz w:val="24"/>
                <w:szCs w:val="24"/>
              </w:rPr>
              <w:t>采购项目名称：</w:t>
            </w:r>
            <w:r>
              <w:rPr>
                <w:rFonts w:hint="eastAsia"/>
                <w:sz w:val="24"/>
                <w:szCs w:val="22"/>
                <w:lang w:eastAsia="zh-CN"/>
              </w:rPr>
              <w:t>神木市人民法院庭审业务设备货物采购项目</w:t>
            </w:r>
          </w:p>
          <w:p w14:paraId="27AAA3CE">
            <w:pPr>
              <w:adjustRightInd w:val="0"/>
              <w:snapToGrid w:val="0"/>
              <w:spacing w:line="450" w:lineRule="exact"/>
              <w:jc w:val="left"/>
              <w:rPr>
                <w:rFonts w:hint="default" w:eastAsia="宋体"/>
                <w:lang w:val="en-US" w:eastAsia="zh-CN"/>
              </w:rPr>
            </w:pPr>
            <w:r>
              <w:rPr>
                <w:rFonts w:hint="eastAsia" w:ascii="宋体" w:hAnsi="宋体" w:cs="宋体"/>
                <w:sz w:val="24"/>
                <w:szCs w:val="24"/>
              </w:rPr>
              <w:t>采购项目编号：</w:t>
            </w:r>
            <w:r>
              <w:rPr>
                <w:rFonts w:hint="eastAsia" w:ascii="宋体" w:hAnsi="宋体" w:cs="宋体"/>
                <w:sz w:val="24"/>
                <w:szCs w:val="24"/>
                <w:lang w:eastAsia="zh-CN"/>
              </w:rPr>
              <w:t>HXZB-2025-016</w:t>
            </w:r>
          </w:p>
        </w:tc>
      </w:tr>
      <w:tr w14:paraId="2D109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752" w:type="dxa"/>
            <w:noWrap w:val="0"/>
            <w:vAlign w:val="center"/>
          </w:tcPr>
          <w:p w14:paraId="3FBA4D41">
            <w:pPr>
              <w:numPr>
                <w:ilvl w:val="0"/>
                <w:numId w:val="2"/>
              </w:numPr>
              <w:spacing w:line="360" w:lineRule="auto"/>
              <w:jc w:val="center"/>
              <w:rPr>
                <w:rFonts w:ascii="宋体" w:hAnsi="宋体" w:cs="宋体"/>
                <w:sz w:val="24"/>
                <w:szCs w:val="24"/>
              </w:rPr>
            </w:pPr>
          </w:p>
        </w:tc>
        <w:tc>
          <w:tcPr>
            <w:tcW w:w="9041" w:type="dxa"/>
            <w:noWrap w:val="0"/>
            <w:vAlign w:val="center"/>
          </w:tcPr>
          <w:p w14:paraId="49B62031">
            <w:pPr>
              <w:spacing w:line="360" w:lineRule="auto"/>
              <w:rPr>
                <w:rFonts w:ascii="宋体" w:hAnsi="宋体" w:cs="宋体"/>
                <w:sz w:val="24"/>
                <w:szCs w:val="24"/>
              </w:rPr>
            </w:pPr>
            <w:r>
              <w:rPr>
                <w:rFonts w:hint="eastAsia" w:ascii="宋体" w:hAnsi="宋体" w:cs="宋体"/>
                <w:sz w:val="24"/>
                <w:szCs w:val="24"/>
              </w:rPr>
              <w:t>项目性质：财政拨款</w:t>
            </w:r>
          </w:p>
          <w:p w14:paraId="2999EF6A">
            <w:pPr>
              <w:spacing w:line="360" w:lineRule="auto"/>
              <w:rPr>
                <w:rFonts w:hint="eastAsia" w:ascii="宋体" w:hAnsi="宋体" w:eastAsia="宋体" w:cs="宋体"/>
                <w:sz w:val="24"/>
                <w:szCs w:val="24"/>
                <w:lang w:eastAsia="zh-CN"/>
              </w:rPr>
            </w:pPr>
            <w:r>
              <w:rPr>
                <w:rFonts w:hint="eastAsia" w:ascii="宋体" w:hAnsi="宋体" w:cs="宋体"/>
                <w:sz w:val="24"/>
                <w:szCs w:val="24"/>
              </w:rPr>
              <w:t>本项目采购总预算：</w:t>
            </w:r>
            <w:r>
              <w:rPr>
                <w:rFonts w:hint="eastAsia" w:ascii="宋体" w:hAnsi="宋体" w:eastAsia="宋体" w:cs="宋体"/>
                <w:i w:val="0"/>
                <w:iCs w:val="0"/>
                <w:caps w:val="0"/>
                <w:color w:val="333333"/>
                <w:spacing w:val="0"/>
                <w:sz w:val="24"/>
                <w:szCs w:val="24"/>
                <w:shd w:val="clear" w:fill="FFFFFF"/>
              </w:rPr>
              <w:t>550,000.00</w:t>
            </w:r>
            <w:r>
              <w:rPr>
                <w:rFonts w:hint="eastAsia" w:ascii="宋体" w:hAnsi="宋体" w:cs="宋体"/>
                <w:sz w:val="24"/>
                <w:szCs w:val="24"/>
              </w:rPr>
              <w:t>元</w:t>
            </w:r>
          </w:p>
          <w:p w14:paraId="038D1368">
            <w:pPr>
              <w:spacing w:line="360" w:lineRule="auto"/>
              <w:rPr>
                <w:rFonts w:ascii="宋体" w:hAnsi="宋体" w:cs="宋体"/>
                <w:sz w:val="24"/>
                <w:szCs w:val="24"/>
              </w:rPr>
            </w:pPr>
            <w:r>
              <w:rPr>
                <w:rFonts w:hint="eastAsia" w:ascii="宋体" w:hAnsi="宋体" w:cs="宋体"/>
                <w:sz w:val="24"/>
                <w:szCs w:val="24"/>
              </w:rPr>
              <w:t>供应商报价超出采购预算，作为不实质响应竞争性谈判文件，按无</w:t>
            </w:r>
            <w:r>
              <w:rPr>
                <w:rFonts w:hint="eastAsia" w:ascii="宋体" w:hAnsi="宋体" w:cs="宋体"/>
                <w:sz w:val="24"/>
                <w:szCs w:val="24"/>
                <w:lang w:eastAsia="zh-CN"/>
              </w:rPr>
              <w:t>谈判响应文件</w:t>
            </w:r>
            <w:r>
              <w:rPr>
                <w:rFonts w:hint="eastAsia" w:ascii="宋体" w:hAnsi="宋体" w:cs="宋体"/>
                <w:sz w:val="24"/>
                <w:szCs w:val="24"/>
              </w:rPr>
              <w:t>处理。</w:t>
            </w:r>
          </w:p>
        </w:tc>
      </w:tr>
      <w:tr w14:paraId="72D54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jc w:val="center"/>
        </w:trPr>
        <w:tc>
          <w:tcPr>
            <w:tcW w:w="752" w:type="dxa"/>
            <w:noWrap w:val="0"/>
            <w:vAlign w:val="center"/>
          </w:tcPr>
          <w:p w14:paraId="7F077DB1">
            <w:pPr>
              <w:numPr>
                <w:ilvl w:val="0"/>
                <w:numId w:val="2"/>
              </w:numPr>
              <w:spacing w:line="360" w:lineRule="auto"/>
              <w:jc w:val="center"/>
              <w:rPr>
                <w:rFonts w:ascii="宋体" w:hAnsi="宋体" w:cs="宋体"/>
                <w:sz w:val="24"/>
                <w:szCs w:val="24"/>
              </w:rPr>
            </w:pPr>
          </w:p>
        </w:tc>
        <w:tc>
          <w:tcPr>
            <w:tcW w:w="9041" w:type="dxa"/>
            <w:noWrap w:val="0"/>
            <w:vAlign w:val="center"/>
          </w:tcPr>
          <w:p w14:paraId="6EF54490">
            <w:pPr>
              <w:spacing w:line="360" w:lineRule="auto"/>
              <w:ind w:left="960" w:hanging="960" w:hangingChars="400"/>
              <w:rPr>
                <w:rFonts w:hint="default" w:ascii="宋体" w:hAnsi="宋体" w:eastAsia="宋体" w:cs="宋体"/>
                <w:sz w:val="24"/>
                <w:szCs w:val="24"/>
                <w:lang w:val="en-US" w:eastAsia="zh-CN"/>
              </w:rPr>
            </w:pPr>
            <w:r>
              <w:rPr>
                <w:rFonts w:hint="eastAsia" w:ascii="宋体" w:hAnsi="宋体" w:cs="宋体"/>
                <w:sz w:val="24"/>
                <w:szCs w:val="24"/>
              </w:rPr>
              <w:t>采购人：</w:t>
            </w:r>
            <w:r>
              <w:rPr>
                <w:rFonts w:hint="eastAsia" w:ascii="宋体" w:hAnsi="宋体" w:cs="宋体"/>
                <w:sz w:val="24"/>
                <w:szCs w:val="24"/>
                <w:lang w:val="en-US" w:eastAsia="zh-CN"/>
              </w:rPr>
              <w:t>神木市人民法院</w:t>
            </w:r>
          </w:p>
          <w:p w14:paraId="53A8C1A6">
            <w:pPr>
              <w:spacing w:line="360" w:lineRule="auto"/>
              <w:ind w:left="960" w:hanging="960" w:hangingChars="400"/>
              <w:rPr>
                <w:rFonts w:hint="eastAsia" w:ascii="宋体" w:hAnsi="宋体" w:eastAsia="宋体" w:cs="宋体"/>
                <w:sz w:val="24"/>
                <w:szCs w:val="24"/>
                <w:lang w:eastAsia="zh-CN"/>
              </w:rPr>
            </w:pPr>
            <w:r>
              <w:rPr>
                <w:rFonts w:hint="eastAsia" w:ascii="宋体" w:hAnsi="宋体" w:cs="宋体"/>
                <w:sz w:val="24"/>
                <w:szCs w:val="24"/>
              </w:rPr>
              <w:t>采购代理机构：</w:t>
            </w:r>
            <w:r>
              <w:rPr>
                <w:rFonts w:hint="eastAsia" w:ascii="宋体" w:hAnsi="宋体" w:cs="宋体"/>
                <w:sz w:val="24"/>
                <w:szCs w:val="24"/>
                <w:lang w:eastAsia="zh-CN"/>
              </w:rPr>
              <w:t>陕西塞上华熙项目管理有限公司</w:t>
            </w:r>
          </w:p>
        </w:tc>
      </w:tr>
      <w:tr w14:paraId="75405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4" w:hRule="atLeast"/>
          <w:jc w:val="center"/>
        </w:trPr>
        <w:tc>
          <w:tcPr>
            <w:tcW w:w="752" w:type="dxa"/>
            <w:noWrap w:val="0"/>
            <w:vAlign w:val="center"/>
          </w:tcPr>
          <w:p w14:paraId="152EAF6F">
            <w:pPr>
              <w:numPr>
                <w:ilvl w:val="0"/>
                <w:numId w:val="2"/>
              </w:numPr>
              <w:spacing w:line="360" w:lineRule="auto"/>
              <w:jc w:val="center"/>
              <w:rPr>
                <w:rFonts w:ascii="宋体" w:hAnsi="宋体" w:cs="宋体"/>
                <w:sz w:val="24"/>
                <w:szCs w:val="24"/>
              </w:rPr>
            </w:pPr>
          </w:p>
        </w:tc>
        <w:tc>
          <w:tcPr>
            <w:tcW w:w="9041" w:type="dxa"/>
            <w:noWrap w:val="0"/>
            <w:vAlign w:val="center"/>
          </w:tcPr>
          <w:p w14:paraId="42B29ACC">
            <w:pPr>
              <w:spacing w:line="360" w:lineRule="auto"/>
              <w:rPr>
                <w:rFonts w:ascii="宋体" w:hAnsi="宋体" w:cs="宋体"/>
                <w:sz w:val="24"/>
                <w:szCs w:val="24"/>
              </w:rPr>
            </w:pPr>
            <w:r>
              <w:rPr>
                <w:rFonts w:hint="eastAsia" w:ascii="宋体" w:hAnsi="宋体" w:cs="宋体"/>
                <w:sz w:val="24"/>
                <w:szCs w:val="24"/>
              </w:rPr>
              <w:t>采购内容具体见竞争性谈判文件第</w:t>
            </w:r>
            <w:r>
              <w:rPr>
                <w:rFonts w:hint="eastAsia" w:ascii="宋体" w:hAnsi="宋体" w:cs="宋体"/>
                <w:sz w:val="24"/>
                <w:szCs w:val="24"/>
                <w:lang w:val="en-US" w:eastAsia="zh-CN"/>
              </w:rPr>
              <w:t>六</w:t>
            </w:r>
            <w:r>
              <w:rPr>
                <w:rFonts w:hint="eastAsia" w:ascii="宋体" w:hAnsi="宋体" w:cs="宋体"/>
                <w:sz w:val="24"/>
                <w:szCs w:val="24"/>
              </w:rPr>
              <w:t>部分采购内容及要求</w:t>
            </w:r>
          </w:p>
          <w:p w14:paraId="4F31D395">
            <w:pPr>
              <w:spacing w:line="360" w:lineRule="auto"/>
              <w:rPr>
                <w:rFonts w:ascii="宋体" w:hAnsi="宋体" w:cs="宋体"/>
                <w:sz w:val="24"/>
                <w:szCs w:val="24"/>
              </w:rPr>
            </w:pPr>
            <w:r>
              <w:rPr>
                <w:rFonts w:hint="eastAsia" w:ascii="宋体" w:hAnsi="宋体" w:cs="宋体"/>
                <w:sz w:val="24"/>
                <w:szCs w:val="24"/>
              </w:rPr>
              <w:t>本次采购、报价、谈判、评审和合同授予均以项目为单位，供应商必须就整个项目进行响应。</w:t>
            </w:r>
          </w:p>
        </w:tc>
      </w:tr>
      <w:tr w14:paraId="3592F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752" w:type="dxa"/>
            <w:noWrap w:val="0"/>
            <w:vAlign w:val="center"/>
          </w:tcPr>
          <w:p w14:paraId="6C7B60D6">
            <w:pPr>
              <w:numPr>
                <w:ilvl w:val="0"/>
                <w:numId w:val="2"/>
              </w:numPr>
              <w:spacing w:line="360" w:lineRule="auto"/>
              <w:jc w:val="center"/>
              <w:rPr>
                <w:rFonts w:ascii="宋体" w:hAnsi="宋体" w:cs="宋体"/>
                <w:sz w:val="24"/>
                <w:szCs w:val="24"/>
              </w:rPr>
            </w:pPr>
          </w:p>
        </w:tc>
        <w:tc>
          <w:tcPr>
            <w:tcW w:w="9041" w:type="dxa"/>
            <w:noWrap w:val="0"/>
            <w:vAlign w:val="center"/>
          </w:tcPr>
          <w:p w14:paraId="5726E3FF">
            <w:pPr>
              <w:spacing w:line="360" w:lineRule="auto"/>
              <w:rPr>
                <w:rFonts w:ascii="宋体" w:hAnsi="宋体" w:cs="宋体"/>
                <w:sz w:val="24"/>
                <w:szCs w:val="24"/>
              </w:rPr>
            </w:pPr>
            <w:r>
              <w:rPr>
                <w:rFonts w:hint="eastAsia" w:ascii="宋体" w:hAnsi="宋体" w:cs="宋体"/>
                <w:sz w:val="24"/>
                <w:szCs w:val="24"/>
              </w:rPr>
              <w:t>投标报价：报价包含</w:t>
            </w:r>
            <w:r>
              <w:rPr>
                <w:rFonts w:hint="eastAsia" w:ascii="宋体" w:hAnsi="宋体" w:cs="仿宋_GB2312"/>
                <w:sz w:val="24"/>
                <w:szCs w:val="24"/>
              </w:rPr>
              <w:t>完成本次投标项目所包含的一切相关费用</w:t>
            </w:r>
            <w:r>
              <w:rPr>
                <w:rFonts w:hint="eastAsia" w:ascii="宋体" w:hAnsi="宋体" w:cs="宋体"/>
                <w:sz w:val="24"/>
                <w:szCs w:val="24"/>
              </w:rPr>
              <w:t>。</w:t>
            </w:r>
          </w:p>
        </w:tc>
      </w:tr>
      <w:tr w14:paraId="33ABF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3" w:hRule="atLeast"/>
          <w:jc w:val="center"/>
        </w:trPr>
        <w:tc>
          <w:tcPr>
            <w:tcW w:w="752" w:type="dxa"/>
            <w:noWrap w:val="0"/>
            <w:vAlign w:val="center"/>
          </w:tcPr>
          <w:p w14:paraId="54032645">
            <w:pPr>
              <w:numPr>
                <w:ilvl w:val="0"/>
                <w:numId w:val="2"/>
              </w:numPr>
              <w:spacing w:line="360" w:lineRule="auto"/>
              <w:jc w:val="center"/>
              <w:rPr>
                <w:rFonts w:ascii="宋体" w:hAnsi="宋体" w:cs="宋体"/>
                <w:sz w:val="24"/>
                <w:szCs w:val="24"/>
              </w:rPr>
            </w:pPr>
          </w:p>
        </w:tc>
        <w:tc>
          <w:tcPr>
            <w:tcW w:w="9041" w:type="dxa"/>
            <w:noWrap w:val="0"/>
            <w:vAlign w:val="center"/>
          </w:tcPr>
          <w:p w14:paraId="726EAE24">
            <w:pPr>
              <w:spacing w:line="360" w:lineRule="auto"/>
              <w:rPr>
                <w:rFonts w:ascii="宋体" w:hAnsi="宋体" w:cs="宋体"/>
                <w:sz w:val="24"/>
                <w:szCs w:val="24"/>
              </w:rPr>
            </w:pPr>
            <w:r>
              <w:rPr>
                <w:rFonts w:hint="eastAsia" w:ascii="宋体" w:hAnsi="宋体" w:cs="宋体"/>
                <w:sz w:val="24"/>
                <w:szCs w:val="24"/>
              </w:rPr>
              <w:t>竞争性谈判响应文件递交截止时间及谈判时间和地点：</w:t>
            </w:r>
          </w:p>
          <w:p w14:paraId="46F1EE62">
            <w:pPr>
              <w:spacing w:line="360" w:lineRule="auto"/>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cs="宋体"/>
                <w:sz w:val="24"/>
                <w:szCs w:val="24"/>
              </w:rPr>
              <w:t>竞争性谈判响应文件递交截止时间</w:t>
            </w:r>
            <w:r>
              <w:rPr>
                <w:rFonts w:hint="eastAsia" w:ascii="宋体" w:hAnsi="宋体" w:cs="宋体"/>
                <w:color w:val="auto"/>
                <w:sz w:val="24"/>
                <w:szCs w:val="24"/>
              </w:rPr>
              <w:t>：</w:t>
            </w:r>
            <w:r>
              <w:rPr>
                <w:rFonts w:hint="eastAsia" w:ascii="宋体" w:hAnsi="宋体" w:eastAsia="宋体" w:cs="宋体"/>
                <w:i w:val="0"/>
                <w:iCs w:val="0"/>
                <w:caps w:val="0"/>
                <w:color w:val="333333"/>
                <w:spacing w:val="0"/>
                <w:sz w:val="24"/>
                <w:szCs w:val="24"/>
                <w:shd w:val="clear" w:fill="FFFFFF"/>
              </w:rPr>
              <w:t xml:space="preserve">2025年11月28日 </w:t>
            </w:r>
            <w:r>
              <w:rPr>
                <w:rFonts w:hint="eastAsia" w:ascii="宋体" w:hAnsi="宋体" w:cs="宋体"/>
                <w:i w:val="0"/>
                <w:iCs w:val="0"/>
                <w:caps w:val="0"/>
                <w:color w:val="333333"/>
                <w:spacing w:val="0"/>
                <w:sz w:val="24"/>
                <w:szCs w:val="24"/>
                <w:shd w:val="clear" w:fill="FFFFFF"/>
                <w:lang w:val="en-US" w:eastAsia="zh-CN"/>
              </w:rPr>
              <w:t>11</w:t>
            </w:r>
            <w:r>
              <w:rPr>
                <w:rFonts w:hint="eastAsia" w:ascii="宋体" w:hAnsi="宋体" w:eastAsia="宋体" w:cs="宋体"/>
                <w:i w:val="0"/>
                <w:iCs w:val="0"/>
                <w:caps w:val="0"/>
                <w:color w:val="333333"/>
                <w:spacing w:val="0"/>
                <w:sz w:val="24"/>
                <w:szCs w:val="24"/>
                <w:shd w:val="clear" w:fill="FFFFFF"/>
              </w:rPr>
              <w:t>时30分</w:t>
            </w:r>
          </w:p>
          <w:p w14:paraId="2A3B7D0A">
            <w:pPr>
              <w:spacing w:line="360" w:lineRule="auto"/>
              <w:rPr>
                <w:rFonts w:ascii="宋体" w:hAnsi="宋体" w:cs="宋体"/>
                <w:color w:val="auto"/>
                <w:sz w:val="24"/>
                <w:szCs w:val="24"/>
              </w:rPr>
            </w:pPr>
            <w:r>
              <w:rPr>
                <w:rFonts w:hint="eastAsia" w:ascii="宋体" w:hAnsi="宋体" w:cs="宋体"/>
                <w:color w:val="auto"/>
                <w:sz w:val="24"/>
                <w:szCs w:val="24"/>
              </w:rPr>
              <w:t>谈判时间：</w:t>
            </w:r>
            <w:r>
              <w:rPr>
                <w:rFonts w:hint="eastAsia" w:ascii="宋体" w:hAnsi="宋体" w:eastAsia="宋体" w:cs="宋体"/>
                <w:i w:val="0"/>
                <w:iCs w:val="0"/>
                <w:caps w:val="0"/>
                <w:color w:val="333333"/>
                <w:spacing w:val="0"/>
                <w:sz w:val="24"/>
                <w:szCs w:val="24"/>
                <w:shd w:val="clear" w:fill="FFFFFF"/>
              </w:rPr>
              <w:t>2025年11月28日</w:t>
            </w:r>
            <w:r>
              <w:rPr>
                <w:rFonts w:hint="eastAsia" w:ascii="宋体" w:hAnsi="宋体" w:cs="宋体"/>
                <w:i w:val="0"/>
                <w:iCs w:val="0"/>
                <w:caps w:val="0"/>
                <w:color w:val="333333"/>
                <w:spacing w:val="0"/>
                <w:sz w:val="24"/>
                <w:szCs w:val="24"/>
                <w:shd w:val="clear" w:fill="FFFFFF"/>
                <w:lang w:val="en-US" w:eastAsia="zh-CN"/>
              </w:rPr>
              <w:t>11</w:t>
            </w:r>
            <w:r>
              <w:rPr>
                <w:rFonts w:hint="eastAsia" w:ascii="宋体" w:hAnsi="宋体" w:eastAsia="宋体" w:cs="宋体"/>
                <w:i w:val="0"/>
                <w:iCs w:val="0"/>
                <w:caps w:val="0"/>
                <w:color w:val="333333"/>
                <w:spacing w:val="0"/>
                <w:sz w:val="24"/>
                <w:szCs w:val="24"/>
                <w:shd w:val="clear" w:fill="FFFFFF"/>
              </w:rPr>
              <w:t>时30分</w:t>
            </w:r>
          </w:p>
          <w:p w14:paraId="380F7831">
            <w:pPr>
              <w:spacing w:line="360" w:lineRule="auto"/>
              <w:rPr>
                <w:rFonts w:hint="eastAsia" w:ascii="宋体" w:hAnsi="宋体" w:eastAsia="宋体" w:cs="宋体"/>
                <w:sz w:val="24"/>
                <w:szCs w:val="24"/>
                <w:u w:val="single"/>
                <w:lang w:val="en-US" w:eastAsia="zh-CN"/>
              </w:rPr>
            </w:pPr>
            <w:r>
              <w:rPr>
                <w:rFonts w:hint="eastAsia" w:ascii="宋体" w:hAnsi="宋体" w:cs="宋体"/>
                <w:sz w:val="24"/>
                <w:szCs w:val="24"/>
              </w:rPr>
              <w:t>谈判地点：</w:t>
            </w:r>
            <w:r>
              <w:rPr>
                <w:rFonts w:hint="eastAsia" w:ascii="宋体" w:hAnsi="宋体" w:eastAsia="宋体" w:cs="宋体"/>
                <w:i w:val="0"/>
                <w:iCs w:val="0"/>
                <w:caps w:val="0"/>
                <w:color w:val="333333"/>
                <w:spacing w:val="0"/>
                <w:sz w:val="24"/>
                <w:szCs w:val="24"/>
                <w:shd w:val="clear" w:fill="FFFFFF"/>
                <w:vertAlign w:val="baseline"/>
              </w:rPr>
              <w:t>榆林市公共资源交易中心十楼开标1</w:t>
            </w:r>
            <w:r>
              <w:rPr>
                <w:rFonts w:hint="eastAsia" w:ascii="宋体" w:hAnsi="宋体" w:cs="宋体"/>
                <w:i w:val="0"/>
                <w:iCs w:val="0"/>
                <w:caps w:val="0"/>
                <w:color w:val="333333"/>
                <w:spacing w:val="0"/>
                <w:sz w:val="24"/>
                <w:szCs w:val="24"/>
                <w:shd w:val="clear" w:fill="FFFFFF"/>
                <w:vertAlign w:val="baseline"/>
                <w:lang w:val="en-US" w:eastAsia="zh-CN"/>
              </w:rPr>
              <w:t>1</w:t>
            </w:r>
            <w:r>
              <w:rPr>
                <w:rFonts w:hint="eastAsia" w:ascii="宋体" w:hAnsi="宋体" w:eastAsia="宋体" w:cs="宋体"/>
                <w:i w:val="0"/>
                <w:iCs w:val="0"/>
                <w:caps w:val="0"/>
                <w:color w:val="333333"/>
                <w:spacing w:val="0"/>
                <w:sz w:val="24"/>
                <w:szCs w:val="24"/>
                <w:shd w:val="clear" w:fill="FFFFFF"/>
                <w:vertAlign w:val="baseline"/>
              </w:rPr>
              <w:t>室</w:t>
            </w:r>
          </w:p>
        </w:tc>
      </w:tr>
      <w:tr w14:paraId="006C8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752" w:type="dxa"/>
            <w:noWrap w:val="0"/>
            <w:vAlign w:val="center"/>
          </w:tcPr>
          <w:p w14:paraId="587BCF0C">
            <w:pPr>
              <w:numPr>
                <w:ilvl w:val="0"/>
                <w:numId w:val="2"/>
              </w:numPr>
              <w:spacing w:line="360" w:lineRule="auto"/>
              <w:jc w:val="center"/>
              <w:rPr>
                <w:rFonts w:ascii="宋体" w:hAnsi="宋体" w:cs="宋体"/>
                <w:sz w:val="24"/>
                <w:szCs w:val="24"/>
              </w:rPr>
            </w:pPr>
          </w:p>
        </w:tc>
        <w:tc>
          <w:tcPr>
            <w:tcW w:w="9041" w:type="dxa"/>
            <w:noWrap w:val="0"/>
            <w:vAlign w:val="center"/>
          </w:tcPr>
          <w:p w14:paraId="2E3EEEC8">
            <w:pPr>
              <w:spacing w:line="360" w:lineRule="auto"/>
              <w:rPr>
                <w:rFonts w:ascii="宋体" w:hAnsi="宋体" w:cs="宋体"/>
                <w:sz w:val="24"/>
                <w:szCs w:val="24"/>
              </w:rPr>
            </w:pPr>
            <w:r>
              <w:rPr>
                <w:rFonts w:hint="eastAsia" w:ascii="宋体" w:hAnsi="宋体" w:cs="宋体"/>
                <w:sz w:val="24"/>
                <w:szCs w:val="24"/>
              </w:rPr>
              <w:t>是否退还</w:t>
            </w:r>
            <w:r>
              <w:rPr>
                <w:rFonts w:hint="eastAsia" w:ascii="宋体" w:hAnsi="宋体" w:cs="宋体"/>
                <w:sz w:val="24"/>
                <w:szCs w:val="24"/>
                <w:lang w:eastAsia="zh-CN"/>
              </w:rPr>
              <w:t>谈判响应文件</w:t>
            </w:r>
            <w:r>
              <w:rPr>
                <w:rFonts w:hint="eastAsia" w:ascii="宋体" w:hAnsi="宋体" w:cs="宋体"/>
                <w:sz w:val="24"/>
                <w:szCs w:val="24"/>
              </w:rPr>
              <w:t>:</w:t>
            </w: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sz w:val="24"/>
                <w:szCs w:val="24"/>
              </w:rPr>
              <w:fldChar w:fldCharType="end"/>
            </w:r>
            <w:r>
              <w:rPr>
                <w:rFonts w:hint="eastAsia" w:ascii="宋体" w:hAnsi="宋体" w:cs="宋体"/>
                <w:sz w:val="24"/>
                <w:szCs w:val="24"/>
              </w:rPr>
              <w:t>否</w:t>
            </w: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sz w:val="24"/>
                <w:szCs w:val="24"/>
              </w:rPr>
              <w:fldChar w:fldCharType="end"/>
            </w:r>
            <w:r>
              <w:rPr>
                <w:rFonts w:hint="eastAsia" w:ascii="宋体" w:hAnsi="宋体" w:cs="宋体"/>
                <w:sz w:val="24"/>
                <w:szCs w:val="24"/>
              </w:rPr>
              <w:t>是</w:t>
            </w:r>
          </w:p>
        </w:tc>
      </w:tr>
      <w:tr w14:paraId="35B7E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52" w:type="dxa"/>
            <w:noWrap w:val="0"/>
            <w:vAlign w:val="center"/>
          </w:tcPr>
          <w:p w14:paraId="5DBD5042">
            <w:pPr>
              <w:numPr>
                <w:ilvl w:val="0"/>
                <w:numId w:val="2"/>
              </w:numPr>
              <w:spacing w:line="360" w:lineRule="auto"/>
              <w:jc w:val="center"/>
              <w:rPr>
                <w:rFonts w:ascii="宋体" w:hAnsi="宋体" w:cs="宋体"/>
                <w:sz w:val="24"/>
                <w:szCs w:val="24"/>
              </w:rPr>
            </w:pPr>
          </w:p>
        </w:tc>
        <w:tc>
          <w:tcPr>
            <w:tcW w:w="9041" w:type="dxa"/>
            <w:noWrap w:val="0"/>
            <w:vAlign w:val="center"/>
          </w:tcPr>
          <w:p w14:paraId="6A0E24D2">
            <w:pPr>
              <w:spacing w:line="360" w:lineRule="auto"/>
              <w:rPr>
                <w:rFonts w:ascii="宋体" w:hAnsi="宋体" w:cs="宋体"/>
                <w:sz w:val="24"/>
                <w:szCs w:val="24"/>
              </w:rPr>
            </w:pPr>
            <w:r>
              <w:rPr>
                <w:rFonts w:hint="eastAsia" w:ascii="宋体" w:hAnsi="宋体" w:cs="宋体"/>
                <w:sz w:val="24"/>
                <w:szCs w:val="24"/>
              </w:rPr>
              <w:t>不允许提供备选方案。</w:t>
            </w:r>
          </w:p>
        </w:tc>
      </w:tr>
      <w:tr w14:paraId="63C7F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3" w:hRule="atLeast"/>
          <w:jc w:val="center"/>
        </w:trPr>
        <w:tc>
          <w:tcPr>
            <w:tcW w:w="752" w:type="dxa"/>
            <w:noWrap w:val="0"/>
            <w:vAlign w:val="center"/>
          </w:tcPr>
          <w:p w14:paraId="2AF55AC3">
            <w:pPr>
              <w:numPr>
                <w:ilvl w:val="0"/>
                <w:numId w:val="2"/>
              </w:numPr>
              <w:spacing w:line="360" w:lineRule="auto"/>
              <w:jc w:val="center"/>
              <w:rPr>
                <w:rFonts w:ascii="宋体" w:hAnsi="宋体" w:cs="宋体"/>
                <w:sz w:val="24"/>
                <w:szCs w:val="24"/>
              </w:rPr>
            </w:pPr>
          </w:p>
        </w:tc>
        <w:tc>
          <w:tcPr>
            <w:tcW w:w="9041" w:type="dxa"/>
            <w:noWrap w:val="0"/>
            <w:vAlign w:val="center"/>
          </w:tcPr>
          <w:p w14:paraId="2BEB4D4C">
            <w:pPr>
              <w:spacing w:line="360" w:lineRule="auto"/>
              <w:rPr>
                <w:rFonts w:ascii="宋体" w:hAnsi="宋体" w:cs="宋体"/>
                <w:sz w:val="24"/>
                <w:szCs w:val="24"/>
              </w:rPr>
            </w:pPr>
            <w:r>
              <w:rPr>
                <w:rFonts w:hint="eastAsia" w:ascii="宋体" w:hAnsi="宋体" w:cs="宋体"/>
                <w:sz w:val="24"/>
                <w:szCs w:val="24"/>
              </w:rPr>
              <w:t>本次招标采用项目整体打包方式，投标人可根据自身的资质情况和经营范围进行投标，但不得将其自行分解或只对本次项目中的品目进行不完全投标，任何不完全的投标将按无效投标处理。</w:t>
            </w:r>
          </w:p>
        </w:tc>
      </w:tr>
      <w:tr w14:paraId="324CF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752" w:type="dxa"/>
            <w:noWrap w:val="0"/>
            <w:vAlign w:val="center"/>
          </w:tcPr>
          <w:p w14:paraId="79A65044">
            <w:pPr>
              <w:numPr>
                <w:ilvl w:val="0"/>
                <w:numId w:val="2"/>
              </w:numPr>
              <w:spacing w:line="360" w:lineRule="auto"/>
              <w:rPr>
                <w:rFonts w:ascii="宋体" w:hAnsi="宋体" w:cs="宋体"/>
                <w:color w:val="auto"/>
                <w:sz w:val="24"/>
                <w:szCs w:val="24"/>
              </w:rPr>
            </w:pPr>
          </w:p>
        </w:tc>
        <w:tc>
          <w:tcPr>
            <w:tcW w:w="9041" w:type="dxa"/>
            <w:noWrap w:val="0"/>
            <w:vAlign w:val="center"/>
          </w:tcPr>
          <w:p w14:paraId="6CDBD738">
            <w:pPr>
              <w:spacing w:line="360" w:lineRule="auto"/>
              <w:rPr>
                <w:rFonts w:hint="default" w:eastAsia="宋体"/>
                <w:color w:val="auto"/>
                <w:lang w:val="en-US" w:eastAsia="zh-CN"/>
              </w:rPr>
            </w:pPr>
            <w:r>
              <w:rPr>
                <w:rFonts w:hint="eastAsia" w:ascii="宋体" w:hAnsi="宋体" w:cs="宋体"/>
                <w:color w:val="auto"/>
                <w:sz w:val="24"/>
                <w:szCs w:val="24"/>
                <w:lang w:val="en-US" w:eastAsia="zh-CN"/>
              </w:rPr>
              <w:t>交货</w:t>
            </w:r>
            <w:r>
              <w:rPr>
                <w:rFonts w:hint="eastAsia" w:ascii="宋体" w:hAnsi="宋体" w:cs="宋体"/>
                <w:color w:val="auto"/>
                <w:sz w:val="24"/>
                <w:szCs w:val="24"/>
              </w:rPr>
              <w:t>期：</w:t>
            </w:r>
            <w:r>
              <w:rPr>
                <w:rFonts w:hint="eastAsia" w:ascii="宋体" w:hAnsi="宋体" w:cs="宋体"/>
                <w:color w:val="auto"/>
                <w:sz w:val="24"/>
                <w:szCs w:val="24"/>
                <w:lang w:val="en-US" w:eastAsia="zh-CN"/>
              </w:rPr>
              <w:t>15天</w:t>
            </w:r>
          </w:p>
        </w:tc>
      </w:tr>
      <w:tr w14:paraId="49DEC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752" w:type="dxa"/>
            <w:noWrap w:val="0"/>
            <w:vAlign w:val="center"/>
          </w:tcPr>
          <w:p w14:paraId="095C7D66">
            <w:pPr>
              <w:numPr>
                <w:ilvl w:val="0"/>
                <w:numId w:val="2"/>
              </w:numPr>
              <w:spacing w:line="360" w:lineRule="auto"/>
              <w:rPr>
                <w:rFonts w:ascii="宋体" w:hAnsi="宋体" w:cs="宋体"/>
                <w:sz w:val="24"/>
                <w:szCs w:val="24"/>
              </w:rPr>
            </w:pPr>
          </w:p>
        </w:tc>
        <w:tc>
          <w:tcPr>
            <w:tcW w:w="9041" w:type="dxa"/>
            <w:noWrap w:val="0"/>
            <w:vAlign w:val="center"/>
          </w:tcPr>
          <w:p w14:paraId="336DEBAA">
            <w:pPr>
              <w:spacing w:line="360" w:lineRule="auto"/>
              <w:rPr>
                <w:rFonts w:hint="eastAsia" w:ascii="宋体" w:hAnsi="宋体" w:eastAsia="宋体" w:cs="宋体"/>
                <w:sz w:val="24"/>
                <w:szCs w:val="24"/>
                <w:lang w:eastAsia="zh-CN"/>
              </w:rPr>
            </w:pPr>
            <w:r>
              <w:rPr>
                <w:rFonts w:hint="eastAsia" w:ascii="宋体" w:hAnsi="宋体" w:cs="宋体"/>
                <w:sz w:val="24"/>
                <w:szCs w:val="24"/>
                <w:lang w:val="en-US" w:eastAsia="zh-CN"/>
              </w:rPr>
              <w:t>交货</w:t>
            </w:r>
            <w:r>
              <w:rPr>
                <w:rFonts w:hint="eastAsia" w:ascii="宋体" w:hAnsi="宋体" w:cs="宋体"/>
                <w:sz w:val="24"/>
                <w:szCs w:val="24"/>
              </w:rPr>
              <w:t>地点：采购人</w:t>
            </w:r>
            <w:r>
              <w:rPr>
                <w:rFonts w:hint="eastAsia" w:ascii="宋体" w:hAnsi="宋体" w:cs="宋体"/>
                <w:sz w:val="24"/>
              </w:rPr>
              <w:t>指定地点</w:t>
            </w:r>
            <w:r>
              <w:rPr>
                <w:rFonts w:hint="eastAsia" w:ascii="宋体" w:hAnsi="宋体" w:cs="宋体"/>
                <w:sz w:val="24"/>
                <w:lang w:eastAsia="zh-CN"/>
              </w:rPr>
              <w:t>。</w:t>
            </w:r>
          </w:p>
        </w:tc>
      </w:tr>
      <w:tr w14:paraId="1886F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752" w:type="dxa"/>
            <w:noWrap w:val="0"/>
            <w:vAlign w:val="center"/>
          </w:tcPr>
          <w:p w14:paraId="1E3C99AF">
            <w:pPr>
              <w:numPr>
                <w:ilvl w:val="0"/>
                <w:numId w:val="2"/>
              </w:numPr>
              <w:spacing w:line="360" w:lineRule="auto"/>
              <w:rPr>
                <w:rFonts w:ascii="宋体" w:hAnsi="宋体" w:cs="宋体"/>
                <w:sz w:val="24"/>
                <w:szCs w:val="24"/>
              </w:rPr>
            </w:pPr>
          </w:p>
        </w:tc>
        <w:tc>
          <w:tcPr>
            <w:tcW w:w="9041" w:type="dxa"/>
            <w:noWrap w:val="0"/>
            <w:vAlign w:val="center"/>
          </w:tcPr>
          <w:p w14:paraId="7AED50BF">
            <w:pPr>
              <w:adjustRightInd w:val="0"/>
              <w:snapToGrid w:val="0"/>
              <w:spacing w:line="360" w:lineRule="auto"/>
              <w:jc w:val="left"/>
              <w:rPr>
                <w:rFonts w:hint="default"/>
                <w:lang w:val="en-US"/>
              </w:rPr>
            </w:pPr>
            <w:r>
              <w:rPr>
                <w:rFonts w:hint="eastAsia"/>
                <w:sz w:val="24"/>
                <w:szCs w:val="24"/>
              </w:rPr>
              <w:t>付款方式：</w:t>
            </w:r>
            <w:r>
              <w:rPr>
                <w:rFonts w:hint="eastAsia"/>
                <w:sz w:val="24"/>
                <w:szCs w:val="24"/>
                <w:lang w:val="en-US" w:eastAsia="zh-CN"/>
              </w:rPr>
              <w:t>合同签订后预付中标金额的40%，验收合格后一次性付清。</w:t>
            </w:r>
          </w:p>
        </w:tc>
      </w:tr>
      <w:tr w14:paraId="04FF4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752" w:type="dxa"/>
            <w:noWrap w:val="0"/>
            <w:vAlign w:val="center"/>
          </w:tcPr>
          <w:p w14:paraId="1E248EDE">
            <w:pPr>
              <w:numPr>
                <w:ilvl w:val="0"/>
                <w:numId w:val="2"/>
              </w:numPr>
              <w:spacing w:line="360" w:lineRule="auto"/>
              <w:jc w:val="center"/>
              <w:rPr>
                <w:rFonts w:ascii="宋体" w:hAnsi="宋体" w:cs="宋体"/>
                <w:sz w:val="24"/>
                <w:szCs w:val="24"/>
              </w:rPr>
            </w:pPr>
          </w:p>
        </w:tc>
        <w:tc>
          <w:tcPr>
            <w:tcW w:w="9041" w:type="dxa"/>
            <w:noWrap w:val="0"/>
            <w:vAlign w:val="center"/>
          </w:tcPr>
          <w:p w14:paraId="63FEA6E7">
            <w:pPr>
              <w:spacing w:line="360" w:lineRule="auto"/>
            </w:pPr>
            <w:r>
              <w:rPr>
                <w:rFonts w:hint="default"/>
                <w:sz w:val="24"/>
                <w:szCs w:val="22"/>
              </w:rPr>
              <w:t>投标保证金可用投标信用承诺书代替（提供投标信用承诺书）；</w:t>
            </w:r>
          </w:p>
        </w:tc>
      </w:tr>
      <w:tr w14:paraId="5CA9C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2" w:hRule="atLeast"/>
          <w:jc w:val="center"/>
        </w:trPr>
        <w:tc>
          <w:tcPr>
            <w:tcW w:w="752" w:type="dxa"/>
            <w:noWrap w:val="0"/>
            <w:vAlign w:val="center"/>
          </w:tcPr>
          <w:p w14:paraId="5D807D7C">
            <w:pPr>
              <w:numPr>
                <w:ilvl w:val="0"/>
                <w:numId w:val="2"/>
              </w:numPr>
              <w:spacing w:line="360" w:lineRule="auto"/>
              <w:jc w:val="center"/>
              <w:rPr>
                <w:rFonts w:ascii="宋体" w:hAnsi="宋体" w:cs="宋体"/>
                <w:sz w:val="24"/>
                <w:szCs w:val="24"/>
              </w:rPr>
            </w:pPr>
          </w:p>
        </w:tc>
        <w:tc>
          <w:tcPr>
            <w:tcW w:w="9041" w:type="dxa"/>
            <w:noWrap w:val="0"/>
            <w:vAlign w:val="center"/>
          </w:tcPr>
          <w:p w14:paraId="6B1AA553">
            <w:pPr>
              <w:spacing w:line="360" w:lineRule="auto"/>
              <w:rPr>
                <w:rFonts w:ascii="宋体" w:hAnsi="宋体" w:cs="宋体"/>
                <w:sz w:val="24"/>
                <w:szCs w:val="24"/>
              </w:rPr>
            </w:pPr>
            <w:r>
              <w:rPr>
                <w:rFonts w:hint="eastAsia" w:ascii="宋体" w:hAnsi="宋体" w:cs="宋体"/>
                <w:sz w:val="24"/>
                <w:szCs w:val="24"/>
              </w:rPr>
              <w:t>谈判有效期：</w:t>
            </w:r>
            <w:bookmarkStart w:id="19" w:name="OLE_LINK10"/>
            <w:bookmarkStart w:id="20" w:name="OLE_LINK9"/>
            <w:r>
              <w:rPr>
                <w:rFonts w:hint="eastAsia" w:ascii="宋体" w:hAnsi="宋体" w:cs="宋体"/>
                <w:sz w:val="24"/>
                <w:szCs w:val="24"/>
                <w:lang w:eastAsia="zh-CN"/>
              </w:rPr>
              <w:t>谈判响应文件</w:t>
            </w:r>
            <w:r>
              <w:rPr>
                <w:rFonts w:hint="eastAsia" w:ascii="宋体" w:hAnsi="宋体" w:cs="宋体"/>
                <w:sz w:val="24"/>
                <w:szCs w:val="24"/>
              </w:rPr>
              <w:t>从投标截止日起，投标有效期为90天</w:t>
            </w:r>
            <w:bookmarkEnd w:id="19"/>
            <w:bookmarkEnd w:id="20"/>
            <w:r>
              <w:rPr>
                <w:rFonts w:hint="eastAsia" w:ascii="宋体" w:hAnsi="宋体" w:cs="宋体"/>
                <w:sz w:val="24"/>
                <w:szCs w:val="24"/>
              </w:rPr>
              <w:t>，投标有效期短于此规定期限的响应文件，视为无效文件。成交供应商的响应文件有效期延长至合同执行完毕。</w:t>
            </w:r>
          </w:p>
        </w:tc>
      </w:tr>
      <w:tr w14:paraId="3AC2C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2" w:type="dxa"/>
            <w:noWrap w:val="0"/>
            <w:vAlign w:val="center"/>
          </w:tcPr>
          <w:p w14:paraId="58C3F4F8">
            <w:pPr>
              <w:numPr>
                <w:ilvl w:val="0"/>
                <w:numId w:val="2"/>
              </w:numPr>
              <w:spacing w:line="360" w:lineRule="auto"/>
              <w:jc w:val="center"/>
              <w:rPr>
                <w:rFonts w:ascii="宋体" w:hAnsi="宋体" w:cs="宋体"/>
                <w:sz w:val="24"/>
                <w:szCs w:val="24"/>
              </w:rPr>
            </w:pPr>
          </w:p>
        </w:tc>
        <w:tc>
          <w:tcPr>
            <w:tcW w:w="9041" w:type="dxa"/>
            <w:noWrap w:val="0"/>
            <w:vAlign w:val="center"/>
          </w:tcPr>
          <w:p w14:paraId="256D9F26">
            <w:pPr>
              <w:spacing w:line="360" w:lineRule="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不见面开标（供应商如担心系统前期测试不稳定因素，投标人可现场携带笔记本电脑及CA锁参加该项目。）</w:t>
            </w:r>
          </w:p>
          <w:p w14:paraId="15FB850E">
            <w:pPr>
              <w:numPr>
                <w:ilvl w:val="0"/>
                <w:numId w:val="3"/>
              </w:numPr>
              <w:spacing w:line="360" w:lineRule="auto"/>
              <w:rPr>
                <w:rFonts w:hint="eastAsia" w:ascii="思源宋体 CN Light" w:hAnsi="思源宋体 CN Light" w:eastAsia="思源宋体 CN Light" w:cs="思源宋体 CN Light"/>
                <w:color w:val="auto"/>
                <w:sz w:val="24"/>
                <w:szCs w:val="24"/>
              </w:rPr>
            </w:pPr>
            <w:r>
              <w:rPr>
                <w:rFonts w:hint="eastAsia" w:ascii="宋体" w:hAnsi="宋体" w:eastAsia="宋体" w:cs="宋体"/>
                <w:color w:val="auto"/>
                <w:sz w:val="24"/>
                <w:szCs w:val="24"/>
                <w:lang w:val="en-US" w:eastAsia="zh-CN"/>
              </w:rPr>
              <w:t>项目采取“不见面”开标的形式，投标人无须到达开标现场，即可在网上直接参与开标活动。相关注意事项如下：</w:t>
            </w:r>
          </w:p>
          <w:p w14:paraId="18D45578">
            <w:pPr>
              <w:numPr>
                <w:ilvl w:val="0"/>
                <w:numId w:val="3"/>
              </w:numPr>
              <w:spacing w:line="360" w:lineRule="auto"/>
              <w:rPr>
                <w:rFonts w:hint="eastAsia" w:ascii="思源宋体 CN Light" w:hAnsi="思源宋体 CN Light" w:eastAsia="思源宋体 CN Light" w:cs="思源宋体 CN Light"/>
                <w:color w:val="auto"/>
                <w:sz w:val="24"/>
                <w:szCs w:val="24"/>
              </w:rPr>
            </w:pPr>
            <w:r>
              <w:rPr>
                <w:rFonts w:hint="eastAsia" w:ascii="思源宋体 CN Light" w:hAnsi="思源宋体 CN Light" w:eastAsia="思源宋体 CN Light" w:cs="思源宋体 CN Light"/>
                <w:color w:val="auto"/>
                <w:sz w:val="24"/>
                <w:szCs w:val="24"/>
              </w:rPr>
              <w:t>开标当日，请各供应商</w:t>
            </w:r>
            <w:r>
              <w:rPr>
                <w:rFonts w:hint="eastAsia" w:ascii="思源宋体 CN Light" w:hAnsi="思源宋体 CN Light" w:eastAsia="思源宋体 CN Light" w:cs="思源宋体 CN Light"/>
                <w:color w:val="auto"/>
                <w:sz w:val="24"/>
                <w:szCs w:val="24"/>
                <w:lang w:val="en-US" w:eastAsia="zh-CN"/>
              </w:rPr>
              <w:t>在开标截止时间前</w:t>
            </w:r>
            <w:r>
              <w:rPr>
                <w:rFonts w:hint="eastAsia" w:ascii="思源宋体 CN Light" w:hAnsi="思源宋体 CN Light" w:eastAsia="思源宋体 CN Light" w:cs="思源宋体 CN Light"/>
                <w:color w:val="auto"/>
                <w:sz w:val="24"/>
                <w:szCs w:val="24"/>
              </w:rPr>
              <w:t>至少提前半小时登录“不见面”开标系统</w:t>
            </w:r>
            <w:r>
              <w:rPr>
                <w:rFonts w:hint="eastAsia" w:ascii="思源宋体 CN Light" w:hAnsi="思源宋体 CN Light" w:eastAsia="思源宋体 CN Light" w:cs="思源宋体 CN Light"/>
                <w:color w:val="auto"/>
                <w:sz w:val="24"/>
                <w:szCs w:val="24"/>
                <w:lang w:val="en-US" w:eastAsia="zh-CN"/>
              </w:rPr>
              <w:t>登录方式有以下几种：</w:t>
            </w:r>
          </w:p>
          <w:p w14:paraId="03D6DC5E">
            <w:pPr>
              <w:numPr>
                <w:ilvl w:val="0"/>
                <w:numId w:val="4"/>
              </w:numPr>
              <w:spacing w:line="360" w:lineRule="auto"/>
              <w:rPr>
                <w:rFonts w:hint="eastAsia" w:ascii="思源宋体 CN Light" w:hAnsi="思源宋体 CN Light" w:eastAsia="思源宋体 CN Light" w:cs="思源宋体 CN Light"/>
                <w:color w:val="auto"/>
                <w:sz w:val="24"/>
                <w:szCs w:val="24"/>
                <w:lang w:val="en-US" w:eastAsia="zh-CN"/>
              </w:rPr>
            </w:pPr>
            <w:r>
              <w:rPr>
                <w:rFonts w:hint="eastAsia" w:ascii="思源宋体 CN Light" w:hAnsi="思源宋体 CN Light" w:eastAsia="思源宋体 CN Light" w:cs="思源宋体 CN Light"/>
                <w:color w:val="auto"/>
                <w:sz w:val="24"/>
                <w:szCs w:val="24"/>
                <w:lang w:val="en-US" w:eastAsia="zh-CN"/>
              </w:rPr>
              <w:t>IE浏览器输入网址：</w:t>
            </w:r>
          </w:p>
          <w:p w14:paraId="164FEC84">
            <w:pPr>
              <w:numPr>
                <w:ilvl w:val="0"/>
                <w:numId w:val="0"/>
              </w:numPr>
              <w:spacing w:line="360" w:lineRule="auto"/>
              <w:rPr>
                <w:rFonts w:hint="eastAsia" w:ascii="思源宋体 CN Light" w:hAnsi="思源宋体 CN Light" w:eastAsia="思源宋体 CN Light" w:cs="思源宋体 CN Light"/>
                <w:color w:val="auto"/>
                <w:sz w:val="24"/>
                <w:szCs w:val="24"/>
              </w:rPr>
            </w:pPr>
            <w:r>
              <w:rPr>
                <w:rFonts w:hint="eastAsia" w:ascii="思源宋体 CN Light" w:hAnsi="思源宋体 CN Light" w:eastAsia="思源宋体 CN Light" w:cs="思源宋体 CN Light"/>
                <w:color w:val="auto"/>
                <w:sz w:val="24"/>
                <w:szCs w:val="24"/>
              </w:rPr>
              <w:fldChar w:fldCharType="begin"/>
            </w:r>
            <w:r>
              <w:rPr>
                <w:rFonts w:hint="eastAsia" w:ascii="思源宋体 CN Light" w:hAnsi="思源宋体 CN Light" w:eastAsia="思源宋体 CN Light" w:cs="思源宋体 CN Light"/>
                <w:color w:val="auto"/>
                <w:sz w:val="24"/>
                <w:szCs w:val="24"/>
              </w:rPr>
              <w:instrText xml:space="preserve"> HYPERLINK "http://219.145.120.168:8082/BidOpeningHall/bidhall/default/login），" </w:instrText>
            </w:r>
            <w:r>
              <w:rPr>
                <w:rFonts w:hint="eastAsia" w:ascii="思源宋体 CN Light" w:hAnsi="思源宋体 CN Light" w:eastAsia="思源宋体 CN Light" w:cs="思源宋体 CN Light"/>
                <w:color w:val="auto"/>
                <w:sz w:val="24"/>
                <w:szCs w:val="24"/>
              </w:rPr>
              <w:fldChar w:fldCharType="separate"/>
            </w:r>
            <w:r>
              <w:rPr>
                <w:rStyle w:val="31"/>
                <w:rFonts w:hint="eastAsia" w:ascii="思源宋体 CN Light" w:hAnsi="思源宋体 CN Light" w:eastAsia="思源宋体 CN Light" w:cs="思源宋体 CN Light"/>
                <w:color w:val="auto"/>
                <w:sz w:val="24"/>
                <w:szCs w:val="24"/>
              </w:rPr>
              <w:t>http://111.20.184.126:8081/BidOpeningHallCS/bidhall/default/login</w:t>
            </w:r>
            <w:r>
              <w:rPr>
                <w:rStyle w:val="31"/>
                <w:rFonts w:hint="eastAsia" w:ascii="思源宋体 CN Light" w:hAnsi="思源宋体 CN Light" w:eastAsia="思源宋体 CN Light" w:cs="思源宋体 CN Light"/>
                <w:color w:val="auto"/>
                <w:sz w:val="24"/>
                <w:szCs w:val="24"/>
                <w:u w:val="none"/>
                <w:lang w:eastAsia="zh-CN"/>
              </w:rPr>
              <w:t>；</w:t>
            </w:r>
            <w:r>
              <w:rPr>
                <w:rFonts w:hint="eastAsia" w:ascii="思源宋体 CN Light" w:hAnsi="思源宋体 CN Light" w:eastAsia="思源宋体 CN Light" w:cs="思源宋体 CN Light"/>
                <w:color w:val="auto"/>
                <w:sz w:val="24"/>
                <w:szCs w:val="24"/>
              </w:rPr>
              <w:fldChar w:fldCharType="end"/>
            </w:r>
          </w:p>
          <w:p w14:paraId="32CC9742">
            <w:pPr>
              <w:numPr>
                <w:ilvl w:val="0"/>
                <w:numId w:val="4"/>
              </w:numPr>
              <w:spacing w:line="360" w:lineRule="auto"/>
              <w:ind w:left="0" w:leftChars="0" w:firstLine="0" w:firstLineChars="0"/>
              <w:rPr>
                <w:rFonts w:hint="eastAsia" w:ascii="思源宋体 CN Light" w:hAnsi="思源宋体 CN Light" w:eastAsia="思源宋体 CN Light" w:cs="思源宋体 CN Light"/>
                <w:color w:val="auto"/>
                <w:sz w:val="24"/>
                <w:szCs w:val="24"/>
                <w:lang w:val="en-US" w:eastAsia="zh-CN"/>
              </w:rPr>
            </w:pPr>
            <w:r>
              <w:rPr>
                <w:rFonts w:hint="eastAsia" w:ascii="思源宋体 CN Light" w:hAnsi="思源宋体 CN Light" w:eastAsia="思源宋体 CN Light" w:cs="思源宋体 CN Light"/>
                <w:color w:val="auto"/>
                <w:sz w:val="24"/>
                <w:szCs w:val="24"/>
              </w:rPr>
              <w:t>在【全国公共资源交易平台（陕西省·</w:t>
            </w:r>
            <w:r>
              <w:rPr>
                <w:rFonts w:hint="eastAsia" w:ascii="思源宋体 CN Light" w:hAnsi="思源宋体 CN Light" w:eastAsia="思源宋体 CN Light" w:cs="思源宋体 CN Light"/>
                <w:color w:val="auto"/>
                <w:sz w:val="24"/>
                <w:szCs w:val="24"/>
                <w:lang w:val="en-US" w:eastAsia="zh-CN"/>
              </w:rPr>
              <w:t>榆林</w:t>
            </w:r>
            <w:r>
              <w:rPr>
                <w:rFonts w:hint="eastAsia" w:ascii="思源宋体 CN Light" w:hAnsi="思源宋体 CN Light" w:eastAsia="思源宋体 CN Light" w:cs="思源宋体 CN Light"/>
                <w:color w:val="auto"/>
                <w:sz w:val="24"/>
                <w:szCs w:val="24"/>
              </w:rPr>
              <w:t>市）】</w:t>
            </w:r>
            <w:r>
              <w:rPr>
                <w:rFonts w:hint="eastAsia" w:ascii="思源宋体 CN Light" w:hAnsi="思源宋体 CN Light" w:eastAsia="思源宋体 CN Light" w:cs="思源宋体 CN Light"/>
                <w:color w:val="auto"/>
                <w:sz w:val="24"/>
                <w:szCs w:val="24"/>
                <w:lang w:val="en-US" w:eastAsia="zh-CN"/>
              </w:rPr>
              <w:t>网站首页点击不见面开标模块进入；</w:t>
            </w:r>
          </w:p>
          <w:p w14:paraId="7E723A5D">
            <w:pPr>
              <w:numPr>
                <w:ilvl w:val="0"/>
                <w:numId w:val="4"/>
              </w:numPr>
              <w:spacing w:line="360" w:lineRule="auto"/>
              <w:ind w:left="0" w:leftChars="0" w:firstLine="0" w:firstLineChars="0"/>
              <w:rPr>
                <w:rFonts w:hint="eastAsia" w:ascii="思源宋体 CN Light" w:hAnsi="思源宋体 CN Light" w:eastAsia="思源宋体 CN Light" w:cs="思源宋体 CN Light"/>
                <w:color w:val="auto"/>
                <w:sz w:val="24"/>
                <w:szCs w:val="24"/>
                <w:lang w:val="en-US" w:eastAsia="zh-CN"/>
              </w:rPr>
            </w:pPr>
            <w:r>
              <w:rPr>
                <w:rFonts w:hint="eastAsia" w:ascii="思源宋体 CN Light" w:hAnsi="思源宋体 CN Light" w:eastAsia="思源宋体 CN Light" w:cs="思源宋体 CN Light"/>
                <w:color w:val="auto"/>
                <w:sz w:val="24"/>
                <w:szCs w:val="24"/>
                <w:lang w:val="en-US" w:eastAsia="zh-CN"/>
              </w:rPr>
              <w:t>在</w:t>
            </w:r>
            <w:r>
              <w:rPr>
                <w:rFonts w:hint="eastAsia" w:ascii="思源宋体 CN Light" w:hAnsi="思源宋体 CN Light" w:eastAsia="思源宋体 CN Light" w:cs="思源宋体 CN Light"/>
                <w:color w:val="auto"/>
                <w:sz w:val="24"/>
                <w:szCs w:val="24"/>
              </w:rPr>
              <w:t>【全国公共资源交易平台（陕西省）】</w:t>
            </w:r>
            <w:r>
              <w:rPr>
                <w:rFonts w:hint="eastAsia" w:ascii="思源宋体 CN Light" w:hAnsi="思源宋体 CN Light" w:eastAsia="思源宋体 CN Light" w:cs="思源宋体 CN Light"/>
                <w:color w:val="auto"/>
                <w:sz w:val="24"/>
                <w:szCs w:val="24"/>
                <w:lang w:val="en-US" w:eastAsia="zh-CN"/>
              </w:rPr>
              <w:t>网站首页点击不见面开标模块选择榆林市进入。</w:t>
            </w:r>
          </w:p>
          <w:p w14:paraId="56D00680">
            <w:pPr>
              <w:numPr>
                <w:ilvl w:val="0"/>
                <w:numId w:val="0"/>
              </w:numPr>
              <w:spacing w:line="360" w:lineRule="auto"/>
              <w:ind w:leftChars="0"/>
              <w:rPr>
                <w:rFonts w:hint="default" w:ascii="思源宋体 CN Light" w:hAnsi="思源宋体 CN Light" w:eastAsia="思源宋体 CN Light" w:cs="思源宋体 CN Light"/>
                <w:b/>
                <w:bCs/>
                <w:color w:val="auto"/>
                <w:sz w:val="24"/>
                <w:szCs w:val="24"/>
                <w:lang w:val="en-US" w:eastAsia="zh-CN"/>
              </w:rPr>
            </w:pPr>
            <w:r>
              <w:rPr>
                <w:rFonts w:hint="eastAsia" w:ascii="思源宋体 CN Light" w:hAnsi="思源宋体 CN Light" w:eastAsia="思源宋体 CN Light" w:cs="思源宋体 CN Light"/>
                <w:b/>
                <w:bCs/>
                <w:color w:val="auto"/>
                <w:sz w:val="24"/>
                <w:szCs w:val="24"/>
                <w:lang w:val="en-US" w:eastAsia="zh-CN"/>
              </w:rPr>
              <w:t>注：登录不见面开标系统请选择IE11浏览器</w:t>
            </w:r>
          </w:p>
          <w:p w14:paraId="63585472">
            <w:pPr>
              <w:spacing w:line="360" w:lineRule="auto"/>
              <w:rPr>
                <w:rFonts w:hint="eastAsia" w:ascii="思源宋体 CN Light" w:hAnsi="思源宋体 CN Light" w:eastAsia="思源宋体 CN Light" w:cs="思源宋体 CN Light"/>
                <w:color w:val="auto"/>
                <w:sz w:val="24"/>
                <w:szCs w:val="24"/>
              </w:rPr>
            </w:pPr>
            <w:r>
              <w:rPr>
                <w:rFonts w:hint="eastAsia" w:ascii="思源宋体 CN Light" w:hAnsi="思源宋体 CN Light" w:eastAsia="思源宋体 CN Light" w:cs="思源宋体 CN Light"/>
                <w:color w:val="auto"/>
                <w:sz w:val="24"/>
                <w:szCs w:val="24"/>
                <w:lang w:val="en-US" w:eastAsia="zh-CN"/>
              </w:rPr>
              <w:t>2、供应商应</w:t>
            </w:r>
            <w:r>
              <w:rPr>
                <w:rFonts w:hint="eastAsia" w:ascii="思源宋体 CN Light" w:hAnsi="思源宋体 CN Light" w:eastAsia="思源宋体 CN Light" w:cs="思源宋体 CN Light"/>
                <w:color w:val="auto"/>
                <w:sz w:val="24"/>
                <w:szCs w:val="24"/>
              </w:rPr>
              <w:t>按要求及时签到</w:t>
            </w:r>
            <w:r>
              <w:rPr>
                <w:rFonts w:hint="eastAsia" w:ascii="思源宋体 CN Light" w:hAnsi="思源宋体 CN Light" w:eastAsia="思源宋体 CN Light" w:cs="思源宋体 CN Light"/>
                <w:b/>
                <w:bCs/>
                <w:color w:val="auto"/>
                <w:sz w:val="24"/>
                <w:szCs w:val="24"/>
                <w:lang w:val="en-US" w:eastAsia="zh-CN"/>
              </w:rPr>
              <w:t>（签到时间为投标截止时间前1小时内，如果未签到将视为放弃投标资格）</w:t>
            </w:r>
            <w:r>
              <w:rPr>
                <w:rFonts w:hint="eastAsia" w:ascii="思源宋体 CN Light" w:hAnsi="思源宋体 CN Light" w:eastAsia="思源宋体 CN Light" w:cs="思源宋体 CN Light"/>
                <w:color w:val="auto"/>
                <w:sz w:val="24"/>
                <w:szCs w:val="24"/>
                <w:lang w:val="en-US" w:eastAsia="zh-CN"/>
              </w:rPr>
              <w:t>，</w:t>
            </w:r>
            <w:r>
              <w:rPr>
                <w:rFonts w:hint="eastAsia" w:ascii="思源宋体 CN Light" w:hAnsi="思源宋体 CN Light" w:eastAsia="思源宋体 CN Light" w:cs="思源宋体 CN Light"/>
                <w:color w:val="auto"/>
                <w:sz w:val="24"/>
                <w:szCs w:val="24"/>
              </w:rPr>
              <w:t>评审过程中，评标委员会可能会就某些问题要求供应商进行在线澄清</w:t>
            </w:r>
            <w:r>
              <w:rPr>
                <w:rFonts w:hint="eastAsia" w:ascii="思源宋体 CN Light" w:hAnsi="思源宋体 CN Light" w:eastAsia="思源宋体 CN Light" w:cs="思源宋体 CN Light"/>
                <w:color w:val="auto"/>
                <w:sz w:val="24"/>
                <w:szCs w:val="24"/>
                <w:lang w:eastAsia="zh-CN"/>
              </w:rPr>
              <w:t>，</w:t>
            </w:r>
            <w:r>
              <w:rPr>
                <w:rFonts w:hint="eastAsia" w:ascii="思源宋体 CN Light" w:hAnsi="思源宋体 CN Light" w:eastAsia="思源宋体 CN Light" w:cs="思源宋体 CN Light"/>
                <w:color w:val="auto"/>
                <w:sz w:val="24"/>
                <w:szCs w:val="24"/>
                <w:lang w:val="en-US" w:eastAsia="zh-CN"/>
              </w:rPr>
              <w:t>请供应商</w:t>
            </w:r>
            <w:r>
              <w:rPr>
                <w:rFonts w:hint="eastAsia" w:ascii="思源宋体 CN Light" w:hAnsi="思源宋体 CN Light" w:eastAsia="思源宋体 CN Light" w:cs="思源宋体 CN Light"/>
                <w:color w:val="auto"/>
                <w:sz w:val="24"/>
                <w:szCs w:val="24"/>
              </w:rPr>
              <w:t>保持在线直到评审结束；</w:t>
            </w:r>
          </w:p>
          <w:p w14:paraId="747C93F8">
            <w:pPr>
              <w:spacing w:line="360" w:lineRule="auto"/>
              <w:rPr>
                <w:rFonts w:hint="eastAsia" w:ascii="思源宋体 CN Light" w:hAnsi="思源宋体 CN Light" w:eastAsia="思源宋体 CN Light" w:cs="思源宋体 CN Light"/>
                <w:b/>
                <w:bCs/>
                <w:color w:val="auto"/>
                <w:sz w:val="24"/>
                <w:szCs w:val="24"/>
                <w:lang w:eastAsia="zh-CN"/>
              </w:rPr>
            </w:pPr>
            <w:r>
              <w:rPr>
                <w:rFonts w:hint="eastAsia" w:ascii="思源宋体 CN Light" w:hAnsi="思源宋体 CN Light" w:eastAsia="思源宋体 CN Light" w:cs="思源宋体 CN Light"/>
                <w:color w:val="auto"/>
                <w:sz w:val="24"/>
                <w:szCs w:val="24"/>
                <w:lang w:val="en-US" w:eastAsia="zh-CN"/>
              </w:rPr>
              <w:t>3</w:t>
            </w:r>
            <w:r>
              <w:rPr>
                <w:rFonts w:hint="eastAsia" w:ascii="思源宋体 CN Light" w:hAnsi="思源宋体 CN Light" w:eastAsia="思源宋体 CN Light" w:cs="思源宋体 CN Light"/>
                <w:color w:val="auto"/>
                <w:sz w:val="24"/>
                <w:szCs w:val="24"/>
              </w:rPr>
              <w:t>、</w:t>
            </w:r>
            <w:r>
              <w:rPr>
                <w:rFonts w:hint="eastAsia" w:ascii="思源宋体 CN Light" w:hAnsi="思源宋体 CN Light" w:eastAsia="思源宋体 CN Light" w:cs="思源宋体 CN Light"/>
                <w:color w:val="auto"/>
                <w:sz w:val="24"/>
                <w:szCs w:val="24"/>
                <w:lang w:eastAsia="zh-CN"/>
              </w:rPr>
              <w:t>谈判供应商在开标时</w:t>
            </w:r>
            <w:r>
              <w:rPr>
                <w:rFonts w:hint="eastAsia" w:ascii="思源宋体 CN Light" w:hAnsi="思源宋体 CN Light" w:eastAsia="思源宋体 CN Light" w:cs="思源宋体 CN Light"/>
                <w:color w:val="auto"/>
                <w:sz w:val="24"/>
                <w:szCs w:val="24"/>
              </w:rPr>
              <w:t>无需提交纸质</w:t>
            </w:r>
            <w:r>
              <w:rPr>
                <w:rFonts w:hint="eastAsia" w:ascii="思源宋体 CN Light" w:hAnsi="思源宋体 CN Light" w:eastAsia="思源宋体 CN Light" w:cs="思源宋体 CN Light"/>
                <w:color w:val="auto"/>
                <w:sz w:val="24"/>
                <w:szCs w:val="24"/>
                <w:lang w:eastAsia="zh-CN"/>
              </w:rPr>
              <w:t>谈判响应</w:t>
            </w:r>
            <w:r>
              <w:rPr>
                <w:rFonts w:hint="eastAsia" w:ascii="思源宋体 CN Light" w:hAnsi="思源宋体 CN Light" w:eastAsia="思源宋体 CN Light" w:cs="思源宋体 CN Light"/>
                <w:color w:val="auto"/>
                <w:sz w:val="24"/>
                <w:szCs w:val="24"/>
              </w:rPr>
              <w:t>文件，待</w:t>
            </w:r>
            <w:r>
              <w:rPr>
                <w:rFonts w:hint="eastAsia" w:ascii="思源宋体 CN Light" w:hAnsi="思源宋体 CN Light" w:eastAsia="思源宋体 CN Light" w:cs="思源宋体 CN Light"/>
                <w:color w:val="auto"/>
                <w:sz w:val="24"/>
                <w:szCs w:val="24"/>
                <w:lang w:eastAsia="zh-CN"/>
              </w:rPr>
              <w:t>开标结束</w:t>
            </w:r>
            <w:r>
              <w:rPr>
                <w:rFonts w:hint="eastAsia" w:ascii="思源宋体 CN Light" w:hAnsi="思源宋体 CN Light" w:eastAsia="思源宋体 CN Light" w:cs="思源宋体 CN Light"/>
                <w:color w:val="auto"/>
                <w:sz w:val="24"/>
                <w:szCs w:val="24"/>
              </w:rPr>
              <w:t>后，</w:t>
            </w:r>
            <w:r>
              <w:rPr>
                <w:rFonts w:hint="eastAsia" w:ascii="思源宋体 CN Light" w:hAnsi="思源宋体 CN Light" w:eastAsia="思源宋体 CN Light" w:cs="思源宋体 CN Light"/>
                <w:color w:val="auto"/>
                <w:sz w:val="24"/>
                <w:szCs w:val="24"/>
                <w:lang w:eastAsia="zh-CN"/>
              </w:rPr>
              <w:t>成交单位需邮寄补交一正两幅纸质谈判响应文件及谈判文件要求需要单独邮寄的资料</w:t>
            </w:r>
            <w:r>
              <w:rPr>
                <w:rFonts w:hint="eastAsia" w:ascii="思源宋体 CN Light" w:hAnsi="思源宋体 CN Light" w:eastAsia="思源宋体 CN Light" w:cs="思源宋体 CN Light"/>
                <w:b/>
                <w:bCs/>
                <w:color w:val="auto"/>
                <w:sz w:val="24"/>
                <w:szCs w:val="24"/>
                <w:lang w:eastAsia="zh-CN"/>
              </w:rPr>
              <w:t>（公示结果公告及备案用）。</w:t>
            </w:r>
          </w:p>
          <w:p w14:paraId="77F31C4D">
            <w:pPr>
              <w:spacing w:line="360" w:lineRule="auto"/>
              <w:rPr>
                <w:rFonts w:hint="eastAsia" w:ascii="思源宋体 CN Light" w:hAnsi="思源宋体 CN Light" w:eastAsia="思源宋体 CN Light" w:cs="思源宋体 CN Light"/>
                <w:b/>
                <w:bCs/>
                <w:color w:val="auto"/>
                <w:sz w:val="24"/>
                <w:szCs w:val="24"/>
                <w:lang w:val="en-US" w:eastAsia="zh-CN"/>
              </w:rPr>
            </w:pPr>
            <w:r>
              <w:rPr>
                <w:rFonts w:hint="eastAsia" w:ascii="思源宋体 CN Light" w:hAnsi="思源宋体 CN Light" w:eastAsia="思源宋体 CN Light" w:cs="思源宋体 CN Light"/>
                <w:color w:val="auto"/>
                <w:sz w:val="24"/>
                <w:szCs w:val="24"/>
                <w:lang w:val="en-US" w:eastAsia="zh-CN"/>
              </w:rPr>
              <w:t>4</w:t>
            </w:r>
            <w:r>
              <w:rPr>
                <w:rFonts w:hint="eastAsia" w:ascii="思源宋体 CN Light" w:hAnsi="思源宋体 CN Light" w:eastAsia="思源宋体 CN Light" w:cs="思源宋体 CN Light"/>
                <w:color w:val="auto"/>
                <w:sz w:val="24"/>
                <w:szCs w:val="24"/>
              </w:rPr>
              <w:t>、</w:t>
            </w:r>
            <w:r>
              <w:rPr>
                <w:rFonts w:hint="eastAsia" w:ascii="思源宋体 CN Light" w:hAnsi="思源宋体 CN Light" w:eastAsia="思源宋体 CN Light" w:cs="思源宋体 CN Light"/>
                <w:color w:val="auto"/>
                <w:sz w:val="24"/>
                <w:szCs w:val="24"/>
                <w:lang w:val="en-US" w:eastAsia="zh-CN"/>
              </w:rPr>
              <w:t>谈判</w:t>
            </w:r>
            <w:r>
              <w:rPr>
                <w:rFonts w:hint="eastAsia" w:ascii="思源宋体 CN Light" w:hAnsi="思源宋体 CN Light" w:eastAsia="思源宋体 CN Light" w:cs="思源宋体 CN Light"/>
                <w:color w:val="auto"/>
                <w:sz w:val="24"/>
                <w:szCs w:val="24"/>
              </w:rPr>
              <w:t>过程中，供应商在收到工作人员“开始解密”指令后，请及时使用CA对电子</w:t>
            </w:r>
            <w:r>
              <w:rPr>
                <w:rFonts w:hint="eastAsia" w:ascii="思源宋体 CN Light" w:hAnsi="思源宋体 CN Light" w:eastAsia="思源宋体 CN Light" w:cs="思源宋体 CN Light"/>
                <w:color w:val="auto"/>
                <w:sz w:val="24"/>
                <w:szCs w:val="24"/>
                <w:lang w:eastAsia="zh-CN"/>
              </w:rPr>
              <w:t>谈判响应文件</w:t>
            </w:r>
            <w:r>
              <w:rPr>
                <w:rFonts w:hint="eastAsia" w:ascii="思源宋体 CN Light" w:hAnsi="思源宋体 CN Light" w:eastAsia="思源宋体 CN Light" w:cs="思源宋体 CN Light"/>
                <w:color w:val="auto"/>
                <w:sz w:val="24"/>
                <w:szCs w:val="24"/>
              </w:rPr>
              <w:t>进行解密。解密时所用CA应与加密</w:t>
            </w:r>
            <w:r>
              <w:rPr>
                <w:rFonts w:hint="eastAsia" w:ascii="思源宋体 CN Light" w:hAnsi="思源宋体 CN Light" w:eastAsia="思源宋体 CN Light" w:cs="思源宋体 CN Light"/>
                <w:color w:val="auto"/>
                <w:sz w:val="24"/>
                <w:szCs w:val="24"/>
                <w:lang w:eastAsia="zh-CN"/>
              </w:rPr>
              <w:t>谈判响应文件</w:t>
            </w:r>
            <w:r>
              <w:rPr>
                <w:rFonts w:hint="eastAsia" w:ascii="思源宋体 CN Light" w:hAnsi="思源宋体 CN Light" w:eastAsia="思源宋体 CN Light" w:cs="思源宋体 CN Light"/>
                <w:color w:val="auto"/>
                <w:sz w:val="24"/>
                <w:szCs w:val="24"/>
              </w:rPr>
              <w:t>时所用CA相同；</w:t>
            </w:r>
            <w:r>
              <w:rPr>
                <w:rFonts w:hint="eastAsia" w:ascii="思源宋体 CN Light" w:hAnsi="思源宋体 CN Light" w:eastAsia="思源宋体 CN Light" w:cs="思源宋体 CN Light"/>
                <w:b/>
                <w:bCs/>
                <w:color w:val="auto"/>
                <w:sz w:val="24"/>
                <w:szCs w:val="24"/>
                <w:lang w:val="en-US" w:eastAsia="zh-CN"/>
              </w:rPr>
              <w:t>注：解密时间为30分钟，在解密时间内供应商全部解密完成后，可提前进入开标下一阶段。</w:t>
            </w:r>
          </w:p>
          <w:p w14:paraId="49AFEAED">
            <w:pPr>
              <w:spacing w:line="360" w:lineRule="auto"/>
              <w:rPr>
                <w:rFonts w:hint="eastAsia" w:ascii="思源宋体 CN Light" w:hAnsi="思源宋体 CN Light" w:eastAsia="思源宋体 CN Light" w:cs="思源宋体 CN Light"/>
                <w:color w:val="auto"/>
                <w:sz w:val="24"/>
                <w:szCs w:val="24"/>
              </w:rPr>
            </w:pPr>
            <w:r>
              <w:rPr>
                <w:rFonts w:hint="eastAsia" w:ascii="思源宋体 CN Light" w:hAnsi="思源宋体 CN Light" w:eastAsia="思源宋体 CN Light" w:cs="思源宋体 CN Light"/>
                <w:color w:val="auto"/>
                <w:sz w:val="24"/>
                <w:szCs w:val="24"/>
                <w:lang w:val="en-US" w:eastAsia="zh-CN"/>
              </w:rPr>
              <w:t>5</w:t>
            </w:r>
            <w:r>
              <w:rPr>
                <w:rFonts w:hint="eastAsia" w:ascii="思源宋体 CN Light" w:hAnsi="思源宋体 CN Light" w:eastAsia="思源宋体 CN Light" w:cs="思源宋体 CN Light"/>
                <w:color w:val="auto"/>
                <w:sz w:val="24"/>
                <w:szCs w:val="24"/>
              </w:rPr>
              <w:t>、相关技术问题，请咨询软件开发商：</w:t>
            </w:r>
          </w:p>
          <w:p w14:paraId="558E8717">
            <w:pPr>
              <w:spacing w:line="360" w:lineRule="auto"/>
              <w:rPr>
                <w:rFonts w:hint="eastAsia" w:ascii="思源宋体 CN Light" w:hAnsi="思源宋体 CN Light" w:eastAsia="思源宋体 CN Light" w:cs="思源宋体 CN Light"/>
                <w:color w:val="auto"/>
                <w:sz w:val="24"/>
                <w:szCs w:val="24"/>
              </w:rPr>
            </w:pPr>
            <w:r>
              <w:rPr>
                <w:rFonts w:hint="eastAsia" w:ascii="思源宋体 CN Light" w:hAnsi="思源宋体 CN Light" w:eastAsia="思源宋体 CN Light" w:cs="思源宋体 CN Light"/>
                <w:color w:val="auto"/>
                <w:sz w:val="24"/>
                <w:szCs w:val="24"/>
              </w:rPr>
              <w:t>（1）技术支持热线：400-998-0000/400-928-0095</w:t>
            </w:r>
          </w:p>
          <w:p w14:paraId="3D5F5CD1">
            <w:pPr>
              <w:spacing w:line="360" w:lineRule="auto"/>
              <w:rPr>
                <w:rFonts w:ascii="宋体" w:hAnsi="宋体" w:cs="宋体"/>
                <w:sz w:val="24"/>
                <w:szCs w:val="24"/>
              </w:rPr>
            </w:pPr>
            <w:r>
              <w:rPr>
                <w:rFonts w:hint="eastAsia" w:ascii="思源宋体 CN Light" w:hAnsi="思源宋体 CN Light" w:eastAsia="思源宋体 CN Light" w:cs="思源宋体 CN Light"/>
                <w:color w:val="auto"/>
                <w:sz w:val="24"/>
                <w:szCs w:val="24"/>
                <w:lang w:val="en-US" w:eastAsia="zh-CN"/>
              </w:rPr>
              <w:t>6</w:t>
            </w:r>
            <w:r>
              <w:rPr>
                <w:rFonts w:hint="eastAsia" w:ascii="思源宋体 CN Light" w:hAnsi="思源宋体 CN Light" w:eastAsia="思源宋体 CN Light" w:cs="思源宋体 CN Light"/>
                <w:color w:val="auto"/>
                <w:sz w:val="24"/>
                <w:szCs w:val="24"/>
              </w:rPr>
              <w:t>、</w:t>
            </w:r>
            <w:r>
              <w:rPr>
                <w:rFonts w:hint="eastAsia" w:ascii="思源宋体 CN Light" w:hAnsi="思源宋体 CN Light" w:eastAsia="思源宋体 CN Light" w:cs="思源宋体 CN Light"/>
                <w:color w:val="auto"/>
                <w:sz w:val="24"/>
                <w:szCs w:val="24"/>
                <w:lang w:val="en-US" w:eastAsia="zh-CN"/>
              </w:rPr>
              <w:t>榆林</w:t>
            </w:r>
            <w:r>
              <w:rPr>
                <w:rFonts w:hint="eastAsia" w:ascii="思源宋体 CN Light" w:hAnsi="思源宋体 CN Light" w:eastAsia="思源宋体 CN Light" w:cs="思源宋体 CN Light"/>
                <w:color w:val="auto"/>
                <w:sz w:val="24"/>
                <w:szCs w:val="24"/>
              </w:rPr>
              <w:t>不见面开标</w:t>
            </w:r>
            <w:r>
              <w:rPr>
                <w:rFonts w:hint="eastAsia" w:ascii="思源宋体 CN Light" w:hAnsi="思源宋体 CN Light" w:eastAsia="思源宋体 CN Light" w:cs="思源宋体 CN Light"/>
                <w:color w:val="auto"/>
                <w:sz w:val="24"/>
                <w:szCs w:val="24"/>
                <w:lang w:val="en-US" w:eastAsia="zh-CN"/>
              </w:rPr>
              <w:t>系统</w:t>
            </w:r>
            <w:r>
              <w:rPr>
                <w:rFonts w:hint="eastAsia" w:ascii="思源宋体 CN Light" w:hAnsi="思源宋体 CN Light" w:eastAsia="思源宋体 CN Light" w:cs="思源宋体 CN Light"/>
                <w:color w:val="auto"/>
                <w:sz w:val="24"/>
                <w:szCs w:val="24"/>
              </w:rPr>
              <w:t>操作手册</w:t>
            </w:r>
            <w:r>
              <w:rPr>
                <w:rFonts w:hint="eastAsia" w:ascii="思源宋体 CN Light" w:hAnsi="思源宋体 CN Light" w:eastAsia="思源宋体 CN Light" w:cs="思源宋体 CN Light"/>
                <w:color w:val="auto"/>
                <w:sz w:val="24"/>
                <w:szCs w:val="24"/>
                <w:lang w:val="en-US" w:eastAsia="zh-CN"/>
              </w:rPr>
              <w:t>下载方式：登录</w:t>
            </w:r>
            <w:r>
              <w:rPr>
                <w:rFonts w:hint="eastAsia" w:ascii="思源宋体 CN Light" w:hAnsi="思源宋体 CN Light" w:eastAsia="思源宋体 CN Light" w:cs="思源宋体 CN Light"/>
                <w:color w:val="auto"/>
                <w:sz w:val="24"/>
                <w:szCs w:val="24"/>
              </w:rPr>
              <w:t>【全国公共资源交易平台（陕西省·</w:t>
            </w:r>
            <w:r>
              <w:rPr>
                <w:rFonts w:hint="eastAsia" w:ascii="思源宋体 CN Light" w:hAnsi="思源宋体 CN Light" w:eastAsia="思源宋体 CN Light" w:cs="思源宋体 CN Light"/>
                <w:color w:val="auto"/>
                <w:sz w:val="24"/>
                <w:szCs w:val="24"/>
                <w:lang w:val="en-US" w:eastAsia="zh-CN"/>
              </w:rPr>
              <w:t>榆林</w:t>
            </w:r>
            <w:r>
              <w:rPr>
                <w:rFonts w:hint="eastAsia" w:ascii="思源宋体 CN Light" w:hAnsi="思源宋体 CN Light" w:eastAsia="思源宋体 CN Light" w:cs="思源宋体 CN Light"/>
                <w:color w:val="auto"/>
                <w:sz w:val="24"/>
                <w:szCs w:val="24"/>
              </w:rPr>
              <w:t>市）】</w:t>
            </w:r>
            <w:r>
              <w:rPr>
                <w:rFonts w:hint="eastAsia" w:ascii="思源宋体 CN Light" w:hAnsi="思源宋体 CN Light" w:eastAsia="思源宋体 CN Light" w:cs="思源宋体 CN Light"/>
                <w:color w:val="auto"/>
                <w:sz w:val="24"/>
                <w:szCs w:val="24"/>
                <w:lang w:val="en-US" w:eastAsia="zh-CN"/>
              </w:rPr>
              <w:t>网站首页选择【服务指南】-【下载专区】-点击【</w:t>
            </w:r>
            <w:r>
              <w:rPr>
                <w:rFonts w:hint="eastAsia" w:ascii="思源宋体 CN Light" w:hAnsi="思源宋体 CN Light" w:eastAsia="思源宋体 CN Light" w:cs="思源宋体 CN Light"/>
                <w:color w:val="auto"/>
                <w:sz w:val="24"/>
                <w:szCs w:val="24"/>
              </w:rPr>
              <w:fldChar w:fldCharType="begin"/>
            </w:r>
            <w:r>
              <w:rPr>
                <w:rFonts w:hint="eastAsia" w:ascii="思源宋体 CN Light" w:hAnsi="思源宋体 CN Light" w:eastAsia="思源宋体 CN Light" w:cs="思源宋体 CN Light"/>
                <w:color w:val="auto"/>
                <w:sz w:val="24"/>
                <w:szCs w:val="24"/>
              </w:rPr>
              <w:instrText xml:space="preserve"> HYPERLINK "http://yl.sxggzyjy.cn/BigFileUpLoadStorage/temp/2021-12-10/2583610f-1c5d-49b2-a314-0c1c4faeec6a/%E6%A6%86%E6%9E%97%E4%B8%8D%E8%A7%81%E9%9D%A2%E5%BC%80%E6%A0%87%E5%A4%A7%E5%8E%85%E6%93%8D%E4%BD%9C%E6%89%8B%E5%86%8C%EF%BC%88%E6%8A%95%E6%A0%87%E4%BA%BA%EF%BC%89.docx" \o "榆林不见面开标系统操作手册（投标人）" \t "http://yl.sxggzyjy.cn/fwzn/_blank" </w:instrText>
            </w:r>
            <w:r>
              <w:rPr>
                <w:rFonts w:hint="eastAsia" w:ascii="思源宋体 CN Light" w:hAnsi="思源宋体 CN Light" w:eastAsia="思源宋体 CN Light" w:cs="思源宋体 CN Light"/>
                <w:color w:val="auto"/>
                <w:sz w:val="24"/>
                <w:szCs w:val="24"/>
              </w:rPr>
              <w:fldChar w:fldCharType="separate"/>
            </w:r>
            <w:r>
              <w:rPr>
                <w:rFonts w:hint="eastAsia" w:ascii="思源宋体 CN Light" w:hAnsi="思源宋体 CN Light" w:eastAsia="思源宋体 CN Light" w:cs="思源宋体 CN Light"/>
                <w:color w:val="auto"/>
                <w:sz w:val="24"/>
                <w:szCs w:val="24"/>
              </w:rPr>
              <w:t>榆林不见面开标系统操作手册（投标人）</w:t>
            </w:r>
            <w:r>
              <w:rPr>
                <w:rFonts w:hint="eastAsia" w:ascii="思源宋体 CN Light" w:hAnsi="思源宋体 CN Light" w:eastAsia="思源宋体 CN Light" w:cs="思源宋体 CN Light"/>
                <w:color w:val="auto"/>
                <w:sz w:val="24"/>
                <w:szCs w:val="24"/>
              </w:rPr>
              <w:fldChar w:fldCharType="end"/>
            </w:r>
            <w:r>
              <w:rPr>
                <w:rFonts w:hint="eastAsia" w:ascii="思源宋体 CN Light" w:hAnsi="思源宋体 CN Light" w:eastAsia="思源宋体 CN Light" w:cs="思源宋体 CN Light"/>
                <w:color w:val="auto"/>
                <w:sz w:val="24"/>
                <w:szCs w:val="24"/>
                <w:lang w:val="en-US" w:eastAsia="zh-CN"/>
              </w:rPr>
              <w:t>】进行下载</w:t>
            </w:r>
            <w:r>
              <w:rPr>
                <w:rFonts w:hint="eastAsia" w:ascii="思源宋体 CN Light" w:hAnsi="思源宋体 CN Light" w:eastAsia="思源宋体 CN Light" w:cs="思源宋体 CN Light"/>
                <w:color w:val="auto"/>
                <w:sz w:val="24"/>
                <w:szCs w:val="24"/>
              </w:rPr>
              <w:t>。</w:t>
            </w:r>
          </w:p>
        </w:tc>
      </w:tr>
      <w:tr w14:paraId="3C965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2" w:type="dxa"/>
            <w:noWrap w:val="0"/>
            <w:vAlign w:val="center"/>
          </w:tcPr>
          <w:p w14:paraId="265BA2F4">
            <w:pPr>
              <w:numPr>
                <w:ilvl w:val="0"/>
                <w:numId w:val="2"/>
              </w:numPr>
              <w:spacing w:line="360" w:lineRule="auto"/>
              <w:jc w:val="center"/>
              <w:rPr>
                <w:rFonts w:ascii="宋体" w:hAnsi="宋体" w:cs="宋体"/>
                <w:sz w:val="24"/>
                <w:szCs w:val="24"/>
              </w:rPr>
            </w:pPr>
          </w:p>
        </w:tc>
        <w:tc>
          <w:tcPr>
            <w:tcW w:w="9041" w:type="dxa"/>
            <w:noWrap w:val="0"/>
            <w:vAlign w:val="center"/>
          </w:tcPr>
          <w:p w14:paraId="722CB74F">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150" w:rightChars="0"/>
              <w:rPr>
                <w:rFonts w:hint="eastAsia" w:ascii="思源宋体 CN Light" w:hAnsi="思源宋体 CN Light" w:eastAsia="思源宋体 CN Light" w:cs="思源宋体 CN Light"/>
                <w:color w:val="auto"/>
                <w:sz w:val="24"/>
                <w:szCs w:val="24"/>
                <w:lang w:val="en-US" w:eastAsia="zh-CN"/>
              </w:rPr>
            </w:pPr>
            <w:r>
              <w:rPr>
                <w:rFonts w:hint="eastAsia" w:ascii="思源宋体 CN Light" w:hAnsi="思源宋体 CN Light" w:eastAsia="思源宋体 CN Light" w:cs="思源宋体 CN Light"/>
                <w:color w:val="auto"/>
                <w:sz w:val="24"/>
                <w:szCs w:val="24"/>
                <w:lang w:val="en-US" w:eastAsia="zh-CN"/>
              </w:rPr>
              <w:t>竞争性谈判响应文件递交方式：</w:t>
            </w:r>
          </w:p>
          <w:p w14:paraId="28A8DB02">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150" w:rightChars="0" w:firstLine="480" w:firstLineChars="200"/>
              <w:rPr>
                <w:rFonts w:hint="eastAsia" w:ascii="思源宋体 CN Light" w:hAnsi="思源宋体 CN Light" w:eastAsia="思源宋体 CN Light" w:cs="思源宋体 CN Light"/>
                <w:color w:val="auto"/>
                <w:sz w:val="24"/>
                <w:szCs w:val="24"/>
                <w:lang w:val="en-US" w:eastAsia="zh-CN"/>
              </w:rPr>
            </w:pPr>
            <w:r>
              <w:rPr>
                <w:rFonts w:hint="eastAsia" w:ascii="思源宋体 CN Light" w:hAnsi="思源宋体 CN Light" w:eastAsia="思源宋体 CN Light" w:cs="思源宋体 CN Light"/>
                <w:color w:val="auto"/>
                <w:sz w:val="24"/>
                <w:szCs w:val="24"/>
                <w:lang w:val="en-US" w:eastAsia="zh-CN"/>
              </w:rPr>
              <w:t>1、供应商应于提交竞争性谈判响应文件截止时间前任意时段登录交易平台〖首页〉电子交易平台〉企业端〗在线提交电子谈判响应文件，逾期提交系统间拒绝接收。</w:t>
            </w:r>
          </w:p>
          <w:p w14:paraId="1116D384">
            <w:pPr>
              <w:spacing w:line="360" w:lineRule="auto"/>
              <w:ind w:firstLine="480" w:firstLineChars="200"/>
              <w:rPr>
                <w:rFonts w:hint="eastAsia" w:ascii="思源宋体 CN Light" w:hAnsi="思源宋体 CN Light" w:eastAsia="思源宋体 CN Light" w:cs="思源宋体 CN Light"/>
                <w:color w:val="auto"/>
                <w:sz w:val="24"/>
                <w:szCs w:val="24"/>
                <w:lang w:val="en-US" w:eastAsia="zh-CN"/>
              </w:rPr>
            </w:pPr>
            <w:r>
              <w:rPr>
                <w:rFonts w:hint="eastAsia" w:ascii="思源宋体 CN Light" w:hAnsi="思源宋体 CN Light" w:eastAsia="思源宋体 CN Light" w:cs="思源宋体 CN Light"/>
                <w:color w:val="auto"/>
                <w:sz w:val="24"/>
                <w:szCs w:val="24"/>
                <w:lang w:val="en-US" w:eastAsia="zh-CN"/>
              </w:rPr>
              <w:t>2、本项目采用“不见面”开标形式，供应商可登录榆林交易平台〖首页〉不见面开标〗在线参与开评标过程，详见谈判文件以及交易平台〖首页〉服务指南〉下载专区〗中的《榆林市不见面开标大厅操作手册（投标人）》。</w:t>
            </w:r>
          </w:p>
        </w:tc>
      </w:tr>
      <w:tr w14:paraId="0C36E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2" w:type="dxa"/>
            <w:noWrap w:val="0"/>
            <w:vAlign w:val="center"/>
          </w:tcPr>
          <w:p w14:paraId="750ADEFD">
            <w:pPr>
              <w:numPr>
                <w:ilvl w:val="0"/>
                <w:numId w:val="2"/>
              </w:numPr>
              <w:spacing w:line="360" w:lineRule="auto"/>
              <w:jc w:val="center"/>
              <w:rPr>
                <w:rFonts w:ascii="宋体" w:hAnsi="宋体" w:cs="宋体"/>
                <w:sz w:val="24"/>
                <w:szCs w:val="24"/>
              </w:rPr>
            </w:pPr>
          </w:p>
        </w:tc>
        <w:tc>
          <w:tcPr>
            <w:tcW w:w="9041" w:type="dxa"/>
            <w:noWrap w:val="0"/>
            <w:vAlign w:val="center"/>
          </w:tcPr>
          <w:p w14:paraId="4CD3FF78">
            <w:pPr>
              <w:spacing w:line="360" w:lineRule="auto"/>
              <w:rPr>
                <w:rFonts w:hint="eastAsia" w:ascii="宋体" w:hAnsi="宋体" w:eastAsia="宋体" w:cs="宋体"/>
                <w:sz w:val="24"/>
                <w:szCs w:val="24"/>
                <w:lang w:eastAsia="zh-CN"/>
              </w:rPr>
            </w:pPr>
            <w:r>
              <w:rPr>
                <w:rFonts w:hint="eastAsia" w:ascii="宋体" w:hAnsi="宋体" w:cs="宋体"/>
                <w:sz w:val="24"/>
                <w:szCs w:val="24"/>
              </w:rPr>
              <w:t xml:space="preserve">    </w:t>
            </w:r>
            <w:r>
              <w:rPr>
                <w:rFonts w:hint="eastAsia" w:ascii="宋体" w:hAnsi="宋体" w:cs="宋体"/>
                <w:b/>
                <w:bCs/>
                <w:sz w:val="24"/>
                <w:szCs w:val="24"/>
              </w:rPr>
              <w:t>谈判</w:t>
            </w:r>
            <w:r>
              <w:rPr>
                <w:rFonts w:hint="eastAsia" w:ascii="宋体" w:hAnsi="宋体" w:cs="宋体"/>
                <w:b/>
                <w:bCs/>
                <w:sz w:val="24"/>
                <w:szCs w:val="24"/>
                <w:lang w:eastAsia="zh-CN"/>
              </w:rPr>
              <w:t>响应文件中需</w:t>
            </w:r>
            <w:r>
              <w:rPr>
                <w:rFonts w:hint="eastAsia" w:ascii="宋体" w:hAnsi="宋体" w:cs="宋体"/>
                <w:b/>
                <w:bCs/>
                <w:sz w:val="24"/>
                <w:szCs w:val="24"/>
              </w:rPr>
              <w:t>提交以下资质及</w:t>
            </w:r>
            <w:r>
              <w:rPr>
                <w:rFonts w:hint="eastAsia" w:ascii="宋体" w:hAnsi="宋体" w:cs="宋体"/>
                <w:b/>
                <w:bCs/>
                <w:sz w:val="24"/>
                <w:szCs w:val="24"/>
                <w:lang w:eastAsia="zh-CN"/>
              </w:rPr>
              <w:t>谈判</w:t>
            </w:r>
            <w:r>
              <w:rPr>
                <w:rFonts w:hint="eastAsia" w:ascii="宋体" w:hAnsi="宋体" w:cs="宋体"/>
                <w:b/>
                <w:bCs/>
                <w:sz w:val="24"/>
                <w:szCs w:val="24"/>
              </w:rPr>
              <w:t>文件要求的其他证明材料</w:t>
            </w:r>
            <w:r>
              <w:rPr>
                <w:rFonts w:hint="eastAsia" w:ascii="宋体" w:hAnsi="宋体" w:cs="宋体"/>
                <w:b/>
                <w:bCs/>
                <w:sz w:val="24"/>
                <w:szCs w:val="24"/>
                <w:lang w:eastAsia="zh-CN"/>
              </w:rPr>
              <w:t>：</w:t>
            </w:r>
          </w:p>
          <w:p w14:paraId="1904951E">
            <w:pPr>
              <w:adjustRightInd w:val="0"/>
              <w:snapToGrid w:val="0"/>
              <w:spacing w:line="360" w:lineRule="auto"/>
              <w:ind w:left="8" w:firstLine="410" w:firstLineChars="171"/>
              <w:rPr>
                <w:rFonts w:hint="eastAsia" w:ascii="宋体" w:hAnsi="宋体" w:cs="宋体"/>
                <w:color w:val="000000"/>
                <w:sz w:val="24"/>
              </w:rPr>
            </w:pPr>
            <w:r>
              <w:rPr>
                <w:rFonts w:hint="eastAsia" w:ascii="宋体" w:hAnsi="宋体" w:cs="宋体"/>
                <w:color w:val="000000"/>
                <w:sz w:val="24"/>
              </w:rPr>
              <w:t>（一）基本资格条件：符合《中华人民共和国政府采购法》第二十二条的规定。</w:t>
            </w:r>
          </w:p>
          <w:p w14:paraId="1690F57F">
            <w:pPr>
              <w:adjustRightInd w:val="0"/>
              <w:snapToGrid w:val="0"/>
              <w:spacing w:line="360" w:lineRule="auto"/>
              <w:ind w:left="8" w:firstLine="410" w:firstLineChars="171"/>
              <w:rPr>
                <w:rFonts w:hint="eastAsia" w:ascii="宋体" w:hAnsi="宋体" w:cs="宋体"/>
                <w:color w:val="000000"/>
                <w:sz w:val="24"/>
              </w:rPr>
            </w:pPr>
            <w:r>
              <w:rPr>
                <w:rFonts w:hint="eastAsia" w:ascii="宋体" w:hAnsi="宋体" w:cs="宋体"/>
                <w:color w:val="000000"/>
                <w:sz w:val="24"/>
              </w:rPr>
              <w:t>（二）特定资格条件：</w:t>
            </w:r>
          </w:p>
          <w:p w14:paraId="3216B05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rPr>
              <w:t>合同包1特定资格要求如下:</w:t>
            </w:r>
          </w:p>
          <w:p w14:paraId="6CF94D31">
            <w:pPr>
              <w:numPr>
                <w:ilvl w:val="0"/>
                <w:numId w:val="0"/>
              </w:numPr>
              <w:spacing w:line="360" w:lineRule="auto"/>
              <w:ind w:firstLine="480" w:firstLineChars="200"/>
              <w:rPr>
                <w:rFonts w:hint="eastAsia" w:ascii="宋体" w:hAnsi="宋体" w:eastAsia="宋体" w:cs="宋体"/>
                <w:i w:val="0"/>
                <w:iCs w:val="0"/>
                <w:caps w:val="0"/>
                <w:color w:val="333333"/>
                <w:spacing w:val="0"/>
                <w:sz w:val="24"/>
                <w:szCs w:val="24"/>
                <w:shd w:val="clear" w:fill="FFFFFF"/>
              </w:rPr>
            </w:pPr>
            <w:r>
              <w:rPr>
                <w:rFonts w:hint="eastAsia" w:ascii="宋体" w:hAnsi="宋体" w:eastAsia="宋体" w:cs="宋体"/>
                <w:i w:val="0"/>
                <w:iCs w:val="0"/>
                <w:caps w:val="0"/>
                <w:color w:val="333333"/>
                <w:spacing w:val="0"/>
                <w:kern w:val="2"/>
                <w:sz w:val="24"/>
                <w:szCs w:val="24"/>
                <w:shd w:val="clear" w:fill="FFFFFF"/>
                <w:lang w:val="en-US" w:eastAsia="zh-CN" w:bidi="ar-SA"/>
              </w:rPr>
              <w:t>1、</w:t>
            </w:r>
            <w:r>
              <w:rPr>
                <w:rFonts w:hint="eastAsia" w:ascii="宋体" w:hAnsi="宋体" w:eastAsia="宋体" w:cs="宋体"/>
                <w:i w:val="0"/>
                <w:iCs w:val="0"/>
                <w:caps w:val="0"/>
                <w:color w:val="333333"/>
                <w:spacing w:val="0"/>
                <w:sz w:val="24"/>
                <w:szCs w:val="24"/>
                <w:shd w:val="clear" w:fill="FFFFFF"/>
              </w:rPr>
              <w:t>投标人须具备独立承担民事责任能力的法人或其他组织，提供合法有效的统一社会信用代码的营业执照； </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  2、财务状况报告：提供企业2024年赋码财务审计报告（至少包括资产负债表、利润表、现金流量表及附注，提供的财务审计报告需在注册会计师行业统一监管平台（http://acc.mof.gov.cn/）可查询并提供网页截图）或开标前六个月内其基本账户银行出具的资信证明或财政部门认可的政府采购专业担保机构出具的担保函，以上形式的证明资料提供任何一种即可；</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  3、社会保障资金缴纳证明：提供2025年1月至今已缴存的至少一个月的社会保障资金缴纳证明（社会保障资金缴存单据或社保机构开具的社会保险参保缴费情况证明），依法不需要缴纳社会保障资金的单位应提供相关证明材料；</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  4、税收缴纳证明：提供2025年1月至今已缴纳的至少一个月的税收缴纳证明（时间以税款所属日期为准、税种须包含增值税或企业所得税，凭据应有税务机关或代收机关的公章或业务专用章）依法免税或无须缴纳税收的供应商，应提供相应证明文件；</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  5、参加政府采购活动前3年内在经营活动中没有重大违法记录的书面声明（格式自拟，加盖投标人公章）；</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  6、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提供查询结果网页截图并加盖供应商公章）有以上不良记录的不得参与评审活动；</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  7、投标保证金用投标信用承诺书代替（提供投标信用承诺书）；</w:t>
            </w:r>
            <w:r>
              <w:rPr>
                <w:rFonts w:hint="eastAsia" w:ascii="宋体" w:hAnsi="宋体" w:eastAsia="宋体" w:cs="宋体"/>
                <w:i w:val="0"/>
                <w:iCs w:val="0"/>
                <w:caps w:val="0"/>
                <w:color w:val="333333"/>
                <w:spacing w:val="0"/>
                <w:sz w:val="24"/>
                <w:szCs w:val="24"/>
                <w:shd w:val="clear" w:fill="FFFFFF"/>
              </w:rPr>
              <w:br w:type="textWrapping"/>
            </w:r>
            <w:r>
              <w:rPr>
                <w:rFonts w:hint="eastAsia" w:ascii="宋体" w:hAnsi="宋体" w:eastAsia="宋体" w:cs="宋体"/>
                <w:i w:val="0"/>
                <w:iCs w:val="0"/>
                <w:caps w:val="0"/>
                <w:color w:val="333333"/>
                <w:spacing w:val="0"/>
                <w:sz w:val="24"/>
                <w:szCs w:val="24"/>
                <w:shd w:val="clear" w:fill="FFFFFF"/>
              </w:rPr>
              <w:t>  8、本项目不接受联合体投标，单位负责人为同一人或者存在直接控股、管理关系的不同投标人，不得参加同一合同项下的政府采购活动（须提供非联合体投标声明函）。</w:t>
            </w:r>
          </w:p>
          <w:p w14:paraId="21939ADF">
            <w:pPr>
              <w:numPr>
                <w:ilvl w:val="0"/>
                <w:numId w:val="0"/>
              </w:numPr>
              <w:spacing w:line="360" w:lineRule="auto"/>
              <w:rPr>
                <w:rFonts w:ascii="宋体" w:hAnsi="宋体" w:cs="宋体"/>
                <w:sz w:val="24"/>
                <w:szCs w:val="24"/>
              </w:rPr>
            </w:pPr>
            <w:r>
              <w:rPr>
                <w:rFonts w:hint="eastAsia" w:ascii="宋体" w:hAnsi="宋体" w:cs="宋体"/>
                <w:b/>
                <w:bCs/>
                <w:color w:val="000000"/>
                <w:sz w:val="24"/>
                <w:szCs w:val="24"/>
              </w:rPr>
              <w:t>注：上述资质为必备资质，</w:t>
            </w:r>
            <w:r>
              <w:rPr>
                <w:rFonts w:hint="eastAsia" w:ascii="宋体" w:hAnsi="宋体" w:cs="宋体"/>
                <w:b/>
                <w:bCs/>
                <w:color w:val="000000"/>
                <w:sz w:val="24"/>
                <w:szCs w:val="24"/>
                <w:lang w:eastAsia="zh-CN"/>
              </w:rPr>
              <w:t>谈判响应文件中</w:t>
            </w:r>
            <w:r>
              <w:rPr>
                <w:rFonts w:hint="eastAsia" w:ascii="宋体" w:hAnsi="宋体" w:cs="宋体"/>
                <w:b/>
                <w:bCs/>
                <w:color w:val="000000"/>
                <w:sz w:val="24"/>
                <w:szCs w:val="24"/>
              </w:rPr>
              <w:t>欠缺其中任何一项，按无效响应文件处理。</w:t>
            </w:r>
          </w:p>
        </w:tc>
      </w:tr>
      <w:tr w14:paraId="52317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2" w:type="dxa"/>
            <w:noWrap w:val="0"/>
            <w:vAlign w:val="center"/>
          </w:tcPr>
          <w:p w14:paraId="428002CC">
            <w:pPr>
              <w:numPr>
                <w:ilvl w:val="0"/>
                <w:numId w:val="2"/>
              </w:numPr>
              <w:spacing w:line="360" w:lineRule="auto"/>
              <w:jc w:val="center"/>
              <w:rPr>
                <w:rFonts w:ascii="宋体" w:hAnsi="宋体" w:cs="宋体"/>
                <w:sz w:val="24"/>
                <w:szCs w:val="24"/>
              </w:rPr>
            </w:pPr>
          </w:p>
        </w:tc>
        <w:tc>
          <w:tcPr>
            <w:tcW w:w="9041" w:type="dxa"/>
            <w:noWrap w:val="0"/>
            <w:vAlign w:val="center"/>
          </w:tcPr>
          <w:p w14:paraId="7584624F">
            <w:pPr>
              <w:spacing w:line="360" w:lineRule="auto"/>
              <w:rPr>
                <w:rFonts w:ascii="宋体" w:hAnsi="宋体" w:cs="宋体"/>
                <w:sz w:val="24"/>
                <w:szCs w:val="24"/>
              </w:rPr>
            </w:pPr>
            <w:r>
              <w:rPr>
                <w:rFonts w:hint="eastAsia" w:ascii="宋体" w:hAnsi="宋体" w:cs="宋体"/>
                <w:sz w:val="24"/>
                <w:szCs w:val="24"/>
              </w:rPr>
              <w:t>支持中小企业发展：</w:t>
            </w:r>
          </w:p>
          <w:p w14:paraId="3A3618CE">
            <w:pPr>
              <w:adjustRightInd w:val="0"/>
              <w:snapToGrid w:val="0"/>
              <w:spacing w:line="360" w:lineRule="auto"/>
              <w:rPr>
                <w:rFonts w:hint="eastAsia" w:ascii="宋体" w:hAnsi="宋体" w:cs="宋体"/>
                <w:sz w:val="24"/>
                <w:szCs w:val="24"/>
              </w:rPr>
            </w:pP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sz w:val="24"/>
                <w:szCs w:val="24"/>
              </w:rPr>
              <w:fldChar w:fldCharType="end"/>
            </w:r>
            <w:r>
              <w:rPr>
                <w:rFonts w:hint="eastAsia" w:ascii="宋体" w:hAnsi="宋体" w:cs="宋体"/>
                <w:sz w:val="24"/>
                <w:szCs w:val="24"/>
              </w:rPr>
              <w:t>专门面向</w:t>
            </w:r>
            <w:r>
              <w:rPr>
                <w:rFonts w:hint="eastAsia"/>
                <w:sz w:val="24"/>
                <w:szCs w:val="24"/>
                <w:lang w:val="en-US" w:eastAsia="zh-CN"/>
              </w:rPr>
              <w:t>中小</w:t>
            </w:r>
            <w:r>
              <w:rPr>
                <w:rFonts w:hint="eastAsia" w:ascii="宋体" w:hAnsi="宋体" w:cs="宋体"/>
                <w:sz w:val="24"/>
                <w:szCs w:val="24"/>
              </w:rPr>
              <w:t>企业采购项目</w:t>
            </w:r>
          </w:p>
          <w:p w14:paraId="1DB9E2B2">
            <w:pPr>
              <w:adjustRightInd w:val="0"/>
              <w:snapToGrid w:val="0"/>
              <w:spacing w:line="360" w:lineRule="auto"/>
              <w:rPr>
                <w:rFonts w:hint="default" w:ascii="宋体" w:hAnsi="宋体" w:eastAsia="宋体" w:cs="宋体"/>
                <w:sz w:val="24"/>
                <w:szCs w:val="24"/>
                <w:lang w:val="en-US" w:eastAsia="zh-CN"/>
              </w:rPr>
            </w:pPr>
            <w:r>
              <w:rPr>
                <w:rFonts w:hint="eastAsia" w:ascii="宋体" w:hAnsi="宋体" w:cs="宋体"/>
                <w:sz w:val="24"/>
                <w:szCs w:val="24"/>
                <w:lang w:val="en-US" w:eastAsia="zh-CN"/>
              </w:rPr>
              <w:t>本项目专门面向中小企业采购，</w:t>
            </w:r>
            <w:r>
              <w:rPr>
                <w:rFonts w:hint="eastAsia" w:cs="宋体"/>
                <w:color w:val="auto"/>
                <w:sz w:val="24"/>
                <w:lang w:val="en-US" w:eastAsia="zh-CN"/>
              </w:rPr>
              <w:t>故不参与价格扣除。</w:t>
            </w:r>
          </w:p>
          <w:p w14:paraId="17937BC4">
            <w:pPr>
              <w:adjustRightInd w:val="0"/>
              <w:snapToGrid w:val="0"/>
              <w:spacing w:line="360" w:lineRule="auto"/>
              <w:rPr>
                <w:rFonts w:hint="eastAsia" w:ascii="宋体" w:hAnsi="宋体" w:cs="宋体"/>
                <w:color w:val="auto"/>
                <w:sz w:val="24"/>
                <w:szCs w:val="24"/>
              </w:rPr>
            </w:pP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eq \o\ac(□</w:instrText>
            </w:r>
            <w:r>
              <w:rPr>
                <w:rFonts w:hint="eastAsia" w:ascii="宋体" w:hAnsi="宋体" w:cs="宋体"/>
                <w:color w:val="auto"/>
                <w:sz w:val="24"/>
                <w:szCs w:val="24"/>
                <w:lang w:eastAsia="zh-CN"/>
              </w:rPr>
              <w:instrText xml:space="preserve">,</w:instrText>
            </w:r>
            <w:r>
              <w:rPr>
                <w:rFonts w:hint="eastAsia" w:ascii="宋体" w:hAnsi="宋体" w:cs="宋体"/>
                <w:color w:val="auto"/>
                <w:position w:val="2"/>
                <w:sz w:val="16"/>
                <w:szCs w:val="24"/>
                <w:lang w:eastAsia="zh-CN"/>
              </w:rPr>
              <w:instrText xml:space="preserve">√</w:instrText>
            </w:r>
            <w:r>
              <w:rPr>
                <w:rFonts w:hint="eastAsia" w:ascii="宋体" w:hAnsi="宋体" w:cs="宋体"/>
                <w:color w:val="auto"/>
                <w:sz w:val="24"/>
                <w:szCs w:val="24"/>
              </w:rPr>
              <w:instrText xml:space="preserve">)</w:instrText>
            </w:r>
            <w:r>
              <w:rPr>
                <w:rFonts w:hint="eastAsia" w:ascii="宋体" w:hAnsi="宋体" w:cs="宋体"/>
                <w:color w:val="auto"/>
                <w:sz w:val="24"/>
                <w:szCs w:val="24"/>
              </w:rPr>
              <w:fldChar w:fldCharType="end"/>
            </w:r>
            <w:r>
              <w:rPr>
                <w:rFonts w:hint="eastAsia" w:ascii="宋体" w:hAnsi="宋体" w:cs="宋体"/>
                <w:color w:val="auto"/>
                <w:sz w:val="24"/>
                <w:szCs w:val="24"/>
              </w:rPr>
              <w:t>非专门面向中小企业采购项目（价格扣除）：</w:t>
            </w:r>
          </w:p>
          <w:p w14:paraId="4905CD3F">
            <w:pPr>
              <w:adjustRightInd w:val="0"/>
              <w:snapToGrid w:val="0"/>
              <w:spacing w:line="360" w:lineRule="auto"/>
              <w:rPr>
                <w:rFonts w:hint="eastAsia" w:ascii="宋体" w:hAnsi="宋体" w:cs="宋体"/>
                <w:color w:val="auto"/>
                <w:sz w:val="24"/>
                <w:szCs w:val="24"/>
              </w:rPr>
            </w:pPr>
            <w:r>
              <w:rPr>
                <w:rFonts w:hint="eastAsia" w:ascii="宋体" w:hAnsi="宋体" w:cs="宋体"/>
                <w:color w:val="auto"/>
                <w:sz w:val="24"/>
                <w:szCs w:val="24"/>
              </w:rPr>
              <w:sym w:font="Wingdings" w:char="F081"/>
            </w:r>
            <w:r>
              <w:rPr>
                <w:rFonts w:hint="eastAsia" w:ascii="宋体" w:hAnsi="宋体" w:cs="宋体"/>
                <w:color w:val="auto"/>
                <w:sz w:val="24"/>
                <w:szCs w:val="24"/>
              </w:rPr>
              <w:t>对小型和微型企业产品的价格给与</w:t>
            </w:r>
            <w:r>
              <w:rPr>
                <w:rFonts w:hint="eastAsia" w:ascii="宋体" w:hAnsi="宋体" w:cs="宋体"/>
                <w:color w:val="auto"/>
                <w:sz w:val="24"/>
                <w:szCs w:val="24"/>
                <w:lang w:val="en-US" w:eastAsia="zh-CN"/>
              </w:rPr>
              <w:t>10</w:t>
            </w:r>
            <w:r>
              <w:rPr>
                <w:rFonts w:hint="eastAsia" w:ascii="宋体" w:hAnsi="宋体" w:cs="宋体"/>
                <w:color w:val="auto"/>
                <w:sz w:val="24"/>
                <w:szCs w:val="24"/>
              </w:rPr>
              <w:t>%~</w:t>
            </w:r>
            <w:r>
              <w:rPr>
                <w:rFonts w:hint="eastAsia" w:ascii="宋体" w:hAnsi="宋体" w:cs="宋体"/>
                <w:color w:val="auto"/>
                <w:sz w:val="24"/>
                <w:szCs w:val="24"/>
                <w:lang w:val="en-US" w:eastAsia="zh-CN"/>
              </w:rPr>
              <w:t>20</w:t>
            </w:r>
            <w:r>
              <w:rPr>
                <w:rFonts w:hint="eastAsia" w:ascii="宋体" w:hAnsi="宋体" w:cs="宋体"/>
                <w:color w:val="auto"/>
                <w:sz w:val="24"/>
                <w:szCs w:val="24"/>
              </w:rPr>
              <w:t>%的扣除，用扣除后的价格参与评审。本项目的扣除比例为：小型企业扣除</w:t>
            </w:r>
            <w:r>
              <w:rPr>
                <w:rFonts w:hint="eastAsia" w:ascii="宋体" w:hAnsi="宋体" w:cs="宋体"/>
                <w:color w:val="auto"/>
                <w:sz w:val="24"/>
                <w:szCs w:val="24"/>
                <w:lang w:val="en-US" w:eastAsia="zh-CN"/>
              </w:rPr>
              <w:t>20</w:t>
            </w:r>
            <w:r>
              <w:rPr>
                <w:rFonts w:hint="eastAsia" w:ascii="宋体" w:hAnsi="宋体" w:cs="宋体"/>
                <w:color w:val="auto"/>
                <w:sz w:val="24"/>
                <w:szCs w:val="24"/>
              </w:rPr>
              <w:t>%，微型企业扣除</w:t>
            </w:r>
            <w:r>
              <w:rPr>
                <w:rFonts w:hint="eastAsia" w:ascii="宋体" w:hAnsi="宋体" w:cs="宋体"/>
                <w:color w:val="auto"/>
                <w:sz w:val="24"/>
                <w:szCs w:val="24"/>
                <w:lang w:val="en-US" w:eastAsia="zh-CN"/>
              </w:rPr>
              <w:t>20</w:t>
            </w:r>
            <w:r>
              <w:rPr>
                <w:rFonts w:hint="eastAsia" w:ascii="宋体" w:hAnsi="宋体" w:cs="宋体"/>
                <w:color w:val="auto"/>
                <w:sz w:val="24"/>
                <w:szCs w:val="24"/>
              </w:rPr>
              <w:t>%。</w:t>
            </w:r>
          </w:p>
          <w:p w14:paraId="313134E7">
            <w:pPr>
              <w:adjustRightInd w:val="0"/>
              <w:snapToGrid w:val="0"/>
              <w:spacing w:line="360" w:lineRule="auto"/>
              <w:rPr>
                <w:rFonts w:hint="eastAsia" w:ascii="宋体" w:hAnsi="宋体" w:cs="宋体"/>
                <w:color w:val="auto"/>
                <w:sz w:val="24"/>
                <w:szCs w:val="24"/>
              </w:rPr>
            </w:pPr>
            <w:r>
              <w:rPr>
                <w:rFonts w:hint="eastAsia" w:ascii="宋体" w:hAnsi="宋体" w:cs="宋体"/>
                <w:color w:val="auto"/>
                <w:sz w:val="24"/>
                <w:szCs w:val="24"/>
              </w:rPr>
              <w:sym w:font="Wingdings" w:char="F082"/>
            </w:r>
            <w:r>
              <w:rPr>
                <w:rFonts w:hint="eastAsia" w:ascii="宋体" w:hAnsi="宋体" w:cs="宋体"/>
                <w:color w:val="auto"/>
                <w:sz w:val="24"/>
                <w:szCs w:val="24"/>
              </w:rPr>
              <w:t>本项目接收联合体投标的，若小型和微型企业的协议合同金额占到联合体协议合同金额30%以上的，可给予联合体 2% ~3%的扣除，用扣除后的价格参与评审。本项目的扣除比例为：</w:t>
            </w:r>
            <w:r>
              <w:rPr>
                <w:rFonts w:hint="eastAsia" w:ascii="宋体" w:hAnsi="宋体" w:cs="宋体"/>
                <w:color w:val="auto"/>
                <w:sz w:val="24"/>
                <w:szCs w:val="24"/>
                <w:lang w:val="en-US" w:eastAsia="zh-CN"/>
              </w:rPr>
              <w:t>10</w:t>
            </w:r>
            <w:r>
              <w:rPr>
                <w:rFonts w:hint="eastAsia" w:ascii="宋体" w:hAnsi="宋体" w:cs="宋体"/>
                <w:color w:val="auto"/>
                <w:sz w:val="24"/>
                <w:szCs w:val="24"/>
              </w:rPr>
              <w:t>%。</w:t>
            </w:r>
          </w:p>
          <w:p w14:paraId="47CD37A4">
            <w:pPr>
              <w:adjustRightInd w:val="0"/>
              <w:snapToGrid w:val="0"/>
              <w:spacing w:line="360" w:lineRule="auto"/>
              <w:rPr>
                <w:rFonts w:hint="eastAsia" w:ascii="宋体" w:hAnsi="宋体" w:cs="宋体"/>
                <w:color w:val="auto"/>
                <w:sz w:val="24"/>
                <w:szCs w:val="24"/>
              </w:rPr>
            </w:pP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eq \o\ac(□)</w:instrText>
            </w:r>
            <w:r>
              <w:rPr>
                <w:rFonts w:hint="eastAsia" w:ascii="宋体" w:hAnsi="宋体" w:cs="宋体"/>
                <w:color w:val="auto"/>
                <w:sz w:val="24"/>
                <w:szCs w:val="24"/>
              </w:rPr>
              <w:fldChar w:fldCharType="end"/>
            </w:r>
            <w:r>
              <w:rPr>
                <w:rFonts w:hint="eastAsia" w:ascii="宋体" w:hAnsi="宋体" w:cs="宋体"/>
                <w:color w:val="auto"/>
                <w:sz w:val="24"/>
                <w:szCs w:val="24"/>
              </w:rPr>
              <w:t>非专门面向中小企业采购项目</w:t>
            </w:r>
          </w:p>
          <w:p w14:paraId="17F81975">
            <w:pPr>
              <w:adjustRightInd w:val="0"/>
              <w:snapToGrid w:val="0"/>
              <w:spacing w:line="360" w:lineRule="auto"/>
              <w:rPr>
                <w:rFonts w:ascii="宋体" w:hAnsi="宋体" w:cs="宋体"/>
                <w:sz w:val="24"/>
                <w:szCs w:val="24"/>
              </w:rPr>
            </w:pPr>
            <w:r>
              <w:rPr>
                <w:rFonts w:hint="eastAsia" w:ascii="宋体" w:hAnsi="宋体" w:cs="宋体"/>
                <w:color w:val="auto"/>
                <w:sz w:val="24"/>
                <w:szCs w:val="24"/>
              </w:rPr>
              <w:sym w:font="Wingdings" w:char="F081"/>
            </w:r>
            <w:r>
              <w:rPr>
                <w:rFonts w:hint="eastAsia" w:ascii="宋体" w:hAnsi="宋体" w:cs="宋体"/>
                <w:color w:val="auto"/>
                <w:sz w:val="24"/>
                <w:szCs w:val="24"/>
              </w:rPr>
              <w:t>供应商提供的货物既有中小企业制造货物，也有大型企业制造货物的，不享受《政府采购促进中小企业发展管理办法》规定的中小企业扶持政策。</w:t>
            </w:r>
          </w:p>
        </w:tc>
      </w:tr>
      <w:tr w14:paraId="5F474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2" w:type="dxa"/>
            <w:noWrap w:val="0"/>
            <w:vAlign w:val="center"/>
          </w:tcPr>
          <w:p w14:paraId="7A12120D">
            <w:pPr>
              <w:numPr>
                <w:ilvl w:val="0"/>
                <w:numId w:val="2"/>
              </w:numPr>
              <w:spacing w:line="360" w:lineRule="auto"/>
              <w:jc w:val="center"/>
              <w:rPr>
                <w:rFonts w:ascii="宋体" w:hAnsi="宋体" w:cs="宋体"/>
                <w:sz w:val="24"/>
                <w:szCs w:val="24"/>
              </w:rPr>
            </w:pPr>
          </w:p>
        </w:tc>
        <w:tc>
          <w:tcPr>
            <w:tcW w:w="9041" w:type="dxa"/>
            <w:noWrap w:val="0"/>
            <w:vAlign w:val="center"/>
          </w:tcPr>
          <w:p w14:paraId="29B6066A">
            <w:pPr>
              <w:spacing w:line="360" w:lineRule="auto"/>
              <w:rPr>
                <w:rFonts w:ascii="宋体" w:hAnsi="宋体" w:cs="宋体"/>
                <w:sz w:val="24"/>
                <w:szCs w:val="24"/>
              </w:rPr>
            </w:pPr>
            <w:r>
              <w:rPr>
                <w:rFonts w:hint="eastAsia" w:ascii="宋体" w:hAnsi="宋体" w:cs="宋体"/>
                <w:sz w:val="24"/>
                <w:szCs w:val="24"/>
              </w:rPr>
              <w:t>支持监狱企业发展：</w:t>
            </w:r>
          </w:p>
          <w:p w14:paraId="399AE6B3">
            <w:pPr>
              <w:adjustRightInd w:val="0"/>
              <w:snapToGrid w:val="0"/>
              <w:spacing w:line="360" w:lineRule="auto"/>
              <w:rPr>
                <w:rFonts w:ascii="宋体" w:hAnsi="宋体" w:cs="宋体"/>
                <w:sz w:val="24"/>
                <w:szCs w:val="24"/>
              </w:rPr>
            </w:pP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position w:val="-4"/>
                <w:sz w:val="36"/>
                <w:szCs w:val="24"/>
              </w:rPr>
              <w:instrText xml:space="preserve">□</w:instrText>
            </w:r>
            <w:r>
              <w:rPr>
                <w:rFonts w:hint="eastAsia" w:ascii="宋体" w:hAnsi="宋体" w:cs="宋体"/>
                <w:sz w:val="24"/>
                <w:szCs w:val="24"/>
              </w:rPr>
              <w:instrText xml:space="preserve">)</w:instrText>
            </w:r>
            <w:r>
              <w:rPr>
                <w:rFonts w:hint="eastAsia" w:ascii="宋体" w:hAnsi="宋体" w:cs="宋体"/>
                <w:sz w:val="24"/>
                <w:szCs w:val="24"/>
              </w:rPr>
              <w:fldChar w:fldCharType="end"/>
            </w:r>
            <w:r>
              <w:rPr>
                <w:rFonts w:hint="eastAsia" w:ascii="宋体" w:hAnsi="宋体" w:cs="宋体"/>
                <w:sz w:val="24"/>
                <w:szCs w:val="24"/>
              </w:rPr>
              <w:t>专门面向监狱企业采购项目</w:t>
            </w:r>
          </w:p>
          <w:p w14:paraId="1FEE84C2">
            <w:pPr>
              <w:adjustRightInd w:val="0"/>
              <w:snapToGrid w:val="0"/>
              <w:spacing w:line="360" w:lineRule="auto"/>
              <w:rPr>
                <w:rFonts w:ascii="宋体" w:hAnsi="宋体" w:cs="宋体"/>
                <w:sz w:val="24"/>
                <w:szCs w:val="24"/>
              </w:rPr>
            </w:pP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position w:val="-4"/>
                <w:sz w:val="36"/>
                <w:szCs w:val="24"/>
              </w:rPr>
              <w:instrText xml:space="preserve">□</w:instrText>
            </w:r>
            <w:r>
              <w:rPr>
                <w:rFonts w:hint="eastAsia" w:ascii="宋体" w:hAnsi="宋体" w:cs="宋体"/>
                <w:position w:val="-4"/>
                <w:sz w:val="36"/>
                <w:szCs w:val="24"/>
                <w:lang w:eastAsia="zh-CN"/>
              </w:rPr>
              <w:instrText xml:space="preserve">,</w:instrText>
            </w:r>
            <w:r>
              <w:rPr>
                <w:rFonts w:hint="eastAsia" w:ascii="宋体" w:hAnsi="宋体" w:cs="宋体"/>
                <w:position w:val="0"/>
                <w:sz w:val="25"/>
                <w:szCs w:val="24"/>
                <w:lang w:eastAsia="zh-CN"/>
              </w:rPr>
              <w:instrText xml:space="preserve">√</w:instrText>
            </w:r>
            <w:r>
              <w:rPr>
                <w:rFonts w:hint="eastAsia" w:ascii="宋体" w:hAnsi="宋体" w:cs="宋体"/>
                <w:sz w:val="24"/>
                <w:szCs w:val="24"/>
              </w:rPr>
              <w:instrText xml:space="preserve">)</w:instrText>
            </w:r>
            <w:r>
              <w:rPr>
                <w:rFonts w:hint="eastAsia" w:ascii="宋体" w:hAnsi="宋体" w:cs="宋体"/>
                <w:sz w:val="24"/>
                <w:szCs w:val="24"/>
              </w:rPr>
              <w:fldChar w:fldCharType="end"/>
            </w:r>
            <w:r>
              <w:rPr>
                <w:rFonts w:hint="eastAsia" w:ascii="宋体" w:hAnsi="宋体" w:cs="宋体"/>
                <w:sz w:val="24"/>
                <w:szCs w:val="24"/>
              </w:rPr>
              <w:t>非专门面向监狱企业采购项目（价格扣除）：监狱企业可视同小微企业在价格评审时给予6%~10%的扣除，用扣除后的价格参与评审。本项目的扣除比例为：扣除6%。</w:t>
            </w:r>
          </w:p>
        </w:tc>
      </w:tr>
      <w:tr w14:paraId="136C0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2" w:type="dxa"/>
            <w:noWrap w:val="0"/>
            <w:vAlign w:val="center"/>
          </w:tcPr>
          <w:p w14:paraId="59A5B200">
            <w:pPr>
              <w:numPr>
                <w:ilvl w:val="0"/>
                <w:numId w:val="2"/>
              </w:numPr>
              <w:spacing w:line="360" w:lineRule="auto"/>
              <w:jc w:val="center"/>
              <w:rPr>
                <w:rFonts w:ascii="宋体" w:hAnsi="宋体" w:cs="宋体"/>
                <w:sz w:val="24"/>
                <w:szCs w:val="24"/>
              </w:rPr>
            </w:pPr>
          </w:p>
        </w:tc>
        <w:tc>
          <w:tcPr>
            <w:tcW w:w="9041" w:type="dxa"/>
            <w:noWrap w:val="0"/>
            <w:vAlign w:val="center"/>
          </w:tcPr>
          <w:p w14:paraId="776F06D9">
            <w:pPr>
              <w:spacing w:line="360" w:lineRule="auto"/>
              <w:rPr>
                <w:rFonts w:ascii="宋体" w:hAnsi="宋体" w:cs="宋体"/>
                <w:sz w:val="24"/>
                <w:szCs w:val="24"/>
              </w:rPr>
            </w:pPr>
            <w:r>
              <w:rPr>
                <w:rFonts w:hint="eastAsia" w:ascii="宋体" w:hAnsi="宋体" w:cs="宋体"/>
                <w:sz w:val="24"/>
                <w:szCs w:val="24"/>
              </w:rPr>
              <w:t>踏勘现场:</w:t>
            </w: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sz w:val="24"/>
                <w:szCs w:val="24"/>
              </w:rPr>
              <w:fldChar w:fldCharType="end"/>
            </w:r>
            <w:r>
              <w:rPr>
                <w:rFonts w:hint="eastAsia" w:ascii="宋体" w:hAnsi="宋体" w:cs="宋体"/>
                <w:sz w:val="24"/>
                <w:szCs w:val="24"/>
              </w:rPr>
              <w:t>不组织</w:t>
            </w: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sz w:val="24"/>
                <w:szCs w:val="24"/>
              </w:rPr>
              <w:fldChar w:fldCharType="end"/>
            </w:r>
            <w:r>
              <w:rPr>
                <w:rFonts w:hint="eastAsia" w:ascii="宋体" w:hAnsi="宋体" w:cs="宋体"/>
                <w:sz w:val="24"/>
                <w:szCs w:val="24"/>
              </w:rPr>
              <w:t>组织，</w:t>
            </w:r>
            <w:r>
              <w:rPr>
                <w:rFonts w:hint="eastAsia" w:ascii="宋体" w:hAnsi="宋体" w:cs="宋体"/>
                <w:color w:val="000000"/>
                <w:sz w:val="24"/>
                <w:szCs w:val="24"/>
              </w:rPr>
              <w:t>本项目采购人及采购代理机构不集中组织踏勘现场；需要现场踏勘的，由投标人自行踏勘，安全责任由投标人自负，费用自理。如需踏勘，请按招标公告中的联系方式联系采购人</w:t>
            </w:r>
            <w:r>
              <w:rPr>
                <w:rFonts w:hint="eastAsia" w:ascii="宋体" w:hAnsi="宋体" w:cs="宋体"/>
                <w:sz w:val="24"/>
                <w:szCs w:val="24"/>
              </w:rPr>
              <w:t>。</w:t>
            </w:r>
          </w:p>
        </w:tc>
      </w:tr>
      <w:tr w14:paraId="12CFB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2" w:type="dxa"/>
            <w:noWrap w:val="0"/>
            <w:vAlign w:val="center"/>
          </w:tcPr>
          <w:p w14:paraId="16717BF7">
            <w:pPr>
              <w:numPr>
                <w:ilvl w:val="0"/>
                <w:numId w:val="2"/>
              </w:numPr>
              <w:spacing w:line="360" w:lineRule="auto"/>
              <w:jc w:val="center"/>
              <w:rPr>
                <w:rFonts w:ascii="宋体" w:hAnsi="宋体" w:cs="宋体"/>
                <w:sz w:val="24"/>
                <w:szCs w:val="24"/>
              </w:rPr>
            </w:pPr>
          </w:p>
        </w:tc>
        <w:tc>
          <w:tcPr>
            <w:tcW w:w="9041" w:type="dxa"/>
            <w:noWrap w:val="0"/>
            <w:vAlign w:val="center"/>
          </w:tcPr>
          <w:p w14:paraId="6C21691C">
            <w:pPr>
              <w:spacing w:line="360" w:lineRule="auto"/>
              <w:rPr>
                <w:rFonts w:ascii="宋体" w:hAnsi="宋体" w:cs="宋体"/>
                <w:sz w:val="24"/>
                <w:szCs w:val="24"/>
              </w:rPr>
            </w:pPr>
            <w:r>
              <w:rPr>
                <w:rFonts w:hint="eastAsia" w:ascii="宋体" w:hAnsi="宋体" w:cs="宋体"/>
                <w:sz w:val="24"/>
                <w:szCs w:val="24"/>
              </w:rPr>
              <w:t>投标答疑会:</w:t>
            </w: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sz w:val="24"/>
                <w:szCs w:val="24"/>
              </w:rPr>
              <w:fldChar w:fldCharType="end"/>
            </w:r>
            <w:r>
              <w:rPr>
                <w:rFonts w:hint="eastAsia" w:ascii="宋体" w:hAnsi="宋体" w:cs="宋体"/>
                <w:sz w:val="24"/>
                <w:szCs w:val="24"/>
              </w:rPr>
              <w:t>不召开</w:t>
            </w: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sz w:val="24"/>
                <w:szCs w:val="24"/>
              </w:rPr>
              <w:fldChar w:fldCharType="end"/>
            </w:r>
            <w:r>
              <w:rPr>
                <w:rFonts w:hint="eastAsia" w:ascii="宋体" w:hAnsi="宋体" w:cs="宋体"/>
                <w:sz w:val="24"/>
                <w:szCs w:val="24"/>
              </w:rPr>
              <w:t>召开，招标代理机构将对供应商所提出的问题予以解答，并出具书面答疑纪要。答疑纪要为招标文件的组成部分，与招标文件具有同等法律效力。</w:t>
            </w:r>
          </w:p>
        </w:tc>
      </w:tr>
      <w:tr w14:paraId="35CF2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2" w:type="dxa"/>
            <w:noWrap w:val="0"/>
            <w:vAlign w:val="center"/>
          </w:tcPr>
          <w:p w14:paraId="5AB26523">
            <w:pPr>
              <w:numPr>
                <w:ilvl w:val="0"/>
                <w:numId w:val="2"/>
              </w:numPr>
              <w:spacing w:line="360" w:lineRule="auto"/>
              <w:rPr>
                <w:rFonts w:ascii="宋体" w:hAnsi="宋体" w:cs="宋体"/>
                <w:sz w:val="24"/>
                <w:szCs w:val="24"/>
              </w:rPr>
            </w:pPr>
          </w:p>
        </w:tc>
        <w:tc>
          <w:tcPr>
            <w:tcW w:w="9041" w:type="dxa"/>
            <w:noWrap w:val="0"/>
            <w:vAlign w:val="center"/>
          </w:tcPr>
          <w:p w14:paraId="2A1B1F92">
            <w:pPr>
              <w:spacing w:line="360" w:lineRule="auto"/>
              <w:rPr>
                <w:rFonts w:ascii="宋体" w:hAnsi="宋体" w:cs="宋体"/>
                <w:color w:val="FF0000"/>
                <w:sz w:val="24"/>
                <w:szCs w:val="24"/>
              </w:rPr>
            </w:pPr>
            <w:r>
              <w:rPr>
                <w:rFonts w:hint="eastAsia" w:ascii="宋体" w:hAnsi="宋体" w:cs="宋体"/>
                <w:sz w:val="24"/>
                <w:szCs w:val="24"/>
              </w:rPr>
              <w:t>分包：</w:t>
            </w: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sz w:val="24"/>
                <w:szCs w:val="24"/>
              </w:rPr>
              <w:fldChar w:fldCharType="end"/>
            </w:r>
            <w:r>
              <w:rPr>
                <w:rFonts w:hint="eastAsia" w:ascii="宋体" w:hAnsi="宋体" w:cs="宋体"/>
                <w:sz w:val="24"/>
                <w:szCs w:val="24"/>
              </w:rPr>
              <w:t>不允许</w:t>
            </w: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sz w:val="24"/>
                <w:szCs w:val="24"/>
              </w:rPr>
              <w:fldChar w:fldCharType="end"/>
            </w:r>
            <w:r>
              <w:rPr>
                <w:rFonts w:hint="eastAsia" w:ascii="宋体" w:hAnsi="宋体" w:cs="宋体"/>
                <w:sz w:val="24"/>
                <w:szCs w:val="24"/>
              </w:rPr>
              <w:t>允许，分包内容要求：在征得招标人同意后，承包人可以将本项目的专业工程进行分包。分包金额要求：接受分包的第三人资质要求；符合施工拟分包的专业工程国家相关强制规定。</w:t>
            </w:r>
          </w:p>
        </w:tc>
      </w:tr>
      <w:tr w14:paraId="52632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2" w:type="dxa"/>
            <w:noWrap w:val="0"/>
            <w:vAlign w:val="center"/>
          </w:tcPr>
          <w:p w14:paraId="6AF3BAC0">
            <w:pPr>
              <w:numPr>
                <w:ilvl w:val="0"/>
                <w:numId w:val="2"/>
              </w:numPr>
              <w:spacing w:line="360" w:lineRule="auto"/>
              <w:rPr>
                <w:rFonts w:ascii="宋体" w:hAnsi="宋体" w:cs="宋体"/>
                <w:sz w:val="24"/>
                <w:szCs w:val="24"/>
              </w:rPr>
            </w:pPr>
          </w:p>
        </w:tc>
        <w:tc>
          <w:tcPr>
            <w:tcW w:w="9041" w:type="dxa"/>
            <w:noWrap w:val="0"/>
            <w:vAlign w:val="center"/>
          </w:tcPr>
          <w:p w14:paraId="43B02FCA">
            <w:pPr>
              <w:pStyle w:val="37"/>
              <w:spacing w:line="360" w:lineRule="auto"/>
              <w:ind w:left="0" w:leftChars="0" w:firstLine="0" w:firstLineChars="0"/>
              <w:rPr>
                <w:rFonts w:hint="eastAsia" w:ascii="宋体" w:hAnsi="宋体" w:eastAsia="宋体" w:cs="宋体"/>
                <w:b/>
                <w:bCs/>
                <w:color w:val="auto"/>
                <w:kern w:val="2"/>
                <w:sz w:val="24"/>
                <w:szCs w:val="22"/>
                <w:highlight w:val="none"/>
                <w:lang w:val="en-US" w:eastAsia="zh-CN" w:bidi="ar-SA"/>
              </w:rPr>
            </w:pPr>
            <w:r>
              <w:rPr>
                <w:rFonts w:hint="eastAsia" w:ascii="宋体" w:hAnsi="宋体" w:eastAsia="宋体" w:cs="宋体"/>
                <w:b/>
                <w:bCs/>
                <w:color w:val="auto"/>
                <w:kern w:val="2"/>
                <w:sz w:val="24"/>
                <w:szCs w:val="22"/>
                <w:highlight w:val="none"/>
                <w:lang w:val="en-US" w:eastAsia="zh-CN" w:bidi="ar-SA"/>
              </w:rPr>
              <w:t>信用承诺公示要求：</w:t>
            </w:r>
          </w:p>
          <w:p w14:paraId="4277B264">
            <w:pPr>
              <w:pStyle w:val="37"/>
              <w:spacing w:line="360" w:lineRule="auto"/>
              <w:ind w:firstLine="480" w:firstLineChars="200"/>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kern w:val="2"/>
                <w:sz w:val="24"/>
                <w:szCs w:val="22"/>
                <w:highlight w:val="none"/>
                <w:lang w:val="en-US" w:eastAsia="zh-CN" w:bidi="ar-SA"/>
              </w:rPr>
              <w:t>为深入贯彻信用体系建设的有关精神，根据市发改委《关于在工程招投标活动中推行信用监管试点示范工作的通知》（榆政发改发〔2020〕329号）和市财政局《关于在政府采购活动中使用信用记录和信用报告以及开展承诺工作的通知》（榆政财采函〔2020〕9号）在工程建设和政府采购领域全面推行信用公开承诺制，进入公共资源交易平台的各方交易主体，均应在“信用中国（陕西榆林）”网站进行注册、登陆，自主上报信用承诺书（网址：</w:t>
            </w:r>
            <w:r>
              <w:rPr>
                <w:rFonts w:hint="eastAsia" w:ascii="宋体" w:hAnsi="宋体" w:eastAsia="宋体" w:cs="宋体"/>
                <w:color w:val="auto"/>
                <w:kern w:val="2"/>
                <w:sz w:val="24"/>
                <w:szCs w:val="22"/>
                <w:highlight w:val="none"/>
                <w:lang w:val="en-US" w:eastAsia="zh-CN" w:bidi="ar-SA"/>
              </w:rPr>
              <w:fldChar w:fldCharType="begin"/>
            </w:r>
            <w:r>
              <w:rPr>
                <w:rFonts w:hint="eastAsia" w:ascii="宋体" w:hAnsi="宋体" w:eastAsia="宋体" w:cs="宋体"/>
                <w:color w:val="auto"/>
                <w:kern w:val="2"/>
                <w:sz w:val="24"/>
                <w:szCs w:val="22"/>
                <w:highlight w:val="none"/>
                <w:lang w:val="en-US" w:eastAsia="zh-CN" w:bidi="ar-SA"/>
              </w:rPr>
              <w:instrText xml:space="preserve"> HYPERLINK "https://credit.yl.gov.cn/），各相关交易主体注册、登陆后根据承诺事项选择相应的模板填写《信用承诺书》，并载明承诺事由，政府采购活动中，各方交易主体的承诺事由为\“公共资源交易平台的所有活动\”。" </w:instrText>
            </w:r>
            <w:r>
              <w:rPr>
                <w:rFonts w:hint="eastAsia" w:ascii="宋体" w:hAnsi="宋体" w:eastAsia="宋体" w:cs="宋体"/>
                <w:color w:val="auto"/>
                <w:kern w:val="2"/>
                <w:sz w:val="24"/>
                <w:szCs w:val="22"/>
                <w:highlight w:val="none"/>
                <w:lang w:val="en-US" w:eastAsia="zh-CN" w:bidi="ar-SA"/>
              </w:rPr>
              <w:fldChar w:fldCharType="separate"/>
            </w:r>
            <w:r>
              <w:rPr>
                <w:rFonts w:hint="eastAsia" w:ascii="宋体" w:hAnsi="宋体" w:eastAsia="宋体" w:cs="宋体"/>
                <w:color w:val="auto"/>
                <w:kern w:val="2"/>
                <w:sz w:val="24"/>
                <w:szCs w:val="22"/>
                <w:highlight w:val="none"/>
                <w:lang w:val="en-US" w:eastAsia="zh-CN" w:bidi="ar-SA"/>
              </w:rPr>
              <w:t>https://credit.yl.gov.cn/），各相关交易主体注册、登陆后根据承诺事项选择相应的模板填写《信用承诺书》，并载明承诺事由，政府采购活动中，各方交易主体的承诺事由为“公共资源交易平台的所有活动”。</w:t>
            </w:r>
            <w:r>
              <w:rPr>
                <w:rFonts w:hint="eastAsia" w:ascii="宋体" w:hAnsi="宋体" w:eastAsia="宋体" w:cs="宋体"/>
                <w:color w:val="auto"/>
                <w:kern w:val="2"/>
                <w:sz w:val="24"/>
                <w:szCs w:val="22"/>
                <w:highlight w:val="none"/>
                <w:lang w:val="en-US" w:eastAsia="zh-CN" w:bidi="ar-SA"/>
              </w:rPr>
              <w:fldChar w:fldCharType="end"/>
            </w:r>
          </w:p>
          <w:p w14:paraId="5446115A">
            <w:pPr>
              <w:spacing w:line="360" w:lineRule="auto"/>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kern w:val="2"/>
                <w:sz w:val="24"/>
                <w:szCs w:val="22"/>
                <w:highlight w:val="none"/>
                <w:lang w:val="en-US" w:eastAsia="zh-CN" w:bidi="ar-SA"/>
              </w:rPr>
              <w:t>附件：信用承诺上报操作指南</w:t>
            </w:r>
          </w:p>
          <w:p w14:paraId="6E6C1910">
            <w:pPr>
              <w:spacing w:line="360" w:lineRule="auto"/>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kern w:val="2"/>
                <w:sz w:val="24"/>
                <w:szCs w:val="22"/>
                <w:highlight w:val="none"/>
                <w:lang w:val="en-US" w:eastAsia="zh-CN" w:bidi="ar-SA"/>
              </w:rPr>
              <w:t>注:①法定代表人直接参与谈判的无须上报和提供《投标人委托代理人员信用承诺书》</w:t>
            </w:r>
          </w:p>
          <w:p w14:paraId="0906D9A9">
            <w:pPr>
              <w:spacing w:line="360" w:lineRule="auto"/>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kern w:val="2"/>
                <w:sz w:val="24"/>
                <w:szCs w:val="22"/>
                <w:highlight w:val="none"/>
                <w:lang w:val="en-US" w:eastAsia="zh-CN" w:bidi="ar-SA"/>
              </w:rPr>
              <w:t>②)不见面开标结束后由采购代理机构通过平台进行核实查验,未在“信用中国(陕西榆林)”网站进行自主上报信用承诺或响应文件中所附内容与上报内容不符的将否决其谈判。</w:t>
            </w:r>
          </w:p>
        </w:tc>
      </w:tr>
      <w:tr w14:paraId="39E9D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2" w:type="dxa"/>
            <w:noWrap w:val="0"/>
            <w:vAlign w:val="center"/>
          </w:tcPr>
          <w:p w14:paraId="446E7D25">
            <w:pPr>
              <w:numPr>
                <w:ilvl w:val="0"/>
                <w:numId w:val="2"/>
              </w:numPr>
              <w:spacing w:line="360" w:lineRule="auto"/>
              <w:rPr>
                <w:rFonts w:ascii="宋体" w:hAnsi="宋体" w:cs="宋体"/>
                <w:sz w:val="24"/>
                <w:szCs w:val="24"/>
              </w:rPr>
            </w:pPr>
          </w:p>
        </w:tc>
        <w:tc>
          <w:tcPr>
            <w:tcW w:w="9041" w:type="dxa"/>
            <w:noWrap w:val="0"/>
            <w:vAlign w:val="center"/>
          </w:tcPr>
          <w:p w14:paraId="3623E90A">
            <w:pPr>
              <w:spacing w:line="360" w:lineRule="auto"/>
              <w:rPr>
                <w:rFonts w:ascii="宋体" w:hAnsi="宋体" w:cs="宋体"/>
                <w:color w:val="FF0000"/>
                <w:sz w:val="24"/>
                <w:szCs w:val="24"/>
              </w:rPr>
            </w:pPr>
            <w:r>
              <w:rPr>
                <w:rFonts w:hint="eastAsia" w:ascii="宋体" w:hAnsi="宋体" w:cs="宋体"/>
                <w:sz w:val="24"/>
                <w:szCs w:val="24"/>
                <w:lang w:eastAsia="zh-CN"/>
              </w:rPr>
              <w:t>谈判响应文件</w:t>
            </w:r>
            <w:r>
              <w:rPr>
                <w:rFonts w:hint="eastAsia" w:ascii="宋体" w:hAnsi="宋体" w:cs="宋体"/>
                <w:sz w:val="24"/>
                <w:szCs w:val="24"/>
              </w:rPr>
              <w:t>中的复印件（含扫描件）必须加盖供应商公章（鲜章），否则按无效文件处理。所有复印件应是最新、有效、清晰的。因复印件不清晰而可能导致资料无效，由</w:t>
            </w:r>
            <w:r>
              <w:rPr>
                <w:rFonts w:hint="eastAsia" w:ascii="宋体" w:hAnsi="宋体" w:cs="宋体"/>
                <w:sz w:val="24"/>
                <w:szCs w:val="24"/>
                <w:lang w:eastAsia="zh-CN"/>
              </w:rPr>
              <w:t>谈判供应商</w:t>
            </w:r>
            <w:r>
              <w:rPr>
                <w:rFonts w:hint="eastAsia" w:ascii="宋体" w:hAnsi="宋体" w:cs="宋体"/>
                <w:sz w:val="24"/>
                <w:szCs w:val="24"/>
              </w:rPr>
              <w:t>自行负责。</w:t>
            </w:r>
          </w:p>
        </w:tc>
      </w:tr>
      <w:tr w14:paraId="78DA5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752" w:type="dxa"/>
            <w:noWrap w:val="0"/>
            <w:vAlign w:val="center"/>
          </w:tcPr>
          <w:p w14:paraId="1175FE21">
            <w:pPr>
              <w:numPr>
                <w:ilvl w:val="0"/>
                <w:numId w:val="2"/>
              </w:numPr>
              <w:spacing w:line="360" w:lineRule="auto"/>
              <w:rPr>
                <w:rFonts w:ascii="宋体" w:hAnsi="宋体" w:cs="宋体"/>
                <w:sz w:val="24"/>
                <w:szCs w:val="24"/>
              </w:rPr>
            </w:pPr>
          </w:p>
        </w:tc>
        <w:tc>
          <w:tcPr>
            <w:tcW w:w="9041" w:type="dxa"/>
            <w:noWrap w:val="0"/>
            <w:vAlign w:val="center"/>
          </w:tcPr>
          <w:p w14:paraId="33567157">
            <w:pPr>
              <w:spacing w:line="360" w:lineRule="auto"/>
              <w:rPr>
                <w:rFonts w:ascii="宋体" w:hAnsi="宋体" w:cs="宋体"/>
                <w:sz w:val="24"/>
                <w:szCs w:val="24"/>
              </w:rPr>
            </w:pPr>
            <w:r>
              <w:rPr>
                <w:rFonts w:hint="eastAsia" w:ascii="宋体" w:hAnsi="宋体" w:cs="宋体"/>
                <w:sz w:val="24"/>
                <w:szCs w:val="24"/>
              </w:rPr>
              <w:t>合同签订：成交供应商和采购人签订合同。</w:t>
            </w:r>
          </w:p>
        </w:tc>
      </w:tr>
      <w:tr w14:paraId="7808D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752" w:type="dxa"/>
            <w:noWrap w:val="0"/>
            <w:vAlign w:val="center"/>
          </w:tcPr>
          <w:p w14:paraId="12965BD0">
            <w:pPr>
              <w:numPr>
                <w:ilvl w:val="0"/>
                <w:numId w:val="2"/>
              </w:numPr>
              <w:spacing w:line="360" w:lineRule="auto"/>
              <w:rPr>
                <w:rFonts w:ascii="宋体" w:hAnsi="宋体" w:cs="宋体"/>
                <w:sz w:val="24"/>
                <w:szCs w:val="24"/>
              </w:rPr>
            </w:pPr>
          </w:p>
        </w:tc>
        <w:tc>
          <w:tcPr>
            <w:tcW w:w="9041" w:type="dxa"/>
            <w:noWrap w:val="0"/>
            <w:vAlign w:val="center"/>
          </w:tcPr>
          <w:p w14:paraId="67D88725">
            <w:pPr>
              <w:spacing w:line="360" w:lineRule="auto"/>
              <w:rPr>
                <w:rFonts w:ascii="宋体" w:hAnsi="宋体" w:cs="宋体"/>
                <w:sz w:val="24"/>
                <w:szCs w:val="24"/>
              </w:rPr>
            </w:pPr>
            <w:r>
              <w:rPr>
                <w:rFonts w:hint="eastAsia" w:ascii="宋体" w:hAnsi="宋体" w:cs="宋体"/>
                <w:sz w:val="24"/>
                <w:szCs w:val="24"/>
              </w:rPr>
              <w:t>其他：1、供应商若对竞争性谈判文件有质疑的，应当在谈判截止时间2日前以书面形式向采购代理机构提出。在此之后提出的质疑无效。</w:t>
            </w:r>
          </w:p>
          <w:p w14:paraId="2D1FF0DB">
            <w:pPr>
              <w:pStyle w:val="14"/>
              <w:ind w:firstLine="720" w:firstLineChars="300"/>
            </w:pPr>
            <w:r>
              <w:rPr>
                <w:rFonts w:hint="eastAsia" w:ascii="宋体" w:hAnsi="宋体" w:cs="宋体"/>
                <w:sz w:val="24"/>
                <w:szCs w:val="24"/>
              </w:rPr>
              <w:t>2、当供应商不足三家时，按相关文件执行。</w:t>
            </w:r>
          </w:p>
        </w:tc>
      </w:tr>
      <w:tr w14:paraId="48089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jc w:val="center"/>
        </w:trPr>
        <w:tc>
          <w:tcPr>
            <w:tcW w:w="752" w:type="dxa"/>
            <w:noWrap w:val="0"/>
            <w:vAlign w:val="center"/>
          </w:tcPr>
          <w:p w14:paraId="75961A24">
            <w:pPr>
              <w:numPr>
                <w:ilvl w:val="0"/>
                <w:numId w:val="2"/>
              </w:numPr>
              <w:spacing w:line="360" w:lineRule="auto"/>
              <w:rPr>
                <w:rFonts w:ascii="宋体" w:hAnsi="宋体" w:cs="宋体"/>
                <w:sz w:val="24"/>
                <w:szCs w:val="24"/>
              </w:rPr>
            </w:pPr>
          </w:p>
        </w:tc>
        <w:tc>
          <w:tcPr>
            <w:tcW w:w="9041" w:type="dxa"/>
            <w:noWrap w:val="0"/>
            <w:vAlign w:val="center"/>
          </w:tcPr>
          <w:p w14:paraId="0B5086B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为了进一步推动金融支持政策更好适应市场主体的需要，扎实落实国务院关于支持中小企业发展的政策措施，积极发挥政府采购政策功能，有效缓解中小企业融资难、融资贵问题，根据中办</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国办《关于促进中小企业健康发展的指导意见》、财政部</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工信部《政府采购促进中小企业发展</w:t>
            </w:r>
            <w:r>
              <w:rPr>
                <w:rFonts w:hint="eastAsia" w:ascii="宋体" w:hAnsi="宋体" w:eastAsia="宋体" w:cs="宋体"/>
                <w:sz w:val="24"/>
                <w:szCs w:val="24"/>
                <w:lang w:val="en-US" w:eastAsia="zh-CN"/>
              </w:rPr>
              <w:t>管理</w:t>
            </w:r>
            <w:r>
              <w:rPr>
                <w:rFonts w:hint="eastAsia" w:ascii="宋体" w:hAnsi="宋体" w:eastAsia="宋体" w:cs="宋体"/>
                <w:sz w:val="24"/>
                <w:szCs w:val="24"/>
              </w:rPr>
              <w:t>办法》（财库〔20</w:t>
            </w:r>
            <w:r>
              <w:rPr>
                <w:rFonts w:hint="eastAsia" w:ascii="宋体" w:hAnsi="宋体" w:eastAsia="宋体" w:cs="宋体"/>
                <w:sz w:val="24"/>
                <w:szCs w:val="24"/>
                <w:lang w:val="en-US" w:eastAsia="zh-CN"/>
              </w:rPr>
              <w:t>20</w:t>
            </w:r>
            <w:r>
              <w:rPr>
                <w:rFonts w:hint="eastAsia" w:ascii="宋体" w:hAnsi="宋体" w:eastAsia="宋体" w:cs="宋体"/>
                <w:sz w:val="24"/>
                <w:szCs w:val="24"/>
              </w:rPr>
              <w:t>〕</w:t>
            </w:r>
            <w:r>
              <w:rPr>
                <w:rFonts w:hint="eastAsia" w:ascii="宋体" w:hAnsi="宋体" w:eastAsia="宋体" w:cs="宋体"/>
                <w:sz w:val="24"/>
                <w:szCs w:val="24"/>
                <w:lang w:val="en-US" w:eastAsia="zh-CN"/>
              </w:rPr>
              <w:t>46</w:t>
            </w:r>
            <w:r>
              <w:rPr>
                <w:rFonts w:hint="eastAsia" w:ascii="宋体" w:hAnsi="宋体" w:eastAsia="宋体" w:cs="宋体"/>
                <w:sz w:val="24"/>
                <w:szCs w:val="24"/>
              </w:rPr>
              <w:t>号）、《陕西省中小企业政府采购信用融资办法》（陕财办采〔2018〕23号）、《陕西省财政厅关于加快推进我省中小企业政府采购信用融资工作的通知》（陕财办采〔2020〕15号）</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《陕西省财政厅 中国人民银行西安分行关于深入推进政府采购信用融资业务的通知》</w:t>
            </w:r>
            <w:r>
              <w:rPr>
                <w:rFonts w:hint="eastAsia" w:ascii="宋体" w:hAnsi="宋体" w:eastAsia="宋体" w:cs="宋体"/>
                <w:sz w:val="24"/>
                <w:szCs w:val="24"/>
              </w:rPr>
              <w:t>（陕财办采〔202</w:t>
            </w:r>
            <w:r>
              <w:rPr>
                <w:rFonts w:hint="eastAsia" w:ascii="宋体" w:hAnsi="宋体" w:eastAsia="宋体" w:cs="宋体"/>
                <w:sz w:val="24"/>
                <w:szCs w:val="24"/>
                <w:lang w:val="en-US" w:eastAsia="zh-CN"/>
              </w:rPr>
              <w:t>3</w:t>
            </w:r>
            <w:r>
              <w:rPr>
                <w:rFonts w:hint="eastAsia" w:ascii="宋体" w:hAnsi="宋体" w:eastAsia="宋体" w:cs="宋体"/>
                <w:sz w:val="24"/>
                <w:szCs w:val="24"/>
              </w:rPr>
              <w:t>〕5号）等有关规定，按照</w:t>
            </w:r>
            <w:r>
              <w:rPr>
                <w:rFonts w:hint="eastAsia" w:ascii="宋体" w:hAnsi="宋体" w:eastAsia="宋体" w:cs="宋体"/>
                <w:sz w:val="24"/>
                <w:szCs w:val="24"/>
                <w:lang w:val="en-US" w:eastAsia="zh-CN"/>
              </w:rPr>
              <w:t>政府</w:t>
            </w:r>
            <w:r>
              <w:rPr>
                <w:rFonts w:hint="eastAsia" w:ascii="宋体" w:hAnsi="宋体" w:eastAsia="宋体" w:cs="宋体"/>
                <w:sz w:val="24"/>
                <w:szCs w:val="24"/>
              </w:rPr>
              <w:t>引导、</w:t>
            </w:r>
            <w:r>
              <w:rPr>
                <w:rFonts w:hint="eastAsia" w:ascii="宋体" w:hAnsi="宋体" w:eastAsia="宋体" w:cs="宋体"/>
                <w:sz w:val="24"/>
                <w:szCs w:val="24"/>
                <w:lang w:val="en-US" w:eastAsia="zh-CN"/>
              </w:rPr>
              <w:t>市场运作、银企</w:t>
            </w:r>
            <w:r>
              <w:rPr>
                <w:rFonts w:hint="eastAsia" w:ascii="宋体" w:hAnsi="宋体" w:eastAsia="宋体" w:cs="宋体"/>
                <w:sz w:val="24"/>
                <w:szCs w:val="24"/>
              </w:rPr>
              <w:t>自愿、风险自担的原则，中标（成交）供应商可根据自身资金需求，登录陕西省政府采购信用融资平台（http://www.ccgp-shaanxi.gov.cn/zcdservice/zcd/shanxi/）</w:t>
            </w:r>
            <w:r>
              <w:rPr>
                <w:rFonts w:hint="eastAsia" w:ascii="宋体" w:hAnsi="宋体" w:eastAsia="宋体" w:cs="宋体"/>
                <w:sz w:val="24"/>
                <w:szCs w:val="24"/>
                <w:lang w:val="en-US" w:eastAsia="zh-CN"/>
              </w:rPr>
              <w:t>或中征平台（https://www.crcrfsp.com）</w:t>
            </w:r>
            <w:r>
              <w:rPr>
                <w:rFonts w:hint="eastAsia" w:ascii="宋体" w:hAnsi="宋体" w:eastAsia="宋体" w:cs="宋体"/>
                <w:sz w:val="24"/>
                <w:szCs w:val="24"/>
              </w:rPr>
              <w:t>在线申请，依法参加政府采购信用融资活动。</w:t>
            </w:r>
          </w:p>
          <w:tbl>
            <w:tblPr>
              <w:tblStyle w:val="21"/>
              <w:tblpPr w:leftFromText="180" w:rightFromText="180" w:vertAnchor="page" w:horzAnchor="page" w:tblpX="109" w:tblpY="5224"/>
              <w:tblOverlap w:val="never"/>
              <w:tblW w:w="883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41"/>
              <w:gridCol w:w="973"/>
              <w:gridCol w:w="984"/>
              <w:gridCol w:w="1017"/>
              <w:gridCol w:w="1028"/>
              <w:gridCol w:w="1283"/>
              <w:gridCol w:w="1017"/>
              <w:gridCol w:w="1896"/>
            </w:tblGrid>
            <w:tr w14:paraId="0D0BA2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8" w:hRule="atLeast"/>
                <w:jc w:val="center"/>
              </w:trPr>
              <w:tc>
                <w:tcPr>
                  <w:tcW w:w="8839" w:type="dxa"/>
                  <w:gridSpan w:val="8"/>
                  <w:tcBorders>
                    <w:top w:val="nil"/>
                    <w:left w:val="nil"/>
                    <w:bottom w:val="nil"/>
                    <w:right w:val="nil"/>
                  </w:tcBorders>
                  <w:noWrap/>
                  <w:vAlign w:val="center"/>
                </w:tcPr>
                <w:p w14:paraId="2ECA50B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榆林市“政采贷”业务办理银行联系表</w:t>
                  </w:r>
                </w:p>
              </w:tc>
            </w:tr>
            <w:tr w14:paraId="60505C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73F53DF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序号</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5B2229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银行名称</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1B0B3A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产品名称</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4E5ED4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贷款额度</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1D2350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贷款期限</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55A31F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贷款利率</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285F6C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办理时效</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4C6DCC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联系人</w:t>
                  </w:r>
                </w:p>
              </w:tc>
            </w:tr>
            <w:tr w14:paraId="6F5CA1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486F692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301522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长安银行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791ECC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44CFEB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0C31C9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3A107B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44FF74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72小时</w:t>
                  </w:r>
                </w:p>
              </w:tc>
              <w:tc>
                <w:tcPr>
                  <w:tcW w:w="1896" w:type="dxa"/>
                  <w:tcBorders>
                    <w:top w:val="single" w:color="000000" w:sz="4" w:space="0"/>
                    <w:left w:val="single" w:color="000000" w:sz="4" w:space="0"/>
                    <w:bottom w:val="single" w:color="000000" w:sz="4" w:space="0"/>
                    <w:right w:val="single" w:color="000000" w:sz="4" w:space="0"/>
                  </w:tcBorders>
                  <w:noWrap w:val="0"/>
                  <w:vAlign w:val="center"/>
                </w:tcPr>
                <w:p w14:paraId="0711C8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魏  众15109123951</w:t>
                  </w:r>
                </w:p>
              </w:tc>
            </w:tr>
            <w:tr w14:paraId="352B71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5826453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0C58F41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中信银行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1529531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政采E贷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4B33731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14BAA8E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12DADD1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3.45%起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329A823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24小时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6F8C60A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李  靖15509125117</w:t>
                  </w:r>
                </w:p>
              </w:tc>
            </w:tr>
            <w:tr w14:paraId="3201EA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174DFFE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601F4F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光大银行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0986F0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450A89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4421F6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03002D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3C6B0F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5DB6D1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刘  波18809125468</w:t>
                  </w:r>
                </w:p>
              </w:tc>
            </w:tr>
            <w:tr w14:paraId="313ECF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6170684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77719E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交通银行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093F78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秦政贷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25D7A3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48E5A1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783F76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5808F9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12EE12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  飞15291296886</w:t>
                  </w:r>
                </w:p>
              </w:tc>
            </w:tr>
            <w:tr w14:paraId="11D767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01A5369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3D09C2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中国银行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439904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344F0F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64CC40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4BD9B0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3BC8EB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72小时</w:t>
                  </w:r>
                </w:p>
              </w:tc>
              <w:tc>
                <w:tcPr>
                  <w:tcW w:w="1896" w:type="dxa"/>
                  <w:tcBorders>
                    <w:top w:val="single" w:color="000000" w:sz="4" w:space="0"/>
                    <w:left w:val="single" w:color="000000" w:sz="4" w:space="0"/>
                    <w:bottom w:val="single" w:color="000000" w:sz="4" w:space="0"/>
                    <w:right w:val="single" w:color="000000" w:sz="4" w:space="0"/>
                  </w:tcBorders>
                  <w:noWrap w:val="0"/>
                  <w:vAlign w:val="center"/>
                </w:tcPr>
                <w:p w14:paraId="3153F8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李  浩18691230007</w:t>
                  </w:r>
                </w:p>
              </w:tc>
            </w:tr>
            <w:tr w14:paraId="78E467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52A4866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415319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招商银行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5F48D7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2D8021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3BFB04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652B51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490DBE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076649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马  烨15596100007</w:t>
                  </w:r>
                </w:p>
              </w:tc>
            </w:tr>
            <w:tr w14:paraId="52B465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174C78E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7A33EA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浦发银行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7B38E9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政采E贷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7AAFE9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23FA51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753640A3">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3.8%</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011B85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68BC87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朱  君15629169158</w:t>
                  </w:r>
                </w:p>
              </w:tc>
            </w:tr>
            <w:tr w14:paraId="1FA0C3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037C370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3AFB3C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农商银行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240127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40A76C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2BED0A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03847E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3.45%-5.8%</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7D1C00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326695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王  璐15529875056</w:t>
                  </w:r>
                </w:p>
              </w:tc>
            </w:tr>
            <w:tr w14:paraId="617D0B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2BAF318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312D9F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农业银行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5E9073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43BB03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6BF5F7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7465D5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3.45%-3.85%</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5E014B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6CB38C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杨  尧13325409313</w:t>
                  </w:r>
                </w:p>
              </w:tc>
            </w:tr>
            <w:tr w14:paraId="6465DB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1BD1CAD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2F5A04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民生银行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0B4F2E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政采E贷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456417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745CCE5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45B653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29DA41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110DC0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郝双双15991225850</w:t>
                  </w:r>
                </w:p>
              </w:tc>
            </w:tr>
          </w:tbl>
          <w:p w14:paraId="0F567731">
            <w:pPr>
              <w:spacing w:line="360" w:lineRule="auto"/>
              <w:ind w:firstLine="440" w:firstLineChars="200"/>
              <w:jc w:val="left"/>
              <w:rPr>
                <w:rFonts w:ascii="宋体" w:hAnsi="宋体" w:cs="宋体"/>
                <w:sz w:val="24"/>
                <w:szCs w:val="24"/>
              </w:rPr>
            </w:pPr>
            <w:r>
              <w:rPr>
                <w:rFonts w:hint="eastAsia" w:ascii="宋体" w:hAnsi="宋体" w:eastAsia="宋体" w:cs="宋体"/>
                <w:i w:val="0"/>
                <w:iCs w:val="0"/>
                <w:color w:val="000000"/>
                <w:kern w:val="0"/>
                <w:sz w:val="22"/>
                <w:szCs w:val="22"/>
                <w:u w:val="none"/>
                <w:lang w:val="en-US" w:eastAsia="zh-CN" w:bidi="ar"/>
              </w:rPr>
              <w:t>备注：银行排名不分先后。如产品额度、期限、利率等内容发生改变，以银行解释为准。</w:t>
            </w:r>
          </w:p>
        </w:tc>
      </w:tr>
      <w:tr w14:paraId="19084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6" w:hRule="atLeast"/>
          <w:jc w:val="center"/>
        </w:trPr>
        <w:tc>
          <w:tcPr>
            <w:tcW w:w="752" w:type="dxa"/>
            <w:noWrap w:val="0"/>
            <w:vAlign w:val="center"/>
          </w:tcPr>
          <w:p w14:paraId="483F35D5">
            <w:pPr>
              <w:spacing w:line="360" w:lineRule="auto"/>
              <w:jc w:val="center"/>
              <w:rPr>
                <w:rFonts w:ascii="宋体" w:hAnsi="宋体" w:cs="宋体"/>
                <w:sz w:val="24"/>
                <w:szCs w:val="24"/>
              </w:rPr>
            </w:pPr>
            <w:r>
              <w:rPr>
                <w:rFonts w:hint="eastAsia" w:ascii="宋体" w:hAnsi="宋体" w:cs="仿宋_GB2312"/>
                <w:sz w:val="24"/>
                <w:szCs w:val="24"/>
              </w:rPr>
              <w:t>26</w:t>
            </w:r>
          </w:p>
        </w:tc>
        <w:tc>
          <w:tcPr>
            <w:tcW w:w="9041" w:type="dxa"/>
            <w:noWrap w:val="0"/>
            <w:vAlign w:val="center"/>
          </w:tcPr>
          <w:p w14:paraId="70BFBD83">
            <w:pPr>
              <w:spacing w:line="360" w:lineRule="auto"/>
              <w:rPr>
                <w:rFonts w:ascii="宋体" w:hAnsi="宋体" w:cs="仿宋_GB2312"/>
                <w:sz w:val="24"/>
                <w:szCs w:val="24"/>
              </w:rPr>
            </w:pPr>
            <w:r>
              <w:rPr>
                <w:rFonts w:hint="eastAsia" w:ascii="宋体" w:hAnsi="宋体" w:cs="仿宋_GB2312"/>
                <w:sz w:val="24"/>
                <w:szCs w:val="24"/>
              </w:rPr>
              <w:t>招标代理服务费：</w:t>
            </w:r>
          </w:p>
          <w:p w14:paraId="384CBE3A">
            <w:pPr>
              <w:spacing w:line="360" w:lineRule="auto"/>
              <w:rPr>
                <w:rFonts w:ascii="宋体" w:hAnsi="宋体" w:cs="仿宋_GB2312"/>
                <w:sz w:val="24"/>
                <w:szCs w:val="24"/>
              </w:rPr>
            </w:pPr>
            <w:r>
              <w:rPr>
                <w:rFonts w:hint="eastAsia" w:ascii="宋体" w:hAnsi="宋体" w:cs="仿宋_GB2312"/>
                <w:sz w:val="24"/>
                <w:szCs w:val="24"/>
              </w:rPr>
              <w:t>(1)招标代理服务费的收取参见国家计委颁布的《招标代理服务收费管理暂行办法》（计价格[2002]1980号）和（发改办价格[2011]534号）中</w:t>
            </w:r>
            <w:r>
              <w:rPr>
                <w:rFonts w:hint="eastAsia" w:ascii="宋体" w:hAnsi="宋体"/>
                <w:sz w:val="24"/>
                <w:szCs w:val="24"/>
              </w:rPr>
              <w:t>规定的差额定律累进法计算,向成交供应商收取。</w:t>
            </w:r>
          </w:p>
          <w:p w14:paraId="16E82A31">
            <w:pPr>
              <w:spacing w:line="360" w:lineRule="auto"/>
              <w:rPr>
                <w:rFonts w:ascii="宋体" w:hAnsi="宋体" w:cs="宋体"/>
                <w:sz w:val="24"/>
                <w:szCs w:val="24"/>
              </w:rPr>
            </w:pPr>
            <w:r>
              <w:rPr>
                <w:rFonts w:hint="eastAsia" w:ascii="宋体" w:hAnsi="宋体" w:cs="仿宋_GB2312"/>
                <w:sz w:val="24"/>
                <w:szCs w:val="24"/>
              </w:rPr>
              <w:t>(2)</w:t>
            </w:r>
            <w:r>
              <w:rPr>
                <w:rFonts w:hint="eastAsia" w:ascii="宋体" w:hAnsi="宋体" w:cs="宋体"/>
                <w:sz w:val="24"/>
                <w:szCs w:val="24"/>
              </w:rPr>
              <w:t>支付方式：成交供应商应在领取通知书的同时，向</w:t>
            </w:r>
            <w:r>
              <w:rPr>
                <w:rFonts w:hint="eastAsia" w:ascii="宋体" w:hAnsi="宋体" w:cs="宋体"/>
                <w:sz w:val="24"/>
                <w:szCs w:val="24"/>
                <w:lang w:eastAsia="zh-CN"/>
              </w:rPr>
              <w:t>陕西塞上华熙项目管理有限公司</w:t>
            </w:r>
            <w:r>
              <w:rPr>
                <w:rFonts w:hint="eastAsia" w:ascii="宋体" w:hAnsi="宋体" w:cs="宋体"/>
                <w:sz w:val="24"/>
                <w:szCs w:val="24"/>
              </w:rPr>
              <w:t>交纳本项目采购代理服务费。</w:t>
            </w:r>
          </w:p>
          <w:p w14:paraId="6F28F933">
            <w:pPr>
              <w:spacing w:line="360" w:lineRule="auto"/>
              <w:rPr>
                <w:rFonts w:hint="eastAsia" w:ascii="宋体" w:hAnsi="宋体" w:cs="宋体"/>
                <w:sz w:val="24"/>
                <w:szCs w:val="24"/>
              </w:rPr>
            </w:pPr>
            <w:r>
              <w:rPr>
                <w:rFonts w:hint="eastAsia" w:ascii="宋体" w:hAnsi="宋体" w:cs="宋体"/>
                <w:sz w:val="24"/>
                <w:szCs w:val="24"/>
              </w:rPr>
              <w:t>3、采购代理服务费按差额定率累进法计算：</w:t>
            </w:r>
          </w:p>
          <w:tbl>
            <w:tblPr>
              <w:tblStyle w:val="21"/>
              <w:tblW w:w="86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98"/>
              <w:gridCol w:w="1715"/>
              <w:gridCol w:w="2042"/>
              <w:gridCol w:w="2043"/>
            </w:tblGrid>
            <w:tr w14:paraId="6FFA3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jc w:val="center"/>
              </w:trPr>
              <w:tc>
                <w:tcPr>
                  <w:tcW w:w="2898" w:type="dxa"/>
                  <w:noWrap w:val="0"/>
                  <w:vAlign w:val="top"/>
                </w:tcPr>
                <w:p w14:paraId="345B228F">
                  <w:pPr>
                    <w:spacing w:line="360" w:lineRule="auto"/>
                    <w:rPr>
                      <w:rFonts w:ascii="宋体" w:hAnsi="宋体" w:cs="宋体"/>
                      <w:sz w:val="24"/>
                      <w:szCs w:val="24"/>
                    </w:rPr>
                  </w:pPr>
                  <w:r>
                    <w:rPr>
                      <w:rFonts w:hint="eastAsia" w:ascii="宋体" w:hAnsi="宋体" w:cs="宋体"/>
                      <w:sz w:val="24"/>
                      <w:szCs w:val="24"/>
                    </w:rPr>
                    <w:t>服务类型/费率/中标金额（万元）</w:t>
                  </w:r>
                </w:p>
              </w:tc>
              <w:tc>
                <w:tcPr>
                  <w:tcW w:w="1715" w:type="dxa"/>
                  <w:noWrap w:val="0"/>
                  <w:vAlign w:val="center"/>
                </w:tcPr>
                <w:p w14:paraId="46B3654B">
                  <w:pPr>
                    <w:spacing w:line="360" w:lineRule="auto"/>
                    <w:rPr>
                      <w:rFonts w:ascii="宋体" w:hAnsi="宋体" w:cs="宋体"/>
                      <w:sz w:val="24"/>
                      <w:szCs w:val="24"/>
                    </w:rPr>
                  </w:pPr>
                  <w:r>
                    <w:rPr>
                      <w:rFonts w:hint="eastAsia" w:ascii="宋体" w:hAnsi="宋体" w:cs="宋体"/>
                      <w:sz w:val="24"/>
                      <w:szCs w:val="24"/>
                    </w:rPr>
                    <w:t>货物招标</w:t>
                  </w:r>
                </w:p>
              </w:tc>
              <w:tc>
                <w:tcPr>
                  <w:tcW w:w="2042" w:type="dxa"/>
                  <w:noWrap w:val="0"/>
                  <w:vAlign w:val="center"/>
                </w:tcPr>
                <w:p w14:paraId="079A44FE">
                  <w:pPr>
                    <w:spacing w:line="360" w:lineRule="auto"/>
                    <w:jc w:val="center"/>
                    <w:rPr>
                      <w:rFonts w:ascii="宋体" w:hAnsi="宋体" w:cs="宋体"/>
                      <w:sz w:val="24"/>
                      <w:szCs w:val="24"/>
                    </w:rPr>
                  </w:pPr>
                  <w:r>
                    <w:rPr>
                      <w:rFonts w:hint="eastAsia" w:ascii="宋体" w:hAnsi="宋体" w:cs="宋体"/>
                      <w:sz w:val="24"/>
                      <w:szCs w:val="24"/>
                    </w:rPr>
                    <w:t>服务招标</w:t>
                  </w:r>
                </w:p>
              </w:tc>
              <w:tc>
                <w:tcPr>
                  <w:tcW w:w="2043" w:type="dxa"/>
                  <w:noWrap w:val="0"/>
                  <w:vAlign w:val="center"/>
                </w:tcPr>
                <w:p w14:paraId="446A795E">
                  <w:pPr>
                    <w:spacing w:line="360" w:lineRule="auto"/>
                    <w:rPr>
                      <w:rFonts w:ascii="宋体" w:hAnsi="宋体" w:cs="宋体"/>
                      <w:sz w:val="24"/>
                      <w:szCs w:val="24"/>
                    </w:rPr>
                  </w:pPr>
                  <w:r>
                    <w:rPr>
                      <w:rFonts w:hint="eastAsia" w:ascii="宋体" w:hAnsi="宋体" w:cs="宋体"/>
                      <w:sz w:val="24"/>
                      <w:szCs w:val="24"/>
                    </w:rPr>
                    <w:t>工程招标</w:t>
                  </w:r>
                </w:p>
              </w:tc>
            </w:tr>
            <w:tr w14:paraId="760C9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2898" w:type="dxa"/>
                  <w:noWrap w:val="0"/>
                  <w:vAlign w:val="top"/>
                </w:tcPr>
                <w:p w14:paraId="7A5B0266">
                  <w:pPr>
                    <w:spacing w:line="360" w:lineRule="auto"/>
                    <w:rPr>
                      <w:rFonts w:ascii="宋体" w:hAnsi="宋体" w:cs="宋体"/>
                      <w:sz w:val="24"/>
                      <w:szCs w:val="24"/>
                    </w:rPr>
                  </w:pPr>
                  <w:r>
                    <w:rPr>
                      <w:rFonts w:hint="eastAsia" w:ascii="宋体" w:hAnsi="宋体" w:cs="宋体"/>
                      <w:sz w:val="24"/>
                      <w:szCs w:val="24"/>
                    </w:rPr>
                    <w:t>100以下</w:t>
                  </w:r>
                </w:p>
              </w:tc>
              <w:tc>
                <w:tcPr>
                  <w:tcW w:w="1715" w:type="dxa"/>
                  <w:noWrap w:val="0"/>
                  <w:vAlign w:val="top"/>
                </w:tcPr>
                <w:p w14:paraId="70FAD276">
                  <w:pPr>
                    <w:spacing w:line="360" w:lineRule="auto"/>
                    <w:rPr>
                      <w:rFonts w:ascii="宋体" w:hAnsi="宋体" w:cs="宋体"/>
                      <w:sz w:val="24"/>
                      <w:szCs w:val="24"/>
                    </w:rPr>
                  </w:pPr>
                  <w:r>
                    <w:rPr>
                      <w:rFonts w:hint="eastAsia" w:ascii="宋体" w:hAnsi="宋体" w:cs="宋体"/>
                      <w:sz w:val="24"/>
                      <w:szCs w:val="24"/>
                    </w:rPr>
                    <w:t>1.5%</w:t>
                  </w:r>
                </w:p>
              </w:tc>
              <w:tc>
                <w:tcPr>
                  <w:tcW w:w="2042" w:type="dxa"/>
                  <w:noWrap w:val="0"/>
                  <w:vAlign w:val="top"/>
                </w:tcPr>
                <w:p w14:paraId="3786DFBC">
                  <w:pPr>
                    <w:spacing w:line="360" w:lineRule="auto"/>
                    <w:rPr>
                      <w:rFonts w:ascii="宋体" w:hAnsi="宋体" w:cs="宋体"/>
                      <w:sz w:val="24"/>
                      <w:szCs w:val="24"/>
                    </w:rPr>
                  </w:pPr>
                  <w:r>
                    <w:rPr>
                      <w:rFonts w:hint="eastAsia" w:ascii="宋体" w:hAnsi="宋体" w:cs="宋体"/>
                      <w:sz w:val="24"/>
                      <w:szCs w:val="24"/>
                    </w:rPr>
                    <w:t>1.5%</w:t>
                  </w:r>
                </w:p>
              </w:tc>
              <w:tc>
                <w:tcPr>
                  <w:tcW w:w="2043" w:type="dxa"/>
                  <w:noWrap w:val="0"/>
                  <w:vAlign w:val="top"/>
                </w:tcPr>
                <w:p w14:paraId="1FBC2554">
                  <w:pPr>
                    <w:spacing w:line="360" w:lineRule="auto"/>
                    <w:rPr>
                      <w:rFonts w:ascii="宋体" w:hAnsi="宋体" w:cs="宋体"/>
                      <w:sz w:val="24"/>
                      <w:szCs w:val="24"/>
                    </w:rPr>
                  </w:pPr>
                  <w:r>
                    <w:rPr>
                      <w:rFonts w:hint="eastAsia" w:ascii="宋体" w:hAnsi="宋体" w:cs="宋体"/>
                      <w:sz w:val="24"/>
                      <w:szCs w:val="24"/>
                    </w:rPr>
                    <w:t>1.0%</w:t>
                  </w:r>
                </w:p>
              </w:tc>
            </w:tr>
            <w:tr w14:paraId="1FB82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2898" w:type="dxa"/>
                  <w:noWrap w:val="0"/>
                  <w:vAlign w:val="top"/>
                </w:tcPr>
                <w:p w14:paraId="470F85F8">
                  <w:pPr>
                    <w:spacing w:line="360" w:lineRule="auto"/>
                    <w:rPr>
                      <w:rFonts w:ascii="宋体" w:hAnsi="宋体" w:cs="宋体"/>
                      <w:sz w:val="24"/>
                      <w:szCs w:val="24"/>
                    </w:rPr>
                  </w:pPr>
                  <w:r>
                    <w:rPr>
                      <w:rFonts w:hint="eastAsia" w:ascii="宋体" w:hAnsi="宋体" w:cs="宋体"/>
                      <w:sz w:val="24"/>
                      <w:szCs w:val="24"/>
                    </w:rPr>
                    <w:t>100-500</w:t>
                  </w:r>
                </w:p>
              </w:tc>
              <w:tc>
                <w:tcPr>
                  <w:tcW w:w="1715" w:type="dxa"/>
                  <w:noWrap w:val="0"/>
                  <w:vAlign w:val="top"/>
                </w:tcPr>
                <w:p w14:paraId="694018A7">
                  <w:pPr>
                    <w:spacing w:line="360" w:lineRule="auto"/>
                    <w:rPr>
                      <w:rFonts w:ascii="宋体" w:hAnsi="宋体" w:cs="宋体"/>
                      <w:sz w:val="24"/>
                      <w:szCs w:val="24"/>
                    </w:rPr>
                  </w:pPr>
                  <w:r>
                    <w:rPr>
                      <w:rFonts w:hint="eastAsia" w:ascii="宋体" w:hAnsi="宋体" w:cs="宋体"/>
                      <w:sz w:val="24"/>
                      <w:szCs w:val="24"/>
                    </w:rPr>
                    <w:t>1.1%</w:t>
                  </w:r>
                </w:p>
              </w:tc>
              <w:tc>
                <w:tcPr>
                  <w:tcW w:w="2042" w:type="dxa"/>
                  <w:noWrap w:val="0"/>
                  <w:vAlign w:val="top"/>
                </w:tcPr>
                <w:p w14:paraId="24155494">
                  <w:pPr>
                    <w:spacing w:line="360" w:lineRule="auto"/>
                    <w:rPr>
                      <w:rFonts w:ascii="宋体" w:hAnsi="宋体" w:cs="宋体"/>
                      <w:sz w:val="24"/>
                      <w:szCs w:val="24"/>
                    </w:rPr>
                  </w:pPr>
                  <w:r>
                    <w:rPr>
                      <w:rFonts w:hint="eastAsia" w:ascii="宋体" w:hAnsi="宋体" w:cs="宋体"/>
                      <w:sz w:val="24"/>
                      <w:szCs w:val="24"/>
                    </w:rPr>
                    <w:t>0.8%</w:t>
                  </w:r>
                </w:p>
              </w:tc>
              <w:tc>
                <w:tcPr>
                  <w:tcW w:w="2043" w:type="dxa"/>
                  <w:noWrap w:val="0"/>
                  <w:vAlign w:val="top"/>
                </w:tcPr>
                <w:p w14:paraId="2065B068">
                  <w:pPr>
                    <w:spacing w:line="360" w:lineRule="auto"/>
                    <w:rPr>
                      <w:rFonts w:ascii="宋体" w:hAnsi="宋体" w:cs="宋体"/>
                      <w:sz w:val="24"/>
                      <w:szCs w:val="24"/>
                    </w:rPr>
                  </w:pPr>
                  <w:r>
                    <w:rPr>
                      <w:rFonts w:hint="eastAsia" w:ascii="宋体" w:hAnsi="宋体" w:cs="宋体"/>
                      <w:sz w:val="24"/>
                      <w:szCs w:val="24"/>
                    </w:rPr>
                    <w:t>0.7%</w:t>
                  </w:r>
                </w:p>
              </w:tc>
            </w:tr>
            <w:tr w14:paraId="07B53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2898" w:type="dxa"/>
                  <w:noWrap w:val="0"/>
                  <w:vAlign w:val="top"/>
                </w:tcPr>
                <w:p w14:paraId="5DA1E244">
                  <w:pPr>
                    <w:spacing w:line="360" w:lineRule="auto"/>
                    <w:rPr>
                      <w:rFonts w:ascii="宋体" w:hAnsi="宋体" w:cs="宋体"/>
                      <w:sz w:val="24"/>
                      <w:szCs w:val="24"/>
                    </w:rPr>
                  </w:pPr>
                  <w:r>
                    <w:rPr>
                      <w:rFonts w:hint="eastAsia" w:ascii="宋体" w:hAnsi="宋体" w:cs="宋体"/>
                      <w:sz w:val="24"/>
                      <w:szCs w:val="24"/>
                    </w:rPr>
                    <w:t>500-1000</w:t>
                  </w:r>
                </w:p>
              </w:tc>
              <w:tc>
                <w:tcPr>
                  <w:tcW w:w="1715" w:type="dxa"/>
                  <w:noWrap w:val="0"/>
                  <w:vAlign w:val="top"/>
                </w:tcPr>
                <w:p w14:paraId="64088B7E">
                  <w:pPr>
                    <w:spacing w:line="360" w:lineRule="auto"/>
                    <w:rPr>
                      <w:rFonts w:ascii="宋体" w:hAnsi="宋体" w:cs="宋体"/>
                      <w:sz w:val="24"/>
                      <w:szCs w:val="24"/>
                    </w:rPr>
                  </w:pPr>
                  <w:r>
                    <w:rPr>
                      <w:rFonts w:hint="eastAsia" w:ascii="宋体" w:hAnsi="宋体" w:cs="宋体"/>
                      <w:sz w:val="24"/>
                      <w:szCs w:val="24"/>
                    </w:rPr>
                    <w:t>0.8%</w:t>
                  </w:r>
                </w:p>
              </w:tc>
              <w:tc>
                <w:tcPr>
                  <w:tcW w:w="2042" w:type="dxa"/>
                  <w:noWrap w:val="0"/>
                  <w:vAlign w:val="top"/>
                </w:tcPr>
                <w:p w14:paraId="45B4110B">
                  <w:pPr>
                    <w:spacing w:line="360" w:lineRule="auto"/>
                    <w:rPr>
                      <w:rFonts w:ascii="宋体" w:hAnsi="宋体" w:cs="宋体"/>
                      <w:sz w:val="24"/>
                      <w:szCs w:val="24"/>
                    </w:rPr>
                  </w:pPr>
                  <w:r>
                    <w:rPr>
                      <w:rFonts w:hint="eastAsia" w:ascii="宋体" w:hAnsi="宋体" w:cs="宋体"/>
                      <w:sz w:val="24"/>
                      <w:szCs w:val="24"/>
                    </w:rPr>
                    <w:t>0.45%</w:t>
                  </w:r>
                </w:p>
              </w:tc>
              <w:tc>
                <w:tcPr>
                  <w:tcW w:w="2043" w:type="dxa"/>
                  <w:noWrap w:val="0"/>
                  <w:vAlign w:val="top"/>
                </w:tcPr>
                <w:p w14:paraId="013CCFAC">
                  <w:pPr>
                    <w:spacing w:line="360" w:lineRule="auto"/>
                    <w:rPr>
                      <w:rFonts w:ascii="宋体" w:hAnsi="宋体" w:cs="宋体"/>
                      <w:sz w:val="24"/>
                      <w:szCs w:val="24"/>
                    </w:rPr>
                  </w:pPr>
                  <w:r>
                    <w:rPr>
                      <w:rFonts w:hint="eastAsia" w:ascii="宋体" w:hAnsi="宋体" w:cs="宋体"/>
                      <w:sz w:val="24"/>
                      <w:szCs w:val="24"/>
                    </w:rPr>
                    <w:t>0.55%</w:t>
                  </w:r>
                </w:p>
              </w:tc>
            </w:tr>
            <w:tr w14:paraId="6A360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2898" w:type="dxa"/>
                  <w:noWrap w:val="0"/>
                  <w:vAlign w:val="top"/>
                </w:tcPr>
                <w:p w14:paraId="3EAE3A63">
                  <w:pPr>
                    <w:spacing w:line="360" w:lineRule="auto"/>
                    <w:rPr>
                      <w:rFonts w:ascii="宋体" w:hAnsi="宋体" w:cs="宋体"/>
                      <w:sz w:val="24"/>
                      <w:szCs w:val="24"/>
                    </w:rPr>
                  </w:pPr>
                  <w:r>
                    <w:rPr>
                      <w:rFonts w:hint="eastAsia" w:ascii="宋体" w:hAnsi="宋体" w:cs="宋体"/>
                      <w:sz w:val="24"/>
                      <w:szCs w:val="24"/>
                    </w:rPr>
                    <w:t>1000-5000</w:t>
                  </w:r>
                </w:p>
              </w:tc>
              <w:tc>
                <w:tcPr>
                  <w:tcW w:w="1715" w:type="dxa"/>
                  <w:noWrap w:val="0"/>
                  <w:vAlign w:val="top"/>
                </w:tcPr>
                <w:p w14:paraId="435C969E">
                  <w:pPr>
                    <w:spacing w:line="360" w:lineRule="auto"/>
                    <w:rPr>
                      <w:rFonts w:ascii="宋体" w:hAnsi="宋体" w:cs="宋体"/>
                      <w:sz w:val="24"/>
                      <w:szCs w:val="24"/>
                    </w:rPr>
                  </w:pPr>
                  <w:r>
                    <w:rPr>
                      <w:rFonts w:hint="eastAsia" w:ascii="宋体" w:hAnsi="宋体" w:cs="宋体"/>
                      <w:sz w:val="24"/>
                      <w:szCs w:val="24"/>
                    </w:rPr>
                    <w:t>0.5%</w:t>
                  </w:r>
                </w:p>
              </w:tc>
              <w:tc>
                <w:tcPr>
                  <w:tcW w:w="2042" w:type="dxa"/>
                  <w:noWrap w:val="0"/>
                  <w:vAlign w:val="top"/>
                </w:tcPr>
                <w:p w14:paraId="44A9DDAA">
                  <w:pPr>
                    <w:spacing w:line="360" w:lineRule="auto"/>
                    <w:rPr>
                      <w:rFonts w:ascii="宋体" w:hAnsi="宋体" w:cs="宋体"/>
                      <w:sz w:val="24"/>
                      <w:szCs w:val="24"/>
                    </w:rPr>
                  </w:pPr>
                  <w:r>
                    <w:rPr>
                      <w:rFonts w:hint="eastAsia" w:ascii="宋体" w:hAnsi="宋体" w:cs="宋体"/>
                      <w:sz w:val="24"/>
                      <w:szCs w:val="24"/>
                    </w:rPr>
                    <w:t>0.25%</w:t>
                  </w:r>
                </w:p>
              </w:tc>
              <w:tc>
                <w:tcPr>
                  <w:tcW w:w="2043" w:type="dxa"/>
                  <w:noWrap w:val="0"/>
                  <w:vAlign w:val="top"/>
                </w:tcPr>
                <w:p w14:paraId="06172DEE">
                  <w:pPr>
                    <w:spacing w:line="360" w:lineRule="auto"/>
                    <w:rPr>
                      <w:rFonts w:ascii="宋体" w:hAnsi="宋体" w:cs="宋体"/>
                      <w:sz w:val="24"/>
                      <w:szCs w:val="24"/>
                    </w:rPr>
                  </w:pPr>
                  <w:r>
                    <w:rPr>
                      <w:rFonts w:hint="eastAsia" w:ascii="宋体" w:hAnsi="宋体" w:cs="宋体"/>
                      <w:sz w:val="24"/>
                      <w:szCs w:val="24"/>
                    </w:rPr>
                    <w:t>0.35%</w:t>
                  </w:r>
                </w:p>
              </w:tc>
            </w:tr>
            <w:tr w14:paraId="55CBE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2898" w:type="dxa"/>
                  <w:noWrap w:val="0"/>
                  <w:vAlign w:val="top"/>
                </w:tcPr>
                <w:p w14:paraId="1A775FC2">
                  <w:pPr>
                    <w:spacing w:line="360" w:lineRule="auto"/>
                    <w:rPr>
                      <w:rFonts w:ascii="宋体" w:hAnsi="宋体" w:cs="宋体"/>
                      <w:sz w:val="24"/>
                      <w:szCs w:val="24"/>
                    </w:rPr>
                  </w:pPr>
                  <w:r>
                    <w:rPr>
                      <w:rFonts w:hint="eastAsia" w:ascii="宋体" w:hAnsi="宋体" w:cs="宋体"/>
                      <w:sz w:val="24"/>
                      <w:szCs w:val="24"/>
                    </w:rPr>
                    <w:t>5000-10000</w:t>
                  </w:r>
                </w:p>
              </w:tc>
              <w:tc>
                <w:tcPr>
                  <w:tcW w:w="1715" w:type="dxa"/>
                  <w:noWrap w:val="0"/>
                  <w:vAlign w:val="top"/>
                </w:tcPr>
                <w:p w14:paraId="4B675FBF">
                  <w:pPr>
                    <w:spacing w:line="360" w:lineRule="auto"/>
                    <w:rPr>
                      <w:rFonts w:ascii="宋体" w:hAnsi="宋体" w:cs="宋体"/>
                      <w:sz w:val="24"/>
                      <w:szCs w:val="24"/>
                    </w:rPr>
                  </w:pPr>
                  <w:r>
                    <w:rPr>
                      <w:rFonts w:hint="eastAsia" w:ascii="宋体" w:hAnsi="宋体" w:cs="宋体"/>
                      <w:sz w:val="24"/>
                      <w:szCs w:val="24"/>
                    </w:rPr>
                    <w:t>0.25%</w:t>
                  </w:r>
                </w:p>
              </w:tc>
              <w:tc>
                <w:tcPr>
                  <w:tcW w:w="2042" w:type="dxa"/>
                  <w:noWrap w:val="0"/>
                  <w:vAlign w:val="top"/>
                </w:tcPr>
                <w:p w14:paraId="631B18FA">
                  <w:pPr>
                    <w:spacing w:line="360" w:lineRule="auto"/>
                    <w:rPr>
                      <w:rFonts w:ascii="宋体" w:hAnsi="宋体" w:cs="宋体"/>
                      <w:sz w:val="24"/>
                      <w:szCs w:val="24"/>
                    </w:rPr>
                  </w:pPr>
                  <w:r>
                    <w:rPr>
                      <w:rFonts w:hint="eastAsia" w:ascii="宋体" w:hAnsi="宋体" w:cs="宋体"/>
                      <w:sz w:val="24"/>
                      <w:szCs w:val="24"/>
                    </w:rPr>
                    <w:t>0.1%</w:t>
                  </w:r>
                </w:p>
              </w:tc>
              <w:tc>
                <w:tcPr>
                  <w:tcW w:w="2043" w:type="dxa"/>
                  <w:noWrap w:val="0"/>
                  <w:vAlign w:val="top"/>
                </w:tcPr>
                <w:p w14:paraId="2C50AE6C">
                  <w:pPr>
                    <w:spacing w:line="360" w:lineRule="auto"/>
                    <w:rPr>
                      <w:rFonts w:ascii="宋体" w:hAnsi="宋体" w:cs="宋体"/>
                      <w:sz w:val="24"/>
                      <w:szCs w:val="24"/>
                    </w:rPr>
                  </w:pPr>
                  <w:r>
                    <w:rPr>
                      <w:rFonts w:hint="eastAsia" w:ascii="宋体" w:hAnsi="宋体" w:cs="宋体"/>
                      <w:sz w:val="24"/>
                      <w:szCs w:val="24"/>
                    </w:rPr>
                    <w:t>0.2%</w:t>
                  </w:r>
                </w:p>
              </w:tc>
            </w:tr>
            <w:tr w14:paraId="0A64C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2898" w:type="dxa"/>
                  <w:noWrap w:val="0"/>
                  <w:vAlign w:val="top"/>
                </w:tcPr>
                <w:p w14:paraId="5A274929">
                  <w:pPr>
                    <w:spacing w:line="360" w:lineRule="auto"/>
                    <w:rPr>
                      <w:rFonts w:ascii="宋体" w:hAnsi="宋体" w:cs="宋体"/>
                      <w:sz w:val="24"/>
                      <w:szCs w:val="24"/>
                    </w:rPr>
                  </w:pPr>
                  <w:r>
                    <w:rPr>
                      <w:rFonts w:hint="eastAsia" w:ascii="宋体" w:hAnsi="宋体" w:cs="宋体"/>
                      <w:sz w:val="24"/>
                      <w:szCs w:val="24"/>
                    </w:rPr>
                    <w:t>10000-100000</w:t>
                  </w:r>
                </w:p>
              </w:tc>
              <w:tc>
                <w:tcPr>
                  <w:tcW w:w="1715" w:type="dxa"/>
                  <w:noWrap w:val="0"/>
                  <w:vAlign w:val="top"/>
                </w:tcPr>
                <w:p w14:paraId="654EB690">
                  <w:pPr>
                    <w:spacing w:line="360" w:lineRule="auto"/>
                    <w:rPr>
                      <w:rFonts w:ascii="宋体" w:hAnsi="宋体" w:cs="宋体"/>
                      <w:sz w:val="24"/>
                      <w:szCs w:val="24"/>
                    </w:rPr>
                  </w:pPr>
                  <w:r>
                    <w:rPr>
                      <w:rFonts w:hint="eastAsia" w:ascii="宋体" w:hAnsi="宋体" w:cs="宋体"/>
                      <w:sz w:val="24"/>
                      <w:szCs w:val="24"/>
                    </w:rPr>
                    <w:t>0.05%</w:t>
                  </w:r>
                </w:p>
              </w:tc>
              <w:tc>
                <w:tcPr>
                  <w:tcW w:w="2042" w:type="dxa"/>
                  <w:noWrap w:val="0"/>
                  <w:vAlign w:val="top"/>
                </w:tcPr>
                <w:p w14:paraId="7F780C28">
                  <w:pPr>
                    <w:spacing w:line="360" w:lineRule="auto"/>
                    <w:rPr>
                      <w:rFonts w:ascii="宋体" w:hAnsi="宋体" w:cs="宋体"/>
                      <w:sz w:val="24"/>
                      <w:szCs w:val="24"/>
                    </w:rPr>
                  </w:pPr>
                  <w:r>
                    <w:rPr>
                      <w:rFonts w:hint="eastAsia" w:ascii="宋体" w:hAnsi="宋体" w:cs="宋体"/>
                      <w:sz w:val="24"/>
                      <w:szCs w:val="24"/>
                    </w:rPr>
                    <w:t>0.05%</w:t>
                  </w:r>
                </w:p>
              </w:tc>
              <w:tc>
                <w:tcPr>
                  <w:tcW w:w="2043" w:type="dxa"/>
                  <w:noWrap w:val="0"/>
                  <w:vAlign w:val="top"/>
                </w:tcPr>
                <w:p w14:paraId="1C6E4FF1">
                  <w:pPr>
                    <w:spacing w:line="360" w:lineRule="auto"/>
                    <w:rPr>
                      <w:rFonts w:ascii="宋体" w:hAnsi="宋体" w:cs="宋体"/>
                      <w:sz w:val="24"/>
                      <w:szCs w:val="24"/>
                    </w:rPr>
                  </w:pPr>
                  <w:r>
                    <w:rPr>
                      <w:rFonts w:hint="eastAsia" w:ascii="宋体" w:hAnsi="宋体" w:cs="宋体"/>
                      <w:sz w:val="24"/>
                      <w:szCs w:val="24"/>
                    </w:rPr>
                    <w:t>0.05%</w:t>
                  </w:r>
                </w:p>
              </w:tc>
            </w:tr>
            <w:tr w14:paraId="46FA4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2898" w:type="dxa"/>
                  <w:noWrap w:val="0"/>
                  <w:vAlign w:val="top"/>
                </w:tcPr>
                <w:p w14:paraId="6E4085E0">
                  <w:pPr>
                    <w:spacing w:line="360" w:lineRule="auto"/>
                    <w:rPr>
                      <w:rFonts w:ascii="宋体" w:hAnsi="宋体" w:cs="宋体"/>
                      <w:sz w:val="24"/>
                      <w:szCs w:val="24"/>
                    </w:rPr>
                  </w:pPr>
                  <w:r>
                    <w:rPr>
                      <w:rFonts w:hint="eastAsia" w:ascii="宋体" w:hAnsi="宋体" w:cs="宋体"/>
                      <w:sz w:val="24"/>
                      <w:szCs w:val="24"/>
                    </w:rPr>
                    <w:t>1000000以上</w:t>
                  </w:r>
                </w:p>
              </w:tc>
              <w:tc>
                <w:tcPr>
                  <w:tcW w:w="1715" w:type="dxa"/>
                  <w:noWrap w:val="0"/>
                  <w:vAlign w:val="top"/>
                </w:tcPr>
                <w:p w14:paraId="1A9421EA">
                  <w:pPr>
                    <w:spacing w:line="360" w:lineRule="auto"/>
                    <w:rPr>
                      <w:rFonts w:ascii="宋体" w:hAnsi="宋体" w:cs="宋体"/>
                      <w:sz w:val="24"/>
                      <w:szCs w:val="24"/>
                    </w:rPr>
                  </w:pPr>
                  <w:r>
                    <w:rPr>
                      <w:rFonts w:hint="eastAsia" w:ascii="宋体" w:hAnsi="宋体" w:cs="宋体"/>
                      <w:sz w:val="24"/>
                      <w:szCs w:val="24"/>
                    </w:rPr>
                    <w:t>0.01%</w:t>
                  </w:r>
                </w:p>
              </w:tc>
              <w:tc>
                <w:tcPr>
                  <w:tcW w:w="2042" w:type="dxa"/>
                  <w:noWrap w:val="0"/>
                  <w:vAlign w:val="top"/>
                </w:tcPr>
                <w:p w14:paraId="16375411">
                  <w:pPr>
                    <w:spacing w:line="360" w:lineRule="auto"/>
                    <w:rPr>
                      <w:rFonts w:ascii="宋体" w:hAnsi="宋体" w:cs="宋体"/>
                      <w:sz w:val="24"/>
                      <w:szCs w:val="24"/>
                    </w:rPr>
                  </w:pPr>
                  <w:r>
                    <w:rPr>
                      <w:rFonts w:hint="eastAsia" w:ascii="宋体" w:hAnsi="宋体" w:cs="宋体"/>
                      <w:sz w:val="24"/>
                      <w:szCs w:val="24"/>
                    </w:rPr>
                    <w:t>0.01%</w:t>
                  </w:r>
                </w:p>
              </w:tc>
              <w:tc>
                <w:tcPr>
                  <w:tcW w:w="2043" w:type="dxa"/>
                  <w:noWrap w:val="0"/>
                  <w:vAlign w:val="top"/>
                </w:tcPr>
                <w:p w14:paraId="2CA60F3C">
                  <w:pPr>
                    <w:spacing w:line="360" w:lineRule="auto"/>
                    <w:rPr>
                      <w:rFonts w:ascii="宋体" w:hAnsi="宋体" w:cs="宋体"/>
                      <w:sz w:val="24"/>
                      <w:szCs w:val="24"/>
                    </w:rPr>
                  </w:pPr>
                  <w:r>
                    <w:rPr>
                      <w:rFonts w:hint="eastAsia" w:ascii="宋体" w:hAnsi="宋体" w:cs="宋体"/>
                      <w:sz w:val="24"/>
                      <w:szCs w:val="24"/>
                    </w:rPr>
                    <w:t>0.01%</w:t>
                  </w:r>
                </w:p>
              </w:tc>
            </w:tr>
          </w:tbl>
          <w:p w14:paraId="6AF0AA81">
            <w:pPr>
              <w:spacing w:line="360" w:lineRule="auto"/>
              <w:rPr>
                <w:rFonts w:ascii="宋体" w:hAnsi="宋体" w:cs="宋体"/>
                <w:sz w:val="24"/>
                <w:szCs w:val="24"/>
              </w:rPr>
            </w:pPr>
            <w:r>
              <w:rPr>
                <w:rFonts w:hint="eastAsia" w:ascii="宋体" w:hAnsi="宋体" w:cs="宋体"/>
                <w:sz w:val="24"/>
                <w:szCs w:val="24"/>
              </w:rPr>
              <w:t>例如：某货物招标成交金额为678.2万元，采购代理服务费计算如下：</w:t>
            </w:r>
          </w:p>
          <w:p w14:paraId="3BB2E55D">
            <w:pPr>
              <w:spacing w:line="360" w:lineRule="auto"/>
              <w:rPr>
                <w:rFonts w:ascii="宋体" w:hAnsi="宋体" w:cs="宋体"/>
                <w:sz w:val="24"/>
                <w:szCs w:val="24"/>
              </w:rPr>
            </w:pPr>
            <w:r>
              <w:rPr>
                <w:rFonts w:hint="eastAsia" w:ascii="宋体" w:hAnsi="宋体" w:cs="宋体"/>
                <w:sz w:val="24"/>
                <w:szCs w:val="24"/>
              </w:rPr>
              <w:t xml:space="preserve">100万元*1.5%=1.50万元 </w:t>
            </w:r>
          </w:p>
          <w:p w14:paraId="16962F1F">
            <w:pPr>
              <w:spacing w:line="360" w:lineRule="auto"/>
              <w:rPr>
                <w:rFonts w:ascii="宋体" w:hAnsi="宋体" w:cs="宋体"/>
                <w:sz w:val="24"/>
                <w:szCs w:val="24"/>
              </w:rPr>
            </w:pPr>
            <w:r>
              <w:rPr>
                <w:rFonts w:hint="eastAsia" w:ascii="宋体" w:hAnsi="宋体" w:cs="宋体"/>
                <w:sz w:val="24"/>
                <w:szCs w:val="24"/>
              </w:rPr>
              <w:t>(500-100)*1.1%=4.40万元</w:t>
            </w:r>
          </w:p>
          <w:p w14:paraId="10BB0835">
            <w:pPr>
              <w:spacing w:line="360" w:lineRule="auto"/>
              <w:rPr>
                <w:rFonts w:ascii="宋体" w:hAnsi="宋体" w:cs="宋体"/>
                <w:sz w:val="24"/>
                <w:szCs w:val="24"/>
              </w:rPr>
            </w:pPr>
            <w:r>
              <w:rPr>
                <w:rFonts w:hint="eastAsia" w:ascii="宋体" w:hAnsi="宋体" w:cs="宋体"/>
                <w:sz w:val="24"/>
                <w:szCs w:val="24"/>
              </w:rPr>
              <w:t>(678.2-500)*0.8%=1.4256万元</w:t>
            </w:r>
          </w:p>
          <w:p w14:paraId="0CA186C6">
            <w:pPr>
              <w:spacing w:line="360" w:lineRule="auto"/>
              <w:rPr>
                <w:rFonts w:ascii="宋体" w:hAnsi="宋体" w:cs="宋体"/>
                <w:sz w:val="24"/>
                <w:szCs w:val="24"/>
              </w:rPr>
            </w:pPr>
            <w:r>
              <w:rPr>
                <w:rFonts w:hint="eastAsia" w:ascii="宋体" w:hAnsi="宋体" w:cs="宋体"/>
                <w:sz w:val="24"/>
                <w:szCs w:val="24"/>
              </w:rPr>
              <w:t>服务费=1.50+4.40+1.4256=7.3256万元。</w:t>
            </w:r>
          </w:p>
          <w:p w14:paraId="0246ADF9">
            <w:pPr>
              <w:spacing w:line="360" w:lineRule="auto"/>
              <w:rPr>
                <w:rFonts w:ascii="宋体" w:hAnsi="宋体" w:cs="宋体"/>
                <w:sz w:val="24"/>
                <w:szCs w:val="24"/>
              </w:rPr>
            </w:pPr>
            <w:r>
              <w:rPr>
                <w:rFonts w:hint="eastAsia" w:ascii="宋体" w:hAnsi="宋体" w:cs="宋体"/>
                <w:sz w:val="24"/>
                <w:szCs w:val="24"/>
              </w:rPr>
              <w:t>4、本项目项目属性：</w:t>
            </w:r>
            <w:r>
              <w:rPr>
                <w:rFonts w:hint="eastAsia" w:ascii="宋体" w:hAnsi="宋体" w:cs="宋体"/>
                <w:sz w:val="24"/>
                <w:szCs w:val="24"/>
                <w:lang w:val="en-US" w:eastAsia="zh-CN"/>
              </w:rPr>
              <w:t>货物</w:t>
            </w:r>
            <w:r>
              <w:rPr>
                <w:rFonts w:hint="eastAsia" w:ascii="宋体" w:hAnsi="宋体" w:cs="宋体"/>
                <w:sz w:val="24"/>
                <w:szCs w:val="24"/>
              </w:rPr>
              <w:t>招标。</w:t>
            </w:r>
          </w:p>
        </w:tc>
      </w:tr>
      <w:tr w14:paraId="1EBEC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52" w:type="dxa"/>
            <w:noWrap w:val="0"/>
            <w:vAlign w:val="center"/>
          </w:tcPr>
          <w:p w14:paraId="22EF1DA3">
            <w:pPr>
              <w:spacing w:line="360" w:lineRule="auto"/>
              <w:jc w:val="center"/>
              <w:rPr>
                <w:rFonts w:ascii="宋体" w:hAnsi="宋体" w:cs="仿宋_GB2312"/>
                <w:sz w:val="24"/>
                <w:szCs w:val="24"/>
              </w:rPr>
            </w:pPr>
            <w:r>
              <w:rPr>
                <w:rFonts w:hint="eastAsia" w:ascii="宋体" w:hAnsi="宋体" w:cs="仿宋_GB2312"/>
                <w:sz w:val="24"/>
                <w:szCs w:val="24"/>
              </w:rPr>
              <w:t>27</w:t>
            </w:r>
          </w:p>
        </w:tc>
        <w:tc>
          <w:tcPr>
            <w:tcW w:w="9041" w:type="dxa"/>
            <w:noWrap w:val="0"/>
            <w:vAlign w:val="center"/>
          </w:tcPr>
          <w:p w14:paraId="12DE5B30">
            <w:pPr>
              <w:spacing w:line="360" w:lineRule="auto"/>
              <w:rPr>
                <w:rFonts w:hint="eastAsia" w:ascii="宋体" w:hAnsi="宋体" w:eastAsia="宋体" w:cs="宋体"/>
                <w:sz w:val="24"/>
                <w:szCs w:val="24"/>
              </w:rPr>
            </w:pPr>
            <w:r>
              <w:rPr>
                <w:rFonts w:hint="eastAsia" w:ascii="宋体" w:hAnsi="宋体" w:eastAsia="宋体" w:cs="宋体"/>
                <w:sz w:val="24"/>
                <w:szCs w:val="24"/>
              </w:rPr>
              <w:t>谈判报价轮次：</w:t>
            </w:r>
          </w:p>
          <w:p w14:paraId="5A333E75">
            <w:pPr>
              <w:spacing w:line="360" w:lineRule="auto"/>
              <w:rPr>
                <w:rFonts w:hint="eastAsia" w:ascii="宋体" w:hAnsi="宋体" w:eastAsia="宋体" w:cs="宋体"/>
                <w:sz w:val="24"/>
                <w:szCs w:val="24"/>
              </w:rPr>
            </w:pPr>
            <w:r>
              <w:rPr>
                <w:rFonts w:hint="eastAsia" w:ascii="宋体" w:hAnsi="宋体" w:eastAsia="宋体" w:cs="宋体"/>
                <w:sz w:val="24"/>
                <w:szCs w:val="24"/>
              </w:rPr>
              <w:t>多轮（报价文件中报价为第一轮，谈判现场为第二轮）</w:t>
            </w:r>
          </w:p>
          <w:p w14:paraId="01DE7BDA">
            <w:pPr>
              <w:spacing w:line="360" w:lineRule="auto"/>
              <w:rPr>
                <w:rFonts w:hint="eastAsia" w:ascii="宋体" w:hAnsi="宋体" w:eastAsia="宋体" w:cs="宋体"/>
                <w:sz w:val="24"/>
                <w:szCs w:val="24"/>
              </w:rPr>
            </w:pPr>
            <w:r>
              <w:rPr>
                <w:rFonts w:hint="eastAsia" w:ascii="宋体" w:hAnsi="宋体" w:eastAsia="宋体" w:cs="宋体"/>
                <w:sz w:val="24"/>
                <w:szCs w:val="24"/>
              </w:rPr>
              <w:t>供应商保持在线直到评审结束</w:t>
            </w:r>
          </w:p>
          <w:p w14:paraId="16DB54B9">
            <w:pPr>
              <w:spacing w:line="360" w:lineRule="auto"/>
              <w:rPr>
                <w:rFonts w:hint="eastAsia" w:ascii="宋体" w:hAnsi="宋体" w:eastAsia="宋体" w:cs="宋体"/>
                <w:sz w:val="24"/>
                <w:szCs w:val="24"/>
              </w:rPr>
            </w:pPr>
            <w:r>
              <w:rPr>
                <w:rFonts w:hint="eastAsia" w:ascii="宋体" w:hAnsi="宋体" w:eastAsia="宋体" w:cs="宋体"/>
                <w:sz w:val="24"/>
                <w:szCs w:val="24"/>
              </w:rPr>
              <w:t>多轮（</w:t>
            </w:r>
            <w:r>
              <w:rPr>
                <w:rFonts w:hint="eastAsia" w:ascii="宋体" w:hAnsi="宋体" w:eastAsia="宋体" w:cs="宋体"/>
                <w:sz w:val="24"/>
                <w:szCs w:val="24"/>
                <w:lang w:eastAsia="zh-CN"/>
              </w:rPr>
              <w:t>谈判</w:t>
            </w:r>
            <w:r>
              <w:rPr>
                <w:rFonts w:hint="eastAsia" w:ascii="宋体" w:hAnsi="宋体" w:eastAsia="宋体" w:cs="宋体"/>
                <w:sz w:val="24"/>
                <w:szCs w:val="24"/>
              </w:rPr>
              <w:t>响应文件中报价为第一轮，</w:t>
            </w:r>
            <w:r>
              <w:rPr>
                <w:rFonts w:hint="eastAsia" w:ascii="宋体" w:hAnsi="宋体" w:eastAsia="宋体" w:cs="宋体"/>
                <w:sz w:val="24"/>
                <w:szCs w:val="24"/>
                <w:lang w:eastAsia="zh-CN"/>
              </w:rPr>
              <w:t>谈判</w:t>
            </w:r>
            <w:r>
              <w:rPr>
                <w:rFonts w:hint="eastAsia" w:ascii="宋体" w:hAnsi="宋体" w:eastAsia="宋体" w:cs="宋体"/>
                <w:sz w:val="24"/>
                <w:szCs w:val="24"/>
              </w:rPr>
              <w:t>不见面开标会议为第二轮）</w:t>
            </w:r>
          </w:p>
          <w:p w14:paraId="4CD383CC">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不见面开标结束后，通过资格审查和符合性审查的供应商才有机会进入一对一</w:t>
            </w:r>
            <w:r>
              <w:rPr>
                <w:rFonts w:hint="eastAsia" w:ascii="宋体" w:hAnsi="宋体" w:eastAsia="宋体" w:cs="宋体"/>
                <w:sz w:val="24"/>
                <w:szCs w:val="24"/>
                <w:lang w:val="en-US" w:eastAsia="zh-CN"/>
              </w:rPr>
              <w:t>谈判</w:t>
            </w:r>
            <w:r>
              <w:rPr>
                <w:rFonts w:hint="eastAsia" w:ascii="宋体" w:hAnsi="宋体" w:eastAsia="宋体" w:cs="宋体"/>
                <w:sz w:val="24"/>
                <w:szCs w:val="24"/>
                <w:lang w:eastAsia="zh-CN"/>
              </w:rPr>
              <w:t>环节。依据财政部关于印发《政府采购竞争性</w:t>
            </w:r>
            <w:r>
              <w:rPr>
                <w:rFonts w:hint="eastAsia" w:ascii="宋体" w:hAnsi="宋体" w:eastAsia="宋体" w:cs="宋体"/>
                <w:sz w:val="24"/>
                <w:szCs w:val="24"/>
                <w:lang w:val="en-US" w:eastAsia="zh-CN"/>
              </w:rPr>
              <w:t>谈判</w:t>
            </w:r>
            <w:r>
              <w:rPr>
                <w:rFonts w:hint="eastAsia" w:ascii="宋体" w:hAnsi="宋体" w:eastAsia="宋体" w:cs="宋体"/>
                <w:sz w:val="24"/>
                <w:szCs w:val="24"/>
                <w:lang w:eastAsia="zh-CN"/>
              </w:rPr>
              <w:t>采购方式管理暂行办法》第十九条规定，</w:t>
            </w:r>
            <w:r>
              <w:rPr>
                <w:rFonts w:hint="eastAsia" w:ascii="宋体" w:hAnsi="宋体" w:eastAsia="宋体" w:cs="宋体"/>
                <w:sz w:val="24"/>
                <w:szCs w:val="24"/>
                <w:lang w:val="en-US" w:eastAsia="zh-CN"/>
              </w:rPr>
              <w:t>谈判</w:t>
            </w:r>
            <w:r>
              <w:rPr>
                <w:rFonts w:hint="eastAsia" w:ascii="宋体" w:hAnsi="宋体" w:eastAsia="宋体" w:cs="宋体"/>
                <w:sz w:val="24"/>
                <w:szCs w:val="24"/>
                <w:lang w:eastAsia="zh-CN"/>
              </w:rPr>
              <w:t>小组所有成员应当集中与单一供应商分别进行</w:t>
            </w:r>
            <w:r>
              <w:rPr>
                <w:rFonts w:hint="eastAsia" w:ascii="宋体" w:hAnsi="宋体" w:eastAsia="宋体" w:cs="宋体"/>
                <w:sz w:val="24"/>
                <w:szCs w:val="24"/>
                <w:lang w:val="en-US" w:eastAsia="zh-CN"/>
              </w:rPr>
              <w:t>谈判</w:t>
            </w:r>
            <w:r>
              <w:rPr>
                <w:rFonts w:hint="eastAsia" w:ascii="宋体" w:hAnsi="宋体" w:eastAsia="宋体" w:cs="宋体"/>
                <w:sz w:val="24"/>
                <w:szCs w:val="24"/>
                <w:lang w:eastAsia="zh-CN"/>
              </w:rPr>
              <w:t>，并给予所有参加</w:t>
            </w:r>
            <w:r>
              <w:rPr>
                <w:rFonts w:hint="eastAsia" w:ascii="宋体" w:hAnsi="宋体" w:eastAsia="宋体" w:cs="宋体"/>
                <w:sz w:val="24"/>
                <w:szCs w:val="24"/>
                <w:lang w:val="en-US" w:eastAsia="zh-CN"/>
              </w:rPr>
              <w:t>谈判</w:t>
            </w:r>
            <w:r>
              <w:rPr>
                <w:rFonts w:hint="eastAsia" w:ascii="宋体" w:hAnsi="宋体" w:eastAsia="宋体" w:cs="宋体"/>
                <w:sz w:val="24"/>
                <w:szCs w:val="24"/>
                <w:lang w:eastAsia="zh-CN"/>
              </w:rPr>
              <w:t>的供应商平等的</w:t>
            </w:r>
            <w:r>
              <w:rPr>
                <w:rFonts w:hint="eastAsia" w:ascii="宋体" w:hAnsi="宋体" w:eastAsia="宋体" w:cs="宋体"/>
                <w:sz w:val="24"/>
                <w:szCs w:val="24"/>
                <w:lang w:val="en-US" w:eastAsia="zh-CN"/>
              </w:rPr>
              <w:t>谈判</w:t>
            </w:r>
            <w:r>
              <w:rPr>
                <w:rFonts w:hint="eastAsia" w:ascii="宋体" w:hAnsi="宋体" w:eastAsia="宋体" w:cs="宋体"/>
                <w:sz w:val="24"/>
                <w:szCs w:val="24"/>
                <w:lang w:eastAsia="zh-CN"/>
              </w:rPr>
              <w:t>机会。已提交响应文件的供应商，在提交最后报价之前，可以根据</w:t>
            </w:r>
            <w:r>
              <w:rPr>
                <w:rFonts w:hint="eastAsia" w:ascii="宋体" w:hAnsi="宋体" w:eastAsia="宋体" w:cs="宋体"/>
                <w:sz w:val="24"/>
                <w:szCs w:val="24"/>
                <w:lang w:val="en-US" w:eastAsia="zh-CN"/>
              </w:rPr>
              <w:t>谈判</w:t>
            </w:r>
            <w:r>
              <w:rPr>
                <w:rFonts w:hint="eastAsia" w:ascii="宋体" w:hAnsi="宋体" w:eastAsia="宋体" w:cs="宋体"/>
                <w:sz w:val="24"/>
                <w:szCs w:val="24"/>
                <w:lang w:eastAsia="zh-CN"/>
              </w:rPr>
              <w:t>情况退出</w:t>
            </w:r>
            <w:r>
              <w:rPr>
                <w:rFonts w:hint="eastAsia" w:ascii="宋体" w:hAnsi="宋体" w:eastAsia="宋体" w:cs="宋体"/>
                <w:sz w:val="24"/>
                <w:szCs w:val="24"/>
                <w:lang w:val="en-US" w:eastAsia="zh-CN"/>
              </w:rPr>
              <w:t>谈判</w:t>
            </w:r>
            <w:r>
              <w:rPr>
                <w:rFonts w:hint="eastAsia" w:ascii="宋体" w:hAnsi="宋体" w:eastAsia="宋体" w:cs="宋体"/>
                <w:sz w:val="24"/>
                <w:szCs w:val="24"/>
                <w:lang w:eastAsia="zh-CN"/>
              </w:rPr>
              <w:t>。具体</w:t>
            </w:r>
            <w:r>
              <w:rPr>
                <w:rFonts w:hint="eastAsia" w:ascii="宋体" w:hAnsi="宋体" w:eastAsia="宋体" w:cs="宋体"/>
                <w:sz w:val="24"/>
                <w:szCs w:val="24"/>
                <w:lang w:val="en-US" w:eastAsia="zh-CN"/>
              </w:rPr>
              <w:t>谈判</w:t>
            </w:r>
            <w:r>
              <w:rPr>
                <w:rFonts w:hint="eastAsia" w:ascii="宋体" w:hAnsi="宋体" w:eastAsia="宋体" w:cs="宋体"/>
                <w:sz w:val="24"/>
                <w:szCs w:val="24"/>
                <w:lang w:eastAsia="zh-CN"/>
              </w:rPr>
              <w:t>流程如下:</w:t>
            </w:r>
          </w:p>
          <w:p w14:paraId="1722DA78">
            <w:pPr>
              <w:spacing w:line="360" w:lineRule="auto"/>
              <w:rPr>
                <w:rFonts w:hint="default" w:ascii="宋体" w:hAnsi="宋体" w:eastAsia="宋体" w:cs="宋体"/>
                <w:sz w:val="24"/>
                <w:szCs w:val="24"/>
                <w:lang w:val="en-US" w:eastAsia="zh-CN"/>
              </w:rPr>
            </w:pPr>
            <w:r>
              <w:rPr>
                <w:rFonts w:hint="eastAsia" w:ascii="宋体" w:hAnsi="宋体" w:eastAsia="宋体" w:cs="宋体"/>
                <w:sz w:val="24"/>
                <w:szCs w:val="24"/>
                <w:lang w:eastAsia="zh-CN"/>
              </w:rPr>
              <w:t>1.一对一</w:t>
            </w:r>
            <w:r>
              <w:rPr>
                <w:rFonts w:hint="eastAsia" w:ascii="宋体" w:hAnsi="宋体" w:eastAsia="宋体" w:cs="宋体"/>
                <w:sz w:val="24"/>
                <w:szCs w:val="24"/>
                <w:lang w:val="en-US" w:eastAsia="zh-CN"/>
              </w:rPr>
              <w:t>谈判</w:t>
            </w:r>
            <w:r>
              <w:rPr>
                <w:rFonts w:hint="eastAsia" w:ascii="宋体" w:hAnsi="宋体" w:eastAsia="宋体" w:cs="宋体"/>
                <w:sz w:val="24"/>
                <w:szCs w:val="24"/>
                <w:lang w:eastAsia="zh-CN"/>
              </w:rPr>
              <w:t>将通过腾讯视频会议的方式进行，供应商应</w:t>
            </w:r>
            <w:r>
              <w:rPr>
                <w:rFonts w:hint="eastAsia" w:ascii="宋体" w:hAnsi="宋体" w:eastAsia="宋体" w:cs="宋体"/>
                <w:sz w:val="24"/>
                <w:szCs w:val="24"/>
                <w:lang w:val="en-US" w:eastAsia="zh-CN"/>
              </w:rPr>
              <w:t>提前</w:t>
            </w:r>
            <w:r>
              <w:rPr>
                <w:rFonts w:hint="eastAsia" w:ascii="宋体" w:hAnsi="宋体" w:eastAsia="宋体" w:cs="宋体"/>
                <w:sz w:val="24"/>
                <w:szCs w:val="24"/>
                <w:lang w:eastAsia="zh-CN"/>
              </w:rPr>
              <w:t>在手机或电脑终端上下载“腾讯会议”软件，</w:t>
            </w:r>
            <w:r>
              <w:rPr>
                <w:rFonts w:hint="eastAsia" w:ascii="宋体" w:hAnsi="宋体" w:eastAsia="宋体" w:cs="宋体"/>
                <w:sz w:val="24"/>
                <w:szCs w:val="24"/>
                <w:lang w:val="en-US" w:eastAsia="zh-CN"/>
              </w:rPr>
              <w:t>开标现场由代理机构通知进入并告知腾讯视频会议号及会议密码。</w:t>
            </w:r>
          </w:p>
          <w:p w14:paraId="7730FA42">
            <w:pPr>
              <w:spacing w:line="36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2.加入会议室的同时将各参与</w:t>
            </w:r>
            <w:r>
              <w:rPr>
                <w:rFonts w:hint="eastAsia" w:ascii="宋体" w:hAnsi="宋体" w:eastAsia="宋体" w:cs="宋体"/>
                <w:sz w:val="24"/>
                <w:szCs w:val="24"/>
                <w:lang w:val="en-US" w:eastAsia="zh-CN"/>
              </w:rPr>
              <w:t>谈判</w:t>
            </w:r>
            <w:r>
              <w:rPr>
                <w:rFonts w:hint="eastAsia" w:ascii="宋体" w:hAnsi="宋体" w:eastAsia="宋体" w:cs="宋体"/>
                <w:sz w:val="24"/>
                <w:szCs w:val="24"/>
                <w:lang w:eastAsia="zh-CN"/>
              </w:rPr>
              <w:t>的人员姓名修改为“供应商简称”，</w:t>
            </w:r>
          </w:p>
          <w:p w14:paraId="2D960F3C">
            <w:pPr>
              <w:spacing w:line="360" w:lineRule="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.谈判结束后，将进行提交最终报价的环节，各供应商应及时关注全国公共资源交易平台(陕西省·榆林市)(http://y1.sxggzyjy.cn/)的网上报价情况，应当在谈判小组规定的时间内提交最终报价。</w:t>
            </w:r>
          </w:p>
          <w:p w14:paraId="3F4A0215">
            <w:pPr>
              <w:spacing w:line="360" w:lineRule="auto"/>
              <w:rPr>
                <w:rFonts w:hint="eastAsia" w:ascii="宋体" w:hAnsi="宋体" w:eastAsia="宋体" w:cs="宋体"/>
                <w:sz w:val="24"/>
                <w:szCs w:val="24"/>
              </w:rPr>
            </w:pPr>
            <w:r>
              <w:rPr>
                <w:rFonts w:hint="eastAsia" w:ascii="宋体" w:hAnsi="宋体" w:eastAsia="宋体" w:cs="宋体"/>
                <w:sz w:val="24"/>
                <w:szCs w:val="24"/>
                <w:lang w:eastAsia="zh-CN"/>
              </w:rPr>
              <w:t>注:供应商未在规定时间内提交最终报价的将视为自动退出谈判，该供应商响应无效。</w:t>
            </w:r>
          </w:p>
        </w:tc>
      </w:tr>
      <w:tr w14:paraId="75A24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752" w:type="dxa"/>
            <w:noWrap w:val="0"/>
            <w:vAlign w:val="center"/>
          </w:tcPr>
          <w:p w14:paraId="432933B8">
            <w:pPr>
              <w:spacing w:line="360" w:lineRule="auto"/>
              <w:jc w:val="center"/>
              <w:rPr>
                <w:rFonts w:hint="eastAsia" w:ascii="宋体" w:hAnsi="宋体" w:eastAsia="宋体" w:cs="仿宋_GB2312"/>
                <w:sz w:val="24"/>
                <w:szCs w:val="24"/>
                <w:lang w:eastAsia="zh-CN"/>
              </w:rPr>
            </w:pPr>
            <w:r>
              <w:rPr>
                <w:rFonts w:hint="eastAsia" w:ascii="宋体" w:hAnsi="宋体" w:cs="仿宋_GB2312"/>
                <w:sz w:val="24"/>
                <w:szCs w:val="24"/>
              </w:rPr>
              <w:t>2</w:t>
            </w:r>
            <w:r>
              <w:rPr>
                <w:rFonts w:hint="eastAsia" w:ascii="宋体" w:hAnsi="宋体" w:cs="仿宋_GB2312"/>
                <w:sz w:val="24"/>
                <w:szCs w:val="24"/>
                <w:lang w:val="en-US" w:eastAsia="zh-CN"/>
              </w:rPr>
              <w:t>8</w:t>
            </w:r>
          </w:p>
        </w:tc>
        <w:tc>
          <w:tcPr>
            <w:tcW w:w="9041" w:type="dxa"/>
            <w:noWrap w:val="0"/>
            <w:vAlign w:val="center"/>
          </w:tcPr>
          <w:p w14:paraId="1741497B">
            <w:pPr>
              <w:widowControl/>
              <w:spacing w:line="360" w:lineRule="auto"/>
              <w:jc w:val="left"/>
            </w:pPr>
            <w:r>
              <w:rPr>
                <w:rFonts w:hint="eastAsia" w:ascii="宋体" w:hAnsi="宋体" w:cs="宋体"/>
                <w:b/>
                <w:bCs/>
                <w:kern w:val="0"/>
                <w:sz w:val="24"/>
                <w:szCs w:val="24"/>
              </w:rPr>
              <w:t>特别提醒：本项目采用电子化投标的方式。</w:t>
            </w:r>
          </w:p>
          <w:p w14:paraId="3B914CC2">
            <w:pPr>
              <w:widowControl/>
              <w:spacing w:line="360" w:lineRule="auto"/>
              <w:jc w:val="left"/>
            </w:pPr>
            <w:r>
              <w:rPr>
                <w:rFonts w:hint="eastAsia" w:ascii="宋体" w:hAnsi="宋体" w:cs="宋体"/>
                <w:kern w:val="0"/>
                <w:sz w:val="24"/>
                <w:szCs w:val="24"/>
              </w:rPr>
              <w:t xml:space="preserve">1、投标人须使用数字认证证书对电子谈判响应文件进行签章、加密、递交及开标时解密等相关招投标事宜。递交谈判响应文件时务必携带数字认证证书（主锁及上传文件所用的副锁），如因投标人自身原因未携带数字认证证书造成无法解密谈判响应文件，按无效投标对待。 </w:t>
            </w:r>
          </w:p>
          <w:p w14:paraId="09E1EB76">
            <w:pPr>
              <w:widowControl/>
              <w:spacing w:line="360" w:lineRule="auto"/>
              <w:jc w:val="left"/>
            </w:pPr>
            <w:r>
              <w:rPr>
                <w:rFonts w:hint="eastAsia" w:ascii="宋体" w:hAnsi="宋体" w:cs="宋体"/>
                <w:kern w:val="0"/>
                <w:sz w:val="24"/>
                <w:szCs w:val="24"/>
              </w:rPr>
              <w:t xml:space="preserve">2、制作电子谈判响应文件。投标人须在“全国公共资源交易中心平台（陕西省）（http://www.sxggzyjy.cn/）”的“服务指南”栏目“下载专区”中，免费下载“陕西省公共资源交易平台政府采购电子标书制作工具”及“政府采购投标单位操作手册”，并使用该客户端制作电子谈判响应文件，制作扩展名为“.SXSTF”的电子谈判响应文件。 </w:t>
            </w:r>
          </w:p>
          <w:p w14:paraId="18EDEC91">
            <w:pPr>
              <w:widowControl/>
              <w:spacing w:line="360" w:lineRule="auto"/>
            </w:pPr>
            <w:r>
              <w:rPr>
                <w:rFonts w:hint="eastAsia" w:ascii="宋体" w:hAnsi="宋体" w:cs="宋体"/>
                <w:kern w:val="0"/>
                <w:sz w:val="24"/>
                <w:szCs w:val="24"/>
              </w:rPr>
              <w:t xml:space="preserve">3、递交电子谈判响应文件。登录陕西省公共资源交易中心平台（http://xxxq.sxggzyjy.cn/），选择“电子交易平台-陕西政府采购交易系统-陕西省公共资源交易平台-供应商”进行登录，登录后选择“交易乙方”身份进入，选择“上传谈判响应文件”菜单页面，上传加密的电子谈判响应文件。上传成功后，电子化平台将予以记录。 </w:t>
            </w:r>
          </w:p>
          <w:p w14:paraId="39327354">
            <w:pPr>
              <w:spacing w:line="360" w:lineRule="auto"/>
              <w:rPr>
                <w:rFonts w:ascii="宋体" w:hAnsi="宋体" w:cs="宋体"/>
                <w:sz w:val="24"/>
                <w:szCs w:val="24"/>
              </w:rPr>
            </w:pPr>
            <w:r>
              <w:rPr>
                <w:rFonts w:hint="eastAsia" w:ascii="宋体" w:hAnsi="宋体" w:cs="宋体"/>
                <w:kern w:val="0"/>
                <w:sz w:val="24"/>
                <w:szCs w:val="24"/>
              </w:rPr>
              <w:t>4、谈判响应文件中所有涉及签字、盖章的，各投标单位须将所有签字盖章完成后上传。</w:t>
            </w:r>
          </w:p>
        </w:tc>
      </w:tr>
      <w:tr w14:paraId="7E3A3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752" w:type="dxa"/>
            <w:noWrap w:val="0"/>
            <w:vAlign w:val="center"/>
          </w:tcPr>
          <w:p w14:paraId="64E544E1">
            <w:pPr>
              <w:spacing w:line="360" w:lineRule="auto"/>
              <w:jc w:val="center"/>
              <w:rPr>
                <w:rFonts w:hint="default" w:ascii="宋体" w:hAnsi="宋体" w:cs="仿宋_GB2312"/>
                <w:sz w:val="24"/>
                <w:szCs w:val="24"/>
                <w:lang w:val="en-US" w:eastAsia="zh-CN"/>
              </w:rPr>
            </w:pPr>
            <w:r>
              <w:rPr>
                <w:rFonts w:hint="eastAsia" w:ascii="宋体" w:hAnsi="宋体" w:cs="仿宋_GB2312"/>
                <w:sz w:val="24"/>
                <w:szCs w:val="24"/>
                <w:lang w:val="en-US" w:eastAsia="zh-CN"/>
              </w:rPr>
              <w:t>29</w:t>
            </w:r>
          </w:p>
        </w:tc>
        <w:tc>
          <w:tcPr>
            <w:tcW w:w="9041" w:type="dxa"/>
            <w:noWrap w:val="0"/>
            <w:vAlign w:val="center"/>
          </w:tcPr>
          <w:p w14:paraId="5DACB786">
            <w:pPr>
              <w:adjustRightInd w:val="0"/>
              <w:snapToGrid w:val="0"/>
              <w:spacing w:line="360" w:lineRule="auto"/>
              <w:rPr>
                <w:rFonts w:hint="eastAsia" w:ascii="宋体" w:hAnsi="宋体" w:eastAsia="宋体" w:cs="宋体"/>
                <w:sz w:val="24"/>
              </w:rPr>
            </w:pPr>
            <w:r>
              <w:rPr>
                <w:rFonts w:hint="eastAsia" w:ascii="宋体" w:hAnsi="宋体" w:eastAsia="宋体" w:cs="宋体"/>
                <w:sz w:val="24"/>
              </w:rPr>
              <w:t>各行业划分标准具体为</w:t>
            </w:r>
          </w:p>
          <w:p w14:paraId="471D0BD8">
            <w:pPr>
              <w:adjustRightInd w:val="0"/>
              <w:snapToGrid w:val="0"/>
              <w:spacing w:line="360" w:lineRule="auto"/>
              <w:rPr>
                <w:rFonts w:hint="eastAsia" w:ascii="宋体" w:hAnsi="宋体" w:eastAsia="宋体" w:cs="宋体"/>
                <w:sz w:val="24"/>
              </w:rPr>
            </w:pPr>
            <w:r>
              <w:rPr>
                <w:rFonts w:hint="eastAsia" w:ascii="宋体" w:hAnsi="宋体" w:eastAsia="宋体" w:cs="宋体"/>
                <w:sz w:val="24"/>
              </w:rPr>
              <w:t>1、农、林、牧、渔业。营业收入20000万元以下的为中小微型企业。其中，营业收入500万元及以上的为中型企业,营业收入50万元及以上的为小型企业，营业收入50万元以下的为微型企业。　　</w:t>
            </w:r>
          </w:p>
          <w:p w14:paraId="2300AD04">
            <w:pPr>
              <w:adjustRightInd w:val="0"/>
              <w:snapToGrid w:val="0"/>
              <w:spacing w:line="360" w:lineRule="auto"/>
              <w:rPr>
                <w:rFonts w:hint="eastAsia" w:ascii="宋体" w:hAnsi="宋体" w:eastAsia="宋体" w:cs="宋体"/>
                <w:sz w:val="24"/>
              </w:rPr>
            </w:pPr>
            <w:r>
              <w:rPr>
                <w:rFonts w:hint="eastAsia" w:ascii="宋体" w:hAnsi="宋体" w:eastAsia="宋体" w:cs="宋体"/>
                <w:sz w:val="24"/>
              </w:rPr>
              <w:t>2、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　</w:t>
            </w:r>
          </w:p>
          <w:p w14:paraId="6E476B2E">
            <w:pPr>
              <w:adjustRightInd w:val="0"/>
              <w:snapToGrid w:val="0"/>
              <w:spacing w:line="360" w:lineRule="auto"/>
              <w:rPr>
                <w:rFonts w:hint="eastAsia" w:ascii="宋体" w:hAnsi="宋体" w:eastAsia="宋体" w:cs="宋体"/>
                <w:sz w:val="24"/>
              </w:rPr>
            </w:pPr>
            <w:r>
              <w:rPr>
                <w:rFonts w:hint="eastAsia" w:ascii="宋体" w:hAnsi="宋体" w:eastAsia="宋体" w:cs="宋体"/>
                <w:sz w:val="24"/>
              </w:rPr>
              <w:t>3、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　　</w:t>
            </w:r>
          </w:p>
          <w:p w14:paraId="046EBD97">
            <w:pPr>
              <w:adjustRightInd w:val="0"/>
              <w:snapToGrid w:val="0"/>
              <w:spacing w:line="360" w:lineRule="auto"/>
              <w:rPr>
                <w:rFonts w:hint="eastAsia" w:ascii="宋体" w:hAnsi="宋体" w:eastAsia="宋体" w:cs="宋体"/>
                <w:sz w:val="24"/>
              </w:rPr>
            </w:pPr>
            <w:r>
              <w:rPr>
                <w:rFonts w:hint="eastAsia" w:ascii="宋体" w:hAnsi="宋体" w:eastAsia="宋体" w:cs="宋体"/>
                <w:sz w:val="24"/>
              </w:rPr>
              <w:t>4、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　　</w:t>
            </w:r>
          </w:p>
          <w:p w14:paraId="643F9694">
            <w:pPr>
              <w:adjustRightInd w:val="0"/>
              <w:snapToGrid w:val="0"/>
              <w:spacing w:line="360" w:lineRule="auto"/>
              <w:rPr>
                <w:rFonts w:hint="eastAsia" w:ascii="宋体" w:hAnsi="宋体" w:eastAsia="宋体" w:cs="宋体"/>
                <w:sz w:val="24"/>
              </w:rPr>
            </w:pPr>
            <w:r>
              <w:rPr>
                <w:rFonts w:hint="eastAsia" w:ascii="宋体" w:hAnsi="宋体" w:eastAsia="宋体" w:cs="宋体"/>
                <w:sz w:val="24"/>
              </w:rPr>
              <w:t>5、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　　</w:t>
            </w:r>
          </w:p>
          <w:p w14:paraId="7C1583B7">
            <w:pPr>
              <w:adjustRightInd w:val="0"/>
              <w:snapToGrid w:val="0"/>
              <w:spacing w:line="360" w:lineRule="auto"/>
              <w:rPr>
                <w:rFonts w:hint="eastAsia" w:ascii="宋体" w:hAnsi="宋体" w:eastAsia="宋体" w:cs="宋体"/>
                <w:sz w:val="24"/>
              </w:rPr>
            </w:pPr>
            <w:r>
              <w:rPr>
                <w:rFonts w:hint="eastAsia" w:ascii="宋体" w:hAnsi="宋体" w:eastAsia="宋体" w:cs="宋体"/>
                <w:sz w:val="24"/>
              </w:rPr>
              <w:t>6、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　　</w:t>
            </w:r>
          </w:p>
          <w:p w14:paraId="4D740C44">
            <w:pPr>
              <w:adjustRightInd w:val="0"/>
              <w:snapToGrid w:val="0"/>
              <w:spacing w:line="360" w:lineRule="auto"/>
              <w:rPr>
                <w:rFonts w:hint="eastAsia" w:ascii="宋体" w:hAnsi="宋体" w:eastAsia="宋体" w:cs="宋体"/>
                <w:sz w:val="24"/>
              </w:rPr>
            </w:pPr>
            <w:r>
              <w:rPr>
                <w:rFonts w:hint="eastAsia" w:ascii="宋体" w:hAnsi="宋体" w:eastAsia="宋体" w:cs="宋体"/>
                <w:sz w:val="24"/>
              </w:rPr>
              <w:t>7、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　　</w:t>
            </w:r>
          </w:p>
          <w:p w14:paraId="453E7D21">
            <w:pPr>
              <w:adjustRightInd w:val="0"/>
              <w:snapToGrid w:val="0"/>
              <w:spacing w:line="360" w:lineRule="auto"/>
              <w:rPr>
                <w:rFonts w:hint="eastAsia" w:ascii="宋体" w:hAnsi="宋体" w:eastAsia="宋体" w:cs="宋体"/>
                <w:sz w:val="24"/>
              </w:rPr>
            </w:pPr>
            <w:r>
              <w:rPr>
                <w:rFonts w:hint="eastAsia" w:ascii="宋体" w:hAnsi="宋体" w:eastAsia="宋体" w:cs="宋体"/>
                <w:sz w:val="24"/>
              </w:rPr>
              <w:t>8、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　　</w:t>
            </w:r>
          </w:p>
          <w:p w14:paraId="6106A48D">
            <w:pPr>
              <w:adjustRightInd w:val="0"/>
              <w:snapToGrid w:val="0"/>
              <w:spacing w:line="360" w:lineRule="auto"/>
              <w:rPr>
                <w:rFonts w:hint="eastAsia" w:ascii="宋体" w:hAnsi="宋体" w:eastAsia="宋体" w:cs="宋体"/>
                <w:sz w:val="24"/>
              </w:rPr>
            </w:pPr>
            <w:r>
              <w:rPr>
                <w:rFonts w:hint="eastAsia" w:ascii="宋体" w:hAnsi="宋体" w:eastAsia="宋体" w:cs="宋体"/>
                <w:sz w:val="24"/>
              </w:rPr>
              <w:t>9、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　　</w:t>
            </w:r>
          </w:p>
          <w:p w14:paraId="42837979">
            <w:pPr>
              <w:adjustRightInd w:val="0"/>
              <w:snapToGrid w:val="0"/>
              <w:spacing w:line="360" w:lineRule="auto"/>
              <w:rPr>
                <w:rFonts w:hint="eastAsia" w:ascii="宋体" w:hAnsi="宋体" w:eastAsia="宋体" w:cs="宋体"/>
                <w:sz w:val="24"/>
              </w:rPr>
            </w:pPr>
            <w:r>
              <w:rPr>
                <w:rFonts w:hint="eastAsia" w:ascii="宋体" w:hAnsi="宋体" w:eastAsia="宋体" w:cs="宋体"/>
                <w:sz w:val="24"/>
              </w:rPr>
              <w:t>10、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　　</w:t>
            </w:r>
          </w:p>
          <w:p w14:paraId="5A83EBC5">
            <w:pPr>
              <w:adjustRightInd w:val="0"/>
              <w:snapToGrid w:val="0"/>
              <w:spacing w:line="360" w:lineRule="auto"/>
              <w:rPr>
                <w:rFonts w:hint="eastAsia" w:ascii="宋体" w:hAnsi="宋体" w:eastAsia="宋体" w:cs="宋体"/>
                <w:sz w:val="24"/>
              </w:rPr>
            </w:pPr>
            <w:r>
              <w:rPr>
                <w:rFonts w:hint="eastAsia" w:ascii="宋体" w:hAnsi="宋体" w:eastAsia="宋体" w:cs="宋体"/>
                <w:sz w:val="24"/>
              </w:rPr>
              <w:t>11、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　　</w:t>
            </w:r>
          </w:p>
          <w:p w14:paraId="0FD99E82">
            <w:pPr>
              <w:adjustRightInd w:val="0"/>
              <w:snapToGrid w:val="0"/>
              <w:spacing w:line="360" w:lineRule="auto"/>
              <w:rPr>
                <w:rFonts w:hint="eastAsia" w:ascii="宋体" w:hAnsi="宋体" w:eastAsia="宋体" w:cs="宋体"/>
                <w:sz w:val="24"/>
              </w:rPr>
            </w:pPr>
            <w:r>
              <w:rPr>
                <w:rFonts w:hint="eastAsia" w:ascii="宋体" w:hAnsi="宋体" w:eastAsia="宋体" w:cs="宋体"/>
                <w:sz w:val="24"/>
              </w:rPr>
              <w:t>12、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　　</w:t>
            </w:r>
          </w:p>
          <w:p w14:paraId="77396A2C">
            <w:pPr>
              <w:adjustRightInd w:val="0"/>
              <w:snapToGrid w:val="0"/>
              <w:spacing w:line="360" w:lineRule="auto"/>
              <w:rPr>
                <w:rFonts w:hint="eastAsia" w:ascii="宋体" w:hAnsi="宋体" w:eastAsia="宋体" w:cs="宋体"/>
                <w:sz w:val="24"/>
              </w:rPr>
            </w:pPr>
            <w:r>
              <w:rPr>
                <w:rFonts w:hint="eastAsia" w:ascii="宋体" w:hAnsi="宋体" w:eastAsia="宋体" w:cs="宋体"/>
                <w:sz w:val="24"/>
              </w:rPr>
              <w:t>13、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　　</w:t>
            </w:r>
          </w:p>
          <w:p w14:paraId="305DD78E">
            <w:pPr>
              <w:adjustRightInd w:val="0"/>
              <w:snapToGrid w:val="0"/>
              <w:spacing w:line="360" w:lineRule="auto"/>
              <w:rPr>
                <w:rFonts w:hint="eastAsia" w:ascii="宋体" w:hAnsi="宋体" w:eastAsia="宋体" w:cs="宋体"/>
                <w:sz w:val="24"/>
              </w:rPr>
            </w:pPr>
            <w:r>
              <w:rPr>
                <w:rFonts w:hint="eastAsia" w:ascii="宋体" w:hAnsi="宋体" w:eastAsia="宋体" w:cs="宋体"/>
                <w:sz w:val="24"/>
              </w:rPr>
              <w:t>14、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　　</w:t>
            </w:r>
          </w:p>
          <w:p w14:paraId="2B02B959">
            <w:pPr>
              <w:adjustRightInd w:val="0"/>
              <w:snapToGrid w:val="0"/>
              <w:spacing w:line="360" w:lineRule="auto"/>
              <w:rPr>
                <w:rFonts w:hint="eastAsia" w:ascii="宋体" w:hAnsi="宋体" w:eastAsia="宋体" w:cs="宋体"/>
                <w:sz w:val="24"/>
              </w:rPr>
            </w:pPr>
            <w:r>
              <w:rPr>
                <w:rFonts w:hint="eastAsia" w:ascii="宋体" w:hAnsi="宋体" w:eastAsia="宋体" w:cs="宋体"/>
                <w:sz w:val="24"/>
              </w:rPr>
              <w:t>15、租赁和商务服务业。从业人员300人以下或资产总额120000万元以下的为中小微型企业.其中，从业人员100人及以上，且资产总额8000万元及以上的为中型企业；从业人员10人及以上，且资产总额100万元及以上的为小型企业。</w:t>
            </w:r>
          </w:p>
          <w:p w14:paraId="710790DF">
            <w:pPr>
              <w:adjustRightInd w:val="0"/>
              <w:snapToGrid w:val="0"/>
              <w:spacing w:line="360" w:lineRule="auto"/>
              <w:rPr>
                <w:rFonts w:hint="eastAsia" w:ascii="宋体" w:hAnsi="宋体" w:eastAsia="宋体" w:cs="宋体"/>
              </w:rPr>
            </w:pPr>
            <w:r>
              <w:rPr>
                <w:rFonts w:hint="eastAsia" w:ascii="宋体" w:hAnsi="宋体" w:eastAsia="宋体" w:cs="宋体"/>
                <w:sz w:val="24"/>
              </w:rPr>
              <w:t>16、其他未列明行业.从业人员300人以下的为中小微型企业。其中，从业人员100人及以上的为中型企业;从业人员10人及以上的为小型企业；从业人员10人以下的为微型企业。</w:t>
            </w:r>
          </w:p>
          <w:p w14:paraId="60768DE4">
            <w:pPr>
              <w:spacing w:line="360" w:lineRule="auto"/>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b/>
                <w:bCs/>
                <w:color w:val="auto"/>
                <w:sz w:val="24"/>
                <w:szCs w:val="24"/>
              </w:rPr>
              <w:t>本项目</w:t>
            </w:r>
            <w:r>
              <w:rPr>
                <w:rFonts w:hint="eastAsia" w:ascii="宋体" w:hAnsi="宋体" w:cs="宋体"/>
                <w:b/>
                <w:bCs/>
                <w:color w:val="auto"/>
                <w:sz w:val="24"/>
                <w:szCs w:val="24"/>
                <w:lang w:val="en-US" w:eastAsia="zh-CN"/>
              </w:rPr>
              <w:t>所属行业</w:t>
            </w:r>
            <w:r>
              <w:rPr>
                <w:rFonts w:hint="eastAsia" w:ascii="宋体" w:hAnsi="宋体" w:eastAsia="宋体" w:cs="宋体"/>
                <w:b/>
                <w:bCs/>
                <w:color w:val="auto"/>
                <w:sz w:val="24"/>
                <w:szCs w:val="24"/>
              </w:rPr>
              <w:t>：</w:t>
            </w:r>
            <w:r>
              <w:rPr>
                <w:rFonts w:hint="eastAsia" w:ascii="宋体" w:hAnsi="宋体" w:cs="宋体"/>
                <w:b/>
                <w:bCs/>
                <w:color w:val="auto"/>
                <w:sz w:val="24"/>
                <w:szCs w:val="24"/>
                <w:lang w:val="en-US" w:eastAsia="zh-CN"/>
              </w:rPr>
              <w:t>工业</w:t>
            </w:r>
          </w:p>
        </w:tc>
      </w:tr>
      <w:bookmarkEnd w:id="7"/>
      <w:bookmarkEnd w:id="12"/>
      <w:bookmarkEnd w:id="13"/>
      <w:bookmarkEnd w:id="14"/>
      <w:bookmarkEnd w:id="15"/>
    </w:tbl>
    <w:p w14:paraId="56CCBFDD">
      <w:pPr>
        <w:pStyle w:val="2"/>
        <w:spacing w:line="240" w:lineRule="auto"/>
        <w:jc w:val="center"/>
        <w:rPr>
          <w:rFonts w:ascii="宋体" w:hAnsi="宋体" w:cs="宋体"/>
          <w:sz w:val="36"/>
          <w:szCs w:val="36"/>
        </w:rPr>
      </w:pPr>
      <w:bookmarkStart w:id="21" w:name="_Toc17129"/>
      <w:bookmarkStart w:id="22" w:name="_Toc4754"/>
      <w:bookmarkStart w:id="23" w:name="_Toc8259"/>
      <w:bookmarkStart w:id="24" w:name="_Toc16531"/>
      <w:bookmarkStart w:id="25" w:name="_Toc465958087"/>
      <w:bookmarkStart w:id="26" w:name="_Toc23139"/>
      <w:bookmarkStart w:id="27" w:name="_Toc30436"/>
      <w:bookmarkStart w:id="28" w:name="_Toc246928894"/>
      <w:bookmarkStart w:id="29" w:name="_Toc12300"/>
      <w:r>
        <w:rPr>
          <w:rFonts w:hint="eastAsia" w:ascii="宋体" w:hAnsi="宋体" w:cs="宋体"/>
          <w:sz w:val="36"/>
          <w:szCs w:val="36"/>
        </w:rPr>
        <w:t>第三部分  供应商须知</w:t>
      </w:r>
      <w:bookmarkEnd w:id="21"/>
      <w:bookmarkEnd w:id="22"/>
      <w:bookmarkEnd w:id="23"/>
      <w:bookmarkEnd w:id="24"/>
      <w:bookmarkEnd w:id="25"/>
      <w:bookmarkEnd w:id="26"/>
      <w:bookmarkEnd w:id="27"/>
      <w:bookmarkEnd w:id="28"/>
      <w:bookmarkEnd w:id="29"/>
    </w:p>
    <w:p w14:paraId="42EF0FDA">
      <w:pPr>
        <w:pStyle w:val="3"/>
        <w:spacing w:line="240" w:lineRule="auto"/>
        <w:rPr>
          <w:rFonts w:ascii="宋体" w:hAnsi="宋体" w:eastAsia="宋体" w:cs="宋体"/>
          <w:sz w:val="36"/>
          <w:szCs w:val="24"/>
        </w:rPr>
      </w:pPr>
      <w:bookmarkStart w:id="30" w:name="_Toc31058"/>
      <w:bookmarkStart w:id="31" w:name="_Toc465958088"/>
      <w:bookmarkStart w:id="32" w:name="_Toc32198"/>
      <w:bookmarkStart w:id="33" w:name="_Toc30345"/>
      <w:bookmarkStart w:id="34" w:name="_Toc23623"/>
      <w:bookmarkStart w:id="35" w:name="_Toc246928895"/>
      <w:r>
        <w:rPr>
          <w:rFonts w:hint="eastAsia" w:ascii="宋体" w:hAnsi="宋体" w:eastAsia="宋体" w:cs="宋体"/>
          <w:sz w:val="36"/>
          <w:szCs w:val="24"/>
        </w:rPr>
        <w:t>A 总则</w:t>
      </w:r>
      <w:bookmarkEnd w:id="30"/>
      <w:bookmarkEnd w:id="31"/>
      <w:bookmarkEnd w:id="32"/>
      <w:bookmarkEnd w:id="33"/>
      <w:bookmarkEnd w:id="34"/>
      <w:bookmarkEnd w:id="35"/>
    </w:p>
    <w:p w14:paraId="02F58DAA">
      <w:pPr>
        <w:pStyle w:val="4"/>
        <w:spacing w:beforeLines="50" w:afterLines="50"/>
        <w:rPr>
          <w:rFonts w:ascii="宋体" w:hAnsi="宋体" w:cs="宋体"/>
          <w:szCs w:val="24"/>
        </w:rPr>
      </w:pPr>
      <w:bookmarkStart w:id="36" w:name="_Toc246928896"/>
      <w:bookmarkStart w:id="37" w:name="_Toc7587"/>
      <w:bookmarkStart w:id="38" w:name="_Toc13194"/>
      <w:bookmarkStart w:id="39" w:name="_Toc4811"/>
      <w:bookmarkStart w:id="40" w:name="_Toc21639"/>
      <w:bookmarkStart w:id="41" w:name="_Toc31417"/>
      <w:bookmarkStart w:id="42" w:name="_Toc465958089"/>
      <w:r>
        <w:rPr>
          <w:rFonts w:hint="eastAsia" w:ascii="宋体" w:hAnsi="宋体" w:cs="宋体"/>
          <w:szCs w:val="24"/>
        </w:rPr>
        <w:t>1 适用范围</w:t>
      </w:r>
      <w:bookmarkEnd w:id="36"/>
      <w:bookmarkEnd w:id="37"/>
      <w:bookmarkEnd w:id="38"/>
      <w:bookmarkEnd w:id="39"/>
      <w:bookmarkEnd w:id="40"/>
      <w:bookmarkEnd w:id="41"/>
      <w:bookmarkEnd w:id="42"/>
    </w:p>
    <w:p w14:paraId="507022DA">
      <w:pPr>
        <w:spacing w:line="360" w:lineRule="auto"/>
        <w:rPr>
          <w:rFonts w:ascii="宋体" w:hAnsi="宋体" w:cs="宋体"/>
          <w:sz w:val="24"/>
          <w:szCs w:val="24"/>
        </w:rPr>
      </w:pPr>
      <w:r>
        <w:rPr>
          <w:rFonts w:hint="eastAsia" w:ascii="宋体" w:hAnsi="宋体" w:cs="宋体"/>
          <w:sz w:val="24"/>
          <w:szCs w:val="24"/>
        </w:rPr>
        <w:t>1.1本竞争性谈判文件仅适用于本谈判公告中所叙述项目的</w:t>
      </w:r>
      <w:r>
        <w:rPr>
          <w:rFonts w:hint="eastAsia" w:ascii="宋体" w:hAnsi="宋体" w:cs="宋体"/>
          <w:sz w:val="24"/>
        </w:rPr>
        <w:t>货物及服务采购</w:t>
      </w:r>
      <w:r>
        <w:rPr>
          <w:rFonts w:hint="eastAsia" w:ascii="宋体" w:hAnsi="宋体" w:cs="宋体"/>
          <w:sz w:val="24"/>
          <w:szCs w:val="24"/>
        </w:rPr>
        <w:t>。</w:t>
      </w:r>
    </w:p>
    <w:p w14:paraId="689DC749">
      <w:pPr>
        <w:spacing w:line="360" w:lineRule="auto"/>
        <w:rPr>
          <w:rFonts w:ascii="宋体" w:hAnsi="宋体" w:cs="宋体"/>
          <w:sz w:val="24"/>
          <w:szCs w:val="24"/>
        </w:rPr>
      </w:pPr>
      <w:r>
        <w:rPr>
          <w:rFonts w:hint="eastAsia" w:ascii="宋体" w:hAnsi="宋体" w:cs="宋体"/>
          <w:sz w:val="24"/>
          <w:szCs w:val="24"/>
        </w:rPr>
        <w:t>1.2本次采购属政府采购，采购人，采购代理机构、供应商、谈判小组的相关行为均受《中华人民共和国政府采购法》、财政部规章及政府采购项目所在地有关法规、规章的约束，其权利受到上述法律法规的保护。</w:t>
      </w:r>
    </w:p>
    <w:p w14:paraId="184EF18C">
      <w:pPr>
        <w:pStyle w:val="4"/>
        <w:spacing w:beforeLines="50" w:afterLines="50" w:line="360" w:lineRule="auto"/>
        <w:rPr>
          <w:rFonts w:ascii="宋体" w:hAnsi="宋体" w:cs="宋体"/>
          <w:szCs w:val="24"/>
        </w:rPr>
      </w:pPr>
      <w:bookmarkStart w:id="43" w:name="_Toc18894"/>
      <w:bookmarkStart w:id="44" w:name="_Toc6698"/>
      <w:bookmarkStart w:id="45" w:name="_Toc9614"/>
      <w:bookmarkStart w:id="46" w:name="_Toc31636"/>
      <w:bookmarkStart w:id="47" w:name="_Toc28727"/>
      <w:bookmarkStart w:id="48" w:name="_Toc246928897"/>
      <w:bookmarkStart w:id="49" w:name="_Toc465958090"/>
      <w:r>
        <w:rPr>
          <w:rFonts w:hint="eastAsia" w:ascii="宋体" w:hAnsi="宋体" w:cs="宋体"/>
          <w:szCs w:val="24"/>
        </w:rPr>
        <w:t>2 定义</w:t>
      </w:r>
      <w:bookmarkEnd w:id="43"/>
      <w:bookmarkEnd w:id="44"/>
      <w:bookmarkEnd w:id="45"/>
      <w:bookmarkEnd w:id="46"/>
      <w:bookmarkEnd w:id="47"/>
      <w:bookmarkEnd w:id="48"/>
      <w:bookmarkEnd w:id="49"/>
      <w:r>
        <w:rPr>
          <w:rFonts w:hint="eastAsia" w:ascii="宋体" w:hAnsi="宋体" w:cs="宋体"/>
          <w:szCs w:val="24"/>
        </w:rPr>
        <w:t xml:space="preserve"> </w:t>
      </w:r>
    </w:p>
    <w:p w14:paraId="6AF0873D">
      <w:pPr>
        <w:spacing w:line="360" w:lineRule="auto"/>
        <w:rPr>
          <w:rFonts w:ascii="宋体" w:hAnsi="宋体" w:cs="宋体"/>
          <w:sz w:val="24"/>
          <w:szCs w:val="24"/>
        </w:rPr>
      </w:pPr>
      <w:r>
        <w:rPr>
          <w:rFonts w:hint="eastAsia" w:ascii="宋体" w:hAnsi="宋体" w:cs="宋体"/>
          <w:sz w:val="24"/>
          <w:szCs w:val="24"/>
        </w:rPr>
        <w:t>2.1 “采购人”系指</w:t>
      </w:r>
      <w:r>
        <w:rPr>
          <w:rFonts w:hint="eastAsia" w:ascii="宋体" w:hAnsi="宋体" w:cs="宋体"/>
          <w:color w:val="000000"/>
          <w:sz w:val="24"/>
          <w:szCs w:val="24"/>
          <w:shd w:val="clear" w:color="auto" w:fill="FFFFFF"/>
          <w:lang w:val="en-US" w:eastAsia="zh-CN"/>
        </w:rPr>
        <w:t>神木市人民法院</w:t>
      </w:r>
      <w:r>
        <w:rPr>
          <w:rFonts w:hint="eastAsia" w:ascii="宋体" w:hAnsi="宋体" w:cs="宋体"/>
          <w:sz w:val="24"/>
          <w:szCs w:val="24"/>
        </w:rPr>
        <w:t>。</w:t>
      </w:r>
    </w:p>
    <w:p w14:paraId="77EC5288">
      <w:pPr>
        <w:spacing w:line="360" w:lineRule="auto"/>
        <w:ind w:firstLine="480" w:firstLineChars="200"/>
        <w:rPr>
          <w:rFonts w:ascii="宋体" w:hAnsi="宋体" w:cs="宋体"/>
          <w:sz w:val="24"/>
          <w:szCs w:val="24"/>
        </w:rPr>
      </w:pPr>
      <w:r>
        <w:rPr>
          <w:rFonts w:hint="eastAsia" w:ascii="宋体" w:hAnsi="宋体" w:cs="宋体"/>
          <w:sz w:val="24"/>
          <w:szCs w:val="24"/>
        </w:rPr>
        <w:t>“采购代理机构”系指</w:t>
      </w:r>
      <w:r>
        <w:rPr>
          <w:rFonts w:hint="eastAsia" w:ascii="宋体" w:hAnsi="宋体" w:cs="宋体"/>
          <w:sz w:val="24"/>
          <w:szCs w:val="24"/>
          <w:lang w:eastAsia="zh-CN"/>
        </w:rPr>
        <w:t>陕西塞上华熙项目管理有限公司</w:t>
      </w:r>
      <w:r>
        <w:rPr>
          <w:rFonts w:hint="eastAsia" w:ascii="宋体" w:hAnsi="宋体" w:cs="宋体"/>
          <w:sz w:val="24"/>
          <w:szCs w:val="24"/>
        </w:rPr>
        <w:t>。</w:t>
      </w:r>
    </w:p>
    <w:p w14:paraId="61D42F40">
      <w:pPr>
        <w:spacing w:line="360" w:lineRule="auto"/>
        <w:rPr>
          <w:rFonts w:ascii="宋体" w:hAnsi="宋体" w:cs="宋体"/>
          <w:sz w:val="24"/>
          <w:szCs w:val="24"/>
        </w:rPr>
      </w:pPr>
      <w:r>
        <w:rPr>
          <w:rFonts w:hint="eastAsia" w:ascii="宋体" w:hAnsi="宋体" w:cs="宋体"/>
          <w:sz w:val="24"/>
          <w:szCs w:val="24"/>
        </w:rPr>
        <w:t>2.2 “供应商”系指响应采购人要求，向采购人提交竞争性谈判响应文件的供应商。</w:t>
      </w:r>
    </w:p>
    <w:p w14:paraId="3B97856D">
      <w:pPr>
        <w:spacing w:line="360" w:lineRule="auto"/>
        <w:rPr>
          <w:rFonts w:ascii="宋体" w:hAnsi="宋体" w:cs="仿宋_GB2312"/>
          <w:sz w:val="24"/>
          <w:szCs w:val="24"/>
        </w:rPr>
      </w:pPr>
      <w:bookmarkStart w:id="50" w:name="_Toc246928898"/>
      <w:r>
        <w:rPr>
          <w:rFonts w:hint="eastAsia" w:ascii="宋体" w:hAnsi="宋体" w:cs="仿宋_GB2312"/>
          <w:sz w:val="24"/>
          <w:szCs w:val="24"/>
        </w:rPr>
        <w:t>2.3 “货物”系指供应商按招标文件规定，须向买方提供的货物、备品配件、耗材、设备及其它有关技术资料和材料。</w:t>
      </w:r>
    </w:p>
    <w:p w14:paraId="04D55062">
      <w:pPr>
        <w:spacing w:line="360" w:lineRule="auto"/>
        <w:rPr>
          <w:rFonts w:ascii="宋体" w:hAnsi="宋体" w:cs="宋体"/>
          <w:sz w:val="24"/>
          <w:szCs w:val="24"/>
        </w:rPr>
      </w:pPr>
      <w:r>
        <w:rPr>
          <w:rFonts w:hint="eastAsia" w:ascii="宋体" w:hAnsi="宋体" w:cs="仿宋_GB2312"/>
          <w:sz w:val="24"/>
          <w:szCs w:val="24"/>
        </w:rPr>
        <w:t>2.4 “服务”系指招标文件规定供应商须承担的测试、检验、调试、技术支持、售后服务以及其他类似服务的义务。</w:t>
      </w:r>
    </w:p>
    <w:bookmarkEnd w:id="50"/>
    <w:p w14:paraId="5B2969F6">
      <w:pPr>
        <w:pStyle w:val="4"/>
        <w:spacing w:beforeLines="50" w:afterLines="50" w:line="360" w:lineRule="auto"/>
        <w:rPr>
          <w:rFonts w:ascii="宋体" w:hAnsi="宋体" w:cs="宋体"/>
          <w:szCs w:val="24"/>
        </w:rPr>
      </w:pPr>
      <w:bookmarkStart w:id="51" w:name="_Toc465958091"/>
      <w:bookmarkStart w:id="52" w:name="_Toc26952"/>
      <w:bookmarkStart w:id="53" w:name="_Toc20739"/>
      <w:bookmarkStart w:id="54" w:name="_Toc19646"/>
      <w:bookmarkStart w:id="55" w:name="_Toc16727"/>
      <w:bookmarkStart w:id="56" w:name="_Toc27989"/>
      <w:r>
        <w:rPr>
          <w:rFonts w:hint="eastAsia" w:ascii="宋体" w:hAnsi="宋体" w:cs="宋体"/>
          <w:szCs w:val="24"/>
        </w:rPr>
        <w:t>3 合格的</w:t>
      </w:r>
      <w:bookmarkEnd w:id="51"/>
      <w:bookmarkEnd w:id="52"/>
      <w:bookmarkEnd w:id="53"/>
      <w:bookmarkEnd w:id="54"/>
      <w:bookmarkEnd w:id="55"/>
      <w:bookmarkEnd w:id="56"/>
      <w:r>
        <w:rPr>
          <w:rFonts w:hint="eastAsia" w:ascii="宋体" w:hAnsi="宋体" w:cs="宋体"/>
          <w:szCs w:val="24"/>
        </w:rPr>
        <w:t>供应商</w:t>
      </w:r>
    </w:p>
    <w:p w14:paraId="4BE4D726">
      <w:pPr>
        <w:wordWrap w:val="0"/>
        <w:topLinePunct/>
        <w:spacing w:line="360" w:lineRule="auto"/>
        <w:jc w:val="left"/>
        <w:rPr>
          <w:rFonts w:ascii="宋体" w:hAnsi="宋体"/>
          <w:sz w:val="24"/>
        </w:rPr>
      </w:pPr>
      <w:bookmarkStart w:id="57" w:name="_Toc246928899"/>
      <w:bookmarkStart w:id="58" w:name="_Toc18171"/>
      <w:bookmarkStart w:id="59" w:name="_Toc465958092"/>
      <w:bookmarkStart w:id="60" w:name="_Toc9563"/>
      <w:bookmarkStart w:id="61" w:name="_Toc21286"/>
      <w:bookmarkStart w:id="62" w:name="_Toc3389"/>
      <w:bookmarkStart w:id="63" w:name="_Toc18683"/>
      <w:r>
        <w:rPr>
          <w:rFonts w:hint="eastAsia" w:ascii="宋体" w:hAnsi="宋体" w:cs="宋体"/>
          <w:sz w:val="24"/>
          <w:szCs w:val="24"/>
        </w:rPr>
        <w:t xml:space="preserve">3.1 </w:t>
      </w:r>
      <w:r>
        <w:rPr>
          <w:rFonts w:hint="eastAsia" w:ascii="宋体" w:hAnsi="宋体"/>
          <w:sz w:val="24"/>
        </w:rPr>
        <w:t>合格的供应商：满足下列资格条件且有能力提供项目所需服务的供应商。</w:t>
      </w:r>
    </w:p>
    <w:p w14:paraId="122AE3F4">
      <w:pPr>
        <w:spacing w:line="360" w:lineRule="auto"/>
        <w:rPr>
          <w:rFonts w:ascii="宋体" w:hAnsi="宋体"/>
          <w:bCs/>
          <w:sz w:val="24"/>
        </w:rPr>
      </w:pPr>
      <w:r>
        <w:rPr>
          <w:rFonts w:hint="eastAsia" w:ascii="宋体" w:hAnsi="宋体" w:cs="宋体"/>
          <w:sz w:val="24"/>
          <w:szCs w:val="24"/>
        </w:rPr>
        <w:t>3.2</w:t>
      </w:r>
      <w:r>
        <w:rPr>
          <w:rFonts w:hint="eastAsia" w:ascii="宋体" w:hAnsi="宋体"/>
          <w:bCs/>
          <w:sz w:val="24"/>
        </w:rPr>
        <w:t>资格条件</w:t>
      </w:r>
    </w:p>
    <w:p w14:paraId="36198721">
      <w:pPr>
        <w:spacing w:line="360" w:lineRule="auto"/>
        <w:ind w:firstLine="480" w:firstLineChars="200"/>
        <w:rPr>
          <w:rFonts w:ascii="宋体" w:hAnsi="宋体" w:cs="宋体"/>
          <w:sz w:val="24"/>
          <w:szCs w:val="24"/>
        </w:rPr>
      </w:pPr>
      <w:r>
        <w:rPr>
          <w:rFonts w:hint="eastAsia" w:ascii="宋体" w:hAnsi="宋体"/>
          <w:bCs/>
          <w:sz w:val="24"/>
        </w:rPr>
        <w:t>3.2.1</w:t>
      </w:r>
      <w:r>
        <w:rPr>
          <w:rFonts w:hint="eastAsia" w:ascii="宋体" w:hAnsi="宋体" w:cs="宋体"/>
          <w:sz w:val="24"/>
          <w:szCs w:val="24"/>
        </w:rPr>
        <w:t>供应商应当符合《中华人民共和国政府采购法》第二十二条第一款规定的投标人基本资格条件；以及竞争性谈判文件规定的供应商</w:t>
      </w:r>
      <w:r>
        <w:rPr>
          <w:rFonts w:hint="eastAsia" w:ascii="宋体" w:hAnsi="宋体" w:cs="宋体"/>
          <w:sz w:val="24"/>
        </w:rPr>
        <w:t>特定资格条件</w:t>
      </w:r>
      <w:r>
        <w:rPr>
          <w:rFonts w:hint="eastAsia" w:ascii="宋体" w:hAnsi="宋体" w:cs="宋体"/>
          <w:sz w:val="24"/>
          <w:szCs w:val="24"/>
        </w:rPr>
        <w:t>。</w:t>
      </w:r>
    </w:p>
    <w:p w14:paraId="6B47E77A">
      <w:pPr>
        <w:spacing w:line="360" w:lineRule="auto"/>
        <w:rPr>
          <w:rFonts w:ascii="宋体" w:hAnsi="宋体" w:cs="宋体"/>
          <w:sz w:val="24"/>
          <w:szCs w:val="24"/>
        </w:rPr>
      </w:pPr>
      <w:r>
        <w:rPr>
          <w:rFonts w:hint="eastAsia" w:ascii="宋体" w:hAnsi="宋体" w:cs="宋体"/>
          <w:sz w:val="24"/>
          <w:szCs w:val="24"/>
        </w:rPr>
        <w:t>3.3供应商必须从采购代理机构获取竞争性谈判文件，供应商自行转让或复制的竞争性谈判文件视为无效文件；竞争性谈判文件一经售出，一律不退，仅作为本次谈判使用。</w:t>
      </w:r>
    </w:p>
    <w:p w14:paraId="0008DB90">
      <w:pPr>
        <w:spacing w:line="360" w:lineRule="auto"/>
      </w:pPr>
      <w:r>
        <w:rPr>
          <w:rFonts w:hint="eastAsia" w:ascii="宋体" w:hAnsi="宋体" w:cs="宋体"/>
          <w:sz w:val="24"/>
          <w:szCs w:val="24"/>
        </w:rPr>
        <w:t>3.4法定代表人或者负责人为同一人或者存在控股、管理关系的两个以上供应商，不得参加同一政府采购项目投标。</w:t>
      </w:r>
    </w:p>
    <w:p w14:paraId="73F8A84D">
      <w:pPr>
        <w:spacing w:line="360" w:lineRule="auto"/>
        <w:rPr>
          <w:rFonts w:ascii="宋体" w:hAnsi="宋体" w:cs="宋体"/>
          <w:color w:val="000000"/>
          <w:sz w:val="24"/>
          <w:szCs w:val="24"/>
        </w:rPr>
      </w:pPr>
      <w:r>
        <w:rPr>
          <w:rFonts w:hint="eastAsia" w:ascii="宋体" w:hAnsi="宋体" w:cs="宋体"/>
          <w:sz w:val="24"/>
          <w:szCs w:val="24"/>
        </w:rPr>
        <w:t>3.5是否接受联合体投标：见投标人须知前附表。接受联合体投标的，两个以上的自</w:t>
      </w:r>
      <w:r>
        <w:rPr>
          <w:rFonts w:hint="eastAsia" w:ascii="宋体" w:hAnsi="宋体" w:cs="宋体"/>
          <w:color w:val="000000"/>
          <w:sz w:val="24"/>
          <w:szCs w:val="24"/>
        </w:rPr>
        <w:t>然人、法人或者其他组织可以组成一个联合体，以一个供应商的身份共同参加政府采购。以联合体形式进行政府采购的，参加联合体的供应商均应当具备招标文件规定的条件，并应当向采购人提交联合协议，载明联合体各方承担的工作和义务。联合体各方应当共同与采购人签订采购合同，就采购合同约定的事项对采购人承担连带责任。</w:t>
      </w:r>
    </w:p>
    <w:p w14:paraId="4E505A28">
      <w:pPr>
        <w:spacing w:line="360" w:lineRule="auto"/>
        <w:rPr>
          <w:rFonts w:ascii="宋体" w:hAnsi="宋体" w:cs="宋体"/>
          <w:color w:val="000000"/>
          <w:sz w:val="24"/>
          <w:szCs w:val="24"/>
        </w:rPr>
      </w:pPr>
      <w:r>
        <w:rPr>
          <w:rFonts w:hint="eastAsia" w:ascii="宋体" w:hAnsi="宋体" w:cs="宋体"/>
          <w:color w:val="000000"/>
          <w:sz w:val="24"/>
          <w:szCs w:val="24"/>
        </w:rPr>
        <w:t>3.6供应商应参照《中华人民共和国政府采购法》及其它有关的中国法律和法规。</w:t>
      </w:r>
    </w:p>
    <w:p w14:paraId="4B85DB07">
      <w:pPr>
        <w:pStyle w:val="4"/>
        <w:spacing w:line="360" w:lineRule="auto"/>
        <w:rPr>
          <w:rFonts w:ascii="宋体" w:hAnsi="宋体" w:cs="宋体"/>
        </w:rPr>
      </w:pPr>
      <w:r>
        <w:rPr>
          <w:rFonts w:hint="eastAsia" w:ascii="宋体" w:hAnsi="宋体" w:cs="宋体"/>
        </w:rPr>
        <w:t>4 费用</w:t>
      </w:r>
      <w:bookmarkEnd w:id="57"/>
      <w:bookmarkEnd w:id="58"/>
      <w:bookmarkEnd w:id="59"/>
      <w:bookmarkEnd w:id="60"/>
      <w:bookmarkEnd w:id="61"/>
      <w:bookmarkEnd w:id="62"/>
      <w:bookmarkEnd w:id="63"/>
    </w:p>
    <w:p w14:paraId="530CC6A7">
      <w:pPr>
        <w:spacing w:line="360" w:lineRule="auto"/>
        <w:rPr>
          <w:rFonts w:ascii="宋体" w:hAnsi="宋体" w:cs="宋体"/>
          <w:sz w:val="24"/>
        </w:rPr>
      </w:pPr>
      <w:r>
        <w:rPr>
          <w:rFonts w:hint="eastAsia" w:ascii="宋体" w:hAnsi="宋体" w:cs="宋体"/>
          <w:sz w:val="24"/>
        </w:rPr>
        <w:t>4.1 供应商应承担所有与编写和提交竞争性谈判响应文件有关的费用，无论谈判过程中的做法和结果如何，供应商自行承担参加谈判相关的全部费用。</w:t>
      </w:r>
    </w:p>
    <w:p w14:paraId="1BF406CB">
      <w:pPr>
        <w:pStyle w:val="3"/>
        <w:rPr>
          <w:rFonts w:ascii="宋体" w:hAnsi="宋体" w:eastAsia="宋体" w:cs="宋体"/>
          <w:sz w:val="44"/>
        </w:rPr>
      </w:pPr>
      <w:bookmarkStart w:id="64" w:name="_Toc26140"/>
      <w:bookmarkStart w:id="65" w:name="_Toc24227"/>
      <w:bookmarkStart w:id="66" w:name="_Toc1383"/>
      <w:bookmarkStart w:id="67" w:name="_Toc3331"/>
      <w:bookmarkStart w:id="68" w:name="_Toc246928900"/>
      <w:bookmarkStart w:id="69" w:name="_Toc465958093"/>
      <w:r>
        <w:rPr>
          <w:rFonts w:hint="eastAsia" w:ascii="宋体" w:hAnsi="宋体" w:eastAsia="宋体" w:cs="宋体"/>
          <w:sz w:val="44"/>
        </w:rPr>
        <w:t>B 竞争性谈判文件说明</w:t>
      </w:r>
      <w:bookmarkEnd w:id="64"/>
      <w:bookmarkEnd w:id="65"/>
      <w:bookmarkEnd w:id="66"/>
      <w:bookmarkEnd w:id="67"/>
      <w:bookmarkEnd w:id="68"/>
      <w:bookmarkEnd w:id="69"/>
    </w:p>
    <w:p w14:paraId="17959A7C">
      <w:pPr>
        <w:pStyle w:val="4"/>
        <w:spacing w:line="360" w:lineRule="auto"/>
        <w:rPr>
          <w:rFonts w:ascii="宋体" w:hAnsi="宋体" w:cs="宋体"/>
        </w:rPr>
      </w:pPr>
      <w:bookmarkStart w:id="70" w:name="_Toc15639"/>
      <w:bookmarkStart w:id="71" w:name="_Toc246928901"/>
      <w:bookmarkStart w:id="72" w:name="_Toc6287"/>
      <w:bookmarkStart w:id="73" w:name="_Toc7327"/>
      <w:bookmarkStart w:id="74" w:name="_Toc16142"/>
      <w:bookmarkStart w:id="75" w:name="_Toc21132"/>
      <w:bookmarkStart w:id="76" w:name="_Toc465958094"/>
      <w:r>
        <w:rPr>
          <w:rFonts w:hint="eastAsia" w:ascii="宋体" w:hAnsi="宋体" w:cs="宋体"/>
        </w:rPr>
        <w:t>5 竞争性谈判文件的构成</w:t>
      </w:r>
      <w:bookmarkEnd w:id="70"/>
      <w:bookmarkEnd w:id="71"/>
      <w:bookmarkEnd w:id="72"/>
      <w:bookmarkEnd w:id="73"/>
      <w:bookmarkEnd w:id="74"/>
      <w:bookmarkEnd w:id="75"/>
      <w:bookmarkEnd w:id="76"/>
    </w:p>
    <w:p w14:paraId="79905F2F">
      <w:pPr>
        <w:spacing w:line="360" w:lineRule="auto"/>
        <w:rPr>
          <w:rFonts w:ascii="宋体" w:hAnsi="宋体" w:cs="宋体"/>
          <w:sz w:val="24"/>
        </w:rPr>
      </w:pPr>
      <w:r>
        <w:rPr>
          <w:rFonts w:hint="eastAsia" w:ascii="宋体" w:hAnsi="宋体" w:cs="宋体"/>
          <w:sz w:val="24"/>
        </w:rPr>
        <w:t>5.1 竞争性谈判文件以阐明所需提供的货物、采购、谈判程序和合同条件。竞争性谈判文件包括：</w:t>
      </w:r>
    </w:p>
    <w:p w14:paraId="3C955A6F">
      <w:pPr>
        <w:spacing w:line="360" w:lineRule="auto"/>
        <w:rPr>
          <w:rFonts w:ascii="宋体" w:hAnsi="宋体" w:cs="宋体"/>
          <w:sz w:val="24"/>
        </w:rPr>
      </w:pPr>
      <w:r>
        <w:rPr>
          <w:rFonts w:hint="eastAsia" w:ascii="宋体" w:hAnsi="宋体" w:cs="宋体"/>
          <w:sz w:val="24"/>
        </w:rPr>
        <w:t>5.1.1 竞争性谈判公告；</w:t>
      </w:r>
    </w:p>
    <w:p w14:paraId="269F3444">
      <w:pPr>
        <w:spacing w:line="360" w:lineRule="auto"/>
        <w:rPr>
          <w:rFonts w:ascii="宋体" w:hAnsi="宋体" w:cs="宋体"/>
          <w:sz w:val="24"/>
        </w:rPr>
      </w:pPr>
      <w:r>
        <w:rPr>
          <w:rFonts w:hint="eastAsia" w:ascii="宋体" w:hAnsi="宋体" w:cs="宋体"/>
          <w:sz w:val="24"/>
        </w:rPr>
        <w:t>5.1.2 供应商须知前附表；</w:t>
      </w:r>
    </w:p>
    <w:p w14:paraId="745AE9AE">
      <w:pPr>
        <w:spacing w:line="360" w:lineRule="auto"/>
        <w:rPr>
          <w:rFonts w:ascii="宋体" w:hAnsi="宋体" w:cs="宋体"/>
          <w:sz w:val="24"/>
        </w:rPr>
      </w:pPr>
      <w:r>
        <w:rPr>
          <w:rFonts w:hint="eastAsia" w:ascii="宋体" w:hAnsi="宋体" w:cs="宋体"/>
          <w:sz w:val="24"/>
        </w:rPr>
        <w:t>5.1.3 供应商须知；</w:t>
      </w:r>
    </w:p>
    <w:p w14:paraId="7149F9D5">
      <w:pPr>
        <w:tabs>
          <w:tab w:val="left" w:pos="2415"/>
        </w:tabs>
        <w:spacing w:line="360" w:lineRule="auto"/>
        <w:rPr>
          <w:rFonts w:ascii="宋体" w:hAnsi="宋体" w:cs="宋体"/>
          <w:sz w:val="24"/>
        </w:rPr>
      </w:pPr>
      <w:r>
        <w:rPr>
          <w:rFonts w:hint="eastAsia" w:ascii="宋体" w:hAnsi="宋体" w:cs="宋体"/>
          <w:sz w:val="24"/>
        </w:rPr>
        <w:t>5.1.4 政府采购合同；</w:t>
      </w:r>
      <w:r>
        <w:rPr>
          <w:rFonts w:hint="eastAsia" w:ascii="宋体" w:hAnsi="宋体" w:cs="宋体"/>
          <w:sz w:val="24"/>
        </w:rPr>
        <w:tab/>
      </w:r>
    </w:p>
    <w:p w14:paraId="211607EE">
      <w:pPr>
        <w:spacing w:line="360" w:lineRule="auto"/>
        <w:rPr>
          <w:rFonts w:ascii="宋体" w:hAnsi="宋体" w:cs="宋体"/>
          <w:sz w:val="24"/>
        </w:rPr>
      </w:pPr>
      <w:r>
        <w:rPr>
          <w:rFonts w:hint="eastAsia" w:ascii="宋体" w:hAnsi="宋体" w:cs="宋体"/>
          <w:sz w:val="24"/>
        </w:rPr>
        <w:t>5.1.5 商务要求；</w:t>
      </w:r>
    </w:p>
    <w:p w14:paraId="7293BD45">
      <w:pPr>
        <w:spacing w:line="360" w:lineRule="auto"/>
        <w:rPr>
          <w:rFonts w:ascii="宋体" w:hAnsi="宋体" w:cs="宋体"/>
          <w:sz w:val="24"/>
        </w:rPr>
      </w:pPr>
      <w:r>
        <w:rPr>
          <w:rFonts w:hint="eastAsia" w:ascii="宋体" w:hAnsi="宋体" w:cs="宋体"/>
          <w:sz w:val="24"/>
        </w:rPr>
        <w:t xml:space="preserve">5.1.6 采购内容及要求； </w:t>
      </w:r>
    </w:p>
    <w:p w14:paraId="4E9E47E7">
      <w:pPr>
        <w:pStyle w:val="14"/>
        <w:spacing w:line="360" w:lineRule="auto"/>
        <w:rPr>
          <w:rFonts w:ascii="宋体" w:hAnsi="宋体" w:cs="宋体"/>
          <w:sz w:val="24"/>
        </w:rPr>
      </w:pPr>
      <w:r>
        <w:rPr>
          <w:rFonts w:hint="eastAsia" w:ascii="宋体" w:hAnsi="宋体" w:cs="宋体"/>
          <w:sz w:val="24"/>
        </w:rPr>
        <w:t>5.1.7 评审方法；</w:t>
      </w:r>
    </w:p>
    <w:p w14:paraId="07FFC53D">
      <w:pPr>
        <w:pStyle w:val="14"/>
        <w:spacing w:line="360" w:lineRule="auto"/>
        <w:rPr>
          <w:rFonts w:ascii="宋体" w:hAnsi="宋体" w:cs="宋体"/>
          <w:sz w:val="24"/>
        </w:rPr>
      </w:pPr>
      <w:r>
        <w:rPr>
          <w:rFonts w:hint="eastAsia" w:ascii="宋体" w:hAnsi="宋体" w:cs="宋体"/>
          <w:sz w:val="24"/>
        </w:rPr>
        <w:t>5.1.8竞争性谈判响应文件格式</w:t>
      </w:r>
    </w:p>
    <w:p w14:paraId="281C47B0">
      <w:pPr>
        <w:pStyle w:val="14"/>
        <w:spacing w:line="360" w:lineRule="auto"/>
        <w:rPr>
          <w:rFonts w:ascii="宋体" w:hAnsi="宋体" w:cs="宋体"/>
          <w:sz w:val="24"/>
        </w:rPr>
      </w:pPr>
      <w:r>
        <w:rPr>
          <w:rFonts w:hint="eastAsia" w:ascii="宋体" w:hAnsi="宋体" w:cs="宋体"/>
          <w:sz w:val="24"/>
        </w:rPr>
        <w:t>5.1.9封袋正面标识式样</w:t>
      </w:r>
    </w:p>
    <w:p w14:paraId="5020AFE6">
      <w:pPr>
        <w:spacing w:line="360" w:lineRule="auto"/>
        <w:rPr>
          <w:rFonts w:ascii="宋体" w:hAnsi="宋体" w:cs="宋体"/>
          <w:sz w:val="24"/>
        </w:rPr>
      </w:pPr>
      <w:r>
        <w:rPr>
          <w:rFonts w:hint="eastAsia" w:ascii="宋体" w:hAnsi="宋体" w:cs="宋体"/>
          <w:sz w:val="24"/>
        </w:rPr>
        <w:t>5.2 供应商应认真阅读竞争性谈判文件中所有的事项、格式、条款和规范要求等。</w:t>
      </w:r>
    </w:p>
    <w:p w14:paraId="34ED9DE5">
      <w:pPr>
        <w:spacing w:line="360" w:lineRule="auto"/>
        <w:rPr>
          <w:rFonts w:ascii="宋体" w:hAnsi="宋体" w:cs="宋体"/>
          <w:sz w:val="24"/>
        </w:rPr>
      </w:pPr>
      <w:r>
        <w:rPr>
          <w:rFonts w:hint="eastAsia" w:ascii="宋体" w:hAnsi="宋体" w:cs="宋体"/>
          <w:sz w:val="24"/>
        </w:rPr>
        <w:t>5.3 供应商没有对竞争性谈判文件全面做出实质性响应是供应商的风险。采购人有权拒绝没有对竞争性谈判文件要求做出实质性响应的谈判。</w:t>
      </w:r>
    </w:p>
    <w:p w14:paraId="54CBB371">
      <w:pPr>
        <w:spacing w:line="360" w:lineRule="auto"/>
        <w:rPr>
          <w:rFonts w:ascii="宋体" w:hAnsi="宋体" w:cs="宋体"/>
          <w:sz w:val="24"/>
          <w:szCs w:val="24"/>
        </w:rPr>
      </w:pPr>
      <w:r>
        <w:rPr>
          <w:rFonts w:hint="eastAsia" w:ascii="宋体" w:hAnsi="宋体" w:cs="宋体"/>
          <w:sz w:val="24"/>
          <w:szCs w:val="24"/>
        </w:rPr>
        <w:t>5.4采购项目需要落实的政府采购政策：国务院财政部门会同有关部门制定的采购需求标准、预留采购份额、价格评审优惠、优先采购等措施，实现节约能源、保护环境、扶持不发达地区和少数民族地区、促进中小企业发展等目标的政府采购政策。</w:t>
      </w:r>
    </w:p>
    <w:p w14:paraId="4995D230">
      <w:pPr>
        <w:pStyle w:val="18"/>
        <w:spacing w:before="0" w:beforeAutospacing="0" w:after="0" w:afterAutospacing="0" w:line="360" w:lineRule="auto"/>
        <w:ind w:firstLine="480" w:firstLineChars="200"/>
        <w:jc w:val="both"/>
        <w:rPr>
          <w:rFonts w:ascii="宋体" w:hAnsi="宋体" w:cs="宋体"/>
          <w:bCs/>
          <w:szCs w:val="24"/>
        </w:rPr>
      </w:pPr>
      <w:r>
        <w:rPr>
          <w:rFonts w:hint="eastAsia" w:ascii="宋体" w:hAnsi="宋体" w:cs="宋体"/>
          <w:bCs/>
          <w:szCs w:val="24"/>
        </w:rPr>
        <w:t>5.4.1</w:t>
      </w:r>
      <w:r>
        <w:rPr>
          <w:rFonts w:hint="eastAsia" w:ascii="宋体" w:hAnsi="宋体" w:cs="宋体"/>
          <w:spacing w:val="6"/>
          <w:kern w:val="2"/>
          <w:szCs w:val="24"/>
        </w:rPr>
        <w:t>根据</w:t>
      </w:r>
      <w:r>
        <w:rPr>
          <w:rFonts w:hint="eastAsia" w:ascii="宋体" w:hAnsi="宋体" w:cs="宋体"/>
          <w:kern w:val="2"/>
          <w:szCs w:val="24"/>
        </w:rPr>
        <w:t>《政府采购促进中小企业发展管理办法》（财库【2020】46号）</w:t>
      </w:r>
      <w:r>
        <w:rPr>
          <w:rFonts w:hint="eastAsia" w:ascii="宋体" w:hAnsi="宋体" w:cs="宋体"/>
          <w:spacing w:val="6"/>
          <w:kern w:val="2"/>
          <w:szCs w:val="24"/>
        </w:rPr>
        <w:t>的规定</w:t>
      </w:r>
      <w:r>
        <w:rPr>
          <w:rFonts w:hint="eastAsia" w:ascii="宋体" w:hAnsi="宋体" w:cs="宋体"/>
          <w:kern w:val="2"/>
          <w:szCs w:val="24"/>
        </w:rPr>
        <w:t>中、小、微企业参加投标时对小型和微型企业产品的价格给予</w:t>
      </w:r>
      <w:r>
        <w:rPr>
          <w:rFonts w:hint="eastAsia" w:ascii="宋体" w:hAnsi="宋体" w:cs="宋体"/>
          <w:kern w:val="2"/>
          <w:szCs w:val="24"/>
          <w:lang w:val="en-US" w:eastAsia="zh-CN"/>
        </w:rPr>
        <w:t>20</w:t>
      </w:r>
      <w:r>
        <w:rPr>
          <w:rFonts w:hint="eastAsia" w:ascii="宋体" w:hAnsi="宋体" w:cs="宋体"/>
          <w:kern w:val="2"/>
          <w:szCs w:val="24"/>
        </w:rPr>
        <w:t>%的扣除，用扣除后的价格参与评审。</w:t>
      </w:r>
    </w:p>
    <w:p w14:paraId="0BBF0F40">
      <w:pPr>
        <w:widowControl/>
        <w:tabs>
          <w:tab w:val="left" w:pos="1620"/>
        </w:tabs>
        <w:spacing w:line="360" w:lineRule="auto"/>
        <w:ind w:firstLine="420" w:firstLineChars="175"/>
        <w:jc w:val="left"/>
        <w:rPr>
          <w:rFonts w:ascii="宋体" w:hAnsi="宋体" w:cs="宋体"/>
          <w:bCs/>
          <w:kern w:val="0"/>
          <w:sz w:val="24"/>
          <w:szCs w:val="24"/>
        </w:rPr>
      </w:pPr>
      <w:r>
        <w:rPr>
          <w:rFonts w:hint="eastAsia" w:ascii="宋体" w:hAnsi="宋体" w:cs="宋体"/>
          <w:bCs/>
          <w:kern w:val="0"/>
          <w:sz w:val="24"/>
          <w:szCs w:val="24"/>
        </w:rPr>
        <w:t>5.4.2《财政部司法部关于政府采购支持监狱企业发展有关问题的通知》--财库[2014]68号 ；</w:t>
      </w:r>
    </w:p>
    <w:p w14:paraId="1D4A4810">
      <w:pPr>
        <w:widowControl/>
        <w:tabs>
          <w:tab w:val="left" w:pos="1620"/>
        </w:tabs>
        <w:spacing w:line="360" w:lineRule="auto"/>
        <w:ind w:firstLine="420" w:firstLineChars="175"/>
        <w:jc w:val="left"/>
        <w:rPr>
          <w:rFonts w:ascii="宋体" w:hAnsi="宋体" w:cs="宋体"/>
          <w:bCs/>
          <w:kern w:val="0"/>
          <w:sz w:val="24"/>
          <w:szCs w:val="24"/>
        </w:rPr>
      </w:pPr>
      <w:r>
        <w:rPr>
          <w:rFonts w:hint="eastAsia" w:ascii="宋体" w:hAnsi="宋体" w:cs="宋体"/>
          <w:bCs/>
          <w:kern w:val="0"/>
          <w:sz w:val="24"/>
          <w:szCs w:val="24"/>
        </w:rPr>
        <w:t>5.4.3《国务院办公厅关于建立政府强制采购节能产品制度的通知》--国办发[2007]51号 ；</w:t>
      </w:r>
    </w:p>
    <w:p w14:paraId="4AFC0640">
      <w:pPr>
        <w:widowControl/>
        <w:tabs>
          <w:tab w:val="left" w:pos="1620"/>
        </w:tabs>
        <w:spacing w:line="360" w:lineRule="auto"/>
        <w:ind w:firstLine="420" w:firstLineChars="175"/>
        <w:jc w:val="left"/>
        <w:rPr>
          <w:rFonts w:ascii="宋体" w:hAnsi="宋体" w:cs="宋体"/>
          <w:bCs/>
          <w:kern w:val="0"/>
          <w:sz w:val="24"/>
          <w:szCs w:val="24"/>
        </w:rPr>
      </w:pPr>
      <w:r>
        <w:rPr>
          <w:rFonts w:hint="eastAsia" w:ascii="宋体" w:hAnsi="宋体" w:cs="宋体"/>
          <w:bCs/>
          <w:kern w:val="0"/>
          <w:sz w:val="24"/>
          <w:szCs w:val="24"/>
        </w:rPr>
        <w:t xml:space="preserve">5.4.4《节能产品政府采购实施意见》--（财库[2004]185号）； </w:t>
      </w:r>
    </w:p>
    <w:p w14:paraId="0C101F0D">
      <w:pPr>
        <w:widowControl/>
        <w:tabs>
          <w:tab w:val="left" w:pos="1620"/>
        </w:tabs>
        <w:spacing w:line="360" w:lineRule="auto"/>
        <w:ind w:firstLine="420" w:firstLineChars="175"/>
        <w:jc w:val="left"/>
        <w:rPr>
          <w:rFonts w:ascii="宋体" w:hAnsi="宋体" w:cs="宋体"/>
          <w:bCs/>
          <w:kern w:val="0"/>
          <w:sz w:val="24"/>
          <w:szCs w:val="24"/>
        </w:rPr>
      </w:pPr>
      <w:r>
        <w:rPr>
          <w:rFonts w:hint="eastAsia" w:ascii="宋体" w:hAnsi="宋体" w:cs="宋体"/>
          <w:bCs/>
          <w:kern w:val="0"/>
          <w:sz w:val="24"/>
          <w:szCs w:val="24"/>
        </w:rPr>
        <w:t>5.4.5《环境标志产品政府采购实施的意见》--财库[2006]90号，投标人所投产品应优先选择财政部、国家发展改革委公布的环境标志产品政府采购清单目录内的产品（须提供节能、环保认证证书复印件加盖公章）</w:t>
      </w:r>
      <w:r>
        <w:rPr>
          <w:rFonts w:hint="eastAsia" w:ascii="宋体" w:hAnsi="宋体" w:cs="宋体"/>
          <w:sz w:val="24"/>
          <w:szCs w:val="24"/>
        </w:rPr>
        <w:t>；</w:t>
      </w:r>
    </w:p>
    <w:p w14:paraId="4EAA046F">
      <w:pPr>
        <w:spacing w:line="360" w:lineRule="auto"/>
        <w:ind w:firstLine="420" w:firstLineChars="175"/>
        <w:rPr>
          <w:rFonts w:ascii="宋体" w:hAnsi="宋体" w:cs="宋体"/>
          <w:bCs/>
          <w:kern w:val="0"/>
          <w:sz w:val="24"/>
          <w:szCs w:val="24"/>
        </w:rPr>
      </w:pPr>
      <w:r>
        <w:rPr>
          <w:rFonts w:hint="eastAsia" w:ascii="宋体" w:hAnsi="宋体" w:cs="宋体"/>
          <w:bCs/>
          <w:kern w:val="0"/>
          <w:sz w:val="24"/>
          <w:szCs w:val="24"/>
        </w:rPr>
        <w:t>5.4.6《财政部民政部中国残疾人联合会关于促进残疾人就业政府采购政策的通知》--（财库〔2017〕141号）；</w:t>
      </w:r>
    </w:p>
    <w:p w14:paraId="11187B9E">
      <w:pPr>
        <w:pStyle w:val="9"/>
        <w:spacing w:line="360" w:lineRule="auto"/>
        <w:rPr>
          <w:rFonts w:ascii="宋体" w:hAnsi="宋体" w:cs="宋体"/>
          <w:bCs/>
          <w:kern w:val="0"/>
          <w:sz w:val="24"/>
          <w:szCs w:val="24"/>
        </w:rPr>
      </w:pPr>
      <w:r>
        <w:rPr>
          <w:rFonts w:hint="eastAsia" w:ascii="宋体" w:hAnsi="宋体" w:cs="宋体"/>
          <w:bCs/>
          <w:kern w:val="0"/>
          <w:sz w:val="24"/>
          <w:szCs w:val="24"/>
        </w:rPr>
        <w:t xml:space="preserve">    5.4.7《政府采购贫困地区农副产品实施方案》--（财库〔2019〕41号）；</w:t>
      </w:r>
    </w:p>
    <w:p w14:paraId="04EF27C2">
      <w:pPr>
        <w:widowControl/>
        <w:tabs>
          <w:tab w:val="left" w:pos="1620"/>
        </w:tabs>
        <w:adjustRightInd w:val="0"/>
        <w:snapToGrid w:val="0"/>
        <w:spacing w:line="360" w:lineRule="auto"/>
        <w:ind w:firstLine="480" w:firstLineChars="200"/>
        <w:jc w:val="left"/>
        <w:rPr>
          <w:rFonts w:ascii="宋体" w:hAnsi="宋体" w:cs="宋体"/>
          <w:bCs/>
          <w:kern w:val="0"/>
          <w:sz w:val="24"/>
          <w:szCs w:val="24"/>
        </w:rPr>
      </w:pPr>
      <w:r>
        <w:rPr>
          <w:rFonts w:hint="eastAsia" w:ascii="宋体" w:hAnsi="宋体" w:cs="宋体"/>
          <w:bCs/>
          <w:kern w:val="0"/>
          <w:sz w:val="24"/>
          <w:szCs w:val="24"/>
        </w:rPr>
        <w:t>5.4.8《关于在政府采购活动中查询及使用信用记录有关问题的通知》（财库〔2016〕125号）；</w:t>
      </w:r>
    </w:p>
    <w:p w14:paraId="685C3933">
      <w:pPr>
        <w:pStyle w:val="9"/>
        <w:spacing w:line="360" w:lineRule="auto"/>
        <w:ind w:left="19" w:leftChars="9" w:firstLine="458" w:firstLineChars="191"/>
      </w:pPr>
      <w:r>
        <w:rPr>
          <w:rFonts w:hint="eastAsia" w:ascii="宋体" w:hAnsi="宋体" w:cs="宋体"/>
          <w:bCs/>
          <w:kern w:val="0"/>
          <w:sz w:val="24"/>
          <w:szCs w:val="24"/>
        </w:rPr>
        <w:t xml:space="preserve">5.4.9《关于开展政府采购信用担保试点工作的通知》（财库【2011】124号）。 </w:t>
      </w:r>
    </w:p>
    <w:p w14:paraId="4DDEEE95">
      <w:pPr>
        <w:spacing w:line="360" w:lineRule="auto"/>
        <w:ind w:firstLine="480" w:firstLineChars="200"/>
        <w:rPr>
          <w:rFonts w:hint="eastAsia" w:ascii="宋体" w:hAnsi="宋体" w:eastAsia="宋体" w:cs="宋体"/>
          <w:sz w:val="24"/>
          <w:szCs w:val="24"/>
        </w:rPr>
      </w:pPr>
      <w:r>
        <w:rPr>
          <w:rFonts w:hint="eastAsia" w:ascii="宋体" w:hAnsi="宋体" w:cs="仿宋_GB2312"/>
          <w:kern w:val="0"/>
          <w:sz w:val="24"/>
          <w:szCs w:val="24"/>
        </w:rPr>
        <w:t>5.4.10</w:t>
      </w:r>
      <w:r>
        <w:rPr>
          <w:rFonts w:hint="eastAsia" w:ascii="宋体" w:hAnsi="宋体" w:eastAsia="宋体" w:cs="宋体"/>
          <w:sz w:val="24"/>
          <w:szCs w:val="24"/>
        </w:rPr>
        <w:t>为了进一步推动金融支持政策更好适应市场主体的需要，扎实落实国务院关于支持中小企业发展的政策措施，积极发挥政府采购政策功能，有效缓解中小企业融资难、融资贵问题，根据中办</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国办《关于促进中小企业健康发展的指导意见》、财政部</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工信部《政府采购促进中小企业发展</w:t>
      </w:r>
      <w:r>
        <w:rPr>
          <w:rFonts w:hint="eastAsia" w:ascii="宋体" w:hAnsi="宋体" w:eastAsia="宋体" w:cs="宋体"/>
          <w:sz w:val="24"/>
          <w:szCs w:val="24"/>
          <w:lang w:val="en-US" w:eastAsia="zh-CN"/>
        </w:rPr>
        <w:t>管理</w:t>
      </w:r>
      <w:r>
        <w:rPr>
          <w:rFonts w:hint="eastAsia" w:ascii="宋体" w:hAnsi="宋体" w:eastAsia="宋体" w:cs="宋体"/>
          <w:sz w:val="24"/>
          <w:szCs w:val="24"/>
        </w:rPr>
        <w:t>办法》（财库〔20</w:t>
      </w:r>
      <w:r>
        <w:rPr>
          <w:rFonts w:hint="eastAsia" w:ascii="宋体" w:hAnsi="宋体" w:eastAsia="宋体" w:cs="宋体"/>
          <w:sz w:val="24"/>
          <w:szCs w:val="24"/>
          <w:lang w:val="en-US" w:eastAsia="zh-CN"/>
        </w:rPr>
        <w:t>20</w:t>
      </w:r>
      <w:r>
        <w:rPr>
          <w:rFonts w:hint="eastAsia" w:ascii="宋体" w:hAnsi="宋体" w:eastAsia="宋体" w:cs="宋体"/>
          <w:sz w:val="24"/>
          <w:szCs w:val="24"/>
        </w:rPr>
        <w:t>〕</w:t>
      </w:r>
      <w:r>
        <w:rPr>
          <w:rFonts w:hint="eastAsia" w:ascii="宋体" w:hAnsi="宋体" w:eastAsia="宋体" w:cs="宋体"/>
          <w:sz w:val="24"/>
          <w:szCs w:val="24"/>
          <w:lang w:val="en-US" w:eastAsia="zh-CN"/>
        </w:rPr>
        <w:t>46</w:t>
      </w:r>
      <w:r>
        <w:rPr>
          <w:rFonts w:hint="eastAsia" w:ascii="宋体" w:hAnsi="宋体" w:eastAsia="宋体" w:cs="宋体"/>
          <w:sz w:val="24"/>
          <w:szCs w:val="24"/>
        </w:rPr>
        <w:t>号）、《陕西省中小企业政府采购信用融资办法》（陕财办采〔2018〕23号）、《陕西省财政厅关于加快推进我省中小企业政府采购信用融资工作的通知》（陕财办采〔2020〕15号）</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《陕西省财政厅 中国人民银行西安分行关于深入推进政府采购信用融资业务的通知》</w:t>
      </w:r>
      <w:r>
        <w:rPr>
          <w:rFonts w:hint="eastAsia" w:ascii="宋体" w:hAnsi="宋体" w:eastAsia="宋体" w:cs="宋体"/>
          <w:sz w:val="24"/>
          <w:szCs w:val="24"/>
        </w:rPr>
        <w:t>（陕财办采〔202</w:t>
      </w:r>
      <w:r>
        <w:rPr>
          <w:rFonts w:hint="eastAsia" w:ascii="宋体" w:hAnsi="宋体" w:eastAsia="宋体" w:cs="宋体"/>
          <w:sz w:val="24"/>
          <w:szCs w:val="24"/>
          <w:lang w:val="en-US" w:eastAsia="zh-CN"/>
        </w:rPr>
        <w:t>3</w:t>
      </w:r>
      <w:r>
        <w:rPr>
          <w:rFonts w:hint="eastAsia" w:ascii="宋体" w:hAnsi="宋体" w:eastAsia="宋体" w:cs="宋体"/>
          <w:sz w:val="24"/>
          <w:szCs w:val="24"/>
        </w:rPr>
        <w:t>〕5号）等有关规定，按照</w:t>
      </w:r>
      <w:r>
        <w:rPr>
          <w:rFonts w:hint="eastAsia" w:ascii="宋体" w:hAnsi="宋体" w:eastAsia="宋体" w:cs="宋体"/>
          <w:sz w:val="24"/>
          <w:szCs w:val="24"/>
          <w:lang w:val="en-US" w:eastAsia="zh-CN"/>
        </w:rPr>
        <w:t>政府</w:t>
      </w:r>
      <w:r>
        <w:rPr>
          <w:rFonts w:hint="eastAsia" w:ascii="宋体" w:hAnsi="宋体" w:eastAsia="宋体" w:cs="宋体"/>
          <w:sz w:val="24"/>
          <w:szCs w:val="24"/>
        </w:rPr>
        <w:t>引导、</w:t>
      </w:r>
      <w:r>
        <w:rPr>
          <w:rFonts w:hint="eastAsia" w:ascii="宋体" w:hAnsi="宋体" w:eastAsia="宋体" w:cs="宋体"/>
          <w:sz w:val="24"/>
          <w:szCs w:val="24"/>
          <w:lang w:val="en-US" w:eastAsia="zh-CN"/>
        </w:rPr>
        <w:t>市场运作、银企</w:t>
      </w:r>
      <w:r>
        <w:rPr>
          <w:rFonts w:hint="eastAsia" w:ascii="宋体" w:hAnsi="宋体" w:eastAsia="宋体" w:cs="宋体"/>
          <w:sz w:val="24"/>
          <w:szCs w:val="24"/>
        </w:rPr>
        <w:t>自愿、风险自担的原则，中标（成交）供应商可根据自身资金需求，登录陕西省政府采购信用融资平台（http://www.ccgp-shaanxi.gov.cn/zcdservice/zcd/shanxi/）</w:t>
      </w:r>
      <w:r>
        <w:rPr>
          <w:rFonts w:hint="eastAsia" w:ascii="宋体" w:hAnsi="宋体" w:eastAsia="宋体" w:cs="宋体"/>
          <w:sz w:val="24"/>
          <w:szCs w:val="24"/>
          <w:lang w:val="en-US" w:eastAsia="zh-CN"/>
        </w:rPr>
        <w:t>或中征平台（https://www.crcrfsp.com）</w:t>
      </w:r>
      <w:r>
        <w:rPr>
          <w:rFonts w:hint="eastAsia" w:ascii="宋体" w:hAnsi="宋体" w:eastAsia="宋体" w:cs="宋体"/>
          <w:sz w:val="24"/>
          <w:szCs w:val="24"/>
        </w:rPr>
        <w:t>在线申请，依法参加政府采购信用融资活动。</w:t>
      </w:r>
    </w:p>
    <w:tbl>
      <w:tblPr>
        <w:tblStyle w:val="21"/>
        <w:tblpPr w:leftFromText="180" w:rightFromText="180" w:vertAnchor="page" w:horzAnchor="page" w:tblpX="1890" w:tblpY="4548"/>
        <w:tblOverlap w:val="never"/>
        <w:tblW w:w="883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41"/>
        <w:gridCol w:w="973"/>
        <w:gridCol w:w="984"/>
        <w:gridCol w:w="1017"/>
        <w:gridCol w:w="1028"/>
        <w:gridCol w:w="1283"/>
        <w:gridCol w:w="1017"/>
        <w:gridCol w:w="1896"/>
      </w:tblGrid>
      <w:tr w14:paraId="774552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8" w:hRule="atLeast"/>
          <w:jc w:val="center"/>
        </w:trPr>
        <w:tc>
          <w:tcPr>
            <w:tcW w:w="8839" w:type="dxa"/>
            <w:gridSpan w:val="8"/>
            <w:tcBorders>
              <w:top w:val="nil"/>
              <w:left w:val="nil"/>
              <w:bottom w:val="nil"/>
              <w:right w:val="nil"/>
            </w:tcBorders>
            <w:noWrap/>
            <w:vAlign w:val="center"/>
          </w:tcPr>
          <w:p w14:paraId="1D4D86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榆林市“政采贷”业务办理银行联系表</w:t>
            </w:r>
          </w:p>
        </w:tc>
      </w:tr>
      <w:tr w14:paraId="0E034E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11D714B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序号</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0BF556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银行名称</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1C7E96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产品名称</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5B3774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贷款额度</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5120CA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贷款期限</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374104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贷款利率</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51FB98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办理时效</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0DB07F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联系人</w:t>
            </w:r>
          </w:p>
        </w:tc>
      </w:tr>
      <w:tr w14:paraId="118EB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213CA11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2E19E3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长安银行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0F7DF8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05016F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67BD97F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388153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4A2762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72小时</w:t>
            </w:r>
          </w:p>
        </w:tc>
        <w:tc>
          <w:tcPr>
            <w:tcW w:w="1896" w:type="dxa"/>
            <w:tcBorders>
              <w:top w:val="single" w:color="000000" w:sz="4" w:space="0"/>
              <w:left w:val="single" w:color="000000" w:sz="4" w:space="0"/>
              <w:bottom w:val="single" w:color="000000" w:sz="4" w:space="0"/>
              <w:right w:val="single" w:color="000000" w:sz="4" w:space="0"/>
            </w:tcBorders>
            <w:noWrap w:val="0"/>
            <w:vAlign w:val="center"/>
          </w:tcPr>
          <w:p w14:paraId="0E90E4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魏  众15109123951</w:t>
            </w:r>
          </w:p>
        </w:tc>
      </w:tr>
      <w:tr w14:paraId="79A016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25D3980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63A745F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中信银行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11E2217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政采E贷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7014452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4400B44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5554DE7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3.45%起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50F0736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24小时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49379CA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李  靖15509125117</w:t>
            </w:r>
          </w:p>
        </w:tc>
      </w:tr>
      <w:tr w14:paraId="3BDE66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45DE3C3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1C5309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光大银行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4A4D7D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321E2D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5D6DB7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0D6EC1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3A2145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0F024D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刘  波18809125468</w:t>
            </w:r>
          </w:p>
        </w:tc>
      </w:tr>
      <w:tr w14:paraId="1C8DB0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38CDDB4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35737F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交通银行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094BE5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秦政贷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4892AD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01DBEC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0B4872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39A404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7DBA20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  飞15291296886</w:t>
            </w:r>
          </w:p>
        </w:tc>
      </w:tr>
      <w:tr w14:paraId="680A92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0D7EE49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2B0932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中国银行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324737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0C91C1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05F6CF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449B2C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4A91C4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72小时</w:t>
            </w:r>
          </w:p>
        </w:tc>
        <w:tc>
          <w:tcPr>
            <w:tcW w:w="1896" w:type="dxa"/>
            <w:tcBorders>
              <w:top w:val="single" w:color="000000" w:sz="4" w:space="0"/>
              <w:left w:val="single" w:color="000000" w:sz="4" w:space="0"/>
              <w:bottom w:val="single" w:color="000000" w:sz="4" w:space="0"/>
              <w:right w:val="single" w:color="000000" w:sz="4" w:space="0"/>
            </w:tcBorders>
            <w:noWrap w:val="0"/>
            <w:vAlign w:val="center"/>
          </w:tcPr>
          <w:p w14:paraId="29B01E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李  浩18691230007</w:t>
            </w:r>
          </w:p>
        </w:tc>
      </w:tr>
      <w:tr w14:paraId="2D4034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4C3700C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7BFA7A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招商银行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5E1940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26ED8A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7F899B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5B2F02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68C451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67F6F3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马  烨15596100007</w:t>
            </w:r>
          </w:p>
        </w:tc>
      </w:tr>
      <w:tr w14:paraId="5D4A63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09F6DF7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61BC92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浦发银行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00D66F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政采E贷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35CC8A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1E690A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7E417A56">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3.8%</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19AFF5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239CDD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朱  君15629169158</w:t>
            </w:r>
          </w:p>
        </w:tc>
      </w:tr>
      <w:tr w14:paraId="0414A6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7E116EC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2D3B82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农商银行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5DE9DB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44E896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1C5BD4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02AA81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3.45%-5.8%</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567A3E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1A5665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王  璐15529875056</w:t>
            </w:r>
          </w:p>
        </w:tc>
      </w:tr>
      <w:tr w14:paraId="691447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68C7A9B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54BBF6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农业银行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7D7E0B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01C5E8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445DC0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2F6AD4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3.45%-3.85%</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455C8F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7A36B6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杨  尧13325409313</w:t>
            </w:r>
          </w:p>
        </w:tc>
      </w:tr>
      <w:tr w14:paraId="573DA4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jc w:val="center"/>
        </w:trPr>
        <w:tc>
          <w:tcPr>
            <w:tcW w:w="641" w:type="dxa"/>
            <w:tcBorders>
              <w:top w:val="single" w:color="000000" w:sz="4" w:space="0"/>
              <w:left w:val="single" w:color="000000" w:sz="4" w:space="0"/>
              <w:bottom w:val="single" w:color="000000" w:sz="4" w:space="0"/>
              <w:right w:val="single" w:color="000000" w:sz="4" w:space="0"/>
            </w:tcBorders>
            <w:noWrap/>
            <w:vAlign w:val="center"/>
          </w:tcPr>
          <w:p w14:paraId="3B9F4A1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973" w:type="dxa"/>
            <w:tcBorders>
              <w:top w:val="single" w:color="000000" w:sz="4" w:space="0"/>
              <w:left w:val="single" w:color="000000" w:sz="4" w:space="0"/>
              <w:bottom w:val="single" w:color="000000" w:sz="4" w:space="0"/>
              <w:right w:val="single" w:color="000000" w:sz="4" w:space="0"/>
            </w:tcBorders>
            <w:noWrap/>
            <w:vAlign w:val="center"/>
          </w:tcPr>
          <w:p w14:paraId="147D9F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民生银行</w:t>
            </w:r>
          </w:p>
        </w:tc>
        <w:tc>
          <w:tcPr>
            <w:tcW w:w="984" w:type="dxa"/>
            <w:tcBorders>
              <w:top w:val="single" w:color="000000" w:sz="4" w:space="0"/>
              <w:left w:val="single" w:color="000000" w:sz="4" w:space="0"/>
              <w:bottom w:val="single" w:color="000000" w:sz="4" w:space="0"/>
              <w:right w:val="single" w:color="000000" w:sz="4" w:space="0"/>
            </w:tcBorders>
            <w:noWrap/>
            <w:vAlign w:val="center"/>
          </w:tcPr>
          <w:p w14:paraId="135A61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政采E贷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38F089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3000万元</w:t>
            </w:r>
          </w:p>
        </w:tc>
        <w:tc>
          <w:tcPr>
            <w:tcW w:w="1028" w:type="dxa"/>
            <w:tcBorders>
              <w:top w:val="single" w:color="000000" w:sz="4" w:space="0"/>
              <w:left w:val="single" w:color="000000" w:sz="4" w:space="0"/>
              <w:bottom w:val="single" w:color="000000" w:sz="4" w:space="0"/>
              <w:right w:val="single" w:color="000000" w:sz="4" w:space="0"/>
            </w:tcBorders>
            <w:noWrap/>
            <w:vAlign w:val="center"/>
          </w:tcPr>
          <w:p w14:paraId="5A8404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1年</w:t>
            </w:r>
          </w:p>
        </w:tc>
        <w:tc>
          <w:tcPr>
            <w:tcW w:w="1283" w:type="dxa"/>
            <w:tcBorders>
              <w:top w:val="single" w:color="000000" w:sz="4" w:space="0"/>
              <w:left w:val="single" w:color="000000" w:sz="4" w:space="0"/>
              <w:bottom w:val="single" w:color="000000" w:sz="4" w:space="0"/>
              <w:right w:val="single" w:color="000000" w:sz="4" w:space="0"/>
            </w:tcBorders>
            <w:noWrap/>
            <w:vAlign w:val="center"/>
          </w:tcPr>
          <w:p w14:paraId="14F864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3.45%起</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662C08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24小时</w:t>
            </w:r>
          </w:p>
        </w:tc>
        <w:tc>
          <w:tcPr>
            <w:tcW w:w="1896" w:type="dxa"/>
            <w:tcBorders>
              <w:top w:val="single" w:color="000000" w:sz="4" w:space="0"/>
              <w:left w:val="single" w:color="000000" w:sz="4" w:space="0"/>
              <w:bottom w:val="single" w:color="000000" w:sz="4" w:space="0"/>
              <w:right w:val="single" w:color="000000" w:sz="4" w:space="0"/>
            </w:tcBorders>
            <w:noWrap/>
            <w:vAlign w:val="center"/>
          </w:tcPr>
          <w:p w14:paraId="716576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郝双双15991225850</w:t>
            </w:r>
          </w:p>
        </w:tc>
      </w:tr>
    </w:tbl>
    <w:p w14:paraId="4F08FA1D">
      <w:pPr>
        <w:adjustRightInd w:val="0"/>
        <w:snapToGrid w:val="0"/>
        <w:spacing w:line="360" w:lineRule="auto"/>
        <w:rPr>
          <w:rFonts w:ascii="宋体" w:hAnsi="宋体" w:cs="宋体"/>
          <w:bCs/>
          <w:kern w:val="0"/>
          <w:sz w:val="24"/>
          <w:szCs w:val="24"/>
        </w:rPr>
      </w:pPr>
      <w:r>
        <w:rPr>
          <w:rFonts w:hint="eastAsia" w:ascii="宋体" w:hAnsi="宋体" w:eastAsia="宋体" w:cs="宋体"/>
          <w:i w:val="0"/>
          <w:iCs w:val="0"/>
          <w:color w:val="000000"/>
          <w:kern w:val="0"/>
          <w:sz w:val="22"/>
          <w:szCs w:val="22"/>
          <w:u w:val="none"/>
          <w:lang w:val="en-US" w:eastAsia="zh-CN" w:bidi="ar"/>
        </w:rPr>
        <w:t>备注：银行排名不分先后。如产品额度、期限、利率等内容发生改变，以银行解释为准。</w:t>
      </w:r>
    </w:p>
    <w:p w14:paraId="50E3DE65">
      <w:pPr>
        <w:pStyle w:val="4"/>
        <w:spacing w:line="360" w:lineRule="auto"/>
        <w:rPr>
          <w:rFonts w:ascii="宋体" w:hAnsi="宋体" w:cs="宋体"/>
        </w:rPr>
      </w:pPr>
      <w:bookmarkStart w:id="77" w:name="_Toc7858"/>
      <w:bookmarkStart w:id="78" w:name="_Toc29090"/>
      <w:bookmarkStart w:id="79" w:name="_Toc32248"/>
      <w:bookmarkStart w:id="80" w:name="_Toc465958095"/>
      <w:bookmarkStart w:id="81" w:name="_Toc2275"/>
      <w:bookmarkStart w:id="82" w:name="_Toc246928902"/>
      <w:bookmarkStart w:id="83" w:name="_Toc9452"/>
      <w:r>
        <w:rPr>
          <w:rFonts w:hint="eastAsia" w:ascii="宋体" w:hAnsi="宋体" w:cs="宋体"/>
        </w:rPr>
        <w:t>6 竞争性谈判文件的澄清</w:t>
      </w:r>
      <w:bookmarkEnd w:id="77"/>
      <w:bookmarkEnd w:id="78"/>
      <w:bookmarkEnd w:id="79"/>
      <w:bookmarkEnd w:id="80"/>
      <w:bookmarkEnd w:id="81"/>
      <w:bookmarkEnd w:id="82"/>
      <w:bookmarkEnd w:id="83"/>
    </w:p>
    <w:p w14:paraId="2DA88550">
      <w:pPr>
        <w:spacing w:line="360" w:lineRule="auto"/>
        <w:rPr>
          <w:rFonts w:ascii="宋体" w:hAnsi="宋体" w:cs="宋体"/>
          <w:sz w:val="24"/>
        </w:rPr>
      </w:pPr>
      <w:r>
        <w:rPr>
          <w:rFonts w:hint="eastAsia" w:ascii="宋体" w:hAnsi="宋体" w:cs="宋体"/>
          <w:sz w:val="24"/>
        </w:rPr>
        <w:t>6.1 任何要求对竞争性谈判文件澄清的供应商，均应以书面形式在谈判截止时间2日前通知采购代理机构。采购代理机构将以书面形式予以答复，并在其认为必要时，将不标明查询来源的书面答复通知竞争性谈判文件收受人。</w:t>
      </w:r>
    </w:p>
    <w:p w14:paraId="741CFA2B">
      <w:pPr>
        <w:spacing w:line="360" w:lineRule="auto"/>
        <w:rPr>
          <w:rFonts w:ascii="宋体" w:hAnsi="宋体" w:cs="宋体"/>
          <w:sz w:val="24"/>
        </w:rPr>
      </w:pPr>
      <w:r>
        <w:rPr>
          <w:rFonts w:hint="eastAsia" w:ascii="宋体" w:hAnsi="宋体" w:cs="宋体"/>
          <w:sz w:val="24"/>
        </w:rPr>
        <w:t>6.2 供应商收到上述通知后，应当立即向采购代理机构发出回函予以确认。</w:t>
      </w:r>
    </w:p>
    <w:p w14:paraId="1BC2AD99">
      <w:pPr>
        <w:spacing w:line="360" w:lineRule="auto"/>
        <w:rPr>
          <w:rFonts w:ascii="宋体" w:hAnsi="宋体" w:cs="宋体"/>
          <w:sz w:val="24"/>
        </w:rPr>
      </w:pPr>
      <w:r>
        <w:rPr>
          <w:rFonts w:hint="eastAsia" w:ascii="宋体" w:hAnsi="宋体" w:cs="宋体"/>
          <w:sz w:val="24"/>
        </w:rPr>
        <w:t>6.3 该澄清的内容为竞争性谈判文件的组成部分。</w:t>
      </w:r>
    </w:p>
    <w:p w14:paraId="53312557">
      <w:pPr>
        <w:pStyle w:val="4"/>
        <w:spacing w:line="360" w:lineRule="auto"/>
        <w:rPr>
          <w:rFonts w:ascii="宋体" w:hAnsi="宋体" w:cs="宋体"/>
        </w:rPr>
      </w:pPr>
      <w:bookmarkStart w:id="84" w:name="_Toc29244"/>
      <w:bookmarkStart w:id="85" w:name="_Toc28323"/>
      <w:bookmarkStart w:id="86" w:name="_Toc11107"/>
      <w:bookmarkStart w:id="87" w:name="_Toc465958096"/>
      <w:bookmarkStart w:id="88" w:name="_Toc246928903"/>
      <w:bookmarkStart w:id="89" w:name="_Toc30004"/>
      <w:bookmarkStart w:id="90" w:name="_Toc25100"/>
      <w:r>
        <w:rPr>
          <w:rFonts w:hint="eastAsia" w:ascii="宋体" w:hAnsi="宋体" w:cs="宋体"/>
        </w:rPr>
        <w:t>7 竞争性谈判文件的修改</w:t>
      </w:r>
      <w:bookmarkEnd w:id="84"/>
      <w:bookmarkEnd w:id="85"/>
      <w:bookmarkEnd w:id="86"/>
      <w:bookmarkEnd w:id="87"/>
      <w:bookmarkEnd w:id="88"/>
      <w:bookmarkEnd w:id="89"/>
      <w:bookmarkEnd w:id="90"/>
    </w:p>
    <w:p w14:paraId="1ABBFB88">
      <w:pPr>
        <w:spacing w:line="360" w:lineRule="auto"/>
        <w:rPr>
          <w:rFonts w:ascii="宋体" w:hAnsi="宋体" w:cs="宋体"/>
          <w:sz w:val="24"/>
        </w:rPr>
      </w:pPr>
      <w:r>
        <w:rPr>
          <w:rFonts w:hint="eastAsia" w:ascii="宋体" w:hAnsi="宋体" w:cs="宋体"/>
          <w:sz w:val="24"/>
        </w:rPr>
        <w:t>7.1 在竞争性谈判截止期前，无论出于何种原因，采购人可主动地或在解答供应商要求澄清的问题时对竞争性谈判文件进行修改。</w:t>
      </w:r>
    </w:p>
    <w:p w14:paraId="0A4FE256">
      <w:pPr>
        <w:spacing w:line="360" w:lineRule="auto"/>
        <w:rPr>
          <w:rFonts w:ascii="宋体" w:hAnsi="宋体" w:cs="宋体"/>
          <w:sz w:val="24"/>
        </w:rPr>
      </w:pPr>
      <w:r>
        <w:rPr>
          <w:rFonts w:hint="eastAsia" w:ascii="宋体" w:hAnsi="宋体" w:cs="宋体"/>
          <w:sz w:val="24"/>
        </w:rPr>
        <w:t>7.2 竞争性谈判文件的修改将以书面形式通知所有竞争性谈判文件的收受人，供应商在收到该通知后应立即以书面形式予以确认。</w:t>
      </w:r>
    </w:p>
    <w:p w14:paraId="587E2306">
      <w:pPr>
        <w:spacing w:line="360" w:lineRule="auto"/>
        <w:rPr>
          <w:rFonts w:ascii="宋体" w:hAnsi="宋体" w:cs="宋体"/>
          <w:sz w:val="24"/>
        </w:rPr>
      </w:pPr>
      <w:r>
        <w:rPr>
          <w:rFonts w:hint="eastAsia" w:ascii="宋体" w:hAnsi="宋体" w:cs="宋体"/>
          <w:sz w:val="24"/>
        </w:rPr>
        <w:t>7.3 为使供应商在准备竞争性谈判响应文件时，有充分的时间对竞争性谈判文件的修改进行研究考虑，采购人可自行决定，酌情推迟竞争性谈判响应文件截止日期和谈判时间，并以书面形式通知所有已领取竞争性谈判文件的供应商。</w:t>
      </w:r>
    </w:p>
    <w:p w14:paraId="52DA06A9">
      <w:pPr>
        <w:spacing w:line="360" w:lineRule="auto"/>
        <w:rPr>
          <w:rFonts w:ascii="宋体" w:hAnsi="宋体" w:cs="宋体"/>
          <w:sz w:val="24"/>
        </w:rPr>
      </w:pPr>
      <w:r>
        <w:rPr>
          <w:rFonts w:hint="eastAsia" w:ascii="宋体" w:hAnsi="宋体" w:cs="宋体"/>
          <w:sz w:val="24"/>
        </w:rPr>
        <w:t>7.4 竞争性谈判文件修改书将构成竞争性谈判文件的一部分，对采购人和供应商都具有约束力。</w:t>
      </w:r>
    </w:p>
    <w:p w14:paraId="2746C4BC">
      <w:pPr>
        <w:pStyle w:val="4"/>
        <w:rPr>
          <w:rFonts w:ascii="宋体" w:hAnsi="宋体" w:cs="宋体"/>
          <w:szCs w:val="24"/>
        </w:rPr>
      </w:pPr>
      <w:r>
        <w:rPr>
          <w:rFonts w:hint="eastAsia" w:ascii="宋体" w:hAnsi="宋体" w:cs="宋体"/>
        </w:rPr>
        <w:t>8 竞争性谈判文件的获取</w:t>
      </w:r>
    </w:p>
    <w:p w14:paraId="3C96B8D0">
      <w:pPr>
        <w:spacing w:line="360" w:lineRule="auto"/>
        <w:ind w:firstLine="480" w:firstLineChars="200"/>
        <w:rPr>
          <w:rFonts w:ascii="宋体" w:hAnsi="宋体" w:cs="宋体"/>
          <w:sz w:val="24"/>
          <w:szCs w:val="24"/>
        </w:rPr>
      </w:pPr>
      <w:r>
        <w:rPr>
          <w:rFonts w:hint="eastAsia" w:ascii="宋体" w:hAnsi="宋体" w:cs="宋体"/>
          <w:sz w:val="24"/>
          <w:szCs w:val="24"/>
        </w:rPr>
        <w:t>招标采购公告发布后，有意向的投标人应从采购代理机构获取竞争性谈判文件及平台报名并下载谈判文件，仅作为本次招标使用。投标单位自行转让或复制的竞争性谈判文件视为无效文件。</w:t>
      </w:r>
    </w:p>
    <w:p w14:paraId="1ED68CFB">
      <w:pPr>
        <w:pStyle w:val="4"/>
        <w:rPr>
          <w:rFonts w:ascii="宋体" w:hAnsi="宋体" w:cs="宋体"/>
          <w:sz w:val="24"/>
          <w:szCs w:val="24"/>
        </w:rPr>
      </w:pPr>
      <w:r>
        <w:rPr>
          <w:rFonts w:hint="eastAsia" w:ascii="宋体" w:hAnsi="宋体" w:cs="宋体"/>
        </w:rPr>
        <w:t>9 解释权归属</w:t>
      </w:r>
    </w:p>
    <w:p w14:paraId="0AB5BFCF">
      <w:pPr>
        <w:spacing w:line="360" w:lineRule="auto"/>
        <w:ind w:firstLine="566" w:firstLineChars="236"/>
      </w:pPr>
      <w:r>
        <w:rPr>
          <w:rFonts w:hint="eastAsia" w:ascii="宋体" w:hAnsi="宋体" w:cs="宋体"/>
          <w:sz w:val="24"/>
          <w:szCs w:val="24"/>
        </w:rPr>
        <w:t xml:space="preserve">本次竞争性谈判文件的解释权归采购代理机构。 </w:t>
      </w:r>
    </w:p>
    <w:p w14:paraId="009D9C1B">
      <w:pPr>
        <w:pStyle w:val="3"/>
        <w:rPr>
          <w:rFonts w:ascii="宋体" w:hAnsi="宋体" w:eastAsia="宋体" w:cs="宋体"/>
          <w:sz w:val="36"/>
        </w:rPr>
      </w:pPr>
      <w:bookmarkStart w:id="91" w:name="_Toc465958097"/>
      <w:bookmarkStart w:id="92" w:name="_Toc30520"/>
      <w:bookmarkStart w:id="93" w:name="_Toc585"/>
      <w:bookmarkStart w:id="94" w:name="_Toc246928904"/>
      <w:bookmarkStart w:id="95" w:name="_Toc28020"/>
      <w:bookmarkStart w:id="96" w:name="_Toc19669"/>
      <w:r>
        <w:rPr>
          <w:rFonts w:hint="eastAsia" w:ascii="宋体" w:hAnsi="宋体" w:eastAsia="宋体" w:cs="宋体"/>
          <w:sz w:val="36"/>
        </w:rPr>
        <w:t>C 竞争性谈判响应文件的编写</w:t>
      </w:r>
      <w:bookmarkEnd w:id="91"/>
      <w:bookmarkEnd w:id="92"/>
      <w:bookmarkEnd w:id="93"/>
      <w:bookmarkEnd w:id="94"/>
      <w:bookmarkEnd w:id="95"/>
      <w:bookmarkEnd w:id="96"/>
    </w:p>
    <w:p w14:paraId="4F8A46A4">
      <w:pPr>
        <w:pStyle w:val="4"/>
        <w:spacing w:line="360" w:lineRule="auto"/>
        <w:rPr>
          <w:rFonts w:ascii="宋体" w:hAnsi="宋体" w:cs="宋体"/>
        </w:rPr>
      </w:pPr>
      <w:bookmarkStart w:id="97" w:name="_Toc246928905"/>
      <w:bookmarkStart w:id="98" w:name="_Toc465958098"/>
      <w:bookmarkStart w:id="99" w:name="_Toc20725"/>
      <w:bookmarkStart w:id="100" w:name="_Toc32164"/>
      <w:bookmarkStart w:id="101" w:name="_Toc25916"/>
      <w:bookmarkStart w:id="102" w:name="_Toc25855"/>
      <w:bookmarkStart w:id="103" w:name="_Toc3361"/>
      <w:r>
        <w:rPr>
          <w:rFonts w:hint="eastAsia" w:ascii="宋体" w:hAnsi="宋体" w:cs="宋体"/>
        </w:rPr>
        <w:t>10 谈判语言</w:t>
      </w:r>
      <w:bookmarkEnd w:id="97"/>
      <w:bookmarkEnd w:id="98"/>
      <w:bookmarkEnd w:id="99"/>
      <w:bookmarkEnd w:id="100"/>
      <w:bookmarkEnd w:id="101"/>
      <w:bookmarkEnd w:id="102"/>
      <w:bookmarkEnd w:id="103"/>
    </w:p>
    <w:p w14:paraId="1785746F">
      <w:pPr>
        <w:spacing w:line="360" w:lineRule="auto"/>
        <w:rPr>
          <w:rFonts w:ascii="宋体" w:hAnsi="宋体" w:cs="宋体"/>
          <w:sz w:val="24"/>
        </w:rPr>
      </w:pPr>
      <w:r>
        <w:rPr>
          <w:rFonts w:hint="eastAsia" w:ascii="宋体" w:hAnsi="宋体" w:cs="宋体"/>
          <w:sz w:val="24"/>
        </w:rPr>
        <w:t>10.1 由供应商编写的竞争性谈判响应文件和往来信件应以中文书写。</w:t>
      </w:r>
    </w:p>
    <w:p w14:paraId="0497ABF1">
      <w:pPr>
        <w:pStyle w:val="4"/>
        <w:spacing w:line="360" w:lineRule="auto"/>
        <w:rPr>
          <w:rFonts w:ascii="宋体" w:hAnsi="宋体" w:cs="宋体"/>
        </w:rPr>
      </w:pPr>
      <w:bookmarkStart w:id="104" w:name="_Toc6421"/>
      <w:bookmarkStart w:id="105" w:name="_Toc30244"/>
      <w:bookmarkStart w:id="106" w:name="_Toc12423"/>
      <w:bookmarkStart w:id="107" w:name="_Toc246928906"/>
      <w:bookmarkStart w:id="108" w:name="_Toc26252"/>
      <w:bookmarkStart w:id="109" w:name="_Toc14629"/>
      <w:bookmarkStart w:id="110" w:name="_Toc465958099"/>
      <w:r>
        <w:rPr>
          <w:rFonts w:hint="eastAsia" w:ascii="宋体" w:hAnsi="宋体" w:cs="宋体"/>
        </w:rPr>
        <w:t>11 计量单位</w:t>
      </w:r>
      <w:bookmarkEnd w:id="104"/>
      <w:bookmarkEnd w:id="105"/>
      <w:bookmarkEnd w:id="106"/>
      <w:bookmarkEnd w:id="107"/>
      <w:bookmarkEnd w:id="108"/>
      <w:bookmarkEnd w:id="109"/>
      <w:bookmarkEnd w:id="110"/>
    </w:p>
    <w:p w14:paraId="43D577F5">
      <w:pPr>
        <w:spacing w:line="360" w:lineRule="auto"/>
        <w:rPr>
          <w:rFonts w:ascii="宋体" w:hAnsi="宋体" w:cs="宋体"/>
          <w:sz w:val="24"/>
        </w:rPr>
      </w:pPr>
      <w:r>
        <w:rPr>
          <w:rFonts w:hint="eastAsia" w:ascii="宋体" w:hAnsi="宋体" w:cs="宋体"/>
          <w:sz w:val="24"/>
        </w:rPr>
        <w:t>11.1 除在竞争性谈判文件中有特殊要求外，计量单位应使用中华人民共和国法定计量单位及通用图形符号。</w:t>
      </w:r>
    </w:p>
    <w:p w14:paraId="0BE615CF">
      <w:pPr>
        <w:spacing w:line="360" w:lineRule="auto"/>
        <w:rPr>
          <w:rFonts w:ascii="宋体" w:hAnsi="宋体" w:cs="宋体"/>
          <w:sz w:val="24"/>
        </w:rPr>
      </w:pPr>
      <w:r>
        <w:rPr>
          <w:rFonts w:hint="eastAsia" w:ascii="宋体" w:hAnsi="宋体" w:cs="宋体"/>
          <w:sz w:val="24"/>
        </w:rPr>
        <w:t>11.2 本次采购、谈判报价、谈判、评审和合同授予均以项目为单位，供应商必须就整个项目进行响应，不得将整个项目中的内容拆开谈判。拆开谈判的，按无效竞争性谈判响应文件处理。</w:t>
      </w:r>
    </w:p>
    <w:p w14:paraId="5F8490A9">
      <w:pPr>
        <w:pStyle w:val="4"/>
        <w:spacing w:line="360" w:lineRule="auto"/>
        <w:rPr>
          <w:rFonts w:ascii="宋体" w:hAnsi="宋体" w:cs="宋体"/>
        </w:rPr>
      </w:pPr>
      <w:bookmarkStart w:id="111" w:name="_Toc465958100"/>
      <w:bookmarkStart w:id="112" w:name="_Toc3415"/>
      <w:bookmarkStart w:id="113" w:name="_Toc13655"/>
      <w:bookmarkStart w:id="114" w:name="_Toc1098"/>
      <w:bookmarkStart w:id="115" w:name="_Toc27123"/>
      <w:bookmarkStart w:id="116" w:name="_Toc246928907"/>
      <w:bookmarkStart w:id="117" w:name="_Toc26388"/>
      <w:r>
        <w:rPr>
          <w:rFonts w:hint="eastAsia" w:ascii="宋体" w:hAnsi="宋体" w:cs="宋体"/>
        </w:rPr>
        <w:t>12 竞争性谈判响应文件的构成</w:t>
      </w:r>
      <w:bookmarkEnd w:id="111"/>
      <w:bookmarkEnd w:id="112"/>
      <w:bookmarkEnd w:id="113"/>
      <w:bookmarkEnd w:id="114"/>
      <w:bookmarkEnd w:id="115"/>
      <w:bookmarkEnd w:id="116"/>
      <w:bookmarkEnd w:id="117"/>
    </w:p>
    <w:p w14:paraId="217BD1F6">
      <w:pPr>
        <w:spacing w:line="360" w:lineRule="auto"/>
        <w:rPr>
          <w:rFonts w:ascii="宋体" w:hAnsi="宋体" w:cs="宋体"/>
          <w:sz w:val="24"/>
        </w:rPr>
      </w:pPr>
      <w:r>
        <w:rPr>
          <w:rFonts w:hint="eastAsia" w:ascii="宋体" w:hAnsi="宋体" w:cs="宋体"/>
          <w:sz w:val="24"/>
        </w:rPr>
        <w:t>12.1 供应商编写的竞争性谈判响应文件应包括下列部分：</w:t>
      </w:r>
    </w:p>
    <w:p w14:paraId="3ECC2734">
      <w:pPr>
        <w:spacing w:line="360" w:lineRule="auto"/>
        <w:rPr>
          <w:rFonts w:ascii="宋体" w:hAnsi="宋体" w:cs="宋体"/>
          <w:sz w:val="24"/>
        </w:rPr>
      </w:pPr>
      <w:r>
        <w:rPr>
          <w:rFonts w:hint="eastAsia" w:ascii="宋体" w:hAnsi="宋体" w:cs="宋体"/>
          <w:sz w:val="24"/>
        </w:rPr>
        <w:t>12.1.1 响应函（格式）；</w:t>
      </w:r>
    </w:p>
    <w:p w14:paraId="2E784901">
      <w:pPr>
        <w:spacing w:line="360" w:lineRule="auto"/>
        <w:rPr>
          <w:rFonts w:ascii="宋体" w:hAnsi="宋体" w:cs="宋体"/>
          <w:sz w:val="24"/>
        </w:rPr>
      </w:pPr>
      <w:r>
        <w:rPr>
          <w:rFonts w:hint="eastAsia" w:ascii="宋体" w:hAnsi="宋体" w:cs="宋体"/>
          <w:sz w:val="24"/>
        </w:rPr>
        <w:t>12.1.2 第一次谈判报价表；</w:t>
      </w:r>
    </w:p>
    <w:p w14:paraId="3290442B">
      <w:pPr>
        <w:pStyle w:val="14"/>
        <w:spacing w:line="360" w:lineRule="auto"/>
        <w:rPr>
          <w:rFonts w:ascii="宋体" w:hAnsi="宋体" w:cs="宋体"/>
          <w:sz w:val="24"/>
        </w:rPr>
      </w:pPr>
      <w:r>
        <w:rPr>
          <w:rFonts w:hint="eastAsia" w:ascii="宋体" w:hAnsi="宋体" w:cs="宋体"/>
          <w:sz w:val="24"/>
        </w:rPr>
        <w:t>12.1.3 竞争性谈判响应文件格式的所有内容。具体见竞争性谈判响应文件格式</w:t>
      </w:r>
    </w:p>
    <w:p w14:paraId="345C557B">
      <w:pPr>
        <w:spacing w:line="360" w:lineRule="auto"/>
        <w:rPr>
          <w:rFonts w:ascii="宋体" w:hAnsi="宋体" w:cs="宋体"/>
          <w:sz w:val="24"/>
        </w:rPr>
      </w:pPr>
      <w:r>
        <w:rPr>
          <w:rFonts w:hint="eastAsia" w:ascii="宋体" w:hAnsi="宋体" w:cs="宋体"/>
          <w:sz w:val="24"/>
        </w:rPr>
        <w:t>12.2 供应商的所有资格证明文件均应当为合法、有效文件，否则将被视为该文件未递交。</w:t>
      </w:r>
    </w:p>
    <w:p w14:paraId="1FB75257">
      <w:pPr>
        <w:spacing w:line="360" w:lineRule="auto"/>
        <w:rPr>
          <w:rFonts w:ascii="宋体" w:hAnsi="宋体" w:cs="宋体"/>
          <w:sz w:val="24"/>
        </w:rPr>
      </w:pPr>
      <w:r>
        <w:rPr>
          <w:rFonts w:hint="eastAsia" w:ascii="宋体" w:hAnsi="宋体" w:cs="宋体"/>
          <w:sz w:val="24"/>
        </w:rPr>
        <w:t>12.3 上述文件应当按照竞争性谈判文件规定的格式填写、签署和盖章。</w:t>
      </w:r>
    </w:p>
    <w:p w14:paraId="65AF84A5">
      <w:pPr>
        <w:pStyle w:val="4"/>
        <w:spacing w:line="360" w:lineRule="auto"/>
        <w:rPr>
          <w:rFonts w:ascii="宋体" w:hAnsi="宋体" w:cs="宋体"/>
        </w:rPr>
      </w:pPr>
      <w:bookmarkStart w:id="118" w:name="_Toc7488"/>
      <w:bookmarkStart w:id="119" w:name="_Toc246928909"/>
      <w:bookmarkStart w:id="120" w:name="_Toc285"/>
      <w:bookmarkStart w:id="121" w:name="_Toc465958101"/>
      <w:bookmarkStart w:id="122" w:name="_Toc27931"/>
      <w:bookmarkStart w:id="123" w:name="_Toc11558"/>
      <w:bookmarkStart w:id="124" w:name="_Toc23839"/>
      <w:r>
        <w:rPr>
          <w:rFonts w:hint="eastAsia" w:ascii="宋体" w:hAnsi="宋体" w:cs="宋体"/>
        </w:rPr>
        <w:t>13 谈判报价</w:t>
      </w:r>
      <w:bookmarkEnd w:id="118"/>
      <w:bookmarkEnd w:id="119"/>
      <w:bookmarkEnd w:id="120"/>
      <w:bookmarkEnd w:id="121"/>
      <w:bookmarkEnd w:id="122"/>
      <w:bookmarkEnd w:id="123"/>
      <w:bookmarkEnd w:id="124"/>
    </w:p>
    <w:p w14:paraId="1BC2A810">
      <w:pPr>
        <w:spacing w:line="360" w:lineRule="auto"/>
        <w:rPr>
          <w:rFonts w:ascii="宋体" w:hAnsi="宋体" w:cs="宋体"/>
          <w:sz w:val="24"/>
        </w:rPr>
      </w:pPr>
      <w:r>
        <w:rPr>
          <w:rFonts w:hint="eastAsia" w:ascii="宋体" w:hAnsi="宋体" w:cs="宋体"/>
          <w:sz w:val="24"/>
        </w:rPr>
        <w:t>13.1 所有谈判均以人民币报价。</w:t>
      </w:r>
    </w:p>
    <w:p w14:paraId="71B3D45B">
      <w:pPr>
        <w:spacing w:line="360" w:lineRule="auto"/>
        <w:rPr>
          <w:rFonts w:ascii="宋体" w:hAnsi="宋体" w:cs="宋体"/>
          <w:sz w:val="24"/>
        </w:rPr>
      </w:pPr>
      <w:r>
        <w:rPr>
          <w:rFonts w:hint="eastAsia" w:ascii="宋体" w:hAnsi="宋体" w:cs="宋体"/>
          <w:sz w:val="24"/>
        </w:rPr>
        <w:t>13.2 供应商依据竞争性谈判文件提供的货物及服务要求等资料并自行考虑风险因素计算谈判报价，一旦成交，谈判报价将不会因国家政策调整及市场变化因素而得到调整。</w:t>
      </w:r>
    </w:p>
    <w:p w14:paraId="66647E49">
      <w:pPr>
        <w:spacing w:line="360" w:lineRule="auto"/>
        <w:rPr>
          <w:rFonts w:ascii="宋体" w:hAnsi="宋体" w:cs="宋体"/>
          <w:sz w:val="24"/>
        </w:rPr>
      </w:pPr>
      <w:bookmarkStart w:id="125" w:name="_Toc246928911"/>
      <w:r>
        <w:rPr>
          <w:rFonts w:hint="eastAsia" w:ascii="宋体" w:hAnsi="宋体" w:cs="宋体"/>
          <w:sz w:val="24"/>
        </w:rPr>
        <w:t>13.3 供应商应对所列的所有服务进行响应，不得将采购内容拆开谈判。</w:t>
      </w:r>
    </w:p>
    <w:p w14:paraId="276C524F">
      <w:pPr>
        <w:spacing w:line="360" w:lineRule="auto"/>
        <w:rPr>
          <w:rFonts w:ascii="宋体" w:hAnsi="宋体" w:cs="宋体"/>
          <w:sz w:val="24"/>
        </w:rPr>
      </w:pPr>
      <w:r>
        <w:rPr>
          <w:rFonts w:hint="eastAsia" w:ascii="宋体" w:hAnsi="宋体" w:cs="宋体"/>
          <w:sz w:val="24"/>
        </w:rPr>
        <w:t>13.4 采购人只接受供应商提供的唯一谈判响应方案，不接受备选方案。</w:t>
      </w:r>
    </w:p>
    <w:p w14:paraId="38F877AA">
      <w:pPr>
        <w:pStyle w:val="4"/>
        <w:spacing w:line="360" w:lineRule="auto"/>
        <w:rPr>
          <w:rFonts w:ascii="宋体" w:hAnsi="宋体" w:cs="宋体"/>
        </w:rPr>
      </w:pPr>
      <w:bookmarkStart w:id="126" w:name="_Toc28059"/>
      <w:bookmarkStart w:id="127" w:name="_Toc14151"/>
      <w:bookmarkStart w:id="128" w:name="_Toc7647"/>
      <w:bookmarkStart w:id="129" w:name="_Toc30975"/>
      <w:bookmarkStart w:id="130" w:name="_Toc10046"/>
      <w:bookmarkStart w:id="131" w:name="_Toc465958102"/>
      <w:r>
        <w:rPr>
          <w:rFonts w:hint="eastAsia" w:ascii="宋体" w:hAnsi="宋体" w:cs="宋体"/>
        </w:rPr>
        <w:t>14 证明供应商资格的证明文件</w:t>
      </w:r>
      <w:bookmarkEnd w:id="125"/>
      <w:bookmarkEnd w:id="126"/>
      <w:bookmarkEnd w:id="127"/>
      <w:bookmarkEnd w:id="128"/>
      <w:bookmarkEnd w:id="129"/>
      <w:bookmarkEnd w:id="130"/>
      <w:bookmarkEnd w:id="131"/>
    </w:p>
    <w:p w14:paraId="7047B7A3">
      <w:pPr>
        <w:spacing w:line="360" w:lineRule="auto"/>
        <w:rPr>
          <w:rFonts w:ascii="宋体" w:hAnsi="宋体" w:cs="宋体"/>
          <w:sz w:val="24"/>
        </w:rPr>
      </w:pPr>
      <w:r>
        <w:rPr>
          <w:rFonts w:hint="eastAsia" w:ascii="宋体" w:hAnsi="宋体" w:cs="宋体"/>
          <w:sz w:val="24"/>
        </w:rPr>
        <w:t>12.1 供应商必须按要求提交证明文件，以证明其有资格参加谈判和成交后有履行合同的能力，并作为其竞争性谈判响应文件的一部分。</w:t>
      </w:r>
    </w:p>
    <w:p w14:paraId="78F87D36">
      <w:pPr>
        <w:spacing w:line="360" w:lineRule="auto"/>
        <w:rPr>
          <w:rFonts w:ascii="宋体" w:hAnsi="宋体" w:cs="宋体"/>
          <w:sz w:val="24"/>
        </w:rPr>
      </w:pPr>
      <w:r>
        <w:rPr>
          <w:rFonts w:hint="eastAsia" w:ascii="宋体" w:hAnsi="宋体" w:cs="宋体"/>
          <w:sz w:val="24"/>
        </w:rPr>
        <w:t>12.2供应商应具有履行合同所需的财务、技术和生产能力；</w:t>
      </w:r>
    </w:p>
    <w:p w14:paraId="140628DD">
      <w:pPr>
        <w:spacing w:line="360" w:lineRule="auto"/>
        <w:rPr>
          <w:rFonts w:ascii="宋体" w:hAnsi="宋体" w:cs="宋体"/>
          <w:sz w:val="24"/>
        </w:rPr>
      </w:pPr>
      <w:r>
        <w:rPr>
          <w:rFonts w:hint="eastAsia" w:ascii="宋体" w:hAnsi="宋体" w:cs="宋体"/>
          <w:sz w:val="24"/>
        </w:rPr>
        <w:t>12.3供应商应有能力履行竞争性谈判文件所规定的由供应商在服务地点提供服务的人员及技术支持和服务；</w:t>
      </w:r>
    </w:p>
    <w:p w14:paraId="7FCD8510">
      <w:pPr>
        <w:spacing w:line="360" w:lineRule="auto"/>
        <w:rPr>
          <w:rFonts w:ascii="宋体" w:hAnsi="宋体" w:cs="宋体"/>
          <w:sz w:val="24"/>
        </w:rPr>
      </w:pPr>
      <w:r>
        <w:rPr>
          <w:rFonts w:hint="eastAsia" w:ascii="宋体" w:hAnsi="宋体" w:cs="宋体"/>
          <w:sz w:val="24"/>
        </w:rPr>
        <w:t>12.4供应商认为能够证明供应商及其提供服务的等其他文件。</w:t>
      </w:r>
    </w:p>
    <w:p w14:paraId="628DEAC3">
      <w:pPr>
        <w:pStyle w:val="4"/>
        <w:spacing w:line="360" w:lineRule="auto"/>
        <w:rPr>
          <w:rFonts w:ascii="宋体" w:hAnsi="宋体" w:cs="宋体"/>
        </w:rPr>
      </w:pPr>
      <w:bookmarkStart w:id="132" w:name="_Toc32534"/>
      <w:bookmarkStart w:id="133" w:name="_Toc23372"/>
      <w:bookmarkStart w:id="134" w:name="_Toc465958103"/>
      <w:bookmarkStart w:id="135" w:name="_Toc19118"/>
      <w:bookmarkStart w:id="136" w:name="_Toc246928912"/>
      <w:bookmarkStart w:id="137" w:name="_Toc7233"/>
      <w:bookmarkStart w:id="138" w:name="_Toc28780"/>
      <w:r>
        <w:rPr>
          <w:rFonts w:hint="eastAsia" w:ascii="宋体" w:hAnsi="宋体" w:cs="宋体"/>
        </w:rPr>
        <w:t>15 证明服务符合竞争性谈判文件规定的文件</w:t>
      </w:r>
      <w:bookmarkEnd w:id="132"/>
      <w:bookmarkEnd w:id="133"/>
      <w:bookmarkEnd w:id="134"/>
      <w:bookmarkEnd w:id="135"/>
      <w:bookmarkEnd w:id="136"/>
      <w:bookmarkEnd w:id="137"/>
      <w:bookmarkEnd w:id="138"/>
    </w:p>
    <w:p w14:paraId="21A2214A">
      <w:pPr>
        <w:spacing w:line="360" w:lineRule="auto"/>
        <w:rPr>
          <w:rFonts w:ascii="宋体" w:hAnsi="宋体" w:cs="宋体"/>
          <w:sz w:val="24"/>
        </w:rPr>
      </w:pPr>
      <w:r>
        <w:rPr>
          <w:rFonts w:hint="eastAsia" w:ascii="宋体" w:hAnsi="宋体" w:cs="宋体"/>
          <w:sz w:val="24"/>
        </w:rPr>
        <w:t>15.1 供应商所提供的服务须符合法律、法规、相关规章及国家强制性技术标准和竞争性谈判文件的规定。</w:t>
      </w:r>
    </w:p>
    <w:p w14:paraId="53D72A9C">
      <w:pPr>
        <w:spacing w:line="360" w:lineRule="auto"/>
        <w:rPr>
          <w:rFonts w:ascii="宋体" w:hAnsi="宋体" w:cs="宋体"/>
          <w:sz w:val="24"/>
        </w:rPr>
      </w:pPr>
      <w:r>
        <w:rPr>
          <w:rFonts w:hint="eastAsia" w:ascii="宋体" w:hAnsi="宋体" w:cs="宋体"/>
          <w:sz w:val="24"/>
        </w:rPr>
        <w:t>15.2 供应商应对竞争性谈判文件中的各项条款做出清晰准确的答复。</w:t>
      </w:r>
    </w:p>
    <w:p w14:paraId="7A819D40">
      <w:pPr>
        <w:spacing w:line="360" w:lineRule="auto"/>
        <w:ind w:left="-181" w:leftChars="-86" w:firstLine="180" w:firstLineChars="75"/>
        <w:rPr>
          <w:rFonts w:ascii="宋体" w:hAnsi="宋体" w:cs="宋体"/>
          <w:sz w:val="24"/>
        </w:rPr>
      </w:pPr>
      <w:r>
        <w:rPr>
          <w:rFonts w:hint="eastAsia" w:ascii="宋体" w:hAnsi="宋体" w:cs="宋体"/>
          <w:sz w:val="24"/>
        </w:rPr>
        <w:t>15.3 提交文件可以是文字资料也可以是图纸、图片等资料。</w:t>
      </w:r>
    </w:p>
    <w:p w14:paraId="5E4EECC6">
      <w:pPr>
        <w:pStyle w:val="4"/>
        <w:spacing w:line="360" w:lineRule="auto"/>
        <w:rPr>
          <w:rFonts w:ascii="宋体" w:hAnsi="宋体" w:cs="宋体"/>
        </w:rPr>
      </w:pPr>
      <w:bookmarkStart w:id="139" w:name="_Toc246928913"/>
      <w:bookmarkStart w:id="140" w:name="_Toc27673"/>
      <w:bookmarkStart w:id="141" w:name="_Toc6620"/>
      <w:bookmarkStart w:id="142" w:name="_Toc21933"/>
      <w:bookmarkStart w:id="143" w:name="_Toc4194"/>
      <w:bookmarkStart w:id="144" w:name="_Toc465958104"/>
      <w:bookmarkStart w:id="145" w:name="_Toc22564"/>
      <w:r>
        <w:rPr>
          <w:rFonts w:hint="eastAsia" w:ascii="宋体" w:hAnsi="宋体" w:cs="宋体"/>
        </w:rPr>
        <w:t>16 谈判保证金</w:t>
      </w:r>
      <w:bookmarkEnd w:id="139"/>
      <w:bookmarkEnd w:id="140"/>
      <w:bookmarkEnd w:id="141"/>
      <w:bookmarkEnd w:id="142"/>
      <w:bookmarkEnd w:id="143"/>
      <w:bookmarkEnd w:id="144"/>
      <w:bookmarkEnd w:id="145"/>
    </w:p>
    <w:p w14:paraId="25E00ED6">
      <w:pPr>
        <w:pStyle w:val="4"/>
        <w:spacing w:line="360" w:lineRule="auto"/>
        <w:rPr>
          <w:rFonts w:hint="eastAsia" w:ascii="宋体" w:hAnsi="宋体" w:cs="宋体"/>
          <w:sz w:val="24"/>
          <w:szCs w:val="28"/>
        </w:rPr>
      </w:pPr>
      <w:bookmarkStart w:id="146" w:name="_Toc4413"/>
      <w:bookmarkStart w:id="147" w:name="_Toc4576"/>
      <w:bookmarkStart w:id="148" w:name="_Toc8022"/>
      <w:bookmarkStart w:id="149" w:name="_Toc20201"/>
      <w:bookmarkStart w:id="150" w:name="_Toc246928914"/>
      <w:bookmarkStart w:id="151" w:name="_Toc22789"/>
      <w:bookmarkStart w:id="152" w:name="_Toc465958105"/>
      <w:r>
        <w:rPr>
          <w:rFonts w:hint="eastAsia" w:ascii="宋体" w:hAnsi="宋体" w:cs="宋体"/>
          <w:b w:val="0"/>
          <w:bCs w:val="0"/>
          <w:sz w:val="24"/>
          <w:szCs w:val="28"/>
          <w:lang w:val="en-US" w:eastAsia="zh-CN"/>
        </w:rPr>
        <w:t>16.1</w:t>
      </w:r>
      <w:r>
        <w:rPr>
          <w:rFonts w:hint="eastAsia" w:ascii="宋体" w:hAnsi="宋体" w:cs="宋体"/>
          <w:b w:val="0"/>
          <w:bCs w:val="0"/>
          <w:sz w:val="24"/>
          <w:szCs w:val="28"/>
        </w:rPr>
        <w:t>投标保证金可用投标信用承诺书代替（提供投标信用承诺书）；</w:t>
      </w:r>
    </w:p>
    <w:p w14:paraId="2B9E11D5">
      <w:pPr>
        <w:pStyle w:val="4"/>
        <w:spacing w:line="360" w:lineRule="auto"/>
        <w:rPr>
          <w:rFonts w:ascii="宋体" w:hAnsi="宋体" w:cs="宋体"/>
        </w:rPr>
      </w:pPr>
      <w:r>
        <w:rPr>
          <w:rFonts w:hint="eastAsia" w:ascii="宋体" w:hAnsi="宋体" w:cs="宋体"/>
        </w:rPr>
        <w:t>17 谈判有效期</w:t>
      </w:r>
      <w:bookmarkEnd w:id="146"/>
      <w:bookmarkEnd w:id="147"/>
      <w:bookmarkEnd w:id="148"/>
      <w:bookmarkEnd w:id="149"/>
      <w:bookmarkEnd w:id="150"/>
      <w:bookmarkEnd w:id="151"/>
      <w:bookmarkEnd w:id="152"/>
    </w:p>
    <w:p w14:paraId="54671BF6">
      <w:pPr>
        <w:spacing w:line="360" w:lineRule="auto"/>
        <w:rPr>
          <w:rFonts w:ascii="宋体" w:hAnsi="宋体" w:cs="宋体"/>
          <w:sz w:val="24"/>
        </w:rPr>
      </w:pPr>
      <w:r>
        <w:rPr>
          <w:rFonts w:hint="eastAsia" w:ascii="宋体" w:hAnsi="宋体" w:cs="宋体"/>
          <w:sz w:val="24"/>
        </w:rPr>
        <w:t>17.1  竞争性谈判响应文件从开标之日起，谈判有效期为90日历天。谈判有效期不满足要求的谈判属于无效谈判情形。</w:t>
      </w:r>
    </w:p>
    <w:p w14:paraId="371B83A6">
      <w:pPr>
        <w:spacing w:line="360" w:lineRule="auto"/>
        <w:rPr>
          <w:rFonts w:ascii="宋体" w:hAnsi="宋体" w:cs="宋体"/>
          <w:sz w:val="24"/>
        </w:rPr>
      </w:pPr>
      <w:r>
        <w:rPr>
          <w:rFonts w:hint="eastAsia" w:ascii="宋体" w:hAnsi="宋体" w:cs="宋体"/>
          <w:sz w:val="24"/>
          <w:szCs w:val="24"/>
        </w:rPr>
        <w:t>17.2成交供应商的竞争性谈判响应文件有效期延长至合同执行完毕。</w:t>
      </w:r>
    </w:p>
    <w:p w14:paraId="7B64AB48">
      <w:pPr>
        <w:spacing w:line="360" w:lineRule="auto"/>
        <w:rPr>
          <w:rFonts w:ascii="宋体" w:hAnsi="宋体" w:cs="宋体"/>
          <w:sz w:val="24"/>
        </w:rPr>
      </w:pPr>
      <w:r>
        <w:rPr>
          <w:rFonts w:hint="eastAsia" w:ascii="宋体" w:hAnsi="宋体" w:cs="宋体"/>
          <w:sz w:val="24"/>
        </w:rPr>
        <w:t>17.3  特殊情况下，采购人可于谈判有效期满之前要求供应商同意延长有效期，要求与答复均应为书面形式。供应商可以拒绝上述要求，对于同意该要求的供应商，既不要求也不允许其修改竞争性谈判响应文件。</w:t>
      </w:r>
    </w:p>
    <w:p w14:paraId="562DC032">
      <w:pPr>
        <w:pStyle w:val="4"/>
        <w:spacing w:before="120" w:after="120" w:line="360" w:lineRule="auto"/>
        <w:rPr>
          <w:rFonts w:ascii="宋体" w:hAnsi="宋体" w:cs="宋体"/>
        </w:rPr>
      </w:pPr>
      <w:bookmarkStart w:id="153" w:name="_Toc246928915"/>
      <w:bookmarkStart w:id="154" w:name="_Toc465958106"/>
      <w:bookmarkStart w:id="155" w:name="_Toc14012"/>
      <w:bookmarkStart w:id="156" w:name="_Toc282"/>
      <w:bookmarkStart w:id="157" w:name="_Toc17754"/>
      <w:bookmarkStart w:id="158" w:name="_Toc15795"/>
      <w:bookmarkStart w:id="159" w:name="_Toc22552"/>
      <w:r>
        <w:rPr>
          <w:rFonts w:hint="eastAsia" w:ascii="宋体" w:hAnsi="宋体" w:cs="宋体"/>
        </w:rPr>
        <w:t>18 竞争性谈判响应文件的签署及</w:t>
      </w:r>
      <w:bookmarkEnd w:id="153"/>
      <w:r>
        <w:rPr>
          <w:rFonts w:hint="eastAsia" w:ascii="宋体" w:hAnsi="宋体" w:cs="宋体"/>
        </w:rPr>
        <w:t>规定</w:t>
      </w:r>
      <w:bookmarkEnd w:id="154"/>
      <w:bookmarkEnd w:id="155"/>
      <w:bookmarkEnd w:id="156"/>
      <w:bookmarkEnd w:id="157"/>
      <w:bookmarkEnd w:id="158"/>
      <w:bookmarkEnd w:id="159"/>
    </w:p>
    <w:p w14:paraId="3F8E35CD">
      <w:pPr>
        <w:spacing w:line="360" w:lineRule="auto"/>
        <w:rPr>
          <w:rFonts w:ascii="宋体" w:hAnsi="宋体" w:cs="宋体"/>
          <w:sz w:val="24"/>
        </w:rPr>
      </w:pPr>
      <w:r>
        <w:rPr>
          <w:rFonts w:hint="eastAsia" w:ascii="宋体" w:hAnsi="宋体" w:cs="宋体"/>
          <w:sz w:val="24"/>
        </w:rPr>
        <w:t xml:space="preserve">18.1 </w:t>
      </w:r>
      <w:r>
        <w:rPr>
          <w:rFonts w:hint="eastAsia" w:ascii="宋体" w:hAnsi="宋体" w:cs="宋体"/>
          <w:sz w:val="24"/>
          <w:lang w:eastAsia="zh-CN"/>
        </w:rPr>
        <w:t>纸质</w:t>
      </w:r>
      <w:r>
        <w:rPr>
          <w:rFonts w:hint="eastAsia" w:ascii="宋体" w:hAnsi="宋体" w:cs="宋体"/>
          <w:sz w:val="24"/>
        </w:rPr>
        <w:t>谈判响应文件正本和所有副本均需</w:t>
      </w:r>
      <w:r>
        <w:rPr>
          <w:rFonts w:hint="eastAsia" w:ascii="宋体" w:hAnsi="宋体" w:cs="宋体"/>
          <w:sz w:val="24"/>
          <w:szCs w:val="24"/>
        </w:rPr>
        <w:t>用A4幅面纸张</w:t>
      </w:r>
      <w:r>
        <w:rPr>
          <w:rFonts w:hint="eastAsia" w:ascii="宋体" w:hAnsi="宋体" w:cs="宋体"/>
          <w:sz w:val="24"/>
        </w:rPr>
        <w:t>打印或用不褪色的蓝(黑)色墨水(汁)书写,并由投标人法定代表人或经法定代表人正式授权的代表签字。谈判响应文件若由授权代表签署，须按招标文件规定的格式提供的“法定代表人授权委托书”原件附在</w:t>
      </w:r>
      <w:r>
        <w:rPr>
          <w:rFonts w:hint="eastAsia" w:ascii="宋体" w:hAnsi="宋体" w:cs="宋体"/>
          <w:sz w:val="24"/>
          <w:lang w:eastAsia="zh-CN"/>
        </w:rPr>
        <w:t>谈判响应文件</w:t>
      </w:r>
      <w:r>
        <w:rPr>
          <w:rFonts w:hint="eastAsia" w:ascii="宋体" w:hAnsi="宋体" w:cs="宋体"/>
          <w:sz w:val="24"/>
        </w:rPr>
        <w:t>中。所有要求签字（名）处，均须由签字（名）者本人用不褪色的蓝(黑)色墨水(汁)书写，不得用任何形式的图章代替。所有谈判响应文件正本和副本须按规定的顺序编排、并应编制三级及以上目录、逐页标注连续页码，每一页的正下方清楚标明页码，并统一装订（胶装）成册。</w:t>
      </w:r>
    </w:p>
    <w:p w14:paraId="49116444">
      <w:pPr>
        <w:adjustRightInd w:val="0"/>
        <w:snapToGrid w:val="0"/>
        <w:spacing w:line="360" w:lineRule="auto"/>
        <w:rPr>
          <w:rFonts w:ascii="宋体" w:hAnsi="宋体" w:cs="宋体"/>
          <w:sz w:val="24"/>
          <w:szCs w:val="22"/>
        </w:rPr>
      </w:pPr>
      <w:r>
        <w:rPr>
          <w:rFonts w:hint="eastAsia" w:ascii="宋体" w:hAnsi="宋体" w:cs="宋体"/>
          <w:sz w:val="24"/>
        </w:rPr>
        <w:t>18.2  除投标人对错处作必要修改外，谈判响应文件中不许有加行、涂抹或改写。若有修改须由授权代表或法定代表人在修改处签字</w:t>
      </w:r>
      <w:r>
        <w:rPr>
          <w:rFonts w:hint="eastAsia" w:ascii="宋体" w:hAnsi="宋体" w:cs="宋体"/>
          <w:sz w:val="24"/>
          <w:szCs w:val="22"/>
        </w:rPr>
        <w:t xml:space="preserve">。 </w:t>
      </w:r>
    </w:p>
    <w:p w14:paraId="113ABC47">
      <w:pPr>
        <w:adjustRightInd w:val="0"/>
        <w:snapToGrid w:val="0"/>
        <w:spacing w:line="360" w:lineRule="auto"/>
        <w:rPr>
          <w:rFonts w:ascii="宋体" w:hAnsi="宋体" w:cs="宋体"/>
          <w:sz w:val="24"/>
          <w:szCs w:val="22"/>
        </w:rPr>
      </w:pPr>
      <w:r>
        <w:rPr>
          <w:rFonts w:hint="eastAsia" w:ascii="宋体" w:hAnsi="宋体" w:cs="宋体"/>
          <w:sz w:val="24"/>
          <w:szCs w:val="22"/>
        </w:rPr>
        <w:t xml:space="preserve">18.3  </w:t>
      </w:r>
      <w:r>
        <w:rPr>
          <w:rFonts w:hint="eastAsia" w:ascii="宋体" w:hAnsi="宋体" w:cs="宋体"/>
          <w:sz w:val="24"/>
        </w:rPr>
        <w:t>投标人</w:t>
      </w:r>
      <w:r>
        <w:rPr>
          <w:rFonts w:hint="eastAsia" w:ascii="宋体" w:hAnsi="宋体" w:cs="宋体"/>
          <w:sz w:val="24"/>
          <w:szCs w:val="22"/>
        </w:rPr>
        <w:t>名称应填写全称，</w:t>
      </w:r>
      <w:r>
        <w:rPr>
          <w:rFonts w:hint="eastAsia" w:ascii="宋体" w:hAnsi="宋体" w:cs="宋体"/>
          <w:sz w:val="24"/>
        </w:rPr>
        <w:t>谈判响应文件</w:t>
      </w:r>
      <w:r>
        <w:rPr>
          <w:rFonts w:hint="eastAsia" w:ascii="宋体" w:hAnsi="宋体" w:cs="宋体"/>
          <w:sz w:val="24"/>
          <w:szCs w:val="22"/>
        </w:rPr>
        <w:t>正本必须逐页加盖</w:t>
      </w:r>
      <w:r>
        <w:rPr>
          <w:rFonts w:hint="eastAsia" w:ascii="宋体" w:hAnsi="宋体" w:cs="宋体"/>
          <w:sz w:val="24"/>
        </w:rPr>
        <w:t>投标人</w:t>
      </w:r>
      <w:r>
        <w:rPr>
          <w:rFonts w:hint="eastAsia" w:ascii="宋体" w:hAnsi="宋体" w:cs="宋体"/>
          <w:sz w:val="24"/>
          <w:szCs w:val="22"/>
        </w:rPr>
        <w:t>公章，</w:t>
      </w:r>
      <w:r>
        <w:rPr>
          <w:rFonts w:hint="eastAsia" w:ascii="宋体" w:hAnsi="宋体" w:cs="宋体"/>
          <w:sz w:val="24"/>
        </w:rPr>
        <w:t>谈判响应文件</w:t>
      </w:r>
      <w:r>
        <w:rPr>
          <w:rFonts w:hint="eastAsia" w:ascii="宋体" w:hAnsi="宋体" w:cs="宋体"/>
          <w:sz w:val="24"/>
          <w:szCs w:val="22"/>
        </w:rPr>
        <w:t>正本和副本必须加盖骑缝章。</w:t>
      </w:r>
    </w:p>
    <w:p w14:paraId="44A9D287">
      <w:pPr>
        <w:pStyle w:val="9"/>
        <w:spacing w:line="360" w:lineRule="auto"/>
        <w:rPr>
          <w:rFonts w:ascii="宋体" w:hAnsi="宋体" w:cs="宋体"/>
          <w:sz w:val="24"/>
        </w:rPr>
      </w:pPr>
      <w:r>
        <w:rPr>
          <w:rFonts w:hint="eastAsia" w:ascii="宋体" w:hAnsi="宋体" w:cs="宋体"/>
          <w:sz w:val="24"/>
        </w:rPr>
        <w:t>18.4本项目采用电子化</w:t>
      </w:r>
      <w:r>
        <w:rPr>
          <w:rFonts w:hint="eastAsia" w:ascii="宋体" w:hAnsi="宋体" w:cs="宋体"/>
          <w:sz w:val="24"/>
          <w:lang w:eastAsia="zh-CN"/>
        </w:rPr>
        <w:t>投标</w:t>
      </w:r>
      <w:r>
        <w:rPr>
          <w:rFonts w:hint="eastAsia" w:ascii="宋体" w:hAnsi="宋体" w:cs="宋体"/>
          <w:sz w:val="24"/>
        </w:rPr>
        <w:t>的方式。投标人须使用数字认证证书对电子化谈判响应文件进行签章、加密、递交及开标时解密等相关招投标事宜。</w:t>
      </w:r>
    </w:p>
    <w:p w14:paraId="557E7CDE">
      <w:pPr>
        <w:adjustRightInd w:val="0"/>
        <w:snapToGrid w:val="0"/>
        <w:spacing w:line="360" w:lineRule="auto"/>
        <w:rPr>
          <w:rFonts w:ascii="宋体" w:hAnsi="宋体" w:cs="宋体"/>
          <w:sz w:val="24"/>
        </w:rPr>
      </w:pPr>
      <w:r>
        <w:rPr>
          <w:rFonts w:hint="eastAsia" w:ascii="宋体" w:hAnsi="宋体" w:cs="宋体"/>
          <w:sz w:val="24"/>
          <w:szCs w:val="22"/>
        </w:rPr>
        <w:t>18.5  采购人拒绝接受以电报、电话、传真、电</w:t>
      </w:r>
      <w:r>
        <w:rPr>
          <w:rFonts w:hint="eastAsia" w:ascii="宋体" w:hAnsi="宋体" w:cs="宋体"/>
          <w:sz w:val="24"/>
        </w:rPr>
        <w:t>子邮件形式的投标。</w:t>
      </w:r>
    </w:p>
    <w:p w14:paraId="7FBC742D">
      <w:pPr>
        <w:adjustRightInd w:val="0"/>
        <w:snapToGrid w:val="0"/>
        <w:spacing w:line="360" w:lineRule="auto"/>
        <w:rPr>
          <w:rFonts w:ascii="宋体" w:hAnsi="宋体" w:cs="宋体"/>
          <w:sz w:val="24"/>
        </w:rPr>
      </w:pPr>
      <w:r>
        <w:rPr>
          <w:rFonts w:hint="eastAsia" w:ascii="宋体" w:hAnsi="宋体" w:cs="宋体"/>
          <w:sz w:val="24"/>
        </w:rPr>
        <w:t>18.6  未按上述要求编制及签署的</w:t>
      </w:r>
      <w:r>
        <w:rPr>
          <w:rFonts w:hint="eastAsia" w:ascii="宋体" w:hAnsi="宋体" w:cs="宋体"/>
          <w:sz w:val="24"/>
          <w:lang w:eastAsia="zh-CN"/>
        </w:rPr>
        <w:t>谈判响应文件</w:t>
      </w:r>
      <w:r>
        <w:rPr>
          <w:rFonts w:hint="eastAsia" w:ascii="宋体" w:hAnsi="宋体" w:cs="宋体"/>
          <w:sz w:val="24"/>
        </w:rPr>
        <w:t>视为无效</w:t>
      </w:r>
      <w:r>
        <w:rPr>
          <w:rFonts w:hint="eastAsia" w:ascii="宋体" w:hAnsi="宋体" w:cs="宋体"/>
          <w:sz w:val="24"/>
          <w:lang w:eastAsia="zh-CN"/>
        </w:rPr>
        <w:t>谈判响应文件</w:t>
      </w:r>
      <w:r>
        <w:rPr>
          <w:rFonts w:hint="eastAsia" w:ascii="宋体" w:hAnsi="宋体" w:cs="宋体"/>
          <w:sz w:val="24"/>
        </w:rPr>
        <w:t>。</w:t>
      </w:r>
    </w:p>
    <w:p w14:paraId="54134E36">
      <w:pPr>
        <w:adjustRightInd w:val="0"/>
        <w:snapToGrid w:val="0"/>
        <w:spacing w:line="360" w:lineRule="auto"/>
        <w:rPr>
          <w:rFonts w:ascii="宋体" w:hAnsi="宋体" w:cs="宋体"/>
          <w:sz w:val="24"/>
          <w:szCs w:val="22"/>
        </w:rPr>
      </w:pPr>
      <w:r>
        <w:rPr>
          <w:rFonts w:hint="eastAsia" w:ascii="宋体" w:hAnsi="宋体" w:cs="宋体"/>
          <w:sz w:val="24"/>
          <w:szCs w:val="22"/>
        </w:rPr>
        <w:t xml:space="preserve">18.7电子谈判文件下载。供应商登录全国公共资源交易平台（陕西省） 网站〖首 </w:t>
      </w:r>
    </w:p>
    <w:p w14:paraId="0D98442A">
      <w:pPr>
        <w:adjustRightInd w:val="0"/>
        <w:snapToGrid w:val="0"/>
        <w:spacing w:line="360" w:lineRule="auto"/>
        <w:rPr>
          <w:rFonts w:ascii="宋体" w:hAnsi="宋体" w:cs="宋体"/>
          <w:sz w:val="24"/>
          <w:szCs w:val="22"/>
        </w:rPr>
      </w:pPr>
      <w:r>
        <w:rPr>
          <w:rFonts w:hint="eastAsia" w:ascii="宋体" w:hAnsi="宋体" w:cs="宋体"/>
          <w:sz w:val="24"/>
          <w:szCs w:val="22"/>
        </w:rPr>
        <w:t xml:space="preserve">页·〉电子交易平台·〉企业端〗后，选择项目点击 “我要投标”，参与投标活动。然后即可在〖我的项目〗中点击“项目流程&gt;交易文件下载”下载电子谈判文件。 </w:t>
      </w:r>
    </w:p>
    <w:p w14:paraId="016F277F">
      <w:pPr>
        <w:adjustRightInd w:val="0"/>
        <w:snapToGrid w:val="0"/>
        <w:spacing w:line="360" w:lineRule="auto"/>
        <w:rPr>
          <w:rFonts w:ascii="宋体" w:hAnsi="宋体" w:cs="宋体"/>
          <w:sz w:val="24"/>
          <w:szCs w:val="22"/>
        </w:rPr>
      </w:pPr>
      <w:r>
        <w:rPr>
          <w:rFonts w:hint="eastAsia" w:ascii="宋体" w:hAnsi="宋体" w:cs="宋体"/>
          <w:sz w:val="24"/>
          <w:szCs w:val="22"/>
        </w:rPr>
        <w:t>18.8 电子谈判文件需要使用专用软件打开、浏览。供应商可在全国公共资源交易平台（陕西省）网站〖首页·〉服务指南·〉下载专区〗免费下载“陕西省公共资源交易平台政府采购电子标书制作工具(V8.0.0.36)”，并升级至最新版本，使用该客户端可以打开电子</w:t>
      </w:r>
      <w:r>
        <w:rPr>
          <w:rFonts w:hint="eastAsia" w:ascii="宋体" w:hAnsi="宋体" w:cs="宋体"/>
          <w:sz w:val="24"/>
          <w:szCs w:val="22"/>
          <w:lang w:eastAsia="zh-CN"/>
        </w:rPr>
        <w:t>谈判响应文件</w:t>
      </w:r>
      <w:r>
        <w:rPr>
          <w:rFonts w:hint="eastAsia" w:ascii="宋体" w:hAnsi="宋体" w:cs="宋体"/>
          <w:sz w:val="24"/>
          <w:szCs w:val="22"/>
        </w:rPr>
        <w:t xml:space="preserve">。软件操作手册详见全国公共资源交易平台（陕西省）网站〖首页·〉服务指南·〉下载专区〗中的《陕西省公共资源交易（政府采购类）响应文件制作软件操作手册》。 </w:t>
      </w:r>
    </w:p>
    <w:p w14:paraId="620F84F4">
      <w:pPr>
        <w:adjustRightInd w:val="0"/>
        <w:snapToGrid w:val="0"/>
        <w:spacing w:line="360" w:lineRule="auto"/>
        <w:rPr>
          <w:rFonts w:ascii="宋体" w:hAnsi="宋体" w:cs="宋体"/>
          <w:sz w:val="24"/>
          <w:szCs w:val="22"/>
        </w:rPr>
      </w:pPr>
      <w:r>
        <w:rPr>
          <w:rFonts w:hint="eastAsia" w:ascii="宋体" w:hAnsi="宋体" w:cs="宋体"/>
          <w:sz w:val="24"/>
          <w:szCs w:val="22"/>
        </w:rPr>
        <w:t>18.9 制作电子</w:t>
      </w:r>
      <w:r>
        <w:rPr>
          <w:rFonts w:hint="eastAsia" w:ascii="宋体" w:hAnsi="宋体" w:cs="宋体"/>
          <w:sz w:val="24"/>
        </w:rPr>
        <w:t>谈判响应文件</w:t>
      </w:r>
      <w:r>
        <w:rPr>
          <w:rFonts w:hint="eastAsia" w:ascii="宋体" w:hAnsi="宋体" w:cs="宋体"/>
          <w:sz w:val="24"/>
          <w:szCs w:val="22"/>
        </w:rPr>
        <w:t>。电子</w:t>
      </w:r>
      <w:r>
        <w:rPr>
          <w:rFonts w:hint="eastAsia" w:ascii="宋体" w:hAnsi="宋体" w:cs="宋体"/>
          <w:sz w:val="24"/>
        </w:rPr>
        <w:t>谈判响应文件</w:t>
      </w:r>
      <w:r>
        <w:rPr>
          <w:rFonts w:hint="eastAsia" w:ascii="宋体" w:hAnsi="宋体" w:cs="宋体"/>
          <w:sz w:val="24"/>
          <w:szCs w:val="22"/>
        </w:rPr>
        <w:t xml:space="preserve">同样需要使用上述软件进行编制。在编制过程中，如有技术性问题，请先翻阅操作手册，或致电软件开发商。 </w:t>
      </w:r>
    </w:p>
    <w:p w14:paraId="357BD034">
      <w:pPr>
        <w:adjustRightInd w:val="0"/>
        <w:snapToGrid w:val="0"/>
        <w:spacing w:line="360" w:lineRule="auto"/>
        <w:ind w:firstLine="480" w:firstLineChars="200"/>
        <w:rPr>
          <w:rFonts w:ascii="宋体" w:hAnsi="宋体" w:cs="宋体"/>
          <w:sz w:val="24"/>
          <w:szCs w:val="22"/>
        </w:rPr>
      </w:pPr>
      <w:r>
        <w:rPr>
          <w:rFonts w:hint="eastAsia" w:ascii="宋体" w:hAnsi="宋体" w:cs="宋体"/>
          <w:sz w:val="24"/>
          <w:szCs w:val="22"/>
        </w:rPr>
        <w:t xml:space="preserve">技术支持热线：4009280095、4009980000 </w:t>
      </w:r>
    </w:p>
    <w:p w14:paraId="382E1C64">
      <w:pPr>
        <w:pStyle w:val="9"/>
        <w:ind w:firstLine="480" w:firstLineChars="200"/>
        <w:rPr>
          <w:rFonts w:ascii="宋体" w:hAnsi="宋体" w:cs="宋体"/>
          <w:sz w:val="24"/>
          <w:szCs w:val="22"/>
        </w:rPr>
      </w:pPr>
      <w:r>
        <w:rPr>
          <w:rFonts w:hint="eastAsia" w:ascii="宋体" w:hAnsi="宋体" w:cs="宋体"/>
          <w:sz w:val="24"/>
          <w:szCs w:val="22"/>
        </w:rPr>
        <w:t>CA 锁购买：榆林市民大厦3楼E18、E19窗口,电话：0912-3452148</w:t>
      </w:r>
    </w:p>
    <w:p w14:paraId="7AD8E03C">
      <w:pPr>
        <w:pStyle w:val="3"/>
        <w:spacing w:before="120" w:after="120"/>
        <w:rPr>
          <w:rFonts w:ascii="宋体" w:hAnsi="宋体" w:eastAsia="宋体" w:cs="宋体"/>
          <w:sz w:val="36"/>
        </w:rPr>
      </w:pPr>
      <w:bookmarkStart w:id="160" w:name="_Toc246928916"/>
      <w:bookmarkStart w:id="161" w:name="_Toc12354"/>
      <w:bookmarkStart w:id="162" w:name="_Toc12671"/>
      <w:bookmarkStart w:id="163" w:name="_Toc28593"/>
      <w:bookmarkStart w:id="164" w:name="_Toc465958107"/>
      <w:bookmarkStart w:id="165" w:name="_Toc26918"/>
      <w:r>
        <w:rPr>
          <w:rFonts w:hint="eastAsia" w:ascii="宋体" w:hAnsi="宋体" w:eastAsia="宋体" w:cs="宋体"/>
          <w:sz w:val="36"/>
        </w:rPr>
        <w:t>D 竞争性谈判响应文件的递交</w:t>
      </w:r>
      <w:bookmarkEnd w:id="160"/>
      <w:bookmarkEnd w:id="161"/>
      <w:bookmarkEnd w:id="162"/>
      <w:bookmarkEnd w:id="163"/>
      <w:bookmarkEnd w:id="164"/>
      <w:bookmarkEnd w:id="165"/>
    </w:p>
    <w:p w14:paraId="2F862749">
      <w:pPr>
        <w:pStyle w:val="4"/>
        <w:spacing w:before="120" w:after="120" w:line="360" w:lineRule="auto"/>
        <w:rPr>
          <w:rFonts w:ascii="宋体" w:hAnsi="宋体" w:cs="宋体"/>
        </w:rPr>
      </w:pPr>
      <w:bookmarkStart w:id="166" w:name="_Toc465958108"/>
      <w:bookmarkStart w:id="167" w:name="_Toc14296"/>
      <w:bookmarkStart w:id="168" w:name="_Toc20693"/>
      <w:bookmarkStart w:id="169" w:name="_Toc246928917"/>
      <w:bookmarkStart w:id="170" w:name="_Toc17004"/>
      <w:bookmarkStart w:id="171" w:name="_Toc22531"/>
      <w:bookmarkStart w:id="172" w:name="_Toc5378"/>
      <w:r>
        <w:rPr>
          <w:rFonts w:hint="eastAsia" w:ascii="宋体" w:hAnsi="宋体" w:cs="宋体"/>
        </w:rPr>
        <w:t>19 竞争性谈判响应文件的密封和标记</w:t>
      </w:r>
      <w:bookmarkEnd w:id="166"/>
      <w:bookmarkEnd w:id="167"/>
      <w:bookmarkEnd w:id="168"/>
      <w:bookmarkEnd w:id="169"/>
      <w:bookmarkEnd w:id="170"/>
      <w:bookmarkEnd w:id="171"/>
      <w:bookmarkEnd w:id="172"/>
    </w:p>
    <w:p w14:paraId="7C6EC26D">
      <w:pPr>
        <w:spacing w:line="360" w:lineRule="auto"/>
        <w:rPr>
          <w:rFonts w:ascii="宋体" w:hAnsi="宋体" w:cs="仿宋_GB2312"/>
          <w:bCs/>
          <w:sz w:val="24"/>
          <w:szCs w:val="22"/>
        </w:rPr>
      </w:pPr>
      <w:bookmarkStart w:id="173" w:name="_Toc10052"/>
      <w:bookmarkStart w:id="174" w:name="_Toc27391"/>
      <w:bookmarkStart w:id="175" w:name="_Toc465958109"/>
      <w:bookmarkStart w:id="176" w:name="_Toc4222"/>
      <w:bookmarkStart w:id="177" w:name="_Toc2644"/>
      <w:bookmarkStart w:id="178" w:name="_Toc27827"/>
      <w:bookmarkStart w:id="179" w:name="_Toc246928918"/>
      <w:r>
        <w:rPr>
          <w:rFonts w:hint="eastAsia" w:ascii="宋体" w:hAnsi="宋体" w:cs="仿宋_GB2312"/>
          <w:bCs/>
          <w:sz w:val="24"/>
        </w:rPr>
        <w:t>19.1</w:t>
      </w:r>
      <w:r>
        <w:rPr>
          <w:rFonts w:hint="eastAsia" w:ascii="宋体" w:hAnsi="宋体" w:cs="仿宋_GB2312"/>
          <w:bCs/>
          <w:sz w:val="24"/>
          <w:lang w:eastAsia="zh-CN"/>
        </w:rPr>
        <w:t>开标后成交</w:t>
      </w:r>
      <w:r>
        <w:rPr>
          <w:rFonts w:hint="eastAsia" w:ascii="宋体" w:hAnsi="宋体" w:cs="仿宋_GB2312"/>
          <w:bCs/>
          <w:sz w:val="24"/>
        </w:rPr>
        <w:t>供应商应提交正本壹份、副本贰份、</w:t>
      </w:r>
      <w:r>
        <w:rPr>
          <w:rFonts w:hint="eastAsia" w:ascii="宋体" w:hAnsi="宋体"/>
          <w:sz w:val="24"/>
        </w:rPr>
        <w:t>电子文件（U盘或移动硬盘，谢绝光盘）</w:t>
      </w:r>
      <w:r>
        <w:rPr>
          <w:rFonts w:hint="eastAsia" w:ascii="宋体" w:hAnsi="宋体" w:cs="仿宋_GB2312"/>
          <w:bCs/>
          <w:sz w:val="24"/>
        </w:rPr>
        <w:t>壹</w:t>
      </w:r>
      <w:r>
        <w:rPr>
          <w:rFonts w:hint="eastAsia" w:ascii="宋体" w:hAnsi="宋体"/>
          <w:sz w:val="24"/>
        </w:rPr>
        <w:t>份</w:t>
      </w:r>
      <w:r>
        <w:rPr>
          <w:rFonts w:hint="eastAsia" w:ascii="宋体" w:hAnsi="宋体"/>
          <w:sz w:val="24"/>
          <w:lang w:eastAsia="zh-CN"/>
        </w:rPr>
        <w:t>邮寄至代理机构</w:t>
      </w:r>
      <w:r>
        <w:rPr>
          <w:rFonts w:hint="eastAsia" w:ascii="宋体" w:hAnsi="宋体" w:cs="仿宋_GB2312"/>
          <w:bCs/>
          <w:sz w:val="24"/>
        </w:rPr>
        <w:t>。</w:t>
      </w:r>
    </w:p>
    <w:p w14:paraId="759EA323">
      <w:pPr>
        <w:pStyle w:val="4"/>
        <w:spacing w:line="360" w:lineRule="auto"/>
        <w:rPr>
          <w:rFonts w:ascii="宋体" w:hAnsi="宋体" w:cs="宋体"/>
        </w:rPr>
      </w:pPr>
      <w:r>
        <w:rPr>
          <w:rFonts w:hint="eastAsia" w:ascii="宋体" w:hAnsi="宋体" w:cs="宋体"/>
        </w:rPr>
        <w:t>20 竞争性谈判响应文件的递交</w:t>
      </w:r>
      <w:bookmarkEnd w:id="173"/>
      <w:bookmarkEnd w:id="174"/>
      <w:bookmarkEnd w:id="175"/>
      <w:bookmarkEnd w:id="176"/>
      <w:bookmarkEnd w:id="177"/>
      <w:bookmarkEnd w:id="178"/>
      <w:bookmarkEnd w:id="179"/>
    </w:p>
    <w:p w14:paraId="146934A8">
      <w:pPr>
        <w:pStyle w:val="14"/>
        <w:spacing w:line="360" w:lineRule="auto"/>
        <w:rPr>
          <w:rFonts w:ascii="宋体" w:hAnsi="宋体" w:cs="宋体"/>
          <w:sz w:val="24"/>
        </w:rPr>
      </w:pPr>
      <w:r>
        <w:rPr>
          <w:rFonts w:hint="eastAsia" w:ascii="宋体" w:hAnsi="宋体" w:cs="宋体"/>
          <w:sz w:val="24"/>
        </w:rPr>
        <w:t>20.</w:t>
      </w:r>
      <w:r>
        <w:rPr>
          <w:rFonts w:hint="eastAsia" w:ascii="宋体" w:hAnsi="宋体" w:cs="宋体"/>
          <w:sz w:val="24"/>
          <w:lang w:val="en-US" w:eastAsia="zh-CN"/>
        </w:rPr>
        <w:t>1</w:t>
      </w:r>
      <w:r>
        <w:rPr>
          <w:rFonts w:hint="eastAsia" w:ascii="宋体" w:hAnsi="宋体" w:cs="宋体"/>
          <w:sz w:val="24"/>
        </w:rPr>
        <w:t xml:space="preserve"> 无论供应商成交与否，其竞争性谈判响应文件恕不退还。</w:t>
      </w:r>
    </w:p>
    <w:p w14:paraId="799E93F0">
      <w:pPr>
        <w:pStyle w:val="14"/>
        <w:spacing w:line="360" w:lineRule="auto"/>
        <w:rPr>
          <w:rFonts w:ascii="宋体" w:hAnsi="宋体" w:cs="宋体"/>
          <w:sz w:val="24"/>
        </w:rPr>
      </w:pPr>
      <w:r>
        <w:rPr>
          <w:rFonts w:hint="eastAsia" w:ascii="宋体" w:hAnsi="宋体" w:cs="宋体"/>
          <w:sz w:val="24"/>
        </w:rPr>
        <w:t>20.</w:t>
      </w:r>
      <w:r>
        <w:rPr>
          <w:rFonts w:hint="eastAsia" w:ascii="宋体" w:hAnsi="宋体" w:cs="宋体"/>
          <w:sz w:val="24"/>
          <w:lang w:val="en-US" w:eastAsia="zh-CN"/>
        </w:rPr>
        <w:t>2</w:t>
      </w:r>
      <w:r>
        <w:rPr>
          <w:rFonts w:hint="eastAsia" w:ascii="宋体" w:hAnsi="宋体" w:cs="宋体"/>
          <w:sz w:val="24"/>
        </w:rPr>
        <w:t>电子响应文件可于提交响应文件截止时间前任意时段登录全国公共资源交易平台（陕西省）网站“电子交易平台&gt;企业端”进行提交，逾期系统将拒绝接收。提交时，供应商应登录全国公共资源交易中心平台（陕西省），选择“首页&gt;电子交易平台&gt;企业端&gt;我的项目”，点击“项目流程”，在打开的“项目管理”对话框中选择“上传响应文件”，上传加密的电子响应文件。上传成功后，电子化平台将予以记录。</w:t>
      </w:r>
    </w:p>
    <w:p w14:paraId="3BBF58A5">
      <w:pPr>
        <w:spacing w:line="360" w:lineRule="auto"/>
        <w:rPr>
          <w:rFonts w:ascii="宋体" w:hAnsi="宋体" w:cs="宋体"/>
          <w:sz w:val="24"/>
        </w:rPr>
      </w:pPr>
      <w:r>
        <w:rPr>
          <w:rFonts w:hint="eastAsia" w:ascii="宋体" w:hAnsi="宋体" w:cs="宋体"/>
          <w:sz w:val="24"/>
        </w:rPr>
        <w:t>20.</w:t>
      </w:r>
      <w:r>
        <w:rPr>
          <w:rFonts w:hint="eastAsia" w:ascii="宋体" w:hAnsi="宋体" w:cs="宋体"/>
          <w:sz w:val="24"/>
          <w:lang w:val="en-US" w:eastAsia="zh-CN"/>
        </w:rPr>
        <w:t>3</w:t>
      </w:r>
      <w:r>
        <w:rPr>
          <w:rFonts w:hint="eastAsia" w:ascii="宋体" w:hAnsi="宋体" w:cs="宋体"/>
          <w:sz w:val="24"/>
        </w:rPr>
        <w:t xml:space="preserve"> 采购人或采购代理机构有权按本须知的规定，通过修改竞争性谈判文件延长谈判截止时间。在此情况下，采购人和供应商受谈判截止时间制约的所有权利和义务均应当延长至新的截止期。</w:t>
      </w:r>
    </w:p>
    <w:p w14:paraId="3ACB3E19">
      <w:pPr>
        <w:spacing w:line="360" w:lineRule="auto"/>
        <w:rPr>
          <w:rFonts w:ascii="宋体" w:hAnsi="宋体" w:cs="宋体"/>
          <w:sz w:val="24"/>
        </w:rPr>
      </w:pPr>
      <w:r>
        <w:rPr>
          <w:rFonts w:hint="eastAsia" w:ascii="宋体" w:hAnsi="宋体" w:cs="宋体"/>
          <w:sz w:val="24"/>
        </w:rPr>
        <w:t>20.</w:t>
      </w:r>
      <w:r>
        <w:rPr>
          <w:rFonts w:hint="eastAsia" w:ascii="宋体" w:hAnsi="宋体" w:cs="宋体"/>
          <w:sz w:val="24"/>
          <w:lang w:val="en-US" w:eastAsia="zh-CN"/>
        </w:rPr>
        <w:t>4</w:t>
      </w:r>
      <w:r>
        <w:rPr>
          <w:rFonts w:hint="eastAsia" w:ascii="宋体" w:hAnsi="宋体" w:cs="宋体"/>
          <w:sz w:val="24"/>
        </w:rPr>
        <w:t xml:space="preserve"> 采购人及采购代理机构将拒绝接收竞争性谈判文件规定的谈判截止时间之后递交的任何竞争性谈判响应文件。</w:t>
      </w:r>
    </w:p>
    <w:p w14:paraId="05C39D2B">
      <w:pPr>
        <w:pStyle w:val="4"/>
        <w:spacing w:line="360" w:lineRule="auto"/>
        <w:rPr>
          <w:rFonts w:ascii="宋体" w:hAnsi="宋体" w:cs="宋体"/>
        </w:rPr>
      </w:pPr>
      <w:bookmarkStart w:id="180" w:name="_Toc13225"/>
      <w:bookmarkStart w:id="181" w:name="_Toc7672"/>
      <w:bookmarkStart w:id="182" w:name="_Toc4701"/>
      <w:bookmarkStart w:id="183" w:name="_Toc465958110"/>
      <w:bookmarkStart w:id="184" w:name="_Toc29885"/>
      <w:bookmarkStart w:id="185" w:name="_Toc10103"/>
      <w:r>
        <w:rPr>
          <w:rFonts w:hint="eastAsia" w:ascii="宋体" w:hAnsi="宋体" w:cs="宋体"/>
        </w:rPr>
        <w:t>21 竞争性谈判响应文件的修改与撤回</w:t>
      </w:r>
      <w:bookmarkEnd w:id="180"/>
      <w:bookmarkEnd w:id="181"/>
      <w:bookmarkEnd w:id="182"/>
      <w:bookmarkEnd w:id="183"/>
      <w:bookmarkEnd w:id="184"/>
      <w:bookmarkEnd w:id="185"/>
    </w:p>
    <w:p w14:paraId="60D5A271">
      <w:pPr>
        <w:spacing w:line="360" w:lineRule="auto"/>
        <w:rPr>
          <w:rFonts w:ascii="宋体" w:hAnsi="宋体" w:cs="宋体"/>
          <w:sz w:val="24"/>
        </w:rPr>
      </w:pPr>
      <w:r>
        <w:rPr>
          <w:rFonts w:hint="eastAsia" w:ascii="宋体" w:hAnsi="宋体" w:cs="宋体"/>
          <w:sz w:val="24"/>
        </w:rPr>
        <w:t>21.1 供应商在谈判截止时间前，可以对所递交的竞争性谈判响应文件进行补充、修改或者撤回，并书面通知采购代理机构。补充、修改的内容应当按竞争性谈判文件要求签署、盖章，并作为竞争性谈判响应文件的组成部分。</w:t>
      </w:r>
    </w:p>
    <w:p w14:paraId="3E01ECA1">
      <w:pPr>
        <w:spacing w:line="360" w:lineRule="auto"/>
        <w:rPr>
          <w:rFonts w:ascii="宋体" w:hAnsi="宋体" w:cs="宋体"/>
          <w:sz w:val="24"/>
        </w:rPr>
      </w:pPr>
      <w:r>
        <w:rPr>
          <w:rFonts w:hint="eastAsia" w:ascii="宋体" w:hAnsi="宋体" w:cs="宋体"/>
          <w:sz w:val="24"/>
        </w:rPr>
        <w:t>21.2 谈判截止时间后，供应商不得对其竞争性谈判响应文件做任何修改。</w:t>
      </w:r>
    </w:p>
    <w:p w14:paraId="59CB18E0">
      <w:pPr>
        <w:spacing w:line="360" w:lineRule="auto"/>
        <w:rPr>
          <w:rFonts w:ascii="宋体" w:hAnsi="宋体" w:cs="宋体"/>
          <w:sz w:val="24"/>
        </w:rPr>
      </w:pPr>
      <w:r>
        <w:rPr>
          <w:rFonts w:hint="eastAsia" w:ascii="宋体" w:hAnsi="宋体" w:cs="宋体"/>
          <w:sz w:val="24"/>
        </w:rPr>
        <w:t>21.3 从谈判截止期至供应商在谈判函格式中确定的谈判有效期之间，供应商不得撤销其谈判。</w:t>
      </w:r>
    </w:p>
    <w:p w14:paraId="61735405">
      <w:pPr>
        <w:pStyle w:val="3"/>
        <w:rPr>
          <w:rFonts w:ascii="宋体" w:hAnsi="宋体" w:eastAsia="宋体" w:cs="宋体"/>
          <w:sz w:val="36"/>
        </w:rPr>
      </w:pPr>
      <w:bookmarkStart w:id="186" w:name="_Toc22666"/>
      <w:bookmarkStart w:id="187" w:name="_Toc246928919"/>
      <w:bookmarkStart w:id="188" w:name="_Toc465958111"/>
      <w:bookmarkStart w:id="189" w:name="_Toc3199"/>
      <w:bookmarkStart w:id="190" w:name="_Toc21818"/>
      <w:bookmarkStart w:id="191" w:name="_Toc24049"/>
      <w:r>
        <w:rPr>
          <w:rFonts w:hint="eastAsia" w:ascii="宋体" w:hAnsi="宋体" w:eastAsia="宋体" w:cs="宋体"/>
          <w:sz w:val="36"/>
        </w:rPr>
        <w:t>E 开标与评审</w:t>
      </w:r>
      <w:bookmarkEnd w:id="186"/>
      <w:bookmarkEnd w:id="187"/>
      <w:bookmarkEnd w:id="188"/>
      <w:bookmarkEnd w:id="189"/>
      <w:bookmarkEnd w:id="190"/>
      <w:bookmarkEnd w:id="191"/>
    </w:p>
    <w:p w14:paraId="6806E1DD">
      <w:pPr>
        <w:pStyle w:val="4"/>
        <w:spacing w:line="360" w:lineRule="auto"/>
        <w:rPr>
          <w:rFonts w:ascii="宋体" w:hAnsi="宋体" w:cs="宋体"/>
        </w:rPr>
      </w:pPr>
      <w:bookmarkStart w:id="192" w:name="_Toc11145"/>
      <w:bookmarkStart w:id="193" w:name="_Toc6346"/>
      <w:bookmarkStart w:id="194" w:name="_Toc25438"/>
      <w:bookmarkStart w:id="195" w:name="_Toc28426"/>
      <w:bookmarkStart w:id="196" w:name="_Toc465958112"/>
      <w:bookmarkStart w:id="197" w:name="_Toc246928920"/>
      <w:bookmarkStart w:id="198" w:name="_Toc15292"/>
      <w:r>
        <w:rPr>
          <w:rFonts w:hint="eastAsia" w:ascii="宋体" w:hAnsi="宋体" w:cs="宋体"/>
        </w:rPr>
        <w:t xml:space="preserve">22 </w:t>
      </w:r>
      <w:bookmarkEnd w:id="192"/>
      <w:bookmarkEnd w:id="193"/>
      <w:bookmarkEnd w:id="194"/>
      <w:bookmarkEnd w:id="195"/>
      <w:bookmarkEnd w:id="196"/>
      <w:bookmarkEnd w:id="197"/>
      <w:bookmarkEnd w:id="198"/>
      <w:r>
        <w:rPr>
          <w:rFonts w:hint="eastAsia" w:ascii="宋体" w:hAnsi="宋体" w:cs="宋体"/>
        </w:rPr>
        <w:t>开标</w:t>
      </w:r>
    </w:p>
    <w:p w14:paraId="79B84040">
      <w:pPr>
        <w:spacing w:line="360" w:lineRule="auto"/>
        <w:rPr>
          <w:rFonts w:hint="eastAsia" w:ascii="宋体" w:hAnsi="宋体" w:eastAsia="宋体" w:cs="宋体"/>
          <w:sz w:val="24"/>
          <w:lang w:eastAsia="zh-CN"/>
        </w:rPr>
      </w:pPr>
      <w:r>
        <w:rPr>
          <w:rFonts w:hint="eastAsia" w:ascii="宋体" w:hAnsi="宋体" w:cs="宋体"/>
          <w:sz w:val="24"/>
        </w:rPr>
        <w:t>22.1 采购代理机构在规定的时间和地点组织谈判。谈判时所有供应商代表自愿参加，不参加的视为认同开标结果，参加谈判的代表应签名报到以证明其出席。</w:t>
      </w:r>
    </w:p>
    <w:p w14:paraId="6953F018">
      <w:pPr>
        <w:spacing w:line="360" w:lineRule="auto"/>
        <w:rPr>
          <w:rFonts w:ascii="宋体" w:hAnsi="宋体" w:cs="宋体"/>
          <w:sz w:val="24"/>
        </w:rPr>
      </w:pPr>
      <w:r>
        <w:rPr>
          <w:rFonts w:hint="eastAsia" w:ascii="宋体" w:hAnsi="宋体" w:cs="宋体"/>
          <w:sz w:val="24"/>
        </w:rPr>
        <w:t>22.</w:t>
      </w:r>
      <w:r>
        <w:rPr>
          <w:rFonts w:hint="eastAsia" w:ascii="宋体" w:hAnsi="宋体" w:cs="宋体"/>
          <w:sz w:val="24"/>
          <w:lang w:val="en-US" w:eastAsia="zh-CN"/>
        </w:rPr>
        <w:t>2</w:t>
      </w:r>
      <w:r>
        <w:rPr>
          <w:rFonts w:hint="eastAsia" w:ascii="宋体" w:hAnsi="宋体" w:cs="宋体"/>
          <w:sz w:val="24"/>
        </w:rPr>
        <w:t xml:space="preserve"> 谈判有效供应商不足三家的，按照国家相关法律、法规及有关规定执行。</w:t>
      </w:r>
    </w:p>
    <w:p w14:paraId="34B31214">
      <w:pPr>
        <w:spacing w:line="360" w:lineRule="auto"/>
        <w:rPr>
          <w:rFonts w:ascii="宋体" w:hAnsi="宋体" w:cs="宋体"/>
          <w:sz w:val="24"/>
        </w:rPr>
      </w:pPr>
      <w:r>
        <w:rPr>
          <w:rFonts w:hint="eastAsia" w:ascii="宋体" w:hAnsi="宋体" w:cs="宋体"/>
          <w:sz w:val="24"/>
        </w:rPr>
        <w:t>22.</w:t>
      </w:r>
      <w:r>
        <w:rPr>
          <w:rFonts w:hint="eastAsia" w:ascii="宋体" w:hAnsi="宋体" w:cs="宋体"/>
          <w:sz w:val="24"/>
          <w:lang w:val="en-US" w:eastAsia="zh-CN"/>
        </w:rPr>
        <w:t>3</w:t>
      </w:r>
      <w:r>
        <w:rPr>
          <w:rFonts w:hint="eastAsia" w:ascii="宋体" w:hAnsi="宋体" w:cs="宋体"/>
          <w:sz w:val="24"/>
        </w:rPr>
        <w:t xml:space="preserve"> 采购代理机构将做开标记录，存档备查。</w:t>
      </w:r>
    </w:p>
    <w:p w14:paraId="10FE2711">
      <w:pPr>
        <w:pStyle w:val="14"/>
        <w:spacing w:line="360" w:lineRule="auto"/>
        <w:rPr>
          <w:rFonts w:ascii="宋体" w:hAnsi="宋体" w:cs="宋体"/>
          <w:sz w:val="24"/>
        </w:rPr>
      </w:pPr>
      <w:r>
        <w:rPr>
          <w:rFonts w:hint="eastAsia" w:ascii="宋体" w:hAnsi="宋体" w:cs="宋体"/>
          <w:sz w:val="24"/>
        </w:rPr>
        <w:t>22.</w:t>
      </w:r>
      <w:r>
        <w:rPr>
          <w:rFonts w:hint="eastAsia" w:ascii="宋体" w:hAnsi="宋体" w:cs="宋体"/>
          <w:sz w:val="24"/>
          <w:lang w:val="en-US" w:eastAsia="zh-CN"/>
        </w:rPr>
        <w:t>4</w:t>
      </w:r>
      <w:r>
        <w:rPr>
          <w:rFonts w:hint="eastAsia" w:ascii="宋体" w:hAnsi="宋体" w:cs="宋体"/>
          <w:sz w:val="24"/>
        </w:rPr>
        <w:t>在开标、评审过程中，如因停电、断网、电子化系统故障等特殊原因导致电子化开、评标无法正常进行时，视具体情况确定是否从线上转线下或者停止开评标活动。 </w:t>
      </w:r>
    </w:p>
    <w:p w14:paraId="425EC986">
      <w:pPr>
        <w:pStyle w:val="4"/>
        <w:spacing w:beforeLines="50" w:afterLines="50" w:line="360" w:lineRule="auto"/>
        <w:rPr>
          <w:rFonts w:ascii="宋体" w:hAnsi="宋体" w:cs="宋体"/>
          <w:sz w:val="30"/>
          <w:szCs w:val="30"/>
        </w:rPr>
      </w:pPr>
      <w:bookmarkStart w:id="199" w:name="_Toc23381"/>
      <w:bookmarkStart w:id="200" w:name="_Toc465958115"/>
      <w:bookmarkStart w:id="201" w:name="_Toc32736"/>
      <w:bookmarkStart w:id="202" w:name="_Toc29724"/>
      <w:bookmarkStart w:id="203" w:name="_Toc9869"/>
      <w:bookmarkStart w:id="204" w:name="_Toc30377"/>
      <w:bookmarkStart w:id="205" w:name="_Toc246928923"/>
      <w:r>
        <w:rPr>
          <w:rFonts w:hint="eastAsia" w:ascii="宋体" w:hAnsi="宋体" w:cs="宋体"/>
          <w:sz w:val="30"/>
          <w:szCs w:val="30"/>
        </w:rPr>
        <w:t>2</w:t>
      </w:r>
      <w:r>
        <w:rPr>
          <w:rFonts w:hint="eastAsia" w:ascii="宋体" w:hAnsi="宋体" w:cs="宋体"/>
          <w:sz w:val="30"/>
          <w:szCs w:val="30"/>
          <w:lang w:val="en-US" w:eastAsia="zh-CN"/>
        </w:rPr>
        <w:t>3</w:t>
      </w:r>
      <w:r>
        <w:rPr>
          <w:rFonts w:hint="eastAsia" w:ascii="宋体" w:hAnsi="宋体" w:cs="宋体"/>
          <w:sz w:val="30"/>
          <w:szCs w:val="30"/>
        </w:rPr>
        <w:t xml:space="preserve"> 谈判小组</w:t>
      </w:r>
    </w:p>
    <w:p w14:paraId="53F93139">
      <w:pPr>
        <w:spacing w:line="360" w:lineRule="auto"/>
        <w:rPr>
          <w:rFonts w:ascii="宋体" w:hAnsi="宋体" w:cs="宋体"/>
          <w:sz w:val="24"/>
        </w:rPr>
      </w:pPr>
      <w:r>
        <w:rPr>
          <w:rFonts w:hint="eastAsia" w:ascii="宋体" w:hAnsi="宋体" w:cs="宋体"/>
          <w:sz w:val="24"/>
        </w:rPr>
        <w:t>2</w:t>
      </w:r>
      <w:r>
        <w:rPr>
          <w:rFonts w:hint="eastAsia" w:ascii="宋体" w:hAnsi="宋体" w:cs="宋体"/>
          <w:sz w:val="24"/>
          <w:lang w:val="en-US" w:eastAsia="zh-CN"/>
        </w:rPr>
        <w:t>3</w:t>
      </w:r>
      <w:r>
        <w:rPr>
          <w:rFonts w:hint="eastAsia" w:ascii="宋体" w:hAnsi="宋体" w:cs="宋体"/>
          <w:sz w:val="24"/>
        </w:rPr>
        <w:t>.1 采购代理机构根据《中华人民共和国政府采购法》、《中华人民共和国政府采购法实施条例》和“</w:t>
      </w:r>
      <w:r>
        <w:rPr>
          <w:rFonts w:hint="eastAsia" w:ascii="宋体" w:hAnsi="宋体" w:cs="宋体"/>
          <w:bCs/>
          <w:sz w:val="24"/>
        </w:rPr>
        <w:t>财政部第87号部长令</w:t>
      </w:r>
      <w:r>
        <w:rPr>
          <w:rFonts w:hint="eastAsia" w:ascii="宋体" w:hAnsi="宋体" w:cs="宋体"/>
          <w:sz w:val="24"/>
        </w:rPr>
        <w:t>”的规定，依法组建谈判小组，谈判小组专家成员在陕西省政府采购网专家抽取管理系统中随机抽取。</w:t>
      </w:r>
    </w:p>
    <w:p w14:paraId="3398E6A1">
      <w:pPr>
        <w:spacing w:line="360" w:lineRule="auto"/>
        <w:rPr>
          <w:rFonts w:ascii="宋体" w:hAnsi="宋体" w:cs="宋体"/>
          <w:sz w:val="24"/>
        </w:rPr>
      </w:pPr>
      <w:r>
        <w:rPr>
          <w:rFonts w:hint="eastAsia" w:ascii="宋体" w:hAnsi="宋体" w:cs="宋体"/>
          <w:sz w:val="24"/>
        </w:rPr>
        <w:t>2</w:t>
      </w:r>
      <w:r>
        <w:rPr>
          <w:rFonts w:hint="eastAsia" w:ascii="宋体" w:hAnsi="宋体" w:cs="宋体"/>
          <w:sz w:val="24"/>
          <w:lang w:val="en-US" w:eastAsia="zh-CN"/>
        </w:rPr>
        <w:t>3</w:t>
      </w:r>
      <w:r>
        <w:rPr>
          <w:rFonts w:hint="eastAsia" w:ascii="宋体" w:hAnsi="宋体" w:cs="宋体"/>
          <w:sz w:val="24"/>
        </w:rPr>
        <w:t>.2 谈判小组成员由采购人代表和评审专家3人以上单数组成，评审专家人数应占总人数的2/3以上。</w:t>
      </w:r>
    </w:p>
    <w:p w14:paraId="79876E7C">
      <w:pPr>
        <w:spacing w:line="360" w:lineRule="auto"/>
        <w:rPr>
          <w:rFonts w:ascii="宋体" w:hAnsi="宋体" w:cs="宋体"/>
          <w:sz w:val="24"/>
        </w:rPr>
      </w:pPr>
      <w:r>
        <w:rPr>
          <w:rFonts w:hint="eastAsia" w:ascii="宋体" w:hAnsi="宋体" w:cs="宋体"/>
          <w:sz w:val="24"/>
        </w:rPr>
        <w:t>2</w:t>
      </w:r>
      <w:r>
        <w:rPr>
          <w:rFonts w:hint="eastAsia" w:ascii="宋体" w:hAnsi="宋体" w:cs="宋体"/>
          <w:sz w:val="24"/>
          <w:lang w:val="en-US" w:eastAsia="zh-CN"/>
        </w:rPr>
        <w:t>3</w:t>
      </w:r>
      <w:r>
        <w:rPr>
          <w:rFonts w:hint="eastAsia" w:ascii="宋体" w:hAnsi="宋体" w:cs="宋体"/>
          <w:sz w:val="24"/>
        </w:rPr>
        <w:t>.3 谈判小组成员对各供应商竞争性谈判响应文件进行审查、质疑、评估和比较，并推荐出成交候选供应商。</w:t>
      </w:r>
    </w:p>
    <w:p w14:paraId="79C101F0">
      <w:pPr>
        <w:pStyle w:val="4"/>
        <w:spacing w:line="360" w:lineRule="auto"/>
        <w:rPr>
          <w:rFonts w:ascii="宋体" w:hAnsi="宋体" w:cs="宋体"/>
        </w:rPr>
      </w:pPr>
      <w:r>
        <w:rPr>
          <w:rFonts w:hint="eastAsia" w:ascii="宋体" w:hAnsi="宋体" w:cs="宋体"/>
        </w:rPr>
        <w:t>2</w:t>
      </w:r>
      <w:r>
        <w:rPr>
          <w:rFonts w:hint="eastAsia" w:ascii="宋体" w:hAnsi="宋体" w:cs="宋体"/>
          <w:lang w:val="en-US" w:eastAsia="zh-CN"/>
        </w:rPr>
        <w:t>4</w:t>
      </w:r>
      <w:r>
        <w:rPr>
          <w:rFonts w:hint="eastAsia" w:ascii="宋体" w:hAnsi="宋体" w:cs="宋体"/>
        </w:rPr>
        <w:t xml:space="preserve"> 评标</w:t>
      </w:r>
    </w:p>
    <w:p w14:paraId="1C2A8E6E">
      <w:pPr>
        <w:spacing w:line="360" w:lineRule="auto"/>
        <w:rPr>
          <w:rFonts w:ascii="宋体" w:hAnsi="宋体" w:cs="宋体"/>
          <w:bCs/>
          <w:sz w:val="24"/>
        </w:rPr>
      </w:pPr>
      <w:r>
        <w:rPr>
          <w:rFonts w:hint="eastAsia" w:ascii="宋体" w:hAnsi="宋体" w:cs="宋体"/>
          <w:bCs/>
          <w:sz w:val="24"/>
        </w:rPr>
        <w:t>2</w:t>
      </w:r>
      <w:r>
        <w:rPr>
          <w:rFonts w:hint="eastAsia" w:ascii="宋体" w:hAnsi="宋体" w:cs="宋体"/>
          <w:bCs/>
          <w:sz w:val="24"/>
          <w:lang w:val="en-US" w:eastAsia="zh-CN"/>
        </w:rPr>
        <w:t>4</w:t>
      </w:r>
      <w:r>
        <w:rPr>
          <w:rFonts w:hint="eastAsia" w:ascii="宋体" w:hAnsi="宋体" w:cs="宋体"/>
          <w:bCs/>
          <w:sz w:val="24"/>
        </w:rPr>
        <w:t>.1谈判小组对供应商进行</w:t>
      </w:r>
      <w:r>
        <w:rPr>
          <w:rFonts w:hint="eastAsia" w:ascii="宋体" w:hAnsi="宋体" w:cs="宋体"/>
          <w:bCs/>
          <w:sz w:val="24"/>
          <w:lang w:val="en-US" w:eastAsia="zh-CN"/>
        </w:rPr>
        <w:t>资格性、</w:t>
      </w:r>
      <w:r>
        <w:rPr>
          <w:rFonts w:hint="eastAsia" w:ascii="宋体" w:hAnsi="宋体" w:cs="宋体"/>
          <w:bCs/>
          <w:sz w:val="24"/>
        </w:rPr>
        <w:t>符合性审查，审查不合格者不进入下一步评审。</w:t>
      </w:r>
    </w:p>
    <w:p w14:paraId="5A24908B">
      <w:pPr>
        <w:spacing w:line="360" w:lineRule="auto"/>
        <w:rPr>
          <w:rFonts w:ascii="宋体" w:hAnsi="宋体" w:cs="宋体"/>
          <w:bCs/>
          <w:sz w:val="24"/>
        </w:rPr>
      </w:pPr>
      <w:r>
        <w:rPr>
          <w:rFonts w:hint="eastAsia" w:ascii="宋体" w:hAnsi="宋体" w:cs="宋体"/>
          <w:bCs/>
          <w:sz w:val="24"/>
        </w:rPr>
        <w:t>2</w:t>
      </w:r>
      <w:r>
        <w:rPr>
          <w:rFonts w:hint="eastAsia" w:ascii="宋体" w:hAnsi="宋体" w:cs="宋体"/>
          <w:bCs/>
          <w:sz w:val="24"/>
          <w:lang w:val="en-US" w:eastAsia="zh-CN"/>
        </w:rPr>
        <w:t>4</w:t>
      </w:r>
      <w:r>
        <w:rPr>
          <w:rFonts w:hint="eastAsia" w:ascii="宋体" w:hAnsi="宋体" w:cs="宋体"/>
          <w:bCs/>
          <w:sz w:val="24"/>
        </w:rPr>
        <w:t>.2 对竞争性谈判响应文件含义不明确、同类问题表述不一致或者有明显文字和计算错误的内容，谈判小组可以要求供应商在规定的时间内做出必要的澄清、说明或者纠正。供应商的澄清、说明或者补正应当采用书面形式，有其授权的代表签字，并不得超出竞争性谈判响应文件的范围或者改变竞争性谈判响应文件的实质性内容。</w:t>
      </w:r>
    </w:p>
    <w:p w14:paraId="78D9961B">
      <w:pPr>
        <w:spacing w:line="360" w:lineRule="auto"/>
        <w:rPr>
          <w:rFonts w:ascii="宋体" w:hAnsi="宋体" w:cs="宋体"/>
          <w:bCs/>
          <w:sz w:val="24"/>
        </w:rPr>
      </w:pPr>
      <w:r>
        <w:rPr>
          <w:rFonts w:hint="eastAsia" w:ascii="宋体" w:hAnsi="宋体" w:cs="宋体"/>
          <w:bCs/>
          <w:sz w:val="24"/>
        </w:rPr>
        <w:t>2</w:t>
      </w:r>
      <w:r>
        <w:rPr>
          <w:rFonts w:hint="eastAsia" w:ascii="宋体" w:hAnsi="宋体" w:cs="宋体"/>
          <w:bCs/>
          <w:sz w:val="24"/>
          <w:lang w:val="en-US" w:eastAsia="zh-CN"/>
        </w:rPr>
        <w:t>4</w:t>
      </w:r>
      <w:r>
        <w:rPr>
          <w:rFonts w:hint="eastAsia" w:ascii="宋体" w:hAnsi="宋体" w:cs="宋体"/>
          <w:bCs/>
          <w:sz w:val="24"/>
        </w:rPr>
        <w:t>.3 澄清文件将作为竞争性谈判响应文件的一部分。</w:t>
      </w:r>
    </w:p>
    <w:p w14:paraId="24ACA8F8">
      <w:pPr>
        <w:spacing w:line="360" w:lineRule="auto"/>
        <w:rPr>
          <w:rFonts w:ascii="宋体" w:hAnsi="宋体" w:cs="宋体"/>
          <w:bCs/>
          <w:sz w:val="24"/>
        </w:rPr>
      </w:pPr>
      <w:r>
        <w:rPr>
          <w:rFonts w:hint="eastAsia" w:ascii="宋体" w:hAnsi="宋体" w:cs="宋体"/>
          <w:bCs/>
          <w:sz w:val="24"/>
        </w:rPr>
        <w:t>2</w:t>
      </w:r>
      <w:r>
        <w:rPr>
          <w:rFonts w:hint="eastAsia" w:ascii="宋体" w:hAnsi="宋体" w:cs="宋体"/>
          <w:bCs/>
          <w:sz w:val="24"/>
          <w:lang w:val="en-US" w:eastAsia="zh-CN"/>
        </w:rPr>
        <w:t>4</w:t>
      </w:r>
      <w:r>
        <w:rPr>
          <w:rFonts w:hint="eastAsia" w:ascii="宋体" w:hAnsi="宋体" w:cs="宋体"/>
          <w:bCs/>
          <w:sz w:val="24"/>
        </w:rPr>
        <w:t>.4 算术错误将按以下方法更正：</w:t>
      </w:r>
    </w:p>
    <w:p w14:paraId="2E80022C">
      <w:pPr>
        <w:spacing w:line="360" w:lineRule="auto"/>
        <w:rPr>
          <w:rFonts w:ascii="宋体" w:hAnsi="宋体" w:cs="宋体"/>
          <w:bCs/>
          <w:sz w:val="24"/>
        </w:rPr>
      </w:pPr>
      <w:r>
        <w:rPr>
          <w:rFonts w:hint="eastAsia" w:ascii="宋体" w:hAnsi="宋体" w:cs="宋体"/>
          <w:bCs/>
          <w:sz w:val="24"/>
        </w:rPr>
        <w:t>2</w:t>
      </w:r>
      <w:r>
        <w:rPr>
          <w:rFonts w:hint="eastAsia" w:ascii="宋体" w:hAnsi="宋体" w:cs="宋体"/>
          <w:bCs/>
          <w:sz w:val="24"/>
          <w:lang w:val="en-US" w:eastAsia="zh-CN"/>
        </w:rPr>
        <w:t>4</w:t>
      </w:r>
      <w:r>
        <w:rPr>
          <w:rFonts w:hint="eastAsia" w:ascii="宋体" w:hAnsi="宋体" w:cs="宋体"/>
          <w:bCs/>
          <w:sz w:val="24"/>
        </w:rPr>
        <w:t>.4.1 竞争性谈判响应文件的大写金额和小写金额不一致的，以大写金额为准；</w:t>
      </w:r>
    </w:p>
    <w:p w14:paraId="4AFB38F6">
      <w:pPr>
        <w:spacing w:line="360" w:lineRule="auto"/>
        <w:rPr>
          <w:rFonts w:ascii="宋体" w:hAnsi="宋体" w:cs="宋体"/>
          <w:bCs/>
          <w:sz w:val="24"/>
        </w:rPr>
      </w:pPr>
      <w:r>
        <w:rPr>
          <w:rFonts w:hint="eastAsia" w:ascii="宋体" w:hAnsi="宋体" w:cs="宋体"/>
          <w:bCs/>
          <w:sz w:val="24"/>
        </w:rPr>
        <w:t>2</w:t>
      </w:r>
      <w:r>
        <w:rPr>
          <w:rFonts w:hint="eastAsia" w:ascii="宋体" w:hAnsi="宋体" w:cs="宋体"/>
          <w:bCs/>
          <w:sz w:val="24"/>
          <w:lang w:val="en-US" w:eastAsia="zh-CN"/>
        </w:rPr>
        <w:t>4</w:t>
      </w:r>
      <w:r>
        <w:rPr>
          <w:rFonts w:hint="eastAsia" w:ascii="宋体" w:hAnsi="宋体" w:cs="宋体"/>
          <w:bCs/>
          <w:sz w:val="24"/>
        </w:rPr>
        <w:t>.4.2 总价金额与按单价汇总金额不一致的，以单价金额计算结果为准；</w:t>
      </w:r>
    </w:p>
    <w:p w14:paraId="06B25167">
      <w:pPr>
        <w:spacing w:line="360" w:lineRule="auto"/>
        <w:rPr>
          <w:rFonts w:ascii="宋体" w:hAnsi="宋体" w:cs="宋体"/>
          <w:bCs/>
          <w:sz w:val="24"/>
        </w:rPr>
      </w:pPr>
      <w:r>
        <w:rPr>
          <w:rFonts w:hint="eastAsia" w:ascii="宋体" w:hAnsi="宋体" w:cs="宋体"/>
          <w:bCs/>
          <w:sz w:val="24"/>
        </w:rPr>
        <w:t>2</w:t>
      </w:r>
      <w:r>
        <w:rPr>
          <w:rFonts w:hint="eastAsia" w:ascii="宋体" w:hAnsi="宋体" w:cs="宋体"/>
          <w:bCs/>
          <w:sz w:val="24"/>
          <w:lang w:val="en-US" w:eastAsia="zh-CN"/>
        </w:rPr>
        <w:t>4</w:t>
      </w:r>
      <w:r>
        <w:rPr>
          <w:rFonts w:hint="eastAsia" w:ascii="宋体" w:hAnsi="宋体" w:cs="宋体"/>
          <w:bCs/>
          <w:sz w:val="24"/>
        </w:rPr>
        <w:t>.4.3 单价金额小数点有明显错位的，应当以总价为准，并修改单价；</w:t>
      </w:r>
    </w:p>
    <w:p w14:paraId="33473B7D">
      <w:pPr>
        <w:spacing w:line="360" w:lineRule="auto"/>
        <w:rPr>
          <w:rFonts w:ascii="宋体" w:hAnsi="宋体" w:cs="宋体"/>
          <w:bCs/>
          <w:sz w:val="24"/>
        </w:rPr>
      </w:pPr>
      <w:r>
        <w:rPr>
          <w:rFonts w:hint="eastAsia" w:ascii="宋体" w:hAnsi="宋体" w:cs="宋体"/>
          <w:bCs/>
          <w:sz w:val="24"/>
        </w:rPr>
        <w:t>2</w:t>
      </w:r>
      <w:r>
        <w:rPr>
          <w:rFonts w:hint="eastAsia" w:ascii="宋体" w:hAnsi="宋体" w:cs="宋体"/>
          <w:bCs/>
          <w:sz w:val="24"/>
          <w:lang w:val="en-US" w:eastAsia="zh-CN"/>
        </w:rPr>
        <w:t>4</w:t>
      </w:r>
      <w:r>
        <w:rPr>
          <w:rFonts w:hint="eastAsia" w:ascii="宋体" w:hAnsi="宋体" w:cs="宋体"/>
          <w:bCs/>
          <w:sz w:val="24"/>
        </w:rPr>
        <w:t>.4.4 对不同文字文本竞争性谈判响应文件的解释发生异议的，以中文文本为准；</w:t>
      </w:r>
    </w:p>
    <w:p w14:paraId="1A9E9E1A">
      <w:pPr>
        <w:spacing w:line="360" w:lineRule="auto"/>
        <w:rPr>
          <w:rFonts w:ascii="宋体" w:hAnsi="宋体" w:cs="宋体"/>
          <w:sz w:val="24"/>
        </w:rPr>
      </w:pPr>
      <w:r>
        <w:rPr>
          <w:rFonts w:hint="eastAsia" w:ascii="宋体" w:hAnsi="宋体" w:cs="宋体"/>
          <w:bCs/>
          <w:sz w:val="24"/>
        </w:rPr>
        <w:t>2</w:t>
      </w:r>
      <w:r>
        <w:rPr>
          <w:rFonts w:hint="eastAsia" w:ascii="宋体" w:hAnsi="宋体" w:cs="宋体"/>
          <w:bCs/>
          <w:sz w:val="24"/>
          <w:lang w:val="en-US" w:eastAsia="zh-CN"/>
        </w:rPr>
        <w:t>4</w:t>
      </w:r>
      <w:r>
        <w:rPr>
          <w:rFonts w:hint="eastAsia" w:ascii="宋体" w:hAnsi="宋体" w:cs="宋体"/>
          <w:bCs/>
          <w:sz w:val="24"/>
        </w:rPr>
        <w:t>.4.5 对于供应商不接受对其错误的更改，其谈判属于无效谈判情形。</w:t>
      </w:r>
    </w:p>
    <w:bookmarkEnd w:id="199"/>
    <w:bookmarkEnd w:id="200"/>
    <w:bookmarkEnd w:id="201"/>
    <w:bookmarkEnd w:id="202"/>
    <w:bookmarkEnd w:id="203"/>
    <w:bookmarkEnd w:id="204"/>
    <w:bookmarkEnd w:id="205"/>
    <w:p w14:paraId="777DAD14">
      <w:pPr>
        <w:pStyle w:val="4"/>
        <w:spacing w:beforeLines="50" w:afterLines="50" w:line="360" w:lineRule="auto"/>
        <w:rPr>
          <w:rFonts w:ascii="宋体" w:hAnsi="宋体" w:cs="宋体"/>
          <w:sz w:val="30"/>
          <w:szCs w:val="30"/>
        </w:rPr>
      </w:pPr>
      <w:bookmarkStart w:id="206" w:name="_Toc6609"/>
      <w:bookmarkStart w:id="207" w:name="_Toc246928924"/>
      <w:bookmarkStart w:id="208" w:name="_Toc8037"/>
      <w:bookmarkStart w:id="209" w:name="_Toc12911"/>
      <w:bookmarkStart w:id="210" w:name="_Toc2865"/>
      <w:bookmarkStart w:id="211" w:name="_Toc465958116"/>
      <w:bookmarkStart w:id="212" w:name="_Toc25350"/>
      <w:r>
        <w:rPr>
          <w:rFonts w:hint="eastAsia" w:ascii="宋体" w:hAnsi="宋体" w:cs="宋体"/>
          <w:sz w:val="30"/>
          <w:szCs w:val="30"/>
        </w:rPr>
        <w:t>2</w:t>
      </w:r>
      <w:r>
        <w:rPr>
          <w:rFonts w:hint="eastAsia" w:ascii="宋体" w:hAnsi="宋体" w:cs="宋体"/>
          <w:sz w:val="30"/>
          <w:szCs w:val="30"/>
          <w:lang w:val="en-US" w:eastAsia="zh-CN"/>
        </w:rPr>
        <w:t>5</w:t>
      </w:r>
      <w:r>
        <w:rPr>
          <w:rFonts w:hint="eastAsia" w:ascii="宋体" w:hAnsi="宋体" w:cs="宋体"/>
          <w:sz w:val="30"/>
          <w:szCs w:val="30"/>
        </w:rPr>
        <w:t xml:space="preserve"> 竞争性谈判响应文件的评价和比较</w:t>
      </w:r>
    </w:p>
    <w:p w14:paraId="4723B8C0">
      <w:pPr>
        <w:spacing w:line="360" w:lineRule="auto"/>
        <w:rPr>
          <w:rFonts w:ascii="宋体" w:hAnsi="宋体" w:cs="宋体"/>
          <w:sz w:val="24"/>
        </w:rPr>
      </w:pPr>
      <w:r>
        <w:rPr>
          <w:rFonts w:hint="eastAsia" w:ascii="宋体" w:hAnsi="宋体" w:cs="宋体"/>
          <w:sz w:val="24"/>
        </w:rPr>
        <w:t>2</w:t>
      </w:r>
      <w:r>
        <w:rPr>
          <w:rFonts w:hint="eastAsia" w:ascii="宋体" w:hAnsi="宋体" w:cs="宋体"/>
          <w:sz w:val="24"/>
          <w:lang w:val="en-US" w:eastAsia="zh-CN"/>
        </w:rPr>
        <w:t>5</w:t>
      </w:r>
      <w:r>
        <w:rPr>
          <w:rFonts w:hint="eastAsia" w:ascii="宋体" w:hAnsi="宋体" w:cs="宋体"/>
          <w:sz w:val="24"/>
        </w:rPr>
        <w:t>.1 谈判小组将对有效的竞争性谈判响应文件进行评估和比较。</w:t>
      </w:r>
    </w:p>
    <w:p w14:paraId="62C7164F">
      <w:pPr>
        <w:spacing w:line="360" w:lineRule="auto"/>
        <w:rPr>
          <w:rFonts w:ascii="宋体" w:hAnsi="宋体" w:cs="宋体"/>
          <w:sz w:val="24"/>
        </w:rPr>
      </w:pPr>
      <w:r>
        <w:rPr>
          <w:rFonts w:hint="eastAsia" w:ascii="宋体" w:hAnsi="宋体" w:cs="宋体"/>
          <w:sz w:val="24"/>
        </w:rPr>
        <w:t>2</w:t>
      </w:r>
      <w:r>
        <w:rPr>
          <w:rFonts w:hint="eastAsia" w:ascii="宋体" w:hAnsi="宋体" w:cs="宋体"/>
          <w:sz w:val="24"/>
          <w:lang w:val="en-US" w:eastAsia="zh-CN"/>
        </w:rPr>
        <w:t>5</w:t>
      </w:r>
      <w:r>
        <w:rPr>
          <w:rFonts w:hint="eastAsia" w:ascii="宋体" w:hAnsi="宋体" w:cs="宋体"/>
          <w:sz w:val="24"/>
        </w:rPr>
        <w:t>.2 评审时除考虑谈判报价竞争有利性以外，还将考虑以下因素：</w:t>
      </w:r>
    </w:p>
    <w:p w14:paraId="265D53A1">
      <w:pPr>
        <w:spacing w:line="360" w:lineRule="auto"/>
        <w:rPr>
          <w:rFonts w:hint="eastAsia" w:ascii="宋体" w:hAnsi="宋体" w:cs="宋体"/>
          <w:sz w:val="24"/>
          <w:szCs w:val="22"/>
        </w:rPr>
      </w:pPr>
      <w:r>
        <w:rPr>
          <w:rFonts w:hint="eastAsia" w:ascii="宋体" w:hAnsi="宋体" w:cs="宋体"/>
          <w:sz w:val="24"/>
        </w:rPr>
        <w:t>2</w:t>
      </w:r>
      <w:r>
        <w:rPr>
          <w:rFonts w:hint="eastAsia" w:ascii="宋体" w:hAnsi="宋体" w:cs="宋体"/>
          <w:sz w:val="24"/>
          <w:lang w:val="en-US" w:eastAsia="zh-CN"/>
        </w:rPr>
        <w:t>5</w:t>
      </w:r>
      <w:r>
        <w:rPr>
          <w:rFonts w:hint="eastAsia" w:ascii="宋体" w:hAnsi="宋体" w:cs="宋体"/>
          <w:sz w:val="24"/>
        </w:rPr>
        <w:t>.2.1竞争性谈判响应文件中各项报价的合理性，谈判小组</w:t>
      </w:r>
      <w:r>
        <w:rPr>
          <w:rFonts w:hint="eastAsia" w:ascii="宋体" w:hAnsi="宋体" w:cs="宋体"/>
          <w:sz w:val="24"/>
          <w:szCs w:val="22"/>
        </w:rPr>
        <w:t>认为投标人的报价明显低于其他通过符合性审查投标人的报价，有可能影响产品质量或者不能诚信履约的，应当要求其在评标现场合理的时间内提供书面说明，必要时提交相关证明材料，竞争性谈判响应文件中各项报价的合理性，评标委员会三分之二以上专家认为某投标报价有低于成本价嫌疑的，为无效报价；</w:t>
      </w:r>
    </w:p>
    <w:p w14:paraId="564B748D">
      <w:pPr>
        <w:spacing w:line="360" w:lineRule="auto"/>
        <w:rPr>
          <w:rFonts w:hint="eastAsia" w:ascii="宋体" w:hAnsi="宋体" w:cs="宋体"/>
          <w:sz w:val="24"/>
          <w:szCs w:val="22"/>
        </w:rPr>
      </w:pPr>
      <w:r>
        <w:rPr>
          <w:rFonts w:hint="eastAsia" w:ascii="宋体" w:hAnsi="宋体" w:cs="宋体"/>
          <w:color w:val="auto"/>
          <w:sz w:val="24"/>
          <w:szCs w:val="24"/>
          <w:lang w:val="en-US" w:eastAsia="zh-CN"/>
        </w:rPr>
        <w:t>25.2.2</w:t>
      </w:r>
      <w:r>
        <w:rPr>
          <w:rFonts w:hint="eastAsia" w:ascii="宋体" w:hAnsi="宋体" w:cs="宋体"/>
          <w:color w:val="auto"/>
          <w:sz w:val="24"/>
          <w:szCs w:val="24"/>
        </w:rPr>
        <w:t>标的物选型及技术指标说明</w:t>
      </w:r>
      <w:r>
        <w:rPr>
          <w:rFonts w:hint="eastAsia" w:ascii="宋体" w:hAnsi="宋体" w:cs="宋体"/>
          <w:color w:val="auto"/>
          <w:sz w:val="24"/>
          <w:szCs w:val="24"/>
          <w:lang w:eastAsia="zh-CN"/>
        </w:rPr>
        <w:t>；</w:t>
      </w:r>
    </w:p>
    <w:p w14:paraId="0000CBE0">
      <w:pPr>
        <w:spacing w:line="360" w:lineRule="auto"/>
        <w:rPr>
          <w:rFonts w:hint="eastAsia" w:ascii="宋体" w:hAnsi="宋体" w:cs="宋体"/>
          <w:sz w:val="24"/>
          <w:szCs w:val="24"/>
        </w:rPr>
      </w:pPr>
      <w:r>
        <w:rPr>
          <w:rFonts w:hint="eastAsia" w:ascii="宋体" w:hAnsi="宋体" w:cs="宋体"/>
          <w:sz w:val="24"/>
        </w:rPr>
        <w:t>2</w:t>
      </w:r>
      <w:r>
        <w:rPr>
          <w:rFonts w:hint="eastAsia" w:ascii="宋体" w:hAnsi="宋体" w:cs="宋体"/>
          <w:sz w:val="24"/>
          <w:lang w:val="en-US" w:eastAsia="zh-CN"/>
        </w:rPr>
        <w:t>5</w:t>
      </w:r>
      <w:r>
        <w:rPr>
          <w:rFonts w:hint="eastAsia" w:ascii="宋体" w:hAnsi="宋体" w:cs="宋体"/>
          <w:sz w:val="24"/>
        </w:rPr>
        <w:t>.2.</w:t>
      </w:r>
      <w:r>
        <w:rPr>
          <w:rFonts w:hint="eastAsia" w:ascii="宋体" w:hAnsi="宋体" w:cs="宋体"/>
          <w:sz w:val="24"/>
          <w:lang w:val="en-US" w:eastAsia="zh-CN"/>
        </w:rPr>
        <w:t>3</w:t>
      </w:r>
      <w:r>
        <w:rPr>
          <w:rFonts w:hint="eastAsia" w:ascii="宋体" w:hAnsi="宋体" w:cs="宋体"/>
          <w:color w:val="auto"/>
          <w:sz w:val="24"/>
          <w:szCs w:val="24"/>
          <w:lang w:eastAsia="zh-CN"/>
        </w:rPr>
        <w:t>主要货物合法来源渠道的书面证明材料。</w:t>
      </w:r>
    </w:p>
    <w:p w14:paraId="73707BB6">
      <w:pPr>
        <w:spacing w:line="360" w:lineRule="auto"/>
        <w:rPr>
          <w:rFonts w:hint="eastAsia" w:ascii="宋体" w:hAnsi="宋体" w:cs="宋体"/>
          <w:sz w:val="24"/>
          <w:szCs w:val="22"/>
        </w:rPr>
      </w:pPr>
      <w:r>
        <w:rPr>
          <w:rFonts w:hint="eastAsia" w:ascii="宋体" w:hAnsi="宋体" w:cs="宋体"/>
          <w:sz w:val="24"/>
          <w:szCs w:val="22"/>
        </w:rPr>
        <w:t>2</w:t>
      </w:r>
      <w:r>
        <w:rPr>
          <w:rFonts w:hint="eastAsia" w:ascii="宋体" w:hAnsi="宋体" w:cs="宋体"/>
          <w:sz w:val="24"/>
          <w:szCs w:val="22"/>
          <w:lang w:val="en-US" w:eastAsia="zh-CN"/>
        </w:rPr>
        <w:t>5</w:t>
      </w:r>
      <w:r>
        <w:rPr>
          <w:rFonts w:hint="eastAsia" w:ascii="宋体" w:hAnsi="宋体" w:cs="宋体"/>
          <w:sz w:val="24"/>
          <w:szCs w:val="22"/>
        </w:rPr>
        <w:t>.2.</w:t>
      </w:r>
      <w:r>
        <w:rPr>
          <w:rFonts w:hint="eastAsia" w:ascii="宋体" w:hAnsi="宋体" w:cs="宋体"/>
          <w:sz w:val="24"/>
          <w:szCs w:val="22"/>
          <w:lang w:val="en-US" w:eastAsia="zh-CN"/>
        </w:rPr>
        <w:t>4</w:t>
      </w:r>
      <w:r>
        <w:rPr>
          <w:rFonts w:hint="eastAsia" w:ascii="宋体" w:hAnsi="宋体" w:cs="宋体"/>
          <w:sz w:val="24"/>
          <w:szCs w:val="22"/>
        </w:rPr>
        <w:t>对本项目的供货、服务</w:t>
      </w:r>
      <w:r>
        <w:rPr>
          <w:rFonts w:hint="eastAsia" w:ascii="宋体" w:hAnsi="宋体" w:cs="宋体"/>
          <w:sz w:val="24"/>
          <w:szCs w:val="22"/>
          <w:lang w:eastAsia="zh-CN"/>
        </w:rPr>
        <w:t>的</w:t>
      </w:r>
      <w:r>
        <w:rPr>
          <w:rFonts w:hint="eastAsia" w:ascii="宋体" w:hAnsi="宋体" w:cs="宋体"/>
          <w:sz w:val="24"/>
          <w:szCs w:val="22"/>
        </w:rPr>
        <w:t>组织措施及人员投入情况。</w:t>
      </w:r>
    </w:p>
    <w:p w14:paraId="39F2DC9F">
      <w:pPr>
        <w:spacing w:line="360" w:lineRule="auto"/>
        <w:rPr>
          <w:rFonts w:hint="eastAsia" w:ascii="宋体" w:hAnsi="宋体" w:cs="宋体"/>
          <w:sz w:val="24"/>
          <w:szCs w:val="22"/>
        </w:rPr>
      </w:pPr>
      <w:r>
        <w:rPr>
          <w:rFonts w:hint="eastAsia" w:ascii="宋体" w:hAnsi="宋体" w:cs="宋体"/>
          <w:sz w:val="24"/>
          <w:szCs w:val="22"/>
        </w:rPr>
        <w:t>2</w:t>
      </w:r>
      <w:r>
        <w:rPr>
          <w:rFonts w:hint="eastAsia" w:ascii="宋体" w:hAnsi="宋体" w:cs="宋体"/>
          <w:sz w:val="24"/>
          <w:szCs w:val="22"/>
          <w:lang w:val="en-US" w:eastAsia="zh-CN"/>
        </w:rPr>
        <w:t>5</w:t>
      </w:r>
      <w:r>
        <w:rPr>
          <w:rFonts w:hint="eastAsia" w:ascii="宋体" w:hAnsi="宋体" w:cs="宋体"/>
          <w:sz w:val="24"/>
          <w:szCs w:val="22"/>
        </w:rPr>
        <w:t>.2.</w:t>
      </w:r>
      <w:r>
        <w:rPr>
          <w:rFonts w:hint="eastAsia" w:ascii="宋体" w:hAnsi="宋体" w:cs="宋体"/>
          <w:sz w:val="24"/>
          <w:szCs w:val="22"/>
          <w:lang w:val="en-US" w:eastAsia="zh-CN"/>
        </w:rPr>
        <w:t>5</w:t>
      </w:r>
      <w:r>
        <w:rPr>
          <w:rFonts w:hint="eastAsia" w:ascii="宋体" w:hAnsi="宋体" w:cs="宋体"/>
          <w:sz w:val="24"/>
          <w:szCs w:val="22"/>
        </w:rPr>
        <w:t>质量保证、售后服务计划及措施。</w:t>
      </w:r>
    </w:p>
    <w:p w14:paraId="78EEF6BC">
      <w:pPr>
        <w:spacing w:line="360" w:lineRule="auto"/>
        <w:rPr>
          <w:rFonts w:hint="eastAsia" w:ascii="宋体" w:hAnsi="宋体" w:cs="宋体"/>
          <w:sz w:val="24"/>
          <w:szCs w:val="22"/>
          <w:lang w:eastAsia="zh-CN"/>
        </w:rPr>
      </w:pPr>
      <w:r>
        <w:rPr>
          <w:rFonts w:hint="eastAsia" w:ascii="宋体" w:hAnsi="宋体" w:cs="宋体"/>
          <w:sz w:val="24"/>
          <w:szCs w:val="22"/>
          <w:lang w:val="en-US" w:eastAsia="zh-CN"/>
        </w:rPr>
        <w:t>25.2.6</w:t>
      </w:r>
      <w:r>
        <w:rPr>
          <w:rFonts w:hint="eastAsia" w:ascii="宋体" w:hAnsi="宋体" w:cs="宋体"/>
          <w:sz w:val="24"/>
          <w:szCs w:val="22"/>
          <w:lang w:eastAsia="zh-CN"/>
        </w:rPr>
        <w:t>公司服务承诺。</w:t>
      </w:r>
    </w:p>
    <w:p w14:paraId="440A6A83">
      <w:pPr>
        <w:spacing w:line="360" w:lineRule="auto"/>
        <w:rPr>
          <w:rFonts w:hint="default" w:ascii="宋体" w:hAnsi="宋体" w:cs="宋体"/>
          <w:sz w:val="24"/>
          <w:szCs w:val="22"/>
          <w:lang w:val="en-US" w:eastAsia="zh-CN"/>
        </w:rPr>
      </w:pPr>
      <w:r>
        <w:rPr>
          <w:rFonts w:hint="eastAsia" w:ascii="宋体" w:hAnsi="宋体" w:cs="宋体"/>
          <w:sz w:val="24"/>
          <w:szCs w:val="22"/>
          <w:lang w:val="en-US" w:eastAsia="zh-CN"/>
        </w:rPr>
        <w:t>25.2.7</w:t>
      </w:r>
      <w:r>
        <w:rPr>
          <w:rFonts w:hint="eastAsia" w:ascii="宋体" w:hAnsi="宋体" w:cs="宋体"/>
          <w:sz w:val="24"/>
          <w:szCs w:val="22"/>
        </w:rPr>
        <w:t>投标供应商其他有必要说明的问题。</w:t>
      </w:r>
    </w:p>
    <w:bookmarkEnd w:id="206"/>
    <w:bookmarkEnd w:id="207"/>
    <w:bookmarkEnd w:id="208"/>
    <w:bookmarkEnd w:id="209"/>
    <w:bookmarkEnd w:id="210"/>
    <w:bookmarkEnd w:id="211"/>
    <w:bookmarkEnd w:id="212"/>
    <w:p w14:paraId="228AC99E">
      <w:pPr>
        <w:pStyle w:val="4"/>
        <w:spacing w:beforeLines="50" w:afterLines="50" w:line="360" w:lineRule="auto"/>
        <w:rPr>
          <w:rFonts w:ascii="宋体" w:hAnsi="宋体" w:cs="宋体"/>
          <w:sz w:val="30"/>
          <w:szCs w:val="30"/>
        </w:rPr>
      </w:pPr>
      <w:bookmarkStart w:id="213" w:name="_Toc20287"/>
      <w:bookmarkStart w:id="214" w:name="_Toc20736"/>
      <w:bookmarkStart w:id="215" w:name="_Toc8450"/>
      <w:bookmarkStart w:id="216" w:name="_Toc26106"/>
      <w:bookmarkStart w:id="217" w:name="_Toc11926"/>
      <w:bookmarkStart w:id="218" w:name="_Toc465958117"/>
      <w:r>
        <w:rPr>
          <w:rFonts w:hint="eastAsia" w:ascii="宋体" w:hAnsi="宋体" w:cs="宋体"/>
          <w:sz w:val="30"/>
          <w:szCs w:val="30"/>
        </w:rPr>
        <w:t>2</w:t>
      </w:r>
      <w:r>
        <w:rPr>
          <w:rFonts w:hint="eastAsia" w:ascii="宋体" w:hAnsi="宋体" w:cs="宋体"/>
          <w:sz w:val="30"/>
          <w:szCs w:val="30"/>
          <w:lang w:val="en-US" w:eastAsia="zh-CN"/>
        </w:rPr>
        <w:t>6</w:t>
      </w:r>
      <w:r>
        <w:rPr>
          <w:rFonts w:hint="eastAsia" w:ascii="宋体" w:hAnsi="宋体" w:cs="宋体"/>
          <w:sz w:val="30"/>
          <w:szCs w:val="30"/>
        </w:rPr>
        <w:t xml:space="preserve"> 评审原则及主要方法</w:t>
      </w:r>
    </w:p>
    <w:p w14:paraId="79F79623">
      <w:pPr>
        <w:spacing w:line="360" w:lineRule="auto"/>
        <w:rPr>
          <w:rFonts w:ascii="宋体" w:hAnsi="宋体" w:cs="宋体"/>
          <w:sz w:val="24"/>
        </w:rPr>
      </w:pPr>
      <w:r>
        <w:rPr>
          <w:rFonts w:hint="eastAsia" w:ascii="宋体" w:hAnsi="宋体" w:cs="宋体"/>
          <w:sz w:val="24"/>
        </w:rPr>
        <w:t>2</w:t>
      </w:r>
      <w:r>
        <w:rPr>
          <w:rFonts w:hint="eastAsia" w:ascii="宋体" w:hAnsi="宋体" w:cs="宋体"/>
          <w:sz w:val="24"/>
          <w:lang w:val="en-US" w:eastAsia="zh-CN"/>
        </w:rPr>
        <w:t>6</w:t>
      </w:r>
      <w:r>
        <w:rPr>
          <w:rFonts w:hint="eastAsia" w:ascii="宋体" w:hAnsi="宋体" w:cs="宋体"/>
          <w:sz w:val="24"/>
        </w:rPr>
        <w:t>.1 谈判小组将遵循公开、公平、公正和择优的原则，禁止不正当竞争。对所有供应商的竞争性谈判响应文件评审，都采用相同的程序和标准。</w:t>
      </w:r>
    </w:p>
    <w:p w14:paraId="75593BFF">
      <w:pPr>
        <w:spacing w:line="360" w:lineRule="auto"/>
        <w:rPr>
          <w:rFonts w:ascii="宋体" w:hAnsi="宋体" w:cs="宋体"/>
          <w:sz w:val="24"/>
        </w:rPr>
      </w:pPr>
      <w:r>
        <w:rPr>
          <w:rFonts w:hint="eastAsia" w:ascii="宋体" w:hAnsi="宋体" w:cs="宋体"/>
          <w:sz w:val="24"/>
        </w:rPr>
        <w:t>2</w:t>
      </w:r>
      <w:r>
        <w:rPr>
          <w:rFonts w:hint="eastAsia" w:ascii="宋体" w:hAnsi="宋体" w:cs="宋体"/>
          <w:sz w:val="24"/>
          <w:lang w:val="en-US" w:eastAsia="zh-CN"/>
        </w:rPr>
        <w:t>6</w:t>
      </w:r>
      <w:r>
        <w:rPr>
          <w:rFonts w:hint="eastAsia" w:ascii="宋体" w:hAnsi="宋体" w:cs="宋体"/>
          <w:sz w:val="24"/>
        </w:rPr>
        <w:t>.2 评审过程的保密：在竞争性谈判响应文件的审查、谈判、报价、成交候选供应商推荐以及授予合同的过程中，供应商向采购人和谈判小组施加影响的任何行为，都将会导致其报价被拒绝；成交供应商确定后，采购人不对未成交供应商就评审过程以及未能成交原因做出任何解释。未成交供应商不得向谈判小组成员或其他相关人员索问评审过程的情况和材料。与评审有关的其他任何情况均严格保密。</w:t>
      </w:r>
    </w:p>
    <w:p w14:paraId="6677AC9F">
      <w:pPr>
        <w:pStyle w:val="14"/>
        <w:spacing w:line="360" w:lineRule="auto"/>
        <w:rPr>
          <w:rFonts w:ascii="宋体" w:hAnsi="宋体" w:cs="宋体"/>
          <w:sz w:val="24"/>
        </w:rPr>
      </w:pPr>
      <w:r>
        <w:rPr>
          <w:rFonts w:hint="eastAsia" w:ascii="宋体" w:hAnsi="宋体" w:cs="宋体"/>
          <w:sz w:val="24"/>
        </w:rPr>
        <w:t>2</w:t>
      </w:r>
      <w:r>
        <w:rPr>
          <w:rFonts w:hint="eastAsia" w:ascii="宋体" w:hAnsi="宋体" w:cs="宋体"/>
          <w:sz w:val="24"/>
          <w:lang w:val="en-US" w:eastAsia="zh-CN"/>
        </w:rPr>
        <w:t>6</w:t>
      </w:r>
      <w:r>
        <w:rPr>
          <w:rFonts w:hint="eastAsia" w:ascii="宋体" w:hAnsi="宋体" w:cs="宋体"/>
          <w:sz w:val="24"/>
        </w:rPr>
        <w:t>.3 竞争性谈判响应文件的初步评审（含资格性检查和符合性审查）</w:t>
      </w:r>
    </w:p>
    <w:p w14:paraId="329DB864">
      <w:pPr>
        <w:pStyle w:val="14"/>
        <w:spacing w:line="360" w:lineRule="auto"/>
        <w:rPr>
          <w:rFonts w:ascii="宋体" w:hAnsi="宋体" w:cs="宋体"/>
          <w:sz w:val="24"/>
        </w:rPr>
      </w:pPr>
      <w:r>
        <w:rPr>
          <w:rFonts w:hint="eastAsia" w:ascii="宋体" w:hAnsi="宋体" w:cs="宋体"/>
          <w:sz w:val="24"/>
        </w:rPr>
        <w:t>2</w:t>
      </w:r>
      <w:r>
        <w:rPr>
          <w:rFonts w:hint="eastAsia" w:ascii="宋体" w:hAnsi="宋体" w:cs="宋体"/>
          <w:sz w:val="24"/>
          <w:lang w:val="en-US" w:eastAsia="zh-CN"/>
        </w:rPr>
        <w:t>6</w:t>
      </w:r>
      <w:r>
        <w:rPr>
          <w:rFonts w:hint="eastAsia" w:ascii="宋体" w:hAnsi="宋体" w:cs="宋体"/>
          <w:sz w:val="24"/>
        </w:rPr>
        <w:t>.3.1 谈判小组将审查竞争性谈判响应文件是否完整、资格证明文件是否合格，不合格均按无效投标处理。</w:t>
      </w:r>
    </w:p>
    <w:p w14:paraId="2558E949">
      <w:pPr>
        <w:spacing w:line="360" w:lineRule="auto"/>
        <w:rPr>
          <w:rFonts w:ascii="宋体" w:hAnsi="宋体" w:cs="宋体"/>
          <w:sz w:val="24"/>
        </w:rPr>
      </w:pPr>
      <w:r>
        <w:rPr>
          <w:rFonts w:hint="eastAsia" w:ascii="宋体" w:hAnsi="宋体" w:cs="宋体"/>
          <w:sz w:val="24"/>
        </w:rPr>
        <w:t>2</w:t>
      </w:r>
      <w:r>
        <w:rPr>
          <w:rFonts w:hint="eastAsia" w:ascii="宋体" w:hAnsi="宋体" w:cs="宋体"/>
          <w:sz w:val="24"/>
          <w:lang w:val="en-US" w:eastAsia="zh-CN"/>
        </w:rPr>
        <w:t>6</w:t>
      </w:r>
      <w:r>
        <w:rPr>
          <w:rFonts w:hint="eastAsia" w:ascii="宋体" w:hAnsi="宋体" w:cs="宋体"/>
          <w:sz w:val="24"/>
        </w:rPr>
        <w:t>.4 在详细评审之前，谈判小组要审查每份竞争性谈判响应文件是否实质上响应了竞争性谈判文件的要求。实质上响应的谈判应该是与竞争性谈判文件要求的全部条款、条件和规格参数相符，没有偏离的谈判。谈判小组对供应商提供的响应参数、人员配置、售后服务承诺，能满足采购人服务要求的，则可进行二次报价。</w:t>
      </w:r>
    </w:p>
    <w:p w14:paraId="3025DF9A">
      <w:pPr>
        <w:spacing w:line="360" w:lineRule="auto"/>
        <w:rPr>
          <w:rFonts w:ascii="宋体" w:hAnsi="宋体" w:cs="宋体"/>
          <w:sz w:val="24"/>
        </w:rPr>
      </w:pPr>
      <w:r>
        <w:rPr>
          <w:rFonts w:hint="eastAsia" w:ascii="宋体" w:hAnsi="宋体" w:cs="宋体"/>
          <w:sz w:val="24"/>
        </w:rPr>
        <w:t>2</w:t>
      </w:r>
      <w:r>
        <w:rPr>
          <w:rFonts w:hint="eastAsia" w:ascii="宋体" w:hAnsi="宋体" w:cs="宋体"/>
          <w:sz w:val="24"/>
          <w:lang w:val="en-US" w:eastAsia="zh-CN"/>
        </w:rPr>
        <w:t>6</w:t>
      </w:r>
      <w:r>
        <w:rPr>
          <w:rFonts w:hint="eastAsia" w:ascii="宋体" w:hAnsi="宋体" w:cs="宋体"/>
          <w:sz w:val="24"/>
        </w:rPr>
        <w:t>.5 实质上没有响应竞争性谈判文件要求的谈判将被拒绝。供应商不得通过修正或撤销不合要求的偏离从而使其谈判成为实质性响应的谈判。供应商或竞争性谈判响应文件出现的下列情形将按照无效谈判处理，由谈判小组否决其谈判：</w:t>
      </w:r>
    </w:p>
    <w:p w14:paraId="47510281">
      <w:pPr>
        <w:pStyle w:val="9"/>
        <w:adjustRightInd w:val="0"/>
        <w:snapToGrid w:val="0"/>
        <w:spacing w:line="360" w:lineRule="auto"/>
      </w:pPr>
      <w:r>
        <w:rPr>
          <w:rFonts w:hint="eastAsia" w:ascii="宋体" w:hAnsi="宋体" w:cs="宋体"/>
          <w:sz w:val="24"/>
          <w:szCs w:val="24"/>
        </w:rPr>
        <w:t>2</w:t>
      </w:r>
      <w:r>
        <w:rPr>
          <w:rFonts w:hint="eastAsia" w:ascii="宋体" w:hAnsi="宋体" w:cs="宋体"/>
          <w:sz w:val="24"/>
          <w:szCs w:val="24"/>
          <w:lang w:val="en-US" w:eastAsia="zh-CN"/>
        </w:rPr>
        <w:t>6</w:t>
      </w:r>
      <w:r>
        <w:rPr>
          <w:rFonts w:hint="eastAsia" w:ascii="宋体" w:hAnsi="宋体" w:cs="宋体"/>
          <w:sz w:val="24"/>
          <w:szCs w:val="24"/>
        </w:rPr>
        <w:t>.5.1投标单位的投标报价超过采购预算；</w:t>
      </w:r>
    </w:p>
    <w:p w14:paraId="21445811">
      <w:pPr>
        <w:adjustRightInd w:val="0"/>
        <w:snapToGrid w:val="0"/>
        <w:spacing w:line="360" w:lineRule="auto"/>
        <w:rPr>
          <w:rFonts w:ascii="宋体" w:hAnsi="宋体"/>
          <w:sz w:val="24"/>
        </w:rPr>
      </w:pPr>
      <w:r>
        <w:rPr>
          <w:rFonts w:hint="eastAsia" w:ascii="宋体" w:hAnsi="宋体"/>
          <w:sz w:val="24"/>
        </w:rPr>
        <w:t>2</w:t>
      </w:r>
      <w:r>
        <w:rPr>
          <w:rFonts w:hint="eastAsia" w:ascii="宋体" w:hAnsi="宋体"/>
          <w:sz w:val="24"/>
          <w:lang w:val="en-US" w:eastAsia="zh-CN"/>
        </w:rPr>
        <w:t>6</w:t>
      </w:r>
      <w:r>
        <w:rPr>
          <w:rFonts w:hint="eastAsia" w:ascii="宋体" w:hAnsi="宋体"/>
          <w:sz w:val="24"/>
        </w:rPr>
        <w:t xml:space="preserve">.5.2 </w:t>
      </w:r>
      <w:r>
        <w:rPr>
          <w:rFonts w:hint="eastAsia" w:ascii="宋体" w:hAnsi="宋体"/>
          <w:sz w:val="24"/>
          <w:lang w:eastAsia="zh-CN"/>
        </w:rPr>
        <w:t>谈判响应文件</w:t>
      </w:r>
      <w:r>
        <w:rPr>
          <w:rFonts w:hint="eastAsia" w:ascii="宋体" w:hAnsi="宋体"/>
          <w:sz w:val="24"/>
        </w:rPr>
        <w:t>、投标函未加盖投标人公章，或未经法定代表人（负责人）或其授权代表签字或盖章的；</w:t>
      </w:r>
    </w:p>
    <w:p w14:paraId="779F311B">
      <w:pPr>
        <w:adjustRightInd w:val="0"/>
        <w:snapToGrid w:val="0"/>
        <w:spacing w:line="360" w:lineRule="auto"/>
      </w:pPr>
      <w:r>
        <w:rPr>
          <w:rFonts w:hint="eastAsia" w:ascii="宋体" w:hAnsi="宋体" w:cs="宋体"/>
          <w:sz w:val="24"/>
          <w:szCs w:val="24"/>
        </w:rPr>
        <w:t>2</w:t>
      </w:r>
      <w:r>
        <w:rPr>
          <w:rFonts w:hint="eastAsia" w:ascii="宋体" w:hAnsi="宋体" w:cs="宋体"/>
          <w:sz w:val="24"/>
          <w:szCs w:val="24"/>
          <w:lang w:val="en-US" w:eastAsia="zh-CN"/>
        </w:rPr>
        <w:t>6</w:t>
      </w:r>
      <w:r>
        <w:rPr>
          <w:rFonts w:hint="eastAsia" w:ascii="宋体" w:hAnsi="宋体" w:cs="宋体"/>
          <w:sz w:val="24"/>
          <w:szCs w:val="24"/>
        </w:rPr>
        <w:t>.5.3投标单位未按照谈判文件规定时间</w:t>
      </w:r>
      <w:r>
        <w:rPr>
          <w:rFonts w:hint="eastAsia" w:ascii="宋体" w:hAnsi="宋体" w:cs="宋体"/>
          <w:sz w:val="24"/>
          <w:szCs w:val="24"/>
          <w:lang w:eastAsia="zh-CN"/>
        </w:rPr>
        <w:t>提交投标信用承诺书的（保证金）</w:t>
      </w:r>
      <w:r>
        <w:rPr>
          <w:rFonts w:hint="eastAsia" w:ascii="宋体" w:hAnsi="宋体" w:cs="宋体"/>
          <w:sz w:val="24"/>
          <w:szCs w:val="24"/>
        </w:rPr>
        <w:t>；</w:t>
      </w:r>
    </w:p>
    <w:p w14:paraId="2AEFB3BE">
      <w:pPr>
        <w:adjustRightInd w:val="0"/>
        <w:snapToGrid w:val="0"/>
        <w:spacing w:line="360" w:lineRule="auto"/>
        <w:rPr>
          <w:rFonts w:ascii="宋体" w:hAnsi="宋体"/>
          <w:sz w:val="24"/>
        </w:rPr>
      </w:pPr>
      <w:r>
        <w:rPr>
          <w:rFonts w:hint="eastAsia" w:ascii="宋体" w:hAnsi="宋体"/>
          <w:sz w:val="24"/>
        </w:rPr>
        <w:t>2</w:t>
      </w:r>
      <w:r>
        <w:rPr>
          <w:rFonts w:hint="eastAsia" w:ascii="宋体" w:hAnsi="宋体"/>
          <w:sz w:val="24"/>
          <w:lang w:val="en-US" w:eastAsia="zh-CN"/>
        </w:rPr>
        <w:t>6</w:t>
      </w:r>
      <w:r>
        <w:rPr>
          <w:rFonts w:hint="eastAsia" w:ascii="宋体" w:hAnsi="宋体"/>
          <w:sz w:val="24"/>
        </w:rPr>
        <w:t xml:space="preserve">.5.4 </w:t>
      </w:r>
      <w:r>
        <w:rPr>
          <w:rFonts w:hint="eastAsia" w:ascii="宋体" w:hAnsi="宋体"/>
          <w:sz w:val="24"/>
          <w:lang w:eastAsia="zh-CN"/>
        </w:rPr>
        <w:t>谈判响应文件</w:t>
      </w:r>
      <w:r>
        <w:rPr>
          <w:rFonts w:hint="eastAsia" w:ascii="宋体" w:hAnsi="宋体"/>
          <w:sz w:val="24"/>
        </w:rPr>
        <w:t>没有法定代表人（负责人）授权书（法人直接投标除外）或授权书的合法性或有效性不符合</w:t>
      </w:r>
      <w:r>
        <w:rPr>
          <w:rFonts w:hint="eastAsia" w:ascii="宋体" w:hAnsi="宋体"/>
          <w:sz w:val="24"/>
          <w:lang w:eastAsia="zh-CN"/>
        </w:rPr>
        <w:t>谈判</w:t>
      </w:r>
      <w:r>
        <w:rPr>
          <w:rFonts w:hint="eastAsia" w:ascii="宋体" w:hAnsi="宋体"/>
          <w:sz w:val="24"/>
        </w:rPr>
        <w:t>文件规定的；</w:t>
      </w:r>
    </w:p>
    <w:p w14:paraId="1C4DA6C7">
      <w:pPr>
        <w:adjustRightInd w:val="0"/>
        <w:snapToGrid w:val="0"/>
        <w:spacing w:line="360" w:lineRule="auto"/>
        <w:rPr>
          <w:rFonts w:ascii="宋体" w:hAnsi="宋体"/>
          <w:sz w:val="24"/>
        </w:rPr>
      </w:pPr>
      <w:r>
        <w:rPr>
          <w:rFonts w:hint="eastAsia" w:ascii="宋体" w:hAnsi="宋体"/>
          <w:sz w:val="24"/>
        </w:rPr>
        <w:t>2</w:t>
      </w:r>
      <w:r>
        <w:rPr>
          <w:rFonts w:hint="eastAsia" w:ascii="宋体" w:hAnsi="宋体"/>
          <w:sz w:val="24"/>
          <w:lang w:val="en-US" w:eastAsia="zh-CN"/>
        </w:rPr>
        <w:t>6</w:t>
      </w:r>
      <w:r>
        <w:rPr>
          <w:rFonts w:hint="eastAsia" w:ascii="宋体" w:hAnsi="宋体"/>
          <w:sz w:val="24"/>
        </w:rPr>
        <w:t xml:space="preserve">.5.5 </w:t>
      </w:r>
      <w:r>
        <w:rPr>
          <w:rFonts w:hint="eastAsia" w:ascii="宋体" w:hAnsi="宋体"/>
          <w:sz w:val="24"/>
          <w:lang w:eastAsia="zh-CN"/>
        </w:rPr>
        <w:t>谈判响应文件</w:t>
      </w:r>
      <w:r>
        <w:rPr>
          <w:rFonts w:hint="eastAsia" w:ascii="宋体" w:hAnsi="宋体"/>
          <w:sz w:val="24"/>
        </w:rPr>
        <w:t>未按招标文件规定要求装订、签署、盖章的,无投标有效期或有效期达不到招标文件要求的；</w:t>
      </w:r>
    </w:p>
    <w:p w14:paraId="290A7D2F">
      <w:pPr>
        <w:adjustRightInd w:val="0"/>
        <w:snapToGrid w:val="0"/>
        <w:spacing w:line="360" w:lineRule="auto"/>
        <w:rPr>
          <w:rFonts w:ascii="宋体" w:hAnsi="宋体"/>
          <w:sz w:val="24"/>
        </w:rPr>
      </w:pPr>
      <w:r>
        <w:rPr>
          <w:rFonts w:hint="eastAsia" w:ascii="宋体" w:hAnsi="宋体"/>
          <w:sz w:val="24"/>
        </w:rPr>
        <w:t>2</w:t>
      </w:r>
      <w:r>
        <w:rPr>
          <w:rFonts w:hint="eastAsia" w:ascii="宋体" w:hAnsi="宋体"/>
          <w:sz w:val="24"/>
          <w:lang w:val="en-US" w:eastAsia="zh-CN"/>
        </w:rPr>
        <w:t>6</w:t>
      </w:r>
      <w:r>
        <w:rPr>
          <w:rFonts w:hint="eastAsia" w:ascii="宋体" w:hAnsi="宋体"/>
          <w:sz w:val="24"/>
        </w:rPr>
        <w:t>.5.6</w:t>
      </w:r>
      <w:r>
        <w:rPr>
          <w:rFonts w:hint="eastAsia" w:ascii="宋体" w:hAnsi="宋体"/>
          <w:sz w:val="24"/>
          <w:lang w:eastAsia="zh-CN"/>
        </w:rPr>
        <w:t>谈判响应文件</w:t>
      </w:r>
      <w:r>
        <w:rPr>
          <w:rFonts w:hint="eastAsia" w:ascii="宋体" w:hAnsi="宋体"/>
          <w:sz w:val="24"/>
        </w:rPr>
        <w:t>的关键内容字迹模糊、无法辨认的；</w:t>
      </w:r>
    </w:p>
    <w:p w14:paraId="621261B3">
      <w:pPr>
        <w:adjustRightInd w:val="0"/>
        <w:snapToGrid w:val="0"/>
        <w:spacing w:line="360" w:lineRule="auto"/>
        <w:rPr>
          <w:rFonts w:ascii="宋体" w:hAnsi="宋体"/>
          <w:sz w:val="24"/>
        </w:rPr>
      </w:pPr>
      <w:r>
        <w:rPr>
          <w:rFonts w:hint="eastAsia" w:ascii="宋体" w:hAnsi="宋体"/>
          <w:sz w:val="24"/>
        </w:rPr>
        <w:t>2</w:t>
      </w:r>
      <w:r>
        <w:rPr>
          <w:rFonts w:hint="eastAsia" w:ascii="宋体" w:hAnsi="宋体"/>
          <w:sz w:val="24"/>
          <w:lang w:val="en-US" w:eastAsia="zh-CN"/>
        </w:rPr>
        <w:t>6</w:t>
      </w:r>
      <w:r>
        <w:rPr>
          <w:rFonts w:hint="eastAsia" w:ascii="宋体" w:hAnsi="宋体"/>
          <w:sz w:val="24"/>
        </w:rPr>
        <w:t>.5.7提供虚假证明（包括第三方提供的虚假证明），开具虚假资质，出现虚假应答，除按无效</w:t>
      </w:r>
      <w:r>
        <w:rPr>
          <w:rFonts w:hint="eastAsia" w:ascii="宋体" w:hAnsi="宋体"/>
          <w:sz w:val="24"/>
          <w:lang w:eastAsia="zh-CN"/>
        </w:rPr>
        <w:t>谈判响应文件</w:t>
      </w:r>
      <w:r>
        <w:rPr>
          <w:rFonts w:hint="eastAsia" w:ascii="宋体" w:hAnsi="宋体"/>
          <w:sz w:val="24"/>
        </w:rPr>
        <w:t>处理外，并进行相应的处罚；</w:t>
      </w:r>
    </w:p>
    <w:p w14:paraId="1291CE56">
      <w:pPr>
        <w:adjustRightInd w:val="0"/>
        <w:snapToGrid w:val="0"/>
        <w:spacing w:line="360" w:lineRule="auto"/>
        <w:rPr>
          <w:rFonts w:ascii="宋体" w:hAnsi="宋体"/>
          <w:sz w:val="24"/>
        </w:rPr>
      </w:pPr>
      <w:r>
        <w:rPr>
          <w:rFonts w:hint="eastAsia" w:ascii="宋体" w:hAnsi="宋体"/>
          <w:sz w:val="24"/>
        </w:rPr>
        <w:t>2</w:t>
      </w:r>
      <w:r>
        <w:rPr>
          <w:rFonts w:hint="eastAsia" w:ascii="宋体" w:hAnsi="宋体"/>
          <w:sz w:val="24"/>
          <w:lang w:val="en-US" w:eastAsia="zh-CN"/>
        </w:rPr>
        <w:t>6</w:t>
      </w:r>
      <w:r>
        <w:rPr>
          <w:rFonts w:hint="eastAsia" w:ascii="宋体" w:hAnsi="宋体"/>
          <w:sz w:val="24"/>
        </w:rPr>
        <w:t>.5.8 对</w:t>
      </w:r>
      <w:r>
        <w:rPr>
          <w:rFonts w:hint="eastAsia" w:ascii="宋体" w:hAnsi="宋体"/>
          <w:sz w:val="24"/>
          <w:lang w:eastAsia="zh-CN"/>
        </w:rPr>
        <w:t>谈判</w:t>
      </w:r>
      <w:r>
        <w:rPr>
          <w:rFonts w:hint="eastAsia" w:ascii="宋体" w:hAnsi="宋体"/>
          <w:sz w:val="24"/>
        </w:rPr>
        <w:t xml:space="preserve">文件未做实质性响应或有重大缺项漏项,明显不符合技术规格、技术标准的要求的；  </w:t>
      </w:r>
    </w:p>
    <w:p w14:paraId="484E2342">
      <w:pPr>
        <w:adjustRightInd w:val="0"/>
        <w:snapToGrid w:val="0"/>
        <w:spacing w:line="360" w:lineRule="auto"/>
        <w:rPr>
          <w:rFonts w:ascii="宋体" w:hAnsi="宋体"/>
          <w:sz w:val="24"/>
        </w:rPr>
      </w:pPr>
      <w:r>
        <w:rPr>
          <w:rFonts w:hint="eastAsia" w:ascii="宋体" w:hAnsi="宋体"/>
          <w:sz w:val="24"/>
        </w:rPr>
        <w:t>2</w:t>
      </w:r>
      <w:r>
        <w:rPr>
          <w:rFonts w:hint="eastAsia" w:ascii="宋体" w:hAnsi="宋体"/>
          <w:sz w:val="24"/>
          <w:lang w:val="en-US" w:eastAsia="zh-CN"/>
        </w:rPr>
        <w:t>6</w:t>
      </w:r>
      <w:r>
        <w:rPr>
          <w:rFonts w:hint="eastAsia" w:ascii="宋体" w:hAnsi="宋体"/>
          <w:sz w:val="24"/>
        </w:rPr>
        <w:t>.5.9 投标人针对同一项目递交两份或多份内容不同的</w:t>
      </w:r>
      <w:r>
        <w:rPr>
          <w:rFonts w:hint="eastAsia" w:ascii="宋体" w:hAnsi="宋体"/>
          <w:sz w:val="24"/>
          <w:lang w:eastAsia="zh-CN"/>
        </w:rPr>
        <w:t>谈判响应文件</w:t>
      </w:r>
      <w:r>
        <w:rPr>
          <w:rFonts w:hint="eastAsia" w:ascii="宋体" w:hAnsi="宋体"/>
          <w:sz w:val="24"/>
        </w:rPr>
        <w:t>，未书面声明哪一份是有效的或出现选择性报价的；</w:t>
      </w:r>
    </w:p>
    <w:p w14:paraId="25074A67">
      <w:pPr>
        <w:adjustRightInd w:val="0"/>
        <w:snapToGrid w:val="0"/>
        <w:spacing w:line="360" w:lineRule="auto"/>
        <w:rPr>
          <w:rFonts w:ascii="宋体" w:hAnsi="宋体"/>
          <w:sz w:val="24"/>
        </w:rPr>
      </w:pPr>
      <w:r>
        <w:rPr>
          <w:rFonts w:hint="eastAsia" w:ascii="宋体" w:hAnsi="宋体"/>
          <w:sz w:val="24"/>
        </w:rPr>
        <w:t>2</w:t>
      </w:r>
      <w:r>
        <w:rPr>
          <w:rFonts w:hint="eastAsia" w:ascii="宋体" w:hAnsi="宋体"/>
          <w:sz w:val="24"/>
          <w:lang w:val="en-US" w:eastAsia="zh-CN"/>
        </w:rPr>
        <w:t>6</w:t>
      </w:r>
      <w:r>
        <w:rPr>
          <w:rFonts w:hint="eastAsia" w:ascii="宋体" w:hAnsi="宋体"/>
          <w:sz w:val="24"/>
        </w:rPr>
        <w:t>.5.10投标报价大于项目预算或与市场价偏离较大，低于成本，形成不正当竞争的；</w:t>
      </w:r>
    </w:p>
    <w:p w14:paraId="5AEB5B86">
      <w:pPr>
        <w:adjustRightInd w:val="0"/>
        <w:snapToGrid w:val="0"/>
        <w:spacing w:line="360" w:lineRule="auto"/>
        <w:rPr>
          <w:rFonts w:ascii="宋体" w:hAnsi="宋体"/>
          <w:sz w:val="24"/>
        </w:rPr>
      </w:pPr>
      <w:r>
        <w:rPr>
          <w:rFonts w:hint="eastAsia" w:ascii="宋体" w:hAnsi="宋体"/>
          <w:sz w:val="24"/>
        </w:rPr>
        <w:t>2</w:t>
      </w:r>
      <w:r>
        <w:rPr>
          <w:rFonts w:hint="eastAsia" w:ascii="宋体" w:hAnsi="宋体"/>
          <w:sz w:val="24"/>
          <w:lang w:val="en-US" w:eastAsia="zh-CN"/>
        </w:rPr>
        <w:t>6</w:t>
      </w:r>
      <w:r>
        <w:rPr>
          <w:rFonts w:hint="eastAsia" w:ascii="宋体" w:hAnsi="宋体"/>
          <w:sz w:val="24"/>
        </w:rPr>
        <w:t>.5.11投标人有围标、串标现象（不同投标人的</w:t>
      </w:r>
      <w:r>
        <w:rPr>
          <w:rFonts w:hint="eastAsia" w:ascii="宋体" w:hAnsi="宋体"/>
          <w:sz w:val="24"/>
          <w:lang w:eastAsia="zh-CN"/>
        </w:rPr>
        <w:t>谈判响应文件</w:t>
      </w:r>
      <w:r>
        <w:rPr>
          <w:rFonts w:hint="eastAsia" w:ascii="宋体" w:hAnsi="宋体"/>
          <w:sz w:val="24"/>
        </w:rPr>
        <w:t>错漏之处一致的、不同投标人的投标报价或者报价组成异常一致的或者成规律性变化的），经查证属实的。</w:t>
      </w:r>
    </w:p>
    <w:p w14:paraId="1D02485F">
      <w:pPr>
        <w:adjustRightInd w:val="0"/>
        <w:snapToGrid w:val="0"/>
        <w:spacing w:line="360" w:lineRule="auto"/>
        <w:rPr>
          <w:rFonts w:ascii="宋体" w:hAnsi="宋体"/>
          <w:sz w:val="24"/>
        </w:rPr>
      </w:pPr>
      <w:r>
        <w:rPr>
          <w:rFonts w:hint="eastAsia" w:ascii="宋体" w:hAnsi="宋体"/>
          <w:sz w:val="24"/>
        </w:rPr>
        <w:t>2</w:t>
      </w:r>
      <w:r>
        <w:rPr>
          <w:rFonts w:hint="eastAsia" w:ascii="宋体" w:hAnsi="宋体"/>
          <w:sz w:val="24"/>
          <w:lang w:val="en-US" w:eastAsia="zh-CN"/>
        </w:rPr>
        <w:t>6</w:t>
      </w:r>
      <w:r>
        <w:rPr>
          <w:rFonts w:hint="eastAsia" w:ascii="宋体" w:hAnsi="宋体"/>
          <w:sz w:val="24"/>
        </w:rPr>
        <w:t>.5.12逾期提交电子响应文件；</w:t>
      </w:r>
    </w:p>
    <w:p w14:paraId="3CE6B9F8">
      <w:pPr>
        <w:adjustRightInd w:val="0"/>
        <w:snapToGrid w:val="0"/>
        <w:spacing w:line="360" w:lineRule="auto"/>
        <w:rPr>
          <w:rFonts w:ascii="宋体" w:hAnsi="宋体"/>
          <w:sz w:val="24"/>
        </w:rPr>
      </w:pPr>
      <w:r>
        <w:rPr>
          <w:rFonts w:hint="eastAsia" w:ascii="宋体" w:hAnsi="宋体"/>
          <w:sz w:val="24"/>
        </w:rPr>
        <w:t>2</w:t>
      </w:r>
      <w:r>
        <w:rPr>
          <w:rFonts w:hint="eastAsia" w:ascii="宋体" w:hAnsi="宋体"/>
          <w:sz w:val="24"/>
          <w:lang w:val="en-US" w:eastAsia="zh-CN"/>
        </w:rPr>
        <w:t>6</w:t>
      </w:r>
      <w:r>
        <w:rPr>
          <w:rFonts w:hint="eastAsia" w:ascii="宋体" w:hAnsi="宋体"/>
          <w:sz w:val="24"/>
        </w:rPr>
        <w:t>.5.13提交的响应文件与本项目不相符；</w:t>
      </w:r>
    </w:p>
    <w:p w14:paraId="17287467">
      <w:pPr>
        <w:adjustRightInd w:val="0"/>
        <w:snapToGrid w:val="0"/>
        <w:spacing w:line="360" w:lineRule="auto"/>
        <w:rPr>
          <w:rFonts w:ascii="宋体" w:hAnsi="宋体"/>
          <w:sz w:val="24"/>
        </w:rPr>
      </w:pPr>
      <w:r>
        <w:rPr>
          <w:rFonts w:hint="eastAsia" w:ascii="宋体" w:hAnsi="宋体"/>
          <w:sz w:val="24"/>
        </w:rPr>
        <w:t>2</w:t>
      </w:r>
      <w:r>
        <w:rPr>
          <w:rFonts w:hint="eastAsia" w:ascii="宋体" w:hAnsi="宋体"/>
          <w:sz w:val="24"/>
          <w:lang w:val="en-US" w:eastAsia="zh-CN"/>
        </w:rPr>
        <w:t>6</w:t>
      </w:r>
      <w:r>
        <w:rPr>
          <w:rFonts w:hint="eastAsia" w:ascii="宋体" w:hAnsi="宋体"/>
          <w:sz w:val="24"/>
        </w:rPr>
        <w:t>.5.14供应商拒绝对电子响应文件进行解密；</w:t>
      </w:r>
    </w:p>
    <w:p w14:paraId="7166D83C">
      <w:pPr>
        <w:adjustRightInd w:val="0"/>
        <w:snapToGrid w:val="0"/>
        <w:spacing w:line="360" w:lineRule="auto"/>
        <w:rPr>
          <w:rFonts w:ascii="宋体" w:hAnsi="宋体"/>
          <w:sz w:val="24"/>
        </w:rPr>
      </w:pPr>
      <w:r>
        <w:rPr>
          <w:rFonts w:hint="eastAsia" w:ascii="宋体" w:hAnsi="宋体"/>
          <w:sz w:val="24"/>
        </w:rPr>
        <w:t>2</w:t>
      </w:r>
      <w:r>
        <w:rPr>
          <w:rFonts w:hint="eastAsia" w:ascii="宋体" w:hAnsi="宋体"/>
          <w:sz w:val="24"/>
          <w:lang w:val="en-US" w:eastAsia="zh-CN"/>
        </w:rPr>
        <w:t>6</w:t>
      </w:r>
      <w:r>
        <w:rPr>
          <w:rFonts w:hint="eastAsia" w:ascii="宋体" w:hAnsi="宋体"/>
          <w:sz w:val="24"/>
        </w:rPr>
        <w:t>.5.15因供应商自身原因（如未带 CA 锁、或所带 CA 锁与制作电子响应文件使用的 CA锁不一致、或沿用旧版谈判文件编制响应文件等情形），导致在规定时间内无法解密响应文件；</w:t>
      </w:r>
    </w:p>
    <w:p w14:paraId="14C9465A">
      <w:pPr>
        <w:adjustRightInd w:val="0"/>
        <w:snapToGrid w:val="0"/>
        <w:spacing w:line="360" w:lineRule="auto"/>
        <w:rPr>
          <w:rFonts w:ascii="宋体" w:hAnsi="宋体"/>
          <w:sz w:val="24"/>
        </w:rPr>
      </w:pPr>
      <w:r>
        <w:rPr>
          <w:rFonts w:hint="eastAsia" w:ascii="宋体" w:hAnsi="宋体"/>
          <w:sz w:val="24"/>
        </w:rPr>
        <w:t>2</w:t>
      </w:r>
      <w:r>
        <w:rPr>
          <w:rFonts w:hint="eastAsia" w:ascii="宋体" w:hAnsi="宋体"/>
          <w:sz w:val="24"/>
          <w:lang w:val="en-US" w:eastAsia="zh-CN"/>
        </w:rPr>
        <w:t>6</w:t>
      </w:r>
      <w:r>
        <w:rPr>
          <w:rFonts w:hint="eastAsia" w:ascii="宋体" w:hAnsi="宋体"/>
          <w:sz w:val="24"/>
        </w:rPr>
        <w:t>.5.16上传的电子响应文件无法打开。</w:t>
      </w:r>
    </w:p>
    <w:p w14:paraId="49C3A0B9">
      <w:pPr>
        <w:adjustRightInd w:val="0"/>
        <w:snapToGrid w:val="0"/>
        <w:spacing w:line="360" w:lineRule="auto"/>
        <w:rPr>
          <w:rFonts w:ascii="宋体" w:hAnsi="宋体"/>
          <w:sz w:val="24"/>
        </w:rPr>
      </w:pPr>
      <w:r>
        <w:rPr>
          <w:rFonts w:hint="eastAsia" w:ascii="宋体" w:hAnsi="宋体"/>
          <w:sz w:val="24"/>
        </w:rPr>
        <w:t>2</w:t>
      </w:r>
      <w:r>
        <w:rPr>
          <w:rFonts w:hint="eastAsia" w:ascii="宋体" w:hAnsi="宋体"/>
          <w:sz w:val="24"/>
          <w:lang w:val="en-US" w:eastAsia="zh-CN"/>
        </w:rPr>
        <w:t>6</w:t>
      </w:r>
      <w:r>
        <w:rPr>
          <w:rFonts w:hint="eastAsia" w:ascii="宋体" w:hAnsi="宋体"/>
          <w:sz w:val="24"/>
        </w:rPr>
        <w:t>.5.17谈判文件规定的其他要求。</w:t>
      </w:r>
    </w:p>
    <w:bookmarkEnd w:id="213"/>
    <w:bookmarkEnd w:id="214"/>
    <w:bookmarkEnd w:id="215"/>
    <w:bookmarkEnd w:id="216"/>
    <w:bookmarkEnd w:id="217"/>
    <w:bookmarkEnd w:id="218"/>
    <w:p w14:paraId="2C34B599">
      <w:pPr>
        <w:pStyle w:val="4"/>
        <w:spacing w:beforeLines="50" w:afterLines="50" w:line="360" w:lineRule="auto"/>
        <w:rPr>
          <w:rFonts w:ascii="宋体" w:hAnsi="宋体" w:cs="宋体"/>
          <w:sz w:val="30"/>
          <w:szCs w:val="30"/>
        </w:rPr>
      </w:pPr>
      <w:bookmarkStart w:id="219" w:name="_Toc497546880"/>
      <w:bookmarkStart w:id="220" w:name="_Toc497712095"/>
      <w:bookmarkStart w:id="221" w:name="_Toc389620199"/>
      <w:bookmarkStart w:id="222" w:name="_Toc24562"/>
      <w:bookmarkStart w:id="223" w:name="_Toc25216"/>
      <w:bookmarkStart w:id="224" w:name="_Toc385992360"/>
      <w:bookmarkStart w:id="225" w:name="_Toc492955421"/>
      <w:bookmarkStart w:id="226" w:name="_Toc497551782"/>
      <w:bookmarkStart w:id="227" w:name="_Toc246928925"/>
      <w:bookmarkStart w:id="228" w:name="_Toc497711547"/>
      <w:bookmarkStart w:id="229" w:name="_Toc465958118"/>
      <w:bookmarkStart w:id="230" w:name="_Toc4915"/>
      <w:bookmarkStart w:id="231" w:name="_Toc2448"/>
      <w:r>
        <w:rPr>
          <w:rFonts w:hint="eastAsia" w:ascii="宋体" w:hAnsi="宋体" w:cs="宋体"/>
          <w:sz w:val="30"/>
          <w:szCs w:val="30"/>
        </w:rPr>
        <w:t>2</w:t>
      </w:r>
      <w:r>
        <w:rPr>
          <w:rFonts w:hint="eastAsia" w:ascii="宋体" w:hAnsi="宋体" w:cs="宋体"/>
          <w:sz w:val="30"/>
          <w:szCs w:val="30"/>
          <w:lang w:val="en-US" w:eastAsia="zh-CN"/>
        </w:rPr>
        <w:t>7</w:t>
      </w:r>
      <w:r>
        <w:rPr>
          <w:rFonts w:hint="eastAsia" w:ascii="宋体" w:hAnsi="宋体" w:cs="宋体"/>
          <w:sz w:val="30"/>
          <w:szCs w:val="30"/>
        </w:rPr>
        <w:t xml:space="preserve"> 谈判</w:t>
      </w:r>
    </w:p>
    <w:p w14:paraId="05EED6E9">
      <w:pPr>
        <w:adjustRightInd w:val="0"/>
        <w:spacing w:line="360" w:lineRule="auto"/>
        <w:rPr>
          <w:rFonts w:ascii="宋体" w:hAnsi="宋体" w:cs="宋体"/>
          <w:sz w:val="24"/>
        </w:rPr>
      </w:pPr>
      <w:r>
        <w:rPr>
          <w:rFonts w:hint="eastAsia" w:ascii="宋体" w:hAnsi="宋体" w:cs="宋体"/>
          <w:sz w:val="24"/>
        </w:rPr>
        <w:t>2</w:t>
      </w:r>
      <w:r>
        <w:rPr>
          <w:rFonts w:hint="eastAsia" w:ascii="宋体" w:hAnsi="宋体" w:cs="宋体"/>
          <w:sz w:val="24"/>
          <w:lang w:val="en-US" w:eastAsia="zh-CN"/>
        </w:rPr>
        <w:t>7</w:t>
      </w:r>
      <w:r>
        <w:rPr>
          <w:rFonts w:hint="eastAsia" w:ascii="宋体" w:hAnsi="宋体" w:cs="宋体"/>
          <w:sz w:val="24"/>
        </w:rPr>
        <w:t>.1谈判过程依次为记录第一次谈判投标报价（不对供应商公布）、竞争性谈判响应文件资格性审查、符合性审查、谈判与承诺、最后报价五个阶段。</w:t>
      </w:r>
    </w:p>
    <w:p w14:paraId="314F3BC2">
      <w:pPr>
        <w:adjustRightInd w:val="0"/>
        <w:spacing w:line="360" w:lineRule="auto"/>
        <w:ind w:firstLine="480" w:firstLineChars="200"/>
        <w:rPr>
          <w:rFonts w:ascii="宋体" w:hAnsi="宋体" w:cs="宋体"/>
          <w:sz w:val="24"/>
        </w:rPr>
      </w:pPr>
      <w:r>
        <w:rPr>
          <w:rFonts w:hint="eastAsia" w:ascii="宋体" w:hAnsi="宋体" w:cs="宋体"/>
          <w:sz w:val="24"/>
          <w:lang w:val="en-US" w:eastAsia="zh-CN"/>
        </w:rPr>
        <w:t>谈判</w:t>
      </w:r>
      <w:r>
        <w:rPr>
          <w:rFonts w:hint="eastAsia" w:ascii="宋体" w:hAnsi="宋体" w:cs="宋体"/>
          <w:sz w:val="24"/>
        </w:rPr>
        <w:t>小组对各供应商的资质证明文件进行评审，不符合竞争性谈判文件要求的按无效谈判响应处理，不得进入后续评审。</w:t>
      </w:r>
    </w:p>
    <w:p w14:paraId="4BD9F3C5">
      <w:pPr>
        <w:adjustRightInd w:val="0"/>
        <w:spacing w:line="360" w:lineRule="auto"/>
        <w:ind w:firstLine="480" w:firstLineChars="200"/>
        <w:rPr>
          <w:rFonts w:ascii="宋体" w:hAnsi="宋体" w:cs="宋体"/>
          <w:sz w:val="24"/>
        </w:rPr>
      </w:pPr>
      <w:r>
        <w:rPr>
          <w:rFonts w:hint="eastAsia" w:ascii="宋体" w:hAnsi="宋体" w:cs="宋体"/>
          <w:sz w:val="24"/>
        </w:rPr>
        <w:t>对通过资格审查的供应商，谈判小组对于各个供应商的竞争性谈判响应文件进行符合性审查，审查不合格者不进入下一步评审。</w:t>
      </w:r>
    </w:p>
    <w:p w14:paraId="3654F27F">
      <w:pPr>
        <w:snapToGrid w:val="0"/>
        <w:spacing w:line="360" w:lineRule="auto"/>
        <w:ind w:firstLine="480" w:firstLineChars="200"/>
        <w:rPr>
          <w:rFonts w:ascii="宋体" w:hAnsi="宋体" w:cs="宋体"/>
          <w:sz w:val="24"/>
        </w:rPr>
      </w:pPr>
      <w:r>
        <w:rPr>
          <w:rFonts w:hint="eastAsia" w:ascii="宋体" w:hAnsi="宋体" w:cs="宋体"/>
          <w:sz w:val="24"/>
        </w:rPr>
        <w:t>谈判采取背对背的方式。即谈判小组所有成员集中与各供应商分别进行一对一、面对面的谈判。谈判小组可以要求供应商对竞争性谈判响应文件含义不明确的内容做出必要的澄清或说明，供应商应采用书面形式进行澄清或说明，但不得超出竞争性谈判响应文件的范围或改变竞争性谈判响应文件的实质性内容。</w:t>
      </w:r>
    </w:p>
    <w:p w14:paraId="740E3ED6">
      <w:pPr>
        <w:snapToGrid w:val="0"/>
        <w:spacing w:line="360" w:lineRule="auto"/>
        <w:ind w:firstLine="480" w:firstLineChars="200"/>
        <w:rPr>
          <w:rFonts w:ascii="宋体" w:hAnsi="宋体" w:cs="宋体"/>
          <w:sz w:val="24"/>
        </w:rPr>
      </w:pPr>
      <w:r>
        <w:rPr>
          <w:rFonts w:hint="eastAsia" w:ascii="宋体" w:hAnsi="宋体" w:cs="宋体"/>
          <w:sz w:val="24"/>
        </w:rPr>
        <w:t>双方经过谈判，质量和服务均能满足采购文件实质性响应要求的供应商才具有最后报价的机会。</w:t>
      </w:r>
    </w:p>
    <w:p w14:paraId="0819AE92">
      <w:pPr>
        <w:spacing w:line="360" w:lineRule="auto"/>
        <w:rPr>
          <w:rFonts w:ascii="宋体" w:hAnsi="宋体" w:cs="宋体"/>
          <w:sz w:val="24"/>
        </w:rPr>
      </w:pPr>
      <w:r>
        <w:rPr>
          <w:rFonts w:hint="eastAsia" w:ascii="宋体" w:hAnsi="宋体" w:cs="宋体"/>
          <w:sz w:val="24"/>
          <w:lang w:val="en-US" w:eastAsia="zh-CN"/>
        </w:rPr>
        <w:t>27</w:t>
      </w:r>
      <w:r>
        <w:rPr>
          <w:rFonts w:hint="eastAsia" w:ascii="宋体" w:hAnsi="宋体" w:cs="宋体"/>
          <w:sz w:val="24"/>
        </w:rPr>
        <w:t>.2谈判后，供应商应按谈判小组规定的时间进行最后报价，各供应商请携带电脑现场进行最后报价，最后报价现场不对供应商公布。该谈判报价为不可更改价格，作为谈判小组推荐成交候选人的依据。</w:t>
      </w:r>
    </w:p>
    <w:p w14:paraId="530A7986">
      <w:pPr>
        <w:spacing w:line="360" w:lineRule="auto"/>
        <w:rPr>
          <w:rFonts w:ascii="宋体" w:hAnsi="宋体" w:cs="宋体"/>
          <w:sz w:val="24"/>
        </w:rPr>
      </w:pPr>
      <w:r>
        <w:rPr>
          <w:rFonts w:hint="eastAsia" w:ascii="宋体" w:hAnsi="宋体" w:cs="宋体"/>
          <w:sz w:val="24"/>
        </w:rPr>
        <w:t>2</w:t>
      </w:r>
      <w:r>
        <w:rPr>
          <w:rFonts w:hint="eastAsia" w:ascii="宋体" w:hAnsi="宋体" w:cs="宋体"/>
          <w:sz w:val="24"/>
          <w:lang w:val="en-US" w:eastAsia="zh-CN"/>
        </w:rPr>
        <w:t>7</w:t>
      </w:r>
      <w:r>
        <w:rPr>
          <w:rFonts w:hint="eastAsia" w:ascii="宋体" w:hAnsi="宋体" w:cs="宋体"/>
          <w:sz w:val="24"/>
        </w:rPr>
        <w:t>.3特殊情况处理：按相关法律法规执行。</w:t>
      </w:r>
    </w:p>
    <w:p w14:paraId="6F8B8583">
      <w:pPr>
        <w:spacing w:line="360" w:lineRule="auto"/>
        <w:rPr>
          <w:rFonts w:ascii="宋体" w:hAnsi="宋体" w:cs="宋体"/>
          <w:sz w:val="24"/>
        </w:rPr>
      </w:pPr>
      <w:r>
        <w:rPr>
          <w:rFonts w:hint="eastAsia" w:ascii="宋体" w:hAnsi="宋体" w:cs="宋体"/>
          <w:sz w:val="24"/>
        </w:rPr>
        <w:t>2</w:t>
      </w:r>
      <w:r>
        <w:rPr>
          <w:rFonts w:hint="eastAsia" w:ascii="宋体" w:hAnsi="宋体" w:cs="宋体"/>
          <w:sz w:val="24"/>
          <w:lang w:val="en-US" w:eastAsia="zh-CN"/>
        </w:rPr>
        <w:t>7</w:t>
      </w:r>
      <w:r>
        <w:rPr>
          <w:rFonts w:hint="eastAsia" w:ascii="宋体" w:hAnsi="宋体" w:cs="宋体"/>
          <w:sz w:val="24"/>
        </w:rPr>
        <w:t xml:space="preserve">.4评审方法：谈判小组从质量和服务均能满足采购文件实质性响应要求的供应商中，按照最后报价由低到高的顺序提出成交候选人。 </w:t>
      </w:r>
    </w:p>
    <w:p w14:paraId="091079D9">
      <w:pPr>
        <w:pStyle w:val="3"/>
        <w:spacing w:before="120" w:after="120"/>
        <w:rPr>
          <w:rFonts w:ascii="宋体" w:hAnsi="宋体" w:eastAsia="宋体" w:cs="宋体"/>
          <w:sz w:val="36"/>
        </w:rPr>
      </w:pPr>
      <w:r>
        <w:rPr>
          <w:rFonts w:hint="eastAsia" w:ascii="宋体" w:hAnsi="宋体" w:eastAsia="宋体" w:cs="宋体"/>
          <w:sz w:val="36"/>
        </w:rPr>
        <w:t>F</w:t>
      </w:r>
      <w:bookmarkStart w:id="232" w:name="_Hlt491765714"/>
      <w:bookmarkEnd w:id="232"/>
      <w:r>
        <w:rPr>
          <w:rFonts w:hint="eastAsia" w:ascii="宋体" w:hAnsi="宋体" w:eastAsia="宋体" w:cs="宋体"/>
          <w:sz w:val="36"/>
        </w:rPr>
        <w:t xml:space="preserve"> </w:t>
      </w:r>
      <w:bookmarkStart w:id="233" w:name="_Hlt497547134"/>
      <w:bookmarkEnd w:id="233"/>
      <w:r>
        <w:rPr>
          <w:rFonts w:hint="eastAsia" w:ascii="宋体" w:hAnsi="宋体" w:eastAsia="宋体" w:cs="宋体"/>
          <w:sz w:val="36"/>
        </w:rPr>
        <w:t>授予合同</w:t>
      </w:r>
      <w:bookmarkEnd w:id="219"/>
      <w:bookmarkEnd w:id="220"/>
      <w:bookmarkEnd w:id="221"/>
      <w:bookmarkEnd w:id="222"/>
      <w:bookmarkEnd w:id="223"/>
      <w:bookmarkEnd w:id="224"/>
      <w:bookmarkEnd w:id="225"/>
      <w:bookmarkEnd w:id="226"/>
      <w:bookmarkEnd w:id="227"/>
      <w:bookmarkEnd w:id="228"/>
      <w:bookmarkEnd w:id="229"/>
      <w:bookmarkEnd w:id="230"/>
      <w:bookmarkEnd w:id="231"/>
    </w:p>
    <w:p w14:paraId="56ADCCE1">
      <w:pPr>
        <w:pStyle w:val="4"/>
        <w:spacing w:beforeLines="50" w:afterLines="50" w:line="360" w:lineRule="auto"/>
        <w:rPr>
          <w:rFonts w:ascii="宋体" w:hAnsi="宋体" w:cs="宋体"/>
          <w:sz w:val="30"/>
          <w:szCs w:val="30"/>
        </w:rPr>
      </w:pPr>
      <w:bookmarkStart w:id="234" w:name="_Toc17220"/>
      <w:bookmarkStart w:id="235" w:name="_Toc30376"/>
      <w:bookmarkStart w:id="236" w:name="_Toc465958119"/>
      <w:bookmarkStart w:id="237" w:name="_Toc21436"/>
      <w:bookmarkStart w:id="238" w:name="_Toc9423"/>
      <w:bookmarkStart w:id="239" w:name="_Toc389620200"/>
      <w:bookmarkStart w:id="240" w:name="_Toc246928926"/>
      <w:bookmarkStart w:id="241" w:name="_Toc385992361"/>
      <w:bookmarkStart w:id="242" w:name="_Toc264"/>
      <w:bookmarkStart w:id="243" w:name="_Toc385992366"/>
      <w:bookmarkStart w:id="244" w:name="_Toc5090"/>
      <w:bookmarkStart w:id="245" w:name="_Toc15641"/>
      <w:bookmarkStart w:id="246" w:name="_Toc246928928"/>
      <w:bookmarkStart w:id="247" w:name="_Toc6603"/>
      <w:bookmarkStart w:id="248" w:name="_Toc9330"/>
      <w:bookmarkStart w:id="249" w:name="_Toc30811"/>
      <w:bookmarkStart w:id="250" w:name="_Toc465958121"/>
      <w:bookmarkStart w:id="251" w:name="_Toc389620205"/>
      <w:r>
        <w:rPr>
          <w:rFonts w:hint="eastAsia" w:ascii="宋体" w:hAnsi="宋体" w:cs="宋体"/>
          <w:sz w:val="30"/>
          <w:szCs w:val="30"/>
        </w:rPr>
        <w:t>2</w:t>
      </w:r>
      <w:r>
        <w:rPr>
          <w:rFonts w:hint="eastAsia" w:ascii="宋体" w:hAnsi="宋体" w:cs="宋体"/>
          <w:sz w:val="30"/>
          <w:szCs w:val="30"/>
          <w:lang w:val="en-US" w:eastAsia="zh-CN"/>
        </w:rPr>
        <w:t>8</w:t>
      </w:r>
      <w:r>
        <w:rPr>
          <w:rFonts w:hint="eastAsia" w:ascii="宋体" w:hAnsi="宋体" w:cs="宋体"/>
          <w:sz w:val="30"/>
          <w:szCs w:val="30"/>
        </w:rPr>
        <w:t xml:space="preserve"> 成交准则</w:t>
      </w:r>
      <w:bookmarkEnd w:id="234"/>
      <w:bookmarkEnd w:id="235"/>
      <w:bookmarkEnd w:id="236"/>
      <w:bookmarkEnd w:id="237"/>
      <w:bookmarkEnd w:id="238"/>
      <w:bookmarkEnd w:id="239"/>
      <w:bookmarkEnd w:id="240"/>
      <w:bookmarkEnd w:id="241"/>
      <w:bookmarkEnd w:id="242"/>
    </w:p>
    <w:p w14:paraId="326AA0CC">
      <w:pPr>
        <w:spacing w:before="120" w:line="360" w:lineRule="auto"/>
        <w:rPr>
          <w:rFonts w:ascii="宋体" w:hAnsi="宋体" w:cs="宋体"/>
          <w:sz w:val="24"/>
        </w:rPr>
      </w:pPr>
      <w:r>
        <w:rPr>
          <w:rFonts w:hint="eastAsia" w:ascii="宋体" w:hAnsi="宋体" w:cs="宋体"/>
          <w:sz w:val="24"/>
        </w:rPr>
        <w:t>2</w:t>
      </w:r>
      <w:r>
        <w:rPr>
          <w:rFonts w:hint="eastAsia" w:ascii="宋体" w:hAnsi="宋体" w:cs="宋体"/>
          <w:sz w:val="24"/>
          <w:lang w:val="en-US" w:eastAsia="zh-CN"/>
        </w:rPr>
        <w:t>8</w:t>
      </w:r>
      <w:r>
        <w:rPr>
          <w:rFonts w:hint="eastAsia" w:ascii="宋体" w:hAnsi="宋体" w:cs="宋体"/>
          <w:sz w:val="24"/>
        </w:rPr>
        <w:t>.1合同将授予竞争性谈判响应文件符合竞争性谈判文件要求、并能圆满地履行合同、对采购人最为有利且价格最低的供应商。</w:t>
      </w:r>
    </w:p>
    <w:p w14:paraId="16FC28D1">
      <w:pPr>
        <w:spacing w:line="360" w:lineRule="auto"/>
        <w:rPr>
          <w:rFonts w:ascii="宋体" w:hAnsi="宋体" w:cs="宋体"/>
          <w:sz w:val="24"/>
        </w:rPr>
      </w:pPr>
      <w:r>
        <w:rPr>
          <w:rFonts w:hint="eastAsia" w:ascii="宋体" w:hAnsi="宋体" w:cs="宋体"/>
          <w:sz w:val="24"/>
        </w:rPr>
        <w:t>2</w:t>
      </w:r>
      <w:r>
        <w:rPr>
          <w:rFonts w:hint="eastAsia" w:ascii="宋体" w:hAnsi="宋体" w:cs="宋体"/>
          <w:sz w:val="24"/>
          <w:lang w:val="en-US" w:eastAsia="zh-CN"/>
        </w:rPr>
        <w:t>8</w:t>
      </w:r>
      <w:r>
        <w:rPr>
          <w:rFonts w:hint="eastAsia" w:ascii="宋体" w:hAnsi="宋体" w:cs="宋体"/>
          <w:sz w:val="24"/>
        </w:rPr>
        <w:t>.2谈判小组将根据评审方法推荐成交候选供应商名单。</w:t>
      </w:r>
      <w:bookmarkStart w:id="252" w:name="_Toc389620201"/>
      <w:bookmarkStart w:id="253" w:name="_Toc385992362"/>
    </w:p>
    <w:p w14:paraId="65663CFA">
      <w:pPr>
        <w:spacing w:line="360" w:lineRule="auto"/>
        <w:rPr>
          <w:rFonts w:ascii="宋体" w:hAnsi="宋体" w:cs="宋体"/>
          <w:sz w:val="24"/>
        </w:rPr>
      </w:pPr>
      <w:r>
        <w:rPr>
          <w:rFonts w:hint="eastAsia" w:ascii="宋体" w:hAnsi="宋体" w:cs="宋体"/>
          <w:sz w:val="24"/>
        </w:rPr>
        <w:t>2</w:t>
      </w:r>
      <w:r>
        <w:rPr>
          <w:rFonts w:hint="eastAsia" w:ascii="宋体" w:hAnsi="宋体" w:cs="宋体"/>
          <w:sz w:val="24"/>
          <w:lang w:val="en-US" w:eastAsia="zh-CN"/>
        </w:rPr>
        <w:t>8</w:t>
      </w:r>
      <w:r>
        <w:rPr>
          <w:rFonts w:hint="eastAsia" w:ascii="宋体" w:hAnsi="宋体" w:cs="宋体"/>
          <w:sz w:val="24"/>
        </w:rPr>
        <w:t>.3采购代理机构在评审结束后将评审报告送采购人，采购人在收到评审报告后按照评审报告中推荐的成交候选供应商顺序确定成交供应商。</w:t>
      </w:r>
    </w:p>
    <w:p w14:paraId="2398EA3F">
      <w:pPr>
        <w:spacing w:line="360" w:lineRule="auto"/>
        <w:rPr>
          <w:rFonts w:ascii="宋体" w:hAnsi="宋体" w:cs="宋体"/>
          <w:sz w:val="24"/>
        </w:rPr>
      </w:pPr>
      <w:r>
        <w:rPr>
          <w:rFonts w:hint="eastAsia" w:ascii="宋体" w:hAnsi="宋体" w:cs="宋体"/>
          <w:sz w:val="24"/>
        </w:rPr>
        <w:t>2</w:t>
      </w:r>
      <w:r>
        <w:rPr>
          <w:rFonts w:hint="eastAsia" w:ascii="宋体" w:hAnsi="宋体" w:cs="宋体"/>
          <w:sz w:val="24"/>
          <w:lang w:val="en-US" w:eastAsia="zh-CN"/>
        </w:rPr>
        <w:t>8</w:t>
      </w:r>
      <w:r>
        <w:rPr>
          <w:rFonts w:hint="eastAsia" w:ascii="宋体" w:hAnsi="宋体" w:cs="宋体"/>
          <w:sz w:val="24"/>
        </w:rPr>
        <w:t>.4成交供应商因不可抗力或自身原因不能履行政府采购合同的，采购人可以再排位在成交供应商之后的第一位的成交候选供应商签订政府采购合同，以此类推。</w:t>
      </w:r>
    </w:p>
    <w:bookmarkEnd w:id="252"/>
    <w:bookmarkEnd w:id="253"/>
    <w:p w14:paraId="1BCB7A45">
      <w:pPr>
        <w:pStyle w:val="4"/>
        <w:spacing w:beforeLines="50" w:afterLines="50" w:line="360" w:lineRule="auto"/>
        <w:rPr>
          <w:rFonts w:ascii="宋体" w:hAnsi="宋体" w:cs="宋体"/>
          <w:sz w:val="30"/>
          <w:szCs w:val="30"/>
        </w:rPr>
      </w:pPr>
      <w:bookmarkStart w:id="254" w:name="_Toc389620203"/>
      <w:bookmarkStart w:id="255" w:name="_Toc385992364"/>
      <w:bookmarkStart w:id="256" w:name="_Toc246928927"/>
      <w:bookmarkStart w:id="257" w:name="_Toc21691"/>
      <w:bookmarkStart w:id="258" w:name="_Toc465958120"/>
      <w:bookmarkStart w:id="259" w:name="_Toc12205"/>
      <w:bookmarkStart w:id="260" w:name="_Toc19435"/>
      <w:bookmarkStart w:id="261" w:name="_Toc30974"/>
      <w:bookmarkStart w:id="262" w:name="_Toc19328"/>
      <w:r>
        <w:rPr>
          <w:rFonts w:hint="eastAsia" w:ascii="宋体" w:hAnsi="宋体" w:cs="宋体"/>
          <w:sz w:val="30"/>
          <w:szCs w:val="30"/>
          <w:lang w:val="en-US" w:eastAsia="zh-CN"/>
        </w:rPr>
        <w:t>29</w:t>
      </w:r>
      <w:r>
        <w:rPr>
          <w:rFonts w:hint="eastAsia" w:ascii="宋体" w:hAnsi="宋体" w:cs="宋体"/>
          <w:sz w:val="30"/>
          <w:szCs w:val="30"/>
        </w:rPr>
        <w:t xml:space="preserve"> </w:t>
      </w:r>
      <w:bookmarkEnd w:id="254"/>
      <w:bookmarkEnd w:id="255"/>
      <w:r>
        <w:rPr>
          <w:rFonts w:hint="eastAsia" w:ascii="宋体" w:hAnsi="宋体" w:cs="宋体"/>
          <w:sz w:val="30"/>
          <w:szCs w:val="30"/>
        </w:rPr>
        <w:t>成交通知</w:t>
      </w:r>
      <w:bookmarkEnd w:id="256"/>
      <w:r>
        <w:rPr>
          <w:rFonts w:hint="eastAsia" w:ascii="宋体" w:hAnsi="宋体" w:cs="宋体"/>
          <w:sz w:val="30"/>
          <w:szCs w:val="30"/>
        </w:rPr>
        <w:t>书</w:t>
      </w:r>
      <w:bookmarkEnd w:id="257"/>
      <w:bookmarkEnd w:id="258"/>
      <w:bookmarkEnd w:id="259"/>
      <w:bookmarkEnd w:id="260"/>
      <w:bookmarkEnd w:id="261"/>
      <w:bookmarkEnd w:id="262"/>
    </w:p>
    <w:p w14:paraId="263275C0">
      <w:pPr>
        <w:spacing w:line="360" w:lineRule="auto"/>
        <w:rPr>
          <w:rFonts w:ascii="宋体" w:hAnsi="宋体" w:cs="宋体"/>
          <w:sz w:val="24"/>
        </w:rPr>
      </w:pPr>
      <w:r>
        <w:rPr>
          <w:rFonts w:hint="eastAsia" w:ascii="宋体" w:hAnsi="宋体" w:cs="宋体"/>
          <w:sz w:val="24"/>
          <w:lang w:val="en-US" w:eastAsia="zh-CN"/>
        </w:rPr>
        <w:t>29</w:t>
      </w:r>
      <w:r>
        <w:rPr>
          <w:rFonts w:hint="eastAsia" w:ascii="宋体" w:hAnsi="宋体" w:cs="宋体"/>
          <w:sz w:val="24"/>
        </w:rPr>
        <w:t>.1 在谈判有效期内，确定成交供应商后，成交结果在财政部门指定的政府采购信息发布媒体上公告。</w:t>
      </w:r>
    </w:p>
    <w:p w14:paraId="6CCB75E1">
      <w:pPr>
        <w:spacing w:line="360" w:lineRule="auto"/>
        <w:rPr>
          <w:rFonts w:ascii="宋体" w:hAnsi="宋体" w:cs="宋体"/>
          <w:sz w:val="24"/>
        </w:rPr>
      </w:pPr>
      <w:r>
        <w:rPr>
          <w:rFonts w:hint="eastAsia" w:ascii="宋体" w:hAnsi="宋体" w:cs="宋体"/>
          <w:sz w:val="24"/>
          <w:lang w:val="en-US" w:eastAsia="zh-CN"/>
        </w:rPr>
        <w:t>29</w:t>
      </w:r>
      <w:r>
        <w:rPr>
          <w:rFonts w:hint="eastAsia" w:ascii="宋体" w:hAnsi="宋体" w:cs="宋体"/>
          <w:sz w:val="24"/>
        </w:rPr>
        <w:t xml:space="preserve">.2 采购代理机构向成交供应商发出成交通知书。 </w:t>
      </w:r>
    </w:p>
    <w:p w14:paraId="3D4E402C">
      <w:pPr>
        <w:spacing w:line="360" w:lineRule="auto"/>
        <w:rPr>
          <w:rFonts w:ascii="宋体" w:hAnsi="宋体" w:cs="宋体"/>
          <w:sz w:val="24"/>
        </w:rPr>
      </w:pPr>
      <w:r>
        <w:rPr>
          <w:rFonts w:hint="eastAsia" w:ascii="宋体" w:hAnsi="宋体" w:cs="宋体"/>
          <w:sz w:val="24"/>
          <w:lang w:val="en-US" w:eastAsia="zh-CN"/>
        </w:rPr>
        <w:t>29</w:t>
      </w:r>
      <w:r>
        <w:rPr>
          <w:rFonts w:hint="eastAsia" w:ascii="宋体" w:hAnsi="宋体" w:cs="宋体"/>
          <w:sz w:val="24"/>
        </w:rPr>
        <w:t>.3 成交通知书将作为签订合同的依据。</w:t>
      </w:r>
    </w:p>
    <w:p w14:paraId="342C6ECD">
      <w:pPr>
        <w:spacing w:line="360" w:lineRule="auto"/>
        <w:rPr>
          <w:rFonts w:ascii="宋体" w:hAnsi="宋体" w:cs="宋体"/>
          <w:sz w:val="24"/>
        </w:rPr>
      </w:pPr>
      <w:r>
        <w:rPr>
          <w:rFonts w:hint="eastAsia" w:ascii="宋体" w:hAnsi="宋体" w:cs="宋体"/>
          <w:sz w:val="24"/>
          <w:lang w:val="en-US" w:eastAsia="zh-CN"/>
        </w:rPr>
        <w:t>29</w:t>
      </w:r>
      <w:r>
        <w:rPr>
          <w:rFonts w:hint="eastAsia" w:ascii="宋体" w:hAnsi="宋体" w:cs="宋体"/>
          <w:sz w:val="24"/>
        </w:rPr>
        <w:t>.4 对未成交者，采购人不做出解释，同时亦不退还竞争性谈判响应文件。</w:t>
      </w:r>
    </w:p>
    <w:bookmarkEnd w:id="243"/>
    <w:bookmarkEnd w:id="244"/>
    <w:bookmarkEnd w:id="245"/>
    <w:bookmarkEnd w:id="246"/>
    <w:bookmarkEnd w:id="247"/>
    <w:bookmarkEnd w:id="248"/>
    <w:bookmarkEnd w:id="249"/>
    <w:bookmarkEnd w:id="250"/>
    <w:bookmarkEnd w:id="251"/>
    <w:p w14:paraId="7440C275">
      <w:pPr>
        <w:pStyle w:val="4"/>
        <w:spacing w:beforeLines="50" w:afterLines="50" w:line="360" w:lineRule="auto"/>
        <w:rPr>
          <w:rFonts w:ascii="宋体" w:hAnsi="宋体" w:cs="宋体"/>
          <w:sz w:val="30"/>
          <w:szCs w:val="30"/>
        </w:rPr>
      </w:pPr>
      <w:bookmarkStart w:id="263" w:name="_Toc20377"/>
      <w:bookmarkStart w:id="264" w:name="_Toc385992368"/>
      <w:bookmarkStart w:id="265" w:name="_Toc9873"/>
      <w:bookmarkStart w:id="266" w:name="_Toc23291"/>
      <w:bookmarkStart w:id="267" w:name="_Toc23493"/>
      <w:bookmarkStart w:id="268" w:name="_Toc389620207"/>
      <w:bookmarkStart w:id="269" w:name="_Toc11754"/>
      <w:bookmarkStart w:id="270" w:name="_Toc246928929"/>
      <w:bookmarkStart w:id="271" w:name="_Toc465958122"/>
      <w:r>
        <w:rPr>
          <w:rFonts w:hint="eastAsia" w:ascii="宋体" w:hAnsi="宋体" w:cs="宋体"/>
          <w:sz w:val="30"/>
          <w:szCs w:val="30"/>
        </w:rPr>
        <w:t>3</w:t>
      </w:r>
      <w:r>
        <w:rPr>
          <w:rFonts w:hint="eastAsia" w:ascii="宋体" w:hAnsi="宋体" w:cs="宋体"/>
          <w:sz w:val="30"/>
          <w:szCs w:val="30"/>
          <w:lang w:val="en-US" w:eastAsia="zh-CN"/>
        </w:rPr>
        <w:t>0</w:t>
      </w:r>
      <w:r>
        <w:rPr>
          <w:rFonts w:hint="eastAsia" w:ascii="宋体" w:hAnsi="宋体" w:cs="宋体"/>
          <w:sz w:val="30"/>
          <w:szCs w:val="30"/>
        </w:rPr>
        <w:t xml:space="preserve"> 签订合同</w:t>
      </w:r>
    </w:p>
    <w:p w14:paraId="1682137F">
      <w:pPr>
        <w:spacing w:line="360" w:lineRule="auto"/>
        <w:rPr>
          <w:rFonts w:ascii="宋体" w:hAnsi="宋体" w:cs="宋体"/>
          <w:sz w:val="24"/>
        </w:rPr>
      </w:pPr>
      <w:r>
        <w:rPr>
          <w:rFonts w:hint="eastAsia" w:ascii="宋体" w:hAnsi="宋体" w:cs="宋体"/>
          <w:sz w:val="24"/>
        </w:rPr>
        <w:t>3</w:t>
      </w:r>
      <w:r>
        <w:rPr>
          <w:rFonts w:hint="eastAsia" w:ascii="宋体" w:hAnsi="宋体" w:cs="宋体"/>
          <w:sz w:val="24"/>
          <w:lang w:val="en-US" w:eastAsia="zh-CN"/>
        </w:rPr>
        <w:t>0</w:t>
      </w:r>
      <w:r>
        <w:rPr>
          <w:rFonts w:hint="eastAsia" w:ascii="宋体" w:hAnsi="宋体" w:cs="宋体"/>
          <w:sz w:val="24"/>
        </w:rPr>
        <w:t>.1成交供应商应当自成交通知书发出之日起</w:t>
      </w:r>
      <w:r>
        <w:rPr>
          <w:rFonts w:hint="eastAsia" w:ascii="宋体" w:hAnsi="宋体" w:cs="宋体"/>
          <w:sz w:val="24"/>
          <w:lang w:val="en-US" w:eastAsia="zh-CN"/>
        </w:rPr>
        <w:t>1</w:t>
      </w:r>
      <w:r>
        <w:rPr>
          <w:rFonts w:hint="eastAsia" w:ascii="宋体" w:hAnsi="宋体" w:cs="宋体"/>
          <w:sz w:val="24"/>
        </w:rPr>
        <w:t>0日内，按照竞争性谈判文件确定的事项和成交供应商的竞争性谈判响应文件与采购人签订政府采购合同；成交通知书发出后采购人改变成交结果的，或者成交供应商放弃成交项目的，应当依法承担法律责任。采购人可以按照评审报告推荐的成交候选人名单顺序，确定下一候选人为成交供应商，也可以重新开展政府采购活动。</w:t>
      </w:r>
    </w:p>
    <w:p w14:paraId="3EBBD1C8">
      <w:pPr>
        <w:spacing w:line="360" w:lineRule="auto"/>
        <w:rPr>
          <w:rFonts w:ascii="宋体" w:hAnsi="宋体" w:cs="宋体"/>
          <w:sz w:val="24"/>
        </w:rPr>
      </w:pPr>
      <w:r>
        <w:rPr>
          <w:rFonts w:hint="eastAsia" w:ascii="宋体" w:hAnsi="宋体" w:cs="宋体"/>
          <w:sz w:val="24"/>
        </w:rPr>
        <w:t>3</w:t>
      </w:r>
      <w:r>
        <w:rPr>
          <w:rFonts w:hint="eastAsia" w:ascii="宋体" w:hAnsi="宋体" w:cs="宋体"/>
          <w:sz w:val="24"/>
          <w:lang w:val="en-US" w:eastAsia="zh-CN"/>
        </w:rPr>
        <w:t>0</w:t>
      </w:r>
      <w:r>
        <w:rPr>
          <w:rFonts w:hint="eastAsia" w:ascii="宋体" w:hAnsi="宋体" w:cs="宋体"/>
          <w:sz w:val="24"/>
        </w:rPr>
        <w:t>.2 竞争性谈判文件、成交供应商的竞争性谈判响应文件和补充文件（如澄清、承诺等）等，均为签订合同的依据。所签订的合同不得对竞争性谈判文件和成交供应商竞争性谈判响应文件作实质性修改。</w:t>
      </w:r>
    </w:p>
    <w:bookmarkEnd w:id="263"/>
    <w:bookmarkEnd w:id="264"/>
    <w:bookmarkEnd w:id="265"/>
    <w:bookmarkEnd w:id="266"/>
    <w:bookmarkEnd w:id="267"/>
    <w:bookmarkEnd w:id="268"/>
    <w:bookmarkEnd w:id="269"/>
    <w:bookmarkEnd w:id="270"/>
    <w:bookmarkEnd w:id="271"/>
    <w:p w14:paraId="4A375FE8">
      <w:pPr>
        <w:pStyle w:val="4"/>
        <w:spacing w:beforeLines="50" w:afterLines="50" w:line="360" w:lineRule="auto"/>
        <w:rPr>
          <w:rFonts w:ascii="宋体" w:hAnsi="宋体" w:cs="宋体"/>
          <w:sz w:val="30"/>
          <w:szCs w:val="30"/>
        </w:rPr>
      </w:pPr>
      <w:r>
        <w:rPr>
          <w:rFonts w:hint="eastAsia" w:ascii="宋体" w:hAnsi="宋体" w:cs="宋体"/>
          <w:sz w:val="30"/>
          <w:szCs w:val="30"/>
        </w:rPr>
        <w:t>3</w:t>
      </w:r>
      <w:r>
        <w:rPr>
          <w:rFonts w:hint="eastAsia" w:ascii="宋体" w:hAnsi="宋体" w:cs="宋体"/>
          <w:sz w:val="30"/>
          <w:szCs w:val="30"/>
          <w:lang w:val="en-US" w:eastAsia="zh-CN"/>
        </w:rPr>
        <w:t>1</w:t>
      </w:r>
      <w:r>
        <w:rPr>
          <w:rFonts w:hint="eastAsia" w:ascii="宋体" w:hAnsi="宋体" w:cs="宋体"/>
          <w:sz w:val="30"/>
          <w:szCs w:val="30"/>
        </w:rPr>
        <w:t xml:space="preserve"> 招标代理服务费 </w:t>
      </w:r>
    </w:p>
    <w:p w14:paraId="119CD357">
      <w:pPr>
        <w:spacing w:line="360" w:lineRule="auto"/>
        <w:rPr>
          <w:rFonts w:ascii="宋体" w:hAnsi="宋体" w:cs="仿宋_GB2312"/>
          <w:sz w:val="24"/>
          <w:szCs w:val="24"/>
        </w:rPr>
      </w:pPr>
      <w:r>
        <w:rPr>
          <w:rFonts w:hint="eastAsia" w:ascii="宋体" w:hAnsi="宋体" w:cs="宋体"/>
          <w:sz w:val="24"/>
        </w:rPr>
        <w:t>3</w:t>
      </w:r>
      <w:r>
        <w:rPr>
          <w:rFonts w:hint="eastAsia" w:ascii="宋体" w:hAnsi="宋体" w:cs="宋体"/>
          <w:sz w:val="24"/>
          <w:lang w:val="en-US" w:eastAsia="zh-CN"/>
        </w:rPr>
        <w:t>1</w:t>
      </w:r>
      <w:r>
        <w:rPr>
          <w:rFonts w:hint="eastAsia" w:ascii="宋体" w:hAnsi="宋体" w:cs="宋体"/>
          <w:sz w:val="24"/>
        </w:rPr>
        <w:t xml:space="preserve">.1  </w:t>
      </w:r>
      <w:r>
        <w:rPr>
          <w:rFonts w:hint="eastAsia" w:ascii="宋体" w:hAnsi="宋体" w:cs="仿宋_GB2312"/>
          <w:sz w:val="24"/>
          <w:szCs w:val="24"/>
        </w:rPr>
        <w:t>招标代理服务费的收取参见国家计委颁布的《招标代理服务收费管理暂行办法》（计价格[2002]1980号）和（发改办价格[2011]534号）中</w:t>
      </w:r>
      <w:r>
        <w:rPr>
          <w:rFonts w:hint="eastAsia" w:ascii="宋体" w:hAnsi="宋体"/>
          <w:sz w:val="24"/>
        </w:rPr>
        <w:t>规定的差额定律累进法计算,向成交单位收取。</w:t>
      </w:r>
    </w:p>
    <w:p w14:paraId="22D8D1DB">
      <w:pPr>
        <w:spacing w:line="360" w:lineRule="auto"/>
        <w:rPr>
          <w:rFonts w:ascii="宋体" w:hAnsi="宋体" w:cs="宋体"/>
          <w:sz w:val="24"/>
          <w:highlight w:val="yellow"/>
        </w:rPr>
      </w:pPr>
      <w:r>
        <w:rPr>
          <w:rFonts w:hint="eastAsia" w:ascii="宋体" w:hAnsi="宋体" w:cs="仿宋_GB2312"/>
          <w:sz w:val="24"/>
          <w:szCs w:val="24"/>
        </w:rPr>
        <w:t>3</w:t>
      </w:r>
      <w:r>
        <w:rPr>
          <w:rFonts w:hint="eastAsia" w:ascii="宋体" w:hAnsi="宋体" w:cs="仿宋_GB2312"/>
          <w:sz w:val="24"/>
          <w:szCs w:val="24"/>
          <w:lang w:val="en-US" w:eastAsia="zh-CN"/>
        </w:rPr>
        <w:t>1</w:t>
      </w:r>
      <w:r>
        <w:rPr>
          <w:rFonts w:hint="eastAsia" w:ascii="宋体" w:hAnsi="宋体" w:cs="仿宋_GB2312"/>
          <w:sz w:val="24"/>
          <w:szCs w:val="24"/>
        </w:rPr>
        <w:t>.2  成交单位在领取成交通知书前，须向采购代理机构一次性支付招标代理服务费。</w:t>
      </w:r>
    </w:p>
    <w:p w14:paraId="0C9658BC">
      <w:pPr>
        <w:pStyle w:val="4"/>
        <w:spacing w:before="120" w:after="120" w:line="360" w:lineRule="auto"/>
        <w:rPr>
          <w:rFonts w:ascii="宋体" w:hAnsi="宋体" w:cs="宋体"/>
          <w:szCs w:val="22"/>
        </w:rPr>
      </w:pPr>
      <w:bookmarkStart w:id="272" w:name="_Hlt497548036"/>
      <w:bookmarkEnd w:id="272"/>
      <w:bookmarkStart w:id="273" w:name="_Toc497711585"/>
      <w:bookmarkStart w:id="274" w:name="_Toc10852"/>
      <w:bookmarkStart w:id="275" w:name="_Toc497712133"/>
      <w:bookmarkStart w:id="276" w:name="_Toc497551820"/>
      <w:bookmarkStart w:id="277" w:name="_Toc28607"/>
      <w:bookmarkStart w:id="278" w:name="_Toc497546918"/>
      <w:bookmarkStart w:id="279" w:name="_Toc492955459"/>
      <w:bookmarkStart w:id="280" w:name="_Toc13928"/>
      <w:bookmarkStart w:id="281" w:name="_Toc93800308"/>
      <w:bookmarkStart w:id="282" w:name="_Toc347478708"/>
      <w:bookmarkStart w:id="283" w:name="_Toc9748"/>
      <w:bookmarkStart w:id="284" w:name="_Toc389620242"/>
      <w:bookmarkStart w:id="285" w:name="_Toc246928960"/>
      <w:bookmarkStart w:id="286" w:name="_Toc497546919"/>
      <w:bookmarkStart w:id="287" w:name="_Toc497711586"/>
      <w:bookmarkStart w:id="288" w:name="_Toc492955460"/>
      <w:bookmarkStart w:id="289" w:name="_Toc497712134"/>
      <w:bookmarkStart w:id="290" w:name="_Toc497551821"/>
      <w:bookmarkStart w:id="291" w:name="_Toc385992402"/>
      <w:r>
        <w:rPr>
          <w:rFonts w:hint="eastAsia" w:ascii="宋体" w:hAnsi="宋体" w:cs="宋体"/>
          <w:szCs w:val="22"/>
        </w:rPr>
        <w:t>3</w:t>
      </w:r>
      <w:r>
        <w:rPr>
          <w:rFonts w:hint="eastAsia" w:ascii="宋体" w:hAnsi="宋体" w:cs="宋体"/>
          <w:szCs w:val="22"/>
          <w:lang w:val="en-US" w:eastAsia="zh-CN"/>
        </w:rPr>
        <w:t>2</w:t>
      </w:r>
      <w:r>
        <w:rPr>
          <w:rFonts w:hint="eastAsia" w:ascii="宋体" w:hAnsi="宋体" w:cs="宋体"/>
          <w:szCs w:val="22"/>
        </w:rPr>
        <w:t xml:space="preserve"> 其他</w:t>
      </w:r>
    </w:p>
    <w:p w14:paraId="59739EBC">
      <w:pPr>
        <w:spacing w:line="360" w:lineRule="auto"/>
        <w:ind w:firstLine="480" w:firstLineChars="200"/>
        <w:rPr>
          <w:rFonts w:ascii="宋体" w:hAnsi="宋体" w:cs="宋体"/>
          <w:sz w:val="24"/>
        </w:rPr>
      </w:pPr>
      <w:r>
        <w:rPr>
          <w:rFonts w:hint="eastAsia" w:ascii="宋体" w:hAnsi="宋体" w:cs="宋体"/>
          <w:sz w:val="24"/>
          <w:szCs w:val="24"/>
        </w:rPr>
        <w:t>谈判截止时间结束后，参加投标的投标人不足3家，或在评标期间，出现符合条件的投标人或者对竞争性谈判文件做出实质性响应的投标人不足3家的，按照中华人民共和国财政部令第87号《政府采购货物和服务招标投标管理办法》第四十一条、第四十三条、第四十四条等相关条款处理。</w:t>
      </w:r>
    </w:p>
    <w:p w14:paraId="382AA0DD">
      <w:pPr>
        <w:pStyle w:val="4"/>
        <w:spacing w:before="120" w:after="120" w:line="360" w:lineRule="auto"/>
        <w:rPr>
          <w:rFonts w:ascii="宋体" w:hAnsi="宋体" w:cs="宋体"/>
          <w:szCs w:val="22"/>
        </w:rPr>
      </w:pPr>
      <w:r>
        <w:rPr>
          <w:rFonts w:hint="eastAsia" w:ascii="宋体" w:hAnsi="宋体" w:cs="宋体"/>
          <w:szCs w:val="22"/>
        </w:rPr>
        <w:t>3</w:t>
      </w:r>
      <w:r>
        <w:rPr>
          <w:rFonts w:hint="eastAsia" w:ascii="宋体" w:hAnsi="宋体" w:cs="宋体"/>
          <w:szCs w:val="22"/>
          <w:lang w:val="en-US" w:eastAsia="zh-CN"/>
        </w:rPr>
        <w:t>3</w:t>
      </w:r>
      <w:r>
        <w:rPr>
          <w:rFonts w:hint="eastAsia" w:ascii="宋体" w:hAnsi="宋体" w:cs="宋体"/>
          <w:szCs w:val="22"/>
        </w:rPr>
        <w:t xml:space="preserve"> 质疑提出与答复</w:t>
      </w:r>
    </w:p>
    <w:p w14:paraId="216A9E99">
      <w:pPr>
        <w:pStyle w:val="18"/>
        <w:adjustRightInd w:val="0"/>
        <w:snapToGrid w:val="0"/>
        <w:spacing w:before="0" w:beforeAutospacing="0" w:after="0" w:afterAutospacing="0" w:line="420" w:lineRule="exact"/>
        <w:ind w:firstLine="360" w:firstLineChars="150"/>
      </w:pPr>
      <w:r>
        <w:rPr>
          <w:rFonts w:hint="eastAsia"/>
        </w:rPr>
        <w:t>供应商如果认为采购程序、采购过程或中标结果使自身的合法权益受到损害，可以在知道或者应知其权益受到损害之日起7个工作日内，以书面形式向采购代理机构提出。</w:t>
      </w:r>
    </w:p>
    <w:p w14:paraId="35A30014">
      <w:pPr>
        <w:pStyle w:val="18"/>
        <w:adjustRightInd w:val="0"/>
        <w:snapToGrid w:val="0"/>
        <w:spacing w:before="0" w:beforeAutospacing="0" w:after="0" w:afterAutospacing="0" w:line="420" w:lineRule="exact"/>
        <w:ind w:firstLine="360" w:firstLineChars="150"/>
      </w:pPr>
      <w:r>
        <w:rPr>
          <w:rFonts w:hint="eastAsia"/>
        </w:rPr>
        <w:t>1、供应商提出质疑应当提交质疑函和必要的证明材料，并按财政部《质疑函范本》给定的格式进行填写，范本下载详见【财政部国库司（gks.mof.gov.cn）】网站〖首页•〉政府采购管理〗栏目中的《政府采购供应商质疑函范本》。</w:t>
      </w:r>
    </w:p>
    <w:p w14:paraId="2810B818">
      <w:pPr>
        <w:pStyle w:val="18"/>
        <w:adjustRightInd w:val="0"/>
        <w:snapToGrid w:val="0"/>
        <w:spacing w:before="0" w:beforeAutospacing="0" w:after="0" w:afterAutospacing="0" w:line="420" w:lineRule="exact"/>
        <w:ind w:firstLine="360" w:firstLineChars="150"/>
      </w:pPr>
      <w:r>
        <w:rPr>
          <w:rFonts w:hint="eastAsia"/>
        </w:rPr>
        <w:t>《政府采购供应商质疑函范本》链接地址：</w:t>
      </w:r>
    </w:p>
    <w:p w14:paraId="28F0C2F7">
      <w:pPr>
        <w:pStyle w:val="18"/>
        <w:adjustRightInd w:val="0"/>
        <w:snapToGrid w:val="0"/>
        <w:spacing w:before="0" w:beforeAutospacing="0" w:after="0" w:afterAutospacing="0" w:line="420" w:lineRule="exact"/>
        <w:ind w:firstLine="360" w:firstLineChars="150"/>
      </w:pPr>
      <w:r>
        <w:rPr>
          <w:rFonts w:hint="eastAsia"/>
        </w:rPr>
        <w:t>http://www.mof.gov.cn/gp/xxgkml/gks/201802/t20180201_2804587.htm</w:t>
      </w:r>
    </w:p>
    <w:p w14:paraId="431ABC3E">
      <w:pPr>
        <w:pStyle w:val="18"/>
        <w:adjustRightInd w:val="0"/>
        <w:snapToGrid w:val="0"/>
        <w:spacing w:before="0" w:beforeAutospacing="0" w:after="0" w:afterAutospacing="0" w:line="420" w:lineRule="exact"/>
        <w:ind w:firstLine="360" w:firstLineChars="150"/>
      </w:pPr>
      <w:r>
        <w:rPr>
          <w:rFonts w:hint="eastAsia"/>
        </w:rPr>
        <w:t>2、质疑人为自然人的，应当由本人签字；质疑人为法人或者其他组织的，应当由法定代表人、主要负责人，或者其授权代表签字或者盖章，并加盖公章。授权代表办理质疑事项时，除提交质疑函外，还应当提交授权委托书及授权代表的有效身份证明，授权委托书应当载明委托代理的具体权限和事项。</w:t>
      </w:r>
    </w:p>
    <w:p w14:paraId="45539B50">
      <w:pPr>
        <w:pStyle w:val="18"/>
        <w:adjustRightInd w:val="0"/>
        <w:snapToGrid w:val="0"/>
        <w:spacing w:before="0" w:beforeAutospacing="0" w:after="0" w:afterAutospacing="0" w:line="420" w:lineRule="exact"/>
        <w:ind w:firstLine="360" w:firstLineChars="150"/>
      </w:pPr>
      <w:r>
        <w:rPr>
          <w:rFonts w:hint="eastAsia"/>
        </w:rPr>
        <w:t>2.1质疑函应当包括下列内容：</w:t>
      </w:r>
    </w:p>
    <w:p w14:paraId="4D2F087A">
      <w:pPr>
        <w:pStyle w:val="18"/>
        <w:adjustRightInd w:val="0"/>
        <w:snapToGrid w:val="0"/>
        <w:spacing w:before="0" w:beforeAutospacing="0" w:after="0" w:afterAutospacing="0" w:line="420" w:lineRule="exact"/>
        <w:ind w:firstLine="360" w:firstLineChars="150"/>
      </w:pPr>
      <w:r>
        <w:rPr>
          <w:rFonts w:hint="eastAsia"/>
        </w:rPr>
        <w:t>（1）</w:t>
      </w:r>
      <w:r>
        <w:rPr>
          <w:rFonts w:hint="eastAsia"/>
          <w:lang w:val="zh-CN"/>
        </w:rPr>
        <w:t>投标人</w:t>
      </w:r>
      <w:r>
        <w:rPr>
          <w:rFonts w:hint="eastAsia"/>
        </w:rPr>
        <w:t>的姓名或者名称、地址、邮编、联系人及联系电话；</w:t>
      </w:r>
    </w:p>
    <w:p w14:paraId="41659D0A">
      <w:pPr>
        <w:pStyle w:val="18"/>
        <w:adjustRightInd w:val="0"/>
        <w:snapToGrid w:val="0"/>
        <w:spacing w:before="0" w:beforeAutospacing="0" w:after="0" w:afterAutospacing="0" w:line="420" w:lineRule="exact"/>
        <w:ind w:firstLine="360" w:firstLineChars="150"/>
      </w:pPr>
      <w:r>
        <w:rPr>
          <w:rFonts w:hint="eastAsia"/>
        </w:rPr>
        <w:t>（2）质疑项目的名称、编号；</w:t>
      </w:r>
    </w:p>
    <w:p w14:paraId="19316363">
      <w:pPr>
        <w:pStyle w:val="18"/>
        <w:adjustRightInd w:val="0"/>
        <w:snapToGrid w:val="0"/>
        <w:spacing w:before="0" w:beforeAutospacing="0" w:after="0" w:afterAutospacing="0" w:line="420" w:lineRule="exact"/>
        <w:ind w:firstLine="360" w:firstLineChars="150"/>
      </w:pPr>
      <w:r>
        <w:rPr>
          <w:rFonts w:hint="eastAsia"/>
        </w:rPr>
        <w:t>（3）具体、明确的质疑事项和与质疑事项相关的请求；</w:t>
      </w:r>
    </w:p>
    <w:p w14:paraId="0AEA9B95">
      <w:pPr>
        <w:pStyle w:val="18"/>
        <w:adjustRightInd w:val="0"/>
        <w:snapToGrid w:val="0"/>
        <w:spacing w:before="0" w:beforeAutospacing="0" w:after="0" w:afterAutospacing="0" w:line="420" w:lineRule="exact"/>
        <w:ind w:firstLine="360" w:firstLineChars="150"/>
      </w:pPr>
      <w:r>
        <w:rPr>
          <w:rFonts w:hint="eastAsia"/>
        </w:rPr>
        <w:t>（4）事实依据；</w:t>
      </w:r>
    </w:p>
    <w:p w14:paraId="64C849C9">
      <w:pPr>
        <w:pStyle w:val="18"/>
        <w:adjustRightInd w:val="0"/>
        <w:snapToGrid w:val="0"/>
        <w:spacing w:before="0" w:beforeAutospacing="0" w:after="0" w:afterAutospacing="0" w:line="420" w:lineRule="exact"/>
        <w:ind w:firstLine="360" w:firstLineChars="150"/>
      </w:pPr>
      <w:r>
        <w:rPr>
          <w:rFonts w:hint="eastAsia"/>
        </w:rPr>
        <w:t>（5）必要的法律依据；</w:t>
      </w:r>
    </w:p>
    <w:p w14:paraId="36A68BC2">
      <w:pPr>
        <w:pStyle w:val="18"/>
        <w:adjustRightInd w:val="0"/>
        <w:snapToGrid w:val="0"/>
        <w:spacing w:before="0" w:beforeAutospacing="0" w:after="0" w:afterAutospacing="0" w:line="420" w:lineRule="exact"/>
        <w:ind w:firstLine="360" w:firstLineChars="150"/>
      </w:pPr>
      <w:r>
        <w:rPr>
          <w:rFonts w:hint="eastAsia"/>
        </w:rPr>
        <w:t xml:space="preserve">（6）提出质疑的日期。 </w:t>
      </w:r>
    </w:p>
    <w:p w14:paraId="3FAE782D">
      <w:pPr>
        <w:pStyle w:val="18"/>
        <w:adjustRightInd w:val="0"/>
        <w:snapToGrid w:val="0"/>
        <w:spacing w:before="0" w:beforeAutospacing="0" w:after="0" w:afterAutospacing="0" w:line="420" w:lineRule="exact"/>
        <w:ind w:firstLine="360" w:firstLineChars="150"/>
      </w:pPr>
      <w:r>
        <w:rPr>
          <w:rFonts w:hint="eastAsia"/>
        </w:rPr>
        <w:t>3、在法定质疑期内，针对同一采购程序环节的质疑应当一次性提出。采购代理机构或采购人将在收到书面质疑后7个工作日内做出答复，并以书面形式通知质疑人和其他有关供应商。</w:t>
      </w:r>
    </w:p>
    <w:p w14:paraId="7DBC036A">
      <w:pPr>
        <w:pStyle w:val="18"/>
        <w:adjustRightInd w:val="0"/>
        <w:snapToGrid w:val="0"/>
        <w:spacing w:before="0" w:beforeAutospacing="0" w:after="0" w:afterAutospacing="0" w:line="420" w:lineRule="exact"/>
        <w:ind w:firstLine="360" w:firstLineChars="150"/>
      </w:pPr>
      <w:r>
        <w:rPr>
          <w:rFonts w:hint="eastAsia"/>
        </w:rPr>
        <w:t>4、有下列情形之一的，属于无效质疑，采购代理机构和采购人不予受理：</w:t>
      </w:r>
    </w:p>
    <w:p w14:paraId="051B7C6F">
      <w:pPr>
        <w:pStyle w:val="18"/>
        <w:adjustRightInd w:val="0"/>
        <w:snapToGrid w:val="0"/>
        <w:spacing w:before="0" w:beforeAutospacing="0" w:after="0" w:afterAutospacing="0" w:line="420" w:lineRule="exact"/>
        <w:ind w:firstLine="360" w:firstLineChars="150"/>
      </w:pPr>
      <w:r>
        <w:rPr>
          <w:rFonts w:hint="eastAsia"/>
        </w:rPr>
        <w:t>（1）质疑人不是参与本次政府采购项目的供应商或潜在供应商；</w:t>
      </w:r>
    </w:p>
    <w:p w14:paraId="3138A626">
      <w:pPr>
        <w:pStyle w:val="18"/>
        <w:adjustRightInd w:val="0"/>
        <w:snapToGrid w:val="0"/>
        <w:spacing w:before="0" w:beforeAutospacing="0" w:after="0" w:afterAutospacing="0" w:line="420" w:lineRule="exact"/>
        <w:ind w:firstLine="360" w:firstLineChars="150"/>
      </w:pPr>
      <w:r>
        <w:rPr>
          <w:rFonts w:hint="eastAsia"/>
        </w:rPr>
        <w:t>（2）质疑人与质疑事项不存在利害关系的；</w:t>
      </w:r>
    </w:p>
    <w:p w14:paraId="17CE7B4A">
      <w:pPr>
        <w:pStyle w:val="18"/>
        <w:adjustRightInd w:val="0"/>
        <w:snapToGrid w:val="0"/>
        <w:spacing w:before="0" w:beforeAutospacing="0" w:after="0" w:afterAutospacing="0" w:line="420" w:lineRule="exact"/>
        <w:ind w:firstLine="360" w:firstLineChars="150"/>
      </w:pPr>
      <w:r>
        <w:rPr>
          <w:rFonts w:hint="eastAsia"/>
        </w:rPr>
        <w:t>（3）未在法定期限内提出质疑的；</w:t>
      </w:r>
    </w:p>
    <w:p w14:paraId="6C71B5E3">
      <w:pPr>
        <w:pStyle w:val="18"/>
        <w:adjustRightInd w:val="0"/>
        <w:snapToGrid w:val="0"/>
        <w:spacing w:before="0" w:beforeAutospacing="0" w:after="0" w:afterAutospacing="0" w:line="420" w:lineRule="exact"/>
        <w:ind w:firstLine="360" w:firstLineChars="150"/>
      </w:pPr>
      <w:r>
        <w:rPr>
          <w:rFonts w:hint="eastAsia"/>
        </w:rPr>
        <w:t>（4）质疑未以书面形式提出，或质疑函主要内容构成不完整的，或缺乏必要的证明材料及证明材料不完整的；</w:t>
      </w:r>
    </w:p>
    <w:p w14:paraId="70707884">
      <w:pPr>
        <w:pStyle w:val="18"/>
        <w:adjustRightInd w:val="0"/>
        <w:snapToGrid w:val="0"/>
        <w:spacing w:before="0" w:beforeAutospacing="0" w:after="0" w:afterAutospacing="0" w:line="420" w:lineRule="exact"/>
        <w:ind w:firstLine="360" w:firstLineChars="150"/>
      </w:pPr>
      <w:r>
        <w:rPr>
          <w:rFonts w:hint="eastAsia"/>
        </w:rPr>
        <w:t>（5）质疑函没有合法有效的签字、盖章或授权的；</w:t>
      </w:r>
    </w:p>
    <w:p w14:paraId="09379591">
      <w:pPr>
        <w:pStyle w:val="18"/>
        <w:adjustRightInd w:val="0"/>
        <w:snapToGrid w:val="0"/>
        <w:spacing w:before="0" w:beforeAutospacing="0" w:after="0" w:afterAutospacing="0" w:line="420" w:lineRule="exact"/>
        <w:ind w:firstLine="360" w:firstLineChars="150"/>
      </w:pPr>
      <w:r>
        <w:rPr>
          <w:rFonts w:hint="eastAsia"/>
        </w:rPr>
        <w:t>（6）以非法手段取得证据、材料的；</w:t>
      </w:r>
    </w:p>
    <w:p w14:paraId="57A0138C">
      <w:pPr>
        <w:pStyle w:val="18"/>
        <w:adjustRightInd w:val="0"/>
        <w:snapToGrid w:val="0"/>
        <w:spacing w:before="0" w:beforeAutospacing="0" w:after="0" w:afterAutospacing="0" w:line="420" w:lineRule="exact"/>
        <w:ind w:firstLine="360" w:firstLineChars="150"/>
      </w:pPr>
      <w:r>
        <w:rPr>
          <w:rFonts w:hint="eastAsia"/>
        </w:rPr>
        <w:t>（7）质疑答复后，同一质疑人就同一事项再次提出质疑的；</w:t>
      </w:r>
    </w:p>
    <w:p w14:paraId="6DFCEE7B">
      <w:pPr>
        <w:pStyle w:val="18"/>
        <w:adjustRightInd w:val="0"/>
        <w:snapToGrid w:val="0"/>
        <w:spacing w:before="0" w:beforeAutospacing="0" w:after="0" w:afterAutospacing="0" w:line="420" w:lineRule="exact"/>
        <w:ind w:firstLine="360" w:firstLineChars="150"/>
      </w:pPr>
      <w:r>
        <w:rPr>
          <w:rFonts w:hint="eastAsia"/>
        </w:rPr>
        <w:t>（8）不符合法律、法规、规章和政府采购监管机构规定的其他条件的。</w:t>
      </w:r>
    </w:p>
    <w:p w14:paraId="01E824C1">
      <w:pPr>
        <w:pStyle w:val="18"/>
        <w:adjustRightInd w:val="0"/>
        <w:snapToGrid w:val="0"/>
        <w:spacing w:before="0" w:beforeAutospacing="0" w:after="0" w:afterAutospacing="0" w:line="420" w:lineRule="exact"/>
        <w:ind w:firstLine="360" w:firstLineChars="150"/>
      </w:pPr>
      <w:r>
        <w:rPr>
          <w:rFonts w:hint="eastAsia"/>
        </w:rPr>
        <w:t>5、质疑人对采购代理机构或采购人的答复不满意，以及采购代理机构或采购人未在规定时间内做出答复的，可以在答复期满后15个工作日内向政府采购监管机构提出投诉。</w:t>
      </w:r>
    </w:p>
    <w:p w14:paraId="160CC271">
      <w:pPr>
        <w:pStyle w:val="18"/>
        <w:adjustRightInd w:val="0"/>
        <w:snapToGrid w:val="0"/>
        <w:spacing w:before="0" w:beforeAutospacing="0" w:after="0" w:afterAutospacing="0" w:line="420" w:lineRule="exact"/>
        <w:ind w:firstLine="360" w:firstLineChars="150"/>
      </w:pPr>
      <w:r>
        <w:rPr>
          <w:rFonts w:hint="eastAsia"/>
        </w:rPr>
        <w:t>6、供应商投诉的事项不得超出已质疑事项的范围。</w:t>
      </w:r>
    </w:p>
    <w:p w14:paraId="54EF4251">
      <w:pPr>
        <w:pStyle w:val="18"/>
        <w:adjustRightInd w:val="0"/>
        <w:snapToGrid w:val="0"/>
        <w:spacing w:before="0" w:beforeAutospacing="0" w:after="0" w:afterAutospacing="0" w:line="420" w:lineRule="exact"/>
        <w:ind w:firstLine="360" w:firstLineChars="150"/>
      </w:pPr>
      <w:r>
        <w:rPr>
          <w:rFonts w:hint="eastAsia"/>
        </w:rPr>
        <w:t>7、对捏造事实、提供虚假材料进行质疑、投诉的行为予以严肃处理：</w:t>
      </w:r>
    </w:p>
    <w:p w14:paraId="7D5FE728">
      <w:pPr>
        <w:pStyle w:val="18"/>
        <w:adjustRightInd w:val="0"/>
        <w:snapToGrid w:val="0"/>
        <w:spacing w:before="0" w:beforeAutospacing="0" w:after="0" w:afterAutospacing="0" w:line="420" w:lineRule="exact"/>
        <w:ind w:firstLine="360" w:firstLineChars="150"/>
      </w:pPr>
      <w:r>
        <w:rPr>
          <w:rFonts w:hint="eastAsia"/>
        </w:rPr>
        <w:t>依据《中华人民共和国政府采购法》及其实施条例、《政府采购质疑和投诉办法》等法律法规文件的规定，供应商质疑、投诉应当有明确的请求和必要的证明材料。投诉人在全国范围内十二个月内三次以上投诉查无实据的，由财政部门列入不良行为记录名单。对于捏造事实、提供虚假材料或者以非法手段取得证明材料进行投诉的，财政部门应当予以驳回，并将其列入不良行为记录名单，禁止其一至三年内参加政府采购活动。</w:t>
      </w:r>
    </w:p>
    <w:p w14:paraId="63F52C48">
      <w:pPr>
        <w:pStyle w:val="18"/>
        <w:adjustRightInd w:val="0"/>
        <w:snapToGrid w:val="0"/>
        <w:spacing w:before="0" w:beforeAutospacing="0" w:after="0" w:afterAutospacing="0" w:line="420" w:lineRule="exact"/>
        <w:ind w:firstLine="360" w:firstLineChars="150"/>
      </w:pPr>
      <w:r>
        <w:rPr>
          <w:rFonts w:hint="eastAsia"/>
        </w:rPr>
        <w:t>8、对捏造事实诬告陷害他人、诽谤他人的法律适用：</w:t>
      </w:r>
    </w:p>
    <w:p w14:paraId="27D7A176">
      <w:pPr>
        <w:pStyle w:val="18"/>
        <w:adjustRightInd w:val="0"/>
        <w:snapToGrid w:val="0"/>
        <w:spacing w:before="0" w:beforeAutospacing="0" w:after="0" w:afterAutospacing="0" w:line="420" w:lineRule="exact"/>
        <w:ind w:firstLine="360" w:firstLineChars="150"/>
      </w:pPr>
      <w:r>
        <w:rPr>
          <w:rFonts w:hint="eastAsia"/>
        </w:rPr>
        <w:t>《中华人民共和国刑法》第243条【诬告陷害罪】捏造事实诬告陷害他人，意图使他人受刑事追究，情节严重的，处三年以下有期徒刑、拘役或者管制；造成严重后果的，处三年以上十年以下有期徒刑。</w:t>
      </w:r>
    </w:p>
    <w:p w14:paraId="4CA647B1">
      <w:pPr>
        <w:pStyle w:val="18"/>
        <w:adjustRightInd w:val="0"/>
        <w:snapToGrid w:val="0"/>
        <w:spacing w:before="0" w:beforeAutospacing="0" w:after="0" w:afterAutospacing="0" w:line="420" w:lineRule="exact"/>
        <w:ind w:firstLine="360" w:firstLineChars="150"/>
      </w:pPr>
      <w:r>
        <w:rPr>
          <w:rFonts w:hint="eastAsia"/>
        </w:rPr>
        <w:t>《中华人民共和国刑法》第246条【侮辱罪、诽谤罪】以暴力或者其他方法公然侮辱他人或者捏造事实诽谤他人，情节严重的，处三年以下有期徒刑、拘役、管制或者剥夺政治权利。</w:t>
      </w:r>
    </w:p>
    <w:p w14:paraId="134582F7">
      <w:pPr>
        <w:pStyle w:val="18"/>
        <w:adjustRightInd w:val="0"/>
        <w:snapToGrid w:val="0"/>
        <w:spacing w:before="0" w:beforeAutospacing="0" w:after="0" w:afterAutospacing="0" w:line="420" w:lineRule="exact"/>
        <w:ind w:firstLine="360" w:firstLineChars="150"/>
        <w:rPr>
          <w:rFonts w:hint="eastAsia" w:eastAsia="宋体"/>
          <w:lang w:eastAsia="zh-CN"/>
        </w:rPr>
      </w:pPr>
      <w:r>
        <w:rPr>
          <w:rFonts w:hint="eastAsia"/>
        </w:rPr>
        <w:t>9、质疑函递交地址：</w:t>
      </w:r>
      <w:r>
        <w:rPr>
          <w:rFonts w:hint="eastAsia" w:ascii="宋体" w:hAnsi="宋体" w:cs="宋体"/>
          <w:i w:val="0"/>
          <w:caps w:val="0"/>
          <w:color w:val="333333"/>
          <w:spacing w:val="0"/>
          <w:sz w:val="24"/>
          <w:szCs w:val="24"/>
          <w:shd w:val="clear" w:color="auto" w:fill="FFFFFF"/>
          <w:vertAlign w:val="baseline"/>
          <w:lang w:eastAsia="zh-CN"/>
        </w:rPr>
        <w:t>榆林市高新技术产业园区东环路风景家园3排4号</w:t>
      </w:r>
    </w:p>
    <w:p w14:paraId="3DB4EB5B">
      <w:pPr>
        <w:pStyle w:val="18"/>
        <w:adjustRightInd w:val="0"/>
        <w:snapToGrid w:val="0"/>
        <w:spacing w:before="0" w:beforeAutospacing="0" w:after="0" w:afterAutospacing="0" w:line="420" w:lineRule="exact"/>
        <w:ind w:firstLine="360" w:firstLineChars="150"/>
        <w:rPr>
          <w:rFonts w:ascii="Calibri" w:hAnsi="Calibri"/>
        </w:rPr>
      </w:pPr>
      <w:r>
        <w:rPr>
          <w:rFonts w:hint="eastAsia" w:ascii="Calibri" w:hAnsi="Calibri"/>
        </w:rPr>
        <w:t>联系人：纪瑜</w:t>
      </w:r>
    </w:p>
    <w:p w14:paraId="1348E38E">
      <w:pPr>
        <w:pStyle w:val="18"/>
        <w:adjustRightInd w:val="0"/>
        <w:snapToGrid w:val="0"/>
        <w:spacing w:before="0" w:beforeAutospacing="0" w:after="0" w:afterAutospacing="0" w:line="420" w:lineRule="exact"/>
        <w:ind w:firstLine="360" w:firstLineChars="150"/>
        <w:rPr>
          <w:rFonts w:hint="default" w:ascii="Calibri" w:hAnsi="Calibri" w:eastAsia="宋体"/>
          <w:lang w:val="en-US" w:eastAsia="zh-CN"/>
        </w:rPr>
      </w:pPr>
      <w:r>
        <w:rPr>
          <w:rFonts w:hint="eastAsia" w:ascii="Calibri" w:hAnsi="Calibri"/>
        </w:rPr>
        <w:t>联系方式：</w:t>
      </w:r>
      <w:r>
        <w:rPr>
          <w:rFonts w:hint="eastAsia" w:ascii="Calibri" w:hAnsi="Calibri"/>
          <w:lang w:val="en-US" w:eastAsia="zh-CN"/>
        </w:rPr>
        <w:t>15619910006</w:t>
      </w:r>
    </w:p>
    <w:bookmarkEnd w:id="273"/>
    <w:bookmarkEnd w:id="274"/>
    <w:bookmarkEnd w:id="275"/>
    <w:bookmarkEnd w:id="276"/>
    <w:bookmarkEnd w:id="277"/>
    <w:bookmarkEnd w:id="278"/>
    <w:bookmarkEnd w:id="279"/>
    <w:bookmarkEnd w:id="280"/>
    <w:bookmarkEnd w:id="281"/>
    <w:bookmarkEnd w:id="282"/>
    <w:bookmarkEnd w:id="283"/>
    <w:p w14:paraId="2DDCB407">
      <w:pPr>
        <w:pStyle w:val="2"/>
        <w:spacing w:line="240" w:lineRule="auto"/>
        <w:jc w:val="center"/>
        <w:rPr>
          <w:rFonts w:ascii="宋体" w:hAnsi="宋体" w:cs="仿宋_GB2312"/>
          <w:sz w:val="36"/>
          <w:szCs w:val="22"/>
        </w:rPr>
        <w:sectPr>
          <w:headerReference r:id="rId8" w:type="default"/>
          <w:footerReference r:id="rId9" w:type="default"/>
          <w:pgSz w:w="11906" w:h="16838"/>
          <w:pgMar w:top="1440" w:right="1800" w:bottom="1440" w:left="1800" w:header="851" w:footer="992" w:gutter="0"/>
          <w:cols w:space="720" w:num="1"/>
          <w:docGrid w:type="lines" w:linePitch="312" w:charSpace="0"/>
        </w:sectPr>
      </w:pPr>
      <w:bookmarkStart w:id="292" w:name="_Toc24136"/>
      <w:bookmarkStart w:id="293" w:name="_Toc18524"/>
    </w:p>
    <w:p w14:paraId="017E4321">
      <w:pPr>
        <w:pStyle w:val="2"/>
        <w:spacing w:line="240" w:lineRule="auto"/>
        <w:jc w:val="center"/>
        <w:rPr>
          <w:rFonts w:ascii="宋体" w:hAnsi="宋体" w:cs="宋体"/>
          <w:sz w:val="24"/>
          <w:szCs w:val="24"/>
        </w:rPr>
      </w:pPr>
      <w:bookmarkStart w:id="294" w:name="_Toc26946"/>
      <w:r>
        <w:rPr>
          <w:rFonts w:hint="eastAsia" w:ascii="宋体" w:hAnsi="宋体" w:cs="仿宋_GB2312"/>
          <w:sz w:val="36"/>
          <w:szCs w:val="22"/>
        </w:rPr>
        <w:t xml:space="preserve">第四部分   </w:t>
      </w:r>
      <w:r>
        <w:rPr>
          <w:rFonts w:hint="eastAsia" w:ascii="宋体" w:hAnsi="宋体" w:cs="仿宋_GB2312"/>
          <w:bCs/>
          <w:sz w:val="36"/>
          <w:szCs w:val="22"/>
        </w:rPr>
        <w:t>政府采购合同</w:t>
      </w:r>
      <w:bookmarkEnd w:id="294"/>
      <w:bookmarkStart w:id="295" w:name="_Toc3964"/>
    </w:p>
    <w:p w14:paraId="087D6B3B">
      <w:pPr>
        <w:spacing w:line="360" w:lineRule="auto"/>
        <w:jc w:val="center"/>
        <w:rPr>
          <w:rFonts w:hint="eastAsia" w:ascii="宋体" w:hAnsi="宋体"/>
          <w:b/>
          <w:sz w:val="24"/>
        </w:rPr>
      </w:pPr>
      <w:r>
        <w:rPr>
          <w:rFonts w:hint="eastAsia"/>
          <w:b/>
        </w:rPr>
        <w:t>（此合同只作为参考，最终签订的合同以采购人确定的合同内容为准。）</w:t>
      </w:r>
    </w:p>
    <w:p w14:paraId="50FA5372">
      <w:pPr>
        <w:adjustRightInd w:val="0"/>
        <w:snapToGrid w:val="0"/>
        <w:spacing w:line="520" w:lineRule="exact"/>
        <w:ind w:firstLine="482" w:firstLineChars="200"/>
        <w:rPr>
          <w:rFonts w:hint="eastAsia" w:ascii="宋体" w:hAnsi="宋体"/>
          <w:b/>
          <w:sz w:val="24"/>
        </w:rPr>
      </w:pPr>
      <w:r>
        <w:rPr>
          <w:rFonts w:hint="eastAsia" w:ascii="宋体" w:hAnsi="宋体"/>
          <w:b/>
          <w:sz w:val="24"/>
        </w:rPr>
        <w:t>采购人（全称）：</w:t>
      </w:r>
      <w:r>
        <w:rPr>
          <w:rFonts w:hint="eastAsia" w:ascii="宋体" w:hAnsi="宋体"/>
          <w:b/>
          <w:sz w:val="24"/>
          <w:u w:val="single"/>
        </w:rPr>
        <w:t xml:space="preserve">                                      </w:t>
      </w:r>
    </w:p>
    <w:p w14:paraId="3B63D214">
      <w:pPr>
        <w:adjustRightInd w:val="0"/>
        <w:snapToGrid w:val="0"/>
        <w:spacing w:line="520" w:lineRule="exact"/>
        <w:ind w:firstLine="482" w:firstLineChars="200"/>
        <w:rPr>
          <w:rFonts w:hint="eastAsia" w:ascii="宋体" w:hAnsi="宋体"/>
          <w:sz w:val="24"/>
        </w:rPr>
      </w:pPr>
      <w:r>
        <w:rPr>
          <w:rFonts w:hint="eastAsia" w:ascii="宋体" w:hAnsi="宋体"/>
          <w:b/>
          <w:sz w:val="24"/>
        </w:rPr>
        <w:t>供应商（全称）：</w:t>
      </w:r>
      <w:r>
        <w:rPr>
          <w:rFonts w:hint="eastAsia" w:ascii="宋体" w:hAnsi="宋体"/>
          <w:b/>
          <w:sz w:val="24"/>
          <w:u w:val="single"/>
        </w:rPr>
        <w:t xml:space="preserve">                                   </w:t>
      </w:r>
      <w:r>
        <w:rPr>
          <w:rFonts w:hint="eastAsia" w:ascii="宋体" w:hAnsi="宋体"/>
          <w:sz w:val="24"/>
          <w:u w:val="single"/>
        </w:rPr>
        <w:t xml:space="preserve">   </w:t>
      </w:r>
    </w:p>
    <w:p w14:paraId="2B3CF057">
      <w:pPr>
        <w:adjustRightInd w:val="0"/>
        <w:snapToGrid w:val="0"/>
        <w:spacing w:line="520" w:lineRule="exact"/>
        <w:ind w:firstLine="480" w:firstLineChars="200"/>
        <w:rPr>
          <w:rFonts w:hint="eastAsia" w:ascii="宋体" w:hAnsi="宋体"/>
          <w:sz w:val="24"/>
          <w:u w:val="single"/>
        </w:rPr>
      </w:pPr>
      <w:r>
        <w:rPr>
          <w:rFonts w:hint="eastAsia" w:ascii="宋体" w:hAnsi="宋体"/>
          <w:sz w:val="24"/>
        </w:rPr>
        <w:t>根据《</w:t>
      </w:r>
      <w:r>
        <w:rPr>
          <w:rFonts w:hint="eastAsia" w:ascii="宋体" w:hAnsi="宋体"/>
          <w:sz w:val="24"/>
          <w:lang w:eastAsia="zh-CN"/>
        </w:rPr>
        <w:t>中华人民共和国民法典</w:t>
      </w:r>
      <w:r>
        <w:rPr>
          <w:rFonts w:hint="eastAsia" w:ascii="宋体" w:hAnsi="宋体"/>
          <w:sz w:val="24"/>
        </w:rPr>
        <w:t>》及其他有关法律、法规，遵循平等、自愿、公平和诚信的原则，双方就下述项目范围与相关服务事项协商一致，订立本合同。</w:t>
      </w:r>
    </w:p>
    <w:p w14:paraId="6A8DE51E">
      <w:pPr>
        <w:adjustRightInd w:val="0"/>
        <w:snapToGrid w:val="0"/>
        <w:spacing w:line="520" w:lineRule="exact"/>
        <w:rPr>
          <w:rFonts w:hint="eastAsia" w:ascii="宋体" w:hAnsi="宋体"/>
          <w:b/>
          <w:sz w:val="24"/>
        </w:rPr>
      </w:pPr>
      <w:r>
        <w:rPr>
          <w:rFonts w:hint="eastAsia" w:ascii="宋体" w:hAnsi="宋体"/>
          <w:b/>
          <w:sz w:val="24"/>
        </w:rPr>
        <w:t>一、项目概况</w:t>
      </w:r>
    </w:p>
    <w:p w14:paraId="6E8666FB">
      <w:pPr>
        <w:adjustRightInd w:val="0"/>
        <w:snapToGrid w:val="0"/>
        <w:spacing w:line="520" w:lineRule="exact"/>
        <w:ind w:firstLine="475" w:firstLineChars="198"/>
        <w:rPr>
          <w:rFonts w:hint="eastAsia" w:ascii="宋体" w:hAnsi="宋体"/>
          <w:sz w:val="24"/>
        </w:rPr>
      </w:pPr>
      <w:r>
        <w:rPr>
          <w:rFonts w:hint="eastAsia" w:ascii="宋体" w:hAnsi="宋体"/>
          <w:sz w:val="24"/>
        </w:rPr>
        <w:t>1. 项目名称：</w:t>
      </w:r>
      <w:r>
        <w:rPr>
          <w:rFonts w:hint="eastAsia" w:ascii="宋体" w:hAnsi="宋体"/>
          <w:sz w:val="24"/>
          <w:u w:val="single"/>
        </w:rPr>
        <w:t xml:space="preserve">                                         </w:t>
      </w:r>
      <w:r>
        <w:rPr>
          <w:rFonts w:hint="eastAsia" w:ascii="宋体" w:hAnsi="宋体"/>
          <w:sz w:val="24"/>
        </w:rPr>
        <w:t>；</w:t>
      </w:r>
    </w:p>
    <w:p w14:paraId="11D1CAD2">
      <w:pPr>
        <w:adjustRightInd w:val="0"/>
        <w:snapToGrid w:val="0"/>
        <w:spacing w:line="520" w:lineRule="exact"/>
        <w:ind w:firstLine="475" w:firstLineChars="198"/>
        <w:rPr>
          <w:rFonts w:hint="eastAsia" w:ascii="宋体" w:hAnsi="宋体"/>
          <w:sz w:val="24"/>
        </w:rPr>
      </w:pPr>
      <w:r>
        <w:rPr>
          <w:rFonts w:hint="eastAsia" w:ascii="宋体" w:hAnsi="宋体"/>
          <w:sz w:val="24"/>
        </w:rPr>
        <w:t>2. 项目地点：</w:t>
      </w:r>
      <w:r>
        <w:rPr>
          <w:rFonts w:hint="eastAsia" w:ascii="宋体" w:hAnsi="宋体"/>
          <w:sz w:val="24"/>
          <w:u w:val="single"/>
        </w:rPr>
        <w:t xml:space="preserve">  采购人指定地点                         </w:t>
      </w:r>
      <w:r>
        <w:rPr>
          <w:rFonts w:hint="eastAsia" w:ascii="宋体" w:hAnsi="宋体"/>
          <w:sz w:val="24"/>
        </w:rPr>
        <w:t>；</w:t>
      </w:r>
    </w:p>
    <w:p w14:paraId="0E146449">
      <w:pPr>
        <w:adjustRightInd w:val="0"/>
        <w:snapToGrid w:val="0"/>
        <w:spacing w:line="520" w:lineRule="exact"/>
        <w:ind w:firstLine="475" w:firstLineChars="198"/>
        <w:jc w:val="left"/>
        <w:rPr>
          <w:rFonts w:hint="eastAsia" w:ascii="宋体" w:hAnsi="宋体"/>
          <w:sz w:val="24"/>
        </w:rPr>
      </w:pPr>
      <w:r>
        <w:rPr>
          <w:rFonts w:hint="eastAsia" w:ascii="宋体" w:hAnsi="宋体"/>
          <w:sz w:val="24"/>
        </w:rPr>
        <w:t>3. 项目</w:t>
      </w:r>
      <w:r>
        <w:rPr>
          <w:rFonts w:hint="eastAsia" w:ascii="宋体" w:hAnsi="宋体"/>
          <w:kern w:val="0"/>
          <w:sz w:val="24"/>
        </w:rPr>
        <w:t>内容</w:t>
      </w:r>
      <w:r>
        <w:rPr>
          <w:rFonts w:hint="eastAsia" w:ascii="宋体" w:hAnsi="宋体"/>
          <w:sz w:val="24"/>
        </w:rPr>
        <w:t>：</w:t>
      </w:r>
      <w:r>
        <w:rPr>
          <w:rFonts w:hint="eastAsia" w:ascii="宋体" w:hAnsi="宋体"/>
          <w:sz w:val="24"/>
          <w:u w:val="single"/>
        </w:rPr>
        <w:t xml:space="preserve">                                         </w:t>
      </w:r>
      <w:r>
        <w:rPr>
          <w:rFonts w:hint="eastAsia" w:ascii="宋体" w:hAnsi="宋体"/>
          <w:sz w:val="24"/>
        </w:rPr>
        <w:t>。</w:t>
      </w:r>
    </w:p>
    <w:p w14:paraId="06CD40BF">
      <w:pPr>
        <w:adjustRightInd w:val="0"/>
        <w:snapToGrid w:val="0"/>
        <w:spacing w:line="520" w:lineRule="exact"/>
        <w:rPr>
          <w:rFonts w:hint="eastAsia" w:ascii="宋体" w:hAnsi="宋体"/>
          <w:b/>
          <w:sz w:val="24"/>
        </w:rPr>
      </w:pPr>
      <w:r>
        <w:rPr>
          <w:rFonts w:hint="eastAsia" w:ascii="宋体" w:hAnsi="宋体"/>
          <w:b/>
          <w:sz w:val="24"/>
        </w:rPr>
        <w:t>二、组成本合同的文件</w:t>
      </w:r>
    </w:p>
    <w:p w14:paraId="22C5D96C">
      <w:pPr>
        <w:adjustRightInd w:val="0"/>
        <w:snapToGrid w:val="0"/>
        <w:spacing w:line="520" w:lineRule="exact"/>
        <w:ind w:firstLine="475" w:firstLineChars="198"/>
        <w:rPr>
          <w:rFonts w:hint="eastAsia" w:ascii="宋体" w:hAnsi="宋体"/>
          <w:sz w:val="24"/>
        </w:rPr>
      </w:pPr>
      <w:r>
        <w:rPr>
          <w:rFonts w:hint="eastAsia" w:ascii="宋体" w:hAnsi="宋体"/>
          <w:sz w:val="24"/>
        </w:rPr>
        <w:t>1. 协议书；</w:t>
      </w:r>
    </w:p>
    <w:p w14:paraId="7947C593">
      <w:pPr>
        <w:adjustRightInd w:val="0"/>
        <w:snapToGrid w:val="0"/>
        <w:spacing w:line="520" w:lineRule="exact"/>
        <w:ind w:firstLine="475" w:firstLineChars="198"/>
        <w:rPr>
          <w:rFonts w:hint="eastAsia" w:ascii="宋体" w:hAnsi="宋体"/>
          <w:sz w:val="24"/>
        </w:rPr>
      </w:pPr>
      <w:r>
        <w:rPr>
          <w:rFonts w:hint="eastAsia" w:ascii="宋体" w:hAnsi="宋体"/>
          <w:sz w:val="24"/>
        </w:rPr>
        <w:t>2. 竞争性谈判响应文件、澄清、成交通知书；</w:t>
      </w:r>
    </w:p>
    <w:p w14:paraId="56E10CAA">
      <w:pPr>
        <w:adjustRightInd w:val="0"/>
        <w:snapToGrid w:val="0"/>
        <w:spacing w:line="520" w:lineRule="exact"/>
        <w:ind w:firstLine="480" w:firstLineChars="200"/>
        <w:rPr>
          <w:rFonts w:hint="eastAsia" w:ascii="宋体" w:hAnsi="宋体"/>
          <w:sz w:val="24"/>
        </w:rPr>
      </w:pPr>
      <w:r>
        <w:rPr>
          <w:rFonts w:hint="eastAsia" w:ascii="宋体" w:hAnsi="宋体"/>
          <w:sz w:val="24"/>
        </w:rPr>
        <w:t>3. 相关服务建议书；</w:t>
      </w:r>
    </w:p>
    <w:p w14:paraId="2A8629D6">
      <w:pPr>
        <w:adjustRightInd w:val="0"/>
        <w:snapToGrid w:val="0"/>
        <w:spacing w:line="520" w:lineRule="exact"/>
        <w:rPr>
          <w:rFonts w:hint="eastAsia" w:ascii="宋体" w:hAnsi="宋体"/>
          <w:sz w:val="24"/>
        </w:rPr>
      </w:pPr>
      <w:r>
        <w:rPr>
          <w:rFonts w:hint="eastAsia" w:ascii="宋体" w:hAnsi="宋体"/>
          <w:sz w:val="24"/>
        </w:rPr>
        <w:t xml:space="preserve">    4. 附录，即：附表内相关服务的范围和内容；</w:t>
      </w:r>
    </w:p>
    <w:p w14:paraId="5DE99E06">
      <w:pPr>
        <w:adjustRightInd w:val="0"/>
        <w:snapToGrid w:val="0"/>
        <w:spacing w:line="520" w:lineRule="exact"/>
        <w:ind w:firstLine="475" w:firstLineChars="198"/>
        <w:rPr>
          <w:rFonts w:hint="eastAsia" w:ascii="宋体" w:hAnsi="宋体"/>
          <w:sz w:val="24"/>
        </w:rPr>
      </w:pPr>
      <w:r>
        <w:rPr>
          <w:rFonts w:hint="eastAsia" w:ascii="宋体" w:hAnsi="宋体"/>
          <w:sz w:val="24"/>
        </w:rPr>
        <w:t>本合同签订后，双方依法签订的补充协议、备忘录也是本合同文件的组成部分。</w:t>
      </w:r>
    </w:p>
    <w:p w14:paraId="6069B32B">
      <w:pPr>
        <w:adjustRightInd w:val="0"/>
        <w:snapToGrid w:val="0"/>
        <w:spacing w:line="520" w:lineRule="exact"/>
        <w:rPr>
          <w:rFonts w:hint="eastAsia" w:ascii="宋体" w:hAnsi="宋体"/>
          <w:b/>
          <w:sz w:val="24"/>
        </w:rPr>
      </w:pPr>
      <w:r>
        <w:rPr>
          <w:rFonts w:hint="eastAsia" w:ascii="宋体" w:hAnsi="宋体"/>
          <w:b/>
          <w:sz w:val="24"/>
        </w:rPr>
        <w:t>三、签约金额</w:t>
      </w:r>
    </w:p>
    <w:p w14:paraId="66826B31">
      <w:pPr>
        <w:adjustRightInd w:val="0"/>
        <w:snapToGrid w:val="0"/>
        <w:spacing w:line="520" w:lineRule="exact"/>
        <w:ind w:firstLine="475" w:firstLineChars="198"/>
        <w:rPr>
          <w:rFonts w:hint="eastAsia" w:ascii="宋体" w:hAnsi="宋体"/>
          <w:sz w:val="24"/>
        </w:rPr>
      </w:pPr>
      <w:r>
        <w:rPr>
          <w:rFonts w:hint="eastAsia" w:ascii="宋体" w:hAnsi="宋体"/>
          <w:sz w:val="24"/>
        </w:rPr>
        <w:t>签约金额（大写）：</w:t>
      </w:r>
      <w:r>
        <w:rPr>
          <w:rFonts w:hint="eastAsia" w:ascii="宋体" w:hAnsi="宋体"/>
          <w:sz w:val="24"/>
          <w:u w:val="single"/>
        </w:rPr>
        <w:t xml:space="preserve">                            </w:t>
      </w:r>
      <w:r>
        <w:rPr>
          <w:rFonts w:hint="eastAsia" w:ascii="宋体" w:hAnsi="宋体"/>
          <w:sz w:val="24"/>
        </w:rPr>
        <w:t>（¥        ）。</w:t>
      </w:r>
    </w:p>
    <w:p w14:paraId="4AB318CE">
      <w:pPr>
        <w:adjustRightInd w:val="0"/>
        <w:snapToGrid w:val="0"/>
        <w:spacing w:line="520" w:lineRule="exact"/>
        <w:ind w:firstLine="475" w:firstLineChars="198"/>
        <w:rPr>
          <w:rFonts w:hint="eastAsia" w:ascii="宋体" w:hAnsi="宋体"/>
          <w:sz w:val="24"/>
        </w:rPr>
      </w:pPr>
      <w:r>
        <w:rPr>
          <w:rFonts w:hint="eastAsia" w:ascii="宋体" w:hAnsi="宋体"/>
          <w:sz w:val="24"/>
        </w:rPr>
        <w:t>合同单价一次包死，不受市场价变化或实际工作量变化的影响，合同价格为含税价，供应商（成交人）提供服务所发生的一切税（包括增值税）费等都已包含于合同价款中。</w:t>
      </w:r>
    </w:p>
    <w:p w14:paraId="1711852B">
      <w:pPr>
        <w:numPr>
          <w:ilvl w:val="0"/>
          <w:numId w:val="5"/>
        </w:numPr>
        <w:adjustRightInd w:val="0"/>
        <w:snapToGrid w:val="0"/>
        <w:spacing w:line="520" w:lineRule="exact"/>
        <w:ind w:firstLine="477" w:firstLineChars="198"/>
        <w:rPr>
          <w:rFonts w:hint="eastAsia" w:ascii="宋体" w:hAnsi="宋体"/>
          <w:b/>
          <w:sz w:val="24"/>
        </w:rPr>
      </w:pPr>
      <w:r>
        <w:rPr>
          <w:rFonts w:hint="eastAsia" w:ascii="宋体" w:hAnsi="宋体"/>
          <w:b/>
          <w:sz w:val="24"/>
        </w:rPr>
        <w:t>结算方式：</w:t>
      </w:r>
    </w:p>
    <w:p w14:paraId="7FD0163C">
      <w:pPr>
        <w:adjustRightInd w:val="0"/>
        <w:snapToGrid w:val="0"/>
        <w:spacing w:line="520" w:lineRule="exact"/>
        <w:ind w:firstLine="480" w:firstLineChars="200"/>
        <w:rPr>
          <w:rFonts w:hint="eastAsia" w:ascii="宋体" w:hAnsi="宋体"/>
          <w:sz w:val="24"/>
        </w:rPr>
      </w:pPr>
      <w:r>
        <w:rPr>
          <w:rFonts w:hint="eastAsia" w:ascii="宋体" w:hAnsi="宋体"/>
          <w:sz w:val="24"/>
        </w:rPr>
        <w:t>（1）结算单位：由采购人以人民币负责结算，在付款前，</w:t>
      </w:r>
      <w:r>
        <w:rPr>
          <w:rFonts w:hint="eastAsia" w:hAnsi="宋体"/>
          <w:sz w:val="24"/>
        </w:rPr>
        <w:t>供应商</w:t>
      </w:r>
      <w:r>
        <w:rPr>
          <w:rFonts w:hint="eastAsia" w:ascii="宋体" w:hAnsi="宋体"/>
          <w:sz w:val="24"/>
        </w:rPr>
        <w:t>必须开具发票给采购人。</w:t>
      </w:r>
    </w:p>
    <w:p w14:paraId="1DDFAA3E">
      <w:pPr>
        <w:spacing w:line="360" w:lineRule="auto"/>
        <w:ind w:firstLine="480" w:firstLineChars="200"/>
        <w:rPr>
          <w:rFonts w:hint="eastAsia" w:ascii="宋体" w:hAnsi="宋体"/>
          <w:color w:val="auto"/>
          <w:sz w:val="24"/>
        </w:rPr>
      </w:pPr>
      <w:r>
        <w:rPr>
          <w:rFonts w:hint="eastAsia" w:ascii="宋体" w:hAnsi="宋体"/>
          <w:sz w:val="24"/>
        </w:rPr>
        <w:t>（2）</w:t>
      </w:r>
      <w:r>
        <w:rPr>
          <w:rFonts w:hint="eastAsia" w:ascii="宋体" w:hAnsi="宋体"/>
          <w:sz w:val="24"/>
          <w:szCs w:val="24"/>
        </w:rPr>
        <w:t>付款方式：</w:t>
      </w:r>
      <w:r>
        <w:rPr>
          <w:rFonts w:hint="eastAsia" w:ascii="宋体" w:hAnsi="宋体"/>
          <w:sz w:val="24"/>
          <w:szCs w:val="24"/>
          <w:lang w:val="en-US" w:eastAsia="zh-CN"/>
        </w:rPr>
        <w:t>预付中标金额的40%，</w:t>
      </w:r>
      <w:r>
        <w:rPr>
          <w:rFonts w:hint="eastAsia"/>
          <w:sz w:val="24"/>
          <w:szCs w:val="24"/>
          <w:lang w:eastAsia="zh-CN"/>
        </w:rPr>
        <w:t>竣工验收后一次性结清。</w:t>
      </w:r>
    </w:p>
    <w:p w14:paraId="6981F267">
      <w:pPr>
        <w:adjustRightInd w:val="0"/>
        <w:snapToGrid w:val="0"/>
        <w:spacing w:line="520" w:lineRule="exact"/>
        <w:rPr>
          <w:rFonts w:hint="eastAsia" w:ascii="宋体" w:hAnsi="宋体"/>
          <w:b/>
          <w:sz w:val="24"/>
        </w:rPr>
      </w:pPr>
      <w:r>
        <w:rPr>
          <w:rFonts w:hint="eastAsia" w:ascii="宋体" w:hAnsi="宋体"/>
          <w:b/>
          <w:sz w:val="24"/>
        </w:rPr>
        <w:t>五、期限</w:t>
      </w:r>
    </w:p>
    <w:p w14:paraId="58D7E958">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cs="宋体"/>
          <w:color w:val="auto"/>
          <w:sz w:val="24"/>
          <w:szCs w:val="24"/>
          <w:lang w:val="en-US" w:eastAsia="zh-CN"/>
        </w:rPr>
        <w:t>交货期</w:t>
      </w:r>
      <w:r>
        <w:rPr>
          <w:rFonts w:hint="eastAsia" w:ascii="宋体" w:hAnsi="宋体" w:eastAsia="宋体" w:cs="宋体"/>
          <w:color w:val="auto"/>
          <w:sz w:val="24"/>
          <w:szCs w:val="24"/>
        </w:rPr>
        <w:t>：</w:t>
      </w:r>
    </w:p>
    <w:p w14:paraId="65FBDF0C">
      <w:pPr>
        <w:adjustRightInd w:val="0"/>
        <w:snapToGrid w:val="0"/>
        <w:spacing w:line="520" w:lineRule="exact"/>
        <w:rPr>
          <w:rFonts w:hint="eastAsia" w:ascii="宋体" w:hAnsi="宋体"/>
          <w:b/>
          <w:sz w:val="24"/>
        </w:rPr>
      </w:pPr>
      <w:r>
        <w:rPr>
          <w:rFonts w:hint="eastAsia" w:ascii="宋体" w:hAnsi="宋体"/>
          <w:b/>
          <w:sz w:val="24"/>
        </w:rPr>
        <w:t>六、双方承诺</w:t>
      </w:r>
    </w:p>
    <w:p w14:paraId="34CAE82D">
      <w:pPr>
        <w:adjustRightInd w:val="0"/>
        <w:snapToGrid w:val="0"/>
        <w:spacing w:line="520" w:lineRule="exact"/>
        <w:ind w:firstLine="475" w:firstLineChars="198"/>
        <w:rPr>
          <w:rFonts w:hint="eastAsia" w:ascii="宋体" w:hAnsi="宋体"/>
          <w:sz w:val="24"/>
        </w:rPr>
      </w:pPr>
      <w:r>
        <w:rPr>
          <w:rFonts w:hint="eastAsia" w:ascii="宋体" w:hAnsi="宋体"/>
          <w:sz w:val="24"/>
        </w:rPr>
        <w:t>1. 供应商向采购人承诺，按照本合同约定提供相关服务。</w:t>
      </w:r>
    </w:p>
    <w:p w14:paraId="2F6FE63C">
      <w:pPr>
        <w:adjustRightInd w:val="0"/>
        <w:snapToGrid w:val="0"/>
        <w:spacing w:line="520" w:lineRule="exact"/>
        <w:ind w:firstLine="475" w:firstLineChars="198"/>
        <w:rPr>
          <w:rFonts w:hint="eastAsia" w:ascii="宋体" w:hAnsi="宋体"/>
          <w:sz w:val="24"/>
        </w:rPr>
      </w:pPr>
      <w:r>
        <w:rPr>
          <w:rFonts w:hint="eastAsia" w:ascii="宋体" w:hAnsi="宋体"/>
          <w:sz w:val="24"/>
        </w:rPr>
        <w:t>2. 采购人向供应商承诺，按照本合同约定支付服务款项。</w:t>
      </w:r>
    </w:p>
    <w:p w14:paraId="7C2ABA35">
      <w:pPr>
        <w:tabs>
          <w:tab w:val="left" w:pos="840"/>
        </w:tabs>
        <w:adjustRightInd w:val="0"/>
        <w:snapToGrid w:val="0"/>
        <w:spacing w:line="520" w:lineRule="exact"/>
        <w:rPr>
          <w:rFonts w:hint="eastAsia" w:ascii="宋体" w:hAnsi="宋体"/>
          <w:b/>
          <w:sz w:val="24"/>
        </w:rPr>
      </w:pPr>
      <w:r>
        <w:rPr>
          <w:rFonts w:hint="eastAsia" w:ascii="宋体" w:hAnsi="宋体"/>
          <w:b/>
          <w:sz w:val="24"/>
        </w:rPr>
        <w:t>七、内容及要求：</w:t>
      </w:r>
    </w:p>
    <w:p w14:paraId="5B52BAB3">
      <w:pPr>
        <w:tabs>
          <w:tab w:val="left" w:pos="840"/>
        </w:tabs>
        <w:adjustRightInd w:val="0"/>
        <w:snapToGrid w:val="0"/>
        <w:spacing w:line="520" w:lineRule="exact"/>
        <w:ind w:firstLine="480" w:firstLineChars="200"/>
        <w:rPr>
          <w:rFonts w:hint="eastAsia" w:ascii="宋体" w:hAnsi="宋体"/>
          <w:sz w:val="24"/>
        </w:rPr>
      </w:pPr>
      <w:r>
        <w:rPr>
          <w:rFonts w:hint="eastAsia" w:ascii="宋体" w:hAnsi="宋体"/>
          <w:sz w:val="24"/>
        </w:rPr>
        <w:t>即</w:t>
      </w:r>
      <w:r>
        <w:rPr>
          <w:rFonts w:hint="eastAsia" w:ascii="宋体" w:hAnsi="宋体"/>
          <w:sz w:val="24"/>
          <w:lang w:val="en-US" w:eastAsia="zh-CN"/>
        </w:rPr>
        <w:t>交货</w:t>
      </w:r>
      <w:r>
        <w:rPr>
          <w:rFonts w:hint="eastAsia" w:ascii="宋体" w:hAnsi="宋体"/>
          <w:sz w:val="24"/>
        </w:rPr>
        <w:t>内容与竞争性谈判响应文件、成交通知书等所指明的，或者与本合同所指明的服务内容相一致。（附清单）</w:t>
      </w:r>
    </w:p>
    <w:p w14:paraId="6FE44D98">
      <w:pPr>
        <w:adjustRightInd w:val="0"/>
        <w:snapToGrid w:val="0"/>
        <w:spacing w:line="520" w:lineRule="exact"/>
        <w:rPr>
          <w:rFonts w:hint="eastAsia" w:ascii="宋体" w:hAnsi="宋体"/>
          <w:b/>
          <w:sz w:val="24"/>
        </w:rPr>
      </w:pPr>
      <w:r>
        <w:rPr>
          <w:rFonts w:hint="eastAsia" w:ascii="宋体" w:hAnsi="宋体"/>
          <w:b/>
          <w:sz w:val="24"/>
        </w:rPr>
        <w:t>八、项目服务地点：</w:t>
      </w:r>
      <w:r>
        <w:rPr>
          <w:rFonts w:hint="eastAsia" w:ascii="宋体" w:hAnsi="宋体" w:cs="宋体"/>
          <w:sz w:val="24"/>
        </w:rPr>
        <w:t>采购人</w:t>
      </w:r>
      <w:r>
        <w:rPr>
          <w:rFonts w:hint="eastAsia" w:ascii="宋体" w:hAnsi="宋体" w:cs="宋体"/>
          <w:bCs/>
          <w:sz w:val="24"/>
        </w:rPr>
        <w:t>指定地点</w:t>
      </w:r>
      <w:r>
        <w:rPr>
          <w:rFonts w:hint="eastAsia" w:ascii="宋体" w:hAnsi="宋体"/>
          <w:sz w:val="24"/>
        </w:rPr>
        <w:t>。</w:t>
      </w:r>
    </w:p>
    <w:p w14:paraId="35A539CE">
      <w:pPr>
        <w:adjustRightInd w:val="0"/>
        <w:snapToGrid w:val="0"/>
        <w:spacing w:line="520" w:lineRule="exact"/>
        <w:rPr>
          <w:rFonts w:hint="eastAsia" w:ascii="宋体" w:hAnsi="宋体"/>
          <w:b/>
          <w:color w:val="000000"/>
          <w:sz w:val="24"/>
          <w:szCs w:val="24"/>
        </w:rPr>
      </w:pPr>
      <w:r>
        <w:rPr>
          <w:rFonts w:hint="eastAsia" w:ascii="宋体" w:hAnsi="宋体"/>
          <w:b/>
          <w:sz w:val="24"/>
        </w:rPr>
        <w:t>九、</w:t>
      </w:r>
      <w:r>
        <w:rPr>
          <w:rFonts w:hint="eastAsia" w:ascii="宋体" w:hAnsi="宋体"/>
          <w:b/>
          <w:color w:val="000000"/>
          <w:sz w:val="24"/>
          <w:szCs w:val="24"/>
        </w:rPr>
        <w:t>保密</w:t>
      </w:r>
    </w:p>
    <w:p w14:paraId="0348835B">
      <w:pPr>
        <w:adjustRightInd w:val="0"/>
        <w:snapToGrid w:val="0"/>
        <w:spacing w:line="520" w:lineRule="exact"/>
        <w:rPr>
          <w:rFonts w:hint="eastAsia" w:ascii="宋体" w:hAnsi="宋体"/>
          <w:sz w:val="24"/>
          <w:szCs w:val="24"/>
        </w:rPr>
      </w:pPr>
      <w:r>
        <w:rPr>
          <w:rFonts w:hint="eastAsia" w:ascii="宋体" w:hAnsi="宋体"/>
          <w:sz w:val="24"/>
          <w:szCs w:val="24"/>
        </w:rPr>
        <w:t>双方须对工作中了解到的使用单位技术、机密等进行严格保密，不得向他人泄漏。</w:t>
      </w:r>
    </w:p>
    <w:p w14:paraId="53186503">
      <w:pPr>
        <w:adjustRightInd w:val="0"/>
        <w:snapToGrid w:val="0"/>
        <w:spacing w:line="520" w:lineRule="exact"/>
        <w:rPr>
          <w:rFonts w:hint="eastAsia" w:ascii="宋体" w:hAnsi="宋体"/>
          <w:b/>
          <w:color w:val="000000"/>
          <w:sz w:val="24"/>
          <w:szCs w:val="24"/>
        </w:rPr>
      </w:pPr>
      <w:r>
        <w:rPr>
          <w:rFonts w:hint="eastAsia" w:ascii="宋体" w:hAnsi="宋体"/>
          <w:b/>
          <w:color w:val="000000"/>
          <w:sz w:val="24"/>
          <w:szCs w:val="24"/>
        </w:rPr>
        <w:t>十、知识产权</w:t>
      </w:r>
    </w:p>
    <w:p w14:paraId="37A9988E">
      <w:pPr>
        <w:adjustRightInd w:val="0"/>
        <w:snapToGrid w:val="0"/>
        <w:spacing w:line="520" w:lineRule="exact"/>
        <w:rPr>
          <w:rFonts w:hint="eastAsia" w:ascii="宋体" w:hAnsi="宋体"/>
          <w:sz w:val="24"/>
          <w:szCs w:val="24"/>
        </w:rPr>
      </w:pPr>
      <w:r>
        <w:rPr>
          <w:rFonts w:hint="eastAsia" w:ascii="宋体" w:hAnsi="宋体"/>
          <w:sz w:val="24"/>
          <w:szCs w:val="24"/>
        </w:rPr>
        <w:t>供应商应保证投标产品及服务不会出现因第三方提出侵犯其专利权、商标权或其它知识产权而引发法律或经济纠纷，否则由供应商承担全部责任。</w:t>
      </w:r>
      <w:r>
        <w:rPr>
          <w:rFonts w:ascii="宋体" w:hAnsi="宋体"/>
          <w:sz w:val="24"/>
          <w:szCs w:val="24"/>
        </w:rPr>
        <w:t>任何被</w:t>
      </w:r>
      <w:r>
        <w:rPr>
          <w:rFonts w:hint="eastAsia" w:ascii="宋体" w:hAnsi="宋体"/>
          <w:sz w:val="24"/>
          <w:szCs w:val="24"/>
        </w:rPr>
        <w:t>供应商</w:t>
      </w:r>
      <w:r>
        <w:rPr>
          <w:rFonts w:ascii="宋体" w:hAnsi="宋体"/>
          <w:sz w:val="24"/>
          <w:szCs w:val="24"/>
        </w:rPr>
        <w:t>用于未经授权的商业目的行为所造成的违约或侵权责任由</w:t>
      </w:r>
      <w:r>
        <w:rPr>
          <w:rFonts w:hint="eastAsia" w:ascii="宋体" w:hAnsi="宋体"/>
          <w:sz w:val="24"/>
          <w:szCs w:val="24"/>
        </w:rPr>
        <w:t>供应商</w:t>
      </w:r>
      <w:r>
        <w:rPr>
          <w:rFonts w:ascii="宋体" w:hAnsi="宋体"/>
          <w:sz w:val="24"/>
          <w:szCs w:val="24"/>
        </w:rPr>
        <w:t>承但。</w:t>
      </w:r>
    </w:p>
    <w:p w14:paraId="2223EA15">
      <w:pPr>
        <w:adjustRightInd w:val="0"/>
        <w:snapToGrid w:val="0"/>
        <w:spacing w:line="520" w:lineRule="exact"/>
        <w:rPr>
          <w:rFonts w:hint="eastAsia" w:ascii="宋体" w:hAnsi="宋体"/>
          <w:sz w:val="24"/>
        </w:rPr>
      </w:pPr>
      <w:r>
        <w:rPr>
          <w:rFonts w:hint="eastAsia" w:ascii="宋体" w:hAnsi="宋体"/>
          <w:b/>
          <w:sz w:val="24"/>
        </w:rPr>
        <w:t>十一、合同争议的解决：</w:t>
      </w:r>
      <w:r>
        <w:rPr>
          <w:rFonts w:hint="eastAsia" w:ascii="宋体" w:hAnsi="宋体"/>
          <w:sz w:val="24"/>
        </w:rPr>
        <w:t>合同执行中发生争议的，当事人双方应协商解决，协商达不成一致时，可向采购人住所地有管辖权的人民法院提请诉讼。</w:t>
      </w:r>
    </w:p>
    <w:p w14:paraId="657BA420">
      <w:pPr>
        <w:adjustRightInd w:val="0"/>
        <w:snapToGrid w:val="0"/>
        <w:spacing w:line="520" w:lineRule="exact"/>
        <w:rPr>
          <w:rFonts w:hint="eastAsia" w:ascii="宋体" w:hAnsi="宋体"/>
          <w:sz w:val="24"/>
        </w:rPr>
      </w:pPr>
      <w:r>
        <w:rPr>
          <w:rFonts w:hint="eastAsia" w:ascii="宋体" w:hAnsi="宋体"/>
          <w:b/>
          <w:sz w:val="24"/>
        </w:rPr>
        <w:t>十二、</w:t>
      </w:r>
      <w:r>
        <w:rPr>
          <w:rFonts w:hint="eastAsia" w:ascii="宋体" w:hAnsi="宋体"/>
          <w:sz w:val="24"/>
        </w:rPr>
        <w:t>在发生不可抗力情况下的应对措施和解决办法。</w:t>
      </w:r>
    </w:p>
    <w:p w14:paraId="6800F9BE">
      <w:pPr>
        <w:adjustRightInd w:val="0"/>
        <w:snapToGrid w:val="0"/>
        <w:spacing w:line="520" w:lineRule="exact"/>
        <w:rPr>
          <w:rFonts w:hint="eastAsia" w:ascii="宋体" w:hAnsi="宋体"/>
          <w:sz w:val="24"/>
        </w:rPr>
      </w:pPr>
      <w:r>
        <w:rPr>
          <w:rFonts w:hint="eastAsia" w:ascii="宋体" w:hAnsi="宋体"/>
          <w:b/>
          <w:sz w:val="24"/>
        </w:rPr>
        <w:t>十三、</w:t>
      </w:r>
      <w:r>
        <w:rPr>
          <w:rFonts w:hint="eastAsia" w:ascii="宋体" w:hAnsi="宋体"/>
          <w:sz w:val="24"/>
        </w:rPr>
        <w:t>合同一经签订，不得擅自变更、中止或者终止合同。对确需变更、调整或者中止、终止合同的，应按规定履行相应的手续。</w:t>
      </w:r>
    </w:p>
    <w:p w14:paraId="4E695973">
      <w:pPr>
        <w:adjustRightInd w:val="0"/>
        <w:snapToGrid w:val="0"/>
        <w:spacing w:line="520" w:lineRule="exact"/>
        <w:rPr>
          <w:rFonts w:hint="eastAsia" w:ascii="宋体" w:hAnsi="宋体"/>
          <w:sz w:val="24"/>
        </w:rPr>
      </w:pPr>
      <w:r>
        <w:rPr>
          <w:rFonts w:hint="eastAsia" w:ascii="宋体" w:hAnsi="宋体"/>
          <w:b/>
          <w:sz w:val="24"/>
        </w:rPr>
        <w:t>十四、违约责任：</w:t>
      </w:r>
      <w:r>
        <w:rPr>
          <w:rFonts w:hint="eastAsia" w:ascii="宋体" w:hAnsi="宋体"/>
          <w:sz w:val="24"/>
        </w:rPr>
        <w:t>依据《</w:t>
      </w:r>
      <w:r>
        <w:rPr>
          <w:rFonts w:hint="eastAsia" w:ascii="宋体" w:hAnsi="宋体"/>
          <w:sz w:val="24"/>
          <w:lang w:eastAsia="zh-CN"/>
        </w:rPr>
        <w:t>中华人民共和国民法典</w:t>
      </w:r>
      <w:r>
        <w:rPr>
          <w:rFonts w:hint="eastAsia" w:ascii="宋体" w:hAnsi="宋体"/>
          <w:sz w:val="24"/>
        </w:rPr>
        <w:t>》、《中华人民共和国政府采购法》的相关条款和本合同约定，成交供应商未全面履行合同义务或者发生违约，采购单位会同采购代理机构有权终止合同，依法向成交供应商进行经济索赔，并报请政府采购监督管理机关进行相应的行政处罚。采购单位违约的，应当赔偿给成交供应商造成的经济损失。</w:t>
      </w:r>
    </w:p>
    <w:p w14:paraId="4219C7D6">
      <w:pPr>
        <w:adjustRightInd w:val="0"/>
        <w:snapToGrid w:val="0"/>
        <w:spacing w:line="520" w:lineRule="exact"/>
        <w:rPr>
          <w:rFonts w:hint="eastAsia" w:ascii="宋体" w:hAnsi="宋体"/>
          <w:b/>
          <w:sz w:val="24"/>
        </w:rPr>
      </w:pPr>
      <w:r>
        <w:rPr>
          <w:rFonts w:hint="eastAsia" w:ascii="宋体" w:hAnsi="宋体"/>
          <w:b/>
          <w:sz w:val="24"/>
        </w:rPr>
        <w:t>十五、验收</w:t>
      </w:r>
    </w:p>
    <w:p w14:paraId="35EEAB33">
      <w:pPr>
        <w:adjustRightInd w:val="0"/>
        <w:snapToGrid w:val="0"/>
        <w:spacing w:line="520" w:lineRule="exact"/>
        <w:rPr>
          <w:rFonts w:hint="eastAsia" w:ascii="宋体" w:hAnsi="宋体"/>
          <w:sz w:val="24"/>
          <w:szCs w:val="22"/>
        </w:rPr>
      </w:pPr>
      <w:r>
        <w:rPr>
          <w:rFonts w:hint="eastAsia" w:ascii="宋体" w:hAnsi="宋体"/>
          <w:sz w:val="24"/>
          <w:szCs w:val="22"/>
        </w:rPr>
        <w:t>由采购人负责组织验收，或者邀请有关专家、质检机构、采购代理机构共同进行验收,验收费用由成交供应商支付(备注：如有验收需向采购代理机构支付金额2000-3000元不等)；验收合格须交接项目实施的全部资料，并填写政府采购项目验收报告单。验收须以合同、谈判文件及响应文件、澄清、及国家相应的标准、规范等为依据。</w:t>
      </w:r>
    </w:p>
    <w:p w14:paraId="04018FE6">
      <w:pPr>
        <w:adjustRightInd w:val="0"/>
        <w:snapToGrid w:val="0"/>
        <w:spacing w:line="520" w:lineRule="exact"/>
        <w:rPr>
          <w:rFonts w:hint="eastAsia" w:ascii="宋体" w:hAnsi="宋体"/>
          <w:b/>
          <w:sz w:val="24"/>
          <w:szCs w:val="22"/>
        </w:rPr>
      </w:pPr>
      <w:r>
        <w:rPr>
          <w:rFonts w:hint="eastAsia" w:ascii="宋体" w:hAnsi="宋体"/>
          <w:b/>
          <w:sz w:val="24"/>
          <w:szCs w:val="22"/>
        </w:rPr>
        <w:t>十六、其他（在合同中具体明确）</w:t>
      </w:r>
    </w:p>
    <w:p w14:paraId="1AF7DB33">
      <w:pPr>
        <w:adjustRightInd w:val="0"/>
        <w:snapToGrid w:val="0"/>
        <w:spacing w:line="520" w:lineRule="exact"/>
        <w:rPr>
          <w:rFonts w:hint="eastAsia" w:ascii="宋体" w:hAnsi="宋体"/>
          <w:b/>
          <w:sz w:val="24"/>
        </w:rPr>
      </w:pPr>
      <w:r>
        <w:rPr>
          <w:rFonts w:hint="eastAsia" w:ascii="宋体" w:hAnsi="宋体"/>
          <w:b/>
          <w:sz w:val="24"/>
        </w:rPr>
        <w:t>十七、合同订立</w:t>
      </w:r>
    </w:p>
    <w:p w14:paraId="24670240">
      <w:pPr>
        <w:adjustRightInd w:val="0"/>
        <w:snapToGrid w:val="0"/>
        <w:spacing w:line="520" w:lineRule="exact"/>
        <w:ind w:firstLine="475" w:firstLineChars="198"/>
        <w:rPr>
          <w:rFonts w:hint="eastAsia" w:ascii="宋体" w:hAnsi="宋体"/>
          <w:sz w:val="24"/>
        </w:rPr>
      </w:pPr>
      <w:r>
        <w:rPr>
          <w:rFonts w:hint="eastAsia" w:ascii="宋体" w:hAnsi="宋体"/>
          <w:sz w:val="24"/>
        </w:rPr>
        <w:t>1. 订立时间：</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71EBD45B">
      <w:pPr>
        <w:adjustRightInd w:val="0"/>
        <w:snapToGrid w:val="0"/>
        <w:spacing w:line="520" w:lineRule="exact"/>
        <w:ind w:firstLine="475" w:firstLineChars="198"/>
        <w:rPr>
          <w:rFonts w:hint="eastAsia" w:ascii="宋体" w:hAnsi="宋体"/>
          <w:sz w:val="24"/>
        </w:rPr>
      </w:pPr>
      <w:r>
        <w:rPr>
          <w:rFonts w:hint="eastAsia" w:ascii="宋体" w:hAnsi="宋体"/>
          <w:sz w:val="24"/>
        </w:rPr>
        <w:t>2. 订立地点：</w:t>
      </w:r>
      <w:r>
        <w:rPr>
          <w:rFonts w:hint="eastAsia" w:ascii="宋体" w:hAnsi="宋体"/>
          <w:sz w:val="24"/>
          <w:u w:val="single"/>
        </w:rPr>
        <w:t xml:space="preserve">                                 </w:t>
      </w:r>
      <w:r>
        <w:rPr>
          <w:rFonts w:hint="eastAsia" w:ascii="宋体" w:hAnsi="宋体"/>
          <w:sz w:val="24"/>
        </w:rPr>
        <w:t>。</w:t>
      </w:r>
    </w:p>
    <w:p w14:paraId="31E0E21B">
      <w:pPr>
        <w:tabs>
          <w:tab w:val="left" w:pos="980"/>
        </w:tabs>
        <w:kinsoku w:val="0"/>
        <w:adjustRightInd w:val="0"/>
        <w:snapToGrid w:val="0"/>
        <w:spacing w:line="520" w:lineRule="exact"/>
        <w:ind w:left="218" w:leftChars="104" w:firstLine="259" w:firstLineChars="108"/>
        <w:rPr>
          <w:rFonts w:hint="eastAsia" w:ascii="宋体" w:hAnsi="宋体"/>
          <w:sz w:val="24"/>
        </w:rPr>
      </w:pPr>
      <w:r>
        <w:rPr>
          <w:rFonts w:hint="eastAsia" w:ascii="宋体" w:hAnsi="宋体"/>
          <w:sz w:val="24"/>
        </w:rPr>
        <w:t>3. 本合同一式</w:t>
      </w:r>
      <w:r>
        <w:rPr>
          <w:rFonts w:hint="eastAsia" w:ascii="宋体" w:hAnsi="宋体"/>
          <w:sz w:val="24"/>
          <w:u w:val="single"/>
        </w:rPr>
        <w:t xml:space="preserve">    </w:t>
      </w:r>
      <w:r>
        <w:rPr>
          <w:rFonts w:hint="eastAsia" w:ascii="宋体" w:hAnsi="宋体"/>
          <w:sz w:val="24"/>
        </w:rPr>
        <w:t>份，具有同等法律效力，双方各执</w:t>
      </w:r>
      <w:r>
        <w:rPr>
          <w:rFonts w:hint="eastAsia" w:ascii="宋体" w:hAnsi="宋体"/>
          <w:sz w:val="24"/>
          <w:u w:val="single"/>
        </w:rPr>
        <w:t xml:space="preserve">    </w:t>
      </w:r>
      <w:r>
        <w:rPr>
          <w:rFonts w:hint="eastAsia" w:ascii="宋体" w:hAnsi="宋体"/>
          <w:sz w:val="24"/>
        </w:rPr>
        <w:t>份，监管部门备案壹份、采购代理机构存档壹份。各方签字盖章后生效，合同执行完毕自动失效（合同的服务承诺则长期有效）。</w:t>
      </w:r>
    </w:p>
    <w:p w14:paraId="0611820C">
      <w:pPr>
        <w:adjustRightInd w:val="0"/>
        <w:snapToGrid w:val="0"/>
        <w:spacing w:line="520" w:lineRule="exact"/>
        <w:ind w:firstLine="475" w:firstLineChars="198"/>
        <w:rPr>
          <w:rFonts w:hint="eastAsia" w:ascii="宋体" w:hAnsi="宋体"/>
          <w:sz w:val="24"/>
        </w:rPr>
      </w:pPr>
      <w:r>
        <w:rPr>
          <w:rFonts w:hint="eastAsia" w:ascii="宋体" w:hAnsi="宋体"/>
          <w:sz w:val="24"/>
        </w:rPr>
        <w:t>采购人：</w:t>
      </w:r>
      <w:r>
        <w:rPr>
          <w:rFonts w:hint="eastAsia" w:ascii="宋体" w:hAnsi="宋体"/>
          <w:sz w:val="24"/>
          <w:u w:val="single"/>
        </w:rPr>
        <w:t xml:space="preserve">   （盖章）     </w:t>
      </w:r>
      <w:r>
        <w:rPr>
          <w:rFonts w:hint="eastAsia" w:ascii="宋体" w:hAnsi="宋体"/>
          <w:sz w:val="24"/>
        </w:rPr>
        <w:t xml:space="preserve">           供应商：</w:t>
      </w:r>
      <w:r>
        <w:rPr>
          <w:rFonts w:hint="eastAsia" w:ascii="宋体" w:hAnsi="宋体"/>
          <w:sz w:val="24"/>
          <w:u w:val="single"/>
        </w:rPr>
        <w:t xml:space="preserve">   （盖章）    </w:t>
      </w:r>
    </w:p>
    <w:p w14:paraId="2D7B1A6F">
      <w:pPr>
        <w:adjustRightInd w:val="0"/>
        <w:snapToGrid w:val="0"/>
        <w:spacing w:line="520" w:lineRule="exact"/>
        <w:ind w:firstLine="475" w:firstLineChars="198"/>
        <w:rPr>
          <w:rFonts w:hint="eastAsia" w:ascii="宋体" w:hAnsi="宋体"/>
          <w:sz w:val="24"/>
        </w:rPr>
      </w:pPr>
      <w:r>
        <w:rPr>
          <w:rFonts w:hint="eastAsia" w:ascii="宋体" w:hAnsi="宋体"/>
          <w:sz w:val="24"/>
        </w:rPr>
        <w:t xml:space="preserve">地址： </w:t>
      </w:r>
      <w:r>
        <w:rPr>
          <w:rFonts w:hint="eastAsia" w:ascii="宋体" w:hAnsi="宋体"/>
          <w:sz w:val="24"/>
          <w:u w:val="single"/>
        </w:rPr>
        <w:t xml:space="preserve">                     </w:t>
      </w:r>
      <w:r>
        <w:rPr>
          <w:rFonts w:hint="eastAsia" w:ascii="宋体" w:hAnsi="宋体"/>
          <w:sz w:val="24"/>
        </w:rPr>
        <w:t xml:space="preserve">       地址： </w:t>
      </w:r>
      <w:r>
        <w:rPr>
          <w:rFonts w:hint="eastAsia" w:ascii="宋体" w:hAnsi="宋体"/>
          <w:sz w:val="24"/>
          <w:u w:val="single"/>
        </w:rPr>
        <w:t xml:space="preserve">                      </w:t>
      </w:r>
    </w:p>
    <w:p w14:paraId="33E41EE7">
      <w:pPr>
        <w:adjustRightInd w:val="0"/>
        <w:snapToGrid w:val="0"/>
        <w:spacing w:line="520" w:lineRule="exact"/>
        <w:ind w:firstLine="480" w:firstLineChars="200"/>
        <w:rPr>
          <w:rFonts w:hint="eastAsia" w:ascii="宋体" w:hAnsi="宋体"/>
          <w:sz w:val="24"/>
        </w:rPr>
      </w:pPr>
      <w:r>
        <w:rPr>
          <w:rFonts w:hint="eastAsia" w:ascii="宋体" w:hAnsi="宋体"/>
          <w:sz w:val="24"/>
        </w:rPr>
        <w:t>邮政编码：</w:t>
      </w:r>
      <w:r>
        <w:rPr>
          <w:rFonts w:hint="eastAsia" w:ascii="宋体" w:hAnsi="宋体"/>
          <w:sz w:val="24"/>
          <w:u w:val="single"/>
        </w:rPr>
        <w:t xml:space="preserve">                  </w:t>
      </w:r>
      <w:r>
        <w:rPr>
          <w:rFonts w:hint="eastAsia" w:ascii="宋体" w:hAnsi="宋体"/>
          <w:sz w:val="24"/>
        </w:rPr>
        <w:t xml:space="preserve">       邮政编码：</w:t>
      </w:r>
      <w:r>
        <w:rPr>
          <w:rFonts w:hint="eastAsia" w:ascii="宋体" w:hAnsi="宋体"/>
          <w:sz w:val="24"/>
          <w:u w:val="single"/>
        </w:rPr>
        <w:t xml:space="preserve">                  </w:t>
      </w:r>
    </w:p>
    <w:p w14:paraId="2B8E5034">
      <w:pPr>
        <w:adjustRightInd w:val="0"/>
        <w:snapToGrid w:val="0"/>
        <w:spacing w:line="520" w:lineRule="exact"/>
        <w:ind w:firstLine="475" w:firstLineChars="198"/>
        <w:rPr>
          <w:rFonts w:hint="eastAsia" w:ascii="宋体" w:hAnsi="宋体"/>
          <w:sz w:val="24"/>
        </w:rPr>
      </w:pPr>
      <w:r>
        <w:rPr>
          <w:rFonts w:hint="eastAsia" w:ascii="宋体" w:hAnsi="宋体"/>
          <w:sz w:val="24"/>
        </w:rPr>
        <w:t>法定代表人或其授权                 法定代表人或其授权</w:t>
      </w:r>
    </w:p>
    <w:p w14:paraId="0DDABFA0">
      <w:pPr>
        <w:adjustRightInd w:val="0"/>
        <w:snapToGrid w:val="0"/>
        <w:spacing w:line="520" w:lineRule="exact"/>
        <w:ind w:firstLine="475" w:firstLineChars="198"/>
        <w:rPr>
          <w:rFonts w:hint="eastAsia" w:ascii="宋体" w:hAnsi="宋体"/>
          <w:sz w:val="24"/>
        </w:rPr>
      </w:pPr>
      <w:r>
        <w:rPr>
          <w:rFonts w:hint="eastAsia" w:ascii="宋体" w:hAnsi="宋体"/>
          <w:sz w:val="24"/>
        </w:rPr>
        <w:t>的代理人：</w:t>
      </w:r>
      <w:r>
        <w:rPr>
          <w:rFonts w:hint="eastAsia" w:ascii="宋体" w:hAnsi="宋体"/>
          <w:sz w:val="24"/>
          <w:u w:val="single"/>
        </w:rPr>
        <w:t xml:space="preserve">（签字）      </w:t>
      </w:r>
      <w:r>
        <w:rPr>
          <w:rFonts w:hint="eastAsia" w:ascii="宋体" w:hAnsi="宋体"/>
          <w:sz w:val="24"/>
        </w:rPr>
        <w:t xml:space="preserve">           的代理人：</w:t>
      </w:r>
      <w:r>
        <w:rPr>
          <w:rFonts w:hint="eastAsia" w:ascii="宋体" w:hAnsi="宋体"/>
          <w:sz w:val="24"/>
          <w:u w:val="single"/>
        </w:rPr>
        <w:t xml:space="preserve">（签字）          </w:t>
      </w:r>
    </w:p>
    <w:p w14:paraId="4FD6415C">
      <w:pPr>
        <w:adjustRightInd w:val="0"/>
        <w:snapToGrid w:val="0"/>
        <w:spacing w:line="520" w:lineRule="exact"/>
        <w:ind w:firstLine="475" w:firstLineChars="198"/>
        <w:rPr>
          <w:rFonts w:hint="eastAsia" w:ascii="宋体" w:hAnsi="宋体"/>
          <w:sz w:val="24"/>
        </w:rPr>
      </w:pPr>
      <w:r>
        <w:rPr>
          <w:rFonts w:hint="eastAsia" w:ascii="宋体" w:hAnsi="宋体"/>
          <w:sz w:val="24"/>
        </w:rPr>
        <w:t>开户银行：</w:t>
      </w:r>
      <w:r>
        <w:rPr>
          <w:rFonts w:hint="eastAsia" w:ascii="宋体" w:hAnsi="宋体"/>
          <w:sz w:val="24"/>
          <w:u w:val="single"/>
        </w:rPr>
        <w:t xml:space="preserve">                 </w:t>
      </w:r>
      <w:r>
        <w:rPr>
          <w:rFonts w:hint="eastAsia" w:ascii="宋体" w:hAnsi="宋体"/>
          <w:sz w:val="24"/>
        </w:rPr>
        <w:t xml:space="preserve">        开户银行：</w:t>
      </w:r>
      <w:r>
        <w:rPr>
          <w:rFonts w:hint="eastAsia" w:ascii="宋体" w:hAnsi="宋体"/>
          <w:sz w:val="24"/>
          <w:u w:val="single"/>
        </w:rPr>
        <w:t xml:space="preserve">                  </w:t>
      </w:r>
    </w:p>
    <w:p w14:paraId="4E9CA3B8">
      <w:pPr>
        <w:adjustRightInd w:val="0"/>
        <w:snapToGrid w:val="0"/>
        <w:spacing w:line="520" w:lineRule="exact"/>
        <w:ind w:firstLine="475" w:firstLineChars="198"/>
        <w:rPr>
          <w:rFonts w:hint="eastAsia" w:ascii="宋体" w:hAnsi="宋体"/>
          <w:sz w:val="24"/>
        </w:rPr>
      </w:pPr>
      <w:r>
        <w:rPr>
          <w:rFonts w:hint="eastAsia" w:ascii="宋体" w:hAnsi="宋体"/>
          <w:sz w:val="24"/>
        </w:rPr>
        <w:t>账号：</w:t>
      </w:r>
      <w:r>
        <w:rPr>
          <w:rFonts w:hint="eastAsia" w:ascii="宋体" w:hAnsi="宋体"/>
          <w:sz w:val="24"/>
          <w:u w:val="single"/>
        </w:rPr>
        <w:t xml:space="preserve">                      </w:t>
      </w:r>
      <w:r>
        <w:rPr>
          <w:rFonts w:hint="eastAsia" w:ascii="宋体" w:hAnsi="宋体"/>
          <w:sz w:val="24"/>
        </w:rPr>
        <w:t xml:space="preserve">       账号：</w:t>
      </w:r>
      <w:r>
        <w:rPr>
          <w:rFonts w:hint="eastAsia" w:ascii="宋体" w:hAnsi="宋体"/>
          <w:sz w:val="24"/>
          <w:u w:val="single"/>
        </w:rPr>
        <w:t xml:space="preserve">                       </w:t>
      </w:r>
      <w:r>
        <w:rPr>
          <w:rFonts w:hint="eastAsia" w:ascii="宋体" w:hAnsi="宋体"/>
          <w:sz w:val="24"/>
        </w:rPr>
        <w:t xml:space="preserve"> </w:t>
      </w:r>
      <w:r>
        <w:rPr>
          <w:rFonts w:hint="eastAsia" w:ascii="宋体" w:hAnsi="宋体"/>
          <w:sz w:val="24"/>
          <w:u w:val="single"/>
        </w:rPr>
        <w:t xml:space="preserve"> </w:t>
      </w:r>
    </w:p>
    <w:p w14:paraId="75A6CC1A">
      <w:pPr>
        <w:adjustRightInd w:val="0"/>
        <w:snapToGrid w:val="0"/>
        <w:spacing w:line="520" w:lineRule="exact"/>
        <w:ind w:firstLine="475" w:firstLineChars="198"/>
        <w:rPr>
          <w:rFonts w:hint="eastAsia" w:ascii="宋体" w:hAnsi="宋体"/>
          <w:sz w:val="24"/>
        </w:rPr>
      </w:pPr>
      <w:r>
        <w:rPr>
          <w:rFonts w:hint="eastAsia" w:ascii="宋体" w:hAnsi="宋体"/>
          <w:sz w:val="24"/>
        </w:rPr>
        <w:t>电话：</w:t>
      </w:r>
      <w:r>
        <w:rPr>
          <w:rFonts w:hint="eastAsia" w:ascii="宋体" w:hAnsi="宋体"/>
          <w:sz w:val="24"/>
          <w:u w:val="single"/>
        </w:rPr>
        <w:t xml:space="preserve">                      </w:t>
      </w:r>
      <w:r>
        <w:rPr>
          <w:rFonts w:hint="eastAsia" w:ascii="宋体" w:hAnsi="宋体"/>
          <w:sz w:val="24"/>
        </w:rPr>
        <w:t xml:space="preserve">       电话：</w:t>
      </w:r>
      <w:r>
        <w:rPr>
          <w:rFonts w:hint="eastAsia" w:ascii="宋体" w:hAnsi="宋体"/>
          <w:sz w:val="24"/>
          <w:u w:val="single"/>
        </w:rPr>
        <w:t xml:space="preserve">                       </w:t>
      </w:r>
    </w:p>
    <w:p w14:paraId="2137F536">
      <w:pPr>
        <w:adjustRightInd w:val="0"/>
        <w:snapToGrid w:val="0"/>
        <w:spacing w:line="520" w:lineRule="exact"/>
        <w:ind w:firstLine="475" w:firstLineChars="198"/>
        <w:rPr>
          <w:rFonts w:hint="eastAsia" w:ascii="宋体" w:hAnsi="宋体"/>
          <w:sz w:val="24"/>
        </w:rPr>
      </w:pPr>
      <w:r>
        <w:rPr>
          <w:rFonts w:hint="eastAsia" w:ascii="宋体" w:hAnsi="宋体"/>
          <w:sz w:val="24"/>
        </w:rPr>
        <w:t>传真：</w:t>
      </w:r>
      <w:r>
        <w:rPr>
          <w:rFonts w:hint="eastAsia" w:ascii="宋体" w:hAnsi="宋体"/>
          <w:sz w:val="24"/>
          <w:u w:val="single"/>
        </w:rPr>
        <w:t xml:space="preserve">                      </w:t>
      </w:r>
      <w:r>
        <w:rPr>
          <w:rFonts w:hint="eastAsia" w:ascii="宋体" w:hAnsi="宋体"/>
          <w:sz w:val="24"/>
        </w:rPr>
        <w:t xml:space="preserve">       传真：</w:t>
      </w:r>
      <w:r>
        <w:rPr>
          <w:rFonts w:hint="eastAsia" w:ascii="宋体" w:hAnsi="宋体"/>
          <w:sz w:val="24"/>
          <w:u w:val="single"/>
        </w:rPr>
        <w:t xml:space="preserve">                       </w:t>
      </w:r>
    </w:p>
    <w:p w14:paraId="59E463B8">
      <w:pPr>
        <w:adjustRightInd w:val="0"/>
        <w:snapToGrid w:val="0"/>
        <w:spacing w:line="520" w:lineRule="exact"/>
        <w:ind w:firstLine="480" w:firstLineChars="200"/>
        <w:rPr>
          <w:rFonts w:hint="eastAsia" w:ascii="宋体" w:hAnsi="宋体"/>
          <w:sz w:val="24"/>
          <w:u w:val="single"/>
        </w:rPr>
      </w:pPr>
      <w:r>
        <w:rPr>
          <w:rFonts w:hint="eastAsia" w:ascii="宋体" w:hAnsi="宋体"/>
          <w:sz w:val="24"/>
        </w:rPr>
        <w:t>电子邮箱：</w:t>
      </w:r>
      <w:r>
        <w:rPr>
          <w:rFonts w:hint="eastAsia" w:ascii="宋体" w:hAnsi="宋体"/>
          <w:sz w:val="24"/>
          <w:u w:val="single"/>
        </w:rPr>
        <w:t xml:space="preserve">                 </w:t>
      </w:r>
      <w:r>
        <w:rPr>
          <w:rFonts w:hint="eastAsia" w:ascii="宋体" w:hAnsi="宋体"/>
          <w:sz w:val="24"/>
        </w:rPr>
        <w:t xml:space="preserve">        电子邮箱：</w:t>
      </w:r>
      <w:r>
        <w:rPr>
          <w:rFonts w:hint="eastAsia" w:ascii="宋体" w:hAnsi="宋体"/>
          <w:sz w:val="24"/>
          <w:u w:val="single"/>
        </w:rPr>
        <w:t xml:space="preserve">               </w:t>
      </w:r>
    </w:p>
    <w:p w14:paraId="0D3CB313">
      <w:pPr>
        <w:spacing w:line="360" w:lineRule="auto"/>
        <w:jc w:val="center"/>
        <w:outlineLvl w:val="0"/>
        <w:rPr>
          <w:rFonts w:hint="eastAsia" w:ascii="宋体" w:hAnsi="宋体" w:cs="宋体"/>
          <w:b/>
          <w:kern w:val="44"/>
          <w:sz w:val="36"/>
          <w:szCs w:val="22"/>
        </w:rPr>
      </w:pPr>
    </w:p>
    <w:p w14:paraId="6588205D">
      <w:pPr>
        <w:spacing w:line="360" w:lineRule="auto"/>
        <w:jc w:val="center"/>
        <w:outlineLvl w:val="0"/>
        <w:rPr>
          <w:rFonts w:hint="eastAsia" w:ascii="宋体" w:hAnsi="宋体" w:cs="宋体"/>
          <w:b/>
          <w:kern w:val="44"/>
          <w:sz w:val="36"/>
          <w:szCs w:val="22"/>
        </w:rPr>
      </w:pPr>
    </w:p>
    <w:p w14:paraId="28359D67">
      <w:pPr>
        <w:spacing w:line="360" w:lineRule="auto"/>
        <w:jc w:val="center"/>
        <w:outlineLvl w:val="0"/>
        <w:rPr>
          <w:rFonts w:hint="eastAsia" w:ascii="宋体" w:hAnsi="宋体" w:cs="宋体"/>
          <w:b/>
          <w:kern w:val="44"/>
          <w:sz w:val="36"/>
          <w:szCs w:val="22"/>
        </w:rPr>
      </w:pPr>
    </w:p>
    <w:p w14:paraId="0DCCBFE4">
      <w:pPr>
        <w:spacing w:line="360" w:lineRule="auto"/>
        <w:jc w:val="center"/>
        <w:outlineLvl w:val="0"/>
        <w:rPr>
          <w:rFonts w:hint="eastAsia" w:ascii="宋体" w:hAnsi="宋体" w:cs="宋体"/>
          <w:b/>
          <w:kern w:val="44"/>
          <w:sz w:val="36"/>
          <w:szCs w:val="22"/>
        </w:rPr>
      </w:pPr>
    </w:p>
    <w:p w14:paraId="245E5BB6">
      <w:pPr>
        <w:pStyle w:val="8"/>
        <w:rPr>
          <w:rFonts w:hint="eastAsia" w:ascii="宋体" w:hAnsi="宋体" w:cs="宋体"/>
          <w:b/>
          <w:kern w:val="44"/>
          <w:sz w:val="36"/>
          <w:szCs w:val="22"/>
        </w:rPr>
      </w:pPr>
    </w:p>
    <w:p w14:paraId="2D93DC99">
      <w:pPr>
        <w:rPr>
          <w:rFonts w:hint="eastAsia"/>
        </w:rPr>
      </w:pPr>
    </w:p>
    <w:p w14:paraId="6DFBE440">
      <w:pPr>
        <w:spacing w:line="360" w:lineRule="auto"/>
        <w:jc w:val="center"/>
        <w:outlineLvl w:val="0"/>
        <w:rPr>
          <w:rFonts w:ascii="宋体" w:hAnsi="宋体" w:cs="宋体"/>
          <w:b/>
          <w:kern w:val="44"/>
          <w:sz w:val="36"/>
          <w:szCs w:val="22"/>
        </w:rPr>
      </w:pPr>
      <w:r>
        <w:rPr>
          <w:rFonts w:hint="eastAsia" w:ascii="宋体" w:hAnsi="宋体" w:cs="宋体"/>
          <w:b/>
          <w:kern w:val="44"/>
          <w:sz w:val="36"/>
          <w:szCs w:val="22"/>
        </w:rPr>
        <w:t>第五部分   商务要求</w:t>
      </w:r>
      <w:bookmarkEnd w:id="292"/>
      <w:bookmarkEnd w:id="293"/>
      <w:bookmarkEnd w:id="295"/>
    </w:p>
    <w:bookmarkEnd w:id="284"/>
    <w:bookmarkEnd w:id="285"/>
    <w:bookmarkEnd w:id="286"/>
    <w:bookmarkEnd w:id="287"/>
    <w:bookmarkEnd w:id="288"/>
    <w:bookmarkEnd w:id="289"/>
    <w:bookmarkEnd w:id="290"/>
    <w:bookmarkEnd w:id="291"/>
    <w:p w14:paraId="559EB3DC">
      <w:pPr>
        <w:spacing w:line="360" w:lineRule="auto"/>
        <w:ind w:firstLine="448" w:firstLineChars="186"/>
        <w:rPr>
          <w:rFonts w:ascii="宋体" w:hAnsi="宋体" w:cs="宋体"/>
          <w:bCs/>
          <w:sz w:val="24"/>
        </w:rPr>
      </w:pPr>
      <w:bookmarkStart w:id="296" w:name="_Toc14458"/>
      <w:bookmarkStart w:id="297" w:name="_Toc465958129"/>
      <w:bookmarkStart w:id="298" w:name="_Toc246928961"/>
      <w:bookmarkStart w:id="299" w:name="_Toc497712137"/>
      <w:bookmarkStart w:id="300" w:name="_Toc385992404"/>
      <w:bookmarkStart w:id="301" w:name="_Toc497711589"/>
      <w:bookmarkStart w:id="302" w:name="_Toc492955463"/>
      <w:bookmarkStart w:id="303" w:name="_Toc389620244"/>
      <w:bookmarkStart w:id="304" w:name="_Toc246928962"/>
      <w:bookmarkStart w:id="305" w:name="_Toc128557264"/>
      <w:bookmarkStart w:id="306" w:name="_Toc497551824"/>
      <w:bookmarkStart w:id="307" w:name="_Toc497546922"/>
      <w:r>
        <w:rPr>
          <w:rFonts w:hint="eastAsia" w:ascii="宋体" w:hAnsi="宋体" w:cs="宋体"/>
          <w:b/>
          <w:bCs/>
          <w:sz w:val="24"/>
        </w:rPr>
        <w:t>一、</w:t>
      </w:r>
      <w:r>
        <w:rPr>
          <w:rFonts w:hint="eastAsia" w:ascii="宋体" w:hAnsi="宋体" w:cs="宋体"/>
          <w:b/>
          <w:bCs/>
          <w:sz w:val="24"/>
          <w:szCs w:val="24"/>
          <w:lang w:val="en-US" w:eastAsia="zh-CN"/>
        </w:rPr>
        <w:t>交货</w:t>
      </w:r>
      <w:r>
        <w:rPr>
          <w:rFonts w:hint="eastAsia" w:ascii="宋体" w:hAnsi="宋体" w:cs="宋体"/>
          <w:b/>
          <w:bCs/>
          <w:sz w:val="24"/>
          <w:szCs w:val="24"/>
        </w:rPr>
        <w:t>地点：</w:t>
      </w:r>
      <w:r>
        <w:rPr>
          <w:rFonts w:hint="eastAsia" w:ascii="宋体" w:hAnsi="宋体" w:cs="宋体"/>
          <w:sz w:val="24"/>
        </w:rPr>
        <w:t>采购人指定地点</w:t>
      </w:r>
      <w:r>
        <w:rPr>
          <w:rFonts w:hint="eastAsia" w:ascii="宋体" w:hAnsi="宋体" w:cs="宋体"/>
          <w:sz w:val="24"/>
          <w:szCs w:val="24"/>
        </w:rPr>
        <w:t>。</w:t>
      </w:r>
    </w:p>
    <w:p w14:paraId="0E2361DE">
      <w:pPr>
        <w:spacing w:line="360" w:lineRule="auto"/>
        <w:ind w:firstLine="482" w:firstLineChars="200"/>
        <w:rPr>
          <w:rFonts w:ascii="宋体" w:hAnsi="宋体" w:cs="宋体"/>
          <w:color w:val="FF0000"/>
          <w:sz w:val="24"/>
          <w:szCs w:val="24"/>
        </w:rPr>
      </w:pPr>
      <w:r>
        <w:rPr>
          <w:rFonts w:hint="eastAsia" w:ascii="宋体" w:hAnsi="宋体" w:cs="宋体"/>
          <w:b/>
          <w:bCs/>
          <w:sz w:val="24"/>
        </w:rPr>
        <w:t>二、</w:t>
      </w:r>
      <w:r>
        <w:rPr>
          <w:rFonts w:hint="eastAsia" w:ascii="宋体" w:hAnsi="宋体" w:cs="宋体"/>
          <w:b/>
          <w:bCs/>
          <w:sz w:val="24"/>
          <w:szCs w:val="24"/>
          <w:lang w:val="en-US" w:eastAsia="zh-CN"/>
        </w:rPr>
        <w:t>交货</w:t>
      </w:r>
      <w:r>
        <w:rPr>
          <w:rFonts w:hint="eastAsia" w:ascii="宋体" w:hAnsi="宋体" w:cs="宋体"/>
          <w:b/>
          <w:bCs/>
          <w:sz w:val="24"/>
          <w:szCs w:val="24"/>
          <w:lang w:eastAsia="zh-CN"/>
        </w:rPr>
        <w:t>期</w:t>
      </w:r>
      <w:r>
        <w:rPr>
          <w:rFonts w:hint="eastAsia" w:ascii="宋体" w:hAnsi="宋体" w:cs="宋体"/>
          <w:sz w:val="24"/>
          <w:szCs w:val="24"/>
        </w:rPr>
        <w:t>：</w:t>
      </w:r>
      <w:r>
        <w:rPr>
          <w:rFonts w:hint="eastAsia" w:ascii="宋体" w:hAnsi="宋体" w:cs="宋体"/>
          <w:sz w:val="24"/>
          <w:szCs w:val="24"/>
          <w:lang w:val="en-US" w:eastAsia="zh-CN"/>
        </w:rPr>
        <w:t>15天</w:t>
      </w:r>
      <w:r>
        <w:rPr>
          <w:rFonts w:hint="eastAsia" w:ascii="宋体" w:hAnsi="宋体" w:cs="宋体"/>
          <w:color w:val="FF0000"/>
          <w:sz w:val="24"/>
          <w:szCs w:val="24"/>
        </w:rPr>
        <w:t xml:space="preserve">   </w:t>
      </w:r>
    </w:p>
    <w:p w14:paraId="08812834">
      <w:pPr>
        <w:spacing w:line="360" w:lineRule="auto"/>
        <w:ind w:firstLine="482" w:firstLineChars="200"/>
        <w:rPr>
          <w:rFonts w:ascii="宋体" w:hAnsi="宋体" w:cs="宋体"/>
          <w:b/>
          <w:bCs/>
          <w:sz w:val="24"/>
        </w:rPr>
      </w:pPr>
      <w:r>
        <w:rPr>
          <w:rFonts w:hint="eastAsia" w:ascii="宋体" w:hAnsi="宋体" w:cs="宋体"/>
          <w:b/>
          <w:bCs/>
          <w:sz w:val="24"/>
        </w:rPr>
        <w:t>三、合同价款</w:t>
      </w:r>
    </w:p>
    <w:p w14:paraId="5B489D32">
      <w:pPr>
        <w:spacing w:line="360" w:lineRule="auto"/>
        <w:ind w:firstLine="480" w:firstLineChars="200"/>
        <w:rPr>
          <w:rFonts w:hint="eastAsia" w:ascii="宋体" w:hAnsi="宋体" w:cs="宋体"/>
          <w:color w:val="000000"/>
          <w:sz w:val="24"/>
          <w:szCs w:val="24"/>
        </w:rPr>
      </w:pPr>
      <w:r>
        <w:rPr>
          <w:rFonts w:hint="eastAsia" w:ascii="宋体" w:hAnsi="宋体" w:cs="宋体"/>
          <w:sz w:val="24"/>
        </w:rPr>
        <w:t>1、</w:t>
      </w:r>
      <w:r>
        <w:rPr>
          <w:rFonts w:hint="eastAsia" w:ascii="宋体" w:hAnsi="宋体"/>
          <w:color w:val="000000"/>
          <w:sz w:val="24"/>
          <w:szCs w:val="24"/>
        </w:rPr>
        <w:t>投标报价</w:t>
      </w:r>
      <w:r>
        <w:rPr>
          <w:rFonts w:hint="eastAsia" w:ascii="宋体" w:hAnsi="宋体" w:cs="宋体"/>
          <w:color w:val="000000"/>
          <w:sz w:val="24"/>
          <w:szCs w:val="24"/>
        </w:rPr>
        <w:t>包含完成本次投标项目所包含的一切相关费用。</w:t>
      </w:r>
    </w:p>
    <w:p w14:paraId="2FB2FCBA">
      <w:pPr>
        <w:spacing w:line="360" w:lineRule="auto"/>
        <w:ind w:firstLine="480" w:firstLineChars="200"/>
        <w:rPr>
          <w:rFonts w:ascii="宋体" w:hAnsi="宋体" w:cs="宋体"/>
          <w:sz w:val="24"/>
        </w:rPr>
      </w:pPr>
      <w:r>
        <w:rPr>
          <w:rFonts w:hint="eastAsia" w:ascii="宋体" w:hAnsi="宋体" w:cs="宋体"/>
          <w:sz w:val="24"/>
        </w:rPr>
        <w:t>2、合同总价一次包死，不受市场价变化的影响。</w:t>
      </w:r>
    </w:p>
    <w:p w14:paraId="743E4FF3">
      <w:pPr>
        <w:spacing w:line="360" w:lineRule="auto"/>
        <w:ind w:firstLine="482" w:firstLineChars="200"/>
        <w:rPr>
          <w:rFonts w:ascii="宋体" w:hAnsi="宋体" w:cs="宋体"/>
          <w:b/>
          <w:bCs/>
          <w:sz w:val="24"/>
        </w:rPr>
      </w:pPr>
      <w:r>
        <w:rPr>
          <w:rFonts w:hint="eastAsia" w:ascii="宋体" w:hAnsi="宋体" w:cs="宋体"/>
          <w:b/>
          <w:bCs/>
          <w:sz w:val="24"/>
        </w:rPr>
        <w:t>四、款项结算</w:t>
      </w:r>
    </w:p>
    <w:p w14:paraId="2FD34C73">
      <w:pPr>
        <w:widowControl/>
        <w:tabs>
          <w:tab w:val="left" w:pos="1620"/>
        </w:tabs>
        <w:adjustRightInd w:val="0"/>
        <w:snapToGrid w:val="0"/>
        <w:spacing w:line="360" w:lineRule="auto"/>
        <w:ind w:firstLine="480" w:firstLineChars="200"/>
        <w:jc w:val="left"/>
        <w:rPr>
          <w:rFonts w:hint="default" w:ascii="宋体" w:hAnsi="宋体" w:cs="宋体"/>
          <w:sz w:val="24"/>
          <w:szCs w:val="24"/>
          <w:lang w:val="en-US"/>
        </w:rPr>
      </w:pPr>
      <w:r>
        <w:rPr>
          <w:rFonts w:hint="eastAsia"/>
          <w:sz w:val="24"/>
          <w:szCs w:val="24"/>
        </w:rPr>
        <w:t>1、付款方式：</w:t>
      </w:r>
      <w:r>
        <w:rPr>
          <w:rFonts w:hint="eastAsia"/>
          <w:sz w:val="24"/>
          <w:szCs w:val="24"/>
          <w:lang w:val="en-US" w:eastAsia="zh-CN"/>
        </w:rPr>
        <w:t>合同签订后预付中标金额的40%，验收合格后一次性付清。</w:t>
      </w:r>
    </w:p>
    <w:p w14:paraId="067B6322">
      <w:pPr>
        <w:spacing w:line="360" w:lineRule="auto"/>
        <w:ind w:firstLine="420" w:firstLineChars="175"/>
        <w:rPr>
          <w:rFonts w:ascii="宋体" w:hAnsi="宋体" w:cs="宋体"/>
          <w:sz w:val="24"/>
          <w:szCs w:val="24"/>
        </w:rPr>
      </w:pPr>
      <w:r>
        <w:rPr>
          <w:rFonts w:hint="eastAsia" w:ascii="宋体" w:hAnsi="宋体" w:cs="仿宋_GB2312"/>
          <w:sz w:val="24"/>
          <w:szCs w:val="22"/>
        </w:rPr>
        <w:t>2、结算方式：</w:t>
      </w:r>
      <w:r>
        <w:rPr>
          <w:rFonts w:hint="eastAsia" w:ascii="宋体" w:hAnsi="宋体"/>
          <w:color w:val="000000"/>
          <w:sz w:val="24"/>
        </w:rPr>
        <w:t>采购人结算，在付款前，必须开具全额（等额）发票给采购人</w:t>
      </w:r>
      <w:r>
        <w:rPr>
          <w:rFonts w:hint="eastAsia" w:ascii="宋体" w:hAnsi="宋体" w:cs="宋体"/>
          <w:color w:val="000000"/>
          <w:sz w:val="24"/>
          <w:szCs w:val="24"/>
        </w:rPr>
        <w:t>。</w:t>
      </w:r>
    </w:p>
    <w:p w14:paraId="6BE179A0">
      <w:pPr>
        <w:spacing w:line="360" w:lineRule="auto"/>
        <w:ind w:firstLine="482" w:firstLineChars="200"/>
        <w:rPr>
          <w:rFonts w:ascii="宋体" w:hAnsi="宋体" w:cs="宋体"/>
          <w:b/>
          <w:bCs/>
          <w:sz w:val="24"/>
        </w:rPr>
      </w:pPr>
      <w:r>
        <w:rPr>
          <w:rFonts w:hint="eastAsia" w:ascii="宋体" w:hAnsi="宋体" w:cs="宋体"/>
          <w:b/>
          <w:bCs/>
          <w:sz w:val="24"/>
          <w:lang w:val="en-US" w:eastAsia="zh-CN"/>
        </w:rPr>
        <w:t>五</w:t>
      </w:r>
      <w:r>
        <w:rPr>
          <w:rFonts w:hint="eastAsia" w:ascii="宋体" w:hAnsi="宋体" w:cs="宋体"/>
          <w:b/>
          <w:bCs/>
          <w:sz w:val="24"/>
        </w:rPr>
        <w:t>、违约责任</w:t>
      </w:r>
    </w:p>
    <w:p w14:paraId="6A9B15AD">
      <w:pPr>
        <w:spacing w:line="360" w:lineRule="auto"/>
        <w:ind w:firstLine="480" w:firstLineChars="200"/>
        <w:rPr>
          <w:rFonts w:ascii="宋体" w:hAnsi="宋体" w:cs="宋体"/>
          <w:sz w:val="24"/>
        </w:rPr>
      </w:pPr>
      <w:r>
        <w:rPr>
          <w:rFonts w:hint="eastAsia" w:ascii="宋体" w:hAnsi="宋体" w:cs="宋体"/>
          <w:sz w:val="24"/>
        </w:rPr>
        <w:t>1、按《</w:t>
      </w:r>
      <w:r>
        <w:rPr>
          <w:rFonts w:hint="eastAsia" w:ascii="宋体" w:hAnsi="宋体" w:cs="宋体"/>
          <w:sz w:val="24"/>
          <w:lang w:val="en-US" w:eastAsia="zh-CN"/>
        </w:rPr>
        <w:t>民法典</w:t>
      </w:r>
      <w:r>
        <w:rPr>
          <w:rFonts w:hint="eastAsia" w:ascii="宋体" w:hAnsi="宋体" w:cs="宋体"/>
          <w:sz w:val="24"/>
        </w:rPr>
        <w:t>》中的相关条款执行。</w:t>
      </w:r>
    </w:p>
    <w:p w14:paraId="019B5A08">
      <w:pPr>
        <w:spacing w:line="360" w:lineRule="auto"/>
        <w:ind w:firstLine="480" w:firstLineChars="200"/>
        <w:rPr>
          <w:rFonts w:ascii="宋体" w:hAnsi="宋体" w:cs="宋体"/>
          <w:sz w:val="24"/>
        </w:rPr>
      </w:pPr>
      <w:r>
        <w:rPr>
          <w:rFonts w:hint="eastAsia" w:ascii="宋体" w:hAnsi="宋体" w:cs="宋体"/>
          <w:sz w:val="24"/>
        </w:rPr>
        <w:t>2、未按合同要求提供</w:t>
      </w:r>
      <w:r>
        <w:rPr>
          <w:rFonts w:hint="eastAsia" w:ascii="宋体" w:hAnsi="宋体" w:cs="宋体"/>
          <w:sz w:val="24"/>
          <w:lang w:val="en-US" w:eastAsia="zh-CN"/>
        </w:rPr>
        <w:t>服务</w:t>
      </w:r>
      <w:r>
        <w:rPr>
          <w:rFonts w:hint="eastAsia" w:ascii="宋体" w:hAnsi="宋体" w:cs="宋体"/>
          <w:sz w:val="24"/>
        </w:rPr>
        <w:t>质量不能满足技术要求，采购人同招标公司有权终止合同和对供方违约行为进行追究，同时按政府采购法的有关规定进行相应的处罚。</w:t>
      </w:r>
    </w:p>
    <w:p w14:paraId="5D1E82E6">
      <w:pPr>
        <w:spacing w:line="360" w:lineRule="auto"/>
        <w:ind w:firstLine="482" w:firstLineChars="200"/>
        <w:rPr>
          <w:rFonts w:ascii="宋体" w:hAnsi="宋体" w:cs="宋体"/>
          <w:b/>
          <w:bCs/>
          <w:sz w:val="24"/>
        </w:rPr>
      </w:pPr>
      <w:r>
        <w:rPr>
          <w:rFonts w:hint="eastAsia" w:ascii="宋体" w:hAnsi="宋体" w:cs="宋体"/>
          <w:b/>
          <w:bCs/>
          <w:sz w:val="24"/>
          <w:lang w:val="en-US" w:eastAsia="zh-CN"/>
        </w:rPr>
        <w:t>六</w:t>
      </w:r>
      <w:r>
        <w:rPr>
          <w:rFonts w:hint="eastAsia" w:ascii="宋体" w:hAnsi="宋体" w:cs="宋体"/>
          <w:b/>
          <w:bCs/>
          <w:sz w:val="24"/>
        </w:rPr>
        <w:t>、验收</w:t>
      </w:r>
    </w:p>
    <w:bookmarkEnd w:id="296"/>
    <w:p w14:paraId="009EB1BC">
      <w:pPr>
        <w:adjustRightInd w:val="0"/>
        <w:snapToGrid w:val="0"/>
        <w:spacing w:line="520" w:lineRule="exact"/>
        <w:ind w:firstLine="480" w:firstLineChars="200"/>
        <w:rPr>
          <w:rFonts w:hint="eastAsia" w:ascii="宋体" w:hAnsi="宋体"/>
          <w:sz w:val="24"/>
          <w:szCs w:val="22"/>
        </w:rPr>
      </w:pPr>
      <w:r>
        <w:rPr>
          <w:rFonts w:hint="eastAsia" w:ascii="宋体" w:hAnsi="宋体"/>
          <w:sz w:val="24"/>
          <w:szCs w:val="22"/>
        </w:rPr>
        <w:t>由采购人负责组织验收，或者邀请有关专家、质检机构、采购代理机构共同进行验收,验收费用由成交供应商支付(备注：如有验收需向采购代理机构支付金额2000-3000元不等)；验收合格须交接项目实施的全部资料，并填写政府采购项目验收报告单。验收须以合同、谈判文件及响应文件、澄清、及国家相应的标准、规范等为依据。</w:t>
      </w:r>
    </w:p>
    <w:p w14:paraId="0CAB61DB">
      <w:pPr>
        <w:bidi w:val="0"/>
        <w:rPr>
          <w:rFonts w:hint="eastAsia"/>
        </w:rPr>
      </w:pPr>
    </w:p>
    <w:p w14:paraId="1E934DE3">
      <w:pPr>
        <w:bidi w:val="0"/>
        <w:rPr>
          <w:rFonts w:hint="eastAsia"/>
        </w:rPr>
      </w:pPr>
    </w:p>
    <w:p w14:paraId="5505E4A1">
      <w:pPr>
        <w:bidi w:val="0"/>
        <w:rPr>
          <w:rFonts w:hint="eastAsia"/>
        </w:rPr>
      </w:pPr>
    </w:p>
    <w:p w14:paraId="7D87C5BB">
      <w:pPr>
        <w:pStyle w:val="7"/>
        <w:rPr>
          <w:rFonts w:hint="eastAsia"/>
        </w:rPr>
      </w:pPr>
    </w:p>
    <w:p w14:paraId="302AF6CC">
      <w:pPr>
        <w:pStyle w:val="7"/>
        <w:rPr>
          <w:rFonts w:hint="eastAsia"/>
        </w:rPr>
      </w:pPr>
    </w:p>
    <w:p w14:paraId="1C69B662">
      <w:pPr>
        <w:pStyle w:val="7"/>
        <w:rPr>
          <w:rFonts w:hint="eastAsia"/>
        </w:rPr>
      </w:pPr>
    </w:p>
    <w:p w14:paraId="17C9C043">
      <w:pPr>
        <w:pStyle w:val="2"/>
        <w:numPr>
          <w:ilvl w:val="0"/>
          <w:numId w:val="6"/>
        </w:numPr>
        <w:spacing w:line="360" w:lineRule="auto"/>
        <w:jc w:val="center"/>
        <w:rPr>
          <w:rFonts w:hint="eastAsia" w:ascii="宋体" w:hAnsi="宋体" w:cs="宋体"/>
          <w:color w:val="000000"/>
          <w:sz w:val="32"/>
          <w:szCs w:val="32"/>
        </w:rPr>
        <w:sectPr>
          <w:footerReference r:id="rId12" w:type="first"/>
          <w:headerReference r:id="rId10" w:type="default"/>
          <w:footerReference r:id="rId11" w:type="default"/>
          <w:footnotePr>
            <w:pos w:val="beneathText"/>
          </w:footnotePr>
          <w:pgSz w:w="11906" w:h="16838"/>
          <w:pgMar w:top="1701" w:right="1418" w:bottom="1701" w:left="1418" w:header="1091" w:footer="992" w:gutter="0"/>
          <w:cols w:space="720" w:num="1"/>
          <w:titlePg/>
          <w:docGrid w:type="lines" w:linePitch="312" w:charSpace="0"/>
        </w:sectPr>
      </w:pPr>
    </w:p>
    <w:p w14:paraId="7AF650A6">
      <w:pPr>
        <w:bidi w:val="0"/>
        <w:jc w:val="center"/>
        <w:rPr>
          <w:rFonts w:hint="eastAsia" w:ascii="宋体" w:hAnsi="宋体" w:eastAsia="宋体" w:cs="宋体"/>
          <w:b/>
          <w:bCs/>
          <w:sz w:val="36"/>
          <w:szCs w:val="52"/>
          <w:lang w:val="en-US" w:eastAsia="zh-CN"/>
        </w:rPr>
      </w:pPr>
      <w:bookmarkStart w:id="308" w:name="_Toc28145"/>
      <w:r>
        <w:rPr>
          <w:rFonts w:hint="eastAsia" w:ascii="宋体" w:hAnsi="宋体" w:eastAsia="宋体" w:cs="宋体"/>
          <w:b/>
          <w:bCs/>
          <w:sz w:val="36"/>
          <w:szCs w:val="52"/>
          <w:lang w:val="en-US" w:eastAsia="zh-CN"/>
        </w:rPr>
        <w:t>第六部分</w:t>
      </w:r>
      <w:r>
        <w:rPr>
          <w:rFonts w:hint="eastAsia" w:ascii="宋体" w:hAnsi="宋体" w:cs="宋体"/>
          <w:b/>
          <w:bCs/>
          <w:sz w:val="36"/>
          <w:szCs w:val="52"/>
          <w:lang w:val="en-US" w:eastAsia="zh-CN"/>
        </w:rPr>
        <w:t xml:space="preserve">  </w:t>
      </w:r>
      <w:r>
        <w:rPr>
          <w:rFonts w:hint="eastAsia" w:ascii="宋体" w:hAnsi="宋体" w:eastAsia="宋体" w:cs="宋体"/>
          <w:b/>
          <w:bCs/>
          <w:sz w:val="36"/>
          <w:szCs w:val="52"/>
          <w:lang w:val="en-US" w:eastAsia="zh-CN"/>
        </w:rPr>
        <w:t>采购内容需求</w:t>
      </w:r>
    </w:p>
    <w:tbl>
      <w:tblPr>
        <w:tblStyle w:val="21"/>
        <w:tblW w:w="9577"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05"/>
        <w:gridCol w:w="1222"/>
        <w:gridCol w:w="5978"/>
        <w:gridCol w:w="915"/>
        <w:gridCol w:w="757"/>
      </w:tblGrid>
      <w:tr w14:paraId="2C85D7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95787">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027E3">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名称</w:t>
            </w:r>
          </w:p>
        </w:tc>
        <w:tc>
          <w:tcPr>
            <w:tcW w:w="5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83CDE">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要求</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5F45D">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数量</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4C7B2">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w:t>
            </w:r>
          </w:p>
        </w:tc>
      </w:tr>
      <w:tr w14:paraId="7E4AAE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54A57">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C4075">
            <w:pPr>
              <w:keepNext w:val="0"/>
              <w:keepLines w:val="0"/>
              <w:widowControl/>
              <w:suppressLineNumbers w:val="0"/>
              <w:spacing w:line="36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柜式七氟丙烷气体灭火装置</w:t>
            </w:r>
          </w:p>
        </w:tc>
        <w:tc>
          <w:tcPr>
            <w:tcW w:w="5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A3D44">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包含柜体、贮瓶、喷嘴、连接管（含弯头）、电磁阀、压力信号器，压力表，抱箍拉杆螺母等（8套）。七氟丙烷药剂（136千克），泄压口泄压面积：0.12㎡，开孔尺寸：400*400，（5套）点型光电感烟火灾探测器；智能型,电子编址,配用底座,无极性连接。（5套），点型感温火灾探测器；智能型,电子编址,配用底座,无极性连接。（20只），探测器底座；适配智能型探测器（25只），火灾声光警报器；能型二总线，不需24V供电，声和光报警（10只），火灾声光警报器底座；配套使用，（10只），紧急启停按钮；智能型,电子编址,可以手动操作启动或停止气体喷放。（5只），气体释放警报器；智能型,电子编址,DC24V供电，(5只），气体灭火控制器；单区气体灭火控制器，壁挂式机箱，30V/2.3A开关电源，两节12V3AH铅酸蓄电池，含热敏打印机（5台）</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46F30">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A600B">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r>
      <w:tr w14:paraId="7ECD94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B7B2D">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9B1CC">
            <w:pPr>
              <w:keepNext w:val="0"/>
              <w:keepLines w:val="0"/>
              <w:widowControl/>
              <w:suppressLineNumbers w:val="0"/>
              <w:spacing w:line="36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全网行为管理</w:t>
            </w:r>
          </w:p>
        </w:tc>
        <w:tc>
          <w:tcPr>
            <w:tcW w:w="5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90DAE">
            <w:pPr>
              <w:keepNext w:val="0"/>
              <w:keepLines w:val="0"/>
              <w:widowControl/>
              <w:suppressLineNumbers w:val="0"/>
              <w:spacing w:line="36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性能要求：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网络层吞吐量≥5.8Gb，应用层吞吐量≥750Mb，带宽性能≥500Mb，IPSEC VPN加密性能（最高性能）≥120Mb，支持用户数≥4000，包转发率≥90Kpps，每秒新建连接数≥10000，最大并发连接数≥500000。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硬件要求：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采用国产化芯片及国产化CPU，规格：1U，内存大小≥8G，硬盘容量≥480G SSD，接口：≥6千兆电口。</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服务要求：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提供三年原厂软硬件维保，包含规则库特征库三年升级许可。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1.支持radius、AD、POP3、Proxy、PPPOE、 H3C IMC/CAMS、SAM、城市热点等系统进行认证单点登录，简化用户操作，可强制指定用户、指定IP段的用户必须使用单点登录。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2.支持针对外发邮件扩展名阻断含指定文件类型的邮件发送行为；支持根据发送邮件收件人以及发件人阻断外发邮件。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设备内置海量预分类的URL地址库，能够针对各种URL类型做识别和分类，同时所有URL类型都支持区分“网站浏览”、“文件上传”、“其他上传”、“HTTPS”等细分行为并分别做权限控制。（需提供产品功能截图）</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4.识别并过滤SSL加密的钓鱼网站、非法网站等，支持将违规HTTPs访问重定向到告警页面；（提供自主知识产权证明材料）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5.支持对上网人员使用CS客户端外发的SSL协议加密邮件的邮件内容和附件进行审计。</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6.支持常见远程控制软件的审计,包括但不限于Teamviewer、向日葵、Anydesk、RDP的的外发文件审计。（需提供产品功能截图证明材料）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7.支持图形化网络故障排查，图形化界面可展示网关异常事件、网口丢包异常、内网DOS以及ARP等事件整体情况。</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8.支持多种外联场景检测，例如双网卡场景、无线网卡场景、4G网卡场景、非法WIFI场景，检测到后立刻进行断网操作以及向管理员告警，并弹窗提示终端上网人员。（需提供产品功能截图证明材料）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9.支持对上网人员外设使用进行管控,防止上网人员从内网拷贝信息,必须支持存储设备、网络设备、蓝牙设备、摄像头、打印机的使用管控。</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10.支持超过千种主流Saas应用，对Saas应用有默认分类标签，帮助客户统一配置策略；</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11.支持网页内容审计功能，可精细化记录URL、标题、内容等网页信息，支持网页内容审计后的网页快照功能；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12.要求所投产品的生产厂商为国家信息安全漏洞共享平台(CNVD)技术组及用户组成员，提供官网截图证明材料。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13.为保障我司本次项目产品的软件稳定性，要求所投厂商具备中国网络安全审查技术和市场监管大数据中心颁发的信息安全服务资质认证-SD软件开发一级资质。（提供一级资质证书证明材料）</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DE479">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26BA5">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r>
      <w:tr w14:paraId="0026C2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B9AC2">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E4276">
            <w:pPr>
              <w:keepNext w:val="0"/>
              <w:keepLines w:val="0"/>
              <w:widowControl/>
              <w:suppressLineNumbers w:val="0"/>
              <w:spacing w:line="36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中间库</w:t>
            </w:r>
          </w:p>
        </w:tc>
        <w:tc>
          <w:tcPr>
            <w:tcW w:w="5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CD5B0">
            <w:pPr>
              <w:keepNext w:val="0"/>
              <w:keepLines w:val="0"/>
              <w:widowControl/>
              <w:suppressLineNumbers w:val="0"/>
              <w:spacing w:line="36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1、柜体采用冷轧钢板， 保证强度及耐用性；尺寸：宽 ≥1100mm、高≥2010mm、深 ≥350mm；（提供相关设计证明材料）；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2、表层金属烤漆处理，经过酸洗硫化处理，防锈、防水、 防腐蚀、耐磨，不易沾污损坏；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3、可容纳80个厚不低于4.2cm的诉材中间盒；（提供相关证明材料）；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主控智能设计要求：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1、集成子控制模块有不低于8个LED灯提示；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2、集成子控制模块有不低于8路光电感应模块，分别对应本隔口中位置1到位置8的文件放入状态反馈；（提供相关证明材料）</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3、子控制板与主板通信，实时读取主板的控制命令，同时反馈当前子板的状态；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4、子控制板控制开关门锁，监控门锁的状态；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5、通过LED指示板实现当前文件盒的定位指示；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6通过红外光电检测板感应盒位的操作状态；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7、LED 状态指示灯可以显示 3 种状态：关闭、正常、故障；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8、在异常故障等情况下， 支持主机控制柜门打开，完成诉材整理及故障处理。  9、备注；采购设备为二次改建项目，需和原设备无缝对接。</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20852">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C85E5">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r>
    </w:tbl>
    <w:p w14:paraId="41A641C2"/>
    <w:p w14:paraId="54D8ADF6"/>
    <w:p w14:paraId="680DB401"/>
    <w:p w14:paraId="260B9562"/>
    <w:p w14:paraId="0AEC6E0E"/>
    <w:p w14:paraId="68875C05"/>
    <w:p w14:paraId="0BA48B33"/>
    <w:p w14:paraId="6B749887"/>
    <w:p w14:paraId="3F7D3E93"/>
    <w:p w14:paraId="2DFBD781"/>
    <w:p w14:paraId="3C27A1AA"/>
    <w:p w14:paraId="19F06645"/>
    <w:p w14:paraId="4B380A49"/>
    <w:p w14:paraId="0ABEDCF6"/>
    <w:p w14:paraId="39B5531A"/>
    <w:p w14:paraId="4C6C5F06"/>
    <w:p w14:paraId="1C77BA02"/>
    <w:p w14:paraId="505A7993"/>
    <w:p w14:paraId="715354A7"/>
    <w:p w14:paraId="1812E029"/>
    <w:p w14:paraId="649AFF37"/>
    <w:p w14:paraId="587F0662"/>
    <w:p w14:paraId="63959666"/>
    <w:p w14:paraId="053E0C58"/>
    <w:p w14:paraId="57351360"/>
    <w:p w14:paraId="53E3FC38"/>
    <w:p w14:paraId="7D56B427"/>
    <w:p w14:paraId="7857D849"/>
    <w:p w14:paraId="34B8E823"/>
    <w:p w14:paraId="338280B6"/>
    <w:p w14:paraId="491E6AA2"/>
    <w:p w14:paraId="21D865FE"/>
    <w:p w14:paraId="5E7E25CA"/>
    <w:p w14:paraId="423E7110"/>
    <w:p w14:paraId="241C7BC7"/>
    <w:p w14:paraId="79639F5B">
      <w:pPr>
        <w:pStyle w:val="2"/>
        <w:spacing w:line="240" w:lineRule="auto"/>
        <w:jc w:val="center"/>
        <w:rPr>
          <w:rFonts w:ascii="宋体" w:hAnsi="宋体" w:cs="宋体"/>
          <w:bCs/>
          <w:sz w:val="24"/>
          <w:szCs w:val="24"/>
        </w:rPr>
      </w:pPr>
      <w:r>
        <w:rPr>
          <w:rFonts w:hint="eastAsia" w:ascii="宋体" w:hAnsi="宋体" w:cs="宋体"/>
          <w:sz w:val="36"/>
          <w:szCs w:val="22"/>
        </w:rPr>
        <w:t>第七部分 评审方法</w:t>
      </w:r>
      <w:bookmarkEnd w:id="308"/>
    </w:p>
    <w:p w14:paraId="3D7B8050">
      <w:pPr>
        <w:spacing w:line="360" w:lineRule="auto"/>
        <w:rPr>
          <w:rFonts w:ascii="宋体" w:hAnsi="宋体" w:cs="宋体"/>
          <w:b/>
          <w:bCs/>
          <w:sz w:val="24"/>
          <w:szCs w:val="24"/>
        </w:rPr>
      </w:pPr>
      <w:r>
        <w:rPr>
          <w:rFonts w:hint="eastAsia" w:ascii="宋体" w:hAnsi="宋体" w:cs="宋体"/>
          <w:b/>
          <w:bCs/>
          <w:sz w:val="24"/>
          <w:szCs w:val="24"/>
        </w:rPr>
        <w:t>一、评审方法</w:t>
      </w:r>
    </w:p>
    <w:p w14:paraId="479829DE">
      <w:pPr>
        <w:spacing w:line="360" w:lineRule="auto"/>
        <w:ind w:firstLine="480" w:firstLineChars="200"/>
        <w:rPr>
          <w:rFonts w:ascii="宋体" w:hAnsi="宋体" w:cs="宋体"/>
          <w:sz w:val="24"/>
          <w:szCs w:val="24"/>
        </w:rPr>
      </w:pPr>
      <w:r>
        <w:rPr>
          <w:rFonts w:hint="eastAsia" w:ascii="宋体" w:hAnsi="宋体" w:cs="宋体"/>
          <w:sz w:val="24"/>
          <w:szCs w:val="24"/>
        </w:rPr>
        <w:t>按照中华人民共和国财政部令第 74 号--《政府采购非招标采购方式管理办法》</w:t>
      </w:r>
    </w:p>
    <w:p w14:paraId="2F60E110">
      <w:pPr>
        <w:spacing w:line="360" w:lineRule="auto"/>
        <w:rPr>
          <w:rFonts w:ascii="宋体" w:hAnsi="宋体" w:cs="宋体"/>
          <w:sz w:val="24"/>
          <w:szCs w:val="24"/>
        </w:rPr>
      </w:pPr>
      <w:r>
        <w:rPr>
          <w:rFonts w:hint="eastAsia" w:ascii="宋体" w:hAnsi="宋体" w:cs="宋体"/>
          <w:sz w:val="24"/>
          <w:szCs w:val="24"/>
        </w:rPr>
        <w:t>的规定，本次评审采用最低评标价法，即质量和服务均能满足谈判文件要求的供应</w:t>
      </w:r>
    </w:p>
    <w:p w14:paraId="656797CE">
      <w:pPr>
        <w:spacing w:line="360" w:lineRule="auto"/>
        <w:rPr>
          <w:rFonts w:ascii="宋体" w:hAnsi="宋体" w:cs="宋体"/>
          <w:sz w:val="24"/>
          <w:szCs w:val="24"/>
        </w:rPr>
      </w:pPr>
      <w:r>
        <w:rPr>
          <w:rFonts w:hint="eastAsia" w:ascii="宋体" w:hAnsi="宋体" w:cs="宋体"/>
          <w:sz w:val="24"/>
          <w:szCs w:val="24"/>
        </w:rPr>
        <w:t>商中，按照最后报价由低到高的顺序依次排序，推荐成交候选人。</w:t>
      </w:r>
    </w:p>
    <w:p w14:paraId="10A9E31D">
      <w:pPr>
        <w:spacing w:line="360" w:lineRule="auto"/>
        <w:rPr>
          <w:rFonts w:ascii="宋体" w:hAnsi="宋体" w:cs="宋体"/>
          <w:b/>
          <w:bCs/>
          <w:sz w:val="24"/>
          <w:szCs w:val="24"/>
        </w:rPr>
      </w:pPr>
      <w:r>
        <w:rPr>
          <w:rFonts w:hint="eastAsia" w:ascii="宋体" w:hAnsi="宋体" w:cs="宋体"/>
          <w:b/>
          <w:bCs/>
          <w:sz w:val="24"/>
          <w:szCs w:val="24"/>
        </w:rPr>
        <w:t>二、评审程序</w:t>
      </w:r>
    </w:p>
    <w:p w14:paraId="13A71BED">
      <w:pPr>
        <w:spacing w:line="360" w:lineRule="auto"/>
        <w:ind w:firstLine="480" w:firstLineChars="200"/>
        <w:rPr>
          <w:rFonts w:ascii="宋体" w:hAnsi="宋体" w:cs="宋体"/>
          <w:sz w:val="24"/>
          <w:szCs w:val="24"/>
        </w:rPr>
      </w:pPr>
      <w:r>
        <w:rPr>
          <w:rFonts w:hint="eastAsia" w:ascii="宋体" w:hAnsi="宋体" w:cs="宋体"/>
          <w:sz w:val="24"/>
          <w:szCs w:val="24"/>
        </w:rPr>
        <w:t>按照资格审查、符合性审查、谈判、最终报价推荐成交候选单位等步骤进行评审，</w:t>
      </w:r>
    </w:p>
    <w:p w14:paraId="51946AE3">
      <w:pPr>
        <w:spacing w:line="360" w:lineRule="auto"/>
        <w:rPr>
          <w:rFonts w:hint="eastAsia" w:ascii="宋体" w:hAnsi="宋体" w:cs="宋体"/>
          <w:sz w:val="24"/>
          <w:szCs w:val="24"/>
        </w:rPr>
      </w:pPr>
      <w:r>
        <w:rPr>
          <w:rFonts w:hint="eastAsia" w:ascii="宋体" w:hAnsi="宋体" w:cs="宋体"/>
          <w:sz w:val="24"/>
          <w:szCs w:val="24"/>
        </w:rPr>
        <w:t>资格性审查由</w:t>
      </w:r>
      <w:r>
        <w:rPr>
          <w:rFonts w:hint="eastAsia" w:ascii="宋体" w:hAnsi="宋体" w:cs="宋体"/>
          <w:sz w:val="24"/>
          <w:szCs w:val="24"/>
          <w:lang w:val="en-US" w:eastAsia="zh-CN"/>
        </w:rPr>
        <w:t>谈判小组</w:t>
      </w:r>
      <w:r>
        <w:rPr>
          <w:rFonts w:hint="eastAsia" w:ascii="宋体" w:hAnsi="宋体" w:cs="宋体"/>
          <w:sz w:val="24"/>
          <w:szCs w:val="24"/>
        </w:rPr>
        <w:t>审查，符合性审查由谈判小组审查。在上一步评审中被废标者，不进入下一步的评审。</w:t>
      </w:r>
    </w:p>
    <w:p w14:paraId="6AEB2AD1">
      <w:pPr>
        <w:spacing w:line="360" w:lineRule="auto"/>
        <w:rPr>
          <w:rFonts w:ascii="宋体" w:hAnsi="宋体" w:cs="宋体"/>
          <w:sz w:val="24"/>
          <w:szCs w:val="24"/>
        </w:rPr>
      </w:pPr>
      <w:r>
        <w:rPr>
          <w:rFonts w:hint="eastAsia" w:ascii="宋体" w:hAnsi="宋体" w:cs="宋体"/>
          <w:sz w:val="24"/>
          <w:szCs w:val="24"/>
          <w:lang w:val="en-US" w:eastAsia="zh-CN"/>
        </w:rPr>
        <w:t>1</w:t>
      </w:r>
      <w:r>
        <w:rPr>
          <w:rFonts w:hint="eastAsia" w:ascii="宋体" w:hAnsi="宋体" w:cs="宋体"/>
          <w:sz w:val="24"/>
          <w:szCs w:val="24"/>
        </w:rPr>
        <w:t>、对竞争性谈判响应文件的</w:t>
      </w:r>
      <w:r>
        <w:rPr>
          <w:rFonts w:hint="eastAsia" w:ascii="宋体" w:hAnsi="宋体" w:cs="宋体"/>
          <w:sz w:val="24"/>
          <w:szCs w:val="24"/>
          <w:lang w:val="en-US" w:eastAsia="zh-CN"/>
        </w:rPr>
        <w:t>资格性</w:t>
      </w:r>
      <w:r>
        <w:rPr>
          <w:rFonts w:hint="eastAsia" w:ascii="宋体" w:hAnsi="宋体" w:cs="宋体"/>
          <w:sz w:val="24"/>
          <w:szCs w:val="24"/>
        </w:rPr>
        <w:t>审查：</w:t>
      </w:r>
    </w:p>
    <w:p w14:paraId="298992CE">
      <w:pPr>
        <w:spacing w:line="360" w:lineRule="auto"/>
        <w:rPr>
          <w:rFonts w:ascii="宋体" w:hAnsi="宋体" w:cs="宋体"/>
          <w:sz w:val="24"/>
          <w:szCs w:val="24"/>
        </w:rPr>
      </w:pPr>
      <w:r>
        <w:rPr>
          <w:rFonts w:hint="eastAsia" w:ascii="宋体" w:hAnsi="宋体" w:cs="宋体"/>
          <w:sz w:val="24"/>
          <w:szCs w:val="24"/>
        </w:rPr>
        <w:t>按照以下内容对竞争性谈判响应文件</w:t>
      </w:r>
      <w:r>
        <w:rPr>
          <w:rFonts w:hint="eastAsia" w:ascii="宋体" w:hAnsi="宋体" w:cs="宋体"/>
          <w:sz w:val="24"/>
          <w:szCs w:val="24"/>
          <w:lang w:val="en-US" w:eastAsia="zh-CN"/>
        </w:rPr>
        <w:t>资格性</w:t>
      </w:r>
      <w:r>
        <w:rPr>
          <w:rFonts w:hint="eastAsia" w:ascii="宋体" w:hAnsi="宋体" w:cs="宋体"/>
          <w:sz w:val="24"/>
          <w:szCs w:val="24"/>
        </w:rPr>
        <w:t>审查，一项不合格其投标即为无效投标。</w:t>
      </w:r>
    </w:p>
    <w:tbl>
      <w:tblPr>
        <w:tblStyle w:val="22"/>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8"/>
        <w:gridCol w:w="2467"/>
        <w:gridCol w:w="6042"/>
      </w:tblGrid>
      <w:tr w14:paraId="6586F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78" w:type="dxa"/>
            <w:noWrap w:val="0"/>
            <w:vAlign w:val="center"/>
          </w:tcPr>
          <w:p w14:paraId="4A68E02D">
            <w:pPr>
              <w:jc w:val="center"/>
              <w:rPr>
                <w:rFonts w:ascii="宋体" w:hAnsi="宋体" w:cs="宋体"/>
                <w:b/>
                <w:bCs/>
                <w:sz w:val="24"/>
                <w:szCs w:val="24"/>
              </w:rPr>
            </w:pPr>
            <w:r>
              <w:rPr>
                <w:rFonts w:hint="eastAsia" w:ascii="宋体" w:hAnsi="宋体" w:cs="宋体"/>
                <w:b/>
                <w:bCs/>
                <w:sz w:val="24"/>
                <w:szCs w:val="24"/>
              </w:rPr>
              <w:t>序号</w:t>
            </w:r>
          </w:p>
        </w:tc>
        <w:tc>
          <w:tcPr>
            <w:tcW w:w="2467" w:type="dxa"/>
            <w:noWrap w:val="0"/>
            <w:vAlign w:val="center"/>
          </w:tcPr>
          <w:p w14:paraId="162FD3E0">
            <w:pPr>
              <w:jc w:val="center"/>
              <w:rPr>
                <w:rFonts w:ascii="宋体" w:hAnsi="宋体" w:cs="宋体"/>
                <w:b/>
                <w:bCs/>
                <w:sz w:val="24"/>
                <w:szCs w:val="24"/>
              </w:rPr>
            </w:pPr>
            <w:r>
              <w:rPr>
                <w:rFonts w:hint="eastAsia" w:ascii="宋体" w:hAnsi="宋体" w:cs="宋体"/>
                <w:b/>
                <w:bCs/>
                <w:sz w:val="24"/>
                <w:szCs w:val="24"/>
              </w:rPr>
              <w:t>评审名称</w:t>
            </w:r>
          </w:p>
        </w:tc>
        <w:tc>
          <w:tcPr>
            <w:tcW w:w="6042" w:type="dxa"/>
            <w:noWrap w:val="0"/>
            <w:vAlign w:val="center"/>
          </w:tcPr>
          <w:p w14:paraId="595508E2">
            <w:pPr>
              <w:jc w:val="center"/>
              <w:rPr>
                <w:rFonts w:ascii="宋体" w:hAnsi="宋体" w:cs="宋体"/>
                <w:b/>
                <w:bCs/>
                <w:sz w:val="24"/>
                <w:szCs w:val="24"/>
              </w:rPr>
            </w:pPr>
            <w:r>
              <w:rPr>
                <w:rFonts w:hint="eastAsia" w:ascii="宋体" w:hAnsi="宋体" w:cs="宋体"/>
                <w:b/>
                <w:bCs/>
                <w:sz w:val="24"/>
                <w:szCs w:val="24"/>
              </w:rPr>
              <w:t>评审标准</w:t>
            </w:r>
          </w:p>
        </w:tc>
      </w:tr>
      <w:tr w14:paraId="57E9F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778" w:type="dxa"/>
            <w:noWrap w:val="0"/>
            <w:vAlign w:val="center"/>
          </w:tcPr>
          <w:p w14:paraId="6EC335E9">
            <w:pPr>
              <w:jc w:val="center"/>
              <w:rPr>
                <w:rFonts w:ascii="宋体" w:hAnsi="宋体" w:cs="宋体"/>
                <w:sz w:val="24"/>
                <w:szCs w:val="24"/>
              </w:rPr>
            </w:pPr>
            <w:r>
              <w:rPr>
                <w:rFonts w:hint="eastAsia" w:ascii="宋体" w:hAnsi="宋体" w:cs="宋体"/>
                <w:sz w:val="24"/>
                <w:szCs w:val="24"/>
              </w:rPr>
              <w:t>1</w:t>
            </w:r>
          </w:p>
        </w:tc>
        <w:tc>
          <w:tcPr>
            <w:tcW w:w="2467" w:type="dxa"/>
            <w:noWrap w:val="0"/>
            <w:vAlign w:val="center"/>
          </w:tcPr>
          <w:p w14:paraId="51EE8694">
            <w:pPr>
              <w:jc w:val="center"/>
              <w:rPr>
                <w:rFonts w:ascii="宋体" w:hAnsi="宋体" w:cs="宋体"/>
                <w:sz w:val="24"/>
                <w:szCs w:val="24"/>
              </w:rPr>
            </w:pPr>
            <w:r>
              <w:rPr>
                <w:rFonts w:hint="eastAsia"/>
                <w:sz w:val="24"/>
                <w:szCs w:val="24"/>
              </w:rPr>
              <w:t>营业执照</w:t>
            </w:r>
          </w:p>
        </w:tc>
        <w:tc>
          <w:tcPr>
            <w:tcW w:w="6042" w:type="dxa"/>
            <w:noWrap w:val="0"/>
            <w:vAlign w:val="center"/>
          </w:tcPr>
          <w:p w14:paraId="43AB7E44">
            <w:pPr>
              <w:rPr>
                <w:rFonts w:hint="eastAsia"/>
                <w:sz w:val="24"/>
                <w:szCs w:val="24"/>
              </w:rPr>
            </w:pPr>
            <w:r>
              <w:rPr>
                <w:rFonts w:hint="eastAsia"/>
                <w:sz w:val="24"/>
                <w:szCs w:val="24"/>
              </w:rPr>
              <w:t>投标人须具备独立承担民事责任能力的法人或其他组织，提供合法有效的统一社会信用代码的营业执照；</w:t>
            </w:r>
          </w:p>
        </w:tc>
      </w:tr>
      <w:tr w14:paraId="2FAB6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1" w:hRule="atLeast"/>
        </w:trPr>
        <w:tc>
          <w:tcPr>
            <w:tcW w:w="778" w:type="dxa"/>
            <w:noWrap w:val="0"/>
            <w:vAlign w:val="center"/>
          </w:tcPr>
          <w:p w14:paraId="2F1DEA53">
            <w:pPr>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2</w:t>
            </w:r>
          </w:p>
        </w:tc>
        <w:tc>
          <w:tcPr>
            <w:tcW w:w="2467" w:type="dxa"/>
            <w:noWrap w:val="0"/>
            <w:vAlign w:val="center"/>
          </w:tcPr>
          <w:p w14:paraId="346CE0D5">
            <w:pPr>
              <w:jc w:val="center"/>
              <w:rPr>
                <w:rFonts w:hint="eastAsia"/>
                <w:sz w:val="24"/>
                <w:szCs w:val="24"/>
              </w:rPr>
            </w:pPr>
            <w:r>
              <w:rPr>
                <w:rFonts w:hint="eastAsia"/>
                <w:sz w:val="24"/>
                <w:szCs w:val="24"/>
              </w:rPr>
              <w:t>财务状况报告</w:t>
            </w:r>
          </w:p>
        </w:tc>
        <w:tc>
          <w:tcPr>
            <w:tcW w:w="6042" w:type="dxa"/>
            <w:noWrap w:val="0"/>
            <w:vAlign w:val="center"/>
          </w:tcPr>
          <w:p w14:paraId="1B0614D6">
            <w:pPr>
              <w:rPr>
                <w:rFonts w:hint="eastAsia"/>
                <w:sz w:val="24"/>
                <w:szCs w:val="24"/>
              </w:rPr>
            </w:pPr>
            <w:r>
              <w:rPr>
                <w:rFonts w:hint="eastAsia"/>
                <w:sz w:val="24"/>
                <w:szCs w:val="24"/>
              </w:rPr>
              <w:t>提供企业2024年赋码财务审计报告（至少包括资产负债表、利润表、现金流量表及附注，提供的财务审计报告需在注册会计师行业统一监管平台（http://acc.mof.gov.cn/）可查询并提供网页截图）或开标前六个月内其基本账户银行出具的资信证明或财政部门认可的政府采购专业担保机构出具的担保函，以上形式的证明资料提供任何一种即可；</w:t>
            </w:r>
          </w:p>
        </w:tc>
      </w:tr>
      <w:tr w14:paraId="7396D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1" w:hRule="atLeast"/>
        </w:trPr>
        <w:tc>
          <w:tcPr>
            <w:tcW w:w="778" w:type="dxa"/>
            <w:noWrap w:val="0"/>
            <w:vAlign w:val="center"/>
          </w:tcPr>
          <w:p w14:paraId="007D7776">
            <w:pPr>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3</w:t>
            </w:r>
          </w:p>
        </w:tc>
        <w:tc>
          <w:tcPr>
            <w:tcW w:w="2467" w:type="dxa"/>
            <w:noWrap w:val="0"/>
            <w:vAlign w:val="center"/>
          </w:tcPr>
          <w:p w14:paraId="4DD76763">
            <w:pPr>
              <w:jc w:val="center"/>
              <w:rPr>
                <w:rFonts w:hint="eastAsia"/>
                <w:sz w:val="24"/>
                <w:szCs w:val="24"/>
              </w:rPr>
            </w:pPr>
            <w:r>
              <w:rPr>
                <w:rFonts w:hint="eastAsia"/>
                <w:sz w:val="24"/>
                <w:szCs w:val="24"/>
              </w:rPr>
              <w:t>社会保障资金缴纳证明</w:t>
            </w:r>
          </w:p>
        </w:tc>
        <w:tc>
          <w:tcPr>
            <w:tcW w:w="6042" w:type="dxa"/>
            <w:noWrap w:val="0"/>
            <w:vAlign w:val="center"/>
          </w:tcPr>
          <w:p w14:paraId="0CE468C2">
            <w:pPr>
              <w:rPr>
                <w:rFonts w:hint="eastAsia"/>
                <w:sz w:val="24"/>
                <w:szCs w:val="24"/>
              </w:rPr>
            </w:pPr>
            <w:r>
              <w:rPr>
                <w:rFonts w:hint="eastAsia"/>
                <w:sz w:val="24"/>
                <w:szCs w:val="24"/>
              </w:rPr>
              <w:t>提供2025年1月至今已缴存的至少一个月的社会保障资金缴纳证明（社会保障资金缴存单据或社保机构开具的社会保险参保缴费情况证明），依法不需要缴纳社会保障资金的单位应提供相关证明材料；</w:t>
            </w:r>
          </w:p>
        </w:tc>
      </w:tr>
      <w:tr w14:paraId="7B136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1" w:hRule="atLeast"/>
        </w:trPr>
        <w:tc>
          <w:tcPr>
            <w:tcW w:w="778" w:type="dxa"/>
            <w:noWrap w:val="0"/>
            <w:vAlign w:val="center"/>
          </w:tcPr>
          <w:p w14:paraId="18AB437D">
            <w:pPr>
              <w:jc w:val="center"/>
              <w:rPr>
                <w:rFonts w:hint="eastAsia" w:ascii="宋体" w:hAnsi="宋体" w:eastAsia="宋体" w:cs="宋体"/>
                <w:sz w:val="24"/>
                <w:szCs w:val="24"/>
                <w:lang w:eastAsia="zh-CN"/>
              </w:rPr>
            </w:pPr>
            <w:r>
              <w:rPr>
                <w:rFonts w:hint="eastAsia" w:ascii="宋体" w:hAnsi="宋体" w:cs="宋体"/>
                <w:sz w:val="24"/>
                <w:szCs w:val="24"/>
                <w:lang w:val="en-US" w:eastAsia="zh-CN"/>
              </w:rPr>
              <w:t>4</w:t>
            </w:r>
          </w:p>
        </w:tc>
        <w:tc>
          <w:tcPr>
            <w:tcW w:w="2467" w:type="dxa"/>
            <w:noWrap w:val="0"/>
            <w:vAlign w:val="center"/>
          </w:tcPr>
          <w:p w14:paraId="2EE8595B">
            <w:pPr>
              <w:jc w:val="center"/>
              <w:rPr>
                <w:rFonts w:ascii="宋体" w:hAnsi="宋体" w:cs="宋体"/>
                <w:sz w:val="24"/>
                <w:szCs w:val="24"/>
              </w:rPr>
            </w:pPr>
            <w:r>
              <w:rPr>
                <w:rFonts w:hint="eastAsia"/>
                <w:sz w:val="24"/>
                <w:szCs w:val="24"/>
              </w:rPr>
              <w:t>税收缴纳证明</w:t>
            </w:r>
          </w:p>
        </w:tc>
        <w:tc>
          <w:tcPr>
            <w:tcW w:w="6042" w:type="dxa"/>
            <w:noWrap w:val="0"/>
            <w:vAlign w:val="center"/>
          </w:tcPr>
          <w:p w14:paraId="59E2CD17">
            <w:pPr>
              <w:rPr>
                <w:rFonts w:ascii="宋体" w:hAnsi="宋体" w:cs="宋体"/>
                <w:sz w:val="24"/>
                <w:szCs w:val="24"/>
              </w:rPr>
            </w:pPr>
            <w:r>
              <w:rPr>
                <w:rFonts w:hint="eastAsia"/>
                <w:sz w:val="24"/>
                <w:szCs w:val="24"/>
              </w:rPr>
              <w:t>提供2025年1月至今已缴纳的至少一个月的税收缴纳证明（时间以税款所属日期为准、税种须包含增值税或企业所得税，凭据应有税务机关或代收机关的公章或业务专用章）依法免税或无须缴纳税收的供应商，应提供相应证明文件；</w:t>
            </w:r>
          </w:p>
        </w:tc>
      </w:tr>
      <w:tr w14:paraId="2E9CC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trPr>
        <w:tc>
          <w:tcPr>
            <w:tcW w:w="778" w:type="dxa"/>
            <w:noWrap w:val="0"/>
            <w:vAlign w:val="center"/>
          </w:tcPr>
          <w:p w14:paraId="735D159C">
            <w:pPr>
              <w:jc w:val="center"/>
              <w:rPr>
                <w:rFonts w:hint="eastAsia" w:ascii="宋体" w:hAnsi="宋体" w:eastAsia="宋体" w:cs="宋体"/>
                <w:sz w:val="24"/>
                <w:szCs w:val="24"/>
                <w:lang w:eastAsia="zh-CN"/>
              </w:rPr>
            </w:pPr>
            <w:r>
              <w:rPr>
                <w:rFonts w:hint="eastAsia" w:ascii="宋体" w:hAnsi="宋体" w:cs="宋体"/>
                <w:sz w:val="24"/>
                <w:szCs w:val="24"/>
                <w:lang w:val="en-US" w:eastAsia="zh-CN"/>
              </w:rPr>
              <w:t>5</w:t>
            </w:r>
          </w:p>
        </w:tc>
        <w:tc>
          <w:tcPr>
            <w:tcW w:w="2467" w:type="dxa"/>
            <w:noWrap w:val="0"/>
            <w:vAlign w:val="center"/>
          </w:tcPr>
          <w:p w14:paraId="43EC3562">
            <w:pPr>
              <w:jc w:val="center"/>
              <w:rPr>
                <w:rFonts w:ascii="宋体" w:hAnsi="宋体" w:cs="宋体"/>
                <w:sz w:val="24"/>
                <w:szCs w:val="24"/>
              </w:rPr>
            </w:pPr>
            <w:r>
              <w:rPr>
                <w:rFonts w:hint="eastAsia"/>
                <w:sz w:val="24"/>
                <w:szCs w:val="24"/>
              </w:rPr>
              <w:t>没有重大违法记录的书面声明</w:t>
            </w:r>
          </w:p>
        </w:tc>
        <w:tc>
          <w:tcPr>
            <w:tcW w:w="6042" w:type="dxa"/>
            <w:noWrap w:val="0"/>
            <w:vAlign w:val="center"/>
          </w:tcPr>
          <w:p w14:paraId="7E7CBB11">
            <w:pPr>
              <w:rPr>
                <w:rFonts w:ascii="宋体" w:hAnsi="宋体" w:cs="宋体"/>
                <w:sz w:val="24"/>
                <w:szCs w:val="24"/>
              </w:rPr>
            </w:pPr>
            <w:r>
              <w:rPr>
                <w:rFonts w:hint="eastAsia"/>
                <w:sz w:val="24"/>
                <w:szCs w:val="24"/>
              </w:rPr>
              <w:t>参加政府采购活动前3年内在经营活动中没有重大违法记录的书面声明（格式自拟，加盖投标人公章）；</w:t>
            </w:r>
            <w:r>
              <w:rPr>
                <w:rFonts w:hint="eastAsia"/>
                <w:sz w:val="24"/>
                <w:szCs w:val="24"/>
              </w:rPr>
              <w:br w:type="textWrapping"/>
            </w:r>
          </w:p>
        </w:tc>
      </w:tr>
      <w:tr w14:paraId="25CCE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1" w:hRule="atLeast"/>
        </w:trPr>
        <w:tc>
          <w:tcPr>
            <w:tcW w:w="778" w:type="dxa"/>
            <w:noWrap w:val="0"/>
            <w:vAlign w:val="center"/>
          </w:tcPr>
          <w:p w14:paraId="231B1284">
            <w:pPr>
              <w:jc w:val="center"/>
              <w:rPr>
                <w:rFonts w:hint="eastAsia" w:ascii="宋体" w:hAnsi="宋体" w:eastAsia="宋体" w:cs="宋体"/>
                <w:sz w:val="24"/>
                <w:szCs w:val="24"/>
                <w:lang w:eastAsia="zh-CN"/>
              </w:rPr>
            </w:pPr>
            <w:r>
              <w:rPr>
                <w:rFonts w:hint="eastAsia" w:ascii="宋体" w:hAnsi="宋体" w:cs="宋体"/>
                <w:sz w:val="24"/>
                <w:szCs w:val="24"/>
                <w:lang w:val="en-US" w:eastAsia="zh-CN"/>
              </w:rPr>
              <w:t>6</w:t>
            </w:r>
          </w:p>
        </w:tc>
        <w:tc>
          <w:tcPr>
            <w:tcW w:w="2467" w:type="dxa"/>
            <w:noWrap w:val="0"/>
            <w:vAlign w:val="center"/>
          </w:tcPr>
          <w:p w14:paraId="294201C0">
            <w:pPr>
              <w:jc w:val="center"/>
              <w:rPr>
                <w:rFonts w:ascii="宋体" w:hAnsi="宋体" w:cs="宋体"/>
                <w:sz w:val="24"/>
                <w:szCs w:val="24"/>
              </w:rPr>
            </w:pPr>
            <w:r>
              <w:rPr>
                <w:rFonts w:hint="eastAsia"/>
                <w:sz w:val="24"/>
                <w:szCs w:val="24"/>
              </w:rPr>
              <w:t>信用中国</w:t>
            </w:r>
          </w:p>
        </w:tc>
        <w:tc>
          <w:tcPr>
            <w:tcW w:w="6042" w:type="dxa"/>
            <w:noWrap w:val="0"/>
            <w:vAlign w:val="center"/>
          </w:tcPr>
          <w:p w14:paraId="22CC5B85">
            <w:pPr>
              <w:spacing w:line="360" w:lineRule="auto"/>
              <w:rPr>
                <w:rFonts w:hint="default" w:eastAsia="宋体"/>
                <w:lang w:val="en-US" w:eastAsia="zh-CN"/>
              </w:rPr>
            </w:pPr>
            <w:r>
              <w:rPr>
                <w:rFonts w:hint="eastAsia"/>
                <w:sz w:val="24"/>
                <w:szCs w:val="24"/>
              </w:rPr>
              <w:t>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提供查询结果网页截图并加盖供应商公章）有以上不良记录的不得参与评审活动；</w:t>
            </w:r>
            <w:r>
              <w:rPr>
                <w:rFonts w:hint="eastAsia" w:ascii="宋体" w:hAnsi="宋体" w:eastAsia="宋体" w:cs="宋体"/>
                <w:color w:val="auto"/>
                <w:sz w:val="24"/>
                <w:szCs w:val="24"/>
              </w:rPr>
              <w:t xml:space="preserve">    </w:t>
            </w:r>
          </w:p>
        </w:tc>
      </w:tr>
      <w:tr w14:paraId="53A0F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78" w:type="dxa"/>
            <w:noWrap w:val="0"/>
            <w:vAlign w:val="center"/>
          </w:tcPr>
          <w:p w14:paraId="5A754E43">
            <w:pPr>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7</w:t>
            </w:r>
          </w:p>
        </w:tc>
        <w:tc>
          <w:tcPr>
            <w:tcW w:w="2467" w:type="dxa"/>
            <w:noWrap w:val="0"/>
            <w:vAlign w:val="center"/>
          </w:tcPr>
          <w:p w14:paraId="7E072AB2">
            <w:pPr>
              <w:jc w:val="center"/>
              <w:rPr>
                <w:rFonts w:hint="eastAsia" w:ascii="宋体" w:hAnsi="宋体" w:cs="宋体"/>
                <w:sz w:val="24"/>
                <w:szCs w:val="24"/>
              </w:rPr>
            </w:pPr>
            <w:r>
              <w:rPr>
                <w:rFonts w:hint="eastAsia"/>
                <w:sz w:val="24"/>
                <w:szCs w:val="24"/>
              </w:rPr>
              <w:t>投标信用承诺书</w:t>
            </w:r>
          </w:p>
        </w:tc>
        <w:tc>
          <w:tcPr>
            <w:tcW w:w="6042" w:type="dxa"/>
            <w:noWrap w:val="0"/>
            <w:vAlign w:val="center"/>
          </w:tcPr>
          <w:p w14:paraId="63D4D22E">
            <w:pPr>
              <w:rPr>
                <w:rFonts w:hint="eastAsia" w:ascii="宋体" w:hAnsi="宋体" w:cs="宋体"/>
                <w:sz w:val="24"/>
                <w:szCs w:val="24"/>
              </w:rPr>
            </w:pPr>
            <w:r>
              <w:rPr>
                <w:rFonts w:hint="eastAsia"/>
                <w:sz w:val="24"/>
                <w:szCs w:val="24"/>
              </w:rPr>
              <w:t>投标保证金用投标信用承诺书代替（提供投标信用承诺书）；</w:t>
            </w:r>
          </w:p>
        </w:tc>
      </w:tr>
      <w:tr w14:paraId="7C5AF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78" w:type="dxa"/>
            <w:noWrap w:val="0"/>
            <w:vAlign w:val="center"/>
          </w:tcPr>
          <w:p w14:paraId="55B1C719">
            <w:pPr>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8</w:t>
            </w:r>
          </w:p>
        </w:tc>
        <w:tc>
          <w:tcPr>
            <w:tcW w:w="2467" w:type="dxa"/>
            <w:noWrap w:val="0"/>
            <w:vAlign w:val="center"/>
          </w:tcPr>
          <w:p w14:paraId="547D900D">
            <w:pPr>
              <w:jc w:val="center"/>
              <w:rPr>
                <w:rFonts w:hint="eastAsia" w:ascii="宋体" w:hAnsi="宋体" w:cs="宋体"/>
                <w:sz w:val="24"/>
                <w:szCs w:val="24"/>
              </w:rPr>
            </w:pPr>
            <w:r>
              <w:rPr>
                <w:rFonts w:hint="eastAsia"/>
                <w:sz w:val="24"/>
                <w:szCs w:val="24"/>
              </w:rPr>
              <w:t>非联合体投标声明函</w:t>
            </w:r>
          </w:p>
        </w:tc>
        <w:tc>
          <w:tcPr>
            <w:tcW w:w="6042" w:type="dxa"/>
            <w:noWrap w:val="0"/>
            <w:vAlign w:val="center"/>
          </w:tcPr>
          <w:p w14:paraId="2642865B">
            <w:pPr>
              <w:rPr>
                <w:rFonts w:hint="eastAsia"/>
                <w:sz w:val="24"/>
                <w:szCs w:val="24"/>
              </w:rPr>
            </w:pPr>
            <w:r>
              <w:rPr>
                <w:rFonts w:hint="eastAsia"/>
                <w:sz w:val="24"/>
                <w:szCs w:val="24"/>
              </w:rPr>
              <w:t>本项目不接受联合体投标，单位负责人为同一人或者存在直接控股、管理关系的不同投标人，不得参加同一合同项下的政府采购活动（须提供非联合体投标声明函）。</w:t>
            </w:r>
          </w:p>
        </w:tc>
      </w:tr>
    </w:tbl>
    <w:p w14:paraId="23E2ADCB">
      <w:pPr>
        <w:spacing w:line="360" w:lineRule="auto"/>
        <w:rPr>
          <w:rFonts w:ascii="宋体" w:hAnsi="宋体" w:cs="宋体"/>
          <w:sz w:val="24"/>
          <w:szCs w:val="24"/>
        </w:rPr>
      </w:pPr>
      <w:r>
        <w:rPr>
          <w:rFonts w:hint="eastAsia" w:ascii="宋体" w:hAnsi="宋体" w:cs="宋体"/>
          <w:sz w:val="24"/>
          <w:szCs w:val="24"/>
          <w:lang w:val="en-US" w:eastAsia="zh-CN"/>
        </w:rPr>
        <w:t>2</w:t>
      </w:r>
      <w:r>
        <w:rPr>
          <w:rFonts w:hint="eastAsia" w:ascii="宋体" w:hAnsi="宋体" w:cs="宋体"/>
          <w:sz w:val="24"/>
          <w:szCs w:val="24"/>
        </w:rPr>
        <w:t>、对竞争性谈判响应文件的符合性审查：</w:t>
      </w:r>
    </w:p>
    <w:p w14:paraId="472F9780">
      <w:pPr>
        <w:spacing w:line="360" w:lineRule="auto"/>
        <w:rPr>
          <w:rFonts w:ascii="宋体" w:hAnsi="宋体" w:cs="宋体"/>
          <w:sz w:val="24"/>
          <w:szCs w:val="24"/>
        </w:rPr>
      </w:pPr>
      <w:r>
        <w:rPr>
          <w:rFonts w:hint="eastAsia" w:ascii="宋体" w:hAnsi="宋体" w:cs="宋体"/>
          <w:sz w:val="24"/>
          <w:szCs w:val="24"/>
        </w:rPr>
        <w:t>按照以下内容对竞争性谈判响应文件符合性审查，一项不合格其投标即为无效投标。</w:t>
      </w:r>
    </w:p>
    <w:tbl>
      <w:tblPr>
        <w:tblStyle w:val="22"/>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8"/>
        <w:gridCol w:w="2473"/>
        <w:gridCol w:w="6036"/>
      </w:tblGrid>
      <w:tr w14:paraId="00A01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78" w:type="dxa"/>
            <w:noWrap w:val="0"/>
            <w:vAlign w:val="center"/>
          </w:tcPr>
          <w:p w14:paraId="3D2EEAE9">
            <w:pPr>
              <w:jc w:val="center"/>
              <w:rPr>
                <w:rFonts w:ascii="宋体" w:hAnsi="宋体" w:cs="宋体"/>
                <w:b/>
                <w:bCs/>
                <w:sz w:val="24"/>
                <w:szCs w:val="24"/>
              </w:rPr>
            </w:pPr>
            <w:r>
              <w:rPr>
                <w:rFonts w:hint="eastAsia" w:ascii="宋体" w:hAnsi="宋体" w:cs="宋体"/>
                <w:b/>
                <w:bCs/>
                <w:sz w:val="24"/>
                <w:szCs w:val="24"/>
              </w:rPr>
              <w:t>序号</w:t>
            </w:r>
          </w:p>
        </w:tc>
        <w:tc>
          <w:tcPr>
            <w:tcW w:w="2473" w:type="dxa"/>
            <w:noWrap w:val="0"/>
            <w:vAlign w:val="center"/>
          </w:tcPr>
          <w:p w14:paraId="3216E987">
            <w:pPr>
              <w:jc w:val="center"/>
              <w:rPr>
                <w:rFonts w:ascii="宋体" w:hAnsi="宋体" w:cs="宋体"/>
                <w:b/>
                <w:bCs/>
                <w:sz w:val="24"/>
                <w:szCs w:val="24"/>
              </w:rPr>
            </w:pPr>
            <w:r>
              <w:rPr>
                <w:rFonts w:hint="eastAsia" w:ascii="宋体" w:hAnsi="宋体" w:cs="宋体"/>
                <w:b/>
                <w:bCs/>
                <w:sz w:val="24"/>
                <w:szCs w:val="24"/>
              </w:rPr>
              <w:t>评审名称</w:t>
            </w:r>
          </w:p>
        </w:tc>
        <w:tc>
          <w:tcPr>
            <w:tcW w:w="6036" w:type="dxa"/>
            <w:noWrap w:val="0"/>
            <w:vAlign w:val="center"/>
          </w:tcPr>
          <w:p w14:paraId="6B248A14">
            <w:pPr>
              <w:jc w:val="center"/>
              <w:rPr>
                <w:rFonts w:ascii="宋体" w:hAnsi="宋体" w:cs="宋体"/>
                <w:b/>
                <w:bCs/>
                <w:sz w:val="24"/>
                <w:szCs w:val="24"/>
              </w:rPr>
            </w:pPr>
            <w:r>
              <w:rPr>
                <w:rFonts w:hint="eastAsia" w:ascii="宋体" w:hAnsi="宋体" w:cs="宋体"/>
                <w:b/>
                <w:bCs/>
                <w:sz w:val="24"/>
                <w:szCs w:val="24"/>
              </w:rPr>
              <w:t>评审标准</w:t>
            </w:r>
          </w:p>
        </w:tc>
      </w:tr>
      <w:tr w14:paraId="05A6E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778" w:type="dxa"/>
            <w:noWrap w:val="0"/>
            <w:vAlign w:val="center"/>
          </w:tcPr>
          <w:p w14:paraId="47F5635B">
            <w:pPr>
              <w:jc w:val="center"/>
              <w:rPr>
                <w:rFonts w:ascii="宋体" w:hAnsi="宋体" w:cs="宋体"/>
                <w:sz w:val="24"/>
                <w:szCs w:val="24"/>
              </w:rPr>
            </w:pPr>
            <w:r>
              <w:rPr>
                <w:rFonts w:hint="eastAsia" w:ascii="宋体" w:hAnsi="宋体" w:cs="宋体"/>
                <w:sz w:val="24"/>
                <w:szCs w:val="24"/>
              </w:rPr>
              <w:t>1</w:t>
            </w:r>
          </w:p>
        </w:tc>
        <w:tc>
          <w:tcPr>
            <w:tcW w:w="2473" w:type="dxa"/>
            <w:noWrap w:val="0"/>
            <w:vAlign w:val="center"/>
          </w:tcPr>
          <w:p w14:paraId="2E33A931">
            <w:pPr>
              <w:jc w:val="center"/>
              <w:rPr>
                <w:rFonts w:ascii="宋体" w:hAnsi="宋体" w:cs="宋体"/>
                <w:sz w:val="24"/>
                <w:szCs w:val="24"/>
              </w:rPr>
            </w:pPr>
            <w:r>
              <w:rPr>
                <w:rFonts w:hint="eastAsia" w:ascii="宋体" w:hAnsi="宋体" w:cs="宋体"/>
                <w:sz w:val="24"/>
                <w:szCs w:val="24"/>
              </w:rPr>
              <w:t>响应函签署、盖章</w:t>
            </w:r>
          </w:p>
        </w:tc>
        <w:tc>
          <w:tcPr>
            <w:tcW w:w="6036" w:type="dxa"/>
            <w:noWrap w:val="0"/>
            <w:vAlign w:val="center"/>
          </w:tcPr>
          <w:p w14:paraId="4913CAF2">
            <w:pPr>
              <w:rPr>
                <w:rFonts w:ascii="宋体" w:hAnsi="宋体" w:cs="宋体"/>
                <w:sz w:val="24"/>
                <w:szCs w:val="24"/>
              </w:rPr>
            </w:pPr>
            <w:r>
              <w:rPr>
                <w:rFonts w:hint="eastAsia" w:ascii="宋体" w:hAnsi="宋体" w:cs="宋体"/>
                <w:sz w:val="24"/>
                <w:szCs w:val="24"/>
              </w:rPr>
              <w:t>谈判函加盖投标人公章，且经法定代表人或其授权代表签字或盖章的。</w:t>
            </w:r>
          </w:p>
        </w:tc>
      </w:tr>
      <w:tr w14:paraId="50CCD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778" w:type="dxa"/>
            <w:noWrap w:val="0"/>
            <w:vAlign w:val="center"/>
          </w:tcPr>
          <w:p w14:paraId="2A5A1F5C">
            <w:pPr>
              <w:jc w:val="center"/>
              <w:rPr>
                <w:rFonts w:ascii="宋体" w:hAnsi="宋体" w:cs="宋体"/>
                <w:sz w:val="24"/>
                <w:szCs w:val="24"/>
              </w:rPr>
            </w:pPr>
            <w:r>
              <w:rPr>
                <w:rFonts w:hint="eastAsia" w:ascii="宋体" w:hAnsi="宋体" w:cs="宋体"/>
                <w:sz w:val="24"/>
                <w:szCs w:val="24"/>
              </w:rPr>
              <w:t>2</w:t>
            </w:r>
          </w:p>
        </w:tc>
        <w:tc>
          <w:tcPr>
            <w:tcW w:w="2473" w:type="dxa"/>
            <w:noWrap w:val="0"/>
            <w:vAlign w:val="center"/>
          </w:tcPr>
          <w:p w14:paraId="52407818">
            <w:pPr>
              <w:jc w:val="center"/>
              <w:rPr>
                <w:rFonts w:ascii="宋体" w:hAnsi="宋体" w:cs="宋体"/>
                <w:sz w:val="24"/>
                <w:szCs w:val="24"/>
              </w:rPr>
            </w:pPr>
            <w:r>
              <w:rPr>
                <w:rFonts w:hint="eastAsia" w:ascii="宋体" w:hAnsi="宋体" w:cs="宋体"/>
                <w:sz w:val="24"/>
                <w:szCs w:val="24"/>
              </w:rPr>
              <w:t>投标保证金</w:t>
            </w:r>
          </w:p>
        </w:tc>
        <w:tc>
          <w:tcPr>
            <w:tcW w:w="6036" w:type="dxa"/>
            <w:noWrap w:val="0"/>
            <w:vAlign w:val="center"/>
          </w:tcPr>
          <w:p w14:paraId="2B78D519">
            <w:pPr>
              <w:rPr>
                <w:rFonts w:hint="eastAsia" w:ascii="宋体" w:hAnsi="宋体" w:eastAsia="宋体" w:cs="宋体"/>
                <w:sz w:val="24"/>
                <w:szCs w:val="24"/>
                <w:lang w:eastAsia="zh-CN"/>
              </w:rPr>
            </w:pPr>
            <w:r>
              <w:rPr>
                <w:rFonts w:hint="eastAsia" w:ascii="宋体" w:hAnsi="宋体" w:cs="宋体"/>
                <w:sz w:val="24"/>
                <w:szCs w:val="24"/>
              </w:rPr>
              <w:t>投标单位按照谈判文件规定时间</w:t>
            </w:r>
            <w:r>
              <w:rPr>
                <w:rFonts w:hint="eastAsia" w:ascii="宋体" w:hAnsi="宋体" w:cs="宋体"/>
                <w:sz w:val="24"/>
                <w:szCs w:val="24"/>
                <w:lang w:eastAsia="zh-CN"/>
              </w:rPr>
              <w:t>提交投标信用承诺书；</w:t>
            </w:r>
          </w:p>
        </w:tc>
      </w:tr>
      <w:tr w14:paraId="497EC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trPr>
        <w:tc>
          <w:tcPr>
            <w:tcW w:w="778" w:type="dxa"/>
            <w:noWrap w:val="0"/>
            <w:vAlign w:val="center"/>
          </w:tcPr>
          <w:p w14:paraId="3E6883B8">
            <w:pPr>
              <w:jc w:val="center"/>
              <w:rPr>
                <w:rFonts w:ascii="宋体" w:hAnsi="宋体" w:cs="宋体"/>
                <w:sz w:val="24"/>
                <w:szCs w:val="24"/>
              </w:rPr>
            </w:pPr>
            <w:r>
              <w:rPr>
                <w:rFonts w:hint="eastAsia" w:ascii="宋体" w:hAnsi="宋体" w:cs="宋体"/>
                <w:sz w:val="24"/>
                <w:szCs w:val="24"/>
              </w:rPr>
              <w:t>3</w:t>
            </w:r>
          </w:p>
        </w:tc>
        <w:tc>
          <w:tcPr>
            <w:tcW w:w="2473" w:type="dxa"/>
            <w:noWrap w:val="0"/>
            <w:vAlign w:val="center"/>
          </w:tcPr>
          <w:p w14:paraId="4F2E8DDB">
            <w:pPr>
              <w:jc w:val="center"/>
              <w:rPr>
                <w:rFonts w:ascii="宋体" w:hAnsi="宋体" w:cs="宋体"/>
                <w:sz w:val="24"/>
                <w:szCs w:val="24"/>
              </w:rPr>
            </w:pPr>
            <w:r>
              <w:rPr>
                <w:rFonts w:hint="eastAsia" w:ascii="宋体" w:hAnsi="宋体" w:cs="宋体"/>
                <w:sz w:val="24"/>
                <w:szCs w:val="24"/>
              </w:rPr>
              <w:t>法定代表人授权书</w:t>
            </w:r>
          </w:p>
        </w:tc>
        <w:tc>
          <w:tcPr>
            <w:tcW w:w="6036" w:type="dxa"/>
            <w:noWrap w:val="0"/>
            <w:vAlign w:val="center"/>
          </w:tcPr>
          <w:p w14:paraId="4EEDBD46">
            <w:pPr>
              <w:rPr>
                <w:rFonts w:ascii="宋体" w:hAnsi="宋体" w:cs="宋体"/>
                <w:sz w:val="24"/>
                <w:szCs w:val="24"/>
              </w:rPr>
            </w:pPr>
            <w:r>
              <w:rPr>
                <w:rFonts w:hint="eastAsia" w:ascii="宋体" w:hAnsi="宋体" w:cs="宋体"/>
                <w:sz w:val="24"/>
                <w:szCs w:val="24"/>
                <w:lang w:eastAsia="zh-CN"/>
              </w:rPr>
              <w:t>谈判响应文件</w:t>
            </w:r>
            <w:r>
              <w:rPr>
                <w:rFonts w:hint="eastAsia" w:ascii="宋体" w:hAnsi="宋体" w:cs="宋体"/>
                <w:sz w:val="24"/>
                <w:szCs w:val="24"/>
              </w:rPr>
              <w:t>有法定代表人授权书（法人直接投标除外）且授权书的合法性和有效性符合竞争性谈判文件规定的。</w:t>
            </w:r>
          </w:p>
        </w:tc>
      </w:tr>
      <w:tr w14:paraId="6B581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2" w:hRule="atLeast"/>
        </w:trPr>
        <w:tc>
          <w:tcPr>
            <w:tcW w:w="778" w:type="dxa"/>
            <w:noWrap w:val="0"/>
            <w:vAlign w:val="center"/>
          </w:tcPr>
          <w:p w14:paraId="1957BE0C">
            <w:pPr>
              <w:jc w:val="center"/>
              <w:rPr>
                <w:rFonts w:ascii="宋体" w:hAnsi="宋体" w:cs="宋体"/>
                <w:sz w:val="24"/>
                <w:szCs w:val="24"/>
              </w:rPr>
            </w:pPr>
            <w:r>
              <w:rPr>
                <w:rFonts w:hint="eastAsia" w:ascii="宋体" w:hAnsi="宋体" w:cs="宋体"/>
                <w:sz w:val="24"/>
                <w:szCs w:val="24"/>
              </w:rPr>
              <w:t>4</w:t>
            </w:r>
          </w:p>
        </w:tc>
        <w:tc>
          <w:tcPr>
            <w:tcW w:w="2473" w:type="dxa"/>
            <w:noWrap w:val="0"/>
            <w:vAlign w:val="center"/>
          </w:tcPr>
          <w:p w14:paraId="2A1C8ED9">
            <w:pPr>
              <w:jc w:val="center"/>
              <w:rPr>
                <w:rFonts w:ascii="宋体" w:hAnsi="宋体" w:cs="宋体"/>
                <w:sz w:val="24"/>
                <w:szCs w:val="24"/>
              </w:rPr>
            </w:pPr>
            <w:r>
              <w:rPr>
                <w:rFonts w:hint="eastAsia" w:ascii="宋体" w:hAnsi="宋体" w:cs="宋体"/>
                <w:sz w:val="24"/>
                <w:szCs w:val="24"/>
              </w:rPr>
              <w:t>谈判文件签署、盖章及投标有效期</w:t>
            </w:r>
          </w:p>
        </w:tc>
        <w:tc>
          <w:tcPr>
            <w:tcW w:w="6036" w:type="dxa"/>
            <w:noWrap w:val="0"/>
            <w:vAlign w:val="center"/>
          </w:tcPr>
          <w:p w14:paraId="47AA2CA7">
            <w:pPr>
              <w:rPr>
                <w:rFonts w:ascii="宋体" w:hAnsi="宋体" w:cs="宋体"/>
                <w:sz w:val="24"/>
                <w:szCs w:val="24"/>
              </w:rPr>
            </w:pPr>
            <w:r>
              <w:rPr>
                <w:rFonts w:hint="eastAsia" w:ascii="宋体" w:hAnsi="宋体" w:cs="宋体"/>
                <w:sz w:val="24"/>
                <w:szCs w:val="24"/>
              </w:rPr>
              <w:t>谈判响应文件按竞争性谈判文件规定要求装订、签署、盖章的,投标有效期达到竞争性谈判文件要求的。</w:t>
            </w:r>
          </w:p>
        </w:tc>
      </w:tr>
      <w:tr w14:paraId="4AF02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1" w:hRule="atLeast"/>
        </w:trPr>
        <w:tc>
          <w:tcPr>
            <w:tcW w:w="778" w:type="dxa"/>
            <w:noWrap w:val="0"/>
            <w:vAlign w:val="center"/>
          </w:tcPr>
          <w:p w14:paraId="7E150552">
            <w:pPr>
              <w:jc w:val="center"/>
              <w:rPr>
                <w:rFonts w:ascii="宋体" w:hAnsi="宋体" w:cs="宋体"/>
                <w:sz w:val="24"/>
                <w:szCs w:val="24"/>
              </w:rPr>
            </w:pPr>
            <w:r>
              <w:rPr>
                <w:rFonts w:hint="eastAsia" w:ascii="宋体" w:hAnsi="宋体" w:cs="宋体"/>
                <w:sz w:val="24"/>
                <w:szCs w:val="24"/>
              </w:rPr>
              <w:t>5</w:t>
            </w:r>
          </w:p>
        </w:tc>
        <w:tc>
          <w:tcPr>
            <w:tcW w:w="2473" w:type="dxa"/>
            <w:noWrap w:val="0"/>
            <w:vAlign w:val="center"/>
          </w:tcPr>
          <w:p w14:paraId="4B674A8C">
            <w:pPr>
              <w:jc w:val="center"/>
              <w:rPr>
                <w:rFonts w:ascii="宋体" w:hAnsi="宋体" w:cs="宋体"/>
                <w:sz w:val="24"/>
                <w:szCs w:val="24"/>
              </w:rPr>
            </w:pPr>
            <w:r>
              <w:rPr>
                <w:rFonts w:hint="eastAsia" w:ascii="宋体" w:hAnsi="宋体" w:cs="宋体"/>
                <w:sz w:val="24"/>
                <w:szCs w:val="24"/>
              </w:rPr>
              <w:t>谈判响应文件编写</w:t>
            </w:r>
          </w:p>
        </w:tc>
        <w:tc>
          <w:tcPr>
            <w:tcW w:w="6036" w:type="dxa"/>
            <w:noWrap w:val="0"/>
            <w:vAlign w:val="center"/>
          </w:tcPr>
          <w:p w14:paraId="1BC4F144">
            <w:pPr>
              <w:rPr>
                <w:rFonts w:ascii="宋体" w:hAnsi="宋体" w:cs="宋体"/>
                <w:sz w:val="24"/>
                <w:szCs w:val="24"/>
              </w:rPr>
            </w:pPr>
            <w:r>
              <w:rPr>
                <w:rFonts w:hint="eastAsia" w:ascii="宋体" w:hAnsi="宋体" w:cs="宋体"/>
                <w:sz w:val="24"/>
                <w:szCs w:val="24"/>
              </w:rPr>
              <w:t>谈判响应文件按照竞争性谈判文件要求的格式编写及谈判响应文件的关键内容字迹清晰、可辨认的。</w:t>
            </w:r>
          </w:p>
        </w:tc>
      </w:tr>
      <w:tr w14:paraId="23F32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778" w:type="dxa"/>
            <w:noWrap w:val="0"/>
            <w:vAlign w:val="center"/>
          </w:tcPr>
          <w:p w14:paraId="3C6BB153">
            <w:pPr>
              <w:jc w:val="center"/>
              <w:rPr>
                <w:rFonts w:ascii="宋体" w:hAnsi="宋体" w:cs="宋体"/>
                <w:sz w:val="24"/>
                <w:szCs w:val="24"/>
              </w:rPr>
            </w:pPr>
            <w:r>
              <w:rPr>
                <w:rFonts w:hint="eastAsia" w:ascii="宋体" w:hAnsi="宋体" w:cs="宋体"/>
                <w:sz w:val="24"/>
                <w:szCs w:val="24"/>
              </w:rPr>
              <w:t>6</w:t>
            </w:r>
          </w:p>
        </w:tc>
        <w:tc>
          <w:tcPr>
            <w:tcW w:w="2473" w:type="dxa"/>
            <w:noWrap w:val="0"/>
            <w:vAlign w:val="center"/>
          </w:tcPr>
          <w:p w14:paraId="7BC8EEB6">
            <w:pPr>
              <w:jc w:val="center"/>
              <w:rPr>
                <w:rFonts w:ascii="宋体" w:hAnsi="宋体" w:cs="宋体"/>
                <w:sz w:val="24"/>
                <w:szCs w:val="24"/>
              </w:rPr>
            </w:pPr>
            <w:r>
              <w:rPr>
                <w:rFonts w:hint="eastAsia" w:ascii="宋体" w:hAnsi="宋体" w:cs="宋体"/>
                <w:sz w:val="24"/>
                <w:szCs w:val="24"/>
              </w:rPr>
              <w:t>虚假材料</w:t>
            </w:r>
          </w:p>
        </w:tc>
        <w:tc>
          <w:tcPr>
            <w:tcW w:w="6036" w:type="dxa"/>
            <w:noWrap w:val="0"/>
            <w:vAlign w:val="center"/>
          </w:tcPr>
          <w:p w14:paraId="2A8B30B3">
            <w:pPr>
              <w:rPr>
                <w:rFonts w:ascii="宋体" w:hAnsi="宋体" w:cs="宋体"/>
                <w:sz w:val="24"/>
                <w:szCs w:val="24"/>
              </w:rPr>
            </w:pPr>
            <w:r>
              <w:rPr>
                <w:rFonts w:hint="eastAsia" w:ascii="宋体" w:hAnsi="宋体" w:cs="宋体"/>
                <w:sz w:val="24"/>
                <w:szCs w:val="24"/>
              </w:rPr>
              <w:t>未提供虚假证明（包括第三方提供的虚假证明），未开具虚假资质，未出现虚假应答。</w:t>
            </w:r>
          </w:p>
        </w:tc>
      </w:tr>
      <w:tr w14:paraId="2DC9D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trPr>
        <w:tc>
          <w:tcPr>
            <w:tcW w:w="778" w:type="dxa"/>
            <w:noWrap w:val="0"/>
            <w:vAlign w:val="center"/>
          </w:tcPr>
          <w:p w14:paraId="48491DD0">
            <w:pPr>
              <w:jc w:val="center"/>
              <w:rPr>
                <w:rFonts w:ascii="宋体" w:hAnsi="宋体" w:cs="宋体"/>
                <w:sz w:val="24"/>
                <w:szCs w:val="24"/>
              </w:rPr>
            </w:pPr>
            <w:r>
              <w:rPr>
                <w:rFonts w:hint="eastAsia" w:ascii="宋体" w:hAnsi="宋体" w:cs="宋体"/>
                <w:sz w:val="24"/>
                <w:szCs w:val="24"/>
              </w:rPr>
              <w:t>7</w:t>
            </w:r>
          </w:p>
        </w:tc>
        <w:tc>
          <w:tcPr>
            <w:tcW w:w="2473" w:type="dxa"/>
            <w:noWrap w:val="0"/>
            <w:vAlign w:val="center"/>
          </w:tcPr>
          <w:p w14:paraId="617A962E">
            <w:pPr>
              <w:jc w:val="center"/>
              <w:rPr>
                <w:rFonts w:ascii="宋体" w:hAnsi="宋体" w:cs="宋体"/>
                <w:sz w:val="24"/>
                <w:szCs w:val="24"/>
              </w:rPr>
            </w:pPr>
            <w:r>
              <w:rPr>
                <w:rFonts w:hint="eastAsia" w:ascii="宋体" w:hAnsi="宋体" w:cs="宋体"/>
                <w:sz w:val="24"/>
                <w:szCs w:val="24"/>
              </w:rPr>
              <w:t>实质性响应</w:t>
            </w:r>
          </w:p>
        </w:tc>
        <w:tc>
          <w:tcPr>
            <w:tcW w:w="6036" w:type="dxa"/>
            <w:noWrap w:val="0"/>
            <w:vAlign w:val="center"/>
          </w:tcPr>
          <w:p w14:paraId="2E3095A7">
            <w:pPr>
              <w:rPr>
                <w:rFonts w:ascii="宋体" w:hAnsi="宋体" w:cs="宋体"/>
                <w:sz w:val="24"/>
                <w:szCs w:val="24"/>
              </w:rPr>
            </w:pPr>
            <w:r>
              <w:rPr>
                <w:rFonts w:hint="eastAsia" w:ascii="宋体" w:hAnsi="宋体" w:cs="宋体"/>
                <w:sz w:val="24"/>
                <w:szCs w:val="24"/>
              </w:rPr>
              <w:t>对竞争性谈判文件做出了实质性响应没有重大缺项漏项,无明显不符合技术规格、技术标准的要求的。</w:t>
            </w:r>
          </w:p>
        </w:tc>
      </w:tr>
      <w:tr w14:paraId="179FB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1" w:hRule="atLeast"/>
        </w:trPr>
        <w:tc>
          <w:tcPr>
            <w:tcW w:w="778" w:type="dxa"/>
            <w:noWrap w:val="0"/>
            <w:vAlign w:val="center"/>
          </w:tcPr>
          <w:p w14:paraId="6AE6F2BD">
            <w:pPr>
              <w:jc w:val="center"/>
              <w:rPr>
                <w:rFonts w:ascii="宋体" w:hAnsi="宋体" w:cs="宋体"/>
                <w:sz w:val="24"/>
                <w:szCs w:val="24"/>
              </w:rPr>
            </w:pPr>
            <w:r>
              <w:rPr>
                <w:rFonts w:hint="eastAsia" w:ascii="宋体" w:hAnsi="宋体" w:cs="宋体"/>
                <w:sz w:val="24"/>
                <w:szCs w:val="24"/>
              </w:rPr>
              <w:t>8</w:t>
            </w:r>
          </w:p>
        </w:tc>
        <w:tc>
          <w:tcPr>
            <w:tcW w:w="2473" w:type="dxa"/>
            <w:noWrap w:val="0"/>
            <w:vAlign w:val="center"/>
          </w:tcPr>
          <w:p w14:paraId="3B528709">
            <w:pPr>
              <w:jc w:val="center"/>
              <w:rPr>
                <w:rFonts w:ascii="宋体" w:hAnsi="宋体" w:cs="宋体"/>
                <w:sz w:val="24"/>
                <w:szCs w:val="24"/>
              </w:rPr>
            </w:pPr>
            <w:r>
              <w:rPr>
                <w:rFonts w:hint="eastAsia" w:ascii="宋体" w:hAnsi="宋体" w:cs="宋体"/>
                <w:sz w:val="24"/>
                <w:szCs w:val="24"/>
              </w:rPr>
              <w:t>报价</w:t>
            </w:r>
          </w:p>
        </w:tc>
        <w:tc>
          <w:tcPr>
            <w:tcW w:w="6036" w:type="dxa"/>
            <w:noWrap w:val="0"/>
            <w:vAlign w:val="center"/>
          </w:tcPr>
          <w:p w14:paraId="2714C14F">
            <w:pPr>
              <w:rPr>
                <w:rFonts w:ascii="宋体" w:hAnsi="宋体" w:cs="宋体"/>
                <w:sz w:val="24"/>
                <w:szCs w:val="24"/>
              </w:rPr>
            </w:pPr>
            <w:r>
              <w:rPr>
                <w:rFonts w:hint="eastAsia" w:ascii="宋体" w:hAnsi="宋体" w:cs="宋体"/>
                <w:sz w:val="24"/>
                <w:szCs w:val="24"/>
              </w:rPr>
              <w:t>1）供应商在同一份谈判响应文件中，只有一个有效报价的；</w:t>
            </w:r>
          </w:p>
          <w:p w14:paraId="045E3E71">
            <w:pPr>
              <w:rPr>
                <w:rFonts w:ascii="宋体" w:hAnsi="宋体" w:cs="宋体"/>
                <w:sz w:val="24"/>
                <w:szCs w:val="24"/>
              </w:rPr>
            </w:pPr>
            <w:r>
              <w:rPr>
                <w:rFonts w:hint="eastAsia" w:ascii="宋体" w:hAnsi="宋体" w:cs="宋体"/>
                <w:sz w:val="24"/>
                <w:szCs w:val="24"/>
              </w:rPr>
              <w:t>2）报价未超过竞争性谈判文件中规定的预算金额或者未与市场价格偏离较大、低于成本、形成不正当竞争的。</w:t>
            </w:r>
          </w:p>
        </w:tc>
      </w:tr>
      <w:tr w14:paraId="022EF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778" w:type="dxa"/>
            <w:noWrap w:val="0"/>
            <w:vAlign w:val="center"/>
          </w:tcPr>
          <w:p w14:paraId="1B56C7F6">
            <w:pPr>
              <w:jc w:val="center"/>
              <w:rPr>
                <w:rFonts w:ascii="宋体" w:hAnsi="宋体" w:cs="宋体"/>
                <w:sz w:val="24"/>
                <w:szCs w:val="24"/>
              </w:rPr>
            </w:pPr>
            <w:r>
              <w:rPr>
                <w:rFonts w:hint="eastAsia" w:ascii="宋体" w:hAnsi="宋体" w:cs="宋体"/>
                <w:sz w:val="24"/>
                <w:szCs w:val="24"/>
              </w:rPr>
              <w:t>9</w:t>
            </w:r>
          </w:p>
        </w:tc>
        <w:tc>
          <w:tcPr>
            <w:tcW w:w="2473" w:type="dxa"/>
            <w:noWrap w:val="0"/>
            <w:vAlign w:val="center"/>
          </w:tcPr>
          <w:p w14:paraId="3219B75D">
            <w:pPr>
              <w:jc w:val="center"/>
              <w:rPr>
                <w:rFonts w:ascii="宋体" w:hAnsi="宋体" w:cs="宋体"/>
                <w:sz w:val="24"/>
                <w:szCs w:val="24"/>
              </w:rPr>
            </w:pPr>
            <w:r>
              <w:rPr>
                <w:rFonts w:hint="eastAsia" w:ascii="宋体" w:hAnsi="宋体" w:cs="宋体"/>
                <w:sz w:val="24"/>
                <w:szCs w:val="24"/>
              </w:rPr>
              <w:t>商务要求</w:t>
            </w:r>
          </w:p>
        </w:tc>
        <w:tc>
          <w:tcPr>
            <w:tcW w:w="6036" w:type="dxa"/>
            <w:noWrap w:val="0"/>
            <w:vAlign w:val="center"/>
          </w:tcPr>
          <w:p w14:paraId="3063BD1A">
            <w:pPr>
              <w:rPr>
                <w:rFonts w:ascii="宋体" w:hAnsi="宋体" w:cs="宋体"/>
                <w:sz w:val="24"/>
                <w:szCs w:val="24"/>
              </w:rPr>
            </w:pPr>
            <w:r>
              <w:rPr>
                <w:rFonts w:hint="eastAsia" w:ascii="宋体" w:hAnsi="宋体" w:cs="宋体"/>
                <w:sz w:val="24"/>
                <w:szCs w:val="24"/>
              </w:rPr>
              <w:t>商务要求逐条响应并满足竞争性谈判文件要求。</w:t>
            </w:r>
          </w:p>
        </w:tc>
      </w:tr>
      <w:tr w14:paraId="65FD0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1" w:hRule="atLeast"/>
        </w:trPr>
        <w:tc>
          <w:tcPr>
            <w:tcW w:w="778" w:type="dxa"/>
            <w:noWrap w:val="0"/>
            <w:vAlign w:val="center"/>
          </w:tcPr>
          <w:p w14:paraId="6CEA2B2F">
            <w:pPr>
              <w:jc w:val="center"/>
              <w:rPr>
                <w:rFonts w:ascii="宋体" w:hAnsi="宋体" w:cs="宋体"/>
                <w:sz w:val="24"/>
                <w:szCs w:val="24"/>
              </w:rPr>
            </w:pPr>
            <w:r>
              <w:rPr>
                <w:rFonts w:hint="eastAsia" w:ascii="宋体" w:hAnsi="宋体" w:cs="宋体"/>
                <w:sz w:val="24"/>
                <w:szCs w:val="24"/>
              </w:rPr>
              <w:t>10</w:t>
            </w:r>
          </w:p>
        </w:tc>
        <w:tc>
          <w:tcPr>
            <w:tcW w:w="2473" w:type="dxa"/>
            <w:noWrap w:val="0"/>
            <w:vAlign w:val="center"/>
          </w:tcPr>
          <w:p w14:paraId="01ECDA8D">
            <w:pPr>
              <w:jc w:val="center"/>
              <w:rPr>
                <w:rFonts w:ascii="宋体" w:hAnsi="宋体" w:cs="宋体"/>
                <w:sz w:val="24"/>
                <w:szCs w:val="24"/>
              </w:rPr>
            </w:pPr>
            <w:r>
              <w:rPr>
                <w:rFonts w:hint="eastAsia" w:ascii="宋体" w:hAnsi="宋体" w:cs="宋体"/>
                <w:sz w:val="24"/>
                <w:szCs w:val="24"/>
              </w:rPr>
              <w:t>响应方案</w:t>
            </w:r>
          </w:p>
        </w:tc>
        <w:tc>
          <w:tcPr>
            <w:tcW w:w="6036" w:type="dxa"/>
            <w:noWrap w:val="0"/>
            <w:vAlign w:val="center"/>
          </w:tcPr>
          <w:p w14:paraId="08CA6D4C">
            <w:pPr>
              <w:spacing w:line="36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一、标的物选型及技术指标说明</w:t>
            </w:r>
            <w:r>
              <w:rPr>
                <w:rFonts w:hint="eastAsia" w:ascii="宋体" w:hAnsi="宋体" w:eastAsia="宋体" w:cs="宋体"/>
                <w:color w:val="auto"/>
                <w:sz w:val="24"/>
                <w:szCs w:val="24"/>
                <w:lang w:eastAsia="zh-CN"/>
              </w:rPr>
              <w:t>；</w:t>
            </w:r>
          </w:p>
          <w:p w14:paraId="1374B769">
            <w:pPr>
              <w:spacing w:line="36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二、主要货物合法来源渠道的书面证明材料。</w:t>
            </w:r>
          </w:p>
          <w:p w14:paraId="702BA117">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、对本项目的供货、服务</w:t>
            </w:r>
            <w:r>
              <w:rPr>
                <w:rFonts w:hint="eastAsia" w:ascii="宋体" w:hAnsi="宋体" w:eastAsia="宋体" w:cs="宋体"/>
                <w:color w:val="auto"/>
                <w:sz w:val="24"/>
                <w:szCs w:val="24"/>
                <w:lang w:eastAsia="zh-CN"/>
              </w:rPr>
              <w:t>的</w:t>
            </w:r>
            <w:r>
              <w:rPr>
                <w:rFonts w:hint="eastAsia" w:ascii="宋体" w:hAnsi="宋体" w:eastAsia="宋体" w:cs="宋体"/>
                <w:color w:val="auto"/>
                <w:sz w:val="24"/>
                <w:szCs w:val="24"/>
              </w:rPr>
              <w:t>组织措施及人员投入情况。</w:t>
            </w:r>
          </w:p>
          <w:p w14:paraId="699C5762">
            <w:pPr>
              <w:spacing w:line="360" w:lineRule="auto"/>
              <w:rPr>
                <w:rFonts w:hint="eastAsia" w:ascii="宋体" w:hAnsi="宋体" w:eastAsia="宋体" w:cs="宋体"/>
                <w:color w:val="auto"/>
                <w:sz w:val="24"/>
                <w:szCs w:val="24"/>
              </w:rPr>
            </w:pPr>
            <w:r>
              <w:rPr>
                <w:rFonts w:hint="eastAsia" w:ascii="宋体" w:hAnsi="宋体" w:cs="宋体"/>
                <w:color w:val="auto"/>
                <w:sz w:val="24"/>
                <w:szCs w:val="24"/>
                <w:lang w:val="en-US" w:eastAsia="zh-CN"/>
              </w:rPr>
              <w:t>四</w:t>
            </w:r>
            <w:r>
              <w:rPr>
                <w:rFonts w:hint="eastAsia" w:ascii="宋体" w:hAnsi="宋体" w:eastAsia="宋体" w:cs="宋体"/>
                <w:color w:val="auto"/>
                <w:sz w:val="24"/>
                <w:szCs w:val="24"/>
              </w:rPr>
              <w:t>、质量保证、售后服务计划及措施。</w:t>
            </w:r>
          </w:p>
          <w:p w14:paraId="58F68CC3">
            <w:pPr>
              <w:spacing w:line="360" w:lineRule="auto"/>
              <w:rPr>
                <w:rFonts w:hint="eastAsia" w:ascii="宋体" w:hAnsi="宋体" w:eastAsia="宋体" w:cs="宋体"/>
                <w:color w:val="auto"/>
                <w:sz w:val="24"/>
                <w:szCs w:val="24"/>
                <w:lang w:eastAsia="zh-CN"/>
              </w:rPr>
            </w:pPr>
            <w:r>
              <w:rPr>
                <w:rFonts w:hint="eastAsia" w:ascii="宋体" w:hAnsi="宋体" w:cs="宋体"/>
                <w:color w:val="auto"/>
                <w:sz w:val="24"/>
                <w:szCs w:val="24"/>
                <w:lang w:val="en-US" w:eastAsia="zh-CN"/>
              </w:rPr>
              <w:t>五</w:t>
            </w:r>
            <w:r>
              <w:rPr>
                <w:rFonts w:hint="eastAsia" w:ascii="宋体" w:hAnsi="宋体" w:eastAsia="宋体" w:cs="宋体"/>
                <w:color w:val="auto"/>
                <w:sz w:val="24"/>
                <w:szCs w:val="24"/>
                <w:lang w:eastAsia="zh-CN"/>
              </w:rPr>
              <w:t>、公司服务承诺。</w:t>
            </w:r>
          </w:p>
          <w:p w14:paraId="378E511C">
            <w:pPr>
              <w:spacing w:line="360" w:lineRule="auto"/>
              <w:rPr>
                <w:rFonts w:hint="default" w:eastAsia="宋体"/>
                <w:lang w:val="en-US" w:eastAsia="zh-CN"/>
              </w:rPr>
            </w:pPr>
            <w:r>
              <w:rPr>
                <w:rFonts w:hint="eastAsia" w:ascii="宋体" w:hAnsi="宋体" w:cs="宋体"/>
                <w:color w:val="auto"/>
                <w:sz w:val="24"/>
                <w:szCs w:val="24"/>
                <w:lang w:val="en-US" w:eastAsia="zh-CN"/>
              </w:rPr>
              <w:t>六</w:t>
            </w:r>
            <w:r>
              <w:rPr>
                <w:rFonts w:hint="eastAsia" w:ascii="宋体" w:hAnsi="宋体" w:eastAsia="宋体" w:cs="宋体"/>
                <w:color w:val="auto"/>
                <w:sz w:val="24"/>
                <w:szCs w:val="24"/>
              </w:rPr>
              <w:t xml:space="preserve">、投标供应商其他有必要说明的问题。  </w:t>
            </w:r>
          </w:p>
        </w:tc>
      </w:tr>
      <w:tr w14:paraId="4F250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78" w:type="dxa"/>
            <w:noWrap w:val="0"/>
            <w:vAlign w:val="center"/>
          </w:tcPr>
          <w:p w14:paraId="67922A2D">
            <w:pPr>
              <w:jc w:val="center"/>
              <w:rPr>
                <w:rFonts w:ascii="宋体" w:hAnsi="宋体" w:cs="宋体"/>
                <w:sz w:val="24"/>
                <w:szCs w:val="24"/>
              </w:rPr>
            </w:pPr>
            <w:r>
              <w:rPr>
                <w:rFonts w:hint="eastAsia" w:ascii="宋体" w:hAnsi="宋体" w:cs="宋体"/>
                <w:sz w:val="24"/>
                <w:szCs w:val="24"/>
              </w:rPr>
              <w:t>11</w:t>
            </w:r>
          </w:p>
        </w:tc>
        <w:tc>
          <w:tcPr>
            <w:tcW w:w="2473" w:type="dxa"/>
            <w:noWrap w:val="0"/>
            <w:vAlign w:val="center"/>
          </w:tcPr>
          <w:p w14:paraId="4CF475A8">
            <w:pPr>
              <w:jc w:val="center"/>
              <w:rPr>
                <w:rFonts w:ascii="宋体" w:hAnsi="宋体" w:cs="宋体"/>
                <w:sz w:val="24"/>
                <w:szCs w:val="24"/>
              </w:rPr>
            </w:pPr>
            <w:r>
              <w:rPr>
                <w:rFonts w:hint="eastAsia" w:ascii="宋体" w:hAnsi="宋体" w:cs="宋体"/>
                <w:sz w:val="24"/>
                <w:szCs w:val="24"/>
              </w:rPr>
              <w:t>其他要求</w:t>
            </w:r>
          </w:p>
        </w:tc>
        <w:tc>
          <w:tcPr>
            <w:tcW w:w="6036" w:type="dxa"/>
            <w:noWrap w:val="0"/>
            <w:vAlign w:val="center"/>
          </w:tcPr>
          <w:p w14:paraId="54A8719E">
            <w:pPr>
              <w:rPr>
                <w:rFonts w:ascii="宋体" w:hAnsi="宋体" w:cs="宋体"/>
                <w:sz w:val="24"/>
                <w:szCs w:val="24"/>
              </w:rPr>
            </w:pPr>
            <w:r>
              <w:rPr>
                <w:rFonts w:hint="eastAsia" w:ascii="宋体" w:hAnsi="宋体" w:cs="宋体"/>
                <w:sz w:val="24"/>
                <w:szCs w:val="24"/>
              </w:rPr>
              <w:t>满足谈判文件规定的其他要求。</w:t>
            </w:r>
          </w:p>
        </w:tc>
      </w:tr>
    </w:tbl>
    <w:p w14:paraId="0EC18240">
      <w:pPr>
        <w:spacing w:line="360" w:lineRule="auto"/>
        <w:ind w:firstLine="480" w:firstLineChars="200"/>
        <w:rPr>
          <w:rFonts w:ascii="宋体" w:hAnsi="宋体" w:cs="宋体"/>
          <w:sz w:val="24"/>
          <w:szCs w:val="24"/>
        </w:rPr>
      </w:pPr>
      <w:r>
        <w:rPr>
          <w:rFonts w:hint="eastAsia" w:ascii="宋体" w:hAnsi="宋体" w:cs="宋体"/>
          <w:sz w:val="24"/>
          <w:szCs w:val="24"/>
        </w:rPr>
        <w:t>2、对于竞争性谈判响应文件中可能出现的不一致和算术计算错误按以下方法</w:t>
      </w:r>
    </w:p>
    <w:p w14:paraId="3E7B5335">
      <w:pPr>
        <w:spacing w:line="360" w:lineRule="auto"/>
        <w:rPr>
          <w:rFonts w:ascii="宋体" w:hAnsi="宋体" w:cs="宋体"/>
          <w:sz w:val="24"/>
          <w:szCs w:val="24"/>
        </w:rPr>
      </w:pPr>
      <w:r>
        <w:rPr>
          <w:rFonts w:hint="eastAsia" w:ascii="宋体" w:hAnsi="宋体" w:cs="宋体"/>
          <w:sz w:val="24"/>
          <w:szCs w:val="24"/>
        </w:rPr>
        <w:t>更正：</w:t>
      </w:r>
    </w:p>
    <w:p w14:paraId="137CC59E">
      <w:pPr>
        <w:spacing w:line="360" w:lineRule="auto"/>
        <w:ind w:firstLine="480" w:firstLineChars="200"/>
        <w:rPr>
          <w:rFonts w:ascii="宋体" w:hAnsi="宋体" w:cs="宋体"/>
          <w:sz w:val="24"/>
          <w:szCs w:val="24"/>
        </w:rPr>
      </w:pPr>
      <w:r>
        <w:rPr>
          <w:rFonts w:hint="eastAsia" w:ascii="宋体" w:hAnsi="宋体" w:cs="宋体"/>
          <w:sz w:val="24"/>
          <w:szCs w:val="24"/>
        </w:rPr>
        <w:t>1）开标时，竞争性谈判响应文件中谈判报价表（报价表）内容与竞争性谈判</w:t>
      </w:r>
    </w:p>
    <w:p w14:paraId="1F9387C0">
      <w:pPr>
        <w:spacing w:line="360" w:lineRule="auto"/>
        <w:rPr>
          <w:rFonts w:ascii="宋体" w:hAnsi="宋体" w:cs="宋体"/>
          <w:sz w:val="24"/>
          <w:szCs w:val="24"/>
        </w:rPr>
      </w:pPr>
      <w:r>
        <w:rPr>
          <w:rFonts w:hint="eastAsia" w:ascii="宋体" w:hAnsi="宋体" w:cs="宋体"/>
          <w:sz w:val="24"/>
          <w:szCs w:val="24"/>
        </w:rPr>
        <w:t>响应文件中明细表内容不一致的，以谈判报价表（报价表）为准。</w:t>
      </w:r>
    </w:p>
    <w:p w14:paraId="5412465A">
      <w:pPr>
        <w:spacing w:line="360" w:lineRule="auto"/>
        <w:ind w:firstLine="480" w:firstLineChars="200"/>
        <w:rPr>
          <w:rFonts w:ascii="宋体" w:hAnsi="宋体" w:cs="宋体"/>
          <w:sz w:val="24"/>
          <w:szCs w:val="24"/>
        </w:rPr>
      </w:pPr>
      <w:r>
        <w:rPr>
          <w:rFonts w:hint="eastAsia" w:ascii="宋体" w:hAnsi="宋体" w:cs="宋体"/>
          <w:sz w:val="24"/>
          <w:szCs w:val="24"/>
        </w:rPr>
        <w:t>2）用数字表示的金额和用文字表示的金额不一致的，以文字表示的金额为准。</w:t>
      </w:r>
    </w:p>
    <w:p w14:paraId="175008E5">
      <w:pPr>
        <w:spacing w:line="360" w:lineRule="auto"/>
        <w:ind w:firstLine="480" w:firstLineChars="200"/>
        <w:rPr>
          <w:rFonts w:ascii="宋体" w:hAnsi="宋体" w:cs="宋体"/>
          <w:sz w:val="24"/>
          <w:szCs w:val="24"/>
        </w:rPr>
      </w:pPr>
      <w:r>
        <w:rPr>
          <w:rFonts w:hint="eastAsia" w:ascii="宋体" w:hAnsi="宋体" w:cs="宋体"/>
          <w:sz w:val="24"/>
          <w:szCs w:val="24"/>
        </w:rPr>
        <w:t>3）总价金额与按单价汇总金额不一致的，以单价金额计算结果为准；但单价</w:t>
      </w:r>
    </w:p>
    <w:p w14:paraId="13142B35">
      <w:pPr>
        <w:spacing w:line="360" w:lineRule="auto"/>
        <w:rPr>
          <w:rFonts w:ascii="宋体" w:hAnsi="宋体" w:cs="宋体"/>
          <w:sz w:val="24"/>
          <w:szCs w:val="24"/>
        </w:rPr>
      </w:pPr>
      <w:r>
        <w:rPr>
          <w:rFonts w:hint="eastAsia" w:ascii="宋体" w:hAnsi="宋体" w:cs="宋体"/>
          <w:sz w:val="24"/>
          <w:szCs w:val="24"/>
        </w:rPr>
        <w:t>金额小数点有明显错位的，以总价为准，并修正单价。</w:t>
      </w:r>
    </w:p>
    <w:p w14:paraId="0C401C9A">
      <w:pPr>
        <w:spacing w:line="360" w:lineRule="auto"/>
        <w:ind w:firstLine="480" w:firstLineChars="200"/>
        <w:rPr>
          <w:rFonts w:ascii="宋体" w:hAnsi="宋体" w:cs="宋体"/>
          <w:sz w:val="24"/>
          <w:szCs w:val="24"/>
        </w:rPr>
      </w:pPr>
      <w:r>
        <w:rPr>
          <w:rFonts w:hint="eastAsia" w:ascii="宋体" w:hAnsi="宋体" w:cs="宋体"/>
          <w:sz w:val="24"/>
          <w:szCs w:val="24"/>
        </w:rPr>
        <w:t>谈判小组将按照上述修正错误的方法修正竞争性谈判响应文件中的谈判报价，修正后的价格对供应商具有约束力。如果供应商不接受修正后的价格，其谈判将被拒绝。</w:t>
      </w:r>
    </w:p>
    <w:p w14:paraId="7D7446DB">
      <w:pPr>
        <w:spacing w:line="360" w:lineRule="auto"/>
        <w:ind w:firstLine="480" w:firstLineChars="200"/>
        <w:rPr>
          <w:rFonts w:ascii="宋体" w:hAnsi="宋体" w:cs="宋体"/>
          <w:sz w:val="24"/>
          <w:szCs w:val="24"/>
        </w:rPr>
      </w:pPr>
      <w:r>
        <w:rPr>
          <w:rFonts w:hint="eastAsia" w:ascii="宋体" w:hAnsi="宋体" w:cs="宋体"/>
          <w:sz w:val="24"/>
          <w:szCs w:val="24"/>
        </w:rPr>
        <w:t>3、对于经初审合格的所有谈判，由谈判小组各成员依据谈判响应文件，从质量和服务均能满足谈判文件要求的供应商中，按照最后报价（依照政策性扣减）由低到高的顺序依次排序，推荐成交候选人。谈判报价相同的，按照技术指标优劣顺序排序或由全体谈判小组成员无记名投票，得票高者排序在前。</w:t>
      </w:r>
    </w:p>
    <w:p w14:paraId="3707D98E">
      <w:pPr>
        <w:spacing w:line="360" w:lineRule="auto"/>
        <w:ind w:firstLine="480" w:firstLineChars="200"/>
        <w:rPr>
          <w:rFonts w:ascii="宋体" w:hAnsi="宋体" w:cs="宋体"/>
          <w:sz w:val="24"/>
          <w:szCs w:val="24"/>
        </w:rPr>
      </w:pPr>
      <w:r>
        <w:rPr>
          <w:rFonts w:hint="eastAsia" w:ascii="宋体" w:hAnsi="宋体" w:cs="宋体"/>
          <w:sz w:val="24"/>
          <w:szCs w:val="24"/>
        </w:rPr>
        <w:t>4、政策性扣减</w:t>
      </w:r>
    </w:p>
    <w:p w14:paraId="49A15D75">
      <w:pPr>
        <w:spacing w:line="360" w:lineRule="auto"/>
        <w:ind w:firstLine="480" w:firstLineChars="200"/>
        <w:rPr>
          <w:rFonts w:ascii="宋体" w:hAnsi="宋体" w:cs="宋体"/>
          <w:sz w:val="24"/>
          <w:szCs w:val="24"/>
        </w:rPr>
      </w:pPr>
      <w:r>
        <w:rPr>
          <w:rFonts w:hint="eastAsia" w:ascii="宋体" w:hAnsi="宋体" w:cs="宋体"/>
          <w:sz w:val="24"/>
          <w:szCs w:val="24"/>
        </w:rPr>
        <w:t>依据《中华人民共和国政府采购法》和《中华人民共和国政府采购实施条例》</w:t>
      </w:r>
    </w:p>
    <w:p w14:paraId="57522D91">
      <w:pPr>
        <w:spacing w:line="360" w:lineRule="auto"/>
        <w:ind w:firstLine="480" w:firstLineChars="200"/>
        <w:rPr>
          <w:rFonts w:ascii="宋体" w:hAnsi="宋体" w:cs="宋体"/>
          <w:sz w:val="24"/>
          <w:szCs w:val="24"/>
        </w:rPr>
      </w:pPr>
      <w:r>
        <w:rPr>
          <w:rFonts w:hint="eastAsia" w:ascii="宋体" w:hAnsi="宋体" w:cs="宋体"/>
          <w:sz w:val="24"/>
          <w:szCs w:val="24"/>
        </w:rPr>
        <w:t>的有关规定，落实政府采购“扶持小微企业、监狱企业、福利企业”等相关政策。</w:t>
      </w:r>
    </w:p>
    <w:p w14:paraId="414D921B">
      <w:pPr>
        <w:spacing w:line="360" w:lineRule="auto"/>
        <w:ind w:firstLine="480" w:firstLineChars="200"/>
        <w:rPr>
          <w:rFonts w:ascii="宋体" w:hAnsi="宋体" w:cs="宋体"/>
          <w:sz w:val="24"/>
          <w:szCs w:val="24"/>
        </w:rPr>
      </w:pPr>
      <w:r>
        <w:rPr>
          <w:rFonts w:hint="eastAsia" w:ascii="宋体" w:hAnsi="宋体" w:cs="宋体"/>
          <w:sz w:val="24"/>
          <w:szCs w:val="24"/>
        </w:rPr>
        <w:t>(1)《政府采购促进中小企业发展管理办法》（财库〔2020〕46 号）；</w:t>
      </w:r>
    </w:p>
    <w:p w14:paraId="367D9B14">
      <w:pPr>
        <w:spacing w:line="360" w:lineRule="auto"/>
        <w:ind w:firstLine="480" w:firstLineChars="200"/>
        <w:rPr>
          <w:rFonts w:ascii="宋体" w:hAnsi="宋体" w:cs="宋体"/>
          <w:sz w:val="24"/>
          <w:szCs w:val="24"/>
        </w:rPr>
      </w:pPr>
      <w:r>
        <w:rPr>
          <w:rFonts w:hint="eastAsia" w:ascii="宋体" w:hAnsi="宋体" w:cs="宋体"/>
          <w:sz w:val="24"/>
          <w:szCs w:val="24"/>
        </w:rPr>
        <w:t>(2)《财政部 司法部关于政府采购支持监狱企业发展有关问题的通知》（财</w:t>
      </w:r>
    </w:p>
    <w:p w14:paraId="11F860B5">
      <w:pPr>
        <w:spacing w:line="360" w:lineRule="auto"/>
        <w:ind w:firstLine="480" w:firstLineChars="200"/>
        <w:rPr>
          <w:rFonts w:ascii="宋体" w:hAnsi="宋体" w:cs="宋体"/>
          <w:sz w:val="24"/>
          <w:szCs w:val="24"/>
        </w:rPr>
      </w:pPr>
      <w:r>
        <w:rPr>
          <w:rFonts w:hint="eastAsia" w:ascii="宋体" w:hAnsi="宋体" w:cs="宋体"/>
          <w:sz w:val="24"/>
          <w:szCs w:val="24"/>
        </w:rPr>
        <w:t>库〔2014〕68 号）；</w:t>
      </w:r>
    </w:p>
    <w:p w14:paraId="16EA5FB1">
      <w:pPr>
        <w:spacing w:line="360" w:lineRule="auto"/>
        <w:ind w:firstLine="480" w:firstLineChars="200"/>
        <w:rPr>
          <w:rFonts w:ascii="宋体" w:hAnsi="宋体" w:cs="宋体"/>
          <w:sz w:val="24"/>
          <w:szCs w:val="24"/>
        </w:rPr>
      </w:pPr>
      <w:r>
        <w:rPr>
          <w:rFonts w:hint="eastAsia" w:ascii="宋体" w:hAnsi="宋体" w:cs="宋体"/>
          <w:sz w:val="24"/>
          <w:szCs w:val="24"/>
        </w:rPr>
        <w:t>(3)《财政部、民政部、中国残疾人联合会关于促进残疾人就业政府采购政策</w:t>
      </w:r>
    </w:p>
    <w:p w14:paraId="19ED5DAF">
      <w:pPr>
        <w:spacing w:line="360" w:lineRule="auto"/>
        <w:ind w:firstLine="480" w:firstLineChars="200"/>
        <w:rPr>
          <w:rFonts w:ascii="宋体" w:hAnsi="宋体" w:cs="宋体"/>
          <w:sz w:val="24"/>
          <w:szCs w:val="24"/>
        </w:rPr>
      </w:pPr>
      <w:r>
        <w:rPr>
          <w:rFonts w:hint="eastAsia" w:ascii="宋体" w:hAnsi="宋体" w:cs="宋体"/>
          <w:sz w:val="24"/>
          <w:szCs w:val="24"/>
        </w:rPr>
        <w:t>的通知》（财库[2017]141 号）。</w:t>
      </w:r>
    </w:p>
    <w:p w14:paraId="6F178C9D">
      <w:pPr>
        <w:spacing w:line="360" w:lineRule="auto"/>
        <w:ind w:firstLine="480" w:firstLineChars="200"/>
        <w:rPr>
          <w:sz w:val="24"/>
          <w:szCs w:val="24"/>
        </w:rPr>
      </w:pPr>
      <w:r>
        <w:rPr>
          <w:rFonts w:hint="eastAsia"/>
          <w:sz w:val="24"/>
          <w:szCs w:val="24"/>
        </w:rPr>
        <w:t>（4）《国务院办公厅关于建立政府强制采购节能产品制度的通知》（国办发〔2007〕</w:t>
      </w:r>
    </w:p>
    <w:p w14:paraId="7D75265C">
      <w:pPr>
        <w:spacing w:line="360" w:lineRule="auto"/>
        <w:rPr>
          <w:sz w:val="24"/>
          <w:szCs w:val="24"/>
        </w:rPr>
      </w:pPr>
      <w:r>
        <w:rPr>
          <w:rFonts w:hint="eastAsia"/>
          <w:sz w:val="24"/>
          <w:szCs w:val="24"/>
        </w:rPr>
        <w:t>51 号）；</w:t>
      </w:r>
    </w:p>
    <w:p w14:paraId="481C057C">
      <w:pPr>
        <w:spacing w:line="360" w:lineRule="auto"/>
        <w:ind w:firstLine="480" w:firstLineChars="200"/>
        <w:rPr>
          <w:sz w:val="24"/>
          <w:szCs w:val="24"/>
        </w:rPr>
      </w:pPr>
      <w:r>
        <w:rPr>
          <w:rFonts w:hint="eastAsia"/>
          <w:sz w:val="24"/>
          <w:szCs w:val="24"/>
        </w:rPr>
        <w:t>（5）《节能产品政府采购实施意见》（财库[2004]185 号）；</w:t>
      </w:r>
    </w:p>
    <w:p w14:paraId="2916627D">
      <w:pPr>
        <w:spacing w:line="360" w:lineRule="auto"/>
        <w:ind w:firstLine="480" w:firstLineChars="200"/>
        <w:rPr>
          <w:sz w:val="24"/>
          <w:szCs w:val="24"/>
        </w:rPr>
      </w:pPr>
      <w:r>
        <w:rPr>
          <w:rFonts w:hint="eastAsia"/>
          <w:sz w:val="24"/>
          <w:szCs w:val="24"/>
        </w:rPr>
        <w:t>（6）《环境标志产品政府采购实施的意见》（财库[2006]90 号）；</w:t>
      </w:r>
    </w:p>
    <w:p w14:paraId="5684A8D1">
      <w:pPr>
        <w:spacing w:line="360" w:lineRule="auto"/>
        <w:ind w:firstLine="480" w:firstLineChars="200"/>
        <w:rPr>
          <w:sz w:val="24"/>
          <w:szCs w:val="24"/>
        </w:rPr>
      </w:pPr>
      <w:r>
        <w:rPr>
          <w:rFonts w:hint="eastAsia"/>
          <w:sz w:val="24"/>
          <w:szCs w:val="24"/>
        </w:rPr>
        <w:t>（7） 《陕西省中小企业政府采购信用融资办法》（陕财办采〔2018〕23 号）。</w:t>
      </w:r>
    </w:p>
    <w:p w14:paraId="7E485B2A">
      <w:pPr>
        <w:spacing w:line="360" w:lineRule="auto"/>
        <w:rPr>
          <w:sz w:val="24"/>
          <w:szCs w:val="24"/>
        </w:rPr>
      </w:pPr>
      <w:r>
        <w:rPr>
          <w:rFonts w:hint="eastAsia"/>
          <w:sz w:val="24"/>
          <w:szCs w:val="24"/>
        </w:rPr>
        <w:t>在政府采购活动中，供应商提供的货物、工程 或者服务符合下列情形的，享受管理办法规定的中小企业扶持政策：</w:t>
      </w:r>
    </w:p>
    <w:p w14:paraId="3CCDDAD0">
      <w:pPr>
        <w:spacing w:line="360" w:lineRule="auto"/>
        <w:ind w:firstLine="480" w:firstLineChars="200"/>
        <w:rPr>
          <w:sz w:val="24"/>
          <w:szCs w:val="24"/>
        </w:rPr>
      </w:pPr>
      <w:r>
        <w:rPr>
          <w:rFonts w:hint="eastAsia"/>
          <w:sz w:val="24"/>
          <w:szCs w:val="24"/>
        </w:rPr>
        <w:t>1）在货物采购项目中，货物由中小企业制造，即货物由中小企业生产且使用该中小企业商号或者注册商标；</w:t>
      </w:r>
    </w:p>
    <w:p w14:paraId="250CA842">
      <w:pPr>
        <w:spacing w:line="360" w:lineRule="auto"/>
        <w:ind w:firstLine="480" w:firstLineChars="200"/>
        <w:rPr>
          <w:sz w:val="24"/>
          <w:szCs w:val="24"/>
        </w:rPr>
      </w:pPr>
      <w:r>
        <w:rPr>
          <w:rFonts w:hint="eastAsia"/>
          <w:sz w:val="24"/>
          <w:szCs w:val="24"/>
        </w:rPr>
        <w:t>2）在工程采购项目中，工程由中小企业承建，即工程施工单位为中小企业；</w:t>
      </w:r>
    </w:p>
    <w:p w14:paraId="00D11085">
      <w:pPr>
        <w:spacing w:line="360" w:lineRule="auto"/>
        <w:ind w:firstLine="480" w:firstLineChars="200"/>
        <w:rPr>
          <w:sz w:val="24"/>
          <w:szCs w:val="24"/>
        </w:rPr>
      </w:pPr>
      <w:r>
        <w:rPr>
          <w:rFonts w:hint="eastAsia"/>
          <w:sz w:val="24"/>
          <w:szCs w:val="24"/>
        </w:rPr>
        <w:t>3）在服务采购项目中，服务由中小企业承接，即提供服务的人员为中小企业依照《中华人民共和国劳动合同法》 订立劳动合同的从业人员。</w:t>
      </w:r>
    </w:p>
    <w:p w14:paraId="1A80B528">
      <w:pPr>
        <w:spacing w:line="360" w:lineRule="auto"/>
        <w:ind w:firstLine="480" w:firstLineChars="200"/>
        <w:rPr>
          <w:sz w:val="24"/>
          <w:szCs w:val="24"/>
        </w:rPr>
      </w:pPr>
      <w:r>
        <w:rPr>
          <w:rFonts w:hint="eastAsia"/>
          <w:sz w:val="24"/>
          <w:szCs w:val="24"/>
        </w:rPr>
        <w:t>在货物采购项目中，供应商提供的货物既有中小企业制造货物，也有大型企业制造货物的，不享受管理办法规定的中小企业扶持政策。</w:t>
      </w:r>
    </w:p>
    <w:p w14:paraId="530328AE">
      <w:pPr>
        <w:spacing w:line="360" w:lineRule="auto"/>
        <w:ind w:firstLine="480" w:firstLineChars="200"/>
        <w:rPr>
          <w:sz w:val="24"/>
          <w:szCs w:val="24"/>
        </w:rPr>
      </w:pPr>
      <w:r>
        <w:rPr>
          <w:rFonts w:hint="eastAsia"/>
          <w:sz w:val="24"/>
          <w:szCs w:val="24"/>
        </w:rPr>
        <w:t>以联合体形式参加政府采购活动，联合体各方均为中小企业的，联合体视同</w:t>
      </w:r>
    </w:p>
    <w:p w14:paraId="3664C32A">
      <w:pPr>
        <w:spacing w:line="360" w:lineRule="auto"/>
        <w:rPr>
          <w:sz w:val="24"/>
          <w:szCs w:val="24"/>
        </w:rPr>
      </w:pPr>
      <w:r>
        <w:rPr>
          <w:rFonts w:hint="eastAsia"/>
          <w:sz w:val="24"/>
          <w:szCs w:val="24"/>
        </w:rPr>
        <w:t>中小企业。其中，联合体各方均为小微企业的，联合体视同小微企业。</w:t>
      </w:r>
    </w:p>
    <w:p w14:paraId="2380B823">
      <w:pPr>
        <w:spacing w:line="360" w:lineRule="auto"/>
        <w:ind w:firstLine="482" w:firstLineChars="200"/>
        <w:rPr>
          <w:b/>
          <w:bCs/>
          <w:sz w:val="24"/>
          <w:szCs w:val="24"/>
        </w:rPr>
      </w:pPr>
      <w:r>
        <w:rPr>
          <w:rFonts w:hint="eastAsia"/>
          <w:b/>
          <w:bCs/>
          <w:sz w:val="24"/>
          <w:szCs w:val="24"/>
        </w:rPr>
        <w:t>供应商为非联合体参与投标的情况：</w:t>
      </w:r>
    </w:p>
    <w:p w14:paraId="434C8CDE">
      <w:pPr>
        <w:spacing w:line="360" w:lineRule="auto"/>
        <w:ind w:firstLine="480" w:firstLineChars="200"/>
        <w:rPr>
          <w:sz w:val="24"/>
          <w:szCs w:val="24"/>
        </w:rPr>
      </w:pPr>
      <w:r>
        <w:rPr>
          <w:rFonts w:hint="eastAsia"/>
          <w:sz w:val="24"/>
          <w:szCs w:val="24"/>
        </w:rPr>
        <w:t>①根据《政府采购促进中小企业发展管理办法》的相关规定，对于经主管预算单位统筹后未预留份额专门面向中小企业采购的采购项目，以及预留份额项目中的非预</w:t>
      </w:r>
      <w:r>
        <w:rPr>
          <w:rFonts w:hint="eastAsia"/>
          <w:sz w:val="24"/>
          <w:szCs w:val="24"/>
          <w:lang w:val="en-US" w:eastAsia="zh-CN"/>
        </w:rPr>
        <w:t>20</w:t>
      </w:r>
      <w:r>
        <w:rPr>
          <w:rFonts w:hint="eastAsia"/>
          <w:sz w:val="24"/>
          <w:szCs w:val="24"/>
        </w:rPr>
        <w:t>%的扣除，用扣除后的价格参加评审。</w:t>
      </w:r>
    </w:p>
    <w:p w14:paraId="78239DEE">
      <w:pPr>
        <w:spacing w:line="360" w:lineRule="auto"/>
        <w:ind w:firstLine="480" w:firstLineChars="200"/>
        <w:rPr>
          <w:sz w:val="24"/>
          <w:szCs w:val="24"/>
        </w:rPr>
      </w:pPr>
      <w:r>
        <w:rPr>
          <w:rFonts w:hint="eastAsia"/>
          <w:sz w:val="24"/>
          <w:szCs w:val="24"/>
        </w:rPr>
        <w:t>②中小企业参加政府采购活动，应当出具管理办法规定的《中小企业声明函》，</w:t>
      </w:r>
    </w:p>
    <w:p w14:paraId="30C353B9">
      <w:pPr>
        <w:spacing w:line="360" w:lineRule="auto"/>
        <w:rPr>
          <w:sz w:val="24"/>
          <w:szCs w:val="24"/>
        </w:rPr>
      </w:pPr>
      <w:r>
        <w:rPr>
          <w:rFonts w:hint="eastAsia"/>
          <w:sz w:val="24"/>
          <w:szCs w:val="24"/>
        </w:rPr>
        <w:t>否则不得享受相关中小企业扶持政策。任何单位和个人不得要求供应商提供《中小企业声明函》之外的中小企业身份证明文件。</w:t>
      </w:r>
    </w:p>
    <w:p w14:paraId="6F575F49">
      <w:pPr>
        <w:spacing w:line="360" w:lineRule="auto"/>
        <w:ind w:firstLine="480" w:firstLineChars="200"/>
        <w:rPr>
          <w:sz w:val="24"/>
          <w:szCs w:val="24"/>
        </w:rPr>
      </w:pPr>
      <w:r>
        <w:rPr>
          <w:rFonts w:hint="eastAsia"/>
          <w:sz w:val="24"/>
          <w:szCs w:val="24"/>
        </w:rPr>
        <w:t>③根据《财政部民政部中国残疾人联合会关于促进残疾人就业政府采购政策的通知》（财库〔2017〕141 号）的规定，对符合条件的残疾人福利性单位产品的价格给予</w:t>
      </w:r>
      <w:r>
        <w:rPr>
          <w:rFonts w:hint="eastAsia"/>
          <w:sz w:val="24"/>
          <w:szCs w:val="24"/>
          <w:lang w:val="en-US" w:eastAsia="zh-CN"/>
        </w:rPr>
        <w:t>10</w:t>
      </w:r>
      <w:r>
        <w:rPr>
          <w:rFonts w:hint="eastAsia"/>
          <w:sz w:val="24"/>
          <w:szCs w:val="24"/>
        </w:rPr>
        <w:t>%的扣除，用扣除后的价格参与评审。</w:t>
      </w:r>
    </w:p>
    <w:p w14:paraId="4DBA3A9B">
      <w:pPr>
        <w:spacing w:line="360" w:lineRule="auto"/>
        <w:ind w:firstLine="480" w:firstLineChars="200"/>
        <w:rPr>
          <w:sz w:val="24"/>
          <w:szCs w:val="24"/>
        </w:rPr>
      </w:pPr>
      <w:r>
        <w:rPr>
          <w:rFonts w:hint="eastAsia"/>
          <w:sz w:val="24"/>
          <w:szCs w:val="24"/>
        </w:rPr>
        <w:t>④中小企业、监狱企业级和残疾人福利企业优惠政策同中小企业，以上政策同时具备的仅对其进行一次</w:t>
      </w:r>
      <w:r>
        <w:rPr>
          <w:rFonts w:hint="eastAsia"/>
          <w:sz w:val="24"/>
          <w:szCs w:val="24"/>
          <w:lang w:val="en-US" w:eastAsia="zh-CN"/>
        </w:rPr>
        <w:t>10</w:t>
      </w:r>
      <w:r>
        <w:rPr>
          <w:rFonts w:hint="eastAsia"/>
          <w:sz w:val="24"/>
          <w:szCs w:val="24"/>
        </w:rPr>
        <w:t>%的价格扣除，不重复扣除。</w:t>
      </w:r>
    </w:p>
    <w:p w14:paraId="1A40E73C">
      <w:pPr>
        <w:spacing w:line="360" w:lineRule="auto"/>
        <w:ind w:firstLine="480" w:firstLineChars="200"/>
        <w:rPr>
          <w:sz w:val="24"/>
          <w:szCs w:val="24"/>
        </w:rPr>
      </w:pPr>
      <w:r>
        <w:rPr>
          <w:rFonts w:hint="eastAsia"/>
          <w:sz w:val="24"/>
          <w:szCs w:val="24"/>
        </w:rPr>
        <w:t>评审过程中，如涉及，在同等条件下优先采购具有环境标志、节能、自主创新的产品。</w:t>
      </w:r>
    </w:p>
    <w:p w14:paraId="44CD7A3B">
      <w:pPr>
        <w:spacing w:line="360" w:lineRule="auto"/>
        <w:ind w:firstLine="480" w:firstLineChars="200"/>
        <w:rPr>
          <w:sz w:val="24"/>
          <w:szCs w:val="24"/>
        </w:rPr>
      </w:pPr>
      <w:r>
        <w:rPr>
          <w:rFonts w:hint="eastAsia"/>
          <w:sz w:val="24"/>
          <w:szCs w:val="24"/>
        </w:rPr>
        <w:t>环境标志产品是指由财政部、国家环境保护总局颁布的环境标志产品政府采购清单”中的有效期内的产品。其评标价=投标报价*（1-1%）；</w:t>
      </w:r>
    </w:p>
    <w:p w14:paraId="0739B15E">
      <w:pPr>
        <w:spacing w:line="360" w:lineRule="auto"/>
        <w:ind w:firstLine="480" w:firstLineChars="200"/>
        <w:rPr>
          <w:sz w:val="24"/>
          <w:szCs w:val="24"/>
        </w:rPr>
      </w:pPr>
      <w:r>
        <w:rPr>
          <w:rFonts w:hint="eastAsia"/>
          <w:sz w:val="24"/>
          <w:szCs w:val="24"/>
        </w:rPr>
        <w:t>节能产品是指由财政部、国家发展改革委颁布的“节能产品政府采购清单”中的有效期内的产品。其评标价=投标报价*（1-3%）；</w:t>
      </w:r>
    </w:p>
    <w:p w14:paraId="6B392EAB">
      <w:pPr>
        <w:spacing w:line="360" w:lineRule="auto"/>
        <w:ind w:firstLine="480" w:firstLineChars="200"/>
        <w:rPr>
          <w:sz w:val="24"/>
          <w:szCs w:val="24"/>
        </w:rPr>
      </w:pPr>
      <w:r>
        <w:rPr>
          <w:rFonts w:hint="eastAsia"/>
          <w:sz w:val="24"/>
          <w:szCs w:val="24"/>
        </w:rPr>
        <w:t>根据《政府采购促进中小企业发展管理办法》及《财政部司法部关于政府采购支持监狱企业发展有关问题的通知》，属中小企业的，投标人须提供《中小企业声明函》，其划型标准严格按照工业和信息化部、国家统计局、国家发展和改革委员会、财政部出台的《中小企业划型标准规定》（工信部联企业[2011]300号）执行。提供其他小微企业制造的货物时还需提供货物制造商的小微企业声明函。</w:t>
      </w:r>
    </w:p>
    <w:p w14:paraId="20A594F1">
      <w:pPr>
        <w:spacing w:line="360" w:lineRule="auto"/>
        <w:ind w:firstLine="480" w:firstLineChars="200"/>
        <w:rPr>
          <w:sz w:val="24"/>
          <w:szCs w:val="24"/>
        </w:rPr>
      </w:pPr>
      <w:r>
        <w:rPr>
          <w:rFonts w:hint="eastAsia"/>
          <w:sz w:val="24"/>
          <w:szCs w:val="24"/>
        </w:rPr>
        <w:t>投标人提供的《中小企业声明函》必须真实有效，如果被举报经查实出具虚假声明函的，将被取消投标资格，并按有关规定予以处理。监狱、戒毒企业视同小微企业，享受政府采购相关政策；</w:t>
      </w:r>
    </w:p>
    <w:p w14:paraId="3DFBF3EE">
      <w:pPr>
        <w:spacing w:line="360" w:lineRule="auto"/>
        <w:ind w:firstLine="480" w:firstLineChars="200"/>
        <w:rPr>
          <w:sz w:val="24"/>
          <w:szCs w:val="24"/>
        </w:rPr>
      </w:pPr>
      <w:r>
        <w:rPr>
          <w:rFonts w:hint="eastAsia"/>
          <w:sz w:val="24"/>
          <w:szCs w:val="24"/>
        </w:rPr>
        <w:t>监狱和戒毒企业须提供由省级以上监狱管理局、戒毒管理局(含新疆生产建设兵团)出具的属于监狱企业的证明文件。</w:t>
      </w:r>
    </w:p>
    <w:p w14:paraId="2D3874EA">
      <w:pPr>
        <w:spacing w:line="360" w:lineRule="auto"/>
        <w:ind w:firstLine="480" w:firstLineChars="200"/>
        <w:rPr>
          <w:sz w:val="24"/>
          <w:szCs w:val="24"/>
        </w:rPr>
      </w:pPr>
      <w:r>
        <w:rPr>
          <w:rFonts w:hint="eastAsia"/>
          <w:sz w:val="24"/>
          <w:szCs w:val="24"/>
        </w:rPr>
        <w:t>根据《财政部 民政部 中国残疾人联合会关于促进残疾人就业政府采购政策</w:t>
      </w:r>
    </w:p>
    <w:p w14:paraId="0B2CB6F4">
      <w:pPr>
        <w:spacing w:line="360" w:lineRule="auto"/>
        <w:rPr>
          <w:sz w:val="24"/>
          <w:szCs w:val="24"/>
        </w:rPr>
      </w:pPr>
      <w:r>
        <w:rPr>
          <w:rFonts w:hint="eastAsia"/>
          <w:sz w:val="24"/>
          <w:szCs w:val="24"/>
        </w:rPr>
        <w:t>的通知》（财库〔2017〕，符合条件的残疾人福利性单位在参加政府采购活动时，</w:t>
      </w:r>
    </w:p>
    <w:p w14:paraId="390EDCE2">
      <w:pPr>
        <w:spacing w:line="360" w:lineRule="auto"/>
        <w:rPr>
          <w:sz w:val="24"/>
          <w:szCs w:val="24"/>
        </w:rPr>
      </w:pPr>
      <w:r>
        <w:rPr>
          <w:rFonts w:hint="eastAsia"/>
          <w:sz w:val="24"/>
          <w:szCs w:val="24"/>
        </w:rPr>
        <w:t>应当提供本通知规定的《残疾人福利性单位声明函》（见附件），并对声明的真</w:t>
      </w:r>
    </w:p>
    <w:p w14:paraId="3E94A5ED">
      <w:pPr>
        <w:spacing w:line="360" w:lineRule="auto"/>
        <w:rPr>
          <w:sz w:val="24"/>
          <w:szCs w:val="24"/>
        </w:rPr>
      </w:pPr>
      <w:r>
        <w:rPr>
          <w:rFonts w:hint="eastAsia"/>
          <w:sz w:val="24"/>
          <w:szCs w:val="24"/>
        </w:rPr>
        <w:t>实性负责。中标、成交供应商为残疾人福利性单位的，采购人或者其委托的采购</w:t>
      </w:r>
    </w:p>
    <w:p w14:paraId="56813282">
      <w:pPr>
        <w:spacing w:line="360" w:lineRule="auto"/>
        <w:rPr>
          <w:sz w:val="24"/>
          <w:szCs w:val="24"/>
        </w:rPr>
      </w:pPr>
      <w:r>
        <w:rPr>
          <w:rFonts w:hint="eastAsia"/>
          <w:sz w:val="24"/>
          <w:szCs w:val="24"/>
        </w:rPr>
        <w:t>代理机构应当随中标、成交结果同时公告其《残疾人福利性单位声明函》，接受</w:t>
      </w:r>
    </w:p>
    <w:p w14:paraId="78A98016">
      <w:pPr>
        <w:spacing w:line="360" w:lineRule="auto"/>
        <w:rPr>
          <w:sz w:val="24"/>
          <w:szCs w:val="24"/>
        </w:rPr>
      </w:pPr>
      <w:r>
        <w:rPr>
          <w:rFonts w:hint="eastAsia"/>
          <w:sz w:val="24"/>
          <w:szCs w:val="24"/>
        </w:rPr>
        <w:t>社会监督。投标人提供的《残疾人福利性单位声明函》与事实不符的，依照《政</w:t>
      </w:r>
    </w:p>
    <w:p w14:paraId="52457737">
      <w:pPr>
        <w:spacing w:line="360" w:lineRule="auto"/>
        <w:rPr>
          <w:sz w:val="24"/>
          <w:szCs w:val="24"/>
        </w:rPr>
      </w:pPr>
      <w:r>
        <w:rPr>
          <w:rFonts w:hint="eastAsia"/>
          <w:sz w:val="24"/>
          <w:szCs w:val="24"/>
        </w:rPr>
        <w:t>府采购法》第七十七条第一款的规定追究法律责任。</w:t>
      </w:r>
    </w:p>
    <w:p w14:paraId="21C51727">
      <w:pPr>
        <w:rPr>
          <w:rFonts w:ascii="宋体" w:hAnsi="宋体" w:cs="宋体"/>
          <w:sz w:val="24"/>
          <w:szCs w:val="24"/>
        </w:rPr>
      </w:pPr>
      <w:r>
        <w:rPr>
          <w:rFonts w:hint="eastAsia" w:ascii="宋体" w:hAnsi="宋体" w:cs="宋体"/>
          <w:b/>
          <w:bCs/>
          <w:sz w:val="24"/>
          <w:szCs w:val="24"/>
        </w:rPr>
        <w:t>三、谈判方法</w:t>
      </w:r>
    </w:p>
    <w:p w14:paraId="7672BE3B">
      <w:pPr>
        <w:spacing w:line="360" w:lineRule="auto"/>
        <w:ind w:firstLine="480" w:firstLineChars="200"/>
        <w:rPr>
          <w:rFonts w:ascii="宋体" w:hAnsi="宋体" w:cs="宋体"/>
          <w:sz w:val="24"/>
          <w:szCs w:val="24"/>
        </w:rPr>
      </w:pPr>
      <w:r>
        <w:rPr>
          <w:rFonts w:hint="eastAsia" w:ascii="宋体" w:hAnsi="宋体" w:cs="宋体"/>
          <w:sz w:val="24"/>
          <w:szCs w:val="24"/>
        </w:rPr>
        <w:t>1、谈判原则：按照财政部令《第 74 号》文件精神，谈判方式应采取“符合采</w:t>
      </w:r>
    </w:p>
    <w:p w14:paraId="26E35A94">
      <w:pPr>
        <w:spacing w:line="360" w:lineRule="auto"/>
        <w:rPr>
          <w:rFonts w:ascii="宋体" w:hAnsi="宋体" w:cs="宋体"/>
          <w:sz w:val="24"/>
          <w:szCs w:val="24"/>
        </w:rPr>
      </w:pPr>
      <w:r>
        <w:rPr>
          <w:rFonts w:hint="eastAsia" w:ascii="宋体" w:hAnsi="宋体" w:cs="宋体"/>
          <w:sz w:val="24"/>
          <w:szCs w:val="24"/>
        </w:rPr>
        <w:t>购需求情况下，坚持低价优先原则。”谈判小组应当从质量和服务均能满足谈判文</w:t>
      </w:r>
    </w:p>
    <w:p w14:paraId="6F233ABE">
      <w:pPr>
        <w:spacing w:line="360" w:lineRule="auto"/>
        <w:rPr>
          <w:rFonts w:ascii="宋体" w:hAnsi="宋体" w:cs="宋体"/>
          <w:sz w:val="24"/>
          <w:szCs w:val="24"/>
        </w:rPr>
      </w:pPr>
      <w:r>
        <w:rPr>
          <w:rFonts w:hint="eastAsia" w:ascii="宋体" w:hAnsi="宋体" w:cs="宋体"/>
          <w:sz w:val="24"/>
          <w:szCs w:val="24"/>
        </w:rPr>
        <w:t>件实质性要求的供应商中，按照最后报价由低到高的顺序推荐成交候选供应商，经</w:t>
      </w:r>
    </w:p>
    <w:p w14:paraId="4AC5F6F8">
      <w:pPr>
        <w:spacing w:line="360" w:lineRule="auto"/>
        <w:rPr>
          <w:rFonts w:ascii="宋体" w:hAnsi="宋体" w:cs="宋体"/>
          <w:sz w:val="24"/>
          <w:szCs w:val="24"/>
        </w:rPr>
      </w:pPr>
      <w:r>
        <w:rPr>
          <w:rFonts w:hint="eastAsia" w:ascii="宋体" w:hAnsi="宋体" w:cs="宋体"/>
          <w:sz w:val="24"/>
          <w:szCs w:val="24"/>
        </w:rPr>
        <w:t>采购人确认，以供应商的最低报价作为成交价格。</w:t>
      </w:r>
    </w:p>
    <w:p w14:paraId="1A9A0C24">
      <w:pPr>
        <w:spacing w:line="360" w:lineRule="auto"/>
        <w:ind w:firstLine="480" w:firstLineChars="200"/>
        <w:rPr>
          <w:rFonts w:ascii="宋体" w:hAnsi="宋体" w:cs="宋体"/>
          <w:sz w:val="24"/>
          <w:szCs w:val="24"/>
        </w:rPr>
      </w:pPr>
      <w:r>
        <w:rPr>
          <w:rFonts w:hint="eastAsia" w:ascii="宋体" w:hAnsi="宋体" w:cs="宋体"/>
          <w:sz w:val="24"/>
          <w:szCs w:val="24"/>
        </w:rPr>
        <w:t>2、谈判程序：分步评审，每一步评审不符合者，不进入下一步评审。谈判开始</w:t>
      </w:r>
    </w:p>
    <w:p w14:paraId="2B6A6D40">
      <w:pPr>
        <w:spacing w:line="360" w:lineRule="auto"/>
        <w:rPr>
          <w:rFonts w:ascii="宋体" w:hAnsi="宋体" w:cs="宋体"/>
          <w:sz w:val="24"/>
          <w:szCs w:val="24"/>
        </w:rPr>
      </w:pPr>
      <w:r>
        <w:rPr>
          <w:rFonts w:hint="eastAsia" w:ascii="宋体" w:hAnsi="宋体" w:cs="宋体"/>
          <w:sz w:val="24"/>
          <w:szCs w:val="24"/>
        </w:rPr>
        <w:t>前将由监督人员当众检验谈判响应文件的密封情况，确认无误后方可进行拆封、谈判。由谈判小组成员集中与单一参加谈判的供应商分别进行谈判，可以进行多轮报价，直至采购方满意为止。</w:t>
      </w:r>
    </w:p>
    <w:p w14:paraId="00E67AC8">
      <w:pPr>
        <w:spacing w:line="360" w:lineRule="auto"/>
        <w:ind w:firstLine="480" w:firstLineChars="200"/>
        <w:rPr>
          <w:rFonts w:ascii="宋体" w:hAnsi="宋体" w:cs="宋体"/>
          <w:sz w:val="24"/>
          <w:szCs w:val="24"/>
        </w:rPr>
      </w:pPr>
      <w:r>
        <w:rPr>
          <w:rFonts w:hint="eastAsia" w:ascii="宋体" w:hAnsi="宋体" w:cs="宋体"/>
          <w:sz w:val="24"/>
          <w:szCs w:val="24"/>
        </w:rPr>
        <w:t>3、竞争性谈判确定的最终价格及服务等仍不能满足采购人的要求，采购人及谈判小组将保留最终放弃本次谈判的权利。</w:t>
      </w:r>
    </w:p>
    <w:p w14:paraId="573F47C6">
      <w:pPr>
        <w:spacing w:line="360" w:lineRule="auto"/>
        <w:rPr>
          <w:rFonts w:ascii="宋体" w:hAnsi="宋体" w:cs="宋体"/>
          <w:sz w:val="24"/>
          <w:szCs w:val="24"/>
        </w:rPr>
      </w:pPr>
      <w:r>
        <w:rPr>
          <w:rFonts w:hint="eastAsia" w:ascii="宋体" w:hAnsi="宋体" w:cs="宋体"/>
          <w:b/>
          <w:bCs/>
          <w:sz w:val="24"/>
          <w:szCs w:val="24"/>
        </w:rPr>
        <w:t>四、成交：</w:t>
      </w:r>
    </w:p>
    <w:p w14:paraId="1CB8F4CB">
      <w:pPr>
        <w:spacing w:line="360" w:lineRule="auto"/>
        <w:rPr>
          <w:rFonts w:ascii="宋体" w:hAnsi="宋体" w:cs="宋体"/>
          <w:sz w:val="24"/>
          <w:szCs w:val="24"/>
        </w:rPr>
      </w:pPr>
      <w:r>
        <w:rPr>
          <w:rFonts w:hint="eastAsia" w:ascii="宋体" w:hAnsi="宋体" w:cs="宋体"/>
          <w:sz w:val="24"/>
          <w:szCs w:val="24"/>
        </w:rPr>
        <w:t>1、评审结果报告由全体评委签字确认。</w:t>
      </w:r>
    </w:p>
    <w:p w14:paraId="600EF79B">
      <w:pPr>
        <w:spacing w:line="360" w:lineRule="auto"/>
        <w:rPr>
          <w:rFonts w:ascii="宋体" w:hAnsi="宋体" w:cs="宋体"/>
          <w:sz w:val="24"/>
          <w:szCs w:val="24"/>
        </w:rPr>
      </w:pPr>
      <w:r>
        <w:rPr>
          <w:rFonts w:hint="eastAsia" w:ascii="宋体" w:hAnsi="宋体" w:cs="宋体"/>
          <w:sz w:val="24"/>
          <w:szCs w:val="24"/>
        </w:rPr>
        <w:t>2、采购人根据谈判报告中推荐的成交候选人排列顺序确定成交人，以复函通知采购代理公司。</w:t>
      </w:r>
    </w:p>
    <w:p w14:paraId="4DBABC9D">
      <w:pPr>
        <w:pStyle w:val="2"/>
        <w:spacing w:line="360" w:lineRule="auto"/>
        <w:jc w:val="center"/>
        <w:rPr>
          <w:rFonts w:ascii="宋体" w:hAnsi="宋体" w:cs="宋体"/>
          <w:sz w:val="36"/>
          <w:szCs w:val="22"/>
        </w:rPr>
        <w:sectPr>
          <w:footnotePr>
            <w:pos w:val="beneathText"/>
          </w:footnotePr>
          <w:pgSz w:w="11906" w:h="16838"/>
          <w:pgMar w:top="1701" w:right="1418" w:bottom="1701" w:left="1418" w:header="1091" w:footer="992" w:gutter="0"/>
          <w:cols w:space="720" w:num="1"/>
          <w:titlePg/>
          <w:docGrid w:type="lines" w:linePitch="312" w:charSpace="0"/>
        </w:sectPr>
      </w:pPr>
    </w:p>
    <w:p w14:paraId="1A981AFE">
      <w:pPr>
        <w:pStyle w:val="2"/>
        <w:spacing w:line="360" w:lineRule="auto"/>
        <w:jc w:val="center"/>
        <w:rPr>
          <w:rFonts w:ascii="宋体" w:hAnsi="宋体" w:cs="宋体"/>
          <w:b w:val="0"/>
          <w:bCs/>
          <w:sz w:val="32"/>
          <w:szCs w:val="32"/>
        </w:rPr>
      </w:pPr>
      <w:bookmarkStart w:id="309" w:name="_Toc29159"/>
      <w:r>
        <w:rPr>
          <w:rFonts w:hint="eastAsia" w:ascii="宋体" w:hAnsi="宋体" w:cs="宋体"/>
          <w:sz w:val="36"/>
          <w:szCs w:val="22"/>
        </w:rPr>
        <w:t>第八部分  竞争性谈判响应文件格式</w:t>
      </w:r>
      <w:bookmarkEnd w:id="309"/>
    </w:p>
    <w:p w14:paraId="306571F6">
      <w:pPr>
        <w:spacing w:line="360" w:lineRule="auto"/>
        <w:rPr>
          <w:rFonts w:ascii="宋体" w:hAnsi="宋体" w:cs="宋体"/>
          <w:bCs/>
          <w:sz w:val="28"/>
          <w:szCs w:val="28"/>
        </w:rPr>
      </w:pPr>
      <w:r>
        <w:rPr>
          <w:rFonts w:hint="eastAsia" w:ascii="宋体" w:hAnsi="宋体" w:cs="宋体"/>
          <w:b/>
          <w:bCs/>
          <w:sz w:val="32"/>
          <w:szCs w:val="32"/>
        </w:rPr>
        <w:t>（封面）</w:t>
      </w:r>
      <w:r>
        <w:rPr>
          <w:rFonts w:hint="eastAsia" w:ascii="宋体" w:hAnsi="宋体" w:cs="宋体"/>
          <w:b/>
          <w:bCs/>
          <w:sz w:val="24"/>
          <w:szCs w:val="24"/>
        </w:rPr>
        <w:t xml:space="preserve">                                                  </w:t>
      </w:r>
      <w:r>
        <w:rPr>
          <w:rFonts w:hint="eastAsia" w:ascii="宋体" w:hAnsi="宋体" w:cs="宋体"/>
          <w:b/>
          <w:kern w:val="0"/>
          <w:sz w:val="36"/>
          <w:szCs w:val="36"/>
          <w:bdr w:val="single" w:color="auto" w:sz="4" w:space="0"/>
        </w:rPr>
        <w:t>正/副本</w:t>
      </w:r>
    </w:p>
    <w:p w14:paraId="2BE70EC5">
      <w:pPr>
        <w:spacing w:line="360" w:lineRule="auto"/>
        <w:jc w:val="left"/>
        <w:rPr>
          <w:rFonts w:ascii="宋体" w:hAnsi="宋体" w:cs="宋体"/>
          <w:b/>
          <w:sz w:val="28"/>
          <w:szCs w:val="28"/>
        </w:rPr>
      </w:pPr>
      <w:r>
        <w:rPr>
          <w:rFonts w:hint="eastAsia" w:ascii="宋体" w:hAnsi="宋体" w:cs="宋体"/>
          <w:b/>
          <w:sz w:val="28"/>
          <w:szCs w:val="28"/>
        </w:rPr>
        <w:t>采购项目编号：</w:t>
      </w:r>
      <w:bookmarkEnd w:id="297"/>
    </w:p>
    <w:p w14:paraId="3368B7FA">
      <w:pPr>
        <w:pStyle w:val="9"/>
      </w:pPr>
    </w:p>
    <w:p w14:paraId="3E4E6788"/>
    <w:p w14:paraId="61391B3A">
      <w:pPr>
        <w:pStyle w:val="9"/>
      </w:pPr>
    </w:p>
    <w:p w14:paraId="3F8FD0D0">
      <w:pPr>
        <w:pStyle w:val="20"/>
        <w:ind w:left="0" w:leftChars="0" w:firstLine="0" w:firstLineChars="0"/>
        <w:jc w:val="center"/>
      </w:pPr>
      <w:r>
        <w:rPr>
          <w:rFonts w:hint="eastAsia" w:cs="Times New Roman"/>
          <w:b/>
          <w:bCs/>
          <w:kern w:val="2"/>
          <w:sz w:val="60"/>
          <w:szCs w:val="56"/>
          <w:lang w:val="en-US" w:eastAsia="zh-CN" w:bidi="ar-SA"/>
        </w:rPr>
        <w:t>神木市人民法院庭审业务设备货物采购项目</w:t>
      </w:r>
    </w:p>
    <w:p w14:paraId="39DEEA02"/>
    <w:p w14:paraId="61BC09F7">
      <w:pPr>
        <w:pStyle w:val="37"/>
      </w:pPr>
    </w:p>
    <w:p w14:paraId="67CFCDAC">
      <w:pPr>
        <w:spacing w:line="360" w:lineRule="auto"/>
        <w:jc w:val="center"/>
        <w:rPr>
          <w:rFonts w:ascii="宋体" w:hAnsi="宋体" w:cs="宋体"/>
          <w:b/>
          <w:sz w:val="24"/>
          <w:szCs w:val="24"/>
        </w:rPr>
      </w:pPr>
      <w:r>
        <w:rPr>
          <w:rFonts w:hint="eastAsia" w:ascii="宋体" w:hAnsi="宋体" w:cs="宋体"/>
          <w:b/>
          <w:sz w:val="72"/>
          <w:szCs w:val="72"/>
        </w:rPr>
        <w:t>竞争性谈判响应文件</w:t>
      </w:r>
      <w:r>
        <w:rPr>
          <w:rFonts w:hint="eastAsia" w:ascii="宋体" w:hAnsi="宋体" w:cs="宋体"/>
          <w:b/>
          <w:sz w:val="24"/>
          <w:szCs w:val="24"/>
        </w:rPr>
        <w:t xml:space="preserve"> </w:t>
      </w:r>
    </w:p>
    <w:p w14:paraId="35715147"/>
    <w:p w14:paraId="1BA8349E">
      <w:pPr>
        <w:pStyle w:val="7"/>
      </w:pPr>
    </w:p>
    <w:p w14:paraId="4C2A5475">
      <w:pPr>
        <w:pStyle w:val="7"/>
      </w:pPr>
    </w:p>
    <w:p w14:paraId="17EFA3DD"/>
    <w:p w14:paraId="56C6B87C"/>
    <w:p w14:paraId="18FBC795"/>
    <w:p w14:paraId="0BF2563E">
      <w:pPr>
        <w:pStyle w:val="9"/>
      </w:pPr>
    </w:p>
    <w:p w14:paraId="3CF6BC23"/>
    <w:p w14:paraId="7F9111A3">
      <w:pPr>
        <w:pStyle w:val="9"/>
      </w:pPr>
    </w:p>
    <w:p w14:paraId="6F1D60D6">
      <w:pPr>
        <w:spacing w:line="360" w:lineRule="auto"/>
        <w:jc w:val="center"/>
        <w:rPr>
          <w:rFonts w:ascii="宋体" w:hAnsi="宋体" w:cs="宋体"/>
          <w:b/>
          <w:sz w:val="28"/>
          <w:szCs w:val="22"/>
        </w:rPr>
      </w:pPr>
      <w:r>
        <w:rPr>
          <w:rFonts w:hint="eastAsia" w:ascii="宋体" w:hAnsi="宋体" w:cs="宋体"/>
          <w:b/>
          <w:sz w:val="28"/>
          <w:szCs w:val="22"/>
          <w:lang w:eastAsia="zh-CN"/>
        </w:rPr>
        <w:t>谈判供应商</w:t>
      </w:r>
      <w:r>
        <w:rPr>
          <w:rFonts w:hint="eastAsia" w:ascii="宋体" w:hAnsi="宋体" w:cs="宋体"/>
          <w:b/>
          <w:sz w:val="28"/>
          <w:szCs w:val="22"/>
        </w:rPr>
        <w:t>：</w:t>
      </w:r>
      <w:r>
        <w:rPr>
          <w:rFonts w:hint="eastAsia" w:ascii="宋体" w:hAnsi="宋体" w:cs="宋体"/>
          <w:b/>
          <w:sz w:val="28"/>
          <w:u w:val="single"/>
        </w:rPr>
        <w:t xml:space="preserve">                     </w:t>
      </w:r>
      <w:r>
        <w:rPr>
          <w:rFonts w:hint="eastAsia" w:ascii="宋体" w:hAnsi="宋体" w:cs="宋体"/>
          <w:b/>
          <w:sz w:val="28"/>
          <w:szCs w:val="22"/>
        </w:rPr>
        <w:t>（盖章）</w:t>
      </w:r>
    </w:p>
    <w:p w14:paraId="77834806">
      <w:pPr>
        <w:spacing w:line="360" w:lineRule="auto"/>
        <w:ind w:firstLine="1687" w:firstLineChars="600"/>
        <w:rPr>
          <w:rFonts w:hint="eastAsia" w:ascii="宋体" w:hAnsi="宋体" w:cs="宋体"/>
          <w:b/>
          <w:sz w:val="28"/>
          <w:szCs w:val="22"/>
        </w:rPr>
      </w:pPr>
      <w:r>
        <w:rPr>
          <w:rFonts w:hint="eastAsia" w:ascii="宋体" w:hAnsi="宋体" w:cs="宋体"/>
          <w:b/>
          <w:sz w:val="28"/>
          <w:szCs w:val="22"/>
        </w:rPr>
        <w:t>法定代表人或被授权人（签字或盖章）：</w:t>
      </w:r>
    </w:p>
    <w:p w14:paraId="4D593D7E">
      <w:pPr>
        <w:spacing w:line="360" w:lineRule="auto"/>
        <w:jc w:val="center"/>
        <w:rPr>
          <w:rFonts w:ascii="宋体" w:hAnsi="宋体" w:cs="宋体"/>
          <w:b/>
          <w:sz w:val="28"/>
          <w:szCs w:val="22"/>
        </w:rPr>
      </w:pPr>
      <w:r>
        <w:rPr>
          <w:rFonts w:hint="eastAsia" w:ascii="宋体" w:hAnsi="宋体" w:cs="宋体"/>
          <w:b/>
          <w:sz w:val="28"/>
          <w:szCs w:val="22"/>
        </w:rPr>
        <w:t>二零二</w:t>
      </w:r>
      <w:r>
        <w:rPr>
          <w:rFonts w:hint="eastAsia" w:ascii="宋体" w:hAnsi="宋体" w:cs="宋体"/>
          <w:b/>
          <w:sz w:val="28"/>
          <w:szCs w:val="22"/>
          <w:lang w:val="en-US" w:eastAsia="zh-CN"/>
        </w:rPr>
        <w:t>五</w:t>
      </w:r>
      <w:r>
        <w:rPr>
          <w:rFonts w:hint="eastAsia" w:ascii="宋体" w:hAnsi="宋体" w:cs="宋体"/>
          <w:b/>
          <w:sz w:val="28"/>
          <w:szCs w:val="22"/>
        </w:rPr>
        <w:t>年   月</w:t>
      </w:r>
    </w:p>
    <w:p w14:paraId="1FA8A790">
      <w:pPr>
        <w:rPr>
          <w:sz w:val="24"/>
          <w:szCs w:val="24"/>
        </w:rPr>
        <w:sectPr>
          <w:footnotePr>
            <w:pos w:val="beneathText"/>
          </w:footnotePr>
          <w:pgSz w:w="11906" w:h="16838"/>
          <w:pgMar w:top="1701" w:right="1418" w:bottom="1701" w:left="1418" w:header="1091" w:footer="992" w:gutter="0"/>
          <w:cols w:space="720" w:num="1"/>
          <w:titlePg/>
          <w:docGrid w:type="lines" w:linePitch="312" w:charSpace="0"/>
        </w:sectPr>
      </w:pPr>
      <w:bookmarkStart w:id="310" w:name="_Toc21305"/>
      <w:bookmarkStart w:id="311" w:name="_Toc357087380"/>
    </w:p>
    <w:p w14:paraId="7504E62E">
      <w:pPr>
        <w:tabs>
          <w:tab w:val="left" w:pos="3329"/>
        </w:tabs>
        <w:jc w:val="center"/>
        <w:rPr>
          <w:rFonts w:hint="eastAsia"/>
          <w:b/>
          <w:sz w:val="44"/>
        </w:rPr>
      </w:pPr>
      <w:bookmarkStart w:id="312" w:name="_Toc24244"/>
      <w:bookmarkStart w:id="313" w:name="_Toc15746"/>
      <w:bookmarkStart w:id="314" w:name="_Toc30709"/>
      <w:bookmarkStart w:id="315" w:name="_Toc22764"/>
      <w:bookmarkStart w:id="316" w:name="_Toc6250"/>
      <w:bookmarkStart w:id="317" w:name="_Toc465958130"/>
    </w:p>
    <w:p w14:paraId="11196B27">
      <w:pPr>
        <w:tabs>
          <w:tab w:val="left" w:pos="3329"/>
        </w:tabs>
        <w:jc w:val="center"/>
        <w:rPr>
          <w:rFonts w:hint="eastAsia"/>
          <w:b/>
          <w:sz w:val="44"/>
        </w:rPr>
      </w:pPr>
    </w:p>
    <w:p w14:paraId="68128E25">
      <w:pPr>
        <w:tabs>
          <w:tab w:val="left" w:pos="3329"/>
        </w:tabs>
        <w:jc w:val="center"/>
        <w:rPr>
          <w:b/>
          <w:sz w:val="44"/>
        </w:rPr>
      </w:pPr>
      <w:r>
        <w:rPr>
          <w:rFonts w:hint="eastAsia"/>
          <w:b/>
          <w:sz w:val="44"/>
        </w:rPr>
        <w:t>目  录</w:t>
      </w:r>
    </w:p>
    <w:p w14:paraId="7B8C2839">
      <w:pPr>
        <w:jc w:val="center"/>
        <w:rPr>
          <w:rFonts w:hAnsi="宋体"/>
          <w:b/>
          <w:bCs/>
          <w:szCs w:val="24"/>
        </w:rPr>
      </w:pPr>
      <w:r>
        <w:rPr>
          <w:rFonts w:hint="eastAsia" w:ascii="宋体" w:hAnsi="宋体" w:cs="宋体"/>
          <w:b/>
          <w:bCs/>
          <w:kern w:val="0"/>
          <w:sz w:val="24"/>
          <w:szCs w:val="24"/>
        </w:rPr>
        <w:t>(引用三级目录）</w:t>
      </w:r>
    </w:p>
    <w:p w14:paraId="3C2D2B13">
      <w:pPr>
        <w:jc w:val="center"/>
        <w:rPr>
          <w:rFonts w:hAnsi="宋体"/>
          <w:b/>
          <w:bCs/>
          <w:sz w:val="44"/>
        </w:rPr>
      </w:pPr>
    </w:p>
    <w:p w14:paraId="2CF1B90E">
      <w:pPr>
        <w:pStyle w:val="3"/>
        <w:rPr>
          <w:rFonts w:ascii="宋体" w:hAnsi="宋体" w:eastAsia="宋体" w:cs="宋体"/>
          <w:szCs w:val="22"/>
        </w:rPr>
      </w:pPr>
    </w:p>
    <w:p w14:paraId="01471A35">
      <w:pPr>
        <w:pStyle w:val="3"/>
        <w:rPr>
          <w:rFonts w:ascii="宋体" w:hAnsi="宋体" w:eastAsia="宋体" w:cs="宋体"/>
          <w:szCs w:val="22"/>
        </w:rPr>
      </w:pPr>
    </w:p>
    <w:p w14:paraId="5AF614E6">
      <w:pPr>
        <w:pStyle w:val="3"/>
        <w:rPr>
          <w:rFonts w:ascii="宋体" w:hAnsi="宋体" w:eastAsia="宋体" w:cs="宋体"/>
          <w:szCs w:val="22"/>
        </w:rPr>
      </w:pPr>
    </w:p>
    <w:p w14:paraId="3665FA14">
      <w:pPr>
        <w:pStyle w:val="3"/>
        <w:rPr>
          <w:rFonts w:ascii="宋体" w:hAnsi="宋体" w:eastAsia="宋体" w:cs="宋体"/>
          <w:szCs w:val="22"/>
        </w:rPr>
      </w:pPr>
    </w:p>
    <w:p w14:paraId="48E98E70">
      <w:pPr>
        <w:pStyle w:val="3"/>
        <w:rPr>
          <w:rFonts w:ascii="宋体" w:hAnsi="宋体" w:eastAsia="宋体" w:cs="宋体"/>
          <w:szCs w:val="22"/>
        </w:rPr>
      </w:pPr>
    </w:p>
    <w:p w14:paraId="204DEC5F">
      <w:pPr>
        <w:pStyle w:val="3"/>
        <w:rPr>
          <w:rFonts w:ascii="宋体" w:hAnsi="宋体" w:eastAsia="宋体" w:cs="宋体"/>
          <w:szCs w:val="22"/>
        </w:rPr>
      </w:pPr>
    </w:p>
    <w:p w14:paraId="18736C32">
      <w:pPr>
        <w:pStyle w:val="3"/>
        <w:rPr>
          <w:rFonts w:ascii="宋体" w:hAnsi="宋体" w:eastAsia="宋体" w:cs="宋体"/>
          <w:szCs w:val="22"/>
        </w:rPr>
      </w:pPr>
    </w:p>
    <w:p w14:paraId="78A3563A">
      <w:pPr>
        <w:pStyle w:val="3"/>
        <w:rPr>
          <w:rFonts w:ascii="宋体" w:hAnsi="宋体" w:eastAsia="宋体" w:cs="宋体"/>
          <w:szCs w:val="22"/>
        </w:rPr>
      </w:pPr>
    </w:p>
    <w:p w14:paraId="6EE32306">
      <w:pPr>
        <w:pStyle w:val="3"/>
        <w:rPr>
          <w:rFonts w:ascii="宋体" w:hAnsi="宋体" w:eastAsia="宋体" w:cs="宋体"/>
          <w:szCs w:val="22"/>
        </w:rPr>
      </w:pPr>
    </w:p>
    <w:bookmarkEnd w:id="298"/>
    <w:bookmarkEnd w:id="310"/>
    <w:bookmarkEnd w:id="311"/>
    <w:bookmarkEnd w:id="312"/>
    <w:bookmarkEnd w:id="313"/>
    <w:bookmarkEnd w:id="314"/>
    <w:bookmarkEnd w:id="315"/>
    <w:bookmarkEnd w:id="316"/>
    <w:bookmarkEnd w:id="317"/>
    <w:p w14:paraId="3D0709D9">
      <w:pPr>
        <w:spacing w:line="400" w:lineRule="atLeast"/>
        <w:ind w:firstLine="540" w:firstLineChars="225"/>
        <w:rPr>
          <w:rFonts w:ascii="宋体" w:hAnsi="宋体" w:cs="宋体"/>
          <w:sz w:val="24"/>
          <w:szCs w:val="24"/>
        </w:rPr>
      </w:pPr>
    </w:p>
    <w:p w14:paraId="6529445D">
      <w:pPr>
        <w:spacing w:line="400" w:lineRule="atLeast"/>
        <w:ind w:firstLine="540" w:firstLineChars="225"/>
        <w:rPr>
          <w:rFonts w:ascii="宋体" w:hAnsi="宋体" w:cs="宋体"/>
          <w:sz w:val="24"/>
          <w:szCs w:val="24"/>
        </w:rPr>
      </w:pPr>
    </w:p>
    <w:p w14:paraId="2E0A7B7C">
      <w:pPr>
        <w:spacing w:line="360" w:lineRule="auto"/>
        <w:rPr>
          <w:rFonts w:ascii="宋体" w:hAnsi="宋体" w:cs="宋体"/>
          <w:sz w:val="24"/>
          <w:szCs w:val="24"/>
        </w:rPr>
      </w:pPr>
    </w:p>
    <w:p w14:paraId="3A1531C0">
      <w:pPr>
        <w:spacing w:line="360" w:lineRule="auto"/>
        <w:rPr>
          <w:rFonts w:ascii="宋体" w:hAnsi="宋体" w:cs="宋体"/>
          <w:sz w:val="24"/>
          <w:szCs w:val="24"/>
        </w:rPr>
      </w:pPr>
    </w:p>
    <w:p w14:paraId="7338957F">
      <w:pPr>
        <w:spacing w:line="360" w:lineRule="auto"/>
        <w:rPr>
          <w:rFonts w:ascii="宋体" w:hAnsi="宋体" w:cs="宋体"/>
          <w:sz w:val="24"/>
          <w:szCs w:val="24"/>
        </w:rPr>
      </w:pPr>
    </w:p>
    <w:p w14:paraId="354477CF">
      <w:pPr>
        <w:spacing w:line="360" w:lineRule="auto"/>
        <w:rPr>
          <w:rFonts w:ascii="宋体" w:hAnsi="宋体" w:cs="宋体"/>
          <w:sz w:val="24"/>
          <w:szCs w:val="24"/>
        </w:rPr>
      </w:pPr>
    </w:p>
    <w:p w14:paraId="11951B52">
      <w:pPr>
        <w:spacing w:line="360" w:lineRule="auto"/>
        <w:rPr>
          <w:rFonts w:ascii="宋体" w:hAnsi="宋体" w:cs="宋体"/>
          <w:sz w:val="24"/>
          <w:szCs w:val="24"/>
        </w:rPr>
      </w:pPr>
    </w:p>
    <w:p w14:paraId="07B98316">
      <w:pPr>
        <w:pStyle w:val="11"/>
        <w:rPr>
          <w:rFonts w:ascii="宋体" w:hAnsi="宋体" w:cs="宋体"/>
          <w:sz w:val="24"/>
          <w:szCs w:val="24"/>
        </w:rPr>
      </w:pPr>
    </w:p>
    <w:p w14:paraId="2706D4E9">
      <w:pPr>
        <w:pStyle w:val="11"/>
        <w:rPr>
          <w:rFonts w:ascii="宋体" w:hAnsi="宋体" w:cs="宋体"/>
          <w:sz w:val="24"/>
          <w:szCs w:val="24"/>
        </w:rPr>
      </w:pPr>
    </w:p>
    <w:p w14:paraId="07B36861">
      <w:pPr>
        <w:pStyle w:val="11"/>
        <w:rPr>
          <w:rFonts w:ascii="宋体" w:hAnsi="宋体" w:cs="宋体"/>
          <w:sz w:val="24"/>
          <w:szCs w:val="24"/>
        </w:rPr>
      </w:pPr>
    </w:p>
    <w:p w14:paraId="15510092">
      <w:pPr>
        <w:pStyle w:val="11"/>
        <w:rPr>
          <w:rFonts w:ascii="宋体" w:hAnsi="宋体" w:cs="宋体"/>
          <w:sz w:val="24"/>
          <w:szCs w:val="24"/>
        </w:rPr>
      </w:pPr>
    </w:p>
    <w:p w14:paraId="39D78469">
      <w:pPr>
        <w:pStyle w:val="11"/>
        <w:rPr>
          <w:rFonts w:ascii="宋体" w:hAnsi="宋体" w:cs="宋体"/>
          <w:sz w:val="24"/>
          <w:szCs w:val="24"/>
        </w:rPr>
      </w:pPr>
    </w:p>
    <w:p w14:paraId="71CD180A">
      <w:pPr>
        <w:pStyle w:val="11"/>
        <w:rPr>
          <w:rFonts w:ascii="宋体" w:hAnsi="宋体" w:cs="宋体"/>
          <w:sz w:val="24"/>
          <w:szCs w:val="24"/>
        </w:rPr>
      </w:pPr>
    </w:p>
    <w:bookmarkEnd w:id="299"/>
    <w:bookmarkEnd w:id="300"/>
    <w:bookmarkEnd w:id="301"/>
    <w:bookmarkEnd w:id="302"/>
    <w:bookmarkEnd w:id="303"/>
    <w:bookmarkEnd w:id="304"/>
    <w:bookmarkEnd w:id="305"/>
    <w:bookmarkEnd w:id="306"/>
    <w:bookmarkEnd w:id="307"/>
    <w:p w14:paraId="3B3453AF">
      <w:pPr>
        <w:pStyle w:val="3"/>
        <w:rPr>
          <w:rFonts w:ascii="宋体" w:hAnsi="宋体" w:cs="宋体"/>
          <w:sz w:val="24"/>
          <w:szCs w:val="24"/>
        </w:rPr>
      </w:pPr>
      <w:r>
        <w:rPr>
          <w:rFonts w:hint="eastAsia" w:ascii="宋体" w:hAnsi="宋体" w:eastAsia="宋体" w:cs="宋体"/>
          <w:szCs w:val="22"/>
        </w:rPr>
        <w:t>一、响应函</w:t>
      </w:r>
    </w:p>
    <w:p w14:paraId="74025FFA">
      <w:pPr>
        <w:spacing w:line="360" w:lineRule="auto"/>
        <w:rPr>
          <w:rFonts w:hint="eastAsia" w:ascii="宋体" w:hAnsi="宋体" w:eastAsia="宋体" w:cs="宋体"/>
          <w:sz w:val="24"/>
          <w:lang w:eastAsia="zh-CN"/>
        </w:rPr>
      </w:pPr>
      <w:bookmarkStart w:id="318" w:name="_Toc190"/>
      <w:bookmarkStart w:id="319" w:name="_Toc465958131"/>
      <w:bookmarkStart w:id="320" w:name="_Toc21360"/>
      <w:bookmarkStart w:id="321" w:name="_Toc25167"/>
      <w:bookmarkStart w:id="322" w:name="_Toc698"/>
      <w:r>
        <w:rPr>
          <w:rFonts w:hint="eastAsia" w:ascii="宋体" w:hAnsi="宋体" w:cs="宋体"/>
          <w:sz w:val="24"/>
        </w:rPr>
        <w:t>致：</w:t>
      </w:r>
      <w:r>
        <w:rPr>
          <w:rFonts w:hint="eastAsia" w:ascii="宋体" w:hAnsi="宋体" w:cs="宋体"/>
          <w:sz w:val="24"/>
          <w:lang w:val="en-US" w:eastAsia="zh-CN"/>
        </w:rPr>
        <w:t>神木市人民法院</w:t>
      </w:r>
    </w:p>
    <w:p w14:paraId="26EB3111">
      <w:pPr>
        <w:spacing w:line="400" w:lineRule="atLeast"/>
        <w:ind w:firstLine="540" w:firstLineChars="225"/>
        <w:rPr>
          <w:rFonts w:ascii="宋体" w:hAnsi="宋体" w:cs="宋体"/>
          <w:sz w:val="24"/>
        </w:rPr>
      </w:pPr>
      <w:r>
        <w:rPr>
          <w:rFonts w:hint="eastAsia" w:ascii="宋体" w:hAnsi="宋体" w:cs="宋体"/>
          <w:sz w:val="24"/>
        </w:rPr>
        <w:t>根据已收到贵方的采购项目编号为（采购项目编号）的（采购项目名称）的竞争性谈判文件，签字代表</w:t>
      </w:r>
      <w:r>
        <w:rPr>
          <w:rFonts w:hint="eastAsia" w:ascii="宋体" w:hAnsi="宋体" w:cs="宋体"/>
          <w:sz w:val="24"/>
          <w:u w:val="single"/>
        </w:rPr>
        <w:t xml:space="preserve">              </w:t>
      </w:r>
      <w:r>
        <w:rPr>
          <w:rFonts w:hint="eastAsia" w:ascii="宋体" w:hAnsi="宋体" w:cs="宋体"/>
          <w:sz w:val="24"/>
        </w:rPr>
        <w:t>(全名、职务)经正式授权并代表 (供应商名称、地址、统一社会信用代码）提交</w:t>
      </w:r>
      <w:r>
        <w:rPr>
          <w:rFonts w:hint="eastAsia" w:ascii="宋体" w:hAnsi="宋体" w:cs="宋体"/>
          <w:sz w:val="24"/>
          <w:lang w:val="en-US" w:eastAsia="zh-CN"/>
        </w:rPr>
        <w:t>电子</w:t>
      </w:r>
      <w:r>
        <w:rPr>
          <w:rFonts w:hint="eastAsia" w:ascii="宋体" w:hAnsi="宋体" w:cs="宋体"/>
          <w:sz w:val="24"/>
        </w:rPr>
        <w:t>谈判响应文件一份。</w:t>
      </w:r>
    </w:p>
    <w:p w14:paraId="5C346980">
      <w:pPr>
        <w:spacing w:line="360" w:lineRule="auto"/>
        <w:rPr>
          <w:rFonts w:ascii="宋体" w:hAnsi="宋体" w:cs="宋体"/>
          <w:sz w:val="24"/>
        </w:rPr>
      </w:pPr>
      <w:r>
        <w:rPr>
          <w:rFonts w:hint="eastAsia" w:ascii="宋体" w:hAnsi="宋体" w:cs="宋体"/>
          <w:sz w:val="24"/>
        </w:rPr>
        <w:t xml:space="preserve">    (1) </w:t>
      </w:r>
      <w:r>
        <w:rPr>
          <w:rFonts w:hint="eastAsia" w:ascii="宋体" w:hAnsi="宋体" w:cs="宋体"/>
          <w:sz w:val="24"/>
          <w:szCs w:val="24"/>
        </w:rPr>
        <w:t>谈判函</w:t>
      </w:r>
    </w:p>
    <w:p w14:paraId="268D8FE9">
      <w:pPr>
        <w:spacing w:line="360" w:lineRule="auto"/>
        <w:rPr>
          <w:rFonts w:ascii="宋体" w:hAnsi="宋体" w:cs="宋体"/>
          <w:sz w:val="24"/>
        </w:rPr>
      </w:pPr>
      <w:r>
        <w:rPr>
          <w:rFonts w:hint="eastAsia" w:ascii="宋体" w:hAnsi="宋体" w:cs="宋体"/>
          <w:sz w:val="24"/>
        </w:rPr>
        <w:t xml:space="preserve">    (2) 报价一览表</w:t>
      </w:r>
    </w:p>
    <w:p w14:paraId="156286A7">
      <w:pPr>
        <w:spacing w:line="360" w:lineRule="auto"/>
        <w:rPr>
          <w:rFonts w:ascii="宋体" w:hAnsi="宋体" w:cs="宋体"/>
          <w:sz w:val="24"/>
        </w:rPr>
      </w:pPr>
      <w:r>
        <w:rPr>
          <w:rFonts w:hint="eastAsia" w:ascii="宋体" w:hAnsi="宋体" w:cs="宋体"/>
          <w:sz w:val="24"/>
        </w:rPr>
        <w:t xml:space="preserve">    (3) 按供应商须知要求提供的全部文件和竞争性谈判文件要求的响应文件。</w:t>
      </w:r>
    </w:p>
    <w:p w14:paraId="023F0A2D">
      <w:pPr>
        <w:spacing w:line="360" w:lineRule="auto"/>
        <w:rPr>
          <w:rFonts w:ascii="宋体" w:hAnsi="宋体" w:cs="宋体"/>
          <w:sz w:val="24"/>
        </w:rPr>
      </w:pPr>
      <w:r>
        <w:rPr>
          <w:rFonts w:hint="eastAsia" w:ascii="宋体" w:hAnsi="宋体" w:cs="宋体"/>
          <w:sz w:val="24"/>
        </w:rPr>
        <w:t xml:space="preserve">    (4) 供应商资格证明文件。</w:t>
      </w:r>
    </w:p>
    <w:p w14:paraId="3EA10BEC">
      <w:pPr>
        <w:spacing w:line="360" w:lineRule="auto"/>
        <w:ind w:firstLine="480"/>
        <w:rPr>
          <w:rFonts w:ascii="宋体" w:hAnsi="宋体" w:cs="宋体"/>
          <w:sz w:val="24"/>
        </w:rPr>
      </w:pPr>
      <w:r>
        <w:rPr>
          <w:rFonts w:hint="eastAsia" w:ascii="宋体" w:hAnsi="宋体" w:cs="宋体"/>
          <w:sz w:val="24"/>
        </w:rPr>
        <w:t>(5) 已</w:t>
      </w:r>
      <w:r>
        <w:rPr>
          <w:rFonts w:hint="eastAsia" w:ascii="宋体" w:hAnsi="宋体" w:cs="宋体"/>
          <w:sz w:val="24"/>
          <w:lang w:eastAsia="zh-CN"/>
        </w:rPr>
        <w:t>提交投标信用承诺书（保证金）</w:t>
      </w:r>
      <w:r>
        <w:rPr>
          <w:rFonts w:hint="eastAsia" w:ascii="宋体" w:hAnsi="宋体" w:cs="宋体"/>
          <w:sz w:val="24"/>
        </w:rPr>
        <w:t>。</w:t>
      </w:r>
    </w:p>
    <w:p w14:paraId="7D523BD3">
      <w:pPr>
        <w:spacing w:line="360" w:lineRule="auto"/>
        <w:rPr>
          <w:rFonts w:ascii="宋体" w:hAnsi="宋体" w:cs="宋体"/>
          <w:sz w:val="24"/>
        </w:rPr>
      </w:pPr>
      <w:r>
        <w:rPr>
          <w:rFonts w:hint="eastAsia" w:ascii="宋体" w:hAnsi="宋体" w:cs="宋体"/>
          <w:sz w:val="24"/>
        </w:rPr>
        <w:tab/>
      </w:r>
      <w:r>
        <w:rPr>
          <w:rFonts w:hint="eastAsia" w:ascii="宋体" w:hAnsi="宋体" w:cs="宋体"/>
          <w:sz w:val="24"/>
        </w:rPr>
        <w:t>据此函，签字代表宣布同意如下：</w:t>
      </w:r>
    </w:p>
    <w:p w14:paraId="4892F290">
      <w:pPr>
        <w:spacing w:line="360" w:lineRule="auto"/>
        <w:rPr>
          <w:rFonts w:ascii="宋体" w:hAnsi="宋体" w:cs="宋体"/>
          <w:sz w:val="24"/>
          <w:u w:val="single"/>
        </w:rPr>
      </w:pPr>
      <w:r>
        <w:rPr>
          <w:rFonts w:hint="eastAsia" w:ascii="宋体" w:hAnsi="宋体" w:cs="宋体"/>
          <w:sz w:val="24"/>
        </w:rPr>
        <w:t xml:space="preserve">  </w:t>
      </w:r>
      <w:r>
        <w:rPr>
          <w:rFonts w:hint="eastAsia" w:ascii="宋体" w:hAnsi="宋体" w:cs="宋体"/>
          <w:sz w:val="24"/>
        </w:rPr>
        <w:tab/>
      </w:r>
      <w:r>
        <w:rPr>
          <w:rFonts w:hint="eastAsia" w:ascii="宋体" w:hAnsi="宋体" w:cs="宋体"/>
          <w:sz w:val="24"/>
        </w:rPr>
        <w:t>1. 所附报价一览表中规定的谈判报价为：</w:t>
      </w:r>
      <w:r>
        <w:rPr>
          <w:rFonts w:hint="eastAsia" w:ascii="宋体" w:hAnsi="宋体" w:cs="宋体"/>
          <w:sz w:val="24"/>
          <w:u w:val="single"/>
        </w:rPr>
        <w:t xml:space="preserve">        </w:t>
      </w:r>
      <w:r>
        <w:rPr>
          <w:rFonts w:hint="eastAsia" w:ascii="宋体" w:hAnsi="宋体" w:cs="宋体"/>
          <w:sz w:val="24"/>
        </w:rPr>
        <w:t>元（即：</w:t>
      </w:r>
      <w:r>
        <w:rPr>
          <w:rFonts w:hint="eastAsia" w:ascii="宋体" w:hAnsi="宋体" w:cs="宋体"/>
          <w:sz w:val="24"/>
          <w:u w:val="single"/>
        </w:rPr>
        <w:t xml:space="preserve">         大写金额</w:t>
      </w:r>
      <w:r>
        <w:rPr>
          <w:rFonts w:hint="eastAsia" w:ascii="宋体" w:hAnsi="宋体" w:cs="宋体"/>
          <w:sz w:val="24"/>
        </w:rPr>
        <w:t>），</w:t>
      </w:r>
      <w:r>
        <w:rPr>
          <w:rFonts w:hint="eastAsia" w:ascii="宋体" w:hAnsi="宋体" w:cs="宋体"/>
          <w:sz w:val="24"/>
          <w:lang w:val="en-US" w:eastAsia="zh-CN"/>
        </w:rPr>
        <w:t>交货期</w:t>
      </w:r>
      <w:r>
        <w:rPr>
          <w:rFonts w:hint="eastAsia" w:ascii="宋体" w:hAnsi="宋体" w:cs="宋体"/>
          <w:sz w:val="24"/>
          <w:u w:val="single"/>
        </w:rPr>
        <w:t xml:space="preserve">         </w:t>
      </w:r>
      <w:r>
        <w:rPr>
          <w:rFonts w:hint="eastAsia" w:ascii="宋体" w:hAnsi="宋体" w:cs="宋体"/>
          <w:sz w:val="24"/>
        </w:rPr>
        <w:t>；</w:t>
      </w:r>
    </w:p>
    <w:p w14:paraId="3C86159D">
      <w:pPr>
        <w:spacing w:line="360" w:lineRule="auto"/>
        <w:ind w:firstLine="420"/>
        <w:rPr>
          <w:rFonts w:ascii="宋体" w:hAnsi="宋体" w:cs="宋体"/>
          <w:sz w:val="24"/>
        </w:rPr>
      </w:pPr>
      <w:r>
        <w:rPr>
          <w:rFonts w:hint="eastAsia" w:ascii="宋体" w:hAnsi="宋体" w:cs="宋体"/>
          <w:sz w:val="24"/>
        </w:rPr>
        <w:t>2. 供应商将按竞争性谈判文件的规定履行合同责任和义务；</w:t>
      </w:r>
    </w:p>
    <w:p w14:paraId="1CD6C655">
      <w:pPr>
        <w:spacing w:line="360" w:lineRule="auto"/>
        <w:ind w:firstLine="420"/>
        <w:rPr>
          <w:rFonts w:ascii="宋体" w:hAnsi="宋体" w:cs="宋体"/>
          <w:sz w:val="24"/>
        </w:rPr>
      </w:pPr>
      <w:r>
        <w:rPr>
          <w:rFonts w:hint="eastAsia" w:ascii="宋体" w:hAnsi="宋体" w:cs="宋体"/>
          <w:sz w:val="24"/>
        </w:rPr>
        <w:t>3. 供应商已详细审查全部竞争性谈判文件，包括修改文件（如有的话）以及全部参考资料和有关附件。我们完全理解并同意放弃对这方面有不明及误解的权利；</w:t>
      </w:r>
    </w:p>
    <w:p w14:paraId="54517DE8">
      <w:pPr>
        <w:spacing w:line="360" w:lineRule="auto"/>
        <w:ind w:firstLine="420"/>
        <w:rPr>
          <w:rFonts w:ascii="宋体" w:hAnsi="宋体" w:cs="宋体"/>
          <w:sz w:val="24"/>
        </w:rPr>
      </w:pPr>
      <w:r>
        <w:rPr>
          <w:rFonts w:hint="eastAsia" w:ascii="宋体" w:hAnsi="宋体" w:cs="宋体"/>
          <w:sz w:val="24"/>
        </w:rPr>
        <w:t>4. 谈判报价自谈判截止之日起有效期为</w:t>
      </w:r>
      <w:r>
        <w:rPr>
          <w:rFonts w:hint="eastAsia" w:ascii="宋体" w:hAnsi="宋体" w:cs="宋体"/>
          <w:sz w:val="24"/>
          <w:u w:val="single"/>
        </w:rPr>
        <w:t xml:space="preserve">      </w:t>
      </w:r>
      <w:r>
        <w:rPr>
          <w:rFonts w:hint="eastAsia" w:ascii="宋体" w:hAnsi="宋体" w:cs="宋体"/>
          <w:sz w:val="24"/>
        </w:rPr>
        <w:t>个日历天；</w:t>
      </w:r>
    </w:p>
    <w:p w14:paraId="1C431140">
      <w:pPr>
        <w:spacing w:line="360" w:lineRule="auto"/>
        <w:ind w:firstLine="420"/>
        <w:rPr>
          <w:rFonts w:ascii="宋体" w:hAnsi="宋体" w:cs="宋体"/>
          <w:sz w:val="24"/>
        </w:rPr>
      </w:pPr>
      <w:r>
        <w:rPr>
          <w:rFonts w:hint="eastAsia" w:ascii="宋体" w:hAnsi="宋体" w:cs="宋体"/>
          <w:sz w:val="24"/>
          <w:lang w:val="en-US" w:eastAsia="zh-CN"/>
        </w:rPr>
        <w:t>5</w:t>
      </w:r>
      <w:r>
        <w:rPr>
          <w:rFonts w:hint="eastAsia" w:ascii="宋体" w:hAnsi="宋体" w:cs="宋体"/>
          <w:sz w:val="24"/>
        </w:rPr>
        <w:t>. 供应商同意提供按照贵方可能要求的与其报价有关的一切数据或资料。</w:t>
      </w:r>
    </w:p>
    <w:p w14:paraId="66020119">
      <w:pPr>
        <w:spacing w:line="360" w:lineRule="auto"/>
        <w:ind w:firstLine="420"/>
        <w:rPr>
          <w:rFonts w:ascii="宋体" w:hAnsi="宋体" w:cs="宋体"/>
          <w:sz w:val="24"/>
        </w:rPr>
      </w:pPr>
      <w:r>
        <w:rPr>
          <w:rFonts w:hint="eastAsia" w:ascii="宋体" w:hAnsi="宋体" w:cs="宋体"/>
          <w:sz w:val="24"/>
          <w:lang w:val="en-US" w:eastAsia="zh-CN"/>
        </w:rPr>
        <w:t>6</w:t>
      </w:r>
      <w:r>
        <w:rPr>
          <w:rFonts w:hint="eastAsia" w:ascii="宋体" w:hAnsi="宋体" w:cs="宋体"/>
          <w:sz w:val="24"/>
        </w:rPr>
        <w:t>. 与本谈判有关的一切正式往来通讯请寄：</w:t>
      </w:r>
    </w:p>
    <w:p w14:paraId="5856D3E3">
      <w:pPr>
        <w:spacing w:line="360" w:lineRule="auto"/>
        <w:ind w:firstLine="360" w:firstLineChars="150"/>
        <w:rPr>
          <w:rFonts w:ascii="宋体" w:hAnsi="宋体" w:cs="宋体"/>
          <w:sz w:val="24"/>
        </w:rPr>
      </w:pPr>
      <w:r>
        <w:rPr>
          <w:rFonts w:hint="eastAsia" w:ascii="宋体" w:hAnsi="宋体" w:cs="宋体"/>
          <w:sz w:val="24"/>
        </w:rPr>
        <w:t>地址：</w:t>
      </w:r>
      <w:r>
        <w:rPr>
          <w:rFonts w:hint="eastAsia" w:ascii="宋体" w:hAnsi="宋体" w:cs="宋体"/>
          <w:sz w:val="24"/>
          <w:u w:val="single"/>
        </w:rPr>
        <w:t xml:space="preserve">                               </w:t>
      </w:r>
      <w:r>
        <w:rPr>
          <w:rFonts w:hint="eastAsia" w:ascii="宋体" w:hAnsi="宋体" w:cs="宋体"/>
          <w:sz w:val="24"/>
        </w:rPr>
        <w:t xml:space="preserve">   邮编：</w:t>
      </w:r>
      <w:r>
        <w:rPr>
          <w:rFonts w:hint="eastAsia" w:ascii="宋体" w:hAnsi="宋体" w:cs="宋体"/>
          <w:sz w:val="24"/>
          <w:u w:val="single"/>
        </w:rPr>
        <w:t xml:space="preserve">                    </w:t>
      </w:r>
    </w:p>
    <w:p w14:paraId="0DDD63CB">
      <w:pPr>
        <w:spacing w:line="360" w:lineRule="auto"/>
        <w:ind w:firstLine="360" w:firstLineChars="150"/>
        <w:rPr>
          <w:rFonts w:ascii="宋体" w:hAnsi="宋体" w:cs="宋体"/>
          <w:sz w:val="24"/>
        </w:rPr>
      </w:pPr>
      <w:r>
        <w:rPr>
          <w:rFonts w:hint="eastAsia" w:ascii="宋体" w:hAnsi="宋体" w:cs="宋体"/>
          <w:sz w:val="24"/>
        </w:rPr>
        <w:t>电话：</w:t>
      </w:r>
      <w:r>
        <w:rPr>
          <w:rFonts w:hint="eastAsia" w:ascii="宋体" w:hAnsi="宋体" w:cs="宋体"/>
          <w:sz w:val="24"/>
          <w:u w:val="single"/>
        </w:rPr>
        <w:t xml:space="preserve">                                </w:t>
      </w:r>
      <w:r>
        <w:rPr>
          <w:rFonts w:hint="eastAsia" w:ascii="宋体" w:hAnsi="宋体" w:cs="宋体"/>
          <w:sz w:val="24"/>
        </w:rPr>
        <w:t xml:space="preserve">  传真：</w:t>
      </w:r>
      <w:r>
        <w:rPr>
          <w:rFonts w:hint="eastAsia" w:ascii="宋体" w:hAnsi="宋体" w:cs="宋体"/>
          <w:sz w:val="24"/>
          <w:u w:val="single"/>
        </w:rPr>
        <w:t xml:space="preserve">                    </w:t>
      </w:r>
      <w:r>
        <w:rPr>
          <w:rFonts w:hint="eastAsia" w:ascii="宋体" w:hAnsi="宋体" w:cs="宋体"/>
          <w:sz w:val="24"/>
        </w:rPr>
        <w:t xml:space="preserve"> </w:t>
      </w:r>
    </w:p>
    <w:p w14:paraId="473FEAD2">
      <w:pPr>
        <w:spacing w:line="360" w:lineRule="auto"/>
        <w:ind w:firstLine="360" w:firstLineChars="150"/>
        <w:rPr>
          <w:rFonts w:ascii="宋体" w:hAnsi="宋体" w:cs="宋体"/>
          <w:sz w:val="24"/>
        </w:rPr>
      </w:pPr>
      <w:r>
        <w:rPr>
          <w:rFonts w:hint="eastAsia" w:ascii="宋体" w:hAnsi="宋体" w:cs="宋体"/>
          <w:sz w:val="24"/>
        </w:rPr>
        <w:t>供应商代表姓名、职务：</w:t>
      </w:r>
      <w:r>
        <w:rPr>
          <w:rFonts w:hint="eastAsia" w:ascii="宋体" w:hAnsi="宋体" w:cs="宋体"/>
          <w:sz w:val="24"/>
          <w:u w:val="single"/>
        </w:rPr>
        <w:t xml:space="preserve">                                   </w:t>
      </w:r>
    </w:p>
    <w:p w14:paraId="3D9FF8DA">
      <w:pPr>
        <w:spacing w:line="360" w:lineRule="auto"/>
        <w:ind w:firstLine="360" w:firstLineChars="150"/>
        <w:rPr>
          <w:rFonts w:ascii="宋体" w:hAnsi="宋体" w:cs="宋体"/>
          <w:sz w:val="24"/>
        </w:rPr>
      </w:pPr>
      <w:r>
        <w:rPr>
          <w:rFonts w:hint="eastAsia" w:ascii="宋体" w:hAnsi="宋体" w:cs="宋体"/>
          <w:sz w:val="24"/>
        </w:rPr>
        <w:t>供应商名称：</w:t>
      </w:r>
      <w:r>
        <w:rPr>
          <w:rFonts w:hint="eastAsia" w:ascii="宋体" w:hAnsi="宋体" w:cs="宋体"/>
          <w:sz w:val="24"/>
          <w:u w:val="single"/>
        </w:rPr>
        <w:t xml:space="preserve">                    （公章）</w:t>
      </w:r>
    </w:p>
    <w:p w14:paraId="1742FEAB">
      <w:pPr>
        <w:spacing w:line="360" w:lineRule="auto"/>
        <w:ind w:firstLine="360" w:firstLineChars="150"/>
        <w:rPr>
          <w:rFonts w:ascii="宋体" w:hAnsi="宋体" w:cs="宋体"/>
          <w:sz w:val="24"/>
        </w:rPr>
      </w:pPr>
      <w:r>
        <w:rPr>
          <w:rFonts w:hint="eastAsia" w:ascii="宋体" w:hAnsi="宋体" w:cs="宋体"/>
          <w:sz w:val="24"/>
          <w:szCs w:val="24"/>
        </w:rPr>
        <w:t>法定代表人或被授权代表（</w:t>
      </w:r>
      <w:r>
        <w:rPr>
          <w:rFonts w:hint="eastAsia" w:ascii="宋体" w:hAnsi="宋体" w:cs="宋体"/>
          <w:sz w:val="24"/>
        </w:rPr>
        <w:t>签字或盖章</w:t>
      </w:r>
      <w:r>
        <w:rPr>
          <w:rFonts w:hint="eastAsia" w:ascii="宋体" w:hAnsi="宋体" w:cs="宋体"/>
          <w:sz w:val="24"/>
          <w:szCs w:val="24"/>
        </w:rPr>
        <w:t>）</w:t>
      </w:r>
      <w:r>
        <w:rPr>
          <w:rFonts w:hint="eastAsia" w:ascii="宋体" w:hAnsi="宋体" w:cs="宋体"/>
          <w:sz w:val="24"/>
        </w:rPr>
        <w:t>：</w:t>
      </w:r>
      <w:r>
        <w:rPr>
          <w:rFonts w:hint="eastAsia" w:ascii="宋体" w:hAnsi="宋体" w:cs="宋体"/>
          <w:sz w:val="24"/>
          <w:u w:val="single"/>
        </w:rPr>
        <w:t xml:space="preserve">                       </w:t>
      </w:r>
    </w:p>
    <w:p w14:paraId="4698C573">
      <w:pPr>
        <w:spacing w:line="360" w:lineRule="auto"/>
        <w:ind w:firstLine="360" w:firstLineChars="150"/>
        <w:rPr>
          <w:rFonts w:ascii="宋体" w:hAnsi="宋体" w:cs="宋体"/>
        </w:rPr>
      </w:pPr>
      <w:r>
        <w:rPr>
          <w:rFonts w:hint="eastAsia" w:ascii="宋体" w:hAnsi="宋体" w:cs="宋体"/>
          <w:sz w:val="24"/>
        </w:rPr>
        <w:t xml:space="preserve">日期： </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bookmarkEnd w:id="318"/>
    <w:bookmarkEnd w:id="319"/>
    <w:bookmarkEnd w:id="320"/>
    <w:bookmarkEnd w:id="321"/>
    <w:bookmarkEnd w:id="322"/>
    <w:p w14:paraId="6074F834">
      <w:pPr>
        <w:pStyle w:val="3"/>
        <w:keepLines w:val="0"/>
        <w:numPr>
          <w:ilvl w:val="0"/>
          <w:numId w:val="7"/>
        </w:numPr>
        <w:adjustRightInd w:val="0"/>
        <w:textAlignment w:val="baseline"/>
        <w:rPr>
          <w:rFonts w:ascii="宋体" w:hAnsi="宋体" w:eastAsia="宋体" w:cs="宋体"/>
        </w:rPr>
      </w:pPr>
      <w:r>
        <w:rPr>
          <w:rFonts w:hint="eastAsia" w:ascii="宋体" w:hAnsi="宋体" w:eastAsia="宋体" w:cs="宋体"/>
        </w:rPr>
        <w:t>第一次谈判报价表</w:t>
      </w:r>
    </w:p>
    <w:p w14:paraId="34F5B2DC">
      <w:pPr>
        <w:pStyle w:val="4"/>
        <w:spacing w:line="360" w:lineRule="auto"/>
        <w:jc w:val="center"/>
      </w:pPr>
      <w:r>
        <w:rPr>
          <w:rFonts w:hint="eastAsia"/>
        </w:rPr>
        <w:t>2.1谈判报价表</w:t>
      </w:r>
    </w:p>
    <w:tbl>
      <w:tblPr>
        <w:tblStyle w:val="21"/>
        <w:tblW w:w="8979"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964"/>
        <w:gridCol w:w="7015"/>
      </w:tblGrid>
      <w:tr w14:paraId="1BA60D98">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251" w:hRule="atLeast"/>
        </w:trPr>
        <w:tc>
          <w:tcPr>
            <w:tcW w:w="1964" w:type="dxa"/>
            <w:tcBorders>
              <w:bottom w:val="single" w:color="auto" w:sz="4" w:space="0"/>
            </w:tcBorders>
            <w:noWrap w:val="0"/>
            <w:vAlign w:val="center"/>
          </w:tcPr>
          <w:p w14:paraId="7E7F11D0">
            <w:pPr>
              <w:spacing w:line="360" w:lineRule="auto"/>
              <w:jc w:val="center"/>
              <w:rPr>
                <w:rFonts w:ascii="宋体" w:hAnsi="宋体" w:cs="宋体"/>
                <w:b/>
                <w:bCs/>
                <w:sz w:val="24"/>
              </w:rPr>
            </w:pPr>
            <w:bookmarkStart w:id="323" w:name="OLE_LINK14"/>
            <w:r>
              <w:rPr>
                <w:rFonts w:hint="eastAsia" w:ascii="宋体" w:hAnsi="宋体" w:cs="宋体"/>
                <w:b/>
                <w:bCs/>
                <w:sz w:val="24"/>
              </w:rPr>
              <w:t>采购项目名称</w:t>
            </w:r>
          </w:p>
        </w:tc>
        <w:tc>
          <w:tcPr>
            <w:tcW w:w="7015" w:type="dxa"/>
            <w:noWrap w:val="0"/>
            <w:vAlign w:val="center"/>
          </w:tcPr>
          <w:p w14:paraId="7C105A6C">
            <w:pPr>
              <w:pStyle w:val="2"/>
              <w:spacing w:line="360" w:lineRule="auto"/>
              <w:jc w:val="center"/>
              <w:rPr>
                <w:rFonts w:ascii="宋体" w:hAnsi="宋体" w:cs="宋体"/>
                <w:b w:val="0"/>
                <w:bCs/>
                <w:kern w:val="2"/>
                <w:sz w:val="24"/>
              </w:rPr>
            </w:pPr>
          </w:p>
        </w:tc>
      </w:tr>
      <w:tr w14:paraId="08B6EBA3">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641" w:hRule="atLeast"/>
        </w:trPr>
        <w:tc>
          <w:tcPr>
            <w:tcW w:w="1964" w:type="dxa"/>
            <w:tcBorders>
              <w:bottom w:val="single" w:color="auto" w:sz="4" w:space="0"/>
            </w:tcBorders>
            <w:noWrap w:val="0"/>
            <w:vAlign w:val="center"/>
          </w:tcPr>
          <w:p w14:paraId="425A1628">
            <w:pPr>
              <w:spacing w:line="360" w:lineRule="auto"/>
              <w:jc w:val="center"/>
              <w:rPr>
                <w:rFonts w:ascii="宋体" w:hAnsi="宋体" w:cs="宋体"/>
                <w:b/>
                <w:bCs/>
                <w:sz w:val="24"/>
              </w:rPr>
            </w:pPr>
            <w:r>
              <w:rPr>
                <w:rFonts w:hint="eastAsia" w:ascii="宋体" w:hAnsi="宋体" w:cs="宋体"/>
                <w:b/>
                <w:bCs/>
                <w:sz w:val="24"/>
              </w:rPr>
              <w:t>采购项目编号</w:t>
            </w:r>
          </w:p>
        </w:tc>
        <w:tc>
          <w:tcPr>
            <w:tcW w:w="7015" w:type="dxa"/>
            <w:tcBorders>
              <w:bottom w:val="single" w:color="auto" w:sz="4" w:space="0"/>
            </w:tcBorders>
            <w:noWrap w:val="0"/>
            <w:vAlign w:val="center"/>
          </w:tcPr>
          <w:p w14:paraId="5C602206">
            <w:pPr>
              <w:spacing w:line="360" w:lineRule="auto"/>
              <w:jc w:val="center"/>
              <w:rPr>
                <w:rFonts w:ascii="宋体" w:hAnsi="宋体" w:cs="宋体"/>
                <w:bCs/>
                <w:sz w:val="24"/>
              </w:rPr>
            </w:pPr>
          </w:p>
        </w:tc>
      </w:tr>
      <w:tr w14:paraId="1129D905">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43" w:hRule="atLeast"/>
        </w:trPr>
        <w:tc>
          <w:tcPr>
            <w:tcW w:w="1964" w:type="dxa"/>
            <w:noWrap w:val="0"/>
            <w:vAlign w:val="center"/>
          </w:tcPr>
          <w:p w14:paraId="643C87F2">
            <w:pPr>
              <w:spacing w:line="360" w:lineRule="auto"/>
              <w:jc w:val="center"/>
              <w:rPr>
                <w:rFonts w:ascii="宋体" w:hAnsi="宋体" w:cs="宋体"/>
                <w:b/>
                <w:bCs/>
                <w:sz w:val="24"/>
              </w:rPr>
            </w:pPr>
            <w:r>
              <w:rPr>
                <w:rFonts w:hint="eastAsia" w:ascii="宋体" w:hAnsi="宋体" w:cs="宋体"/>
                <w:b/>
                <w:bCs/>
                <w:sz w:val="24"/>
              </w:rPr>
              <w:t>供应商名称</w:t>
            </w:r>
          </w:p>
          <w:p w14:paraId="707EC446">
            <w:pPr>
              <w:spacing w:line="360" w:lineRule="auto"/>
              <w:jc w:val="center"/>
              <w:rPr>
                <w:rFonts w:ascii="宋体" w:hAnsi="宋体" w:cs="宋体"/>
                <w:b/>
                <w:bCs/>
                <w:sz w:val="24"/>
              </w:rPr>
            </w:pPr>
            <w:r>
              <w:rPr>
                <w:rFonts w:hint="eastAsia" w:ascii="宋体" w:hAnsi="宋体" w:cs="宋体"/>
                <w:b/>
                <w:bCs/>
                <w:sz w:val="24"/>
              </w:rPr>
              <w:t>(单位名称)</w:t>
            </w:r>
          </w:p>
        </w:tc>
        <w:tc>
          <w:tcPr>
            <w:tcW w:w="7015" w:type="dxa"/>
            <w:noWrap w:val="0"/>
            <w:vAlign w:val="center"/>
          </w:tcPr>
          <w:p w14:paraId="23A2CEBA">
            <w:pPr>
              <w:spacing w:line="360" w:lineRule="auto"/>
              <w:jc w:val="center"/>
              <w:rPr>
                <w:rFonts w:ascii="宋体" w:hAnsi="宋体" w:cs="宋体"/>
                <w:b/>
                <w:bCs/>
                <w:sz w:val="24"/>
              </w:rPr>
            </w:pPr>
          </w:p>
        </w:tc>
      </w:tr>
      <w:tr w14:paraId="5056E4B5">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929" w:hRule="atLeast"/>
        </w:trPr>
        <w:tc>
          <w:tcPr>
            <w:tcW w:w="1964" w:type="dxa"/>
            <w:noWrap w:val="0"/>
            <w:vAlign w:val="center"/>
          </w:tcPr>
          <w:p w14:paraId="2460551F">
            <w:pPr>
              <w:spacing w:line="360" w:lineRule="auto"/>
              <w:jc w:val="center"/>
              <w:rPr>
                <w:rFonts w:ascii="宋体" w:hAnsi="宋体" w:cs="宋体"/>
                <w:b/>
                <w:bCs/>
                <w:sz w:val="24"/>
              </w:rPr>
            </w:pPr>
            <w:r>
              <w:rPr>
                <w:rFonts w:hint="eastAsia" w:ascii="宋体" w:hAnsi="宋体" w:cs="宋体"/>
                <w:b/>
                <w:bCs/>
                <w:sz w:val="24"/>
              </w:rPr>
              <w:t>谈判报价</w:t>
            </w:r>
          </w:p>
          <w:p w14:paraId="41021A5C">
            <w:pPr>
              <w:spacing w:line="360" w:lineRule="auto"/>
              <w:jc w:val="center"/>
              <w:rPr>
                <w:rFonts w:ascii="宋体" w:hAnsi="宋体" w:cs="宋体"/>
                <w:b/>
                <w:bCs/>
                <w:sz w:val="24"/>
              </w:rPr>
            </w:pPr>
            <w:r>
              <w:rPr>
                <w:rFonts w:hint="eastAsia" w:ascii="宋体" w:hAnsi="宋体" w:cs="宋体"/>
                <w:b/>
                <w:bCs/>
                <w:sz w:val="24"/>
              </w:rPr>
              <w:t>（人民币）</w:t>
            </w:r>
          </w:p>
        </w:tc>
        <w:tc>
          <w:tcPr>
            <w:tcW w:w="7015" w:type="dxa"/>
            <w:noWrap w:val="0"/>
            <w:vAlign w:val="top"/>
          </w:tcPr>
          <w:p w14:paraId="60694F6F">
            <w:pPr>
              <w:spacing w:line="360" w:lineRule="auto"/>
              <w:rPr>
                <w:rFonts w:ascii="宋体" w:hAnsi="宋体" w:cs="宋体"/>
                <w:b/>
                <w:bCs/>
                <w:sz w:val="24"/>
              </w:rPr>
            </w:pPr>
          </w:p>
          <w:p w14:paraId="417A13C3">
            <w:pPr>
              <w:spacing w:line="360" w:lineRule="auto"/>
              <w:rPr>
                <w:rFonts w:ascii="宋体" w:hAnsi="宋体" w:cs="宋体"/>
                <w:b/>
                <w:bCs/>
                <w:sz w:val="24"/>
              </w:rPr>
            </w:pPr>
            <w:r>
              <w:rPr>
                <w:rFonts w:hint="eastAsia" w:ascii="宋体" w:hAnsi="宋体" w:cs="宋体"/>
                <w:b/>
                <w:bCs/>
                <w:sz w:val="24"/>
              </w:rPr>
              <w:t>人 民 币（大写）：</w:t>
            </w:r>
            <w:r>
              <w:rPr>
                <w:rFonts w:hint="eastAsia" w:ascii="宋体" w:hAnsi="宋体" w:cs="宋体"/>
                <w:b/>
                <w:bCs/>
                <w:sz w:val="24"/>
                <w:u w:val="single"/>
              </w:rPr>
              <w:t xml:space="preserve">                  </w:t>
            </w:r>
            <w:r>
              <w:rPr>
                <w:rFonts w:hint="eastAsia" w:ascii="宋体" w:hAnsi="宋体" w:cs="宋体"/>
                <w:b/>
                <w:bCs/>
                <w:sz w:val="24"/>
              </w:rPr>
              <w:t xml:space="preserve"> 元</w:t>
            </w:r>
          </w:p>
          <w:p w14:paraId="141442DF">
            <w:pPr>
              <w:spacing w:line="360" w:lineRule="auto"/>
              <w:rPr>
                <w:rFonts w:ascii="宋体" w:hAnsi="宋体" w:cs="宋体"/>
                <w:b/>
                <w:bCs/>
                <w:sz w:val="24"/>
              </w:rPr>
            </w:pPr>
          </w:p>
          <w:p w14:paraId="43A92D80">
            <w:pPr>
              <w:spacing w:line="360" w:lineRule="auto"/>
              <w:rPr>
                <w:rFonts w:ascii="宋体" w:hAnsi="宋体" w:cs="宋体"/>
                <w:b/>
                <w:bCs/>
                <w:sz w:val="24"/>
              </w:rPr>
            </w:pPr>
            <w:r>
              <w:rPr>
                <w:rFonts w:hint="eastAsia" w:ascii="宋体" w:hAnsi="宋体" w:cs="宋体"/>
                <w:b/>
                <w:bCs/>
                <w:sz w:val="24"/>
              </w:rPr>
              <w:t>人 民 币（小写）：</w:t>
            </w:r>
            <w:r>
              <w:rPr>
                <w:rFonts w:hint="eastAsia" w:ascii="宋体" w:hAnsi="宋体" w:cs="宋体"/>
                <w:b/>
                <w:bCs/>
                <w:sz w:val="24"/>
                <w:u w:val="single"/>
              </w:rPr>
              <w:t xml:space="preserve">                 </w:t>
            </w:r>
            <w:r>
              <w:rPr>
                <w:rFonts w:hint="eastAsia" w:ascii="宋体" w:hAnsi="宋体" w:cs="宋体"/>
                <w:b/>
                <w:bCs/>
                <w:sz w:val="24"/>
              </w:rPr>
              <w:t xml:space="preserve"> 元</w:t>
            </w:r>
          </w:p>
          <w:p w14:paraId="2C790536">
            <w:pPr>
              <w:spacing w:line="360" w:lineRule="auto"/>
              <w:rPr>
                <w:rFonts w:ascii="宋体" w:hAnsi="宋体" w:cs="宋体"/>
                <w:b/>
                <w:bCs/>
                <w:sz w:val="24"/>
              </w:rPr>
            </w:pPr>
            <w:r>
              <w:rPr>
                <w:rFonts w:hint="eastAsia" w:ascii="宋体" w:hAnsi="宋体" w:cs="宋体"/>
                <w:b/>
                <w:bCs/>
                <w:sz w:val="24"/>
              </w:rPr>
              <w:t xml:space="preserve"> </w:t>
            </w:r>
          </w:p>
        </w:tc>
      </w:tr>
      <w:tr w14:paraId="1D3F89E5">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64" w:hRule="atLeast"/>
        </w:trPr>
        <w:tc>
          <w:tcPr>
            <w:tcW w:w="1964" w:type="dxa"/>
            <w:noWrap w:val="0"/>
            <w:vAlign w:val="center"/>
          </w:tcPr>
          <w:p w14:paraId="279A2D7C">
            <w:pPr>
              <w:spacing w:line="360" w:lineRule="auto"/>
              <w:jc w:val="center"/>
              <w:rPr>
                <w:rFonts w:ascii="宋体" w:hAnsi="宋体" w:cs="宋体"/>
                <w:b/>
                <w:bCs/>
                <w:sz w:val="24"/>
              </w:rPr>
            </w:pPr>
            <w:r>
              <w:rPr>
                <w:rFonts w:hint="eastAsia" w:ascii="宋体" w:hAnsi="宋体" w:cs="宋体"/>
                <w:b/>
                <w:bCs/>
                <w:sz w:val="24"/>
                <w:lang w:val="en-US" w:eastAsia="zh-CN"/>
              </w:rPr>
              <w:t>交货期</w:t>
            </w:r>
          </w:p>
        </w:tc>
        <w:tc>
          <w:tcPr>
            <w:tcW w:w="7015" w:type="dxa"/>
            <w:noWrap w:val="0"/>
            <w:vAlign w:val="top"/>
          </w:tcPr>
          <w:p w14:paraId="0D0010B9">
            <w:pPr>
              <w:spacing w:line="360" w:lineRule="auto"/>
              <w:rPr>
                <w:rFonts w:ascii="宋体" w:hAnsi="宋体" w:cs="宋体"/>
                <w:b/>
                <w:bCs/>
                <w:sz w:val="24"/>
              </w:rPr>
            </w:pPr>
          </w:p>
        </w:tc>
      </w:tr>
      <w:tr w14:paraId="1869AF9B">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14" w:hRule="atLeast"/>
        </w:trPr>
        <w:tc>
          <w:tcPr>
            <w:tcW w:w="1964" w:type="dxa"/>
            <w:noWrap w:val="0"/>
            <w:vAlign w:val="center"/>
          </w:tcPr>
          <w:p w14:paraId="4A6D0D68">
            <w:pPr>
              <w:spacing w:line="360" w:lineRule="auto"/>
              <w:jc w:val="center"/>
              <w:rPr>
                <w:rFonts w:ascii="宋体" w:hAnsi="宋体" w:cs="宋体"/>
                <w:b/>
                <w:bCs/>
                <w:sz w:val="24"/>
              </w:rPr>
            </w:pPr>
            <w:r>
              <w:rPr>
                <w:rFonts w:hint="eastAsia" w:ascii="宋体" w:hAnsi="宋体" w:cs="宋体"/>
                <w:b/>
                <w:bCs/>
                <w:sz w:val="24"/>
              </w:rPr>
              <w:t>投标声明</w:t>
            </w:r>
          </w:p>
        </w:tc>
        <w:tc>
          <w:tcPr>
            <w:tcW w:w="7015" w:type="dxa"/>
            <w:noWrap w:val="0"/>
            <w:vAlign w:val="top"/>
          </w:tcPr>
          <w:p w14:paraId="058EC6D1">
            <w:pPr>
              <w:spacing w:line="360" w:lineRule="auto"/>
              <w:rPr>
                <w:rFonts w:ascii="宋体" w:hAnsi="宋体" w:cs="宋体"/>
                <w:b/>
                <w:bCs/>
                <w:sz w:val="24"/>
              </w:rPr>
            </w:pPr>
          </w:p>
        </w:tc>
      </w:tr>
      <w:bookmarkEnd w:id="323"/>
    </w:tbl>
    <w:p w14:paraId="47FEEB47">
      <w:pPr>
        <w:spacing w:line="360" w:lineRule="auto"/>
        <w:ind w:right="-161"/>
        <w:rPr>
          <w:rFonts w:hint="eastAsia" w:ascii="宋体" w:hAnsi="宋体" w:eastAsia="宋体" w:cs="宋体"/>
          <w:sz w:val="24"/>
          <w:szCs w:val="24"/>
          <w:lang w:eastAsia="zh-CN"/>
        </w:rPr>
      </w:pPr>
    </w:p>
    <w:p w14:paraId="5628998C">
      <w:pPr>
        <w:pStyle w:val="11"/>
        <w:rPr>
          <w:rFonts w:hint="eastAsia" w:ascii="宋体" w:hAnsi="宋体" w:eastAsia="宋体" w:cs="宋体"/>
          <w:sz w:val="24"/>
          <w:szCs w:val="24"/>
          <w:lang w:eastAsia="zh-CN"/>
        </w:rPr>
      </w:pPr>
    </w:p>
    <w:p w14:paraId="2D084969">
      <w:pPr>
        <w:pStyle w:val="11"/>
        <w:rPr>
          <w:rFonts w:hint="eastAsia" w:ascii="宋体" w:hAnsi="宋体" w:eastAsia="宋体" w:cs="宋体"/>
          <w:sz w:val="24"/>
          <w:szCs w:val="24"/>
          <w:lang w:eastAsia="zh-CN"/>
        </w:rPr>
      </w:pPr>
    </w:p>
    <w:p w14:paraId="6423FEAB">
      <w:pPr>
        <w:pStyle w:val="11"/>
        <w:rPr>
          <w:rFonts w:hint="eastAsia" w:ascii="宋体" w:hAnsi="宋体" w:eastAsia="宋体" w:cs="宋体"/>
          <w:sz w:val="24"/>
          <w:szCs w:val="24"/>
          <w:lang w:eastAsia="zh-CN"/>
        </w:rPr>
      </w:pPr>
    </w:p>
    <w:p w14:paraId="03A4F372">
      <w:pPr>
        <w:spacing w:line="360" w:lineRule="auto"/>
        <w:ind w:right="-161"/>
        <w:rPr>
          <w:rFonts w:ascii="宋体" w:hAnsi="宋体" w:cs="宋体"/>
          <w:sz w:val="24"/>
          <w:szCs w:val="24"/>
        </w:rPr>
      </w:pPr>
    </w:p>
    <w:p w14:paraId="783B933C">
      <w:pPr>
        <w:spacing w:line="360" w:lineRule="auto"/>
        <w:ind w:right="-161" w:firstLine="2640" w:firstLineChars="1100"/>
        <w:rPr>
          <w:rFonts w:ascii="宋体" w:hAnsi="宋体" w:cs="宋体"/>
          <w:sz w:val="24"/>
          <w:szCs w:val="24"/>
        </w:rPr>
      </w:pPr>
      <w:r>
        <w:rPr>
          <w:rFonts w:hint="eastAsia" w:ascii="宋体" w:hAnsi="宋体" w:cs="宋体"/>
          <w:sz w:val="24"/>
          <w:szCs w:val="24"/>
        </w:rPr>
        <w:t>法定代表人或被授权代表（签字或盖章）：</w:t>
      </w:r>
      <w:r>
        <w:rPr>
          <w:rFonts w:hint="eastAsia" w:ascii="宋体" w:hAnsi="宋体" w:cs="宋体"/>
          <w:sz w:val="24"/>
          <w:szCs w:val="24"/>
          <w:u w:val="single"/>
        </w:rPr>
        <w:t xml:space="preserve">                 </w:t>
      </w:r>
      <w:r>
        <w:rPr>
          <w:rFonts w:hint="eastAsia" w:ascii="宋体" w:hAnsi="宋体" w:cs="宋体"/>
          <w:sz w:val="24"/>
          <w:szCs w:val="24"/>
        </w:rPr>
        <w:t xml:space="preserve">                 </w:t>
      </w:r>
    </w:p>
    <w:p w14:paraId="022C4D91">
      <w:pPr>
        <w:spacing w:line="360" w:lineRule="auto"/>
        <w:ind w:right="-161" w:firstLine="2640" w:firstLineChars="1100"/>
        <w:rPr>
          <w:rFonts w:ascii="宋体" w:hAnsi="宋体" w:cs="宋体"/>
          <w:sz w:val="24"/>
          <w:szCs w:val="24"/>
        </w:rPr>
      </w:pPr>
      <w:r>
        <w:rPr>
          <w:rFonts w:hint="eastAsia" w:ascii="宋体" w:hAnsi="宋体" w:cs="宋体"/>
          <w:sz w:val="24"/>
          <w:szCs w:val="24"/>
        </w:rPr>
        <w:t>供       应       商（公        章）：</w:t>
      </w:r>
      <w:r>
        <w:rPr>
          <w:rFonts w:hint="eastAsia" w:ascii="宋体" w:hAnsi="宋体" w:cs="宋体"/>
          <w:sz w:val="24"/>
          <w:szCs w:val="24"/>
          <w:u w:val="single"/>
        </w:rPr>
        <w:t xml:space="preserve">                                    </w:t>
      </w:r>
    </w:p>
    <w:p w14:paraId="1908606D">
      <w:pPr>
        <w:spacing w:line="360" w:lineRule="auto"/>
        <w:ind w:firstLine="2640" w:firstLineChars="1100"/>
        <w:rPr>
          <w:rFonts w:ascii="宋体" w:hAnsi="宋体" w:cs="宋体"/>
          <w:sz w:val="24"/>
          <w:szCs w:val="24"/>
        </w:rPr>
      </w:pPr>
      <w:r>
        <w:rPr>
          <w:rFonts w:hint="eastAsia" w:ascii="宋体" w:hAnsi="宋体" w:cs="宋体"/>
          <w:sz w:val="24"/>
          <w:szCs w:val="24"/>
        </w:rPr>
        <w:t>日                              期  ：</w:t>
      </w:r>
      <w:r>
        <w:rPr>
          <w:rFonts w:hint="eastAsia" w:ascii="宋体" w:hAnsi="宋体" w:cs="宋体"/>
          <w:sz w:val="24"/>
          <w:szCs w:val="24"/>
          <w:u w:val="single"/>
        </w:rPr>
        <w:t xml:space="preserve">                            </w:t>
      </w:r>
    </w:p>
    <w:p w14:paraId="1D5122E4">
      <w:pPr>
        <w:bidi w:val="0"/>
        <w:rPr>
          <w:rFonts w:hint="eastAsia"/>
        </w:rPr>
      </w:pPr>
      <w:bookmarkStart w:id="324" w:name="_Toc23496"/>
      <w:bookmarkStart w:id="325" w:name="_Toc29346"/>
      <w:bookmarkStart w:id="326" w:name="_Toc29567"/>
      <w:bookmarkStart w:id="327" w:name="_Toc27665"/>
      <w:bookmarkStart w:id="328" w:name="_Toc30603"/>
      <w:bookmarkStart w:id="329" w:name="_Toc9067"/>
      <w:bookmarkStart w:id="330" w:name="_Toc8483"/>
      <w:bookmarkStart w:id="331" w:name="_Toc14320"/>
      <w:bookmarkStart w:id="332" w:name="_Toc25449"/>
      <w:bookmarkStart w:id="333" w:name="_Toc465958133"/>
      <w:bookmarkStart w:id="334" w:name="_Toc7129"/>
      <w:bookmarkStart w:id="335" w:name="_Toc30297"/>
      <w:bookmarkStart w:id="336" w:name="_Toc26959"/>
      <w:bookmarkStart w:id="337" w:name="_Toc31054"/>
    </w:p>
    <w:p w14:paraId="559D6367">
      <w:pPr>
        <w:pStyle w:val="7"/>
        <w:rPr>
          <w:rFonts w:hint="eastAsia"/>
        </w:rPr>
      </w:pPr>
    </w:p>
    <w:p w14:paraId="0070B03B">
      <w:pPr>
        <w:pStyle w:val="7"/>
        <w:rPr>
          <w:rFonts w:hint="eastAsia"/>
        </w:rPr>
      </w:pPr>
    </w:p>
    <w:p w14:paraId="2C8D3138">
      <w:pPr>
        <w:pStyle w:val="4"/>
        <w:spacing w:line="360" w:lineRule="auto"/>
        <w:jc w:val="center"/>
        <w:rPr>
          <w:rFonts w:ascii="宋体" w:hAnsi="宋体" w:cs="宋体"/>
          <w:szCs w:val="22"/>
        </w:rPr>
      </w:pPr>
      <w:r>
        <w:rPr>
          <w:rFonts w:hint="eastAsia"/>
        </w:rPr>
        <w:t>2.2分项报价表</w:t>
      </w:r>
      <w:bookmarkEnd w:id="324"/>
    </w:p>
    <w:p w14:paraId="38A5EE5C">
      <w:pPr>
        <w:spacing w:line="360" w:lineRule="auto"/>
        <w:ind w:firstLine="240" w:firstLineChars="100"/>
        <w:rPr>
          <w:rFonts w:ascii="宋体" w:hAnsi="宋体" w:cs="宋体"/>
          <w:color w:val="000000"/>
          <w:sz w:val="24"/>
          <w:u w:val="single"/>
        </w:rPr>
      </w:pPr>
      <w:r>
        <w:rPr>
          <w:rFonts w:hint="eastAsia" w:ascii="宋体" w:hAnsi="宋体" w:cs="宋体"/>
          <w:color w:val="000000"/>
          <w:sz w:val="24"/>
        </w:rPr>
        <w:t xml:space="preserve">供应商名称：                             </w:t>
      </w:r>
      <w:r>
        <w:rPr>
          <w:rFonts w:hint="eastAsia" w:ascii="宋体" w:hAnsi="宋体" w:cs="宋体"/>
          <w:color w:val="000000"/>
          <w:sz w:val="24"/>
          <w:lang w:val="en-US" w:eastAsia="zh-CN"/>
        </w:rPr>
        <w:t xml:space="preserve">  </w:t>
      </w:r>
      <w:r>
        <w:rPr>
          <w:rFonts w:hint="eastAsia" w:ascii="宋体" w:hAnsi="宋体" w:cs="宋体"/>
          <w:color w:val="000000"/>
          <w:sz w:val="24"/>
        </w:rPr>
        <w:t>采购项目编号：</w:t>
      </w:r>
    </w:p>
    <w:tbl>
      <w:tblPr>
        <w:tblStyle w:val="21"/>
        <w:tblpPr w:leftFromText="180" w:rightFromText="180" w:vertAnchor="text" w:horzAnchor="page" w:tblpX="1432" w:tblpY="252"/>
        <w:tblOverlap w:val="never"/>
        <w:tblW w:w="8818"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28" w:type="dxa"/>
          <w:bottom w:w="0" w:type="dxa"/>
          <w:right w:w="28" w:type="dxa"/>
        </w:tblCellMar>
      </w:tblPr>
      <w:tblGrid>
        <w:gridCol w:w="554"/>
        <w:gridCol w:w="771"/>
        <w:gridCol w:w="1786"/>
        <w:gridCol w:w="1304"/>
        <w:gridCol w:w="1395"/>
        <w:gridCol w:w="660"/>
        <w:gridCol w:w="780"/>
        <w:gridCol w:w="720"/>
        <w:gridCol w:w="848"/>
      </w:tblGrid>
      <w:tr w14:paraId="6FC3627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cantSplit/>
          <w:trHeight w:val="915" w:hRule="exact"/>
        </w:trPr>
        <w:tc>
          <w:tcPr>
            <w:tcW w:w="554" w:type="dxa"/>
            <w:tcBorders>
              <w:top w:val="single" w:color="auto" w:sz="6" w:space="0"/>
              <w:left w:val="single" w:color="auto" w:sz="6" w:space="0"/>
              <w:bottom w:val="single" w:color="auto" w:sz="6" w:space="0"/>
              <w:right w:val="single" w:color="auto" w:sz="6" w:space="0"/>
            </w:tcBorders>
            <w:noWrap w:val="0"/>
            <w:vAlign w:val="center"/>
          </w:tcPr>
          <w:p w14:paraId="344E01E1">
            <w:pPr>
              <w:spacing w:line="360" w:lineRule="auto"/>
              <w:jc w:val="center"/>
              <w:rPr>
                <w:rFonts w:hint="eastAsia" w:ascii="宋体" w:hAnsi="宋体" w:cs="宋体"/>
                <w:b/>
                <w:color w:val="auto"/>
                <w:sz w:val="24"/>
                <w:szCs w:val="24"/>
              </w:rPr>
            </w:pPr>
            <w:r>
              <w:rPr>
                <w:rFonts w:hint="eastAsia" w:ascii="宋体" w:hAnsi="宋体" w:cs="宋体"/>
                <w:b/>
                <w:color w:val="auto"/>
                <w:sz w:val="24"/>
                <w:szCs w:val="24"/>
              </w:rPr>
              <w:t>类别</w:t>
            </w:r>
          </w:p>
        </w:tc>
        <w:tc>
          <w:tcPr>
            <w:tcW w:w="771" w:type="dxa"/>
            <w:tcBorders>
              <w:top w:val="single" w:color="auto" w:sz="6" w:space="0"/>
              <w:left w:val="single" w:color="auto" w:sz="6" w:space="0"/>
              <w:bottom w:val="single" w:color="auto" w:sz="6" w:space="0"/>
              <w:right w:val="single" w:color="auto" w:sz="4" w:space="0"/>
            </w:tcBorders>
            <w:noWrap w:val="0"/>
            <w:vAlign w:val="center"/>
          </w:tcPr>
          <w:p w14:paraId="6DA599E3">
            <w:pPr>
              <w:spacing w:line="360" w:lineRule="auto"/>
              <w:jc w:val="center"/>
              <w:rPr>
                <w:rFonts w:hint="eastAsia" w:ascii="宋体" w:hAnsi="宋体" w:cs="宋体"/>
                <w:b/>
                <w:color w:val="auto"/>
                <w:szCs w:val="24"/>
              </w:rPr>
            </w:pPr>
            <w:r>
              <w:rPr>
                <w:rFonts w:hint="eastAsia" w:ascii="宋体" w:hAnsi="宋体" w:cs="宋体"/>
                <w:b/>
                <w:color w:val="auto"/>
                <w:sz w:val="24"/>
                <w:szCs w:val="24"/>
              </w:rPr>
              <w:t>序号</w:t>
            </w:r>
          </w:p>
        </w:tc>
        <w:tc>
          <w:tcPr>
            <w:tcW w:w="1786" w:type="dxa"/>
            <w:tcBorders>
              <w:top w:val="single" w:color="auto" w:sz="6" w:space="0"/>
              <w:left w:val="single" w:color="auto" w:sz="4" w:space="0"/>
              <w:bottom w:val="single" w:color="auto" w:sz="6" w:space="0"/>
              <w:right w:val="single" w:color="auto" w:sz="6" w:space="0"/>
            </w:tcBorders>
            <w:noWrap w:val="0"/>
            <w:vAlign w:val="center"/>
          </w:tcPr>
          <w:p w14:paraId="1545D0A0">
            <w:pPr>
              <w:pStyle w:val="63"/>
              <w:widowControl w:val="0"/>
              <w:spacing w:before="0" w:after="0" w:line="360" w:lineRule="auto"/>
              <w:rPr>
                <w:rFonts w:cs="宋体"/>
                <w:b/>
                <w:color w:val="auto"/>
                <w:kern w:val="2"/>
                <w:szCs w:val="24"/>
              </w:rPr>
            </w:pPr>
            <w:r>
              <w:rPr>
                <w:rFonts w:cs="宋体"/>
                <w:b/>
                <w:color w:val="auto"/>
                <w:kern w:val="2"/>
                <w:szCs w:val="24"/>
              </w:rPr>
              <w:t>货物名称</w:t>
            </w:r>
          </w:p>
        </w:tc>
        <w:tc>
          <w:tcPr>
            <w:tcW w:w="1304" w:type="dxa"/>
            <w:tcBorders>
              <w:top w:val="single" w:color="auto" w:sz="6" w:space="0"/>
              <w:left w:val="single" w:color="auto" w:sz="6" w:space="0"/>
              <w:bottom w:val="single" w:color="auto" w:sz="6" w:space="0"/>
              <w:right w:val="single" w:color="auto" w:sz="6" w:space="0"/>
            </w:tcBorders>
            <w:noWrap w:val="0"/>
            <w:vAlign w:val="center"/>
          </w:tcPr>
          <w:p w14:paraId="6B2F4194">
            <w:pPr>
              <w:spacing w:line="360" w:lineRule="auto"/>
              <w:jc w:val="center"/>
              <w:rPr>
                <w:rFonts w:hint="eastAsia" w:ascii="宋体" w:hAnsi="宋体" w:cs="宋体"/>
                <w:b/>
                <w:color w:val="auto"/>
                <w:sz w:val="24"/>
                <w:szCs w:val="24"/>
              </w:rPr>
            </w:pPr>
            <w:r>
              <w:rPr>
                <w:rFonts w:hint="eastAsia" w:ascii="宋体" w:hAnsi="宋体" w:cs="宋体"/>
                <w:b/>
                <w:color w:val="auto"/>
                <w:sz w:val="24"/>
                <w:szCs w:val="24"/>
              </w:rPr>
              <w:t>型号和规格</w:t>
            </w:r>
          </w:p>
        </w:tc>
        <w:tc>
          <w:tcPr>
            <w:tcW w:w="1395" w:type="dxa"/>
            <w:tcBorders>
              <w:top w:val="single" w:color="auto" w:sz="6" w:space="0"/>
              <w:left w:val="single" w:color="auto" w:sz="6" w:space="0"/>
              <w:bottom w:val="single" w:color="auto" w:sz="6" w:space="0"/>
              <w:right w:val="single" w:color="auto" w:sz="6" w:space="0"/>
            </w:tcBorders>
            <w:noWrap w:val="0"/>
            <w:vAlign w:val="center"/>
          </w:tcPr>
          <w:p w14:paraId="4D9088E6">
            <w:pPr>
              <w:spacing w:line="360" w:lineRule="auto"/>
              <w:jc w:val="center"/>
              <w:rPr>
                <w:rFonts w:hint="eastAsia" w:ascii="宋体" w:hAnsi="宋体" w:cs="宋体"/>
                <w:b/>
                <w:color w:val="auto"/>
                <w:sz w:val="24"/>
                <w:szCs w:val="24"/>
              </w:rPr>
            </w:pPr>
            <w:r>
              <w:rPr>
                <w:rFonts w:hint="eastAsia" w:ascii="宋体" w:hAnsi="宋体" w:cs="宋体"/>
                <w:b/>
                <w:color w:val="auto"/>
                <w:sz w:val="24"/>
                <w:szCs w:val="24"/>
              </w:rPr>
              <w:t>品牌</w:t>
            </w:r>
          </w:p>
        </w:tc>
        <w:tc>
          <w:tcPr>
            <w:tcW w:w="660" w:type="dxa"/>
            <w:tcBorders>
              <w:top w:val="single" w:color="auto" w:sz="6" w:space="0"/>
              <w:left w:val="single" w:color="auto" w:sz="6" w:space="0"/>
              <w:bottom w:val="single" w:color="auto" w:sz="6" w:space="0"/>
              <w:right w:val="single" w:color="auto" w:sz="6" w:space="0"/>
            </w:tcBorders>
            <w:noWrap w:val="0"/>
            <w:vAlign w:val="center"/>
          </w:tcPr>
          <w:p w14:paraId="7FDDAA99">
            <w:pPr>
              <w:spacing w:line="360" w:lineRule="auto"/>
              <w:jc w:val="center"/>
              <w:rPr>
                <w:rFonts w:hint="eastAsia" w:ascii="宋体" w:hAnsi="宋体" w:cs="宋体"/>
                <w:b/>
                <w:color w:val="auto"/>
                <w:sz w:val="24"/>
                <w:szCs w:val="24"/>
              </w:rPr>
            </w:pPr>
            <w:r>
              <w:rPr>
                <w:rFonts w:hint="eastAsia" w:ascii="宋体" w:hAnsi="宋体" w:cs="宋体"/>
                <w:b/>
                <w:color w:val="auto"/>
                <w:sz w:val="24"/>
                <w:szCs w:val="24"/>
              </w:rPr>
              <w:t>数量</w:t>
            </w:r>
          </w:p>
        </w:tc>
        <w:tc>
          <w:tcPr>
            <w:tcW w:w="780" w:type="dxa"/>
            <w:tcBorders>
              <w:top w:val="single" w:color="auto" w:sz="6" w:space="0"/>
              <w:left w:val="single" w:color="auto" w:sz="6" w:space="0"/>
              <w:bottom w:val="single" w:color="auto" w:sz="6" w:space="0"/>
              <w:right w:val="single" w:color="auto" w:sz="6" w:space="0"/>
            </w:tcBorders>
            <w:noWrap w:val="0"/>
            <w:vAlign w:val="center"/>
          </w:tcPr>
          <w:p w14:paraId="6CD3D33D">
            <w:pPr>
              <w:spacing w:line="360" w:lineRule="auto"/>
              <w:jc w:val="center"/>
              <w:rPr>
                <w:rFonts w:hint="eastAsia" w:ascii="宋体" w:hAnsi="宋体" w:eastAsia="宋体" w:cs="宋体"/>
                <w:b/>
                <w:color w:val="auto"/>
                <w:sz w:val="24"/>
                <w:szCs w:val="24"/>
                <w:lang w:eastAsia="zh-CN"/>
              </w:rPr>
            </w:pPr>
            <w:r>
              <w:rPr>
                <w:rFonts w:hint="eastAsia" w:ascii="宋体" w:hAnsi="宋体" w:cs="宋体"/>
                <w:b/>
                <w:color w:val="auto"/>
                <w:sz w:val="24"/>
                <w:szCs w:val="24"/>
              </w:rPr>
              <w:t>单价</w:t>
            </w:r>
            <w:r>
              <w:rPr>
                <w:rFonts w:hint="eastAsia" w:ascii="宋体" w:hAnsi="宋体" w:cs="宋体"/>
                <w:b/>
                <w:color w:val="auto"/>
                <w:sz w:val="24"/>
                <w:szCs w:val="24"/>
                <w:lang w:eastAsia="zh-CN"/>
              </w:rPr>
              <w:t>（元）</w:t>
            </w:r>
          </w:p>
        </w:tc>
        <w:tc>
          <w:tcPr>
            <w:tcW w:w="720" w:type="dxa"/>
            <w:tcBorders>
              <w:top w:val="single" w:color="auto" w:sz="6" w:space="0"/>
              <w:left w:val="single" w:color="auto" w:sz="6" w:space="0"/>
              <w:bottom w:val="single" w:color="auto" w:sz="6" w:space="0"/>
              <w:right w:val="single" w:color="auto" w:sz="6" w:space="0"/>
            </w:tcBorders>
            <w:noWrap w:val="0"/>
            <w:vAlign w:val="center"/>
          </w:tcPr>
          <w:p w14:paraId="69A2B715">
            <w:pPr>
              <w:spacing w:line="360" w:lineRule="auto"/>
              <w:jc w:val="center"/>
              <w:rPr>
                <w:rFonts w:hint="eastAsia" w:ascii="宋体" w:hAnsi="宋体" w:eastAsia="宋体" w:cs="宋体"/>
                <w:b/>
                <w:color w:val="auto"/>
                <w:sz w:val="24"/>
                <w:szCs w:val="24"/>
                <w:lang w:eastAsia="zh-CN"/>
              </w:rPr>
            </w:pPr>
            <w:r>
              <w:rPr>
                <w:rFonts w:hint="eastAsia" w:ascii="宋体" w:hAnsi="宋体" w:cs="宋体"/>
                <w:b/>
                <w:color w:val="auto"/>
                <w:sz w:val="24"/>
                <w:szCs w:val="24"/>
              </w:rPr>
              <w:t>总价</w:t>
            </w:r>
            <w:r>
              <w:rPr>
                <w:rFonts w:hint="eastAsia" w:ascii="宋体" w:hAnsi="宋体" w:cs="宋体"/>
                <w:b/>
                <w:color w:val="auto"/>
                <w:sz w:val="24"/>
                <w:szCs w:val="24"/>
                <w:lang w:eastAsia="zh-CN"/>
              </w:rPr>
              <w:t>（元）</w:t>
            </w:r>
          </w:p>
        </w:tc>
        <w:tc>
          <w:tcPr>
            <w:tcW w:w="848" w:type="dxa"/>
            <w:tcBorders>
              <w:top w:val="single" w:color="auto" w:sz="6" w:space="0"/>
              <w:left w:val="single" w:color="auto" w:sz="6" w:space="0"/>
              <w:bottom w:val="single" w:color="auto" w:sz="6" w:space="0"/>
              <w:right w:val="single" w:color="auto" w:sz="6" w:space="0"/>
            </w:tcBorders>
            <w:noWrap w:val="0"/>
            <w:vAlign w:val="center"/>
          </w:tcPr>
          <w:p w14:paraId="29242AB0">
            <w:pPr>
              <w:spacing w:line="360" w:lineRule="auto"/>
              <w:jc w:val="center"/>
              <w:rPr>
                <w:rFonts w:hint="eastAsia" w:ascii="宋体" w:hAnsi="宋体" w:cs="宋体"/>
                <w:b/>
                <w:color w:val="auto"/>
                <w:sz w:val="24"/>
                <w:szCs w:val="24"/>
              </w:rPr>
            </w:pPr>
            <w:r>
              <w:rPr>
                <w:rFonts w:hint="eastAsia" w:ascii="宋体" w:hAnsi="宋体" w:cs="宋体"/>
                <w:b/>
                <w:color w:val="auto"/>
                <w:sz w:val="24"/>
                <w:szCs w:val="24"/>
              </w:rPr>
              <w:t>备注</w:t>
            </w:r>
          </w:p>
        </w:tc>
      </w:tr>
      <w:tr w14:paraId="4CF9331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cantSplit/>
          <w:trHeight w:val="567" w:hRule="exact"/>
        </w:trPr>
        <w:tc>
          <w:tcPr>
            <w:tcW w:w="554" w:type="dxa"/>
            <w:vMerge w:val="restart"/>
            <w:tcBorders>
              <w:top w:val="single" w:color="auto" w:sz="6" w:space="0"/>
              <w:left w:val="single" w:color="auto" w:sz="6" w:space="0"/>
              <w:right w:val="single" w:color="auto" w:sz="6" w:space="0"/>
            </w:tcBorders>
            <w:noWrap w:val="0"/>
            <w:vAlign w:val="center"/>
          </w:tcPr>
          <w:p w14:paraId="76219ABB">
            <w:pPr>
              <w:spacing w:line="360" w:lineRule="auto"/>
              <w:jc w:val="center"/>
              <w:rPr>
                <w:rFonts w:hint="eastAsia" w:ascii="宋体" w:hAnsi="宋体" w:cs="宋体"/>
                <w:bCs/>
                <w:color w:val="auto"/>
                <w:sz w:val="24"/>
                <w:szCs w:val="24"/>
              </w:rPr>
            </w:pPr>
            <w:r>
              <w:rPr>
                <w:rFonts w:hint="eastAsia" w:ascii="宋体" w:hAnsi="宋体" w:cs="宋体"/>
                <w:bCs/>
                <w:color w:val="auto"/>
                <w:sz w:val="24"/>
                <w:szCs w:val="24"/>
              </w:rPr>
              <w:t>货</w:t>
            </w:r>
          </w:p>
          <w:p w14:paraId="4CA8AB96">
            <w:pPr>
              <w:spacing w:line="360" w:lineRule="auto"/>
              <w:jc w:val="center"/>
              <w:rPr>
                <w:rFonts w:hint="eastAsia" w:ascii="宋体" w:hAnsi="宋体" w:cs="宋体"/>
                <w:bCs/>
                <w:color w:val="auto"/>
                <w:sz w:val="24"/>
                <w:szCs w:val="24"/>
              </w:rPr>
            </w:pPr>
            <w:r>
              <w:rPr>
                <w:rFonts w:hint="eastAsia" w:ascii="宋体" w:hAnsi="宋体" w:cs="宋体"/>
                <w:bCs/>
                <w:color w:val="auto"/>
                <w:sz w:val="24"/>
                <w:szCs w:val="24"/>
              </w:rPr>
              <w:t>物</w:t>
            </w:r>
          </w:p>
          <w:p w14:paraId="6454B5F5">
            <w:pPr>
              <w:spacing w:line="360" w:lineRule="auto"/>
              <w:jc w:val="center"/>
              <w:rPr>
                <w:rFonts w:hint="eastAsia" w:ascii="宋体" w:hAnsi="宋体" w:cs="宋体"/>
                <w:bCs/>
                <w:color w:val="auto"/>
                <w:sz w:val="24"/>
                <w:szCs w:val="24"/>
              </w:rPr>
            </w:pPr>
            <w:r>
              <w:rPr>
                <w:rFonts w:hint="eastAsia" w:ascii="宋体" w:hAnsi="宋体" w:cs="宋体"/>
                <w:bCs/>
                <w:color w:val="auto"/>
                <w:sz w:val="24"/>
                <w:szCs w:val="24"/>
              </w:rPr>
              <w:t>费</w:t>
            </w:r>
          </w:p>
        </w:tc>
        <w:tc>
          <w:tcPr>
            <w:tcW w:w="771" w:type="dxa"/>
            <w:tcBorders>
              <w:top w:val="single" w:color="auto" w:sz="6" w:space="0"/>
              <w:left w:val="single" w:color="auto" w:sz="6" w:space="0"/>
              <w:bottom w:val="single" w:color="auto" w:sz="6" w:space="0"/>
              <w:right w:val="single" w:color="auto" w:sz="4" w:space="0"/>
            </w:tcBorders>
            <w:noWrap w:val="0"/>
            <w:vAlign w:val="center"/>
          </w:tcPr>
          <w:p w14:paraId="64A938AA">
            <w:pPr>
              <w:spacing w:line="360" w:lineRule="auto"/>
              <w:jc w:val="center"/>
              <w:rPr>
                <w:rFonts w:hint="eastAsia" w:ascii="宋体" w:hAnsi="宋体" w:cs="宋体"/>
                <w:bCs/>
                <w:color w:val="auto"/>
                <w:sz w:val="24"/>
                <w:szCs w:val="24"/>
              </w:rPr>
            </w:pPr>
          </w:p>
        </w:tc>
        <w:tc>
          <w:tcPr>
            <w:tcW w:w="1786" w:type="dxa"/>
            <w:tcBorders>
              <w:top w:val="single" w:color="auto" w:sz="6" w:space="0"/>
              <w:left w:val="single" w:color="auto" w:sz="4" w:space="0"/>
              <w:bottom w:val="single" w:color="auto" w:sz="6" w:space="0"/>
              <w:right w:val="single" w:color="auto" w:sz="6" w:space="0"/>
            </w:tcBorders>
            <w:noWrap w:val="0"/>
            <w:vAlign w:val="center"/>
          </w:tcPr>
          <w:p w14:paraId="0EE861E4">
            <w:pPr>
              <w:spacing w:line="360" w:lineRule="auto"/>
              <w:jc w:val="center"/>
              <w:rPr>
                <w:rFonts w:hint="eastAsia" w:ascii="宋体" w:hAnsi="宋体" w:cs="宋体"/>
                <w:color w:val="auto"/>
                <w:sz w:val="24"/>
                <w:szCs w:val="24"/>
              </w:rPr>
            </w:pPr>
          </w:p>
        </w:tc>
        <w:tc>
          <w:tcPr>
            <w:tcW w:w="1304" w:type="dxa"/>
            <w:tcBorders>
              <w:top w:val="single" w:color="auto" w:sz="6" w:space="0"/>
              <w:left w:val="single" w:color="auto" w:sz="6" w:space="0"/>
              <w:bottom w:val="single" w:color="auto" w:sz="6" w:space="0"/>
              <w:right w:val="single" w:color="auto" w:sz="6" w:space="0"/>
            </w:tcBorders>
            <w:noWrap w:val="0"/>
            <w:vAlign w:val="center"/>
          </w:tcPr>
          <w:p w14:paraId="26832766">
            <w:pPr>
              <w:spacing w:line="360" w:lineRule="auto"/>
              <w:jc w:val="center"/>
              <w:rPr>
                <w:rFonts w:hint="eastAsia" w:ascii="宋体" w:hAnsi="宋体" w:cs="宋体"/>
                <w:color w:val="auto"/>
                <w:sz w:val="24"/>
                <w:szCs w:val="24"/>
              </w:rPr>
            </w:pPr>
          </w:p>
        </w:tc>
        <w:tc>
          <w:tcPr>
            <w:tcW w:w="1395" w:type="dxa"/>
            <w:tcBorders>
              <w:top w:val="single" w:color="auto" w:sz="6" w:space="0"/>
              <w:left w:val="single" w:color="auto" w:sz="6" w:space="0"/>
              <w:bottom w:val="single" w:color="auto" w:sz="6" w:space="0"/>
              <w:right w:val="single" w:color="auto" w:sz="6" w:space="0"/>
            </w:tcBorders>
            <w:noWrap w:val="0"/>
            <w:vAlign w:val="center"/>
          </w:tcPr>
          <w:p w14:paraId="37F068C1">
            <w:pPr>
              <w:spacing w:line="360" w:lineRule="auto"/>
              <w:jc w:val="center"/>
              <w:rPr>
                <w:rFonts w:hint="eastAsia" w:ascii="宋体" w:hAnsi="宋体" w:cs="宋体"/>
                <w:color w:val="auto"/>
                <w:sz w:val="24"/>
                <w:szCs w:val="24"/>
              </w:rPr>
            </w:pPr>
          </w:p>
        </w:tc>
        <w:tc>
          <w:tcPr>
            <w:tcW w:w="660" w:type="dxa"/>
            <w:tcBorders>
              <w:top w:val="single" w:color="auto" w:sz="6" w:space="0"/>
              <w:left w:val="single" w:color="auto" w:sz="6" w:space="0"/>
              <w:bottom w:val="single" w:color="auto" w:sz="6" w:space="0"/>
              <w:right w:val="single" w:color="auto" w:sz="6" w:space="0"/>
            </w:tcBorders>
            <w:noWrap w:val="0"/>
            <w:vAlign w:val="center"/>
          </w:tcPr>
          <w:p w14:paraId="74981B42">
            <w:pPr>
              <w:spacing w:line="360" w:lineRule="auto"/>
              <w:jc w:val="center"/>
              <w:rPr>
                <w:rFonts w:hint="eastAsia" w:ascii="宋体" w:hAnsi="宋体" w:cs="宋体"/>
                <w:color w:val="auto"/>
                <w:sz w:val="24"/>
                <w:szCs w:val="24"/>
              </w:rPr>
            </w:pPr>
          </w:p>
        </w:tc>
        <w:tc>
          <w:tcPr>
            <w:tcW w:w="780" w:type="dxa"/>
            <w:tcBorders>
              <w:top w:val="single" w:color="auto" w:sz="6" w:space="0"/>
              <w:left w:val="single" w:color="auto" w:sz="6" w:space="0"/>
              <w:bottom w:val="single" w:color="auto" w:sz="6" w:space="0"/>
              <w:right w:val="single" w:color="auto" w:sz="6" w:space="0"/>
            </w:tcBorders>
            <w:noWrap w:val="0"/>
            <w:vAlign w:val="center"/>
          </w:tcPr>
          <w:p w14:paraId="2CA648CD">
            <w:pPr>
              <w:spacing w:line="360" w:lineRule="auto"/>
              <w:jc w:val="center"/>
              <w:rPr>
                <w:rFonts w:hint="eastAsia" w:ascii="宋体" w:hAnsi="宋体" w:cs="宋体"/>
                <w:color w:val="auto"/>
                <w:sz w:val="24"/>
                <w:szCs w:val="24"/>
              </w:rPr>
            </w:pPr>
          </w:p>
        </w:tc>
        <w:tc>
          <w:tcPr>
            <w:tcW w:w="720" w:type="dxa"/>
            <w:tcBorders>
              <w:top w:val="single" w:color="auto" w:sz="6" w:space="0"/>
              <w:left w:val="single" w:color="auto" w:sz="6" w:space="0"/>
              <w:bottom w:val="single" w:color="auto" w:sz="6" w:space="0"/>
              <w:right w:val="single" w:color="auto" w:sz="6" w:space="0"/>
            </w:tcBorders>
            <w:noWrap w:val="0"/>
            <w:vAlign w:val="center"/>
          </w:tcPr>
          <w:p w14:paraId="1019243E">
            <w:pPr>
              <w:spacing w:line="360" w:lineRule="auto"/>
              <w:jc w:val="center"/>
              <w:rPr>
                <w:rFonts w:hint="eastAsia" w:ascii="宋体" w:hAnsi="宋体" w:cs="宋体"/>
                <w:color w:val="auto"/>
                <w:sz w:val="24"/>
                <w:szCs w:val="24"/>
              </w:rPr>
            </w:pPr>
          </w:p>
        </w:tc>
        <w:tc>
          <w:tcPr>
            <w:tcW w:w="848" w:type="dxa"/>
            <w:tcBorders>
              <w:top w:val="single" w:color="auto" w:sz="6" w:space="0"/>
              <w:left w:val="single" w:color="auto" w:sz="6" w:space="0"/>
              <w:bottom w:val="single" w:color="auto" w:sz="6" w:space="0"/>
              <w:right w:val="single" w:color="auto" w:sz="6" w:space="0"/>
            </w:tcBorders>
            <w:noWrap w:val="0"/>
            <w:vAlign w:val="center"/>
          </w:tcPr>
          <w:p w14:paraId="48026F82">
            <w:pPr>
              <w:spacing w:line="360" w:lineRule="auto"/>
              <w:jc w:val="center"/>
              <w:rPr>
                <w:rFonts w:hint="eastAsia" w:ascii="宋体" w:hAnsi="宋体" w:cs="宋体"/>
                <w:color w:val="auto"/>
                <w:sz w:val="24"/>
                <w:szCs w:val="24"/>
              </w:rPr>
            </w:pPr>
          </w:p>
        </w:tc>
      </w:tr>
      <w:tr w14:paraId="4148D00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cantSplit/>
          <w:trHeight w:val="567" w:hRule="exact"/>
        </w:trPr>
        <w:tc>
          <w:tcPr>
            <w:tcW w:w="554" w:type="dxa"/>
            <w:vMerge w:val="continue"/>
            <w:tcBorders>
              <w:left w:val="single" w:color="auto" w:sz="6" w:space="0"/>
              <w:right w:val="single" w:color="auto" w:sz="6" w:space="0"/>
            </w:tcBorders>
            <w:noWrap w:val="0"/>
            <w:vAlign w:val="center"/>
          </w:tcPr>
          <w:p w14:paraId="7F0249CE">
            <w:pPr>
              <w:spacing w:line="360" w:lineRule="auto"/>
              <w:jc w:val="center"/>
              <w:rPr>
                <w:rFonts w:hint="eastAsia" w:ascii="宋体" w:hAnsi="宋体" w:cs="宋体"/>
                <w:bCs/>
                <w:color w:val="auto"/>
                <w:sz w:val="24"/>
                <w:szCs w:val="24"/>
              </w:rPr>
            </w:pPr>
          </w:p>
        </w:tc>
        <w:tc>
          <w:tcPr>
            <w:tcW w:w="771" w:type="dxa"/>
            <w:tcBorders>
              <w:top w:val="single" w:color="auto" w:sz="6" w:space="0"/>
              <w:left w:val="single" w:color="auto" w:sz="6" w:space="0"/>
              <w:bottom w:val="single" w:color="auto" w:sz="6" w:space="0"/>
              <w:right w:val="single" w:color="auto" w:sz="4" w:space="0"/>
            </w:tcBorders>
            <w:noWrap w:val="0"/>
            <w:vAlign w:val="center"/>
          </w:tcPr>
          <w:p w14:paraId="3C2D013D">
            <w:pPr>
              <w:spacing w:line="360" w:lineRule="auto"/>
              <w:jc w:val="center"/>
              <w:rPr>
                <w:rFonts w:hint="eastAsia" w:ascii="宋体" w:hAnsi="宋体" w:cs="宋体"/>
                <w:bCs/>
                <w:color w:val="auto"/>
                <w:sz w:val="24"/>
                <w:szCs w:val="24"/>
              </w:rPr>
            </w:pPr>
          </w:p>
        </w:tc>
        <w:tc>
          <w:tcPr>
            <w:tcW w:w="1786" w:type="dxa"/>
            <w:tcBorders>
              <w:top w:val="single" w:color="auto" w:sz="6" w:space="0"/>
              <w:left w:val="single" w:color="auto" w:sz="4" w:space="0"/>
              <w:bottom w:val="single" w:color="auto" w:sz="6" w:space="0"/>
              <w:right w:val="single" w:color="auto" w:sz="6" w:space="0"/>
            </w:tcBorders>
            <w:noWrap w:val="0"/>
            <w:vAlign w:val="center"/>
          </w:tcPr>
          <w:p w14:paraId="4A9D87B2">
            <w:pPr>
              <w:spacing w:line="360" w:lineRule="auto"/>
              <w:jc w:val="center"/>
              <w:rPr>
                <w:rFonts w:hint="eastAsia" w:ascii="宋体" w:hAnsi="宋体" w:cs="宋体"/>
                <w:color w:val="auto"/>
                <w:sz w:val="24"/>
                <w:szCs w:val="24"/>
              </w:rPr>
            </w:pPr>
          </w:p>
        </w:tc>
        <w:tc>
          <w:tcPr>
            <w:tcW w:w="1304" w:type="dxa"/>
            <w:tcBorders>
              <w:top w:val="single" w:color="auto" w:sz="6" w:space="0"/>
              <w:left w:val="single" w:color="auto" w:sz="6" w:space="0"/>
              <w:bottom w:val="single" w:color="auto" w:sz="6" w:space="0"/>
              <w:right w:val="single" w:color="auto" w:sz="6" w:space="0"/>
            </w:tcBorders>
            <w:noWrap w:val="0"/>
            <w:vAlign w:val="center"/>
          </w:tcPr>
          <w:p w14:paraId="0B383C2D">
            <w:pPr>
              <w:spacing w:line="360" w:lineRule="auto"/>
              <w:jc w:val="center"/>
              <w:rPr>
                <w:rFonts w:hint="eastAsia" w:ascii="宋体" w:hAnsi="宋体" w:cs="宋体"/>
                <w:color w:val="auto"/>
                <w:sz w:val="24"/>
                <w:szCs w:val="24"/>
              </w:rPr>
            </w:pPr>
          </w:p>
        </w:tc>
        <w:tc>
          <w:tcPr>
            <w:tcW w:w="1395" w:type="dxa"/>
            <w:tcBorders>
              <w:top w:val="single" w:color="auto" w:sz="6" w:space="0"/>
              <w:left w:val="single" w:color="auto" w:sz="6" w:space="0"/>
              <w:bottom w:val="single" w:color="auto" w:sz="6" w:space="0"/>
              <w:right w:val="single" w:color="auto" w:sz="6" w:space="0"/>
            </w:tcBorders>
            <w:noWrap w:val="0"/>
            <w:vAlign w:val="center"/>
          </w:tcPr>
          <w:p w14:paraId="30B70736">
            <w:pPr>
              <w:spacing w:line="360" w:lineRule="auto"/>
              <w:jc w:val="center"/>
              <w:rPr>
                <w:rFonts w:hint="eastAsia" w:ascii="宋体" w:hAnsi="宋体" w:cs="宋体"/>
                <w:color w:val="auto"/>
                <w:sz w:val="24"/>
                <w:szCs w:val="24"/>
              </w:rPr>
            </w:pPr>
          </w:p>
        </w:tc>
        <w:tc>
          <w:tcPr>
            <w:tcW w:w="660" w:type="dxa"/>
            <w:tcBorders>
              <w:top w:val="single" w:color="auto" w:sz="6" w:space="0"/>
              <w:left w:val="single" w:color="auto" w:sz="6" w:space="0"/>
              <w:bottom w:val="single" w:color="auto" w:sz="6" w:space="0"/>
              <w:right w:val="single" w:color="auto" w:sz="6" w:space="0"/>
            </w:tcBorders>
            <w:noWrap w:val="0"/>
            <w:vAlign w:val="center"/>
          </w:tcPr>
          <w:p w14:paraId="3FBF80F6">
            <w:pPr>
              <w:spacing w:line="360" w:lineRule="auto"/>
              <w:jc w:val="center"/>
              <w:rPr>
                <w:rFonts w:hint="eastAsia" w:ascii="宋体" w:hAnsi="宋体" w:cs="宋体"/>
                <w:color w:val="auto"/>
                <w:sz w:val="24"/>
                <w:szCs w:val="24"/>
              </w:rPr>
            </w:pPr>
          </w:p>
        </w:tc>
        <w:tc>
          <w:tcPr>
            <w:tcW w:w="780" w:type="dxa"/>
            <w:tcBorders>
              <w:top w:val="single" w:color="auto" w:sz="6" w:space="0"/>
              <w:left w:val="single" w:color="auto" w:sz="6" w:space="0"/>
              <w:bottom w:val="single" w:color="auto" w:sz="6" w:space="0"/>
              <w:right w:val="single" w:color="auto" w:sz="6" w:space="0"/>
            </w:tcBorders>
            <w:noWrap w:val="0"/>
            <w:vAlign w:val="center"/>
          </w:tcPr>
          <w:p w14:paraId="4C7DD1D2">
            <w:pPr>
              <w:spacing w:line="360" w:lineRule="auto"/>
              <w:jc w:val="center"/>
              <w:rPr>
                <w:rFonts w:hint="eastAsia" w:ascii="宋体" w:hAnsi="宋体" w:cs="宋体"/>
                <w:color w:val="auto"/>
                <w:sz w:val="24"/>
                <w:szCs w:val="24"/>
              </w:rPr>
            </w:pPr>
          </w:p>
        </w:tc>
        <w:tc>
          <w:tcPr>
            <w:tcW w:w="720" w:type="dxa"/>
            <w:tcBorders>
              <w:top w:val="single" w:color="auto" w:sz="6" w:space="0"/>
              <w:left w:val="single" w:color="auto" w:sz="6" w:space="0"/>
              <w:bottom w:val="single" w:color="auto" w:sz="6" w:space="0"/>
              <w:right w:val="single" w:color="auto" w:sz="6" w:space="0"/>
            </w:tcBorders>
            <w:noWrap w:val="0"/>
            <w:vAlign w:val="center"/>
          </w:tcPr>
          <w:p w14:paraId="4BCAF42F">
            <w:pPr>
              <w:spacing w:line="360" w:lineRule="auto"/>
              <w:jc w:val="center"/>
              <w:rPr>
                <w:rFonts w:hint="eastAsia" w:ascii="宋体" w:hAnsi="宋体" w:cs="宋体"/>
                <w:color w:val="auto"/>
                <w:sz w:val="24"/>
                <w:szCs w:val="24"/>
              </w:rPr>
            </w:pPr>
          </w:p>
        </w:tc>
        <w:tc>
          <w:tcPr>
            <w:tcW w:w="848" w:type="dxa"/>
            <w:tcBorders>
              <w:top w:val="single" w:color="auto" w:sz="6" w:space="0"/>
              <w:left w:val="single" w:color="auto" w:sz="6" w:space="0"/>
              <w:bottom w:val="single" w:color="auto" w:sz="6" w:space="0"/>
              <w:right w:val="single" w:color="auto" w:sz="6" w:space="0"/>
            </w:tcBorders>
            <w:noWrap w:val="0"/>
            <w:vAlign w:val="center"/>
          </w:tcPr>
          <w:p w14:paraId="69D4BA71">
            <w:pPr>
              <w:spacing w:line="360" w:lineRule="auto"/>
              <w:jc w:val="center"/>
              <w:rPr>
                <w:rFonts w:hint="eastAsia" w:ascii="宋体" w:hAnsi="宋体" w:cs="宋体"/>
                <w:color w:val="auto"/>
                <w:sz w:val="24"/>
                <w:szCs w:val="24"/>
              </w:rPr>
            </w:pPr>
          </w:p>
        </w:tc>
      </w:tr>
      <w:tr w14:paraId="068FCDE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cantSplit/>
          <w:trHeight w:val="567" w:hRule="exact"/>
        </w:trPr>
        <w:tc>
          <w:tcPr>
            <w:tcW w:w="554" w:type="dxa"/>
            <w:vMerge w:val="continue"/>
            <w:tcBorders>
              <w:left w:val="single" w:color="auto" w:sz="6" w:space="0"/>
              <w:right w:val="single" w:color="auto" w:sz="6" w:space="0"/>
            </w:tcBorders>
            <w:noWrap w:val="0"/>
            <w:vAlign w:val="center"/>
          </w:tcPr>
          <w:p w14:paraId="34D05AB4">
            <w:pPr>
              <w:spacing w:line="360" w:lineRule="auto"/>
              <w:jc w:val="center"/>
              <w:rPr>
                <w:rFonts w:hint="eastAsia" w:ascii="宋体" w:hAnsi="宋体" w:cs="宋体"/>
                <w:bCs/>
                <w:color w:val="auto"/>
                <w:sz w:val="24"/>
                <w:szCs w:val="24"/>
              </w:rPr>
            </w:pPr>
          </w:p>
        </w:tc>
        <w:tc>
          <w:tcPr>
            <w:tcW w:w="771" w:type="dxa"/>
            <w:tcBorders>
              <w:top w:val="single" w:color="auto" w:sz="6" w:space="0"/>
              <w:left w:val="single" w:color="auto" w:sz="6" w:space="0"/>
              <w:bottom w:val="single" w:color="auto" w:sz="6" w:space="0"/>
              <w:right w:val="single" w:color="auto" w:sz="4" w:space="0"/>
            </w:tcBorders>
            <w:noWrap w:val="0"/>
            <w:vAlign w:val="center"/>
          </w:tcPr>
          <w:p w14:paraId="4DA36879">
            <w:pPr>
              <w:spacing w:line="360" w:lineRule="auto"/>
              <w:jc w:val="center"/>
              <w:rPr>
                <w:rFonts w:hint="eastAsia" w:ascii="宋体" w:hAnsi="宋体" w:cs="宋体"/>
                <w:bCs/>
                <w:color w:val="auto"/>
                <w:sz w:val="24"/>
                <w:szCs w:val="24"/>
              </w:rPr>
            </w:pPr>
          </w:p>
        </w:tc>
        <w:tc>
          <w:tcPr>
            <w:tcW w:w="1786" w:type="dxa"/>
            <w:tcBorders>
              <w:top w:val="single" w:color="auto" w:sz="6" w:space="0"/>
              <w:left w:val="single" w:color="auto" w:sz="4" w:space="0"/>
              <w:bottom w:val="single" w:color="auto" w:sz="6" w:space="0"/>
              <w:right w:val="single" w:color="auto" w:sz="6" w:space="0"/>
            </w:tcBorders>
            <w:noWrap w:val="0"/>
            <w:vAlign w:val="center"/>
          </w:tcPr>
          <w:p w14:paraId="338B3D0F">
            <w:pPr>
              <w:spacing w:line="360" w:lineRule="auto"/>
              <w:jc w:val="center"/>
              <w:rPr>
                <w:rFonts w:hint="eastAsia" w:ascii="宋体" w:hAnsi="宋体" w:cs="宋体"/>
                <w:color w:val="auto"/>
                <w:sz w:val="24"/>
                <w:szCs w:val="24"/>
              </w:rPr>
            </w:pPr>
          </w:p>
        </w:tc>
        <w:tc>
          <w:tcPr>
            <w:tcW w:w="1304" w:type="dxa"/>
            <w:tcBorders>
              <w:top w:val="single" w:color="auto" w:sz="6" w:space="0"/>
              <w:left w:val="single" w:color="auto" w:sz="6" w:space="0"/>
              <w:bottom w:val="single" w:color="auto" w:sz="6" w:space="0"/>
              <w:right w:val="single" w:color="auto" w:sz="6" w:space="0"/>
            </w:tcBorders>
            <w:noWrap w:val="0"/>
            <w:vAlign w:val="center"/>
          </w:tcPr>
          <w:p w14:paraId="06AC367A">
            <w:pPr>
              <w:spacing w:line="360" w:lineRule="auto"/>
              <w:jc w:val="center"/>
              <w:rPr>
                <w:rFonts w:hint="eastAsia" w:ascii="宋体" w:hAnsi="宋体" w:cs="宋体"/>
                <w:color w:val="auto"/>
                <w:sz w:val="24"/>
                <w:szCs w:val="24"/>
              </w:rPr>
            </w:pPr>
          </w:p>
        </w:tc>
        <w:tc>
          <w:tcPr>
            <w:tcW w:w="1395" w:type="dxa"/>
            <w:tcBorders>
              <w:top w:val="single" w:color="auto" w:sz="6" w:space="0"/>
              <w:left w:val="single" w:color="auto" w:sz="6" w:space="0"/>
              <w:bottom w:val="single" w:color="auto" w:sz="6" w:space="0"/>
              <w:right w:val="single" w:color="auto" w:sz="6" w:space="0"/>
            </w:tcBorders>
            <w:noWrap w:val="0"/>
            <w:vAlign w:val="center"/>
          </w:tcPr>
          <w:p w14:paraId="0096F955">
            <w:pPr>
              <w:spacing w:line="360" w:lineRule="auto"/>
              <w:jc w:val="center"/>
              <w:rPr>
                <w:rFonts w:hint="eastAsia" w:ascii="宋体" w:hAnsi="宋体" w:cs="宋体"/>
                <w:color w:val="auto"/>
                <w:sz w:val="24"/>
                <w:szCs w:val="24"/>
              </w:rPr>
            </w:pPr>
          </w:p>
        </w:tc>
        <w:tc>
          <w:tcPr>
            <w:tcW w:w="660" w:type="dxa"/>
            <w:tcBorders>
              <w:top w:val="single" w:color="auto" w:sz="6" w:space="0"/>
              <w:left w:val="single" w:color="auto" w:sz="6" w:space="0"/>
              <w:bottom w:val="single" w:color="auto" w:sz="6" w:space="0"/>
              <w:right w:val="single" w:color="auto" w:sz="6" w:space="0"/>
            </w:tcBorders>
            <w:noWrap w:val="0"/>
            <w:vAlign w:val="center"/>
          </w:tcPr>
          <w:p w14:paraId="304633DD">
            <w:pPr>
              <w:spacing w:line="360" w:lineRule="auto"/>
              <w:jc w:val="center"/>
              <w:rPr>
                <w:rFonts w:hint="eastAsia" w:ascii="宋体" w:hAnsi="宋体" w:cs="宋体"/>
                <w:color w:val="auto"/>
                <w:sz w:val="24"/>
                <w:szCs w:val="24"/>
              </w:rPr>
            </w:pPr>
          </w:p>
        </w:tc>
        <w:tc>
          <w:tcPr>
            <w:tcW w:w="780" w:type="dxa"/>
            <w:tcBorders>
              <w:top w:val="single" w:color="auto" w:sz="6" w:space="0"/>
              <w:left w:val="single" w:color="auto" w:sz="6" w:space="0"/>
              <w:bottom w:val="single" w:color="auto" w:sz="6" w:space="0"/>
              <w:right w:val="single" w:color="auto" w:sz="6" w:space="0"/>
            </w:tcBorders>
            <w:noWrap w:val="0"/>
            <w:vAlign w:val="center"/>
          </w:tcPr>
          <w:p w14:paraId="11DE2C95">
            <w:pPr>
              <w:spacing w:line="360" w:lineRule="auto"/>
              <w:jc w:val="center"/>
              <w:rPr>
                <w:rFonts w:hint="eastAsia" w:ascii="宋体" w:hAnsi="宋体" w:cs="宋体"/>
                <w:color w:val="auto"/>
                <w:sz w:val="24"/>
                <w:szCs w:val="24"/>
              </w:rPr>
            </w:pPr>
          </w:p>
        </w:tc>
        <w:tc>
          <w:tcPr>
            <w:tcW w:w="720" w:type="dxa"/>
            <w:tcBorders>
              <w:top w:val="single" w:color="auto" w:sz="6" w:space="0"/>
              <w:left w:val="single" w:color="auto" w:sz="6" w:space="0"/>
              <w:bottom w:val="single" w:color="auto" w:sz="6" w:space="0"/>
              <w:right w:val="single" w:color="auto" w:sz="6" w:space="0"/>
            </w:tcBorders>
            <w:noWrap w:val="0"/>
            <w:vAlign w:val="center"/>
          </w:tcPr>
          <w:p w14:paraId="7215F3F5">
            <w:pPr>
              <w:spacing w:line="360" w:lineRule="auto"/>
              <w:jc w:val="center"/>
              <w:rPr>
                <w:rFonts w:hint="eastAsia" w:ascii="宋体" w:hAnsi="宋体" w:cs="宋体"/>
                <w:color w:val="auto"/>
                <w:sz w:val="24"/>
                <w:szCs w:val="24"/>
              </w:rPr>
            </w:pPr>
          </w:p>
        </w:tc>
        <w:tc>
          <w:tcPr>
            <w:tcW w:w="848" w:type="dxa"/>
            <w:tcBorders>
              <w:top w:val="single" w:color="auto" w:sz="6" w:space="0"/>
              <w:left w:val="single" w:color="auto" w:sz="6" w:space="0"/>
              <w:bottom w:val="single" w:color="auto" w:sz="6" w:space="0"/>
              <w:right w:val="single" w:color="auto" w:sz="6" w:space="0"/>
            </w:tcBorders>
            <w:noWrap w:val="0"/>
            <w:vAlign w:val="center"/>
          </w:tcPr>
          <w:p w14:paraId="7A1084C9">
            <w:pPr>
              <w:spacing w:line="360" w:lineRule="auto"/>
              <w:jc w:val="center"/>
              <w:rPr>
                <w:rFonts w:hint="eastAsia" w:ascii="宋体" w:hAnsi="宋体" w:cs="宋体"/>
                <w:color w:val="auto"/>
                <w:sz w:val="24"/>
                <w:szCs w:val="24"/>
              </w:rPr>
            </w:pPr>
          </w:p>
        </w:tc>
      </w:tr>
      <w:tr w14:paraId="5E7FF31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cantSplit/>
          <w:trHeight w:val="567" w:hRule="exact"/>
        </w:trPr>
        <w:tc>
          <w:tcPr>
            <w:tcW w:w="554" w:type="dxa"/>
            <w:vMerge w:val="continue"/>
            <w:tcBorders>
              <w:left w:val="single" w:color="auto" w:sz="6" w:space="0"/>
              <w:right w:val="single" w:color="auto" w:sz="6" w:space="0"/>
            </w:tcBorders>
            <w:noWrap w:val="0"/>
            <w:vAlign w:val="center"/>
          </w:tcPr>
          <w:p w14:paraId="77E23EFB">
            <w:pPr>
              <w:spacing w:line="360" w:lineRule="auto"/>
              <w:jc w:val="center"/>
              <w:rPr>
                <w:rFonts w:hint="eastAsia" w:ascii="宋体" w:hAnsi="宋体" w:cs="宋体"/>
                <w:bCs/>
                <w:color w:val="auto"/>
                <w:sz w:val="24"/>
                <w:szCs w:val="24"/>
              </w:rPr>
            </w:pPr>
          </w:p>
        </w:tc>
        <w:tc>
          <w:tcPr>
            <w:tcW w:w="771" w:type="dxa"/>
            <w:tcBorders>
              <w:top w:val="single" w:color="auto" w:sz="6" w:space="0"/>
              <w:left w:val="single" w:color="auto" w:sz="6" w:space="0"/>
              <w:bottom w:val="single" w:color="auto" w:sz="6" w:space="0"/>
              <w:right w:val="single" w:color="auto" w:sz="4" w:space="0"/>
            </w:tcBorders>
            <w:noWrap w:val="0"/>
            <w:vAlign w:val="center"/>
          </w:tcPr>
          <w:p w14:paraId="7C4A466E">
            <w:pPr>
              <w:spacing w:line="360" w:lineRule="auto"/>
              <w:jc w:val="center"/>
              <w:rPr>
                <w:rFonts w:hint="eastAsia" w:ascii="宋体" w:hAnsi="宋体" w:cs="宋体"/>
                <w:bCs/>
                <w:color w:val="auto"/>
                <w:sz w:val="24"/>
                <w:szCs w:val="24"/>
              </w:rPr>
            </w:pPr>
          </w:p>
        </w:tc>
        <w:tc>
          <w:tcPr>
            <w:tcW w:w="1786" w:type="dxa"/>
            <w:tcBorders>
              <w:top w:val="single" w:color="auto" w:sz="6" w:space="0"/>
              <w:left w:val="single" w:color="auto" w:sz="4" w:space="0"/>
              <w:bottom w:val="single" w:color="auto" w:sz="6" w:space="0"/>
              <w:right w:val="single" w:color="auto" w:sz="6" w:space="0"/>
            </w:tcBorders>
            <w:noWrap w:val="0"/>
            <w:vAlign w:val="center"/>
          </w:tcPr>
          <w:p w14:paraId="03EE3126">
            <w:pPr>
              <w:spacing w:line="360" w:lineRule="auto"/>
              <w:jc w:val="center"/>
              <w:rPr>
                <w:rFonts w:hint="eastAsia" w:ascii="宋体" w:hAnsi="宋体" w:cs="宋体"/>
                <w:color w:val="auto"/>
                <w:sz w:val="24"/>
                <w:szCs w:val="24"/>
              </w:rPr>
            </w:pPr>
          </w:p>
        </w:tc>
        <w:tc>
          <w:tcPr>
            <w:tcW w:w="1304" w:type="dxa"/>
            <w:tcBorders>
              <w:top w:val="single" w:color="auto" w:sz="6" w:space="0"/>
              <w:left w:val="single" w:color="auto" w:sz="6" w:space="0"/>
              <w:bottom w:val="single" w:color="auto" w:sz="6" w:space="0"/>
              <w:right w:val="single" w:color="auto" w:sz="6" w:space="0"/>
            </w:tcBorders>
            <w:noWrap w:val="0"/>
            <w:vAlign w:val="center"/>
          </w:tcPr>
          <w:p w14:paraId="33BF0ED7">
            <w:pPr>
              <w:spacing w:line="360" w:lineRule="auto"/>
              <w:jc w:val="center"/>
              <w:rPr>
                <w:rFonts w:hint="eastAsia" w:ascii="宋体" w:hAnsi="宋体" w:cs="宋体"/>
                <w:color w:val="auto"/>
                <w:sz w:val="24"/>
                <w:szCs w:val="24"/>
              </w:rPr>
            </w:pPr>
          </w:p>
        </w:tc>
        <w:tc>
          <w:tcPr>
            <w:tcW w:w="1395" w:type="dxa"/>
            <w:tcBorders>
              <w:top w:val="single" w:color="auto" w:sz="6" w:space="0"/>
              <w:left w:val="single" w:color="auto" w:sz="6" w:space="0"/>
              <w:bottom w:val="single" w:color="auto" w:sz="6" w:space="0"/>
              <w:right w:val="single" w:color="auto" w:sz="6" w:space="0"/>
            </w:tcBorders>
            <w:noWrap w:val="0"/>
            <w:vAlign w:val="center"/>
          </w:tcPr>
          <w:p w14:paraId="12A6D11E">
            <w:pPr>
              <w:spacing w:line="360" w:lineRule="auto"/>
              <w:jc w:val="center"/>
              <w:rPr>
                <w:rFonts w:hint="eastAsia" w:ascii="宋体" w:hAnsi="宋体" w:cs="宋体"/>
                <w:color w:val="auto"/>
                <w:sz w:val="24"/>
                <w:szCs w:val="24"/>
              </w:rPr>
            </w:pPr>
          </w:p>
        </w:tc>
        <w:tc>
          <w:tcPr>
            <w:tcW w:w="660" w:type="dxa"/>
            <w:tcBorders>
              <w:top w:val="single" w:color="auto" w:sz="6" w:space="0"/>
              <w:left w:val="single" w:color="auto" w:sz="6" w:space="0"/>
              <w:bottom w:val="single" w:color="auto" w:sz="6" w:space="0"/>
              <w:right w:val="single" w:color="auto" w:sz="6" w:space="0"/>
            </w:tcBorders>
            <w:noWrap w:val="0"/>
            <w:vAlign w:val="center"/>
          </w:tcPr>
          <w:p w14:paraId="60B53E3A">
            <w:pPr>
              <w:spacing w:line="360" w:lineRule="auto"/>
              <w:jc w:val="center"/>
              <w:rPr>
                <w:rFonts w:hint="eastAsia" w:ascii="宋体" w:hAnsi="宋体" w:cs="宋体"/>
                <w:color w:val="auto"/>
                <w:sz w:val="24"/>
                <w:szCs w:val="24"/>
              </w:rPr>
            </w:pPr>
          </w:p>
        </w:tc>
        <w:tc>
          <w:tcPr>
            <w:tcW w:w="780" w:type="dxa"/>
            <w:tcBorders>
              <w:top w:val="single" w:color="auto" w:sz="6" w:space="0"/>
              <w:left w:val="single" w:color="auto" w:sz="6" w:space="0"/>
              <w:bottom w:val="single" w:color="auto" w:sz="6" w:space="0"/>
              <w:right w:val="single" w:color="auto" w:sz="6" w:space="0"/>
            </w:tcBorders>
            <w:noWrap w:val="0"/>
            <w:vAlign w:val="center"/>
          </w:tcPr>
          <w:p w14:paraId="7CB3CC58">
            <w:pPr>
              <w:spacing w:line="360" w:lineRule="auto"/>
              <w:jc w:val="center"/>
              <w:rPr>
                <w:rFonts w:hint="eastAsia" w:ascii="宋体" w:hAnsi="宋体" w:cs="宋体"/>
                <w:color w:val="auto"/>
                <w:sz w:val="24"/>
                <w:szCs w:val="24"/>
              </w:rPr>
            </w:pPr>
          </w:p>
        </w:tc>
        <w:tc>
          <w:tcPr>
            <w:tcW w:w="720" w:type="dxa"/>
            <w:tcBorders>
              <w:top w:val="single" w:color="auto" w:sz="6" w:space="0"/>
              <w:left w:val="single" w:color="auto" w:sz="6" w:space="0"/>
              <w:bottom w:val="single" w:color="auto" w:sz="6" w:space="0"/>
              <w:right w:val="single" w:color="auto" w:sz="6" w:space="0"/>
            </w:tcBorders>
            <w:noWrap w:val="0"/>
            <w:vAlign w:val="center"/>
          </w:tcPr>
          <w:p w14:paraId="5729E946">
            <w:pPr>
              <w:spacing w:line="360" w:lineRule="auto"/>
              <w:jc w:val="center"/>
              <w:rPr>
                <w:rFonts w:hint="eastAsia" w:ascii="宋体" w:hAnsi="宋体" w:cs="宋体"/>
                <w:color w:val="auto"/>
                <w:sz w:val="24"/>
                <w:szCs w:val="24"/>
              </w:rPr>
            </w:pPr>
          </w:p>
        </w:tc>
        <w:tc>
          <w:tcPr>
            <w:tcW w:w="848" w:type="dxa"/>
            <w:tcBorders>
              <w:top w:val="single" w:color="auto" w:sz="6" w:space="0"/>
              <w:left w:val="single" w:color="auto" w:sz="6" w:space="0"/>
              <w:bottom w:val="single" w:color="auto" w:sz="6" w:space="0"/>
              <w:right w:val="single" w:color="auto" w:sz="6" w:space="0"/>
            </w:tcBorders>
            <w:noWrap w:val="0"/>
            <w:vAlign w:val="center"/>
          </w:tcPr>
          <w:p w14:paraId="6861E0DD">
            <w:pPr>
              <w:spacing w:line="360" w:lineRule="auto"/>
              <w:jc w:val="center"/>
              <w:rPr>
                <w:rFonts w:hint="eastAsia" w:ascii="宋体" w:hAnsi="宋体" w:cs="宋体"/>
                <w:color w:val="auto"/>
                <w:sz w:val="24"/>
                <w:szCs w:val="24"/>
              </w:rPr>
            </w:pPr>
          </w:p>
        </w:tc>
      </w:tr>
      <w:tr w14:paraId="006C28A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cantSplit/>
          <w:trHeight w:val="567" w:hRule="exact"/>
        </w:trPr>
        <w:tc>
          <w:tcPr>
            <w:tcW w:w="554" w:type="dxa"/>
            <w:vMerge w:val="continue"/>
            <w:tcBorders>
              <w:left w:val="single" w:color="auto" w:sz="6" w:space="0"/>
              <w:right w:val="single" w:color="auto" w:sz="6" w:space="0"/>
            </w:tcBorders>
            <w:noWrap w:val="0"/>
            <w:vAlign w:val="center"/>
          </w:tcPr>
          <w:p w14:paraId="1C0BAE44">
            <w:pPr>
              <w:spacing w:line="360" w:lineRule="auto"/>
              <w:jc w:val="center"/>
              <w:rPr>
                <w:rFonts w:hint="eastAsia" w:ascii="宋体" w:hAnsi="宋体" w:cs="宋体"/>
                <w:b/>
                <w:color w:val="auto"/>
                <w:sz w:val="24"/>
                <w:szCs w:val="24"/>
              </w:rPr>
            </w:pPr>
          </w:p>
        </w:tc>
        <w:tc>
          <w:tcPr>
            <w:tcW w:w="771" w:type="dxa"/>
            <w:tcBorders>
              <w:top w:val="single" w:color="auto" w:sz="6" w:space="0"/>
              <w:left w:val="single" w:color="auto" w:sz="6" w:space="0"/>
              <w:bottom w:val="single" w:color="auto" w:sz="6" w:space="0"/>
              <w:right w:val="single" w:color="auto" w:sz="4" w:space="0"/>
            </w:tcBorders>
            <w:noWrap w:val="0"/>
            <w:vAlign w:val="center"/>
          </w:tcPr>
          <w:p w14:paraId="149CE85F">
            <w:pPr>
              <w:spacing w:line="360" w:lineRule="auto"/>
              <w:jc w:val="center"/>
              <w:rPr>
                <w:rFonts w:hint="eastAsia" w:ascii="宋体" w:hAnsi="宋体" w:cs="宋体"/>
                <w:color w:val="auto"/>
                <w:sz w:val="24"/>
                <w:szCs w:val="24"/>
              </w:rPr>
            </w:pPr>
          </w:p>
        </w:tc>
        <w:tc>
          <w:tcPr>
            <w:tcW w:w="1786" w:type="dxa"/>
            <w:tcBorders>
              <w:top w:val="single" w:color="auto" w:sz="6" w:space="0"/>
              <w:left w:val="single" w:color="auto" w:sz="4" w:space="0"/>
              <w:bottom w:val="single" w:color="auto" w:sz="6" w:space="0"/>
              <w:right w:val="single" w:color="auto" w:sz="6" w:space="0"/>
            </w:tcBorders>
            <w:noWrap w:val="0"/>
            <w:vAlign w:val="center"/>
          </w:tcPr>
          <w:p w14:paraId="02DBA098">
            <w:pPr>
              <w:spacing w:line="360" w:lineRule="auto"/>
              <w:jc w:val="center"/>
              <w:rPr>
                <w:rFonts w:hint="eastAsia" w:ascii="宋体" w:hAnsi="宋体" w:cs="宋体"/>
                <w:color w:val="auto"/>
                <w:sz w:val="24"/>
                <w:szCs w:val="24"/>
              </w:rPr>
            </w:pPr>
          </w:p>
        </w:tc>
        <w:tc>
          <w:tcPr>
            <w:tcW w:w="1304" w:type="dxa"/>
            <w:tcBorders>
              <w:top w:val="single" w:color="auto" w:sz="6" w:space="0"/>
              <w:left w:val="single" w:color="auto" w:sz="6" w:space="0"/>
              <w:bottom w:val="single" w:color="auto" w:sz="6" w:space="0"/>
              <w:right w:val="single" w:color="auto" w:sz="6" w:space="0"/>
            </w:tcBorders>
            <w:noWrap w:val="0"/>
            <w:vAlign w:val="center"/>
          </w:tcPr>
          <w:p w14:paraId="5CAA4AFF">
            <w:pPr>
              <w:spacing w:line="360" w:lineRule="auto"/>
              <w:jc w:val="center"/>
              <w:rPr>
                <w:rFonts w:hint="eastAsia" w:ascii="宋体" w:hAnsi="宋体" w:cs="宋体"/>
                <w:color w:val="auto"/>
                <w:sz w:val="24"/>
                <w:szCs w:val="24"/>
              </w:rPr>
            </w:pPr>
          </w:p>
        </w:tc>
        <w:tc>
          <w:tcPr>
            <w:tcW w:w="1395" w:type="dxa"/>
            <w:tcBorders>
              <w:top w:val="single" w:color="auto" w:sz="6" w:space="0"/>
              <w:left w:val="single" w:color="auto" w:sz="6" w:space="0"/>
              <w:bottom w:val="single" w:color="auto" w:sz="6" w:space="0"/>
              <w:right w:val="single" w:color="auto" w:sz="6" w:space="0"/>
            </w:tcBorders>
            <w:noWrap w:val="0"/>
            <w:vAlign w:val="center"/>
          </w:tcPr>
          <w:p w14:paraId="2B827CB9">
            <w:pPr>
              <w:spacing w:line="360" w:lineRule="auto"/>
              <w:jc w:val="center"/>
              <w:rPr>
                <w:rFonts w:hint="eastAsia" w:ascii="宋体" w:hAnsi="宋体" w:cs="宋体"/>
                <w:color w:val="auto"/>
                <w:sz w:val="24"/>
                <w:szCs w:val="24"/>
              </w:rPr>
            </w:pPr>
          </w:p>
        </w:tc>
        <w:tc>
          <w:tcPr>
            <w:tcW w:w="660" w:type="dxa"/>
            <w:tcBorders>
              <w:top w:val="single" w:color="auto" w:sz="6" w:space="0"/>
              <w:left w:val="single" w:color="auto" w:sz="6" w:space="0"/>
              <w:bottom w:val="single" w:color="auto" w:sz="6" w:space="0"/>
              <w:right w:val="single" w:color="auto" w:sz="6" w:space="0"/>
            </w:tcBorders>
            <w:noWrap w:val="0"/>
            <w:vAlign w:val="center"/>
          </w:tcPr>
          <w:p w14:paraId="6818A2BD">
            <w:pPr>
              <w:spacing w:line="360" w:lineRule="auto"/>
              <w:jc w:val="center"/>
              <w:rPr>
                <w:rFonts w:hint="eastAsia" w:ascii="宋体" w:hAnsi="宋体" w:cs="宋体"/>
                <w:color w:val="auto"/>
                <w:sz w:val="24"/>
                <w:szCs w:val="24"/>
              </w:rPr>
            </w:pPr>
          </w:p>
        </w:tc>
        <w:tc>
          <w:tcPr>
            <w:tcW w:w="780" w:type="dxa"/>
            <w:tcBorders>
              <w:top w:val="single" w:color="auto" w:sz="6" w:space="0"/>
              <w:left w:val="single" w:color="auto" w:sz="6" w:space="0"/>
              <w:bottom w:val="single" w:color="auto" w:sz="6" w:space="0"/>
              <w:right w:val="single" w:color="auto" w:sz="6" w:space="0"/>
            </w:tcBorders>
            <w:noWrap w:val="0"/>
            <w:vAlign w:val="center"/>
          </w:tcPr>
          <w:p w14:paraId="26861F87">
            <w:pPr>
              <w:spacing w:line="360" w:lineRule="auto"/>
              <w:jc w:val="center"/>
              <w:rPr>
                <w:rFonts w:hint="eastAsia" w:ascii="宋体" w:hAnsi="宋体" w:cs="宋体"/>
                <w:color w:val="auto"/>
                <w:sz w:val="24"/>
                <w:szCs w:val="24"/>
              </w:rPr>
            </w:pPr>
          </w:p>
        </w:tc>
        <w:tc>
          <w:tcPr>
            <w:tcW w:w="720" w:type="dxa"/>
            <w:tcBorders>
              <w:top w:val="single" w:color="auto" w:sz="6" w:space="0"/>
              <w:left w:val="single" w:color="auto" w:sz="6" w:space="0"/>
              <w:bottom w:val="single" w:color="auto" w:sz="6" w:space="0"/>
              <w:right w:val="single" w:color="auto" w:sz="6" w:space="0"/>
            </w:tcBorders>
            <w:noWrap w:val="0"/>
            <w:vAlign w:val="center"/>
          </w:tcPr>
          <w:p w14:paraId="0DAA16AD">
            <w:pPr>
              <w:spacing w:line="360" w:lineRule="auto"/>
              <w:jc w:val="center"/>
              <w:rPr>
                <w:rFonts w:hint="eastAsia" w:ascii="宋体" w:hAnsi="宋体" w:cs="宋体"/>
                <w:color w:val="auto"/>
                <w:sz w:val="24"/>
                <w:szCs w:val="24"/>
              </w:rPr>
            </w:pPr>
          </w:p>
        </w:tc>
        <w:tc>
          <w:tcPr>
            <w:tcW w:w="848" w:type="dxa"/>
            <w:tcBorders>
              <w:top w:val="single" w:color="auto" w:sz="6" w:space="0"/>
              <w:left w:val="single" w:color="auto" w:sz="6" w:space="0"/>
              <w:bottom w:val="single" w:color="auto" w:sz="6" w:space="0"/>
              <w:right w:val="single" w:color="auto" w:sz="6" w:space="0"/>
            </w:tcBorders>
            <w:noWrap w:val="0"/>
            <w:vAlign w:val="center"/>
          </w:tcPr>
          <w:p w14:paraId="1DEC13DF">
            <w:pPr>
              <w:spacing w:line="360" w:lineRule="auto"/>
              <w:jc w:val="center"/>
              <w:rPr>
                <w:rFonts w:hint="eastAsia" w:ascii="宋体" w:hAnsi="宋体" w:cs="宋体"/>
                <w:color w:val="auto"/>
                <w:sz w:val="24"/>
                <w:szCs w:val="24"/>
              </w:rPr>
            </w:pPr>
          </w:p>
        </w:tc>
      </w:tr>
      <w:tr w14:paraId="0F4D790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cantSplit/>
          <w:trHeight w:val="567" w:hRule="exact"/>
        </w:trPr>
        <w:tc>
          <w:tcPr>
            <w:tcW w:w="554" w:type="dxa"/>
            <w:vMerge w:val="continue"/>
            <w:tcBorders>
              <w:left w:val="single" w:color="auto" w:sz="6" w:space="0"/>
              <w:bottom w:val="single" w:color="auto" w:sz="6" w:space="0"/>
              <w:right w:val="single" w:color="auto" w:sz="6" w:space="0"/>
            </w:tcBorders>
            <w:noWrap w:val="0"/>
            <w:vAlign w:val="center"/>
          </w:tcPr>
          <w:p w14:paraId="4A7B2BEF">
            <w:pPr>
              <w:spacing w:line="360" w:lineRule="auto"/>
              <w:jc w:val="center"/>
              <w:rPr>
                <w:rFonts w:hint="eastAsia" w:ascii="宋体" w:hAnsi="宋体" w:cs="宋体"/>
                <w:b/>
                <w:color w:val="auto"/>
                <w:sz w:val="24"/>
                <w:szCs w:val="24"/>
              </w:rPr>
            </w:pPr>
          </w:p>
        </w:tc>
        <w:tc>
          <w:tcPr>
            <w:tcW w:w="771" w:type="dxa"/>
            <w:tcBorders>
              <w:top w:val="single" w:color="auto" w:sz="6" w:space="0"/>
              <w:left w:val="single" w:color="auto" w:sz="6" w:space="0"/>
              <w:bottom w:val="single" w:color="auto" w:sz="6" w:space="0"/>
              <w:right w:val="single" w:color="auto" w:sz="4" w:space="0"/>
            </w:tcBorders>
            <w:noWrap w:val="0"/>
            <w:vAlign w:val="center"/>
          </w:tcPr>
          <w:p w14:paraId="04E22F03">
            <w:pPr>
              <w:spacing w:line="360" w:lineRule="auto"/>
              <w:jc w:val="center"/>
              <w:rPr>
                <w:rFonts w:hint="eastAsia" w:ascii="宋体" w:hAnsi="宋体" w:cs="宋体"/>
                <w:color w:val="auto"/>
                <w:sz w:val="24"/>
                <w:szCs w:val="24"/>
              </w:rPr>
            </w:pPr>
          </w:p>
        </w:tc>
        <w:tc>
          <w:tcPr>
            <w:tcW w:w="1786" w:type="dxa"/>
            <w:tcBorders>
              <w:top w:val="single" w:color="auto" w:sz="6" w:space="0"/>
              <w:left w:val="single" w:color="auto" w:sz="4" w:space="0"/>
              <w:bottom w:val="single" w:color="auto" w:sz="6" w:space="0"/>
              <w:right w:val="single" w:color="auto" w:sz="6" w:space="0"/>
            </w:tcBorders>
            <w:noWrap w:val="0"/>
            <w:vAlign w:val="center"/>
          </w:tcPr>
          <w:p w14:paraId="5FFADE6C">
            <w:pPr>
              <w:spacing w:line="360" w:lineRule="auto"/>
              <w:jc w:val="center"/>
              <w:rPr>
                <w:rFonts w:hint="eastAsia" w:ascii="宋体" w:hAnsi="宋体" w:cs="宋体"/>
                <w:color w:val="auto"/>
                <w:sz w:val="24"/>
                <w:szCs w:val="24"/>
              </w:rPr>
            </w:pPr>
          </w:p>
        </w:tc>
        <w:tc>
          <w:tcPr>
            <w:tcW w:w="1304" w:type="dxa"/>
            <w:tcBorders>
              <w:top w:val="single" w:color="auto" w:sz="6" w:space="0"/>
              <w:left w:val="single" w:color="auto" w:sz="6" w:space="0"/>
              <w:bottom w:val="single" w:color="auto" w:sz="6" w:space="0"/>
              <w:right w:val="single" w:color="auto" w:sz="6" w:space="0"/>
            </w:tcBorders>
            <w:noWrap w:val="0"/>
            <w:vAlign w:val="center"/>
          </w:tcPr>
          <w:p w14:paraId="1C348A6C">
            <w:pPr>
              <w:spacing w:line="360" w:lineRule="auto"/>
              <w:jc w:val="center"/>
              <w:rPr>
                <w:rFonts w:hint="eastAsia" w:ascii="宋体" w:hAnsi="宋体" w:cs="宋体"/>
                <w:color w:val="auto"/>
                <w:sz w:val="24"/>
                <w:szCs w:val="24"/>
              </w:rPr>
            </w:pPr>
          </w:p>
        </w:tc>
        <w:tc>
          <w:tcPr>
            <w:tcW w:w="1395" w:type="dxa"/>
            <w:tcBorders>
              <w:top w:val="single" w:color="auto" w:sz="6" w:space="0"/>
              <w:left w:val="single" w:color="auto" w:sz="6" w:space="0"/>
              <w:bottom w:val="single" w:color="auto" w:sz="6" w:space="0"/>
              <w:right w:val="single" w:color="auto" w:sz="6" w:space="0"/>
            </w:tcBorders>
            <w:noWrap w:val="0"/>
            <w:vAlign w:val="center"/>
          </w:tcPr>
          <w:p w14:paraId="42EF3581">
            <w:pPr>
              <w:spacing w:line="360" w:lineRule="auto"/>
              <w:jc w:val="center"/>
              <w:rPr>
                <w:rFonts w:hint="eastAsia" w:ascii="宋体" w:hAnsi="宋体" w:cs="宋体"/>
                <w:color w:val="auto"/>
                <w:sz w:val="24"/>
                <w:szCs w:val="24"/>
              </w:rPr>
            </w:pPr>
          </w:p>
        </w:tc>
        <w:tc>
          <w:tcPr>
            <w:tcW w:w="660" w:type="dxa"/>
            <w:tcBorders>
              <w:top w:val="single" w:color="auto" w:sz="6" w:space="0"/>
              <w:left w:val="single" w:color="auto" w:sz="6" w:space="0"/>
              <w:bottom w:val="single" w:color="auto" w:sz="6" w:space="0"/>
              <w:right w:val="single" w:color="auto" w:sz="6" w:space="0"/>
            </w:tcBorders>
            <w:noWrap w:val="0"/>
            <w:vAlign w:val="center"/>
          </w:tcPr>
          <w:p w14:paraId="4E856287">
            <w:pPr>
              <w:spacing w:line="360" w:lineRule="auto"/>
              <w:jc w:val="center"/>
              <w:rPr>
                <w:rFonts w:hint="eastAsia" w:ascii="宋体" w:hAnsi="宋体" w:cs="宋体"/>
                <w:color w:val="auto"/>
                <w:sz w:val="24"/>
                <w:szCs w:val="24"/>
              </w:rPr>
            </w:pPr>
          </w:p>
        </w:tc>
        <w:tc>
          <w:tcPr>
            <w:tcW w:w="780" w:type="dxa"/>
            <w:tcBorders>
              <w:top w:val="single" w:color="auto" w:sz="6" w:space="0"/>
              <w:left w:val="single" w:color="auto" w:sz="6" w:space="0"/>
              <w:bottom w:val="single" w:color="auto" w:sz="6" w:space="0"/>
              <w:right w:val="single" w:color="auto" w:sz="6" w:space="0"/>
            </w:tcBorders>
            <w:noWrap w:val="0"/>
            <w:vAlign w:val="center"/>
          </w:tcPr>
          <w:p w14:paraId="5D98CEDC">
            <w:pPr>
              <w:spacing w:line="360" w:lineRule="auto"/>
              <w:jc w:val="center"/>
              <w:rPr>
                <w:rFonts w:hint="eastAsia" w:ascii="宋体" w:hAnsi="宋体" w:cs="宋体"/>
                <w:color w:val="auto"/>
                <w:sz w:val="24"/>
                <w:szCs w:val="24"/>
              </w:rPr>
            </w:pPr>
          </w:p>
        </w:tc>
        <w:tc>
          <w:tcPr>
            <w:tcW w:w="720" w:type="dxa"/>
            <w:tcBorders>
              <w:top w:val="single" w:color="auto" w:sz="6" w:space="0"/>
              <w:left w:val="single" w:color="auto" w:sz="6" w:space="0"/>
              <w:bottom w:val="single" w:color="auto" w:sz="6" w:space="0"/>
              <w:right w:val="single" w:color="auto" w:sz="6" w:space="0"/>
            </w:tcBorders>
            <w:noWrap w:val="0"/>
            <w:vAlign w:val="center"/>
          </w:tcPr>
          <w:p w14:paraId="1CE39E45">
            <w:pPr>
              <w:spacing w:line="360" w:lineRule="auto"/>
              <w:jc w:val="center"/>
              <w:rPr>
                <w:rFonts w:hint="eastAsia" w:ascii="宋体" w:hAnsi="宋体" w:cs="宋体"/>
                <w:color w:val="auto"/>
                <w:sz w:val="24"/>
                <w:szCs w:val="24"/>
              </w:rPr>
            </w:pPr>
          </w:p>
        </w:tc>
        <w:tc>
          <w:tcPr>
            <w:tcW w:w="848" w:type="dxa"/>
            <w:tcBorders>
              <w:top w:val="single" w:color="auto" w:sz="6" w:space="0"/>
              <w:left w:val="single" w:color="auto" w:sz="6" w:space="0"/>
              <w:bottom w:val="single" w:color="auto" w:sz="6" w:space="0"/>
              <w:right w:val="single" w:color="auto" w:sz="6" w:space="0"/>
            </w:tcBorders>
            <w:noWrap w:val="0"/>
            <w:vAlign w:val="center"/>
          </w:tcPr>
          <w:p w14:paraId="420B0C0D">
            <w:pPr>
              <w:spacing w:line="360" w:lineRule="auto"/>
              <w:jc w:val="center"/>
              <w:rPr>
                <w:rFonts w:hint="eastAsia" w:ascii="宋体" w:hAnsi="宋体" w:cs="宋体"/>
                <w:color w:val="auto"/>
                <w:sz w:val="24"/>
                <w:szCs w:val="24"/>
              </w:rPr>
            </w:pPr>
          </w:p>
        </w:tc>
      </w:tr>
      <w:tr w14:paraId="4ECEC5B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cantSplit/>
          <w:trHeight w:val="567" w:hRule="exact"/>
        </w:trPr>
        <w:tc>
          <w:tcPr>
            <w:tcW w:w="3111" w:type="dxa"/>
            <w:gridSpan w:val="3"/>
            <w:tcBorders>
              <w:top w:val="single" w:color="auto" w:sz="6" w:space="0"/>
              <w:left w:val="single" w:color="auto" w:sz="6" w:space="0"/>
              <w:bottom w:val="single" w:color="auto" w:sz="6" w:space="0"/>
              <w:right w:val="single" w:color="auto" w:sz="6" w:space="0"/>
            </w:tcBorders>
            <w:noWrap w:val="0"/>
            <w:vAlign w:val="bottom"/>
          </w:tcPr>
          <w:p w14:paraId="1C3A267D">
            <w:pPr>
              <w:spacing w:line="360" w:lineRule="auto"/>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安装调试费</w:t>
            </w:r>
          </w:p>
        </w:tc>
        <w:tc>
          <w:tcPr>
            <w:tcW w:w="5707" w:type="dxa"/>
            <w:gridSpan w:val="6"/>
            <w:tcBorders>
              <w:top w:val="single" w:color="auto" w:sz="6" w:space="0"/>
              <w:left w:val="single" w:color="auto" w:sz="6" w:space="0"/>
              <w:bottom w:val="single" w:color="auto" w:sz="6" w:space="0"/>
              <w:right w:val="single" w:color="auto" w:sz="6" w:space="0"/>
            </w:tcBorders>
            <w:noWrap w:val="0"/>
            <w:vAlign w:val="center"/>
          </w:tcPr>
          <w:p w14:paraId="28284A7E">
            <w:pPr>
              <w:spacing w:line="360" w:lineRule="auto"/>
              <w:jc w:val="center"/>
              <w:rPr>
                <w:rFonts w:hint="eastAsia" w:ascii="宋体" w:hAnsi="宋体" w:cs="宋体"/>
                <w:color w:val="auto"/>
                <w:sz w:val="24"/>
                <w:szCs w:val="24"/>
              </w:rPr>
            </w:pPr>
          </w:p>
        </w:tc>
      </w:tr>
      <w:tr w14:paraId="7FB5123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cantSplit/>
          <w:trHeight w:val="567" w:hRule="exact"/>
        </w:trPr>
        <w:tc>
          <w:tcPr>
            <w:tcW w:w="3111" w:type="dxa"/>
            <w:gridSpan w:val="3"/>
            <w:tcBorders>
              <w:top w:val="single" w:color="auto" w:sz="6" w:space="0"/>
              <w:left w:val="single" w:color="auto" w:sz="6" w:space="0"/>
              <w:bottom w:val="single" w:color="auto" w:sz="6" w:space="0"/>
              <w:right w:val="single" w:color="auto" w:sz="6" w:space="0"/>
            </w:tcBorders>
            <w:noWrap w:val="0"/>
            <w:vAlign w:val="bottom"/>
          </w:tcPr>
          <w:p w14:paraId="3EC2278A">
            <w:pPr>
              <w:spacing w:line="360" w:lineRule="auto"/>
              <w:jc w:val="center"/>
              <w:rPr>
                <w:rFonts w:hint="eastAsia" w:ascii="宋体" w:hAnsi="宋体" w:cs="宋体"/>
                <w:color w:val="auto"/>
                <w:sz w:val="24"/>
                <w:szCs w:val="24"/>
                <w:lang w:eastAsia="zh-CN"/>
              </w:rPr>
            </w:pPr>
            <w:r>
              <w:rPr>
                <w:rFonts w:hint="eastAsia" w:ascii="宋体" w:hAnsi="宋体" w:cs="宋体"/>
                <w:color w:val="auto"/>
                <w:sz w:val="24"/>
                <w:szCs w:val="24"/>
                <w:lang w:eastAsia="zh-CN"/>
              </w:rPr>
              <w:t>运输费</w:t>
            </w:r>
          </w:p>
        </w:tc>
        <w:tc>
          <w:tcPr>
            <w:tcW w:w="5707" w:type="dxa"/>
            <w:gridSpan w:val="6"/>
            <w:tcBorders>
              <w:top w:val="single" w:color="auto" w:sz="6" w:space="0"/>
              <w:left w:val="single" w:color="auto" w:sz="6" w:space="0"/>
              <w:bottom w:val="single" w:color="auto" w:sz="6" w:space="0"/>
              <w:right w:val="single" w:color="auto" w:sz="6" w:space="0"/>
            </w:tcBorders>
            <w:noWrap w:val="0"/>
            <w:vAlign w:val="center"/>
          </w:tcPr>
          <w:p w14:paraId="7084BC18">
            <w:pPr>
              <w:spacing w:line="360" w:lineRule="auto"/>
              <w:jc w:val="center"/>
              <w:rPr>
                <w:rFonts w:hint="eastAsia" w:ascii="宋体" w:hAnsi="宋体" w:cs="宋体"/>
                <w:color w:val="auto"/>
                <w:sz w:val="24"/>
                <w:szCs w:val="24"/>
              </w:rPr>
            </w:pPr>
          </w:p>
        </w:tc>
      </w:tr>
      <w:tr w14:paraId="4DE5862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cantSplit/>
          <w:trHeight w:val="567" w:hRule="exact"/>
        </w:trPr>
        <w:tc>
          <w:tcPr>
            <w:tcW w:w="3111" w:type="dxa"/>
            <w:gridSpan w:val="3"/>
            <w:tcBorders>
              <w:top w:val="single" w:color="auto" w:sz="6" w:space="0"/>
              <w:left w:val="single" w:color="auto" w:sz="6" w:space="0"/>
              <w:bottom w:val="single" w:color="auto" w:sz="6" w:space="0"/>
              <w:right w:val="single" w:color="auto" w:sz="6" w:space="0"/>
            </w:tcBorders>
            <w:noWrap w:val="0"/>
            <w:vAlign w:val="bottom"/>
          </w:tcPr>
          <w:p w14:paraId="3B5BAF5C">
            <w:pPr>
              <w:spacing w:line="360" w:lineRule="auto"/>
              <w:jc w:val="center"/>
              <w:rPr>
                <w:rFonts w:hint="eastAsia" w:ascii="宋体" w:hAnsi="宋体" w:cs="宋体"/>
                <w:color w:val="auto"/>
                <w:sz w:val="24"/>
                <w:szCs w:val="24"/>
              </w:rPr>
            </w:pPr>
            <w:r>
              <w:rPr>
                <w:rFonts w:hint="eastAsia" w:ascii="宋体" w:hAnsi="宋体" w:cs="宋体"/>
                <w:color w:val="auto"/>
                <w:sz w:val="24"/>
                <w:szCs w:val="24"/>
              </w:rPr>
              <w:t>投标总报价</w:t>
            </w:r>
          </w:p>
        </w:tc>
        <w:tc>
          <w:tcPr>
            <w:tcW w:w="5707" w:type="dxa"/>
            <w:gridSpan w:val="6"/>
            <w:tcBorders>
              <w:top w:val="single" w:color="auto" w:sz="6" w:space="0"/>
              <w:left w:val="single" w:color="auto" w:sz="6" w:space="0"/>
              <w:bottom w:val="single" w:color="auto" w:sz="6" w:space="0"/>
              <w:right w:val="single" w:color="auto" w:sz="6" w:space="0"/>
            </w:tcBorders>
            <w:noWrap w:val="0"/>
            <w:vAlign w:val="center"/>
          </w:tcPr>
          <w:p w14:paraId="7C823992">
            <w:pPr>
              <w:spacing w:line="360" w:lineRule="auto"/>
              <w:jc w:val="center"/>
              <w:rPr>
                <w:rFonts w:hint="eastAsia" w:ascii="宋体" w:hAnsi="宋体" w:cs="宋体"/>
                <w:color w:val="auto"/>
                <w:sz w:val="24"/>
                <w:szCs w:val="24"/>
              </w:rPr>
            </w:pPr>
            <w:r>
              <w:rPr>
                <w:rFonts w:hint="eastAsia" w:ascii="宋体" w:hAnsi="宋体" w:cs="宋体"/>
                <w:color w:val="auto"/>
                <w:sz w:val="24"/>
                <w:szCs w:val="24"/>
              </w:rPr>
              <w:t>（大写）：       （小写：¥     ）</w:t>
            </w:r>
          </w:p>
        </w:tc>
      </w:tr>
      <w:tr w14:paraId="4F5ACB9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cantSplit/>
          <w:trHeight w:val="567" w:hRule="exact"/>
        </w:trPr>
        <w:tc>
          <w:tcPr>
            <w:tcW w:w="3111" w:type="dxa"/>
            <w:gridSpan w:val="3"/>
            <w:tcBorders>
              <w:top w:val="single" w:color="auto" w:sz="6" w:space="0"/>
              <w:left w:val="single" w:color="auto" w:sz="6" w:space="0"/>
              <w:bottom w:val="single" w:color="auto" w:sz="6" w:space="0"/>
              <w:right w:val="single" w:color="auto" w:sz="6" w:space="0"/>
            </w:tcBorders>
            <w:noWrap w:val="0"/>
            <w:vAlign w:val="bottom"/>
          </w:tcPr>
          <w:p w14:paraId="7A5F994A">
            <w:pPr>
              <w:spacing w:line="360" w:lineRule="auto"/>
              <w:jc w:val="center"/>
              <w:rPr>
                <w:rFonts w:hint="eastAsia" w:ascii="宋体" w:hAnsi="宋体" w:cs="宋体"/>
                <w:color w:val="auto"/>
                <w:sz w:val="24"/>
                <w:szCs w:val="24"/>
              </w:rPr>
            </w:pPr>
            <w:r>
              <w:rPr>
                <w:rFonts w:hint="eastAsia" w:ascii="宋体" w:hAnsi="宋体" w:cs="宋体"/>
                <w:color w:val="auto"/>
                <w:sz w:val="24"/>
                <w:szCs w:val="24"/>
              </w:rPr>
              <w:t>备注</w:t>
            </w:r>
          </w:p>
        </w:tc>
        <w:tc>
          <w:tcPr>
            <w:tcW w:w="5707" w:type="dxa"/>
            <w:gridSpan w:val="6"/>
            <w:tcBorders>
              <w:top w:val="single" w:color="auto" w:sz="6" w:space="0"/>
              <w:left w:val="single" w:color="auto" w:sz="6" w:space="0"/>
              <w:bottom w:val="single" w:color="auto" w:sz="6" w:space="0"/>
              <w:right w:val="single" w:color="auto" w:sz="6" w:space="0"/>
            </w:tcBorders>
            <w:noWrap w:val="0"/>
            <w:vAlign w:val="center"/>
          </w:tcPr>
          <w:p w14:paraId="51E567DD">
            <w:pPr>
              <w:spacing w:line="360" w:lineRule="auto"/>
              <w:jc w:val="center"/>
              <w:rPr>
                <w:rFonts w:hint="eastAsia" w:ascii="宋体" w:hAnsi="宋体" w:cs="宋体"/>
                <w:color w:val="auto"/>
                <w:sz w:val="24"/>
                <w:szCs w:val="24"/>
              </w:rPr>
            </w:pPr>
            <w:r>
              <w:rPr>
                <w:rFonts w:hint="eastAsia" w:ascii="宋体" w:hAnsi="宋体" w:cs="宋体"/>
                <w:color w:val="auto"/>
                <w:sz w:val="24"/>
                <w:szCs w:val="24"/>
              </w:rPr>
              <w:t>保留小数点后两位。</w:t>
            </w:r>
          </w:p>
        </w:tc>
      </w:tr>
    </w:tbl>
    <w:p w14:paraId="16698D36">
      <w:pPr>
        <w:pStyle w:val="20"/>
        <w:rPr>
          <w:rFonts w:hint="eastAsia" w:ascii="宋体" w:hAnsi="宋体" w:cs="宋体"/>
          <w:sz w:val="24"/>
        </w:rPr>
      </w:pPr>
    </w:p>
    <w:p w14:paraId="1CE59D61">
      <w:pPr>
        <w:pStyle w:val="20"/>
        <w:rPr>
          <w:rFonts w:hint="eastAsia" w:ascii="宋体" w:hAnsi="宋体" w:cs="宋体"/>
          <w:sz w:val="24"/>
        </w:rPr>
      </w:pPr>
    </w:p>
    <w:p w14:paraId="038ADD71">
      <w:pPr>
        <w:spacing w:line="360" w:lineRule="auto"/>
        <w:ind w:right="-161" w:firstLine="2640" w:firstLineChars="1100"/>
        <w:rPr>
          <w:rFonts w:ascii="宋体" w:hAnsi="宋体" w:cs="宋体"/>
          <w:sz w:val="24"/>
          <w:u w:val="single"/>
        </w:rPr>
      </w:pPr>
      <w:r>
        <w:rPr>
          <w:rFonts w:hint="eastAsia" w:ascii="宋体" w:hAnsi="宋体" w:cs="宋体"/>
          <w:sz w:val="24"/>
        </w:rPr>
        <w:t>供应商名称（公章）：</w:t>
      </w:r>
    </w:p>
    <w:p w14:paraId="530297F0">
      <w:pPr>
        <w:spacing w:line="360" w:lineRule="auto"/>
        <w:ind w:right="-161" w:firstLine="2640" w:firstLineChars="1100"/>
        <w:rPr>
          <w:rFonts w:ascii="宋体" w:hAnsi="宋体" w:cs="宋体"/>
          <w:sz w:val="24"/>
        </w:rPr>
      </w:pPr>
      <w:r>
        <w:rPr>
          <w:rFonts w:hint="eastAsia" w:ascii="宋体" w:hAnsi="宋体" w:cs="宋体"/>
          <w:sz w:val="24"/>
          <w:szCs w:val="24"/>
        </w:rPr>
        <w:t>法定代表人或被授权代表（</w:t>
      </w:r>
      <w:r>
        <w:rPr>
          <w:rFonts w:hint="eastAsia" w:ascii="宋体" w:hAnsi="宋体" w:cs="宋体"/>
          <w:sz w:val="24"/>
        </w:rPr>
        <w:t>签字或盖章</w:t>
      </w:r>
      <w:r>
        <w:rPr>
          <w:rFonts w:hint="eastAsia" w:ascii="宋体" w:hAnsi="宋体" w:cs="宋体"/>
          <w:sz w:val="24"/>
          <w:szCs w:val="24"/>
        </w:rPr>
        <w:t>）</w:t>
      </w:r>
      <w:r>
        <w:rPr>
          <w:rFonts w:hint="eastAsia" w:ascii="宋体" w:hAnsi="宋体" w:cs="宋体"/>
          <w:sz w:val="24"/>
        </w:rPr>
        <w:t>：</w:t>
      </w:r>
    </w:p>
    <w:p w14:paraId="78D2359C">
      <w:pPr>
        <w:spacing w:line="360" w:lineRule="auto"/>
        <w:ind w:right="480" w:firstLine="2640" w:firstLineChars="1100"/>
        <w:rPr>
          <w:rFonts w:ascii="宋体" w:hAnsi="宋体" w:cs="宋体"/>
          <w:sz w:val="24"/>
        </w:rPr>
        <w:sectPr>
          <w:pgSz w:w="11906" w:h="16838"/>
          <w:pgMar w:top="1440" w:right="1417" w:bottom="1440" w:left="1417" w:header="1134" w:footer="1134" w:gutter="0"/>
          <w:cols w:space="720" w:num="1"/>
          <w:titlePg/>
          <w:docGrid w:type="lines" w:linePitch="312" w:charSpace="0"/>
        </w:sectPr>
      </w:pPr>
      <w:r>
        <w:rPr>
          <w:rFonts w:hint="eastAsia" w:ascii="宋体" w:hAnsi="宋体" w:cs="宋体"/>
          <w:sz w:val="24"/>
        </w:rPr>
        <w:t>日期：</w:t>
      </w:r>
      <w:bookmarkStart w:id="338" w:name="_Toc5391"/>
    </w:p>
    <w:bookmarkEnd w:id="338"/>
    <w:p w14:paraId="6D668644">
      <w:pPr>
        <w:spacing w:line="480" w:lineRule="auto"/>
        <w:ind w:right="-161"/>
        <w:jc w:val="center"/>
        <w:outlineLvl w:val="0"/>
        <w:rPr>
          <w:b/>
          <w:bCs/>
          <w:sz w:val="36"/>
          <w:szCs w:val="16"/>
        </w:rPr>
      </w:pPr>
    </w:p>
    <w:p w14:paraId="4D6E8AB6">
      <w:pPr>
        <w:spacing w:line="480" w:lineRule="auto"/>
        <w:ind w:right="-161"/>
        <w:jc w:val="center"/>
        <w:outlineLvl w:val="0"/>
        <w:rPr>
          <w:b/>
          <w:bCs/>
          <w:sz w:val="36"/>
          <w:szCs w:val="16"/>
        </w:rPr>
      </w:pPr>
    </w:p>
    <w:p w14:paraId="5F6EAD56">
      <w:pPr>
        <w:spacing w:line="480" w:lineRule="auto"/>
        <w:ind w:right="-161"/>
        <w:jc w:val="center"/>
        <w:outlineLvl w:val="0"/>
        <w:rPr>
          <w:b/>
          <w:bCs/>
          <w:sz w:val="36"/>
          <w:szCs w:val="16"/>
        </w:rPr>
      </w:pPr>
    </w:p>
    <w:p w14:paraId="0A7E67A6">
      <w:pPr>
        <w:spacing w:line="480" w:lineRule="auto"/>
        <w:ind w:right="-161"/>
        <w:jc w:val="center"/>
        <w:outlineLvl w:val="0"/>
        <w:rPr>
          <w:b/>
          <w:bCs/>
          <w:sz w:val="36"/>
          <w:szCs w:val="16"/>
        </w:rPr>
      </w:pPr>
    </w:p>
    <w:p w14:paraId="48F6C06C">
      <w:pPr>
        <w:pStyle w:val="9"/>
        <w:rPr>
          <w:b/>
          <w:bCs/>
          <w:sz w:val="36"/>
          <w:szCs w:val="16"/>
        </w:rPr>
      </w:pPr>
    </w:p>
    <w:p w14:paraId="282D441A"/>
    <w:p w14:paraId="42419DD6">
      <w:pPr>
        <w:spacing w:line="480" w:lineRule="auto"/>
        <w:ind w:right="-161"/>
        <w:jc w:val="center"/>
        <w:outlineLvl w:val="0"/>
        <w:rPr>
          <w:rFonts w:ascii="宋体" w:hAnsi="宋体" w:cs="宋体"/>
          <w:b/>
          <w:bCs/>
          <w:sz w:val="24"/>
          <w:szCs w:val="24"/>
          <w:u w:val="single"/>
        </w:rPr>
      </w:pPr>
      <w:r>
        <w:rPr>
          <w:rFonts w:hint="eastAsia"/>
          <w:b/>
          <w:bCs/>
          <w:sz w:val="36"/>
          <w:szCs w:val="16"/>
        </w:rPr>
        <w:t>三、资格证明文件</w:t>
      </w:r>
      <w:bookmarkEnd w:id="325"/>
      <w:bookmarkEnd w:id="326"/>
      <w:bookmarkEnd w:id="327"/>
      <w:bookmarkEnd w:id="328"/>
      <w:bookmarkEnd w:id="329"/>
      <w:bookmarkEnd w:id="330"/>
    </w:p>
    <w:p w14:paraId="0035E21B">
      <w:pPr>
        <w:spacing w:line="360" w:lineRule="auto"/>
        <w:ind w:firstLine="482" w:firstLineChars="200"/>
        <w:rPr>
          <w:b/>
          <w:bCs/>
        </w:rPr>
      </w:pPr>
      <w:r>
        <w:rPr>
          <w:rFonts w:hint="eastAsia" w:ascii="宋体" w:hAnsi="宋体" w:cs="宋体"/>
          <w:b/>
          <w:bCs/>
          <w:sz w:val="24"/>
          <w:szCs w:val="24"/>
        </w:rPr>
        <w:t>谈判响应文件中附以下资质证明文件的复印件加盖公章。</w:t>
      </w:r>
    </w:p>
    <w:p w14:paraId="6539328E">
      <w:pPr>
        <w:spacing w:line="360" w:lineRule="auto"/>
        <w:ind w:firstLine="720" w:firstLineChars="300"/>
        <w:rPr>
          <w:rFonts w:ascii="宋体" w:hAnsi="宋体" w:cs="仿宋_GB2312"/>
          <w:bCs/>
          <w:kern w:val="0"/>
          <w:sz w:val="24"/>
          <w:szCs w:val="24"/>
        </w:rPr>
      </w:pPr>
      <w:r>
        <w:rPr>
          <w:rFonts w:hint="eastAsia" w:ascii="宋体" w:hAnsi="宋体" w:cs="宋体"/>
          <w:kern w:val="0"/>
          <w:sz w:val="24"/>
          <w:szCs w:val="24"/>
        </w:rPr>
        <w:t>1、供应商为本项目提供的资格证明要求见供应商须知前附表；</w:t>
      </w:r>
    </w:p>
    <w:p w14:paraId="2CCB7959">
      <w:pPr>
        <w:spacing w:line="360" w:lineRule="auto"/>
        <w:ind w:firstLine="720" w:firstLineChars="300"/>
      </w:pPr>
      <w:r>
        <w:rPr>
          <w:rFonts w:hint="eastAsia" w:ascii="宋体" w:hAnsi="宋体" w:cs="仿宋_GB2312"/>
          <w:bCs/>
          <w:kern w:val="0"/>
          <w:sz w:val="24"/>
          <w:szCs w:val="24"/>
          <w:lang w:val="en-US" w:eastAsia="zh-CN"/>
        </w:rPr>
        <w:t>2</w:t>
      </w:r>
      <w:r>
        <w:rPr>
          <w:rFonts w:hint="eastAsia" w:ascii="宋体" w:hAnsi="宋体" w:cs="仿宋_GB2312"/>
          <w:bCs/>
          <w:kern w:val="0"/>
          <w:sz w:val="24"/>
          <w:szCs w:val="24"/>
        </w:rPr>
        <w:t>、其他可以证明供应商实力的文件。</w:t>
      </w:r>
    </w:p>
    <w:p w14:paraId="451DC68F">
      <w:pPr>
        <w:pStyle w:val="14"/>
      </w:pPr>
    </w:p>
    <w:p w14:paraId="014142A6">
      <w:pPr>
        <w:pStyle w:val="3"/>
        <w:rPr>
          <w:rFonts w:ascii="宋体" w:hAnsi="宋体" w:eastAsia="宋体" w:cs="宋体"/>
          <w:szCs w:val="22"/>
        </w:rPr>
      </w:pPr>
    </w:p>
    <w:p w14:paraId="52B23009">
      <w:pPr>
        <w:pStyle w:val="3"/>
        <w:rPr>
          <w:rFonts w:ascii="宋体" w:hAnsi="宋体" w:eastAsia="宋体" w:cs="宋体"/>
          <w:szCs w:val="22"/>
        </w:rPr>
      </w:pPr>
    </w:p>
    <w:p w14:paraId="529E3E4A">
      <w:pPr>
        <w:pStyle w:val="3"/>
        <w:rPr>
          <w:rFonts w:ascii="宋体" w:hAnsi="宋体" w:eastAsia="宋体" w:cs="宋体"/>
          <w:szCs w:val="22"/>
        </w:rPr>
      </w:pPr>
    </w:p>
    <w:p w14:paraId="04B32589">
      <w:pPr>
        <w:pStyle w:val="3"/>
        <w:rPr>
          <w:rFonts w:ascii="宋体" w:hAnsi="宋体" w:eastAsia="宋体" w:cs="宋体"/>
          <w:szCs w:val="22"/>
        </w:rPr>
      </w:pPr>
    </w:p>
    <w:p w14:paraId="2E5A93CF">
      <w:pPr>
        <w:rPr>
          <w:rFonts w:ascii="宋体" w:hAnsi="宋体" w:cs="宋体"/>
          <w:szCs w:val="22"/>
        </w:rPr>
      </w:pPr>
    </w:p>
    <w:p w14:paraId="3C222A9E">
      <w:pPr>
        <w:pStyle w:val="14"/>
        <w:rPr>
          <w:rFonts w:ascii="宋体" w:hAnsi="宋体" w:cs="宋体"/>
          <w:szCs w:val="22"/>
        </w:rPr>
      </w:pPr>
    </w:p>
    <w:p w14:paraId="7341F63D">
      <w:pPr>
        <w:pStyle w:val="14"/>
        <w:rPr>
          <w:rFonts w:ascii="宋体" w:hAnsi="宋体" w:cs="宋体"/>
          <w:szCs w:val="22"/>
        </w:rPr>
      </w:pPr>
    </w:p>
    <w:p w14:paraId="0E03FF39">
      <w:pPr>
        <w:pStyle w:val="14"/>
        <w:rPr>
          <w:rFonts w:ascii="宋体" w:hAnsi="宋体" w:cs="宋体"/>
          <w:szCs w:val="22"/>
        </w:rPr>
      </w:pPr>
    </w:p>
    <w:p w14:paraId="0AE6385B">
      <w:pPr>
        <w:pStyle w:val="14"/>
        <w:rPr>
          <w:rFonts w:ascii="宋体" w:hAnsi="宋体" w:cs="宋体"/>
          <w:szCs w:val="22"/>
        </w:rPr>
      </w:pPr>
    </w:p>
    <w:p w14:paraId="39449628">
      <w:pPr>
        <w:pStyle w:val="14"/>
        <w:rPr>
          <w:rFonts w:ascii="宋体" w:hAnsi="宋体" w:cs="宋体"/>
          <w:szCs w:val="22"/>
        </w:rPr>
      </w:pPr>
    </w:p>
    <w:p w14:paraId="3AAA1381">
      <w:pPr>
        <w:pStyle w:val="14"/>
        <w:rPr>
          <w:rFonts w:ascii="宋体" w:hAnsi="宋体" w:cs="宋体"/>
          <w:szCs w:val="22"/>
        </w:rPr>
      </w:pPr>
    </w:p>
    <w:p w14:paraId="632F298E">
      <w:pPr>
        <w:pStyle w:val="14"/>
        <w:rPr>
          <w:rFonts w:ascii="宋体" w:hAnsi="宋体" w:cs="宋体"/>
          <w:szCs w:val="22"/>
        </w:rPr>
      </w:pPr>
    </w:p>
    <w:p w14:paraId="166333AB">
      <w:pPr>
        <w:pStyle w:val="14"/>
        <w:rPr>
          <w:rFonts w:ascii="宋体" w:hAnsi="宋体" w:cs="宋体"/>
          <w:szCs w:val="22"/>
        </w:rPr>
      </w:pPr>
    </w:p>
    <w:p w14:paraId="61E860BD">
      <w:pPr>
        <w:pStyle w:val="14"/>
        <w:rPr>
          <w:rFonts w:ascii="宋体" w:hAnsi="宋体" w:cs="宋体"/>
          <w:szCs w:val="22"/>
        </w:rPr>
      </w:pPr>
    </w:p>
    <w:p w14:paraId="467769A0">
      <w:pPr>
        <w:pStyle w:val="14"/>
        <w:rPr>
          <w:rFonts w:ascii="宋体" w:hAnsi="宋体" w:cs="宋体"/>
          <w:szCs w:val="22"/>
        </w:rPr>
      </w:pPr>
    </w:p>
    <w:p w14:paraId="54176273">
      <w:pPr>
        <w:pStyle w:val="14"/>
        <w:rPr>
          <w:rFonts w:ascii="宋体" w:hAnsi="宋体" w:cs="宋体"/>
          <w:szCs w:val="22"/>
        </w:rPr>
      </w:pPr>
    </w:p>
    <w:p w14:paraId="2DE26FD7">
      <w:pPr>
        <w:pStyle w:val="14"/>
        <w:rPr>
          <w:rFonts w:ascii="宋体" w:hAnsi="宋体" w:cs="宋体"/>
          <w:szCs w:val="22"/>
        </w:rPr>
      </w:pPr>
    </w:p>
    <w:p w14:paraId="319B8F33">
      <w:pPr>
        <w:pStyle w:val="14"/>
        <w:rPr>
          <w:rFonts w:ascii="宋体" w:hAnsi="宋体" w:cs="宋体"/>
          <w:szCs w:val="22"/>
        </w:rPr>
      </w:pPr>
    </w:p>
    <w:p w14:paraId="17C800F7">
      <w:pPr>
        <w:pStyle w:val="14"/>
        <w:rPr>
          <w:rFonts w:ascii="宋体" w:hAnsi="宋体" w:cs="宋体"/>
          <w:szCs w:val="22"/>
        </w:rPr>
      </w:pPr>
    </w:p>
    <w:p w14:paraId="3A163692">
      <w:pPr>
        <w:pStyle w:val="14"/>
        <w:rPr>
          <w:rFonts w:ascii="宋体" w:hAnsi="宋体" w:cs="宋体"/>
          <w:szCs w:val="22"/>
        </w:rPr>
      </w:pPr>
    </w:p>
    <w:p w14:paraId="160B2511">
      <w:pPr>
        <w:pStyle w:val="14"/>
        <w:rPr>
          <w:rFonts w:ascii="宋体" w:hAnsi="宋体" w:cs="宋体"/>
          <w:szCs w:val="22"/>
        </w:rPr>
      </w:pPr>
    </w:p>
    <w:p w14:paraId="49274F58">
      <w:pPr>
        <w:pStyle w:val="14"/>
        <w:jc w:val="both"/>
        <w:rPr>
          <w:rFonts w:ascii="宋体" w:hAnsi="宋体" w:cs="宋体"/>
          <w:b/>
          <w:sz w:val="32"/>
          <w:szCs w:val="22"/>
        </w:rPr>
        <w:sectPr>
          <w:type w:val="continuous"/>
          <w:pgSz w:w="11906" w:h="16838"/>
          <w:pgMar w:top="1157" w:right="1703" w:bottom="1157" w:left="1701" w:header="720" w:footer="720" w:gutter="0"/>
          <w:cols w:space="720" w:num="1"/>
          <w:docGrid w:type="lines" w:linePitch="312" w:charSpace="0"/>
        </w:sectPr>
      </w:pPr>
    </w:p>
    <w:p w14:paraId="056D64AA">
      <w:pPr>
        <w:pStyle w:val="4"/>
        <w:keepNext/>
        <w:keepLines/>
        <w:pageBreakBefore w:val="0"/>
        <w:widowControl w:val="0"/>
        <w:kinsoku/>
        <w:wordWrap/>
        <w:overflowPunct/>
        <w:topLinePunct w:val="0"/>
        <w:autoSpaceDE/>
        <w:autoSpaceDN/>
        <w:bidi w:val="0"/>
        <w:adjustRightInd/>
        <w:snapToGrid/>
        <w:spacing w:before="0" w:after="0" w:line="360" w:lineRule="auto"/>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附件</w:t>
      </w:r>
      <w:r>
        <w:rPr>
          <w:rFonts w:hint="eastAsia" w:ascii="宋体" w:hAnsi="宋体" w:cs="宋体"/>
          <w:b w:val="0"/>
          <w:bCs w:val="0"/>
          <w:sz w:val="24"/>
          <w:szCs w:val="24"/>
          <w:lang w:val="en-US" w:eastAsia="zh-CN"/>
        </w:rPr>
        <w:t>1</w:t>
      </w:r>
      <w:r>
        <w:rPr>
          <w:rFonts w:hint="eastAsia" w:ascii="宋体" w:hAnsi="宋体" w:eastAsia="宋体" w:cs="宋体"/>
          <w:b w:val="0"/>
          <w:bCs w:val="0"/>
          <w:sz w:val="24"/>
          <w:szCs w:val="24"/>
          <w:lang w:val="en-US" w:eastAsia="zh-CN"/>
        </w:rPr>
        <w:t>：</w:t>
      </w:r>
    </w:p>
    <w:p w14:paraId="7C1AADD1">
      <w:pPr>
        <w:pStyle w:val="4"/>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kern w:val="0"/>
          <w:sz w:val="24"/>
          <w:szCs w:val="24"/>
        </w:rPr>
      </w:pPr>
      <w:r>
        <w:rPr>
          <w:rFonts w:hint="eastAsia" w:ascii="宋体" w:hAnsi="宋体" w:eastAsia="宋体" w:cs="宋体"/>
          <w:b/>
          <w:bCs/>
          <w:sz w:val="24"/>
          <w:szCs w:val="24"/>
          <w:lang w:val="en-US" w:eastAsia="zh-CN"/>
        </w:rPr>
        <w:t>投标信用承诺书</w:t>
      </w:r>
    </w:p>
    <w:p w14:paraId="12BCC076">
      <w:pPr>
        <w:widowControl/>
        <w:spacing w:line="540" w:lineRule="exact"/>
        <w:jc w:val="left"/>
        <w:rPr>
          <w:rFonts w:hint="eastAsia" w:ascii="宋体" w:hAnsi="宋体" w:eastAsia="宋体" w:cs="宋体"/>
          <w:kern w:val="0"/>
          <w:sz w:val="24"/>
          <w:szCs w:val="24"/>
          <w:u w:val="single"/>
          <w:lang w:val="en-US" w:eastAsia="zh-CN"/>
        </w:rPr>
      </w:pPr>
      <w:r>
        <w:rPr>
          <w:rFonts w:hint="eastAsia" w:ascii="宋体" w:hAnsi="宋体" w:eastAsia="宋体" w:cs="宋体"/>
          <w:kern w:val="0"/>
          <w:sz w:val="24"/>
          <w:szCs w:val="24"/>
        </w:rPr>
        <w:t>项目</w:t>
      </w:r>
      <w:r>
        <w:rPr>
          <w:rFonts w:hint="eastAsia" w:ascii="宋体" w:hAnsi="宋体" w:eastAsia="宋体" w:cs="宋体"/>
          <w:kern w:val="0"/>
          <w:sz w:val="24"/>
          <w:szCs w:val="24"/>
          <w:lang w:eastAsia="zh-CN"/>
        </w:rPr>
        <w:t>名称</w:t>
      </w:r>
      <w:r>
        <w:rPr>
          <w:rFonts w:hint="eastAsia" w:ascii="宋体" w:hAnsi="宋体" w:eastAsia="宋体" w:cs="宋体"/>
          <w:kern w:val="0"/>
          <w:sz w:val="24"/>
          <w:szCs w:val="24"/>
        </w:rPr>
        <w:t>：</w:t>
      </w:r>
      <w:r>
        <w:rPr>
          <w:rFonts w:hint="eastAsia" w:ascii="宋体" w:hAnsi="宋体" w:eastAsia="宋体" w:cs="宋体"/>
          <w:color w:val="FFFFFF"/>
          <w:kern w:val="0"/>
          <w:sz w:val="24"/>
          <w:szCs w:val="24"/>
          <w:u w:val="single"/>
          <w:lang w:val="en-US" w:eastAsia="zh-CN"/>
        </w:rPr>
        <w:t>1</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u w:val="single"/>
          <w:lang w:val="en-US" w:eastAsia="zh-CN"/>
        </w:rPr>
        <w:t xml:space="preserve">                          </w:t>
      </w:r>
    </w:p>
    <w:p w14:paraId="3A98AEC5">
      <w:pPr>
        <w:widowControl/>
        <w:spacing w:line="540" w:lineRule="exact"/>
        <w:jc w:val="left"/>
        <w:rPr>
          <w:rFonts w:hint="eastAsia" w:ascii="宋体" w:hAnsi="宋体" w:eastAsia="宋体" w:cs="宋体"/>
          <w:kern w:val="0"/>
          <w:sz w:val="24"/>
          <w:szCs w:val="24"/>
          <w:u w:val="single"/>
        </w:rPr>
      </w:pPr>
      <w:r>
        <w:rPr>
          <w:rFonts w:hint="eastAsia" w:ascii="宋体" w:hAnsi="宋体" w:eastAsia="宋体" w:cs="宋体"/>
          <w:kern w:val="0"/>
          <w:sz w:val="24"/>
          <w:szCs w:val="24"/>
          <w:lang w:eastAsia="zh-CN"/>
        </w:rPr>
        <w:t>投标人</w:t>
      </w:r>
      <w:r>
        <w:rPr>
          <w:rFonts w:hint="eastAsia" w:ascii="宋体" w:hAnsi="宋体" w:eastAsia="宋体" w:cs="宋体"/>
          <w:kern w:val="0"/>
          <w:sz w:val="24"/>
          <w:szCs w:val="24"/>
        </w:rPr>
        <w:t>：</w:t>
      </w:r>
      <w:r>
        <w:rPr>
          <w:rFonts w:hint="eastAsia" w:ascii="宋体" w:hAnsi="宋体" w:eastAsia="宋体" w:cs="宋体"/>
          <w:kern w:val="0"/>
          <w:sz w:val="24"/>
          <w:szCs w:val="24"/>
          <w:u w:val="single"/>
          <w:lang w:val="en-US" w:eastAsia="zh-CN"/>
        </w:rPr>
        <w:t xml:space="preserve">                       </w:t>
      </w:r>
      <w:r>
        <w:rPr>
          <w:rFonts w:hint="eastAsia" w:ascii="宋体" w:hAnsi="宋体" w:eastAsia="宋体" w:cs="宋体"/>
          <w:kern w:val="0"/>
          <w:sz w:val="24"/>
          <w:szCs w:val="24"/>
          <w:u w:val="single"/>
        </w:rPr>
        <w:t xml:space="preserve"> </w:t>
      </w:r>
    </w:p>
    <w:p w14:paraId="5A62E3CF">
      <w:pPr>
        <w:widowControl/>
        <w:spacing w:line="540" w:lineRule="exact"/>
        <w:jc w:val="left"/>
        <w:rPr>
          <w:rFonts w:hint="eastAsia" w:ascii="宋体" w:hAnsi="宋体" w:eastAsia="宋体" w:cs="宋体"/>
          <w:kern w:val="0"/>
          <w:sz w:val="24"/>
          <w:szCs w:val="24"/>
          <w:u w:val="single"/>
        </w:rPr>
      </w:pPr>
      <w:r>
        <w:rPr>
          <w:rFonts w:hint="eastAsia" w:ascii="宋体" w:hAnsi="宋体" w:eastAsia="宋体" w:cs="宋体"/>
          <w:kern w:val="0"/>
          <w:sz w:val="24"/>
          <w:szCs w:val="24"/>
        </w:rPr>
        <w:t>统一社会信用代码：</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u w:val="single"/>
          <w:lang w:val="en-US" w:eastAsia="zh-CN"/>
        </w:rPr>
        <w:t xml:space="preserve">                      </w:t>
      </w:r>
      <w:r>
        <w:rPr>
          <w:rFonts w:hint="eastAsia" w:ascii="宋体" w:hAnsi="宋体" w:eastAsia="宋体" w:cs="宋体"/>
          <w:kern w:val="0"/>
          <w:sz w:val="24"/>
          <w:szCs w:val="24"/>
          <w:u w:val="none"/>
          <w:lang w:val="en-US" w:eastAsia="zh-CN"/>
        </w:rPr>
        <w:t xml:space="preserve">         </w:t>
      </w:r>
      <w:r>
        <w:rPr>
          <w:rFonts w:hint="eastAsia" w:ascii="宋体" w:hAnsi="宋体" w:eastAsia="宋体" w:cs="宋体"/>
          <w:kern w:val="0"/>
          <w:sz w:val="24"/>
          <w:szCs w:val="24"/>
        </w:rPr>
        <w:t>法人代表</w:t>
      </w:r>
      <w:r>
        <w:rPr>
          <w:rFonts w:hint="eastAsia" w:ascii="宋体" w:hAnsi="宋体" w:eastAsia="宋体" w:cs="宋体"/>
          <w:kern w:val="0"/>
          <w:sz w:val="24"/>
          <w:szCs w:val="24"/>
          <w:lang w:val="en-US" w:eastAsia="zh-CN"/>
        </w:rPr>
        <w:t>:</w:t>
      </w:r>
      <w:r>
        <w:rPr>
          <w:rFonts w:hint="eastAsia" w:ascii="宋体" w:hAnsi="宋体" w:eastAsia="宋体" w:cs="宋体"/>
          <w:kern w:val="0"/>
          <w:sz w:val="24"/>
          <w:szCs w:val="24"/>
          <w:u w:val="single"/>
          <w:lang w:val="en-US" w:eastAsia="zh-CN"/>
        </w:rPr>
        <w:t xml:space="preserve">          </w:t>
      </w:r>
      <w:r>
        <w:rPr>
          <w:rFonts w:hint="eastAsia" w:ascii="宋体" w:hAnsi="宋体" w:eastAsia="宋体" w:cs="宋体"/>
          <w:kern w:val="0"/>
          <w:sz w:val="24"/>
          <w:szCs w:val="24"/>
          <w:u w:val="none"/>
          <w:lang w:val="en-US" w:eastAsia="zh-CN"/>
        </w:rPr>
        <w:t xml:space="preserve"> </w:t>
      </w:r>
    </w:p>
    <w:p w14:paraId="31C611F2">
      <w:pPr>
        <w:widowControl/>
        <w:adjustRightInd w:val="0"/>
        <w:snapToGrid w:val="0"/>
        <w:spacing w:line="540" w:lineRule="exact"/>
        <w:jc w:val="left"/>
        <w:rPr>
          <w:rFonts w:hint="eastAsia" w:ascii="宋体" w:hAnsi="宋体" w:eastAsia="宋体" w:cs="宋体"/>
          <w:kern w:val="0"/>
          <w:sz w:val="24"/>
          <w:szCs w:val="24"/>
        </w:rPr>
      </w:pPr>
      <w:r>
        <w:rPr>
          <w:rFonts w:hint="eastAsia" w:ascii="宋体" w:hAnsi="宋体" w:eastAsia="宋体" w:cs="宋体"/>
          <w:kern w:val="0"/>
          <w:sz w:val="24"/>
          <w:szCs w:val="24"/>
        </w:rPr>
        <w:t>在本项目标段招投标活动中，我公司（单位）自愿作出以下投标信用承诺：</w:t>
      </w:r>
    </w:p>
    <w:p w14:paraId="7CE32F49">
      <w:pPr>
        <w:widowControl/>
        <w:adjustRightInd w:val="0"/>
        <w:snapToGrid w:val="0"/>
        <w:spacing w:line="540" w:lineRule="exact"/>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（一）能严格遵守法律法规、职业道德和行业规范。</w:t>
      </w:r>
    </w:p>
    <w:p w14:paraId="02397999">
      <w:pPr>
        <w:widowControl/>
        <w:adjustRightInd w:val="0"/>
        <w:snapToGrid w:val="0"/>
        <w:spacing w:line="540" w:lineRule="exact"/>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43E65E16">
      <w:pPr>
        <w:widowControl/>
        <w:adjustRightInd w:val="0"/>
        <w:snapToGrid w:val="0"/>
        <w:spacing w:line="540" w:lineRule="exact"/>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14:paraId="009CC11E">
      <w:pPr>
        <w:widowControl/>
        <w:adjustRightInd w:val="0"/>
        <w:snapToGrid w:val="0"/>
        <w:spacing w:line="540" w:lineRule="exact"/>
        <w:ind w:firstLine="480" w:firstLineChars="200"/>
        <w:jc w:val="left"/>
        <w:rPr>
          <w:rFonts w:hint="eastAsia" w:ascii="宋体" w:hAnsi="宋体" w:eastAsia="宋体" w:cs="宋体"/>
          <w:kern w:val="0"/>
          <w:sz w:val="24"/>
          <w:szCs w:val="24"/>
        </w:rPr>
      </w:pPr>
    </w:p>
    <w:p w14:paraId="6215B6CF">
      <w:pPr>
        <w:widowControl/>
        <w:tabs>
          <w:tab w:val="left" w:pos="4395"/>
        </w:tabs>
        <w:adjustRightInd w:val="0"/>
        <w:snapToGrid w:val="0"/>
        <w:spacing w:line="500" w:lineRule="exact"/>
        <w:jc w:val="left"/>
        <w:rPr>
          <w:rFonts w:hint="eastAsia" w:ascii="宋体" w:hAnsi="宋体" w:eastAsia="宋体" w:cs="宋体"/>
          <w:kern w:val="0"/>
          <w:sz w:val="24"/>
          <w:szCs w:val="24"/>
          <w:lang w:val="en-US"/>
        </w:rPr>
      </w:pPr>
      <w:r>
        <w:rPr>
          <w:rFonts w:hint="eastAsia" w:ascii="宋体" w:hAnsi="宋体" w:eastAsia="宋体" w:cs="宋体"/>
          <w:kern w:val="0"/>
          <w:sz w:val="24"/>
          <w:szCs w:val="24"/>
        </w:rPr>
        <w:t xml:space="preserve">法定代表人（签章）：  </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投标人（盖章）：</w:t>
      </w:r>
      <w:r>
        <w:rPr>
          <w:rFonts w:hint="eastAsia" w:ascii="宋体" w:hAnsi="宋体" w:eastAsia="宋体" w:cs="宋体"/>
          <w:kern w:val="0"/>
          <w:sz w:val="24"/>
          <w:szCs w:val="24"/>
          <w:u w:val="single"/>
          <w:lang w:val="en-US" w:eastAsia="zh-CN"/>
        </w:rPr>
        <w:t xml:space="preserve">                        </w:t>
      </w:r>
    </w:p>
    <w:p w14:paraId="566C95E9">
      <w:pPr>
        <w:adjustRightInd w:val="0"/>
        <w:snapToGrid w:val="0"/>
        <w:spacing w:line="500" w:lineRule="exact"/>
        <w:rPr>
          <w:rFonts w:hint="eastAsia" w:ascii="宋体" w:hAnsi="宋体" w:eastAsia="宋体" w:cs="宋体"/>
          <w:b/>
          <w:kern w:val="0"/>
          <w:sz w:val="24"/>
          <w:szCs w:val="24"/>
        </w:rPr>
      </w:pPr>
    </w:p>
    <w:p w14:paraId="2480F985">
      <w:pPr>
        <w:pStyle w:val="37"/>
        <w:ind w:firstLine="4080" w:firstLineChars="1700"/>
        <w:rPr>
          <w:rFonts w:hint="eastAsia" w:ascii="宋体" w:hAnsi="宋体" w:eastAsia="宋体" w:cs="宋体"/>
          <w:kern w:val="0"/>
          <w:sz w:val="24"/>
          <w:szCs w:val="24"/>
        </w:rPr>
      </w:pPr>
      <w:r>
        <w:rPr>
          <w:rFonts w:hint="eastAsia" w:ascii="宋体" w:hAnsi="宋体" w:eastAsia="宋体" w:cs="宋体"/>
          <w:kern w:val="0"/>
          <w:sz w:val="24"/>
          <w:szCs w:val="24"/>
        </w:rPr>
        <w:t>承诺时间：</w:t>
      </w:r>
      <w:r>
        <w:rPr>
          <w:rFonts w:hint="eastAsia" w:ascii="宋体" w:hAnsi="宋体" w:eastAsia="宋体" w:cs="宋体"/>
          <w:kern w:val="0"/>
          <w:sz w:val="24"/>
          <w:szCs w:val="24"/>
          <w:u w:val="single"/>
          <w:lang w:val="en-US" w:eastAsia="zh-CN"/>
        </w:rPr>
        <w:t xml:space="preserve">       </w:t>
      </w:r>
      <w:r>
        <w:rPr>
          <w:rFonts w:hint="eastAsia" w:ascii="宋体" w:hAnsi="宋体" w:eastAsia="宋体" w:cs="宋体"/>
          <w:kern w:val="0"/>
          <w:sz w:val="24"/>
          <w:szCs w:val="24"/>
        </w:rPr>
        <w:t>年</w:t>
      </w:r>
      <w:r>
        <w:rPr>
          <w:rFonts w:hint="eastAsia" w:ascii="宋体" w:hAnsi="宋体" w:eastAsia="宋体" w:cs="宋体"/>
          <w:kern w:val="0"/>
          <w:sz w:val="24"/>
          <w:szCs w:val="24"/>
          <w:u w:val="single"/>
          <w:lang w:val="en-US" w:eastAsia="zh-CN"/>
        </w:rPr>
        <w:t xml:space="preserve">     </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月</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u w:val="single"/>
          <w:lang w:val="en-US" w:eastAsia="zh-CN"/>
        </w:rPr>
        <w:t xml:space="preserve">     </w:t>
      </w:r>
      <w:r>
        <w:rPr>
          <w:rFonts w:hint="eastAsia" w:ascii="宋体" w:hAnsi="宋体" w:eastAsia="宋体" w:cs="宋体"/>
          <w:kern w:val="0"/>
          <w:sz w:val="24"/>
          <w:szCs w:val="24"/>
        </w:rPr>
        <w:t>日</w:t>
      </w:r>
    </w:p>
    <w:p w14:paraId="0D7243B9">
      <w:pPr>
        <w:pStyle w:val="37"/>
        <w:rPr>
          <w:rFonts w:hint="eastAsia" w:ascii="宋体" w:hAnsi="宋体" w:eastAsia="宋体" w:cs="宋体"/>
          <w:kern w:val="0"/>
          <w:sz w:val="24"/>
          <w:szCs w:val="24"/>
        </w:rPr>
      </w:pPr>
    </w:p>
    <w:p w14:paraId="4641F087">
      <w:pPr>
        <w:pStyle w:val="37"/>
        <w:rPr>
          <w:rFonts w:hint="eastAsia" w:ascii="宋体" w:hAnsi="宋体" w:eastAsia="宋体" w:cs="宋体"/>
          <w:kern w:val="0"/>
          <w:sz w:val="24"/>
          <w:szCs w:val="24"/>
        </w:rPr>
      </w:pPr>
    </w:p>
    <w:p w14:paraId="0D76DE59">
      <w:pPr>
        <w:pStyle w:val="37"/>
        <w:rPr>
          <w:rFonts w:hint="eastAsia" w:ascii="宋体" w:hAnsi="宋体" w:eastAsia="宋体" w:cs="宋体"/>
          <w:kern w:val="0"/>
          <w:sz w:val="24"/>
          <w:szCs w:val="24"/>
        </w:rPr>
      </w:pPr>
      <w:r>
        <w:rPr>
          <w:rFonts w:hint="eastAsia" w:ascii="宋体" w:hAnsi="宋体" w:eastAsia="宋体" w:cs="宋体"/>
          <w:b/>
          <w:kern w:val="0"/>
          <w:sz w:val="24"/>
          <w:szCs w:val="24"/>
          <w:lang w:eastAsia="zh-CN"/>
        </w:rPr>
        <w:t>注：</w:t>
      </w:r>
      <w:r>
        <w:rPr>
          <w:rFonts w:hint="eastAsia" w:ascii="宋体" w:hAnsi="宋体" w:eastAsia="宋体" w:cs="宋体"/>
          <w:b/>
          <w:kern w:val="0"/>
          <w:sz w:val="24"/>
          <w:szCs w:val="24"/>
        </w:rPr>
        <w:t>本承诺书效力和作用等同投标保证金，其有效期与投标有效期一致。</w:t>
      </w:r>
    </w:p>
    <w:p w14:paraId="654C39C3">
      <w:pPr>
        <w:pStyle w:val="14"/>
        <w:jc w:val="center"/>
        <w:rPr>
          <w:rFonts w:hint="eastAsia" w:ascii="宋体" w:hAnsi="宋体" w:cs="宋体"/>
          <w:b/>
          <w:sz w:val="32"/>
          <w:szCs w:val="22"/>
        </w:rPr>
      </w:pPr>
    </w:p>
    <w:p w14:paraId="63DD18BF">
      <w:pPr>
        <w:rPr>
          <w:rFonts w:hint="eastAsia"/>
        </w:rPr>
      </w:pPr>
    </w:p>
    <w:p w14:paraId="6A3F37AE">
      <w:pPr>
        <w:pStyle w:val="14"/>
        <w:jc w:val="center"/>
        <w:rPr>
          <w:rFonts w:hint="eastAsia" w:ascii="宋体" w:hAnsi="宋体" w:cs="宋体"/>
          <w:b/>
          <w:sz w:val="32"/>
          <w:szCs w:val="22"/>
        </w:rPr>
      </w:pPr>
    </w:p>
    <w:p w14:paraId="78E73641">
      <w:pPr>
        <w:pStyle w:val="14"/>
        <w:jc w:val="center"/>
        <w:rPr>
          <w:rFonts w:hint="eastAsia" w:ascii="宋体" w:hAnsi="宋体" w:cs="宋体"/>
          <w:b/>
          <w:sz w:val="32"/>
          <w:szCs w:val="22"/>
        </w:rPr>
      </w:pPr>
    </w:p>
    <w:p w14:paraId="2CE4EB7C">
      <w:pPr>
        <w:spacing w:line="0" w:lineRule="atLeast"/>
        <w:rPr>
          <w:rFonts w:hint="eastAsia" w:ascii="宋体" w:hAnsi="宋体" w:cs="宋体"/>
          <w:b w:val="0"/>
          <w:bCs/>
          <w:sz w:val="24"/>
        </w:rPr>
      </w:pPr>
      <w:r>
        <w:rPr>
          <w:rFonts w:hint="eastAsia" w:ascii="宋体" w:hAnsi="宋体" w:cs="宋体"/>
          <w:b w:val="0"/>
          <w:bCs/>
          <w:sz w:val="24"/>
        </w:rPr>
        <w:t>附件</w:t>
      </w:r>
      <w:r>
        <w:rPr>
          <w:rFonts w:hint="eastAsia" w:hAnsi="宋体" w:cs="宋体"/>
          <w:b w:val="0"/>
          <w:bCs/>
          <w:sz w:val="24"/>
          <w:lang w:val="en-US" w:eastAsia="zh-CN"/>
        </w:rPr>
        <w:t>2</w:t>
      </w:r>
      <w:r>
        <w:rPr>
          <w:rFonts w:hint="eastAsia" w:ascii="宋体" w:hAnsi="宋体" w:cs="宋体"/>
          <w:b w:val="0"/>
          <w:bCs/>
          <w:sz w:val="24"/>
        </w:rPr>
        <w:t>：</w:t>
      </w:r>
    </w:p>
    <w:p w14:paraId="70BCC4D3">
      <w:pPr>
        <w:spacing w:line="200" w:lineRule="exact"/>
        <w:rPr>
          <w:rFonts w:hint="eastAsia" w:ascii="宋体" w:hAnsi="宋体" w:cs="宋体"/>
        </w:rPr>
      </w:pPr>
    </w:p>
    <w:p w14:paraId="3FA1A428">
      <w:pPr>
        <w:keepNext/>
        <w:keepLines/>
        <w:widowControl w:val="0"/>
        <w:bidi w:val="0"/>
        <w:spacing w:before="260" w:beforeLines="0" w:beforeAutospacing="0" w:after="260" w:afterLines="0" w:afterAutospacing="0" w:line="360" w:lineRule="auto"/>
        <w:jc w:val="center"/>
        <w:outlineLvl w:val="2"/>
        <w:rPr>
          <w:rFonts w:ascii="Calibri" w:hAnsi="Calibri" w:eastAsia="宋体" w:cs="Times New Roman"/>
          <w:b/>
          <w:kern w:val="2"/>
          <w:sz w:val="24"/>
          <w:szCs w:val="24"/>
          <w:lang w:val="en-US" w:eastAsia="zh-CN" w:bidi="ar-SA"/>
        </w:rPr>
      </w:pPr>
      <w:r>
        <w:rPr>
          <w:rFonts w:ascii="Calibri" w:hAnsi="Calibri" w:eastAsia="宋体" w:cs="Times New Roman"/>
          <w:b/>
          <w:kern w:val="2"/>
          <w:sz w:val="24"/>
          <w:szCs w:val="24"/>
          <w:lang w:val="en-US" w:eastAsia="zh-CN" w:bidi="ar-SA"/>
        </w:rPr>
        <w:t>中小企业声明函（货物）</w:t>
      </w:r>
    </w:p>
    <w:p w14:paraId="7A05226C">
      <w:pPr>
        <w:widowControl w:val="0"/>
        <w:spacing w:before="55" w:line="360" w:lineRule="auto"/>
        <w:ind w:right="415" w:firstLine="640"/>
        <w:jc w:val="both"/>
        <w:rPr>
          <w:rFonts w:hint="eastAsia" w:ascii="宋体" w:hAnsi="宋体" w:eastAsia="宋体" w:cs="宋体"/>
          <w:b w:val="0"/>
          <w:bCs/>
          <w:spacing w:val="-18"/>
          <w:kern w:val="2"/>
          <w:sz w:val="24"/>
          <w:szCs w:val="24"/>
          <w:lang w:val="zh-CN" w:eastAsia="zh-CN" w:bidi="zh-CN"/>
        </w:rPr>
      </w:pPr>
      <w:r>
        <w:rPr>
          <w:rFonts w:hint="eastAsia" w:ascii="宋体" w:hAnsi="宋体" w:eastAsia="宋体" w:cs="宋体"/>
          <w:b w:val="0"/>
          <w:bCs/>
          <w:spacing w:val="-2"/>
          <w:kern w:val="2"/>
          <w:sz w:val="24"/>
          <w:szCs w:val="24"/>
          <w:lang w:val="en-US" w:eastAsia="zh-CN" w:bidi="ar-SA"/>
        </w:rPr>
        <w:t>本公司</w:t>
      </w:r>
      <w:r>
        <w:rPr>
          <w:rFonts w:hint="eastAsia" w:ascii="宋体" w:hAnsi="宋体" w:eastAsia="宋体" w:cs="宋体"/>
          <w:b w:val="0"/>
          <w:bCs/>
          <w:kern w:val="2"/>
          <w:sz w:val="24"/>
          <w:szCs w:val="24"/>
          <w:lang w:val="en-US" w:eastAsia="zh-CN" w:bidi="ar-SA"/>
        </w:rPr>
        <w:t>（联合体</w:t>
      </w:r>
      <w:r>
        <w:rPr>
          <w:rFonts w:hint="eastAsia" w:ascii="宋体" w:hAnsi="宋体" w:eastAsia="宋体" w:cs="宋体"/>
          <w:b w:val="0"/>
          <w:bCs/>
          <w:spacing w:val="-5"/>
          <w:kern w:val="2"/>
          <w:sz w:val="24"/>
          <w:szCs w:val="24"/>
          <w:lang w:val="en-US" w:eastAsia="zh-CN" w:bidi="ar-SA"/>
        </w:rPr>
        <w:t>）</w:t>
      </w:r>
      <w:r>
        <w:rPr>
          <w:rFonts w:hint="eastAsia" w:ascii="宋体" w:hAnsi="宋体" w:eastAsia="宋体" w:cs="宋体"/>
          <w:b w:val="0"/>
          <w:bCs/>
          <w:spacing w:val="-2"/>
          <w:kern w:val="2"/>
          <w:sz w:val="24"/>
          <w:szCs w:val="24"/>
          <w:lang w:val="en-US" w:eastAsia="zh-CN" w:bidi="ar-SA"/>
        </w:rPr>
        <w:t>郑重声明，根据《政府采购促进中小</w:t>
      </w:r>
      <w:r>
        <w:rPr>
          <w:rFonts w:hint="eastAsia" w:ascii="宋体" w:hAnsi="宋体" w:eastAsia="宋体" w:cs="宋体"/>
          <w:b w:val="0"/>
          <w:bCs/>
          <w:spacing w:val="-18"/>
          <w:kern w:val="2"/>
          <w:sz w:val="24"/>
          <w:szCs w:val="24"/>
          <w:lang w:val="en-US" w:eastAsia="zh-CN" w:bidi="ar-SA"/>
        </w:rPr>
        <w:t>企业发展管理办法》</w:t>
      </w:r>
      <w:r>
        <w:rPr>
          <w:rFonts w:hint="eastAsia" w:ascii="宋体" w:hAnsi="宋体" w:eastAsia="宋体" w:cs="宋体"/>
          <w:b w:val="0"/>
          <w:bCs/>
          <w:kern w:val="2"/>
          <w:sz w:val="24"/>
          <w:szCs w:val="24"/>
          <w:lang w:val="en-US" w:eastAsia="zh-CN" w:bidi="ar-SA"/>
        </w:rPr>
        <w:t>（</w:t>
      </w:r>
      <w:r>
        <w:rPr>
          <w:rFonts w:hint="eastAsia" w:ascii="宋体" w:hAnsi="宋体" w:eastAsia="宋体" w:cs="宋体"/>
          <w:b w:val="0"/>
          <w:bCs/>
          <w:spacing w:val="5"/>
          <w:kern w:val="2"/>
          <w:sz w:val="24"/>
          <w:szCs w:val="24"/>
          <w:lang w:val="en-US" w:eastAsia="zh-CN" w:bidi="ar-SA"/>
        </w:rPr>
        <w:t>财库</w:t>
      </w:r>
      <w:r>
        <w:rPr>
          <w:rFonts w:hint="eastAsia" w:ascii="宋体" w:hAnsi="宋体" w:eastAsia="宋体" w:cs="宋体"/>
          <w:b w:val="0"/>
          <w:bCs/>
          <w:kern w:val="2"/>
          <w:sz w:val="24"/>
          <w:szCs w:val="24"/>
          <w:lang w:val="en-US" w:eastAsia="zh-CN" w:bidi="ar-SA"/>
        </w:rPr>
        <w:t>﹝2020﹞46</w:t>
      </w:r>
      <w:r>
        <w:rPr>
          <w:rFonts w:hint="eastAsia" w:ascii="宋体" w:hAnsi="宋体" w:eastAsia="宋体" w:cs="宋体"/>
          <w:b w:val="0"/>
          <w:bCs/>
          <w:spacing w:val="-38"/>
          <w:kern w:val="2"/>
          <w:sz w:val="24"/>
          <w:szCs w:val="24"/>
          <w:lang w:val="en-US" w:eastAsia="zh-CN" w:bidi="ar-SA"/>
        </w:rPr>
        <w:t xml:space="preserve"> 号</w:t>
      </w:r>
      <w:r>
        <w:rPr>
          <w:rFonts w:hint="eastAsia" w:ascii="宋体" w:hAnsi="宋体" w:eastAsia="宋体" w:cs="宋体"/>
          <w:b w:val="0"/>
          <w:bCs/>
          <w:spacing w:val="5"/>
          <w:kern w:val="2"/>
          <w:sz w:val="24"/>
          <w:szCs w:val="24"/>
          <w:lang w:val="en-US" w:eastAsia="zh-CN" w:bidi="ar-SA"/>
        </w:rPr>
        <w:t>）</w:t>
      </w:r>
      <w:r>
        <w:rPr>
          <w:rFonts w:hint="eastAsia" w:ascii="宋体" w:hAnsi="宋体" w:eastAsia="宋体" w:cs="宋体"/>
          <w:b w:val="0"/>
          <w:bCs/>
          <w:kern w:val="2"/>
          <w:sz w:val="24"/>
          <w:szCs w:val="24"/>
          <w:lang w:val="en-US" w:eastAsia="zh-CN" w:bidi="ar-SA"/>
        </w:rPr>
        <w:t>的规定，本公司</w:t>
      </w:r>
      <w:r>
        <w:rPr>
          <w:rFonts w:hint="eastAsia" w:ascii="宋体" w:hAnsi="宋体" w:eastAsia="宋体" w:cs="宋体"/>
          <w:b w:val="0"/>
          <w:bCs/>
          <w:kern w:val="2"/>
          <w:sz w:val="24"/>
          <w:szCs w:val="20"/>
          <w:lang w:val="en-US" w:eastAsia="zh-CN" w:bidi="ar-SA"/>
        </w:rPr>
        <w:t>（联合体）</w:t>
      </w:r>
      <w:r>
        <w:rPr>
          <w:rFonts w:hint="eastAsia" w:ascii="宋体" w:hAnsi="宋体" w:eastAsia="宋体" w:cs="宋体"/>
          <w:b w:val="0"/>
          <w:bCs/>
          <w:spacing w:val="-8"/>
          <w:kern w:val="2"/>
          <w:sz w:val="24"/>
          <w:szCs w:val="20"/>
          <w:lang w:val="en-US" w:eastAsia="zh-CN" w:bidi="ar-SA"/>
        </w:rPr>
        <w:t>参</w:t>
      </w:r>
      <w:r>
        <w:rPr>
          <w:rFonts w:hint="eastAsia" w:ascii="宋体" w:hAnsi="宋体" w:eastAsia="宋体" w:cs="宋体"/>
          <w:b w:val="0"/>
          <w:bCs/>
          <w:spacing w:val="-18"/>
          <w:kern w:val="2"/>
          <w:sz w:val="24"/>
          <w:szCs w:val="24"/>
          <w:lang w:val="zh-CN" w:eastAsia="zh-CN" w:bidi="zh-CN"/>
        </w:rPr>
        <w:t>加</w:t>
      </w:r>
      <w:r>
        <w:rPr>
          <w:rFonts w:hint="eastAsia" w:ascii="宋体" w:hAnsi="宋体" w:eastAsia="宋体" w:cs="宋体"/>
          <w:b w:val="0"/>
          <w:bCs/>
          <w:spacing w:val="-18"/>
          <w:kern w:val="2"/>
          <w:sz w:val="24"/>
          <w:szCs w:val="24"/>
          <w:u w:val="single"/>
          <w:lang w:val="zh-CN" w:eastAsia="zh-CN" w:bidi="zh-CN"/>
        </w:rPr>
        <w:t>（单位名称）</w:t>
      </w:r>
      <w:r>
        <w:rPr>
          <w:rFonts w:hint="eastAsia" w:ascii="宋体" w:hAnsi="宋体" w:eastAsia="宋体" w:cs="宋体"/>
          <w:b w:val="0"/>
          <w:bCs/>
          <w:spacing w:val="-18"/>
          <w:kern w:val="2"/>
          <w:sz w:val="24"/>
          <w:szCs w:val="24"/>
          <w:lang w:val="zh-CN" w:eastAsia="zh-CN" w:bidi="zh-CN"/>
        </w:rPr>
        <w:t>的</w:t>
      </w:r>
      <w:r>
        <w:rPr>
          <w:rFonts w:hint="eastAsia" w:ascii="宋体" w:hAnsi="宋体" w:eastAsia="宋体" w:cs="宋体"/>
          <w:b w:val="0"/>
          <w:bCs/>
          <w:spacing w:val="-18"/>
          <w:kern w:val="2"/>
          <w:sz w:val="24"/>
          <w:szCs w:val="24"/>
          <w:u w:val="single"/>
          <w:lang w:val="zh-CN" w:eastAsia="zh-CN" w:bidi="zh-CN"/>
        </w:rPr>
        <w:t>（项目名称）</w:t>
      </w:r>
      <w:r>
        <w:rPr>
          <w:rFonts w:hint="eastAsia" w:ascii="宋体" w:hAnsi="宋体" w:eastAsia="宋体" w:cs="宋体"/>
          <w:b w:val="0"/>
          <w:bCs/>
          <w:spacing w:val="-18"/>
          <w:kern w:val="2"/>
          <w:sz w:val="24"/>
          <w:szCs w:val="24"/>
          <w:lang w:val="zh-CN" w:eastAsia="zh-CN" w:bidi="zh-CN"/>
        </w:rPr>
        <w:t>采购活动，提供的货物全部由符合政策要求的中小企业制造。相关企业（含联合体中的中小企业、签订分包意向协议的中小企业） 的具体情况如下：</w:t>
      </w:r>
    </w:p>
    <w:p w14:paraId="4DA1339D">
      <w:pPr>
        <w:widowControl w:val="0"/>
        <w:numPr>
          <w:ilvl w:val="0"/>
          <w:numId w:val="8"/>
        </w:numPr>
        <w:tabs>
          <w:tab w:val="left" w:pos="1183"/>
          <w:tab w:val="left" w:pos="1484"/>
          <w:tab w:val="left" w:pos="4662"/>
          <w:tab w:val="left" w:pos="6903"/>
        </w:tabs>
        <w:spacing w:before="0" w:after="0" w:line="360" w:lineRule="auto"/>
        <w:ind w:left="205" w:right="169" w:firstLine="655"/>
        <w:jc w:val="left"/>
        <w:rPr>
          <w:rFonts w:hint="eastAsia" w:ascii="宋体" w:hAnsi="宋体" w:eastAsia="宋体" w:cs="宋体"/>
          <w:spacing w:val="-18"/>
          <w:kern w:val="2"/>
          <w:sz w:val="24"/>
          <w:szCs w:val="24"/>
          <w:u w:val="single" w:color="000000"/>
          <w:lang w:val="zh-CN" w:eastAsia="zh-CN" w:bidi="zh-CN"/>
        </w:rPr>
      </w:pPr>
      <w:r>
        <w:rPr>
          <w:rFonts w:hint="eastAsia" w:ascii="宋体" w:hAnsi="宋体" w:eastAsia="宋体" w:cs="宋体"/>
          <w:spacing w:val="-18"/>
          <w:kern w:val="2"/>
          <w:sz w:val="24"/>
          <w:szCs w:val="24"/>
          <w:u w:val="single" w:color="000000"/>
          <w:lang w:val="zh-CN" w:eastAsia="zh-CN" w:bidi="zh-CN"/>
        </w:rPr>
        <w:t xml:space="preserve"> （ 标 的 名 称 ）</w:t>
      </w:r>
      <w:r>
        <w:rPr>
          <w:rFonts w:hint="eastAsia" w:ascii="宋体" w:hAnsi="宋体" w:eastAsia="宋体" w:cs="宋体"/>
          <w:spacing w:val="-18"/>
          <w:kern w:val="2"/>
          <w:sz w:val="24"/>
          <w:szCs w:val="24"/>
          <w:u w:val="none" w:color="auto"/>
          <w:lang w:val="zh-CN" w:eastAsia="zh-CN" w:bidi="zh-CN"/>
        </w:rPr>
        <w:t xml:space="preserve"> ， 属 于 </w:t>
      </w:r>
      <w:r>
        <w:rPr>
          <w:rFonts w:hint="eastAsia" w:ascii="宋体" w:hAnsi="宋体" w:eastAsia="宋体" w:cs="宋体"/>
          <w:spacing w:val="-18"/>
          <w:kern w:val="2"/>
          <w:sz w:val="24"/>
          <w:szCs w:val="24"/>
          <w:u w:val="single" w:color="000000"/>
          <w:lang w:val="zh-CN" w:eastAsia="zh-CN" w:bidi="zh-CN"/>
        </w:rPr>
        <w:t xml:space="preserve">（ 采 购 文 件 中 明 确 的 所 属 行 业 ） </w:t>
      </w:r>
      <w:r>
        <w:rPr>
          <w:rFonts w:hint="eastAsia" w:ascii="宋体" w:hAnsi="宋体" w:eastAsia="宋体" w:cs="宋体"/>
          <w:spacing w:val="-18"/>
          <w:kern w:val="2"/>
          <w:sz w:val="24"/>
          <w:szCs w:val="24"/>
          <w:u w:val="none" w:color="auto"/>
          <w:lang w:val="zh-CN" w:eastAsia="zh-CN" w:bidi="zh-CN"/>
        </w:rPr>
        <w:t>行业；制造商为</w:t>
      </w:r>
      <w:r>
        <w:rPr>
          <w:rFonts w:hint="eastAsia" w:ascii="宋体" w:hAnsi="宋体" w:eastAsia="宋体" w:cs="宋体"/>
          <w:spacing w:val="-18"/>
          <w:kern w:val="2"/>
          <w:sz w:val="24"/>
          <w:szCs w:val="24"/>
          <w:u w:val="single" w:color="000000"/>
          <w:lang w:val="zh-CN" w:eastAsia="zh-CN" w:bidi="zh-CN"/>
        </w:rPr>
        <w:t>（企业名称）</w:t>
      </w:r>
      <w:r>
        <w:rPr>
          <w:rFonts w:hint="eastAsia" w:ascii="宋体" w:hAnsi="宋体" w:eastAsia="宋体" w:cs="宋体"/>
          <w:spacing w:val="-18"/>
          <w:kern w:val="2"/>
          <w:sz w:val="24"/>
          <w:szCs w:val="24"/>
          <w:u w:val="none" w:color="auto"/>
          <w:lang w:val="zh-CN" w:eastAsia="zh-CN" w:bidi="zh-CN"/>
        </w:rPr>
        <w:t>，从业人员</w:t>
      </w:r>
      <w:r>
        <w:rPr>
          <w:rFonts w:hint="eastAsia" w:ascii="宋体" w:hAnsi="宋体" w:eastAsia="宋体" w:cs="宋体"/>
          <w:spacing w:val="-18"/>
          <w:kern w:val="2"/>
          <w:sz w:val="24"/>
          <w:szCs w:val="24"/>
          <w:u w:val="single" w:color="000000"/>
          <w:lang w:val="zh-CN" w:eastAsia="zh-CN" w:bidi="zh-CN"/>
        </w:rPr>
        <w:t xml:space="preserve"> </w:t>
      </w:r>
      <w:r>
        <w:rPr>
          <w:rFonts w:hint="eastAsia" w:ascii="宋体" w:hAnsi="宋体" w:eastAsia="宋体" w:cs="宋体"/>
          <w:spacing w:val="-18"/>
          <w:kern w:val="2"/>
          <w:sz w:val="24"/>
          <w:szCs w:val="24"/>
          <w:u w:val="single" w:color="000000"/>
          <w:lang w:val="zh-CN" w:eastAsia="zh-CN" w:bidi="zh-CN"/>
        </w:rPr>
        <w:tab/>
      </w:r>
      <w:r>
        <w:rPr>
          <w:rFonts w:hint="eastAsia" w:ascii="宋体" w:hAnsi="宋体" w:eastAsia="宋体" w:cs="宋体"/>
          <w:spacing w:val="-18"/>
          <w:kern w:val="2"/>
          <w:sz w:val="24"/>
          <w:szCs w:val="24"/>
          <w:u w:val="none" w:color="auto"/>
          <w:lang w:val="zh-CN" w:eastAsia="zh-CN" w:bidi="zh-CN"/>
        </w:rPr>
        <w:t>人，营业收入为</w:t>
      </w:r>
      <w:r>
        <w:rPr>
          <w:rFonts w:hint="eastAsia" w:ascii="宋体" w:hAnsi="宋体" w:eastAsia="宋体" w:cs="宋体"/>
          <w:spacing w:val="-18"/>
          <w:kern w:val="2"/>
          <w:sz w:val="24"/>
          <w:szCs w:val="24"/>
          <w:u w:val="single" w:color="000000"/>
          <w:lang w:val="zh-CN" w:eastAsia="zh-CN" w:bidi="zh-CN"/>
        </w:rPr>
        <w:t xml:space="preserve"> </w:t>
      </w:r>
      <w:r>
        <w:rPr>
          <w:rFonts w:hint="eastAsia" w:ascii="宋体" w:hAnsi="宋体" w:eastAsia="宋体" w:cs="宋体"/>
          <w:spacing w:val="-18"/>
          <w:kern w:val="2"/>
          <w:sz w:val="24"/>
          <w:szCs w:val="24"/>
          <w:u w:val="single" w:color="000000"/>
          <w:lang w:val="zh-CN" w:eastAsia="zh-CN" w:bidi="zh-CN"/>
        </w:rPr>
        <w:tab/>
      </w:r>
      <w:r>
        <w:rPr>
          <w:rFonts w:hint="eastAsia" w:ascii="宋体" w:hAnsi="宋体" w:eastAsia="宋体" w:cs="宋体"/>
          <w:spacing w:val="-18"/>
          <w:kern w:val="2"/>
          <w:sz w:val="24"/>
          <w:szCs w:val="24"/>
          <w:u w:val="none" w:color="auto"/>
          <w:lang w:val="zh-CN" w:eastAsia="zh-CN" w:bidi="zh-CN"/>
        </w:rPr>
        <w:t>万元，资产总额为</w:t>
      </w:r>
      <w:r>
        <w:rPr>
          <w:rFonts w:hint="eastAsia" w:ascii="宋体" w:hAnsi="宋体" w:eastAsia="宋体" w:cs="宋体"/>
          <w:spacing w:val="-18"/>
          <w:kern w:val="2"/>
          <w:sz w:val="24"/>
          <w:szCs w:val="24"/>
          <w:u w:val="single" w:color="000000"/>
          <w:lang w:val="zh-CN" w:eastAsia="zh-CN" w:bidi="zh-CN"/>
        </w:rPr>
        <w:t xml:space="preserve"> </w:t>
      </w:r>
      <w:r>
        <w:rPr>
          <w:rFonts w:hint="eastAsia" w:ascii="宋体" w:hAnsi="宋体" w:eastAsia="宋体" w:cs="宋体"/>
          <w:spacing w:val="-18"/>
          <w:kern w:val="2"/>
          <w:sz w:val="24"/>
          <w:szCs w:val="24"/>
          <w:u w:val="single" w:color="000000"/>
          <w:lang w:val="zh-CN" w:eastAsia="zh-CN" w:bidi="zh-CN"/>
        </w:rPr>
        <w:tab/>
      </w:r>
      <w:r>
        <w:rPr>
          <w:rFonts w:hint="eastAsia" w:ascii="宋体" w:hAnsi="宋体" w:eastAsia="宋体" w:cs="宋体"/>
          <w:spacing w:val="-18"/>
          <w:kern w:val="2"/>
          <w:sz w:val="24"/>
          <w:szCs w:val="24"/>
          <w:u w:val="none" w:color="auto"/>
          <w:lang w:val="zh-CN" w:eastAsia="zh-CN" w:bidi="zh-CN"/>
        </w:rPr>
        <w:t>万元，属于</w:t>
      </w:r>
      <w:r>
        <w:rPr>
          <w:rFonts w:hint="eastAsia" w:ascii="宋体" w:hAnsi="宋体" w:eastAsia="宋体" w:cs="宋体"/>
          <w:spacing w:val="-18"/>
          <w:kern w:val="2"/>
          <w:sz w:val="24"/>
          <w:szCs w:val="24"/>
          <w:u w:val="single" w:color="auto"/>
          <w:lang w:val="zh-CN" w:eastAsia="zh-CN" w:bidi="zh-CN"/>
        </w:rPr>
        <w:t>（中型企业、小型企业、微型企业）；</w:t>
      </w:r>
    </w:p>
    <w:p w14:paraId="2664134F">
      <w:pPr>
        <w:widowControl w:val="0"/>
        <w:numPr>
          <w:ilvl w:val="0"/>
          <w:numId w:val="8"/>
        </w:numPr>
        <w:tabs>
          <w:tab w:val="left" w:pos="1165"/>
          <w:tab w:val="left" w:pos="1183"/>
          <w:tab w:val="left" w:pos="4362"/>
          <w:tab w:val="left" w:pos="6577"/>
        </w:tabs>
        <w:spacing w:before="0" w:after="0" w:line="360" w:lineRule="auto"/>
        <w:ind w:left="205" w:right="169" w:firstLine="655"/>
        <w:jc w:val="left"/>
        <w:rPr>
          <w:rFonts w:hint="eastAsia" w:ascii="宋体" w:hAnsi="宋体" w:eastAsia="宋体" w:cs="宋体"/>
          <w:spacing w:val="-18"/>
          <w:kern w:val="2"/>
          <w:sz w:val="24"/>
          <w:szCs w:val="24"/>
          <w:u w:val="single" w:color="000000"/>
          <w:lang w:val="zh-CN" w:eastAsia="zh-CN" w:bidi="zh-CN"/>
        </w:rPr>
      </w:pPr>
      <w:r>
        <w:rPr>
          <w:rFonts w:hint="eastAsia" w:ascii="宋体" w:hAnsi="宋体" w:eastAsia="宋体" w:cs="宋体"/>
          <w:spacing w:val="-18"/>
          <w:kern w:val="2"/>
          <w:sz w:val="24"/>
          <w:szCs w:val="24"/>
          <w:u w:val="single" w:color="000000"/>
          <w:lang w:val="zh-CN" w:eastAsia="zh-CN" w:bidi="zh-CN"/>
        </w:rPr>
        <w:t xml:space="preserve"> （ 标 的 名 称 ）</w:t>
      </w:r>
      <w:r>
        <w:rPr>
          <w:rFonts w:hint="eastAsia" w:ascii="宋体" w:hAnsi="宋体" w:eastAsia="宋体" w:cs="宋体"/>
          <w:spacing w:val="-18"/>
          <w:kern w:val="2"/>
          <w:sz w:val="24"/>
          <w:szCs w:val="24"/>
          <w:u w:val="none" w:color="auto"/>
          <w:lang w:val="zh-CN" w:eastAsia="zh-CN" w:bidi="zh-CN"/>
        </w:rPr>
        <w:t xml:space="preserve"> ， 属 于</w:t>
      </w:r>
      <w:r>
        <w:rPr>
          <w:rFonts w:hint="eastAsia" w:ascii="宋体" w:hAnsi="宋体" w:eastAsia="宋体" w:cs="宋体"/>
          <w:spacing w:val="-18"/>
          <w:kern w:val="2"/>
          <w:sz w:val="24"/>
          <w:szCs w:val="24"/>
          <w:u w:val="single" w:color="000000"/>
          <w:lang w:val="zh-CN" w:eastAsia="zh-CN" w:bidi="zh-CN"/>
        </w:rPr>
        <w:t xml:space="preserve"> （ 采 购 文 件 中 明 确 的 所 属 行 业 ）</w:t>
      </w:r>
      <w:r>
        <w:rPr>
          <w:rFonts w:hint="eastAsia" w:ascii="宋体" w:hAnsi="宋体" w:eastAsia="宋体" w:cs="宋体"/>
          <w:spacing w:val="-18"/>
          <w:kern w:val="2"/>
          <w:sz w:val="24"/>
          <w:szCs w:val="24"/>
          <w:u w:val="none" w:color="auto"/>
          <w:lang w:val="zh-CN" w:eastAsia="zh-CN" w:bidi="zh-CN"/>
        </w:rPr>
        <w:t xml:space="preserve"> 行业；制造商为</w:t>
      </w:r>
      <w:r>
        <w:rPr>
          <w:rFonts w:hint="eastAsia" w:ascii="宋体" w:hAnsi="宋体" w:eastAsia="宋体" w:cs="宋体"/>
          <w:spacing w:val="-18"/>
          <w:kern w:val="2"/>
          <w:sz w:val="24"/>
          <w:szCs w:val="24"/>
          <w:u w:val="single" w:color="000000"/>
          <w:lang w:val="zh-CN" w:eastAsia="zh-CN" w:bidi="zh-CN"/>
        </w:rPr>
        <w:t>（企业名称）</w:t>
      </w:r>
      <w:r>
        <w:rPr>
          <w:rFonts w:hint="eastAsia" w:ascii="宋体" w:hAnsi="宋体" w:eastAsia="宋体" w:cs="宋体"/>
          <w:spacing w:val="-18"/>
          <w:kern w:val="2"/>
          <w:sz w:val="24"/>
          <w:szCs w:val="24"/>
          <w:u w:val="none" w:color="auto"/>
          <w:lang w:val="zh-CN" w:eastAsia="zh-CN" w:bidi="zh-CN"/>
        </w:rPr>
        <w:t>，从业人员</w:t>
      </w:r>
      <w:r>
        <w:rPr>
          <w:rFonts w:hint="eastAsia" w:ascii="宋体" w:hAnsi="宋体" w:eastAsia="宋体" w:cs="宋体"/>
          <w:spacing w:val="-18"/>
          <w:kern w:val="2"/>
          <w:sz w:val="24"/>
          <w:szCs w:val="24"/>
          <w:u w:val="single" w:color="000000"/>
          <w:lang w:val="zh-CN" w:eastAsia="zh-CN" w:bidi="zh-CN"/>
        </w:rPr>
        <w:t xml:space="preserve"> </w:t>
      </w:r>
      <w:r>
        <w:rPr>
          <w:rFonts w:hint="eastAsia" w:ascii="宋体" w:hAnsi="宋体" w:eastAsia="宋体" w:cs="宋体"/>
          <w:spacing w:val="-18"/>
          <w:kern w:val="2"/>
          <w:sz w:val="24"/>
          <w:szCs w:val="24"/>
          <w:u w:val="single" w:color="000000"/>
          <w:lang w:val="zh-CN" w:eastAsia="zh-CN" w:bidi="zh-CN"/>
        </w:rPr>
        <w:tab/>
      </w:r>
      <w:r>
        <w:rPr>
          <w:rFonts w:hint="eastAsia" w:ascii="宋体" w:hAnsi="宋体" w:eastAsia="宋体" w:cs="宋体"/>
          <w:spacing w:val="-18"/>
          <w:kern w:val="2"/>
          <w:sz w:val="24"/>
          <w:szCs w:val="24"/>
          <w:u w:val="none" w:color="auto"/>
          <w:lang w:val="zh-CN" w:eastAsia="zh-CN" w:bidi="zh-CN"/>
        </w:rPr>
        <w:t>人，营业收入为</w:t>
      </w:r>
      <w:r>
        <w:rPr>
          <w:rFonts w:hint="eastAsia" w:ascii="宋体" w:hAnsi="宋体" w:eastAsia="宋体" w:cs="宋体"/>
          <w:spacing w:val="-18"/>
          <w:kern w:val="2"/>
          <w:sz w:val="24"/>
          <w:szCs w:val="24"/>
          <w:u w:val="single" w:color="000000"/>
          <w:lang w:val="zh-CN" w:eastAsia="zh-CN" w:bidi="zh-CN"/>
        </w:rPr>
        <w:t xml:space="preserve"> </w:t>
      </w:r>
      <w:r>
        <w:rPr>
          <w:rFonts w:hint="eastAsia" w:ascii="宋体" w:hAnsi="宋体" w:eastAsia="宋体" w:cs="宋体"/>
          <w:spacing w:val="-18"/>
          <w:kern w:val="2"/>
          <w:sz w:val="24"/>
          <w:szCs w:val="24"/>
          <w:u w:val="single" w:color="000000"/>
          <w:lang w:val="zh-CN" w:eastAsia="zh-CN" w:bidi="zh-CN"/>
        </w:rPr>
        <w:tab/>
      </w:r>
      <w:r>
        <w:rPr>
          <w:rFonts w:hint="eastAsia" w:ascii="宋体" w:hAnsi="宋体" w:eastAsia="宋体" w:cs="宋体"/>
          <w:spacing w:val="-18"/>
          <w:kern w:val="2"/>
          <w:sz w:val="24"/>
          <w:szCs w:val="24"/>
          <w:u w:val="none" w:color="auto"/>
          <w:lang w:val="zh-CN" w:eastAsia="zh-CN" w:bidi="zh-CN"/>
        </w:rPr>
        <w:t xml:space="preserve">万元，资产总额为 </w:t>
      </w:r>
      <w:r>
        <w:rPr>
          <w:rFonts w:hint="eastAsia" w:ascii="宋体" w:hAnsi="宋体" w:eastAsia="宋体" w:cs="宋体"/>
          <w:spacing w:val="-18"/>
          <w:kern w:val="2"/>
          <w:sz w:val="24"/>
          <w:szCs w:val="24"/>
          <w:u w:val="single" w:color="000000"/>
          <w:lang w:val="zh-CN" w:eastAsia="zh-CN" w:bidi="zh-CN"/>
        </w:rPr>
        <w:tab/>
      </w:r>
      <w:r>
        <w:rPr>
          <w:rFonts w:hint="eastAsia" w:ascii="宋体" w:hAnsi="宋体" w:eastAsia="宋体" w:cs="宋体"/>
          <w:spacing w:val="-18"/>
          <w:kern w:val="2"/>
          <w:sz w:val="24"/>
          <w:szCs w:val="24"/>
          <w:u w:val="none" w:color="auto"/>
          <w:lang w:val="zh-CN" w:eastAsia="zh-CN" w:bidi="zh-CN"/>
        </w:rPr>
        <w:t>万元，属于</w:t>
      </w:r>
      <w:r>
        <w:rPr>
          <w:rFonts w:hint="eastAsia" w:ascii="宋体" w:hAnsi="宋体" w:eastAsia="宋体" w:cs="宋体"/>
          <w:spacing w:val="-18"/>
          <w:kern w:val="2"/>
          <w:sz w:val="24"/>
          <w:szCs w:val="24"/>
          <w:u w:val="single" w:color="000000"/>
          <w:lang w:val="zh-CN" w:eastAsia="zh-CN" w:bidi="zh-CN"/>
        </w:rPr>
        <w:t>（中型企业、小型企业、微型企业）；</w:t>
      </w:r>
    </w:p>
    <w:p w14:paraId="22997E2B">
      <w:pPr>
        <w:widowControl w:val="0"/>
        <w:spacing w:line="360" w:lineRule="auto"/>
        <w:ind w:left="860"/>
        <w:jc w:val="both"/>
        <w:rPr>
          <w:rFonts w:hint="eastAsia" w:ascii="宋体" w:hAnsi="宋体" w:eastAsia="宋体" w:cs="宋体"/>
          <w:b/>
          <w:kern w:val="2"/>
          <w:sz w:val="24"/>
          <w:szCs w:val="24"/>
          <w:lang w:val="en-US" w:eastAsia="zh-CN" w:bidi="ar-SA"/>
        </w:rPr>
      </w:pPr>
      <w:r>
        <w:rPr>
          <w:rFonts w:hint="eastAsia" w:ascii="宋体" w:hAnsi="宋体" w:eastAsia="宋体" w:cs="宋体"/>
          <w:b/>
          <w:kern w:val="2"/>
          <w:sz w:val="24"/>
          <w:szCs w:val="24"/>
          <w:lang w:val="en-US" w:eastAsia="zh-CN" w:bidi="ar-SA"/>
        </w:rPr>
        <w:t>……</w:t>
      </w:r>
    </w:p>
    <w:p w14:paraId="67E58834">
      <w:pPr>
        <w:widowControl w:val="0"/>
        <w:spacing w:before="105" w:line="360" w:lineRule="auto"/>
        <w:ind w:right="417" w:firstLine="645"/>
        <w:jc w:val="both"/>
        <w:rPr>
          <w:rFonts w:hint="eastAsia" w:ascii="宋体" w:hAnsi="宋体" w:eastAsia="宋体" w:cs="宋体"/>
          <w:b w:val="0"/>
          <w:bCs/>
          <w:kern w:val="2"/>
          <w:sz w:val="24"/>
          <w:szCs w:val="24"/>
          <w:lang w:val="en-US" w:eastAsia="zh-CN" w:bidi="ar-SA"/>
        </w:rPr>
      </w:pPr>
      <w:r>
        <w:rPr>
          <w:rFonts w:hint="eastAsia" w:ascii="宋体" w:hAnsi="宋体" w:eastAsia="宋体" w:cs="宋体"/>
          <w:b w:val="0"/>
          <w:bCs/>
          <w:spacing w:val="-3"/>
          <w:kern w:val="2"/>
          <w:sz w:val="24"/>
          <w:szCs w:val="24"/>
          <w:lang w:val="en-US" w:eastAsia="zh-CN" w:bidi="ar-SA"/>
        </w:rPr>
        <w:t>以上企业，不属于大企业的分支机构，不存在控股股东</w:t>
      </w:r>
      <w:r>
        <w:rPr>
          <w:rFonts w:hint="eastAsia" w:ascii="宋体" w:hAnsi="宋体" w:eastAsia="宋体" w:cs="宋体"/>
          <w:b w:val="0"/>
          <w:bCs/>
          <w:spacing w:val="-5"/>
          <w:kern w:val="2"/>
          <w:sz w:val="24"/>
          <w:szCs w:val="24"/>
          <w:lang w:val="en-US" w:eastAsia="zh-CN" w:bidi="ar-SA"/>
        </w:rPr>
        <w:t>为大企业的情形，也不存在与大企业的负责人为同一人的情形。</w:t>
      </w:r>
    </w:p>
    <w:p w14:paraId="346DF750">
      <w:pPr>
        <w:widowControl w:val="0"/>
        <w:spacing w:line="360" w:lineRule="auto"/>
        <w:ind w:right="372" w:firstLine="645"/>
        <w:jc w:val="both"/>
        <w:rPr>
          <w:rFonts w:hint="eastAsia" w:ascii="宋体" w:hAnsi="宋体" w:eastAsia="宋体" w:cs="宋体"/>
          <w:b w:val="0"/>
          <w:bCs/>
          <w:kern w:val="2"/>
          <w:sz w:val="24"/>
          <w:szCs w:val="24"/>
          <w:lang w:val="en-US" w:eastAsia="zh-CN" w:bidi="ar-SA"/>
        </w:rPr>
      </w:pPr>
      <w:r>
        <w:rPr>
          <w:rFonts w:hint="eastAsia" w:ascii="宋体" w:hAnsi="宋体" w:eastAsia="宋体" w:cs="宋体"/>
          <w:b w:val="0"/>
          <w:bCs/>
          <w:kern w:val="2"/>
          <w:sz w:val="24"/>
          <w:szCs w:val="24"/>
          <w:lang w:val="en-US" w:eastAsia="zh-CN" w:bidi="ar-SA"/>
        </w:rPr>
        <w:t>本企业对上述声明内容的真实性负责。如有虚假，将依法承担相应责任。</w:t>
      </w:r>
    </w:p>
    <w:p w14:paraId="5B566148">
      <w:pPr>
        <w:widowControl w:val="0"/>
        <w:spacing w:before="35" w:line="360" w:lineRule="auto"/>
        <w:ind w:left="4060" w:right="2166"/>
        <w:jc w:val="both"/>
        <w:rPr>
          <w:rFonts w:hint="eastAsia" w:ascii="宋体" w:hAnsi="宋体" w:eastAsia="宋体" w:cs="宋体"/>
          <w:b w:val="0"/>
          <w:bCs/>
          <w:spacing w:val="24"/>
          <w:kern w:val="2"/>
          <w:sz w:val="24"/>
          <w:szCs w:val="24"/>
          <w:lang w:val="en-US" w:eastAsia="zh-CN" w:bidi="ar-SA"/>
        </w:rPr>
      </w:pPr>
      <w:r>
        <w:rPr>
          <w:rFonts w:hint="eastAsia" w:ascii="宋体" w:hAnsi="宋体" w:eastAsia="宋体" w:cs="宋体"/>
          <w:b w:val="0"/>
          <w:bCs/>
          <w:spacing w:val="24"/>
          <w:kern w:val="2"/>
          <w:sz w:val="24"/>
          <w:szCs w:val="24"/>
          <w:lang w:val="en-US" w:eastAsia="zh-CN" w:bidi="ar-SA"/>
        </w:rPr>
        <w:t>企业名称（盖章）：</w:t>
      </w:r>
    </w:p>
    <w:p w14:paraId="0D34CC4F">
      <w:pPr>
        <w:widowControl w:val="0"/>
        <w:spacing w:before="35" w:line="360" w:lineRule="auto"/>
        <w:ind w:left="4060" w:right="2166"/>
        <w:jc w:val="both"/>
        <w:rPr>
          <w:rFonts w:hint="eastAsia" w:ascii="宋体" w:hAnsi="宋体" w:eastAsia="宋体" w:cs="宋体"/>
          <w:b w:val="0"/>
          <w:bCs/>
          <w:kern w:val="2"/>
          <w:sz w:val="24"/>
          <w:szCs w:val="24"/>
          <w:lang w:val="en-US" w:eastAsia="zh-CN" w:bidi="ar-SA"/>
        </w:rPr>
      </w:pPr>
      <w:r>
        <w:rPr>
          <w:rFonts w:hint="eastAsia" w:ascii="宋体" w:hAnsi="宋体" w:eastAsia="宋体" w:cs="宋体"/>
          <w:b w:val="0"/>
          <w:bCs/>
          <w:spacing w:val="24"/>
          <w:kern w:val="2"/>
          <w:sz w:val="24"/>
          <w:szCs w:val="24"/>
          <w:lang w:val="en-US" w:eastAsia="zh-CN" w:bidi="ar-SA"/>
        </w:rPr>
        <w:t>日期：</w:t>
      </w:r>
    </w:p>
    <w:p w14:paraId="1E3E582D">
      <w:pPr>
        <w:pStyle w:val="14"/>
        <w:jc w:val="center"/>
        <w:rPr>
          <w:rFonts w:hint="eastAsia" w:ascii="宋体" w:hAnsi="宋体" w:cs="宋体"/>
          <w:b/>
          <w:sz w:val="32"/>
          <w:szCs w:val="22"/>
        </w:rPr>
      </w:pPr>
    </w:p>
    <w:p w14:paraId="7CEFDEC3">
      <w:pPr>
        <w:pStyle w:val="14"/>
        <w:jc w:val="center"/>
        <w:rPr>
          <w:rFonts w:hint="eastAsia" w:ascii="宋体" w:hAnsi="宋体" w:cs="宋体"/>
          <w:b/>
          <w:sz w:val="32"/>
          <w:szCs w:val="22"/>
        </w:rPr>
      </w:pPr>
    </w:p>
    <w:p w14:paraId="424BF35B">
      <w:pPr>
        <w:pStyle w:val="14"/>
        <w:jc w:val="center"/>
        <w:rPr>
          <w:rFonts w:hint="eastAsia" w:ascii="宋体" w:hAnsi="宋体" w:cs="宋体"/>
          <w:b/>
          <w:sz w:val="32"/>
          <w:szCs w:val="22"/>
        </w:rPr>
      </w:pPr>
    </w:p>
    <w:p w14:paraId="68618622">
      <w:pPr>
        <w:pStyle w:val="14"/>
        <w:jc w:val="center"/>
        <w:rPr>
          <w:rFonts w:hint="eastAsia" w:ascii="宋体" w:hAnsi="宋体" w:cs="宋体"/>
          <w:b/>
          <w:sz w:val="32"/>
          <w:szCs w:val="22"/>
        </w:rPr>
      </w:pPr>
    </w:p>
    <w:p w14:paraId="6D2FFCA9">
      <w:pPr>
        <w:pStyle w:val="14"/>
        <w:jc w:val="center"/>
        <w:rPr>
          <w:rFonts w:hint="eastAsia" w:ascii="宋体" w:hAnsi="宋体" w:cs="宋体"/>
          <w:b/>
          <w:sz w:val="32"/>
          <w:szCs w:val="22"/>
        </w:rPr>
      </w:pPr>
    </w:p>
    <w:p w14:paraId="21A26EA7">
      <w:pPr>
        <w:pStyle w:val="14"/>
        <w:jc w:val="center"/>
        <w:rPr>
          <w:rFonts w:hint="eastAsia" w:ascii="宋体" w:hAnsi="宋体" w:cs="宋体"/>
          <w:b/>
          <w:sz w:val="32"/>
          <w:szCs w:val="22"/>
        </w:rPr>
      </w:pPr>
    </w:p>
    <w:p w14:paraId="03D7C89F">
      <w:pPr>
        <w:pStyle w:val="14"/>
        <w:jc w:val="center"/>
        <w:rPr>
          <w:rFonts w:hint="eastAsia" w:ascii="宋体" w:hAnsi="宋体" w:cs="宋体"/>
          <w:b/>
          <w:sz w:val="32"/>
          <w:szCs w:val="22"/>
        </w:rPr>
      </w:pPr>
    </w:p>
    <w:p w14:paraId="5A041A37">
      <w:pPr>
        <w:pStyle w:val="14"/>
        <w:jc w:val="center"/>
        <w:rPr>
          <w:rFonts w:hint="eastAsia" w:ascii="宋体" w:hAnsi="宋体" w:cs="宋体"/>
          <w:b/>
          <w:sz w:val="32"/>
          <w:szCs w:val="22"/>
        </w:rPr>
      </w:pPr>
    </w:p>
    <w:p w14:paraId="31040C16">
      <w:pPr>
        <w:pStyle w:val="14"/>
        <w:jc w:val="center"/>
        <w:rPr>
          <w:rFonts w:hint="eastAsia" w:ascii="宋体" w:hAnsi="宋体" w:cs="宋体"/>
          <w:b/>
          <w:sz w:val="32"/>
          <w:szCs w:val="22"/>
        </w:rPr>
      </w:pPr>
    </w:p>
    <w:p w14:paraId="1BC8B858">
      <w:pPr>
        <w:pStyle w:val="14"/>
        <w:jc w:val="center"/>
        <w:rPr>
          <w:rFonts w:hint="eastAsia" w:ascii="宋体" w:hAnsi="宋体" w:cs="宋体"/>
          <w:b/>
          <w:sz w:val="32"/>
          <w:szCs w:val="22"/>
        </w:rPr>
      </w:pPr>
    </w:p>
    <w:p w14:paraId="751C26D6">
      <w:pPr>
        <w:pStyle w:val="14"/>
        <w:jc w:val="center"/>
        <w:rPr>
          <w:rFonts w:hint="eastAsia" w:ascii="宋体" w:hAnsi="宋体" w:cs="宋体"/>
          <w:bCs/>
          <w:sz w:val="32"/>
          <w:szCs w:val="32"/>
          <w:lang w:val="en-US" w:eastAsia="zh-CN"/>
        </w:rPr>
      </w:pPr>
      <w:r>
        <w:rPr>
          <w:rFonts w:hint="eastAsia" w:ascii="宋体" w:hAnsi="宋体" w:cs="宋体"/>
          <w:b/>
          <w:sz w:val="32"/>
          <w:szCs w:val="22"/>
        </w:rPr>
        <w:t>四、响应方案</w:t>
      </w:r>
    </w:p>
    <w:p w14:paraId="73157635">
      <w:pPr>
        <w:pStyle w:val="37"/>
      </w:pPr>
    </w:p>
    <w:p w14:paraId="2D07DBD6">
      <w:pPr>
        <w:adjustRightInd w:val="0"/>
        <w:spacing w:line="360" w:lineRule="auto"/>
        <w:ind w:firstLine="480" w:firstLineChars="200"/>
        <w:textAlignment w:val="baseline"/>
        <w:rPr>
          <w:rFonts w:hint="eastAsia" w:ascii="宋体" w:hAnsi="宋体"/>
          <w:color w:val="auto"/>
          <w:sz w:val="24"/>
        </w:rPr>
      </w:pPr>
      <w:r>
        <w:rPr>
          <w:rFonts w:hint="eastAsia" w:ascii="宋体" w:hAnsi="宋体"/>
          <w:color w:val="auto"/>
          <w:sz w:val="24"/>
        </w:rPr>
        <w:t>投标人应按照</w:t>
      </w:r>
      <w:r>
        <w:rPr>
          <w:rFonts w:hint="eastAsia" w:ascii="宋体" w:hAnsi="宋体"/>
          <w:color w:val="auto"/>
          <w:sz w:val="24"/>
          <w:lang w:val="en-US" w:eastAsia="zh-CN"/>
        </w:rPr>
        <w:t>谈判</w:t>
      </w:r>
      <w:r>
        <w:rPr>
          <w:rFonts w:hint="eastAsia" w:ascii="宋体" w:hAnsi="宋体"/>
          <w:color w:val="auto"/>
          <w:sz w:val="24"/>
        </w:rPr>
        <w:t>文件要求，做出全面响应。</w:t>
      </w:r>
      <w:r>
        <w:rPr>
          <w:rFonts w:hint="eastAsia" w:ascii="宋体" w:hAnsi="宋体"/>
          <w:color w:val="auto"/>
          <w:sz w:val="24"/>
          <w:lang w:eastAsia="zh-CN"/>
        </w:rPr>
        <w:t>提供详细的供货方案及服务方案与措施</w:t>
      </w:r>
      <w:r>
        <w:rPr>
          <w:rFonts w:hint="eastAsia" w:ascii="宋体" w:hAnsi="宋体"/>
          <w:color w:val="auto"/>
          <w:sz w:val="24"/>
        </w:rPr>
        <w:t>。包含但不限于以下内容：</w:t>
      </w:r>
    </w:p>
    <w:p w14:paraId="5AD122C4">
      <w:pPr>
        <w:spacing w:line="360" w:lineRule="auto"/>
        <w:ind w:firstLine="480" w:firstLineChars="200"/>
        <w:rPr>
          <w:rFonts w:hint="eastAsia" w:ascii="宋体" w:hAnsi="宋体" w:eastAsia="宋体" w:cs="宋体"/>
          <w:color w:val="FF0000"/>
          <w:sz w:val="24"/>
          <w:szCs w:val="24"/>
          <w:lang w:eastAsia="zh-CN"/>
        </w:rPr>
      </w:pPr>
      <w:r>
        <w:rPr>
          <w:rFonts w:hint="eastAsia" w:ascii="宋体" w:hAnsi="宋体" w:cs="宋体"/>
          <w:color w:val="auto"/>
          <w:sz w:val="24"/>
          <w:szCs w:val="24"/>
        </w:rPr>
        <w:t>一、标的物选型及技术指标说明</w:t>
      </w:r>
      <w:r>
        <w:rPr>
          <w:rFonts w:hint="eastAsia" w:ascii="宋体" w:hAnsi="宋体" w:cs="宋体"/>
          <w:color w:val="auto"/>
          <w:sz w:val="24"/>
          <w:szCs w:val="24"/>
          <w:lang w:eastAsia="zh-CN"/>
        </w:rPr>
        <w:t>；</w:t>
      </w:r>
    </w:p>
    <w:p w14:paraId="7BF2C74B">
      <w:pPr>
        <w:spacing w:line="360" w:lineRule="auto"/>
        <w:ind w:firstLine="523" w:firstLineChars="218"/>
        <w:rPr>
          <w:rFonts w:hint="eastAsia" w:ascii="宋体" w:hAnsi="宋体" w:eastAsia="宋体" w:cs="宋体"/>
          <w:color w:val="auto"/>
          <w:sz w:val="24"/>
          <w:szCs w:val="24"/>
          <w:lang w:eastAsia="zh-CN"/>
        </w:rPr>
      </w:pPr>
      <w:r>
        <w:rPr>
          <w:rFonts w:hint="eastAsia" w:ascii="宋体" w:hAnsi="宋体" w:cs="宋体"/>
          <w:color w:val="auto"/>
          <w:sz w:val="24"/>
          <w:szCs w:val="24"/>
          <w:lang w:eastAsia="zh-CN"/>
        </w:rPr>
        <w:t>二、主要货物合法来源渠道的书面证明材料。</w:t>
      </w:r>
    </w:p>
    <w:p w14:paraId="1AC2CE40">
      <w:pPr>
        <w:spacing w:line="360" w:lineRule="auto"/>
        <w:ind w:firstLine="523" w:firstLineChars="218"/>
        <w:rPr>
          <w:rFonts w:hint="eastAsia" w:ascii="宋体" w:hAnsi="宋体" w:cs="宋体"/>
          <w:color w:val="auto"/>
          <w:sz w:val="24"/>
          <w:szCs w:val="24"/>
        </w:rPr>
      </w:pPr>
      <w:r>
        <w:rPr>
          <w:rFonts w:hint="eastAsia" w:ascii="宋体" w:hAnsi="宋体" w:cs="宋体"/>
          <w:color w:val="auto"/>
          <w:sz w:val="24"/>
          <w:szCs w:val="24"/>
          <w:lang w:eastAsia="zh-CN"/>
        </w:rPr>
        <w:t>三</w:t>
      </w:r>
      <w:r>
        <w:rPr>
          <w:rFonts w:hint="eastAsia" w:ascii="宋体" w:hAnsi="宋体" w:cs="宋体"/>
          <w:color w:val="auto"/>
          <w:sz w:val="24"/>
          <w:szCs w:val="24"/>
        </w:rPr>
        <w:t>、对本项目的供货、服务</w:t>
      </w:r>
      <w:r>
        <w:rPr>
          <w:rFonts w:hint="eastAsia" w:ascii="宋体" w:hAnsi="宋体" w:cs="宋体"/>
          <w:color w:val="auto"/>
          <w:sz w:val="24"/>
          <w:szCs w:val="24"/>
          <w:lang w:eastAsia="zh-CN"/>
        </w:rPr>
        <w:t>的</w:t>
      </w:r>
      <w:r>
        <w:rPr>
          <w:rFonts w:hint="eastAsia" w:ascii="宋体" w:hAnsi="宋体" w:cs="宋体"/>
          <w:color w:val="auto"/>
          <w:sz w:val="24"/>
          <w:szCs w:val="24"/>
        </w:rPr>
        <w:t>组织措施及人员投入情况。</w:t>
      </w:r>
    </w:p>
    <w:p w14:paraId="53DB07C1">
      <w:pPr>
        <w:tabs>
          <w:tab w:val="left" w:pos="630"/>
        </w:tabs>
        <w:spacing w:line="360" w:lineRule="auto"/>
        <w:rPr>
          <w:rFonts w:hint="eastAsia" w:ascii="宋体" w:hAnsi="宋体" w:cs="宋体"/>
          <w:color w:val="auto"/>
          <w:sz w:val="24"/>
          <w:szCs w:val="24"/>
        </w:rPr>
      </w:pPr>
      <w:r>
        <w:rPr>
          <w:rFonts w:hint="eastAsia" w:ascii="宋体" w:hAnsi="宋体" w:cs="宋体"/>
          <w:color w:val="auto"/>
          <w:sz w:val="24"/>
          <w:szCs w:val="24"/>
        </w:rPr>
        <w:t xml:space="preserve">    </w:t>
      </w:r>
      <w:r>
        <w:rPr>
          <w:rFonts w:hint="eastAsia" w:ascii="宋体" w:hAnsi="宋体" w:cs="宋体"/>
          <w:color w:val="auto"/>
          <w:sz w:val="24"/>
          <w:szCs w:val="24"/>
          <w:lang w:val="en-US" w:eastAsia="zh-CN"/>
        </w:rPr>
        <w:t>四</w:t>
      </w:r>
      <w:r>
        <w:rPr>
          <w:rFonts w:hint="eastAsia" w:ascii="宋体" w:hAnsi="宋体" w:cs="宋体"/>
          <w:color w:val="auto"/>
          <w:sz w:val="24"/>
          <w:szCs w:val="24"/>
        </w:rPr>
        <w:t>、质量保证、售后服务计划及措施。</w:t>
      </w:r>
    </w:p>
    <w:p w14:paraId="41CE0229">
      <w:pPr>
        <w:spacing w:line="360" w:lineRule="atLeast"/>
        <w:ind w:firstLine="480" w:firstLineChars="200"/>
        <w:rPr>
          <w:rFonts w:hint="eastAsia" w:ascii="宋体" w:hAnsi="宋体" w:eastAsia="宋体" w:cs="宋体"/>
          <w:color w:val="auto"/>
          <w:sz w:val="24"/>
          <w:szCs w:val="24"/>
          <w:lang w:eastAsia="zh-CN"/>
        </w:rPr>
      </w:pPr>
      <w:r>
        <w:rPr>
          <w:rFonts w:hint="eastAsia" w:ascii="宋体" w:hAnsi="宋体" w:cs="宋体"/>
          <w:color w:val="auto"/>
          <w:sz w:val="24"/>
          <w:szCs w:val="24"/>
          <w:lang w:val="en-US" w:eastAsia="zh-CN"/>
        </w:rPr>
        <w:t>五</w:t>
      </w:r>
      <w:r>
        <w:rPr>
          <w:rFonts w:hint="eastAsia" w:ascii="宋体" w:hAnsi="宋体" w:cs="宋体"/>
          <w:color w:val="auto"/>
          <w:sz w:val="24"/>
          <w:szCs w:val="24"/>
          <w:lang w:eastAsia="zh-CN"/>
        </w:rPr>
        <w:t>、公司服务承诺。</w:t>
      </w:r>
    </w:p>
    <w:p w14:paraId="20495B7A">
      <w:pPr>
        <w:spacing w:line="360" w:lineRule="atLeast"/>
        <w:ind w:firstLine="480" w:firstLineChars="200"/>
        <w:rPr>
          <w:rFonts w:hint="eastAsia" w:ascii="Arial" w:hAnsi="Arial" w:cs="Arial"/>
          <w:color w:val="auto"/>
          <w:sz w:val="24"/>
        </w:rPr>
      </w:pPr>
      <w:r>
        <w:rPr>
          <w:rFonts w:hint="eastAsia" w:ascii="宋体" w:hAnsi="宋体" w:cs="宋体"/>
          <w:color w:val="auto"/>
          <w:sz w:val="24"/>
          <w:szCs w:val="24"/>
          <w:lang w:val="en-US" w:eastAsia="zh-CN"/>
        </w:rPr>
        <w:t>六</w:t>
      </w:r>
      <w:r>
        <w:rPr>
          <w:rFonts w:hint="eastAsia" w:ascii="宋体" w:hAnsi="宋体" w:cs="宋体"/>
          <w:color w:val="auto"/>
          <w:sz w:val="24"/>
          <w:szCs w:val="24"/>
        </w:rPr>
        <w:t>、投标供应商其他有必要说明的问题。</w:t>
      </w:r>
    </w:p>
    <w:p w14:paraId="2CDEEFF5">
      <w:pPr>
        <w:spacing w:line="360" w:lineRule="auto"/>
        <w:ind w:right="-161" w:firstLine="2640" w:firstLineChars="1100"/>
        <w:rPr>
          <w:rFonts w:hint="eastAsia" w:ascii="宋体" w:hAnsi="宋体" w:cs="宋体"/>
          <w:sz w:val="24"/>
        </w:rPr>
      </w:pPr>
    </w:p>
    <w:p w14:paraId="5017CC37">
      <w:pPr>
        <w:spacing w:line="360" w:lineRule="auto"/>
        <w:ind w:right="-161" w:firstLine="2640" w:firstLineChars="1100"/>
        <w:rPr>
          <w:rFonts w:hint="eastAsia" w:ascii="宋体" w:hAnsi="宋体" w:cs="宋体"/>
          <w:sz w:val="24"/>
        </w:rPr>
      </w:pPr>
    </w:p>
    <w:p w14:paraId="38709BE8">
      <w:pPr>
        <w:spacing w:line="360" w:lineRule="auto"/>
        <w:ind w:right="-161" w:firstLine="2640" w:firstLineChars="1100"/>
        <w:rPr>
          <w:rFonts w:ascii="宋体" w:hAnsi="宋体" w:cs="宋体"/>
          <w:sz w:val="24"/>
          <w:u w:val="single"/>
        </w:rPr>
      </w:pPr>
      <w:r>
        <w:rPr>
          <w:rFonts w:hint="eastAsia" w:ascii="宋体" w:hAnsi="宋体" w:cs="宋体"/>
          <w:sz w:val="24"/>
        </w:rPr>
        <w:t>供应商名称（公章）：</w:t>
      </w:r>
    </w:p>
    <w:p w14:paraId="64FBF994">
      <w:pPr>
        <w:spacing w:line="360" w:lineRule="auto"/>
        <w:ind w:right="-161" w:firstLine="2640" w:firstLineChars="1100"/>
        <w:rPr>
          <w:rFonts w:ascii="宋体" w:hAnsi="宋体" w:cs="宋体"/>
          <w:sz w:val="24"/>
        </w:rPr>
      </w:pPr>
      <w:r>
        <w:rPr>
          <w:rFonts w:hint="eastAsia" w:ascii="宋体" w:hAnsi="宋体" w:cs="宋体"/>
          <w:sz w:val="24"/>
          <w:szCs w:val="24"/>
        </w:rPr>
        <w:t>法定代表人或被授权代表（</w:t>
      </w:r>
      <w:r>
        <w:rPr>
          <w:rFonts w:hint="eastAsia" w:ascii="宋体" w:hAnsi="宋体" w:cs="宋体"/>
          <w:sz w:val="24"/>
        </w:rPr>
        <w:t>签字或盖章</w:t>
      </w:r>
      <w:r>
        <w:rPr>
          <w:rFonts w:hint="eastAsia" w:ascii="宋体" w:hAnsi="宋体" w:cs="宋体"/>
          <w:sz w:val="24"/>
          <w:szCs w:val="24"/>
        </w:rPr>
        <w:t>）</w:t>
      </w:r>
      <w:r>
        <w:rPr>
          <w:rFonts w:hint="eastAsia" w:ascii="宋体" w:hAnsi="宋体" w:cs="宋体"/>
          <w:sz w:val="24"/>
        </w:rPr>
        <w:t>：</w:t>
      </w:r>
    </w:p>
    <w:p w14:paraId="4C63EC78">
      <w:pPr>
        <w:spacing w:line="360" w:lineRule="auto"/>
        <w:ind w:right="480" w:firstLine="2640" w:firstLineChars="1100"/>
        <w:rPr>
          <w:rFonts w:ascii="宋体" w:hAnsi="宋体" w:cs="宋体"/>
          <w:sz w:val="24"/>
        </w:rPr>
        <w:sectPr>
          <w:pgSz w:w="11906" w:h="16838"/>
          <w:pgMar w:top="1440" w:right="1417" w:bottom="1440" w:left="1417" w:header="1134" w:footer="1134" w:gutter="0"/>
          <w:cols w:space="720" w:num="1"/>
          <w:titlePg/>
          <w:docGrid w:type="lines" w:linePitch="312" w:charSpace="0"/>
        </w:sectPr>
      </w:pPr>
      <w:r>
        <w:rPr>
          <w:rFonts w:hint="eastAsia" w:ascii="宋体" w:hAnsi="宋体" w:cs="宋体"/>
          <w:sz w:val="24"/>
        </w:rPr>
        <w:t>日期：</w:t>
      </w:r>
    </w:p>
    <w:bookmarkEnd w:id="331"/>
    <w:bookmarkEnd w:id="332"/>
    <w:bookmarkEnd w:id="333"/>
    <w:bookmarkEnd w:id="334"/>
    <w:bookmarkEnd w:id="335"/>
    <w:bookmarkEnd w:id="336"/>
    <w:bookmarkEnd w:id="337"/>
    <w:p w14:paraId="7A61264D">
      <w:pPr>
        <w:pStyle w:val="9"/>
        <w:jc w:val="center"/>
        <w:rPr>
          <w:rFonts w:ascii="宋体" w:hAnsi="宋体" w:cs="宋体"/>
          <w:b/>
          <w:color w:val="000000"/>
          <w:sz w:val="32"/>
          <w:szCs w:val="32"/>
        </w:rPr>
      </w:pPr>
      <w:r>
        <w:rPr>
          <w:rFonts w:hint="eastAsia" w:ascii="宋体" w:hAnsi="宋体" w:cs="宋体"/>
          <w:b/>
          <w:color w:val="000000"/>
          <w:sz w:val="32"/>
          <w:szCs w:val="32"/>
        </w:rPr>
        <w:t xml:space="preserve">五、商务偏离表 </w:t>
      </w:r>
    </w:p>
    <w:p w14:paraId="434E798C">
      <w:pPr>
        <w:spacing w:line="360" w:lineRule="auto"/>
        <w:ind w:firstLine="240" w:firstLineChars="100"/>
        <w:rPr>
          <w:rFonts w:ascii="宋体" w:hAnsi="宋体" w:cs="宋体"/>
          <w:color w:val="000000"/>
          <w:sz w:val="24"/>
          <w:u w:val="single"/>
        </w:rPr>
      </w:pPr>
      <w:r>
        <w:rPr>
          <w:rFonts w:hint="eastAsia" w:ascii="宋体" w:hAnsi="宋体" w:cs="宋体"/>
          <w:color w:val="000000"/>
          <w:sz w:val="24"/>
        </w:rPr>
        <w:t>供应商名称：                             采购项目编号：</w:t>
      </w:r>
    </w:p>
    <w:tbl>
      <w:tblPr>
        <w:tblStyle w:val="21"/>
        <w:tblW w:w="879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751"/>
        <w:gridCol w:w="2931"/>
        <w:gridCol w:w="3231"/>
        <w:gridCol w:w="807"/>
        <w:gridCol w:w="1072"/>
      </w:tblGrid>
      <w:tr w14:paraId="3E2286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20" w:hRule="atLeast"/>
          <w:jc w:val="center"/>
        </w:trPr>
        <w:tc>
          <w:tcPr>
            <w:tcW w:w="751" w:type="dxa"/>
            <w:noWrap w:val="0"/>
            <w:vAlign w:val="top"/>
          </w:tcPr>
          <w:p w14:paraId="009400C4">
            <w:pPr>
              <w:spacing w:line="360" w:lineRule="auto"/>
              <w:jc w:val="center"/>
              <w:rPr>
                <w:rFonts w:ascii="宋体" w:hAnsi="宋体" w:cs="宋体"/>
                <w:b/>
                <w:color w:val="000000"/>
                <w:sz w:val="24"/>
              </w:rPr>
            </w:pPr>
            <w:r>
              <w:rPr>
                <w:rFonts w:hint="eastAsia" w:ascii="宋体" w:hAnsi="宋体" w:cs="宋体"/>
                <w:b/>
                <w:color w:val="000000"/>
                <w:sz w:val="24"/>
              </w:rPr>
              <w:t>序号</w:t>
            </w:r>
          </w:p>
        </w:tc>
        <w:tc>
          <w:tcPr>
            <w:tcW w:w="2931" w:type="dxa"/>
            <w:noWrap w:val="0"/>
            <w:vAlign w:val="top"/>
          </w:tcPr>
          <w:p w14:paraId="0B660844">
            <w:pPr>
              <w:spacing w:line="360" w:lineRule="auto"/>
              <w:jc w:val="center"/>
              <w:rPr>
                <w:rFonts w:ascii="宋体" w:hAnsi="宋体" w:cs="宋体"/>
                <w:b/>
                <w:color w:val="000000"/>
                <w:sz w:val="24"/>
              </w:rPr>
            </w:pPr>
            <w:r>
              <w:rPr>
                <w:rFonts w:hint="eastAsia" w:ascii="宋体" w:hAnsi="宋体" w:cs="宋体"/>
                <w:b/>
                <w:color w:val="000000"/>
                <w:sz w:val="24"/>
              </w:rPr>
              <w:t>竞争性谈判文件商务要求</w:t>
            </w:r>
          </w:p>
        </w:tc>
        <w:tc>
          <w:tcPr>
            <w:tcW w:w="3231" w:type="dxa"/>
            <w:noWrap w:val="0"/>
            <w:vAlign w:val="top"/>
          </w:tcPr>
          <w:p w14:paraId="27A62E37">
            <w:pPr>
              <w:spacing w:line="360" w:lineRule="auto"/>
              <w:jc w:val="center"/>
              <w:rPr>
                <w:rFonts w:ascii="宋体" w:hAnsi="宋体" w:cs="宋体"/>
                <w:b/>
                <w:color w:val="000000"/>
                <w:sz w:val="24"/>
              </w:rPr>
            </w:pPr>
            <w:r>
              <w:rPr>
                <w:rFonts w:hint="eastAsia" w:ascii="宋体" w:hAnsi="宋体" w:cs="宋体"/>
                <w:b/>
                <w:color w:val="000000"/>
                <w:sz w:val="24"/>
              </w:rPr>
              <w:t>竞争性谈判响应文件商务响应</w:t>
            </w:r>
          </w:p>
        </w:tc>
        <w:tc>
          <w:tcPr>
            <w:tcW w:w="807" w:type="dxa"/>
            <w:noWrap w:val="0"/>
            <w:vAlign w:val="top"/>
          </w:tcPr>
          <w:p w14:paraId="52D9AE63">
            <w:pPr>
              <w:spacing w:line="360" w:lineRule="auto"/>
              <w:jc w:val="center"/>
              <w:rPr>
                <w:rFonts w:ascii="宋体" w:hAnsi="宋体" w:cs="宋体"/>
                <w:b/>
                <w:color w:val="000000"/>
                <w:sz w:val="24"/>
              </w:rPr>
            </w:pPr>
            <w:r>
              <w:rPr>
                <w:rFonts w:hint="eastAsia" w:ascii="宋体" w:hAnsi="宋体" w:cs="宋体"/>
                <w:b/>
                <w:color w:val="000000"/>
                <w:sz w:val="24"/>
              </w:rPr>
              <w:t>偏离</w:t>
            </w:r>
          </w:p>
        </w:tc>
        <w:tc>
          <w:tcPr>
            <w:tcW w:w="1072" w:type="dxa"/>
            <w:noWrap w:val="0"/>
            <w:vAlign w:val="top"/>
          </w:tcPr>
          <w:p w14:paraId="14DE231D">
            <w:pPr>
              <w:spacing w:line="360" w:lineRule="auto"/>
              <w:jc w:val="center"/>
              <w:rPr>
                <w:rFonts w:ascii="宋体" w:hAnsi="宋体" w:cs="宋体"/>
                <w:b/>
                <w:color w:val="000000"/>
                <w:sz w:val="24"/>
              </w:rPr>
            </w:pPr>
            <w:r>
              <w:rPr>
                <w:rFonts w:hint="eastAsia" w:ascii="宋体" w:hAnsi="宋体" w:cs="宋体"/>
                <w:b/>
                <w:color w:val="000000"/>
                <w:sz w:val="24"/>
              </w:rPr>
              <w:t>响应</w:t>
            </w:r>
            <w:r>
              <w:rPr>
                <w:rFonts w:hint="eastAsia" w:ascii="宋体" w:hAnsi="宋体" w:cs="宋体"/>
                <w:b/>
                <w:color w:val="000000"/>
                <w:sz w:val="24"/>
                <w:szCs w:val="22"/>
              </w:rPr>
              <w:t>说明</w:t>
            </w:r>
          </w:p>
        </w:tc>
      </w:tr>
      <w:tr w14:paraId="38C176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0FB49935">
            <w:pPr>
              <w:spacing w:line="360" w:lineRule="auto"/>
              <w:jc w:val="center"/>
              <w:rPr>
                <w:rFonts w:ascii="宋体" w:hAnsi="宋体" w:cs="宋体"/>
                <w:color w:val="000000"/>
                <w:sz w:val="24"/>
              </w:rPr>
            </w:pPr>
          </w:p>
        </w:tc>
        <w:tc>
          <w:tcPr>
            <w:tcW w:w="2931" w:type="dxa"/>
            <w:noWrap w:val="0"/>
            <w:vAlign w:val="top"/>
          </w:tcPr>
          <w:p w14:paraId="6D97D0B6">
            <w:pPr>
              <w:spacing w:line="360" w:lineRule="auto"/>
              <w:jc w:val="center"/>
              <w:rPr>
                <w:rFonts w:ascii="宋体" w:hAnsi="宋体" w:cs="宋体"/>
                <w:color w:val="000000"/>
                <w:sz w:val="24"/>
              </w:rPr>
            </w:pPr>
          </w:p>
        </w:tc>
        <w:tc>
          <w:tcPr>
            <w:tcW w:w="3231" w:type="dxa"/>
            <w:noWrap w:val="0"/>
            <w:vAlign w:val="top"/>
          </w:tcPr>
          <w:p w14:paraId="12F303E2">
            <w:pPr>
              <w:spacing w:line="360" w:lineRule="auto"/>
              <w:jc w:val="center"/>
              <w:rPr>
                <w:rFonts w:ascii="宋体" w:hAnsi="宋体" w:cs="宋体"/>
                <w:color w:val="000000"/>
                <w:sz w:val="24"/>
              </w:rPr>
            </w:pPr>
          </w:p>
        </w:tc>
        <w:tc>
          <w:tcPr>
            <w:tcW w:w="807" w:type="dxa"/>
            <w:noWrap w:val="0"/>
            <w:vAlign w:val="top"/>
          </w:tcPr>
          <w:p w14:paraId="146D1A04">
            <w:pPr>
              <w:spacing w:line="360" w:lineRule="auto"/>
              <w:jc w:val="center"/>
              <w:rPr>
                <w:rFonts w:ascii="宋体" w:hAnsi="宋体" w:cs="宋体"/>
                <w:color w:val="000000"/>
                <w:sz w:val="24"/>
              </w:rPr>
            </w:pPr>
          </w:p>
        </w:tc>
        <w:tc>
          <w:tcPr>
            <w:tcW w:w="1072" w:type="dxa"/>
            <w:noWrap w:val="0"/>
            <w:vAlign w:val="top"/>
          </w:tcPr>
          <w:p w14:paraId="3142E7AF">
            <w:pPr>
              <w:spacing w:line="360" w:lineRule="auto"/>
              <w:jc w:val="center"/>
              <w:rPr>
                <w:rFonts w:ascii="宋体" w:hAnsi="宋体" w:cs="宋体"/>
                <w:color w:val="000000"/>
                <w:sz w:val="24"/>
              </w:rPr>
            </w:pPr>
          </w:p>
        </w:tc>
      </w:tr>
      <w:tr w14:paraId="6BAB2C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494A32BB">
            <w:pPr>
              <w:spacing w:line="360" w:lineRule="auto"/>
              <w:jc w:val="center"/>
              <w:rPr>
                <w:rFonts w:ascii="宋体" w:hAnsi="宋体" w:cs="宋体"/>
                <w:color w:val="000000"/>
                <w:sz w:val="24"/>
              </w:rPr>
            </w:pPr>
          </w:p>
        </w:tc>
        <w:tc>
          <w:tcPr>
            <w:tcW w:w="2931" w:type="dxa"/>
            <w:noWrap w:val="0"/>
            <w:vAlign w:val="top"/>
          </w:tcPr>
          <w:p w14:paraId="78BC481D">
            <w:pPr>
              <w:spacing w:line="360" w:lineRule="auto"/>
              <w:jc w:val="center"/>
              <w:rPr>
                <w:rFonts w:ascii="宋体" w:hAnsi="宋体" w:cs="宋体"/>
                <w:color w:val="000000"/>
                <w:sz w:val="24"/>
              </w:rPr>
            </w:pPr>
          </w:p>
        </w:tc>
        <w:tc>
          <w:tcPr>
            <w:tcW w:w="3231" w:type="dxa"/>
            <w:noWrap w:val="0"/>
            <w:vAlign w:val="top"/>
          </w:tcPr>
          <w:p w14:paraId="3B31566F">
            <w:pPr>
              <w:spacing w:line="360" w:lineRule="auto"/>
              <w:jc w:val="center"/>
              <w:rPr>
                <w:rFonts w:ascii="宋体" w:hAnsi="宋体" w:cs="宋体"/>
                <w:color w:val="000000"/>
                <w:sz w:val="24"/>
              </w:rPr>
            </w:pPr>
          </w:p>
        </w:tc>
        <w:tc>
          <w:tcPr>
            <w:tcW w:w="807" w:type="dxa"/>
            <w:noWrap w:val="0"/>
            <w:vAlign w:val="top"/>
          </w:tcPr>
          <w:p w14:paraId="2CEB890A">
            <w:pPr>
              <w:spacing w:line="360" w:lineRule="auto"/>
              <w:jc w:val="center"/>
              <w:rPr>
                <w:rFonts w:ascii="宋体" w:hAnsi="宋体" w:cs="宋体"/>
                <w:color w:val="000000"/>
                <w:sz w:val="24"/>
              </w:rPr>
            </w:pPr>
          </w:p>
        </w:tc>
        <w:tc>
          <w:tcPr>
            <w:tcW w:w="1072" w:type="dxa"/>
            <w:noWrap w:val="0"/>
            <w:vAlign w:val="top"/>
          </w:tcPr>
          <w:p w14:paraId="72AB316B">
            <w:pPr>
              <w:spacing w:line="360" w:lineRule="auto"/>
              <w:jc w:val="center"/>
              <w:rPr>
                <w:rFonts w:ascii="宋体" w:hAnsi="宋体" w:cs="宋体"/>
                <w:color w:val="000000"/>
                <w:sz w:val="24"/>
              </w:rPr>
            </w:pPr>
          </w:p>
        </w:tc>
      </w:tr>
      <w:tr w14:paraId="73FA44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5DC6AF8B">
            <w:pPr>
              <w:spacing w:line="360" w:lineRule="auto"/>
              <w:jc w:val="center"/>
              <w:rPr>
                <w:rFonts w:ascii="宋体" w:hAnsi="宋体" w:cs="宋体"/>
                <w:color w:val="000000"/>
                <w:sz w:val="24"/>
              </w:rPr>
            </w:pPr>
          </w:p>
        </w:tc>
        <w:tc>
          <w:tcPr>
            <w:tcW w:w="2931" w:type="dxa"/>
            <w:noWrap w:val="0"/>
            <w:vAlign w:val="top"/>
          </w:tcPr>
          <w:p w14:paraId="2F3D1A10">
            <w:pPr>
              <w:spacing w:line="360" w:lineRule="auto"/>
              <w:jc w:val="center"/>
              <w:rPr>
                <w:rFonts w:ascii="宋体" w:hAnsi="宋体" w:cs="宋体"/>
                <w:color w:val="000000"/>
                <w:sz w:val="24"/>
              </w:rPr>
            </w:pPr>
          </w:p>
        </w:tc>
        <w:tc>
          <w:tcPr>
            <w:tcW w:w="3231" w:type="dxa"/>
            <w:noWrap w:val="0"/>
            <w:vAlign w:val="top"/>
          </w:tcPr>
          <w:p w14:paraId="711ECF1B">
            <w:pPr>
              <w:spacing w:line="360" w:lineRule="auto"/>
              <w:jc w:val="center"/>
              <w:rPr>
                <w:rFonts w:ascii="宋体" w:hAnsi="宋体" w:cs="宋体"/>
                <w:color w:val="000000"/>
                <w:sz w:val="24"/>
              </w:rPr>
            </w:pPr>
          </w:p>
        </w:tc>
        <w:tc>
          <w:tcPr>
            <w:tcW w:w="807" w:type="dxa"/>
            <w:noWrap w:val="0"/>
            <w:vAlign w:val="top"/>
          </w:tcPr>
          <w:p w14:paraId="0255FC16">
            <w:pPr>
              <w:spacing w:line="360" w:lineRule="auto"/>
              <w:jc w:val="center"/>
              <w:rPr>
                <w:rFonts w:ascii="宋体" w:hAnsi="宋体" w:cs="宋体"/>
                <w:color w:val="000000"/>
                <w:sz w:val="24"/>
              </w:rPr>
            </w:pPr>
          </w:p>
        </w:tc>
        <w:tc>
          <w:tcPr>
            <w:tcW w:w="1072" w:type="dxa"/>
            <w:noWrap w:val="0"/>
            <w:vAlign w:val="top"/>
          </w:tcPr>
          <w:p w14:paraId="1F597B7F">
            <w:pPr>
              <w:spacing w:line="360" w:lineRule="auto"/>
              <w:jc w:val="center"/>
              <w:rPr>
                <w:rFonts w:ascii="宋体" w:hAnsi="宋体" w:cs="宋体"/>
                <w:color w:val="000000"/>
                <w:sz w:val="24"/>
              </w:rPr>
            </w:pPr>
          </w:p>
        </w:tc>
      </w:tr>
      <w:tr w14:paraId="2BA211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0821F93C">
            <w:pPr>
              <w:spacing w:line="360" w:lineRule="auto"/>
              <w:jc w:val="center"/>
              <w:rPr>
                <w:rFonts w:ascii="宋体" w:hAnsi="宋体" w:cs="宋体"/>
                <w:color w:val="000000"/>
                <w:sz w:val="24"/>
              </w:rPr>
            </w:pPr>
          </w:p>
        </w:tc>
        <w:tc>
          <w:tcPr>
            <w:tcW w:w="2931" w:type="dxa"/>
            <w:noWrap w:val="0"/>
            <w:vAlign w:val="top"/>
          </w:tcPr>
          <w:p w14:paraId="3523AD0B">
            <w:pPr>
              <w:spacing w:line="360" w:lineRule="auto"/>
              <w:jc w:val="center"/>
              <w:rPr>
                <w:rFonts w:ascii="宋体" w:hAnsi="宋体" w:cs="宋体"/>
                <w:color w:val="000000"/>
                <w:sz w:val="24"/>
              </w:rPr>
            </w:pPr>
          </w:p>
        </w:tc>
        <w:tc>
          <w:tcPr>
            <w:tcW w:w="3231" w:type="dxa"/>
            <w:noWrap w:val="0"/>
            <w:vAlign w:val="top"/>
          </w:tcPr>
          <w:p w14:paraId="0E22D960">
            <w:pPr>
              <w:spacing w:line="360" w:lineRule="auto"/>
              <w:jc w:val="center"/>
              <w:rPr>
                <w:rFonts w:ascii="宋体" w:hAnsi="宋体" w:cs="宋体"/>
                <w:color w:val="000000"/>
                <w:sz w:val="24"/>
              </w:rPr>
            </w:pPr>
          </w:p>
        </w:tc>
        <w:tc>
          <w:tcPr>
            <w:tcW w:w="807" w:type="dxa"/>
            <w:noWrap w:val="0"/>
            <w:vAlign w:val="top"/>
          </w:tcPr>
          <w:p w14:paraId="4FDB164E">
            <w:pPr>
              <w:spacing w:line="360" w:lineRule="auto"/>
              <w:jc w:val="center"/>
              <w:rPr>
                <w:rFonts w:ascii="宋体" w:hAnsi="宋体" w:cs="宋体"/>
                <w:color w:val="000000"/>
                <w:sz w:val="24"/>
              </w:rPr>
            </w:pPr>
          </w:p>
        </w:tc>
        <w:tc>
          <w:tcPr>
            <w:tcW w:w="1072" w:type="dxa"/>
            <w:noWrap w:val="0"/>
            <w:vAlign w:val="top"/>
          </w:tcPr>
          <w:p w14:paraId="27FA93A9">
            <w:pPr>
              <w:spacing w:line="360" w:lineRule="auto"/>
              <w:jc w:val="center"/>
              <w:rPr>
                <w:rFonts w:ascii="宋体" w:hAnsi="宋体" w:cs="宋体"/>
                <w:color w:val="000000"/>
                <w:sz w:val="24"/>
              </w:rPr>
            </w:pPr>
          </w:p>
        </w:tc>
      </w:tr>
      <w:tr w14:paraId="4762CB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39F201C4">
            <w:pPr>
              <w:spacing w:line="360" w:lineRule="auto"/>
              <w:jc w:val="center"/>
              <w:rPr>
                <w:rFonts w:ascii="宋体" w:hAnsi="宋体" w:cs="宋体"/>
                <w:color w:val="000000"/>
                <w:sz w:val="24"/>
              </w:rPr>
            </w:pPr>
          </w:p>
        </w:tc>
        <w:tc>
          <w:tcPr>
            <w:tcW w:w="2931" w:type="dxa"/>
            <w:noWrap w:val="0"/>
            <w:vAlign w:val="top"/>
          </w:tcPr>
          <w:p w14:paraId="2F7D1CA9">
            <w:pPr>
              <w:spacing w:line="360" w:lineRule="auto"/>
              <w:jc w:val="center"/>
              <w:rPr>
                <w:rFonts w:ascii="宋体" w:hAnsi="宋体" w:cs="宋体"/>
                <w:color w:val="000000"/>
                <w:sz w:val="24"/>
              </w:rPr>
            </w:pPr>
          </w:p>
        </w:tc>
        <w:tc>
          <w:tcPr>
            <w:tcW w:w="3231" w:type="dxa"/>
            <w:noWrap w:val="0"/>
            <w:vAlign w:val="top"/>
          </w:tcPr>
          <w:p w14:paraId="1CE06487">
            <w:pPr>
              <w:spacing w:line="360" w:lineRule="auto"/>
              <w:jc w:val="center"/>
              <w:rPr>
                <w:rFonts w:ascii="宋体" w:hAnsi="宋体" w:cs="宋体"/>
                <w:color w:val="000000"/>
                <w:sz w:val="24"/>
              </w:rPr>
            </w:pPr>
          </w:p>
        </w:tc>
        <w:tc>
          <w:tcPr>
            <w:tcW w:w="807" w:type="dxa"/>
            <w:noWrap w:val="0"/>
            <w:vAlign w:val="top"/>
          </w:tcPr>
          <w:p w14:paraId="236411B2">
            <w:pPr>
              <w:spacing w:line="360" w:lineRule="auto"/>
              <w:jc w:val="center"/>
              <w:rPr>
                <w:rFonts w:ascii="宋体" w:hAnsi="宋体" w:cs="宋体"/>
                <w:color w:val="000000"/>
                <w:sz w:val="24"/>
              </w:rPr>
            </w:pPr>
          </w:p>
        </w:tc>
        <w:tc>
          <w:tcPr>
            <w:tcW w:w="1072" w:type="dxa"/>
            <w:noWrap w:val="0"/>
            <w:vAlign w:val="top"/>
          </w:tcPr>
          <w:p w14:paraId="19FCBD48">
            <w:pPr>
              <w:spacing w:line="360" w:lineRule="auto"/>
              <w:jc w:val="center"/>
              <w:rPr>
                <w:rFonts w:ascii="宋体" w:hAnsi="宋体" w:cs="宋体"/>
                <w:color w:val="000000"/>
                <w:sz w:val="24"/>
              </w:rPr>
            </w:pPr>
          </w:p>
        </w:tc>
      </w:tr>
      <w:tr w14:paraId="336AA4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7B0E4F5A">
            <w:pPr>
              <w:spacing w:line="360" w:lineRule="auto"/>
              <w:jc w:val="center"/>
              <w:rPr>
                <w:rFonts w:ascii="宋体" w:hAnsi="宋体" w:cs="宋体"/>
                <w:color w:val="000000"/>
                <w:sz w:val="24"/>
              </w:rPr>
            </w:pPr>
          </w:p>
        </w:tc>
        <w:tc>
          <w:tcPr>
            <w:tcW w:w="2931" w:type="dxa"/>
            <w:noWrap w:val="0"/>
            <w:vAlign w:val="top"/>
          </w:tcPr>
          <w:p w14:paraId="11B2B3F6">
            <w:pPr>
              <w:spacing w:line="360" w:lineRule="auto"/>
              <w:jc w:val="center"/>
              <w:rPr>
                <w:rFonts w:ascii="宋体" w:hAnsi="宋体" w:cs="宋体"/>
                <w:color w:val="000000"/>
                <w:sz w:val="24"/>
              </w:rPr>
            </w:pPr>
          </w:p>
        </w:tc>
        <w:tc>
          <w:tcPr>
            <w:tcW w:w="3231" w:type="dxa"/>
            <w:noWrap w:val="0"/>
            <w:vAlign w:val="top"/>
          </w:tcPr>
          <w:p w14:paraId="61B07E34">
            <w:pPr>
              <w:spacing w:line="360" w:lineRule="auto"/>
              <w:jc w:val="center"/>
              <w:rPr>
                <w:rFonts w:ascii="宋体" w:hAnsi="宋体" w:cs="宋体"/>
                <w:color w:val="000000"/>
                <w:sz w:val="24"/>
              </w:rPr>
            </w:pPr>
          </w:p>
        </w:tc>
        <w:tc>
          <w:tcPr>
            <w:tcW w:w="807" w:type="dxa"/>
            <w:noWrap w:val="0"/>
            <w:vAlign w:val="top"/>
          </w:tcPr>
          <w:p w14:paraId="056B1E3B">
            <w:pPr>
              <w:spacing w:line="360" w:lineRule="auto"/>
              <w:jc w:val="center"/>
              <w:rPr>
                <w:rFonts w:ascii="宋体" w:hAnsi="宋体" w:cs="宋体"/>
                <w:color w:val="000000"/>
                <w:sz w:val="24"/>
              </w:rPr>
            </w:pPr>
          </w:p>
        </w:tc>
        <w:tc>
          <w:tcPr>
            <w:tcW w:w="1072" w:type="dxa"/>
            <w:noWrap w:val="0"/>
            <w:vAlign w:val="top"/>
          </w:tcPr>
          <w:p w14:paraId="6A93C3BB">
            <w:pPr>
              <w:spacing w:line="360" w:lineRule="auto"/>
              <w:jc w:val="center"/>
              <w:rPr>
                <w:rFonts w:ascii="宋体" w:hAnsi="宋体" w:cs="宋体"/>
                <w:color w:val="000000"/>
                <w:sz w:val="24"/>
              </w:rPr>
            </w:pPr>
          </w:p>
        </w:tc>
      </w:tr>
      <w:tr w14:paraId="06DDE7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716486F4">
            <w:pPr>
              <w:spacing w:line="360" w:lineRule="auto"/>
              <w:jc w:val="center"/>
              <w:rPr>
                <w:rFonts w:ascii="宋体" w:hAnsi="宋体" w:cs="宋体"/>
                <w:color w:val="000000"/>
                <w:sz w:val="24"/>
              </w:rPr>
            </w:pPr>
          </w:p>
        </w:tc>
        <w:tc>
          <w:tcPr>
            <w:tcW w:w="2931" w:type="dxa"/>
            <w:noWrap w:val="0"/>
            <w:vAlign w:val="top"/>
          </w:tcPr>
          <w:p w14:paraId="71D44B91">
            <w:pPr>
              <w:spacing w:line="360" w:lineRule="auto"/>
              <w:jc w:val="center"/>
              <w:rPr>
                <w:rFonts w:ascii="宋体" w:hAnsi="宋体" w:cs="宋体"/>
                <w:color w:val="000000"/>
                <w:sz w:val="24"/>
              </w:rPr>
            </w:pPr>
          </w:p>
        </w:tc>
        <w:tc>
          <w:tcPr>
            <w:tcW w:w="3231" w:type="dxa"/>
            <w:noWrap w:val="0"/>
            <w:vAlign w:val="top"/>
          </w:tcPr>
          <w:p w14:paraId="4A1A29E6">
            <w:pPr>
              <w:spacing w:line="360" w:lineRule="auto"/>
              <w:jc w:val="center"/>
              <w:rPr>
                <w:rFonts w:ascii="宋体" w:hAnsi="宋体" w:cs="宋体"/>
                <w:color w:val="000000"/>
                <w:sz w:val="24"/>
              </w:rPr>
            </w:pPr>
          </w:p>
        </w:tc>
        <w:tc>
          <w:tcPr>
            <w:tcW w:w="807" w:type="dxa"/>
            <w:noWrap w:val="0"/>
            <w:vAlign w:val="top"/>
          </w:tcPr>
          <w:p w14:paraId="2A3D7345">
            <w:pPr>
              <w:spacing w:line="360" w:lineRule="auto"/>
              <w:jc w:val="center"/>
              <w:rPr>
                <w:rFonts w:ascii="宋体" w:hAnsi="宋体" w:cs="宋体"/>
                <w:color w:val="000000"/>
                <w:sz w:val="24"/>
              </w:rPr>
            </w:pPr>
          </w:p>
        </w:tc>
        <w:tc>
          <w:tcPr>
            <w:tcW w:w="1072" w:type="dxa"/>
            <w:noWrap w:val="0"/>
            <w:vAlign w:val="top"/>
          </w:tcPr>
          <w:p w14:paraId="79198ADF">
            <w:pPr>
              <w:spacing w:line="360" w:lineRule="auto"/>
              <w:jc w:val="center"/>
              <w:rPr>
                <w:rFonts w:ascii="宋体" w:hAnsi="宋体" w:cs="宋体"/>
                <w:color w:val="000000"/>
                <w:sz w:val="24"/>
              </w:rPr>
            </w:pPr>
          </w:p>
        </w:tc>
      </w:tr>
      <w:tr w14:paraId="50106F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31780761">
            <w:pPr>
              <w:spacing w:line="360" w:lineRule="auto"/>
              <w:jc w:val="center"/>
              <w:rPr>
                <w:rFonts w:ascii="宋体" w:hAnsi="宋体" w:cs="宋体"/>
                <w:color w:val="000000"/>
                <w:sz w:val="24"/>
              </w:rPr>
            </w:pPr>
          </w:p>
        </w:tc>
        <w:tc>
          <w:tcPr>
            <w:tcW w:w="2931" w:type="dxa"/>
            <w:noWrap w:val="0"/>
            <w:vAlign w:val="top"/>
          </w:tcPr>
          <w:p w14:paraId="5EACB015">
            <w:pPr>
              <w:spacing w:line="360" w:lineRule="auto"/>
              <w:jc w:val="center"/>
              <w:rPr>
                <w:rFonts w:ascii="宋体" w:hAnsi="宋体" w:cs="宋体"/>
                <w:color w:val="000000"/>
                <w:sz w:val="24"/>
              </w:rPr>
            </w:pPr>
          </w:p>
        </w:tc>
        <w:tc>
          <w:tcPr>
            <w:tcW w:w="3231" w:type="dxa"/>
            <w:noWrap w:val="0"/>
            <w:vAlign w:val="top"/>
          </w:tcPr>
          <w:p w14:paraId="1DB8B9D2">
            <w:pPr>
              <w:spacing w:line="360" w:lineRule="auto"/>
              <w:jc w:val="center"/>
              <w:rPr>
                <w:rFonts w:ascii="宋体" w:hAnsi="宋体" w:cs="宋体"/>
                <w:color w:val="000000"/>
                <w:sz w:val="24"/>
              </w:rPr>
            </w:pPr>
          </w:p>
        </w:tc>
        <w:tc>
          <w:tcPr>
            <w:tcW w:w="807" w:type="dxa"/>
            <w:noWrap w:val="0"/>
            <w:vAlign w:val="top"/>
          </w:tcPr>
          <w:p w14:paraId="01F3D035">
            <w:pPr>
              <w:spacing w:line="360" w:lineRule="auto"/>
              <w:jc w:val="center"/>
              <w:rPr>
                <w:rFonts w:ascii="宋体" w:hAnsi="宋体" w:cs="宋体"/>
                <w:color w:val="000000"/>
                <w:sz w:val="24"/>
              </w:rPr>
            </w:pPr>
          </w:p>
        </w:tc>
        <w:tc>
          <w:tcPr>
            <w:tcW w:w="1072" w:type="dxa"/>
            <w:noWrap w:val="0"/>
            <w:vAlign w:val="top"/>
          </w:tcPr>
          <w:p w14:paraId="5DA1007B">
            <w:pPr>
              <w:spacing w:line="360" w:lineRule="auto"/>
              <w:jc w:val="center"/>
              <w:rPr>
                <w:rFonts w:ascii="宋体" w:hAnsi="宋体" w:cs="宋体"/>
                <w:color w:val="000000"/>
                <w:sz w:val="24"/>
              </w:rPr>
            </w:pPr>
          </w:p>
        </w:tc>
      </w:tr>
      <w:tr w14:paraId="5D1C4D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7DBE4633">
            <w:pPr>
              <w:spacing w:line="360" w:lineRule="auto"/>
              <w:jc w:val="center"/>
              <w:rPr>
                <w:rFonts w:ascii="宋体" w:hAnsi="宋体" w:cs="宋体"/>
                <w:color w:val="000000"/>
                <w:sz w:val="24"/>
              </w:rPr>
            </w:pPr>
          </w:p>
        </w:tc>
        <w:tc>
          <w:tcPr>
            <w:tcW w:w="2931" w:type="dxa"/>
            <w:noWrap w:val="0"/>
            <w:vAlign w:val="top"/>
          </w:tcPr>
          <w:p w14:paraId="5B6B25D0">
            <w:pPr>
              <w:spacing w:line="360" w:lineRule="auto"/>
              <w:jc w:val="center"/>
              <w:rPr>
                <w:rFonts w:ascii="宋体" w:hAnsi="宋体" w:cs="宋体"/>
                <w:color w:val="000000"/>
                <w:sz w:val="24"/>
              </w:rPr>
            </w:pPr>
          </w:p>
        </w:tc>
        <w:tc>
          <w:tcPr>
            <w:tcW w:w="3231" w:type="dxa"/>
            <w:noWrap w:val="0"/>
            <w:vAlign w:val="top"/>
          </w:tcPr>
          <w:p w14:paraId="4C7AE2F6">
            <w:pPr>
              <w:spacing w:line="360" w:lineRule="auto"/>
              <w:jc w:val="center"/>
              <w:rPr>
                <w:rFonts w:ascii="宋体" w:hAnsi="宋体" w:cs="宋体"/>
                <w:color w:val="000000"/>
                <w:sz w:val="24"/>
              </w:rPr>
            </w:pPr>
          </w:p>
        </w:tc>
        <w:tc>
          <w:tcPr>
            <w:tcW w:w="807" w:type="dxa"/>
            <w:noWrap w:val="0"/>
            <w:vAlign w:val="top"/>
          </w:tcPr>
          <w:p w14:paraId="531B2EA4">
            <w:pPr>
              <w:spacing w:line="360" w:lineRule="auto"/>
              <w:jc w:val="center"/>
              <w:rPr>
                <w:rFonts w:ascii="宋体" w:hAnsi="宋体" w:cs="宋体"/>
                <w:color w:val="000000"/>
                <w:sz w:val="24"/>
              </w:rPr>
            </w:pPr>
          </w:p>
        </w:tc>
        <w:tc>
          <w:tcPr>
            <w:tcW w:w="1072" w:type="dxa"/>
            <w:noWrap w:val="0"/>
            <w:vAlign w:val="top"/>
          </w:tcPr>
          <w:p w14:paraId="2BD1A1CC">
            <w:pPr>
              <w:spacing w:line="360" w:lineRule="auto"/>
              <w:jc w:val="center"/>
              <w:rPr>
                <w:rFonts w:ascii="宋体" w:hAnsi="宋体" w:cs="宋体"/>
                <w:color w:val="000000"/>
                <w:sz w:val="24"/>
              </w:rPr>
            </w:pPr>
          </w:p>
        </w:tc>
      </w:tr>
      <w:tr w14:paraId="210F72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48402504">
            <w:pPr>
              <w:spacing w:line="360" w:lineRule="auto"/>
              <w:jc w:val="center"/>
              <w:rPr>
                <w:rFonts w:ascii="宋体" w:hAnsi="宋体" w:cs="宋体"/>
                <w:color w:val="000000"/>
                <w:sz w:val="24"/>
              </w:rPr>
            </w:pPr>
          </w:p>
        </w:tc>
        <w:tc>
          <w:tcPr>
            <w:tcW w:w="2931" w:type="dxa"/>
            <w:noWrap w:val="0"/>
            <w:vAlign w:val="top"/>
          </w:tcPr>
          <w:p w14:paraId="55185257">
            <w:pPr>
              <w:spacing w:line="360" w:lineRule="auto"/>
              <w:jc w:val="center"/>
              <w:rPr>
                <w:rFonts w:ascii="宋体" w:hAnsi="宋体" w:cs="宋体"/>
                <w:color w:val="000000"/>
                <w:sz w:val="24"/>
              </w:rPr>
            </w:pPr>
          </w:p>
        </w:tc>
        <w:tc>
          <w:tcPr>
            <w:tcW w:w="3231" w:type="dxa"/>
            <w:noWrap w:val="0"/>
            <w:vAlign w:val="top"/>
          </w:tcPr>
          <w:p w14:paraId="5B746EA4">
            <w:pPr>
              <w:spacing w:line="360" w:lineRule="auto"/>
              <w:jc w:val="center"/>
              <w:rPr>
                <w:rFonts w:ascii="宋体" w:hAnsi="宋体" w:cs="宋体"/>
                <w:color w:val="000000"/>
                <w:sz w:val="24"/>
              </w:rPr>
            </w:pPr>
          </w:p>
        </w:tc>
        <w:tc>
          <w:tcPr>
            <w:tcW w:w="807" w:type="dxa"/>
            <w:noWrap w:val="0"/>
            <w:vAlign w:val="top"/>
          </w:tcPr>
          <w:p w14:paraId="7B93A6A8">
            <w:pPr>
              <w:spacing w:line="360" w:lineRule="auto"/>
              <w:jc w:val="center"/>
              <w:rPr>
                <w:rFonts w:ascii="宋体" w:hAnsi="宋体" w:cs="宋体"/>
                <w:color w:val="000000"/>
                <w:sz w:val="24"/>
              </w:rPr>
            </w:pPr>
          </w:p>
        </w:tc>
        <w:tc>
          <w:tcPr>
            <w:tcW w:w="1072" w:type="dxa"/>
            <w:noWrap w:val="0"/>
            <w:vAlign w:val="top"/>
          </w:tcPr>
          <w:p w14:paraId="7D0C066F">
            <w:pPr>
              <w:spacing w:line="360" w:lineRule="auto"/>
              <w:jc w:val="center"/>
              <w:rPr>
                <w:rFonts w:ascii="宋体" w:hAnsi="宋体" w:cs="宋体"/>
                <w:color w:val="000000"/>
                <w:sz w:val="24"/>
              </w:rPr>
            </w:pPr>
          </w:p>
        </w:tc>
      </w:tr>
      <w:tr w14:paraId="6949B8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4A12C9C9">
            <w:pPr>
              <w:spacing w:line="360" w:lineRule="auto"/>
              <w:jc w:val="center"/>
              <w:rPr>
                <w:rFonts w:ascii="宋体" w:hAnsi="宋体" w:cs="宋体"/>
                <w:color w:val="000000"/>
                <w:sz w:val="24"/>
              </w:rPr>
            </w:pPr>
          </w:p>
        </w:tc>
        <w:tc>
          <w:tcPr>
            <w:tcW w:w="2931" w:type="dxa"/>
            <w:noWrap w:val="0"/>
            <w:vAlign w:val="top"/>
          </w:tcPr>
          <w:p w14:paraId="2F11BF52">
            <w:pPr>
              <w:spacing w:line="360" w:lineRule="auto"/>
              <w:jc w:val="center"/>
              <w:rPr>
                <w:rFonts w:ascii="宋体" w:hAnsi="宋体" w:cs="宋体"/>
                <w:color w:val="000000"/>
                <w:sz w:val="24"/>
              </w:rPr>
            </w:pPr>
          </w:p>
        </w:tc>
        <w:tc>
          <w:tcPr>
            <w:tcW w:w="3231" w:type="dxa"/>
            <w:noWrap w:val="0"/>
            <w:vAlign w:val="top"/>
          </w:tcPr>
          <w:p w14:paraId="78F62B56">
            <w:pPr>
              <w:spacing w:line="360" w:lineRule="auto"/>
              <w:jc w:val="center"/>
              <w:rPr>
                <w:rFonts w:ascii="宋体" w:hAnsi="宋体" w:cs="宋体"/>
                <w:color w:val="000000"/>
                <w:sz w:val="24"/>
              </w:rPr>
            </w:pPr>
          </w:p>
        </w:tc>
        <w:tc>
          <w:tcPr>
            <w:tcW w:w="807" w:type="dxa"/>
            <w:noWrap w:val="0"/>
            <w:vAlign w:val="top"/>
          </w:tcPr>
          <w:p w14:paraId="5D72FF65">
            <w:pPr>
              <w:spacing w:line="360" w:lineRule="auto"/>
              <w:jc w:val="center"/>
              <w:rPr>
                <w:rFonts w:ascii="宋体" w:hAnsi="宋体" w:cs="宋体"/>
                <w:color w:val="000000"/>
                <w:sz w:val="24"/>
              </w:rPr>
            </w:pPr>
          </w:p>
        </w:tc>
        <w:tc>
          <w:tcPr>
            <w:tcW w:w="1072" w:type="dxa"/>
            <w:noWrap w:val="0"/>
            <w:vAlign w:val="top"/>
          </w:tcPr>
          <w:p w14:paraId="30A8DBCB">
            <w:pPr>
              <w:spacing w:line="360" w:lineRule="auto"/>
              <w:jc w:val="center"/>
              <w:rPr>
                <w:rFonts w:ascii="宋体" w:hAnsi="宋体" w:cs="宋体"/>
                <w:color w:val="000000"/>
                <w:sz w:val="24"/>
              </w:rPr>
            </w:pPr>
          </w:p>
        </w:tc>
      </w:tr>
      <w:tr w14:paraId="048A5B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17E85A16">
            <w:pPr>
              <w:spacing w:line="360" w:lineRule="auto"/>
              <w:jc w:val="center"/>
              <w:rPr>
                <w:rFonts w:ascii="宋体" w:hAnsi="宋体" w:cs="宋体"/>
                <w:color w:val="000000"/>
                <w:sz w:val="24"/>
              </w:rPr>
            </w:pPr>
          </w:p>
        </w:tc>
        <w:tc>
          <w:tcPr>
            <w:tcW w:w="2931" w:type="dxa"/>
            <w:noWrap w:val="0"/>
            <w:vAlign w:val="top"/>
          </w:tcPr>
          <w:p w14:paraId="0FDEF13A">
            <w:pPr>
              <w:spacing w:line="360" w:lineRule="auto"/>
              <w:jc w:val="center"/>
              <w:rPr>
                <w:rFonts w:ascii="宋体" w:hAnsi="宋体" w:cs="宋体"/>
                <w:color w:val="000000"/>
                <w:sz w:val="24"/>
              </w:rPr>
            </w:pPr>
          </w:p>
        </w:tc>
        <w:tc>
          <w:tcPr>
            <w:tcW w:w="3231" w:type="dxa"/>
            <w:noWrap w:val="0"/>
            <w:vAlign w:val="top"/>
          </w:tcPr>
          <w:p w14:paraId="40140E33">
            <w:pPr>
              <w:spacing w:line="360" w:lineRule="auto"/>
              <w:jc w:val="center"/>
              <w:rPr>
                <w:rFonts w:ascii="宋体" w:hAnsi="宋体" w:cs="宋体"/>
                <w:color w:val="000000"/>
                <w:sz w:val="24"/>
              </w:rPr>
            </w:pPr>
          </w:p>
        </w:tc>
        <w:tc>
          <w:tcPr>
            <w:tcW w:w="807" w:type="dxa"/>
            <w:noWrap w:val="0"/>
            <w:vAlign w:val="top"/>
          </w:tcPr>
          <w:p w14:paraId="043C4EAA">
            <w:pPr>
              <w:spacing w:line="360" w:lineRule="auto"/>
              <w:jc w:val="center"/>
              <w:rPr>
                <w:rFonts w:ascii="宋体" w:hAnsi="宋体" w:cs="宋体"/>
                <w:color w:val="000000"/>
                <w:sz w:val="24"/>
              </w:rPr>
            </w:pPr>
          </w:p>
        </w:tc>
        <w:tc>
          <w:tcPr>
            <w:tcW w:w="1072" w:type="dxa"/>
            <w:noWrap w:val="0"/>
            <w:vAlign w:val="top"/>
          </w:tcPr>
          <w:p w14:paraId="537E58FB">
            <w:pPr>
              <w:spacing w:line="360" w:lineRule="auto"/>
              <w:jc w:val="center"/>
              <w:rPr>
                <w:rFonts w:ascii="宋体" w:hAnsi="宋体" w:cs="宋体"/>
                <w:color w:val="000000"/>
                <w:sz w:val="24"/>
              </w:rPr>
            </w:pPr>
          </w:p>
        </w:tc>
      </w:tr>
    </w:tbl>
    <w:p w14:paraId="222D753A">
      <w:pPr>
        <w:spacing w:line="360" w:lineRule="auto"/>
        <w:ind w:right="-161"/>
        <w:rPr>
          <w:rFonts w:ascii="宋体" w:hAnsi="宋体" w:cs="宋体"/>
          <w:color w:val="000000"/>
          <w:sz w:val="24"/>
        </w:rPr>
      </w:pPr>
      <w:r>
        <w:rPr>
          <w:rFonts w:hint="eastAsia" w:ascii="宋体" w:hAnsi="宋体" w:cs="宋体"/>
          <w:color w:val="000000"/>
          <w:sz w:val="24"/>
        </w:rPr>
        <w:t>说明：</w:t>
      </w:r>
    </w:p>
    <w:p w14:paraId="49F68C5F">
      <w:pPr>
        <w:spacing w:line="360" w:lineRule="auto"/>
        <w:ind w:right="-161" w:firstLine="480" w:firstLineChars="200"/>
        <w:rPr>
          <w:rFonts w:ascii="宋体" w:hAnsi="宋体" w:cs="宋体"/>
          <w:color w:val="000000"/>
          <w:sz w:val="24"/>
        </w:rPr>
      </w:pPr>
      <w:r>
        <w:rPr>
          <w:rFonts w:hint="eastAsia" w:ascii="宋体" w:hAnsi="宋体" w:cs="宋体"/>
          <w:color w:val="000000"/>
          <w:sz w:val="24"/>
        </w:rPr>
        <w:t>1、</w:t>
      </w:r>
      <w:r>
        <w:rPr>
          <w:rFonts w:hint="eastAsia" w:ascii="宋体" w:hAnsi="宋体" w:cs="宋体"/>
          <w:color w:val="000000"/>
          <w:sz w:val="24"/>
          <w:lang w:eastAsia="zh-CN"/>
        </w:rPr>
        <w:t>谈判响应文件</w:t>
      </w:r>
      <w:r>
        <w:rPr>
          <w:rFonts w:hint="eastAsia" w:ascii="宋体" w:hAnsi="宋体" w:cs="宋体"/>
          <w:color w:val="000000"/>
          <w:sz w:val="24"/>
        </w:rPr>
        <w:t>根据商务要求如实填写；</w:t>
      </w:r>
    </w:p>
    <w:p w14:paraId="3BF6E890">
      <w:pPr>
        <w:spacing w:line="360" w:lineRule="auto"/>
        <w:ind w:right="-161" w:firstLine="480" w:firstLineChars="200"/>
        <w:rPr>
          <w:rFonts w:ascii="宋体" w:hAnsi="宋体" w:cs="宋体"/>
          <w:color w:val="000000"/>
          <w:sz w:val="24"/>
        </w:rPr>
      </w:pPr>
      <w:r>
        <w:rPr>
          <w:rFonts w:hint="eastAsia" w:ascii="宋体" w:hAnsi="宋体" w:cs="宋体"/>
          <w:color w:val="000000"/>
          <w:sz w:val="24"/>
        </w:rPr>
        <w:t>2、偏离填写：优于、相同、低于；</w:t>
      </w:r>
    </w:p>
    <w:p w14:paraId="007F1966">
      <w:pPr>
        <w:spacing w:line="360" w:lineRule="auto"/>
        <w:ind w:right="-161" w:firstLine="480" w:firstLineChars="200"/>
      </w:pPr>
      <w:r>
        <w:rPr>
          <w:rFonts w:hint="eastAsia" w:ascii="宋体" w:hAnsi="宋体" w:cs="宋体"/>
          <w:color w:val="000000"/>
          <w:sz w:val="24"/>
        </w:rPr>
        <w:t xml:space="preserve">3、响应说明填写：对偏离做出详细的说明。 </w:t>
      </w:r>
      <w:r>
        <w:rPr>
          <w:rFonts w:hint="eastAsia" w:ascii="宋体" w:hAnsi="宋体" w:cs="宋体"/>
          <w:sz w:val="24"/>
        </w:rPr>
        <w:t xml:space="preserve"> </w:t>
      </w:r>
    </w:p>
    <w:p w14:paraId="0E49FF85">
      <w:pPr>
        <w:spacing w:line="360" w:lineRule="auto"/>
        <w:ind w:right="-161" w:firstLine="2640" w:firstLineChars="1100"/>
        <w:rPr>
          <w:rFonts w:ascii="宋体" w:hAnsi="宋体" w:cs="宋体"/>
          <w:color w:val="000000"/>
          <w:sz w:val="24"/>
          <w:szCs w:val="24"/>
        </w:rPr>
      </w:pPr>
    </w:p>
    <w:p w14:paraId="70397EDB">
      <w:pPr>
        <w:spacing w:line="480" w:lineRule="auto"/>
        <w:ind w:right="-161" w:firstLine="2640" w:firstLineChars="1100"/>
        <w:rPr>
          <w:rFonts w:ascii="宋体" w:hAnsi="宋体" w:cs="仿宋_GB2312"/>
          <w:sz w:val="24"/>
          <w:szCs w:val="24"/>
          <w:u w:val="single"/>
        </w:rPr>
      </w:pPr>
      <w:r>
        <w:rPr>
          <w:rFonts w:hint="eastAsia" w:ascii="宋体" w:hAnsi="宋体" w:cs="宋体"/>
          <w:sz w:val="24"/>
          <w:szCs w:val="24"/>
        </w:rPr>
        <w:t>法定代表人或被授权代表（</w:t>
      </w:r>
      <w:r>
        <w:rPr>
          <w:rFonts w:hint="eastAsia" w:ascii="宋体" w:hAnsi="宋体" w:cs="宋体"/>
          <w:sz w:val="24"/>
        </w:rPr>
        <w:t>签字或盖章</w:t>
      </w:r>
      <w:r>
        <w:rPr>
          <w:rFonts w:hint="eastAsia" w:ascii="宋体" w:hAnsi="宋体" w:cs="宋体"/>
          <w:sz w:val="24"/>
          <w:szCs w:val="24"/>
        </w:rPr>
        <w:t>）</w:t>
      </w:r>
      <w:r>
        <w:rPr>
          <w:rFonts w:hint="eastAsia" w:ascii="宋体" w:hAnsi="宋体" w:cs="仿宋_GB2312"/>
          <w:sz w:val="24"/>
          <w:szCs w:val="24"/>
        </w:rPr>
        <w:t>：</w:t>
      </w:r>
      <w:r>
        <w:rPr>
          <w:rFonts w:hint="eastAsia" w:ascii="宋体" w:hAnsi="宋体" w:cs="仿宋_GB2312"/>
          <w:sz w:val="24"/>
          <w:szCs w:val="24"/>
          <w:u w:val="single"/>
        </w:rPr>
        <w:t xml:space="preserve">                      </w:t>
      </w:r>
    </w:p>
    <w:p w14:paraId="30624362">
      <w:pPr>
        <w:spacing w:line="480" w:lineRule="auto"/>
        <w:ind w:right="-161" w:firstLine="2640" w:firstLineChars="1100"/>
        <w:rPr>
          <w:rFonts w:ascii="宋体" w:hAnsi="宋体" w:cs="仿宋_GB2312"/>
          <w:sz w:val="24"/>
          <w:szCs w:val="24"/>
        </w:rPr>
      </w:pPr>
      <w:r>
        <w:rPr>
          <w:rFonts w:hint="eastAsia" w:ascii="宋体" w:hAnsi="宋体" w:cs="仿宋_GB2312"/>
          <w:sz w:val="24"/>
          <w:szCs w:val="24"/>
        </w:rPr>
        <w:t>投   标   单  位  公  章：</w:t>
      </w:r>
      <w:r>
        <w:rPr>
          <w:rFonts w:hint="eastAsia" w:ascii="宋体" w:hAnsi="宋体" w:cs="仿宋_GB2312"/>
          <w:sz w:val="24"/>
          <w:szCs w:val="24"/>
          <w:u w:val="single"/>
        </w:rPr>
        <w:t xml:space="preserve">                      </w:t>
      </w:r>
    </w:p>
    <w:p w14:paraId="041558E5">
      <w:pPr>
        <w:spacing w:line="480" w:lineRule="auto"/>
        <w:ind w:right="480" w:firstLine="2640" w:firstLineChars="1100"/>
        <w:rPr>
          <w:rFonts w:ascii="宋体" w:hAnsi="宋体" w:cs="仿宋_GB2312"/>
          <w:sz w:val="24"/>
          <w:szCs w:val="24"/>
          <w:u w:val="single"/>
        </w:rPr>
      </w:pPr>
      <w:r>
        <w:rPr>
          <w:rFonts w:hint="eastAsia" w:ascii="宋体" w:hAnsi="宋体" w:cs="仿宋_GB2312"/>
          <w:sz w:val="24"/>
          <w:szCs w:val="24"/>
        </w:rPr>
        <w:t>日                    期：</w:t>
      </w:r>
      <w:r>
        <w:rPr>
          <w:rFonts w:hint="eastAsia" w:ascii="宋体" w:hAnsi="宋体" w:cs="仿宋_GB2312"/>
          <w:sz w:val="24"/>
          <w:szCs w:val="24"/>
          <w:u w:val="single"/>
        </w:rPr>
        <w:t xml:space="preserve">                      </w:t>
      </w:r>
      <w:r>
        <w:rPr>
          <w:rFonts w:hint="eastAsia" w:ascii="宋体" w:hAnsi="宋体" w:cs="宋体"/>
          <w:color w:val="000000"/>
          <w:sz w:val="24"/>
          <w:szCs w:val="24"/>
          <w:u w:val="single"/>
        </w:rPr>
        <w:t xml:space="preserve">                         </w:t>
      </w:r>
      <w:r>
        <w:rPr>
          <w:rFonts w:hint="eastAsia" w:ascii="宋体" w:hAnsi="宋体" w:cs="宋体"/>
          <w:color w:val="000000"/>
          <w:sz w:val="24"/>
          <w:szCs w:val="24"/>
        </w:rPr>
        <w:t xml:space="preserve"> </w:t>
      </w:r>
      <w:r>
        <w:rPr>
          <w:rFonts w:hint="eastAsia" w:ascii="宋体" w:hAnsi="宋体" w:cs="仿宋_GB2312"/>
          <w:sz w:val="24"/>
          <w:szCs w:val="24"/>
          <w:u w:val="single"/>
        </w:rPr>
        <w:t xml:space="preserve">  </w:t>
      </w:r>
      <w:bookmarkStart w:id="339" w:name="_Toc283240500"/>
      <w:bookmarkStart w:id="340" w:name="_Toc347478750"/>
      <w:bookmarkStart w:id="341" w:name="_Toc334522295"/>
      <w:bookmarkStart w:id="342" w:name="_Toc311415661"/>
      <w:bookmarkStart w:id="343" w:name="_Toc312789407"/>
    </w:p>
    <w:bookmarkEnd w:id="339"/>
    <w:bookmarkEnd w:id="340"/>
    <w:bookmarkEnd w:id="341"/>
    <w:bookmarkEnd w:id="342"/>
    <w:bookmarkEnd w:id="343"/>
    <w:p w14:paraId="1F631276">
      <w:pPr>
        <w:jc w:val="center"/>
        <w:rPr>
          <w:rFonts w:ascii="宋体" w:hAnsi="宋体" w:cs="宋体"/>
          <w:b/>
          <w:sz w:val="32"/>
          <w:szCs w:val="32"/>
        </w:rPr>
        <w:sectPr>
          <w:pgSz w:w="11906" w:h="16838"/>
          <w:pgMar w:top="1157" w:right="1703" w:bottom="1157" w:left="1701" w:header="720" w:footer="720" w:gutter="0"/>
          <w:cols w:space="720" w:num="1"/>
          <w:docGrid w:type="lines" w:linePitch="312" w:charSpace="0"/>
        </w:sectPr>
      </w:pPr>
      <w:bookmarkStart w:id="344" w:name="_Hlt491765944"/>
      <w:bookmarkEnd w:id="344"/>
      <w:bookmarkStart w:id="345" w:name="_Hlt491573425"/>
      <w:bookmarkEnd w:id="345"/>
      <w:bookmarkStart w:id="346" w:name="_Hlt491572882"/>
      <w:bookmarkEnd w:id="346"/>
      <w:bookmarkStart w:id="347" w:name="_Hlt491766019"/>
      <w:bookmarkEnd w:id="347"/>
      <w:bookmarkStart w:id="348" w:name="_Hlt491765868"/>
      <w:bookmarkEnd w:id="348"/>
      <w:bookmarkStart w:id="349" w:name="_Toc10670"/>
      <w:bookmarkStart w:id="350" w:name="_Toc465958135"/>
      <w:bookmarkStart w:id="351" w:name="_Toc19031"/>
      <w:bookmarkStart w:id="352" w:name="_Toc17542"/>
      <w:bookmarkStart w:id="353" w:name="_Toc354655332"/>
      <w:bookmarkStart w:id="354" w:name="_Toc12278"/>
      <w:bookmarkStart w:id="355" w:name="_Toc32070"/>
      <w:bookmarkStart w:id="356" w:name="_Toc14838"/>
      <w:bookmarkStart w:id="357" w:name="_Toc389620250"/>
      <w:bookmarkStart w:id="358" w:name="_Toc385992410"/>
    </w:p>
    <w:p w14:paraId="52F331A4">
      <w:pPr>
        <w:jc w:val="center"/>
        <w:outlineLvl w:val="0"/>
        <w:rPr>
          <w:rFonts w:hint="eastAsia" w:ascii="宋体" w:hAnsi="宋体" w:cs="宋体"/>
          <w:b/>
          <w:color w:val="auto"/>
          <w:sz w:val="32"/>
          <w:szCs w:val="22"/>
        </w:rPr>
      </w:pPr>
      <w:r>
        <w:rPr>
          <w:rFonts w:hint="eastAsia" w:ascii="宋体" w:hAnsi="宋体" w:cs="宋体"/>
          <w:b/>
          <w:color w:val="auto"/>
          <w:sz w:val="32"/>
          <w:szCs w:val="22"/>
        </w:rPr>
        <w:t>六、</w:t>
      </w:r>
      <w:bookmarkStart w:id="359" w:name="_Toc7554"/>
      <w:bookmarkStart w:id="360" w:name="_Toc23210"/>
      <w:r>
        <w:rPr>
          <w:rFonts w:hint="eastAsia" w:ascii="宋体" w:hAnsi="宋体" w:cs="宋体"/>
          <w:b/>
          <w:color w:val="auto"/>
          <w:sz w:val="32"/>
          <w:szCs w:val="22"/>
        </w:rPr>
        <w:t>规格技术参数偏离表</w:t>
      </w:r>
      <w:bookmarkEnd w:id="359"/>
      <w:bookmarkEnd w:id="360"/>
    </w:p>
    <w:p w14:paraId="392E6017">
      <w:pPr>
        <w:spacing w:line="360" w:lineRule="auto"/>
        <w:rPr>
          <w:rFonts w:hint="eastAsia" w:ascii="宋体" w:hAnsi="宋体" w:cs="宋体"/>
          <w:color w:val="auto"/>
          <w:sz w:val="24"/>
          <w:szCs w:val="24"/>
        </w:rPr>
      </w:pPr>
      <w:r>
        <w:rPr>
          <w:rFonts w:hint="eastAsia" w:ascii="宋体" w:hAnsi="宋体" w:cs="宋体"/>
          <w:color w:val="auto"/>
          <w:sz w:val="24"/>
          <w:szCs w:val="24"/>
        </w:rPr>
        <w:t>投标人名称：</w:t>
      </w:r>
      <w:r>
        <w:rPr>
          <w:rFonts w:hint="eastAsia" w:ascii="宋体" w:hAnsi="宋体" w:cs="宋体"/>
          <w:color w:val="auto"/>
          <w:sz w:val="24"/>
          <w:szCs w:val="24"/>
          <w:u w:val="single"/>
        </w:rPr>
        <w:t xml:space="preserve">            </w:t>
      </w:r>
      <w:r>
        <w:rPr>
          <w:rFonts w:hint="eastAsia" w:ascii="宋体" w:hAnsi="宋体" w:cs="宋体"/>
          <w:color w:val="auto"/>
          <w:sz w:val="24"/>
          <w:szCs w:val="24"/>
        </w:rPr>
        <w:t xml:space="preserve">                    采购项目编号：</w:t>
      </w:r>
      <w:r>
        <w:rPr>
          <w:rFonts w:hint="eastAsia" w:ascii="宋体" w:hAnsi="宋体" w:cs="宋体"/>
          <w:color w:val="auto"/>
          <w:sz w:val="24"/>
          <w:szCs w:val="24"/>
          <w:u w:val="single"/>
        </w:rPr>
        <w:t xml:space="preserve">             </w:t>
      </w:r>
      <w:r>
        <w:rPr>
          <w:rFonts w:hint="eastAsia" w:ascii="宋体" w:hAnsi="宋体" w:cs="宋体"/>
          <w:color w:val="auto"/>
          <w:sz w:val="24"/>
          <w:szCs w:val="24"/>
        </w:rPr>
        <w:t xml:space="preserve">                             </w:t>
      </w:r>
    </w:p>
    <w:tbl>
      <w:tblPr>
        <w:tblStyle w:val="21"/>
        <w:tblW w:w="96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2325"/>
        <w:gridCol w:w="1969"/>
        <w:gridCol w:w="2404"/>
        <w:gridCol w:w="1559"/>
        <w:gridCol w:w="1417"/>
      </w:tblGrid>
      <w:tr w14:paraId="5C18E5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18" w:hRule="exact"/>
          <w:jc w:val="center"/>
        </w:trPr>
        <w:tc>
          <w:tcPr>
            <w:tcW w:w="2325" w:type="dxa"/>
            <w:noWrap w:val="0"/>
            <w:vAlign w:val="center"/>
          </w:tcPr>
          <w:p w14:paraId="52F58616">
            <w:pPr>
              <w:spacing w:line="360" w:lineRule="auto"/>
              <w:jc w:val="center"/>
              <w:rPr>
                <w:rFonts w:hint="eastAsia" w:ascii="宋体" w:hAnsi="宋体" w:cs="宋体"/>
                <w:b/>
                <w:bCs/>
                <w:color w:val="auto"/>
                <w:sz w:val="24"/>
                <w:szCs w:val="24"/>
              </w:rPr>
            </w:pPr>
            <w:r>
              <w:rPr>
                <w:rFonts w:hint="eastAsia" w:ascii="宋体" w:hAnsi="宋体" w:cs="宋体"/>
                <w:b/>
                <w:bCs/>
                <w:color w:val="auto"/>
                <w:sz w:val="24"/>
                <w:szCs w:val="24"/>
              </w:rPr>
              <w:t>内容</w:t>
            </w:r>
          </w:p>
        </w:tc>
        <w:tc>
          <w:tcPr>
            <w:tcW w:w="1969" w:type="dxa"/>
            <w:noWrap w:val="0"/>
            <w:vAlign w:val="center"/>
          </w:tcPr>
          <w:p w14:paraId="32BC924D">
            <w:pPr>
              <w:spacing w:line="360" w:lineRule="auto"/>
              <w:jc w:val="center"/>
              <w:rPr>
                <w:rFonts w:hint="eastAsia" w:ascii="宋体" w:hAnsi="宋体" w:cs="宋体"/>
                <w:b/>
                <w:bCs/>
                <w:color w:val="auto"/>
                <w:sz w:val="24"/>
                <w:szCs w:val="24"/>
              </w:rPr>
            </w:pPr>
            <w:r>
              <w:rPr>
                <w:rFonts w:hint="eastAsia" w:ascii="宋体" w:hAnsi="宋体" w:cs="宋体"/>
                <w:b/>
                <w:bCs/>
                <w:color w:val="auto"/>
                <w:sz w:val="24"/>
                <w:szCs w:val="24"/>
              </w:rPr>
              <w:t>采购需求</w:t>
            </w:r>
          </w:p>
        </w:tc>
        <w:tc>
          <w:tcPr>
            <w:tcW w:w="2404" w:type="dxa"/>
            <w:noWrap w:val="0"/>
            <w:vAlign w:val="center"/>
          </w:tcPr>
          <w:p w14:paraId="0457B62C">
            <w:pPr>
              <w:spacing w:line="360" w:lineRule="auto"/>
              <w:jc w:val="center"/>
              <w:rPr>
                <w:rFonts w:hint="eastAsia" w:ascii="宋体" w:hAnsi="宋体" w:cs="宋体"/>
                <w:b/>
                <w:bCs/>
                <w:color w:val="auto"/>
                <w:sz w:val="24"/>
                <w:szCs w:val="24"/>
              </w:rPr>
            </w:pPr>
            <w:r>
              <w:rPr>
                <w:rFonts w:hint="eastAsia" w:ascii="宋体" w:hAnsi="宋体" w:cs="宋体"/>
                <w:b/>
                <w:bCs/>
                <w:color w:val="auto"/>
                <w:sz w:val="24"/>
                <w:szCs w:val="24"/>
              </w:rPr>
              <w:t>投标响应</w:t>
            </w:r>
          </w:p>
        </w:tc>
        <w:tc>
          <w:tcPr>
            <w:tcW w:w="1559" w:type="dxa"/>
            <w:noWrap w:val="0"/>
            <w:vAlign w:val="center"/>
          </w:tcPr>
          <w:p w14:paraId="5993EA22">
            <w:pPr>
              <w:spacing w:line="360" w:lineRule="auto"/>
              <w:jc w:val="center"/>
              <w:rPr>
                <w:rFonts w:hint="eastAsia" w:ascii="宋体" w:hAnsi="宋体" w:cs="宋体"/>
                <w:b/>
                <w:bCs/>
                <w:color w:val="auto"/>
                <w:sz w:val="24"/>
                <w:szCs w:val="24"/>
              </w:rPr>
            </w:pPr>
            <w:r>
              <w:rPr>
                <w:rFonts w:hint="eastAsia" w:ascii="宋体" w:hAnsi="宋体" w:cs="宋体"/>
                <w:b/>
                <w:bCs/>
                <w:color w:val="auto"/>
                <w:sz w:val="24"/>
                <w:szCs w:val="24"/>
              </w:rPr>
              <w:t>偏离情况</w:t>
            </w:r>
          </w:p>
        </w:tc>
        <w:tc>
          <w:tcPr>
            <w:tcW w:w="1417" w:type="dxa"/>
            <w:noWrap w:val="0"/>
            <w:vAlign w:val="center"/>
          </w:tcPr>
          <w:p w14:paraId="54E2451C">
            <w:pPr>
              <w:spacing w:line="360" w:lineRule="auto"/>
              <w:jc w:val="center"/>
              <w:rPr>
                <w:rFonts w:hint="eastAsia" w:ascii="宋体" w:hAnsi="宋体" w:cs="宋体"/>
                <w:b/>
                <w:bCs/>
                <w:color w:val="auto"/>
                <w:sz w:val="24"/>
                <w:szCs w:val="24"/>
              </w:rPr>
            </w:pPr>
            <w:r>
              <w:rPr>
                <w:rFonts w:hint="eastAsia" w:ascii="宋体" w:hAnsi="宋体" w:cs="宋体"/>
                <w:b/>
                <w:bCs/>
                <w:color w:val="auto"/>
                <w:sz w:val="24"/>
                <w:szCs w:val="24"/>
              </w:rPr>
              <w:t>偏离说明</w:t>
            </w:r>
          </w:p>
        </w:tc>
      </w:tr>
      <w:tr w14:paraId="3B34D5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18" w:hRule="exact"/>
          <w:jc w:val="center"/>
        </w:trPr>
        <w:tc>
          <w:tcPr>
            <w:tcW w:w="2325" w:type="dxa"/>
            <w:noWrap w:val="0"/>
            <w:vAlign w:val="center"/>
          </w:tcPr>
          <w:p w14:paraId="11D2598F">
            <w:pPr>
              <w:spacing w:line="360" w:lineRule="auto"/>
              <w:jc w:val="center"/>
              <w:rPr>
                <w:rFonts w:hint="eastAsia" w:ascii="宋体" w:hAnsi="宋体" w:cs="宋体"/>
                <w:color w:val="auto"/>
                <w:sz w:val="24"/>
                <w:szCs w:val="24"/>
              </w:rPr>
            </w:pPr>
          </w:p>
        </w:tc>
        <w:tc>
          <w:tcPr>
            <w:tcW w:w="1969" w:type="dxa"/>
            <w:noWrap w:val="0"/>
            <w:vAlign w:val="center"/>
          </w:tcPr>
          <w:p w14:paraId="59265F75">
            <w:pPr>
              <w:spacing w:line="360" w:lineRule="auto"/>
              <w:jc w:val="center"/>
              <w:rPr>
                <w:rFonts w:hint="eastAsia" w:ascii="宋体" w:hAnsi="宋体" w:cs="宋体"/>
                <w:color w:val="auto"/>
                <w:sz w:val="24"/>
                <w:szCs w:val="24"/>
              </w:rPr>
            </w:pPr>
          </w:p>
        </w:tc>
        <w:tc>
          <w:tcPr>
            <w:tcW w:w="2404" w:type="dxa"/>
            <w:noWrap w:val="0"/>
            <w:vAlign w:val="center"/>
          </w:tcPr>
          <w:p w14:paraId="4AFD27C0">
            <w:pPr>
              <w:spacing w:line="360" w:lineRule="auto"/>
              <w:jc w:val="center"/>
              <w:rPr>
                <w:rFonts w:hint="eastAsia" w:ascii="宋体" w:hAnsi="宋体" w:cs="宋体"/>
                <w:color w:val="auto"/>
                <w:sz w:val="24"/>
                <w:szCs w:val="24"/>
              </w:rPr>
            </w:pPr>
          </w:p>
        </w:tc>
        <w:tc>
          <w:tcPr>
            <w:tcW w:w="1559" w:type="dxa"/>
            <w:noWrap w:val="0"/>
            <w:vAlign w:val="center"/>
          </w:tcPr>
          <w:p w14:paraId="7B77D5F0">
            <w:pPr>
              <w:spacing w:line="360" w:lineRule="auto"/>
              <w:jc w:val="center"/>
              <w:rPr>
                <w:rFonts w:hint="eastAsia" w:ascii="宋体" w:hAnsi="宋体" w:cs="宋体"/>
                <w:color w:val="auto"/>
                <w:sz w:val="24"/>
                <w:szCs w:val="24"/>
              </w:rPr>
            </w:pPr>
          </w:p>
        </w:tc>
        <w:tc>
          <w:tcPr>
            <w:tcW w:w="1417" w:type="dxa"/>
            <w:noWrap w:val="0"/>
            <w:vAlign w:val="center"/>
          </w:tcPr>
          <w:p w14:paraId="1EAEB282">
            <w:pPr>
              <w:spacing w:line="360" w:lineRule="auto"/>
              <w:jc w:val="center"/>
              <w:rPr>
                <w:rFonts w:hint="eastAsia" w:ascii="宋体" w:hAnsi="宋体" w:cs="宋体"/>
                <w:color w:val="auto"/>
                <w:sz w:val="24"/>
                <w:szCs w:val="24"/>
              </w:rPr>
            </w:pPr>
          </w:p>
        </w:tc>
      </w:tr>
      <w:tr w14:paraId="4F1B63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18" w:hRule="exact"/>
          <w:jc w:val="center"/>
        </w:trPr>
        <w:tc>
          <w:tcPr>
            <w:tcW w:w="2325" w:type="dxa"/>
            <w:noWrap w:val="0"/>
            <w:vAlign w:val="center"/>
          </w:tcPr>
          <w:p w14:paraId="77A02B99">
            <w:pPr>
              <w:spacing w:line="360" w:lineRule="auto"/>
              <w:jc w:val="center"/>
              <w:rPr>
                <w:rFonts w:hint="eastAsia" w:ascii="宋体" w:hAnsi="宋体" w:cs="宋体"/>
                <w:color w:val="auto"/>
                <w:sz w:val="24"/>
                <w:szCs w:val="24"/>
              </w:rPr>
            </w:pPr>
          </w:p>
        </w:tc>
        <w:tc>
          <w:tcPr>
            <w:tcW w:w="1969" w:type="dxa"/>
            <w:noWrap w:val="0"/>
            <w:vAlign w:val="center"/>
          </w:tcPr>
          <w:p w14:paraId="1DB964FE">
            <w:pPr>
              <w:spacing w:line="360" w:lineRule="auto"/>
              <w:jc w:val="center"/>
              <w:rPr>
                <w:rFonts w:hint="eastAsia" w:ascii="宋体" w:hAnsi="宋体" w:cs="宋体"/>
                <w:color w:val="auto"/>
                <w:sz w:val="24"/>
                <w:szCs w:val="24"/>
              </w:rPr>
            </w:pPr>
          </w:p>
        </w:tc>
        <w:tc>
          <w:tcPr>
            <w:tcW w:w="2404" w:type="dxa"/>
            <w:noWrap w:val="0"/>
            <w:vAlign w:val="center"/>
          </w:tcPr>
          <w:p w14:paraId="3CDE6995">
            <w:pPr>
              <w:spacing w:line="360" w:lineRule="auto"/>
              <w:jc w:val="center"/>
              <w:rPr>
                <w:rFonts w:hint="eastAsia" w:ascii="宋体" w:hAnsi="宋体" w:cs="宋体"/>
                <w:color w:val="auto"/>
                <w:sz w:val="24"/>
                <w:szCs w:val="24"/>
              </w:rPr>
            </w:pPr>
          </w:p>
        </w:tc>
        <w:tc>
          <w:tcPr>
            <w:tcW w:w="1559" w:type="dxa"/>
            <w:noWrap w:val="0"/>
            <w:vAlign w:val="center"/>
          </w:tcPr>
          <w:p w14:paraId="4183B733">
            <w:pPr>
              <w:spacing w:line="360" w:lineRule="auto"/>
              <w:jc w:val="center"/>
              <w:rPr>
                <w:rFonts w:hint="eastAsia" w:ascii="宋体" w:hAnsi="宋体" w:cs="宋体"/>
                <w:color w:val="auto"/>
                <w:sz w:val="24"/>
                <w:szCs w:val="24"/>
              </w:rPr>
            </w:pPr>
          </w:p>
        </w:tc>
        <w:tc>
          <w:tcPr>
            <w:tcW w:w="1417" w:type="dxa"/>
            <w:noWrap w:val="0"/>
            <w:vAlign w:val="top"/>
          </w:tcPr>
          <w:p w14:paraId="7D35E0C9">
            <w:pPr>
              <w:spacing w:line="360" w:lineRule="auto"/>
              <w:jc w:val="center"/>
              <w:rPr>
                <w:rFonts w:hint="eastAsia" w:ascii="宋体" w:hAnsi="宋体" w:cs="宋体"/>
                <w:color w:val="auto"/>
                <w:sz w:val="24"/>
                <w:szCs w:val="24"/>
              </w:rPr>
            </w:pPr>
          </w:p>
        </w:tc>
      </w:tr>
      <w:tr w14:paraId="370CAE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18" w:hRule="exact"/>
          <w:jc w:val="center"/>
        </w:trPr>
        <w:tc>
          <w:tcPr>
            <w:tcW w:w="2325" w:type="dxa"/>
            <w:noWrap w:val="0"/>
            <w:vAlign w:val="center"/>
          </w:tcPr>
          <w:p w14:paraId="514B7B83">
            <w:pPr>
              <w:spacing w:line="360" w:lineRule="auto"/>
              <w:jc w:val="center"/>
              <w:rPr>
                <w:rFonts w:hint="eastAsia" w:ascii="宋体" w:hAnsi="宋体" w:cs="宋体"/>
                <w:color w:val="auto"/>
                <w:sz w:val="24"/>
                <w:szCs w:val="24"/>
              </w:rPr>
            </w:pPr>
          </w:p>
        </w:tc>
        <w:tc>
          <w:tcPr>
            <w:tcW w:w="1969" w:type="dxa"/>
            <w:noWrap w:val="0"/>
            <w:vAlign w:val="center"/>
          </w:tcPr>
          <w:p w14:paraId="379B085B">
            <w:pPr>
              <w:spacing w:line="360" w:lineRule="auto"/>
              <w:jc w:val="center"/>
              <w:rPr>
                <w:rFonts w:hint="eastAsia" w:ascii="宋体" w:hAnsi="宋体" w:cs="宋体"/>
                <w:color w:val="auto"/>
                <w:sz w:val="24"/>
                <w:szCs w:val="24"/>
              </w:rPr>
            </w:pPr>
          </w:p>
        </w:tc>
        <w:tc>
          <w:tcPr>
            <w:tcW w:w="2404" w:type="dxa"/>
            <w:noWrap w:val="0"/>
            <w:vAlign w:val="center"/>
          </w:tcPr>
          <w:p w14:paraId="1CFFBFB1">
            <w:pPr>
              <w:spacing w:line="360" w:lineRule="auto"/>
              <w:jc w:val="center"/>
              <w:rPr>
                <w:rFonts w:hint="eastAsia" w:ascii="宋体" w:hAnsi="宋体" w:cs="宋体"/>
                <w:color w:val="auto"/>
                <w:sz w:val="24"/>
                <w:szCs w:val="24"/>
              </w:rPr>
            </w:pPr>
          </w:p>
        </w:tc>
        <w:tc>
          <w:tcPr>
            <w:tcW w:w="1559" w:type="dxa"/>
            <w:noWrap w:val="0"/>
            <w:vAlign w:val="center"/>
          </w:tcPr>
          <w:p w14:paraId="4E12DBC3">
            <w:pPr>
              <w:spacing w:line="360" w:lineRule="auto"/>
              <w:jc w:val="center"/>
              <w:rPr>
                <w:rFonts w:hint="eastAsia" w:ascii="宋体" w:hAnsi="宋体" w:cs="宋体"/>
                <w:color w:val="auto"/>
                <w:sz w:val="24"/>
                <w:szCs w:val="24"/>
              </w:rPr>
            </w:pPr>
          </w:p>
        </w:tc>
        <w:tc>
          <w:tcPr>
            <w:tcW w:w="1417" w:type="dxa"/>
            <w:noWrap w:val="0"/>
            <w:vAlign w:val="top"/>
          </w:tcPr>
          <w:p w14:paraId="3C661E64">
            <w:pPr>
              <w:spacing w:line="360" w:lineRule="auto"/>
              <w:jc w:val="center"/>
              <w:rPr>
                <w:rFonts w:hint="eastAsia" w:ascii="宋体" w:hAnsi="宋体" w:cs="宋体"/>
                <w:color w:val="auto"/>
                <w:sz w:val="24"/>
                <w:szCs w:val="24"/>
              </w:rPr>
            </w:pPr>
          </w:p>
        </w:tc>
      </w:tr>
      <w:tr w14:paraId="2B88D9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18" w:hRule="exact"/>
          <w:jc w:val="center"/>
        </w:trPr>
        <w:tc>
          <w:tcPr>
            <w:tcW w:w="2325" w:type="dxa"/>
            <w:noWrap w:val="0"/>
            <w:vAlign w:val="center"/>
          </w:tcPr>
          <w:p w14:paraId="48C5B411">
            <w:pPr>
              <w:spacing w:line="360" w:lineRule="auto"/>
              <w:jc w:val="center"/>
              <w:rPr>
                <w:rFonts w:hint="eastAsia" w:ascii="宋体" w:hAnsi="宋体" w:cs="宋体"/>
                <w:color w:val="auto"/>
                <w:sz w:val="24"/>
                <w:szCs w:val="24"/>
              </w:rPr>
            </w:pPr>
          </w:p>
        </w:tc>
        <w:tc>
          <w:tcPr>
            <w:tcW w:w="1969" w:type="dxa"/>
            <w:noWrap w:val="0"/>
            <w:vAlign w:val="center"/>
          </w:tcPr>
          <w:p w14:paraId="40544731">
            <w:pPr>
              <w:spacing w:line="360" w:lineRule="auto"/>
              <w:jc w:val="center"/>
              <w:rPr>
                <w:rFonts w:hint="eastAsia" w:ascii="宋体" w:hAnsi="宋体" w:cs="宋体"/>
                <w:color w:val="auto"/>
                <w:sz w:val="24"/>
                <w:szCs w:val="24"/>
              </w:rPr>
            </w:pPr>
          </w:p>
        </w:tc>
        <w:tc>
          <w:tcPr>
            <w:tcW w:w="2404" w:type="dxa"/>
            <w:noWrap w:val="0"/>
            <w:vAlign w:val="center"/>
          </w:tcPr>
          <w:p w14:paraId="4C18689C">
            <w:pPr>
              <w:spacing w:line="360" w:lineRule="auto"/>
              <w:jc w:val="center"/>
              <w:rPr>
                <w:rFonts w:hint="eastAsia" w:ascii="宋体" w:hAnsi="宋体" w:cs="宋体"/>
                <w:color w:val="auto"/>
                <w:sz w:val="24"/>
                <w:szCs w:val="24"/>
              </w:rPr>
            </w:pPr>
          </w:p>
        </w:tc>
        <w:tc>
          <w:tcPr>
            <w:tcW w:w="1559" w:type="dxa"/>
            <w:noWrap w:val="0"/>
            <w:vAlign w:val="center"/>
          </w:tcPr>
          <w:p w14:paraId="33C344BC">
            <w:pPr>
              <w:spacing w:line="360" w:lineRule="auto"/>
              <w:jc w:val="center"/>
              <w:rPr>
                <w:rFonts w:hint="eastAsia" w:ascii="宋体" w:hAnsi="宋体" w:cs="宋体"/>
                <w:color w:val="auto"/>
                <w:sz w:val="24"/>
                <w:szCs w:val="24"/>
              </w:rPr>
            </w:pPr>
          </w:p>
        </w:tc>
        <w:tc>
          <w:tcPr>
            <w:tcW w:w="1417" w:type="dxa"/>
            <w:noWrap w:val="0"/>
            <w:vAlign w:val="top"/>
          </w:tcPr>
          <w:p w14:paraId="5DE4A988">
            <w:pPr>
              <w:spacing w:line="360" w:lineRule="auto"/>
              <w:jc w:val="center"/>
              <w:rPr>
                <w:rFonts w:hint="eastAsia" w:ascii="宋体" w:hAnsi="宋体" w:cs="宋体"/>
                <w:color w:val="auto"/>
                <w:sz w:val="24"/>
                <w:szCs w:val="24"/>
              </w:rPr>
            </w:pPr>
          </w:p>
        </w:tc>
      </w:tr>
      <w:tr w14:paraId="762F7D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18" w:hRule="exact"/>
          <w:jc w:val="center"/>
        </w:trPr>
        <w:tc>
          <w:tcPr>
            <w:tcW w:w="2325" w:type="dxa"/>
            <w:noWrap w:val="0"/>
            <w:vAlign w:val="center"/>
          </w:tcPr>
          <w:p w14:paraId="1A892D67">
            <w:pPr>
              <w:spacing w:line="360" w:lineRule="auto"/>
              <w:jc w:val="center"/>
              <w:rPr>
                <w:rFonts w:hint="eastAsia" w:ascii="宋体" w:hAnsi="宋体" w:cs="宋体"/>
                <w:color w:val="auto"/>
                <w:sz w:val="24"/>
                <w:szCs w:val="24"/>
              </w:rPr>
            </w:pPr>
          </w:p>
        </w:tc>
        <w:tc>
          <w:tcPr>
            <w:tcW w:w="1969" w:type="dxa"/>
            <w:noWrap w:val="0"/>
            <w:vAlign w:val="center"/>
          </w:tcPr>
          <w:p w14:paraId="12F2049F">
            <w:pPr>
              <w:spacing w:line="360" w:lineRule="auto"/>
              <w:jc w:val="center"/>
              <w:rPr>
                <w:rFonts w:hint="eastAsia" w:ascii="宋体" w:hAnsi="宋体" w:cs="宋体"/>
                <w:color w:val="auto"/>
                <w:sz w:val="24"/>
                <w:szCs w:val="24"/>
              </w:rPr>
            </w:pPr>
          </w:p>
        </w:tc>
        <w:tc>
          <w:tcPr>
            <w:tcW w:w="2404" w:type="dxa"/>
            <w:noWrap w:val="0"/>
            <w:vAlign w:val="center"/>
          </w:tcPr>
          <w:p w14:paraId="22D2D7AA">
            <w:pPr>
              <w:spacing w:line="360" w:lineRule="auto"/>
              <w:jc w:val="center"/>
              <w:rPr>
                <w:rFonts w:hint="eastAsia" w:ascii="宋体" w:hAnsi="宋体" w:cs="宋体"/>
                <w:color w:val="auto"/>
                <w:sz w:val="24"/>
                <w:szCs w:val="24"/>
              </w:rPr>
            </w:pPr>
          </w:p>
        </w:tc>
        <w:tc>
          <w:tcPr>
            <w:tcW w:w="1559" w:type="dxa"/>
            <w:noWrap w:val="0"/>
            <w:vAlign w:val="center"/>
          </w:tcPr>
          <w:p w14:paraId="5B36DEFC">
            <w:pPr>
              <w:spacing w:line="360" w:lineRule="auto"/>
              <w:jc w:val="center"/>
              <w:rPr>
                <w:rFonts w:hint="eastAsia" w:ascii="宋体" w:hAnsi="宋体" w:cs="宋体"/>
                <w:color w:val="auto"/>
                <w:sz w:val="24"/>
                <w:szCs w:val="24"/>
              </w:rPr>
            </w:pPr>
          </w:p>
        </w:tc>
        <w:tc>
          <w:tcPr>
            <w:tcW w:w="1417" w:type="dxa"/>
            <w:noWrap w:val="0"/>
            <w:vAlign w:val="top"/>
          </w:tcPr>
          <w:p w14:paraId="2902759F">
            <w:pPr>
              <w:spacing w:line="360" w:lineRule="auto"/>
              <w:jc w:val="center"/>
              <w:rPr>
                <w:rFonts w:hint="eastAsia" w:ascii="宋体" w:hAnsi="宋体" w:cs="宋体"/>
                <w:color w:val="auto"/>
                <w:sz w:val="24"/>
                <w:szCs w:val="24"/>
              </w:rPr>
            </w:pPr>
          </w:p>
        </w:tc>
      </w:tr>
      <w:tr w14:paraId="616FDB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18" w:hRule="exact"/>
          <w:jc w:val="center"/>
        </w:trPr>
        <w:tc>
          <w:tcPr>
            <w:tcW w:w="2325" w:type="dxa"/>
            <w:noWrap w:val="0"/>
            <w:vAlign w:val="center"/>
          </w:tcPr>
          <w:p w14:paraId="06A6B7AE">
            <w:pPr>
              <w:spacing w:line="360" w:lineRule="auto"/>
              <w:jc w:val="center"/>
              <w:rPr>
                <w:rFonts w:hint="eastAsia" w:ascii="宋体" w:hAnsi="宋体" w:cs="宋体"/>
                <w:color w:val="auto"/>
                <w:sz w:val="24"/>
                <w:szCs w:val="24"/>
              </w:rPr>
            </w:pPr>
          </w:p>
        </w:tc>
        <w:tc>
          <w:tcPr>
            <w:tcW w:w="1969" w:type="dxa"/>
            <w:noWrap w:val="0"/>
            <w:vAlign w:val="center"/>
          </w:tcPr>
          <w:p w14:paraId="32074133">
            <w:pPr>
              <w:spacing w:line="360" w:lineRule="auto"/>
              <w:jc w:val="center"/>
              <w:rPr>
                <w:rFonts w:hint="eastAsia" w:ascii="宋体" w:hAnsi="宋体" w:cs="宋体"/>
                <w:color w:val="auto"/>
                <w:sz w:val="24"/>
                <w:szCs w:val="24"/>
              </w:rPr>
            </w:pPr>
          </w:p>
        </w:tc>
        <w:tc>
          <w:tcPr>
            <w:tcW w:w="2404" w:type="dxa"/>
            <w:noWrap w:val="0"/>
            <w:vAlign w:val="center"/>
          </w:tcPr>
          <w:p w14:paraId="35C7C4B5">
            <w:pPr>
              <w:spacing w:line="360" w:lineRule="auto"/>
              <w:jc w:val="center"/>
              <w:rPr>
                <w:rFonts w:hint="eastAsia" w:ascii="宋体" w:hAnsi="宋体" w:cs="宋体"/>
                <w:color w:val="auto"/>
                <w:sz w:val="24"/>
                <w:szCs w:val="24"/>
              </w:rPr>
            </w:pPr>
          </w:p>
        </w:tc>
        <w:tc>
          <w:tcPr>
            <w:tcW w:w="1559" w:type="dxa"/>
            <w:noWrap w:val="0"/>
            <w:vAlign w:val="center"/>
          </w:tcPr>
          <w:p w14:paraId="4602F496">
            <w:pPr>
              <w:spacing w:line="360" w:lineRule="auto"/>
              <w:jc w:val="center"/>
              <w:rPr>
                <w:rFonts w:hint="eastAsia" w:ascii="宋体" w:hAnsi="宋体" w:cs="宋体"/>
                <w:color w:val="auto"/>
                <w:sz w:val="24"/>
                <w:szCs w:val="24"/>
              </w:rPr>
            </w:pPr>
          </w:p>
        </w:tc>
        <w:tc>
          <w:tcPr>
            <w:tcW w:w="1417" w:type="dxa"/>
            <w:noWrap w:val="0"/>
            <w:vAlign w:val="top"/>
          </w:tcPr>
          <w:p w14:paraId="32C0D814">
            <w:pPr>
              <w:spacing w:line="360" w:lineRule="auto"/>
              <w:jc w:val="center"/>
              <w:rPr>
                <w:rFonts w:hint="eastAsia" w:ascii="宋体" w:hAnsi="宋体" w:cs="宋体"/>
                <w:color w:val="auto"/>
                <w:sz w:val="24"/>
                <w:szCs w:val="24"/>
              </w:rPr>
            </w:pPr>
          </w:p>
        </w:tc>
      </w:tr>
      <w:tr w14:paraId="7D2ADB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18" w:hRule="exact"/>
          <w:jc w:val="center"/>
        </w:trPr>
        <w:tc>
          <w:tcPr>
            <w:tcW w:w="2325" w:type="dxa"/>
            <w:noWrap w:val="0"/>
            <w:vAlign w:val="center"/>
          </w:tcPr>
          <w:p w14:paraId="2865C65E">
            <w:pPr>
              <w:spacing w:line="360" w:lineRule="auto"/>
              <w:jc w:val="center"/>
              <w:rPr>
                <w:rFonts w:hint="eastAsia" w:ascii="宋体" w:hAnsi="宋体" w:cs="宋体"/>
                <w:color w:val="auto"/>
                <w:sz w:val="24"/>
                <w:szCs w:val="24"/>
              </w:rPr>
            </w:pPr>
          </w:p>
        </w:tc>
        <w:tc>
          <w:tcPr>
            <w:tcW w:w="1969" w:type="dxa"/>
            <w:noWrap w:val="0"/>
            <w:vAlign w:val="center"/>
          </w:tcPr>
          <w:p w14:paraId="3D231904">
            <w:pPr>
              <w:spacing w:line="360" w:lineRule="auto"/>
              <w:jc w:val="center"/>
              <w:rPr>
                <w:rFonts w:hint="eastAsia" w:ascii="宋体" w:hAnsi="宋体" w:cs="宋体"/>
                <w:color w:val="auto"/>
                <w:sz w:val="24"/>
                <w:szCs w:val="24"/>
              </w:rPr>
            </w:pPr>
          </w:p>
        </w:tc>
        <w:tc>
          <w:tcPr>
            <w:tcW w:w="2404" w:type="dxa"/>
            <w:noWrap w:val="0"/>
            <w:vAlign w:val="center"/>
          </w:tcPr>
          <w:p w14:paraId="5607FE80">
            <w:pPr>
              <w:spacing w:line="360" w:lineRule="auto"/>
              <w:jc w:val="center"/>
              <w:rPr>
                <w:rFonts w:hint="eastAsia" w:ascii="宋体" w:hAnsi="宋体" w:cs="宋体"/>
                <w:color w:val="auto"/>
                <w:sz w:val="24"/>
                <w:szCs w:val="24"/>
              </w:rPr>
            </w:pPr>
          </w:p>
        </w:tc>
        <w:tc>
          <w:tcPr>
            <w:tcW w:w="1559" w:type="dxa"/>
            <w:noWrap w:val="0"/>
            <w:vAlign w:val="center"/>
          </w:tcPr>
          <w:p w14:paraId="79E5DA36">
            <w:pPr>
              <w:spacing w:line="360" w:lineRule="auto"/>
              <w:jc w:val="center"/>
              <w:rPr>
                <w:rFonts w:hint="eastAsia" w:ascii="宋体" w:hAnsi="宋体" w:cs="宋体"/>
                <w:color w:val="auto"/>
                <w:sz w:val="24"/>
                <w:szCs w:val="24"/>
              </w:rPr>
            </w:pPr>
          </w:p>
        </w:tc>
        <w:tc>
          <w:tcPr>
            <w:tcW w:w="1417" w:type="dxa"/>
            <w:noWrap w:val="0"/>
            <w:vAlign w:val="top"/>
          </w:tcPr>
          <w:p w14:paraId="3B9D5805">
            <w:pPr>
              <w:spacing w:line="360" w:lineRule="auto"/>
              <w:jc w:val="center"/>
              <w:rPr>
                <w:rFonts w:hint="eastAsia" w:ascii="宋体" w:hAnsi="宋体" w:cs="宋体"/>
                <w:color w:val="auto"/>
                <w:sz w:val="24"/>
                <w:szCs w:val="24"/>
              </w:rPr>
            </w:pPr>
          </w:p>
        </w:tc>
      </w:tr>
      <w:tr w14:paraId="424EF3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18" w:hRule="exact"/>
          <w:jc w:val="center"/>
        </w:trPr>
        <w:tc>
          <w:tcPr>
            <w:tcW w:w="2325" w:type="dxa"/>
            <w:noWrap w:val="0"/>
            <w:vAlign w:val="center"/>
          </w:tcPr>
          <w:p w14:paraId="155925C7">
            <w:pPr>
              <w:spacing w:line="360" w:lineRule="auto"/>
              <w:jc w:val="center"/>
              <w:rPr>
                <w:rFonts w:hint="eastAsia" w:ascii="宋体" w:hAnsi="宋体" w:cs="宋体"/>
                <w:color w:val="auto"/>
                <w:sz w:val="24"/>
                <w:szCs w:val="24"/>
              </w:rPr>
            </w:pPr>
          </w:p>
        </w:tc>
        <w:tc>
          <w:tcPr>
            <w:tcW w:w="1969" w:type="dxa"/>
            <w:noWrap w:val="0"/>
            <w:vAlign w:val="center"/>
          </w:tcPr>
          <w:p w14:paraId="2EA11ED1">
            <w:pPr>
              <w:spacing w:line="360" w:lineRule="auto"/>
              <w:jc w:val="center"/>
              <w:rPr>
                <w:rFonts w:hint="eastAsia" w:ascii="宋体" w:hAnsi="宋体" w:cs="宋体"/>
                <w:color w:val="auto"/>
                <w:sz w:val="24"/>
                <w:szCs w:val="24"/>
              </w:rPr>
            </w:pPr>
          </w:p>
        </w:tc>
        <w:tc>
          <w:tcPr>
            <w:tcW w:w="2404" w:type="dxa"/>
            <w:noWrap w:val="0"/>
            <w:vAlign w:val="center"/>
          </w:tcPr>
          <w:p w14:paraId="510DBA4D">
            <w:pPr>
              <w:spacing w:line="360" w:lineRule="auto"/>
              <w:jc w:val="center"/>
              <w:rPr>
                <w:rFonts w:hint="eastAsia" w:ascii="宋体" w:hAnsi="宋体" w:cs="宋体"/>
                <w:color w:val="auto"/>
                <w:sz w:val="24"/>
                <w:szCs w:val="24"/>
              </w:rPr>
            </w:pPr>
          </w:p>
        </w:tc>
        <w:tc>
          <w:tcPr>
            <w:tcW w:w="1559" w:type="dxa"/>
            <w:noWrap w:val="0"/>
            <w:vAlign w:val="center"/>
          </w:tcPr>
          <w:p w14:paraId="54E3D64C">
            <w:pPr>
              <w:spacing w:line="360" w:lineRule="auto"/>
              <w:jc w:val="center"/>
              <w:rPr>
                <w:rFonts w:hint="eastAsia" w:ascii="宋体" w:hAnsi="宋体" w:cs="宋体"/>
                <w:color w:val="auto"/>
                <w:sz w:val="24"/>
                <w:szCs w:val="24"/>
              </w:rPr>
            </w:pPr>
          </w:p>
        </w:tc>
        <w:tc>
          <w:tcPr>
            <w:tcW w:w="1417" w:type="dxa"/>
            <w:noWrap w:val="0"/>
            <w:vAlign w:val="top"/>
          </w:tcPr>
          <w:p w14:paraId="1A784555">
            <w:pPr>
              <w:spacing w:line="360" w:lineRule="auto"/>
              <w:jc w:val="center"/>
              <w:rPr>
                <w:rFonts w:hint="eastAsia" w:ascii="宋体" w:hAnsi="宋体" w:cs="宋体"/>
                <w:color w:val="auto"/>
                <w:sz w:val="24"/>
                <w:szCs w:val="24"/>
              </w:rPr>
            </w:pPr>
          </w:p>
        </w:tc>
      </w:tr>
      <w:tr w14:paraId="1AFB01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18" w:hRule="exact"/>
          <w:jc w:val="center"/>
        </w:trPr>
        <w:tc>
          <w:tcPr>
            <w:tcW w:w="2325" w:type="dxa"/>
            <w:noWrap w:val="0"/>
            <w:vAlign w:val="center"/>
          </w:tcPr>
          <w:p w14:paraId="4355675A">
            <w:pPr>
              <w:spacing w:line="360" w:lineRule="auto"/>
              <w:jc w:val="center"/>
              <w:rPr>
                <w:rFonts w:hint="eastAsia" w:ascii="宋体" w:hAnsi="宋体" w:cs="宋体"/>
                <w:color w:val="auto"/>
                <w:sz w:val="24"/>
                <w:szCs w:val="24"/>
              </w:rPr>
            </w:pPr>
          </w:p>
        </w:tc>
        <w:tc>
          <w:tcPr>
            <w:tcW w:w="1969" w:type="dxa"/>
            <w:noWrap w:val="0"/>
            <w:vAlign w:val="center"/>
          </w:tcPr>
          <w:p w14:paraId="767F86F9">
            <w:pPr>
              <w:spacing w:line="360" w:lineRule="auto"/>
              <w:jc w:val="center"/>
              <w:rPr>
                <w:rFonts w:hint="eastAsia" w:ascii="宋体" w:hAnsi="宋体" w:cs="宋体"/>
                <w:color w:val="auto"/>
                <w:sz w:val="24"/>
                <w:szCs w:val="24"/>
              </w:rPr>
            </w:pPr>
          </w:p>
        </w:tc>
        <w:tc>
          <w:tcPr>
            <w:tcW w:w="2404" w:type="dxa"/>
            <w:noWrap w:val="0"/>
            <w:vAlign w:val="center"/>
          </w:tcPr>
          <w:p w14:paraId="527F31E3">
            <w:pPr>
              <w:spacing w:line="360" w:lineRule="auto"/>
              <w:jc w:val="center"/>
              <w:rPr>
                <w:rFonts w:hint="eastAsia" w:ascii="宋体" w:hAnsi="宋体" w:cs="宋体"/>
                <w:color w:val="auto"/>
                <w:sz w:val="24"/>
                <w:szCs w:val="24"/>
              </w:rPr>
            </w:pPr>
          </w:p>
        </w:tc>
        <w:tc>
          <w:tcPr>
            <w:tcW w:w="1559" w:type="dxa"/>
            <w:noWrap w:val="0"/>
            <w:vAlign w:val="center"/>
          </w:tcPr>
          <w:p w14:paraId="4A82399C">
            <w:pPr>
              <w:spacing w:line="360" w:lineRule="auto"/>
              <w:jc w:val="center"/>
              <w:rPr>
                <w:rFonts w:hint="eastAsia" w:ascii="宋体" w:hAnsi="宋体" w:cs="宋体"/>
                <w:color w:val="auto"/>
                <w:sz w:val="24"/>
                <w:szCs w:val="24"/>
              </w:rPr>
            </w:pPr>
          </w:p>
        </w:tc>
        <w:tc>
          <w:tcPr>
            <w:tcW w:w="1417" w:type="dxa"/>
            <w:noWrap w:val="0"/>
            <w:vAlign w:val="top"/>
          </w:tcPr>
          <w:p w14:paraId="531F60A3">
            <w:pPr>
              <w:spacing w:line="360" w:lineRule="auto"/>
              <w:jc w:val="center"/>
              <w:rPr>
                <w:rFonts w:hint="eastAsia" w:ascii="宋体" w:hAnsi="宋体" w:cs="宋体"/>
                <w:color w:val="auto"/>
                <w:sz w:val="24"/>
                <w:szCs w:val="24"/>
              </w:rPr>
            </w:pPr>
          </w:p>
        </w:tc>
      </w:tr>
      <w:tr w14:paraId="0C01CB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18" w:hRule="exact"/>
          <w:jc w:val="center"/>
        </w:trPr>
        <w:tc>
          <w:tcPr>
            <w:tcW w:w="2325" w:type="dxa"/>
            <w:noWrap w:val="0"/>
            <w:vAlign w:val="center"/>
          </w:tcPr>
          <w:p w14:paraId="74BB48D2">
            <w:pPr>
              <w:spacing w:line="360" w:lineRule="auto"/>
              <w:jc w:val="center"/>
              <w:rPr>
                <w:rFonts w:hint="eastAsia" w:ascii="宋体" w:hAnsi="宋体" w:cs="宋体"/>
                <w:color w:val="auto"/>
                <w:sz w:val="24"/>
                <w:szCs w:val="24"/>
              </w:rPr>
            </w:pPr>
          </w:p>
        </w:tc>
        <w:tc>
          <w:tcPr>
            <w:tcW w:w="1969" w:type="dxa"/>
            <w:noWrap w:val="0"/>
            <w:vAlign w:val="center"/>
          </w:tcPr>
          <w:p w14:paraId="1B08EABF">
            <w:pPr>
              <w:spacing w:line="360" w:lineRule="auto"/>
              <w:jc w:val="center"/>
              <w:rPr>
                <w:rFonts w:hint="eastAsia" w:ascii="宋体" w:hAnsi="宋体" w:cs="宋体"/>
                <w:color w:val="auto"/>
                <w:sz w:val="24"/>
                <w:szCs w:val="24"/>
              </w:rPr>
            </w:pPr>
          </w:p>
        </w:tc>
        <w:tc>
          <w:tcPr>
            <w:tcW w:w="2404" w:type="dxa"/>
            <w:noWrap w:val="0"/>
            <w:vAlign w:val="center"/>
          </w:tcPr>
          <w:p w14:paraId="039BD2C7">
            <w:pPr>
              <w:spacing w:line="360" w:lineRule="auto"/>
              <w:jc w:val="center"/>
              <w:rPr>
                <w:rFonts w:hint="eastAsia" w:ascii="宋体" w:hAnsi="宋体" w:cs="宋体"/>
                <w:color w:val="auto"/>
                <w:sz w:val="24"/>
                <w:szCs w:val="24"/>
              </w:rPr>
            </w:pPr>
          </w:p>
        </w:tc>
        <w:tc>
          <w:tcPr>
            <w:tcW w:w="1559" w:type="dxa"/>
            <w:noWrap w:val="0"/>
            <w:vAlign w:val="center"/>
          </w:tcPr>
          <w:p w14:paraId="6A0BDDCF">
            <w:pPr>
              <w:spacing w:line="360" w:lineRule="auto"/>
              <w:jc w:val="center"/>
              <w:rPr>
                <w:rFonts w:hint="eastAsia" w:ascii="宋体" w:hAnsi="宋体" w:cs="宋体"/>
                <w:color w:val="auto"/>
                <w:sz w:val="24"/>
                <w:szCs w:val="24"/>
              </w:rPr>
            </w:pPr>
          </w:p>
        </w:tc>
        <w:tc>
          <w:tcPr>
            <w:tcW w:w="1417" w:type="dxa"/>
            <w:noWrap w:val="0"/>
            <w:vAlign w:val="top"/>
          </w:tcPr>
          <w:p w14:paraId="0DF36CC8">
            <w:pPr>
              <w:spacing w:line="360" w:lineRule="auto"/>
              <w:jc w:val="center"/>
              <w:rPr>
                <w:rFonts w:hint="eastAsia" w:ascii="宋体" w:hAnsi="宋体" w:cs="宋体"/>
                <w:color w:val="auto"/>
                <w:sz w:val="24"/>
                <w:szCs w:val="24"/>
              </w:rPr>
            </w:pPr>
          </w:p>
        </w:tc>
      </w:tr>
      <w:tr w14:paraId="0F1375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18" w:hRule="exact"/>
          <w:jc w:val="center"/>
        </w:trPr>
        <w:tc>
          <w:tcPr>
            <w:tcW w:w="2325" w:type="dxa"/>
            <w:noWrap w:val="0"/>
            <w:vAlign w:val="center"/>
          </w:tcPr>
          <w:p w14:paraId="3097A67F">
            <w:pPr>
              <w:spacing w:line="360" w:lineRule="auto"/>
              <w:jc w:val="center"/>
              <w:rPr>
                <w:rFonts w:hint="eastAsia" w:ascii="宋体" w:hAnsi="宋体" w:cs="宋体"/>
                <w:color w:val="auto"/>
                <w:sz w:val="24"/>
                <w:szCs w:val="24"/>
              </w:rPr>
            </w:pPr>
          </w:p>
        </w:tc>
        <w:tc>
          <w:tcPr>
            <w:tcW w:w="1969" w:type="dxa"/>
            <w:noWrap w:val="0"/>
            <w:vAlign w:val="center"/>
          </w:tcPr>
          <w:p w14:paraId="288A8BC9">
            <w:pPr>
              <w:spacing w:line="360" w:lineRule="auto"/>
              <w:jc w:val="center"/>
              <w:rPr>
                <w:rFonts w:hint="eastAsia" w:ascii="宋体" w:hAnsi="宋体" w:cs="宋体"/>
                <w:color w:val="auto"/>
                <w:sz w:val="24"/>
                <w:szCs w:val="24"/>
              </w:rPr>
            </w:pPr>
          </w:p>
        </w:tc>
        <w:tc>
          <w:tcPr>
            <w:tcW w:w="2404" w:type="dxa"/>
            <w:noWrap w:val="0"/>
            <w:vAlign w:val="center"/>
          </w:tcPr>
          <w:p w14:paraId="1F163D8F">
            <w:pPr>
              <w:spacing w:line="360" w:lineRule="auto"/>
              <w:jc w:val="center"/>
              <w:rPr>
                <w:rFonts w:hint="eastAsia" w:ascii="宋体" w:hAnsi="宋体" w:cs="宋体"/>
                <w:color w:val="auto"/>
                <w:sz w:val="24"/>
                <w:szCs w:val="24"/>
              </w:rPr>
            </w:pPr>
          </w:p>
        </w:tc>
        <w:tc>
          <w:tcPr>
            <w:tcW w:w="1559" w:type="dxa"/>
            <w:noWrap w:val="0"/>
            <w:vAlign w:val="center"/>
          </w:tcPr>
          <w:p w14:paraId="6DE4E254">
            <w:pPr>
              <w:spacing w:line="360" w:lineRule="auto"/>
              <w:jc w:val="center"/>
              <w:rPr>
                <w:rFonts w:hint="eastAsia" w:ascii="宋体" w:hAnsi="宋体" w:cs="宋体"/>
                <w:color w:val="auto"/>
                <w:sz w:val="24"/>
                <w:szCs w:val="24"/>
              </w:rPr>
            </w:pPr>
          </w:p>
        </w:tc>
        <w:tc>
          <w:tcPr>
            <w:tcW w:w="1417" w:type="dxa"/>
            <w:noWrap w:val="0"/>
            <w:vAlign w:val="top"/>
          </w:tcPr>
          <w:p w14:paraId="05BBFE75">
            <w:pPr>
              <w:spacing w:line="360" w:lineRule="auto"/>
              <w:jc w:val="center"/>
              <w:rPr>
                <w:rFonts w:hint="eastAsia" w:ascii="宋体" w:hAnsi="宋体" w:cs="宋体"/>
                <w:color w:val="auto"/>
                <w:sz w:val="24"/>
                <w:szCs w:val="24"/>
              </w:rPr>
            </w:pPr>
          </w:p>
        </w:tc>
      </w:tr>
    </w:tbl>
    <w:p w14:paraId="666A11E3">
      <w:pPr>
        <w:pStyle w:val="11"/>
        <w:spacing w:line="360" w:lineRule="auto"/>
        <w:rPr>
          <w:rFonts w:hint="eastAsia" w:hAnsi="宋体" w:cs="宋体"/>
          <w:color w:val="auto"/>
        </w:rPr>
      </w:pPr>
      <w:r>
        <w:rPr>
          <w:rFonts w:hint="eastAsia" w:hAnsi="宋体" w:cs="宋体"/>
          <w:color w:val="auto"/>
        </w:rPr>
        <w:t>说明：</w:t>
      </w:r>
    </w:p>
    <w:p w14:paraId="67A5DF2C">
      <w:pPr>
        <w:autoSpaceDE w:val="0"/>
        <w:autoSpaceDN w:val="0"/>
        <w:adjustRightInd w:val="0"/>
        <w:spacing w:line="360" w:lineRule="auto"/>
        <w:ind w:firstLine="480" w:firstLineChars="200"/>
        <w:rPr>
          <w:rFonts w:hint="eastAsia" w:ascii="宋体" w:hAnsi="宋体" w:cs="宋体"/>
          <w:color w:val="auto"/>
          <w:sz w:val="24"/>
        </w:rPr>
      </w:pPr>
      <w:r>
        <w:rPr>
          <w:rFonts w:hint="eastAsia" w:ascii="宋体" w:hAnsi="宋体" w:cs="宋体"/>
          <w:color w:val="auto"/>
          <w:sz w:val="24"/>
        </w:rPr>
        <w:t>1、请按项目的实际技术参数，逐条对应</w:t>
      </w:r>
      <w:r>
        <w:rPr>
          <w:rFonts w:hint="eastAsia" w:ascii="宋体" w:hAnsi="宋体" w:cs="宋体"/>
          <w:color w:val="auto"/>
          <w:sz w:val="24"/>
          <w:lang w:eastAsia="zh-CN"/>
        </w:rPr>
        <w:t>谈判文件</w:t>
      </w:r>
      <w:r>
        <w:rPr>
          <w:rFonts w:hint="eastAsia" w:ascii="宋体" w:hAnsi="宋体" w:cs="宋体"/>
          <w:color w:val="auto"/>
          <w:sz w:val="24"/>
        </w:rPr>
        <w:t>的“采购内容及要求”，认真填写本表。偏离情况填写：优于、等于或低于，偏离说明对偏离情况做出详细说明。</w:t>
      </w:r>
    </w:p>
    <w:p w14:paraId="0A17923A">
      <w:pPr>
        <w:autoSpaceDE w:val="0"/>
        <w:autoSpaceDN w:val="0"/>
        <w:adjustRightInd w:val="0"/>
        <w:spacing w:line="360" w:lineRule="auto"/>
        <w:ind w:firstLine="480" w:firstLineChars="200"/>
        <w:rPr>
          <w:rFonts w:hint="eastAsia" w:ascii="宋体" w:hAnsi="宋体" w:cs="宋体"/>
          <w:color w:val="auto"/>
          <w:sz w:val="24"/>
        </w:rPr>
      </w:pPr>
      <w:r>
        <w:rPr>
          <w:rFonts w:hint="eastAsia" w:ascii="宋体" w:hAnsi="宋体" w:cs="宋体"/>
          <w:color w:val="auto"/>
          <w:sz w:val="24"/>
        </w:rPr>
        <w:t>2、投标人应按实际情况填写。</w:t>
      </w:r>
    </w:p>
    <w:p w14:paraId="6676CBA6">
      <w:pPr>
        <w:spacing w:line="480" w:lineRule="auto"/>
        <w:ind w:right="-161" w:firstLine="2640" w:firstLineChars="1100"/>
        <w:rPr>
          <w:rFonts w:hint="eastAsia" w:ascii="宋体" w:hAnsi="宋体" w:cs="宋体"/>
          <w:color w:val="auto"/>
          <w:sz w:val="24"/>
        </w:rPr>
      </w:pPr>
    </w:p>
    <w:p w14:paraId="417487E5">
      <w:pPr>
        <w:spacing w:line="360" w:lineRule="auto"/>
        <w:ind w:right="-161"/>
        <w:jc w:val="right"/>
        <w:rPr>
          <w:rFonts w:hint="eastAsia" w:ascii="宋体" w:hAnsi="宋体" w:cs="宋体"/>
          <w:color w:val="auto"/>
          <w:sz w:val="24"/>
          <w:szCs w:val="24"/>
          <w:u w:val="single"/>
        </w:rPr>
      </w:pPr>
      <w:r>
        <w:rPr>
          <w:rFonts w:hint="eastAsia" w:ascii="宋体" w:hAnsi="宋体" w:cs="宋体"/>
          <w:color w:val="auto"/>
          <w:sz w:val="24"/>
          <w:szCs w:val="24"/>
        </w:rPr>
        <w:t>法人代表或被授权代表：</w:t>
      </w:r>
      <w:r>
        <w:rPr>
          <w:rFonts w:hint="eastAsia" w:ascii="宋体" w:hAnsi="宋体" w:cs="宋体"/>
          <w:color w:val="auto"/>
          <w:sz w:val="24"/>
          <w:szCs w:val="24"/>
          <w:u w:val="single"/>
        </w:rPr>
        <w:t xml:space="preserve">                      </w:t>
      </w:r>
      <w:r>
        <w:rPr>
          <w:rFonts w:hint="eastAsia" w:ascii="宋体" w:hAnsi="宋体" w:cs="宋体"/>
          <w:color w:val="auto"/>
          <w:kern w:val="0"/>
          <w:sz w:val="24"/>
          <w:szCs w:val="24"/>
          <w:lang w:bidi="ar"/>
        </w:rPr>
        <w:t>（盖章或签字）</w:t>
      </w:r>
    </w:p>
    <w:p w14:paraId="7721437D">
      <w:pPr>
        <w:widowControl/>
        <w:spacing w:line="360" w:lineRule="auto"/>
        <w:jc w:val="center"/>
        <w:rPr>
          <w:rFonts w:hint="eastAsia" w:ascii="宋体" w:hAnsi="宋体" w:cs="宋体"/>
          <w:color w:val="auto"/>
          <w:sz w:val="24"/>
          <w:szCs w:val="24"/>
          <w:u w:val="single"/>
        </w:rPr>
      </w:pPr>
      <w:r>
        <w:rPr>
          <w:rFonts w:hint="eastAsia" w:ascii="宋体" w:hAnsi="宋体" w:cs="宋体"/>
          <w:color w:val="auto"/>
          <w:sz w:val="24"/>
          <w:szCs w:val="24"/>
        </w:rPr>
        <w:t xml:space="preserve">            投   标   人  ：</w:t>
      </w:r>
      <w:r>
        <w:rPr>
          <w:rFonts w:hint="eastAsia" w:ascii="宋体" w:hAnsi="宋体" w:cs="宋体"/>
          <w:color w:val="auto"/>
          <w:sz w:val="24"/>
          <w:szCs w:val="24"/>
          <w:u w:val="single"/>
        </w:rPr>
        <w:t xml:space="preserve">                      </w:t>
      </w:r>
      <w:r>
        <w:rPr>
          <w:rFonts w:hint="eastAsia" w:ascii="宋体" w:hAnsi="宋体" w:cs="宋体"/>
          <w:color w:val="auto"/>
          <w:kern w:val="0"/>
          <w:sz w:val="24"/>
          <w:szCs w:val="24"/>
          <w:lang w:bidi="ar"/>
        </w:rPr>
        <w:t xml:space="preserve">（盖单位章） </w:t>
      </w:r>
    </w:p>
    <w:p w14:paraId="624335A5">
      <w:pPr>
        <w:spacing w:line="360" w:lineRule="auto"/>
        <w:ind w:firstLine="2160" w:firstLineChars="900"/>
        <w:rPr>
          <w:rFonts w:hint="eastAsia" w:ascii="宋体" w:hAnsi="宋体" w:cs="宋体"/>
          <w:b/>
          <w:color w:val="auto"/>
          <w:sz w:val="32"/>
          <w:szCs w:val="22"/>
        </w:rPr>
      </w:pPr>
      <w:r>
        <w:rPr>
          <w:rFonts w:hint="eastAsia" w:ascii="宋体" w:hAnsi="宋体" w:cs="宋体"/>
          <w:color w:val="auto"/>
          <w:sz w:val="24"/>
          <w:szCs w:val="24"/>
        </w:rPr>
        <w:t>日                 期：</w:t>
      </w:r>
      <w:r>
        <w:rPr>
          <w:rFonts w:hint="eastAsia" w:ascii="宋体" w:hAnsi="宋体" w:cs="宋体"/>
          <w:color w:val="auto"/>
          <w:sz w:val="24"/>
          <w:szCs w:val="24"/>
          <w:u w:val="single"/>
        </w:rPr>
        <w:t xml:space="preserve">                      </w:t>
      </w:r>
    </w:p>
    <w:p w14:paraId="73A05A33">
      <w:pPr>
        <w:pStyle w:val="3"/>
        <w:adjustRightInd w:val="0"/>
        <w:textAlignment w:val="baseline"/>
        <w:rPr>
          <w:rFonts w:ascii="宋体" w:hAnsi="宋体" w:eastAsia="宋体" w:cs="宋体"/>
          <w:color w:val="000000"/>
          <w:szCs w:val="22"/>
        </w:rPr>
      </w:pPr>
      <w:r>
        <w:rPr>
          <w:rFonts w:hint="eastAsia" w:ascii="宋体" w:hAnsi="宋体" w:eastAsia="宋体" w:cs="宋体"/>
          <w:color w:val="000000"/>
          <w:szCs w:val="22"/>
          <w:lang w:val="en-US" w:eastAsia="zh-CN"/>
        </w:rPr>
        <w:t>七</w:t>
      </w:r>
      <w:r>
        <w:rPr>
          <w:rFonts w:hint="eastAsia" w:ascii="宋体" w:hAnsi="宋体" w:eastAsia="宋体" w:cs="宋体"/>
          <w:color w:val="000000"/>
          <w:szCs w:val="22"/>
        </w:rPr>
        <w:t>、法定代表人证明书及法定代表人授权委托书</w:t>
      </w:r>
    </w:p>
    <w:p w14:paraId="6A1DB5B3">
      <w:pPr>
        <w:pStyle w:val="3"/>
        <w:adjustRightInd w:val="0"/>
        <w:textAlignment w:val="baseline"/>
        <w:rPr>
          <w:rFonts w:ascii="宋体" w:hAnsi="宋体" w:eastAsia="宋体" w:cs="宋体"/>
          <w:color w:val="000000"/>
          <w:szCs w:val="22"/>
        </w:rPr>
      </w:pPr>
      <w:r>
        <w:rPr>
          <w:rFonts w:hint="eastAsia" w:ascii="宋体" w:hAnsi="宋体" w:eastAsia="宋体" w:cs="宋体"/>
          <w:color w:val="000000"/>
          <w:szCs w:val="22"/>
          <w:lang w:val="en-US" w:eastAsia="zh-CN"/>
        </w:rPr>
        <w:t>7</w:t>
      </w:r>
      <w:r>
        <w:rPr>
          <w:rFonts w:hint="eastAsia" w:ascii="宋体" w:hAnsi="宋体" w:eastAsia="宋体" w:cs="宋体"/>
          <w:color w:val="000000"/>
          <w:szCs w:val="22"/>
        </w:rPr>
        <w:t>.1法定代表人证明书</w:t>
      </w:r>
    </w:p>
    <w:tbl>
      <w:tblPr>
        <w:tblStyle w:val="21"/>
        <w:tblW w:w="95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2207"/>
        <w:gridCol w:w="2205"/>
        <w:gridCol w:w="186"/>
        <w:gridCol w:w="2203"/>
        <w:gridCol w:w="2160"/>
      </w:tblGrid>
      <w:tr w14:paraId="392B7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9540" w:type="dxa"/>
            <w:gridSpan w:val="6"/>
            <w:noWrap w:val="0"/>
            <w:vAlign w:val="center"/>
          </w:tcPr>
          <w:p w14:paraId="60E0AD2E">
            <w:pPr>
              <w:tabs>
                <w:tab w:val="left" w:pos="210"/>
              </w:tabs>
              <w:spacing w:line="320" w:lineRule="exact"/>
              <w:rPr>
                <w:rFonts w:hint="eastAsia" w:ascii="宋体" w:hAnsi="宋体" w:eastAsia="宋体" w:cs="Arial"/>
                <w:color w:val="000000"/>
                <w:kern w:val="0"/>
                <w:sz w:val="24"/>
                <w:lang w:eastAsia="zh-CN"/>
              </w:rPr>
            </w:pPr>
            <w:r>
              <w:rPr>
                <w:rFonts w:hint="eastAsia" w:ascii="宋体" w:hAnsi="宋体" w:cs="Arial"/>
                <w:color w:val="000000"/>
                <w:kern w:val="0"/>
                <w:sz w:val="24"/>
              </w:rPr>
              <w:t>致：</w:t>
            </w:r>
            <w:r>
              <w:rPr>
                <w:rFonts w:hint="eastAsia" w:ascii="宋体" w:hAnsi="宋体" w:cs="Arial"/>
                <w:color w:val="000000"/>
                <w:kern w:val="0"/>
                <w:sz w:val="24"/>
                <w:lang w:val="en-US" w:eastAsia="zh-CN"/>
              </w:rPr>
              <w:t>神木市人民法院</w:t>
            </w:r>
          </w:p>
        </w:tc>
      </w:tr>
      <w:tr w14:paraId="3C80D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579" w:type="dxa"/>
            <w:vMerge w:val="restart"/>
            <w:noWrap w:val="0"/>
            <w:vAlign w:val="center"/>
          </w:tcPr>
          <w:p w14:paraId="38F0FE18">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企</w:t>
            </w:r>
          </w:p>
          <w:p w14:paraId="7BF7F085">
            <w:pPr>
              <w:tabs>
                <w:tab w:val="left" w:pos="210"/>
              </w:tabs>
              <w:spacing w:line="320" w:lineRule="exact"/>
              <w:jc w:val="center"/>
              <w:rPr>
                <w:rFonts w:ascii="宋体" w:hAnsi="宋体" w:cs="Arial"/>
                <w:color w:val="000000"/>
                <w:kern w:val="0"/>
                <w:sz w:val="24"/>
              </w:rPr>
            </w:pPr>
          </w:p>
          <w:p w14:paraId="3F358129">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业</w:t>
            </w:r>
          </w:p>
          <w:p w14:paraId="36E20310">
            <w:pPr>
              <w:tabs>
                <w:tab w:val="left" w:pos="210"/>
              </w:tabs>
              <w:spacing w:line="320" w:lineRule="exact"/>
              <w:jc w:val="center"/>
              <w:rPr>
                <w:rFonts w:ascii="宋体" w:hAnsi="宋体" w:cs="Arial"/>
                <w:color w:val="000000"/>
                <w:kern w:val="0"/>
                <w:sz w:val="24"/>
              </w:rPr>
            </w:pPr>
          </w:p>
          <w:p w14:paraId="4242B4FD">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法</w:t>
            </w:r>
          </w:p>
          <w:p w14:paraId="1A1C60E2">
            <w:pPr>
              <w:tabs>
                <w:tab w:val="left" w:pos="210"/>
              </w:tabs>
              <w:spacing w:line="320" w:lineRule="exact"/>
              <w:jc w:val="center"/>
              <w:rPr>
                <w:rFonts w:ascii="宋体" w:hAnsi="宋体" w:cs="Arial"/>
                <w:color w:val="000000"/>
                <w:kern w:val="0"/>
                <w:sz w:val="24"/>
              </w:rPr>
            </w:pPr>
          </w:p>
          <w:p w14:paraId="1D7A6C46">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人</w:t>
            </w:r>
          </w:p>
        </w:tc>
        <w:tc>
          <w:tcPr>
            <w:tcW w:w="2207" w:type="dxa"/>
            <w:noWrap w:val="0"/>
            <w:vAlign w:val="center"/>
          </w:tcPr>
          <w:p w14:paraId="2983E99C">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企业名称</w:t>
            </w:r>
          </w:p>
        </w:tc>
        <w:tc>
          <w:tcPr>
            <w:tcW w:w="6754" w:type="dxa"/>
            <w:gridSpan w:val="4"/>
            <w:noWrap w:val="0"/>
            <w:vAlign w:val="center"/>
          </w:tcPr>
          <w:p w14:paraId="58120E22">
            <w:pPr>
              <w:tabs>
                <w:tab w:val="left" w:pos="210"/>
              </w:tabs>
              <w:spacing w:line="320" w:lineRule="exact"/>
              <w:jc w:val="center"/>
              <w:rPr>
                <w:rFonts w:ascii="宋体" w:hAnsi="宋体" w:cs="Arial"/>
                <w:color w:val="000000"/>
                <w:kern w:val="0"/>
                <w:sz w:val="24"/>
              </w:rPr>
            </w:pPr>
          </w:p>
        </w:tc>
      </w:tr>
      <w:tr w14:paraId="556EF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579" w:type="dxa"/>
            <w:vMerge w:val="continue"/>
            <w:noWrap w:val="0"/>
            <w:vAlign w:val="center"/>
          </w:tcPr>
          <w:p w14:paraId="1B3F3CF4">
            <w:pPr>
              <w:tabs>
                <w:tab w:val="left" w:pos="210"/>
              </w:tabs>
              <w:spacing w:line="320" w:lineRule="exact"/>
              <w:jc w:val="center"/>
              <w:rPr>
                <w:rFonts w:ascii="宋体" w:hAnsi="宋体" w:cs="Arial"/>
                <w:color w:val="000000"/>
                <w:kern w:val="0"/>
                <w:sz w:val="24"/>
              </w:rPr>
            </w:pPr>
          </w:p>
        </w:tc>
        <w:tc>
          <w:tcPr>
            <w:tcW w:w="2207" w:type="dxa"/>
            <w:noWrap w:val="0"/>
            <w:vAlign w:val="center"/>
          </w:tcPr>
          <w:p w14:paraId="1B28A9D8">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法定地址</w:t>
            </w:r>
          </w:p>
        </w:tc>
        <w:tc>
          <w:tcPr>
            <w:tcW w:w="6754" w:type="dxa"/>
            <w:gridSpan w:val="4"/>
            <w:noWrap w:val="0"/>
            <w:vAlign w:val="center"/>
          </w:tcPr>
          <w:p w14:paraId="266228C7">
            <w:pPr>
              <w:tabs>
                <w:tab w:val="left" w:pos="210"/>
              </w:tabs>
              <w:spacing w:line="320" w:lineRule="exact"/>
              <w:jc w:val="center"/>
              <w:rPr>
                <w:rFonts w:ascii="宋体" w:hAnsi="宋体" w:cs="Arial"/>
                <w:color w:val="000000"/>
                <w:kern w:val="0"/>
                <w:sz w:val="24"/>
              </w:rPr>
            </w:pPr>
          </w:p>
        </w:tc>
      </w:tr>
      <w:tr w14:paraId="65BA4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579" w:type="dxa"/>
            <w:vMerge w:val="continue"/>
            <w:noWrap w:val="0"/>
            <w:vAlign w:val="center"/>
          </w:tcPr>
          <w:p w14:paraId="7CCF8AE8">
            <w:pPr>
              <w:tabs>
                <w:tab w:val="left" w:pos="210"/>
              </w:tabs>
              <w:spacing w:line="320" w:lineRule="exact"/>
              <w:jc w:val="center"/>
              <w:rPr>
                <w:rFonts w:ascii="宋体" w:hAnsi="宋体" w:cs="Arial"/>
                <w:color w:val="000000"/>
                <w:kern w:val="0"/>
                <w:sz w:val="24"/>
              </w:rPr>
            </w:pPr>
          </w:p>
        </w:tc>
        <w:tc>
          <w:tcPr>
            <w:tcW w:w="2207" w:type="dxa"/>
            <w:noWrap w:val="0"/>
            <w:vAlign w:val="center"/>
          </w:tcPr>
          <w:p w14:paraId="74A8A282">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邮政编码</w:t>
            </w:r>
          </w:p>
        </w:tc>
        <w:tc>
          <w:tcPr>
            <w:tcW w:w="6754" w:type="dxa"/>
            <w:gridSpan w:val="4"/>
            <w:noWrap w:val="0"/>
            <w:vAlign w:val="center"/>
          </w:tcPr>
          <w:p w14:paraId="695FD6B6">
            <w:pPr>
              <w:tabs>
                <w:tab w:val="left" w:pos="210"/>
              </w:tabs>
              <w:spacing w:line="320" w:lineRule="exact"/>
              <w:jc w:val="center"/>
              <w:rPr>
                <w:rFonts w:ascii="宋体" w:hAnsi="宋体" w:cs="Arial"/>
                <w:color w:val="000000"/>
                <w:kern w:val="0"/>
                <w:sz w:val="24"/>
              </w:rPr>
            </w:pPr>
          </w:p>
        </w:tc>
      </w:tr>
      <w:tr w14:paraId="33B91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579" w:type="dxa"/>
            <w:vMerge w:val="continue"/>
            <w:noWrap w:val="0"/>
            <w:vAlign w:val="center"/>
          </w:tcPr>
          <w:p w14:paraId="321BE03B">
            <w:pPr>
              <w:tabs>
                <w:tab w:val="left" w:pos="210"/>
              </w:tabs>
              <w:spacing w:line="320" w:lineRule="exact"/>
              <w:jc w:val="center"/>
              <w:rPr>
                <w:rFonts w:ascii="宋体" w:hAnsi="宋体" w:cs="Arial"/>
                <w:color w:val="000000"/>
                <w:kern w:val="0"/>
                <w:sz w:val="24"/>
              </w:rPr>
            </w:pPr>
          </w:p>
        </w:tc>
        <w:tc>
          <w:tcPr>
            <w:tcW w:w="2207" w:type="dxa"/>
            <w:noWrap w:val="0"/>
            <w:vAlign w:val="center"/>
          </w:tcPr>
          <w:p w14:paraId="7BABF040">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工商登记机关</w:t>
            </w:r>
          </w:p>
        </w:tc>
        <w:tc>
          <w:tcPr>
            <w:tcW w:w="6754" w:type="dxa"/>
            <w:gridSpan w:val="4"/>
            <w:noWrap w:val="0"/>
            <w:vAlign w:val="center"/>
          </w:tcPr>
          <w:p w14:paraId="24B7A1D5">
            <w:pPr>
              <w:tabs>
                <w:tab w:val="left" w:pos="210"/>
              </w:tabs>
              <w:spacing w:line="320" w:lineRule="exact"/>
              <w:jc w:val="center"/>
              <w:rPr>
                <w:rFonts w:ascii="宋体" w:hAnsi="宋体" w:cs="Arial"/>
                <w:color w:val="000000"/>
                <w:kern w:val="0"/>
                <w:sz w:val="24"/>
              </w:rPr>
            </w:pPr>
          </w:p>
        </w:tc>
      </w:tr>
      <w:tr w14:paraId="12D9D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579" w:type="dxa"/>
            <w:vMerge w:val="continue"/>
            <w:noWrap w:val="0"/>
            <w:vAlign w:val="center"/>
          </w:tcPr>
          <w:p w14:paraId="3F65D7E8">
            <w:pPr>
              <w:tabs>
                <w:tab w:val="left" w:pos="210"/>
              </w:tabs>
              <w:spacing w:line="320" w:lineRule="exact"/>
              <w:jc w:val="center"/>
              <w:rPr>
                <w:rFonts w:ascii="宋体" w:hAnsi="宋体" w:cs="Arial"/>
                <w:color w:val="000000"/>
                <w:kern w:val="0"/>
                <w:sz w:val="24"/>
              </w:rPr>
            </w:pPr>
          </w:p>
        </w:tc>
        <w:tc>
          <w:tcPr>
            <w:tcW w:w="2207" w:type="dxa"/>
            <w:noWrap w:val="0"/>
            <w:vAlign w:val="center"/>
          </w:tcPr>
          <w:p w14:paraId="2FEEC662">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税务登记机关</w:t>
            </w:r>
          </w:p>
        </w:tc>
        <w:tc>
          <w:tcPr>
            <w:tcW w:w="6754" w:type="dxa"/>
            <w:gridSpan w:val="4"/>
            <w:noWrap w:val="0"/>
            <w:vAlign w:val="center"/>
          </w:tcPr>
          <w:p w14:paraId="2A07434D">
            <w:pPr>
              <w:tabs>
                <w:tab w:val="left" w:pos="210"/>
              </w:tabs>
              <w:spacing w:line="320" w:lineRule="exact"/>
              <w:jc w:val="center"/>
              <w:rPr>
                <w:rFonts w:ascii="宋体" w:hAnsi="宋体" w:cs="Arial"/>
                <w:color w:val="000000"/>
                <w:kern w:val="0"/>
                <w:sz w:val="24"/>
              </w:rPr>
            </w:pPr>
          </w:p>
        </w:tc>
      </w:tr>
      <w:tr w14:paraId="590D1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579" w:type="dxa"/>
            <w:vMerge w:val="continue"/>
            <w:noWrap w:val="0"/>
            <w:vAlign w:val="center"/>
          </w:tcPr>
          <w:p w14:paraId="1355714A">
            <w:pPr>
              <w:tabs>
                <w:tab w:val="left" w:pos="210"/>
              </w:tabs>
              <w:spacing w:line="320" w:lineRule="exact"/>
              <w:jc w:val="center"/>
              <w:rPr>
                <w:rFonts w:ascii="宋体" w:hAnsi="宋体" w:cs="Arial"/>
                <w:color w:val="000000"/>
                <w:kern w:val="0"/>
                <w:sz w:val="24"/>
              </w:rPr>
            </w:pPr>
          </w:p>
        </w:tc>
        <w:tc>
          <w:tcPr>
            <w:tcW w:w="2207" w:type="dxa"/>
            <w:noWrap w:val="0"/>
            <w:vAlign w:val="center"/>
          </w:tcPr>
          <w:p w14:paraId="0C2AAFC7">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机构代码证号</w:t>
            </w:r>
          </w:p>
        </w:tc>
        <w:tc>
          <w:tcPr>
            <w:tcW w:w="6754" w:type="dxa"/>
            <w:gridSpan w:val="4"/>
            <w:noWrap w:val="0"/>
            <w:vAlign w:val="center"/>
          </w:tcPr>
          <w:p w14:paraId="142EE224">
            <w:pPr>
              <w:tabs>
                <w:tab w:val="left" w:pos="210"/>
              </w:tabs>
              <w:spacing w:line="320" w:lineRule="exact"/>
              <w:jc w:val="center"/>
              <w:rPr>
                <w:rFonts w:ascii="宋体" w:hAnsi="宋体" w:cs="Arial"/>
                <w:color w:val="000000"/>
                <w:kern w:val="0"/>
                <w:sz w:val="24"/>
              </w:rPr>
            </w:pPr>
          </w:p>
        </w:tc>
      </w:tr>
      <w:tr w14:paraId="3FC4C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579" w:type="dxa"/>
            <w:vMerge w:val="restart"/>
            <w:noWrap w:val="0"/>
            <w:vAlign w:val="center"/>
          </w:tcPr>
          <w:p w14:paraId="47A66078">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法定代表人</w:t>
            </w:r>
          </w:p>
        </w:tc>
        <w:tc>
          <w:tcPr>
            <w:tcW w:w="2207" w:type="dxa"/>
            <w:noWrap w:val="0"/>
            <w:vAlign w:val="center"/>
          </w:tcPr>
          <w:p w14:paraId="41543133">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姓名</w:t>
            </w:r>
          </w:p>
        </w:tc>
        <w:tc>
          <w:tcPr>
            <w:tcW w:w="2391" w:type="dxa"/>
            <w:gridSpan w:val="2"/>
            <w:noWrap w:val="0"/>
            <w:vAlign w:val="center"/>
          </w:tcPr>
          <w:p w14:paraId="287C3960">
            <w:pPr>
              <w:tabs>
                <w:tab w:val="left" w:pos="210"/>
              </w:tabs>
              <w:spacing w:line="320" w:lineRule="exact"/>
              <w:jc w:val="center"/>
              <w:rPr>
                <w:rFonts w:ascii="宋体" w:hAnsi="宋体" w:cs="Arial"/>
                <w:color w:val="000000"/>
                <w:kern w:val="0"/>
                <w:sz w:val="24"/>
              </w:rPr>
            </w:pPr>
          </w:p>
        </w:tc>
        <w:tc>
          <w:tcPr>
            <w:tcW w:w="2203" w:type="dxa"/>
            <w:noWrap w:val="0"/>
            <w:vAlign w:val="center"/>
          </w:tcPr>
          <w:p w14:paraId="494373BE">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性别</w:t>
            </w:r>
          </w:p>
        </w:tc>
        <w:tc>
          <w:tcPr>
            <w:tcW w:w="2160" w:type="dxa"/>
            <w:noWrap w:val="0"/>
            <w:vAlign w:val="center"/>
          </w:tcPr>
          <w:p w14:paraId="7CF62E5F">
            <w:pPr>
              <w:tabs>
                <w:tab w:val="left" w:pos="210"/>
              </w:tabs>
              <w:spacing w:line="320" w:lineRule="exact"/>
              <w:jc w:val="center"/>
              <w:rPr>
                <w:rFonts w:ascii="宋体" w:hAnsi="宋体" w:cs="Arial"/>
                <w:color w:val="000000"/>
                <w:kern w:val="0"/>
                <w:sz w:val="24"/>
              </w:rPr>
            </w:pPr>
          </w:p>
        </w:tc>
      </w:tr>
      <w:tr w14:paraId="01058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579" w:type="dxa"/>
            <w:vMerge w:val="continue"/>
            <w:noWrap w:val="0"/>
            <w:vAlign w:val="center"/>
          </w:tcPr>
          <w:p w14:paraId="46715078">
            <w:pPr>
              <w:tabs>
                <w:tab w:val="left" w:pos="210"/>
              </w:tabs>
              <w:spacing w:line="320" w:lineRule="exact"/>
              <w:jc w:val="center"/>
              <w:rPr>
                <w:rFonts w:ascii="宋体" w:hAnsi="宋体" w:cs="Arial"/>
                <w:color w:val="000000"/>
                <w:kern w:val="0"/>
                <w:sz w:val="24"/>
              </w:rPr>
            </w:pPr>
          </w:p>
        </w:tc>
        <w:tc>
          <w:tcPr>
            <w:tcW w:w="2207" w:type="dxa"/>
            <w:noWrap w:val="0"/>
            <w:vAlign w:val="center"/>
          </w:tcPr>
          <w:p w14:paraId="2E7AE4AE">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职务</w:t>
            </w:r>
          </w:p>
        </w:tc>
        <w:tc>
          <w:tcPr>
            <w:tcW w:w="2391" w:type="dxa"/>
            <w:gridSpan w:val="2"/>
            <w:noWrap w:val="0"/>
            <w:vAlign w:val="center"/>
          </w:tcPr>
          <w:p w14:paraId="09E62B66">
            <w:pPr>
              <w:tabs>
                <w:tab w:val="left" w:pos="210"/>
              </w:tabs>
              <w:spacing w:line="320" w:lineRule="exact"/>
              <w:jc w:val="center"/>
              <w:rPr>
                <w:rFonts w:ascii="宋体" w:hAnsi="宋体" w:cs="Arial"/>
                <w:color w:val="000000"/>
                <w:kern w:val="0"/>
                <w:sz w:val="24"/>
              </w:rPr>
            </w:pPr>
          </w:p>
        </w:tc>
        <w:tc>
          <w:tcPr>
            <w:tcW w:w="2203" w:type="dxa"/>
            <w:noWrap w:val="0"/>
            <w:vAlign w:val="center"/>
          </w:tcPr>
          <w:p w14:paraId="2DA6A8D3">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联系电话</w:t>
            </w:r>
          </w:p>
        </w:tc>
        <w:tc>
          <w:tcPr>
            <w:tcW w:w="2160" w:type="dxa"/>
            <w:noWrap w:val="0"/>
            <w:vAlign w:val="center"/>
          </w:tcPr>
          <w:p w14:paraId="52CBE172">
            <w:pPr>
              <w:tabs>
                <w:tab w:val="left" w:pos="210"/>
              </w:tabs>
              <w:spacing w:line="320" w:lineRule="exact"/>
              <w:jc w:val="center"/>
              <w:rPr>
                <w:rFonts w:ascii="宋体" w:hAnsi="宋体" w:cs="Arial"/>
                <w:color w:val="000000"/>
                <w:kern w:val="0"/>
                <w:sz w:val="24"/>
              </w:rPr>
            </w:pPr>
          </w:p>
        </w:tc>
      </w:tr>
      <w:tr w14:paraId="5F839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579" w:type="dxa"/>
            <w:vMerge w:val="continue"/>
            <w:noWrap w:val="0"/>
            <w:vAlign w:val="center"/>
          </w:tcPr>
          <w:p w14:paraId="059FCDF8">
            <w:pPr>
              <w:tabs>
                <w:tab w:val="left" w:pos="210"/>
              </w:tabs>
              <w:spacing w:line="320" w:lineRule="exact"/>
              <w:jc w:val="center"/>
              <w:rPr>
                <w:rFonts w:ascii="宋体" w:hAnsi="宋体" w:cs="Arial"/>
                <w:color w:val="000000"/>
                <w:kern w:val="0"/>
                <w:sz w:val="24"/>
              </w:rPr>
            </w:pPr>
          </w:p>
        </w:tc>
        <w:tc>
          <w:tcPr>
            <w:tcW w:w="2207" w:type="dxa"/>
            <w:noWrap w:val="0"/>
            <w:vAlign w:val="center"/>
          </w:tcPr>
          <w:p w14:paraId="22CBD265">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传真</w:t>
            </w:r>
          </w:p>
        </w:tc>
        <w:tc>
          <w:tcPr>
            <w:tcW w:w="6754" w:type="dxa"/>
            <w:gridSpan w:val="4"/>
            <w:noWrap w:val="0"/>
            <w:vAlign w:val="center"/>
          </w:tcPr>
          <w:p w14:paraId="16D450A4">
            <w:pPr>
              <w:tabs>
                <w:tab w:val="left" w:pos="210"/>
              </w:tabs>
              <w:spacing w:line="320" w:lineRule="exact"/>
              <w:jc w:val="center"/>
              <w:rPr>
                <w:rFonts w:ascii="宋体" w:hAnsi="宋体" w:cs="Arial"/>
                <w:color w:val="000000"/>
                <w:kern w:val="0"/>
                <w:sz w:val="24"/>
              </w:rPr>
            </w:pPr>
          </w:p>
        </w:tc>
      </w:tr>
      <w:tr w14:paraId="5A0E8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4" w:hRule="atLeast"/>
          <w:jc w:val="center"/>
        </w:trPr>
        <w:tc>
          <w:tcPr>
            <w:tcW w:w="4991" w:type="dxa"/>
            <w:gridSpan w:val="3"/>
            <w:vMerge w:val="restart"/>
            <w:noWrap w:val="0"/>
            <w:vAlign w:val="center"/>
          </w:tcPr>
          <w:p w14:paraId="313B1B37">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法定代表人身份证（正反面）复印件</w:t>
            </w:r>
          </w:p>
        </w:tc>
        <w:tc>
          <w:tcPr>
            <w:tcW w:w="4549" w:type="dxa"/>
            <w:gridSpan w:val="3"/>
            <w:noWrap w:val="0"/>
            <w:vAlign w:val="center"/>
          </w:tcPr>
          <w:p w14:paraId="4830DDB2">
            <w:pPr>
              <w:tabs>
                <w:tab w:val="left" w:pos="210"/>
              </w:tabs>
              <w:spacing w:line="320" w:lineRule="exact"/>
              <w:jc w:val="center"/>
              <w:rPr>
                <w:rFonts w:hint="eastAsia" w:ascii="宋体" w:hAnsi="宋体" w:eastAsia="宋体" w:cs="Arial"/>
                <w:color w:val="000000"/>
                <w:kern w:val="0"/>
                <w:sz w:val="24"/>
                <w:lang w:eastAsia="zh-CN"/>
              </w:rPr>
            </w:pPr>
            <w:r>
              <w:rPr>
                <w:rFonts w:hint="eastAsia" w:ascii="宋体" w:hAnsi="宋体" w:cs="Arial"/>
                <w:color w:val="000000"/>
                <w:kern w:val="0"/>
                <w:sz w:val="24"/>
              </w:rPr>
              <w:t>法定代表人签字</w:t>
            </w:r>
            <w:r>
              <w:rPr>
                <w:rFonts w:hint="eastAsia" w:ascii="宋体" w:hAnsi="宋体" w:cs="Arial"/>
                <w:color w:val="000000"/>
                <w:kern w:val="0"/>
                <w:sz w:val="24"/>
                <w:lang w:eastAsia="zh-CN"/>
              </w:rPr>
              <w:t>或盖章</w:t>
            </w:r>
          </w:p>
        </w:tc>
      </w:tr>
      <w:tr w14:paraId="54580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7" w:hRule="atLeast"/>
          <w:jc w:val="center"/>
        </w:trPr>
        <w:tc>
          <w:tcPr>
            <w:tcW w:w="4991" w:type="dxa"/>
            <w:gridSpan w:val="3"/>
            <w:vMerge w:val="continue"/>
            <w:tcBorders>
              <w:bottom w:val="single" w:color="auto" w:sz="4" w:space="0"/>
            </w:tcBorders>
            <w:noWrap w:val="0"/>
            <w:vAlign w:val="center"/>
          </w:tcPr>
          <w:p w14:paraId="60E770CA">
            <w:pPr>
              <w:tabs>
                <w:tab w:val="left" w:pos="210"/>
              </w:tabs>
              <w:spacing w:line="320" w:lineRule="exact"/>
              <w:jc w:val="center"/>
              <w:rPr>
                <w:rFonts w:ascii="宋体" w:hAnsi="宋体" w:cs="Arial"/>
                <w:color w:val="000000"/>
                <w:kern w:val="0"/>
                <w:sz w:val="24"/>
              </w:rPr>
            </w:pPr>
          </w:p>
        </w:tc>
        <w:tc>
          <w:tcPr>
            <w:tcW w:w="4549" w:type="dxa"/>
            <w:gridSpan w:val="3"/>
            <w:tcBorders>
              <w:bottom w:val="single" w:color="auto" w:sz="4" w:space="0"/>
            </w:tcBorders>
            <w:noWrap w:val="0"/>
            <w:vAlign w:val="bottom"/>
          </w:tcPr>
          <w:p w14:paraId="3F292D5D">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（公章）</w:t>
            </w:r>
          </w:p>
          <w:p w14:paraId="5386877F">
            <w:pPr>
              <w:tabs>
                <w:tab w:val="left" w:pos="210"/>
              </w:tabs>
              <w:spacing w:line="320" w:lineRule="exact"/>
              <w:jc w:val="center"/>
              <w:rPr>
                <w:rFonts w:ascii="宋体" w:hAnsi="宋体" w:cs="Arial"/>
                <w:color w:val="000000"/>
                <w:kern w:val="0"/>
                <w:sz w:val="24"/>
              </w:rPr>
            </w:pPr>
          </w:p>
          <w:p w14:paraId="68D816C0">
            <w:pPr>
              <w:tabs>
                <w:tab w:val="left" w:pos="210"/>
              </w:tabs>
              <w:spacing w:line="320" w:lineRule="exact"/>
              <w:jc w:val="center"/>
              <w:rPr>
                <w:rFonts w:ascii="宋体" w:hAnsi="宋体" w:cs="Arial"/>
                <w:color w:val="000000"/>
                <w:kern w:val="0"/>
                <w:sz w:val="24"/>
              </w:rPr>
            </w:pPr>
          </w:p>
          <w:p w14:paraId="0AC072A5">
            <w:pPr>
              <w:tabs>
                <w:tab w:val="left" w:pos="210"/>
              </w:tabs>
              <w:spacing w:line="320" w:lineRule="exact"/>
              <w:jc w:val="center"/>
              <w:rPr>
                <w:rFonts w:ascii="宋体" w:hAnsi="宋体" w:cs="Arial"/>
                <w:color w:val="000000"/>
                <w:kern w:val="0"/>
                <w:sz w:val="24"/>
              </w:rPr>
            </w:pPr>
          </w:p>
          <w:p w14:paraId="627FA2C5">
            <w:pPr>
              <w:tabs>
                <w:tab w:val="left" w:pos="210"/>
              </w:tabs>
              <w:spacing w:line="320" w:lineRule="exact"/>
              <w:jc w:val="right"/>
              <w:rPr>
                <w:rFonts w:ascii="宋体" w:hAnsi="宋体" w:cs="Arial"/>
                <w:color w:val="000000"/>
                <w:kern w:val="0"/>
                <w:sz w:val="24"/>
              </w:rPr>
            </w:pPr>
            <w:r>
              <w:rPr>
                <w:rFonts w:hint="eastAsia" w:ascii="宋体" w:hAnsi="宋体" w:cs="Arial"/>
                <w:color w:val="000000"/>
                <w:kern w:val="0"/>
                <w:sz w:val="24"/>
              </w:rPr>
              <w:t xml:space="preserve">年  月  日 </w:t>
            </w:r>
          </w:p>
        </w:tc>
      </w:tr>
    </w:tbl>
    <w:p w14:paraId="5F0D4352">
      <w:pPr>
        <w:pStyle w:val="3"/>
        <w:adjustRightInd w:val="0"/>
        <w:textAlignment w:val="baseline"/>
        <w:rPr>
          <w:rFonts w:ascii="宋体" w:hAnsi="宋体" w:eastAsia="宋体" w:cs="宋体"/>
          <w:color w:val="000000"/>
          <w:sz w:val="24"/>
          <w:szCs w:val="24"/>
        </w:rPr>
      </w:pPr>
      <w:r>
        <w:rPr>
          <w:rFonts w:hint="eastAsia" w:ascii="宋体" w:hAnsi="宋体" w:eastAsia="宋体" w:cs="宋体"/>
          <w:color w:val="000000"/>
          <w:szCs w:val="22"/>
          <w:lang w:val="en-US" w:eastAsia="zh-CN"/>
        </w:rPr>
        <w:t>7</w:t>
      </w:r>
      <w:r>
        <w:rPr>
          <w:rFonts w:hint="eastAsia" w:ascii="宋体" w:hAnsi="宋体" w:eastAsia="宋体" w:cs="宋体"/>
          <w:color w:val="000000"/>
          <w:szCs w:val="22"/>
        </w:rPr>
        <w:t>.2法定代表人授权委托书</w:t>
      </w:r>
    </w:p>
    <w:p w14:paraId="07EB29E8">
      <w:pPr>
        <w:tabs>
          <w:tab w:val="left" w:pos="8820"/>
        </w:tabs>
        <w:spacing w:line="480" w:lineRule="auto"/>
        <w:ind w:firstLine="570"/>
        <w:rPr>
          <w:rFonts w:ascii="宋体" w:hAnsi="宋体" w:cs="宋体"/>
          <w:color w:val="000000"/>
          <w:sz w:val="24"/>
          <w:szCs w:val="24"/>
          <w:u w:val="single"/>
        </w:rPr>
      </w:pPr>
      <w:r>
        <w:rPr>
          <w:rFonts w:hint="eastAsia" w:ascii="宋体" w:hAnsi="宋体" w:cs="宋体"/>
          <w:color w:val="000000"/>
          <w:sz w:val="24"/>
          <w:szCs w:val="24"/>
        </w:rPr>
        <w:t>本授权委托书声明：我</w:t>
      </w:r>
      <w:r>
        <w:rPr>
          <w:rFonts w:hint="eastAsia" w:ascii="宋体" w:hAnsi="宋体" w:cs="宋体"/>
          <w:color w:val="000000"/>
          <w:sz w:val="24"/>
          <w:szCs w:val="24"/>
          <w:u w:val="single"/>
        </w:rPr>
        <w:t>（法定代表人姓名）</w:t>
      </w:r>
      <w:r>
        <w:rPr>
          <w:rFonts w:hint="eastAsia" w:ascii="宋体" w:hAnsi="宋体" w:cs="宋体"/>
          <w:color w:val="000000"/>
          <w:sz w:val="24"/>
          <w:szCs w:val="24"/>
        </w:rPr>
        <w:t>系注册于</w:t>
      </w:r>
      <w:r>
        <w:rPr>
          <w:rFonts w:hint="eastAsia" w:ascii="宋体" w:hAnsi="宋体" w:cs="宋体"/>
          <w:color w:val="000000"/>
          <w:sz w:val="24"/>
          <w:szCs w:val="24"/>
          <w:u w:val="single"/>
        </w:rPr>
        <w:t xml:space="preserve">  （供应商地址）           </w:t>
      </w:r>
      <w:r>
        <w:rPr>
          <w:rFonts w:hint="eastAsia" w:ascii="宋体" w:hAnsi="宋体" w:cs="宋体"/>
          <w:color w:val="000000"/>
          <w:sz w:val="24"/>
          <w:szCs w:val="24"/>
        </w:rPr>
        <w:t>的</w:t>
      </w:r>
      <w:r>
        <w:rPr>
          <w:rFonts w:hint="eastAsia" w:ascii="宋体" w:hAnsi="宋体" w:cs="宋体"/>
          <w:color w:val="000000"/>
          <w:sz w:val="24"/>
          <w:szCs w:val="24"/>
          <w:u w:val="single"/>
        </w:rPr>
        <w:t xml:space="preserve">（供应商名称）  </w:t>
      </w:r>
      <w:r>
        <w:rPr>
          <w:rFonts w:hint="eastAsia" w:ascii="宋体" w:hAnsi="宋体" w:cs="宋体"/>
          <w:color w:val="000000"/>
          <w:sz w:val="24"/>
          <w:szCs w:val="24"/>
        </w:rPr>
        <w:t>的法定代表人，现代表公司授权下面签字的</w:t>
      </w:r>
      <w:r>
        <w:rPr>
          <w:rFonts w:hint="eastAsia" w:ascii="宋体" w:hAnsi="宋体" w:cs="宋体"/>
          <w:color w:val="000000"/>
          <w:sz w:val="24"/>
          <w:szCs w:val="24"/>
          <w:u w:val="single"/>
        </w:rPr>
        <w:t>（被授权人的姓名、职务）</w:t>
      </w:r>
      <w:r>
        <w:rPr>
          <w:rFonts w:hint="eastAsia" w:ascii="宋体" w:hAnsi="宋体" w:cs="宋体"/>
          <w:color w:val="000000"/>
          <w:sz w:val="24"/>
          <w:szCs w:val="24"/>
        </w:rPr>
        <w:t>为我公司合法代理人，代表本公司参加</w:t>
      </w:r>
      <w:r>
        <w:rPr>
          <w:rFonts w:hint="eastAsia" w:ascii="宋体" w:hAnsi="宋体" w:cs="宋体"/>
          <w:color w:val="000000"/>
          <w:sz w:val="24"/>
          <w:szCs w:val="24"/>
          <w:u w:val="single"/>
        </w:rPr>
        <w:t xml:space="preserve">  （采购项目名称） (</w:t>
      </w:r>
      <w:r>
        <w:rPr>
          <w:rFonts w:hint="eastAsia" w:ascii="宋体" w:hAnsi="宋体" w:cs="宋体"/>
          <w:color w:val="000000"/>
          <w:sz w:val="24"/>
          <w:szCs w:val="24"/>
        </w:rPr>
        <w:t>采购项目编号)为</w:t>
      </w:r>
      <w:r>
        <w:rPr>
          <w:rFonts w:hint="eastAsia" w:ascii="宋体" w:hAnsi="宋体" w:cs="宋体"/>
          <w:color w:val="000000"/>
          <w:sz w:val="24"/>
          <w:szCs w:val="24"/>
          <w:u w:val="single"/>
        </w:rPr>
        <w:t xml:space="preserve">             </w:t>
      </w:r>
      <w:r>
        <w:rPr>
          <w:rFonts w:hint="eastAsia" w:ascii="宋体" w:hAnsi="宋体" w:cs="宋体"/>
          <w:color w:val="000000"/>
          <w:sz w:val="24"/>
          <w:szCs w:val="24"/>
        </w:rPr>
        <w:t xml:space="preserve"> 的谈判活动。代理人在本次谈判中所签署的一切文件和处理的一切有关事物，我公司均予承认。</w:t>
      </w:r>
    </w:p>
    <w:p w14:paraId="5A6709E2">
      <w:pPr>
        <w:spacing w:line="480" w:lineRule="auto"/>
        <w:ind w:firstLine="480" w:firstLineChars="200"/>
        <w:rPr>
          <w:rFonts w:ascii="宋体" w:hAnsi="宋体" w:cs="宋体"/>
          <w:color w:val="000000"/>
          <w:sz w:val="24"/>
          <w:szCs w:val="24"/>
        </w:rPr>
      </w:pPr>
      <w:r>
        <w:rPr>
          <w:rFonts w:hint="eastAsia" w:ascii="宋体" w:hAnsi="宋体" w:cs="宋体"/>
          <w:color w:val="000000"/>
          <w:sz w:val="24"/>
          <w:szCs w:val="24"/>
        </w:rPr>
        <w:t xml:space="preserve">本授权书于 </w:t>
      </w:r>
      <w:r>
        <w:rPr>
          <w:rFonts w:hint="eastAsia" w:ascii="宋体" w:hAnsi="宋体" w:cs="宋体"/>
          <w:color w:val="000000"/>
          <w:sz w:val="24"/>
          <w:szCs w:val="24"/>
          <w:u w:val="single"/>
        </w:rPr>
        <w:t xml:space="preserve">     </w:t>
      </w:r>
      <w:r>
        <w:rPr>
          <w:rFonts w:hint="eastAsia" w:ascii="宋体" w:hAnsi="宋体" w:cs="宋体"/>
          <w:color w:val="000000"/>
          <w:sz w:val="24"/>
          <w:szCs w:val="24"/>
        </w:rPr>
        <w:t>年</w:t>
      </w:r>
      <w:r>
        <w:rPr>
          <w:rFonts w:hint="eastAsia" w:ascii="宋体" w:hAnsi="宋体" w:cs="宋体"/>
          <w:color w:val="000000"/>
          <w:sz w:val="24"/>
          <w:szCs w:val="24"/>
          <w:u w:val="single"/>
        </w:rPr>
        <w:t xml:space="preserve"> </w:t>
      </w:r>
      <w:r>
        <w:rPr>
          <w:rFonts w:hint="eastAsia" w:ascii="宋体" w:hAnsi="宋体" w:cs="宋体"/>
          <w:color w:val="000000"/>
          <w:sz w:val="24"/>
          <w:szCs w:val="24"/>
          <w:u w:val="single"/>
          <w:lang w:val="en-US" w:eastAsia="zh-CN"/>
        </w:rPr>
        <w:t xml:space="preserve">  </w:t>
      </w:r>
      <w:r>
        <w:rPr>
          <w:rFonts w:hint="eastAsia" w:ascii="宋体" w:hAnsi="宋体" w:cs="宋体"/>
          <w:color w:val="000000"/>
          <w:sz w:val="24"/>
          <w:szCs w:val="24"/>
          <w:u w:val="single"/>
        </w:rPr>
        <w:t xml:space="preserve"> </w:t>
      </w:r>
      <w:r>
        <w:rPr>
          <w:rFonts w:hint="eastAsia" w:ascii="宋体" w:hAnsi="宋体" w:cs="宋体"/>
          <w:color w:val="000000"/>
          <w:sz w:val="24"/>
          <w:szCs w:val="24"/>
        </w:rPr>
        <w:t>月</w:t>
      </w:r>
      <w:r>
        <w:rPr>
          <w:rFonts w:hint="eastAsia" w:ascii="宋体" w:hAnsi="宋体" w:cs="宋体"/>
          <w:color w:val="000000"/>
          <w:sz w:val="24"/>
          <w:szCs w:val="24"/>
          <w:u w:val="single"/>
        </w:rPr>
        <w:t xml:space="preserve"> </w:t>
      </w:r>
      <w:r>
        <w:rPr>
          <w:rFonts w:hint="eastAsia" w:ascii="宋体" w:hAnsi="宋体" w:cs="宋体"/>
          <w:color w:val="000000"/>
          <w:sz w:val="24"/>
          <w:szCs w:val="24"/>
          <w:u w:val="single"/>
          <w:lang w:val="en-US" w:eastAsia="zh-CN"/>
        </w:rPr>
        <w:t xml:space="preserve">  </w:t>
      </w:r>
      <w:r>
        <w:rPr>
          <w:rFonts w:hint="eastAsia" w:ascii="宋体" w:hAnsi="宋体" w:cs="宋体"/>
          <w:color w:val="000000"/>
          <w:sz w:val="24"/>
          <w:szCs w:val="24"/>
          <w:u w:val="single"/>
        </w:rPr>
        <w:t xml:space="preserve"> </w:t>
      </w:r>
      <w:r>
        <w:rPr>
          <w:rFonts w:hint="eastAsia" w:ascii="宋体" w:hAnsi="宋体" w:cs="宋体"/>
          <w:color w:val="000000"/>
          <w:sz w:val="24"/>
          <w:szCs w:val="24"/>
        </w:rPr>
        <w:t>日签字（盖章）生效，有效期自谈判之日起</w:t>
      </w:r>
      <w:r>
        <w:rPr>
          <w:rFonts w:hint="eastAsia" w:ascii="宋体" w:hAnsi="宋体" w:cs="宋体"/>
          <w:color w:val="000000"/>
          <w:sz w:val="24"/>
          <w:szCs w:val="24"/>
          <w:u w:val="single"/>
        </w:rPr>
        <w:t xml:space="preserve">   </w:t>
      </w:r>
      <w:r>
        <w:rPr>
          <w:rFonts w:hint="eastAsia" w:ascii="宋体" w:hAnsi="宋体" w:cs="宋体"/>
          <w:color w:val="000000"/>
          <w:sz w:val="24"/>
          <w:szCs w:val="24"/>
        </w:rPr>
        <w:t>天，特此声明。</w:t>
      </w:r>
    </w:p>
    <w:p w14:paraId="0EEE5557">
      <w:pPr>
        <w:spacing w:line="360" w:lineRule="auto"/>
        <w:outlineLvl w:val="0"/>
        <w:rPr>
          <w:rFonts w:ascii="宋体" w:hAnsi="宋体" w:cs="宋体"/>
          <w:color w:val="000000"/>
          <w:sz w:val="24"/>
          <w:szCs w:val="24"/>
        </w:rPr>
      </w:pPr>
      <w:r>
        <w:rPr>
          <w:rFonts w:hint="eastAsia" w:ascii="宋体" w:hAnsi="宋体" w:cs="宋体"/>
          <w:color w:val="000000"/>
          <w:sz w:val="24"/>
          <w:szCs w:val="24"/>
        </w:rPr>
        <w:t xml:space="preserve">    </w:t>
      </w:r>
      <w:bookmarkStart w:id="361" w:name="_Toc12419"/>
      <w:bookmarkStart w:id="362" w:name="_Toc26509"/>
      <w:bookmarkStart w:id="363" w:name="_Toc17538"/>
      <w:bookmarkStart w:id="364" w:name="_Toc3685"/>
      <w:r>
        <w:rPr>
          <w:rFonts w:hint="eastAsia" w:ascii="宋体" w:hAnsi="宋体" w:cs="宋体"/>
          <w:color w:val="000000"/>
          <w:sz w:val="24"/>
          <w:szCs w:val="24"/>
        </w:rPr>
        <w:t>附：法定代表人、被授权人身份证复印件。（注：如使用二代身份证需复印正、反两面）</w:t>
      </w:r>
      <w:bookmarkEnd w:id="361"/>
      <w:bookmarkEnd w:id="362"/>
      <w:bookmarkEnd w:id="363"/>
      <w:bookmarkEnd w:id="364"/>
    </w:p>
    <w:tbl>
      <w:tblPr>
        <w:tblStyle w:val="21"/>
        <w:tblW w:w="87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22"/>
        <w:gridCol w:w="4397"/>
      </w:tblGrid>
      <w:tr w14:paraId="74E05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3" w:hRule="atLeast"/>
          <w:jc w:val="center"/>
        </w:trPr>
        <w:tc>
          <w:tcPr>
            <w:tcW w:w="4322" w:type="dxa"/>
            <w:tcBorders>
              <w:top w:val="single" w:color="auto" w:sz="4" w:space="0"/>
              <w:left w:val="single" w:color="auto" w:sz="4" w:space="0"/>
              <w:bottom w:val="single" w:color="auto" w:sz="4" w:space="0"/>
              <w:right w:val="single" w:color="auto" w:sz="4" w:space="0"/>
            </w:tcBorders>
            <w:noWrap w:val="0"/>
            <w:vAlign w:val="center"/>
          </w:tcPr>
          <w:p w14:paraId="3F31918C">
            <w:pPr>
              <w:spacing w:line="360" w:lineRule="auto"/>
              <w:jc w:val="center"/>
              <w:rPr>
                <w:rFonts w:ascii="宋体" w:hAnsi="宋体" w:cs="宋体"/>
                <w:color w:val="000000"/>
                <w:sz w:val="24"/>
                <w:szCs w:val="24"/>
              </w:rPr>
            </w:pPr>
          </w:p>
          <w:p w14:paraId="3610D03E">
            <w:pPr>
              <w:spacing w:line="360" w:lineRule="auto"/>
              <w:jc w:val="center"/>
              <w:outlineLvl w:val="0"/>
              <w:rPr>
                <w:rFonts w:ascii="宋体" w:hAnsi="宋体" w:cs="宋体"/>
                <w:color w:val="000000"/>
                <w:sz w:val="24"/>
                <w:szCs w:val="24"/>
              </w:rPr>
            </w:pPr>
            <w:bookmarkStart w:id="365" w:name="_Toc19741"/>
            <w:bookmarkStart w:id="366" w:name="_Toc12606"/>
            <w:bookmarkStart w:id="367" w:name="_Toc5583"/>
            <w:bookmarkStart w:id="368" w:name="_Toc3175"/>
            <w:r>
              <w:rPr>
                <w:rFonts w:hint="eastAsia" w:ascii="宋体" w:hAnsi="宋体" w:cs="宋体"/>
                <w:color w:val="000000"/>
                <w:sz w:val="24"/>
                <w:szCs w:val="24"/>
              </w:rPr>
              <w:t>法定代表人身份证复印件</w:t>
            </w:r>
            <w:bookmarkEnd w:id="365"/>
            <w:bookmarkEnd w:id="366"/>
            <w:bookmarkEnd w:id="367"/>
            <w:bookmarkEnd w:id="368"/>
          </w:p>
          <w:p w14:paraId="2CBEAC6D">
            <w:pPr>
              <w:spacing w:line="360" w:lineRule="auto"/>
              <w:jc w:val="center"/>
              <w:rPr>
                <w:rFonts w:ascii="宋体" w:hAnsi="宋体" w:cs="宋体"/>
                <w:color w:val="000000"/>
                <w:sz w:val="24"/>
                <w:szCs w:val="24"/>
              </w:rPr>
            </w:pPr>
          </w:p>
        </w:tc>
        <w:tc>
          <w:tcPr>
            <w:tcW w:w="4397" w:type="dxa"/>
            <w:tcBorders>
              <w:left w:val="single" w:color="auto" w:sz="4" w:space="0"/>
            </w:tcBorders>
            <w:noWrap w:val="0"/>
            <w:vAlign w:val="center"/>
          </w:tcPr>
          <w:p w14:paraId="30905D54">
            <w:pPr>
              <w:spacing w:line="360" w:lineRule="auto"/>
              <w:jc w:val="center"/>
              <w:outlineLvl w:val="0"/>
              <w:rPr>
                <w:rFonts w:ascii="宋体" w:hAnsi="宋体" w:cs="宋体"/>
                <w:color w:val="000000"/>
                <w:sz w:val="24"/>
                <w:szCs w:val="24"/>
              </w:rPr>
            </w:pPr>
            <w:bookmarkStart w:id="369" w:name="_Toc28825"/>
            <w:bookmarkStart w:id="370" w:name="_Toc31188"/>
            <w:bookmarkStart w:id="371" w:name="_Toc14341"/>
            <w:bookmarkStart w:id="372" w:name="_Toc2151"/>
            <w:r>
              <w:rPr>
                <w:rFonts w:hint="eastAsia" w:ascii="宋体" w:hAnsi="宋体" w:cs="宋体"/>
                <w:color w:val="000000"/>
                <w:sz w:val="24"/>
                <w:szCs w:val="24"/>
              </w:rPr>
              <w:t>被授权人身份证复印件</w:t>
            </w:r>
            <w:bookmarkEnd w:id="369"/>
            <w:bookmarkEnd w:id="370"/>
            <w:bookmarkEnd w:id="371"/>
            <w:bookmarkEnd w:id="372"/>
          </w:p>
          <w:p w14:paraId="21D1FC25">
            <w:pPr>
              <w:spacing w:line="360" w:lineRule="auto"/>
              <w:jc w:val="center"/>
              <w:outlineLvl w:val="0"/>
              <w:rPr>
                <w:rFonts w:ascii="宋体" w:hAnsi="宋体" w:cs="宋体"/>
                <w:color w:val="000000"/>
                <w:sz w:val="24"/>
                <w:szCs w:val="24"/>
              </w:rPr>
            </w:pPr>
          </w:p>
        </w:tc>
      </w:tr>
      <w:tr w14:paraId="4A721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5" w:hRule="atLeast"/>
          <w:jc w:val="center"/>
        </w:trPr>
        <w:tc>
          <w:tcPr>
            <w:tcW w:w="4322" w:type="dxa"/>
            <w:tcBorders>
              <w:top w:val="single" w:color="auto" w:sz="4" w:space="0"/>
              <w:left w:val="single" w:color="auto" w:sz="4" w:space="0"/>
              <w:bottom w:val="single" w:color="auto" w:sz="4" w:space="0"/>
              <w:right w:val="single" w:color="auto" w:sz="4" w:space="0"/>
            </w:tcBorders>
            <w:noWrap w:val="0"/>
            <w:vAlign w:val="center"/>
          </w:tcPr>
          <w:p w14:paraId="39AEC103">
            <w:pPr>
              <w:spacing w:line="360" w:lineRule="auto"/>
              <w:jc w:val="center"/>
              <w:outlineLvl w:val="0"/>
              <w:rPr>
                <w:rFonts w:ascii="宋体" w:hAnsi="宋体" w:cs="宋体"/>
                <w:color w:val="000000"/>
                <w:sz w:val="24"/>
                <w:szCs w:val="24"/>
              </w:rPr>
            </w:pPr>
            <w:bookmarkStart w:id="373" w:name="_Toc28549"/>
            <w:bookmarkStart w:id="374" w:name="_Toc14312"/>
            <w:bookmarkStart w:id="375" w:name="_Toc12477"/>
            <w:bookmarkStart w:id="376" w:name="_Toc28695"/>
            <w:r>
              <w:rPr>
                <w:rFonts w:hint="eastAsia" w:ascii="宋体" w:hAnsi="宋体" w:cs="宋体"/>
                <w:color w:val="000000"/>
                <w:sz w:val="24"/>
                <w:szCs w:val="24"/>
              </w:rPr>
              <w:t>法定代表人身份证复印件</w:t>
            </w:r>
            <w:bookmarkEnd w:id="373"/>
            <w:bookmarkEnd w:id="374"/>
            <w:bookmarkEnd w:id="375"/>
            <w:bookmarkEnd w:id="376"/>
          </w:p>
          <w:p w14:paraId="05F9C567">
            <w:pPr>
              <w:spacing w:line="360" w:lineRule="auto"/>
              <w:jc w:val="center"/>
              <w:outlineLvl w:val="0"/>
              <w:rPr>
                <w:rFonts w:ascii="宋体" w:hAnsi="宋体" w:cs="宋体"/>
                <w:color w:val="000000"/>
                <w:sz w:val="24"/>
                <w:szCs w:val="24"/>
              </w:rPr>
            </w:pPr>
          </w:p>
        </w:tc>
        <w:tc>
          <w:tcPr>
            <w:tcW w:w="4397" w:type="dxa"/>
            <w:tcBorders>
              <w:left w:val="single" w:color="auto" w:sz="4" w:space="0"/>
            </w:tcBorders>
            <w:noWrap w:val="0"/>
            <w:vAlign w:val="center"/>
          </w:tcPr>
          <w:p w14:paraId="75C35CD4">
            <w:pPr>
              <w:spacing w:line="360" w:lineRule="auto"/>
              <w:jc w:val="center"/>
              <w:outlineLvl w:val="0"/>
              <w:rPr>
                <w:rFonts w:ascii="宋体" w:hAnsi="宋体" w:cs="宋体"/>
                <w:color w:val="000000"/>
                <w:sz w:val="24"/>
                <w:szCs w:val="24"/>
              </w:rPr>
            </w:pPr>
            <w:bookmarkStart w:id="377" w:name="_Toc17968"/>
            <w:bookmarkStart w:id="378" w:name="_Toc17870"/>
            <w:bookmarkStart w:id="379" w:name="_Toc7697"/>
            <w:bookmarkStart w:id="380" w:name="_Toc5386"/>
            <w:r>
              <w:rPr>
                <w:rFonts w:hint="eastAsia" w:ascii="宋体" w:hAnsi="宋体" w:cs="宋体"/>
                <w:color w:val="000000"/>
                <w:sz w:val="24"/>
                <w:szCs w:val="24"/>
              </w:rPr>
              <w:t>被授权人身份证复印件</w:t>
            </w:r>
            <w:bookmarkEnd w:id="377"/>
            <w:bookmarkEnd w:id="378"/>
            <w:bookmarkEnd w:id="379"/>
            <w:bookmarkEnd w:id="380"/>
          </w:p>
          <w:p w14:paraId="05FA0466">
            <w:pPr>
              <w:spacing w:line="360" w:lineRule="auto"/>
              <w:jc w:val="center"/>
              <w:outlineLvl w:val="0"/>
              <w:rPr>
                <w:rFonts w:ascii="宋体" w:hAnsi="宋体" w:cs="宋体"/>
                <w:color w:val="000000"/>
                <w:sz w:val="24"/>
                <w:szCs w:val="24"/>
              </w:rPr>
            </w:pPr>
          </w:p>
        </w:tc>
      </w:tr>
    </w:tbl>
    <w:p w14:paraId="4CB01F12">
      <w:pPr>
        <w:spacing w:line="360" w:lineRule="auto"/>
        <w:ind w:firstLine="3360" w:firstLineChars="1400"/>
        <w:rPr>
          <w:rFonts w:hint="eastAsia" w:ascii="宋体" w:hAnsi="宋体" w:cs="宋体"/>
          <w:color w:val="000000"/>
          <w:sz w:val="24"/>
          <w:szCs w:val="24"/>
        </w:rPr>
      </w:pPr>
    </w:p>
    <w:p w14:paraId="7B9F32FD">
      <w:pPr>
        <w:spacing w:line="360" w:lineRule="auto"/>
        <w:ind w:firstLine="3360" w:firstLineChars="1400"/>
        <w:rPr>
          <w:rFonts w:hint="eastAsia" w:ascii="宋体" w:hAnsi="宋体" w:cs="宋体"/>
          <w:color w:val="000000"/>
          <w:sz w:val="24"/>
          <w:szCs w:val="24"/>
        </w:rPr>
      </w:pPr>
    </w:p>
    <w:p w14:paraId="7D766773">
      <w:pPr>
        <w:spacing w:line="360" w:lineRule="auto"/>
        <w:ind w:firstLine="3360" w:firstLineChars="1400"/>
        <w:rPr>
          <w:rFonts w:ascii="宋体" w:hAnsi="宋体" w:cs="宋体"/>
          <w:color w:val="000000"/>
          <w:sz w:val="24"/>
          <w:szCs w:val="24"/>
        </w:rPr>
      </w:pPr>
      <w:r>
        <w:rPr>
          <w:rFonts w:hint="eastAsia" w:ascii="宋体" w:hAnsi="宋体" w:cs="宋体"/>
          <w:color w:val="000000"/>
          <w:sz w:val="24"/>
          <w:szCs w:val="24"/>
        </w:rPr>
        <w:t>供应商：</w:t>
      </w:r>
      <w:r>
        <w:rPr>
          <w:rFonts w:hint="eastAsia" w:ascii="宋体" w:hAnsi="宋体" w:cs="宋体"/>
          <w:color w:val="000000"/>
          <w:sz w:val="24"/>
          <w:szCs w:val="24"/>
          <w:u w:val="single"/>
        </w:rPr>
        <w:t xml:space="preserve">                            </w:t>
      </w:r>
      <w:r>
        <w:rPr>
          <w:rFonts w:hint="eastAsia" w:ascii="宋体" w:hAnsi="宋体" w:cs="宋体"/>
          <w:color w:val="000000"/>
          <w:sz w:val="24"/>
          <w:szCs w:val="24"/>
        </w:rPr>
        <w:t>（公章）</w:t>
      </w:r>
    </w:p>
    <w:p w14:paraId="597A6586">
      <w:pPr>
        <w:spacing w:line="360" w:lineRule="auto"/>
        <w:rPr>
          <w:rFonts w:ascii="宋体" w:hAnsi="宋体" w:cs="宋体"/>
          <w:color w:val="000000"/>
          <w:sz w:val="24"/>
          <w:szCs w:val="24"/>
          <w:u w:val="single"/>
        </w:rPr>
      </w:pPr>
      <w:r>
        <w:rPr>
          <w:rFonts w:hint="eastAsia" w:ascii="宋体" w:hAnsi="宋体" w:cs="宋体"/>
          <w:color w:val="000000"/>
          <w:sz w:val="24"/>
          <w:szCs w:val="24"/>
        </w:rPr>
        <w:t xml:space="preserve">                            法定代表人（签字</w:t>
      </w:r>
      <w:r>
        <w:rPr>
          <w:rFonts w:hint="eastAsia" w:ascii="宋体" w:hAnsi="宋体" w:cs="宋体"/>
          <w:color w:val="000000"/>
          <w:sz w:val="24"/>
          <w:szCs w:val="24"/>
          <w:lang w:eastAsia="zh-CN"/>
        </w:rPr>
        <w:t>或</w:t>
      </w:r>
      <w:r>
        <w:rPr>
          <w:rFonts w:hint="eastAsia" w:ascii="宋体" w:hAnsi="宋体" w:cs="宋体"/>
          <w:color w:val="000000"/>
          <w:sz w:val="24"/>
          <w:szCs w:val="24"/>
        </w:rPr>
        <w:t>盖章）：</w:t>
      </w:r>
      <w:r>
        <w:rPr>
          <w:rFonts w:hint="eastAsia" w:ascii="宋体" w:hAnsi="宋体" w:cs="宋体"/>
          <w:color w:val="000000"/>
          <w:sz w:val="24"/>
          <w:szCs w:val="24"/>
          <w:u w:val="single"/>
        </w:rPr>
        <w:t xml:space="preserve">                  </w:t>
      </w:r>
    </w:p>
    <w:p w14:paraId="7C8EBCF4">
      <w:pPr>
        <w:spacing w:line="360" w:lineRule="auto"/>
        <w:ind w:firstLine="3360" w:firstLineChars="1400"/>
        <w:rPr>
          <w:rFonts w:ascii="宋体" w:hAnsi="宋体" w:cs="宋体"/>
          <w:color w:val="000000"/>
          <w:sz w:val="24"/>
          <w:szCs w:val="24"/>
        </w:rPr>
      </w:pPr>
      <w:r>
        <w:rPr>
          <w:rFonts w:hint="eastAsia" w:ascii="宋体" w:hAnsi="宋体" w:cs="宋体"/>
          <w:color w:val="000000"/>
          <w:sz w:val="24"/>
          <w:szCs w:val="24"/>
        </w:rPr>
        <w:t xml:space="preserve">被授权代表（签字）： </w:t>
      </w:r>
      <w:r>
        <w:rPr>
          <w:rFonts w:hint="eastAsia" w:ascii="宋体" w:hAnsi="宋体" w:cs="宋体"/>
          <w:color w:val="000000"/>
          <w:sz w:val="24"/>
          <w:szCs w:val="24"/>
          <w:u w:val="single"/>
        </w:rPr>
        <w:t xml:space="preserve">                       </w:t>
      </w:r>
      <w:r>
        <w:rPr>
          <w:rFonts w:hint="eastAsia" w:ascii="宋体" w:hAnsi="宋体" w:cs="宋体"/>
          <w:color w:val="000000"/>
          <w:sz w:val="24"/>
          <w:szCs w:val="24"/>
        </w:rPr>
        <w:t xml:space="preserve"> </w:t>
      </w:r>
    </w:p>
    <w:bookmarkEnd w:id="349"/>
    <w:bookmarkEnd w:id="350"/>
    <w:bookmarkEnd w:id="351"/>
    <w:bookmarkEnd w:id="352"/>
    <w:bookmarkEnd w:id="353"/>
    <w:bookmarkEnd w:id="354"/>
    <w:bookmarkEnd w:id="355"/>
    <w:bookmarkEnd w:id="356"/>
    <w:p w14:paraId="2D056268">
      <w:pPr>
        <w:pStyle w:val="11"/>
        <w:spacing w:line="360" w:lineRule="auto"/>
        <w:rPr>
          <w:rFonts w:hint="default" w:ascii="Times New Roman" w:hAnsi="Times New Roman"/>
        </w:rPr>
      </w:pPr>
      <w:bookmarkStart w:id="381" w:name="_Toc26762"/>
      <w:bookmarkStart w:id="382" w:name="_Toc465958138"/>
      <w:bookmarkStart w:id="383" w:name="_Toc246928973"/>
    </w:p>
    <w:bookmarkEnd w:id="357"/>
    <w:bookmarkEnd w:id="358"/>
    <w:bookmarkEnd w:id="381"/>
    <w:bookmarkEnd w:id="382"/>
    <w:bookmarkEnd w:id="383"/>
    <w:p w14:paraId="0601F8ED">
      <w:pPr>
        <w:pStyle w:val="2"/>
        <w:numPr>
          <w:ilvl w:val="0"/>
          <w:numId w:val="0"/>
        </w:numPr>
        <w:spacing w:line="240" w:lineRule="auto"/>
        <w:jc w:val="center"/>
        <w:rPr>
          <w:rFonts w:hint="eastAsia" w:ascii="宋体" w:hAnsi="宋体" w:cs="宋体"/>
          <w:bCs w:val="0"/>
          <w:sz w:val="32"/>
          <w:szCs w:val="32"/>
        </w:rPr>
      </w:pPr>
      <w:bookmarkStart w:id="384" w:name="_Toc25170"/>
      <w:bookmarkStart w:id="385" w:name="_Toc31861"/>
      <w:bookmarkStart w:id="386" w:name="_Hlk17733230"/>
      <w:r>
        <w:rPr>
          <w:rFonts w:hint="eastAsia" w:ascii="宋体" w:hAnsi="宋体" w:cs="宋体"/>
          <w:bCs w:val="0"/>
          <w:sz w:val="32"/>
          <w:szCs w:val="32"/>
          <w:lang w:val="en-US" w:eastAsia="zh-CN"/>
        </w:rPr>
        <w:t>八、</w:t>
      </w:r>
      <w:r>
        <w:rPr>
          <w:rFonts w:hint="eastAsia" w:ascii="宋体" w:hAnsi="宋体" w:cs="宋体"/>
          <w:bCs w:val="0"/>
          <w:sz w:val="32"/>
          <w:szCs w:val="32"/>
        </w:rPr>
        <w:t>信用中国陕西榆林承诺申报截图</w:t>
      </w:r>
      <w:bookmarkEnd w:id="384"/>
      <w:bookmarkEnd w:id="385"/>
    </w:p>
    <w:p w14:paraId="7427B57D">
      <w:pPr>
        <w:widowControl w:val="0"/>
        <w:numPr>
          <w:ilvl w:val="0"/>
          <w:numId w:val="0"/>
        </w:numPr>
        <w:jc w:val="both"/>
        <w:rPr>
          <w:rFonts w:hint="eastAsia"/>
        </w:rPr>
      </w:pPr>
    </w:p>
    <w:p w14:paraId="6F99D69C">
      <w:pPr>
        <w:pStyle w:val="163"/>
        <w:jc w:val="center"/>
        <w:rPr>
          <w:rFonts w:hint="default" w:eastAsia="宋体"/>
          <w:sz w:val="22"/>
          <w:szCs w:val="28"/>
          <w:lang w:val="en-US" w:eastAsia="zh-CN"/>
        </w:rPr>
        <w:sectPr>
          <w:footnotePr>
            <w:pos w:val="beneathText"/>
          </w:footnotePr>
          <w:pgSz w:w="11906" w:h="16838"/>
          <w:pgMar w:top="1417" w:right="1417" w:bottom="1417" w:left="1417" w:header="851" w:footer="992" w:gutter="0"/>
          <w:cols w:space="720" w:num="1"/>
          <w:docGrid w:linePitch="312" w:charSpace="0"/>
        </w:sectPr>
      </w:pPr>
      <w:r>
        <w:rPr>
          <w:rFonts w:hint="eastAsia"/>
          <w:sz w:val="22"/>
          <w:szCs w:val="28"/>
          <w:lang w:val="en-US" w:eastAsia="zh-CN"/>
        </w:rPr>
        <w:t>注：截图须体现项目名称。</w:t>
      </w:r>
    </w:p>
    <w:bookmarkEnd w:id="386"/>
    <w:p w14:paraId="55E72442">
      <w:pPr>
        <w:spacing w:line="360" w:lineRule="auto"/>
        <w:jc w:val="center"/>
        <w:rPr>
          <w:rFonts w:hint="default" w:eastAsia="宋体"/>
          <w:b/>
          <w:bCs/>
          <w:sz w:val="28"/>
          <w:szCs w:val="28"/>
          <w:lang w:val="en-US" w:eastAsia="zh-CN"/>
        </w:rPr>
      </w:pPr>
      <w:r>
        <w:rPr>
          <w:rFonts w:hint="eastAsia"/>
          <w:b/>
          <w:bCs/>
          <w:sz w:val="28"/>
          <w:szCs w:val="28"/>
          <w:lang w:val="en-US" w:eastAsia="zh-CN"/>
        </w:rPr>
        <w:t>第九部分 附件</w:t>
      </w:r>
    </w:p>
    <w:p w14:paraId="6468CDB1">
      <w:pPr>
        <w:spacing w:line="360" w:lineRule="auto"/>
        <w:jc w:val="center"/>
        <w:rPr>
          <w:rFonts w:hint="eastAsia" w:ascii="宋体" w:hAnsi="宋体" w:eastAsia="宋体" w:cs="宋体"/>
          <w:b/>
          <w:bCs/>
          <w:sz w:val="28"/>
          <w:szCs w:val="28"/>
        </w:rPr>
      </w:pPr>
      <w:r>
        <w:rPr>
          <w:rFonts w:hint="eastAsia" w:ascii="宋体" w:hAnsi="宋体" w:eastAsia="宋体" w:cs="宋体"/>
          <w:b/>
          <w:bCs/>
          <w:sz w:val="28"/>
          <w:szCs w:val="28"/>
        </w:rPr>
        <w:t>（投标人须在开标前将附件1、附件2、附件3、附件4按时上传至信用中国（陕西榆林）进行公示，并将上传后的截图附在投标文件中</w:t>
      </w:r>
      <w:r>
        <w:rPr>
          <w:rFonts w:hint="eastAsia"/>
          <w:b/>
          <w:bCs/>
          <w:sz w:val="28"/>
          <w:szCs w:val="28"/>
          <w:lang w:eastAsia="zh-CN"/>
        </w:rPr>
        <w:t>，</w:t>
      </w:r>
      <w:r>
        <w:rPr>
          <w:rFonts w:hint="eastAsia"/>
          <w:b/>
          <w:bCs/>
          <w:sz w:val="28"/>
          <w:szCs w:val="28"/>
          <w:lang w:val="en-US" w:eastAsia="zh-CN"/>
        </w:rPr>
        <w:t>且不得删除以上附件</w:t>
      </w:r>
      <w:r>
        <w:rPr>
          <w:rFonts w:hint="eastAsia" w:ascii="宋体" w:hAnsi="宋体" w:eastAsia="宋体" w:cs="宋体"/>
          <w:b/>
          <w:bCs/>
          <w:sz w:val="28"/>
          <w:szCs w:val="28"/>
        </w:rPr>
        <w:t>）</w:t>
      </w:r>
      <w:bookmarkStart w:id="387" w:name="_Toc7135"/>
    </w:p>
    <w:p w14:paraId="501DDEB3">
      <w:pPr>
        <w:spacing w:line="360" w:lineRule="auto"/>
        <w:jc w:val="center"/>
        <w:rPr>
          <w:rFonts w:hint="eastAsia" w:ascii="宋体" w:hAnsi="宋体" w:eastAsia="宋体" w:cs="宋体"/>
          <w:sz w:val="40"/>
          <w:szCs w:val="40"/>
        </w:rPr>
      </w:pPr>
      <w:r>
        <w:rPr>
          <w:rFonts w:hint="eastAsia" w:ascii="宋体" w:hAnsi="宋体" w:eastAsia="宋体" w:cs="宋体"/>
          <w:b/>
          <w:bCs/>
          <w:sz w:val="32"/>
          <w:szCs w:val="32"/>
        </w:rPr>
        <w:t>附件1 投标人信用承诺书</w:t>
      </w:r>
      <w:bookmarkEnd w:id="387"/>
    </w:p>
    <w:p w14:paraId="468CC92E">
      <w:pPr>
        <w:widowControl/>
        <w:adjustRightInd w:val="0"/>
        <w:snapToGrid w:val="0"/>
        <w:spacing w:line="480" w:lineRule="auto"/>
        <w:jc w:val="left"/>
        <w:rPr>
          <w:rFonts w:hint="eastAsia" w:ascii="宋体" w:hAnsi="宋体" w:eastAsia="宋体" w:cs="宋体"/>
          <w:kern w:val="0"/>
          <w:sz w:val="24"/>
          <w:u w:val="single"/>
        </w:rPr>
      </w:pPr>
      <w:r>
        <w:rPr>
          <w:rFonts w:hint="eastAsia" w:ascii="宋体" w:hAnsi="宋体" w:eastAsia="宋体" w:cs="宋体"/>
          <w:kern w:val="0"/>
          <w:sz w:val="24"/>
        </w:rPr>
        <w:t>投标人：</w:t>
      </w:r>
      <w:r>
        <w:rPr>
          <w:rFonts w:hint="eastAsia" w:ascii="宋体" w:hAnsi="宋体" w:eastAsia="宋体" w:cs="宋体"/>
          <w:kern w:val="0"/>
          <w:sz w:val="24"/>
          <w:u w:val="single"/>
        </w:rPr>
        <w:t xml:space="preserve">                                                                   </w:t>
      </w:r>
    </w:p>
    <w:p w14:paraId="3037DA4E">
      <w:pPr>
        <w:widowControl/>
        <w:adjustRightInd w:val="0"/>
        <w:snapToGrid w:val="0"/>
        <w:spacing w:line="480" w:lineRule="auto"/>
        <w:jc w:val="left"/>
        <w:rPr>
          <w:rFonts w:hint="eastAsia" w:ascii="宋体" w:hAnsi="宋体" w:eastAsia="宋体" w:cs="宋体"/>
          <w:kern w:val="0"/>
          <w:sz w:val="24"/>
          <w:u w:val="single"/>
        </w:rPr>
      </w:pPr>
      <w:r>
        <w:rPr>
          <w:rFonts w:hint="eastAsia" w:ascii="宋体" w:hAnsi="宋体" w:eastAsia="宋体" w:cs="宋体"/>
          <w:kern w:val="0"/>
          <w:sz w:val="24"/>
        </w:rPr>
        <w:t>统一社会信用代码：</w:t>
      </w:r>
      <w:r>
        <w:rPr>
          <w:rFonts w:hint="eastAsia" w:ascii="宋体" w:hAnsi="宋体" w:eastAsia="宋体" w:cs="宋体"/>
          <w:kern w:val="0"/>
          <w:sz w:val="24"/>
          <w:u w:val="single"/>
        </w:rPr>
        <w:t xml:space="preserve">                             </w:t>
      </w:r>
      <w:r>
        <w:rPr>
          <w:rFonts w:hint="eastAsia" w:ascii="宋体" w:hAnsi="宋体" w:eastAsia="宋体" w:cs="宋体"/>
          <w:kern w:val="0"/>
          <w:sz w:val="24"/>
        </w:rPr>
        <w:t>法人代表：</w:t>
      </w:r>
      <w:r>
        <w:rPr>
          <w:rFonts w:hint="eastAsia" w:ascii="宋体" w:hAnsi="宋体" w:eastAsia="宋体" w:cs="宋体"/>
          <w:kern w:val="0"/>
          <w:sz w:val="24"/>
          <w:u w:val="single"/>
        </w:rPr>
        <w:t xml:space="preserve">                  </w:t>
      </w:r>
    </w:p>
    <w:p w14:paraId="49A9C0BD">
      <w:pPr>
        <w:widowControl/>
        <w:adjustRightInd w:val="0"/>
        <w:snapToGrid w:val="0"/>
        <w:spacing w:line="480" w:lineRule="auto"/>
        <w:jc w:val="left"/>
        <w:rPr>
          <w:rFonts w:hint="eastAsia" w:ascii="宋体" w:hAnsi="宋体" w:eastAsia="宋体" w:cs="宋体"/>
          <w:kern w:val="0"/>
          <w:sz w:val="24"/>
          <w:u w:val="single"/>
        </w:rPr>
      </w:pPr>
      <w:r>
        <w:rPr>
          <w:rFonts w:hint="eastAsia" w:ascii="宋体" w:hAnsi="宋体" w:eastAsia="宋体" w:cs="宋体"/>
          <w:kern w:val="0"/>
          <w:sz w:val="24"/>
        </w:rPr>
        <w:t>承诺有效期限：</w:t>
      </w:r>
      <w:r>
        <w:rPr>
          <w:rFonts w:hint="eastAsia" w:ascii="宋体" w:hAnsi="宋体" w:eastAsia="宋体" w:cs="宋体"/>
          <w:kern w:val="0"/>
          <w:sz w:val="24"/>
          <w:u w:val="single"/>
        </w:rPr>
        <w:t xml:space="preserve">         </w:t>
      </w:r>
      <w:r>
        <w:rPr>
          <w:rFonts w:hint="eastAsia" w:ascii="宋体" w:hAnsi="宋体" w:eastAsia="宋体" w:cs="宋体"/>
          <w:kern w:val="0"/>
          <w:sz w:val="24"/>
        </w:rPr>
        <w:t>年</w:t>
      </w:r>
      <w:r>
        <w:rPr>
          <w:rFonts w:hint="eastAsia" w:ascii="宋体" w:hAnsi="宋体" w:eastAsia="宋体" w:cs="宋体"/>
          <w:kern w:val="0"/>
          <w:sz w:val="24"/>
          <w:u w:val="single"/>
        </w:rPr>
        <w:t xml:space="preserve">      </w:t>
      </w:r>
      <w:r>
        <w:rPr>
          <w:rFonts w:hint="eastAsia" w:ascii="宋体" w:hAnsi="宋体" w:eastAsia="宋体" w:cs="宋体"/>
          <w:kern w:val="0"/>
          <w:sz w:val="24"/>
        </w:rPr>
        <w:t>月</w:t>
      </w:r>
      <w:r>
        <w:rPr>
          <w:rFonts w:hint="eastAsia" w:ascii="宋体" w:hAnsi="宋体" w:eastAsia="宋体" w:cs="宋体"/>
          <w:kern w:val="0"/>
          <w:sz w:val="24"/>
          <w:u w:val="single"/>
        </w:rPr>
        <w:t xml:space="preserve">      </w:t>
      </w:r>
      <w:r>
        <w:rPr>
          <w:rFonts w:hint="eastAsia" w:ascii="宋体" w:hAnsi="宋体" w:eastAsia="宋体" w:cs="宋体"/>
          <w:kern w:val="0"/>
          <w:sz w:val="24"/>
        </w:rPr>
        <w:t>日—</w:t>
      </w:r>
      <w:r>
        <w:rPr>
          <w:rFonts w:hint="eastAsia" w:ascii="宋体" w:hAnsi="宋体" w:eastAsia="宋体" w:cs="宋体"/>
          <w:kern w:val="0"/>
          <w:sz w:val="24"/>
          <w:u w:val="single"/>
        </w:rPr>
        <w:t xml:space="preserve">         </w:t>
      </w:r>
      <w:r>
        <w:rPr>
          <w:rFonts w:hint="eastAsia" w:ascii="宋体" w:hAnsi="宋体" w:eastAsia="宋体" w:cs="宋体"/>
          <w:kern w:val="0"/>
          <w:sz w:val="24"/>
        </w:rPr>
        <w:t>年</w:t>
      </w:r>
      <w:r>
        <w:rPr>
          <w:rFonts w:hint="eastAsia" w:ascii="宋体" w:hAnsi="宋体" w:eastAsia="宋体" w:cs="宋体"/>
          <w:kern w:val="0"/>
          <w:sz w:val="24"/>
          <w:u w:val="single"/>
        </w:rPr>
        <w:t xml:space="preserve">      </w:t>
      </w:r>
      <w:r>
        <w:rPr>
          <w:rFonts w:hint="eastAsia" w:ascii="宋体" w:hAnsi="宋体" w:eastAsia="宋体" w:cs="宋体"/>
          <w:kern w:val="0"/>
          <w:sz w:val="24"/>
        </w:rPr>
        <w:t>月</w:t>
      </w:r>
      <w:r>
        <w:rPr>
          <w:rFonts w:hint="eastAsia" w:ascii="宋体" w:hAnsi="宋体" w:eastAsia="宋体" w:cs="宋体"/>
          <w:kern w:val="0"/>
          <w:sz w:val="24"/>
          <w:u w:val="single"/>
        </w:rPr>
        <w:t xml:space="preserve">      </w:t>
      </w:r>
      <w:r>
        <w:rPr>
          <w:rFonts w:hint="eastAsia" w:ascii="宋体" w:hAnsi="宋体" w:eastAsia="宋体" w:cs="宋体"/>
          <w:kern w:val="0"/>
          <w:sz w:val="24"/>
        </w:rPr>
        <w:t>日</w:t>
      </w:r>
    </w:p>
    <w:p w14:paraId="3FC7B961">
      <w:pPr>
        <w:widowControl/>
        <w:adjustRightInd w:val="0"/>
        <w:snapToGrid w:val="0"/>
        <w:spacing w:line="480" w:lineRule="auto"/>
        <w:ind w:firstLine="480" w:firstLineChars="200"/>
        <w:jc w:val="left"/>
        <w:rPr>
          <w:rFonts w:hint="eastAsia" w:ascii="宋体" w:hAnsi="宋体" w:eastAsia="宋体" w:cs="宋体"/>
          <w:kern w:val="0"/>
          <w:sz w:val="24"/>
        </w:rPr>
      </w:pPr>
      <w:r>
        <w:rPr>
          <w:rFonts w:hint="eastAsia" w:ascii="宋体" w:hAnsi="宋体" w:eastAsia="宋体" w:cs="宋体"/>
          <w:kern w:val="0"/>
          <w:sz w:val="24"/>
        </w:rPr>
        <w:t>在</w:t>
      </w:r>
      <w:r>
        <w:rPr>
          <w:rFonts w:hint="eastAsia" w:ascii="宋体" w:hAnsi="宋体" w:eastAsia="宋体" w:cs="宋体"/>
          <w:kern w:val="0"/>
          <w:sz w:val="24"/>
          <w:u w:val="single"/>
        </w:rPr>
        <w:t xml:space="preserve">                                   </w:t>
      </w:r>
      <w:r>
        <w:rPr>
          <w:rFonts w:hint="eastAsia" w:ascii="宋体" w:hAnsi="宋体" w:eastAsia="宋体" w:cs="宋体"/>
          <w:kern w:val="0"/>
          <w:sz w:val="24"/>
        </w:rPr>
        <w:t>项目招投标活动中，我公司（单位）郑重作出以下信用承诺：</w:t>
      </w:r>
    </w:p>
    <w:p w14:paraId="3D79C979">
      <w:pPr>
        <w:widowControl/>
        <w:adjustRightInd w:val="0"/>
        <w:snapToGrid w:val="0"/>
        <w:spacing w:line="480" w:lineRule="auto"/>
        <w:ind w:firstLine="480"/>
        <w:jc w:val="left"/>
        <w:rPr>
          <w:rFonts w:hint="eastAsia" w:ascii="宋体" w:hAnsi="宋体" w:eastAsia="宋体" w:cs="宋体"/>
          <w:kern w:val="0"/>
          <w:sz w:val="24"/>
        </w:rPr>
      </w:pPr>
      <w:r>
        <w:rPr>
          <w:rFonts w:hint="eastAsia" w:ascii="宋体" w:hAnsi="宋体" w:eastAsia="宋体" w:cs="宋体"/>
          <w:kern w:val="0"/>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14:paraId="1410EC0B">
      <w:pPr>
        <w:widowControl/>
        <w:adjustRightInd w:val="0"/>
        <w:snapToGrid w:val="0"/>
        <w:spacing w:line="480" w:lineRule="auto"/>
        <w:ind w:firstLine="480"/>
        <w:jc w:val="left"/>
        <w:rPr>
          <w:rFonts w:hint="eastAsia" w:ascii="宋体" w:hAnsi="宋体" w:eastAsia="宋体" w:cs="宋体"/>
          <w:kern w:val="0"/>
          <w:sz w:val="24"/>
        </w:rPr>
      </w:pPr>
      <w:r>
        <w:rPr>
          <w:rFonts w:hint="eastAsia" w:ascii="宋体" w:hAnsi="宋体" w:eastAsia="宋体" w:cs="宋体"/>
          <w:kern w:val="0"/>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6E168E1D">
      <w:pPr>
        <w:widowControl/>
        <w:adjustRightInd w:val="0"/>
        <w:snapToGrid w:val="0"/>
        <w:spacing w:line="480" w:lineRule="auto"/>
        <w:ind w:firstLine="480"/>
        <w:jc w:val="left"/>
        <w:rPr>
          <w:rFonts w:hint="eastAsia" w:ascii="宋体" w:hAnsi="宋体" w:eastAsia="宋体" w:cs="宋体"/>
          <w:kern w:val="0"/>
          <w:sz w:val="24"/>
        </w:rPr>
      </w:pPr>
      <w:r>
        <w:rPr>
          <w:rFonts w:hint="eastAsia" w:ascii="宋体" w:hAnsi="宋体" w:eastAsia="宋体" w:cs="宋体"/>
          <w:kern w:val="0"/>
          <w:sz w:val="24"/>
        </w:rPr>
        <w:t>（三）自愿接受招投标监督部门和有关行政监督部门的依法检查。</w:t>
      </w:r>
    </w:p>
    <w:p w14:paraId="259C64CD">
      <w:pPr>
        <w:widowControl/>
        <w:adjustRightInd w:val="0"/>
        <w:snapToGrid w:val="0"/>
        <w:spacing w:line="480" w:lineRule="auto"/>
        <w:ind w:firstLine="480"/>
        <w:jc w:val="left"/>
        <w:rPr>
          <w:rFonts w:hint="eastAsia" w:ascii="宋体" w:hAnsi="宋体" w:eastAsia="宋体" w:cs="宋体"/>
          <w:kern w:val="0"/>
          <w:sz w:val="24"/>
        </w:rPr>
      </w:pPr>
      <w:r>
        <w:rPr>
          <w:rFonts w:hint="eastAsia" w:ascii="宋体" w:hAnsi="宋体" w:eastAsia="宋体" w:cs="宋体"/>
          <w:kern w:val="0"/>
          <w:sz w:val="24"/>
        </w:rPr>
        <w:t>（四）同意将此信用承诺纳入陕西省公共信用信息平台和榆林市公共信用信息共享平台，并上网公示，接受社会监督。</w:t>
      </w:r>
    </w:p>
    <w:p w14:paraId="754BED5B">
      <w:pPr>
        <w:widowControl/>
        <w:adjustRightInd w:val="0"/>
        <w:snapToGrid w:val="0"/>
        <w:spacing w:line="480" w:lineRule="auto"/>
        <w:ind w:firstLine="480"/>
        <w:jc w:val="left"/>
        <w:rPr>
          <w:rFonts w:hint="eastAsia" w:ascii="宋体" w:hAnsi="宋体" w:eastAsia="宋体" w:cs="宋体"/>
          <w:kern w:val="0"/>
          <w:sz w:val="24"/>
        </w:rPr>
      </w:pPr>
      <w:r>
        <w:rPr>
          <w:rFonts w:hint="eastAsia" w:ascii="宋体" w:hAnsi="宋体" w:eastAsia="宋体" w:cs="宋体"/>
          <w:kern w:val="0"/>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14:paraId="19F556E6">
      <w:pPr>
        <w:pStyle w:val="9"/>
        <w:rPr>
          <w:rFonts w:hint="eastAsia" w:ascii="宋体" w:hAnsi="宋体" w:cs="宋体"/>
        </w:rPr>
      </w:pPr>
    </w:p>
    <w:p w14:paraId="177310E2">
      <w:pPr>
        <w:widowControl/>
        <w:tabs>
          <w:tab w:val="left" w:pos="4395"/>
        </w:tabs>
        <w:adjustRightInd w:val="0"/>
        <w:snapToGrid w:val="0"/>
        <w:spacing w:line="480" w:lineRule="auto"/>
        <w:jc w:val="left"/>
        <w:rPr>
          <w:rFonts w:hint="eastAsia" w:ascii="宋体" w:hAnsi="宋体" w:eastAsia="宋体" w:cs="宋体"/>
          <w:kern w:val="0"/>
          <w:sz w:val="24"/>
        </w:rPr>
      </w:pPr>
      <w:r>
        <w:rPr>
          <w:rFonts w:hint="eastAsia" w:ascii="宋体" w:hAnsi="宋体" w:eastAsia="宋体" w:cs="宋体"/>
          <w:kern w:val="0"/>
          <w:sz w:val="24"/>
        </w:rPr>
        <w:t>法定代表人（签章）：                 投标人（盖章）：</w:t>
      </w:r>
    </w:p>
    <w:p w14:paraId="3E8ED597">
      <w:pPr>
        <w:adjustRightInd w:val="0"/>
        <w:snapToGrid w:val="0"/>
        <w:spacing w:line="480" w:lineRule="auto"/>
        <w:jc w:val="center"/>
        <w:rPr>
          <w:rFonts w:hint="eastAsia" w:ascii="宋体" w:hAnsi="宋体" w:eastAsia="宋体" w:cs="宋体"/>
          <w:kern w:val="0"/>
          <w:sz w:val="24"/>
        </w:rPr>
      </w:pPr>
    </w:p>
    <w:p w14:paraId="2D4CE451">
      <w:pPr>
        <w:adjustRightInd w:val="0"/>
        <w:snapToGrid w:val="0"/>
        <w:spacing w:line="480" w:lineRule="auto"/>
        <w:jc w:val="center"/>
        <w:rPr>
          <w:rFonts w:hint="eastAsia" w:ascii="宋体" w:hAnsi="宋体" w:eastAsia="宋体" w:cs="宋体"/>
          <w:kern w:val="0"/>
          <w:sz w:val="24"/>
        </w:rPr>
      </w:pPr>
      <w:r>
        <w:rPr>
          <w:rFonts w:hint="eastAsia" w:ascii="宋体" w:hAnsi="宋体" w:eastAsia="宋体" w:cs="宋体"/>
          <w:kern w:val="0"/>
          <w:sz w:val="24"/>
        </w:rPr>
        <w:t xml:space="preserve">                             承诺时间：</w:t>
      </w:r>
      <w:r>
        <w:rPr>
          <w:rFonts w:hint="eastAsia" w:ascii="宋体" w:hAnsi="宋体" w:eastAsia="宋体" w:cs="宋体"/>
          <w:kern w:val="0"/>
          <w:sz w:val="24"/>
          <w:u w:val="single"/>
        </w:rPr>
        <w:t xml:space="preserve">       </w:t>
      </w:r>
      <w:r>
        <w:rPr>
          <w:rFonts w:hint="eastAsia" w:ascii="宋体" w:hAnsi="宋体" w:eastAsia="宋体" w:cs="宋体"/>
          <w:kern w:val="0"/>
          <w:sz w:val="24"/>
        </w:rPr>
        <w:t>年</w:t>
      </w:r>
      <w:r>
        <w:rPr>
          <w:rFonts w:hint="eastAsia" w:ascii="宋体" w:hAnsi="宋体" w:eastAsia="宋体" w:cs="宋体"/>
          <w:kern w:val="0"/>
          <w:sz w:val="24"/>
          <w:u w:val="single"/>
        </w:rPr>
        <w:t xml:space="preserve">     </w:t>
      </w:r>
      <w:r>
        <w:rPr>
          <w:rFonts w:hint="eastAsia" w:ascii="宋体" w:hAnsi="宋体" w:eastAsia="宋体" w:cs="宋体"/>
          <w:kern w:val="0"/>
          <w:sz w:val="24"/>
        </w:rPr>
        <w:t>月</w:t>
      </w:r>
      <w:r>
        <w:rPr>
          <w:rFonts w:hint="eastAsia" w:ascii="宋体" w:hAnsi="宋体" w:eastAsia="宋体" w:cs="宋体"/>
          <w:kern w:val="0"/>
          <w:sz w:val="24"/>
          <w:u w:val="single"/>
        </w:rPr>
        <w:t xml:space="preserve">     </w:t>
      </w:r>
      <w:r>
        <w:rPr>
          <w:rFonts w:hint="eastAsia" w:ascii="宋体" w:hAnsi="宋体" w:eastAsia="宋体" w:cs="宋体"/>
          <w:kern w:val="0"/>
          <w:sz w:val="24"/>
        </w:rPr>
        <w:t>日</w:t>
      </w:r>
    </w:p>
    <w:p w14:paraId="031DC0BE">
      <w:pPr>
        <w:spacing w:line="480" w:lineRule="auto"/>
        <w:ind w:right="-2"/>
        <w:jc w:val="center"/>
        <w:rPr>
          <w:rFonts w:hint="eastAsia" w:ascii="宋体" w:hAnsi="宋体" w:eastAsia="宋体" w:cs="宋体"/>
          <w:b/>
          <w:bCs/>
          <w:sz w:val="32"/>
          <w:szCs w:val="32"/>
        </w:rPr>
        <w:sectPr>
          <w:footerReference r:id="rId13" w:type="default"/>
          <w:pgSz w:w="11906" w:h="16838"/>
          <w:pgMar w:top="1440" w:right="1800" w:bottom="1440" w:left="1800" w:header="850" w:footer="992" w:gutter="0"/>
          <w:cols w:space="720" w:num="1"/>
          <w:docGrid w:type="lines" w:linePitch="313" w:charSpace="0"/>
        </w:sectPr>
      </w:pPr>
    </w:p>
    <w:p w14:paraId="47BADAEC">
      <w:pPr>
        <w:spacing w:line="560" w:lineRule="exact"/>
        <w:ind w:right="-2"/>
        <w:jc w:val="center"/>
        <w:rPr>
          <w:rFonts w:hint="eastAsia" w:ascii="宋体" w:hAnsi="宋体" w:eastAsia="宋体" w:cs="宋体"/>
          <w:b/>
          <w:bCs/>
          <w:sz w:val="32"/>
          <w:szCs w:val="32"/>
        </w:rPr>
      </w:pPr>
      <w:r>
        <w:rPr>
          <w:rFonts w:hint="eastAsia" w:ascii="宋体" w:hAnsi="宋体" w:eastAsia="宋体" w:cs="宋体"/>
          <w:b/>
          <w:bCs/>
          <w:sz w:val="32"/>
          <w:szCs w:val="32"/>
        </w:rPr>
        <w:t>附件2 投标人委托代理人员信用承诺书</w:t>
      </w:r>
    </w:p>
    <w:p w14:paraId="5CCAE298">
      <w:pPr>
        <w:widowControl/>
        <w:spacing w:line="540" w:lineRule="exact"/>
        <w:ind w:firstLine="480" w:firstLineChars="200"/>
        <w:jc w:val="left"/>
        <w:rPr>
          <w:rFonts w:hint="eastAsia" w:ascii="宋体" w:hAnsi="宋体" w:eastAsia="宋体" w:cs="宋体"/>
          <w:kern w:val="0"/>
          <w:sz w:val="24"/>
        </w:rPr>
      </w:pPr>
      <w:r>
        <w:rPr>
          <w:rFonts w:hint="eastAsia" w:ascii="宋体" w:hAnsi="宋体" w:eastAsia="宋体" w:cs="宋体"/>
          <w:kern w:val="0"/>
          <w:sz w:val="24"/>
        </w:rPr>
        <w:t>在</w:t>
      </w:r>
      <w:r>
        <w:rPr>
          <w:rFonts w:hint="eastAsia" w:ascii="宋体" w:hAnsi="宋体" w:eastAsia="宋体" w:cs="宋体"/>
          <w:kern w:val="0"/>
          <w:sz w:val="24"/>
          <w:u w:val="single"/>
        </w:rPr>
        <w:t xml:space="preserve">                                   </w:t>
      </w:r>
      <w:r>
        <w:rPr>
          <w:rFonts w:hint="eastAsia" w:ascii="宋体" w:hAnsi="宋体" w:eastAsia="宋体" w:cs="宋体"/>
          <w:kern w:val="0"/>
          <w:sz w:val="24"/>
        </w:rPr>
        <w:t>项目招投标活动中，我个人郑重作出以下信用承诺：</w:t>
      </w:r>
    </w:p>
    <w:p w14:paraId="08AD3BA7">
      <w:pPr>
        <w:widowControl/>
        <w:adjustRightInd w:val="0"/>
        <w:snapToGrid w:val="0"/>
        <w:spacing w:line="540" w:lineRule="exact"/>
        <w:ind w:firstLine="480"/>
        <w:jc w:val="left"/>
        <w:rPr>
          <w:rFonts w:hint="eastAsia" w:ascii="宋体" w:hAnsi="宋体" w:eastAsia="宋体" w:cs="宋体"/>
          <w:kern w:val="0"/>
          <w:sz w:val="24"/>
        </w:rPr>
      </w:pPr>
      <w:r>
        <w:rPr>
          <w:rFonts w:hint="eastAsia" w:ascii="宋体" w:hAnsi="宋体" w:eastAsia="宋体" w:cs="宋体"/>
          <w:kern w:val="0"/>
          <w:sz w:val="24"/>
        </w:rPr>
        <w:t>（一）能严格遵守法律法规、职业道德和行业规范，具有独立承担民事责任的能力；无法律法规规定禁止开展从业活动情形。我所递交的文件资料合法、真实、准确、完整、有效，无弄虚作假等情形。</w:t>
      </w:r>
    </w:p>
    <w:p w14:paraId="4E451774">
      <w:pPr>
        <w:widowControl/>
        <w:adjustRightInd w:val="0"/>
        <w:snapToGrid w:val="0"/>
        <w:spacing w:line="540" w:lineRule="exact"/>
        <w:ind w:firstLine="480"/>
        <w:jc w:val="left"/>
        <w:rPr>
          <w:rFonts w:hint="eastAsia" w:ascii="宋体" w:hAnsi="宋体" w:eastAsia="宋体" w:cs="宋体"/>
          <w:kern w:val="0"/>
          <w:sz w:val="24"/>
        </w:rPr>
      </w:pPr>
      <w:r>
        <w:rPr>
          <w:rFonts w:hint="eastAsia" w:ascii="宋体" w:hAnsi="宋体" w:eastAsia="宋体" w:cs="宋体"/>
          <w:kern w:val="0"/>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6247F4B1">
      <w:pPr>
        <w:widowControl/>
        <w:adjustRightInd w:val="0"/>
        <w:snapToGrid w:val="0"/>
        <w:spacing w:line="540" w:lineRule="exact"/>
        <w:ind w:firstLine="480"/>
        <w:jc w:val="left"/>
        <w:rPr>
          <w:rFonts w:hint="eastAsia" w:ascii="宋体" w:hAnsi="宋体" w:eastAsia="宋体" w:cs="宋体"/>
          <w:kern w:val="0"/>
          <w:sz w:val="24"/>
        </w:rPr>
      </w:pPr>
      <w:r>
        <w:rPr>
          <w:rFonts w:hint="eastAsia" w:ascii="宋体" w:hAnsi="宋体" w:eastAsia="宋体" w:cs="宋体"/>
          <w:kern w:val="0"/>
          <w:sz w:val="24"/>
        </w:rPr>
        <w:t>（三）自愿接受招投标监督部门和有关行政监督部门的依法检查。</w:t>
      </w:r>
    </w:p>
    <w:p w14:paraId="094C8F2C">
      <w:pPr>
        <w:widowControl/>
        <w:adjustRightInd w:val="0"/>
        <w:snapToGrid w:val="0"/>
        <w:spacing w:line="540" w:lineRule="exact"/>
        <w:ind w:firstLine="480"/>
        <w:jc w:val="left"/>
        <w:rPr>
          <w:rFonts w:hint="eastAsia" w:ascii="宋体" w:hAnsi="宋体" w:eastAsia="宋体" w:cs="宋体"/>
          <w:kern w:val="0"/>
          <w:sz w:val="24"/>
        </w:rPr>
      </w:pPr>
      <w:r>
        <w:rPr>
          <w:rFonts w:hint="eastAsia" w:ascii="宋体" w:hAnsi="宋体" w:eastAsia="宋体" w:cs="宋体"/>
          <w:kern w:val="0"/>
          <w:sz w:val="24"/>
        </w:rPr>
        <w:t>（四）同意将此信用承诺纳入陕西省公共信用信息平台和榆林市公共信用信息共享平台，并接受社会监督。</w:t>
      </w:r>
    </w:p>
    <w:p w14:paraId="242EAE5E">
      <w:pPr>
        <w:widowControl/>
        <w:adjustRightInd w:val="0"/>
        <w:snapToGrid w:val="0"/>
        <w:spacing w:line="540" w:lineRule="exact"/>
        <w:ind w:firstLine="480"/>
        <w:jc w:val="left"/>
        <w:rPr>
          <w:rFonts w:hint="eastAsia" w:ascii="宋体" w:hAnsi="宋体" w:eastAsia="宋体" w:cs="宋体"/>
          <w:kern w:val="0"/>
          <w:sz w:val="24"/>
        </w:rPr>
      </w:pPr>
      <w:r>
        <w:rPr>
          <w:rFonts w:hint="eastAsia" w:ascii="宋体" w:hAnsi="宋体" w:eastAsia="宋体" w:cs="宋体"/>
          <w:kern w:val="0"/>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14:paraId="6EE0ED55">
      <w:pPr>
        <w:widowControl/>
        <w:spacing w:line="320" w:lineRule="exact"/>
        <w:ind w:firstLine="482"/>
        <w:jc w:val="left"/>
        <w:rPr>
          <w:rFonts w:hint="eastAsia" w:ascii="宋体" w:hAnsi="宋体" w:eastAsia="宋体" w:cs="宋体"/>
          <w:kern w:val="0"/>
          <w:sz w:val="24"/>
        </w:rPr>
      </w:pPr>
    </w:p>
    <w:p w14:paraId="6083ABA0">
      <w:pPr>
        <w:widowControl/>
        <w:spacing w:line="320" w:lineRule="exact"/>
        <w:ind w:firstLine="482"/>
        <w:jc w:val="left"/>
        <w:rPr>
          <w:rFonts w:hint="eastAsia" w:ascii="宋体" w:hAnsi="宋体" w:eastAsia="宋体" w:cs="宋体"/>
          <w:kern w:val="0"/>
          <w:sz w:val="24"/>
          <w:u w:val="single"/>
        </w:rPr>
      </w:pPr>
      <w:r>
        <w:rPr>
          <w:rFonts w:hint="eastAsia" w:ascii="宋体" w:hAnsi="宋体" w:eastAsia="宋体" w:cs="宋体"/>
          <w:kern w:val="0"/>
          <w:sz w:val="24"/>
        </w:rPr>
        <w:t>承诺有效期限：</w:t>
      </w:r>
      <w:r>
        <w:rPr>
          <w:rFonts w:hint="eastAsia" w:ascii="宋体" w:hAnsi="宋体" w:eastAsia="宋体" w:cs="宋体"/>
          <w:kern w:val="0"/>
          <w:sz w:val="24"/>
          <w:u w:val="single"/>
        </w:rPr>
        <w:t xml:space="preserve">        </w:t>
      </w:r>
      <w:r>
        <w:rPr>
          <w:rFonts w:hint="eastAsia" w:ascii="宋体" w:hAnsi="宋体" w:eastAsia="宋体" w:cs="宋体"/>
          <w:kern w:val="0"/>
          <w:sz w:val="24"/>
        </w:rPr>
        <w:t>年</w:t>
      </w:r>
      <w:r>
        <w:rPr>
          <w:rFonts w:hint="eastAsia" w:ascii="宋体" w:hAnsi="宋体" w:eastAsia="宋体" w:cs="宋体"/>
          <w:kern w:val="0"/>
          <w:sz w:val="24"/>
          <w:u w:val="single"/>
        </w:rPr>
        <w:t xml:space="preserve">     </w:t>
      </w:r>
      <w:r>
        <w:rPr>
          <w:rFonts w:hint="eastAsia" w:ascii="宋体" w:hAnsi="宋体" w:eastAsia="宋体" w:cs="宋体"/>
          <w:kern w:val="0"/>
          <w:sz w:val="24"/>
        </w:rPr>
        <w:t>月</w:t>
      </w:r>
      <w:r>
        <w:rPr>
          <w:rFonts w:hint="eastAsia" w:ascii="宋体" w:hAnsi="宋体" w:eastAsia="宋体" w:cs="宋体"/>
          <w:kern w:val="0"/>
          <w:sz w:val="24"/>
          <w:u w:val="single"/>
        </w:rPr>
        <w:t xml:space="preserve">     </w:t>
      </w:r>
      <w:r>
        <w:rPr>
          <w:rFonts w:hint="eastAsia" w:ascii="宋体" w:hAnsi="宋体" w:eastAsia="宋体" w:cs="宋体"/>
          <w:kern w:val="0"/>
          <w:sz w:val="24"/>
        </w:rPr>
        <w:t>日—</w:t>
      </w:r>
      <w:r>
        <w:rPr>
          <w:rFonts w:hint="eastAsia" w:ascii="宋体" w:hAnsi="宋体" w:eastAsia="宋体" w:cs="宋体"/>
          <w:kern w:val="0"/>
          <w:sz w:val="24"/>
          <w:u w:val="single"/>
        </w:rPr>
        <w:t xml:space="preserve">        </w:t>
      </w:r>
      <w:r>
        <w:rPr>
          <w:rFonts w:hint="eastAsia" w:ascii="宋体" w:hAnsi="宋体" w:eastAsia="宋体" w:cs="宋体"/>
          <w:kern w:val="0"/>
          <w:sz w:val="24"/>
        </w:rPr>
        <w:t>年</w:t>
      </w:r>
      <w:r>
        <w:rPr>
          <w:rFonts w:hint="eastAsia" w:ascii="宋体" w:hAnsi="宋体" w:eastAsia="宋体" w:cs="宋体"/>
          <w:kern w:val="0"/>
          <w:sz w:val="24"/>
          <w:u w:val="single"/>
        </w:rPr>
        <w:t xml:space="preserve">     </w:t>
      </w:r>
      <w:r>
        <w:rPr>
          <w:rFonts w:hint="eastAsia" w:ascii="宋体" w:hAnsi="宋体" w:eastAsia="宋体" w:cs="宋体"/>
          <w:kern w:val="0"/>
          <w:sz w:val="24"/>
        </w:rPr>
        <w:t>月</w:t>
      </w:r>
      <w:r>
        <w:rPr>
          <w:rFonts w:hint="eastAsia" w:ascii="宋体" w:hAnsi="宋体" w:eastAsia="宋体" w:cs="宋体"/>
          <w:kern w:val="0"/>
          <w:sz w:val="24"/>
          <w:u w:val="single"/>
        </w:rPr>
        <w:t xml:space="preserve">     </w:t>
      </w:r>
      <w:r>
        <w:rPr>
          <w:rFonts w:hint="eastAsia" w:ascii="宋体" w:hAnsi="宋体" w:eastAsia="宋体" w:cs="宋体"/>
          <w:kern w:val="0"/>
          <w:sz w:val="24"/>
        </w:rPr>
        <w:t>日</w:t>
      </w:r>
    </w:p>
    <w:p w14:paraId="3DA74004">
      <w:pPr>
        <w:widowControl/>
        <w:spacing w:line="320" w:lineRule="exact"/>
        <w:ind w:firstLine="482"/>
        <w:jc w:val="left"/>
        <w:rPr>
          <w:rFonts w:hint="eastAsia" w:ascii="宋体" w:hAnsi="宋体" w:eastAsia="宋体" w:cs="宋体"/>
          <w:kern w:val="0"/>
          <w:sz w:val="24"/>
        </w:rPr>
      </w:pPr>
    </w:p>
    <w:p w14:paraId="33577BB1">
      <w:pPr>
        <w:widowControl/>
        <w:spacing w:line="320" w:lineRule="exact"/>
        <w:ind w:firstLine="482"/>
        <w:jc w:val="left"/>
        <w:rPr>
          <w:rFonts w:hint="eastAsia" w:ascii="宋体" w:hAnsi="宋体" w:eastAsia="宋体" w:cs="宋体"/>
          <w:kern w:val="0"/>
          <w:sz w:val="24"/>
          <w:u w:val="single"/>
        </w:rPr>
      </w:pPr>
      <w:r>
        <w:rPr>
          <w:rFonts w:hint="eastAsia" w:ascii="宋体" w:hAnsi="宋体" w:eastAsia="宋体" w:cs="宋体"/>
          <w:kern w:val="0"/>
          <w:sz w:val="24"/>
        </w:rPr>
        <w:t>投标人：</w:t>
      </w:r>
      <w:r>
        <w:rPr>
          <w:rFonts w:hint="eastAsia" w:ascii="宋体" w:hAnsi="宋体" w:eastAsia="宋体" w:cs="宋体"/>
          <w:kern w:val="0"/>
          <w:sz w:val="24"/>
          <w:u w:val="single"/>
        </w:rPr>
        <w:t xml:space="preserve">                                                        </w:t>
      </w:r>
    </w:p>
    <w:p w14:paraId="56ED2715">
      <w:pPr>
        <w:widowControl/>
        <w:spacing w:line="320" w:lineRule="exact"/>
        <w:ind w:firstLine="482"/>
        <w:jc w:val="left"/>
        <w:rPr>
          <w:rFonts w:hint="eastAsia" w:ascii="宋体" w:hAnsi="宋体" w:eastAsia="宋体" w:cs="宋体"/>
          <w:kern w:val="0"/>
          <w:sz w:val="24"/>
        </w:rPr>
      </w:pPr>
    </w:p>
    <w:p w14:paraId="7AFB3F22">
      <w:pPr>
        <w:widowControl/>
        <w:spacing w:line="320" w:lineRule="exact"/>
        <w:ind w:firstLine="482"/>
        <w:jc w:val="left"/>
        <w:rPr>
          <w:rFonts w:hint="eastAsia" w:ascii="宋体" w:hAnsi="宋体" w:eastAsia="宋体" w:cs="宋体"/>
          <w:kern w:val="0"/>
          <w:sz w:val="24"/>
          <w:u w:val="single"/>
        </w:rPr>
      </w:pPr>
      <w:r>
        <w:rPr>
          <w:rFonts w:hint="eastAsia" w:ascii="宋体" w:hAnsi="宋体" w:eastAsia="宋体" w:cs="宋体"/>
          <w:kern w:val="0"/>
          <w:sz w:val="24"/>
        </w:rPr>
        <w:t>承诺人</w:t>
      </w:r>
      <w:r>
        <w:rPr>
          <w:rFonts w:hint="eastAsia" w:ascii="宋体" w:hAnsi="宋体" w:eastAsia="宋体" w:cs="宋体"/>
          <w:sz w:val="24"/>
        </w:rPr>
        <w:t>（签字或盖章）</w:t>
      </w:r>
      <w:r>
        <w:rPr>
          <w:rFonts w:hint="eastAsia" w:ascii="宋体" w:hAnsi="宋体" w:eastAsia="宋体" w:cs="宋体"/>
          <w:kern w:val="0"/>
          <w:sz w:val="24"/>
        </w:rPr>
        <w:t>：</w:t>
      </w:r>
      <w:r>
        <w:rPr>
          <w:rFonts w:hint="eastAsia" w:ascii="宋体" w:hAnsi="宋体" w:eastAsia="宋体" w:cs="宋体"/>
          <w:kern w:val="0"/>
          <w:sz w:val="24"/>
          <w:u w:val="single"/>
        </w:rPr>
        <w:t xml:space="preserve">                 </w:t>
      </w:r>
    </w:p>
    <w:p w14:paraId="2BD4A91A">
      <w:pPr>
        <w:widowControl/>
        <w:spacing w:line="320" w:lineRule="exact"/>
        <w:ind w:firstLine="482"/>
        <w:jc w:val="left"/>
        <w:rPr>
          <w:rFonts w:hint="eastAsia" w:ascii="宋体" w:hAnsi="宋体" w:eastAsia="宋体" w:cs="宋体"/>
          <w:kern w:val="0"/>
          <w:sz w:val="24"/>
          <w:u w:val="single"/>
        </w:rPr>
      </w:pPr>
    </w:p>
    <w:p w14:paraId="1C8BF1E2">
      <w:pPr>
        <w:ind w:firstLine="480" w:firstLineChars="200"/>
        <w:rPr>
          <w:rFonts w:hint="eastAsia" w:ascii="宋体" w:hAnsi="宋体" w:eastAsia="宋体" w:cs="宋体"/>
        </w:rPr>
      </w:pPr>
      <w:r>
        <w:rPr>
          <w:rFonts w:hint="eastAsia" w:ascii="宋体" w:hAnsi="宋体" w:eastAsia="宋体" w:cs="宋体"/>
          <w:kern w:val="0"/>
          <w:sz w:val="24"/>
        </w:rPr>
        <w:t>承诺时间：</w:t>
      </w:r>
      <w:r>
        <w:rPr>
          <w:rFonts w:hint="eastAsia" w:ascii="宋体" w:hAnsi="宋体" w:eastAsia="宋体" w:cs="宋体"/>
          <w:kern w:val="0"/>
          <w:sz w:val="24"/>
          <w:u w:val="single"/>
        </w:rPr>
        <w:t xml:space="preserve">       </w:t>
      </w:r>
      <w:r>
        <w:rPr>
          <w:rFonts w:hint="eastAsia" w:ascii="宋体" w:hAnsi="宋体" w:eastAsia="宋体" w:cs="宋体"/>
          <w:kern w:val="0"/>
          <w:sz w:val="24"/>
        </w:rPr>
        <w:t>年</w:t>
      </w:r>
      <w:r>
        <w:rPr>
          <w:rFonts w:hint="eastAsia" w:ascii="宋体" w:hAnsi="宋体" w:eastAsia="宋体" w:cs="宋体"/>
          <w:kern w:val="0"/>
          <w:sz w:val="24"/>
          <w:u w:val="single"/>
        </w:rPr>
        <w:t xml:space="preserve">     </w:t>
      </w:r>
      <w:r>
        <w:rPr>
          <w:rFonts w:hint="eastAsia" w:ascii="宋体" w:hAnsi="宋体" w:eastAsia="宋体" w:cs="宋体"/>
          <w:kern w:val="0"/>
          <w:sz w:val="24"/>
        </w:rPr>
        <w:t>月</w:t>
      </w:r>
      <w:r>
        <w:rPr>
          <w:rFonts w:hint="eastAsia" w:ascii="宋体" w:hAnsi="宋体" w:eastAsia="宋体" w:cs="宋体"/>
          <w:kern w:val="0"/>
          <w:sz w:val="24"/>
          <w:u w:val="single"/>
        </w:rPr>
        <w:t xml:space="preserve">     </w:t>
      </w:r>
      <w:r>
        <w:rPr>
          <w:rFonts w:hint="eastAsia" w:ascii="宋体" w:hAnsi="宋体" w:eastAsia="宋体" w:cs="宋体"/>
          <w:kern w:val="0"/>
          <w:sz w:val="24"/>
        </w:rPr>
        <w:t>日</w:t>
      </w:r>
    </w:p>
    <w:p w14:paraId="46F77123">
      <w:pPr>
        <w:spacing w:line="560" w:lineRule="exact"/>
        <w:ind w:right="-2"/>
        <w:jc w:val="center"/>
        <w:rPr>
          <w:rFonts w:hint="eastAsia" w:ascii="宋体" w:hAnsi="宋体" w:eastAsia="宋体" w:cs="宋体"/>
          <w:b/>
          <w:bCs/>
          <w:sz w:val="32"/>
          <w:szCs w:val="32"/>
        </w:rPr>
        <w:sectPr>
          <w:pgSz w:w="11906" w:h="16838"/>
          <w:pgMar w:top="1440" w:right="1800" w:bottom="1440" w:left="1800" w:header="850" w:footer="992" w:gutter="0"/>
          <w:cols w:space="720" w:num="1"/>
          <w:docGrid w:type="lines" w:linePitch="313" w:charSpace="0"/>
        </w:sectPr>
      </w:pPr>
    </w:p>
    <w:p w14:paraId="48D68612">
      <w:pPr>
        <w:spacing w:line="560" w:lineRule="exact"/>
        <w:ind w:right="-2"/>
        <w:jc w:val="center"/>
        <w:rPr>
          <w:rFonts w:hint="eastAsia" w:ascii="宋体" w:hAnsi="宋体" w:eastAsia="宋体" w:cs="宋体"/>
          <w:b/>
          <w:bCs/>
          <w:kern w:val="0"/>
          <w:szCs w:val="16"/>
        </w:rPr>
      </w:pPr>
      <w:r>
        <w:rPr>
          <w:rFonts w:hint="eastAsia" w:ascii="宋体" w:hAnsi="宋体" w:eastAsia="宋体" w:cs="宋体"/>
          <w:b/>
          <w:bCs/>
          <w:sz w:val="32"/>
          <w:szCs w:val="32"/>
        </w:rPr>
        <w:t>附件3  投标信用承诺书</w:t>
      </w:r>
    </w:p>
    <w:p w14:paraId="4A5FEA80">
      <w:pPr>
        <w:widowControl/>
        <w:spacing w:line="540" w:lineRule="exact"/>
        <w:jc w:val="left"/>
        <w:rPr>
          <w:rFonts w:hint="eastAsia" w:ascii="宋体" w:hAnsi="宋体" w:eastAsia="宋体" w:cs="宋体"/>
          <w:kern w:val="0"/>
          <w:sz w:val="24"/>
          <w:u w:val="single"/>
        </w:rPr>
      </w:pPr>
      <w:r>
        <w:rPr>
          <w:rFonts w:hint="eastAsia" w:ascii="宋体" w:hAnsi="宋体" w:eastAsia="宋体" w:cs="宋体"/>
          <w:kern w:val="0"/>
          <w:sz w:val="24"/>
        </w:rPr>
        <w:t>项目标段：</w:t>
      </w:r>
      <w:r>
        <w:rPr>
          <w:rFonts w:hint="eastAsia" w:ascii="宋体" w:hAnsi="宋体" w:eastAsia="宋体" w:cs="宋体"/>
          <w:kern w:val="0"/>
          <w:sz w:val="24"/>
          <w:u w:val="single"/>
        </w:rPr>
        <w:t xml:space="preserve">                                                                  </w:t>
      </w:r>
    </w:p>
    <w:p w14:paraId="19DA2C9B">
      <w:pPr>
        <w:widowControl/>
        <w:spacing w:line="540" w:lineRule="exact"/>
        <w:jc w:val="left"/>
        <w:rPr>
          <w:rFonts w:hint="eastAsia" w:ascii="宋体" w:hAnsi="宋体" w:eastAsia="宋体" w:cs="宋体"/>
          <w:kern w:val="0"/>
          <w:sz w:val="24"/>
          <w:u w:val="single"/>
        </w:rPr>
      </w:pPr>
      <w:r>
        <w:rPr>
          <w:rFonts w:hint="eastAsia" w:ascii="宋体" w:hAnsi="宋体" w:eastAsia="宋体" w:cs="宋体"/>
          <w:kern w:val="0"/>
          <w:sz w:val="24"/>
        </w:rPr>
        <w:t>投标人：</w:t>
      </w:r>
      <w:r>
        <w:rPr>
          <w:rFonts w:hint="eastAsia" w:ascii="宋体" w:hAnsi="宋体" w:eastAsia="宋体" w:cs="宋体"/>
          <w:kern w:val="0"/>
          <w:sz w:val="24"/>
          <w:u w:val="single"/>
        </w:rPr>
        <w:t xml:space="preserve">                                                                    </w:t>
      </w:r>
    </w:p>
    <w:p w14:paraId="113897B6">
      <w:pPr>
        <w:widowControl/>
        <w:spacing w:line="540" w:lineRule="exact"/>
        <w:jc w:val="left"/>
        <w:rPr>
          <w:rFonts w:hint="eastAsia" w:ascii="宋体" w:hAnsi="宋体" w:eastAsia="宋体" w:cs="宋体"/>
          <w:kern w:val="0"/>
          <w:sz w:val="24"/>
          <w:u w:val="single"/>
        </w:rPr>
      </w:pPr>
      <w:r>
        <w:rPr>
          <w:rFonts w:hint="eastAsia" w:ascii="宋体" w:hAnsi="宋体" w:eastAsia="宋体" w:cs="宋体"/>
          <w:kern w:val="0"/>
          <w:sz w:val="24"/>
        </w:rPr>
        <w:t>统一社会信用代码：</w:t>
      </w:r>
      <w:r>
        <w:rPr>
          <w:rFonts w:hint="eastAsia" w:ascii="宋体" w:hAnsi="宋体" w:eastAsia="宋体" w:cs="宋体"/>
          <w:kern w:val="0"/>
          <w:sz w:val="24"/>
          <w:u w:val="single"/>
        </w:rPr>
        <w:t xml:space="preserve">                               </w:t>
      </w:r>
      <w:r>
        <w:rPr>
          <w:rFonts w:hint="eastAsia" w:ascii="宋体" w:hAnsi="宋体" w:eastAsia="宋体" w:cs="宋体"/>
          <w:kern w:val="0"/>
          <w:sz w:val="24"/>
        </w:rPr>
        <w:t>法人代表：</w:t>
      </w:r>
      <w:r>
        <w:rPr>
          <w:rFonts w:hint="eastAsia" w:ascii="宋体" w:hAnsi="宋体" w:eastAsia="宋体" w:cs="宋体"/>
          <w:kern w:val="0"/>
          <w:sz w:val="24"/>
          <w:u w:val="single"/>
        </w:rPr>
        <w:t xml:space="preserve">                 </w:t>
      </w:r>
    </w:p>
    <w:p w14:paraId="4C44773B">
      <w:pPr>
        <w:widowControl/>
        <w:adjustRightInd w:val="0"/>
        <w:snapToGrid w:val="0"/>
        <w:spacing w:line="540" w:lineRule="exact"/>
        <w:ind w:firstLine="480" w:firstLineChars="200"/>
        <w:jc w:val="left"/>
        <w:rPr>
          <w:rFonts w:hint="eastAsia" w:ascii="宋体" w:hAnsi="宋体" w:eastAsia="宋体" w:cs="宋体"/>
          <w:kern w:val="0"/>
          <w:sz w:val="24"/>
        </w:rPr>
      </w:pPr>
      <w:r>
        <w:rPr>
          <w:rFonts w:hint="eastAsia" w:ascii="宋体" w:hAnsi="宋体" w:eastAsia="宋体" w:cs="宋体"/>
          <w:kern w:val="0"/>
          <w:sz w:val="24"/>
        </w:rPr>
        <w:t>在本项目标段招投标活动中，我公司（单位）自愿作出以下投标信用承诺：</w:t>
      </w:r>
    </w:p>
    <w:p w14:paraId="71090704">
      <w:pPr>
        <w:widowControl/>
        <w:adjustRightInd w:val="0"/>
        <w:snapToGrid w:val="0"/>
        <w:spacing w:line="540" w:lineRule="exact"/>
        <w:ind w:firstLine="480" w:firstLineChars="200"/>
        <w:jc w:val="left"/>
        <w:rPr>
          <w:rFonts w:hint="eastAsia" w:ascii="宋体" w:hAnsi="宋体" w:eastAsia="宋体" w:cs="宋体"/>
          <w:kern w:val="0"/>
          <w:sz w:val="24"/>
        </w:rPr>
      </w:pPr>
      <w:r>
        <w:rPr>
          <w:rFonts w:hint="eastAsia" w:ascii="宋体" w:hAnsi="宋体" w:eastAsia="宋体" w:cs="宋体"/>
          <w:kern w:val="0"/>
          <w:sz w:val="24"/>
        </w:rPr>
        <w:t>（一）能严格遵守法律法规、职业道德和行业规范。</w:t>
      </w:r>
    </w:p>
    <w:p w14:paraId="20D91CAD">
      <w:pPr>
        <w:widowControl/>
        <w:adjustRightInd w:val="0"/>
        <w:snapToGrid w:val="0"/>
        <w:spacing w:line="540" w:lineRule="exact"/>
        <w:ind w:firstLine="480" w:firstLineChars="200"/>
        <w:jc w:val="left"/>
        <w:rPr>
          <w:rFonts w:hint="eastAsia" w:ascii="宋体" w:hAnsi="宋体" w:eastAsia="宋体" w:cs="宋体"/>
          <w:kern w:val="0"/>
          <w:sz w:val="24"/>
        </w:rPr>
      </w:pPr>
      <w:r>
        <w:rPr>
          <w:rFonts w:hint="eastAsia" w:ascii="宋体" w:hAnsi="宋体" w:eastAsia="宋体" w:cs="宋体"/>
          <w:kern w:val="0"/>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570AB073">
      <w:pPr>
        <w:widowControl/>
        <w:adjustRightInd w:val="0"/>
        <w:snapToGrid w:val="0"/>
        <w:spacing w:line="540" w:lineRule="exact"/>
        <w:ind w:firstLine="480" w:firstLineChars="200"/>
        <w:jc w:val="left"/>
        <w:rPr>
          <w:rFonts w:hint="eastAsia" w:ascii="宋体" w:hAnsi="宋体" w:eastAsia="宋体" w:cs="宋体"/>
          <w:kern w:val="0"/>
          <w:sz w:val="24"/>
        </w:rPr>
      </w:pPr>
      <w:r>
        <w:rPr>
          <w:rFonts w:hint="eastAsia" w:ascii="宋体" w:hAnsi="宋体" w:eastAsia="宋体" w:cs="宋体"/>
          <w:kern w:val="0"/>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14:paraId="48D79028">
      <w:pPr>
        <w:widowControl/>
        <w:adjustRightInd w:val="0"/>
        <w:snapToGrid w:val="0"/>
        <w:spacing w:line="540" w:lineRule="exact"/>
        <w:ind w:firstLine="480" w:firstLineChars="200"/>
        <w:jc w:val="left"/>
        <w:rPr>
          <w:rFonts w:hint="eastAsia" w:ascii="宋体" w:hAnsi="宋体" w:eastAsia="宋体" w:cs="宋体"/>
          <w:kern w:val="0"/>
          <w:sz w:val="24"/>
        </w:rPr>
      </w:pPr>
    </w:p>
    <w:p w14:paraId="59734082">
      <w:pPr>
        <w:widowControl/>
        <w:tabs>
          <w:tab w:val="left" w:pos="4395"/>
        </w:tabs>
        <w:adjustRightInd w:val="0"/>
        <w:snapToGrid w:val="0"/>
        <w:spacing w:line="500" w:lineRule="exact"/>
        <w:ind w:firstLine="480" w:firstLineChars="200"/>
        <w:jc w:val="left"/>
        <w:rPr>
          <w:rFonts w:hint="eastAsia" w:ascii="宋体" w:hAnsi="宋体" w:eastAsia="宋体" w:cs="宋体"/>
          <w:kern w:val="0"/>
          <w:sz w:val="24"/>
        </w:rPr>
      </w:pPr>
      <w:r>
        <w:rPr>
          <w:rFonts w:hint="eastAsia" w:ascii="宋体" w:hAnsi="宋体" w:eastAsia="宋体" w:cs="宋体"/>
          <w:kern w:val="0"/>
          <w:sz w:val="24"/>
        </w:rPr>
        <w:t>法定代表人（签章）：             投标人（盖章）：</w:t>
      </w:r>
    </w:p>
    <w:p w14:paraId="071A765E">
      <w:pPr>
        <w:adjustRightInd w:val="0"/>
        <w:snapToGrid w:val="0"/>
        <w:spacing w:line="500" w:lineRule="exact"/>
        <w:rPr>
          <w:rFonts w:hint="eastAsia" w:ascii="宋体" w:hAnsi="宋体" w:eastAsia="宋体" w:cs="宋体"/>
          <w:b/>
          <w:kern w:val="0"/>
          <w:sz w:val="24"/>
        </w:rPr>
      </w:pPr>
    </w:p>
    <w:p w14:paraId="0CF43691">
      <w:pPr>
        <w:adjustRightInd w:val="0"/>
        <w:snapToGrid w:val="0"/>
        <w:spacing w:line="500" w:lineRule="exact"/>
        <w:ind w:firstLine="4440" w:firstLineChars="1850"/>
        <w:rPr>
          <w:rFonts w:hint="eastAsia" w:ascii="宋体" w:hAnsi="宋体" w:eastAsia="宋体" w:cs="宋体"/>
          <w:b/>
          <w:kern w:val="0"/>
          <w:sz w:val="24"/>
        </w:rPr>
      </w:pPr>
      <w:r>
        <w:rPr>
          <w:rFonts w:hint="eastAsia" w:ascii="宋体" w:hAnsi="宋体" w:eastAsia="宋体" w:cs="宋体"/>
          <w:kern w:val="0"/>
          <w:sz w:val="24"/>
        </w:rPr>
        <w:t>承诺时间：</w:t>
      </w:r>
      <w:r>
        <w:rPr>
          <w:rFonts w:hint="eastAsia" w:ascii="宋体" w:hAnsi="宋体" w:eastAsia="宋体" w:cs="宋体"/>
          <w:kern w:val="0"/>
          <w:sz w:val="24"/>
          <w:u w:val="single"/>
        </w:rPr>
        <w:t xml:space="preserve">       </w:t>
      </w:r>
      <w:r>
        <w:rPr>
          <w:rFonts w:hint="eastAsia" w:ascii="宋体" w:hAnsi="宋体" w:eastAsia="宋体" w:cs="宋体"/>
          <w:kern w:val="0"/>
          <w:sz w:val="24"/>
        </w:rPr>
        <w:t>年</w:t>
      </w:r>
      <w:r>
        <w:rPr>
          <w:rFonts w:hint="eastAsia" w:ascii="宋体" w:hAnsi="宋体" w:eastAsia="宋体" w:cs="宋体"/>
          <w:kern w:val="0"/>
          <w:sz w:val="24"/>
          <w:u w:val="single"/>
        </w:rPr>
        <w:t xml:space="preserve">     </w:t>
      </w:r>
      <w:r>
        <w:rPr>
          <w:rFonts w:hint="eastAsia" w:ascii="宋体" w:hAnsi="宋体" w:eastAsia="宋体" w:cs="宋体"/>
          <w:kern w:val="0"/>
          <w:sz w:val="24"/>
        </w:rPr>
        <w:t>月</w:t>
      </w:r>
      <w:r>
        <w:rPr>
          <w:rFonts w:hint="eastAsia" w:ascii="宋体" w:hAnsi="宋体" w:eastAsia="宋体" w:cs="宋体"/>
          <w:kern w:val="0"/>
          <w:sz w:val="24"/>
          <w:u w:val="single"/>
        </w:rPr>
        <w:t xml:space="preserve">     </w:t>
      </w:r>
      <w:r>
        <w:rPr>
          <w:rFonts w:hint="eastAsia" w:ascii="宋体" w:hAnsi="宋体" w:eastAsia="宋体" w:cs="宋体"/>
          <w:kern w:val="0"/>
          <w:sz w:val="24"/>
        </w:rPr>
        <w:t>日</w:t>
      </w:r>
    </w:p>
    <w:p w14:paraId="69B7C9DC">
      <w:pPr>
        <w:pStyle w:val="3"/>
        <w:spacing w:line="240" w:lineRule="auto"/>
        <w:jc w:val="center"/>
        <w:rPr>
          <w:rFonts w:hint="eastAsia" w:ascii="宋体" w:hAnsi="宋体" w:eastAsia="宋体" w:cs="宋体"/>
          <w:kern w:val="0"/>
          <w:sz w:val="24"/>
        </w:rPr>
      </w:pPr>
      <w:r>
        <w:rPr>
          <w:rFonts w:hint="eastAsia" w:ascii="宋体" w:hAnsi="宋体" w:eastAsia="宋体" w:cs="宋体"/>
          <w:kern w:val="0"/>
          <w:sz w:val="24"/>
        </w:rPr>
        <w:t xml:space="preserve">  说明：本承诺书效力和作用等同投标保证金，其有效期与投标有效期一致。</w:t>
      </w:r>
    </w:p>
    <w:p w14:paraId="578F5FEA">
      <w:pPr>
        <w:pStyle w:val="3"/>
        <w:spacing w:line="240" w:lineRule="auto"/>
        <w:rPr>
          <w:rFonts w:hint="eastAsia" w:ascii="宋体" w:hAnsi="宋体" w:eastAsia="宋体" w:cs="宋体"/>
          <w:kern w:val="0"/>
          <w:sz w:val="24"/>
        </w:rPr>
      </w:pPr>
      <w:r>
        <w:rPr>
          <w:rFonts w:hint="eastAsia" w:ascii="宋体" w:hAnsi="宋体" w:eastAsia="宋体" w:cs="宋体"/>
          <w:kern w:val="0"/>
          <w:sz w:val="24"/>
        </w:rPr>
        <w:t xml:space="preserve">    </w:t>
      </w:r>
    </w:p>
    <w:p w14:paraId="327E758A">
      <w:pPr>
        <w:rPr>
          <w:rFonts w:hint="eastAsia" w:ascii="宋体" w:hAnsi="宋体" w:eastAsia="宋体" w:cs="宋体"/>
          <w:kern w:val="0"/>
          <w:sz w:val="24"/>
        </w:rPr>
      </w:pPr>
    </w:p>
    <w:p w14:paraId="2E3C944F">
      <w:pPr>
        <w:pStyle w:val="37"/>
        <w:rPr>
          <w:rFonts w:hint="eastAsia" w:ascii="宋体" w:hAnsi="宋体" w:eastAsia="宋体" w:cs="宋体"/>
          <w:kern w:val="0"/>
          <w:sz w:val="24"/>
        </w:rPr>
      </w:pPr>
    </w:p>
    <w:p w14:paraId="547BA6BF">
      <w:pPr>
        <w:pStyle w:val="37"/>
        <w:rPr>
          <w:rFonts w:hint="eastAsia" w:ascii="宋体" w:hAnsi="宋体" w:eastAsia="宋体" w:cs="宋体"/>
          <w:kern w:val="0"/>
          <w:sz w:val="24"/>
        </w:rPr>
      </w:pPr>
    </w:p>
    <w:p w14:paraId="7C4DA725">
      <w:pPr>
        <w:pStyle w:val="37"/>
        <w:rPr>
          <w:rFonts w:hint="eastAsia" w:ascii="宋体" w:hAnsi="宋体" w:eastAsia="宋体" w:cs="宋体"/>
          <w:kern w:val="0"/>
          <w:sz w:val="24"/>
        </w:rPr>
      </w:pPr>
    </w:p>
    <w:p w14:paraId="44EE790E">
      <w:pPr>
        <w:pStyle w:val="37"/>
        <w:rPr>
          <w:rFonts w:hint="eastAsia" w:ascii="宋体" w:hAnsi="宋体" w:eastAsia="宋体" w:cs="宋体"/>
          <w:kern w:val="0"/>
          <w:sz w:val="24"/>
        </w:rPr>
      </w:pPr>
    </w:p>
    <w:p w14:paraId="0ABE9E0A">
      <w:pPr>
        <w:rPr>
          <w:rFonts w:hint="eastAsia" w:ascii="宋体" w:hAnsi="宋体" w:eastAsia="宋体" w:cs="宋体"/>
          <w:kern w:val="0"/>
          <w:sz w:val="24"/>
        </w:rPr>
      </w:pPr>
    </w:p>
    <w:p w14:paraId="75BA991C">
      <w:pPr>
        <w:spacing w:line="560" w:lineRule="exact"/>
        <w:ind w:right="-2"/>
        <w:jc w:val="center"/>
        <w:rPr>
          <w:rFonts w:hint="eastAsia" w:ascii="宋体" w:hAnsi="宋体" w:eastAsia="宋体" w:cs="宋体"/>
          <w:b/>
          <w:bCs/>
          <w:sz w:val="32"/>
          <w:szCs w:val="32"/>
        </w:rPr>
      </w:pPr>
      <w:r>
        <w:rPr>
          <w:rFonts w:hint="eastAsia" w:ascii="宋体" w:hAnsi="宋体" w:eastAsia="宋体" w:cs="宋体"/>
          <w:b/>
          <w:bCs/>
          <w:sz w:val="32"/>
          <w:szCs w:val="32"/>
        </w:rPr>
        <w:t>附件4 榆林市政府采购服务类项目供应商信用承诺书</w:t>
      </w:r>
    </w:p>
    <w:p w14:paraId="4E9E64F9">
      <w:pPr>
        <w:pStyle w:val="18"/>
        <w:shd w:val="clear" w:color="auto" w:fill="FFFFFF"/>
        <w:adjustRightInd w:val="0"/>
        <w:snapToGrid w:val="0"/>
        <w:spacing w:before="0" w:beforeAutospacing="0" w:after="150" w:afterAutospacing="0" w:line="360" w:lineRule="auto"/>
        <w:ind w:firstLine="480"/>
        <w:jc w:val="both"/>
        <w:rPr>
          <w:rFonts w:hint="eastAsia" w:cs="宋体"/>
          <w:shd w:val="clear" w:color="auto" w:fill="FFFFFF"/>
        </w:rPr>
      </w:pPr>
    </w:p>
    <w:p w14:paraId="0DDFEFA3">
      <w:pPr>
        <w:pStyle w:val="18"/>
        <w:shd w:val="clear" w:color="auto" w:fill="FFFFFF"/>
        <w:adjustRightInd w:val="0"/>
        <w:snapToGrid w:val="0"/>
        <w:spacing w:before="0" w:beforeAutospacing="0" w:after="150" w:afterAutospacing="0" w:line="360" w:lineRule="auto"/>
        <w:ind w:firstLine="480"/>
        <w:jc w:val="both"/>
        <w:rPr>
          <w:rFonts w:hint="eastAsia" w:cs="宋体"/>
        </w:rPr>
      </w:pPr>
      <w:r>
        <w:rPr>
          <w:rFonts w:hint="eastAsia" w:cs="宋体"/>
          <w:shd w:val="clear" w:color="auto" w:fill="FFFFFF"/>
        </w:rPr>
        <w:t>市场主体名称：</w:t>
      </w:r>
    </w:p>
    <w:p w14:paraId="7F4DA567">
      <w:pPr>
        <w:pStyle w:val="18"/>
        <w:shd w:val="clear" w:color="auto" w:fill="FFFFFF"/>
        <w:adjustRightInd w:val="0"/>
        <w:snapToGrid w:val="0"/>
        <w:spacing w:before="0" w:beforeAutospacing="0" w:after="150" w:afterAutospacing="0" w:line="360" w:lineRule="auto"/>
        <w:ind w:firstLine="480"/>
        <w:jc w:val="both"/>
        <w:rPr>
          <w:rFonts w:hint="eastAsia" w:cs="宋体"/>
        </w:rPr>
      </w:pPr>
      <w:r>
        <w:rPr>
          <w:rFonts w:hint="eastAsia" w:cs="宋体"/>
          <w:shd w:val="clear" w:color="auto" w:fill="FFFFFF"/>
        </w:rPr>
        <w:t>证件类型：统一社会信用代码</w:t>
      </w:r>
    </w:p>
    <w:p w14:paraId="2792F55C">
      <w:pPr>
        <w:pStyle w:val="18"/>
        <w:shd w:val="clear" w:color="auto" w:fill="FFFFFF"/>
        <w:adjustRightInd w:val="0"/>
        <w:snapToGrid w:val="0"/>
        <w:spacing w:before="0" w:beforeAutospacing="0" w:after="150" w:afterAutospacing="0" w:line="360" w:lineRule="auto"/>
        <w:ind w:firstLine="480"/>
        <w:jc w:val="both"/>
        <w:rPr>
          <w:rFonts w:hint="eastAsia" w:cs="宋体"/>
          <w:shd w:val="clear" w:color="auto" w:fill="FFFFFF"/>
        </w:rPr>
      </w:pPr>
      <w:r>
        <w:rPr>
          <w:rFonts w:hint="eastAsia" w:cs="宋体"/>
          <w:shd w:val="clear" w:color="auto" w:fill="FFFFFF"/>
        </w:rPr>
        <w:t>证件号码：</w:t>
      </w:r>
    </w:p>
    <w:p w14:paraId="31B4DA20">
      <w:pPr>
        <w:pStyle w:val="18"/>
        <w:shd w:val="clear" w:color="auto" w:fill="FFFFFF"/>
        <w:adjustRightInd w:val="0"/>
        <w:snapToGrid w:val="0"/>
        <w:spacing w:before="0" w:beforeAutospacing="0" w:after="150" w:afterAutospacing="0" w:line="360" w:lineRule="auto"/>
        <w:ind w:firstLine="480"/>
        <w:jc w:val="both"/>
        <w:rPr>
          <w:rFonts w:hint="eastAsia" w:cs="宋体"/>
          <w:shd w:val="clear" w:color="auto" w:fill="FFFFFF"/>
        </w:rPr>
      </w:pPr>
      <w:r>
        <w:rPr>
          <w:rFonts w:hint="eastAsia" w:cs="宋体"/>
          <w:shd w:val="clear" w:color="auto" w:fill="FFFFFF"/>
        </w:rPr>
        <w:t>法人代表：</w:t>
      </w:r>
    </w:p>
    <w:p w14:paraId="71677703">
      <w:pPr>
        <w:pStyle w:val="18"/>
        <w:shd w:val="clear" w:color="auto" w:fill="FFFFFF"/>
        <w:adjustRightInd w:val="0"/>
        <w:snapToGrid w:val="0"/>
        <w:spacing w:before="0" w:beforeAutospacing="0" w:after="150" w:afterAutospacing="0" w:line="360" w:lineRule="auto"/>
        <w:ind w:firstLine="480"/>
        <w:jc w:val="both"/>
        <w:rPr>
          <w:rFonts w:hint="eastAsia" w:cs="宋体"/>
          <w:shd w:val="clear" w:color="auto" w:fill="FFFFFF"/>
        </w:rPr>
      </w:pPr>
      <w:r>
        <w:rPr>
          <w:rFonts w:hint="eastAsia" w:cs="宋体"/>
          <w:shd w:val="clear" w:color="auto" w:fill="FFFFFF"/>
        </w:rPr>
        <w:t>承诺有效期限：   年    月    日—    年    月     日（有效期一年）</w:t>
      </w:r>
    </w:p>
    <w:p w14:paraId="019977FD">
      <w:pPr>
        <w:pStyle w:val="18"/>
        <w:shd w:val="clear" w:color="auto" w:fill="FFFFFF"/>
        <w:adjustRightInd w:val="0"/>
        <w:snapToGrid w:val="0"/>
        <w:spacing w:before="0" w:beforeAutospacing="0" w:after="150" w:afterAutospacing="0" w:line="360" w:lineRule="auto"/>
        <w:ind w:firstLine="480"/>
        <w:jc w:val="both"/>
        <w:rPr>
          <w:rFonts w:hint="eastAsia" w:cs="宋体"/>
        </w:rPr>
      </w:pPr>
      <w:r>
        <w:rPr>
          <w:rFonts w:hint="eastAsia" w:cs="宋体"/>
          <w:shd w:val="clear" w:color="auto" w:fill="FFFFFF"/>
        </w:rPr>
        <w:t>承诺内容：</w:t>
      </w:r>
    </w:p>
    <w:p w14:paraId="381D5497">
      <w:pPr>
        <w:pStyle w:val="18"/>
        <w:shd w:val="clear" w:color="auto" w:fill="FFFFFF"/>
        <w:adjustRightInd w:val="0"/>
        <w:snapToGrid w:val="0"/>
        <w:spacing w:before="0" w:beforeAutospacing="0" w:after="150" w:afterAutospacing="0" w:line="360" w:lineRule="auto"/>
        <w:ind w:firstLine="640"/>
        <w:jc w:val="both"/>
        <w:rPr>
          <w:rFonts w:hint="eastAsia" w:cs="宋体"/>
        </w:rPr>
      </w:pPr>
      <w:r>
        <w:rPr>
          <w:rFonts w:hint="eastAsia" w:cs="宋体"/>
          <w:shd w:val="clear" w:color="auto" w:fill="FFFFFF"/>
        </w:rPr>
        <w:t>为维护公开、公平、公正的政府采购市场秩序，树立诚实守信的政府采购供应商形象，本单位自愿做出以下承诺：</w:t>
      </w:r>
    </w:p>
    <w:p w14:paraId="54BE8BB7">
      <w:pPr>
        <w:pStyle w:val="18"/>
        <w:shd w:val="clear" w:color="auto" w:fill="FFFFFF"/>
        <w:adjustRightInd w:val="0"/>
        <w:snapToGrid w:val="0"/>
        <w:spacing w:before="0" w:beforeAutospacing="0" w:after="150" w:afterAutospacing="0" w:line="360" w:lineRule="auto"/>
        <w:ind w:firstLine="640"/>
        <w:jc w:val="both"/>
        <w:rPr>
          <w:rFonts w:hint="eastAsia" w:cs="宋体"/>
        </w:rPr>
      </w:pPr>
      <w:r>
        <w:rPr>
          <w:rFonts w:hint="eastAsia" w:cs="宋体"/>
          <w:shd w:val="clear" w:color="auto" w:fill="FFFFFF"/>
        </w:rPr>
        <w:t>一、承诺本单位严格遵守国家法律、法规和规章，全面履行应尽的责任和义务，全面做到履约守信，具备《政府采购法》第二十二条第一款规定的条件;</w:t>
      </w:r>
    </w:p>
    <w:p w14:paraId="5A822EC8">
      <w:pPr>
        <w:pStyle w:val="18"/>
        <w:shd w:val="clear" w:color="auto" w:fill="FFFFFF"/>
        <w:adjustRightInd w:val="0"/>
        <w:snapToGrid w:val="0"/>
        <w:spacing w:before="0" w:beforeAutospacing="0" w:after="150" w:afterAutospacing="0" w:line="360" w:lineRule="auto"/>
        <w:ind w:firstLine="640"/>
        <w:jc w:val="both"/>
        <w:rPr>
          <w:rFonts w:hint="eastAsia" w:cs="宋体"/>
        </w:rPr>
      </w:pPr>
      <w:r>
        <w:rPr>
          <w:rFonts w:hint="eastAsia" w:cs="宋体"/>
          <w:shd w:val="clear" w:color="auto" w:fill="FFFFFF"/>
        </w:rPr>
        <w:t>二、承诺本单位提供给注册登记部门、行业管理部门、司法部门、行业组织以及在政府采购活动中提交的所有资料均合法、真实、有效，无任何伪造、修改、虚假成份，并对所提供资料的真实性负责；</w:t>
      </w:r>
    </w:p>
    <w:p w14:paraId="608A8AC1">
      <w:pPr>
        <w:pStyle w:val="18"/>
        <w:shd w:val="clear" w:color="auto" w:fill="FFFFFF"/>
        <w:adjustRightInd w:val="0"/>
        <w:snapToGrid w:val="0"/>
        <w:spacing w:before="0" w:beforeAutospacing="0" w:after="150" w:afterAutospacing="0" w:line="360" w:lineRule="auto"/>
        <w:ind w:firstLine="640"/>
        <w:jc w:val="both"/>
        <w:rPr>
          <w:rFonts w:hint="eastAsia" w:cs="宋体"/>
        </w:rPr>
      </w:pPr>
      <w:r>
        <w:rPr>
          <w:rFonts w:hint="eastAsia" w:cs="宋体"/>
          <w:shd w:val="clear" w:color="auto" w:fill="FFFFFF"/>
        </w:rPr>
        <w:t>三、承诺本单位严格依法开展生产经营活动，主动接受行业监管，自愿接受依法开展的日常检查；违法失信经营后将自愿接受约束和惩戒，并依法承担相应责任；</w:t>
      </w:r>
    </w:p>
    <w:p w14:paraId="1853D6DE">
      <w:pPr>
        <w:pStyle w:val="18"/>
        <w:shd w:val="clear" w:color="auto" w:fill="FFFFFF"/>
        <w:adjustRightInd w:val="0"/>
        <w:snapToGrid w:val="0"/>
        <w:spacing w:before="0" w:beforeAutospacing="0" w:after="150" w:afterAutospacing="0" w:line="360" w:lineRule="auto"/>
        <w:ind w:firstLine="640"/>
        <w:jc w:val="both"/>
        <w:rPr>
          <w:rFonts w:hint="eastAsia" w:cs="宋体"/>
        </w:rPr>
      </w:pPr>
      <w:r>
        <w:rPr>
          <w:rFonts w:hint="eastAsia" w:cs="宋体"/>
          <w:shd w:val="clear" w:color="auto" w:fill="FFFFFF"/>
        </w:rPr>
        <w:t>四、承诺本单位自觉接受行政管理部门、行业组织、社会公众、新闻舆论的监督；</w:t>
      </w:r>
    </w:p>
    <w:p w14:paraId="7B428EA5">
      <w:pPr>
        <w:pStyle w:val="18"/>
        <w:shd w:val="clear" w:color="auto" w:fill="FFFFFF"/>
        <w:adjustRightInd w:val="0"/>
        <w:snapToGrid w:val="0"/>
        <w:spacing w:before="0" w:beforeAutospacing="0" w:after="150" w:afterAutospacing="0" w:line="360" w:lineRule="auto"/>
        <w:ind w:firstLine="640"/>
        <w:jc w:val="both"/>
        <w:rPr>
          <w:rFonts w:hint="eastAsia" w:cs="宋体"/>
        </w:rPr>
      </w:pPr>
      <w:r>
        <w:rPr>
          <w:rFonts w:hint="eastAsia" w:cs="宋体"/>
          <w:shd w:val="clear" w:color="auto" w:fill="FFFFFF"/>
        </w:rPr>
        <w:t>五、承诺本单位自我约束、自我管理，重合同、守信用，不制假售假、商标侵权、虚假宣传、违约毁约、恶意逃债、偷税漏税、价格欺诈、垄断和不正当竞争，维护经营者、消费者的合法权益；</w:t>
      </w:r>
    </w:p>
    <w:p w14:paraId="5AC949AD">
      <w:pPr>
        <w:pStyle w:val="18"/>
        <w:shd w:val="clear" w:color="auto" w:fill="FFFFFF"/>
        <w:adjustRightInd w:val="0"/>
        <w:snapToGrid w:val="0"/>
        <w:spacing w:before="0" w:beforeAutospacing="0" w:after="150" w:afterAutospacing="0" w:line="360" w:lineRule="auto"/>
        <w:ind w:firstLine="640"/>
        <w:jc w:val="both"/>
        <w:rPr>
          <w:rFonts w:hint="eastAsia" w:cs="宋体"/>
        </w:rPr>
      </w:pPr>
      <w:r>
        <w:rPr>
          <w:rFonts w:hint="eastAsia" w:cs="宋体"/>
          <w:shd w:val="clear" w:color="auto" w:fill="FFFFFF"/>
        </w:rPr>
        <w:t>六、承诺本单位提出政府采购质疑和投诉坚持依法依规、诚实信用原则，在全国范围12个月内没有三次以上查无实据的政府采购投诉；</w:t>
      </w:r>
    </w:p>
    <w:p w14:paraId="1947D6DC">
      <w:pPr>
        <w:pStyle w:val="18"/>
        <w:shd w:val="clear" w:color="auto" w:fill="FFFFFF"/>
        <w:adjustRightInd w:val="0"/>
        <w:snapToGrid w:val="0"/>
        <w:spacing w:before="0" w:beforeAutospacing="0" w:after="150" w:afterAutospacing="0" w:line="360" w:lineRule="auto"/>
        <w:ind w:firstLine="640"/>
        <w:jc w:val="both"/>
        <w:rPr>
          <w:rFonts w:hint="eastAsia" w:cs="宋体"/>
        </w:rPr>
      </w:pPr>
      <w:r>
        <w:rPr>
          <w:rFonts w:hint="eastAsia" w:cs="宋体"/>
          <w:shd w:val="clear" w:color="auto" w:fill="FFFFFF"/>
        </w:rPr>
        <w:t>七、根据政府采购相关法律法规的规定需要作出的其他承诺：</w:t>
      </w:r>
      <w:r>
        <w:rPr>
          <w:rFonts w:hint="eastAsia" w:cs="宋体"/>
          <w:u w:val="single"/>
          <w:shd w:val="clear" w:color="auto" w:fill="FFFFFF"/>
        </w:rPr>
        <w:t>                                                              </w:t>
      </w:r>
    </w:p>
    <w:p w14:paraId="501E1601">
      <w:pPr>
        <w:pStyle w:val="18"/>
        <w:shd w:val="clear" w:color="auto" w:fill="FFFFFF"/>
        <w:adjustRightInd w:val="0"/>
        <w:snapToGrid w:val="0"/>
        <w:spacing w:before="0" w:beforeAutospacing="0" w:after="150" w:afterAutospacing="0" w:line="360" w:lineRule="auto"/>
        <w:ind w:firstLine="640"/>
        <w:jc w:val="both"/>
        <w:rPr>
          <w:rFonts w:hint="eastAsia" w:cs="宋体"/>
          <w:shd w:val="clear" w:color="auto" w:fill="FFFFFF"/>
        </w:rPr>
      </w:pPr>
      <w:r>
        <w:rPr>
          <w:rFonts w:hint="eastAsia" w:cs="宋体"/>
          <w:shd w:val="clear" w:color="auto" w:fill="FFFFFF"/>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58097045">
      <w:pPr>
        <w:pStyle w:val="18"/>
        <w:shd w:val="clear" w:color="auto" w:fill="FFFFFF"/>
        <w:adjustRightInd w:val="0"/>
        <w:snapToGrid w:val="0"/>
        <w:spacing w:before="0" w:beforeAutospacing="0" w:after="150" w:afterAutospacing="0" w:line="360" w:lineRule="auto"/>
        <w:ind w:firstLine="640"/>
        <w:jc w:val="both"/>
        <w:rPr>
          <w:rFonts w:hint="eastAsia" w:cs="宋体"/>
          <w:shd w:val="clear" w:color="auto" w:fill="FFFFFF"/>
        </w:rPr>
      </w:pPr>
      <w:r>
        <w:rPr>
          <w:rFonts w:hint="eastAsia" w:cs="宋体"/>
          <w:shd w:val="clear" w:color="auto" w:fill="FFFFFF"/>
        </w:rPr>
        <w:t>         </w:t>
      </w:r>
    </w:p>
    <w:p w14:paraId="27018716">
      <w:pPr>
        <w:pStyle w:val="18"/>
        <w:shd w:val="clear" w:color="auto" w:fill="FFFFFF"/>
        <w:adjustRightInd w:val="0"/>
        <w:snapToGrid w:val="0"/>
        <w:spacing w:before="0" w:beforeAutospacing="0" w:after="150" w:afterAutospacing="0" w:line="360" w:lineRule="auto"/>
        <w:ind w:firstLine="640"/>
        <w:jc w:val="both"/>
        <w:rPr>
          <w:rFonts w:hint="eastAsia" w:cs="宋体"/>
        </w:rPr>
      </w:pPr>
      <w:r>
        <w:rPr>
          <w:rFonts w:hint="eastAsia" w:cs="宋体"/>
          <w:shd w:val="clear" w:color="auto" w:fill="FFFFFF"/>
        </w:rPr>
        <w:t xml:space="preserve">              承诺单位（盖章）：</w:t>
      </w:r>
    </w:p>
    <w:p w14:paraId="0568E989">
      <w:pPr>
        <w:pStyle w:val="18"/>
        <w:shd w:val="clear" w:color="auto" w:fill="FFFFFF"/>
        <w:adjustRightInd w:val="0"/>
        <w:snapToGrid w:val="0"/>
        <w:spacing w:before="0" w:beforeAutospacing="0" w:after="150" w:afterAutospacing="0" w:line="360" w:lineRule="auto"/>
        <w:ind w:firstLine="640"/>
        <w:jc w:val="both"/>
        <w:rPr>
          <w:rFonts w:hint="eastAsia" w:cs="宋体"/>
          <w:shd w:val="clear" w:color="auto" w:fill="FFFFFF"/>
        </w:rPr>
      </w:pPr>
      <w:r>
        <w:rPr>
          <w:rFonts w:hint="eastAsia" w:cs="宋体"/>
          <w:shd w:val="clear" w:color="auto" w:fill="FFFFFF"/>
        </w:rPr>
        <w:t>       法定代表人（负责人）：</w:t>
      </w:r>
    </w:p>
    <w:p w14:paraId="32E2A09C">
      <w:pPr>
        <w:pStyle w:val="18"/>
        <w:shd w:val="clear" w:color="auto" w:fill="FFFFFF"/>
        <w:adjustRightInd w:val="0"/>
        <w:snapToGrid w:val="0"/>
        <w:spacing w:before="0" w:beforeAutospacing="0" w:after="150" w:afterAutospacing="0" w:line="360" w:lineRule="auto"/>
        <w:ind w:firstLine="2400" w:firstLineChars="1000"/>
        <w:jc w:val="both"/>
        <w:rPr>
          <w:rFonts w:hint="eastAsia" w:cs="宋体"/>
          <w:shd w:val="clear" w:color="auto" w:fill="FFFFFF"/>
        </w:rPr>
      </w:pPr>
      <w:r>
        <w:rPr>
          <w:rFonts w:hint="eastAsia" w:cs="宋体"/>
          <w:shd w:val="clear" w:color="auto" w:fill="FFFFFF"/>
        </w:rPr>
        <w:t>法定代表人（负责人）身份证号：</w:t>
      </w:r>
    </w:p>
    <w:p w14:paraId="79CC5090">
      <w:pPr>
        <w:pStyle w:val="18"/>
        <w:shd w:val="clear" w:color="auto" w:fill="FFFFFF"/>
        <w:adjustRightInd w:val="0"/>
        <w:snapToGrid w:val="0"/>
        <w:spacing w:before="0" w:beforeAutospacing="0" w:after="150" w:afterAutospacing="0" w:line="360" w:lineRule="auto"/>
        <w:ind w:firstLine="640"/>
        <w:jc w:val="both"/>
        <w:rPr>
          <w:rFonts w:hint="eastAsia" w:cs="宋体"/>
        </w:rPr>
      </w:pPr>
      <w:r>
        <w:rPr>
          <w:rFonts w:hint="eastAsia" w:cs="宋体"/>
          <w:shd w:val="clear" w:color="auto" w:fill="FFFFFF"/>
        </w:rPr>
        <w:t>          承诺日期：</w:t>
      </w:r>
    </w:p>
    <w:p w14:paraId="0C35E889">
      <w:pPr>
        <w:pStyle w:val="18"/>
        <w:shd w:val="clear" w:color="auto" w:fill="FFFFFF"/>
        <w:adjustRightInd w:val="0"/>
        <w:snapToGrid w:val="0"/>
        <w:spacing w:before="0" w:beforeAutospacing="0" w:after="150" w:afterAutospacing="0" w:line="360" w:lineRule="auto"/>
        <w:ind w:firstLine="480" w:firstLineChars="200"/>
        <w:jc w:val="both"/>
        <w:rPr>
          <w:rFonts w:hint="eastAsia" w:cs="宋体"/>
          <w:shd w:val="clear" w:color="auto" w:fill="FFFFFF"/>
        </w:rPr>
      </w:pPr>
      <w:r>
        <w:rPr>
          <w:rFonts w:hint="eastAsia" w:cs="宋体"/>
          <w:shd w:val="clear" w:color="auto" w:fill="FFFFFF"/>
        </w:rPr>
        <w:t>注：法定代表人或负责人、主体名称发生变更的应当重新做出承诺；承诺书标题按照工程类、货物类、服务类确定。</w:t>
      </w:r>
    </w:p>
    <w:p w14:paraId="4FB64686">
      <w:pPr>
        <w:pStyle w:val="15"/>
        <w:rPr>
          <w:rFonts w:hint="eastAsia" w:cs="宋体"/>
          <w:shd w:val="clear" w:color="auto" w:fill="FFFFFF"/>
        </w:rPr>
      </w:pPr>
    </w:p>
    <w:p w14:paraId="7BF11A7B">
      <w:pPr>
        <w:pStyle w:val="15"/>
        <w:rPr>
          <w:rFonts w:hint="eastAsia" w:cs="宋体"/>
          <w:shd w:val="clear" w:color="auto" w:fill="FFFFFF"/>
        </w:rPr>
      </w:pPr>
    </w:p>
    <w:p w14:paraId="06C77E3A">
      <w:pPr>
        <w:pStyle w:val="15"/>
        <w:rPr>
          <w:rFonts w:hint="eastAsia" w:cs="宋体"/>
          <w:shd w:val="clear" w:color="auto" w:fill="FFFFFF"/>
        </w:rPr>
      </w:pPr>
    </w:p>
    <w:p w14:paraId="68171302">
      <w:pPr>
        <w:pStyle w:val="15"/>
        <w:rPr>
          <w:rFonts w:hint="eastAsia" w:cs="宋体"/>
          <w:shd w:val="clear" w:color="auto" w:fill="FFFFFF"/>
        </w:rPr>
      </w:pPr>
    </w:p>
    <w:p w14:paraId="67AAF982">
      <w:pPr>
        <w:pStyle w:val="15"/>
        <w:rPr>
          <w:rFonts w:hint="eastAsia" w:cs="宋体"/>
          <w:shd w:val="clear" w:color="auto" w:fill="FFFFFF"/>
        </w:rPr>
      </w:pPr>
    </w:p>
    <w:p w14:paraId="24C7A91D">
      <w:pPr>
        <w:pStyle w:val="15"/>
        <w:rPr>
          <w:rFonts w:hint="eastAsia" w:cs="宋体"/>
          <w:shd w:val="clear" w:color="auto" w:fill="FFFFFF"/>
        </w:rPr>
      </w:pPr>
    </w:p>
    <w:p w14:paraId="5B8848C9">
      <w:pPr>
        <w:pStyle w:val="15"/>
        <w:rPr>
          <w:rFonts w:hint="eastAsia" w:cs="宋体"/>
          <w:shd w:val="clear" w:color="auto" w:fill="FFFFFF"/>
        </w:rPr>
      </w:pPr>
    </w:p>
    <w:p w14:paraId="5CCF67ED">
      <w:pPr>
        <w:pStyle w:val="15"/>
        <w:rPr>
          <w:rFonts w:hint="eastAsia" w:cs="宋体"/>
          <w:shd w:val="clear" w:color="auto" w:fill="FFFFFF"/>
        </w:rPr>
      </w:pPr>
    </w:p>
    <w:p w14:paraId="6927655B">
      <w:pPr>
        <w:pStyle w:val="15"/>
        <w:rPr>
          <w:rFonts w:hint="eastAsia" w:cs="宋体"/>
          <w:shd w:val="clear" w:color="auto" w:fill="FFFFFF"/>
        </w:rPr>
      </w:pPr>
    </w:p>
    <w:p w14:paraId="7C3CDE0A">
      <w:pPr>
        <w:pStyle w:val="15"/>
        <w:rPr>
          <w:rFonts w:hint="eastAsia" w:cs="宋体"/>
          <w:shd w:val="clear" w:color="auto" w:fill="FFFFFF"/>
        </w:rPr>
      </w:pPr>
    </w:p>
    <w:p w14:paraId="7C6FCB52">
      <w:pPr>
        <w:pStyle w:val="15"/>
        <w:rPr>
          <w:rFonts w:hint="eastAsia" w:cs="宋体"/>
          <w:shd w:val="clear" w:color="auto" w:fill="FFFFFF"/>
        </w:rPr>
      </w:pPr>
    </w:p>
    <w:p w14:paraId="7729E22D">
      <w:pPr>
        <w:pStyle w:val="15"/>
        <w:rPr>
          <w:rFonts w:hint="eastAsia" w:cs="宋体"/>
          <w:shd w:val="clear" w:color="auto" w:fill="FFFFFF"/>
        </w:rPr>
      </w:pPr>
    </w:p>
    <w:p w14:paraId="682FDFED">
      <w:pPr>
        <w:pStyle w:val="15"/>
        <w:rPr>
          <w:rFonts w:hint="eastAsia" w:cs="宋体"/>
          <w:shd w:val="clear" w:color="auto" w:fill="FFFFFF"/>
        </w:rPr>
      </w:pPr>
    </w:p>
    <w:p w14:paraId="0F00A229">
      <w:pPr>
        <w:pStyle w:val="15"/>
        <w:rPr>
          <w:rFonts w:hint="eastAsia" w:cs="宋体"/>
          <w:shd w:val="clear" w:color="auto" w:fill="FFFFFF"/>
        </w:rPr>
      </w:pPr>
    </w:p>
    <w:p w14:paraId="5D4E33FF">
      <w:pPr>
        <w:pStyle w:val="15"/>
        <w:rPr>
          <w:rFonts w:hint="eastAsia" w:cs="宋体"/>
          <w:shd w:val="clear" w:color="auto" w:fill="FFFFFF"/>
        </w:rPr>
      </w:pPr>
    </w:p>
    <w:p w14:paraId="48534B45">
      <w:pPr>
        <w:pStyle w:val="15"/>
        <w:rPr>
          <w:rFonts w:hint="eastAsia" w:cs="宋体"/>
          <w:shd w:val="clear" w:color="auto" w:fill="FFFFFF"/>
        </w:rPr>
      </w:pPr>
    </w:p>
    <w:p w14:paraId="7B7BC921">
      <w:pPr>
        <w:pStyle w:val="15"/>
        <w:rPr>
          <w:rFonts w:hint="eastAsia" w:cs="宋体"/>
          <w:shd w:val="clear" w:color="auto" w:fill="FFFFFF"/>
        </w:rPr>
      </w:pPr>
    </w:p>
    <w:p w14:paraId="584A1339">
      <w:pPr>
        <w:pStyle w:val="15"/>
        <w:rPr>
          <w:rFonts w:hint="eastAsia" w:cs="宋体"/>
          <w:shd w:val="clear" w:color="auto" w:fill="FFFFFF"/>
        </w:rPr>
      </w:pPr>
    </w:p>
    <w:p w14:paraId="2C575AA4">
      <w:pPr>
        <w:pStyle w:val="15"/>
        <w:rPr>
          <w:rFonts w:hint="eastAsia" w:cs="宋体"/>
          <w:shd w:val="clear" w:color="auto" w:fill="FFFFFF"/>
        </w:rPr>
      </w:pPr>
    </w:p>
    <w:p w14:paraId="6625D53C">
      <w:pPr>
        <w:pStyle w:val="15"/>
        <w:rPr>
          <w:rFonts w:hint="eastAsia" w:cs="宋体"/>
          <w:shd w:val="clear" w:color="auto" w:fill="FFFFFF"/>
        </w:rPr>
      </w:pPr>
    </w:p>
    <w:p w14:paraId="1831B4BD">
      <w:pPr>
        <w:pStyle w:val="15"/>
        <w:rPr>
          <w:rFonts w:hint="eastAsia" w:cs="宋体"/>
          <w:shd w:val="clear" w:color="auto" w:fill="FFFFFF"/>
        </w:rPr>
      </w:pPr>
    </w:p>
    <w:p w14:paraId="224EE854">
      <w:pPr>
        <w:pStyle w:val="15"/>
        <w:rPr>
          <w:rFonts w:hint="eastAsia" w:cs="宋体"/>
          <w:shd w:val="clear" w:color="auto" w:fill="FFFFFF"/>
        </w:rPr>
      </w:pPr>
    </w:p>
    <w:p w14:paraId="704CCC6F">
      <w:pPr>
        <w:pStyle w:val="15"/>
        <w:rPr>
          <w:rFonts w:hint="eastAsia" w:cs="宋体"/>
          <w:shd w:val="clear" w:color="auto" w:fill="FFFFFF"/>
        </w:rPr>
      </w:pPr>
    </w:p>
    <w:p w14:paraId="0C4A5ADA">
      <w:pPr>
        <w:pStyle w:val="15"/>
        <w:rPr>
          <w:rFonts w:hint="eastAsia" w:cs="宋体"/>
          <w:shd w:val="clear" w:color="auto" w:fill="FFFFFF"/>
        </w:rPr>
      </w:pPr>
    </w:p>
    <w:p w14:paraId="1336B49E">
      <w:pPr>
        <w:pStyle w:val="15"/>
        <w:rPr>
          <w:rFonts w:hint="eastAsia" w:cs="宋体"/>
          <w:shd w:val="clear" w:color="auto" w:fill="FFFFFF"/>
        </w:rPr>
      </w:pPr>
    </w:p>
    <w:p w14:paraId="27823699">
      <w:pPr>
        <w:pStyle w:val="15"/>
        <w:rPr>
          <w:rFonts w:hint="eastAsia" w:cs="宋体"/>
          <w:shd w:val="clear" w:color="auto" w:fill="FFFFFF"/>
        </w:rPr>
      </w:pPr>
    </w:p>
    <w:p w14:paraId="55E45FFF">
      <w:pPr>
        <w:pStyle w:val="15"/>
        <w:rPr>
          <w:rFonts w:hint="eastAsia" w:cs="宋体"/>
          <w:shd w:val="clear" w:color="auto" w:fill="FFFFFF"/>
        </w:rPr>
      </w:pPr>
    </w:p>
    <w:p w14:paraId="7D2721AF">
      <w:pPr>
        <w:pStyle w:val="15"/>
        <w:rPr>
          <w:rFonts w:hint="eastAsia" w:cs="宋体"/>
          <w:shd w:val="clear" w:color="auto" w:fill="FFFFFF"/>
        </w:rPr>
      </w:pPr>
    </w:p>
    <w:p w14:paraId="01E314F1">
      <w:pPr>
        <w:pStyle w:val="15"/>
        <w:rPr>
          <w:rFonts w:hint="eastAsia" w:cs="宋体"/>
          <w:shd w:val="clear" w:color="auto" w:fill="FFFFFF"/>
        </w:rPr>
      </w:pPr>
    </w:p>
    <w:p w14:paraId="22438CB7">
      <w:pPr>
        <w:pStyle w:val="15"/>
        <w:rPr>
          <w:rFonts w:hint="eastAsia" w:cs="宋体"/>
          <w:shd w:val="clear" w:color="auto" w:fill="FFFFFF"/>
        </w:rPr>
      </w:pPr>
    </w:p>
    <w:p w14:paraId="23E0400B">
      <w:pPr>
        <w:pStyle w:val="15"/>
        <w:rPr>
          <w:rFonts w:hint="eastAsia" w:cs="宋体"/>
          <w:shd w:val="clear" w:color="auto" w:fill="FFFFFF"/>
        </w:rPr>
      </w:pPr>
    </w:p>
    <w:p w14:paraId="718473E6">
      <w:pPr>
        <w:pStyle w:val="15"/>
        <w:rPr>
          <w:rFonts w:hint="eastAsia" w:cs="宋体"/>
          <w:shd w:val="clear" w:color="auto" w:fill="FFFFFF"/>
        </w:rPr>
      </w:pPr>
    </w:p>
    <w:p w14:paraId="1AB4E8F1">
      <w:pPr>
        <w:pStyle w:val="3"/>
        <w:spacing w:line="240" w:lineRule="auto"/>
        <w:jc w:val="center"/>
        <w:rPr>
          <w:rFonts w:hint="eastAsia" w:ascii="宋体" w:hAnsi="宋体" w:eastAsia="宋体" w:cs="宋体"/>
        </w:rPr>
      </w:pPr>
      <w:r>
        <w:rPr>
          <w:rFonts w:hint="eastAsia" w:ascii="宋体" w:hAnsi="宋体" w:eastAsia="宋体" w:cs="宋体"/>
        </w:rPr>
        <w:t xml:space="preserve"> 附件5  关于信用承诺网上公示的通知及操作指南</w:t>
      </w:r>
    </w:p>
    <w:p w14:paraId="69F9AD23">
      <w:pPr>
        <w:rPr>
          <w:rFonts w:hint="eastAsia" w:ascii="宋体" w:hAnsi="宋体" w:eastAsia="宋体" w:cs="宋体"/>
        </w:rPr>
      </w:pPr>
      <w:r>
        <w:rPr>
          <w:rFonts w:hint="eastAsia" w:ascii="宋体" w:hAnsi="宋体" w:cs="宋体"/>
        </w:rPr>
        <w:drawing>
          <wp:anchor distT="0" distB="0" distL="114300" distR="114300" simplePos="0" relativeHeight="251659264" behindDoc="0" locked="0" layoutInCell="1" allowOverlap="1">
            <wp:simplePos x="0" y="0"/>
            <wp:positionH relativeFrom="column">
              <wp:posOffset>454025</wp:posOffset>
            </wp:positionH>
            <wp:positionV relativeFrom="paragraph">
              <wp:posOffset>110490</wp:posOffset>
            </wp:positionV>
            <wp:extent cx="5514340" cy="7682230"/>
            <wp:effectExtent l="0" t="0" r="10160" b="13970"/>
            <wp:wrapNone/>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18"/>
                    <a:stretch>
                      <a:fillRect/>
                    </a:stretch>
                  </pic:blipFill>
                  <pic:spPr>
                    <a:xfrm>
                      <a:off x="0" y="0"/>
                      <a:ext cx="5514340" cy="7682230"/>
                    </a:xfrm>
                    <a:prstGeom prst="rect">
                      <a:avLst/>
                    </a:prstGeom>
                    <a:noFill/>
                    <a:ln>
                      <a:noFill/>
                    </a:ln>
                  </pic:spPr>
                </pic:pic>
              </a:graphicData>
            </a:graphic>
          </wp:anchor>
        </w:drawing>
      </w:r>
    </w:p>
    <w:p w14:paraId="0678832B">
      <w:pPr>
        <w:pStyle w:val="37"/>
        <w:rPr>
          <w:rFonts w:hint="eastAsia" w:ascii="宋体" w:hAnsi="宋体" w:eastAsia="宋体" w:cs="宋体"/>
        </w:rPr>
      </w:pPr>
    </w:p>
    <w:p w14:paraId="6D2714A0">
      <w:pPr>
        <w:pStyle w:val="37"/>
        <w:rPr>
          <w:rFonts w:hint="eastAsia" w:ascii="宋体" w:hAnsi="宋体" w:eastAsia="宋体" w:cs="宋体"/>
        </w:rPr>
      </w:pPr>
    </w:p>
    <w:p w14:paraId="5284C80D">
      <w:pPr>
        <w:pStyle w:val="37"/>
        <w:rPr>
          <w:rFonts w:hint="eastAsia" w:ascii="宋体" w:hAnsi="宋体" w:eastAsia="宋体" w:cs="宋体"/>
        </w:rPr>
      </w:pPr>
    </w:p>
    <w:p w14:paraId="33837C67">
      <w:pPr>
        <w:pStyle w:val="37"/>
        <w:rPr>
          <w:rFonts w:hint="eastAsia" w:ascii="宋体" w:hAnsi="宋体" w:eastAsia="宋体" w:cs="宋体"/>
        </w:rPr>
      </w:pPr>
    </w:p>
    <w:p w14:paraId="396A3F06">
      <w:pPr>
        <w:pStyle w:val="37"/>
        <w:rPr>
          <w:rFonts w:hint="eastAsia" w:ascii="宋体" w:hAnsi="宋体" w:eastAsia="宋体" w:cs="宋体"/>
        </w:rPr>
      </w:pPr>
    </w:p>
    <w:p w14:paraId="5B758AB6">
      <w:pPr>
        <w:pStyle w:val="37"/>
        <w:rPr>
          <w:rFonts w:hint="eastAsia" w:ascii="宋体" w:hAnsi="宋体" w:eastAsia="宋体" w:cs="宋体"/>
        </w:rPr>
      </w:pPr>
    </w:p>
    <w:p w14:paraId="7739B9FB">
      <w:pPr>
        <w:pStyle w:val="4"/>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rPr>
        <w:sectPr>
          <w:headerReference r:id="rId14" w:type="default"/>
          <w:footerReference r:id="rId15" w:type="default"/>
          <w:pgSz w:w="11911" w:h="16843"/>
          <w:pgMar w:top="1304" w:right="1304" w:bottom="1304" w:left="1304" w:header="720" w:footer="720" w:gutter="0"/>
          <w:pgNumType w:fmt="decimal"/>
          <w:cols w:space="720" w:num="1"/>
          <w:rtlGutter w:val="0"/>
          <w:docGrid w:linePitch="312" w:charSpace="0"/>
        </w:sectPr>
      </w:pPr>
    </w:p>
    <w:p w14:paraId="2C314D08">
      <w:pPr>
        <w:pStyle w:val="37"/>
        <w:ind w:left="0" w:leftChars="0" w:firstLine="0" w:firstLineChars="0"/>
        <w:rPr>
          <w:rFonts w:hint="eastAsia" w:ascii="宋体" w:hAnsi="宋体" w:eastAsia="宋体" w:cs="宋体"/>
          <w:b/>
          <w:bCs/>
          <w:color w:val="auto"/>
          <w:sz w:val="24"/>
          <w:szCs w:val="22"/>
        </w:rPr>
      </w:pPr>
      <w:r>
        <w:rPr>
          <w:rFonts w:hint="eastAsia" w:ascii="宋体" w:hAnsi="宋体" w:eastAsia="宋体" w:cs="宋体"/>
          <w:color w:val="auto"/>
        </w:rPr>
        <w:drawing>
          <wp:inline distT="0" distB="0" distL="114300" distR="114300">
            <wp:extent cx="5299075" cy="7094855"/>
            <wp:effectExtent l="0" t="0" r="15875" b="1079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9"/>
                    <a:stretch>
                      <a:fillRect/>
                    </a:stretch>
                  </pic:blipFill>
                  <pic:spPr>
                    <a:xfrm>
                      <a:off x="0" y="0"/>
                      <a:ext cx="5299075" cy="7094855"/>
                    </a:xfrm>
                    <a:prstGeom prst="rect">
                      <a:avLst/>
                    </a:prstGeom>
                    <a:noFill/>
                    <a:ln>
                      <a:noFill/>
                    </a:ln>
                  </pic:spPr>
                </pic:pic>
              </a:graphicData>
            </a:graphic>
          </wp:inline>
        </w:drawing>
      </w:r>
    </w:p>
    <w:p w14:paraId="3C8E04CB">
      <w:pPr>
        <w:pStyle w:val="37"/>
        <w:rPr>
          <w:rFonts w:hint="eastAsia" w:ascii="宋体" w:hAnsi="宋体" w:eastAsia="宋体" w:cs="宋体"/>
          <w:b/>
          <w:bCs/>
          <w:color w:val="auto"/>
          <w:sz w:val="24"/>
          <w:szCs w:val="22"/>
        </w:rPr>
      </w:pPr>
    </w:p>
    <w:p w14:paraId="6B13322A">
      <w:pPr>
        <w:pStyle w:val="37"/>
        <w:rPr>
          <w:rFonts w:hint="eastAsia" w:ascii="宋体" w:hAnsi="宋体" w:eastAsia="宋体" w:cs="宋体"/>
          <w:b/>
          <w:bCs/>
          <w:color w:val="auto"/>
          <w:sz w:val="24"/>
          <w:szCs w:val="22"/>
        </w:rPr>
      </w:pPr>
    </w:p>
    <w:p w14:paraId="0FFD7B64">
      <w:pPr>
        <w:pStyle w:val="37"/>
        <w:rPr>
          <w:rFonts w:hint="eastAsia" w:ascii="宋体" w:hAnsi="宋体" w:eastAsia="宋体" w:cs="宋体"/>
          <w:b/>
          <w:bCs/>
          <w:color w:val="auto"/>
          <w:sz w:val="24"/>
          <w:szCs w:val="22"/>
        </w:rPr>
      </w:pPr>
    </w:p>
    <w:p w14:paraId="13715DC9">
      <w:pPr>
        <w:pStyle w:val="37"/>
        <w:rPr>
          <w:rFonts w:hint="eastAsia" w:ascii="宋体" w:hAnsi="宋体" w:eastAsia="宋体" w:cs="宋体"/>
          <w:b/>
          <w:bCs/>
          <w:color w:val="auto"/>
          <w:sz w:val="24"/>
          <w:szCs w:val="22"/>
        </w:rPr>
      </w:pPr>
    </w:p>
    <w:p w14:paraId="6F4CE808">
      <w:pPr>
        <w:pStyle w:val="37"/>
        <w:rPr>
          <w:rFonts w:hint="eastAsia" w:ascii="宋体" w:hAnsi="宋体" w:eastAsia="宋体" w:cs="宋体"/>
          <w:b/>
          <w:bCs/>
          <w:color w:val="auto"/>
          <w:sz w:val="24"/>
          <w:szCs w:val="22"/>
        </w:rPr>
      </w:pPr>
    </w:p>
    <w:p w14:paraId="68541C77">
      <w:pPr>
        <w:pStyle w:val="37"/>
        <w:rPr>
          <w:rFonts w:hint="eastAsia" w:ascii="宋体" w:hAnsi="宋体" w:eastAsia="宋体" w:cs="宋体"/>
          <w:b/>
          <w:bCs/>
          <w:color w:val="auto"/>
          <w:sz w:val="24"/>
          <w:szCs w:val="22"/>
        </w:rPr>
      </w:pPr>
    </w:p>
    <w:p w14:paraId="4CC853AC">
      <w:pPr>
        <w:pStyle w:val="37"/>
        <w:rPr>
          <w:rFonts w:hint="eastAsia" w:ascii="宋体" w:hAnsi="宋体" w:eastAsia="宋体" w:cs="宋体"/>
          <w:b/>
          <w:bCs/>
          <w:color w:val="auto"/>
          <w:sz w:val="24"/>
          <w:szCs w:val="22"/>
        </w:rPr>
      </w:pPr>
    </w:p>
    <w:p w14:paraId="0551157A">
      <w:pPr>
        <w:pStyle w:val="37"/>
        <w:rPr>
          <w:rFonts w:hint="eastAsia" w:ascii="宋体" w:hAnsi="宋体" w:eastAsia="宋体" w:cs="宋体"/>
          <w:b/>
          <w:bCs/>
          <w:color w:val="auto"/>
          <w:sz w:val="24"/>
          <w:szCs w:val="22"/>
        </w:rPr>
      </w:pPr>
    </w:p>
    <w:p w14:paraId="57A903DF">
      <w:pPr>
        <w:pStyle w:val="37"/>
        <w:rPr>
          <w:rFonts w:hint="eastAsia" w:ascii="宋体" w:hAnsi="宋体" w:eastAsia="宋体" w:cs="宋体"/>
          <w:b/>
          <w:bCs/>
          <w:color w:val="auto"/>
          <w:sz w:val="24"/>
          <w:szCs w:val="22"/>
        </w:rPr>
      </w:pPr>
    </w:p>
    <w:p w14:paraId="15A2B0A1">
      <w:pPr>
        <w:pStyle w:val="37"/>
        <w:rPr>
          <w:rFonts w:hint="eastAsia" w:ascii="宋体" w:hAnsi="宋体" w:eastAsia="宋体" w:cs="宋体"/>
          <w:b/>
          <w:bCs/>
          <w:color w:val="auto"/>
          <w:sz w:val="24"/>
          <w:szCs w:val="22"/>
        </w:rPr>
      </w:pPr>
    </w:p>
    <w:p w14:paraId="7A149A82">
      <w:pPr>
        <w:keepNext w:val="0"/>
        <w:keepLines w:val="0"/>
        <w:pageBreakBefore w:val="0"/>
        <w:widowControl/>
        <w:numPr>
          <w:ilvl w:val="0"/>
          <w:numId w:val="0"/>
        </w:numPr>
        <w:kinsoku w:val="0"/>
        <w:wordWrap/>
        <w:overflowPunct/>
        <w:topLinePunct/>
        <w:autoSpaceDE w:val="0"/>
        <w:autoSpaceDN w:val="0"/>
        <w:bidi w:val="0"/>
        <w:adjustRightInd w:val="0"/>
        <w:snapToGrid w:val="0"/>
        <w:spacing w:line="360" w:lineRule="auto"/>
        <w:jc w:val="left"/>
        <w:textAlignment w:val="baseline"/>
        <w:rPr>
          <w:rFonts w:hint="default" w:ascii="宋体" w:hAnsi="宋体" w:eastAsia="宋体" w:cs="宋体"/>
          <w:b/>
          <w:bCs/>
          <w:color w:val="auto"/>
          <w:lang w:val="en-US" w:eastAsia="zh-CN"/>
        </w:rPr>
      </w:pPr>
      <w:r>
        <w:rPr>
          <w:rFonts w:hint="eastAsia" w:ascii="宋体" w:hAnsi="宋体" w:eastAsia="宋体" w:cs="宋体"/>
          <w:b/>
          <w:bCs/>
          <w:color w:val="auto"/>
          <w:lang w:val="en-US" w:eastAsia="zh-CN"/>
        </w:rPr>
        <w:t>操作指南</w:t>
      </w:r>
    </w:p>
    <w:p w14:paraId="4BAF91BC">
      <w:pPr>
        <w:pStyle w:val="37"/>
        <w:ind w:left="0" w:leftChars="0" w:firstLine="0" w:firstLineChars="0"/>
        <w:rPr>
          <w:rFonts w:hint="default"/>
          <w:b/>
          <w:bCs/>
          <w:lang w:val="en-US" w:eastAsia="zh-CN"/>
        </w:rPr>
      </w:pPr>
      <w:r>
        <w:rPr>
          <w:rFonts w:hint="eastAsia" w:ascii="宋体" w:hAnsi="宋体" w:eastAsia="宋体" w:cs="宋体"/>
          <w:color w:val="auto"/>
          <w:lang w:val="en-US" w:eastAsia="zh-CN"/>
        </w:rPr>
        <w:drawing>
          <wp:inline distT="0" distB="0" distL="114300" distR="114300">
            <wp:extent cx="5676265" cy="3564890"/>
            <wp:effectExtent l="0" t="0" r="635" b="16510"/>
            <wp:docPr id="26" name="图片 2" descr="2068b17ab7a423a7fe6b5eb44d1c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descr="2068b17ab7a423a7fe6b5eb44d1c156"/>
                    <pic:cNvPicPr>
                      <a:picLocks noChangeAspect="1"/>
                    </pic:cNvPicPr>
                  </pic:nvPicPr>
                  <pic:blipFill>
                    <a:blip r:embed="rId20"/>
                    <a:stretch>
                      <a:fillRect/>
                    </a:stretch>
                  </pic:blipFill>
                  <pic:spPr>
                    <a:xfrm>
                      <a:off x="0" y="0"/>
                      <a:ext cx="5676265" cy="3564890"/>
                    </a:xfrm>
                    <a:prstGeom prst="rect">
                      <a:avLst/>
                    </a:prstGeom>
                    <a:noFill/>
                    <a:ln>
                      <a:noFill/>
                    </a:ln>
                  </pic:spPr>
                </pic:pic>
              </a:graphicData>
            </a:graphic>
          </wp:inline>
        </w:drawing>
      </w:r>
    </w:p>
    <w:p w14:paraId="48359B14">
      <w:pPr>
        <w:keepNext w:val="0"/>
        <w:keepLines w:val="0"/>
        <w:pageBreakBefore w:val="0"/>
        <w:widowControl/>
        <w:numPr>
          <w:ilvl w:val="0"/>
          <w:numId w:val="0"/>
        </w:numPr>
        <w:kinsoku w:val="0"/>
        <w:wordWrap/>
        <w:overflowPunct/>
        <w:topLinePunct/>
        <w:autoSpaceDE w:val="0"/>
        <w:autoSpaceDN w:val="0"/>
        <w:bidi w:val="0"/>
        <w:adjustRightInd w:val="0"/>
        <w:snapToGrid w:val="0"/>
        <w:spacing w:line="360" w:lineRule="auto"/>
        <w:jc w:val="left"/>
        <w:textAlignment w:val="baseline"/>
        <w:rPr>
          <w:rFonts w:hint="eastAsia" w:ascii="宋体" w:hAnsi="宋体" w:eastAsia="宋体" w:cs="宋体"/>
          <w:color w:val="auto"/>
          <w:lang w:val="en-US" w:eastAsia="zh-CN"/>
        </w:rPr>
      </w:pPr>
      <w:r>
        <w:drawing>
          <wp:inline distT="0" distB="0" distL="114300" distR="114300">
            <wp:extent cx="5700395" cy="3401060"/>
            <wp:effectExtent l="0" t="0" r="14605" b="8890"/>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21"/>
                    <a:stretch>
                      <a:fillRect/>
                    </a:stretch>
                  </pic:blipFill>
                  <pic:spPr>
                    <a:xfrm>
                      <a:off x="0" y="0"/>
                      <a:ext cx="5700395" cy="3401060"/>
                    </a:xfrm>
                    <a:prstGeom prst="rect">
                      <a:avLst/>
                    </a:prstGeom>
                    <a:noFill/>
                    <a:ln>
                      <a:noFill/>
                    </a:ln>
                  </pic:spPr>
                </pic:pic>
              </a:graphicData>
            </a:graphic>
          </wp:inline>
        </w:drawing>
      </w:r>
    </w:p>
    <w:p w14:paraId="623A25B5">
      <w:pPr>
        <w:keepNext w:val="0"/>
        <w:keepLines w:val="0"/>
        <w:pageBreakBefore w:val="0"/>
        <w:widowControl/>
        <w:numPr>
          <w:ilvl w:val="0"/>
          <w:numId w:val="0"/>
        </w:numPr>
        <w:kinsoku w:val="0"/>
        <w:wordWrap/>
        <w:overflowPunct/>
        <w:topLinePunct/>
        <w:autoSpaceDE w:val="0"/>
        <w:autoSpaceDN w:val="0"/>
        <w:bidi w:val="0"/>
        <w:adjustRightInd w:val="0"/>
        <w:snapToGrid w:val="0"/>
        <w:spacing w:line="360" w:lineRule="auto"/>
        <w:jc w:val="left"/>
        <w:textAlignment w:val="baseline"/>
      </w:pPr>
      <w:r>
        <w:drawing>
          <wp:inline distT="0" distB="0" distL="114300" distR="114300">
            <wp:extent cx="5474335" cy="3516630"/>
            <wp:effectExtent l="0" t="0" r="12065" b="762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22"/>
                    <a:stretch>
                      <a:fillRect/>
                    </a:stretch>
                  </pic:blipFill>
                  <pic:spPr>
                    <a:xfrm>
                      <a:off x="0" y="0"/>
                      <a:ext cx="5474335" cy="3516630"/>
                    </a:xfrm>
                    <a:prstGeom prst="rect">
                      <a:avLst/>
                    </a:prstGeom>
                    <a:noFill/>
                    <a:ln>
                      <a:noFill/>
                    </a:ln>
                  </pic:spPr>
                </pic:pic>
              </a:graphicData>
            </a:graphic>
          </wp:inline>
        </w:drawing>
      </w:r>
      <w:r>
        <w:drawing>
          <wp:inline distT="0" distB="0" distL="114300" distR="114300">
            <wp:extent cx="5497830" cy="2617470"/>
            <wp:effectExtent l="0" t="0" r="7620" b="1143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23"/>
                    <a:stretch>
                      <a:fillRect/>
                    </a:stretch>
                  </pic:blipFill>
                  <pic:spPr>
                    <a:xfrm>
                      <a:off x="0" y="0"/>
                      <a:ext cx="5497830" cy="2617470"/>
                    </a:xfrm>
                    <a:prstGeom prst="rect">
                      <a:avLst/>
                    </a:prstGeom>
                    <a:noFill/>
                    <a:ln>
                      <a:noFill/>
                    </a:ln>
                  </pic:spPr>
                </pic:pic>
              </a:graphicData>
            </a:graphic>
          </wp:inline>
        </w:drawing>
      </w:r>
      <w:r>
        <w:drawing>
          <wp:inline distT="0" distB="0" distL="114300" distR="114300">
            <wp:extent cx="5549900" cy="2482215"/>
            <wp:effectExtent l="0" t="0" r="12700" b="13335"/>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24"/>
                    <a:stretch>
                      <a:fillRect/>
                    </a:stretch>
                  </pic:blipFill>
                  <pic:spPr>
                    <a:xfrm>
                      <a:off x="0" y="0"/>
                      <a:ext cx="5549900" cy="2482215"/>
                    </a:xfrm>
                    <a:prstGeom prst="rect">
                      <a:avLst/>
                    </a:prstGeom>
                    <a:noFill/>
                    <a:ln>
                      <a:noFill/>
                    </a:ln>
                  </pic:spPr>
                </pic:pic>
              </a:graphicData>
            </a:graphic>
          </wp:inline>
        </w:drawing>
      </w:r>
    </w:p>
    <w:p w14:paraId="39978CEE">
      <w:pPr>
        <w:pStyle w:val="37"/>
        <w:rPr>
          <w:rFonts w:hint="eastAsia" w:ascii="Times New Roman" w:hAnsi="Times New Roman" w:eastAsia="宋体" w:cs="Times New Roman"/>
          <w:b/>
        </w:rPr>
      </w:pPr>
      <w:r>
        <w:rPr>
          <w:rFonts w:hint="eastAsia"/>
          <w:b/>
          <w:bCs/>
          <w:lang w:val="en-US" w:eastAsia="zh-CN"/>
        </w:rPr>
        <w:t>委托人承诺为个人登录</w:t>
      </w:r>
    </w:p>
    <w:p w14:paraId="08FB75CE"/>
    <w:sectPr>
      <w:footerReference r:id="rId16" w:type="default"/>
      <w:pgSz w:w="11906" w:h="16838"/>
      <w:pgMar w:top="1157" w:right="1703" w:bottom="1157" w:left="1701" w:header="720" w:footer="72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onospace">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SourceHanSansCN-Regular">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auto"/>
    <w:pitch w:val="default"/>
    <w:sig w:usb0="800002BF" w:usb1="38CF7CFA" w:usb2="00000016" w:usb3="00000000" w:csb0="00040001" w:csb1="00000000"/>
  </w:font>
  <w:font w:name="AGYXIQ+Frutiger-Cn">
    <w:altName w:val="宋体"/>
    <w:panose1 w:val="020B0604020202020204"/>
    <w:charset w:val="86"/>
    <w:family w:val="swiss"/>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思源宋体 CN Light">
    <w:altName w:val="宋体"/>
    <w:panose1 w:val="02020300000000000000"/>
    <w:charset w:val="00"/>
    <w:family w:val="auto"/>
    <w:pitch w:val="default"/>
    <w:sig w:usb0="00000000" w:usb1="00000000" w:usb2="00000016" w:usb3="00000000" w:csb0="60060107"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2F4597">
    <w:pPr>
      <w:pStyle w:val="14"/>
      <w:tabs>
        <w:tab w:val="left" w:pos="5022"/>
        <w:tab w:val="clear" w:pos="4153"/>
        <w:tab w:val="clear" w:pos="8306"/>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35CDC9">
    <w:pPr>
      <w:pStyle w:val="14"/>
      <w:tabs>
        <w:tab w:val="left" w:pos="5022"/>
        <w:tab w:val="clear" w:pos="4153"/>
        <w:tab w:val="clear" w:pos="8306"/>
      </w:tabs>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56D6E4D0">
                          <w:pPr>
                            <w:pStyle w:val="14"/>
                          </w:pPr>
                          <w:r>
                            <w:rPr>
                              <w:rFonts w:hint="eastAsia"/>
                            </w:rPr>
                            <w:t xml:space="preserve">第 </w:t>
                          </w:r>
                          <w:r>
                            <w:fldChar w:fldCharType="begin"/>
                          </w:r>
                          <w:r>
                            <w:instrText xml:space="preserve"> PAGE  \* MERGEFORMAT </w:instrText>
                          </w:r>
                          <w:r>
                            <w:fldChar w:fldCharType="separate"/>
                          </w:r>
                          <w:r>
                            <w:t>7</w:t>
                          </w:r>
                          <w:r>
                            <w:fldChar w:fldCharType="end"/>
                          </w:r>
                          <w:r>
                            <w:rPr>
                              <w:rFonts w:hint="eastAsia"/>
                            </w:rPr>
                            <w:t xml:space="preserve"> 页 共 </w:t>
                          </w:r>
                          <w:r>
                            <w:fldChar w:fldCharType="begin"/>
                          </w:r>
                          <w:r>
                            <w:instrText xml:space="preserve"> NUMPAGES  \* MERGEFORMAT </w:instrText>
                          </w:r>
                          <w:r>
                            <w:fldChar w:fldCharType="separate"/>
                          </w:r>
                          <w:r>
                            <w:t>76</w:t>
                          </w:r>
                          <w:r>
                            <w:fldChar w:fldCharType="end"/>
                          </w:r>
                          <w:r>
                            <w:rPr>
                              <w:rFonts w:hint="eastAsia"/>
                            </w:rPr>
                            <w:t xml:space="preserve"> 页</w:t>
                          </w:r>
                        </w:p>
                      </w:txbxContent>
                    </wps:txbx>
                    <wps:bodyPr wrap="none" lIns="0" tIns="0" rIns="0" bIns="0" upright="0">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oaYJL0wAAAAUBAAAPAAAAAAAAAAEAIAAA&#10;ACIAAABkcnMvZG93bnJldi54bWxQSwECFAAUAAAACACHTuJAENr589gBAACyAwAADgAAAAAAAAAB&#10;ACAAAAAiAQAAZHJzL2Uyb0RvYy54bWxQSwUGAAAAAAYABgBZAQAAbAUAAAAA&#10;">
              <v:fill on="f" focussize="0,0"/>
              <v:stroke on="f" weight="1.25pt"/>
              <v:imagedata o:title=""/>
              <o:lock v:ext="edit" aspectratio="f"/>
              <v:textbox inset="0mm,0mm,0mm,0mm" style="mso-fit-shape-to-text:t;">
                <w:txbxContent>
                  <w:p w14:paraId="56D6E4D0">
                    <w:pPr>
                      <w:pStyle w:val="14"/>
                    </w:pPr>
                    <w:r>
                      <w:rPr>
                        <w:rFonts w:hint="eastAsia"/>
                      </w:rPr>
                      <w:t xml:space="preserve">第 </w:t>
                    </w:r>
                    <w:r>
                      <w:fldChar w:fldCharType="begin"/>
                    </w:r>
                    <w:r>
                      <w:instrText xml:space="preserve"> PAGE  \* MERGEFORMAT </w:instrText>
                    </w:r>
                    <w:r>
                      <w:fldChar w:fldCharType="separate"/>
                    </w:r>
                    <w:r>
                      <w:t>7</w:t>
                    </w:r>
                    <w:r>
                      <w:fldChar w:fldCharType="end"/>
                    </w:r>
                    <w:r>
                      <w:rPr>
                        <w:rFonts w:hint="eastAsia"/>
                      </w:rPr>
                      <w:t xml:space="preserve"> 页 共 </w:t>
                    </w:r>
                    <w:r>
                      <w:fldChar w:fldCharType="begin"/>
                    </w:r>
                    <w:r>
                      <w:instrText xml:space="preserve"> NUMPAGES  \* MERGEFORMAT </w:instrText>
                    </w:r>
                    <w:r>
                      <w:fldChar w:fldCharType="separate"/>
                    </w:r>
                    <w:r>
                      <w:t>76</w:t>
                    </w:r>
                    <w:r>
                      <w:fldChar w:fldCharType="end"/>
                    </w:r>
                    <w:r>
                      <w:rPr>
                        <w:rFonts w:hint="eastAsia"/>
                      </w:rPr>
                      <w:t xml:space="preserve"> 页</w:t>
                    </w:r>
                  </w:p>
                </w:txbxContent>
              </v:textbox>
            </v:shape>
          </w:pict>
        </mc:Fallback>
      </mc:AlternateContent>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E6917E">
    <w:pPr>
      <w:pStyle w:val="14"/>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779597C">
                          <w:pPr>
                            <w:pStyle w:val="14"/>
                          </w:pPr>
                          <w:r>
                            <w:t xml:space="preserve">第 </w:t>
                          </w:r>
                          <w:r>
                            <w:fldChar w:fldCharType="begin"/>
                          </w:r>
                          <w:r>
                            <w:instrText xml:space="preserve"> PAGE  \* MERGEFORMAT </w:instrText>
                          </w:r>
                          <w:r>
                            <w:fldChar w:fldCharType="separate"/>
                          </w:r>
                          <w:r>
                            <w:t>29</w:t>
                          </w:r>
                          <w:r>
                            <w:fldChar w:fldCharType="end"/>
                          </w:r>
                          <w:r>
                            <w:t xml:space="preserve"> 页 共 </w:t>
                          </w:r>
                          <w:r>
                            <w:fldChar w:fldCharType="begin"/>
                          </w:r>
                          <w:r>
                            <w:instrText xml:space="preserve"> NUMPAGES  \* MERGEFORMAT </w:instrText>
                          </w:r>
                          <w:r>
                            <w:fldChar w:fldCharType="separate"/>
                          </w:r>
                          <w:r>
                            <w:t>76</w:t>
                          </w:r>
                          <w:r>
                            <w:fldChar w:fldCharType="end"/>
                          </w:r>
                          <w:r>
                            <w:t xml:space="preserve"> 页</w:t>
                          </w:r>
                        </w:p>
                      </w:txbxContent>
                    </wps:txbx>
                    <wps:bodyPr wrap="none" lIns="0" tIns="0" rIns="0" bIns="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bX0wjc0BAACoAwAADgAAAAAAAAABACAAAAAeAQAAZHJzL2Uy&#10;b0RvYy54bWxQSwUGAAAAAAYABgBZAQAAXQUAAAAA&#10;">
              <v:fill on="f" focussize="0,0"/>
              <v:stroke on="f"/>
              <v:imagedata o:title=""/>
              <o:lock v:ext="edit" aspectratio="f"/>
              <v:textbox inset="0mm,0mm,0mm,0mm" style="mso-fit-shape-to-text:t;">
                <w:txbxContent>
                  <w:p w14:paraId="0779597C">
                    <w:pPr>
                      <w:pStyle w:val="14"/>
                    </w:pPr>
                    <w:r>
                      <w:t xml:space="preserve">第 </w:t>
                    </w:r>
                    <w:r>
                      <w:fldChar w:fldCharType="begin"/>
                    </w:r>
                    <w:r>
                      <w:instrText xml:space="preserve"> PAGE  \* MERGEFORMAT </w:instrText>
                    </w:r>
                    <w:r>
                      <w:fldChar w:fldCharType="separate"/>
                    </w:r>
                    <w:r>
                      <w:t>29</w:t>
                    </w:r>
                    <w:r>
                      <w:fldChar w:fldCharType="end"/>
                    </w:r>
                    <w:r>
                      <w:t xml:space="preserve"> 页 共 </w:t>
                    </w:r>
                    <w:r>
                      <w:fldChar w:fldCharType="begin"/>
                    </w:r>
                    <w:r>
                      <w:instrText xml:space="preserve"> NUMPAGES  \* MERGEFORMAT </w:instrText>
                    </w:r>
                    <w:r>
                      <w:fldChar w:fldCharType="separate"/>
                    </w:r>
                    <w:r>
                      <w:t>76</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0FC623">
    <w:pPr>
      <w:pStyle w:val="14"/>
      <w:tabs>
        <w:tab w:val="left" w:pos="5022"/>
        <w:tab w:val="clear" w:pos="4153"/>
        <w:tab w:val="clear" w:pos="8306"/>
      </w:tabs>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23950" cy="1828800"/>
              <wp:effectExtent l="0" t="0" r="0" b="0"/>
              <wp:wrapNone/>
              <wp:docPr id="15" name="文本框 11"/>
              <wp:cNvGraphicFramePr/>
              <a:graphic xmlns:a="http://schemas.openxmlformats.org/drawingml/2006/main">
                <a:graphicData uri="http://schemas.microsoft.com/office/word/2010/wordprocessingShape">
                  <wps:wsp>
                    <wps:cNvSpPr txBox="1"/>
                    <wps:spPr>
                      <a:xfrm>
                        <a:off x="0" y="0"/>
                        <a:ext cx="1123950" cy="1828800"/>
                      </a:xfrm>
                      <a:prstGeom prst="rect">
                        <a:avLst/>
                      </a:prstGeom>
                      <a:noFill/>
                      <a:ln w="15875">
                        <a:noFill/>
                      </a:ln>
                      <a:effectLst/>
                    </wps:spPr>
                    <wps:txbx>
                      <w:txbxContent>
                        <w:p w14:paraId="5939A57C">
                          <w:pPr>
                            <w:pStyle w:val="14"/>
                          </w:pPr>
                          <w:r>
                            <w:rPr>
                              <w:rFonts w:hint="eastAsia"/>
                            </w:rPr>
                            <w:t xml:space="preserve">第 </w:t>
                          </w:r>
                          <w:r>
                            <w:fldChar w:fldCharType="begin"/>
                          </w:r>
                          <w:r>
                            <w:instrText xml:space="preserve"> PAGE  \* MERGEFORMAT </w:instrText>
                          </w:r>
                          <w:r>
                            <w:fldChar w:fldCharType="separate"/>
                          </w:r>
                          <w:r>
                            <w:t>36</w:t>
                          </w:r>
                          <w:r>
                            <w:fldChar w:fldCharType="end"/>
                          </w:r>
                          <w:r>
                            <w:rPr>
                              <w:rFonts w:hint="eastAsia"/>
                            </w:rPr>
                            <w:t xml:space="preserve"> 页 共 </w:t>
                          </w:r>
                          <w:r>
                            <w:fldChar w:fldCharType="begin"/>
                          </w:r>
                          <w:r>
                            <w:instrText xml:space="preserve"> NUMPAGES  \* MERGEFORMAT </w:instrText>
                          </w:r>
                          <w:r>
                            <w:fldChar w:fldCharType="separate"/>
                          </w:r>
                          <w:r>
                            <w:t>76</w:t>
                          </w:r>
                          <w:r>
                            <w:fldChar w:fldCharType="end"/>
                          </w:r>
                          <w:r>
                            <w:rPr>
                              <w:rFonts w:hint="eastAsia"/>
                            </w:rPr>
                            <w:t xml:space="preserve"> 页</w:t>
                          </w:r>
                        </w:p>
                      </w:txbxContent>
                    </wps:txbx>
                    <wps:bodyPr lIns="0" tIns="0" rIns="0" bIns="0" upright="0">
                      <a:spAutoFit/>
                    </wps:bodyPr>
                  </wps:wsp>
                </a:graphicData>
              </a:graphic>
            </wp:anchor>
          </w:drawing>
        </mc:Choice>
        <mc:Fallback>
          <w:pict>
            <v:shape id="文本框 11" o:spid="_x0000_s1026" o:spt="202" type="#_x0000_t202" style="position:absolute;left:0pt;margin-top:0pt;height:144pt;width:88.5pt;mso-position-horizontal:center;mso-position-horizontal-relative:margin;z-index:251661312;mso-width-relative:page;mso-height-relative:page;" filled="f" stroked="f" coordsize="21600,21600" o:gfxdata="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cHcfKdQAAAAFAQAADwAAAAAAAAABACAAAAAi&#10;AAAAZHJzL2Rvd25yZXYueG1sUEsBAhQAFAAAAAgAh07iQKsnbRfVAQAApwMAAA4AAAAAAAAAAQAg&#10;AAAAIwEAAGRycy9lMm9Eb2MueG1sUEsFBgAAAAAGAAYAWQEAAGoFAAAAAA==&#10;">
              <v:fill on="f" focussize="0,0"/>
              <v:stroke on="f" weight="1.25pt"/>
              <v:imagedata o:title=""/>
              <o:lock v:ext="edit" aspectratio="f"/>
              <v:textbox inset="0mm,0mm,0mm,0mm" style="mso-fit-shape-to-text:t;">
                <w:txbxContent>
                  <w:p w14:paraId="5939A57C">
                    <w:pPr>
                      <w:pStyle w:val="14"/>
                    </w:pPr>
                    <w:r>
                      <w:rPr>
                        <w:rFonts w:hint="eastAsia"/>
                      </w:rPr>
                      <w:t xml:space="preserve">第 </w:t>
                    </w:r>
                    <w:r>
                      <w:fldChar w:fldCharType="begin"/>
                    </w:r>
                    <w:r>
                      <w:instrText xml:space="preserve"> PAGE  \* MERGEFORMAT </w:instrText>
                    </w:r>
                    <w:r>
                      <w:fldChar w:fldCharType="separate"/>
                    </w:r>
                    <w:r>
                      <w:t>36</w:t>
                    </w:r>
                    <w:r>
                      <w:fldChar w:fldCharType="end"/>
                    </w:r>
                    <w:r>
                      <w:rPr>
                        <w:rFonts w:hint="eastAsia"/>
                      </w:rPr>
                      <w:t xml:space="preserve"> 页 共 </w:t>
                    </w:r>
                    <w:r>
                      <w:fldChar w:fldCharType="begin"/>
                    </w:r>
                    <w:r>
                      <w:instrText xml:space="preserve"> NUMPAGES  \* MERGEFORMAT </w:instrText>
                    </w:r>
                    <w:r>
                      <w:fldChar w:fldCharType="separate"/>
                    </w:r>
                    <w:r>
                      <w:t>76</w:t>
                    </w:r>
                    <w:r>
                      <w:fldChar w:fldCharType="end"/>
                    </w:r>
                    <w:r>
                      <w:rPr>
                        <w:rFonts w:hint="eastAsia"/>
                      </w:rP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09F1D">
    <w:pPr>
      <w:pStyle w:val="14"/>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31A4CC22">
                          <w:pPr>
                            <w:pStyle w:val="14"/>
                          </w:pPr>
                          <w:r>
                            <w:rPr>
                              <w:rFonts w:hint="eastAsia"/>
                            </w:rPr>
                            <w:t xml:space="preserve">第 </w:t>
                          </w:r>
                          <w:r>
                            <w:fldChar w:fldCharType="begin"/>
                          </w:r>
                          <w:r>
                            <w:instrText xml:space="preserve"> PAGE  \* MERGEFORMAT </w:instrText>
                          </w:r>
                          <w:r>
                            <w:fldChar w:fldCharType="separate"/>
                          </w:r>
                          <w:r>
                            <w:t>35</w:t>
                          </w:r>
                          <w:r>
                            <w:fldChar w:fldCharType="end"/>
                          </w:r>
                          <w:r>
                            <w:rPr>
                              <w:rFonts w:hint="eastAsia"/>
                            </w:rPr>
                            <w:t xml:space="preserve"> 页 共 </w:t>
                          </w:r>
                          <w:r>
                            <w:fldChar w:fldCharType="begin"/>
                          </w:r>
                          <w:r>
                            <w:instrText xml:space="preserve"> NUMPAGES  \* MERGEFORMAT </w:instrText>
                          </w:r>
                          <w:r>
                            <w:fldChar w:fldCharType="separate"/>
                          </w:r>
                          <w:r>
                            <w:t>76</w:t>
                          </w:r>
                          <w:r>
                            <w:fldChar w:fldCharType="end"/>
                          </w:r>
                          <w:r>
                            <w:rPr>
                              <w:rFonts w:hint="eastAsia"/>
                            </w:rPr>
                            <w:t xml:space="preserve"> 页</w:t>
                          </w:r>
                        </w:p>
                      </w:txbxContent>
                    </wps:txbx>
                    <wps:bodyPr wrap="none" lIns="0" tIns="0" rIns="0" bIns="0" upright="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hpgkvTAAAABQEAAA8AAAAAAAAAAQAgAAAA&#10;IgAAAGRycy9kb3ducmV2LnhtbFBLAQIUABQAAAAIAIdO4kCrNl0V1wEAALMDAAAOAAAAAAAAAAEA&#10;IAAAACIBAABkcnMvZTJvRG9jLnhtbFBLBQYAAAAABgAGAFkBAABrBQAAAAA=&#10;">
              <v:fill on="f" focussize="0,0"/>
              <v:stroke on="f" weight="1.25pt"/>
              <v:imagedata o:title=""/>
              <o:lock v:ext="edit" aspectratio="f"/>
              <v:textbox inset="0mm,0mm,0mm,0mm" style="mso-fit-shape-to-text:t;">
                <w:txbxContent>
                  <w:p w14:paraId="31A4CC22">
                    <w:pPr>
                      <w:pStyle w:val="14"/>
                    </w:pPr>
                    <w:r>
                      <w:rPr>
                        <w:rFonts w:hint="eastAsia"/>
                      </w:rPr>
                      <w:t xml:space="preserve">第 </w:t>
                    </w:r>
                    <w:r>
                      <w:fldChar w:fldCharType="begin"/>
                    </w:r>
                    <w:r>
                      <w:instrText xml:space="preserve"> PAGE  \* MERGEFORMAT </w:instrText>
                    </w:r>
                    <w:r>
                      <w:fldChar w:fldCharType="separate"/>
                    </w:r>
                    <w:r>
                      <w:t>35</w:t>
                    </w:r>
                    <w:r>
                      <w:fldChar w:fldCharType="end"/>
                    </w:r>
                    <w:r>
                      <w:rPr>
                        <w:rFonts w:hint="eastAsia"/>
                      </w:rPr>
                      <w:t xml:space="preserve"> 页 共 </w:t>
                    </w:r>
                    <w:r>
                      <w:fldChar w:fldCharType="begin"/>
                    </w:r>
                    <w:r>
                      <w:instrText xml:space="preserve"> NUMPAGES  \* MERGEFORMAT </w:instrText>
                    </w:r>
                    <w:r>
                      <w:fldChar w:fldCharType="separate"/>
                    </w:r>
                    <w:r>
                      <w:t>76</w:t>
                    </w:r>
                    <w:r>
                      <w:fldChar w:fldCharType="end"/>
                    </w:r>
                    <w:r>
                      <w:rPr>
                        <w:rFonts w:hint="eastAsia"/>
                      </w:rPr>
                      <w:t xml:space="preserve"> 页</w:t>
                    </w:r>
                  </w:p>
                </w:txbxContent>
              </v:textbox>
            </v:shape>
          </w:pict>
        </mc:Fallback>
      </mc:AlternateContent>
    </w:r>
    <w:r>
      <w:rPr>
        <w:rFonts w:hint="eastAsia"/>
      </w:rPr>
      <w:t xml:space="preserve">                                             </w:t>
    </w:r>
    <w:r>
      <w:rPr>
        <w:rFonts w:hint="eastAsia"/>
        <w:sz w:val="16"/>
        <w:szCs w:val="18"/>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4CD732">
    <w:pPr>
      <w:pStyle w:val="14"/>
      <w:ind w:firstLine="36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65E1650F">
                          <w:pPr>
                            <w:pStyle w:val="14"/>
                          </w:pPr>
                          <w:r>
                            <w:t xml:space="preserve">第 </w:t>
                          </w:r>
                          <w:r>
                            <w:fldChar w:fldCharType="begin"/>
                          </w:r>
                          <w:r>
                            <w:instrText xml:space="preserve"> PAGE  \* MERGEFORMAT </w:instrText>
                          </w:r>
                          <w:r>
                            <w:fldChar w:fldCharType="separate"/>
                          </w:r>
                          <w:r>
                            <w:t>120</w:t>
                          </w:r>
                          <w:r>
                            <w:fldChar w:fldCharType="end"/>
                          </w:r>
                          <w:r>
                            <w:t xml:space="preserve"> 页 共 </w:t>
                          </w:r>
                          <w:r>
                            <w:fldChar w:fldCharType="begin"/>
                          </w:r>
                          <w:r>
                            <w:instrText xml:space="preserve"> NUMPAGES  \* MERGEFORMAT </w:instrText>
                          </w:r>
                          <w:r>
                            <w:fldChar w:fldCharType="separate"/>
                          </w:r>
                          <w:r>
                            <w:t>156</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aGmCS9MAAAAFAQAADwAAAAAAAAABACAAAAAiAAAA&#10;ZHJzL2Rvd25yZXYueG1sUEsBAhQAFAAAAAgAh07iQOSH63zTAQAApQMAAA4AAAAAAAAAAQAgAAAA&#10;IgEAAGRycy9lMm9Eb2MueG1sUEsFBgAAAAAGAAYAWQEAAGcFAAAAAA==&#10;">
              <v:fill on="f" focussize="0,0"/>
              <v:stroke on="f" weight="1.25pt"/>
              <v:imagedata o:title=""/>
              <o:lock v:ext="edit" aspectratio="f"/>
              <v:textbox inset="0mm,0mm,0mm,0mm" style="mso-fit-shape-to-text:t;">
                <w:txbxContent>
                  <w:p w14:paraId="65E1650F">
                    <w:pPr>
                      <w:pStyle w:val="14"/>
                    </w:pPr>
                    <w:r>
                      <w:t xml:space="preserve">第 </w:t>
                    </w:r>
                    <w:r>
                      <w:fldChar w:fldCharType="begin"/>
                    </w:r>
                    <w:r>
                      <w:instrText xml:space="preserve"> PAGE  \* MERGEFORMAT </w:instrText>
                    </w:r>
                    <w:r>
                      <w:fldChar w:fldCharType="separate"/>
                    </w:r>
                    <w:r>
                      <w:t>120</w:t>
                    </w:r>
                    <w:r>
                      <w:fldChar w:fldCharType="end"/>
                    </w:r>
                    <w:r>
                      <w:t xml:space="preserve"> 页 共 </w:t>
                    </w:r>
                    <w:r>
                      <w:fldChar w:fldCharType="begin"/>
                    </w:r>
                    <w:r>
                      <w:instrText xml:space="preserve"> NUMPAGES  \* MERGEFORMAT </w:instrText>
                    </w:r>
                    <w:r>
                      <w:fldChar w:fldCharType="separate"/>
                    </w:r>
                    <w:r>
                      <w:t>156</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D30223">
    <w:pPr>
      <w:pStyle w:val="14"/>
      <w:ind w:right="360"/>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0C9368C">
                          <w:pPr>
                            <w:pStyle w:val="14"/>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fill on="f" focussize="0,0"/>
              <v:stroke on="f" weight="0.5pt"/>
              <v:imagedata o:title=""/>
              <o:lock v:ext="edit" aspectratio="f"/>
              <v:textbox inset="0mm,0mm,0mm,0mm" style="mso-fit-shape-to-text:t;">
                <w:txbxContent>
                  <w:p w14:paraId="30C9368C">
                    <w:pPr>
                      <w:pStyle w:val="14"/>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521E07">
    <w:pPr>
      <w:pStyle w:val="14"/>
      <w:ind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46FD37F6">
                          <w:pPr>
                            <w:pStyle w:val="14"/>
                          </w:pPr>
                          <w:r>
                            <w:t xml:space="preserve">第 </w:t>
                          </w:r>
                          <w:r>
                            <w:fldChar w:fldCharType="begin"/>
                          </w:r>
                          <w:r>
                            <w:instrText xml:space="preserve"> PAGE  \* MERGEFORMAT </w:instrText>
                          </w:r>
                          <w:r>
                            <w:fldChar w:fldCharType="separate"/>
                          </w:r>
                          <w:r>
                            <w:t>120</w:t>
                          </w:r>
                          <w:r>
                            <w:fldChar w:fldCharType="end"/>
                          </w:r>
                          <w:r>
                            <w:t xml:space="preserve"> 页 共 </w:t>
                          </w:r>
                          <w:r>
                            <w:fldChar w:fldCharType="begin"/>
                          </w:r>
                          <w:r>
                            <w:instrText xml:space="preserve"> NUMPAGES  \* MERGEFORMAT </w:instrText>
                          </w:r>
                          <w:r>
                            <w:fldChar w:fldCharType="separate"/>
                          </w:r>
                          <w:r>
                            <w:t>156</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oaYJL0wAAAAUBAAAPAAAAAAAAAAEAIAAA&#10;ACIAAABkcnMvZG93bnJldi54bWxQSwECFAAUAAAACACHTuJAfIUtONgBAACzAwAADgAAAAAAAAAB&#10;ACAAAAAiAQAAZHJzL2Uyb0RvYy54bWxQSwUGAAAAAAYABgBZAQAAbAUAAAAA&#10;">
              <v:fill on="f" focussize="0,0"/>
              <v:stroke on="f" weight="1.25pt"/>
              <v:imagedata o:title=""/>
              <o:lock v:ext="edit" aspectratio="f"/>
              <v:textbox inset="0mm,0mm,0mm,0mm" style="mso-fit-shape-to-text:t;">
                <w:txbxContent>
                  <w:p w14:paraId="46FD37F6">
                    <w:pPr>
                      <w:pStyle w:val="14"/>
                    </w:pPr>
                    <w:r>
                      <w:t xml:space="preserve">第 </w:t>
                    </w:r>
                    <w:r>
                      <w:fldChar w:fldCharType="begin"/>
                    </w:r>
                    <w:r>
                      <w:instrText xml:space="preserve"> PAGE  \* MERGEFORMAT </w:instrText>
                    </w:r>
                    <w:r>
                      <w:fldChar w:fldCharType="separate"/>
                    </w:r>
                    <w:r>
                      <w:t>120</w:t>
                    </w:r>
                    <w:r>
                      <w:fldChar w:fldCharType="end"/>
                    </w:r>
                    <w:r>
                      <w:t xml:space="preserve"> 页 共 </w:t>
                    </w:r>
                    <w:r>
                      <w:fldChar w:fldCharType="begin"/>
                    </w:r>
                    <w:r>
                      <w:instrText xml:space="preserve"> NUMPAGES  \* MERGEFORMAT </w:instrText>
                    </w:r>
                    <w:r>
                      <w:fldChar w:fldCharType="separate"/>
                    </w:r>
                    <w:r>
                      <w:t>156</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31A251">
    <w:pPr>
      <w:pStyle w:val="16"/>
      <w:pBdr>
        <w:bottom w:val="none" w:color="auto" w:sz="0" w:space="1"/>
      </w:pBdr>
      <w:tabs>
        <w:tab w:val="left" w:pos="7864"/>
        <w:tab w:val="clear" w:pos="4153"/>
      </w:tabs>
      <w:rPr>
        <w:sz w:val="10"/>
        <w:szCs w:val="1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79698B">
    <w:pPr>
      <w:pStyle w:val="16"/>
      <w:jc w:val="left"/>
    </w:pPr>
    <w:r>
      <w:rPr>
        <w:rFonts w:hint="eastAsia"/>
        <w:szCs w:val="18"/>
        <w:lang w:eastAsia="zh-CN"/>
      </w:rPr>
      <w:t>陕西塞上华熙项目管理有限公司</w:t>
    </w:r>
    <w:r>
      <w:rPr>
        <w:rFonts w:hint="eastAsia"/>
        <w:szCs w:val="18"/>
      </w:rPr>
      <w:t xml:space="preserve">                                                竞争性谈判文件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ECCA91">
    <w:pPr>
      <w:pStyle w:val="16"/>
      <w:pBdr>
        <w:bottom w:val="none" w:color="auto" w:sz="0" w:space="1"/>
      </w:pBdr>
      <w:tabs>
        <w:tab w:val="left" w:pos="7864"/>
        <w:tab w:val="clear" w:pos="4153"/>
      </w:tabs>
      <w:jc w:val="left"/>
      <w:rPr>
        <w:sz w:val="10"/>
        <w:szCs w:val="10"/>
        <w:u w:val="single"/>
      </w:rPr>
    </w:pPr>
    <w:r>
      <w:rPr>
        <w:rFonts w:hint="eastAsia" w:ascii="宋体" w:hAnsi="宋体" w:cs="宋体"/>
        <w:sz w:val="15"/>
        <w:szCs w:val="15"/>
        <w:u w:val="single"/>
        <w:lang w:eastAsia="zh-CN"/>
      </w:rPr>
      <w:t>陕西塞上华熙项目管理有限公司</w:t>
    </w:r>
    <w:r>
      <w:rPr>
        <w:rFonts w:hint="eastAsia" w:ascii="宋体" w:hAnsi="宋体" w:cs="宋体"/>
        <w:sz w:val="15"/>
        <w:szCs w:val="15"/>
        <w:u w:val="single"/>
      </w:rPr>
      <w:t xml:space="preserve">                                                                   竞争性谈判文件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C07942">
    <w:pPr>
      <w:pStyle w:val="16"/>
      <w:jc w:val="left"/>
    </w:pPr>
    <w:r>
      <w:rPr>
        <w:rFonts w:hint="eastAsia"/>
        <w:szCs w:val="18"/>
        <w:lang w:eastAsia="zh-CN"/>
      </w:rPr>
      <w:t>陕西塞上华熙项目管理有限公司</w:t>
    </w:r>
    <w:r>
      <w:rPr>
        <w:rFonts w:hint="eastAsia"/>
        <w:szCs w:val="18"/>
      </w:rPr>
      <w:t xml:space="preserve">                                             竞争性谈判文件</w:t>
    </w:r>
  </w:p>
  <w:p w14:paraId="5FE3F56E">
    <w:pPr>
      <w:pStyle w:val="16"/>
      <w:pBdr>
        <w:bottom w:val="none" w:color="auto" w:sz="0" w:space="1"/>
      </w:pBdr>
      <w:tabs>
        <w:tab w:val="left" w:pos="7864"/>
        <w:tab w:val="clear" w:pos="4153"/>
      </w:tabs>
      <w:rPr>
        <w:sz w:val="10"/>
        <w:szCs w:val="1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C871B8">
    <w:pPr>
      <w:pStyle w:val="16"/>
      <w:jc w:val="left"/>
    </w:pPr>
    <w:r>
      <w:rPr>
        <w:rFonts w:hint="eastAsia"/>
        <w:szCs w:val="18"/>
        <w:lang w:eastAsia="zh-CN"/>
      </w:rPr>
      <w:t>陕西塞上华熙项目管理有限公司</w:t>
    </w:r>
    <w:r>
      <w:rPr>
        <w:rFonts w:hint="eastAsia"/>
        <w:szCs w:val="18"/>
      </w:rPr>
      <w:t xml:space="preserve">                                              竞争性谈判文件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686B7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886C2BE"/>
    <w:multiLevelType w:val="singleLevel"/>
    <w:tmpl w:val="A886C2BE"/>
    <w:lvl w:ilvl="0" w:tentative="0">
      <w:start w:val="4"/>
      <w:numFmt w:val="chineseCounting"/>
      <w:suff w:val="nothing"/>
      <w:lvlText w:val="%1、"/>
      <w:lvlJc w:val="left"/>
      <w:rPr>
        <w:rFonts w:hint="eastAsia"/>
      </w:rPr>
    </w:lvl>
  </w:abstractNum>
  <w:abstractNum w:abstractNumId="1">
    <w:nsid w:val="AE6F79D6"/>
    <w:multiLevelType w:val="singleLevel"/>
    <w:tmpl w:val="AE6F79D6"/>
    <w:lvl w:ilvl="0" w:tentative="0">
      <w:start w:val="1"/>
      <w:numFmt w:val="decimal"/>
      <w:suff w:val="nothing"/>
      <w:lvlText w:val="%1）"/>
      <w:lvlJc w:val="left"/>
    </w:lvl>
  </w:abstractNum>
  <w:abstractNum w:abstractNumId="2">
    <w:nsid w:val="E87660C1"/>
    <w:multiLevelType w:val="singleLevel"/>
    <w:tmpl w:val="E87660C1"/>
    <w:lvl w:ilvl="0" w:tentative="0">
      <w:start w:val="2"/>
      <w:numFmt w:val="chineseCounting"/>
      <w:suff w:val="nothing"/>
      <w:lvlText w:val="%1、"/>
      <w:lvlJc w:val="left"/>
      <w:rPr>
        <w:rFonts w:hint="eastAsia"/>
      </w:rPr>
    </w:lvl>
  </w:abstractNum>
  <w:abstractNum w:abstractNumId="3">
    <w:nsid w:val="F592BCE5"/>
    <w:multiLevelType w:val="singleLevel"/>
    <w:tmpl w:val="F592BCE5"/>
    <w:lvl w:ilvl="0" w:tentative="0">
      <w:start w:val="6"/>
      <w:numFmt w:val="chineseCounting"/>
      <w:suff w:val="space"/>
      <w:lvlText w:val="第%1部分"/>
      <w:lvlJc w:val="left"/>
      <w:rPr>
        <w:rFonts w:hint="eastAsia"/>
        <w:sz w:val="36"/>
        <w:szCs w:val="36"/>
      </w:rPr>
    </w:lvl>
  </w:abstractNum>
  <w:abstractNum w:abstractNumId="4">
    <w:nsid w:val="00000032"/>
    <w:multiLevelType w:val="multilevel"/>
    <w:tmpl w:val="00000032"/>
    <w:lvl w:ilvl="0" w:tentative="0">
      <w:start w:val="1"/>
      <w:numFmt w:val="decimal"/>
      <w:lvlText w:val="%1"/>
      <w:lvlJc w:val="left"/>
      <w:pPr>
        <w:tabs>
          <w:tab w:val="left" w:pos="420"/>
        </w:tabs>
        <w:ind w:left="460" w:hanging="25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0053208E"/>
    <w:multiLevelType w:val="multilevel"/>
    <w:tmpl w:val="0053208E"/>
    <w:lvl w:ilvl="0" w:tentative="0">
      <w:start w:val="1"/>
      <w:numFmt w:val="decimal"/>
      <w:lvlText w:val="%1."/>
      <w:lvlJc w:val="left"/>
      <w:pPr>
        <w:ind w:left="205" w:hanging="322"/>
        <w:jc w:val="left"/>
      </w:pPr>
      <w:rPr>
        <w:rFonts w:hint="default" w:ascii="仿宋" w:hAnsi="仿宋" w:eastAsia="仿宋" w:cs="仿宋"/>
        <w:spacing w:val="-46"/>
        <w:w w:val="99"/>
        <w:sz w:val="30"/>
        <w:szCs w:val="30"/>
        <w:lang w:val="zh-CN" w:eastAsia="zh-CN" w:bidi="zh-CN"/>
      </w:rPr>
    </w:lvl>
    <w:lvl w:ilvl="1" w:tentative="0">
      <w:start w:val="0"/>
      <w:numFmt w:val="bullet"/>
      <w:lvlText w:val="•"/>
      <w:lvlJc w:val="left"/>
      <w:pPr>
        <w:ind w:left="1074" w:hanging="322"/>
      </w:pPr>
      <w:rPr>
        <w:rFonts w:hint="default"/>
        <w:lang w:val="zh-CN" w:eastAsia="zh-CN" w:bidi="zh-CN"/>
      </w:rPr>
    </w:lvl>
    <w:lvl w:ilvl="2" w:tentative="0">
      <w:start w:val="0"/>
      <w:numFmt w:val="bullet"/>
      <w:lvlText w:val="•"/>
      <w:lvlJc w:val="left"/>
      <w:pPr>
        <w:ind w:left="1949" w:hanging="322"/>
      </w:pPr>
      <w:rPr>
        <w:rFonts w:hint="default"/>
        <w:lang w:val="zh-CN" w:eastAsia="zh-CN" w:bidi="zh-CN"/>
      </w:rPr>
    </w:lvl>
    <w:lvl w:ilvl="3" w:tentative="0">
      <w:start w:val="0"/>
      <w:numFmt w:val="bullet"/>
      <w:lvlText w:val="•"/>
      <w:lvlJc w:val="left"/>
      <w:pPr>
        <w:ind w:left="2823" w:hanging="322"/>
      </w:pPr>
      <w:rPr>
        <w:rFonts w:hint="default"/>
        <w:lang w:val="zh-CN" w:eastAsia="zh-CN" w:bidi="zh-CN"/>
      </w:rPr>
    </w:lvl>
    <w:lvl w:ilvl="4" w:tentative="0">
      <w:start w:val="0"/>
      <w:numFmt w:val="bullet"/>
      <w:lvlText w:val="•"/>
      <w:lvlJc w:val="left"/>
      <w:pPr>
        <w:ind w:left="3698" w:hanging="322"/>
      </w:pPr>
      <w:rPr>
        <w:rFonts w:hint="default"/>
        <w:lang w:val="zh-CN" w:eastAsia="zh-CN" w:bidi="zh-CN"/>
      </w:rPr>
    </w:lvl>
    <w:lvl w:ilvl="5" w:tentative="0">
      <w:start w:val="0"/>
      <w:numFmt w:val="bullet"/>
      <w:lvlText w:val="•"/>
      <w:lvlJc w:val="left"/>
      <w:pPr>
        <w:ind w:left="4573" w:hanging="322"/>
      </w:pPr>
      <w:rPr>
        <w:rFonts w:hint="default"/>
        <w:lang w:val="zh-CN" w:eastAsia="zh-CN" w:bidi="zh-CN"/>
      </w:rPr>
    </w:lvl>
    <w:lvl w:ilvl="6" w:tentative="0">
      <w:start w:val="0"/>
      <w:numFmt w:val="bullet"/>
      <w:lvlText w:val="•"/>
      <w:lvlJc w:val="left"/>
      <w:pPr>
        <w:ind w:left="5447" w:hanging="322"/>
      </w:pPr>
      <w:rPr>
        <w:rFonts w:hint="default"/>
        <w:lang w:val="zh-CN" w:eastAsia="zh-CN" w:bidi="zh-CN"/>
      </w:rPr>
    </w:lvl>
    <w:lvl w:ilvl="7" w:tentative="0">
      <w:start w:val="0"/>
      <w:numFmt w:val="bullet"/>
      <w:lvlText w:val="•"/>
      <w:lvlJc w:val="left"/>
      <w:pPr>
        <w:ind w:left="6322" w:hanging="322"/>
      </w:pPr>
      <w:rPr>
        <w:rFonts w:hint="default"/>
        <w:lang w:val="zh-CN" w:eastAsia="zh-CN" w:bidi="zh-CN"/>
      </w:rPr>
    </w:lvl>
    <w:lvl w:ilvl="8" w:tentative="0">
      <w:start w:val="0"/>
      <w:numFmt w:val="bullet"/>
      <w:lvlText w:val="•"/>
      <w:lvlJc w:val="left"/>
      <w:pPr>
        <w:ind w:left="7196" w:hanging="322"/>
      </w:pPr>
      <w:rPr>
        <w:rFonts w:hint="default"/>
        <w:lang w:val="zh-CN" w:eastAsia="zh-CN" w:bidi="zh-CN"/>
      </w:rPr>
    </w:lvl>
  </w:abstractNum>
  <w:abstractNum w:abstractNumId="6">
    <w:nsid w:val="59FB0796"/>
    <w:multiLevelType w:val="singleLevel"/>
    <w:tmpl w:val="59FB0796"/>
    <w:lvl w:ilvl="0" w:tentative="0">
      <w:start w:val="1"/>
      <w:numFmt w:val="decimal"/>
      <w:suff w:val="nothing"/>
      <w:lvlText w:val="%1、"/>
      <w:lvlJc w:val="left"/>
    </w:lvl>
  </w:abstractNum>
  <w:abstractNum w:abstractNumId="7">
    <w:nsid w:val="5A1F7005"/>
    <w:multiLevelType w:val="singleLevel"/>
    <w:tmpl w:val="5A1F7005"/>
    <w:lvl w:ilvl="0" w:tentative="0">
      <w:start w:val="2"/>
      <w:numFmt w:val="chineseCounting"/>
      <w:suff w:val="space"/>
      <w:lvlText w:val="第%1部分"/>
      <w:lvlJc w:val="left"/>
    </w:lvl>
  </w:abstractNum>
  <w:num w:numId="1">
    <w:abstractNumId w:val="7"/>
  </w:num>
  <w:num w:numId="2">
    <w:abstractNumId w:val="4"/>
  </w:num>
  <w:num w:numId="3">
    <w:abstractNumId w:val="6"/>
  </w:num>
  <w:num w:numId="4">
    <w:abstractNumId w:val="1"/>
  </w:num>
  <w:num w:numId="5">
    <w:abstractNumId w:val="0"/>
  </w:num>
  <w:num w:numId="6">
    <w:abstractNumId w:val="3"/>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5"/>
  <w:bordersDoNotSurroundHeader w:val="0"/>
  <w:bordersDoNotSurroundFooter w:val="0"/>
  <w:documentProtection w:edit="trackedChanges"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footnotePr>
    <w:pos w:val="beneathText"/>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Q2OGE4OWVmOTcwNjQ0ZTIxNDc2YTU0NjQ2Mjg3MDYifQ=="/>
  </w:docVars>
  <w:rsids>
    <w:rsidRoot w:val="7AD2169E"/>
    <w:rsid w:val="0020796E"/>
    <w:rsid w:val="003776F8"/>
    <w:rsid w:val="00531B7A"/>
    <w:rsid w:val="008C36D4"/>
    <w:rsid w:val="008D1106"/>
    <w:rsid w:val="00DB6DE4"/>
    <w:rsid w:val="00E41943"/>
    <w:rsid w:val="01113D6B"/>
    <w:rsid w:val="01AF5332"/>
    <w:rsid w:val="01D64C2C"/>
    <w:rsid w:val="01EB45BC"/>
    <w:rsid w:val="024F1E56"/>
    <w:rsid w:val="029702A0"/>
    <w:rsid w:val="02A44DCE"/>
    <w:rsid w:val="03345AEF"/>
    <w:rsid w:val="03401B03"/>
    <w:rsid w:val="035C6DF3"/>
    <w:rsid w:val="04CB2483"/>
    <w:rsid w:val="05D0476C"/>
    <w:rsid w:val="060847BA"/>
    <w:rsid w:val="06565574"/>
    <w:rsid w:val="08A27337"/>
    <w:rsid w:val="094A21A2"/>
    <w:rsid w:val="0A9652E1"/>
    <w:rsid w:val="0AB06179"/>
    <w:rsid w:val="0B0B7D58"/>
    <w:rsid w:val="0B827D72"/>
    <w:rsid w:val="0BB94EEC"/>
    <w:rsid w:val="0C1A050D"/>
    <w:rsid w:val="0C361E92"/>
    <w:rsid w:val="0C5A2E51"/>
    <w:rsid w:val="0CF34650"/>
    <w:rsid w:val="0D2C67AC"/>
    <w:rsid w:val="0E550B2A"/>
    <w:rsid w:val="0ED14B39"/>
    <w:rsid w:val="0ED168E7"/>
    <w:rsid w:val="10276965"/>
    <w:rsid w:val="11867E5D"/>
    <w:rsid w:val="11902A8A"/>
    <w:rsid w:val="11F17C50"/>
    <w:rsid w:val="137E6912"/>
    <w:rsid w:val="13904FC3"/>
    <w:rsid w:val="13D16BF6"/>
    <w:rsid w:val="14117786"/>
    <w:rsid w:val="14C4231A"/>
    <w:rsid w:val="14DC5FE6"/>
    <w:rsid w:val="151E0666"/>
    <w:rsid w:val="151E288C"/>
    <w:rsid w:val="15211C4B"/>
    <w:rsid w:val="156009C5"/>
    <w:rsid w:val="156C23C2"/>
    <w:rsid w:val="164B6110"/>
    <w:rsid w:val="1794365F"/>
    <w:rsid w:val="17E268DE"/>
    <w:rsid w:val="18340673"/>
    <w:rsid w:val="189A5F9C"/>
    <w:rsid w:val="18AC437F"/>
    <w:rsid w:val="18E11E1D"/>
    <w:rsid w:val="191044B0"/>
    <w:rsid w:val="19B1693E"/>
    <w:rsid w:val="19EC0A79"/>
    <w:rsid w:val="1A2F2313"/>
    <w:rsid w:val="1B6C00C4"/>
    <w:rsid w:val="1BB2744F"/>
    <w:rsid w:val="1DB93368"/>
    <w:rsid w:val="1DCD0BC2"/>
    <w:rsid w:val="1F2558DA"/>
    <w:rsid w:val="1FAA11BB"/>
    <w:rsid w:val="1FD177C5"/>
    <w:rsid w:val="1FE93FAC"/>
    <w:rsid w:val="21867A05"/>
    <w:rsid w:val="21F20BF7"/>
    <w:rsid w:val="22347461"/>
    <w:rsid w:val="224E3E16"/>
    <w:rsid w:val="23797AEA"/>
    <w:rsid w:val="23A203FB"/>
    <w:rsid w:val="24741F74"/>
    <w:rsid w:val="24A106B2"/>
    <w:rsid w:val="25657932"/>
    <w:rsid w:val="25C61A2C"/>
    <w:rsid w:val="26246288"/>
    <w:rsid w:val="287732F1"/>
    <w:rsid w:val="28FE4902"/>
    <w:rsid w:val="293D3C3C"/>
    <w:rsid w:val="2A585CB7"/>
    <w:rsid w:val="2B520D22"/>
    <w:rsid w:val="2B88437A"/>
    <w:rsid w:val="2C864D5D"/>
    <w:rsid w:val="2CB01DDA"/>
    <w:rsid w:val="2CDD4919"/>
    <w:rsid w:val="2D016553"/>
    <w:rsid w:val="2D92328E"/>
    <w:rsid w:val="2E45132A"/>
    <w:rsid w:val="2E586286"/>
    <w:rsid w:val="2E8928E3"/>
    <w:rsid w:val="2F1F547B"/>
    <w:rsid w:val="2F353AB6"/>
    <w:rsid w:val="2F4A3E20"/>
    <w:rsid w:val="30EC0490"/>
    <w:rsid w:val="313C3C3D"/>
    <w:rsid w:val="31466AF4"/>
    <w:rsid w:val="31FF7E5D"/>
    <w:rsid w:val="3392223A"/>
    <w:rsid w:val="33E74334"/>
    <w:rsid w:val="347F27BE"/>
    <w:rsid w:val="34BA76AB"/>
    <w:rsid w:val="34F4706D"/>
    <w:rsid w:val="351D1FD7"/>
    <w:rsid w:val="35E825E5"/>
    <w:rsid w:val="36214C00"/>
    <w:rsid w:val="362E7723"/>
    <w:rsid w:val="36405F7D"/>
    <w:rsid w:val="375907F6"/>
    <w:rsid w:val="37BB657C"/>
    <w:rsid w:val="38BB5D8F"/>
    <w:rsid w:val="39D97A10"/>
    <w:rsid w:val="3A176FF5"/>
    <w:rsid w:val="3B016F16"/>
    <w:rsid w:val="3B1E43B3"/>
    <w:rsid w:val="3B345984"/>
    <w:rsid w:val="3B4402BD"/>
    <w:rsid w:val="3B806E1C"/>
    <w:rsid w:val="3BC22595"/>
    <w:rsid w:val="3C1438D6"/>
    <w:rsid w:val="3C6F3118"/>
    <w:rsid w:val="3C8B3CCA"/>
    <w:rsid w:val="3E0E4BB3"/>
    <w:rsid w:val="3E860A9B"/>
    <w:rsid w:val="3E9B60A4"/>
    <w:rsid w:val="3F2B5902"/>
    <w:rsid w:val="3FA0183A"/>
    <w:rsid w:val="3FA109E2"/>
    <w:rsid w:val="3FA96941"/>
    <w:rsid w:val="3FD00372"/>
    <w:rsid w:val="40077B0C"/>
    <w:rsid w:val="40421EA3"/>
    <w:rsid w:val="4175335E"/>
    <w:rsid w:val="41831141"/>
    <w:rsid w:val="41DF2AEE"/>
    <w:rsid w:val="42873B0C"/>
    <w:rsid w:val="42884F34"/>
    <w:rsid w:val="44417DD6"/>
    <w:rsid w:val="44441E0B"/>
    <w:rsid w:val="44D54F56"/>
    <w:rsid w:val="44ED72D0"/>
    <w:rsid w:val="45162194"/>
    <w:rsid w:val="45344EFF"/>
    <w:rsid w:val="456330E1"/>
    <w:rsid w:val="463278E8"/>
    <w:rsid w:val="463F16FB"/>
    <w:rsid w:val="465D66D7"/>
    <w:rsid w:val="469B2D5C"/>
    <w:rsid w:val="471A45C8"/>
    <w:rsid w:val="47266AC9"/>
    <w:rsid w:val="47995741"/>
    <w:rsid w:val="48142DC6"/>
    <w:rsid w:val="482B7A3F"/>
    <w:rsid w:val="486A487A"/>
    <w:rsid w:val="48F12205"/>
    <w:rsid w:val="49426B77"/>
    <w:rsid w:val="495516A9"/>
    <w:rsid w:val="49932766"/>
    <w:rsid w:val="49A43D68"/>
    <w:rsid w:val="4AB32D6A"/>
    <w:rsid w:val="4AC2591E"/>
    <w:rsid w:val="4CEB1057"/>
    <w:rsid w:val="4D4D14B4"/>
    <w:rsid w:val="4DA90454"/>
    <w:rsid w:val="4DE53493"/>
    <w:rsid w:val="4E1E674C"/>
    <w:rsid w:val="4E477394"/>
    <w:rsid w:val="4EE64015"/>
    <w:rsid w:val="4F22401A"/>
    <w:rsid w:val="4FE70DC0"/>
    <w:rsid w:val="5058443B"/>
    <w:rsid w:val="50865861"/>
    <w:rsid w:val="508D7BB9"/>
    <w:rsid w:val="50C94FD3"/>
    <w:rsid w:val="5163251D"/>
    <w:rsid w:val="51CC4711"/>
    <w:rsid w:val="52374D6B"/>
    <w:rsid w:val="52A04F8E"/>
    <w:rsid w:val="52ED5725"/>
    <w:rsid w:val="53220A8C"/>
    <w:rsid w:val="53446C55"/>
    <w:rsid w:val="53D855EF"/>
    <w:rsid w:val="54300F87"/>
    <w:rsid w:val="546D5BC8"/>
    <w:rsid w:val="554C1DF1"/>
    <w:rsid w:val="55843C1A"/>
    <w:rsid w:val="55C64900"/>
    <w:rsid w:val="56B7773E"/>
    <w:rsid w:val="56BF519F"/>
    <w:rsid w:val="56FE7D56"/>
    <w:rsid w:val="57193E77"/>
    <w:rsid w:val="571B5F1F"/>
    <w:rsid w:val="57411A85"/>
    <w:rsid w:val="57A001D2"/>
    <w:rsid w:val="586B4468"/>
    <w:rsid w:val="58783B88"/>
    <w:rsid w:val="599C4537"/>
    <w:rsid w:val="5AF509F4"/>
    <w:rsid w:val="5AFB2BCB"/>
    <w:rsid w:val="5BB04965"/>
    <w:rsid w:val="5BD01963"/>
    <w:rsid w:val="5BE11BDE"/>
    <w:rsid w:val="5C395604"/>
    <w:rsid w:val="5D41670D"/>
    <w:rsid w:val="5E1717A5"/>
    <w:rsid w:val="5E84084D"/>
    <w:rsid w:val="5E9D23EF"/>
    <w:rsid w:val="5F0455DC"/>
    <w:rsid w:val="5F08322C"/>
    <w:rsid w:val="5F1871E8"/>
    <w:rsid w:val="5F2931A3"/>
    <w:rsid w:val="60E50312"/>
    <w:rsid w:val="610F24CD"/>
    <w:rsid w:val="61344F63"/>
    <w:rsid w:val="61BF4336"/>
    <w:rsid w:val="61D05B58"/>
    <w:rsid w:val="622814F0"/>
    <w:rsid w:val="6355699C"/>
    <w:rsid w:val="63B43AF8"/>
    <w:rsid w:val="63C11A36"/>
    <w:rsid w:val="63DE27AE"/>
    <w:rsid w:val="64631235"/>
    <w:rsid w:val="64D14887"/>
    <w:rsid w:val="64D36A0C"/>
    <w:rsid w:val="65432F68"/>
    <w:rsid w:val="65934684"/>
    <w:rsid w:val="65FC1361"/>
    <w:rsid w:val="66315EC2"/>
    <w:rsid w:val="68352BB8"/>
    <w:rsid w:val="68B12EE2"/>
    <w:rsid w:val="68C93267"/>
    <w:rsid w:val="696A74A4"/>
    <w:rsid w:val="69B62C25"/>
    <w:rsid w:val="6A1F767C"/>
    <w:rsid w:val="6A381D3E"/>
    <w:rsid w:val="6A3D3FA6"/>
    <w:rsid w:val="6A415CDB"/>
    <w:rsid w:val="6A5512F0"/>
    <w:rsid w:val="6A62547B"/>
    <w:rsid w:val="6ADB7A47"/>
    <w:rsid w:val="6AED32D6"/>
    <w:rsid w:val="6BD667C4"/>
    <w:rsid w:val="6C7F463A"/>
    <w:rsid w:val="6C940135"/>
    <w:rsid w:val="6C9E46DB"/>
    <w:rsid w:val="6CB51B62"/>
    <w:rsid w:val="6CCD7344"/>
    <w:rsid w:val="6D4164CC"/>
    <w:rsid w:val="6D543AE1"/>
    <w:rsid w:val="6D9640F9"/>
    <w:rsid w:val="6DCA78FF"/>
    <w:rsid w:val="6DEA1D4F"/>
    <w:rsid w:val="6DF25D19"/>
    <w:rsid w:val="6E0B0E56"/>
    <w:rsid w:val="6F30035B"/>
    <w:rsid w:val="70003AAC"/>
    <w:rsid w:val="703D085C"/>
    <w:rsid w:val="71265794"/>
    <w:rsid w:val="713506A3"/>
    <w:rsid w:val="71570B74"/>
    <w:rsid w:val="717D271A"/>
    <w:rsid w:val="71967727"/>
    <w:rsid w:val="729D3834"/>
    <w:rsid w:val="72C24A5E"/>
    <w:rsid w:val="72E94CCB"/>
    <w:rsid w:val="7345352C"/>
    <w:rsid w:val="739F538A"/>
    <w:rsid w:val="762070B4"/>
    <w:rsid w:val="769A6A08"/>
    <w:rsid w:val="76A2766B"/>
    <w:rsid w:val="77010F17"/>
    <w:rsid w:val="773C6A7A"/>
    <w:rsid w:val="78F16688"/>
    <w:rsid w:val="79FC1788"/>
    <w:rsid w:val="7A075F91"/>
    <w:rsid w:val="7A6E2D6A"/>
    <w:rsid w:val="7A9E62B3"/>
    <w:rsid w:val="7AD2169E"/>
    <w:rsid w:val="7B7755C5"/>
    <w:rsid w:val="7B9F23CB"/>
    <w:rsid w:val="7C234BCD"/>
    <w:rsid w:val="7C5238E1"/>
    <w:rsid w:val="7C800350"/>
    <w:rsid w:val="7C9932BE"/>
    <w:rsid w:val="7D0133EC"/>
    <w:rsid w:val="7D0D7808"/>
    <w:rsid w:val="7D2D56B4"/>
    <w:rsid w:val="7D407BDD"/>
    <w:rsid w:val="7D653A0A"/>
    <w:rsid w:val="7D787377"/>
    <w:rsid w:val="7DCB56F9"/>
    <w:rsid w:val="7DCC7162"/>
    <w:rsid w:val="7E157BB7"/>
    <w:rsid w:val="7E6520B7"/>
    <w:rsid w:val="7EC3336F"/>
    <w:rsid w:val="7F1E7AAB"/>
    <w:rsid w:val="7F6776A3"/>
    <w:rsid w:val="FBFE006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99"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iPriority="99"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autoRedefine/>
    <w:qFormat/>
    <w:uiPriority w:val="9"/>
    <w:pPr>
      <w:keepNext/>
      <w:keepLines/>
      <w:spacing w:line="576" w:lineRule="auto"/>
      <w:outlineLvl w:val="0"/>
    </w:pPr>
    <w:rPr>
      <w:b/>
      <w:kern w:val="44"/>
      <w:sz w:val="44"/>
    </w:rPr>
  </w:style>
  <w:style w:type="paragraph" w:styleId="3">
    <w:name w:val="heading 2"/>
    <w:basedOn w:val="1"/>
    <w:next w:val="1"/>
    <w:autoRedefine/>
    <w:unhideWhenUsed/>
    <w:qFormat/>
    <w:uiPriority w:val="0"/>
    <w:pPr>
      <w:keepNext/>
      <w:keepLines/>
      <w:spacing w:line="360" w:lineRule="auto"/>
      <w:jc w:val="center"/>
      <w:outlineLvl w:val="1"/>
    </w:pPr>
    <w:rPr>
      <w:rFonts w:ascii="Arial" w:hAnsi="Arial" w:eastAsia="黑体"/>
      <w:b/>
      <w:bCs/>
      <w:sz w:val="32"/>
      <w:szCs w:val="32"/>
    </w:rPr>
  </w:style>
  <w:style w:type="paragraph" w:styleId="4">
    <w:name w:val="heading 3"/>
    <w:basedOn w:val="1"/>
    <w:next w:val="1"/>
    <w:link w:val="36"/>
    <w:autoRedefine/>
    <w:unhideWhenUsed/>
    <w:qFormat/>
    <w:uiPriority w:val="0"/>
    <w:pPr>
      <w:keepNext/>
      <w:keepLines/>
      <w:jc w:val="left"/>
      <w:outlineLvl w:val="2"/>
    </w:pPr>
    <w:rPr>
      <w:b/>
      <w:bCs/>
      <w:sz w:val="28"/>
      <w:szCs w:val="32"/>
    </w:rPr>
  </w:style>
  <w:style w:type="paragraph" w:styleId="5">
    <w:name w:val="heading 4"/>
    <w:basedOn w:val="1"/>
    <w:next w:val="1"/>
    <w:autoRedefine/>
    <w:unhideWhenUsed/>
    <w:qFormat/>
    <w:uiPriority w:val="0"/>
    <w:pPr>
      <w:keepNext/>
      <w:keepLines/>
      <w:spacing w:beforeLines="50" w:afterLines="50"/>
      <w:jc w:val="left"/>
      <w:outlineLvl w:val="3"/>
    </w:pPr>
    <w:rPr>
      <w:rFonts w:ascii="Calibri" w:hAnsi="Calibri"/>
      <w:b/>
      <w:bCs/>
      <w:sz w:val="24"/>
      <w:szCs w:val="28"/>
      <w:lang w:val="zh-CN"/>
    </w:rPr>
  </w:style>
  <w:style w:type="paragraph" w:styleId="6">
    <w:name w:val="heading 6"/>
    <w:basedOn w:val="1"/>
    <w:next w:val="1"/>
    <w:autoRedefine/>
    <w:unhideWhenUsed/>
    <w:qFormat/>
    <w:uiPriority w:val="0"/>
    <w:pPr>
      <w:spacing w:before="100" w:beforeAutospacing="1" w:after="100" w:afterAutospacing="1"/>
      <w:jc w:val="left"/>
      <w:outlineLvl w:val="5"/>
    </w:pPr>
    <w:rPr>
      <w:rFonts w:hint="eastAsia" w:ascii="宋体" w:hAnsi="宋体" w:eastAsia="宋体" w:cs="宋体"/>
      <w:b/>
      <w:bCs/>
      <w:kern w:val="0"/>
      <w:sz w:val="15"/>
      <w:szCs w:val="15"/>
      <w:lang w:val="en-US" w:eastAsia="zh-CN" w:bidi="ar"/>
    </w:rPr>
  </w:style>
  <w:style w:type="character" w:default="1" w:styleId="23">
    <w:name w:val="Default Paragraph Font"/>
    <w:autoRedefine/>
    <w:unhideWhenUsed/>
    <w:qFormat/>
    <w:uiPriority w:val="1"/>
  </w:style>
  <w:style w:type="table" w:default="1" w:styleId="21">
    <w:name w:val="Normal Table"/>
    <w:autoRedefine/>
    <w:unhideWhenUsed/>
    <w:qFormat/>
    <w:uiPriority w:val="99"/>
    <w:tblPr>
      <w:tblCellMar>
        <w:top w:w="0" w:type="dxa"/>
        <w:left w:w="108" w:type="dxa"/>
        <w:bottom w:w="0" w:type="dxa"/>
        <w:right w:w="108" w:type="dxa"/>
      </w:tblCellMar>
    </w:tblPr>
  </w:style>
  <w:style w:type="paragraph" w:styleId="7">
    <w:name w:val="Normal Indent"/>
    <w:basedOn w:val="1"/>
    <w:autoRedefine/>
    <w:qFormat/>
    <w:uiPriority w:val="0"/>
    <w:pPr>
      <w:autoSpaceDE w:val="0"/>
      <w:autoSpaceDN w:val="0"/>
      <w:adjustRightInd w:val="0"/>
      <w:spacing w:line="640" w:lineRule="exact"/>
      <w:ind w:firstLine="585"/>
    </w:pPr>
    <w:rPr>
      <w:rFonts w:ascii="楷体_GB2312" w:eastAsia="楷体_GB2312"/>
      <w:kern w:val="0"/>
      <w:sz w:val="32"/>
      <w:szCs w:val="32"/>
    </w:rPr>
  </w:style>
  <w:style w:type="paragraph" w:styleId="8">
    <w:name w:val="toa heading"/>
    <w:basedOn w:val="1"/>
    <w:next w:val="1"/>
    <w:autoRedefine/>
    <w:semiHidden/>
    <w:qFormat/>
    <w:uiPriority w:val="99"/>
    <w:pPr>
      <w:spacing w:before="120"/>
    </w:pPr>
    <w:rPr>
      <w:rFonts w:ascii="Arial" w:hAnsi="Arial"/>
      <w:sz w:val="24"/>
      <w:szCs w:val="20"/>
    </w:rPr>
  </w:style>
  <w:style w:type="paragraph" w:styleId="9">
    <w:name w:val="Body Text"/>
    <w:basedOn w:val="1"/>
    <w:next w:val="1"/>
    <w:autoRedefine/>
    <w:qFormat/>
    <w:uiPriority w:val="0"/>
  </w:style>
  <w:style w:type="paragraph" w:styleId="10">
    <w:name w:val="Body Text Indent"/>
    <w:basedOn w:val="1"/>
    <w:autoRedefine/>
    <w:qFormat/>
    <w:uiPriority w:val="0"/>
    <w:pPr>
      <w:ind w:left="1083" w:leftChars="30" w:hanging="1020" w:hangingChars="425"/>
    </w:pPr>
    <w:rPr>
      <w:rFonts w:ascii="宋体" w:hAnsi="宋体"/>
      <w:sz w:val="24"/>
    </w:rPr>
  </w:style>
  <w:style w:type="paragraph" w:styleId="11">
    <w:name w:val="Plain Text"/>
    <w:basedOn w:val="9"/>
    <w:autoRedefine/>
    <w:unhideWhenUsed/>
    <w:qFormat/>
    <w:uiPriority w:val="99"/>
    <w:rPr>
      <w:rFonts w:hint="eastAsia" w:ascii="宋体" w:hAnsi="Courier New"/>
      <w:sz w:val="24"/>
    </w:rPr>
  </w:style>
  <w:style w:type="paragraph" w:styleId="12">
    <w:name w:val="Body Text Indent 2"/>
    <w:basedOn w:val="1"/>
    <w:autoRedefine/>
    <w:qFormat/>
    <w:uiPriority w:val="99"/>
    <w:pPr>
      <w:tabs>
        <w:tab w:val="left" w:pos="5625"/>
      </w:tabs>
      <w:ind w:left="1138" w:leftChars="542"/>
    </w:pPr>
    <w:rPr>
      <w:rFonts w:ascii="Times New Roman"/>
      <w:kern w:val="2"/>
    </w:rPr>
  </w:style>
  <w:style w:type="paragraph" w:styleId="13">
    <w:name w:val="Balloon Text"/>
    <w:basedOn w:val="1"/>
    <w:link w:val="39"/>
    <w:autoRedefine/>
    <w:qFormat/>
    <w:uiPriority w:val="0"/>
    <w:rPr>
      <w:sz w:val="18"/>
      <w:szCs w:val="18"/>
    </w:rPr>
  </w:style>
  <w:style w:type="paragraph" w:styleId="14">
    <w:name w:val="footer"/>
    <w:basedOn w:val="1"/>
    <w:next w:val="1"/>
    <w:autoRedefine/>
    <w:unhideWhenUsed/>
    <w:qFormat/>
    <w:uiPriority w:val="99"/>
    <w:pPr>
      <w:tabs>
        <w:tab w:val="center" w:pos="4153"/>
        <w:tab w:val="right" w:pos="8306"/>
      </w:tabs>
      <w:snapToGrid w:val="0"/>
      <w:jc w:val="left"/>
    </w:pPr>
    <w:rPr>
      <w:sz w:val="18"/>
    </w:rPr>
  </w:style>
  <w:style w:type="paragraph" w:styleId="15">
    <w:name w:val="envelope return"/>
    <w:basedOn w:val="1"/>
    <w:autoRedefine/>
    <w:qFormat/>
    <w:uiPriority w:val="0"/>
    <w:pPr>
      <w:snapToGrid w:val="0"/>
    </w:pPr>
    <w:rPr>
      <w:rFonts w:ascii="Arial" w:hAnsi="Arial"/>
    </w:rPr>
  </w:style>
  <w:style w:type="paragraph" w:styleId="16">
    <w:name w:val="header"/>
    <w:basedOn w:val="1"/>
    <w:autoRedefine/>
    <w:unhideWhenUsed/>
    <w:qFormat/>
    <w:uiPriority w:val="0"/>
    <w:pPr>
      <w:pBdr>
        <w:bottom w:val="single" w:color="auto" w:sz="6" w:space="1"/>
      </w:pBdr>
      <w:tabs>
        <w:tab w:val="center" w:pos="4153"/>
        <w:tab w:val="right" w:pos="8306"/>
      </w:tabs>
      <w:adjustRightInd w:val="0"/>
      <w:spacing w:line="240" w:lineRule="atLeast"/>
      <w:jc w:val="center"/>
    </w:pPr>
    <w:rPr>
      <w:kern w:val="0"/>
      <w:sz w:val="18"/>
    </w:rPr>
  </w:style>
  <w:style w:type="paragraph" w:styleId="17">
    <w:name w:val="toc 1"/>
    <w:basedOn w:val="1"/>
    <w:next w:val="1"/>
    <w:autoRedefine/>
    <w:unhideWhenUsed/>
    <w:qFormat/>
    <w:uiPriority w:val="39"/>
  </w:style>
  <w:style w:type="paragraph" w:styleId="18">
    <w:name w:val="Normal (Web)"/>
    <w:basedOn w:val="1"/>
    <w:next w:val="15"/>
    <w:autoRedefine/>
    <w:unhideWhenUsed/>
    <w:qFormat/>
    <w:uiPriority w:val="99"/>
    <w:pPr>
      <w:spacing w:before="100" w:beforeAutospacing="1" w:after="100" w:afterAutospacing="1"/>
      <w:jc w:val="left"/>
    </w:pPr>
    <w:rPr>
      <w:kern w:val="0"/>
      <w:sz w:val="24"/>
    </w:rPr>
  </w:style>
  <w:style w:type="paragraph" w:styleId="19">
    <w:name w:val="Body Text First Indent"/>
    <w:basedOn w:val="9"/>
    <w:next w:val="1"/>
    <w:autoRedefine/>
    <w:unhideWhenUsed/>
    <w:qFormat/>
    <w:uiPriority w:val="99"/>
    <w:pPr>
      <w:ind w:firstLine="420" w:firstLineChars="100"/>
    </w:pPr>
  </w:style>
  <w:style w:type="paragraph" w:styleId="20">
    <w:name w:val="Body Text First Indent 2"/>
    <w:basedOn w:val="10"/>
    <w:autoRedefine/>
    <w:qFormat/>
    <w:uiPriority w:val="0"/>
    <w:pPr>
      <w:spacing w:after="120" w:afterLines="0" w:line="276" w:lineRule="auto"/>
      <w:ind w:left="420" w:leftChars="200" w:firstLine="420" w:firstLineChars="200"/>
      <w:jc w:val="left"/>
    </w:pPr>
    <w:rPr>
      <w:rFonts w:ascii="Calibri" w:hAnsi="Calibri"/>
      <w:kern w:val="0"/>
      <w:sz w:val="22"/>
      <w:szCs w:val="22"/>
      <w:lang w:eastAsia="en-US"/>
    </w:rPr>
  </w:style>
  <w:style w:type="table" w:styleId="22">
    <w:name w:val="Table Grid"/>
    <w:basedOn w:val="21"/>
    <w:autoRedefine/>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Strong"/>
    <w:basedOn w:val="23"/>
    <w:autoRedefine/>
    <w:qFormat/>
    <w:uiPriority w:val="0"/>
    <w:rPr>
      <w:b/>
      <w:bCs/>
    </w:rPr>
  </w:style>
  <w:style w:type="character" w:styleId="25">
    <w:name w:val="FollowedHyperlink"/>
    <w:basedOn w:val="23"/>
    <w:autoRedefine/>
    <w:qFormat/>
    <w:uiPriority w:val="0"/>
    <w:rPr>
      <w:color w:val="800080"/>
      <w:u w:val="none"/>
    </w:rPr>
  </w:style>
  <w:style w:type="character" w:styleId="26">
    <w:name w:val="Emphasis"/>
    <w:basedOn w:val="23"/>
    <w:autoRedefine/>
    <w:qFormat/>
    <w:uiPriority w:val="0"/>
    <w:rPr>
      <w:b/>
      <w:bCs/>
    </w:rPr>
  </w:style>
  <w:style w:type="character" w:styleId="27">
    <w:name w:val="HTML Definition"/>
    <w:basedOn w:val="23"/>
    <w:autoRedefine/>
    <w:qFormat/>
    <w:uiPriority w:val="0"/>
  </w:style>
  <w:style w:type="character" w:styleId="28">
    <w:name w:val="HTML Typewriter"/>
    <w:basedOn w:val="23"/>
    <w:autoRedefine/>
    <w:qFormat/>
    <w:uiPriority w:val="0"/>
    <w:rPr>
      <w:rFonts w:hint="default" w:ascii="monospace" w:hAnsi="monospace" w:eastAsia="monospace" w:cs="monospace"/>
      <w:sz w:val="20"/>
    </w:rPr>
  </w:style>
  <w:style w:type="character" w:styleId="29">
    <w:name w:val="HTML Acronym"/>
    <w:basedOn w:val="23"/>
    <w:autoRedefine/>
    <w:qFormat/>
    <w:uiPriority w:val="0"/>
  </w:style>
  <w:style w:type="character" w:styleId="30">
    <w:name w:val="HTML Variable"/>
    <w:basedOn w:val="23"/>
    <w:autoRedefine/>
    <w:qFormat/>
    <w:uiPriority w:val="0"/>
  </w:style>
  <w:style w:type="character" w:styleId="31">
    <w:name w:val="Hyperlink"/>
    <w:basedOn w:val="23"/>
    <w:autoRedefine/>
    <w:qFormat/>
    <w:uiPriority w:val="0"/>
    <w:rPr>
      <w:rFonts w:hint="eastAsia" w:ascii="宋体" w:hAnsi="宋体" w:eastAsia="宋体" w:cs="宋体"/>
      <w:color w:val="000000"/>
      <w:sz w:val="18"/>
      <w:szCs w:val="18"/>
      <w:u w:val="none"/>
    </w:rPr>
  </w:style>
  <w:style w:type="character" w:styleId="32">
    <w:name w:val="HTML Code"/>
    <w:basedOn w:val="23"/>
    <w:autoRedefine/>
    <w:qFormat/>
    <w:uiPriority w:val="0"/>
    <w:rPr>
      <w:rFonts w:hint="default" w:ascii="monospace" w:hAnsi="monospace" w:eastAsia="monospace" w:cs="monospace"/>
      <w:sz w:val="20"/>
    </w:rPr>
  </w:style>
  <w:style w:type="character" w:styleId="33">
    <w:name w:val="HTML Cite"/>
    <w:basedOn w:val="23"/>
    <w:autoRedefine/>
    <w:qFormat/>
    <w:uiPriority w:val="0"/>
  </w:style>
  <w:style w:type="character" w:styleId="34">
    <w:name w:val="HTML Keyboard"/>
    <w:basedOn w:val="23"/>
    <w:autoRedefine/>
    <w:qFormat/>
    <w:uiPriority w:val="0"/>
    <w:rPr>
      <w:rFonts w:ascii="monospace" w:hAnsi="monospace" w:eastAsia="monospace" w:cs="monospace"/>
      <w:sz w:val="20"/>
    </w:rPr>
  </w:style>
  <w:style w:type="character" w:styleId="35">
    <w:name w:val="HTML Sample"/>
    <w:basedOn w:val="23"/>
    <w:autoRedefine/>
    <w:qFormat/>
    <w:uiPriority w:val="0"/>
    <w:rPr>
      <w:rFonts w:hint="default" w:ascii="monospace" w:hAnsi="monospace" w:eastAsia="monospace" w:cs="monospace"/>
    </w:rPr>
  </w:style>
  <w:style w:type="character" w:customStyle="1" w:styleId="36">
    <w:name w:val="标题 3 Char"/>
    <w:link w:val="4"/>
    <w:autoRedefine/>
    <w:qFormat/>
    <w:uiPriority w:val="0"/>
    <w:rPr>
      <w:rFonts w:ascii="Times New Roman" w:hAnsi="Times New Roman" w:eastAsia="宋体" w:cs="Times New Roman"/>
      <w:b/>
      <w:bCs/>
      <w:sz w:val="28"/>
      <w:szCs w:val="32"/>
    </w:rPr>
  </w:style>
  <w:style w:type="paragraph" w:customStyle="1" w:styleId="37">
    <w:name w:val="正文缩进1"/>
    <w:basedOn w:val="1"/>
    <w:autoRedefine/>
    <w:qFormat/>
    <w:uiPriority w:val="0"/>
    <w:pPr>
      <w:ind w:firstLine="420" w:firstLineChars="200"/>
    </w:pPr>
  </w:style>
  <w:style w:type="paragraph" w:customStyle="1" w:styleId="38">
    <w:name w:val="样式1"/>
    <w:basedOn w:val="1"/>
    <w:autoRedefine/>
    <w:qFormat/>
    <w:uiPriority w:val="0"/>
    <w:rPr>
      <w:sz w:val="18"/>
    </w:rPr>
  </w:style>
  <w:style w:type="character" w:customStyle="1" w:styleId="39">
    <w:name w:val="批注框文本 Char"/>
    <w:basedOn w:val="23"/>
    <w:link w:val="13"/>
    <w:autoRedefine/>
    <w:qFormat/>
    <w:uiPriority w:val="0"/>
    <w:rPr>
      <w:kern w:val="2"/>
      <w:sz w:val="18"/>
      <w:szCs w:val="18"/>
    </w:rPr>
  </w:style>
  <w:style w:type="paragraph" w:customStyle="1" w:styleId="40">
    <w:name w:val="No Spacing"/>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1">
    <w:name w:val="Heading2"/>
    <w:basedOn w:val="1"/>
    <w:next w:val="1"/>
    <w:autoRedefine/>
    <w:qFormat/>
    <w:uiPriority w:val="0"/>
    <w:pPr>
      <w:keepNext/>
      <w:keepLines/>
      <w:spacing w:before="260" w:after="260"/>
      <w:jc w:val="center"/>
    </w:pPr>
    <w:rPr>
      <w:rFonts w:ascii="Arial" w:hAnsi="Arial"/>
      <w:b/>
      <w:sz w:val="30"/>
    </w:rPr>
  </w:style>
  <w:style w:type="character" w:customStyle="1" w:styleId="42">
    <w:name w:val="NormalCharacter"/>
    <w:link w:val="43"/>
    <w:autoRedefine/>
    <w:qFormat/>
    <w:uiPriority w:val="0"/>
  </w:style>
  <w:style w:type="paragraph" w:customStyle="1" w:styleId="43">
    <w:name w:val="UserStyle_34"/>
    <w:basedOn w:val="1"/>
    <w:link w:val="42"/>
    <w:autoRedefine/>
    <w:qFormat/>
    <w:uiPriority w:val="0"/>
  </w:style>
  <w:style w:type="paragraph" w:customStyle="1" w:styleId="44">
    <w:name w:val="List Paragraph"/>
    <w:basedOn w:val="1"/>
    <w:autoRedefine/>
    <w:qFormat/>
    <w:uiPriority w:val="34"/>
    <w:pPr>
      <w:ind w:firstLine="420" w:firstLineChars="200"/>
    </w:pPr>
    <w:rPr>
      <w:szCs w:val="24"/>
    </w:rPr>
  </w:style>
  <w:style w:type="character" w:customStyle="1" w:styleId="45">
    <w:name w:val="font91"/>
    <w:basedOn w:val="23"/>
    <w:autoRedefine/>
    <w:qFormat/>
    <w:uiPriority w:val="0"/>
    <w:rPr>
      <w:rFonts w:hint="eastAsia" w:ascii="宋体" w:hAnsi="宋体" w:eastAsia="宋体" w:cs="宋体"/>
      <w:color w:val="000000"/>
      <w:sz w:val="24"/>
      <w:szCs w:val="24"/>
      <w:u w:val="none"/>
    </w:rPr>
  </w:style>
  <w:style w:type="character" w:customStyle="1" w:styleId="46">
    <w:name w:val="font121"/>
    <w:basedOn w:val="23"/>
    <w:autoRedefine/>
    <w:qFormat/>
    <w:uiPriority w:val="0"/>
    <w:rPr>
      <w:rFonts w:hint="eastAsia" w:ascii="宋体" w:hAnsi="宋体" w:eastAsia="宋体" w:cs="宋体"/>
      <w:color w:val="000000"/>
      <w:sz w:val="24"/>
      <w:szCs w:val="24"/>
      <w:u w:val="none"/>
    </w:rPr>
  </w:style>
  <w:style w:type="character" w:customStyle="1" w:styleId="47">
    <w:name w:val="font141"/>
    <w:basedOn w:val="23"/>
    <w:autoRedefine/>
    <w:qFormat/>
    <w:uiPriority w:val="0"/>
    <w:rPr>
      <w:rFonts w:hint="eastAsia" w:ascii="宋体" w:hAnsi="宋体" w:eastAsia="宋体" w:cs="宋体"/>
      <w:color w:val="000000"/>
      <w:sz w:val="24"/>
      <w:szCs w:val="24"/>
      <w:u w:val="none"/>
    </w:rPr>
  </w:style>
  <w:style w:type="character" w:customStyle="1" w:styleId="48">
    <w:name w:val="font212"/>
    <w:basedOn w:val="23"/>
    <w:autoRedefine/>
    <w:qFormat/>
    <w:uiPriority w:val="0"/>
    <w:rPr>
      <w:rFonts w:hint="eastAsia" w:ascii="宋体" w:hAnsi="宋体" w:eastAsia="宋体" w:cs="宋体"/>
      <w:color w:val="000000"/>
      <w:sz w:val="24"/>
      <w:szCs w:val="24"/>
      <w:u w:val="none"/>
      <w:vertAlign w:val="superscript"/>
    </w:rPr>
  </w:style>
  <w:style w:type="character" w:customStyle="1" w:styleId="49">
    <w:name w:val="font31"/>
    <w:basedOn w:val="23"/>
    <w:autoRedefine/>
    <w:qFormat/>
    <w:uiPriority w:val="0"/>
    <w:rPr>
      <w:rFonts w:hint="eastAsia" w:ascii="宋体" w:hAnsi="宋体" w:eastAsia="宋体" w:cs="宋体"/>
      <w:color w:val="000000"/>
      <w:sz w:val="24"/>
      <w:szCs w:val="24"/>
      <w:u w:val="none"/>
    </w:rPr>
  </w:style>
  <w:style w:type="character" w:customStyle="1" w:styleId="50">
    <w:name w:val="font231"/>
    <w:basedOn w:val="23"/>
    <w:autoRedefine/>
    <w:qFormat/>
    <w:uiPriority w:val="0"/>
    <w:rPr>
      <w:rFonts w:hint="eastAsia" w:ascii="宋体" w:hAnsi="宋体" w:eastAsia="宋体" w:cs="宋体"/>
      <w:color w:val="000000"/>
      <w:sz w:val="24"/>
      <w:szCs w:val="24"/>
      <w:u w:val="none"/>
    </w:rPr>
  </w:style>
  <w:style w:type="table" w:customStyle="1" w:styleId="51">
    <w:name w:val="Table Normal"/>
    <w:autoRedefine/>
    <w:unhideWhenUsed/>
    <w:qFormat/>
    <w:uiPriority w:val="0"/>
    <w:tblPr>
      <w:tblCellMar>
        <w:top w:w="0" w:type="dxa"/>
        <w:left w:w="0" w:type="dxa"/>
        <w:bottom w:w="0" w:type="dxa"/>
        <w:right w:w="0" w:type="dxa"/>
      </w:tblCellMar>
    </w:tblPr>
  </w:style>
  <w:style w:type="character" w:customStyle="1" w:styleId="52">
    <w:name w:val="tang-pass-qrcode-list-bj"/>
    <w:basedOn w:val="23"/>
    <w:autoRedefine/>
    <w:qFormat/>
    <w:uiPriority w:val="0"/>
  </w:style>
  <w:style w:type="character" w:customStyle="1" w:styleId="53">
    <w:name w:val="pass-generalerror"/>
    <w:basedOn w:val="23"/>
    <w:autoRedefine/>
    <w:qFormat/>
    <w:uiPriority w:val="0"/>
    <w:rPr>
      <w:sz w:val="21"/>
      <w:szCs w:val="21"/>
    </w:rPr>
  </w:style>
  <w:style w:type="character" w:customStyle="1" w:styleId="54">
    <w:name w:val="pass-placeholder"/>
    <w:basedOn w:val="23"/>
    <w:autoRedefine/>
    <w:qFormat/>
    <w:uiPriority w:val="0"/>
  </w:style>
  <w:style w:type="character" w:customStyle="1" w:styleId="55">
    <w:name w:val="pass-placeholder1"/>
    <w:basedOn w:val="23"/>
    <w:autoRedefine/>
    <w:qFormat/>
    <w:uiPriority w:val="0"/>
  </w:style>
  <w:style w:type="character" w:customStyle="1" w:styleId="56">
    <w:name w:val="pass-placeholder2"/>
    <w:basedOn w:val="23"/>
    <w:autoRedefine/>
    <w:qFormat/>
    <w:uiPriority w:val="0"/>
  </w:style>
  <w:style w:type="character" w:customStyle="1" w:styleId="57">
    <w:name w:val="pass-placeholder3"/>
    <w:basedOn w:val="23"/>
    <w:autoRedefine/>
    <w:qFormat/>
    <w:uiPriority w:val="0"/>
  </w:style>
  <w:style w:type="character" w:customStyle="1" w:styleId="58">
    <w:name w:val="tang-pass-qrcode-list-aq"/>
    <w:basedOn w:val="23"/>
    <w:autoRedefine/>
    <w:qFormat/>
    <w:uiPriority w:val="0"/>
  </w:style>
  <w:style w:type="character" w:customStyle="1" w:styleId="59">
    <w:name w:val="pass-clearbtn-verifycode"/>
    <w:basedOn w:val="23"/>
    <w:autoRedefine/>
    <w:qFormat/>
    <w:uiPriority w:val="0"/>
    <w:rPr>
      <w:color w:val="CCCCCC"/>
      <w:sz w:val="21"/>
      <w:szCs w:val="21"/>
    </w:rPr>
  </w:style>
  <w:style w:type="character" w:customStyle="1" w:styleId="60">
    <w:name w:val="pass-clearbtn-smsverifycode"/>
    <w:basedOn w:val="23"/>
    <w:autoRedefine/>
    <w:qFormat/>
    <w:uiPriority w:val="0"/>
  </w:style>
  <w:style w:type="character" w:customStyle="1" w:styleId="61">
    <w:name w:val="open"/>
    <w:basedOn w:val="23"/>
    <w:autoRedefine/>
    <w:qFormat/>
    <w:uiPriority w:val="0"/>
  </w:style>
  <w:style w:type="character" w:customStyle="1" w:styleId="62">
    <w:name w:val="tang-pass-qrcode-list-gx"/>
    <w:basedOn w:val="23"/>
    <w:autoRedefine/>
    <w:qFormat/>
    <w:uiPriority w:val="0"/>
  </w:style>
  <w:style w:type="paragraph" w:customStyle="1" w:styleId="63">
    <w:name w:val="xl36"/>
    <w:basedOn w:val="1"/>
    <w:autoRedefine/>
    <w:qFormat/>
    <w:uiPriority w:val="0"/>
    <w:pPr>
      <w:widowControl/>
      <w:spacing w:before="100" w:beforeLines="0" w:beforeAutospacing="0" w:after="100" w:afterLines="0" w:afterAutospacing="0"/>
      <w:jc w:val="center"/>
    </w:pPr>
    <w:rPr>
      <w:rFonts w:hint="eastAsia" w:ascii="宋体" w:hAnsi="宋体"/>
      <w:kern w:val="0"/>
      <w:sz w:val="24"/>
    </w:rPr>
  </w:style>
  <w:style w:type="character" w:customStyle="1" w:styleId="64">
    <w:name w:val="font101"/>
    <w:basedOn w:val="23"/>
    <w:autoRedefine/>
    <w:qFormat/>
    <w:uiPriority w:val="0"/>
    <w:rPr>
      <w:rFonts w:hint="default" w:ascii="Calibri" w:hAnsi="Calibri" w:cs="Calibri"/>
      <w:color w:val="000000"/>
      <w:sz w:val="21"/>
      <w:szCs w:val="21"/>
      <w:u w:val="none"/>
    </w:rPr>
  </w:style>
  <w:style w:type="character" w:customStyle="1" w:styleId="65">
    <w:name w:val="nth-of-type(3)"/>
    <w:basedOn w:val="23"/>
    <w:autoRedefine/>
    <w:qFormat/>
    <w:uiPriority w:val="0"/>
  </w:style>
  <w:style w:type="character" w:customStyle="1" w:styleId="66">
    <w:name w:val="nth-of-type(3)1"/>
    <w:basedOn w:val="23"/>
    <w:autoRedefine/>
    <w:qFormat/>
    <w:uiPriority w:val="0"/>
  </w:style>
  <w:style w:type="character" w:customStyle="1" w:styleId="67">
    <w:name w:val="nth-of-type(3)2"/>
    <w:basedOn w:val="23"/>
    <w:autoRedefine/>
    <w:qFormat/>
    <w:uiPriority w:val="0"/>
  </w:style>
  <w:style w:type="character" w:customStyle="1" w:styleId="68">
    <w:name w:val="nth-of-type(3)3"/>
    <w:basedOn w:val="23"/>
    <w:autoRedefine/>
    <w:qFormat/>
    <w:uiPriority w:val="0"/>
  </w:style>
  <w:style w:type="character" w:customStyle="1" w:styleId="69">
    <w:name w:val="nth-of-type(3)4"/>
    <w:basedOn w:val="23"/>
    <w:autoRedefine/>
    <w:qFormat/>
    <w:uiPriority w:val="0"/>
  </w:style>
  <w:style w:type="character" w:customStyle="1" w:styleId="70">
    <w:name w:val="nth-of-type(3)5"/>
    <w:basedOn w:val="23"/>
    <w:autoRedefine/>
    <w:qFormat/>
    <w:uiPriority w:val="0"/>
  </w:style>
  <w:style w:type="character" w:customStyle="1" w:styleId="71">
    <w:name w:val="nth-of-type(3)6"/>
    <w:basedOn w:val="23"/>
    <w:autoRedefine/>
    <w:qFormat/>
    <w:uiPriority w:val="0"/>
    <w:rPr>
      <w:sz w:val="21"/>
      <w:szCs w:val="21"/>
    </w:rPr>
  </w:style>
  <w:style w:type="character" w:customStyle="1" w:styleId="72">
    <w:name w:val="nth-of-type(3)7"/>
    <w:basedOn w:val="23"/>
    <w:autoRedefine/>
    <w:qFormat/>
    <w:uiPriority w:val="0"/>
  </w:style>
  <w:style w:type="character" w:customStyle="1" w:styleId="73">
    <w:name w:val="last-child"/>
    <w:basedOn w:val="23"/>
    <w:autoRedefine/>
    <w:qFormat/>
    <w:uiPriority w:val="0"/>
  </w:style>
  <w:style w:type="character" w:customStyle="1" w:styleId="74">
    <w:name w:val="last-child1"/>
    <w:basedOn w:val="23"/>
    <w:autoRedefine/>
    <w:qFormat/>
    <w:uiPriority w:val="0"/>
    <w:rPr>
      <w:color w:val="FFFFFF"/>
    </w:rPr>
  </w:style>
  <w:style w:type="character" w:customStyle="1" w:styleId="75">
    <w:name w:val="nth-of-type(4)"/>
    <w:basedOn w:val="23"/>
    <w:autoRedefine/>
    <w:qFormat/>
    <w:uiPriority w:val="0"/>
  </w:style>
  <w:style w:type="character" w:customStyle="1" w:styleId="76">
    <w:name w:val="nth-of-type(1)"/>
    <w:basedOn w:val="23"/>
    <w:autoRedefine/>
    <w:qFormat/>
    <w:uiPriority w:val="0"/>
  </w:style>
  <w:style w:type="character" w:customStyle="1" w:styleId="77">
    <w:name w:val="nth-of-type(1)1"/>
    <w:basedOn w:val="23"/>
    <w:autoRedefine/>
    <w:qFormat/>
    <w:uiPriority w:val="0"/>
  </w:style>
  <w:style w:type="character" w:customStyle="1" w:styleId="78">
    <w:name w:val="nth-of-type(1)2"/>
    <w:basedOn w:val="23"/>
    <w:autoRedefine/>
    <w:qFormat/>
    <w:uiPriority w:val="0"/>
  </w:style>
  <w:style w:type="character" w:customStyle="1" w:styleId="79">
    <w:name w:val="nth-of-type(1)3"/>
    <w:basedOn w:val="23"/>
    <w:autoRedefine/>
    <w:qFormat/>
    <w:uiPriority w:val="0"/>
  </w:style>
  <w:style w:type="character" w:customStyle="1" w:styleId="80">
    <w:name w:val="nth-of-type(1)4"/>
    <w:basedOn w:val="23"/>
    <w:autoRedefine/>
    <w:qFormat/>
    <w:uiPriority w:val="0"/>
    <w:rPr>
      <w:rFonts w:ascii="SourceHanSansCN-Regular" w:hAnsi="SourceHanSansCN-Regular" w:eastAsia="SourceHanSansCN-Regular" w:cs="SourceHanSansCN-Regular"/>
      <w:color w:val="FB560A"/>
      <w:sz w:val="21"/>
      <w:szCs w:val="21"/>
    </w:rPr>
  </w:style>
  <w:style w:type="character" w:customStyle="1" w:styleId="81">
    <w:name w:val="nth-of-type(1)5"/>
    <w:basedOn w:val="23"/>
    <w:autoRedefine/>
    <w:qFormat/>
    <w:uiPriority w:val="0"/>
  </w:style>
  <w:style w:type="character" w:customStyle="1" w:styleId="82">
    <w:name w:val="nth-of-type(1)6"/>
    <w:basedOn w:val="23"/>
    <w:autoRedefine/>
    <w:qFormat/>
    <w:uiPriority w:val="0"/>
  </w:style>
  <w:style w:type="character" w:customStyle="1" w:styleId="83">
    <w:name w:val="nth-of-type(1)7"/>
    <w:basedOn w:val="23"/>
    <w:autoRedefine/>
    <w:qFormat/>
    <w:uiPriority w:val="0"/>
  </w:style>
  <w:style w:type="character" w:customStyle="1" w:styleId="84">
    <w:name w:val="nth-of-type(1)8"/>
    <w:basedOn w:val="23"/>
    <w:autoRedefine/>
    <w:qFormat/>
    <w:uiPriority w:val="0"/>
  </w:style>
  <w:style w:type="character" w:customStyle="1" w:styleId="85">
    <w:name w:val="nth-of-type(1)9"/>
    <w:basedOn w:val="23"/>
    <w:autoRedefine/>
    <w:qFormat/>
    <w:uiPriority w:val="0"/>
  </w:style>
  <w:style w:type="character" w:customStyle="1" w:styleId="86">
    <w:name w:val="nth-of-type(1)10"/>
    <w:basedOn w:val="23"/>
    <w:autoRedefine/>
    <w:qFormat/>
    <w:uiPriority w:val="0"/>
  </w:style>
  <w:style w:type="character" w:customStyle="1" w:styleId="87">
    <w:name w:val="nth-of-type(1)11"/>
    <w:basedOn w:val="23"/>
    <w:autoRedefine/>
    <w:qFormat/>
    <w:uiPriority w:val="0"/>
  </w:style>
  <w:style w:type="character" w:customStyle="1" w:styleId="88">
    <w:name w:val="nth-of-type(1)12"/>
    <w:basedOn w:val="23"/>
    <w:autoRedefine/>
    <w:qFormat/>
    <w:uiPriority w:val="0"/>
  </w:style>
  <w:style w:type="character" w:customStyle="1" w:styleId="89">
    <w:name w:val="nth-of-type(1)13"/>
    <w:basedOn w:val="23"/>
    <w:autoRedefine/>
    <w:qFormat/>
    <w:uiPriority w:val="0"/>
  </w:style>
  <w:style w:type="character" w:customStyle="1" w:styleId="90">
    <w:name w:val="nth-of-type(1)14"/>
    <w:basedOn w:val="23"/>
    <w:autoRedefine/>
    <w:qFormat/>
    <w:uiPriority w:val="0"/>
  </w:style>
  <w:style w:type="character" w:customStyle="1" w:styleId="91">
    <w:name w:val="nth-of-type(1)15"/>
    <w:basedOn w:val="23"/>
    <w:autoRedefine/>
    <w:qFormat/>
    <w:uiPriority w:val="0"/>
  </w:style>
  <w:style w:type="character" w:customStyle="1" w:styleId="92">
    <w:name w:val="nth-of-type(1)16"/>
    <w:basedOn w:val="23"/>
    <w:autoRedefine/>
    <w:qFormat/>
    <w:uiPriority w:val="0"/>
  </w:style>
  <w:style w:type="character" w:customStyle="1" w:styleId="93">
    <w:name w:val="nth-of-type(1)17"/>
    <w:basedOn w:val="23"/>
    <w:autoRedefine/>
    <w:qFormat/>
    <w:uiPriority w:val="0"/>
    <w:rPr>
      <w:sz w:val="21"/>
      <w:szCs w:val="21"/>
    </w:rPr>
  </w:style>
  <w:style w:type="character" w:customStyle="1" w:styleId="94">
    <w:name w:val="nth-of-type(1)18"/>
    <w:basedOn w:val="23"/>
    <w:autoRedefine/>
    <w:qFormat/>
    <w:uiPriority w:val="0"/>
  </w:style>
  <w:style w:type="character" w:customStyle="1" w:styleId="95">
    <w:name w:val="nth-of-type(9)"/>
    <w:basedOn w:val="23"/>
    <w:autoRedefine/>
    <w:qFormat/>
    <w:uiPriority w:val="0"/>
  </w:style>
  <w:style w:type="character" w:customStyle="1" w:styleId="96">
    <w:name w:val="nth-of-type(2)"/>
    <w:basedOn w:val="23"/>
    <w:autoRedefine/>
    <w:qFormat/>
    <w:uiPriority w:val="0"/>
  </w:style>
  <w:style w:type="character" w:customStyle="1" w:styleId="97">
    <w:name w:val="nth-of-type(2)1"/>
    <w:basedOn w:val="23"/>
    <w:autoRedefine/>
    <w:qFormat/>
    <w:uiPriority w:val="0"/>
  </w:style>
  <w:style w:type="character" w:customStyle="1" w:styleId="98">
    <w:name w:val="nth-of-type(2)2"/>
    <w:basedOn w:val="23"/>
    <w:autoRedefine/>
    <w:qFormat/>
    <w:uiPriority w:val="0"/>
  </w:style>
  <w:style w:type="character" w:customStyle="1" w:styleId="99">
    <w:name w:val="nth-of-type(2)3"/>
    <w:basedOn w:val="23"/>
    <w:autoRedefine/>
    <w:qFormat/>
    <w:uiPriority w:val="0"/>
  </w:style>
  <w:style w:type="character" w:customStyle="1" w:styleId="100">
    <w:name w:val="nth-of-type(2)4"/>
    <w:basedOn w:val="23"/>
    <w:autoRedefine/>
    <w:qFormat/>
    <w:uiPriority w:val="0"/>
  </w:style>
  <w:style w:type="character" w:customStyle="1" w:styleId="101">
    <w:name w:val="nth-of-type(2)5"/>
    <w:basedOn w:val="23"/>
    <w:autoRedefine/>
    <w:qFormat/>
    <w:uiPriority w:val="0"/>
  </w:style>
  <w:style w:type="character" w:customStyle="1" w:styleId="102">
    <w:name w:val="nth-of-type(2)6"/>
    <w:basedOn w:val="23"/>
    <w:autoRedefine/>
    <w:qFormat/>
    <w:uiPriority w:val="0"/>
  </w:style>
  <w:style w:type="character" w:customStyle="1" w:styleId="103">
    <w:name w:val="nth-of-type(2)7"/>
    <w:basedOn w:val="23"/>
    <w:autoRedefine/>
    <w:qFormat/>
    <w:uiPriority w:val="0"/>
  </w:style>
  <w:style w:type="character" w:customStyle="1" w:styleId="104">
    <w:name w:val="nth-of-type(2)8"/>
    <w:basedOn w:val="23"/>
    <w:autoRedefine/>
    <w:qFormat/>
    <w:uiPriority w:val="0"/>
  </w:style>
  <w:style w:type="character" w:customStyle="1" w:styleId="105">
    <w:name w:val="nth-of-type(2)9"/>
    <w:basedOn w:val="23"/>
    <w:autoRedefine/>
    <w:qFormat/>
    <w:uiPriority w:val="0"/>
  </w:style>
  <w:style w:type="character" w:customStyle="1" w:styleId="106">
    <w:name w:val="nth-of-type(2)10"/>
    <w:basedOn w:val="23"/>
    <w:autoRedefine/>
    <w:qFormat/>
    <w:uiPriority w:val="0"/>
  </w:style>
  <w:style w:type="character" w:customStyle="1" w:styleId="107">
    <w:name w:val="nth-of-type(2)11"/>
    <w:basedOn w:val="23"/>
    <w:autoRedefine/>
    <w:qFormat/>
    <w:uiPriority w:val="0"/>
  </w:style>
  <w:style w:type="character" w:customStyle="1" w:styleId="108">
    <w:name w:val="nth-of-type(2)12"/>
    <w:basedOn w:val="23"/>
    <w:autoRedefine/>
    <w:qFormat/>
    <w:uiPriority w:val="0"/>
  </w:style>
  <w:style w:type="character" w:customStyle="1" w:styleId="109">
    <w:name w:val="nth-of-type(2)13"/>
    <w:basedOn w:val="23"/>
    <w:autoRedefine/>
    <w:qFormat/>
    <w:uiPriority w:val="0"/>
    <w:rPr>
      <w:sz w:val="21"/>
      <w:szCs w:val="21"/>
    </w:rPr>
  </w:style>
  <w:style w:type="character" w:customStyle="1" w:styleId="110">
    <w:name w:val="nth-of-type(2)14"/>
    <w:basedOn w:val="23"/>
    <w:autoRedefine/>
    <w:qFormat/>
    <w:uiPriority w:val="0"/>
  </w:style>
  <w:style w:type="character" w:customStyle="1" w:styleId="111">
    <w:name w:val="layui-this4"/>
    <w:basedOn w:val="23"/>
    <w:autoRedefine/>
    <w:qFormat/>
    <w:uiPriority w:val="0"/>
    <w:rPr>
      <w:bdr w:val="single" w:color="EEEEEE" w:sz="6" w:space="0"/>
      <w:shd w:val="clear" w:color="auto" w:fill="FFFFFF"/>
    </w:rPr>
  </w:style>
  <w:style w:type="character" w:customStyle="1" w:styleId="112">
    <w:name w:val="nth-child(1)"/>
    <w:basedOn w:val="23"/>
    <w:autoRedefine/>
    <w:qFormat/>
    <w:uiPriority w:val="0"/>
  </w:style>
  <w:style w:type="character" w:customStyle="1" w:styleId="113">
    <w:name w:val="before2"/>
    <w:basedOn w:val="23"/>
    <w:autoRedefine/>
    <w:qFormat/>
    <w:uiPriority w:val="0"/>
    <w:rPr>
      <w:shd w:val="clear" w:color="auto" w:fill="C20E0C"/>
    </w:rPr>
  </w:style>
  <w:style w:type="character" w:customStyle="1" w:styleId="114">
    <w:name w:val="lineshow"/>
    <w:basedOn w:val="23"/>
    <w:autoRedefine/>
    <w:qFormat/>
    <w:uiPriority w:val="0"/>
  </w:style>
  <w:style w:type="character" w:customStyle="1" w:styleId="115">
    <w:name w:val="lineshow1"/>
    <w:basedOn w:val="23"/>
    <w:autoRedefine/>
    <w:qFormat/>
    <w:uiPriority w:val="0"/>
  </w:style>
  <w:style w:type="character" w:customStyle="1" w:styleId="116">
    <w:name w:val="first-child"/>
    <w:basedOn w:val="23"/>
    <w:autoRedefine/>
    <w:qFormat/>
    <w:uiPriority w:val="0"/>
  </w:style>
  <w:style w:type="character" w:customStyle="1" w:styleId="117">
    <w:name w:val="first-child1"/>
    <w:basedOn w:val="23"/>
    <w:autoRedefine/>
    <w:qFormat/>
    <w:uiPriority w:val="0"/>
  </w:style>
  <w:style w:type="character" w:customStyle="1" w:styleId="118">
    <w:name w:val="first-child2"/>
    <w:basedOn w:val="23"/>
    <w:autoRedefine/>
    <w:qFormat/>
    <w:uiPriority w:val="0"/>
  </w:style>
  <w:style w:type="character" w:customStyle="1" w:styleId="119">
    <w:name w:val="first-child3"/>
    <w:basedOn w:val="23"/>
    <w:autoRedefine/>
    <w:qFormat/>
    <w:uiPriority w:val="0"/>
  </w:style>
  <w:style w:type="character" w:customStyle="1" w:styleId="120">
    <w:name w:val="hover25"/>
    <w:basedOn w:val="23"/>
    <w:autoRedefine/>
    <w:qFormat/>
    <w:uiPriority w:val="0"/>
    <w:rPr>
      <w:color w:val="167AE0"/>
    </w:rPr>
  </w:style>
  <w:style w:type="character" w:customStyle="1" w:styleId="121">
    <w:name w:val="hover26"/>
    <w:basedOn w:val="23"/>
    <w:autoRedefine/>
    <w:qFormat/>
    <w:uiPriority w:val="0"/>
  </w:style>
  <w:style w:type="character" w:customStyle="1" w:styleId="122">
    <w:name w:val="nth-of-type(5)"/>
    <w:basedOn w:val="23"/>
    <w:autoRedefine/>
    <w:qFormat/>
    <w:uiPriority w:val="0"/>
  </w:style>
  <w:style w:type="character" w:customStyle="1" w:styleId="123">
    <w:name w:val="nth-of-type(5)1"/>
    <w:basedOn w:val="23"/>
    <w:autoRedefine/>
    <w:qFormat/>
    <w:uiPriority w:val="0"/>
  </w:style>
  <w:style w:type="character" w:customStyle="1" w:styleId="124">
    <w:name w:val="nth-of-type(5)2"/>
    <w:basedOn w:val="23"/>
    <w:autoRedefine/>
    <w:qFormat/>
    <w:uiPriority w:val="0"/>
  </w:style>
  <w:style w:type="character" w:customStyle="1" w:styleId="125">
    <w:name w:val="nth-of-type(5)3"/>
    <w:basedOn w:val="23"/>
    <w:autoRedefine/>
    <w:qFormat/>
    <w:uiPriority w:val="0"/>
  </w:style>
  <w:style w:type="character" w:customStyle="1" w:styleId="126">
    <w:name w:val="nth-of-type(5)4"/>
    <w:basedOn w:val="23"/>
    <w:autoRedefine/>
    <w:qFormat/>
    <w:uiPriority w:val="0"/>
  </w:style>
  <w:style w:type="character" w:customStyle="1" w:styleId="127">
    <w:name w:val="nth-of-type(5)5"/>
    <w:basedOn w:val="23"/>
    <w:autoRedefine/>
    <w:qFormat/>
    <w:uiPriority w:val="0"/>
    <w:rPr>
      <w:sz w:val="21"/>
      <w:szCs w:val="21"/>
    </w:rPr>
  </w:style>
  <w:style w:type="character" w:customStyle="1" w:styleId="128">
    <w:name w:val="nth-of-type(5)6"/>
    <w:basedOn w:val="23"/>
    <w:autoRedefine/>
    <w:qFormat/>
    <w:uiPriority w:val="0"/>
  </w:style>
  <w:style w:type="character" w:customStyle="1" w:styleId="129">
    <w:name w:val="nth-of-type(8)"/>
    <w:basedOn w:val="23"/>
    <w:autoRedefine/>
    <w:qFormat/>
    <w:uiPriority w:val="0"/>
  </w:style>
  <w:style w:type="character" w:customStyle="1" w:styleId="130">
    <w:name w:val="nth-of-type(10)"/>
    <w:basedOn w:val="23"/>
    <w:autoRedefine/>
    <w:qFormat/>
    <w:uiPriority w:val="0"/>
  </w:style>
  <w:style w:type="character" w:customStyle="1" w:styleId="131">
    <w:name w:val="nth-of-type(7)"/>
    <w:basedOn w:val="23"/>
    <w:autoRedefine/>
    <w:qFormat/>
    <w:uiPriority w:val="0"/>
  </w:style>
  <w:style w:type="character" w:customStyle="1" w:styleId="132">
    <w:name w:val="nth-of-type(7)1"/>
    <w:basedOn w:val="23"/>
    <w:autoRedefine/>
    <w:qFormat/>
    <w:uiPriority w:val="0"/>
  </w:style>
  <w:style w:type="character" w:customStyle="1" w:styleId="133">
    <w:name w:val="nth-of-type(7)2"/>
    <w:basedOn w:val="23"/>
    <w:autoRedefine/>
    <w:qFormat/>
    <w:uiPriority w:val="0"/>
  </w:style>
  <w:style w:type="character" w:customStyle="1" w:styleId="134">
    <w:name w:val="nth-of-type(6)"/>
    <w:basedOn w:val="23"/>
    <w:autoRedefine/>
    <w:qFormat/>
    <w:uiPriority w:val="0"/>
  </w:style>
  <w:style w:type="character" w:customStyle="1" w:styleId="135">
    <w:name w:val="nth-of-type(6)1"/>
    <w:basedOn w:val="23"/>
    <w:autoRedefine/>
    <w:qFormat/>
    <w:uiPriority w:val="0"/>
  </w:style>
  <w:style w:type="character" w:customStyle="1" w:styleId="136">
    <w:name w:val="nth-of-type(6)2"/>
    <w:basedOn w:val="23"/>
    <w:autoRedefine/>
    <w:qFormat/>
    <w:uiPriority w:val="0"/>
  </w:style>
  <w:style w:type="character" w:customStyle="1" w:styleId="137">
    <w:name w:val="nth-of-type(6)3"/>
    <w:basedOn w:val="23"/>
    <w:autoRedefine/>
    <w:qFormat/>
    <w:uiPriority w:val="0"/>
    <w:rPr>
      <w:color w:val="0082DF"/>
    </w:rPr>
  </w:style>
  <w:style w:type="character" w:customStyle="1" w:styleId="138">
    <w:name w:val="nth-of-type(6)4"/>
    <w:basedOn w:val="23"/>
    <w:autoRedefine/>
    <w:qFormat/>
    <w:uiPriority w:val="0"/>
  </w:style>
  <w:style w:type="character" w:customStyle="1" w:styleId="139">
    <w:name w:val="nth-of-type(6)5"/>
    <w:basedOn w:val="23"/>
    <w:autoRedefine/>
    <w:qFormat/>
    <w:uiPriority w:val="0"/>
  </w:style>
  <w:style w:type="character" w:customStyle="1" w:styleId="140">
    <w:name w:val="nth-child(2)"/>
    <w:basedOn w:val="23"/>
    <w:autoRedefine/>
    <w:qFormat/>
    <w:uiPriority w:val="0"/>
  </w:style>
  <w:style w:type="character" w:customStyle="1" w:styleId="141">
    <w:name w:val="layui-laypage-curr"/>
    <w:basedOn w:val="23"/>
    <w:autoRedefine/>
    <w:qFormat/>
    <w:uiPriority w:val="0"/>
  </w:style>
  <w:style w:type="character" w:customStyle="1" w:styleId="142">
    <w:name w:val="titleshow"/>
    <w:basedOn w:val="23"/>
    <w:autoRedefine/>
    <w:qFormat/>
    <w:uiPriority w:val="0"/>
    <w:rPr>
      <w:color w:val="3E464C"/>
    </w:rPr>
  </w:style>
  <w:style w:type="character" w:customStyle="1" w:styleId="143">
    <w:name w:val="nth-child(3)"/>
    <w:basedOn w:val="23"/>
    <w:autoRedefine/>
    <w:qFormat/>
    <w:uiPriority w:val="0"/>
  </w:style>
  <w:style w:type="character" w:customStyle="1" w:styleId="144">
    <w:name w:val="last-child2"/>
    <w:basedOn w:val="23"/>
    <w:autoRedefine/>
    <w:qFormat/>
    <w:uiPriority w:val="0"/>
    <w:rPr>
      <w:color w:val="011F4F"/>
    </w:rPr>
  </w:style>
  <w:style w:type="character" w:customStyle="1" w:styleId="145">
    <w:name w:val="hover23"/>
    <w:basedOn w:val="23"/>
    <w:autoRedefine/>
    <w:qFormat/>
    <w:uiPriority w:val="0"/>
  </w:style>
  <w:style w:type="character" w:customStyle="1" w:styleId="146">
    <w:name w:val="hover24"/>
    <w:basedOn w:val="23"/>
    <w:autoRedefine/>
    <w:qFormat/>
    <w:uiPriority w:val="0"/>
    <w:rPr>
      <w:color w:val="167AE0"/>
    </w:rPr>
  </w:style>
  <w:style w:type="character" w:customStyle="1" w:styleId="147">
    <w:name w:val="nth-of-type(4)1"/>
    <w:basedOn w:val="23"/>
    <w:autoRedefine/>
    <w:qFormat/>
    <w:uiPriority w:val="0"/>
  </w:style>
  <w:style w:type="character" w:customStyle="1" w:styleId="148">
    <w:name w:val="nth-of-type(4)2"/>
    <w:basedOn w:val="23"/>
    <w:autoRedefine/>
    <w:qFormat/>
    <w:uiPriority w:val="0"/>
  </w:style>
  <w:style w:type="character" w:customStyle="1" w:styleId="149">
    <w:name w:val="nth-of-type(4)3"/>
    <w:basedOn w:val="23"/>
    <w:autoRedefine/>
    <w:qFormat/>
    <w:uiPriority w:val="0"/>
  </w:style>
  <w:style w:type="character" w:customStyle="1" w:styleId="150">
    <w:name w:val="nth-of-type(4)4"/>
    <w:basedOn w:val="23"/>
    <w:autoRedefine/>
    <w:qFormat/>
    <w:uiPriority w:val="0"/>
  </w:style>
  <w:style w:type="character" w:customStyle="1" w:styleId="151">
    <w:name w:val="nth-of-type(4)5"/>
    <w:basedOn w:val="23"/>
    <w:autoRedefine/>
    <w:qFormat/>
    <w:uiPriority w:val="0"/>
  </w:style>
  <w:style w:type="character" w:customStyle="1" w:styleId="152">
    <w:name w:val="nth-of-type(4)6"/>
    <w:basedOn w:val="23"/>
    <w:autoRedefine/>
    <w:qFormat/>
    <w:uiPriority w:val="0"/>
  </w:style>
  <w:style w:type="character" w:customStyle="1" w:styleId="153">
    <w:name w:val="nth-of-type(4)7"/>
    <w:basedOn w:val="23"/>
    <w:autoRedefine/>
    <w:qFormat/>
    <w:uiPriority w:val="0"/>
  </w:style>
  <w:style w:type="character" w:customStyle="1" w:styleId="154">
    <w:name w:val="nth-of-type(4)8"/>
    <w:basedOn w:val="23"/>
    <w:autoRedefine/>
    <w:qFormat/>
    <w:uiPriority w:val="0"/>
  </w:style>
  <w:style w:type="character" w:customStyle="1" w:styleId="155">
    <w:name w:val="layui-this"/>
    <w:basedOn w:val="23"/>
    <w:autoRedefine/>
    <w:qFormat/>
    <w:uiPriority w:val="0"/>
    <w:rPr>
      <w:bdr w:val="single" w:color="EEEEEE" w:sz="6" w:space="0"/>
      <w:shd w:val="clear" w:color="auto" w:fill="FFFFFF"/>
    </w:rPr>
  </w:style>
  <w:style w:type="character" w:customStyle="1" w:styleId="156">
    <w:name w:val="font21"/>
    <w:basedOn w:val="23"/>
    <w:autoRedefine/>
    <w:qFormat/>
    <w:uiPriority w:val="0"/>
    <w:rPr>
      <w:rFonts w:hint="eastAsia" w:ascii="仿宋" w:hAnsi="仿宋" w:eastAsia="仿宋" w:cs="仿宋"/>
      <w:color w:val="000000"/>
      <w:sz w:val="28"/>
      <w:szCs w:val="28"/>
      <w:u w:val="none"/>
    </w:rPr>
  </w:style>
  <w:style w:type="character" w:customStyle="1" w:styleId="157">
    <w:name w:val="font11"/>
    <w:basedOn w:val="23"/>
    <w:autoRedefine/>
    <w:qFormat/>
    <w:uiPriority w:val="0"/>
    <w:rPr>
      <w:rFonts w:hint="eastAsia" w:ascii="宋体" w:hAnsi="宋体" w:eastAsia="宋体" w:cs="宋体"/>
      <w:color w:val="000000"/>
      <w:sz w:val="28"/>
      <w:szCs w:val="28"/>
      <w:u w:val="none"/>
    </w:rPr>
  </w:style>
  <w:style w:type="character" w:customStyle="1" w:styleId="158">
    <w:name w:val="font71"/>
    <w:basedOn w:val="23"/>
    <w:autoRedefine/>
    <w:qFormat/>
    <w:uiPriority w:val="0"/>
    <w:rPr>
      <w:rFonts w:hint="eastAsia" w:ascii="微软雅黑" w:hAnsi="微软雅黑" w:eastAsia="微软雅黑" w:cs="微软雅黑"/>
      <w:color w:val="000000"/>
      <w:sz w:val="20"/>
      <w:szCs w:val="20"/>
      <w:u w:val="none"/>
    </w:rPr>
  </w:style>
  <w:style w:type="character" w:customStyle="1" w:styleId="159">
    <w:name w:val="font131"/>
    <w:basedOn w:val="23"/>
    <w:autoRedefine/>
    <w:qFormat/>
    <w:uiPriority w:val="0"/>
    <w:rPr>
      <w:rFonts w:ascii="宋体" w:hAnsi="宋体" w:eastAsia="宋体" w:cs="宋体"/>
      <w:color w:val="000000"/>
      <w:sz w:val="20"/>
      <w:szCs w:val="20"/>
      <w:u w:val="none"/>
    </w:rPr>
  </w:style>
  <w:style w:type="character" w:customStyle="1" w:styleId="160">
    <w:name w:val="font81"/>
    <w:basedOn w:val="23"/>
    <w:autoRedefine/>
    <w:qFormat/>
    <w:uiPriority w:val="0"/>
    <w:rPr>
      <w:rFonts w:hint="eastAsia" w:ascii="宋体" w:hAnsi="宋体" w:eastAsia="宋体" w:cs="宋体"/>
      <w:color w:val="000000"/>
      <w:sz w:val="20"/>
      <w:szCs w:val="20"/>
      <w:u w:val="none"/>
    </w:rPr>
  </w:style>
  <w:style w:type="character" w:customStyle="1" w:styleId="161">
    <w:name w:val="font112"/>
    <w:basedOn w:val="23"/>
    <w:autoRedefine/>
    <w:qFormat/>
    <w:uiPriority w:val="0"/>
    <w:rPr>
      <w:rFonts w:hint="eastAsia" w:ascii="微软雅黑" w:hAnsi="微软雅黑" w:eastAsia="微软雅黑" w:cs="微软雅黑"/>
      <w:color w:val="000000"/>
      <w:sz w:val="20"/>
      <w:szCs w:val="20"/>
      <w:u w:val="none"/>
    </w:rPr>
  </w:style>
  <w:style w:type="character" w:customStyle="1" w:styleId="162">
    <w:name w:val="font51"/>
    <w:basedOn w:val="23"/>
    <w:autoRedefine/>
    <w:qFormat/>
    <w:uiPriority w:val="0"/>
    <w:rPr>
      <w:rFonts w:hint="eastAsia" w:ascii="仿宋" w:hAnsi="仿宋" w:eastAsia="仿宋" w:cs="仿宋"/>
      <w:color w:val="000000"/>
      <w:sz w:val="22"/>
      <w:szCs w:val="22"/>
      <w:u w:val="none"/>
    </w:rPr>
  </w:style>
  <w:style w:type="paragraph" w:customStyle="1" w:styleId="163">
    <w:name w:val="样式 10 磅"/>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164">
    <w:name w:val="Default"/>
    <w:autoRedefine/>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paragraph" w:customStyle="1" w:styleId="165">
    <w:name w:val="null3"/>
    <w:hidden/>
    <w:qFormat/>
    <w:uiPriority w:val="0"/>
    <w:rPr>
      <w:rFonts w:hint="eastAsia" w:asciiTheme="minorHAnsi" w:hAnsiTheme="minorHAnsi" w:eastAsiaTheme="minorEastAsia" w:cstheme="minorBidi"/>
      <w:kern w:val="0"/>
      <w:sz w:val="20"/>
      <w:szCs w:val="20"/>
      <w:lang w:val="en-US" w:eastAsia="zh-CN" w:bidi="ar-SA"/>
    </w:rPr>
  </w:style>
  <w:style w:type="character" w:customStyle="1" w:styleId="166">
    <w:name w:val="font41"/>
    <w:basedOn w:val="23"/>
    <w:qFormat/>
    <w:uiPriority w:val="0"/>
    <w:rPr>
      <w:rFonts w:hint="eastAsia" w:ascii="仿宋" w:hAnsi="仿宋" w:eastAsia="仿宋" w:cs="仿宋"/>
      <w:b/>
      <w:bCs/>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jpe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71</Pages>
  <Words>3816</Words>
  <Characters>4395</Characters>
  <Lines>320</Lines>
  <Paragraphs>90</Paragraphs>
  <TotalTime>6</TotalTime>
  <ScaleCrop>false</ScaleCrop>
  <LinksUpToDate>false</LinksUpToDate>
  <CharactersWithSpaces>4487</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2021-10-28T17:47:00Z</dcterms:created>
  <dc:creator>、许多年以后</dc:creator>
  <cp:lastModifiedBy>向阳</cp:lastModifiedBy>
  <cp:lastPrinted>2022-06-07T17:41:00Z</cp:lastPrinted>
  <dcterms:modified xsi:type="dcterms:W3CDTF">2025-11-28T07:49:26Z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94D4AE8207BA4C38801BDF2541BA7FAE_13</vt:lpwstr>
  </property>
  <property fmtid="{D5CDD505-2E9C-101B-9397-08002B2CF9AE}" pid="4" name="KSOTemplateDocerSaveRecord">
    <vt:lpwstr>eyJoZGlkIjoiMWI0ZjQwNjM4ZGRkOWNlODNhZWM0MzkyNzc4MjdlNGQiLCJ1c2VySWQiOiIxNTI1ODQzMzU5In0=</vt:lpwstr>
  </property>
</Properties>
</file>