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7954D">
      <w:pPr>
        <w:spacing w:line="420" w:lineRule="auto"/>
        <w:jc w:val="left"/>
        <w:rPr>
          <w:rFonts w:ascii="宋体" w:hAnsi="宋体" w:cs="宋体"/>
          <w:b/>
          <w:color w:val="auto"/>
          <w:sz w:val="2"/>
          <w:szCs w:val="2"/>
          <w:highlight w:val="none"/>
        </w:rPr>
      </w:pPr>
      <w:bookmarkStart w:id="0" w:name="_Toc193702467"/>
      <w:bookmarkStart w:id="1" w:name="_Toc465958085"/>
      <w:bookmarkStart w:id="2" w:name="_Toc246928891"/>
      <w:bookmarkStart w:id="3" w:name="_Toc12260"/>
      <w:bookmarkStart w:id="4" w:name="_Toc12011"/>
      <w:bookmarkStart w:id="5" w:name="_Toc22392"/>
      <w:bookmarkStart w:id="6" w:name="_Toc6410"/>
      <w:bookmarkStart w:id="7" w:name="OLE_LINK18"/>
    </w:p>
    <w:p w14:paraId="0AAB802B">
      <w:pPr>
        <w:spacing w:line="420" w:lineRule="auto"/>
        <w:jc w:val="left"/>
        <w:rPr>
          <w:rFonts w:hint="default" w:ascii="宋体" w:hAnsi="宋体" w:eastAsia="宋体" w:cs="宋体"/>
          <w:b/>
          <w:color w:val="auto"/>
          <w:szCs w:val="21"/>
          <w:highlight w:val="none"/>
          <w:lang w:val="en-US" w:eastAsia="zh-CN"/>
        </w:rPr>
      </w:pPr>
      <w:r>
        <w:rPr>
          <w:rFonts w:hint="eastAsia" w:ascii="宋体" w:hAnsi="宋体" w:cs="宋体"/>
          <w:b/>
          <w:color w:val="auto"/>
          <w:sz w:val="28"/>
          <w:szCs w:val="28"/>
          <w:highlight w:val="none"/>
        </w:rPr>
        <w:t>采购项目编号：</w:t>
      </w:r>
      <w:r>
        <w:rPr>
          <w:rFonts w:hint="eastAsia" w:ascii="宋体" w:hAnsi="宋体" w:cs="宋体"/>
          <w:b/>
          <w:color w:val="auto"/>
          <w:sz w:val="28"/>
          <w:szCs w:val="28"/>
          <w:highlight w:val="none"/>
          <w:lang w:eastAsia="zh-CN"/>
        </w:rPr>
        <w:t>SA2025014</w:t>
      </w:r>
    </w:p>
    <w:p w14:paraId="54D2D0DB">
      <w:pPr>
        <w:pStyle w:val="3"/>
        <w:spacing w:line="240" w:lineRule="auto"/>
        <w:rPr>
          <w:color w:val="auto"/>
          <w:sz w:val="2"/>
          <w:szCs w:val="2"/>
          <w:highlight w:val="none"/>
        </w:rPr>
      </w:pPr>
    </w:p>
    <w:p w14:paraId="4E6FB6BE">
      <w:pPr>
        <w:snapToGrid w:val="0"/>
        <w:spacing w:line="360" w:lineRule="auto"/>
        <w:jc w:val="center"/>
        <w:rPr>
          <w:color w:val="auto"/>
          <w:sz w:val="44"/>
          <w:szCs w:val="44"/>
          <w:highlight w:val="none"/>
        </w:rPr>
      </w:pPr>
      <w:r>
        <w:rPr>
          <w:rFonts w:hint="eastAsia" w:ascii="宋体" w:hAnsi="宋体" w:eastAsia="宋体" w:cs="宋体"/>
          <w:b/>
          <w:color w:val="auto"/>
          <w:sz w:val="44"/>
          <w:szCs w:val="44"/>
          <w:highlight w:val="none"/>
          <w:lang w:eastAsia="zh-CN"/>
        </w:rPr>
        <w:t>子洲县中医院检验科智慧管理系统采购项目</w:t>
      </w:r>
    </w:p>
    <w:p w14:paraId="337A43FD">
      <w:pPr>
        <w:pStyle w:val="15"/>
        <w:rPr>
          <w:rFonts w:hint="default"/>
          <w:color w:val="auto"/>
          <w:highlight w:val="none"/>
        </w:rPr>
      </w:pPr>
    </w:p>
    <w:p w14:paraId="1BD9D206">
      <w:pPr>
        <w:jc w:val="center"/>
        <w:rPr>
          <w:rFonts w:hint="eastAsia" w:ascii="宋体" w:hAnsi="宋体" w:cs="宋体"/>
          <w:b/>
          <w:color w:val="auto"/>
          <w:sz w:val="80"/>
          <w:szCs w:val="80"/>
          <w:highlight w:val="none"/>
        </w:rPr>
      </w:pPr>
      <w:bookmarkStart w:id="623" w:name="_GoBack"/>
      <w:bookmarkEnd w:id="623"/>
    </w:p>
    <w:p w14:paraId="17D7E155">
      <w:pPr>
        <w:jc w:val="center"/>
        <w:rPr>
          <w:rFonts w:hint="eastAsia" w:ascii="宋体" w:hAnsi="宋体" w:cs="宋体"/>
          <w:b/>
          <w:color w:val="auto"/>
          <w:sz w:val="80"/>
          <w:szCs w:val="80"/>
          <w:highlight w:val="none"/>
        </w:rPr>
      </w:pPr>
    </w:p>
    <w:p w14:paraId="3C14AD5E">
      <w:pPr>
        <w:jc w:val="center"/>
        <w:rPr>
          <w:rFonts w:ascii="宋体" w:hAnsi="宋体" w:cs="宋体"/>
          <w:bCs/>
          <w:color w:val="auto"/>
          <w:sz w:val="24"/>
          <w:szCs w:val="24"/>
          <w:highlight w:val="none"/>
        </w:rPr>
      </w:pPr>
      <w:r>
        <w:rPr>
          <w:rFonts w:hint="eastAsia" w:ascii="宋体" w:hAnsi="宋体" w:cs="宋体"/>
          <w:b/>
          <w:color w:val="auto"/>
          <w:sz w:val="80"/>
          <w:szCs w:val="80"/>
          <w:highlight w:val="none"/>
        </w:rPr>
        <w:t>竞争性谈判文件</w:t>
      </w:r>
    </w:p>
    <w:p w14:paraId="65B75F59">
      <w:pPr>
        <w:spacing w:line="420" w:lineRule="auto"/>
        <w:rPr>
          <w:rFonts w:ascii="宋体" w:hAnsi="宋体" w:cs="宋体"/>
          <w:bCs/>
          <w:color w:val="auto"/>
          <w:sz w:val="24"/>
          <w:szCs w:val="24"/>
          <w:highlight w:val="none"/>
        </w:rPr>
      </w:pPr>
    </w:p>
    <w:p w14:paraId="1F82E788">
      <w:pPr>
        <w:pStyle w:val="8"/>
        <w:rPr>
          <w:color w:val="auto"/>
          <w:highlight w:val="none"/>
        </w:rPr>
      </w:pPr>
    </w:p>
    <w:p w14:paraId="4DB01F00">
      <w:pPr>
        <w:rPr>
          <w:color w:val="auto"/>
          <w:highlight w:val="none"/>
        </w:rPr>
      </w:pPr>
    </w:p>
    <w:p w14:paraId="63A10646">
      <w:pPr>
        <w:pStyle w:val="7"/>
        <w:ind w:firstLine="0"/>
        <w:jc w:val="center"/>
        <w:rPr>
          <w:color w:val="auto"/>
          <w:sz w:val="40"/>
          <w:szCs w:val="40"/>
          <w:highlight w:val="none"/>
        </w:rPr>
      </w:pPr>
    </w:p>
    <w:p w14:paraId="3219308F">
      <w:pPr>
        <w:pStyle w:val="7"/>
        <w:ind w:firstLine="0"/>
        <w:jc w:val="both"/>
        <w:rPr>
          <w:color w:val="auto"/>
          <w:sz w:val="40"/>
          <w:szCs w:val="40"/>
          <w:highlight w:val="none"/>
        </w:rPr>
      </w:pPr>
    </w:p>
    <w:p w14:paraId="0DE589D6">
      <w:pPr>
        <w:snapToGrid w:val="0"/>
        <w:spacing w:line="480" w:lineRule="auto"/>
        <w:ind w:firstLine="964" w:firstLineChars="300"/>
        <w:jc w:val="both"/>
        <w:rPr>
          <w:rFonts w:hint="eastAsia" w:ascii="宋体" w:hAnsi="宋体" w:eastAsia="宋体" w:cs="宋体"/>
          <w:b/>
          <w:color w:val="auto"/>
          <w:sz w:val="32"/>
          <w:szCs w:val="32"/>
          <w:highlight w:val="none"/>
          <w:lang w:eastAsia="zh-CN"/>
        </w:rPr>
      </w:pPr>
      <w:bookmarkStart w:id="8" w:name="OLE_LINK43"/>
      <w:r>
        <w:rPr>
          <w:rFonts w:hint="eastAsia" w:ascii="宋体" w:hAnsi="宋体" w:cs="宋体"/>
          <w:b/>
          <w:color w:val="auto"/>
          <w:sz w:val="32"/>
          <w:szCs w:val="32"/>
          <w:highlight w:val="none"/>
        </w:rPr>
        <w:t>采</w:t>
      </w:r>
      <w:r>
        <w:rPr>
          <w:rFonts w:hint="eastAsia" w:ascii="宋体" w:hAnsi="宋体" w:cs="宋体"/>
          <w:b/>
          <w:color w:val="auto"/>
          <w:sz w:val="32"/>
          <w:szCs w:val="32"/>
          <w:highlight w:val="none"/>
          <w:lang w:val="en-US" w:eastAsia="zh-CN"/>
        </w:rPr>
        <w:t xml:space="preserve">   </w:t>
      </w:r>
      <w:r>
        <w:rPr>
          <w:rFonts w:hint="eastAsia" w:ascii="宋体" w:hAnsi="宋体" w:cs="宋体"/>
          <w:b/>
          <w:color w:val="auto"/>
          <w:sz w:val="32"/>
          <w:szCs w:val="32"/>
          <w:highlight w:val="none"/>
        </w:rPr>
        <w:t>购</w:t>
      </w:r>
      <w:r>
        <w:rPr>
          <w:rFonts w:hint="eastAsia" w:ascii="宋体" w:hAnsi="宋体" w:cs="宋体"/>
          <w:b/>
          <w:color w:val="auto"/>
          <w:sz w:val="32"/>
          <w:szCs w:val="32"/>
          <w:highlight w:val="none"/>
          <w:lang w:val="en-US" w:eastAsia="zh-CN"/>
        </w:rPr>
        <w:t xml:space="preserve">   </w:t>
      </w:r>
      <w:r>
        <w:rPr>
          <w:rFonts w:hint="eastAsia" w:ascii="宋体" w:hAnsi="宋体" w:cs="宋体"/>
          <w:b/>
          <w:color w:val="auto"/>
          <w:sz w:val="32"/>
          <w:szCs w:val="32"/>
          <w:highlight w:val="none"/>
        </w:rPr>
        <w:t>人：</w:t>
      </w:r>
      <w:r>
        <w:rPr>
          <w:rFonts w:hint="eastAsia" w:ascii="宋体" w:hAnsi="宋体" w:cs="宋体"/>
          <w:b/>
          <w:color w:val="auto"/>
          <w:sz w:val="32"/>
          <w:szCs w:val="32"/>
          <w:highlight w:val="none"/>
          <w:lang w:eastAsia="zh-CN"/>
        </w:rPr>
        <w:t>子洲县中医院</w:t>
      </w:r>
    </w:p>
    <w:p w14:paraId="2C0DA5A3">
      <w:pPr>
        <w:pStyle w:val="7"/>
        <w:rPr>
          <w:color w:val="auto"/>
          <w:highlight w:val="none"/>
        </w:rPr>
      </w:pPr>
    </w:p>
    <w:p w14:paraId="7B578DC2">
      <w:pPr>
        <w:snapToGrid w:val="0"/>
        <w:spacing w:line="480" w:lineRule="auto"/>
        <w:ind w:firstLine="964" w:firstLineChars="300"/>
        <w:jc w:val="both"/>
        <w:rPr>
          <w:rFonts w:ascii="宋体" w:hAnsi="宋体" w:cs="宋体"/>
          <w:b/>
          <w:color w:val="auto"/>
          <w:sz w:val="32"/>
          <w:szCs w:val="32"/>
          <w:highlight w:val="none"/>
        </w:rPr>
      </w:pPr>
      <w:r>
        <w:rPr>
          <w:rFonts w:hint="eastAsia" w:ascii="宋体" w:hAnsi="宋体" w:cs="宋体"/>
          <w:b/>
          <w:color w:val="auto"/>
          <w:sz w:val="32"/>
          <w:szCs w:val="32"/>
          <w:highlight w:val="none"/>
        </w:rPr>
        <w:t>采购代理机构：</w:t>
      </w:r>
      <w:r>
        <w:rPr>
          <w:rFonts w:hint="eastAsia" w:ascii="宋体" w:hAnsi="宋体" w:cs="宋体"/>
          <w:b/>
          <w:color w:val="auto"/>
          <w:sz w:val="32"/>
          <w:szCs w:val="32"/>
          <w:highlight w:val="none"/>
          <w:lang w:eastAsia="zh-CN"/>
        </w:rPr>
        <w:t>陕安项目管理有限公司</w:t>
      </w:r>
      <w:r>
        <w:rPr>
          <w:rFonts w:hint="eastAsia" w:ascii="宋体" w:hAnsi="宋体" w:cs="宋体"/>
          <w:b/>
          <w:color w:val="auto"/>
          <w:sz w:val="32"/>
          <w:szCs w:val="32"/>
          <w:highlight w:val="none"/>
        </w:rPr>
        <w:t xml:space="preserve">     </w:t>
      </w:r>
    </w:p>
    <w:p w14:paraId="2AD6C33E">
      <w:pPr>
        <w:snapToGrid w:val="0"/>
        <w:jc w:val="center"/>
        <w:rPr>
          <w:rFonts w:ascii="宋体" w:hAnsi="宋体" w:cs="宋体"/>
          <w:b/>
          <w:color w:val="auto"/>
          <w:sz w:val="16"/>
          <w:szCs w:val="16"/>
          <w:highlight w:val="none"/>
        </w:rPr>
      </w:pPr>
    </w:p>
    <w:p w14:paraId="6A98F6B6">
      <w:pPr>
        <w:spacing w:line="480" w:lineRule="auto"/>
        <w:jc w:val="center"/>
        <w:rPr>
          <w:rFonts w:ascii="宋体" w:hAnsi="宋体" w:cs="宋体"/>
          <w:b/>
          <w:color w:val="auto"/>
          <w:sz w:val="24"/>
          <w:szCs w:val="24"/>
          <w:highlight w:val="none"/>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color w:val="auto"/>
          <w:sz w:val="32"/>
          <w:szCs w:val="32"/>
          <w:highlight w:val="none"/>
        </w:rPr>
        <w:t xml:space="preserve">  二零二</w:t>
      </w:r>
      <w:r>
        <w:rPr>
          <w:rFonts w:hint="eastAsia" w:ascii="宋体" w:hAnsi="宋体" w:cs="宋体"/>
          <w:b/>
          <w:color w:val="auto"/>
          <w:sz w:val="32"/>
          <w:szCs w:val="32"/>
          <w:highlight w:val="none"/>
          <w:lang w:val="en-US" w:eastAsia="zh-CN"/>
        </w:rPr>
        <w:t>五</w:t>
      </w:r>
      <w:r>
        <w:rPr>
          <w:rFonts w:hint="eastAsia" w:ascii="宋体" w:hAnsi="宋体" w:cs="宋体"/>
          <w:b/>
          <w:color w:val="auto"/>
          <w:sz w:val="32"/>
          <w:szCs w:val="32"/>
          <w:highlight w:val="none"/>
        </w:rPr>
        <w:t>年</w:t>
      </w:r>
      <w:r>
        <w:rPr>
          <w:rFonts w:hint="eastAsia" w:ascii="宋体" w:hAnsi="宋体" w:cs="宋体"/>
          <w:b/>
          <w:color w:val="auto"/>
          <w:sz w:val="32"/>
          <w:szCs w:val="32"/>
          <w:highlight w:val="none"/>
          <w:u w:val="single"/>
        </w:rPr>
        <w:t xml:space="preserve"> </w:t>
      </w:r>
      <w:r>
        <w:rPr>
          <w:rFonts w:hint="eastAsia" w:ascii="宋体" w:hAnsi="宋体" w:cs="宋体"/>
          <w:b/>
          <w:color w:val="auto"/>
          <w:sz w:val="32"/>
          <w:szCs w:val="32"/>
          <w:highlight w:val="none"/>
          <w:u w:val="single"/>
          <w:lang w:val="en-US" w:eastAsia="zh-CN"/>
        </w:rPr>
        <w:t xml:space="preserve">十一 </w:t>
      </w:r>
      <w:r>
        <w:rPr>
          <w:rFonts w:hint="eastAsia" w:ascii="宋体" w:hAnsi="宋体" w:cs="宋体"/>
          <w:b/>
          <w:color w:val="auto"/>
          <w:sz w:val="32"/>
          <w:szCs w:val="32"/>
          <w:highlight w:val="none"/>
        </w:rPr>
        <w:t>月</w:t>
      </w:r>
    </w:p>
    <w:bookmarkEnd w:id="8"/>
    <w:p w14:paraId="60834857">
      <w:pPr>
        <w:pStyle w:val="16"/>
        <w:spacing w:before="0" w:beforeAutospacing="0" w:after="0" w:afterAutospacing="0" w:line="360" w:lineRule="auto"/>
        <w:jc w:val="center"/>
        <w:rPr>
          <w:rFonts w:hint="eastAsia" w:ascii="宋体" w:hAnsi="宋体" w:eastAsia="宋体" w:cs="宋体"/>
          <w:b/>
          <w:color w:val="auto"/>
          <w:sz w:val="32"/>
          <w:szCs w:val="32"/>
          <w:highlight w:val="none"/>
          <w:lang w:val="en-US" w:eastAsia="zh-CN"/>
        </w:rPr>
      </w:pPr>
      <w:r>
        <w:rPr>
          <w:rFonts w:hint="eastAsia" w:ascii="宋体" w:hAnsi="宋体" w:cs="宋体"/>
          <w:b/>
          <w:color w:val="auto"/>
          <w:kern w:val="2"/>
          <w:sz w:val="32"/>
          <w:szCs w:val="32"/>
          <w:highlight w:val="none"/>
        </w:rPr>
        <w:t>温馨提示</w:t>
      </w:r>
      <w:r>
        <w:rPr>
          <w:rFonts w:hint="eastAsia" w:ascii="宋体" w:hAnsi="宋体" w:cs="宋体"/>
          <w:b/>
          <w:color w:val="auto"/>
          <w:kern w:val="2"/>
          <w:sz w:val="32"/>
          <w:szCs w:val="32"/>
          <w:highlight w:val="none"/>
          <w:lang w:val="en-US" w:eastAsia="zh-CN"/>
        </w:rPr>
        <w:t xml:space="preserve"> </w:t>
      </w:r>
    </w:p>
    <w:p w14:paraId="3172A946">
      <w:pPr>
        <w:pStyle w:val="14"/>
        <w:tabs>
          <w:tab w:val="right" w:leader="dot" w:pos="8829"/>
        </w:tabs>
        <w:jc w:val="center"/>
        <w:rPr>
          <w:rFonts w:ascii="宋体" w:hAnsi="宋体"/>
          <w:color w:val="auto"/>
          <w:sz w:val="24"/>
          <w:szCs w:val="24"/>
          <w:highlight w:val="none"/>
        </w:rPr>
      </w:pPr>
      <w:r>
        <w:rPr>
          <w:rFonts w:hint="eastAsia" w:ascii="宋体" w:hAnsi="宋体" w:cs="宋体"/>
          <w:b/>
          <w:bCs/>
          <w:color w:val="auto"/>
          <w:sz w:val="32"/>
          <w:szCs w:val="32"/>
          <w:highlight w:val="none"/>
        </w:rPr>
        <w:t>请供应商认真阅读供应商须知，避免因此造成的无效投标。</w:t>
      </w:r>
    </w:p>
    <w:p w14:paraId="70536A86">
      <w:pPr>
        <w:spacing w:line="600" w:lineRule="auto"/>
        <w:jc w:val="center"/>
        <w:rPr>
          <w:b/>
          <w:bCs/>
          <w:color w:val="auto"/>
          <w:sz w:val="44"/>
          <w:szCs w:val="44"/>
          <w:highlight w:val="none"/>
        </w:rPr>
      </w:pPr>
      <w:r>
        <w:rPr>
          <w:rFonts w:ascii="宋体" w:hAnsi="宋体"/>
          <w:b/>
          <w:bCs/>
          <w:color w:val="auto"/>
          <w:sz w:val="44"/>
          <w:szCs w:val="44"/>
          <w:highlight w:val="none"/>
        </w:rPr>
        <w:t>目</w:t>
      </w:r>
      <w:r>
        <w:rPr>
          <w:rFonts w:hint="eastAsia" w:ascii="宋体" w:hAnsi="宋体"/>
          <w:b/>
          <w:bCs/>
          <w:color w:val="auto"/>
          <w:sz w:val="44"/>
          <w:szCs w:val="44"/>
          <w:highlight w:val="none"/>
        </w:rPr>
        <w:t xml:space="preserve">  </w:t>
      </w:r>
      <w:r>
        <w:rPr>
          <w:rFonts w:ascii="宋体" w:hAnsi="宋体"/>
          <w:b/>
          <w:bCs/>
          <w:color w:val="auto"/>
          <w:sz w:val="44"/>
          <w:szCs w:val="44"/>
          <w:highlight w:val="none"/>
        </w:rPr>
        <w:t>录</w:t>
      </w:r>
      <w:r>
        <w:rPr>
          <w:rFonts w:hint="eastAsia" w:ascii="宋体" w:hAnsi="宋体"/>
          <w:b/>
          <w:bCs/>
          <w:color w:val="auto"/>
          <w:sz w:val="44"/>
          <w:szCs w:val="44"/>
          <w:highlight w:val="none"/>
        </w:rPr>
        <w:t xml:space="preserve">                          </w:t>
      </w:r>
    </w:p>
    <w:p w14:paraId="4AC39058">
      <w:pPr>
        <w:spacing w:before="0" w:beforeLines="0" w:after="0" w:afterLines="0" w:line="240" w:lineRule="auto"/>
        <w:ind w:left="0" w:leftChars="0" w:right="0" w:rightChars="0" w:firstLine="0" w:firstLineChars="0"/>
        <w:jc w:val="center"/>
        <w:rPr>
          <w:color w:val="auto"/>
          <w:highlight w:val="none"/>
        </w:rPr>
      </w:pPr>
      <w:r>
        <w:rPr>
          <w:b/>
          <w:bCs/>
          <w:color w:val="auto"/>
          <w:sz w:val="44"/>
          <w:szCs w:val="40"/>
          <w:highlight w:val="none"/>
        </w:rPr>
        <w:fldChar w:fldCharType="begin"/>
      </w:r>
      <w:r>
        <w:rPr>
          <w:b/>
          <w:bCs/>
          <w:color w:val="auto"/>
          <w:sz w:val="44"/>
          <w:szCs w:val="40"/>
          <w:highlight w:val="none"/>
        </w:rPr>
        <w:instrText xml:space="preserve">TOC \o "1-3" \h \u </w:instrText>
      </w:r>
      <w:r>
        <w:rPr>
          <w:b/>
          <w:bCs/>
          <w:color w:val="auto"/>
          <w:sz w:val="44"/>
          <w:szCs w:val="40"/>
          <w:highlight w:val="none"/>
        </w:rPr>
        <w:fldChar w:fldCharType="separate"/>
      </w:r>
    </w:p>
    <w:p w14:paraId="7301C7D1">
      <w:pPr>
        <w:pStyle w:val="14"/>
        <w:tabs>
          <w:tab w:val="right" w:leader="dot" w:pos="8504"/>
        </w:tabs>
        <w:spacing w:line="360" w:lineRule="auto"/>
        <w:rPr>
          <w:b/>
          <w:bCs/>
          <w:color w:val="auto"/>
          <w:sz w:val="28"/>
          <w:szCs w:val="28"/>
          <w:highlight w:val="none"/>
        </w:rPr>
      </w:pPr>
      <w:r>
        <w:rPr>
          <w:color w:val="auto"/>
          <w:sz w:val="28"/>
          <w:szCs w:val="28"/>
          <w:highlight w:val="none"/>
        </w:rPr>
        <w:fldChar w:fldCharType="begin"/>
      </w:r>
      <w:r>
        <w:rPr>
          <w:color w:val="auto"/>
          <w:sz w:val="28"/>
          <w:szCs w:val="28"/>
          <w:highlight w:val="none"/>
        </w:rPr>
        <w:instrText xml:space="preserve">TOC \o "1-1" \h \u </w:instrText>
      </w:r>
      <w:r>
        <w:rPr>
          <w:color w:val="auto"/>
          <w:sz w:val="28"/>
          <w:szCs w:val="28"/>
          <w:highlight w:val="none"/>
        </w:rPr>
        <w:fldChar w:fldCharType="separate"/>
      </w:r>
      <w:r>
        <w:rPr>
          <w:b/>
          <w:bCs/>
          <w:color w:val="auto"/>
          <w:sz w:val="28"/>
          <w:szCs w:val="28"/>
          <w:highlight w:val="none"/>
        </w:rPr>
        <w:fldChar w:fldCharType="begin"/>
      </w:r>
      <w:r>
        <w:rPr>
          <w:b/>
          <w:bCs/>
          <w:color w:val="auto"/>
          <w:sz w:val="28"/>
          <w:szCs w:val="28"/>
          <w:highlight w:val="none"/>
        </w:rPr>
        <w:instrText xml:space="preserve"> HYPERLINK \l _Toc7972 </w:instrText>
      </w:r>
      <w:r>
        <w:rPr>
          <w:b/>
          <w:bCs/>
          <w:color w:val="auto"/>
          <w:sz w:val="28"/>
          <w:szCs w:val="28"/>
          <w:highlight w:val="none"/>
        </w:rPr>
        <w:fldChar w:fldCharType="separate"/>
      </w:r>
      <w:r>
        <w:rPr>
          <w:rFonts w:hint="eastAsia"/>
          <w:b/>
          <w:bCs/>
          <w:color w:val="auto"/>
          <w:sz w:val="28"/>
          <w:szCs w:val="28"/>
          <w:highlight w:val="none"/>
        </w:rPr>
        <w:t>第一部分  竞争性谈判公告</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_Toc7972 \h </w:instrText>
      </w:r>
      <w:r>
        <w:rPr>
          <w:b/>
          <w:bCs/>
          <w:color w:val="auto"/>
          <w:sz w:val="28"/>
          <w:szCs w:val="28"/>
          <w:highlight w:val="none"/>
        </w:rPr>
        <w:fldChar w:fldCharType="separate"/>
      </w:r>
      <w:r>
        <w:rPr>
          <w:b/>
          <w:bCs/>
          <w:color w:val="auto"/>
          <w:sz w:val="28"/>
          <w:szCs w:val="28"/>
          <w:highlight w:val="none"/>
        </w:rPr>
        <w:t>1</w:t>
      </w:r>
      <w:r>
        <w:rPr>
          <w:b/>
          <w:bCs/>
          <w:color w:val="auto"/>
          <w:sz w:val="28"/>
          <w:szCs w:val="28"/>
          <w:highlight w:val="none"/>
        </w:rPr>
        <w:fldChar w:fldCharType="end"/>
      </w:r>
      <w:r>
        <w:rPr>
          <w:b/>
          <w:bCs/>
          <w:color w:val="auto"/>
          <w:sz w:val="28"/>
          <w:szCs w:val="28"/>
          <w:highlight w:val="none"/>
        </w:rPr>
        <w:fldChar w:fldCharType="end"/>
      </w:r>
    </w:p>
    <w:p w14:paraId="360E927E">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_Toc7995 </w:instrText>
      </w:r>
      <w:r>
        <w:rPr>
          <w:b/>
          <w:bCs/>
          <w:color w:val="auto"/>
          <w:sz w:val="28"/>
          <w:szCs w:val="28"/>
          <w:highlight w:val="none"/>
        </w:rPr>
        <w:fldChar w:fldCharType="separate"/>
      </w:r>
      <w:r>
        <w:rPr>
          <w:rFonts w:hint="eastAsia"/>
          <w:b/>
          <w:bCs/>
          <w:color w:val="auto"/>
          <w:sz w:val="28"/>
          <w:szCs w:val="28"/>
          <w:highlight w:val="none"/>
          <w:lang w:eastAsia="zh-CN"/>
        </w:rPr>
        <w:t>第二部分</w:t>
      </w:r>
      <w:r>
        <w:rPr>
          <w:rFonts w:hint="eastAsia"/>
          <w:b/>
          <w:bCs/>
          <w:color w:val="auto"/>
          <w:sz w:val="28"/>
          <w:szCs w:val="28"/>
          <w:highlight w:val="none"/>
          <w:lang w:val="en-US" w:eastAsia="zh-CN"/>
        </w:rPr>
        <w:t xml:space="preserve">  </w:t>
      </w:r>
      <w:r>
        <w:rPr>
          <w:rFonts w:hint="eastAsia"/>
          <w:b/>
          <w:bCs/>
          <w:color w:val="auto"/>
          <w:sz w:val="28"/>
          <w:szCs w:val="28"/>
          <w:highlight w:val="none"/>
        </w:rPr>
        <w:t>供应商须知前附表</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_Toc7995 \h </w:instrText>
      </w:r>
      <w:r>
        <w:rPr>
          <w:b/>
          <w:bCs/>
          <w:color w:val="auto"/>
          <w:sz w:val="28"/>
          <w:szCs w:val="28"/>
          <w:highlight w:val="none"/>
        </w:rPr>
        <w:fldChar w:fldCharType="separate"/>
      </w:r>
      <w:r>
        <w:rPr>
          <w:b/>
          <w:bCs/>
          <w:color w:val="auto"/>
          <w:sz w:val="28"/>
          <w:szCs w:val="28"/>
          <w:highlight w:val="none"/>
        </w:rPr>
        <w:t>6</w:t>
      </w:r>
      <w:r>
        <w:rPr>
          <w:b/>
          <w:bCs/>
          <w:color w:val="auto"/>
          <w:sz w:val="28"/>
          <w:szCs w:val="28"/>
          <w:highlight w:val="none"/>
        </w:rPr>
        <w:fldChar w:fldCharType="end"/>
      </w:r>
      <w:r>
        <w:rPr>
          <w:b/>
          <w:bCs/>
          <w:color w:val="auto"/>
          <w:sz w:val="28"/>
          <w:szCs w:val="28"/>
          <w:highlight w:val="none"/>
        </w:rPr>
        <w:fldChar w:fldCharType="end"/>
      </w:r>
    </w:p>
    <w:p w14:paraId="0E88EBF8">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_Toc25348 </w:instrText>
      </w:r>
      <w:r>
        <w:rPr>
          <w:b/>
          <w:bCs/>
          <w:color w:val="auto"/>
          <w:sz w:val="28"/>
          <w:szCs w:val="28"/>
          <w:highlight w:val="none"/>
        </w:rPr>
        <w:fldChar w:fldCharType="separate"/>
      </w:r>
      <w:r>
        <w:rPr>
          <w:rFonts w:hint="eastAsia" w:ascii="宋体" w:hAnsi="宋体" w:cs="宋体"/>
          <w:b/>
          <w:bCs/>
          <w:color w:val="auto"/>
          <w:sz w:val="28"/>
          <w:szCs w:val="28"/>
          <w:highlight w:val="none"/>
        </w:rPr>
        <w:t>第三部分  供应商须知</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_Toc25348 \h </w:instrText>
      </w:r>
      <w:r>
        <w:rPr>
          <w:b/>
          <w:bCs/>
          <w:color w:val="auto"/>
          <w:sz w:val="28"/>
          <w:szCs w:val="28"/>
          <w:highlight w:val="none"/>
        </w:rPr>
        <w:fldChar w:fldCharType="separate"/>
      </w:r>
      <w:r>
        <w:rPr>
          <w:b/>
          <w:bCs/>
          <w:color w:val="auto"/>
          <w:sz w:val="28"/>
          <w:szCs w:val="28"/>
          <w:highlight w:val="none"/>
        </w:rPr>
        <w:t>17</w:t>
      </w:r>
      <w:r>
        <w:rPr>
          <w:b/>
          <w:bCs/>
          <w:color w:val="auto"/>
          <w:sz w:val="28"/>
          <w:szCs w:val="28"/>
          <w:highlight w:val="none"/>
        </w:rPr>
        <w:fldChar w:fldCharType="end"/>
      </w:r>
      <w:r>
        <w:rPr>
          <w:b/>
          <w:bCs/>
          <w:color w:val="auto"/>
          <w:sz w:val="28"/>
          <w:szCs w:val="28"/>
          <w:highlight w:val="none"/>
        </w:rPr>
        <w:fldChar w:fldCharType="end"/>
      </w:r>
    </w:p>
    <w:p w14:paraId="05137E7D">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_Toc22316 </w:instrText>
      </w:r>
      <w:r>
        <w:rPr>
          <w:b/>
          <w:bCs/>
          <w:color w:val="auto"/>
          <w:sz w:val="28"/>
          <w:szCs w:val="28"/>
          <w:highlight w:val="none"/>
        </w:rPr>
        <w:fldChar w:fldCharType="separate"/>
      </w:r>
      <w:r>
        <w:rPr>
          <w:rFonts w:hint="eastAsia"/>
          <w:b/>
          <w:bCs/>
          <w:color w:val="auto"/>
          <w:sz w:val="28"/>
          <w:szCs w:val="28"/>
          <w:highlight w:val="none"/>
          <w:lang w:val="en-US" w:eastAsia="zh-CN"/>
        </w:rPr>
        <w:t>第四部分  采购内容及技术要求</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_Toc22316 \h </w:instrText>
      </w:r>
      <w:r>
        <w:rPr>
          <w:b/>
          <w:bCs/>
          <w:color w:val="auto"/>
          <w:sz w:val="28"/>
          <w:szCs w:val="28"/>
          <w:highlight w:val="none"/>
        </w:rPr>
        <w:fldChar w:fldCharType="separate"/>
      </w:r>
      <w:r>
        <w:rPr>
          <w:b/>
          <w:bCs/>
          <w:color w:val="auto"/>
          <w:sz w:val="28"/>
          <w:szCs w:val="28"/>
          <w:highlight w:val="none"/>
        </w:rPr>
        <w:t>35</w:t>
      </w:r>
      <w:r>
        <w:rPr>
          <w:b/>
          <w:bCs/>
          <w:color w:val="auto"/>
          <w:sz w:val="28"/>
          <w:szCs w:val="28"/>
          <w:highlight w:val="none"/>
        </w:rPr>
        <w:fldChar w:fldCharType="end"/>
      </w:r>
      <w:r>
        <w:rPr>
          <w:b/>
          <w:bCs/>
          <w:color w:val="auto"/>
          <w:sz w:val="28"/>
          <w:szCs w:val="28"/>
          <w:highlight w:val="none"/>
        </w:rPr>
        <w:fldChar w:fldCharType="end"/>
      </w:r>
    </w:p>
    <w:p w14:paraId="3190A34E">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_Toc22811 </w:instrText>
      </w:r>
      <w:r>
        <w:rPr>
          <w:b/>
          <w:bCs/>
          <w:color w:val="auto"/>
          <w:sz w:val="28"/>
          <w:szCs w:val="28"/>
          <w:highlight w:val="none"/>
        </w:rPr>
        <w:fldChar w:fldCharType="separate"/>
      </w:r>
      <w:r>
        <w:rPr>
          <w:rFonts w:hint="eastAsia"/>
          <w:b/>
          <w:bCs/>
          <w:color w:val="auto"/>
          <w:sz w:val="28"/>
          <w:szCs w:val="28"/>
          <w:highlight w:val="none"/>
        </w:rPr>
        <w:t>第</w:t>
      </w:r>
      <w:r>
        <w:rPr>
          <w:rFonts w:hint="eastAsia"/>
          <w:b/>
          <w:bCs/>
          <w:color w:val="auto"/>
          <w:sz w:val="28"/>
          <w:szCs w:val="28"/>
          <w:highlight w:val="none"/>
          <w:lang w:eastAsia="zh-CN"/>
        </w:rPr>
        <w:t>五</w:t>
      </w:r>
      <w:r>
        <w:rPr>
          <w:rFonts w:hint="eastAsia"/>
          <w:b/>
          <w:bCs/>
          <w:color w:val="auto"/>
          <w:sz w:val="28"/>
          <w:szCs w:val="28"/>
          <w:highlight w:val="none"/>
        </w:rPr>
        <w:t>部分  商务要求</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_Toc22811 \h </w:instrText>
      </w:r>
      <w:r>
        <w:rPr>
          <w:b/>
          <w:bCs/>
          <w:color w:val="auto"/>
          <w:sz w:val="28"/>
          <w:szCs w:val="28"/>
          <w:highlight w:val="none"/>
        </w:rPr>
        <w:fldChar w:fldCharType="separate"/>
      </w:r>
      <w:r>
        <w:rPr>
          <w:b/>
          <w:bCs/>
          <w:color w:val="auto"/>
          <w:sz w:val="28"/>
          <w:szCs w:val="28"/>
          <w:highlight w:val="none"/>
        </w:rPr>
        <w:t>38</w:t>
      </w:r>
      <w:r>
        <w:rPr>
          <w:b/>
          <w:bCs/>
          <w:color w:val="auto"/>
          <w:sz w:val="28"/>
          <w:szCs w:val="28"/>
          <w:highlight w:val="none"/>
        </w:rPr>
        <w:fldChar w:fldCharType="end"/>
      </w:r>
      <w:r>
        <w:rPr>
          <w:b/>
          <w:bCs/>
          <w:color w:val="auto"/>
          <w:sz w:val="28"/>
          <w:szCs w:val="28"/>
          <w:highlight w:val="none"/>
        </w:rPr>
        <w:fldChar w:fldCharType="end"/>
      </w:r>
    </w:p>
    <w:p w14:paraId="6D9824F4">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_Toc25429 </w:instrText>
      </w:r>
      <w:r>
        <w:rPr>
          <w:b/>
          <w:bCs/>
          <w:color w:val="auto"/>
          <w:sz w:val="28"/>
          <w:szCs w:val="28"/>
          <w:highlight w:val="none"/>
        </w:rPr>
        <w:fldChar w:fldCharType="separate"/>
      </w:r>
      <w:r>
        <w:rPr>
          <w:rFonts w:hint="eastAsia"/>
          <w:b/>
          <w:bCs/>
          <w:color w:val="auto"/>
          <w:sz w:val="28"/>
          <w:szCs w:val="28"/>
          <w:highlight w:val="none"/>
        </w:rPr>
        <w:t>第</w:t>
      </w:r>
      <w:r>
        <w:rPr>
          <w:rFonts w:hint="eastAsia"/>
          <w:b/>
          <w:bCs/>
          <w:color w:val="auto"/>
          <w:sz w:val="28"/>
          <w:szCs w:val="28"/>
          <w:highlight w:val="none"/>
          <w:lang w:eastAsia="zh-CN"/>
        </w:rPr>
        <w:t>六</w:t>
      </w:r>
      <w:r>
        <w:rPr>
          <w:rFonts w:hint="eastAsia"/>
          <w:b/>
          <w:bCs/>
          <w:color w:val="auto"/>
          <w:sz w:val="28"/>
          <w:szCs w:val="28"/>
          <w:highlight w:val="none"/>
        </w:rPr>
        <w:t>部分  政府采购合同</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_Toc25429 \h </w:instrText>
      </w:r>
      <w:r>
        <w:rPr>
          <w:b/>
          <w:bCs/>
          <w:color w:val="auto"/>
          <w:sz w:val="28"/>
          <w:szCs w:val="28"/>
          <w:highlight w:val="none"/>
        </w:rPr>
        <w:fldChar w:fldCharType="separate"/>
      </w:r>
      <w:r>
        <w:rPr>
          <w:b/>
          <w:bCs/>
          <w:color w:val="auto"/>
          <w:sz w:val="28"/>
          <w:szCs w:val="28"/>
          <w:highlight w:val="none"/>
        </w:rPr>
        <w:t>41</w:t>
      </w:r>
      <w:r>
        <w:rPr>
          <w:b/>
          <w:bCs/>
          <w:color w:val="auto"/>
          <w:sz w:val="28"/>
          <w:szCs w:val="28"/>
          <w:highlight w:val="none"/>
        </w:rPr>
        <w:fldChar w:fldCharType="end"/>
      </w:r>
      <w:r>
        <w:rPr>
          <w:b/>
          <w:bCs/>
          <w:color w:val="auto"/>
          <w:sz w:val="28"/>
          <w:szCs w:val="28"/>
          <w:highlight w:val="none"/>
        </w:rPr>
        <w:fldChar w:fldCharType="end"/>
      </w:r>
    </w:p>
    <w:p w14:paraId="40633556">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_Toc31561 </w:instrText>
      </w:r>
      <w:r>
        <w:rPr>
          <w:b/>
          <w:bCs/>
          <w:color w:val="auto"/>
          <w:sz w:val="28"/>
          <w:szCs w:val="28"/>
          <w:highlight w:val="none"/>
        </w:rPr>
        <w:fldChar w:fldCharType="separate"/>
      </w:r>
      <w:r>
        <w:rPr>
          <w:rFonts w:hint="eastAsia"/>
          <w:b/>
          <w:bCs/>
          <w:color w:val="auto"/>
          <w:sz w:val="28"/>
          <w:szCs w:val="28"/>
          <w:highlight w:val="none"/>
          <w:lang w:eastAsia="zh-CN"/>
        </w:rPr>
        <w:t>第</w:t>
      </w:r>
      <w:r>
        <w:rPr>
          <w:rFonts w:hint="eastAsia"/>
          <w:b/>
          <w:bCs/>
          <w:color w:val="auto"/>
          <w:sz w:val="28"/>
          <w:szCs w:val="28"/>
          <w:highlight w:val="none"/>
        </w:rPr>
        <w:t xml:space="preserve">七部分 </w:t>
      </w:r>
      <w:r>
        <w:rPr>
          <w:rFonts w:hint="eastAsia"/>
          <w:b/>
          <w:bCs/>
          <w:color w:val="auto"/>
          <w:sz w:val="28"/>
          <w:szCs w:val="28"/>
          <w:highlight w:val="none"/>
          <w:lang w:val="en-US" w:eastAsia="zh-CN"/>
        </w:rPr>
        <w:t xml:space="preserve"> </w:t>
      </w:r>
      <w:r>
        <w:rPr>
          <w:rFonts w:hint="eastAsia"/>
          <w:b/>
          <w:bCs/>
          <w:color w:val="auto"/>
          <w:sz w:val="28"/>
          <w:szCs w:val="28"/>
          <w:highlight w:val="none"/>
        </w:rPr>
        <w:t>评审方法</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_Toc31561 \h </w:instrText>
      </w:r>
      <w:r>
        <w:rPr>
          <w:b/>
          <w:bCs/>
          <w:color w:val="auto"/>
          <w:sz w:val="28"/>
          <w:szCs w:val="28"/>
          <w:highlight w:val="none"/>
        </w:rPr>
        <w:fldChar w:fldCharType="separate"/>
      </w:r>
      <w:r>
        <w:rPr>
          <w:b/>
          <w:bCs/>
          <w:color w:val="auto"/>
          <w:sz w:val="28"/>
          <w:szCs w:val="28"/>
          <w:highlight w:val="none"/>
        </w:rPr>
        <w:t>45</w:t>
      </w:r>
      <w:r>
        <w:rPr>
          <w:b/>
          <w:bCs/>
          <w:color w:val="auto"/>
          <w:sz w:val="28"/>
          <w:szCs w:val="28"/>
          <w:highlight w:val="none"/>
        </w:rPr>
        <w:fldChar w:fldCharType="end"/>
      </w:r>
      <w:r>
        <w:rPr>
          <w:b/>
          <w:bCs/>
          <w:color w:val="auto"/>
          <w:sz w:val="28"/>
          <w:szCs w:val="28"/>
          <w:highlight w:val="none"/>
        </w:rPr>
        <w:fldChar w:fldCharType="end"/>
      </w:r>
    </w:p>
    <w:p w14:paraId="0B69B58B">
      <w:pPr>
        <w:pStyle w:val="14"/>
        <w:tabs>
          <w:tab w:val="right" w:leader="dot" w:pos="8504"/>
        </w:tabs>
        <w:spacing w:line="360" w:lineRule="auto"/>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_Toc1840 </w:instrText>
      </w:r>
      <w:r>
        <w:rPr>
          <w:b/>
          <w:bCs/>
          <w:color w:val="auto"/>
          <w:sz w:val="28"/>
          <w:szCs w:val="28"/>
          <w:highlight w:val="none"/>
        </w:rPr>
        <w:fldChar w:fldCharType="separate"/>
      </w:r>
      <w:r>
        <w:rPr>
          <w:rFonts w:hint="eastAsia"/>
          <w:b/>
          <w:bCs/>
          <w:color w:val="auto"/>
          <w:sz w:val="28"/>
          <w:szCs w:val="28"/>
          <w:highlight w:val="none"/>
        </w:rPr>
        <w:t>第八部分  竞争性谈判响应文件格式</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_Toc1840 \h </w:instrText>
      </w:r>
      <w:r>
        <w:rPr>
          <w:b/>
          <w:bCs/>
          <w:color w:val="auto"/>
          <w:sz w:val="28"/>
          <w:szCs w:val="28"/>
          <w:highlight w:val="none"/>
        </w:rPr>
        <w:fldChar w:fldCharType="separate"/>
      </w:r>
      <w:r>
        <w:rPr>
          <w:b/>
          <w:bCs/>
          <w:color w:val="auto"/>
          <w:sz w:val="28"/>
          <w:szCs w:val="28"/>
          <w:highlight w:val="none"/>
        </w:rPr>
        <w:t>51</w:t>
      </w:r>
      <w:r>
        <w:rPr>
          <w:b/>
          <w:bCs/>
          <w:color w:val="auto"/>
          <w:sz w:val="28"/>
          <w:szCs w:val="28"/>
          <w:highlight w:val="none"/>
        </w:rPr>
        <w:fldChar w:fldCharType="end"/>
      </w:r>
      <w:r>
        <w:rPr>
          <w:b/>
          <w:bCs/>
          <w:color w:val="auto"/>
          <w:sz w:val="28"/>
          <w:szCs w:val="28"/>
          <w:highlight w:val="none"/>
        </w:rPr>
        <w:fldChar w:fldCharType="end"/>
      </w:r>
    </w:p>
    <w:p w14:paraId="6508D4E7">
      <w:pPr>
        <w:pStyle w:val="14"/>
        <w:tabs>
          <w:tab w:val="right" w:leader="dot" w:pos="8504"/>
        </w:tabs>
        <w:spacing w:line="360" w:lineRule="auto"/>
        <w:rPr>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HYPERLINK \l _Toc4465 </w:instrText>
      </w:r>
      <w:r>
        <w:rPr>
          <w:b/>
          <w:bCs/>
          <w:color w:val="auto"/>
          <w:sz w:val="28"/>
          <w:szCs w:val="28"/>
          <w:highlight w:val="none"/>
        </w:rPr>
        <w:fldChar w:fldCharType="separate"/>
      </w:r>
      <w:r>
        <w:rPr>
          <w:rFonts w:hint="eastAsia"/>
          <w:b/>
          <w:bCs/>
          <w:color w:val="auto"/>
          <w:sz w:val="28"/>
          <w:szCs w:val="28"/>
          <w:highlight w:val="none"/>
        </w:rPr>
        <w:t>第九部分  附件</w:t>
      </w:r>
      <w:r>
        <w:rPr>
          <w:b/>
          <w:bCs/>
          <w:color w:val="auto"/>
          <w:sz w:val="28"/>
          <w:szCs w:val="28"/>
          <w:highlight w:val="none"/>
        </w:rPr>
        <w:tab/>
      </w:r>
      <w:r>
        <w:rPr>
          <w:b/>
          <w:bCs/>
          <w:color w:val="auto"/>
          <w:sz w:val="28"/>
          <w:szCs w:val="28"/>
          <w:highlight w:val="none"/>
        </w:rPr>
        <w:fldChar w:fldCharType="begin"/>
      </w:r>
      <w:r>
        <w:rPr>
          <w:b/>
          <w:bCs/>
          <w:color w:val="auto"/>
          <w:sz w:val="28"/>
          <w:szCs w:val="28"/>
          <w:highlight w:val="none"/>
        </w:rPr>
        <w:instrText xml:space="preserve"> PAGEREF _Toc4465 \h </w:instrText>
      </w:r>
      <w:r>
        <w:rPr>
          <w:b/>
          <w:bCs/>
          <w:color w:val="auto"/>
          <w:sz w:val="28"/>
          <w:szCs w:val="28"/>
          <w:highlight w:val="none"/>
        </w:rPr>
        <w:fldChar w:fldCharType="separate"/>
      </w:r>
      <w:r>
        <w:rPr>
          <w:b/>
          <w:bCs/>
          <w:color w:val="auto"/>
          <w:sz w:val="28"/>
          <w:szCs w:val="28"/>
          <w:highlight w:val="none"/>
        </w:rPr>
        <w:t>79</w:t>
      </w:r>
      <w:r>
        <w:rPr>
          <w:b/>
          <w:bCs/>
          <w:color w:val="auto"/>
          <w:sz w:val="28"/>
          <w:szCs w:val="28"/>
          <w:highlight w:val="none"/>
        </w:rPr>
        <w:fldChar w:fldCharType="end"/>
      </w:r>
      <w:r>
        <w:rPr>
          <w:b/>
          <w:bCs/>
          <w:color w:val="auto"/>
          <w:sz w:val="28"/>
          <w:szCs w:val="28"/>
          <w:highlight w:val="none"/>
        </w:rPr>
        <w:fldChar w:fldCharType="end"/>
      </w:r>
    </w:p>
    <w:p w14:paraId="0A71F1B5">
      <w:pPr>
        <w:pStyle w:val="14"/>
        <w:tabs>
          <w:tab w:val="right" w:leader="dot" w:pos="8504"/>
        </w:tabs>
        <w:spacing w:line="360" w:lineRule="auto"/>
        <w:rPr>
          <w:color w:val="auto"/>
          <w:sz w:val="28"/>
          <w:szCs w:val="28"/>
          <w:highlight w:val="none"/>
        </w:rPr>
      </w:pPr>
    </w:p>
    <w:p w14:paraId="3FB3F7E5">
      <w:pPr>
        <w:spacing w:line="360" w:lineRule="auto"/>
        <w:rPr>
          <w:color w:val="auto"/>
          <w:highlight w:val="none"/>
        </w:rPr>
      </w:pPr>
      <w:r>
        <w:rPr>
          <w:color w:val="auto"/>
          <w:sz w:val="28"/>
          <w:szCs w:val="28"/>
          <w:highlight w:val="none"/>
        </w:rPr>
        <w:fldChar w:fldCharType="end"/>
      </w:r>
    </w:p>
    <w:p w14:paraId="4FCF3C9A">
      <w:pPr>
        <w:rPr>
          <w:color w:val="auto"/>
          <w:highlight w:val="none"/>
        </w:rPr>
      </w:pPr>
    </w:p>
    <w:p w14:paraId="7C2F56BC">
      <w:pPr>
        <w:pStyle w:val="14"/>
        <w:tabs>
          <w:tab w:val="right" w:leader="dot" w:pos="8504"/>
        </w:tabs>
        <w:rPr>
          <w:color w:val="auto"/>
          <w:sz w:val="32"/>
          <w:szCs w:val="28"/>
          <w:highlight w:val="none"/>
        </w:rPr>
      </w:pPr>
    </w:p>
    <w:p w14:paraId="69046613">
      <w:pPr>
        <w:rPr>
          <w:color w:val="auto"/>
          <w:sz w:val="24"/>
          <w:szCs w:val="24"/>
          <w:highlight w:val="none"/>
        </w:rPr>
      </w:pPr>
      <w:r>
        <w:rPr>
          <w:bCs/>
          <w:color w:val="auto"/>
          <w:sz w:val="32"/>
          <w:szCs w:val="40"/>
          <w:highlight w:val="none"/>
        </w:rPr>
        <w:fldChar w:fldCharType="end"/>
      </w:r>
      <w:r>
        <w:rPr>
          <w:rFonts w:hint="eastAsia"/>
          <w:color w:val="auto"/>
          <w:sz w:val="24"/>
          <w:szCs w:val="24"/>
          <w:highlight w:val="none"/>
        </w:rPr>
        <w:tab/>
      </w:r>
    </w:p>
    <w:p w14:paraId="1204D491">
      <w:pPr>
        <w:rPr>
          <w:color w:val="auto"/>
          <w:sz w:val="24"/>
          <w:szCs w:val="24"/>
          <w:highlight w:val="none"/>
        </w:rPr>
      </w:pPr>
    </w:p>
    <w:p w14:paraId="6A8C628D">
      <w:pPr>
        <w:rPr>
          <w:color w:val="auto"/>
          <w:sz w:val="24"/>
          <w:szCs w:val="24"/>
          <w:highlight w:val="none"/>
        </w:rPr>
        <w:sectPr>
          <w:headerReference r:id="rId6" w:type="default"/>
          <w:footerReference r:id="rId7" w:type="default"/>
          <w:footnotePr>
            <w:pos w:val="beneathText"/>
          </w:footnotePr>
          <w:pgSz w:w="11906" w:h="16838"/>
          <w:pgMar w:top="1418" w:right="1644" w:bottom="1191" w:left="1758" w:header="851" w:footer="992" w:gutter="0"/>
          <w:pgNumType w:fmt="decimal" w:start="2"/>
          <w:cols w:space="720" w:num="1"/>
          <w:docGrid w:type="lines" w:linePitch="312" w:charSpace="0"/>
        </w:sectPr>
      </w:pPr>
    </w:p>
    <w:p w14:paraId="47DFDAE4">
      <w:pPr>
        <w:pStyle w:val="2"/>
        <w:bidi w:val="0"/>
        <w:jc w:val="center"/>
        <w:rPr>
          <w:color w:val="auto"/>
          <w:sz w:val="32"/>
          <w:szCs w:val="32"/>
          <w:highlight w:val="none"/>
        </w:rPr>
      </w:pPr>
      <w:bookmarkStart w:id="9" w:name="_Toc12555"/>
      <w:bookmarkStart w:id="10" w:name="_Toc31266"/>
      <w:bookmarkStart w:id="11" w:name="_Toc7972"/>
      <w:bookmarkStart w:id="12" w:name="_Toc22608"/>
      <w:bookmarkStart w:id="13" w:name="_Toc4933"/>
      <w:bookmarkStart w:id="14" w:name="_Toc28283"/>
      <w:bookmarkStart w:id="15" w:name="_Toc14990"/>
      <w:bookmarkStart w:id="16" w:name="_Toc10778"/>
      <w:bookmarkStart w:id="17" w:name="_Toc22118"/>
      <w:r>
        <w:rPr>
          <w:rFonts w:hint="eastAsia"/>
          <w:color w:val="auto"/>
          <w:sz w:val="32"/>
          <w:szCs w:val="32"/>
          <w:highlight w:val="none"/>
        </w:rPr>
        <w:t>第一部分</w:t>
      </w:r>
      <w:bookmarkEnd w:id="0"/>
      <w:r>
        <w:rPr>
          <w:rFonts w:hint="eastAsia"/>
          <w:color w:val="auto"/>
          <w:sz w:val="32"/>
          <w:szCs w:val="32"/>
          <w:highlight w:val="none"/>
        </w:rPr>
        <w:t xml:space="preserve">  竞争性谈判公告</w:t>
      </w:r>
      <w:bookmarkEnd w:id="1"/>
      <w:bookmarkEnd w:id="2"/>
      <w:bookmarkEnd w:id="3"/>
      <w:bookmarkEnd w:id="4"/>
      <w:bookmarkEnd w:id="5"/>
      <w:bookmarkEnd w:id="6"/>
      <w:bookmarkEnd w:id="9"/>
      <w:bookmarkEnd w:id="10"/>
      <w:bookmarkEnd w:id="11"/>
      <w:bookmarkEnd w:id="12"/>
      <w:bookmarkEnd w:id="13"/>
      <w:bookmarkEnd w:id="14"/>
      <w:bookmarkEnd w:id="15"/>
      <w:bookmarkEnd w:id="16"/>
      <w:bookmarkEnd w:id="17"/>
    </w:p>
    <w:p w14:paraId="2B7739D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宋体" w:hAnsi="宋体" w:eastAsia="宋体" w:cs="宋体"/>
          <w:b w:val="0"/>
          <w:bCs w:val="0"/>
          <w:sz w:val="24"/>
          <w:szCs w:val="24"/>
        </w:rPr>
      </w:pPr>
      <w:bookmarkStart w:id="18" w:name="OLE_LINK15"/>
      <w:bookmarkStart w:id="19" w:name="OLE_LINK6"/>
      <w:bookmarkStart w:id="20" w:name="OLE_LINK5"/>
      <w:bookmarkStart w:id="21" w:name="_Toc246928892"/>
      <w:r>
        <w:rPr>
          <w:rStyle w:val="21"/>
          <w:rFonts w:hint="eastAsia" w:ascii="宋体" w:hAnsi="宋体" w:eastAsia="宋体" w:cs="宋体"/>
          <w:b/>
          <w:bCs/>
          <w:i w:val="0"/>
          <w:iCs w:val="0"/>
          <w:caps w:val="0"/>
          <w:color w:val="333333"/>
          <w:spacing w:val="0"/>
          <w:sz w:val="24"/>
          <w:szCs w:val="24"/>
          <w:shd w:val="clear" w:color="auto" w:fill="FFFFFF"/>
        </w:rPr>
        <w:t>项目概况</w:t>
      </w:r>
    </w:p>
    <w:p w14:paraId="4EC7B7F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检验科智慧管理系统采购项目采购项目的潜在供应商应在登录全国公共资源交易中心平台（陕西省）使用CA锁报名后自行下载获取采购文件，并于 2025年11月28日 13时30分 （北京时间）前提交响应文件。</w:t>
      </w:r>
    </w:p>
    <w:p w14:paraId="6B67BC8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一、项目基本情况</w:t>
      </w:r>
    </w:p>
    <w:p w14:paraId="342F9B4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项目编号：SA2025014</w:t>
      </w:r>
    </w:p>
    <w:p w14:paraId="2EA376E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项目名称：检验科智慧管理系统采购项目</w:t>
      </w:r>
    </w:p>
    <w:p w14:paraId="7638AD1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采购方式：竞争性谈判</w:t>
      </w:r>
    </w:p>
    <w:p w14:paraId="4122438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预算金额：700,000.00元</w:t>
      </w:r>
    </w:p>
    <w:p w14:paraId="5B2217B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采购需求：</w:t>
      </w:r>
    </w:p>
    <w:p w14:paraId="58C3E6A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合同包1(子洲县中医院检验科智慧管理系统采购项目):</w:t>
      </w:r>
    </w:p>
    <w:p w14:paraId="54204C0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合同包预算金额：700,000.00元</w:t>
      </w:r>
    </w:p>
    <w:p w14:paraId="15E2A0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合同包最高限价：700,000.00元</w:t>
      </w:r>
    </w:p>
    <w:tbl>
      <w:tblPr>
        <w:tblStyle w:val="19"/>
        <w:tblW w:w="96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95"/>
        <w:gridCol w:w="2234"/>
        <w:gridCol w:w="1668"/>
        <w:gridCol w:w="1627"/>
        <w:gridCol w:w="1716"/>
        <w:gridCol w:w="1598"/>
      </w:tblGrid>
      <w:tr w14:paraId="1977C9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79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831A8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223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F48DE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6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68E16A">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62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BAEF8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71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08840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9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D05B7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6A8860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F959B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C073B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其他医疗设备</w:t>
            </w:r>
          </w:p>
        </w:tc>
        <w:tc>
          <w:tcPr>
            <w:tcW w:w="16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F4031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w:t>
            </w:r>
          </w:p>
        </w:tc>
        <w:tc>
          <w:tcPr>
            <w:tcW w:w="162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2A77E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9B26E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763F342">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sz w:val="24"/>
                <w:szCs w:val="24"/>
              </w:rPr>
            </w:pPr>
            <w:r>
              <w:rPr>
                <w:rFonts w:hint="eastAsia" w:ascii="宋体" w:hAnsi="宋体" w:eastAsia="宋体" w:cs="宋体"/>
                <w:kern w:val="0"/>
                <w:sz w:val="24"/>
                <w:szCs w:val="24"/>
                <w:lang w:val="en-US" w:eastAsia="zh-CN" w:bidi="ar"/>
              </w:rPr>
              <w:t>700,000.00</w:t>
            </w:r>
          </w:p>
        </w:tc>
      </w:tr>
    </w:tbl>
    <w:p w14:paraId="58CAD1E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本合同包不接受联合体投标</w:t>
      </w:r>
    </w:p>
    <w:p w14:paraId="4FC8372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合同履行期限：无</w:t>
      </w:r>
    </w:p>
    <w:p w14:paraId="6778F5A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二、申请人的资格要求：</w:t>
      </w:r>
    </w:p>
    <w:p w14:paraId="3E65FE6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1.满足《中华人民共和国政府采购法》第二十二条规定;</w:t>
      </w:r>
    </w:p>
    <w:p w14:paraId="612537F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2.落实政府采购政策需满足的资格要求：</w:t>
      </w:r>
    </w:p>
    <w:p w14:paraId="3963E61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合同包1(子洲县中医院检验科智慧管理系统采购项目)落实政府采购政策需满足的资格要求如下:</w:t>
      </w:r>
    </w:p>
    <w:p w14:paraId="01114DB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1.《节能产品政府采购实施意见》（财库〔2004〕185号）；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2.《环境标志产品政府采购实施的意见》（财库〔2006〕90号）；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4.《榆林市财政局关于进一步加大政府采购支持中小企业力度的通知》陕财办采函〔2022〕10号；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5.《政府采购促进中小企业发展管理办法》（财库〔2020〕46号）；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6.根据《陕西省财政厅关于进一步加大政府采购支持中小企业力度的通知》（陕财办采〔2022〕5号）；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7.陕西省财政厅关于印发《陕西省中小企业政府采购信用融资办法》（陕财办采〔2018〕23号）相关政策、业务流程、办理平台（http://www.ccgp-shaanxi.gov.cn/zcdservice/zcd/shanxi/）；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8.财政部司法部关于政府采购支持监狱企业发展有关问题的通知（财库〔2014〕68号）；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9.《财政部民政部中国残疾人联合会关于促进残疾人就业政府采购政策的通知》（财库〔2017〕141号）；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10.《关于在政府采购活动中查询及使用信用记录有关问题的通知》（财库〔2016〕125号）；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11.其他需要落实的政府采购政策。</w:t>
      </w:r>
    </w:p>
    <w:p w14:paraId="45249CA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3.本项目的特定资格要求：</w:t>
      </w:r>
    </w:p>
    <w:p w14:paraId="707C266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合同包1(子洲县中医院检验科智慧管理系统采购项目)特定资格要求如下:</w:t>
      </w:r>
    </w:p>
    <w:p w14:paraId="7283769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2、财务状况报告：提供企业赋码后2024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 </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3、税收缴纳证明：提供开标截止时间前六个月至今已缴存的至少一个月的纳税证明（银行缴费凭证）或完税证明（时间以税款所属日期为准、税种须包含增值税或企业所得税或营业税），依法免税或无须缴纳税收的供应商，应提供相关证明材料；</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4、社会保障资金缴纳证明：提供开标截止时间前六个月至今已缴存的至少一个月的社会保障资金（任一险种）缴费单据或社保机构开具的社会保险（任一险种）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5、书面声明：参加本次政府采购活动前三年内在经营活动中没有重大违纪的书面声明；</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6、提供具有履行合同所必需的设备和专业技术能力的证明材料或承诺函；</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7、须提供榆林市政府采购货物类项目供应商信用承诺书；</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8、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9、本项目采用信用承诺书代替投标保证金，提供信用中国陕西榆林《投标信用承诺书》网页截图（截图须体现本项目名称及项目编号）（承诺公示日期为从招标文件获取之日起至投标截止日前）；</w:t>
      </w:r>
      <w:r>
        <w:rPr>
          <w:rFonts w:hint="eastAsia" w:ascii="宋体" w:hAnsi="宋体" w:eastAsia="宋体" w:cs="宋体"/>
          <w:i w:val="0"/>
          <w:iCs w:val="0"/>
          <w:caps w:val="0"/>
          <w:color w:val="333333"/>
          <w:spacing w:val="0"/>
          <w:sz w:val="24"/>
          <w:szCs w:val="24"/>
          <w:shd w:val="clear" w:color="auto" w:fill="FFFFFF"/>
        </w:rPr>
        <w:br w:type="textWrapping"/>
      </w:r>
      <w:r>
        <w:rPr>
          <w:rFonts w:hint="eastAsia" w:ascii="宋体" w:hAnsi="宋体" w:eastAsia="宋体" w:cs="宋体"/>
          <w:i w:val="0"/>
          <w:iCs w:val="0"/>
          <w:caps w:val="0"/>
          <w:color w:val="333333"/>
          <w:spacing w:val="0"/>
          <w:sz w:val="24"/>
          <w:szCs w:val="24"/>
          <w:shd w:val="clear" w:color="auto" w:fill="FFFFFF"/>
        </w:rPr>
        <w:t>10、本项目不接受联合体投标，须提供非联合体投标声明（单位负责人为同一人或者存在直接控股、管理关系的不同投标人，不得参加同一合同项下的政府采购活动）。</w:t>
      </w:r>
    </w:p>
    <w:p w14:paraId="7A81CA7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三、获取采购文件</w:t>
      </w:r>
    </w:p>
    <w:p w14:paraId="08275D5F">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时间： 2025年11月25日 至 2025年11月27日 ，每天上午 09:00:00 至 12:00:00 ，下午 12:00:00 至 17:00:00 （北京时间）</w:t>
      </w:r>
    </w:p>
    <w:p w14:paraId="19AB56A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途径：登录全国公共资源交易中心平台（陕西省）使用CA锁报名后自行下载</w:t>
      </w:r>
    </w:p>
    <w:p w14:paraId="53FC423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方式：在线获取</w:t>
      </w:r>
    </w:p>
    <w:p w14:paraId="0A69355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售价： 0元</w:t>
      </w:r>
    </w:p>
    <w:p w14:paraId="19E92CE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四、响应文件提交</w:t>
      </w:r>
    </w:p>
    <w:p w14:paraId="5D3CCF7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截止时间： 2025年11月28日 13时30分00秒 （北京时间）</w:t>
      </w:r>
    </w:p>
    <w:p w14:paraId="4E38F62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地点：登录全国公共资源交易平台（陕西省•榆林市）网站〖首页〉电子交易平台〉陕西政府采购交易系统）企业端〗，在线提交</w:t>
      </w:r>
    </w:p>
    <w:p w14:paraId="0B170B3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五、开启</w:t>
      </w:r>
    </w:p>
    <w:p w14:paraId="7F63E14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时间： 2025年11月28日 13时30分00秒 （北京时间）</w:t>
      </w:r>
    </w:p>
    <w:p w14:paraId="7A7DBE0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地点：登录全国公共资源交易平台（陕西省•榆林市）网站〖首页〉不见面开标〗系统，在线参加开标过程</w:t>
      </w:r>
    </w:p>
    <w:p w14:paraId="4F0DC94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六、公告期限</w:t>
      </w:r>
    </w:p>
    <w:p w14:paraId="6A8A6BE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color="auto" w:fill="FFFFFF"/>
        </w:rPr>
        <w:t>自本公告发布之日起3个工作日。</w:t>
      </w:r>
    </w:p>
    <w:p w14:paraId="6FD5EB7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七、其他补充事宜</w:t>
      </w:r>
    </w:p>
    <w:p w14:paraId="41A9B5F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default" w:ascii="宋体" w:hAnsi="宋体" w:eastAsia="宋体" w:cs="宋体"/>
          <w:i w:val="0"/>
          <w:iCs w:val="0"/>
          <w:caps w:val="0"/>
          <w:spacing w:val="0"/>
          <w:kern w:val="0"/>
          <w:sz w:val="24"/>
          <w:szCs w:val="24"/>
          <w:shd w:val="clear" w:color="auto" w:fill="FFFFFF"/>
          <w:lang w:val="en-US" w:eastAsia="zh-CN" w:bidi="ar"/>
        </w:rPr>
      </w:pPr>
      <w:r>
        <w:rPr>
          <w:rFonts w:hint="eastAsia" w:ascii="宋体" w:hAnsi="宋体" w:eastAsia="宋体" w:cs="宋体"/>
          <w:i w:val="0"/>
          <w:iCs w:val="0"/>
          <w:caps w:val="0"/>
          <w:spacing w:val="0"/>
          <w:kern w:val="0"/>
          <w:sz w:val="24"/>
          <w:szCs w:val="24"/>
          <w:shd w:val="clear" w:color="auto" w:fill="FFFFFF"/>
          <w:lang w:val="en-US" w:eastAsia="zh-CN" w:bidi="ar"/>
        </w:rPr>
        <w:t>（1）采购标的：子洲县中医院检验科智慧管理系统采购项目。</w:t>
      </w:r>
    </w:p>
    <w:p w14:paraId="2273FE8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i w:val="0"/>
          <w:iCs w:val="0"/>
          <w:caps w:val="0"/>
          <w:spacing w:val="0"/>
          <w:kern w:val="0"/>
          <w:sz w:val="24"/>
          <w:szCs w:val="24"/>
          <w:shd w:val="clear" w:color="auto" w:fill="FFFFFF"/>
          <w:lang w:val="en-US" w:eastAsia="zh-CN" w:bidi="ar"/>
        </w:rPr>
      </w:pPr>
      <w:r>
        <w:rPr>
          <w:rFonts w:hint="eastAsia" w:ascii="宋体" w:hAnsi="宋体" w:eastAsia="宋体" w:cs="宋体"/>
          <w:i w:val="0"/>
          <w:iCs w:val="0"/>
          <w:caps w:val="0"/>
          <w:spacing w:val="0"/>
          <w:kern w:val="0"/>
          <w:sz w:val="24"/>
          <w:szCs w:val="24"/>
          <w:shd w:val="clear" w:color="auto" w:fill="FFFFFF"/>
          <w:lang w:val="en-US" w:eastAsia="zh-CN" w:bidi="ar"/>
        </w:rPr>
        <w:t>（2）本项目不专门面向中小企业采购。</w:t>
      </w:r>
    </w:p>
    <w:p w14:paraId="0413C58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shd w:val="clear" w:color="auto" w:fill="FFFFFF"/>
          <w:lang w:val="en-US" w:eastAsia="zh-CN" w:bidi="ar"/>
        </w:rPr>
        <w:t>（3）供应商可登录全国公共资源交易中心平台（陕西省）（http://www.sxggzyjy.cn/）,选择“电子交易平台-陕西政府采购交易系统-陕西省公共资源交易平台-供应商”进行登录，登录后选择“交易乙方”身份进入供应商界面进行报名并免费下载谈判文件。</w:t>
      </w:r>
    </w:p>
    <w:p w14:paraId="3884EB2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shd w:val="clear" w:color="auto" w:fill="FFFFFF"/>
          <w:lang w:val="en-US" w:eastAsia="zh-CN" w:bidi="ar"/>
        </w:rPr>
        <w:t>（4）本项目采用电子化招投标的方式，供应商使用数字认证证书（CA 锁）对投标文件进行签章、加密、递交及开标时解密等相关招投标事宜。</w:t>
      </w:r>
    </w:p>
    <w:p w14:paraId="696EA62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shd w:val="clear" w:color="auto" w:fill="FFFFFF"/>
          <w:lang w:val="en-US" w:eastAsia="zh-CN" w:bidi="ar"/>
        </w:rPr>
        <w:t>（5）电子响应文件制作软件技术支持热线：400-998-0000，CA锁购买：榆林市市民大厦三楼E18、E19窗口办理，咨询电话0912-3452148、029-88661298或4006-369-888（陕西CA联系电话）。</w:t>
      </w:r>
    </w:p>
    <w:p w14:paraId="47661F5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shd w:val="clear" w:color="auto" w:fill="FFFFFF"/>
          <w:lang w:val="en-US" w:eastAsia="zh-CN" w:bidi="ar"/>
        </w:rPr>
        <w:t>（6）请各供应商获取谈判文件后，按照陕西省财政厅《关于政府采购投标供应商注册登记有关事项的通知》要求，通过陕西省政府采购（http://www.ccgp-shaanxi.gov.cn/）注册登记加入陕西省政府采购投标供应商库。</w:t>
      </w:r>
    </w:p>
    <w:p w14:paraId="05F3944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spacing w:val="0"/>
          <w:kern w:val="0"/>
          <w:sz w:val="24"/>
          <w:szCs w:val="24"/>
          <w:shd w:val="clear" w:color="auto" w:fill="FFFFFF"/>
          <w:lang w:val="en-US" w:eastAsia="zh-CN" w:bidi="ar"/>
        </w:rPr>
        <w:t>（7）本项目采用“不见面”开标形式，不见面开标系统操作手册下载方式：登录【全国公共资源交易平台（陕西省•榆林市）】 网站首页选择【服务指南】-【下载专区】-点击【榆林市不见面开标系统操作手册】进行下载，请投标供应商仔细阅读操作手册，了解操作流程，熟练掌握不见面开标操作相关事宜，若无法正常投标，供应商自行承担责任。</w:t>
      </w:r>
    </w:p>
    <w:p w14:paraId="581EC10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color="auto" w:fill="FFFFFF"/>
        </w:rPr>
        <w:t>八、对本次招标提出询问，请按以下方式联系。</w:t>
      </w:r>
    </w:p>
    <w:p w14:paraId="3F48C33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1.采购人信息</w:t>
      </w:r>
    </w:p>
    <w:p w14:paraId="55FA0DE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名称：子洲县中医院</w:t>
      </w:r>
    </w:p>
    <w:p w14:paraId="552FE22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地址：子洲县大理路33号</w:t>
      </w:r>
    </w:p>
    <w:p w14:paraId="49AD74A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联系方式：15291267888</w:t>
      </w:r>
    </w:p>
    <w:p w14:paraId="21F368F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2.采购代理机构信息</w:t>
      </w:r>
    </w:p>
    <w:p w14:paraId="5C1F2D7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名称：陕安项目管理有限公司</w:t>
      </w:r>
    </w:p>
    <w:p w14:paraId="7178AD6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地址：陕西省西安市未央区陕西省西安市经济技术开发区未央路149号银河华庭D座1106室</w:t>
      </w:r>
    </w:p>
    <w:p w14:paraId="10381F8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联系方式：13228440603</w:t>
      </w:r>
    </w:p>
    <w:p w14:paraId="493D751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color="auto" w:fill="FFFFFF"/>
        </w:rPr>
        <w:t>3.项目联系方式</w:t>
      </w:r>
    </w:p>
    <w:p w14:paraId="7535D2D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项目联系人：刘红霞</w:t>
      </w:r>
    </w:p>
    <w:p w14:paraId="4190401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color="auto" w:fill="FFFFFF"/>
        </w:rPr>
        <w:t>电话：13228440603</w:t>
      </w:r>
    </w:p>
    <w:p w14:paraId="0A2467BB">
      <w:pPr>
        <w:spacing w:line="440" w:lineRule="exact"/>
        <w:ind w:firstLine="4337" w:firstLineChars="1800"/>
        <w:jc w:val="right"/>
        <w:rPr>
          <w:rFonts w:hint="eastAsia" w:ascii="宋体" w:hAnsi="宋体" w:eastAsia="宋体" w:cs="宋体"/>
          <w:b/>
          <w:bCs/>
          <w:color w:val="auto"/>
          <w:sz w:val="24"/>
          <w:highlight w:val="none"/>
        </w:rPr>
      </w:pPr>
    </w:p>
    <w:p w14:paraId="63F7AC84">
      <w:pPr>
        <w:pStyle w:val="23"/>
        <w:ind w:left="0" w:leftChars="0" w:firstLine="0" w:firstLineChars="0"/>
        <w:rPr>
          <w:rFonts w:hint="eastAsia" w:ascii="宋体" w:hAnsi="宋体" w:eastAsia="宋体" w:cs="宋体"/>
          <w:b/>
          <w:bCs/>
          <w:color w:val="auto"/>
          <w:sz w:val="24"/>
          <w:highlight w:val="none"/>
        </w:rPr>
      </w:pPr>
    </w:p>
    <w:p w14:paraId="6365E0DE">
      <w:pPr>
        <w:pStyle w:val="2"/>
        <w:bidi w:val="0"/>
        <w:jc w:val="center"/>
        <w:rPr>
          <w:rFonts w:hint="eastAsia"/>
          <w:color w:val="auto"/>
          <w:sz w:val="32"/>
          <w:szCs w:val="32"/>
          <w:highlight w:val="none"/>
          <w:lang w:eastAsia="zh-CN"/>
        </w:rPr>
        <w:sectPr>
          <w:headerReference r:id="rId8" w:type="default"/>
          <w:footerReference r:id="rId9" w:type="default"/>
          <w:footnotePr>
            <w:pos w:val="beneathText"/>
          </w:footnotePr>
          <w:pgSz w:w="11906" w:h="16838"/>
          <w:pgMar w:top="1417" w:right="1558" w:bottom="1757" w:left="1417" w:header="851" w:footer="992" w:gutter="0"/>
          <w:pgNumType w:fmt="decimal" w:start="1"/>
          <w:cols w:space="720" w:num="1"/>
          <w:docGrid w:type="lines" w:linePitch="312" w:charSpace="0"/>
        </w:sectPr>
      </w:pPr>
      <w:bookmarkStart w:id="22" w:name="_Toc21055"/>
      <w:bookmarkStart w:id="23" w:name="_Toc12632"/>
      <w:bookmarkStart w:id="24" w:name="_Toc11309"/>
      <w:bookmarkStart w:id="25" w:name="_Toc17537"/>
      <w:bookmarkStart w:id="26" w:name="_Toc6594"/>
      <w:bookmarkStart w:id="27" w:name="_Toc19567"/>
      <w:bookmarkStart w:id="28" w:name="_Toc22488"/>
      <w:bookmarkStart w:id="29" w:name="_Toc15149"/>
      <w:bookmarkStart w:id="30" w:name="_Toc7995"/>
    </w:p>
    <w:p w14:paraId="1C34B6AD">
      <w:pPr>
        <w:pStyle w:val="2"/>
        <w:bidi w:val="0"/>
        <w:jc w:val="center"/>
        <w:rPr>
          <w:color w:val="auto"/>
          <w:sz w:val="32"/>
          <w:szCs w:val="32"/>
          <w:highlight w:val="none"/>
        </w:rPr>
      </w:pPr>
      <w:r>
        <w:rPr>
          <w:rFonts w:hint="eastAsia"/>
          <w:color w:val="auto"/>
          <w:sz w:val="32"/>
          <w:szCs w:val="32"/>
          <w:highlight w:val="none"/>
          <w:lang w:eastAsia="zh-CN"/>
        </w:rPr>
        <w:t>第二部分</w:t>
      </w:r>
      <w:r>
        <w:rPr>
          <w:rFonts w:hint="eastAsia"/>
          <w:color w:val="auto"/>
          <w:sz w:val="32"/>
          <w:szCs w:val="32"/>
          <w:highlight w:val="none"/>
          <w:lang w:val="en-US" w:eastAsia="zh-CN"/>
        </w:rPr>
        <w:t xml:space="preserve">  </w:t>
      </w:r>
      <w:r>
        <w:rPr>
          <w:rFonts w:hint="eastAsia"/>
          <w:color w:val="auto"/>
          <w:sz w:val="32"/>
          <w:szCs w:val="32"/>
          <w:highlight w:val="none"/>
        </w:rPr>
        <w:t>供应商须知前附表</w:t>
      </w:r>
      <w:bookmarkEnd w:id="22"/>
      <w:bookmarkEnd w:id="23"/>
      <w:bookmarkEnd w:id="24"/>
      <w:bookmarkEnd w:id="25"/>
      <w:bookmarkEnd w:id="26"/>
      <w:bookmarkEnd w:id="27"/>
      <w:bookmarkEnd w:id="28"/>
      <w:bookmarkEnd w:id="29"/>
      <w:bookmarkEnd w:id="30"/>
    </w:p>
    <w:tbl>
      <w:tblPr>
        <w:tblStyle w:val="19"/>
        <w:tblW w:w="9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088"/>
      </w:tblGrid>
      <w:tr w14:paraId="2F1E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8" w:type="dxa"/>
            <w:noWrap w:val="0"/>
            <w:vAlign w:val="center"/>
          </w:tcPr>
          <w:p w14:paraId="07AC99B7">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项号</w:t>
            </w:r>
          </w:p>
        </w:tc>
        <w:tc>
          <w:tcPr>
            <w:tcW w:w="9088" w:type="dxa"/>
            <w:noWrap w:val="0"/>
            <w:vAlign w:val="center"/>
          </w:tcPr>
          <w:p w14:paraId="46B7BC3D">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编列内容</w:t>
            </w:r>
          </w:p>
        </w:tc>
      </w:tr>
      <w:tr w14:paraId="20FE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98" w:type="dxa"/>
            <w:noWrap w:val="0"/>
            <w:vAlign w:val="center"/>
          </w:tcPr>
          <w:p w14:paraId="527514F3">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3181C76A">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采购项目名称：</w:t>
            </w:r>
            <w:r>
              <w:rPr>
                <w:rFonts w:hint="eastAsia" w:ascii="宋体" w:hAnsi="宋体" w:cs="宋体"/>
                <w:color w:val="auto"/>
                <w:sz w:val="24"/>
                <w:szCs w:val="24"/>
                <w:highlight w:val="none"/>
                <w:lang w:eastAsia="zh-CN"/>
              </w:rPr>
              <w:t>子洲县中医院检验科智慧管理系统采购项目</w:t>
            </w:r>
          </w:p>
          <w:p w14:paraId="57B440B8">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lang w:eastAsia="zh-CN"/>
              </w:rPr>
              <w:t>SA2025014</w:t>
            </w:r>
          </w:p>
        </w:tc>
      </w:tr>
      <w:tr w14:paraId="6232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698" w:type="dxa"/>
            <w:noWrap w:val="0"/>
            <w:vAlign w:val="center"/>
          </w:tcPr>
          <w:p w14:paraId="557E0E40">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06A95E3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项目性质：财政拨款加单位自筹</w:t>
            </w:r>
          </w:p>
          <w:p w14:paraId="7D4EB36B">
            <w:pPr>
              <w:spacing w:line="360" w:lineRule="auto"/>
              <w:rPr>
                <w:rFonts w:ascii="宋体" w:hAnsi="宋体" w:cs="仿宋_GB2312"/>
                <w:color w:val="auto"/>
                <w:sz w:val="24"/>
                <w:szCs w:val="24"/>
                <w:highlight w:val="none"/>
              </w:rPr>
            </w:pPr>
            <w:r>
              <w:rPr>
                <w:rFonts w:hint="eastAsia" w:ascii="宋体" w:hAnsi="宋体" w:cs="宋体"/>
                <w:color w:val="auto"/>
                <w:sz w:val="24"/>
                <w:szCs w:val="24"/>
                <w:highlight w:val="none"/>
              </w:rPr>
              <w:t>本项目采购预算：</w:t>
            </w:r>
            <w:r>
              <w:rPr>
                <w:rFonts w:hint="eastAsia" w:ascii="宋体" w:hAnsi="宋体" w:cs="宋体"/>
                <w:color w:val="auto"/>
                <w:sz w:val="24"/>
                <w:szCs w:val="24"/>
                <w:highlight w:val="none"/>
                <w:shd w:val="clear" w:color="auto" w:fill="FFFFFF"/>
                <w:lang w:eastAsia="zh-CN"/>
              </w:rPr>
              <w:t>700000.00元</w:t>
            </w:r>
            <w:r>
              <w:rPr>
                <w:rFonts w:hint="eastAsia" w:ascii="宋体" w:hAnsi="宋体" w:cs="宋体"/>
                <w:color w:val="auto"/>
                <w:sz w:val="24"/>
                <w:szCs w:val="24"/>
                <w:highlight w:val="none"/>
              </w:rPr>
              <w:t>。</w:t>
            </w:r>
          </w:p>
          <w:p w14:paraId="1CB82CC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供应商报价超出采购预算，作为不实质响应竞争性谈判文件，按无投标文件处理。</w:t>
            </w:r>
          </w:p>
        </w:tc>
      </w:tr>
      <w:tr w14:paraId="5B7E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98" w:type="dxa"/>
            <w:noWrap w:val="0"/>
            <w:vAlign w:val="center"/>
          </w:tcPr>
          <w:p w14:paraId="54DB9B56">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3F7113BE">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子洲县中医院</w:t>
            </w:r>
          </w:p>
          <w:p w14:paraId="47413211">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陕安项目管理有限公司</w:t>
            </w:r>
          </w:p>
        </w:tc>
      </w:tr>
      <w:tr w14:paraId="1ADD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98" w:type="dxa"/>
            <w:noWrap w:val="0"/>
            <w:vAlign w:val="center"/>
          </w:tcPr>
          <w:p w14:paraId="74CE7BE0">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2F5CE8C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采购内容具体见竞争性谈判文件第</w:t>
            </w:r>
            <w:r>
              <w:rPr>
                <w:rFonts w:hint="eastAsia" w:ascii="宋体" w:hAnsi="宋体" w:cs="宋体"/>
                <w:color w:val="auto"/>
                <w:sz w:val="24"/>
                <w:szCs w:val="24"/>
                <w:highlight w:val="none"/>
                <w:lang w:eastAsia="zh-CN"/>
              </w:rPr>
              <w:t>四</w:t>
            </w:r>
            <w:r>
              <w:rPr>
                <w:rFonts w:hint="eastAsia" w:ascii="宋体" w:hAnsi="宋体" w:cs="宋体"/>
                <w:color w:val="auto"/>
                <w:sz w:val="24"/>
                <w:szCs w:val="24"/>
                <w:highlight w:val="none"/>
              </w:rPr>
              <w:t>部分采购内容及</w:t>
            </w:r>
            <w:r>
              <w:rPr>
                <w:rFonts w:hint="eastAsia" w:ascii="宋体" w:hAnsi="宋体" w:cs="宋体"/>
                <w:color w:val="auto"/>
                <w:sz w:val="24"/>
                <w:szCs w:val="24"/>
                <w:highlight w:val="none"/>
                <w:lang w:eastAsia="zh-CN"/>
              </w:rPr>
              <w:t>技术</w:t>
            </w:r>
            <w:r>
              <w:rPr>
                <w:rFonts w:hint="eastAsia" w:ascii="宋体" w:hAnsi="宋体" w:cs="宋体"/>
                <w:color w:val="auto"/>
                <w:sz w:val="24"/>
                <w:szCs w:val="24"/>
                <w:highlight w:val="none"/>
              </w:rPr>
              <w:t>要求</w:t>
            </w:r>
          </w:p>
          <w:p w14:paraId="703B5E3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本次采购、报价、谈判、评审和合同授予均以项目为单位，供应商必须就整个项目进行响应。</w:t>
            </w:r>
          </w:p>
        </w:tc>
      </w:tr>
      <w:tr w14:paraId="2909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98" w:type="dxa"/>
            <w:noWrap w:val="0"/>
            <w:vAlign w:val="center"/>
          </w:tcPr>
          <w:p w14:paraId="4E1F6A2D">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169B696E">
            <w:pPr>
              <w:spacing w:line="360" w:lineRule="auto"/>
              <w:rPr>
                <w:rFonts w:hint="eastAsia" w:eastAsia="宋体"/>
                <w:color w:val="auto"/>
                <w:highlight w:val="none"/>
                <w:lang w:val="en-US" w:eastAsia="zh-CN"/>
              </w:rPr>
            </w:pPr>
            <w:r>
              <w:rPr>
                <w:rFonts w:hint="eastAsia" w:ascii="宋体" w:hAnsi="宋体" w:eastAsia="宋体" w:cs="宋体"/>
                <w:color w:val="auto"/>
                <w:sz w:val="24"/>
                <w:szCs w:val="24"/>
                <w:highlight w:val="none"/>
              </w:rPr>
              <w:t>投标报价：报价包含完成本次投标项目所包含的一切相关费用。</w:t>
            </w:r>
            <w:r>
              <w:rPr>
                <w:rFonts w:hint="eastAsia" w:ascii="宋体" w:hAnsi="宋体" w:eastAsia="宋体" w:cs="宋体"/>
                <w:color w:val="auto"/>
                <w:sz w:val="24"/>
                <w:szCs w:val="24"/>
                <w:highlight w:val="none"/>
                <w:lang w:val="en-US" w:eastAsia="zh-CN"/>
              </w:rPr>
              <w:t xml:space="preserve"> </w:t>
            </w:r>
          </w:p>
        </w:tc>
      </w:tr>
      <w:tr w14:paraId="29A0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98" w:type="dxa"/>
            <w:noWrap w:val="0"/>
            <w:vAlign w:val="center"/>
          </w:tcPr>
          <w:p w14:paraId="0633355C">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58A64E86">
            <w:pPr>
              <w:keepNext w:val="0"/>
              <w:keepLines w:val="0"/>
              <w:pageBreakBefore w:val="0"/>
              <w:wordWrap/>
              <w:topLinePunct w:val="0"/>
              <w:autoSpaceDE/>
              <w:autoSpaceDN/>
              <w:bidi w:val="0"/>
              <w:adjustRightInd w:val="0"/>
              <w:snapToGrid w:val="0"/>
              <w:spacing w:line="44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竞争性谈判响应文件递交截</w:t>
            </w:r>
            <w:r>
              <w:rPr>
                <w:rFonts w:hint="eastAsia" w:ascii="宋体" w:hAnsi="宋体" w:eastAsia="宋体" w:cs="宋体"/>
                <w:color w:val="auto"/>
                <w:sz w:val="24"/>
                <w:szCs w:val="24"/>
                <w:highlight w:val="none"/>
              </w:rPr>
              <w:t>止时间：</w:t>
            </w:r>
            <w:r>
              <w:rPr>
                <w:rFonts w:hint="eastAsia" w:ascii="宋体" w:hAnsi="宋体" w:eastAsia="宋体" w:cs="宋体"/>
                <w:color w:val="auto"/>
                <w:sz w:val="24"/>
                <w:szCs w:val="24"/>
                <w:highlight w:val="none"/>
                <w:u w:val="none"/>
                <w:lang w:val="zh-CN" w:eastAsia="zh-CN"/>
              </w:rPr>
              <w:t>2025年11月28日 13时30分00秒</w:t>
            </w:r>
          </w:p>
          <w:p w14:paraId="138F5C0E">
            <w:pPr>
              <w:keepNext w:val="0"/>
              <w:keepLines w:val="0"/>
              <w:pageBreakBefore w:val="0"/>
              <w:wordWrap/>
              <w:topLinePunct w:val="0"/>
              <w:autoSpaceDE/>
              <w:autoSpaceDN/>
              <w:bidi w:val="0"/>
              <w:adjustRightInd w:val="0"/>
              <w:snapToGrid w:val="0"/>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谈判时间：</w:t>
            </w:r>
            <w:r>
              <w:rPr>
                <w:rFonts w:hint="eastAsia" w:ascii="宋体" w:hAnsi="宋体" w:eastAsia="宋体" w:cs="宋体"/>
                <w:color w:val="auto"/>
                <w:sz w:val="24"/>
                <w:szCs w:val="24"/>
                <w:highlight w:val="none"/>
                <w:u w:val="none"/>
                <w:lang w:val="zh-CN" w:eastAsia="zh-CN"/>
              </w:rPr>
              <w:t>2025年11月28日 13时30分00秒</w:t>
            </w:r>
          </w:p>
          <w:p w14:paraId="161CF7BA">
            <w:pPr>
              <w:spacing w:line="360" w:lineRule="auto"/>
              <w:rPr>
                <w:rFonts w:ascii="宋体" w:hAnsi="宋体" w:cs="宋体"/>
                <w:color w:val="auto"/>
                <w:sz w:val="24"/>
                <w:szCs w:val="24"/>
                <w:highlight w:val="none"/>
                <w:u w:val="single"/>
              </w:rPr>
            </w:pPr>
            <w:r>
              <w:rPr>
                <w:rFonts w:hint="eastAsia" w:ascii="宋体" w:hAnsi="宋体" w:eastAsia="宋体" w:cs="宋体"/>
                <w:color w:val="auto"/>
                <w:sz w:val="24"/>
                <w:szCs w:val="24"/>
                <w:highlight w:val="none"/>
              </w:rPr>
              <w:t>谈判地点：登录全国公共资源交易平台（陕西省•榆林市）网站〖首页〉不见面开标〗系统，在线参加开标过程</w:t>
            </w:r>
          </w:p>
        </w:tc>
      </w:tr>
      <w:tr w14:paraId="12DD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244728C">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67E0AF6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是否退还投标文件:</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否</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是</w:t>
            </w:r>
          </w:p>
        </w:tc>
      </w:tr>
      <w:tr w14:paraId="0911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8" w:type="dxa"/>
            <w:noWrap w:val="0"/>
            <w:vAlign w:val="center"/>
          </w:tcPr>
          <w:p w14:paraId="2466D0B9">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4D076B7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不允许提供备选方案。</w:t>
            </w:r>
          </w:p>
        </w:tc>
      </w:tr>
      <w:tr w14:paraId="3E39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98" w:type="dxa"/>
            <w:noWrap w:val="0"/>
            <w:vAlign w:val="center"/>
          </w:tcPr>
          <w:p w14:paraId="616C751F">
            <w:pPr>
              <w:numPr>
                <w:ilvl w:val="0"/>
                <w:numId w:val="1"/>
              </w:numPr>
              <w:spacing w:line="360" w:lineRule="auto"/>
              <w:jc w:val="center"/>
              <w:rPr>
                <w:rFonts w:ascii="宋体" w:hAnsi="宋体" w:cs="宋体"/>
                <w:color w:val="auto"/>
                <w:sz w:val="24"/>
                <w:szCs w:val="24"/>
                <w:highlight w:val="none"/>
              </w:rPr>
            </w:pPr>
          </w:p>
        </w:tc>
        <w:tc>
          <w:tcPr>
            <w:tcW w:w="9088" w:type="dxa"/>
            <w:noWrap w:val="0"/>
            <w:vAlign w:val="center"/>
          </w:tcPr>
          <w:p w14:paraId="45568C6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本次招标采用项目整体打包方式，投标人可根据自身的资质情况和经营范围进行投标，但不得将其自行分解或只对本次项目中的品目进行不完全投标，任何不完全的投标将按无效投标处理。</w:t>
            </w:r>
          </w:p>
        </w:tc>
      </w:tr>
      <w:tr w14:paraId="1EA6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7B672A3">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9088" w:type="dxa"/>
            <w:noWrap w:val="0"/>
            <w:vAlign w:val="center"/>
          </w:tcPr>
          <w:p w14:paraId="3A03C018">
            <w:pPr>
              <w:spacing w:line="360" w:lineRule="auto"/>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交货期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15天</w:t>
            </w:r>
            <w:r>
              <w:rPr>
                <w:rFonts w:hint="default" w:ascii="宋体" w:hAnsi="宋体" w:eastAsia="宋体"/>
                <w:color w:val="auto"/>
                <w:kern w:val="0"/>
                <w:sz w:val="24"/>
                <w:highlight w:val="none"/>
                <w:u w:val="none"/>
                <w:lang w:val="en-US" w:eastAsia="zh-CN"/>
              </w:rPr>
              <w:t>。</w:t>
            </w:r>
          </w:p>
        </w:tc>
      </w:tr>
      <w:tr w14:paraId="3218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5ECA8DF">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9088" w:type="dxa"/>
            <w:noWrap w:val="0"/>
            <w:vAlign w:val="center"/>
          </w:tcPr>
          <w:p w14:paraId="04E10C55">
            <w:pPr>
              <w:keepNext w:val="0"/>
              <w:keepLines w:val="0"/>
              <w:widowControl/>
              <w:suppressLineNumbers w:val="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r>
              <w:rPr>
                <w:rFonts w:hint="eastAsia" w:ascii="宋体" w:hAnsi="宋体" w:eastAsia="宋体" w:cs="宋体"/>
                <w:color w:val="auto"/>
                <w:kern w:val="0"/>
                <w:sz w:val="24"/>
                <w:szCs w:val="24"/>
                <w:highlight w:val="none"/>
                <w:lang w:val="en-US" w:eastAsia="zh-CN" w:bidi="ar"/>
              </w:rPr>
              <w:t>3年。</w:t>
            </w:r>
          </w:p>
        </w:tc>
      </w:tr>
      <w:tr w14:paraId="25AA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98" w:type="dxa"/>
            <w:noWrap w:val="0"/>
            <w:vAlign w:val="center"/>
          </w:tcPr>
          <w:p w14:paraId="05B2EE0E">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2</w:t>
            </w:r>
          </w:p>
        </w:tc>
        <w:tc>
          <w:tcPr>
            <w:tcW w:w="9088" w:type="dxa"/>
            <w:noWrap w:val="0"/>
            <w:vAlign w:val="center"/>
          </w:tcPr>
          <w:p w14:paraId="36641466">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交货并安装调试地点</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采购人指定地点。</w:t>
            </w:r>
          </w:p>
        </w:tc>
      </w:tr>
      <w:tr w14:paraId="6C5F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36A412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9088" w:type="dxa"/>
            <w:noWrap w:val="0"/>
            <w:vAlign w:val="center"/>
          </w:tcPr>
          <w:p w14:paraId="6722800A">
            <w:pPr>
              <w:keepNext w:val="0"/>
              <w:keepLines w:val="0"/>
              <w:widowControl/>
              <w:suppressLineNumbers w:val="0"/>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付款方式</w:t>
            </w:r>
            <w:r>
              <w:rPr>
                <w:rFonts w:hint="eastAsia" w:ascii="宋体" w:hAnsi="宋体" w:eastAsia="宋体" w:cs="宋体"/>
                <w:color w:val="auto"/>
                <w:sz w:val="24"/>
                <w:szCs w:val="24"/>
                <w:highlight w:val="none"/>
                <w:lang w:val="en-US" w:eastAsia="zh-CN"/>
              </w:rPr>
              <w:t>：</w:t>
            </w:r>
            <w:r>
              <w:rPr>
                <w:rFonts w:hint="eastAsia" w:hAnsi="宋体" w:cs="Times New Roman"/>
                <w:color w:val="auto"/>
                <w:sz w:val="24"/>
                <w:lang w:val="en-US" w:eastAsia="zh-CN"/>
              </w:rPr>
              <w:t>合同签订后支付合同价款的35%，货物到达后支付合同价款的35%，验收合格后支付合同价款的30%。</w:t>
            </w:r>
          </w:p>
        </w:tc>
      </w:tr>
      <w:tr w14:paraId="44E6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noWrap w:val="0"/>
            <w:vAlign w:val="center"/>
          </w:tcPr>
          <w:p w14:paraId="16F57B26">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4</w:t>
            </w:r>
          </w:p>
        </w:tc>
        <w:tc>
          <w:tcPr>
            <w:tcW w:w="9088" w:type="dxa"/>
            <w:noWrap w:val="0"/>
            <w:vAlign w:val="center"/>
          </w:tcPr>
          <w:p w14:paraId="440E6452">
            <w:pPr>
              <w:pStyle w:val="24"/>
              <w:spacing w:before="90"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是否要求投标人递交投标保证金：</w:t>
            </w:r>
          </w:p>
          <w:p w14:paraId="35E98D12">
            <w:pPr>
              <w:pStyle w:val="24"/>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□要求，投标保证金的金额：/</w:t>
            </w:r>
          </w:p>
          <w:p w14:paraId="50EA8F40">
            <w:pPr>
              <w:spacing w:line="360" w:lineRule="auto"/>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☑不要求</w:t>
            </w:r>
          </w:p>
          <w:p w14:paraId="69D3669A">
            <w:pPr>
              <w:spacing w:line="360" w:lineRule="auto"/>
              <w:ind w:firstLine="480" w:firstLineChars="200"/>
              <w:rPr>
                <w:color w:val="auto"/>
                <w:highlight w:val="none"/>
              </w:rPr>
            </w:pPr>
            <w:r>
              <w:rPr>
                <w:rFonts w:hint="eastAsia" w:ascii="宋体" w:hAnsi="宋体" w:eastAsia="宋体" w:cs="宋体"/>
                <w:color w:val="auto"/>
                <w:kern w:val="2"/>
                <w:sz w:val="24"/>
                <w:szCs w:val="24"/>
                <w:highlight w:val="none"/>
                <w:lang w:val="en-US" w:eastAsia="zh-CN" w:bidi="ar-SA"/>
              </w:rPr>
              <w:t>根据榆林市财政局下发的榆政财采发【2023】8号文件规定，各投标人采用“投标信用承诺书”代替保证金。投标人须将“投标信用承诺书”按要求签字盖章后上传至信用中国（陕西榆林）进行承诺公示，将公示后的截图附在投标文件中（截图须体现</w:t>
            </w:r>
            <w:r>
              <w:rPr>
                <w:rFonts w:hint="eastAsia" w:ascii="宋体" w:hAnsi="宋体" w:cs="宋体"/>
                <w:color w:val="auto"/>
                <w:kern w:val="2"/>
                <w:sz w:val="24"/>
                <w:szCs w:val="24"/>
                <w:highlight w:val="none"/>
                <w:lang w:val="en-US" w:eastAsia="zh-CN" w:bidi="ar-SA"/>
              </w:rPr>
              <w:t>本</w:t>
            </w:r>
            <w:r>
              <w:rPr>
                <w:rFonts w:hint="eastAsia" w:ascii="宋体" w:hAnsi="宋体" w:eastAsia="宋体" w:cs="宋体"/>
                <w:color w:val="auto"/>
                <w:kern w:val="2"/>
                <w:sz w:val="24"/>
                <w:szCs w:val="24"/>
                <w:highlight w:val="none"/>
                <w:lang w:val="en-US" w:eastAsia="zh-CN" w:bidi="ar-SA"/>
              </w:rPr>
              <w:t>项目名称及项目编号）。</w:t>
            </w:r>
            <w:r>
              <w:rPr>
                <w:rFonts w:hint="default" w:ascii="宋体" w:hAnsi="宋体" w:eastAsia="宋体" w:cs="宋体"/>
                <w:color w:val="auto"/>
                <w:kern w:val="2"/>
                <w:sz w:val="24"/>
                <w:szCs w:val="24"/>
                <w:highlight w:val="none"/>
                <w:lang w:val="en-US" w:eastAsia="zh-CN" w:bidi="ar-SA"/>
              </w:rPr>
              <w:t>（格式详见</w:t>
            </w:r>
            <w:r>
              <w:rPr>
                <w:rFonts w:hint="eastAsia" w:ascii="宋体" w:hAnsi="宋体" w:eastAsia="宋体" w:cs="宋体"/>
                <w:color w:val="auto"/>
                <w:kern w:val="2"/>
                <w:sz w:val="24"/>
                <w:szCs w:val="24"/>
                <w:highlight w:val="none"/>
                <w:lang w:val="en-US" w:eastAsia="zh-CN" w:bidi="ar-SA"/>
              </w:rPr>
              <w:t>招标</w:t>
            </w:r>
            <w:r>
              <w:rPr>
                <w:rFonts w:hint="default" w:ascii="宋体" w:hAnsi="宋体" w:eastAsia="宋体" w:cs="宋体"/>
                <w:color w:val="auto"/>
                <w:kern w:val="2"/>
                <w:sz w:val="24"/>
                <w:szCs w:val="24"/>
                <w:highlight w:val="none"/>
                <w:lang w:val="en-US" w:eastAsia="zh-CN" w:bidi="ar-SA"/>
              </w:rPr>
              <w:t>文件第</w:t>
            </w:r>
            <w:r>
              <w:rPr>
                <w:rFonts w:hint="eastAsia" w:ascii="宋体" w:hAnsi="宋体" w:eastAsia="宋体" w:cs="宋体"/>
                <w:color w:val="auto"/>
                <w:kern w:val="2"/>
                <w:sz w:val="24"/>
                <w:szCs w:val="24"/>
                <w:highlight w:val="none"/>
                <w:lang w:val="en-US" w:eastAsia="zh-CN" w:bidi="ar-SA"/>
              </w:rPr>
              <w:t>九</w:t>
            </w:r>
            <w:r>
              <w:rPr>
                <w:rFonts w:hint="default" w:ascii="宋体" w:hAnsi="宋体" w:eastAsia="宋体" w:cs="宋体"/>
                <w:color w:val="auto"/>
                <w:kern w:val="2"/>
                <w:sz w:val="24"/>
                <w:szCs w:val="24"/>
                <w:highlight w:val="none"/>
                <w:lang w:val="en-US" w:eastAsia="zh-CN" w:bidi="ar-SA"/>
              </w:rPr>
              <w:t>部分附件3）</w:t>
            </w:r>
          </w:p>
        </w:tc>
      </w:tr>
      <w:tr w14:paraId="110D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698" w:type="dxa"/>
            <w:noWrap w:val="0"/>
            <w:vAlign w:val="center"/>
          </w:tcPr>
          <w:p w14:paraId="090A0852">
            <w:pPr>
              <w:spacing w:line="360" w:lineRule="auto"/>
              <w:ind w:left="21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9088" w:type="dxa"/>
            <w:noWrap w:val="0"/>
            <w:vAlign w:val="center"/>
          </w:tcPr>
          <w:p w14:paraId="57D3E1A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谈判有效期：</w:t>
            </w:r>
            <w:bookmarkStart w:id="31" w:name="OLE_LINK9"/>
            <w:bookmarkStart w:id="32" w:name="OLE_LINK10"/>
            <w:r>
              <w:rPr>
                <w:rFonts w:hint="eastAsia" w:ascii="宋体" w:hAnsi="宋体" w:cs="宋体"/>
                <w:color w:val="auto"/>
                <w:sz w:val="24"/>
                <w:szCs w:val="24"/>
                <w:highlight w:val="none"/>
              </w:rPr>
              <w:t>投标文件从投标截止日起，投标有效期为90天</w:t>
            </w:r>
            <w:bookmarkEnd w:id="31"/>
            <w:bookmarkEnd w:id="32"/>
            <w:r>
              <w:rPr>
                <w:rFonts w:hint="eastAsia" w:ascii="宋体" w:hAnsi="宋体" w:cs="宋体"/>
                <w:color w:val="auto"/>
                <w:sz w:val="24"/>
                <w:szCs w:val="24"/>
                <w:highlight w:val="none"/>
              </w:rPr>
              <w:t>，投标有效期短于此规定期限的投标文件，视为无效文件。中标供应商的投标文件有效期延长至合同执行完毕。</w:t>
            </w:r>
          </w:p>
        </w:tc>
      </w:tr>
      <w:tr w14:paraId="4080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65DFAF4C">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p>
        </w:tc>
        <w:tc>
          <w:tcPr>
            <w:tcW w:w="9088" w:type="dxa"/>
            <w:noWrap w:val="0"/>
            <w:vAlign w:val="center"/>
          </w:tcPr>
          <w:p w14:paraId="56006F7C">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不见面开标</w:t>
            </w:r>
          </w:p>
          <w:p w14:paraId="49BB0D7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该项目采取“不见面”开标的形式，投标人无须到达开标现场，即可在网上直接参与开标活动。相关注意事项如下：</w:t>
            </w:r>
          </w:p>
          <w:p w14:paraId="2F1E828D">
            <w:pPr>
              <w:numPr>
                <w:ilvl w:val="0"/>
                <w:numId w:val="0"/>
              </w:num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lang w:val="en-US" w:eastAsia="zh-CN"/>
              </w:rPr>
              <w:t>1、</w:t>
            </w:r>
            <w:r>
              <w:rPr>
                <w:rFonts w:hint="eastAsia" w:ascii="思源宋体 CN Light" w:hAnsi="思源宋体 CN Light" w:eastAsia="思源宋体 CN Light" w:cs="思源宋体 CN Light"/>
                <w:color w:val="auto"/>
                <w:sz w:val="24"/>
                <w:szCs w:val="24"/>
                <w:highlight w:val="none"/>
              </w:rPr>
              <w:t>开标当日，请各供应商在开标截止时间前至少提前半小时登录“不见面”开标系统登录方式有以下几种：</w:t>
            </w:r>
          </w:p>
          <w:p w14:paraId="1EEE786B">
            <w:pPr>
              <w:numPr>
                <w:ilvl w:val="0"/>
                <w:numId w:val="2"/>
              </w:num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IE浏览器输入网址：</w:t>
            </w:r>
          </w:p>
          <w:p w14:paraId="62FDCD29">
            <w:pPr>
              <w:spacing w:line="360" w:lineRule="auto"/>
              <w:jc w:val="both"/>
              <w:rPr>
                <w:rFonts w:ascii="思源宋体 CN Light" w:hAnsi="思源宋体 CN Light" w:eastAsia="思源宋体 CN Light" w:cs="思源宋体 CN Light"/>
                <w:color w:val="auto"/>
                <w:sz w:val="24"/>
                <w:szCs w:val="24"/>
                <w:highlight w:val="none"/>
              </w:rPr>
            </w:pPr>
            <w:r>
              <w:rPr>
                <w:color w:val="auto"/>
                <w:highlight w:val="none"/>
              </w:rPr>
              <w:fldChar w:fldCharType="begin"/>
            </w:r>
            <w:r>
              <w:rPr>
                <w:color w:val="auto"/>
                <w:highlight w:val="none"/>
              </w:rPr>
              <w:instrText xml:space="preserve"> HYPERLINK "http://219.145.120.168:8082/BidOpeningHall/bidhall/default/login），" </w:instrText>
            </w:r>
            <w:r>
              <w:rPr>
                <w:color w:val="auto"/>
                <w:highlight w:val="none"/>
              </w:rPr>
              <w:fldChar w:fldCharType="separate"/>
            </w:r>
            <w:r>
              <w:rPr>
                <w:rStyle w:val="22"/>
                <w:rFonts w:hint="default" w:ascii="思源宋体 CN Light" w:hAnsi="思源宋体 CN Light" w:eastAsia="思源宋体 CN Light" w:cs="思源宋体 CN Light"/>
                <w:color w:val="auto"/>
                <w:sz w:val="24"/>
                <w:szCs w:val="24"/>
                <w:highlight w:val="none"/>
              </w:rPr>
              <w:t>http://111.20.184.126:8081/BidOpeningHallCS/bidhall/default/login；</w:t>
            </w:r>
            <w:r>
              <w:rPr>
                <w:rStyle w:val="22"/>
                <w:rFonts w:hint="default" w:ascii="思源宋体 CN Light" w:hAnsi="思源宋体 CN Light" w:eastAsia="思源宋体 CN Light" w:cs="思源宋体 CN Light"/>
                <w:color w:val="auto"/>
                <w:sz w:val="24"/>
                <w:szCs w:val="24"/>
                <w:highlight w:val="none"/>
              </w:rPr>
              <w:fldChar w:fldCharType="end"/>
            </w:r>
          </w:p>
          <w:p w14:paraId="39C2FDFC">
            <w:pPr>
              <w:numPr>
                <w:ilvl w:val="0"/>
                <w:numId w:val="2"/>
              </w:num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在【全国公共资源交易平台（陕西省·榆林市）】网站首页点击不见面开标模块进入；</w:t>
            </w:r>
          </w:p>
          <w:p w14:paraId="208E5415">
            <w:pPr>
              <w:numPr>
                <w:ilvl w:val="0"/>
                <w:numId w:val="2"/>
              </w:num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在【全国公共资源交易平台（陕西省）】网站首页点击不见面开标模块选择榆林市进入。</w:t>
            </w:r>
          </w:p>
          <w:p w14:paraId="50D943B5">
            <w:pPr>
              <w:spacing w:line="360" w:lineRule="auto"/>
              <w:rPr>
                <w:rFonts w:ascii="思源宋体 CN Light" w:hAnsi="思源宋体 CN Light" w:eastAsia="思源宋体 CN Light" w:cs="思源宋体 CN Light"/>
                <w:b/>
                <w:bCs/>
                <w:color w:val="auto"/>
                <w:sz w:val="24"/>
                <w:szCs w:val="24"/>
                <w:highlight w:val="none"/>
              </w:rPr>
            </w:pPr>
            <w:r>
              <w:rPr>
                <w:rFonts w:hint="eastAsia" w:ascii="思源宋体 CN Light" w:hAnsi="思源宋体 CN Light" w:eastAsia="思源宋体 CN Light" w:cs="思源宋体 CN Light"/>
                <w:b/>
                <w:bCs/>
                <w:color w:val="auto"/>
                <w:sz w:val="24"/>
                <w:szCs w:val="24"/>
                <w:highlight w:val="none"/>
              </w:rPr>
              <w:t>注：登录不见面开标系统请选择IE11浏览器</w:t>
            </w:r>
          </w:p>
          <w:p w14:paraId="110F285D">
            <w:p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2、供应商应按要求及时签到</w:t>
            </w:r>
            <w:r>
              <w:rPr>
                <w:rFonts w:hint="eastAsia" w:ascii="思源宋体 CN Light" w:hAnsi="思源宋体 CN Light" w:eastAsia="思源宋体 CN Light" w:cs="思源宋体 CN Light"/>
                <w:b/>
                <w:bCs/>
                <w:color w:val="auto"/>
                <w:sz w:val="24"/>
                <w:szCs w:val="24"/>
                <w:highlight w:val="none"/>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highlight w:val="none"/>
              </w:rPr>
              <w:t>，评审过程中，谈判小组可能会就某些问题要求供应商进行在线澄清，请供应商保持在线直到评审结束；</w:t>
            </w:r>
          </w:p>
          <w:p w14:paraId="6F88096E">
            <w:pPr>
              <w:spacing w:line="360" w:lineRule="auto"/>
              <w:rPr>
                <w:rFonts w:ascii="思源宋体 CN Light" w:hAnsi="思源宋体 CN Light" w:eastAsia="思源宋体 CN Light" w:cs="思源宋体 CN Light"/>
                <w:b/>
                <w:bCs/>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3、投标供应商在开标时无需提交纸质投标文件，待开标结束后，需邮寄补交一正两幅纸质投标文件及谈判文件要求需要单独邮寄的资料</w:t>
            </w:r>
            <w:r>
              <w:rPr>
                <w:rFonts w:hint="eastAsia" w:ascii="思源宋体 CN Light" w:hAnsi="思源宋体 CN Light" w:eastAsia="思源宋体 CN Light" w:cs="思源宋体 CN Light"/>
                <w:b/>
                <w:bCs/>
                <w:color w:val="auto"/>
                <w:sz w:val="24"/>
                <w:szCs w:val="24"/>
                <w:highlight w:val="none"/>
              </w:rPr>
              <w:t>（公示结果公告及备案用）特别提醒：纸质投标文件及谈判文件要求需要单独邮寄的资料收到的时间直接影响结果公告时间）。</w:t>
            </w:r>
          </w:p>
          <w:p w14:paraId="0164FEE7">
            <w:pPr>
              <w:spacing w:line="360" w:lineRule="auto"/>
              <w:rPr>
                <w:rFonts w:ascii="思源宋体 CN Light" w:hAnsi="思源宋体 CN Light" w:eastAsia="思源宋体 CN Light" w:cs="思源宋体 CN Light"/>
                <w:b/>
                <w:bCs/>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4、开标过程中，供应商在收到工作人员“开始解密”指令后，请及时使用CA对电子投标文件进行解密。解密时所用CA应与加密投标文件时所用CA相同；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b/>
                <w:bCs/>
                <w:color w:val="auto"/>
                <w:sz w:val="24"/>
                <w:szCs w:val="24"/>
                <w:highlight w:val="none"/>
              </w:rPr>
              <w:t>注：解密时间为30分钟，在解密时间内供应商全部解密完成后，可提前进入开标下一阶段。</w:t>
            </w:r>
          </w:p>
          <w:p w14:paraId="2F4FB881">
            <w:p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5、相关技术问题，请咨询软件开发商：</w:t>
            </w:r>
          </w:p>
          <w:p w14:paraId="5B9EBE95">
            <w:pPr>
              <w:spacing w:line="360" w:lineRule="auto"/>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（1）技术支持热线：400-998-0000/400-928-0095</w:t>
            </w:r>
          </w:p>
          <w:p w14:paraId="34AAE1B2">
            <w:pPr>
              <w:spacing w:line="360" w:lineRule="auto"/>
              <w:rPr>
                <w:rFonts w:ascii="宋体" w:hAnsi="宋体" w:cs="宋体"/>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6、榆林不见面开标系统操作手册下载方式：登录【全国公共资源交易平台（陕西省·榆林市）】网站首页选择【服务指南】-【下载专区】-点击【</w:t>
            </w:r>
            <w:r>
              <w:rPr>
                <w:color w:val="auto"/>
                <w:highlight w:val="none"/>
              </w:rPr>
              <w:fldChar w:fldCharType="begin"/>
            </w:r>
            <w:r>
              <w:rPr>
                <w:color w:val="auto"/>
                <w:highlight w:val="none"/>
              </w:rP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rPr>
                <w:color w:val="auto"/>
                <w:highlight w:val="none"/>
              </w:rPr>
              <w:fldChar w:fldCharType="separate"/>
            </w:r>
            <w:r>
              <w:rPr>
                <w:rFonts w:hint="eastAsia" w:ascii="思源宋体 CN Light" w:hAnsi="思源宋体 CN Light" w:eastAsia="思源宋体 CN Light" w:cs="思源宋体 CN Light"/>
                <w:color w:val="auto"/>
                <w:sz w:val="24"/>
                <w:szCs w:val="24"/>
                <w:highlight w:val="none"/>
              </w:rPr>
              <w:t>榆林不见面开标系统操作手册（投标人）</w:t>
            </w:r>
            <w:r>
              <w:rPr>
                <w:rFonts w:hint="eastAsia" w:ascii="思源宋体 CN Light" w:hAnsi="思源宋体 CN Light" w:eastAsia="思源宋体 CN Light" w:cs="思源宋体 CN Light"/>
                <w:color w:val="auto"/>
                <w:sz w:val="24"/>
                <w:szCs w:val="24"/>
                <w:highlight w:val="none"/>
              </w:rPr>
              <w:fldChar w:fldCharType="end"/>
            </w:r>
            <w:r>
              <w:rPr>
                <w:rFonts w:hint="eastAsia" w:ascii="思源宋体 CN Light" w:hAnsi="思源宋体 CN Light" w:eastAsia="思源宋体 CN Light" w:cs="思源宋体 CN Light"/>
                <w:color w:val="auto"/>
                <w:sz w:val="24"/>
                <w:szCs w:val="24"/>
                <w:highlight w:val="none"/>
              </w:rPr>
              <w:t>】进行下载。</w:t>
            </w:r>
          </w:p>
        </w:tc>
      </w:tr>
      <w:tr w14:paraId="38BE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2B890306">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7</w:t>
            </w:r>
          </w:p>
        </w:tc>
        <w:tc>
          <w:tcPr>
            <w:tcW w:w="9088" w:type="dxa"/>
            <w:noWrap w:val="0"/>
            <w:vAlign w:val="center"/>
          </w:tcPr>
          <w:p w14:paraId="4A36EEC3">
            <w:pPr>
              <w:widowControl/>
              <w:spacing w:line="360" w:lineRule="auto"/>
              <w:ind w:right="-150"/>
              <w:rPr>
                <w:rFonts w:hint="eastAsia"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1、供应商应于提交投标文件截止时间前任意时段登录交易平台〖首页〉电子交易平台〉企业端〗在线提交电子投标文件，逾期提交系统间拒绝接收。</w:t>
            </w:r>
          </w:p>
          <w:p w14:paraId="286FD836">
            <w:pPr>
              <w:spacing w:line="360" w:lineRule="auto"/>
              <w:rPr>
                <w:rFonts w:ascii="宋体" w:hAnsi="宋体" w:cs="宋体"/>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2、本项目采用“不见面”开标形式，供应商可登录榆林交易平台〖首页〉不见面开标〗在线参与开评标过程，详见招标文件以及交易平台〖首页〉服务指南〉下载专区〗中的《榆林市不见面开标大厅操作手册（投标人）》。</w:t>
            </w:r>
          </w:p>
        </w:tc>
      </w:tr>
      <w:tr w14:paraId="7940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04191222">
            <w:pPr>
              <w:spacing w:line="360" w:lineRule="auto"/>
              <w:ind w:left="21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9088" w:type="dxa"/>
            <w:noWrap w:val="0"/>
            <w:vAlign w:val="center"/>
          </w:tcPr>
          <w:p w14:paraId="3A4BAFC4">
            <w:pPr>
              <w:widowControl/>
              <w:spacing w:line="360" w:lineRule="auto"/>
              <w:jc w:val="left"/>
              <w:rPr>
                <w:rFonts w:hint="eastAsia" w:ascii="宋体" w:hAnsi="宋体" w:cs="宋体"/>
                <w:color w:val="auto"/>
                <w:sz w:val="24"/>
                <w:szCs w:val="24"/>
                <w:highlight w:val="none"/>
              </w:rPr>
            </w:pPr>
            <w:r>
              <w:rPr>
                <w:rFonts w:hint="eastAsia" w:ascii="宋体" w:hAnsi="宋体" w:cs="宋体"/>
                <w:b/>
                <w:bCs/>
                <w:color w:val="auto"/>
                <w:kern w:val="0"/>
                <w:sz w:val="24"/>
                <w:szCs w:val="24"/>
                <w:highlight w:val="none"/>
                <w:lang w:bidi="ar"/>
              </w:rPr>
              <w:t>特别提醒：本项目采用电子化投标文件与纸质投标文件并行的方式。</w:t>
            </w:r>
          </w:p>
          <w:p w14:paraId="38E9A12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1、本项目采用电子化投标文件与纸质投标文件并行的方式。投标人须使用数字认证证书对电子化投标文件进行签章、加密、递交及开标时解密等相关招投标事宜。</w:t>
            </w:r>
          </w:p>
          <w:p w14:paraId="4957E04A">
            <w:pPr>
              <w:spacing w:line="360" w:lineRule="auto"/>
              <w:rPr>
                <w:rFonts w:hint="eastAsia" w:ascii="思源宋体 CN Light" w:hAnsi="思源宋体 CN Light" w:eastAsia="思源宋体 CN Light" w:cs="思源宋体 CN Light"/>
                <w:color w:val="auto"/>
                <w:sz w:val="24"/>
                <w:szCs w:val="24"/>
                <w:highlight w:val="none"/>
              </w:rPr>
            </w:pPr>
            <w:r>
              <w:rPr>
                <w:rFonts w:hint="eastAsia" w:ascii="宋体" w:hAnsi="宋体" w:cs="宋体"/>
                <w:color w:val="auto"/>
                <w:sz w:val="24"/>
                <w:szCs w:val="24"/>
                <w:highlight w:val="none"/>
              </w:rPr>
              <w:t>2、</w:t>
            </w:r>
            <w:r>
              <w:rPr>
                <w:rFonts w:hint="eastAsia" w:ascii="宋体" w:hAnsi="宋体" w:cs="宋体"/>
                <w:b/>
                <w:bCs/>
                <w:color w:val="auto"/>
                <w:sz w:val="24"/>
                <w:szCs w:val="24"/>
                <w:highlight w:val="none"/>
              </w:rPr>
              <w:t>纸质投标文件：</w:t>
            </w:r>
            <w:r>
              <w:rPr>
                <w:rFonts w:hint="eastAsia" w:ascii="思源宋体 CN Light" w:hAnsi="思源宋体 CN Light" w:eastAsia="思源宋体 CN Light" w:cs="思源宋体 CN Light"/>
                <w:color w:val="auto"/>
                <w:sz w:val="24"/>
                <w:szCs w:val="24"/>
                <w:highlight w:val="none"/>
                <w:lang w:val="en-US" w:eastAsia="zh-CN"/>
              </w:rPr>
              <w:t>为便于采购人归档和向监管部门备案，成交供应商须提交</w:t>
            </w:r>
            <w:r>
              <w:rPr>
                <w:rFonts w:hint="eastAsia" w:ascii="宋体" w:hAnsi="宋体" w:cs="宋体"/>
                <w:color w:val="auto"/>
                <w:sz w:val="24"/>
                <w:szCs w:val="24"/>
                <w:highlight w:val="none"/>
              </w:rPr>
              <w:t>正本壹份、副本贰份、电子版（word版U盘）壹份</w:t>
            </w:r>
            <w:r>
              <w:rPr>
                <w:rFonts w:hint="eastAsia" w:ascii="宋体" w:hAnsi="宋体" w:eastAsia="宋体" w:cs="宋体"/>
                <w:color w:val="auto"/>
                <w:kern w:val="2"/>
                <w:sz w:val="24"/>
                <w:szCs w:val="24"/>
                <w:highlight w:val="none"/>
                <w:lang w:val="en-US" w:eastAsia="zh-CN" w:bidi="ar-SA"/>
              </w:rPr>
              <w:t>。</w:t>
            </w:r>
            <w:r>
              <w:rPr>
                <w:rFonts w:hint="eastAsia" w:ascii="思源宋体 CN Light" w:hAnsi="思源宋体 CN Light" w:eastAsia="思源宋体 CN Light" w:cs="思源宋体 CN Light"/>
                <w:color w:val="auto"/>
                <w:sz w:val="24"/>
                <w:szCs w:val="24"/>
                <w:highlight w:val="none"/>
                <w:lang w:val="en-US" w:eastAsia="zh-CN"/>
              </w:rPr>
              <w:t>投标文件可采用系统上传的</w:t>
            </w:r>
            <w:r>
              <w:rPr>
                <w:rFonts w:hint="eastAsia" w:ascii="思源宋体 CN Light" w:hAnsi="思源宋体 CN Light" w:eastAsia="思源宋体 CN Light" w:cs="思源宋体 CN Light"/>
                <w:color w:val="auto"/>
                <w:sz w:val="24"/>
                <w:szCs w:val="24"/>
                <w:highlight w:val="none"/>
              </w:rPr>
              <w:t>电子投标文件</w:t>
            </w:r>
            <w:r>
              <w:rPr>
                <w:rFonts w:hint="eastAsia" w:ascii="思源宋体 CN Light" w:hAnsi="思源宋体 CN Light" w:eastAsia="思源宋体 CN Light" w:cs="思源宋体 CN Light"/>
                <w:color w:val="auto"/>
                <w:sz w:val="24"/>
                <w:szCs w:val="24"/>
                <w:highlight w:val="none"/>
                <w:lang w:val="en-US" w:eastAsia="zh-CN"/>
              </w:rPr>
              <w:t>的打印件，</w:t>
            </w:r>
            <w:r>
              <w:rPr>
                <w:rFonts w:hint="eastAsia" w:ascii="宋体" w:hAnsi="宋体" w:cs="宋体"/>
                <w:color w:val="auto"/>
                <w:sz w:val="24"/>
                <w:szCs w:val="24"/>
                <w:highlight w:val="none"/>
              </w:rPr>
              <w:t>投标文件正、副本须各自装订成册，统一编码（要求胶装、不得出现活页）。</w:t>
            </w:r>
            <w:r>
              <w:rPr>
                <w:rFonts w:hint="eastAsia" w:ascii="思源宋体 CN Light" w:hAnsi="思源宋体 CN Light" w:eastAsia="思源宋体 CN Light" w:cs="思源宋体 CN Light"/>
                <w:color w:val="auto"/>
                <w:sz w:val="24"/>
                <w:szCs w:val="24"/>
                <w:highlight w:val="none"/>
                <w:lang w:val="en-US" w:eastAsia="zh-CN"/>
              </w:rPr>
              <w:t>每份投标文件封皮须清楚地标明“正本”或“副本”。</w:t>
            </w:r>
          </w:p>
          <w:p w14:paraId="4C4265FE">
            <w:pPr>
              <w:spacing w:line="360" w:lineRule="auto"/>
              <w:ind w:firstLine="480" w:firstLineChars="200"/>
              <w:rPr>
                <w:rFonts w:hint="eastAsia" w:ascii="宋体" w:hAnsi="宋体" w:cs="宋体"/>
                <w:color w:val="auto"/>
                <w:sz w:val="24"/>
                <w:szCs w:val="24"/>
                <w:highlight w:val="none"/>
                <w:lang w:eastAsia="zh-CN"/>
              </w:rPr>
            </w:pPr>
            <w:r>
              <w:rPr>
                <w:rFonts w:hint="eastAsia" w:ascii="思源宋体 CN Light" w:hAnsi="思源宋体 CN Light" w:eastAsia="思源宋体 CN Light" w:cs="思源宋体 CN Light"/>
                <w:color w:val="auto"/>
                <w:sz w:val="24"/>
                <w:szCs w:val="24"/>
                <w:highlight w:val="none"/>
                <w:lang w:val="en-US" w:eastAsia="zh-CN"/>
              </w:rPr>
              <w:t>未中标人须邮寄投标文件</w:t>
            </w:r>
            <w:r>
              <w:rPr>
                <w:rFonts w:hint="eastAsia" w:ascii="宋体" w:hAnsi="宋体" w:cs="宋体"/>
                <w:color w:val="auto"/>
                <w:sz w:val="24"/>
                <w:szCs w:val="24"/>
                <w:highlight w:val="none"/>
              </w:rPr>
              <w:t>电子版（</w:t>
            </w:r>
            <w:r>
              <w:rPr>
                <w:rFonts w:hint="eastAsia" w:ascii="宋体" w:hAnsi="宋体" w:cs="宋体"/>
                <w:color w:val="auto"/>
                <w:sz w:val="24"/>
                <w:szCs w:val="24"/>
                <w:highlight w:val="none"/>
                <w:lang w:val="en-US" w:eastAsia="zh-CN"/>
              </w:rPr>
              <w:t>投标文件</w:t>
            </w:r>
            <w:r>
              <w:rPr>
                <w:rFonts w:hint="eastAsia" w:ascii="宋体" w:hAnsi="宋体" w:cs="宋体"/>
                <w:color w:val="auto"/>
                <w:sz w:val="24"/>
                <w:szCs w:val="24"/>
                <w:highlight w:val="none"/>
              </w:rPr>
              <w:t>word版</w:t>
            </w:r>
            <w:r>
              <w:rPr>
                <w:rFonts w:hint="eastAsia" w:ascii="宋体" w:hAnsi="宋体" w:cs="宋体"/>
                <w:color w:val="auto"/>
                <w:sz w:val="24"/>
                <w:szCs w:val="24"/>
                <w:highlight w:val="none"/>
                <w:lang w:val="en-US" w:eastAsia="zh-CN"/>
              </w:rPr>
              <w:t>及上传电子投标文件签字盖章的PDF版本的</w:t>
            </w:r>
            <w:r>
              <w:rPr>
                <w:rFonts w:hint="eastAsia" w:ascii="宋体" w:hAnsi="宋体" w:cs="宋体"/>
                <w:color w:val="auto"/>
                <w:sz w:val="24"/>
                <w:szCs w:val="24"/>
                <w:highlight w:val="none"/>
              </w:rPr>
              <w:t>U盘）壹份</w:t>
            </w:r>
            <w:r>
              <w:rPr>
                <w:rFonts w:hint="eastAsia" w:ascii="宋体" w:hAnsi="宋体" w:cs="宋体"/>
                <w:color w:val="auto"/>
                <w:sz w:val="24"/>
                <w:szCs w:val="24"/>
                <w:highlight w:val="none"/>
                <w:lang w:eastAsia="zh-CN"/>
              </w:rPr>
              <w:t>。</w:t>
            </w:r>
          </w:p>
          <w:p w14:paraId="7F76010B">
            <w:pPr>
              <w:spacing w:line="360" w:lineRule="auto"/>
              <w:ind w:firstLine="482" w:firstLineChars="200"/>
              <w:rPr>
                <w:rFonts w:hint="eastAsia" w:ascii="宋体" w:hAnsi="宋体" w:cs="宋体"/>
                <w:b/>
                <w:bCs/>
                <w:color w:val="auto"/>
                <w:sz w:val="24"/>
                <w:szCs w:val="24"/>
                <w:highlight w:val="none"/>
                <w:lang w:eastAsia="zh-CN"/>
              </w:rPr>
            </w:pPr>
            <w:r>
              <w:rPr>
                <w:rFonts w:hint="eastAsia" w:ascii="思源宋体 CN Light" w:hAnsi="思源宋体 CN Light" w:eastAsia="思源宋体 CN Light" w:cs="思源宋体 CN Light"/>
                <w:b/>
                <w:bCs/>
                <w:color w:val="auto"/>
                <w:sz w:val="24"/>
                <w:szCs w:val="24"/>
                <w:highlight w:val="none"/>
                <w:lang w:val="en-US" w:eastAsia="zh-CN"/>
              </w:rPr>
              <w:t>递交方式：纸质版投标文件</w:t>
            </w:r>
            <w:r>
              <w:rPr>
                <w:rFonts w:hint="eastAsia" w:ascii="思源宋体 CN Light" w:hAnsi="思源宋体 CN Light" w:eastAsia="思源宋体 CN Light" w:cs="思源宋体 CN Light"/>
                <w:b/>
                <w:bCs/>
                <w:color w:val="auto"/>
                <w:sz w:val="24"/>
                <w:szCs w:val="24"/>
                <w:highlight w:val="none"/>
              </w:rPr>
              <w:t>在开标时无需提交，待开标结束后，</w:t>
            </w:r>
            <w:r>
              <w:rPr>
                <w:rFonts w:hint="eastAsia" w:ascii="思源宋体 CN Light" w:hAnsi="思源宋体 CN Light" w:eastAsia="思源宋体 CN Light" w:cs="思源宋体 CN Light"/>
                <w:b/>
                <w:bCs/>
                <w:color w:val="auto"/>
                <w:sz w:val="24"/>
                <w:szCs w:val="24"/>
                <w:highlight w:val="none"/>
                <w:lang w:val="en-US" w:eastAsia="zh-CN"/>
              </w:rPr>
              <w:t>中标人须</w:t>
            </w:r>
            <w:r>
              <w:rPr>
                <w:rFonts w:hint="eastAsia" w:ascii="思源宋体 CN Light" w:hAnsi="思源宋体 CN Light" w:eastAsia="思源宋体 CN Light" w:cs="思源宋体 CN Light"/>
                <w:b/>
                <w:bCs/>
                <w:color w:val="auto"/>
                <w:sz w:val="24"/>
                <w:szCs w:val="24"/>
                <w:highlight w:val="none"/>
              </w:rPr>
              <w:t>邮寄</w:t>
            </w:r>
            <w:r>
              <w:rPr>
                <w:rFonts w:hint="eastAsia" w:ascii="宋体" w:hAnsi="宋体" w:cs="宋体"/>
                <w:b/>
                <w:bCs/>
                <w:color w:val="auto"/>
                <w:sz w:val="24"/>
                <w:szCs w:val="24"/>
                <w:highlight w:val="none"/>
              </w:rPr>
              <w:t>正本壹份、副本贰份、电子版（word版U盘）壹份</w:t>
            </w:r>
            <w:r>
              <w:rPr>
                <w:rFonts w:hint="eastAsia" w:ascii="宋体" w:hAnsi="宋体" w:cs="宋体"/>
                <w:b/>
                <w:bCs/>
                <w:color w:val="auto"/>
                <w:sz w:val="24"/>
                <w:szCs w:val="24"/>
                <w:highlight w:val="none"/>
                <w:lang w:eastAsia="zh-CN"/>
              </w:rPr>
              <w:t>；</w:t>
            </w:r>
          </w:p>
          <w:p w14:paraId="78ABC83A">
            <w:pPr>
              <w:spacing w:line="360" w:lineRule="auto"/>
              <w:ind w:firstLine="482" w:firstLineChars="200"/>
              <w:rPr>
                <w:rFonts w:hint="eastAsia" w:ascii="宋体" w:hAnsi="宋体" w:cs="宋体"/>
                <w:b/>
                <w:bCs/>
                <w:color w:val="auto"/>
                <w:sz w:val="24"/>
                <w:szCs w:val="24"/>
                <w:highlight w:val="none"/>
                <w:lang w:eastAsia="zh-CN"/>
              </w:rPr>
            </w:pPr>
            <w:r>
              <w:rPr>
                <w:rFonts w:hint="eastAsia" w:ascii="思源宋体 CN Light" w:hAnsi="思源宋体 CN Light" w:eastAsia="思源宋体 CN Light" w:cs="思源宋体 CN Light"/>
                <w:b/>
                <w:bCs/>
                <w:color w:val="auto"/>
                <w:sz w:val="24"/>
                <w:szCs w:val="24"/>
                <w:highlight w:val="none"/>
                <w:lang w:val="en-US" w:eastAsia="zh-CN"/>
              </w:rPr>
              <w:t>未中标人须邮寄投标文件</w:t>
            </w:r>
            <w:r>
              <w:rPr>
                <w:rFonts w:hint="eastAsia" w:ascii="宋体" w:hAnsi="宋体" w:cs="宋体"/>
                <w:b/>
                <w:bCs/>
                <w:color w:val="auto"/>
                <w:sz w:val="24"/>
                <w:szCs w:val="24"/>
                <w:highlight w:val="none"/>
              </w:rPr>
              <w:t>电子版（</w:t>
            </w:r>
            <w:r>
              <w:rPr>
                <w:rFonts w:hint="eastAsia" w:ascii="宋体" w:hAnsi="宋体" w:cs="宋体"/>
                <w:b/>
                <w:bCs/>
                <w:color w:val="auto"/>
                <w:sz w:val="24"/>
                <w:szCs w:val="24"/>
                <w:highlight w:val="none"/>
                <w:lang w:val="en-US" w:eastAsia="zh-CN"/>
              </w:rPr>
              <w:t>投标文件</w:t>
            </w:r>
            <w:r>
              <w:rPr>
                <w:rFonts w:hint="eastAsia" w:ascii="宋体" w:hAnsi="宋体" w:cs="宋体"/>
                <w:b/>
                <w:bCs/>
                <w:color w:val="auto"/>
                <w:sz w:val="24"/>
                <w:szCs w:val="24"/>
                <w:highlight w:val="none"/>
              </w:rPr>
              <w:t>word版</w:t>
            </w:r>
            <w:r>
              <w:rPr>
                <w:rFonts w:hint="eastAsia" w:ascii="宋体" w:hAnsi="宋体" w:cs="宋体"/>
                <w:b/>
                <w:bCs/>
                <w:color w:val="auto"/>
                <w:sz w:val="24"/>
                <w:szCs w:val="24"/>
                <w:highlight w:val="none"/>
                <w:lang w:val="en-US" w:eastAsia="zh-CN"/>
              </w:rPr>
              <w:t>及上传电子投标文件签字盖章的PDF版本的</w:t>
            </w:r>
            <w:r>
              <w:rPr>
                <w:rFonts w:hint="eastAsia" w:ascii="宋体" w:hAnsi="宋体" w:cs="宋体"/>
                <w:b/>
                <w:bCs/>
                <w:color w:val="auto"/>
                <w:sz w:val="24"/>
                <w:szCs w:val="24"/>
                <w:highlight w:val="none"/>
              </w:rPr>
              <w:t>U盘）壹份</w:t>
            </w:r>
            <w:r>
              <w:rPr>
                <w:rFonts w:hint="eastAsia" w:ascii="宋体" w:hAnsi="宋体" w:cs="宋体"/>
                <w:b/>
                <w:bCs/>
                <w:color w:val="auto"/>
                <w:sz w:val="24"/>
                <w:szCs w:val="24"/>
                <w:highlight w:val="none"/>
                <w:lang w:eastAsia="zh-CN"/>
              </w:rPr>
              <w:t>。</w:t>
            </w:r>
          </w:p>
          <w:p w14:paraId="15295ADF">
            <w:pPr>
              <w:spacing w:line="360" w:lineRule="auto"/>
              <w:ind w:firstLine="482" w:firstLineChars="200"/>
              <w:rPr>
                <w:rFonts w:hint="eastAsia" w:eastAsia="宋体"/>
                <w:color w:val="auto"/>
                <w:highlight w:val="none"/>
                <w:lang w:val="en-US" w:eastAsia="zh-CN"/>
              </w:rPr>
            </w:pPr>
            <w:r>
              <w:rPr>
                <w:rFonts w:hint="eastAsia" w:ascii="宋体" w:hAnsi="宋体" w:cs="宋体"/>
                <w:b/>
                <w:bCs/>
                <w:color w:val="auto"/>
                <w:sz w:val="24"/>
                <w:szCs w:val="24"/>
                <w:highlight w:val="none"/>
                <w:lang w:val="en-US" w:eastAsia="zh-CN"/>
              </w:rPr>
              <w:t>以电报、传真、电子邮件形式递交的投标文件将不予接受。</w:t>
            </w:r>
          </w:p>
          <w:p w14:paraId="32062965">
            <w:pPr>
              <w:spacing w:line="360" w:lineRule="auto"/>
              <w:rPr>
                <w:rFonts w:hint="eastAsia"/>
                <w:color w:val="auto"/>
                <w:highlight w:val="none"/>
                <w:lang w:eastAsia="zh-CN"/>
              </w:rPr>
            </w:pPr>
            <w:r>
              <w:rPr>
                <w:rFonts w:hint="eastAsia" w:ascii="思源宋体 CN Light" w:hAnsi="思源宋体 CN Light" w:eastAsia="思源宋体 CN Light" w:cs="思源宋体 CN Light"/>
                <w:color w:val="auto"/>
                <w:sz w:val="24"/>
                <w:szCs w:val="24"/>
                <w:highlight w:val="none"/>
                <w:lang w:val="en-US" w:eastAsia="zh-CN"/>
              </w:rPr>
              <w:t xml:space="preserve">   </w:t>
            </w:r>
            <w:r>
              <w:rPr>
                <w:rFonts w:hint="eastAsia" w:ascii="思源宋体 CN Light" w:hAnsi="思源宋体 CN Light" w:eastAsia="思源宋体 CN Light" w:cs="思源宋体 CN Light"/>
                <w:b/>
                <w:bCs/>
                <w:color w:val="auto"/>
                <w:sz w:val="24"/>
                <w:szCs w:val="24"/>
                <w:highlight w:val="none"/>
              </w:rPr>
              <w:t>特别提醒：纸质投标文件及电子版U盘</w:t>
            </w:r>
            <w:r>
              <w:rPr>
                <w:rFonts w:hint="eastAsia" w:ascii="思源宋体 CN Light" w:hAnsi="思源宋体 CN Light" w:eastAsia="思源宋体 CN Light" w:cs="思源宋体 CN Light"/>
                <w:b/>
                <w:bCs/>
                <w:color w:val="auto"/>
                <w:sz w:val="24"/>
                <w:szCs w:val="24"/>
                <w:highlight w:val="none"/>
                <w:lang w:val="en-US" w:eastAsia="zh-CN"/>
              </w:rPr>
              <w:t>1</w:t>
            </w:r>
            <w:r>
              <w:rPr>
                <w:rFonts w:hint="eastAsia" w:ascii="思源宋体 CN Light" w:hAnsi="思源宋体 CN Light" w:eastAsia="思源宋体 CN Light" w:cs="思源宋体 CN Light"/>
                <w:b/>
                <w:bCs/>
                <w:color w:val="auto"/>
                <w:sz w:val="24"/>
                <w:szCs w:val="24"/>
                <w:highlight w:val="none"/>
              </w:rPr>
              <w:t>份（Word版</w:t>
            </w:r>
            <w:r>
              <w:rPr>
                <w:rFonts w:hint="eastAsia" w:ascii="思源宋体 CN Light" w:hAnsi="思源宋体 CN Light" w:eastAsia="思源宋体 CN Light" w:cs="思源宋体 CN Light"/>
                <w:b/>
                <w:bCs/>
                <w:color w:val="auto"/>
                <w:sz w:val="24"/>
                <w:szCs w:val="24"/>
                <w:highlight w:val="none"/>
                <w:lang w:val="en-US" w:eastAsia="zh-CN"/>
              </w:rPr>
              <w:t>投标</w:t>
            </w:r>
            <w:r>
              <w:rPr>
                <w:rFonts w:hint="eastAsia" w:ascii="思源宋体 CN Light" w:hAnsi="思源宋体 CN Light" w:eastAsia="思源宋体 CN Light" w:cs="思源宋体 CN Light"/>
                <w:b/>
                <w:bCs/>
                <w:color w:val="auto"/>
                <w:sz w:val="24"/>
                <w:szCs w:val="24"/>
                <w:highlight w:val="none"/>
              </w:rPr>
              <w:t>文件）邮寄的资料收到的时间直接影响结果公告时间）。</w:t>
            </w:r>
          </w:p>
          <w:p w14:paraId="287FCB77">
            <w:pPr>
              <w:spacing w:line="360" w:lineRule="auto"/>
              <w:ind w:firstLine="482" w:firstLineChars="200"/>
              <w:rPr>
                <w:rFonts w:ascii="宋体" w:hAnsi="宋体" w:cs="仿宋_GB2312"/>
                <w:b/>
                <w:color w:val="auto"/>
                <w:sz w:val="24"/>
                <w:szCs w:val="22"/>
                <w:highlight w:val="none"/>
              </w:rPr>
            </w:pPr>
            <w:r>
              <w:rPr>
                <w:rFonts w:hint="eastAsia" w:ascii="宋体" w:hAnsi="宋体" w:cs="仿宋_GB2312"/>
                <w:b/>
                <w:color w:val="auto"/>
                <w:sz w:val="24"/>
                <w:szCs w:val="22"/>
                <w:highlight w:val="none"/>
              </w:rPr>
              <w:t>收件人：</w:t>
            </w:r>
            <w:r>
              <w:rPr>
                <w:rFonts w:hint="eastAsia" w:ascii="宋体" w:hAnsi="宋体" w:cs="仿宋_GB2312"/>
                <w:b/>
                <w:color w:val="auto"/>
                <w:sz w:val="24"/>
                <w:szCs w:val="22"/>
                <w:highlight w:val="none"/>
                <w:lang w:eastAsia="zh-CN"/>
              </w:rPr>
              <w:t>陕安项目管理有限公司</w:t>
            </w:r>
            <w:r>
              <w:rPr>
                <w:rFonts w:hint="eastAsia" w:ascii="宋体" w:hAnsi="宋体" w:cs="仿宋_GB2312"/>
                <w:b/>
                <w:color w:val="auto"/>
                <w:sz w:val="24"/>
                <w:szCs w:val="22"/>
                <w:highlight w:val="none"/>
              </w:rPr>
              <w:t xml:space="preserve">                       </w:t>
            </w:r>
          </w:p>
          <w:p w14:paraId="5F1D3456">
            <w:pPr>
              <w:spacing w:line="360" w:lineRule="auto"/>
              <w:ind w:firstLine="482" w:firstLineChars="200"/>
              <w:rPr>
                <w:rFonts w:ascii="宋体" w:hAnsi="宋体" w:cs="仿宋_GB2312"/>
                <w:b/>
                <w:color w:val="auto"/>
                <w:sz w:val="24"/>
                <w:szCs w:val="22"/>
                <w:highlight w:val="none"/>
              </w:rPr>
            </w:pPr>
            <w:r>
              <w:rPr>
                <w:rFonts w:hint="eastAsia" w:ascii="宋体" w:hAnsi="宋体" w:cs="仿宋_GB2312"/>
                <w:b/>
                <w:color w:val="auto"/>
                <w:sz w:val="24"/>
                <w:szCs w:val="22"/>
                <w:highlight w:val="none"/>
              </w:rPr>
              <w:t>收件电话：</w:t>
            </w:r>
            <w:r>
              <w:rPr>
                <w:rFonts w:hint="eastAsia" w:ascii="宋体" w:hAnsi="宋体" w:cs="仿宋_GB2312"/>
                <w:b/>
                <w:color w:val="auto"/>
                <w:sz w:val="24"/>
                <w:szCs w:val="22"/>
                <w:highlight w:val="none"/>
                <w:lang w:val="en-US" w:eastAsia="zh-CN"/>
              </w:rPr>
              <w:t>13228440603</w:t>
            </w:r>
          </w:p>
          <w:p w14:paraId="23A006A9">
            <w:pPr>
              <w:pStyle w:val="15"/>
              <w:spacing w:line="360" w:lineRule="auto"/>
              <w:ind w:firstLine="482" w:firstLineChars="200"/>
              <w:rPr>
                <w:rFonts w:hint="eastAsia" w:ascii="思源宋体 CN Light" w:hAnsi="思源宋体 CN Light" w:eastAsia="思源宋体 CN Light" w:cs="思源宋体 CN Light"/>
                <w:color w:val="auto"/>
                <w:sz w:val="24"/>
                <w:szCs w:val="24"/>
                <w:highlight w:val="none"/>
                <w:lang w:val="en-US" w:eastAsia="zh-CN"/>
              </w:rPr>
            </w:pPr>
            <w:r>
              <w:rPr>
                <w:rFonts w:ascii="宋体" w:hAnsi="宋体" w:eastAsia="宋体" w:cs="仿宋_GB2312"/>
                <w:b/>
                <w:color w:val="auto"/>
                <w:kern w:val="2"/>
                <w:sz w:val="24"/>
                <w:szCs w:val="22"/>
                <w:highlight w:val="none"/>
              </w:rPr>
              <w:t>收件地址：</w:t>
            </w:r>
            <w:r>
              <w:rPr>
                <w:rFonts w:hint="eastAsia" w:ascii="宋体" w:hAnsi="宋体" w:eastAsia="宋体" w:cs="仿宋_GB2312"/>
                <w:b/>
                <w:color w:val="auto"/>
                <w:kern w:val="2"/>
                <w:sz w:val="24"/>
                <w:szCs w:val="22"/>
                <w:highlight w:val="none"/>
                <w:lang w:eastAsia="zh-CN"/>
              </w:rPr>
              <w:t>陕西省西安市经济技术开发区未央路149号银河华庭D座1106室</w:t>
            </w:r>
            <w:r>
              <w:rPr>
                <w:rFonts w:hint="eastAsia" w:ascii="思源宋体 CN Light" w:hAnsi="思源宋体 CN Light" w:eastAsia="思源宋体 CN Light" w:cs="思源宋体 CN Light"/>
                <w:color w:val="auto"/>
                <w:sz w:val="24"/>
                <w:szCs w:val="24"/>
                <w:highlight w:val="none"/>
                <w:lang w:val="en-US" w:eastAsia="zh-CN"/>
              </w:rPr>
              <w:t xml:space="preserve">  </w:t>
            </w:r>
          </w:p>
          <w:p w14:paraId="7E27998C">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highlight w:val="none"/>
              </w:rPr>
              <w:t>无论投标人成交与否，其</w:t>
            </w:r>
            <w:r>
              <w:rPr>
                <w:rFonts w:hint="eastAsia" w:ascii="宋体" w:hAnsi="宋体" w:cs="宋体"/>
                <w:b/>
                <w:bCs/>
                <w:color w:val="auto"/>
                <w:sz w:val="24"/>
                <w:highlight w:val="none"/>
                <w:lang w:val="en-US" w:eastAsia="zh-CN"/>
              </w:rPr>
              <w:t>以上</w:t>
            </w:r>
            <w:r>
              <w:rPr>
                <w:rFonts w:hint="eastAsia" w:ascii="宋体" w:hAnsi="宋体" w:cs="宋体"/>
                <w:b/>
                <w:bCs/>
                <w:color w:val="auto"/>
                <w:sz w:val="24"/>
                <w:highlight w:val="none"/>
              </w:rPr>
              <w:t>要求的资料都必须邮寄</w:t>
            </w:r>
            <w:r>
              <w:rPr>
                <w:rFonts w:hint="eastAsia" w:ascii="宋体" w:hAnsi="宋体" w:cs="宋体"/>
                <w:b/>
                <w:bCs/>
                <w:color w:val="auto"/>
                <w:sz w:val="24"/>
                <w:highlight w:val="none"/>
                <w:lang w:eastAsia="zh-CN"/>
              </w:rPr>
              <w:t>。</w:t>
            </w:r>
            <w:r>
              <w:rPr>
                <w:rFonts w:hint="eastAsia" w:ascii="思源宋体 CN Light" w:hAnsi="思源宋体 CN Light" w:eastAsia="思源宋体 CN Light" w:cs="思源宋体 CN Light"/>
                <w:b/>
                <w:bCs/>
                <w:color w:val="auto"/>
                <w:sz w:val="24"/>
                <w:szCs w:val="24"/>
                <w:highlight w:val="none"/>
                <w:lang w:val="en-US" w:eastAsia="zh-CN"/>
              </w:rPr>
              <w:t>各投标单位未按要求递交以上要求的资料，由此产生的后果均由投标单位自行承担</w:t>
            </w:r>
            <w:r>
              <w:rPr>
                <w:rFonts w:hint="eastAsia" w:ascii="宋体" w:hAnsi="宋体" w:eastAsia="宋体" w:cs="宋体"/>
                <w:b/>
                <w:bCs/>
                <w:color w:val="auto"/>
                <w:sz w:val="24"/>
                <w:szCs w:val="24"/>
                <w:highlight w:val="none"/>
              </w:rPr>
              <w:t>。</w:t>
            </w:r>
          </w:p>
        </w:tc>
      </w:tr>
      <w:tr w14:paraId="72A3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4D95B544">
            <w:pPr>
              <w:spacing w:line="360" w:lineRule="auto"/>
              <w:ind w:left="21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w:t>
            </w:r>
          </w:p>
        </w:tc>
        <w:tc>
          <w:tcPr>
            <w:tcW w:w="9088" w:type="dxa"/>
            <w:noWrap w:val="0"/>
            <w:vAlign w:val="center"/>
          </w:tcPr>
          <w:p w14:paraId="4AF0783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b/>
                <w:bCs/>
                <w:color w:val="auto"/>
                <w:sz w:val="24"/>
                <w:szCs w:val="24"/>
                <w:highlight w:val="none"/>
              </w:rPr>
              <w:t>供应商的法定代表人（负责人）或其授权人应当参加谈判，</w:t>
            </w:r>
            <w:r>
              <w:rPr>
                <w:rFonts w:hint="eastAsia" w:ascii="宋体" w:hAnsi="宋体" w:cs="宋体"/>
                <w:b/>
                <w:bCs/>
                <w:color w:val="auto"/>
                <w:sz w:val="24"/>
                <w:szCs w:val="24"/>
                <w:highlight w:val="none"/>
                <w:lang w:val="en-US" w:eastAsia="zh-CN"/>
              </w:rPr>
              <w:t>投标文件中须附</w:t>
            </w:r>
            <w:r>
              <w:rPr>
                <w:rFonts w:hint="eastAsia" w:ascii="宋体" w:hAnsi="宋体" w:cs="宋体"/>
                <w:b/>
                <w:bCs/>
                <w:color w:val="auto"/>
                <w:sz w:val="24"/>
                <w:szCs w:val="24"/>
                <w:highlight w:val="none"/>
              </w:rPr>
              <w:t>以下资质及招标文件要求的其他证明材料。</w:t>
            </w:r>
          </w:p>
          <w:p w14:paraId="349C66ED">
            <w:pPr>
              <w:adjustRightInd w:val="0"/>
              <w:snapToGrid w:val="0"/>
              <w:spacing w:line="360" w:lineRule="auto"/>
              <w:ind w:left="8" w:firstLine="410" w:firstLineChars="171"/>
              <w:rPr>
                <w:rFonts w:ascii="宋体" w:hAnsi="宋体" w:cs="宋体"/>
                <w:color w:val="auto"/>
                <w:sz w:val="24"/>
                <w:highlight w:val="none"/>
              </w:rPr>
            </w:pPr>
            <w:r>
              <w:rPr>
                <w:rFonts w:hint="eastAsia" w:ascii="宋体" w:hAnsi="宋体" w:cs="宋体"/>
                <w:color w:val="auto"/>
                <w:sz w:val="24"/>
                <w:highlight w:val="none"/>
              </w:rPr>
              <w:t>（一）基本资格条件：符合《中华人民共和国政府采购法》第二十二条的规定。</w:t>
            </w:r>
          </w:p>
          <w:p w14:paraId="24FEA9C3">
            <w:pPr>
              <w:pStyle w:val="8"/>
              <w:adjustRightInd w:val="0"/>
              <w:snapToGrid w:val="0"/>
              <w:spacing w:after="0" w:line="360" w:lineRule="auto"/>
              <w:ind w:firstLine="420" w:firstLineChars="175"/>
              <w:rPr>
                <w:rFonts w:ascii="宋体" w:hAnsi="宋体" w:cs="宋体"/>
                <w:color w:val="auto"/>
                <w:sz w:val="24"/>
                <w:szCs w:val="22"/>
                <w:highlight w:val="none"/>
              </w:rPr>
            </w:pPr>
            <w:r>
              <w:rPr>
                <w:rFonts w:hint="eastAsia" w:ascii="宋体" w:hAnsi="宋体" w:cs="宋体"/>
                <w:color w:val="auto"/>
                <w:sz w:val="24"/>
                <w:szCs w:val="22"/>
                <w:highlight w:val="none"/>
              </w:rPr>
              <w:t>（二）特定资格条件：</w:t>
            </w:r>
          </w:p>
          <w:p w14:paraId="3C4BD3FE">
            <w:pPr>
              <w:keepNext w:val="0"/>
              <w:keepLines w:val="0"/>
              <w:pageBreakBefore w:val="0"/>
              <w:wordWrap/>
              <w:topLinePunct w:val="0"/>
              <w:autoSpaceDE/>
              <w:autoSpaceDN/>
              <w:bidi w:val="0"/>
              <w:adjustRightInd w:val="0"/>
              <w:snapToGrid w:val="0"/>
              <w:spacing w:line="360" w:lineRule="auto"/>
              <w:ind w:firstLine="480" w:firstLineChars="200"/>
              <w:jc w:val="left"/>
              <w:rPr>
                <w:rFonts w:ascii="宋体" w:hAnsi="宋体" w:cs="宋体"/>
                <w:color w:val="auto"/>
                <w:sz w:val="24"/>
                <w:szCs w:val="24"/>
                <w:highlight w:val="none"/>
              </w:rPr>
            </w:pPr>
            <w:r>
              <w:rPr>
                <w:rFonts w:hint="eastAsia"/>
                <w:color w:val="auto"/>
                <w:sz w:val="24"/>
                <w:szCs w:val="24"/>
                <w:highlight w:val="no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F3DB36A">
            <w:pPr>
              <w:keepNext w:val="0"/>
              <w:keepLines w:val="0"/>
              <w:pageBreakBefore w:val="0"/>
              <w:widowControl w:val="0"/>
              <w:wordWrap/>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财务状况报告</w:t>
            </w:r>
            <w:r>
              <w:rPr>
                <w:rFonts w:hint="eastAsia"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eastAsia="zh-CN"/>
              </w:rPr>
              <w:t>提供企业赋码后2024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cs="宋体"/>
                <w:color w:val="auto"/>
                <w:sz w:val="24"/>
                <w:szCs w:val="24"/>
                <w:highlight w:val="none"/>
              </w:rPr>
              <w:t>；</w:t>
            </w:r>
            <w:r>
              <w:rPr>
                <w:rFonts w:hint="eastAsia" w:ascii="Times New Roman" w:hAnsi="Times New Roman" w:eastAsia="宋体" w:cs="Times New Roman"/>
                <w:color w:val="auto"/>
                <w:sz w:val="24"/>
                <w:szCs w:val="24"/>
                <w:highlight w:val="none"/>
                <w:lang w:val="en-US" w:eastAsia="zh-CN"/>
              </w:rPr>
              <w:t xml:space="preserve"> </w:t>
            </w:r>
          </w:p>
          <w:p w14:paraId="128FB861">
            <w:pPr>
              <w:keepNext w:val="0"/>
              <w:keepLines w:val="0"/>
              <w:pageBreakBefore w:val="0"/>
              <w:widowControl w:val="0"/>
              <w:wordWrap/>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税收缴纳证明：提供开标截止时间前六个月至今已缴存的至少一个月的纳税证明（银行缴费凭证）或完税证明（时间以税款所属日期为准、税种须包含增值税或企业所得税或营业税），依法免税或无须缴纳税收的供应商，应提供相关证明材料</w:t>
            </w:r>
            <w:r>
              <w:rPr>
                <w:rFonts w:hint="eastAsia" w:ascii="Times New Roman" w:hAnsi="Times New Roman" w:eastAsia="宋体" w:cs="Times New Roman"/>
                <w:color w:val="auto"/>
                <w:sz w:val="24"/>
                <w:szCs w:val="24"/>
                <w:highlight w:val="none"/>
                <w:lang w:eastAsia="zh-CN"/>
              </w:rPr>
              <w:t>；</w:t>
            </w:r>
          </w:p>
          <w:p w14:paraId="1F31E28F">
            <w:pPr>
              <w:spacing w:line="360" w:lineRule="auto"/>
              <w:ind w:firstLine="480" w:firstLineChars="200"/>
              <w:jc w:val="left"/>
              <w:rPr>
                <w:rFonts w:hint="eastAsia"/>
                <w:color w:val="auto"/>
                <w:highlight w:val="none"/>
              </w:rPr>
            </w:pPr>
            <w:r>
              <w:rPr>
                <w:rFonts w:hint="eastAsia" w:ascii="Times New Roman" w:hAnsi="Times New Roman" w:eastAsia="宋体" w:cs="Times New Roman"/>
                <w:color w:val="auto"/>
                <w:sz w:val="24"/>
                <w:szCs w:val="24"/>
                <w:highlight w:val="none"/>
                <w:lang w:val="en-US" w:eastAsia="zh-CN"/>
              </w:rPr>
              <w:t>4、社会保障资金缴纳证明：提供开标截止时间前六个月至今已缴存的至少一个月的</w:t>
            </w:r>
            <w:r>
              <w:rPr>
                <w:rFonts w:hint="eastAsia" w:ascii="Times New Roman" w:hAnsi="Times New Roman" w:eastAsia="宋体" w:cs="Times New Roman"/>
                <w:color w:val="auto"/>
                <w:sz w:val="24"/>
                <w:szCs w:val="24"/>
                <w:highlight w:val="none"/>
                <w:lang w:eastAsia="zh-CN"/>
              </w:rPr>
              <w:t>社会保障资金（任一险种）缴费单据或社保机构开具的社会保险（任一险种）参保缴费情况证明</w:t>
            </w:r>
            <w:r>
              <w:rPr>
                <w:rFonts w:hint="eastAsia" w:ascii="Times New Roman" w:hAnsi="Times New Roman" w:eastAsia="宋体" w:cs="Times New Roman"/>
                <w:color w:val="auto"/>
                <w:sz w:val="24"/>
                <w:szCs w:val="24"/>
                <w:highlight w:val="none"/>
              </w:rPr>
              <w:t>，依法不需要缴纳社会保障资金的单位应提供相关证明材料；</w:t>
            </w:r>
          </w:p>
          <w:p w14:paraId="2E8DCC40">
            <w:pPr>
              <w:keepNext w:val="0"/>
              <w:keepLines w:val="0"/>
              <w:pageBreakBefore w:val="0"/>
              <w:wordWrap/>
              <w:topLinePunct w:val="0"/>
              <w:autoSpaceDE/>
              <w:autoSpaceDN/>
              <w:bidi w:val="0"/>
              <w:adjustRightInd w:val="0"/>
              <w:snapToGrid w:val="0"/>
              <w:spacing w:line="360" w:lineRule="auto"/>
              <w:ind w:firstLine="480" w:firstLineChars="200"/>
              <w:jc w:val="left"/>
              <w:rPr>
                <w:rFonts w:hint="eastAsia"/>
                <w:color w:val="auto"/>
                <w:sz w:val="24"/>
                <w:szCs w:val="24"/>
                <w:highlight w:val="none"/>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书面声明：</w:t>
            </w:r>
            <w:r>
              <w:rPr>
                <w:rFonts w:hint="eastAsia" w:ascii="宋体" w:hAnsi="宋体" w:cs="宋体"/>
                <w:color w:val="auto"/>
                <w:sz w:val="24"/>
                <w:szCs w:val="24"/>
                <w:highlight w:val="none"/>
              </w:rPr>
              <w:t>参加本次政府采购活动前三年内在经营活动中没有重大违纪的书面声明</w:t>
            </w:r>
            <w:r>
              <w:rPr>
                <w:rFonts w:hint="eastAsia"/>
                <w:color w:val="auto"/>
                <w:sz w:val="24"/>
                <w:szCs w:val="24"/>
                <w:highlight w:val="none"/>
              </w:rPr>
              <w:t>；</w:t>
            </w:r>
          </w:p>
          <w:p w14:paraId="5332EF33">
            <w:pPr>
              <w:keepNext w:val="0"/>
              <w:keepLines w:val="0"/>
              <w:pageBreakBefore w:val="0"/>
              <w:wordWrap/>
              <w:topLinePunct w:val="0"/>
              <w:autoSpaceDE/>
              <w:autoSpaceDN/>
              <w:bidi w:val="0"/>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提供具有履行合同所必需的设备和专业技术能力的证明材料或承诺函；</w:t>
            </w:r>
          </w:p>
          <w:p w14:paraId="58CBC44A">
            <w:pPr>
              <w:keepNext w:val="0"/>
              <w:keepLines w:val="0"/>
              <w:pageBreakBefore w:val="0"/>
              <w:wordWrap/>
              <w:topLinePunct w:val="0"/>
              <w:autoSpaceDE/>
              <w:autoSpaceDN/>
              <w:bidi w:val="0"/>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rPr>
              <w:t>须提供榆林市政府采购</w:t>
            </w:r>
            <w:r>
              <w:rPr>
                <w:rFonts w:hint="eastAsia" w:ascii="Times New Roman" w:hAnsi="Times New Roman" w:eastAsia="宋体" w:cs="Times New Roman"/>
                <w:color w:val="auto"/>
                <w:sz w:val="24"/>
                <w:szCs w:val="24"/>
                <w:highlight w:val="none"/>
                <w:lang w:val="en-US" w:eastAsia="zh-CN"/>
              </w:rPr>
              <w:t>货物</w:t>
            </w:r>
            <w:r>
              <w:rPr>
                <w:rFonts w:hint="eastAsia" w:ascii="Times New Roman" w:hAnsi="Times New Roman" w:eastAsia="宋体" w:cs="Times New Roman"/>
                <w:color w:val="auto"/>
                <w:sz w:val="24"/>
                <w:szCs w:val="24"/>
                <w:highlight w:val="none"/>
              </w:rPr>
              <w:t>类项目供应商信用承诺书；</w:t>
            </w:r>
          </w:p>
          <w:p w14:paraId="408D5EF7">
            <w:pPr>
              <w:keepNext w:val="0"/>
              <w:keepLines w:val="0"/>
              <w:pageBreakBefore w:val="0"/>
              <w:wordWrap/>
              <w:topLinePunct w:val="0"/>
              <w:autoSpaceDE/>
              <w:autoSpaceDN/>
              <w:bidi w:val="0"/>
              <w:adjustRightInd w:val="0"/>
              <w:snapToGrid w:val="0"/>
              <w:spacing w:line="360" w:lineRule="auto"/>
              <w:ind w:firstLine="480" w:firstLineChars="200"/>
              <w:jc w:val="left"/>
              <w:rPr>
                <w:rFonts w:hint="eastAsia"/>
                <w:color w:val="auto"/>
                <w:sz w:val="24"/>
                <w:szCs w:val="24"/>
                <w:highlight w:val="none"/>
              </w:rPr>
            </w:pP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w:t>
            </w:r>
            <w:r>
              <w:rPr>
                <w:rFonts w:hint="eastAsia" w:ascii="宋体" w:hAnsi="宋体" w:cs="宋体"/>
                <w:color w:val="auto"/>
                <w:sz w:val="24"/>
                <w:szCs w:val="24"/>
                <w:highlight w:val="none"/>
              </w:rPr>
              <w:t>已失效，投标人需提供相关证明资料）；须提供信用中国网及中国政府采购网相应查询结果的网站截图（查询日期为从招标文件获取之日起至投标截止日前</w:t>
            </w:r>
            <w:r>
              <w:rPr>
                <w:rFonts w:hint="eastAsia" w:ascii="宋体" w:hAnsi="宋体" w:cs="宋体"/>
                <w:color w:val="auto"/>
                <w:kern w:val="0"/>
                <w:sz w:val="24"/>
                <w:szCs w:val="24"/>
                <w:highlight w:val="none"/>
              </w:rPr>
              <w:t>但最终以投标截止日当天评审小组查询结果为准</w:t>
            </w:r>
            <w:r>
              <w:rPr>
                <w:rFonts w:hint="eastAsia" w:ascii="宋体" w:hAnsi="宋体" w:cs="宋体"/>
                <w:color w:val="auto"/>
                <w:sz w:val="24"/>
                <w:szCs w:val="24"/>
                <w:highlight w:val="none"/>
              </w:rPr>
              <w:t>）</w:t>
            </w:r>
            <w:r>
              <w:rPr>
                <w:rFonts w:hint="eastAsia"/>
                <w:color w:val="auto"/>
                <w:sz w:val="24"/>
                <w:szCs w:val="24"/>
                <w:highlight w:val="none"/>
              </w:rPr>
              <w:t>；</w:t>
            </w:r>
          </w:p>
          <w:p w14:paraId="0E4042B0">
            <w:pPr>
              <w:keepNext w:val="0"/>
              <w:keepLines w:val="0"/>
              <w:pageBreakBefore w:val="0"/>
              <w:wordWrap/>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9、本项目</w:t>
            </w:r>
            <w:r>
              <w:rPr>
                <w:rFonts w:hint="eastAsia" w:ascii="宋体" w:hAnsi="宋体" w:eastAsia="宋体" w:cs="宋体"/>
                <w:color w:val="auto"/>
                <w:sz w:val="24"/>
                <w:szCs w:val="24"/>
                <w:highlight w:val="none"/>
              </w:rPr>
              <w:t>采用信用承诺书代替投标保证金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kern w:val="2"/>
                <w:sz w:val="24"/>
                <w:szCs w:val="24"/>
                <w:highlight w:val="none"/>
                <w:lang w:val="en-US" w:eastAsia="zh-CN" w:bidi="ar-SA"/>
              </w:rPr>
              <w:t>信用中国陕西榆林《投标信用承诺书》网页截图（截图须体现本项目名称及项目编号）（承诺公示</w:t>
            </w:r>
            <w:r>
              <w:rPr>
                <w:rFonts w:hint="eastAsia" w:ascii="宋体" w:hAnsi="宋体" w:eastAsia="宋体" w:cs="宋体"/>
                <w:color w:val="auto"/>
                <w:sz w:val="24"/>
                <w:szCs w:val="24"/>
                <w:highlight w:val="none"/>
                <w:shd w:val="clear" w:color="auto" w:fill="auto"/>
                <w:lang w:val="en-US" w:eastAsia="zh-CN"/>
              </w:rPr>
              <w:t>日期为从招标文件获取之日起至投标截止日前</w:t>
            </w:r>
            <w:r>
              <w:rPr>
                <w:rFonts w:hint="eastAsia" w:ascii="宋体" w:hAnsi="宋体" w:eastAsia="宋体" w:cs="宋体"/>
                <w:color w:val="auto"/>
                <w:kern w:val="2"/>
                <w:sz w:val="24"/>
                <w:szCs w:val="24"/>
                <w:highlight w:val="none"/>
                <w:lang w:val="en-US" w:eastAsia="zh-CN" w:bidi="ar-SA"/>
              </w:rPr>
              <w:t>）；</w:t>
            </w:r>
          </w:p>
          <w:p w14:paraId="49417283">
            <w:pPr>
              <w:spacing w:line="360" w:lineRule="auto"/>
              <w:ind w:firstLine="480" w:firstLineChars="200"/>
              <w:rPr>
                <w:color w:val="auto"/>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本项目不接</w:t>
            </w:r>
            <w:r>
              <w:rPr>
                <w:rFonts w:hint="eastAsia"/>
                <w:color w:val="auto"/>
                <w:sz w:val="24"/>
                <w:szCs w:val="24"/>
                <w:highlight w:val="none"/>
              </w:rPr>
              <w:t>受联合体投标，须提供非联合体投标声明（单位负责人为同一人或者存在直接控股、管理关系的不同投标人，不得参加同一合同项下的政府采购活动）。</w:t>
            </w:r>
          </w:p>
          <w:p w14:paraId="4F161F83">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有关资质证明文件的特别说明：</w:t>
            </w:r>
          </w:p>
          <w:p w14:paraId="7A2F064B">
            <w:pPr>
              <w:spacing w:line="360" w:lineRule="auto"/>
              <w:ind w:firstLine="480" w:firstLineChars="200"/>
              <w:jc w:val="left"/>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1）供应商必须对所提供的资格要求的真实性和有效性负全部法律责任。</w:t>
            </w:r>
          </w:p>
          <w:p w14:paraId="21BB152D">
            <w:pPr>
              <w:spacing w:line="360" w:lineRule="auto"/>
              <w:ind w:firstLine="480" w:firstLineChars="200"/>
              <w:rPr>
                <w:rFonts w:ascii="宋体" w:hAnsi="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2)以上资格要求均为必备资格条件，投标人应在谈判响应文件规定处附相关证明材料并加盖企业公章，缺项、漏项或者符合性、有效性、真实性审核不合格的，供应商自动放弃采购活动资格，响应文件视为无效。</w:t>
            </w:r>
          </w:p>
        </w:tc>
      </w:tr>
      <w:tr w14:paraId="5F20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C1737EF">
            <w:pPr>
              <w:spacing w:line="360" w:lineRule="auto"/>
              <w:ind w:left="21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9088" w:type="dxa"/>
            <w:noWrap w:val="0"/>
            <w:vAlign w:val="center"/>
          </w:tcPr>
          <w:p w14:paraId="3826FDA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支持中小企业发展：</w:t>
            </w:r>
          </w:p>
          <w:p w14:paraId="541C477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专门面向中小企业采购项目</w:t>
            </w:r>
          </w:p>
          <w:p w14:paraId="49F8EB8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本项目专门面向中小企业，故不参与价格扣除；</w:t>
            </w:r>
          </w:p>
          <w:p w14:paraId="16979F3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eastAsia="宋体" w:cs="宋体"/>
                <w:color w:val="auto"/>
                <w:position w:val="2"/>
                <w:sz w:val="16"/>
                <w:highlight w:val="none"/>
                <w:lang w:val="en-US" w:eastAsia="zh-CN"/>
              </w:rPr>
              <w:instrText xml:space="preserve">√</w:instrText>
            </w:r>
            <w:r>
              <w:rPr>
                <w:rFonts w:hint="eastAsia" w:ascii="宋体" w:hAnsi="宋体" w:eastAsia="宋体" w:cs="宋体"/>
                <w:color w:val="auto"/>
                <w:sz w:val="24"/>
                <w:highlight w:val="none"/>
                <w:lang w:val="en-US" w:eastAsia="zh-CN"/>
              </w:rPr>
              <w:instrText xml:space="preserve">)</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非专门面向中小企业采购项目，货物服务类（价格扣除）：</w:t>
            </w:r>
          </w:p>
          <w:p w14:paraId="6673913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w:char="F081"/>
            </w:r>
            <w:r>
              <w:rPr>
                <w:rFonts w:hint="eastAsia" w:ascii="宋体" w:hAnsi="宋体" w:eastAsia="宋体" w:cs="宋体"/>
                <w:color w:val="auto"/>
                <w:sz w:val="24"/>
                <w:highlight w:val="none"/>
              </w:rPr>
              <w:t>对小微型企业产品的价格给与</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rPr>
              <w:t>的扣除，用扣除后的价格参与评审。项目的扣除比例为：小微企业扣除</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rPr>
              <w:t>。</w:t>
            </w:r>
          </w:p>
          <w:p w14:paraId="5C4521E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w:char="F082"/>
            </w:r>
            <w:r>
              <w:rPr>
                <w:rFonts w:hint="eastAsia" w:ascii="宋体" w:hAnsi="宋体" w:eastAsia="宋体" w:cs="宋体"/>
                <w:color w:val="auto"/>
                <w:sz w:val="24"/>
                <w:highlight w:val="none"/>
              </w:rPr>
              <w:t>项目接</w:t>
            </w:r>
            <w:r>
              <w:rPr>
                <w:rFonts w:hint="eastAsia" w:ascii="宋体" w:hAnsi="宋体" w:eastAsia="宋体" w:cs="宋体"/>
                <w:color w:val="auto"/>
                <w:sz w:val="24"/>
                <w:highlight w:val="none"/>
                <w:lang w:val="en-US" w:eastAsia="zh-CN"/>
              </w:rPr>
              <w:t>受</w:t>
            </w:r>
            <w:r>
              <w:rPr>
                <w:rFonts w:hint="eastAsia" w:ascii="宋体" w:hAnsi="宋体" w:eastAsia="宋体" w:cs="宋体"/>
                <w:color w:val="auto"/>
                <w:sz w:val="24"/>
                <w:highlight w:val="none"/>
              </w:rPr>
              <w:t>联合体投标的，若小微企业的协议合同金额占到联合体协议合同金额30%以上的，可给予联合体</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%的扣除，用扣除后的价格参与评审。项目的扣除比例为：</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w:t>
            </w:r>
          </w:p>
          <w:p w14:paraId="66EEC2C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eq \o\ac(□)</w:instrTex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非专门面向中小企业采购项目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工程类</w:t>
            </w:r>
            <w:r>
              <w:rPr>
                <w:rFonts w:hint="eastAsia" w:ascii="宋体" w:hAnsi="宋体" w:eastAsia="宋体" w:cs="宋体"/>
                <w:color w:val="auto"/>
                <w:sz w:val="24"/>
                <w:highlight w:val="none"/>
              </w:rPr>
              <w:t>（价格扣除）：</w:t>
            </w:r>
          </w:p>
          <w:p w14:paraId="38CF180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sym w:font="Wingdings" w:char="F081"/>
            </w:r>
            <w:r>
              <w:rPr>
                <w:rFonts w:hint="eastAsia" w:ascii="宋体" w:hAnsi="宋体" w:eastAsia="宋体" w:cs="宋体"/>
                <w:color w:val="auto"/>
                <w:sz w:val="24"/>
                <w:highlight w:val="none"/>
                <w:lang w:val="en-US" w:eastAsia="zh-CN"/>
              </w:rPr>
              <w:t>对小型和微型企业投标的价格给与3%~5%的扣除，用扣除后的价格参与评审。项目的扣除比例为：小型企业扣除5%，微型企业扣除5%。</w:t>
            </w:r>
          </w:p>
          <w:p w14:paraId="7D1B1B31">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highlight w:val="none"/>
              </w:rPr>
            </w:pPr>
            <w:r>
              <w:rPr>
                <w:rFonts w:hint="default" w:ascii="宋体" w:hAnsi="宋体" w:eastAsia="宋体" w:cs="宋体"/>
                <w:color w:val="auto"/>
                <w:sz w:val="24"/>
                <w:highlight w:val="none"/>
                <w:lang w:val="en-US" w:eastAsia="zh-CN"/>
              </w:rPr>
              <w:sym w:font="Wingdings" w:char="F082"/>
            </w:r>
            <w:r>
              <w:rPr>
                <w:rFonts w:hint="eastAsia" w:ascii="宋体" w:hAnsi="宋体" w:eastAsia="宋体" w:cs="宋体"/>
                <w:color w:val="auto"/>
                <w:sz w:val="24"/>
                <w:highlight w:val="none"/>
                <w:lang w:val="en-US" w:eastAsia="zh-CN"/>
              </w:rPr>
              <w:t>项目接收联合体投标的，若小型和微型企业的协议合同金额占到联合体协议合同金额30%以上的，可给予联合体 1% ~2%的扣除，用扣除后的价格参与评审。项目的扣除比例为：2%。</w:t>
            </w:r>
          </w:p>
        </w:tc>
      </w:tr>
      <w:tr w14:paraId="41CF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A5F142B">
            <w:pPr>
              <w:spacing w:line="360" w:lineRule="auto"/>
              <w:ind w:left="210"/>
              <w:rPr>
                <w:rFonts w:hint="eastAsia" w:ascii="宋体" w:hAnsi="宋体" w:cs="宋体"/>
                <w:color w:val="auto"/>
                <w:sz w:val="24"/>
                <w:szCs w:val="24"/>
                <w:highlight w:val="none"/>
                <w:lang w:val="en-US" w:eastAsia="zh-CN"/>
              </w:rPr>
            </w:pPr>
          </w:p>
        </w:tc>
        <w:tc>
          <w:tcPr>
            <w:tcW w:w="9088" w:type="dxa"/>
            <w:noWrap w:val="0"/>
            <w:vAlign w:val="center"/>
          </w:tcPr>
          <w:p w14:paraId="612AC156">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各行业划分标准具体为</w:t>
            </w:r>
          </w:p>
          <w:p w14:paraId="1245AD16">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1、农、林、牧、渔业。营业收入20000万元以下的为中小微型企业。其中，营业收入500万元及以上的为中型企业,营业收入50万元及以上的为小型企业，营业收入50万元以下的为微型企业。　　</w:t>
            </w:r>
          </w:p>
          <w:p w14:paraId="434DCD8C">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25C655AF">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6C22404C">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7BED2D4">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2653D843">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A39319B">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23848B8E">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D7A260C">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31D8EBDE">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D5F1456">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410E56D9">
            <w:pPr>
              <w:adjustRightInd w:val="0"/>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val="0"/>
                <w:bCs w:val="0"/>
                <w:color w:val="auto"/>
                <w:sz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r>
              <w:rPr>
                <w:rFonts w:hint="eastAsia" w:ascii="宋体" w:hAnsi="宋体" w:eastAsia="宋体" w:cs="宋体"/>
                <w:b/>
                <w:bCs/>
                <w:color w:val="auto"/>
                <w:sz w:val="24"/>
                <w:highlight w:val="none"/>
              </w:rPr>
              <w:t>　</w:t>
            </w:r>
          </w:p>
          <w:p w14:paraId="169DE234">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13、房地产开发经营。营业收入200000万元以下或资产总额10000万元以下的为中小微型企业.其中，营业收入1000万元及以上，且资产总额5000万元及以上的为中型企业</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营业收入100万元及以上，且资产总额2000万元及以上的为小型企业；营业收入100万元以下或资产总额2000万元以下的为微型企业。　　</w:t>
            </w:r>
          </w:p>
          <w:p w14:paraId="2C46B3D4">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545E2F0B">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655D046D">
            <w:pPr>
              <w:adjustRightInd w:val="0"/>
              <w:snapToGrid w:val="0"/>
              <w:spacing w:line="360" w:lineRule="auto"/>
              <w:rPr>
                <w:rFonts w:hint="eastAsia"/>
                <w:color w:val="auto"/>
                <w:highlight w:val="none"/>
              </w:rPr>
            </w:pPr>
            <w:r>
              <w:rPr>
                <w:rFonts w:hint="eastAsia" w:ascii="宋体" w:hAnsi="宋体" w:eastAsia="宋体" w:cs="宋体"/>
                <w:color w:val="auto"/>
                <w:sz w:val="24"/>
                <w:highlight w:val="none"/>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auto"/>
                <w:sz w:val="24"/>
                <w:highlight w:val="none"/>
              </w:rPr>
              <w:t>　</w:t>
            </w:r>
          </w:p>
          <w:p w14:paraId="7385592C">
            <w:pPr>
              <w:adjustRightInd w:val="0"/>
              <w:snapToGrid w:val="0"/>
              <w:spacing w:line="360" w:lineRule="auto"/>
              <w:rPr>
                <w:rFonts w:ascii="宋体" w:hAnsi="宋体" w:cs="宋体"/>
                <w:color w:val="auto"/>
                <w:sz w:val="24"/>
                <w:highlight w:val="none"/>
              </w:rPr>
            </w:pPr>
            <w:r>
              <w:rPr>
                <w:rFonts w:hint="eastAsia" w:ascii="宋体" w:hAnsi="宋体" w:eastAsia="宋体" w:cs="宋体"/>
                <w:b/>
                <w:bCs/>
                <w:color w:val="auto"/>
                <w:kern w:val="2"/>
                <w:sz w:val="24"/>
                <w:szCs w:val="24"/>
                <w:highlight w:val="none"/>
                <w:lang w:val="en-US" w:eastAsia="zh-CN" w:bidi="ar-SA"/>
              </w:rPr>
              <w:t>本项目属于：软件和信息技术服务业</w:t>
            </w:r>
          </w:p>
        </w:tc>
      </w:tr>
      <w:tr w14:paraId="2BBB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698" w:type="dxa"/>
            <w:noWrap w:val="0"/>
            <w:vAlign w:val="center"/>
          </w:tcPr>
          <w:p w14:paraId="5F507736">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0</w:t>
            </w:r>
          </w:p>
        </w:tc>
        <w:tc>
          <w:tcPr>
            <w:tcW w:w="9088" w:type="dxa"/>
            <w:noWrap w:val="0"/>
            <w:vAlign w:val="center"/>
          </w:tcPr>
          <w:p w14:paraId="62766CD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支持监狱企业发展：</w:t>
            </w:r>
          </w:p>
          <w:p w14:paraId="1C299DFF">
            <w:pPr>
              <w:pageBreakBefore w:val="0"/>
              <w:wordWrap/>
              <w:overflowPunct/>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专门面向监狱企业采购项目</w:t>
            </w:r>
          </w:p>
          <w:p w14:paraId="5DCF9AA4">
            <w:pPr>
              <w:adjustRightInd w:val="0"/>
              <w:snapToGrid w:val="0"/>
              <w:spacing w:line="360" w:lineRule="auto"/>
              <w:rPr>
                <w:rFonts w:ascii="宋体" w:hAnsi="宋体" w:cs="宋体"/>
                <w:color w:val="auto"/>
                <w:sz w:val="24"/>
                <w:szCs w:val="24"/>
                <w:highlight w:val="none"/>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eastAsia="宋体" w:cs="宋体"/>
                <w:color w:val="auto"/>
                <w:position w:val="2"/>
                <w:sz w:val="16"/>
                <w:highlight w:val="none"/>
                <w:lang w:val="en-US" w:eastAsia="zh-CN"/>
              </w:rPr>
              <w:instrText xml:space="preserve">√</w:instrText>
            </w:r>
            <w:r>
              <w:rPr>
                <w:rFonts w:hint="eastAsia" w:ascii="宋体" w:hAnsi="宋体" w:eastAsia="宋体" w:cs="宋体"/>
                <w:color w:val="auto"/>
                <w:sz w:val="24"/>
                <w:highlight w:val="none"/>
                <w:lang w:val="en-US" w:eastAsia="zh-CN"/>
              </w:rPr>
              <w:instrText xml:space="preserve">)</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非专门面向监狱企业采购项目（价格扣除）：</w:t>
            </w:r>
            <w:r>
              <w:rPr>
                <w:rFonts w:hint="eastAsia" w:ascii="宋体" w:hAnsi="宋体" w:cs="宋体"/>
                <w:color w:val="auto"/>
                <w:sz w:val="24"/>
                <w:szCs w:val="24"/>
                <w:highlight w:val="none"/>
              </w:rPr>
              <w:t>监狱企业视同小微企业</w:t>
            </w:r>
            <w:r>
              <w:rPr>
                <w:rFonts w:hint="eastAsia" w:ascii="宋体" w:hAnsi="宋体" w:cs="宋体"/>
                <w:color w:val="auto"/>
                <w:sz w:val="24"/>
                <w:szCs w:val="24"/>
                <w:highlight w:val="none"/>
                <w:lang w:eastAsia="zh-CN"/>
              </w:rPr>
              <w:t>。</w:t>
            </w:r>
          </w:p>
        </w:tc>
      </w:tr>
      <w:tr w14:paraId="5743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noWrap w:val="0"/>
            <w:vAlign w:val="center"/>
          </w:tcPr>
          <w:p w14:paraId="3346AFF2">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1</w:t>
            </w:r>
          </w:p>
        </w:tc>
        <w:tc>
          <w:tcPr>
            <w:tcW w:w="9088" w:type="dxa"/>
            <w:noWrap w:val="0"/>
            <w:vAlign w:val="center"/>
          </w:tcPr>
          <w:p w14:paraId="1B1A201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组织，本项目采购人及采购代理机构不集中组织踏勘现场；需要现场踏勘的，由投标人自行踏勘，安全责任由投标人自负，费用自理。如需踏勘，请按招标公告中的联系方式联系采购人。</w:t>
            </w:r>
          </w:p>
        </w:tc>
      </w:tr>
      <w:tr w14:paraId="20FE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noWrap w:val="0"/>
            <w:vAlign w:val="center"/>
          </w:tcPr>
          <w:p w14:paraId="4D52DFB8">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2</w:t>
            </w:r>
          </w:p>
        </w:tc>
        <w:tc>
          <w:tcPr>
            <w:tcW w:w="9088" w:type="dxa"/>
            <w:noWrap w:val="0"/>
            <w:vAlign w:val="center"/>
          </w:tcPr>
          <w:p w14:paraId="2AD0FDB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投标答疑会:</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不召开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召开，招标代理机构将对供应商所提出的问题予以解答，并出具书面答疑纪要。答疑纪要为招标文件的组成部分，与招标文件具有同等法律效力。</w:t>
            </w:r>
          </w:p>
        </w:tc>
      </w:tr>
      <w:tr w14:paraId="106D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14:paraId="21142363">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3</w:t>
            </w:r>
          </w:p>
        </w:tc>
        <w:tc>
          <w:tcPr>
            <w:tcW w:w="9088" w:type="dxa"/>
            <w:noWrap w:val="0"/>
            <w:vAlign w:val="center"/>
          </w:tcPr>
          <w:p w14:paraId="548A814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分包：</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position w:val="2"/>
                <w:sz w:val="16"/>
                <w:szCs w:val="24"/>
                <w:highlight w:val="none"/>
              </w:rPr>
              <w:instrText xml:space="preserve">√</w:instrText>
            </w:r>
            <w:r>
              <w:rPr>
                <w:rFonts w:hint="eastAsia" w:ascii="宋体" w:hAnsi="宋体" w:cs="宋体"/>
                <w:color w:val="auto"/>
                <w:sz w:val="24"/>
                <w:szCs w:val="24"/>
                <w:highlight w:val="none"/>
              </w:rPr>
              <w:instrText xml:space="preserve">)</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不允许:</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允许，分包内容要求：在征得招标人同意后，承包人可以将本项目的专业工程进行分包。分包金额要求：接受分包的第三人资质要求；符合施工拟分包的专业工程国家相关强制规定。</w:t>
            </w:r>
          </w:p>
        </w:tc>
      </w:tr>
      <w:tr w14:paraId="4B93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698" w:type="dxa"/>
            <w:noWrap w:val="0"/>
            <w:vAlign w:val="center"/>
          </w:tcPr>
          <w:p w14:paraId="46C2A2FC">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4</w:t>
            </w:r>
          </w:p>
        </w:tc>
        <w:tc>
          <w:tcPr>
            <w:tcW w:w="9088" w:type="dxa"/>
            <w:noWrap w:val="0"/>
            <w:vAlign w:val="center"/>
          </w:tcPr>
          <w:p w14:paraId="76D1FE71">
            <w:pPr>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公共资源信用承诺:</w:t>
            </w:r>
            <w:r>
              <w:rPr>
                <w:rFonts w:hint="eastAsia" w:ascii="宋体" w:hAnsi="宋体" w:cs="宋体"/>
                <w:color w:val="auto"/>
                <w:sz w:val="24"/>
                <w:szCs w:val="24"/>
                <w:highlight w:val="none"/>
                <w:lang w:val="zh-TW"/>
              </w:rPr>
              <w:t>进入公共资源交易平台的各投标人，均应在“信用中国（陕西榆林）”网站进行注册、登录、自主上报信用承诺书（网址：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https://credit.yl.gov.cn/</w:t>
            </w:r>
            <w:r>
              <w:rPr>
                <w:rFonts w:hint="eastAsia" w:ascii="宋体" w:hAnsi="宋体" w:cs="宋体"/>
                <w:color w:val="auto"/>
                <w:sz w:val="24"/>
                <w:szCs w:val="24"/>
                <w:highlight w:val="none"/>
                <w:lang w:val="zh-TW"/>
              </w:rPr>
              <w:t>）。各投标人注册、登录后根据承诺事项选择相应的模板填写《信用承诺书》，并载明承诺事由，投标人、投标人委托代理人员</w:t>
            </w:r>
            <w:r>
              <w:rPr>
                <w:rFonts w:hint="eastAsia" w:ascii="宋体" w:hAnsi="宋体" w:eastAsia="宋体" w:cs="宋体"/>
                <w:i w:val="0"/>
                <w:iCs w:val="0"/>
                <w:caps w:val="0"/>
                <w:color w:val="auto"/>
                <w:spacing w:val="0"/>
                <w:sz w:val="24"/>
                <w:szCs w:val="24"/>
                <w:highlight w:val="none"/>
                <w:shd w:val="clear" w:color="auto" w:fill="FFFFFF"/>
              </w:rPr>
              <w:t>(如有)</w:t>
            </w:r>
            <w:r>
              <w:rPr>
                <w:rFonts w:hint="eastAsia" w:ascii="宋体" w:hAnsi="宋体" w:cs="宋体"/>
                <w:color w:val="auto"/>
                <w:sz w:val="24"/>
                <w:szCs w:val="24"/>
                <w:highlight w:val="none"/>
                <w:lang w:val="zh-TW"/>
              </w:rPr>
              <w:t>、投标信用</w:t>
            </w:r>
            <w:r>
              <w:rPr>
                <w:rFonts w:hint="eastAsia" w:ascii="宋体" w:hAnsi="宋体" w:cs="宋体"/>
                <w:color w:val="auto"/>
                <w:sz w:val="24"/>
                <w:szCs w:val="24"/>
                <w:highlight w:val="none"/>
                <w:lang w:val="zh-TW" w:eastAsia="zh-CN"/>
              </w:rPr>
              <w:t>、榆林市政府采购货物类项目供应商信用承诺</w:t>
            </w:r>
            <w:r>
              <w:rPr>
                <w:rFonts w:hint="eastAsia" w:ascii="宋体" w:hAnsi="宋体" w:cs="宋体"/>
                <w:color w:val="auto"/>
                <w:sz w:val="24"/>
                <w:szCs w:val="24"/>
                <w:highlight w:val="none"/>
                <w:lang w:val="zh-TW"/>
              </w:rPr>
              <w:t>的承诺事由为“</w:t>
            </w:r>
            <w:r>
              <w:rPr>
                <w:rFonts w:hint="eastAsia" w:ascii="宋体" w:hAnsi="宋体" w:cs="宋体"/>
                <w:color w:val="auto"/>
                <w:sz w:val="24"/>
                <w:szCs w:val="24"/>
                <w:highlight w:val="none"/>
                <w:lang w:val="zh-TW" w:eastAsia="zh-CN"/>
              </w:rPr>
              <w:t>本</w:t>
            </w:r>
            <w:r>
              <w:rPr>
                <w:rFonts w:hint="eastAsia" w:ascii="宋体" w:hAnsi="宋体" w:cs="宋体"/>
                <w:color w:val="auto"/>
                <w:sz w:val="24"/>
                <w:szCs w:val="24"/>
                <w:highlight w:val="none"/>
                <w:lang w:val="zh-TW"/>
              </w:rPr>
              <w:t>项目名称及项目编号”。操作指南见附件。</w:t>
            </w:r>
            <w:r>
              <w:rPr>
                <w:rFonts w:hint="eastAsia" w:ascii="宋体" w:hAnsi="宋体" w:cs="宋体"/>
                <w:color w:val="auto"/>
                <w:sz w:val="24"/>
                <w:szCs w:val="24"/>
                <w:highlight w:val="none"/>
              </w:rPr>
              <w:fldChar w:fldCharType="end"/>
            </w:r>
            <w:r>
              <w:rPr>
                <w:rFonts w:hint="eastAsia" w:ascii="宋体" w:hAnsi="宋体" w:cs="宋体"/>
                <w:bCs/>
                <w:color w:val="auto"/>
                <w:sz w:val="24"/>
                <w:szCs w:val="24"/>
                <w:highlight w:val="none"/>
              </w:rPr>
              <w:t>投标人请将申报截图附在投标文件中</w:t>
            </w:r>
            <w:r>
              <w:rPr>
                <w:rFonts w:hint="eastAsia" w:ascii="宋体" w:hAnsi="宋体" w:cs="宋体"/>
                <w:b/>
                <w:bCs/>
                <w:color w:val="auto"/>
                <w:sz w:val="24"/>
                <w:szCs w:val="24"/>
                <w:highlight w:val="none"/>
              </w:rPr>
              <w:t>。</w:t>
            </w:r>
          </w:p>
        </w:tc>
      </w:tr>
      <w:tr w14:paraId="4F05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2B1F6319">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p>
        </w:tc>
        <w:tc>
          <w:tcPr>
            <w:tcW w:w="9088" w:type="dxa"/>
            <w:noWrap w:val="0"/>
            <w:vAlign w:val="center"/>
          </w:tcPr>
          <w:p w14:paraId="7620D24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投标文件中的复印件（含扫描件）必须加盖供应商公章（鲜章），否则按无效文件处理。所有复印件应是最新、有效、清晰的。因复印件不清晰而可能导致资料无效，由投标供应商自行负责。</w:t>
            </w:r>
          </w:p>
        </w:tc>
      </w:tr>
      <w:tr w14:paraId="606E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48CC538">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6</w:t>
            </w:r>
          </w:p>
        </w:tc>
        <w:tc>
          <w:tcPr>
            <w:tcW w:w="9088" w:type="dxa"/>
            <w:noWrap w:val="0"/>
            <w:vAlign w:val="center"/>
          </w:tcPr>
          <w:p w14:paraId="06DD572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合同签订：成交供应商和采购人签订合同。</w:t>
            </w:r>
          </w:p>
        </w:tc>
      </w:tr>
      <w:tr w14:paraId="036C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4A544B97">
            <w:pPr>
              <w:spacing w:line="360" w:lineRule="auto"/>
              <w:ind w:left="21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7</w:t>
            </w:r>
          </w:p>
        </w:tc>
        <w:tc>
          <w:tcPr>
            <w:tcW w:w="9088" w:type="dxa"/>
            <w:noWrap w:val="0"/>
            <w:vAlign w:val="center"/>
          </w:tcPr>
          <w:p w14:paraId="7604A5FB">
            <w:pPr>
              <w:spacing w:line="36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招标代理服务费：</w:t>
            </w:r>
          </w:p>
          <w:p w14:paraId="61FBEE2B">
            <w:pPr>
              <w:spacing w:line="360" w:lineRule="auto"/>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eastAsia="宋体" w:cs="宋体"/>
                <w:color w:val="auto"/>
                <w:sz w:val="24"/>
                <w:szCs w:val="24"/>
                <w:highlight w:val="none"/>
              </w:rPr>
              <w:t>采购代理机构参照国家计委关于印发《招标代理服务收费管理暂行办法》的通知（计价格〔2002〕1980号）、《国家发展和改革委员会办公厅关于招标代理服务收费有关问题的通知》（发改办价格〔2003〕857号）规定向中标（成交）供应商收取代理服务费</w:t>
            </w:r>
            <w:r>
              <w:rPr>
                <w:rFonts w:hint="eastAsia" w:ascii="宋体" w:hAnsi="宋体" w:eastAsia="宋体" w:cs="宋体"/>
                <w:color w:val="auto"/>
                <w:sz w:val="24"/>
                <w:highlight w:val="none"/>
              </w:rPr>
              <w:t>。</w:t>
            </w:r>
          </w:p>
          <w:p w14:paraId="39A52043">
            <w:pPr>
              <w:spacing w:line="360" w:lineRule="auto"/>
              <w:rPr>
                <w:rFonts w:ascii="宋体" w:hAnsi="宋体" w:cs="宋体"/>
                <w:color w:val="auto"/>
                <w:sz w:val="24"/>
                <w:szCs w:val="24"/>
                <w:highlight w:val="none"/>
              </w:rPr>
            </w:pPr>
            <w:r>
              <w:rPr>
                <w:rFonts w:hint="eastAsia" w:ascii="宋体" w:hAnsi="宋体" w:cs="仿宋_GB2312"/>
                <w:color w:val="auto"/>
                <w:sz w:val="24"/>
                <w:szCs w:val="24"/>
                <w:highlight w:val="none"/>
              </w:rPr>
              <w:t>(2)</w:t>
            </w:r>
            <w:r>
              <w:rPr>
                <w:rFonts w:hint="eastAsia" w:ascii="宋体" w:hAnsi="宋体" w:cs="宋体"/>
                <w:color w:val="auto"/>
                <w:sz w:val="24"/>
                <w:szCs w:val="24"/>
                <w:highlight w:val="none"/>
              </w:rPr>
              <w:t>支付方式：成交供应商应在领取通知书的同时，向</w:t>
            </w:r>
            <w:r>
              <w:rPr>
                <w:rFonts w:hint="eastAsia" w:ascii="宋体" w:hAnsi="宋体" w:cs="宋体"/>
                <w:color w:val="auto"/>
                <w:sz w:val="24"/>
                <w:szCs w:val="24"/>
                <w:highlight w:val="none"/>
                <w:lang w:eastAsia="zh-CN"/>
              </w:rPr>
              <w:t>陕安项目管理有限公司</w:t>
            </w:r>
            <w:r>
              <w:rPr>
                <w:rFonts w:hint="eastAsia" w:ascii="宋体" w:hAnsi="宋体" w:cs="宋体"/>
                <w:color w:val="auto"/>
                <w:sz w:val="24"/>
                <w:szCs w:val="24"/>
                <w:highlight w:val="none"/>
              </w:rPr>
              <w:t>交纳本项目采购代理服务费。</w:t>
            </w:r>
          </w:p>
          <w:p w14:paraId="4C2271A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3、采购代理服务费按差额定率累进法计算：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63EA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4C38701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服务类型/费率/中标金额（万元）</w:t>
                  </w:r>
                </w:p>
              </w:tc>
              <w:tc>
                <w:tcPr>
                  <w:tcW w:w="1214" w:type="dxa"/>
                  <w:noWrap w:val="0"/>
                  <w:vAlign w:val="center"/>
                </w:tcPr>
                <w:p w14:paraId="62E160D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1444" w:type="dxa"/>
                  <w:noWrap w:val="0"/>
                  <w:vAlign w:val="center"/>
                </w:tcPr>
                <w:p w14:paraId="060AC4D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445" w:type="dxa"/>
                  <w:noWrap w:val="0"/>
                  <w:vAlign w:val="center"/>
                </w:tcPr>
                <w:p w14:paraId="524C121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7F1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4F8B3E1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100以下</w:t>
                  </w:r>
                </w:p>
              </w:tc>
              <w:tc>
                <w:tcPr>
                  <w:tcW w:w="1214" w:type="dxa"/>
                  <w:noWrap w:val="0"/>
                  <w:vAlign w:val="top"/>
                </w:tcPr>
                <w:p w14:paraId="17F844C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1444" w:type="dxa"/>
                  <w:noWrap w:val="0"/>
                  <w:vAlign w:val="top"/>
                </w:tcPr>
                <w:p w14:paraId="790E06F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1445" w:type="dxa"/>
                  <w:noWrap w:val="0"/>
                  <w:vAlign w:val="top"/>
                </w:tcPr>
                <w:p w14:paraId="2F0A8AB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w:t>
                  </w:r>
                </w:p>
              </w:tc>
            </w:tr>
            <w:tr w14:paraId="36C2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4375A47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100-500</w:t>
                  </w:r>
                </w:p>
              </w:tc>
              <w:tc>
                <w:tcPr>
                  <w:tcW w:w="1214" w:type="dxa"/>
                  <w:noWrap w:val="0"/>
                  <w:vAlign w:val="top"/>
                </w:tcPr>
                <w:p w14:paraId="6D7E297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1444" w:type="dxa"/>
                  <w:noWrap w:val="0"/>
                  <w:vAlign w:val="top"/>
                </w:tcPr>
                <w:p w14:paraId="3CA600E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0.8%</w:t>
                  </w:r>
                </w:p>
              </w:tc>
              <w:tc>
                <w:tcPr>
                  <w:tcW w:w="1445" w:type="dxa"/>
                  <w:noWrap w:val="0"/>
                  <w:vAlign w:val="top"/>
                </w:tcPr>
                <w:p w14:paraId="1AA35E7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0.7%</w:t>
                  </w:r>
                </w:p>
              </w:tc>
            </w:tr>
            <w:tr w14:paraId="6615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9DA460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500-1000</w:t>
                  </w:r>
                </w:p>
              </w:tc>
              <w:tc>
                <w:tcPr>
                  <w:tcW w:w="1214" w:type="dxa"/>
                  <w:noWrap w:val="0"/>
                  <w:vAlign w:val="top"/>
                </w:tcPr>
                <w:p w14:paraId="648F032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0.8%</w:t>
                  </w:r>
                </w:p>
              </w:tc>
              <w:tc>
                <w:tcPr>
                  <w:tcW w:w="1444" w:type="dxa"/>
                  <w:noWrap w:val="0"/>
                  <w:vAlign w:val="top"/>
                </w:tcPr>
                <w:p w14:paraId="49A46C6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0.45%</w:t>
                  </w:r>
                </w:p>
              </w:tc>
              <w:tc>
                <w:tcPr>
                  <w:tcW w:w="1445" w:type="dxa"/>
                  <w:noWrap w:val="0"/>
                  <w:vAlign w:val="top"/>
                </w:tcPr>
                <w:p w14:paraId="78BCD15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0.55%</w:t>
                  </w:r>
                </w:p>
              </w:tc>
            </w:tr>
            <w:tr w14:paraId="4007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4830A55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1000-5000</w:t>
                  </w:r>
                </w:p>
              </w:tc>
              <w:tc>
                <w:tcPr>
                  <w:tcW w:w="1214" w:type="dxa"/>
                  <w:noWrap w:val="0"/>
                  <w:vAlign w:val="top"/>
                </w:tcPr>
                <w:p w14:paraId="5A33761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0.5%</w:t>
                  </w:r>
                </w:p>
              </w:tc>
              <w:tc>
                <w:tcPr>
                  <w:tcW w:w="1444" w:type="dxa"/>
                  <w:noWrap w:val="0"/>
                  <w:vAlign w:val="top"/>
                </w:tcPr>
                <w:p w14:paraId="362E293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0.25%</w:t>
                  </w:r>
                </w:p>
              </w:tc>
              <w:tc>
                <w:tcPr>
                  <w:tcW w:w="1445" w:type="dxa"/>
                  <w:noWrap w:val="0"/>
                  <w:vAlign w:val="top"/>
                </w:tcPr>
                <w:p w14:paraId="6D44979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0.35%</w:t>
                  </w:r>
                </w:p>
              </w:tc>
            </w:tr>
            <w:tr w14:paraId="608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E246F6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5000-10000</w:t>
                  </w:r>
                </w:p>
              </w:tc>
              <w:tc>
                <w:tcPr>
                  <w:tcW w:w="1214" w:type="dxa"/>
                  <w:noWrap w:val="0"/>
                  <w:vAlign w:val="top"/>
                </w:tcPr>
                <w:p w14:paraId="448B37E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0.25%</w:t>
                  </w:r>
                </w:p>
              </w:tc>
              <w:tc>
                <w:tcPr>
                  <w:tcW w:w="1444" w:type="dxa"/>
                  <w:noWrap w:val="0"/>
                  <w:vAlign w:val="top"/>
                </w:tcPr>
                <w:p w14:paraId="4DA5787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0.1%</w:t>
                  </w:r>
                </w:p>
              </w:tc>
              <w:tc>
                <w:tcPr>
                  <w:tcW w:w="1445" w:type="dxa"/>
                  <w:noWrap w:val="0"/>
                  <w:vAlign w:val="top"/>
                </w:tcPr>
                <w:p w14:paraId="1E082F4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0.2%</w:t>
                  </w:r>
                </w:p>
              </w:tc>
            </w:tr>
            <w:tr w14:paraId="4772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2E7EE2D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1214" w:type="dxa"/>
                  <w:noWrap w:val="0"/>
                  <w:vAlign w:val="top"/>
                </w:tcPr>
                <w:p w14:paraId="342DDDD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0.05%</w:t>
                  </w:r>
                </w:p>
              </w:tc>
              <w:tc>
                <w:tcPr>
                  <w:tcW w:w="1444" w:type="dxa"/>
                  <w:noWrap w:val="0"/>
                  <w:vAlign w:val="top"/>
                </w:tcPr>
                <w:p w14:paraId="64333BC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0.05%</w:t>
                  </w:r>
                </w:p>
              </w:tc>
              <w:tc>
                <w:tcPr>
                  <w:tcW w:w="1445" w:type="dxa"/>
                  <w:noWrap w:val="0"/>
                  <w:vAlign w:val="top"/>
                </w:tcPr>
                <w:p w14:paraId="1EEE25E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0.05%</w:t>
                  </w:r>
                </w:p>
              </w:tc>
            </w:tr>
            <w:tr w14:paraId="0E44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07F6A98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1000000以上</w:t>
                  </w:r>
                </w:p>
              </w:tc>
              <w:tc>
                <w:tcPr>
                  <w:tcW w:w="1214" w:type="dxa"/>
                  <w:noWrap w:val="0"/>
                  <w:vAlign w:val="top"/>
                </w:tcPr>
                <w:p w14:paraId="1085631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0.01%</w:t>
                  </w:r>
                </w:p>
              </w:tc>
              <w:tc>
                <w:tcPr>
                  <w:tcW w:w="1444" w:type="dxa"/>
                  <w:noWrap w:val="0"/>
                  <w:vAlign w:val="top"/>
                </w:tcPr>
                <w:p w14:paraId="53F8DBC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0.01%</w:t>
                  </w:r>
                </w:p>
              </w:tc>
              <w:tc>
                <w:tcPr>
                  <w:tcW w:w="1445" w:type="dxa"/>
                  <w:noWrap w:val="0"/>
                  <w:vAlign w:val="top"/>
                </w:tcPr>
                <w:p w14:paraId="1407A6F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0.01%</w:t>
                  </w:r>
                </w:p>
              </w:tc>
            </w:tr>
          </w:tbl>
          <w:p w14:paraId="556CB9CE">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例</w:t>
            </w:r>
            <w:r>
              <w:rPr>
                <w:rFonts w:hint="eastAsia" w:ascii="宋体" w:hAnsi="宋体" w:eastAsia="宋体" w:cs="宋体"/>
                <w:b w:val="0"/>
                <w:bCs w:val="0"/>
                <w:color w:val="auto"/>
                <w:sz w:val="24"/>
                <w:szCs w:val="24"/>
                <w:highlight w:val="none"/>
                <w:lang w:val="en-US" w:eastAsia="zh-CN"/>
              </w:rPr>
              <w:t>如：某货物招标成交金额为678.2万元，采购代理服务费计算如下：</w:t>
            </w:r>
          </w:p>
          <w:p w14:paraId="57293523">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100万元*1.5%=1.50万元 </w:t>
            </w:r>
          </w:p>
          <w:p w14:paraId="68FF23C7">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(500-100)*1.1%=4.40万元</w:t>
            </w:r>
          </w:p>
          <w:p w14:paraId="68BBA63D">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(678.2-500)*0.8%=1.4256万元</w:t>
            </w:r>
          </w:p>
          <w:p w14:paraId="79F58C06">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服务费=1.50+4.40+1.4256=7.3256万元。</w:t>
            </w:r>
          </w:p>
          <w:p w14:paraId="3717A871">
            <w:pPr>
              <w:spacing w:line="360" w:lineRule="auto"/>
              <w:rPr>
                <w:rFonts w:ascii="宋体" w:hAnsi="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4、本项目项目属性：货物招标。</w:t>
            </w:r>
          </w:p>
        </w:tc>
      </w:tr>
      <w:tr w14:paraId="14BF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8" w:type="dxa"/>
            <w:noWrap w:val="0"/>
            <w:vAlign w:val="center"/>
          </w:tcPr>
          <w:p w14:paraId="5347A2C0">
            <w:pPr>
              <w:spacing w:line="360" w:lineRule="auto"/>
              <w:jc w:val="center"/>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rPr>
              <w:t>2</w:t>
            </w:r>
            <w:r>
              <w:rPr>
                <w:rFonts w:hint="eastAsia" w:ascii="宋体" w:hAnsi="宋体" w:cs="仿宋_GB2312"/>
                <w:color w:val="auto"/>
                <w:sz w:val="24"/>
                <w:szCs w:val="24"/>
                <w:highlight w:val="none"/>
                <w:lang w:val="en-US" w:eastAsia="zh-CN"/>
              </w:rPr>
              <w:t>8</w:t>
            </w:r>
          </w:p>
        </w:tc>
        <w:tc>
          <w:tcPr>
            <w:tcW w:w="9088" w:type="dxa"/>
            <w:noWrap w:val="0"/>
            <w:vAlign w:val="center"/>
          </w:tcPr>
          <w:p w14:paraId="636CE20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谈判报价轮次：</w:t>
            </w:r>
            <w:r>
              <w:rPr>
                <w:rFonts w:hint="eastAsia" w:ascii="思源宋体 CN Light" w:hAnsi="思源宋体 CN Light" w:eastAsia="思源宋体 CN Light" w:cs="思源宋体 CN Light"/>
                <w:color w:val="auto"/>
                <w:sz w:val="24"/>
                <w:szCs w:val="24"/>
                <w:highlight w:val="none"/>
              </w:rPr>
              <w:t>供应商保持在线直到评审结束</w:t>
            </w:r>
          </w:p>
          <w:p w14:paraId="2E1278B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多轮（投标文件中报价为第一轮，谈判不见面开标会议为第二轮）</w:t>
            </w:r>
          </w:p>
          <w:p w14:paraId="199F38D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说明： 本项目所有投标人代表使用腾讯会议参加</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活动，本项目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会议将在规定的</w:t>
            </w:r>
            <w:r>
              <w:rPr>
                <w:rFonts w:hint="eastAsia" w:ascii="宋体" w:hAnsi="宋体" w:eastAsia="宋体" w:cs="宋体"/>
                <w:color w:val="auto"/>
                <w:sz w:val="24"/>
                <w:szCs w:val="24"/>
                <w:highlight w:val="none"/>
                <w:lang w:val="en-US" w:eastAsia="zh-CN"/>
              </w:rPr>
              <w:t>评标</w:t>
            </w:r>
            <w:r>
              <w:rPr>
                <w:rFonts w:hint="eastAsia" w:ascii="宋体" w:hAnsi="宋体" w:eastAsia="宋体" w:cs="宋体"/>
                <w:color w:val="auto"/>
                <w:sz w:val="24"/>
                <w:szCs w:val="24"/>
                <w:highlight w:val="none"/>
              </w:rPr>
              <w:t>地点及“腾讯会议”app 上</w:t>
            </w:r>
            <w:r>
              <w:rPr>
                <w:rFonts w:hint="eastAsia" w:ascii="宋体" w:hAnsi="宋体" w:eastAsia="宋体" w:cs="宋体"/>
                <w:color w:val="auto"/>
                <w:sz w:val="24"/>
                <w:szCs w:val="24"/>
                <w:highlight w:val="none"/>
                <w:lang w:val="en-US" w:eastAsia="zh-CN"/>
              </w:rPr>
              <w:t>进行谈判</w:t>
            </w:r>
            <w:r>
              <w:rPr>
                <w:rFonts w:hint="eastAsia" w:ascii="宋体" w:hAnsi="宋体" w:eastAsia="宋体" w:cs="宋体"/>
                <w:color w:val="auto"/>
                <w:sz w:val="24"/>
                <w:szCs w:val="24"/>
                <w:highlight w:val="none"/>
              </w:rPr>
              <w:t>，各投标单位投标人代表应提前下载“腾讯会议”软件。在</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时间（暨：投标截止时间）前输入会议号</w:t>
            </w:r>
            <w:r>
              <w:rPr>
                <w:rFonts w:hint="eastAsia" w:ascii="宋体" w:hAnsi="宋体" w:eastAsia="宋体" w:cs="宋体"/>
                <w:color w:val="auto"/>
                <w:sz w:val="24"/>
                <w:szCs w:val="24"/>
                <w:highlight w:val="none"/>
                <w:lang w:eastAsia="zh-CN"/>
              </w:rPr>
              <w:t>（</w:t>
            </w:r>
            <w:r>
              <w:rPr>
                <w:rFonts w:hint="eastAsia" w:ascii="宋体" w:hAnsi="宋体" w:eastAsia="宋体" w:cs="宋体"/>
                <w:color w:val="0000FF"/>
                <w:sz w:val="24"/>
                <w:szCs w:val="24"/>
                <w:highlight w:val="none"/>
                <w:lang w:eastAsia="zh-CN"/>
              </w:rPr>
              <w:t>914-413-054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或扫描二维码进入腾讯会议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开标结束后</w:t>
            </w:r>
            <w:r>
              <w:rPr>
                <w:rFonts w:hint="eastAsia" w:ascii="宋体" w:hAnsi="宋体" w:eastAsia="宋体" w:cs="宋体"/>
                <w:color w:val="auto"/>
                <w:sz w:val="24"/>
                <w:szCs w:val="24"/>
                <w:highlight w:val="none"/>
              </w:rPr>
              <w:t>采购人和采购代理机构依法对供应商的资格证明文件进行审查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审查通过后</w:t>
            </w:r>
            <w:r>
              <w:rPr>
                <w:rFonts w:hint="eastAsia" w:ascii="宋体" w:hAnsi="宋体" w:eastAsia="宋体" w:cs="宋体"/>
                <w:color w:val="auto"/>
                <w:sz w:val="24"/>
                <w:szCs w:val="24"/>
                <w:highlight w:val="none"/>
              </w:rPr>
              <w:t>签字确认检查结果。谈判小组对通过资格审查的供应商进行符合性审查，</w:t>
            </w:r>
            <w:r>
              <w:rPr>
                <w:rFonts w:hint="eastAsia" w:ascii="宋体" w:hAnsi="宋体" w:eastAsia="宋体" w:cs="宋体"/>
                <w:color w:val="auto"/>
                <w:sz w:val="24"/>
                <w:szCs w:val="24"/>
                <w:highlight w:val="none"/>
                <w:lang w:val="en-US" w:eastAsia="zh-CN"/>
              </w:rPr>
              <w:t>审查通过后</w:t>
            </w:r>
            <w:r>
              <w:rPr>
                <w:rFonts w:hint="eastAsia" w:ascii="宋体" w:hAnsi="宋体" w:eastAsia="宋体" w:cs="宋体"/>
                <w:color w:val="auto"/>
                <w:sz w:val="24"/>
                <w:szCs w:val="24"/>
                <w:highlight w:val="none"/>
              </w:rPr>
              <w:t>签字确认检查结果。谈判采取背对背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腾讯会议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的方式。即谈判小组所有成员集中与各供应商分别进行一对一的谈判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双方经过谈判，质量和服务均能满足采购文件实质性响应要求的供应商才具有最后报价的机会。</w:t>
            </w:r>
          </w:p>
          <w:p w14:paraId="050B69A5">
            <w:pPr>
              <w:spacing w:line="360" w:lineRule="auto"/>
              <w:jc w:val="center"/>
              <w:rPr>
                <w:rFonts w:ascii="宋体" w:hAnsi="宋体" w:cs="宋体"/>
                <w:color w:val="auto"/>
                <w:sz w:val="24"/>
                <w:szCs w:val="24"/>
                <w:highlight w:val="none"/>
              </w:rPr>
            </w:pPr>
          </w:p>
          <w:p w14:paraId="1A91541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最后一轮报价时间：开标会议</w:t>
            </w:r>
            <w:r>
              <w:rPr>
                <w:rFonts w:hint="eastAsia" w:ascii="思源宋体 CN Light" w:hAnsi="思源宋体 CN Light" w:eastAsia="思源宋体 CN Light" w:cs="思源宋体 CN Light"/>
                <w:color w:val="auto"/>
                <w:sz w:val="24"/>
                <w:szCs w:val="24"/>
                <w:highlight w:val="none"/>
              </w:rPr>
              <w:t>在线</w:t>
            </w:r>
            <w:r>
              <w:rPr>
                <w:rFonts w:hint="eastAsia" w:ascii="宋体" w:hAnsi="宋体" w:cs="宋体"/>
                <w:color w:val="auto"/>
                <w:sz w:val="24"/>
                <w:szCs w:val="24"/>
                <w:highlight w:val="none"/>
              </w:rPr>
              <w:t>或手机通知</w:t>
            </w:r>
            <w:r>
              <w:rPr>
                <w:rFonts w:hint="eastAsia" w:ascii="宋体" w:hAnsi="宋体" w:cs="宋体"/>
                <w:b/>
                <w:bCs/>
                <w:color w:val="auto"/>
                <w:sz w:val="24"/>
                <w:szCs w:val="24"/>
                <w:highlight w:val="none"/>
              </w:rPr>
              <w:t>（供应商保持在线直到评审结束，请投标单位本项目授权委托人或法人代表保持手机畅通，以便于接收最后报价通知，各供应商在CA锁-网上报价进行最后报价。）</w:t>
            </w:r>
          </w:p>
        </w:tc>
      </w:tr>
      <w:tr w14:paraId="7EC4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8" w:type="dxa"/>
            <w:noWrap w:val="0"/>
            <w:vAlign w:val="center"/>
          </w:tcPr>
          <w:p w14:paraId="72522EB9">
            <w:pPr>
              <w:spacing w:line="360" w:lineRule="auto"/>
              <w:jc w:val="center"/>
              <w:rPr>
                <w:rFonts w:hint="default"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29</w:t>
            </w:r>
          </w:p>
        </w:tc>
        <w:tc>
          <w:tcPr>
            <w:tcW w:w="9088" w:type="dxa"/>
            <w:noWrap w:val="0"/>
            <w:vAlign w:val="center"/>
          </w:tcPr>
          <w:p w14:paraId="41220D0D">
            <w:pPr>
              <w:widowControl/>
              <w:spacing w:line="360" w:lineRule="auto"/>
              <w:ind w:firstLine="480" w:firstLineChars="200"/>
              <w:jc w:val="left"/>
              <w:rPr>
                <w:color w:val="auto"/>
                <w:highlight w:val="none"/>
              </w:rPr>
            </w:pPr>
            <w:r>
              <w:rPr>
                <w:rFonts w:hint="eastAsia" w:ascii="宋体" w:hAnsi="宋体" w:cs="宋体"/>
                <w:color w:val="auto"/>
                <w:kern w:val="0"/>
                <w:sz w:val="24"/>
                <w:szCs w:val="24"/>
                <w:highlight w:val="none"/>
                <w:lang w:bidi="ar"/>
              </w:rPr>
              <w:t xml:space="preserve">1、投标人须使用数字认证证书对电子谈判响应文件进行签章、加密、递交及开标时解密等相关招投标事宜。如投标人数字认证证书无法解密谈判响应文件，按无效投标对待。 </w:t>
            </w:r>
          </w:p>
          <w:p w14:paraId="64C32ADB">
            <w:pPr>
              <w:widowControl/>
              <w:spacing w:line="360" w:lineRule="auto"/>
              <w:ind w:firstLine="480" w:firstLineChars="200"/>
              <w:jc w:val="left"/>
              <w:rPr>
                <w:color w:val="auto"/>
                <w:highlight w:val="none"/>
              </w:rPr>
            </w:pPr>
            <w:r>
              <w:rPr>
                <w:rFonts w:hint="eastAsia" w:ascii="宋体" w:hAnsi="宋体" w:cs="宋体"/>
                <w:color w:val="auto"/>
                <w:kern w:val="0"/>
                <w:sz w:val="24"/>
                <w:szCs w:val="24"/>
                <w:highlight w:val="none"/>
                <w:lang w:bidi="ar"/>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5FAF429B">
            <w:pPr>
              <w:widowControl/>
              <w:spacing w:line="360" w:lineRule="auto"/>
              <w:ind w:firstLine="480" w:firstLineChars="200"/>
              <w:rPr>
                <w:color w:val="auto"/>
                <w:highlight w:val="none"/>
              </w:rPr>
            </w:pPr>
            <w:r>
              <w:rPr>
                <w:rFonts w:hint="eastAsia" w:ascii="宋体" w:hAnsi="宋体" w:cs="宋体"/>
                <w:color w:val="auto"/>
                <w:kern w:val="0"/>
                <w:sz w:val="24"/>
                <w:szCs w:val="24"/>
                <w:highlight w:val="none"/>
                <w:lang w:bidi="ar"/>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3E6D1AB2">
            <w:pPr>
              <w:spacing w:line="360" w:lineRule="auto"/>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4、谈判响应文件中所有涉及签字、盖章的，各投标单位须将所有签字盖章完成后上传。</w:t>
            </w:r>
          </w:p>
        </w:tc>
      </w:tr>
    </w:tbl>
    <w:p w14:paraId="7CCCE365">
      <w:pPr>
        <w:rPr>
          <w:color w:val="auto"/>
          <w:sz w:val="24"/>
          <w:szCs w:val="24"/>
          <w:highlight w:val="none"/>
        </w:rPr>
        <w:sectPr>
          <w:footnotePr>
            <w:pos w:val="beneathText"/>
          </w:footnotePr>
          <w:pgSz w:w="11906" w:h="16838"/>
          <w:pgMar w:top="1417" w:right="1558" w:bottom="1757" w:left="1417" w:header="851" w:footer="992" w:gutter="0"/>
          <w:pgNumType w:fmt="decimal"/>
          <w:cols w:space="720" w:num="1"/>
          <w:docGrid w:type="lines" w:linePitch="312" w:charSpace="0"/>
        </w:sectPr>
      </w:pPr>
    </w:p>
    <w:bookmarkEnd w:id="7"/>
    <w:bookmarkEnd w:id="18"/>
    <w:bookmarkEnd w:id="19"/>
    <w:bookmarkEnd w:id="20"/>
    <w:bookmarkEnd w:id="21"/>
    <w:p w14:paraId="204C3ADF">
      <w:pPr>
        <w:pStyle w:val="2"/>
        <w:pageBreakBefore w:val="0"/>
        <w:bidi w:val="0"/>
        <w:spacing w:line="460" w:lineRule="exact"/>
        <w:jc w:val="center"/>
        <w:textAlignment w:val="auto"/>
        <w:rPr>
          <w:rFonts w:ascii="宋体" w:hAnsi="宋体" w:cs="宋体"/>
          <w:color w:val="auto"/>
          <w:sz w:val="32"/>
          <w:szCs w:val="32"/>
          <w:highlight w:val="none"/>
        </w:rPr>
      </w:pPr>
      <w:bookmarkStart w:id="33" w:name="_Toc8259"/>
      <w:bookmarkStart w:id="34" w:name="_Toc29457"/>
      <w:bookmarkStart w:id="35" w:name="_Toc26541"/>
      <w:bookmarkStart w:id="36" w:name="_Toc11351"/>
      <w:bookmarkStart w:id="37" w:name="_Toc17129"/>
      <w:bookmarkStart w:id="38" w:name="_Toc246928894"/>
      <w:bookmarkStart w:id="39" w:name="_Toc23518"/>
      <w:bookmarkStart w:id="40" w:name="_Toc7404"/>
      <w:bookmarkStart w:id="41" w:name="_Toc465958087"/>
      <w:bookmarkStart w:id="42" w:name="_Toc30436"/>
      <w:bookmarkStart w:id="43" w:name="_Toc25348"/>
      <w:bookmarkStart w:id="44" w:name="_Toc31369"/>
      <w:bookmarkStart w:id="45" w:name="_Toc16531"/>
      <w:bookmarkStart w:id="46" w:name="_Toc12300"/>
      <w:bookmarkStart w:id="47" w:name="_Toc4754"/>
      <w:r>
        <w:rPr>
          <w:rFonts w:hint="eastAsia" w:ascii="宋体" w:hAnsi="宋体" w:cs="宋体"/>
          <w:color w:val="auto"/>
          <w:sz w:val="32"/>
          <w:szCs w:val="32"/>
          <w:highlight w:val="none"/>
        </w:rPr>
        <w:t>第三部分  供应商须知</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2A3C2C1">
      <w:pPr>
        <w:pStyle w:val="3"/>
        <w:pageBreakBefore w:val="0"/>
        <w:bidi w:val="0"/>
        <w:spacing w:before="0" w:after="0" w:line="460" w:lineRule="exact"/>
        <w:jc w:val="center"/>
        <w:textAlignment w:val="auto"/>
        <w:rPr>
          <w:rFonts w:ascii="宋体" w:hAnsi="宋体" w:eastAsia="宋体" w:cs="宋体"/>
          <w:color w:val="auto"/>
          <w:sz w:val="36"/>
          <w:szCs w:val="24"/>
          <w:highlight w:val="none"/>
        </w:rPr>
      </w:pPr>
      <w:bookmarkStart w:id="48" w:name="_Toc246928895"/>
      <w:bookmarkStart w:id="49" w:name="_Toc465958088"/>
      <w:bookmarkStart w:id="50" w:name="_Toc31058"/>
      <w:bookmarkStart w:id="51" w:name="_Toc23623"/>
      <w:bookmarkStart w:id="52" w:name="_Toc1381"/>
      <w:bookmarkStart w:id="53" w:name="_Toc30345"/>
      <w:bookmarkStart w:id="54" w:name="_Toc32198"/>
      <w:bookmarkStart w:id="55" w:name="_Toc10690"/>
      <w:r>
        <w:rPr>
          <w:rFonts w:hint="eastAsia" w:ascii="宋体" w:hAnsi="宋体" w:eastAsia="宋体" w:cs="宋体"/>
          <w:color w:val="auto"/>
          <w:sz w:val="36"/>
          <w:szCs w:val="24"/>
          <w:highlight w:val="none"/>
        </w:rPr>
        <w:t>A 总则</w:t>
      </w:r>
      <w:bookmarkEnd w:id="48"/>
      <w:bookmarkEnd w:id="49"/>
      <w:bookmarkEnd w:id="50"/>
      <w:bookmarkEnd w:id="51"/>
      <w:bookmarkEnd w:id="52"/>
      <w:bookmarkEnd w:id="53"/>
      <w:bookmarkEnd w:id="54"/>
      <w:bookmarkEnd w:id="55"/>
    </w:p>
    <w:p w14:paraId="07593927">
      <w:pPr>
        <w:pStyle w:val="4"/>
        <w:pageBreakBefore w:val="0"/>
        <w:bidi w:val="0"/>
        <w:spacing w:before="156" w:beforeLines="50" w:after="156" w:afterLines="50" w:line="460" w:lineRule="exact"/>
        <w:textAlignment w:val="auto"/>
        <w:rPr>
          <w:rFonts w:ascii="宋体" w:hAnsi="宋体" w:cs="宋体"/>
          <w:color w:val="auto"/>
          <w:szCs w:val="24"/>
          <w:highlight w:val="none"/>
        </w:rPr>
      </w:pPr>
      <w:bookmarkStart w:id="56" w:name="_Toc31417"/>
      <w:bookmarkStart w:id="57" w:name="_Toc7587"/>
      <w:bookmarkStart w:id="58" w:name="_Toc21639"/>
      <w:bookmarkStart w:id="59" w:name="_Toc30424"/>
      <w:bookmarkStart w:id="60" w:name="_Toc15325"/>
      <w:bookmarkStart w:id="61" w:name="_Toc4811"/>
      <w:bookmarkStart w:id="62" w:name="_Toc246928896"/>
      <w:bookmarkStart w:id="63" w:name="_Toc13194"/>
      <w:bookmarkStart w:id="64" w:name="_Toc465958089"/>
      <w:r>
        <w:rPr>
          <w:rFonts w:hint="eastAsia" w:ascii="宋体" w:hAnsi="宋体" w:cs="宋体"/>
          <w:color w:val="auto"/>
          <w:szCs w:val="24"/>
          <w:highlight w:val="none"/>
        </w:rPr>
        <w:t>1 适用范围</w:t>
      </w:r>
      <w:bookmarkEnd w:id="56"/>
      <w:bookmarkEnd w:id="57"/>
      <w:bookmarkEnd w:id="58"/>
      <w:bookmarkEnd w:id="59"/>
      <w:bookmarkEnd w:id="60"/>
      <w:bookmarkEnd w:id="61"/>
      <w:bookmarkEnd w:id="62"/>
      <w:bookmarkEnd w:id="63"/>
      <w:bookmarkEnd w:id="64"/>
    </w:p>
    <w:p w14:paraId="30374F7E">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1.1本竞争性谈判文件仅适用于本谈判公告中所叙述项目的</w:t>
      </w:r>
      <w:r>
        <w:rPr>
          <w:rFonts w:hint="eastAsia" w:ascii="宋体" w:hAnsi="宋体" w:cs="宋体"/>
          <w:color w:val="auto"/>
          <w:sz w:val="24"/>
          <w:highlight w:val="none"/>
        </w:rPr>
        <w:t>货物及服务采购</w:t>
      </w:r>
      <w:r>
        <w:rPr>
          <w:rFonts w:hint="eastAsia" w:ascii="宋体" w:hAnsi="宋体" w:cs="宋体"/>
          <w:color w:val="auto"/>
          <w:sz w:val="24"/>
          <w:szCs w:val="24"/>
          <w:highlight w:val="none"/>
        </w:rPr>
        <w:t>。</w:t>
      </w:r>
    </w:p>
    <w:p w14:paraId="733298B4">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1.2本次采购属政府采购，采购人，采购代理机构、供应商、谈判小组的相关行为均受《中华人民共和国政府采购法》、财政部规章及政府采购项目所在地有关法规、规章的约束，其权利受到上述法律法规的保护。</w:t>
      </w:r>
    </w:p>
    <w:p w14:paraId="601B3F33">
      <w:pPr>
        <w:pStyle w:val="4"/>
        <w:pageBreakBefore w:val="0"/>
        <w:bidi w:val="0"/>
        <w:spacing w:before="156" w:beforeLines="50" w:after="156" w:afterLines="50" w:line="460" w:lineRule="exact"/>
        <w:textAlignment w:val="auto"/>
        <w:rPr>
          <w:rFonts w:ascii="宋体" w:hAnsi="宋体" w:cs="宋体"/>
          <w:color w:val="auto"/>
          <w:szCs w:val="24"/>
          <w:highlight w:val="none"/>
        </w:rPr>
      </w:pPr>
      <w:bookmarkStart w:id="65" w:name="_Toc14299"/>
      <w:bookmarkStart w:id="66" w:name="_Toc10329"/>
      <w:bookmarkStart w:id="67" w:name="_Toc28727"/>
      <w:bookmarkStart w:id="68" w:name="_Toc9614"/>
      <w:bookmarkStart w:id="69" w:name="_Toc18894"/>
      <w:bookmarkStart w:id="70" w:name="_Toc246928897"/>
      <w:bookmarkStart w:id="71" w:name="_Toc465958090"/>
      <w:bookmarkStart w:id="72" w:name="_Toc31636"/>
      <w:bookmarkStart w:id="73" w:name="_Toc6698"/>
      <w:r>
        <w:rPr>
          <w:rFonts w:hint="eastAsia" w:ascii="宋体" w:hAnsi="宋体" w:cs="宋体"/>
          <w:color w:val="auto"/>
          <w:szCs w:val="24"/>
          <w:highlight w:val="none"/>
        </w:rPr>
        <w:t>2 定义</w:t>
      </w:r>
      <w:bookmarkEnd w:id="65"/>
      <w:bookmarkEnd w:id="66"/>
      <w:bookmarkEnd w:id="67"/>
      <w:bookmarkEnd w:id="68"/>
      <w:bookmarkEnd w:id="69"/>
      <w:bookmarkEnd w:id="70"/>
      <w:bookmarkEnd w:id="71"/>
      <w:bookmarkEnd w:id="72"/>
      <w:bookmarkEnd w:id="73"/>
      <w:r>
        <w:rPr>
          <w:rFonts w:hint="eastAsia" w:ascii="宋体" w:hAnsi="宋体" w:cs="宋体"/>
          <w:color w:val="auto"/>
          <w:szCs w:val="24"/>
          <w:highlight w:val="none"/>
        </w:rPr>
        <w:t xml:space="preserve"> </w:t>
      </w:r>
    </w:p>
    <w:p w14:paraId="5AE3571A">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2.1 “采购人”系指</w:t>
      </w:r>
      <w:r>
        <w:rPr>
          <w:rFonts w:hint="eastAsia" w:ascii="宋体" w:hAnsi="宋体" w:cs="宋体"/>
          <w:color w:val="auto"/>
          <w:sz w:val="24"/>
          <w:szCs w:val="24"/>
          <w:highlight w:val="none"/>
          <w:lang w:eastAsia="zh-CN"/>
        </w:rPr>
        <w:t>子洲县中医院</w:t>
      </w:r>
      <w:r>
        <w:rPr>
          <w:rFonts w:hint="eastAsia" w:ascii="宋体" w:hAnsi="宋体" w:cs="宋体"/>
          <w:color w:val="auto"/>
          <w:sz w:val="24"/>
          <w:szCs w:val="24"/>
          <w:highlight w:val="none"/>
        </w:rPr>
        <w:t>。</w:t>
      </w:r>
    </w:p>
    <w:p w14:paraId="56C7746D">
      <w:pPr>
        <w:pageBreakBefore w:val="0"/>
        <w:bidi w:val="0"/>
        <w:spacing w:line="4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“采购代理机构”系指</w:t>
      </w:r>
      <w:r>
        <w:rPr>
          <w:rFonts w:hint="eastAsia" w:ascii="宋体" w:hAnsi="宋体" w:cs="宋体"/>
          <w:color w:val="auto"/>
          <w:sz w:val="24"/>
          <w:szCs w:val="24"/>
          <w:highlight w:val="none"/>
          <w:lang w:eastAsia="zh-CN"/>
        </w:rPr>
        <w:t>陕安项目管理有限公司</w:t>
      </w:r>
      <w:r>
        <w:rPr>
          <w:rFonts w:hint="eastAsia" w:ascii="宋体" w:hAnsi="宋体" w:cs="宋体"/>
          <w:color w:val="auto"/>
          <w:sz w:val="24"/>
          <w:szCs w:val="24"/>
          <w:highlight w:val="none"/>
        </w:rPr>
        <w:t>。</w:t>
      </w:r>
    </w:p>
    <w:p w14:paraId="6339B156">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2.2 “供应商”系指响应采购人要求，向采购人提交竞争性谈判响应文件的供应商。</w:t>
      </w:r>
    </w:p>
    <w:p w14:paraId="673C0326">
      <w:pPr>
        <w:pageBreakBefore w:val="0"/>
        <w:bidi w:val="0"/>
        <w:spacing w:line="460" w:lineRule="exact"/>
        <w:textAlignment w:val="auto"/>
        <w:rPr>
          <w:rFonts w:ascii="宋体" w:hAnsi="宋体" w:cs="仿宋_GB2312"/>
          <w:color w:val="auto"/>
          <w:sz w:val="24"/>
          <w:szCs w:val="24"/>
          <w:highlight w:val="none"/>
        </w:rPr>
      </w:pPr>
      <w:bookmarkStart w:id="74" w:name="_Toc246928898"/>
      <w:r>
        <w:rPr>
          <w:rFonts w:hint="eastAsia" w:ascii="宋体" w:hAnsi="宋体" w:cs="仿宋_GB2312"/>
          <w:color w:val="auto"/>
          <w:sz w:val="24"/>
          <w:szCs w:val="24"/>
          <w:highlight w:val="none"/>
        </w:rPr>
        <w:t>2.3 “货物”系指供应商按招标文件规定，须向买方提供的货物、备品配件、耗材、设备及其它有关技术资料和材料。</w:t>
      </w:r>
    </w:p>
    <w:p w14:paraId="0EA124FE">
      <w:pPr>
        <w:pageBreakBefore w:val="0"/>
        <w:bidi w:val="0"/>
        <w:spacing w:line="460" w:lineRule="exact"/>
        <w:textAlignment w:val="auto"/>
        <w:rPr>
          <w:rFonts w:ascii="宋体" w:hAnsi="宋体" w:cs="宋体"/>
          <w:color w:val="auto"/>
          <w:sz w:val="24"/>
          <w:szCs w:val="24"/>
          <w:highlight w:val="none"/>
        </w:rPr>
      </w:pPr>
      <w:r>
        <w:rPr>
          <w:rFonts w:hint="eastAsia" w:ascii="宋体" w:hAnsi="宋体" w:cs="仿宋_GB2312"/>
          <w:color w:val="auto"/>
          <w:sz w:val="24"/>
          <w:szCs w:val="24"/>
          <w:highlight w:val="none"/>
        </w:rPr>
        <w:t>2.4 “服务”系指招标文件规定供应商须承担的测试、检验、调试、技术支持、售后服务以及其他类似服务的义务。</w:t>
      </w:r>
    </w:p>
    <w:bookmarkEnd w:id="74"/>
    <w:p w14:paraId="0B91E90B">
      <w:pPr>
        <w:pStyle w:val="4"/>
        <w:pageBreakBefore w:val="0"/>
        <w:bidi w:val="0"/>
        <w:spacing w:before="156" w:beforeLines="50" w:after="156" w:afterLines="50" w:line="460" w:lineRule="exact"/>
        <w:textAlignment w:val="auto"/>
        <w:rPr>
          <w:rFonts w:ascii="宋体" w:hAnsi="宋体" w:cs="宋体"/>
          <w:color w:val="auto"/>
          <w:szCs w:val="24"/>
          <w:highlight w:val="none"/>
        </w:rPr>
      </w:pPr>
      <w:bookmarkStart w:id="75" w:name="_Toc27989"/>
      <w:bookmarkStart w:id="76" w:name="_Toc16727"/>
      <w:bookmarkStart w:id="77" w:name="_Toc19646"/>
      <w:bookmarkStart w:id="78" w:name="_Toc465958091"/>
      <w:bookmarkStart w:id="79" w:name="_Toc26952"/>
      <w:bookmarkStart w:id="80" w:name="_Toc20739"/>
      <w:bookmarkStart w:id="81" w:name="_Toc875"/>
      <w:bookmarkStart w:id="82" w:name="_Toc5419"/>
      <w:r>
        <w:rPr>
          <w:rFonts w:hint="eastAsia" w:ascii="宋体" w:hAnsi="宋体" w:cs="宋体"/>
          <w:color w:val="auto"/>
          <w:szCs w:val="24"/>
          <w:highlight w:val="none"/>
        </w:rPr>
        <w:t>3 合格的</w:t>
      </w:r>
      <w:bookmarkEnd w:id="75"/>
      <w:bookmarkEnd w:id="76"/>
      <w:bookmarkEnd w:id="77"/>
      <w:bookmarkEnd w:id="78"/>
      <w:bookmarkEnd w:id="79"/>
      <w:bookmarkEnd w:id="80"/>
      <w:r>
        <w:rPr>
          <w:rFonts w:hint="eastAsia" w:ascii="宋体" w:hAnsi="宋体" w:cs="宋体"/>
          <w:color w:val="auto"/>
          <w:szCs w:val="24"/>
          <w:highlight w:val="none"/>
        </w:rPr>
        <w:t>供应商</w:t>
      </w:r>
      <w:bookmarkEnd w:id="81"/>
      <w:bookmarkEnd w:id="82"/>
    </w:p>
    <w:p w14:paraId="7F955017">
      <w:pPr>
        <w:pageBreakBefore w:val="0"/>
        <w:wordWrap w:val="0"/>
        <w:topLinePunct/>
        <w:bidi w:val="0"/>
        <w:spacing w:line="460" w:lineRule="exact"/>
        <w:jc w:val="left"/>
        <w:textAlignment w:val="auto"/>
        <w:rPr>
          <w:rFonts w:ascii="宋体" w:hAnsi="宋体"/>
          <w:color w:val="auto"/>
          <w:sz w:val="24"/>
          <w:highlight w:val="none"/>
        </w:rPr>
      </w:pPr>
      <w:bookmarkStart w:id="83" w:name="_Toc18683"/>
      <w:bookmarkStart w:id="84" w:name="_Toc9563"/>
      <w:bookmarkStart w:id="85" w:name="_Toc18171"/>
      <w:bookmarkStart w:id="86" w:name="_Toc3389"/>
      <w:bookmarkStart w:id="87" w:name="_Toc465958092"/>
      <w:bookmarkStart w:id="88" w:name="_Toc21286"/>
      <w:bookmarkStart w:id="89" w:name="_Toc246928899"/>
      <w:r>
        <w:rPr>
          <w:rFonts w:hint="eastAsia" w:ascii="宋体" w:hAnsi="宋体" w:cs="宋体"/>
          <w:color w:val="auto"/>
          <w:sz w:val="24"/>
          <w:szCs w:val="24"/>
          <w:highlight w:val="none"/>
        </w:rPr>
        <w:t xml:space="preserve">3.1 </w:t>
      </w:r>
      <w:r>
        <w:rPr>
          <w:rFonts w:hint="eastAsia" w:ascii="宋体" w:hAnsi="宋体"/>
          <w:color w:val="auto"/>
          <w:sz w:val="24"/>
          <w:highlight w:val="none"/>
        </w:rPr>
        <w:t>合格的供应商：满足下列资格条件且有能力提供项目所需服务的供应商。</w:t>
      </w:r>
    </w:p>
    <w:p w14:paraId="0548BF25">
      <w:pPr>
        <w:pageBreakBefore w:val="0"/>
        <w:bidi w:val="0"/>
        <w:spacing w:line="460" w:lineRule="exact"/>
        <w:textAlignment w:val="auto"/>
        <w:rPr>
          <w:rFonts w:ascii="宋体" w:hAnsi="宋体"/>
          <w:bCs/>
          <w:color w:val="auto"/>
          <w:sz w:val="24"/>
          <w:highlight w:val="none"/>
        </w:rPr>
      </w:pPr>
      <w:r>
        <w:rPr>
          <w:rFonts w:hint="eastAsia" w:ascii="宋体" w:hAnsi="宋体" w:cs="宋体"/>
          <w:color w:val="auto"/>
          <w:sz w:val="24"/>
          <w:szCs w:val="24"/>
          <w:highlight w:val="none"/>
        </w:rPr>
        <w:t>3.2</w:t>
      </w:r>
      <w:r>
        <w:rPr>
          <w:rFonts w:hint="eastAsia" w:ascii="宋体" w:hAnsi="宋体"/>
          <w:bCs/>
          <w:color w:val="auto"/>
          <w:sz w:val="24"/>
          <w:highlight w:val="none"/>
        </w:rPr>
        <w:t>资格条件</w:t>
      </w:r>
    </w:p>
    <w:p w14:paraId="0D50A13A">
      <w:pPr>
        <w:pageBreakBefore w:val="0"/>
        <w:bidi w:val="0"/>
        <w:spacing w:line="460" w:lineRule="exact"/>
        <w:ind w:firstLine="240" w:firstLineChars="100"/>
        <w:textAlignment w:val="auto"/>
        <w:rPr>
          <w:rFonts w:ascii="宋体" w:hAnsi="宋体" w:cs="宋体"/>
          <w:color w:val="auto"/>
          <w:sz w:val="24"/>
          <w:szCs w:val="24"/>
          <w:highlight w:val="none"/>
        </w:rPr>
      </w:pPr>
      <w:r>
        <w:rPr>
          <w:rFonts w:hint="eastAsia" w:ascii="宋体" w:hAnsi="宋体"/>
          <w:bCs/>
          <w:color w:val="auto"/>
          <w:sz w:val="24"/>
          <w:highlight w:val="none"/>
        </w:rPr>
        <w:t>3.2.1</w:t>
      </w:r>
      <w:r>
        <w:rPr>
          <w:rFonts w:hint="eastAsia" w:ascii="宋体" w:hAnsi="宋体" w:cs="宋体"/>
          <w:color w:val="auto"/>
          <w:sz w:val="24"/>
          <w:szCs w:val="24"/>
          <w:highlight w:val="none"/>
        </w:rPr>
        <w:t>供应商应当符合《中华人民共和国政府采购法》第二十二条第一款规定的投标人基本资格条件；以及竞争性谈判文件规定的供应商</w:t>
      </w:r>
      <w:r>
        <w:rPr>
          <w:rFonts w:hint="eastAsia" w:ascii="宋体" w:hAnsi="宋体" w:cs="宋体"/>
          <w:color w:val="auto"/>
          <w:sz w:val="24"/>
          <w:highlight w:val="none"/>
        </w:rPr>
        <w:t>特定资格条件</w:t>
      </w:r>
      <w:r>
        <w:rPr>
          <w:rFonts w:hint="eastAsia" w:ascii="宋体" w:hAnsi="宋体" w:cs="宋体"/>
          <w:color w:val="auto"/>
          <w:sz w:val="24"/>
          <w:szCs w:val="24"/>
          <w:highlight w:val="none"/>
        </w:rPr>
        <w:t>。</w:t>
      </w:r>
    </w:p>
    <w:p w14:paraId="5860EE0E">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3.3供应商必须从陕西省公共资源交易平台获取竞争性谈判文件，供应商自行转让或复制的竞争性谈判文件视为无效文件，此文件仅作为本次谈判使用。</w:t>
      </w:r>
    </w:p>
    <w:p w14:paraId="1DFC9CC4">
      <w:pPr>
        <w:pageBreakBefore w:val="0"/>
        <w:bidi w:val="0"/>
        <w:spacing w:line="460" w:lineRule="exact"/>
        <w:textAlignment w:val="auto"/>
        <w:rPr>
          <w:color w:val="auto"/>
          <w:highlight w:val="none"/>
        </w:rPr>
      </w:pPr>
      <w:r>
        <w:rPr>
          <w:rFonts w:hint="eastAsia" w:ascii="宋体" w:hAnsi="宋体" w:cs="宋体"/>
          <w:color w:val="auto"/>
          <w:sz w:val="24"/>
          <w:szCs w:val="24"/>
          <w:highlight w:val="none"/>
        </w:rPr>
        <w:t>3.4法定代表人或者负责人为同一人或者存在控股、管理关系的两个以上供应商，不得参加同一政府采购项目投标。</w:t>
      </w:r>
    </w:p>
    <w:p w14:paraId="7A418214">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3.5是否接受联合体投标：见投标人须知前附表。</w:t>
      </w:r>
    </w:p>
    <w:p w14:paraId="5EBCAC7F">
      <w:pPr>
        <w:pageBreakBefore w:val="0"/>
        <w:bidi w:val="0"/>
        <w:spacing w:line="460" w:lineRule="exact"/>
        <w:textAlignment w:val="auto"/>
        <w:rPr>
          <w:color w:val="auto"/>
          <w:highlight w:val="none"/>
        </w:rPr>
      </w:pPr>
      <w:r>
        <w:rPr>
          <w:rFonts w:hint="eastAsia" w:ascii="宋体" w:hAnsi="宋体" w:cs="宋体"/>
          <w:color w:val="auto"/>
          <w:sz w:val="24"/>
          <w:szCs w:val="24"/>
          <w:highlight w:val="none"/>
        </w:rPr>
        <w:t>3.6供应商应参照《中华人民共和国政府采购法》及其它有关的中国法律和法规。</w:t>
      </w:r>
    </w:p>
    <w:p w14:paraId="1E9D2E9B">
      <w:pPr>
        <w:pStyle w:val="4"/>
        <w:pageBreakBefore w:val="0"/>
        <w:bidi w:val="0"/>
        <w:spacing w:line="460" w:lineRule="exact"/>
        <w:textAlignment w:val="auto"/>
        <w:rPr>
          <w:rFonts w:ascii="宋体" w:hAnsi="宋体" w:cs="宋体"/>
          <w:bCs/>
          <w:color w:val="auto"/>
          <w:highlight w:val="none"/>
        </w:rPr>
      </w:pPr>
      <w:bookmarkStart w:id="90" w:name="_Toc13775"/>
      <w:bookmarkStart w:id="91" w:name="_Toc15074"/>
      <w:r>
        <w:rPr>
          <w:rFonts w:hint="eastAsia" w:ascii="宋体" w:hAnsi="宋体" w:cs="宋体"/>
          <w:bCs/>
          <w:color w:val="auto"/>
          <w:highlight w:val="none"/>
        </w:rPr>
        <w:t>4 费用</w:t>
      </w:r>
      <w:bookmarkEnd w:id="83"/>
      <w:bookmarkEnd w:id="84"/>
      <w:bookmarkEnd w:id="85"/>
      <w:bookmarkEnd w:id="86"/>
      <w:bookmarkEnd w:id="87"/>
      <w:bookmarkEnd w:id="88"/>
      <w:bookmarkEnd w:id="89"/>
      <w:bookmarkEnd w:id="90"/>
      <w:bookmarkEnd w:id="91"/>
    </w:p>
    <w:p w14:paraId="310A337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4.1 供应商应承担所有与编写和提交竞争性谈判响应文件有关的费用，无论谈判过程中的做法和结果如何，供应商自行承担参加谈判相关的全部费用。</w:t>
      </w:r>
    </w:p>
    <w:p w14:paraId="04BA2B22">
      <w:pPr>
        <w:pStyle w:val="3"/>
        <w:pageBreakBefore w:val="0"/>
        <w:bidi w:val="0"/>
        <w:spacing w:line="460" w:lineRule="exact"/>
        <w:jc w:val="center"/>
        <w:textAlignment w:val="auto"/>
        <w:rPr>
          <w:rFonts w:ascii="宋体" w:hAnsi="宋体" w:eastAsia="宋体" w:cs="宋体"/>
          <w:bCs/>
          <w:color w:val="auto"/>
          <w:sz w:val="44"/>
          <w:highlight w:val="none"/>
        </w:rPr>
      </w:pPr>
      <w:bookmarkStart w:id="92" w:name="_Toc246928900"/>
      <w:bookmarkStart w:id="93" w:name="_Toc3331"/>
      <w:bookmarkStart w:id="94" w:name="_Toc26140"/>
      <w:bookmarkStart w:id="95" w:name="_Toc1383"/>
      <w:bookmarkStart w:id="96" w:name="_Toc9289"/>
      <w:bookmarkStart w:id="97" w:name="_Toc465958093"/>
      <w:bookmarkStart w:id="98" w:name="_Toc29877"/>
      <w:bookmarkStart w:id="99" w:name="_Toc24227"/>
      <w:r>
        <w:rPr>
          <w:rFonts w:hint="eastAsia" w:ascii="宋体" w:hAnsi="宋体" w:eastAsia="宋体" w:cs="宋体"/>
          <w:bCs/>
          <w:color w:val="auto"/>
          <w:sz w:val="44"/>
          <w:highlight w:val="none"/>
        </w:rPr>
        <w:t>B 竞争性谈判文件说明</w:t>
      </w:r>
      <w:bookmarkEnd w:id="92"/>
      <w:bookmarkEnd w:id="93"/>
      <w:bookmarkEnd w:id="94"/>
      <w:bookmarkEnd w:id="95"/>
      <w:bookmarkEnd w:id="96"/>
      <w:bookmarkEnd w:id="97"/>
      <w:bookmarkEnd w:id="98"/>
      <w:bookmarkEnd w:id="99"/>
    </w:p>
    <w:p w14:paraId="16F8F44C">
      <w:pPr>
        <w:pStyle w:val="4"/>
        <w:pageBreakBefore w:val="0"/>
        <w:bidi w:val="0"/>
        <w:spacing w:line="460" w:lineRule="exact"/>
        <w:textAlignment w:val="auto"/>
        <w:rPr>
          <w:rFonts w:ascii="宋体" w:hAnsi="宋体" w:cs="宋体"/>
          <w:bCs/>
          <w:color w:val="auto"/>
          <w:highlight w:val="none"/>
        </w:rPr>
      </w:pPr>
      <w:bookmarkStart w:id="100" w:name="_Toc16142"/>
      <w:bookmarkStart w:id="101" w:name="_Toc246928901"/>
      <w:bookmarkStart w:id="102" w:name="_Toc6287"/>
      <w:bookmarkStart w:id="103" w:name="_Toc21132"/>
      <w:bookmarkStart w:id="104" w:name="_Toc465958094"/>
      <w:bookmarkStart w:id="105" w:name="_Toc15639"/>
      <w:bookmarkStart w:id="106" w:name="_Toc7327"/>
      <w:bookmarkStart w:id="107" w:name="_Toc5791"/>
      <w:bookmarkStart w:id="108" w:name="_Toc23175"/>
      <w:r>
        <w:rPr>
          <w:rFonts w:hint="eastAsia" w:ascii="宋体" w:hAnsi="宋体" w:cs="宋体"/>
          <w:bCs/>
          <w:color w:val="auto"/>
          <w:highlight w:val="none"/>
        </w:rPr>
        <w:t>5 竞争性谈判文件的构成</w:t>
      </w:r>
      <w:bookmarkEnd w:id="100"/>
      <w:bookmarkEnd w:id="101"/>
      <w:bookmarkEnd w:id="102"/>
      <w:bookmarkEnd w:id="103"/>
      <w:bookmarkEnd w:id="104"/>
      <w:bookmarkEnd w:id="105"/>
      <w:bookmarkEnd w:id="106"/>
      <w:bookmarkEnd w:id="107"/>
      <w:bookmarkEnd w:id="108"/>
    </w:p>
    <w:p w14:paraId="39A640F3">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5.1 竞争性谈判文件以阐明所需提供的货物、采购、谈判程序和合同条件。竞争性谈判文件包括：</w:t>
      </w:r>
    </w:p>
    <w:p w14:paraId="19654D21">
      <w:pPr>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5.1.1 竞争性谈判公告；</w:t>
      </w:r>
    </w:p>
    <w:p w14:paraId="31C162AB">
      <w:pPr>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5.1.2 供应商须知前附表；</w:t>
      </w:r>
    </w:p>
    <w:p w14:paraId="3B61F830">
      <w:pPr>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5.1.3 供应商须知；</w:t>
      </w:r>
    </w:p>
    <w:p w14:paraId="272F4D49">
      <w:pPr>
        <w:pageBreakBefore w:val="0"/>
        <w:tabs>
          <w:tab w:val="left" w:pos="2415"/>
        </w:tabs>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5.1.4 采购内容及</w:t>
      </w:r>
      <w:r>
        <w:rPr>
          <w:rFonts w:hint="eastAsia" w:ascii="宋体" w:hAnsi="宋体" w:cs="宋体"/>
          <w:color w:val="auto"/>
          <w:sz w:val="24"/>
          <w:highlight w:val="none"/>
          <w:lang w:eastAsia="zh-CN"/>
        </w:rPr>
        <w:t>技术</w:t>
      </w:r>
      <w:r>
        <w:rPr>
          <w:rFonts w:hint="eastAsia" w:ascii="宋体" w:hAnsi="宋体" w:cs="宋体"/>
          <w:color w:val="auto"/>
          <w:sz w:val="24"/>
          <w:highlight w:val="none"/>
        </w:rPr>
        <w:t>要求；</w:t>
      </w:r>
      <w:r>
        <w:rPr>
          <w:rFonts w:hint="eastAsia" w:ascii="宋体" w:hAnsi="宋体" w:cs="宋体"/>
          <w:color w:val="auto"/>
          <w:sz w:val="24"/>
          <w:highlight w:val="none"/>
        </w:rPr>
        <w:tab/>
      </w:r>
    </w:p>
    <w:p w14:paraId="0B37D936">
      <w:pPr>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5.1.5 商务要求；</w:t>
      </w:r>
    </w:p>
    <w:p w14:paraId="3B66CE28">
      <w:pPr>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5.1.6 政府采购合同； </w:t>
      </w:r>
    </w:p>
    <w:p w14:paraId="34776DC1">
      <w:pPr>
        <w:pStyle w:val="11"/>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5.1.7 评审方法；</w:t>
      </w:r>
    </w:p>
    <w:p w14:paraId="30458F3E">
      <w:pPr>
        <w:pStyle w:val="11"/>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5.1.8</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竞争性谈判响应文件格式；</w:t>
      </w:r>
    </w:p>
    <w:p w14:paraId="4592AC9E">
      <w:pPr>
        <w:pStyle w:val="11"/>
        <w:pageBreakBefore w:val="0"/>
        <w:bidi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5.1.9 附件；</w:t>
      </w:r>
    </w:p>
    <w:p w14:paraId="081157BC">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5.2 供应商应认真阅读竞争性谈判文件中所有的事项、格式、条款和规范要求等。</w:t>
      </w:r>
    </w:p>
    <w:p w14:paraId="642F80F2">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5.3 供应商没有对竞争性谈判文件全面做出实质性响应是供应商的风险。采购人有权拒绝没有对竞争性谈判文件要求做出实质性响应的谈判。</w:t>
      </w:r>
    </w:p>
    <w:p w14:paraId="7082B3D2">
      <w:pPr>
        <w:pageBreakBefore w:val="0"/>
        <w:bidi w:val="0"/>
        <w:spacing w:line="46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790D79AD">
      <w:pPr>
        <w:pStyle w:val="16"/>
        <w:spacing w:before="0" w:beforeAutospacing="0" w:after="0" w:afterAutospacing="0" w:line="360" w:lineRule="auto"/>
        <w:ind w:firstLine="480" w:firstLineChars="200"/>
        <w:jc w:val="both"/>
        <w:rPr>
          <w:rFonts w:hint="eastAsia" w:ascii="宋体" w:hAnsi="宋体" w:cs="宋体"/>
          <w:color w:val="auto"/>
          <w:kern w:val="2"/>
          <w:szCs w:val="24"/>
          <w:highlight w:val="none"/>
          <w:lang w:bidi="ar"/>
        </w:rPr>
      </w:pPr>
      <w:bookmarkStart w:id="109" w:name="_Toc32248"/>
      <w:bookmarkStart w:id="110" w:name="_Toc2275"/>
      <w:bookmarkStart w:id="111" w:name="_Toc246928902"/>
      <w:bookmarkStart w:id="112" w:name="_Toc465958095"/>
      <w:bookmarkStart w:id="113" w:name="_Toc7858"/>
      <w:bookmarkStart w:id="114" w:name="_Toc29347"/>
      <w:bookmarkStart w:id="115" w:name="_Toc29090"/>
      <w:bookmarkStart w:id="116" w:name="_Toc9452"/>
      <w:bookmarkStart w:id="117" w:name="_Toc23102"/>
      <w:r>
        <w:rPr>
          <w:rFonts w:hint="eastAsia" w:ascii="宋体" w:hAnsi="宋体" w:cs="宋体"/>
          <w:bCs/>
          <w:color w:val="auto"/>
          <w:szCs w:val="24"/>
          <w:highlight w:val="none"/>
        </w:rPr>
        <w:t>5.4.1</w:t>
      </w:r>
      <w:r>
        <w:rPr>
          <w:rFonts w:hint="eastAsia" w:ascii="宋体" w:hAnsi="宋体" w:cs="宋体"/>
          <w:color w:val="auto"/>
          <w:spacing w:val="6"/>
          <w:kern w:val="2"/>
          <w:szCs w:val="24"/>
          <w:highlight w:val="none"/>
          <w:lang w:bidi="ar"/>
        </w:rPr>
        <w:t>根据</w:t>
      </w:r>
      <w:r>
        <w:rPr>
          <w:rFonts w:hint="eastAsia" w:ascii="宋体" w:hAnsi="宋体" w:cs="宋体"/>
          <w:color w:val="auto"/>
          <w:szCs w:val="24"/>
          <w:highlight w:val="none"/>
          <w:shd w:val="clear" w:color="auto" w:fill="FFFFFF"/>
        </w:rPr>
        <w:t>《政府采购促进中小企业发展管理办法》（财库〔2020〕46号）</w:t>
      </w:r>
      <w:r>
        <w:rPr>
          <w:rFonts w:hint="eastAsia" w:ascii="宋体" w:hAnsi="宋体" w:cs="宋体"/>
          <w:color w:val="auto"/>
          <w:kern w:val="2"/>
          <w:szCs w:val="24"/>
          <w:highlight w:val="none"/>
          <w:lang w:bidi="ar"/>
        </w:rPr>
        <w:t>；</w:t>
      </w:r>
    </w:p>
    <w:p w14:paraId="3C673BE1">
      <w:pPr>
        <w:pStyle w:val="17"/>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5.4.2根据《陕西省财政厅关于进一步加大政府采购支持中小企业力度的通知》（陕财办采</w:t>
      </w:r>
      <w:r>
        <w:rPr>
          <w:rFonts w:hint="eastAsia" w:ascii="宋体" w:hAnsi="宋体" w:cs="宋体"/>
          <w:color w:val="auto"/>
          <w:sz w:val="24"/>
          <w:szCs w:val="24"/>
          <w:highlight w:val="none"/>
          <w:shd w:val="clear" w:color="auto" w:fill="FFFFFF"/>
        </w:rPr>
        <w:t>〔</w:t>
      </w:r>
      <w:r>
        <w:rPr>
          <w:rFonts w:hint="eastAsia" w:ascii="宋体" w:hAnsi="宋体" w:cs="宋体"/>
          <w:color w:val="auto"/>
          <w:sz w:val="24"/>
          <w:szCs w:val="24"/>
          <w:highlight w:val="none"/>
          <w:shd w:val="clear" w:color="auto" w:fill="FFFFFF"/>
          <w:lang w:val="en-US" w:eastAsia="zh-CN"/>
        </w:rPr>
        <w:t>2022</w:t>
      </w:r>
      <w:r>
        <w:rPr>
          <w:rFonts w:hint="eastAsia" w:ascii="宋体" w:hAnsi="宋体" w:cs="宋体"/>
          <w:color w:val="auto"/>
          <w:sz w:val="24"/>
          <w:szCs w:val="24"/>
          <w:highlight w:val="none"/>
          <w:shd w:val="clear" w:color="auto" w:fill="FFFFFF"/>
        </w:rPr>
        <w:t>〕</w:t>
      </w:r>
      <w:r>
        <w:rPr>
          <w:rFonts w:hint="eastAsia" w:ascii="宋体" w:hAnsi="宋体" w:cs="宋体"/>
          <w:color w:val="auto"/>
          <w:sz w:val="24"/>
          <w:szCs w:val="24"/>
          <w:highlight w:val="none"/>
          <w:shd w:val="clear" w:color="auto" w:fill="FFFFFF"/>
          <w:lang w:val="en-US" w:eastAsia="zh-CN"/>
        </w:rPr>
        <w:t>5号）；</w:t>
      </w:r>
    </w:p>
    <w:p w14:paraId="3CD64742">
      <w:pPr>
        <w:spacing w:line="360" w:lineRule="auto"/>
        <w:ind w:firstLine="480" w:firstLineChars="200"/>
        <w:rPr>
          <w:rFonts w:hint="default"/>
          <w:color w:val="auto"/>
          <w:highlight w:val="none"/>
          <w:lang w:val="en-US"/>
        </w:rPr>
      </w:pPr>
      <w:r>
        <w:rPr>
          <w:rFonts w:hint="eastAsia" w:ascii="宋体" w:hAnsi="宋体" w:cs="宋体"/>
          <w:color w:val="auto"/>
          <w:sz w:val="24"/>
          <w:szCs w:val="24"/>
          <w:highlight w:val="none"/>
          <w:shd w:val="clear" w:color="auto" w:fill="FFFFFF"/>
          <w:lang w:val="en-US" w:eastAsia="zh-CN"/>
        </w:rPr>
        <w:t>5.4.3根据《榆林市财政局关于进一步加大政府采购支持中小企业力度的通知》（榆政财采发</w:t>
      </w:r>
      <w:r>
        <w:rPr>
          <w:rFonts w:hint="eastAsia" w:ascii="宋体" w:hAnsi="宋体" w:cs="宋体"/>
          <w:color w:val="auto"/>
          <w:sz w:val="24"/>
          <w:szCs w:val="24"/>
          <w:highlight w:val="none"/>
          <w:shd w:val="clear" w:color="auto" w:fill="FFFFFF"/>
        </w:rPr>
        <w:t>〔</w:t>
      </w:r>
      <w:r>
        <w:rPr>
          <w:rFonts w:hint="eastAsia" w:ascii="宋体" w:hAnsi="宋体" w:cs="宋体"/>
          <w:color w:val="auto"/>
          <w:sz w:val="24"/>
          <w:szCs w:val="24"/>
          <w:highlight w:val="none"/>
          <w:shd w:val="clear" w:color="auto" w:fill="FFFFFF"/>
          <w:lang w:val="en-US" w:eastAsia="zh-CN"/>
        </w:rPr>
        <w:t>2022</w:t>
      </w:r>
      <w:r>
        <w:rPr>
          <w:rFonts w:hint="eastAsia" w:ascii="宋体" w:hAnsi="宋体" w:cs="宋体"/>
          <w:color w:val="auto"/>
          <w:sz w:val="24"/>
          <w:szCs w:val="24"/>
          <w:highlight w:val="none"/>
          <w:shd w:val="clear" w:color="auto" w:fill="FFFFFF"/>
        </w:rPr>
        <w:t>〕</w:t>
      </w:r>
      <w:r>
        <w:rPr>
          <w:rFonts w:hint="eastAsia" w:ascii="宋体" w:hAnsi="宋体" w:cs="宋体"/>
          <w:color w:val="auto"/>
          <w:sz w:val="24"/>
          <w:szCs w:val="24"/>
          <w:highlight w:val="none"/>
          <w:shd w:val="clear" w:color="auto" w:fill="FFFFFF"/>
          <w:lang w:val="en-US" w:eastAsia="zh-CN"/>
        </w:rPr>
        <w:t>10号）；</w:t>
      </w:r>
    </w:p>
    <w:p w14:paraId="6CEFC168">
      <w:pPr>
        <w:widowControl/>
        <w:tabs>
          <w:tab w:val="left" w:pos="1620"/>
        </w:tabs>
        <w:spacing w:line="360" w:lineRule="auto"/>
        <w:ind w:firstLine="420" w:firstLineChars="175"/>
        <w:jc w:val="left"/>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4</w:t>
      </w:r>
      <w:r>
        <w:rPr>
          <w:rFonts w:hint="eastAsia" w:ascii="宋体" w:hAnsi="宋体" w:cs="宋体"/>
          <w:bCs/>
          <w:color w:val="auto"/>
          <w:kern w:val="0"/>
          <w:sz w:val="24"/>
          <w:szCs w:val="24"/>
          <w:highlight w:val="none"/>
        </w:rPr>
        <w:t>《财政部司法部关于政府采购支持监狱企业发展有关问题的通知》--财库[2014]68号 ；</w:t>
      </w:r>
    </w:p>
    <w:p w14:paraId="3AB2FA26">
      <w:pPr>
        <w:widowControl/>
        <w:tabs>
          <w:tab w:val="left" w:pos="1620"/>
        </w:tabs>
        <w:spacing w:line="360" w:lineRule="auto"/>
        <w:ind w:firstLine="420" w:firstLineChars="175"/>
        <w:jc w:val="left"/>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5</w:t>
      </w:r>
      <w:r>
        <w:rPr>
          <w:rFonts w:hint="eastAsia" w:ascii="宋体" w:hAnsi="宋体" w:cs="宋体"/>
          <w:bCs/>
          <w:color w:val="auto"/>
          <w:kern w:val="0"/>
          <w:sz w:val="24"/>
          <w:szCs w:val="24"/>
          <w:highlight w:val="none"/>
        </w:rPr>
        <w:t>《国务院办公厅关于建立政府强制采购节能产品制度的通知》--国办发[2007]51号 ；</w:t>
      </w:r>
    </w:p>
    <w:p w14:paraId="00ED83C8">
      <w:pPr>
        <w:widowControl/>
        <w:tabs>
          <w:tab w:val="left" w:pos="1620"/>
        </w:tabs>
        <w:spacing w:line="360" w:lineRule="auto"/>
        <w:ind w:firstLine="420" w:firstLineChars="175"/>
        <w:jc w:val="left"/>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6</w:t>
      </w:r>
      <w:r>
        <w:rPr>
          <w:rFonts w:hint="eastAsia" w:ascii="宋体" w:hAnsi="宋体" w:cs="宋体"/>
          <w:bCs/>
          <w:color w:val="auto"/>
          <w:kern w:val="0"/>
          <w:sz w:val="24"/>
          <w:szCs w:val="24"/>
          <w:highlight w:val="none"/>
        </w:rPr>
        <w:t xml:space="preserve">《节能产品政府采购实施意见》--（财库[2004]185号）； </w:t>
      </w:r>
    </w:p>
    <w:p w14:paraId="06D27A1C">
      <w:pPr>
        <w:widowControl/>
        <w:tabs>
          <w:tab w:val="left" w:pos="1620"/>
        </w:tabs>
        <w:spacing w:line="360" w:lineRule="auto"/>
        <w:ind w:firstLine="420" w:firstLineChars="175"/>
        <w:jc w:val="left"/>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7</w:t>
      </w:r>
      <w:r>
        <w:rPr>
          <w:rFonts w:hint="eastAsia" w:ascii="宋体" w:hAnsi="宋体" w:cs="宋体"/>
          <w:bCs/>
          <w:color w:val="auto"/>
          <w:kern w:val="0"/>
          <w:sz w:val="24"/>
          <w:szCs w:val="24"/>
          <w:highlight w:val="none"/>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color w:val="auto"/>
          <w:sz w:val="24"/>
          <w:szCs w:val="24"/>
          <w:highlight w:val="none"/>
        </w:rPr>
        <w:t>；</w:t>
      </w:r>
    </w:p>
    <w:p w14:paraId="60B9D089">
      <w:pPr>
        <w:spacing w:line="360" w:lineRule="auto"/>
        <w:ind w:firstLine="420" w:firstLineChars="175"/>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8</w:t>
      </w:r>
      <w:r>
        <w:rPr>
          <w:rFonts w:hint="eastAsia" w:ascii="宋体" w:hAnsi="宋体" w:cs="宋体"/>
          <w:bCs/>
          <w:color w:val="auto"/>
          <w:kern w:val="0"/>
          <w:sz w:val="24"/>
          <w:szCs w:val="24"/>
          <w:highlight w:val="none"/>
        </w:rPr>
        <w:t>《财政部民政部中国残疾人联合会关于促进残疾人就业政府采购政策的通知》--（财库〔2017〕141号）；</w:t>
      </w:r>
    </w:p>
    <w:p w14:paraId="2B8B3A25">
      <w:pPr>
        <w:pStyle w:val="8"/>
        <w:spacing w:line="360" w:lineRule="auto"/>
        <w:rPr>
          <w:rFonts w:hint="eastAsia" w:ascii="宋体" w:hAnsi="宋体" w:cs="宋体"/>
          <w:b w:val="0"/>
          <w:bCs/>
          <w:color w:val="auto"/>
          <w:kern w:val="0"/>
          <w:sz w:val="24"/>
          <w:szCs w:val="24"/>
          <w:highlight w:val="none"/>
        </w:rPr>
      </w:pPr>
      <w:r>
        <w:rPr>
          <w:rFonts w:hint="eastAsia" w:ascii="宋体" w:hAnsi="宋体" w:cs="宋体"/>
          <w:bCs/>
          <w:color w:val="auto"/>
          <w:kern w:val="0"/>
          <w:sz w:val="24"/>
          <w:szCs w:val="24"/>
          <w:highlight w:val="none"/>
        </w:rPr>
        <w:t xml:space="preserve">    </w:t>
      </w:r>
      <w:r>
        <w:rPr>
          <w:rFonts w:hint="eastAsia" w:ascii="宋体" w:hAnsi="宋体" w:cs="宋体"/>
          <w:b w:val="0"/>
          <w:bCs/>
          <w:color w:val="auto"/>
          <w:kern w:val="0"/>
          <w:sz w:val="24"/>
          <w:szCs w:val="24"/>
          <w:highlight w:val="none"/>
        </w:rPr>
        <w:t>5.4.</w:t>
      </w:r>
      <w:r>
        <w:rPr>
          <w:rFonts w:hint="eastAsia" w:ascii="宋体" w:hAnsi="宋体" w:cs="宋体"/>
          <w:b w:val="0"/>
          <w:bCs/>
          <w:color w:val="auto"/>
          <w:kern w:val="0"/>
          <w:sz w:val="24"/>
          <w:szCs w:val="24"/>
          <w:highlight w:val="none"/>
          <w:lang w:val="en-US" w:eastAsia="zh-CN"/>
        </w:rPr>
        <w:t>9</w:t>
      </w:r>
      <w:r>
        <w:rPr>
          <w:rFonts w:hint="eastAsia" w:ascii="宋体" w:hAnsi="宋体" w:cs="宋体"/>
          <w:b w:val="0"/>
          <w:bCs/>
          <w:color w:val="auto"/>
          <w:kern w:val="0"/>
          <w:sz w:val="24"/>
          <w:szCs w:val="24"/>
          <w:highlight w:val="none"/>
        </w:rPr>
        <w:t>《政府采购贫困地区农副产品实施方案》--（财库〔2019〕41号）；</w:t>
      </w:r>
    </w:p>
    <w:p w14:paraId="7A889628">
      <w:pPr>
        <w:widowControl/>
        <w:tabs>
          <w:tab w:val="left" w:pos="1620"/>
        </w:tabs>
        <w:adjustRightInd w:val="0"/>
        <w:snapToGrid w:val="0"/>
        <w:spacing w:line="360" w:lineRule="auto"/>
        <w:ind w:firstLine="480" w:firstLineChars="200"/>
        <w:jc w:val="left"/>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5.4.</w:t>
      </w:r>
      <w:r>
        <w:rPr>
          <w:rFonts w:hint="eastAsia" w:ascii="宋体" w:hAnsi="宋体" w:cs="宋体"/>
          <w:bCs/>
          <w:color w:val="auto"/>
          <w:kern w:val="0"/>
          <w:sz w:val="24"/>
          <w:szCs w:val="24"/>
          <w:highlight w:val="none"/>
          <w:lang w:val="en-US" w:eastAsia="zh-CN"/>
        </w:rPr>
        <w:t>10</w:t>
      </w:r>
      <w:r>
        <w:rPr>
          <w:rFonts w:hint="eastAsia" w:ascii="宋体" w:hAnsi="宋体" w:cs="宋体"/>
          <w:bCs/>
          <w:color w:val="auto"/>
          <w:kern w:val="0"/>
          <w:sz w:val="24"/>
          <w:szCs w:val="24"/>
          <w:highlight w:val="none"/>
        </w:rPr>
        <w:t>《关于在政府采购活动中查询及使用信用记录有关问题的通知》（财库〔2016〕125号）；</w:t>
      </w:r>
    </w:p>
    <w:p w14:paraId="32968D35">
      <w:pPr>
        <w:pStyle w:val="8"/>
        <w:spacing w:line="360" w:lineRule="auto"/>
        <w:ind w:firstLine="480" w:firstLineChars="200"/>
        <w:rPr>
          <w:rFonts w:hint="eastAsia" w:ascii="宋体" w:hAnsi="宋体" w:cs="宋体"/>
          <w:b w:val="0"/>
          <w:bCs/>
          <w:color w:val="auto"/>
          <w:kern w:val="0"/>
          <w:sz w:val="24"/>
          <w:szCs w:val="24"/>
          <w:highlight w:val="none"/>
        </w:rPr>
      </w:pPr>
      <w:r>
        <w:rPr>
          <w:rFonts w:hint="eastAsia" w:ascii="宋体" w:hAnsi="宋体" w:cs="宋体"/>
          <w:b w:val="0"/>
          <w:bCs/>
          <w:color w:val="auto"/>
          <w:kern w:val="0"/>
          <w:sz w:val="24"/>
          <w:szCs w:val="24"/>
          <w:highlight w:val="none"/>
        </w:rPr>
        <w:t>5.4.</w:t>
      </w:r>
      <w:r>
        <w:rPr>
          <w:rFonts w:hint="eastAsia" w:ascii="宋体" w:hAnsi="宋体" w:cs="宋体"/>
          <w:b w:val="0"/>
          <w:bCs/>
          <w:color w:val="auto"/>
          <w:kern w:val="0"/>
          <w:sz w:val="24"/>
          <w:szCs w:val="24"/>
          <w:highlight w:val="none"/>
          <w:lang w:val="en-US" w:eastAsia="zh-CN"/>
        </w:rPr>
        <w:t>11</w:t>
      </w:r>
      <w:r>
        <w:rPr>
          <w:rFonts w:hint="eastAsia" w:ascii="宋体" w:hAnsi="宋体" w:cs="宋体"/>
          <w:b w:val="0"/>
          <w:bCs/>
          <w:color w:val="auto"/>
          <w:kern w:val="0"/>
          <w:sz w:val="24"/>
          <w:szCs w:val="24"/>
          <w:highlight w:val="none"/>
        </w:rPr>
        <w:t xml:space="preserve">《关于开展政府采购信用担保试点工作的通知》（财库【2011】124号）。 </w:t>
      </w:r>
    </w:p>
    <w:p w14:paraId="1FD683D4">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r>
        <w:rPr>
          <w:rFonts w:hint="eastAsia" w:ascii="宋体" w:hAnsi="宋体" w:cs="宋体"/>
          <w:bCs/>
          <w:color w:val="auto"/>
          <w:kern w:val="0"/>
          <w:sz w:val="24"/>
          <w:szCs w:val="24"/>
          <w:highlight w:val="none"/>
        </w:rPr>
        <w:t>5.4.1</w:t>
      </w:r>
      <w:r>
        <w:rPr>
          <w:rFonts w:hint="eastAsia" w:ascii="宋体" w:hAnsi="宋体" w:cs="宋体"/>
          <w:bCs/>
          <w:color w:val="auto"/>
          <w:kern w:val="0"/>
          <w:sz w:val="24"/>
          <w:szCs w:val="24"/>
          <w:highlight w:val="none"/>
          <w:lang w:val="en-US" w:eastAsia="zh-CN"/>
        </w:rPr>
        <w:t>2</w:t>
      </w:r>
      <w:r>
        <w:rPr>
          <w:rFonts w:hint="eastAsia" w:ascii="宋体" w:hAnsi="宋体" w:cs="仿宋_GB2312"/>
          <w:color w:val="auto"/>
          <w:kern w:val="0"/>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p w14:paraId="3C6A8DE0">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p>
    <w:p w14:paraId="3DD8CBAD">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p>
    <w:p w14:paraId="6CD9A4AD">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p>
    <w:p w14:paraId="4B1D22CB">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p>
    <w:tbl>
      <w:tblPr>
        <w:tblStyle w:val="19"/>
        <w:tblpPr w:leftFromText="180" w:rightFromText="180" w:vertAnchor="page" w:horzAnchor="page" w:tblpX="1231" w:tblpY="1631"/>
        <w:tblOverlap w:val="never"/>
        <w:tblW w:w="99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0"/>
        <w:gridCol w:w="1259"/>
        <w:gridCol w:w="1060"/>
        <w:gridCol w:w="1096"/>
        <w:gridCol w:w="1108"/>
        <w:gridCol w:w="1382"/>
        <w:gridCol w:w="1096"/>
        <w:gridCol w:w="2038"/>
      </w:tblGrid>
      <w:tr w14:paraId="2C2C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930" w:type="dxa"/>
            <w:tcBorders>
              <w:top w:val="nil"/>
              <w:left w:val="nil"/>
              <w:bottom w:val="nil"/>
              <w:right w:val="nil"/>
            </w:tcBorders>
            <w:noWrap/>
            <w:vAlign w:val="center"/>
          </w:tcPr>
          <w:p w14:paraId="51634646">
            <w:pPr>
              <w:keepNext w:val="0"/>
              <w:keepLines w:val="0"/>
              <w:widowControl/>
              <w:suppressLineNumbers w:val="0"/>
              <w:jc w:val="both"/>
              <w:textAlignment w:val="center"/>
              <w:rPr>
                <w:rFonts w:hint="eastAsia" w:ascii="宋体" w:hAnsi="宋体" w:eastAsia="宋体" w:cs="宋体"/>
                <w:i w:val="0"/>
                <w:iCs w:val="0"/>
                <w:color w:val="auto"/>
                <w:kern w:val="0"/>
                <w:sz w:val="32"/>
                <w:szCs w:val="32"/>
                <w:highlight w:val="none"/>
                <w:u w:val="none"/>
                <w:lang w:val="en-US" w:eastAsia="zh-CN" w:bidi="ar"/>
              </w:rPr>
            </w:pPr>
          </w:p>
        </w:tc>
        <w:tc>
          <w:tcPr>
            <w:tcW w:w="9039" w:type="dxa"/>
            <w:gridSpan w:val="7"/>
            <w:tcBorders>
              <w:top w:val="nil"/>
              <w:left w:val="nil"/>
              <w:bottom w:val="nil"/>
              <w:right w:val="nil"/>
            </w:tcBorders>
            <w:noWrap/>
            <w:vAlign w:val="center"/>
          </w:tcPr>
          <w:p w14:paraId="10086CB3">
            <w:pPr>
              <w:keepNext w:val="0"/>
              <w:keepLines w:val="0"/>
              <w:widowControl/>
              <w:suppressLineNumbers w:val="0"/>
              <w:jc w:val="center"/>
              <w:textAlignment w:val="center"/>
              <w:rPr>
                <w:rFonts w:hint="eastAsia" w:ascii="宋体" w:hAnsi="宋体" w:eastAsia="宋体" w:cs="宋体"/>
                <w:i w:val="0"/>
                <w:iCs w:val="0"/>
                <w:color w:val="auto"/>
                <w:sz w:val="52"/>
                <w:szCs w:val="5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榆林市“政采贷”业务办理银行联系表</w:t>
            </w:r>
          </w:p>
        </w:tc>
      </w:tr>
      <w:tr w14:paraId="10498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3D61E4D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6C9EA1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银行名称</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03FBF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产品名称</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4C6C55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贷款额度</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498E8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贷款期限</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552B44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贷款利率</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0EA0AF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办理时效</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0D62A0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联系人</w:t>
            </w:r>
          </w:p>
        </w:tc>
      </w:tr>
      <w:tr w14:paraId="05820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63E3176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49E454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长安银行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523011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218383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8FC2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429851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7B8C29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027749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魏  众15109123951</w:t>
            </w:r>
          </w:p>
        </w:tc>
      </w:tr>
      <w:tr w14:paraId="5D6D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0E322AB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0DB6303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中信银行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7CCE75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政采E贷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557B25A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5DB6E8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33C2330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3.45%起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3D7CEE8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4FD0792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  明18992218795</w:t>
            </w:r>
          </w:p>
        </w:tc>
      </w:tr>
      <w:tr w14:paraId="6F8E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0B76F23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48876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光大银行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1FAD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2F77E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F7E9C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73FF0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753C3D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968D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艾思宇13509127997</w:t>
            </w:r>
          </w:p>
        </w:tc>
      </w:tr>
      <w:tr w14:paraId="7A2E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13E79F5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74B2F6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交通银行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781B0C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秦政贷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070D58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6CBAF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38A877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5E7467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37638F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  飞15291296886</w:t>
            </w:r>
          </w:p>
        </w:tc>
      </w:tr>
      <w:tr w14:paraId="581C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0D30F35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2A6433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B8E23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374AEF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9F9D8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478EFF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446FF3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7A42D0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李  浩18691230007</w:t>
            </w:r>
          </w:p>
        </w:tc>
      </w:tr>
      <w:tr w14:paraId="339B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20C1FE4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16A7B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招商银行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06B7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7114CD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53F3E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7D92D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69AE88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43E34E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  烨15596100007</w:t>
            </w:r>
          </w:p>
        </w:tc>
      </w:tr>
      <w:tr w14:paraId="43A86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69AAB92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266807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浦发银行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FC32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政采E贷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1FBE2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BEAD9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787F9E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3.45%起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4810D9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E2A70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朱  君15629169158</w:t>
            </w:r>
          </w:p>
        </w:tc>
      </w:tr>
      <w:tr w14:paraId="0285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3298CCF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780D43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农商银行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45CC6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28197D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91CC3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2A4174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3.45%-5.8%</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01DD2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9EC8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王  璐15529875056</w:t>
            </w:r>
          </w:p>
        </w:tc>
      </w:tr>
      <w:tr w14:paraId="1A83E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0A9827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1B0DA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农业银行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59B2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65CC74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67803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05DAAF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3.45%以上</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638471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216C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米璐洁18966997666</w:t>
            </w:r>
          </w:p>
        </w:tc>
      </w:tr>
      <w:tr w14:paraId="50C48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79C12AB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70955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民生银行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0BD01A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政采E贷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62292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EB90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006262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2C47B2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30DF9A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郝双双15991225850</w:t>
            </w:r>
          </w:p>
        </w:tc>
      </w:tr>
      <w:tr w14:paraId="0D52D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716A126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6F83B06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兴业银行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66D122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政采贷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0CAA85C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5B5FF5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1年期</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2088C5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3A9976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B80D5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薛万隆18709258523</w:t>
            </w:r>
          </w:p>
        </w:tc>
      </w:tr>
      <w:tr w14:paraId="284E4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32BD26A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6CE9BF3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广发银行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1F5FCB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政采通</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24BE8A2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4C7C015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2A04D2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3.45%起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7F0A71C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79E264B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李思嘉15191820101</w:t>
            </w:r>
          </w:p>
        </w:tc>
      </w:tr>
      <w:tr w14:paraId="09BC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930" w:type="dxa"/>
            <w:tcBorders>
              <w:top w:val="single" w:color="000000" w:sz="4" w:space="0"/>
              <w:left w:val="single" w:color="000000" w:sz="4" w:space="0"/>
              <w:bottom w:val="single" w:color="000000" w:sz="4" w:space="0"/>
              <w:right w:val="single" w:color="000000" w:sz="4" w:space="0"/>
            </w:tcBorders>
            <w:noWrap/>
            <w:vAlign w:val="center"/>
          </w:tcPr>
          <w:p w14:paraId="1778429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259" w:type="dxa"/>
            <w:tcBorders>
              <w:top w:val="single" w:color="000000" w:sz="4" w:space="0"/>
              <w:left w:val="single" w:color="000000" w:sz="4" w:space="0"/>
              <w:bottom w:val="single" w:color="000000" w:sz="4" w:space="0"/>
              <w:right w:val="single" w:color="000000" w:sz="4" w:space="0"/>
            </w:tcBorders>
            <w:noWrap/>
            <w:vAlign w:val="center"/>
          </w:tcPr>
          <w:p w14:paraId="45E53BF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建设银行</w:t>
            </w:r>
          </w:p>
        </w:tc>
        <w:tc>
          <w:tcPr>
            <w:tcW w:w="1060" w:type="dxa"/>
            <w:tcBorders>
              <w:top w:val="single" w:color="000000" w:sz="4" w:space="0"/>
              <w:left w:val="single" w:color="000000" w:sz="4" w:space="0"/>
              <w:bottom w:val="single" w:color="000000" w:sz="4" w:space="0"/>
              <w:right w:val="single" w:color="000000" w:sz="4" w:space="0"/>
            </w:tcBorders>
            <w:noWrap/>
            <w:vAlign w:val="center"/>
          </w:tcPr>
          <w:p w14:paraId="3A9C30C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E政通</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34063B2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1000万元</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42FCD57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1年</w:t>
            </w:r>
          </w:p>
        </w:tc>
        <w:tc>
          <w:tcPr>
            <w:tcW w:w="1382" w:type="dxa"/>
            <w:tcBorders>
              <w:top w:val="single" w:color="000000" w:sz="4" w:space="0"/>
              <w:left w:val="single" w:color="000000" w:sz="4" w:space="0"/>
              <w:bottom w:val="single" w:color="000000" w:sz="4" w:space="0"/>
              <w:right w:val="single" w:color="000000" w:sz="4" w:space="0"/>
            </w:tcBorders>
            <w:noWrap/>
            <w:vAlign w:val="center"/>
          </w:tcPr>
          <w:p w14:paraId="6EADAC9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7971603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72小时</w:t>
            </w:r>
          </w:p>
        </w:tc>
        <w:tc>
          <w:tcPr>
            <w:tcW w:w="2038" w:type="dxa"/>
            <w:tcBorders>
              <w:top w:val="single" w:color="000000" w:sz="4" w:space="0"/>
              <w:left w:val="single" w:color="000000" w:sz="4" w:space="0"/>
              <w:bottom w:val="single" w:color="000000" w:sz="4" w:space="0"/>
              <w:right w:val="single" w:color="000000" w:sz="4" w:space="0"/>
            </w:tcBorders>
            <w:noWrap/>
            <w:vAlign w:val="center"/>
          </w:tcPr>
          <w:p w14:paraId="5777C5C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 宇 15929397838</w:t>
            </w:r>
          </w:p>
        </w:tc>
      </w:tr>
    </w:tbl>
    <w:p w14:paraId="4CE4C74E">
      <w:pPr>
        <w:widowControl/>
        <w:tabs>
          <w:tab w:val="left" w:pos="1620"/>
        </w:tabs>
        <w:kinsoku w:val="0"/>
        <w:autoSpaceDE w:val="0"/>
        <w:autoSpaceDN w:val="0"/>
        <w:adjustRightInd w:val="0"/>
        <w:snapToGrid w:val="0"/>
        <w:spacing w:line="360" w:lineRule="auto"/>
        <w:jc w:val="left"/>
        <w:rPr>
          <w:rFonts w:hint="eastAsia" w:ascii="宋体" w:hAnsi="宋体" w:eastAsia="宋体" w:cs="宋体"/>
          <w:b w:val="0"/>
          <w:bCs w:val="0"/>
          <w:i w:val="0"/>
          <w:iCs w:val="0"/>
          <w:color w:val="auto"/>
          <w:kern w:val="0"/>
          <w:sz w:val="24"/>
          <w:szCs w:val="24"/>
          <w:highlight w:val="none"/>
          <w:u w:val="none"/>
          <w:lang w:val="en-US" w:eastAsia="zh-CN" w:bidi="ar"/>
        </w:rPr>
      </w:pPr>
    </w:p>
    <w:p w14:paraId="15B55734">
      <w:pPr>
        <w:widowControl/>
        <w:tabs>
          <w:tab w:val="left" w:pos="1620"/>
        </w:tabs>
        <w:kinsoku w:val="0"/>
        <w:autoSpaceDE w:val="0"/>
        <w:autoSpaceDN w:val="0"/>
        <w:adjustRightInd w:val="0"/>
        <w:snapToGrid w:val="0"/>
        <w:spacing w:line="360" w:lineRule="auto"/>
        <w:ind w:firstLine="480" w:firstLineChars="200"/>
        <w:jc w:val="left"/>
        <w:rPr>
          <w:rFonts w:hint="eastAsia" w:ascii="宋体" w:hAnsi="宋体" w:cs="仿宋_GB2312"/>
          <w:color w:val="auto"/>
          <w:kern w:val="0"/>
          <w:sz w:val="24"/>
          <w:szCs w:val="24"/>
          <w:highlight w:val="none"/>
          <w:lang w:val="en-US" w:eastAsia="zh-CN"/>
        </w:rPr>
      </w:pPr>
      <w:r>
        <w:rPr>
          <w:rFonts w:hint="eastAsia" w:ascii="宋体" w:hAnsi="宋体" w:eastAsia="宋体" w:cs="宋体"/>
          <w:b w:val="0"/>
          <w:bCs w:val="0"/>
          <w:i w:val="0"/>
          <w:iCs w:val="0"/>
          <w:color w:val="auto"/>
          <w:kern w:val="0"/>
          <w:sz w:val="24"/>
          <w:szCs w:val="24"/>
          <w:highlight w:val="none"/>
          <w:u w:val="none"/>
          <w:lang w:val="en-US" w:eastAsia="zh-CN" w:bidi="ar"/>
        </w:rPr>
        <w:t>备注：银行排名不分先后。如产品额度、期限、利率等内容发生改变，以银行解释为准。</w:t>
      </w:r>
    </w:p>
    <w:p w14:paraId="6371FEFC">
      <w:pPr>
        <w:pStyle w:val="4"/>
        <w:pageBreakBefore w:val="0"/>
        <w:bidi w:val="0"/>
        <w:spacing w:line="460" w:lineRule="exact"/>
        <w:textAlignment w:val="auto"/>
        <w:rPr>
          <w:rFonts w:ascii="宋体" w:hAnsi="宋体" w:cs="宋体"/>
          <w:bCs/>
          <w:color w:val="auto"/>
          <w:highlight w:val="none"/>
        </w:rPr>
      </w:pPr>
      <w:r>
        <w:rPr>
          <w:rFonts w:hint="eastAsia" w:ascii="宋体" w:hAnsi="宋体" w:cs="宋体"/>
          <w:bCs/>
          <w:color w:val="auto"/>
          <w:highlight w:val="none"/>
        </w:rPr>
        <w:t>6 竞争性谈判文件的澄清</w:t>
      </w:r>
      <w:bookmarkEnd w:id="109"/>
      <w:bookmarkEnd w:id="110"/>
      <w:bookmarkEnd w:id="111"/>
      <w:bookmarkEnd w:id="112"/>
      <w:bookmarkEnd w:id="113"/>
      <w:bookmarkEnd w:id="114"/>
      <w:bookmarkEnd w:id="115"/>
      <w:bookmarkEnd w:id="116"/>
      <w:bookmarkEnd w:id="117"/>
    </w:p>
    <w:p w14:paraId="686F16FB">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7BD0780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6.2 供应商收到上述通知后，应当立即向采购代理机构发出回函予以确认。</w:t>
      </w:r>
    </w:p>
    <w:p w14:paraId="799B2EF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6.3 该澄清的内容为竞争性谈判文件的组成部分。</w:t>
      </w:r>
    </w:p>
    <w:p w14:paraId="0BAA8D47">
      <w:pPr>
        <w:pStyle w:val="9"/>
        <w:pageBreakBefore w:val="0"/>
        <w:bidi w:val="0"/>
        <w:spacing w:line="460" w:lineRule="exact"/>
        <w:ind w:left="0" w:leftChars="0" w:firstLine="0" w:firstLineChars="0"/>
        <w:textAlignment w:val="auto"/>
        <w:rPr>
          <w:rFonts w:cs="宋体"/>
          <w:color w:val="auto"/>
          <w:highlight w:val="none"/>
        </w:rPr>
      </w:pPr>
      <w:r>
        <w:rPr>
          <w:rFonts w:hint="eastAsia" w:cs="宋体"/>
          <w:color w:val="auto"/>
          <w:highlight w:val="none"/>
        </w:rPr>
        <w:t>6.4当澄清或修改的内容影响投标文件编制时，招标人将在交易平台上发布答疑文件，投标人应随时关注项目信息，如有答疑文件，投标人应使用最新发布的答疑文件（*.SXSCF格式）制做电子投标文件（*.SXSTF格式），使用旧版电子招标文件或旧版答疑文件制作的电子投标文件，系统将拒绝接收，因投标人未及时关注项目信息造成的后果投标人自行承担。</w:t>
      </w:r>
    </w:p>
    <w:p w14:paraId="04B50615">
      <w:pPr>
        <w:pStyle w:val="4"/>
        <w:pageBreakBefore w:val="0"/>
        <w:bidi w:val="0"/>
        <w:spacing w:line="460" w:lineRule="exact"/>
        <w:textAlignment w:val="auto"/>
        <w:rPr>
          <w:rFonts w:ascii="宋体" w:hAnsi="宋体" w:cs="宋体"/>
          <w:bCs/>
          <w:color w:val="auto"/>
          <w:highlight w:val="none"/>
        </w:rPr>
      </w:pPr>
      <w:bookmarkStart w:id="118" w:name="_Toc30004"/>
      <w:bookmarkStart w:id="119" w:name="_Toc29244"/>
      <w:bookmarkStart w:id="120" w:name="_Toc465958096"/>
      <w:bookmarkStart w:id="121" w:name="_Toc246928903"/>
      <w:bookmarkStart w:id="122" w:name="_Toc28323"/>
      <w:bookmarkStart w:id="123" w:name="_Toc843"/>
      <w:bookmarkStart w:id="124" w:name="_Toc11107"/>
      <w:bookmarkStart w:id="125" w:name="_Toc25100"/>
      <w:bookmarkStart w:id="126" w:name="_Toc936"/>
      <w:r>
        <w:rPr>
          <w:rFonts w:hint="eastAsia" w:ascii="宋体" w:hAnsi="宋体" w:cs="宋体"/>
          <w:bCs/>
          <w:color w:val="auto"/>
          <w:highlight w:val="none"/>
        </w:rPr>
        <w:t>7 竞争性谈判文件的修改</w:t>
      </w:r>
      <w:bookmarkEnd w:id="118"/>
      <w:bookmarkEnd w:id="119"/>
      <w:bookmarkEnd w:id="120"/>
      <w:bookmarkEnd w:id="121"/>
      <w:bookmarkEnd w:id="122"/>
      <w:bookmarkEnd w:id="123"/>
      <w:bookmarkEnd w:id="124"/>
      <w:bookmarkEnd w:id="125"/>
      <w:bookmarkEnd w:id="126"/>
    </w:p>
    <w:p w14:paraId="28660334">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7.1 在竞争性谈判截止期前，无论出于何种原因，采购人可主动地或在解答供应商要求澄清的问题时对竞争性谈判文件进行修改。</w:t>
      </w:r>
    </w:p>
    <w:p w14:paraId="378E21E8">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7.2 竞争性谈判文件的修改将以书面形式通知所有竞争性谈判文件的收受人，供应商在收到该通知后应立即以书面形式予以确认。</w:t>
      </w:r>
    </w:p>
    <w:p w14:paraId="5F12EB16">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1368A8F4">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7.4 竞争性谈判文件修改书将构成竞争性谈判文件的一部分，对采购人和供应商都具有约束力。</w:t>
      </w:r>
    </w:p>
    <w:p w14:paraId="078133AE">
      <w:pPr>
        <w:pStyle w:val="4"/>
        <w:pageBreakBefore w:val="0"/>
        <w:bidi w:val="0"/>
        <w:spacing w:line="460" w:lineRule="exact"/>
        <w:textAlignment w:val="auto"/>
        <w:rPr>
          <w:rFonts w:ascii="宋体" w:hAnsi="宋体" w:cs="宋体"/>
          <w:color w:val="auto"/>
          <w:szCs w:val="24"/>
          <w:highlight w:val="none"/>
        </w:rPr>
      </w:pPr>
      <w:bookmarkStart w:id="127" w:name="_Toc25938"/>
      <w:bookmarkStart w:id="128" w:name="_Toc7688"/>
      <w:r>
        <w:rPr>
          <w:rFonts w:hint="eastAsia" w:ascii="宋体" w:hAnsi="宋体" w:cs="宋体"/>
          <w:color w:val="auto"/>
          <w:szCs w:val="32"/>
          <w:highlight w:val="none"/>
        </w:rPr>
        <w:t>8 竞争性谈判文件的获取</w:t>
      </w:r>
      <w:bookmarkEnd w:id="127"/>
      <w:bookmarkEnd w:id="128"/>
    </w:p>
    <w:p w14:paraId="169BDA36">
      <w:pPr>
        <w:pageBreakBefore w:val="0"/>
        <w:bidi w:val="0"/>
        <w:spacing w:line="4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招标采购公告发布后，有意向的投标人应从从陕西省公共资源交易平台获取竞争性谈判文件并下载谈判文件，仅作为本次招标使用。投标单位自行转让或复制的竞争性谈判文件视为无效文件。</w:t>
      </w:r>
    </w:p>
    <w:p w14:paraId="5ADBE1BA">
      <w:pPr>
        <w:pStyle w:val="4"/>
        <w:pageBreakBefore w:val="0"/>
        <w:bidi w:val="0"/>
        <w:spacing w:line="460" w:lineRule="exact"/>
        <w:textAlignment w:val="auto"/>
        <w:rPr>
          <w:rFonts w:ascii="宋体" w:hAnsi="宋体" w:cs="宋体"/>
          <w:color w:val="auto"/>
          <w:sz w:val="24"/>
          <w:szCs w:val="24"/>
          <w:highlight w:val="none"/>
        </w:rPr>
      </w:pPr>
      <w:bookmarkStart w:id="129" w:name="_Toc28863"/>
      <w:bookmarkStart w:id="130" w:name="_Toc26223"/>
      <w:r>
        <w:rPr>
          <w:rFonts w:hint="eastAsia" w:ascii="宋体" w:hAnsi="宋体" w:cs="宋体"/>
          <w:color w:val="auto"/>
          <w:szCs w:val="32"/>
          <w:highlight w:val="none"/>
        </w:rPr>
        <w:t>9 解释权归属</w:t>
      </w:r>
      <w:bookmarkEnd w:id="129"/>
      <w:bookmarkEnd w:id="130"/>
    </w:p>
    <w:p w14:paraId="65E891EB">
      <w:pPr>
        <w:pageBreakBefore w:val="0"/>
        <w:bidi w:val="0"/>
        <w:spacing w:line="460" w:lineRule="exact"/>
        <w:ind w:firstLine="566" w:firstLineChars="236"/>
        <w:textAlignment w:val="auto"/>
        <w:rPr>
          <w:color w:val="auto"/>
          <w:highlight w:val="none"/>
        </w:rPr>
      </w:pPr>
      <w:r>
        <w:rPr>
          <w:rFonts w:hint="eastAsia" w:ascii="宋体" w:hAnsi="宋体" w:cs="宋体"/>
          <w:color w:val="auto"/>
          <w:sz w:val="24"/>
          <w:szCs w:val="24"/>
          <w:highlight w:val="none"/>
        </w:rPr>
        <w:t xml:space="preserve">本次竞争性谈判文件的解释权归采购代理机构。 </w:t>
      </w:r>
    </w:p>
    <w:p w14:paraId="4C2BF9B1">
      <w:pPr>
        <w:pStyle w:val="3"/>
        <w:pageBreakBefore w:val="0"/>
        <w:bidi w:val="0"/>
        <w:spacing w:line="460" w:lineRule="exact"/>
        <w:jc w:val="center"/>
        <w:textAlignment w:val="auto"/>
        <w:rPr>
          <w:rFonts w:ascii="宋体" w:hAnsi="宋体" w:eastAsia="宋体" w:cs="宋体"/>
          <w:bCs/>
          <w:color w:val="auto"/>
          <w:sz w:val="36"/>
          <w:highlight w:val="none"/>
        </w:rPr>
      </w:pPr>
      <w:bookmarkStart w:id="131" w:name="_Toc19669"/>
      <w:bookmarkStart w:id="132" w:name="_Toc585"/>
      <w:bookmarkStart w:id="133" w:name="_Toc28020"/>
      <w:bookmarkStart w:id="134" w:name="_Toc1006"/>
      <w:bookmarkStart w:id="135" w:name="_Toc8710"/>
      <w:bookmarkStart w:id="136" w:name="_Toc246928904"/>
      <w:bookmarkStart w:id="137" w:name="_Toc30520"/>
      <w:bookmarkStart w:id="138" w:name="_Toc465958097"/>
      <w:r>
        <w:rPr>
          <w:rFonts w:hint="eastAsia" w:ascii="宋体" w:hAnsi="宋体" w:eastAsia="宋体" w:cs="宋体"/>
          <w:bCs/>
          <w:color w:val="auto"/>
          <w:sz w:val="36"/>
          <w:highlight w:val="none"/>
        </w:rPr>
        <w:t>C 竞争性谈判响应文件的编写</w:t>
      </w:r>
      <w:bookmarkEnd w:id="131"/>
      <w:bookmarkEnd w:id="132"/>
      <w:bookmarkEnd w:id="133"/>
      <w:bookmarkEnd w:id="134"/>
      <w:bookmarkEnd w:id="135"/>
      <w:bookmarkEnd w:id="136"/>
      <w:bookmarkEnd w:id="137"/>
      <w:bookmarkEnd w:id="138"/>
    </w:p>
    <w:p w14:paraId="4166A7EB">
      <w:pPr>
        <w:pStyle w:val="4"/>
        <w:pageBreakBefore w:val="0"/>
        <w:bidi w:val="0"/>
        <w:spacing w:line="460" w:lineRule="exact"/>
        <w:textAlignment w:val="auto"/>
        <w:rPr>
          <w:rFonts w:ascii="宋体" w:hAnsi="宋体" w:cs="宋体"/>
          <w:bCs/>
          <w:color w:val="auto"/>
          <w:highlight w:val="none"/>
        </w:rPr>
      </w:pPr>
      <w:bookmarkStart w:id="139" w:name="_Toc465958098"/>
      <w:bookmarkStart w:id="140" w:name="_Toc25916"/>
      <w:bookmarkStart w:id="141" w:name="_Toc17820"/>
      <w:bookmarkStart w:id="142" w:name="_Toc9502"/>
      <w:bookmarkStart w:id="143" w:name="_Toc32164"/>
      <w:bookmarkStart w:id="144" w:name="_Toc246928905"/>
      <w:bookmarkStart w:id="145" w:name="_Toc3361"/>
      <w:bookmarkStart w:id="146" w:name="_Toc20725"/>
      <w:bookmarkStart w:id="147" w:name="_Toc25855"/>
      <w:r>
        <w:rPr>
          <w:rFonts w:hint="eastAsia" w:ascii="宋体" w:hAnsi="宋体" w:cs="宋体"/>
          <w:bCs/>
          <w:color w:val="auto"/>
          <w:highlight w:val="none"/>
        </w:rPr>
        <w:t>10 谈判语言</w:t>
      </w:r>
      <w:bookmarkEnd w:id="139"/>
      <w:bookmarkEnd w:id="140"/>
      <w:bookmarkEnd w:id="141"/>
      <w:bookmarkEnd w:id="142"/>
      <w:bookmarkEnd w:id="143"/>
      <w:bookmarkEnd w:id="144"/>
      <w:bookmarkEnd w:id="145"/>
      <w:bookmarkEnd w:id="146"/>
      <w:bookmarkEnd w:id="147"/>
    </w:p>
    <w:p w14:paraId="17CA6788">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10.1 由供应商编写的竞争性谈判响应文件和往来信件应以中文书写。</w:t>
      </w:r>
    </w:p>
    <w:p w14:paraId="458674E8">
      <w:pPr>
        <w:pStyle w:val="4"/>
        <w:pageBreakBefore w:val="0"/>
        <w:bidi w:val="0"/>
        <w:spacing w:line="460" w:lineRule="exact"/>
        <w:textAlignment w:val="auto"/>
        <w:rPr>
          <w:rFonts w:ascii="宋体" w:hAnsi="宋体" w:cs="宋体"/>
          <w:bCs/>
          <w:color w:val="auto"/>
          <w:highlight w:val="none"/>
        </w:rPr>
      </w:pPr>
      <w:bookmarkStart w:id="148" w:name="_Toc26252"/>
      <w:bookmarkStart w:id="149" w:name="_Toc14629"/>
      <w:bookmarkStart w:id="150" w:name="_Toc465958099"/>
      <w:bookmarkStart w:id="151" w:name="_Toc30244"/>
      <w:bookmarkStart w:id="152" w:name="_Toc23931"/>
      <w:bookmarkStart w:id="153" w:name="_Toc12423"/>
      <w:bookmarkStart w:id="154" w:name="_Toc31749"/>
      <w:bookmarkStart w:id="155" w:name="_Toc246928906"/>
      <w:bookmarkStart w:id="156" w:name="_Toc6421"/>
      <w:r>
        <w:rPr>
          <w:rFonts w:hint="eastAsia" w:ascii="宋体" w:hAnsi="宋体" w:cs="宋体"/>
          <w:bCs/>
          <w:color w:val="auto"/>
          <w:highlight w:val="none"/>
        </w:rPr>
        <w:t>11 计量单位</w:t>
      </w:r>
      <w:bookmarkEnd w:id="148"/>
      <w:bookmarkEnd w:id="149"/>
      <w:bookmarkEnd w:id="150"/>
      <w:bookmarkEnd w:id="151"/>
      <w:bookmarkEnd w:id="152"/>
      <w:bookmarkEnd w:id="153"/>
      <w:bookmarkEnd w:id="154"/>
      <w:bookmarkEnd w:id="155"/>
      <w:bookmarkEnd w:id="156"/>
    </w:p>
    <w:p w14:paraId="34A1716B">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11.1 除在竞争性谈判文件中有特殊要求外，计量单位应使用中华人民共和国法定计量单位及通用图形符号。</w:t>
      </w:r>
    </w:p>
    <w:p w14:paraId="263834EC">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11.2 本次采购、谈判报价、谈判、评审和合同授予均以项目为单位，供应商必须就整个项目进行响应，不得将整个项目中的内容拆开谈判。拆开谈判的，按无效竞争性谈判响应文件处理。</w:t>
      </w:r>
    </w:p>
    <w:p w14:paraId="23CA017F">
      <w:pPr>
        <w:pStyle w:val="4"/>
        <w:pageBreakBefore w:val="0"/>
        <w:bidi w:val="0"/>
        <w:spacing w:line="460" w:lineRule="exact"/>
        <w:textAlignment w:val="auto"/>
        <w:rPr>
          <w:rFonts w:ascii="宋体" w:hAnsi="宋体" w:cs="宋体"/>
          <w:bCs/>
          <w:color w:val="auto"/>
          <w:highlight w:val="none"/>
        </w:rPr>
      </w:pPr>
      <w:bookmarkStart w:id="157" w:name="_Toc1098"/>
      <w:bookmarkStart w:id="158" w:name="_Toc3415"/>
      <w:bookmarkStart w:id="159" w:name="_Toc26388"/>
      <w:bookmarkStart w:id="160" w:name="_Toc465958100"/>
      <w:bookmarkStart w:id="161" w:name="_Toc7209"/>
      <w:bookmarkStart w:id="162" w:name="_Toc27123"/>
      <w:bookmarkStart w:id="163" w:name="_Toc246928907"/>
      <w:bookmarkStart w:id="164" w:name="_Toc18592"/>
      <w:bookmarkStart w:id="165" w:name="_Toc13655"/>
      <w:r>
        <w:rPr>
          <w:rFonts w:hint="eastAsia" w:ascii="宋体" w:hAnsi="宋体" w:cs="宋体"/>
          <w:bCs/>
          <w:color w:val="auto"/>
          <w:highlight w:val="none"/>
        </w:rPr>
        <w:t>12 竞争性谈判响应文件的构成</w:t>
      </w:r>
      <w:bookmarkEnd w:id="157"/>
      <w:bookmarkEnd w:id="158"/>
      <w:bookmarkEnd w:id="159"/>
      <w:bookmarkEnd w:id="160"/>
      <w:bookmarkEnd w:id="161"/>
      <w:bookmarkEnd w:id="162"/>
      <w:bookmarkEnd w:id="163"/>
      <w:bookmarkEnd w:id="164"/>
      <w:bookmarkEnd w:id="165"/>
    </w:p>
    <w:p w14:paraId="34FCFB2F">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12.1 供应商编写的竞争性谈判响应文件应包括下列部分：</w:t>
      </w:r>
    </w:p>
    <w:p w14:paraId="5C0EF88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12.1.1 响应函（格式）；</w:t>
      </w:r>
    </w:p>
    <w:p w14:paraId="3A49A7D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12.1.2 第一次谈判报价表；</w:t>
      </w:r>
    </w:p>
    <w:p w14:paraId="3983EC57">
      <w:pPr>
        <w:pStyle w:val="11"/>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12.1.3 竞争性谈判响应文件格式的所有内容。具体见竞争性谈判响应文件格式；</w:t>
      </w:r>
    </w:p>
    <w:p w14:paraId="46AEBA1E">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12.2 供应商的所有资格证明文件均应当为合法、有效文件，否则将被视为该文件未递交。</w:t>
      </w:r>
    </w:p>
    <w:p w14:paraId="7621B6A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12.3 上述文件应当按照竞争性谈判文件规定的格式填写、签署和盖章。</w:t>
      </w:r>
    </w:p>
    <w:p w14:paraId="1FD856AD">
      <w:pPr>
        <w:pStyle w:val="4"/>
        <w:pageBreakBefore w:val="0"/>
        <w:bidi w:val="0"/>
        <w:spacing w:line="460" w:lineRule="exact"/>
        <w:textAlignment w:val="auto"/>
        <w:rPr>
          <w:rFonts w:ascii="宋体" w:hAnsi="宋体" w:cs="宋体"/>
          <w:bCs/>
          <w:color w:val="auto"/>
          <w:highlight w:val="none"/>
        </w:rPr>
      </w:pPr>
      <w:bookmarkStart w:id="166" w:name="_Toc27931"/>
      <w:bookmarkStart w:id="167" w:name="_Toc246928909"/>
      <w:bookmarkStart w:id="168" w:name="_Toc285"/>
      <w:bookmarkStart w:id="169" w:name="_Toc7488"/>
      <w:bookmarkStart w:id="170" w:name="_Toc25279"/>
      <w:bookmarkStart w:id="171" w:name="_Toc11448"/>
      <w:bookmarkStart w:id="172" w:name="_Toc11558"/>
      <w:bookmarkStart w:id="173" w:name="_Toc465958101"/>
      <w:bookmarkStart w:id="174" w:name="_Toc23839"/>
      <w:r>
        <w:rPr>
          <w:rFonts w:hint="eastAsia" w:ascii="宋体" w:hAnsi="宋体" w:cs="宋体"/>
          <w:bCs/>
          <w:color w:val="auto"/>
          <w:highlight w:val="none"/>
        </w:rPr>
        <w:t>13 谈判报价</w:t>
      </w:r>
      <w:bookmarkEnd w:id="166"/>
      <w:bookmarkEnd w:id="167"/>
      <w:bookmarkEnd w:id="168"/>
      <w:bookmarkEnd w:id="169"/>
      <w:bookmarkEnd w:id="170"/>
      <w:bookmarkEnd w:id="171"/>
      <w:bookmarkEnd w:id="172"/>
      <w:bookmarkEnd w:id="173"/>
      <w:bookmarkEnd w:id="174"/>
    </w:p>
    <w:p w14:paraId="380AA648">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13.1 所有谈判均以人民币报价。</w:t>
      </w:r>
    </w:p>
    <w:p w14:paraId="196A6D7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13.2 供应商依据竞争性谈判文件提供的货物及服务要求等资料并自行考虑风险因素计算谈判报价，一旦成交，谈判报价将不会因国家政策调整及市场变化因素而得到调整。</w:t>
      </w:r>
    </w:p>
    <w:p w14:paraId="5FAD19B9">
      <w:pPr>
        <w:pageBreakBefore w:val="0"/>
        <w:bidi w:val="0"/>
        <w:spacing w:line="460" w:lineRule="exact"/>
        <w:textAlignment w:val="auto"/>
        <w:rPr>
          <w:rFonts w:ascii="宋体" w:hAnsi="宋体" w:cs="宋体"/>
          <w:color w:val="auto"/>
          <w:sz w:val="24"/>
          <w:highlight w:val="none"/>
        </w:rPr>
      </w:pPr>
      <w:bookmarkStart w:id="175" w:name="_Toc246928911"/>
      <w:r>
        <w:rPr>
          <w:rFonts w:hint="eastAsia" w:ascii="宋体" w:hAnsi="宋体" w:cs="宋体"/>
          <w:color w:val="auto"/>
          <w:sz w:val="24"/>
          <w:highlight w:val="none"/>
        </w:rPr>
        <w:t>13.3 供应商应对所列的所有服务进行响应，不得将采购内容拆开谈判。</w:t>
      </w:r>
    </w:p>
    <w:p w14:paraId="710FDEC3">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13.4 采购人只接受供应商提供的唯一谈判响应方案，不接受备选方案。</w:t>
      </w:r>
    </w:p>
    <w:p w14:paraId="6D383120">
      <w:pPr>
        <w:pStyle w:val="4"/>
        <w:pageBreakBefore w:val="0"/>
        <w:bidi w:val="0"/>
        <w:spacing w:line="460" w:lineRule="exact"/>
        <w:textAlignment w:val="auto"/>
        <w:rPr>
          <w:rFonts w:ascii="宋体" w:hAnsi="宋体" w:cs="宋体"/>
          <w:bCs/>
          <w:color w:val="auto"/>
          <w:highlight w:val="none"/>
        </w:rPr>
      </w:pPr>
      <w:bookmarkStart w:id="176" w:name="_Toc6481"/>
      <w:bookmarkStart w:id="177" w:name="_Toc14151"/>
      <w:bookmarkStart w:id="178" w:name="_Toc7647"/>
      <w:bookmarkStart w:id="179" w:name="_Toc30975"/>
      <w:bookmarkStart w:id="180" w:name="_Toc10046"/>
      <w:bookmarkStart w:id="181" w:name="_Toc28059"/>
      <w:bookmarkStart w:id="182" w:name="_Toc5734"/>
      <w:bookmarkStart w:id="183" w:name="_Toc465958102"/>
      <w:r>
        <w:rPr>
          <w:rFonts w:hint="eastAsia" w:ascii="宋体" w:hAnsi="宋体" w:cs="宋体"/>
          <w:bCs/>
          <w:color w:val="auto"/>
          <w:highlight w:val="none"/>
        </w:rPr>
        <w:t>14 证明供应商资格的证明文件</w:t>
      </w:r>
      <w:bookmarkEnd w:id="175"/>
      <w:bookmarkEnd w:id="176"/>
      <w:bookmarkEnd w:id="177"/>
      <w:bookmarkEnd w:id="178"/>
      <w:bookmarkEnd w:id="179"/>
      <w:bookmarkEnd w:id="180"/>
      <w:bookmarkEnd w:id="181"/>
      <w:bookmarkEnd w:id="182"/>
      <w:bookmarkEnd w:id="183"/>
    </w:p>
    <w:p w14:paraId="1BE3F8D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14.1 供应商必须按要求提交证明文件，以证明其有资格参加谈判和成交后有履行合同的能力，并作为其竞争性谈判响应文件的一部分。</w:t>
      </w:r>
    </w:p>
    <w:p w14:paraId="13A65063">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14.2供应商应具有履行合同所需的财务、技术和生产能力；</w:t>
      </w:r>
    </w:p>
    <w:p w14:paraId="6A05B435">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14.3供应商应有能力履行竞争性谈判文件所规定的由供应商在服务地点提供服务的人员及技术支持和服务；</w:t>
      </w:r>
    </w:p>
    <w:p w14:paraId="464F389B">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14.4供应商认为能够证明供应商及其提供服务的等其他文件。</w:t>
      </w:r>
    </w:p>
    <w:p w14:paraId="4909DD02">
      <w:pPr>
        <w:pStyle w:val="4"/>
        <w:pageBreakBefore w:val="0"/>
        <w:bidi w:val="0"/>
        <w:spacing w:line="460" w:lineRule="exact"/>
        <w:textAlignment w:val="auto"/>
        <w:rPr>
          <w:rFonts w:ascii="宋体" w:hAnsi="宋体" w:cs="宋体"/>
          <w:bCs/>
          <w:color w:val="auto"/>
          <w:highlight w:val="none"/>
        </w:rPr>
      </w:pPr>
      <w:bookmarkStart w:id="184" w:name="_Toc31855"/>
      <w:bookmarkStart w:id="185" w:name="_Toc19118"/>
      <w:bookmarkStart w:id="186" w:name="_Toc246928912"/>
      <w:bookmarkStart w:id="187" w:name="_Toc28780"/>
      <w:bookmarkStart w:id="188" w:name="_Toc32534"/>
      <w:bookmarkStart w:id="189" w:name="_Toc465958103"/>
      <w:bookmarkStart w:id="190" w:name="_Toc23372"/>
      <w:bookmarkStart w:id="191" w:name="_Toc7233"/>
      <w:bookmarkStart w:id="192" w:name="_Toc24592"/>
      <w:r>
        <w:rPr>
          <w:rFonts w:hint="eastAsia" w:ascii="宋体" w:hAnsi="宋体" w:cs="宋体"/>
          <w:bCs/>
          <w:color w:val="auto"/>
          <w:highlight w:val="none"/>
        </w:rPr>
        <w:t>15 证明</w:t>
      </w:r>
      <w:r>
        <w:rPr>
          <w:rFonts w:hint="eastAsia" w:ascii="宋体" w:hAnsi="宋体" w:cs="宋体"/>
          <w:bCs/>
          <w:color w:val="auto"/>
          <w:highlight w:val="none"/>
          <w:lang w:val="en-US" w:eastAsia="zh-CN"/>
        </w:rPr>
        <w:t>货物</w:t>
      </w:r>
      <w:r>
        <w:rPr>
          <w:rFonts w:hint="eastAsia" w:ascii="宋体" w:hAnsi="宋体" w:cs="宋体"/>
          <w:bCs/>
          <w:color w:val="auto"/>
          <w:highlight w:val="none"/>
        </w:rPr>
        <w:t>符合竞争性谈判文件规定的文件</w:t>
      </w:r>
      <w:bookmarkEnd w:id="184"/>
      <w:bookmarkEnd w:id="185"/>
      <w:bookmarkEnd w:id="186"/>
      <w:bookmarkEnd w:id="187"/>
      <w:bookmarkEnd w:id="188"/>
      <w:bookmarkEnd w:id="189"/>
      <w:bookmarkEnd w:id="190"/>
      <w:bookmarkEnd w:id="191"/>
      <w:bookmarkEnd w:id="192"/>
    </w:p>
    <w:p w14:paraId="564A705C">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15.1 供应商所提供的</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须符合法律、法规、相关规章及国家强制性技术标准和竞争性谈判文件的规定。</w:t>
      </w:r>
    </w:p>
    <w:p w14:paraId="1DC0958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15.2 供应商应对竞争性谈判文件中的各项条款做出清晰准确的答复。</w:t>
      </w:r>
    </w:p>
    <w:p w14:paraId="18B4847D">
      <w:pPr>
        <w:pageBreakBefore w:val="0"/>
        <w:bidi w:val="0"/>
        <w:spacing w:line="460" w:lineRule="exact"/>
        <w:ind w:left="-181" w:leftChars="-86" w:firstLine="180" w:firstLineChars="75"/>
        <w:textAlignment w:val="auto"/>
        <w:rPr>
          <w:rFonts w:ascii="宋体" w:hAnsi="宋体" w:cs="宋体"/>
          <w:color w:val="auto"/>
          <w:sz w:val="24"/>
          <w:highlight w:val="none"/>
        </w:rPr>
      </w:pPr>
      <w:r>
        <w:rPr>
          <w:rFonts w:hint="eastAsia" w:ascii="宋体" w:hAnsi="宋体" w:cs="宋体"/>
          <w:color w:val="auto"/>
          <w:sz w:val="24"/>
          <w:highlight w:val="none"/>
        </w:rPr>
        <w:t>15.3 提交文件可以是文字资料也可以是图纸、图片等资料。</w:t>
      </w:r>
    </w:p>
    <w:p w14:paraId="421CD13D">
      <w:pPr>
        <w:pStyle w:val="4"/>
        <w:pageBreakBefore w:val="0"/>
        <w:bidi w:val="0"/>
        <w:spacing w:line="460" w:lineRule="exact"/>
        <w:textAlignment w:val="auto"/>
        <w:rPr>
          <w:rFonts w:ascii="宋体" w:hAnsi="宋体" w:cs="宋体"/>
          <w:bCs/>
          <w:color w:val="auto"/>
          <w:highlight w:val="none"/>
        </w:rPr>
      </w:pPr>
      <w:bookmarkStart w:id="193" w:name="_Toc4194"/>
      <w:bookmarkStart w:id="194" w:name="_Toc27673"/>
      <w:bookmarkStart w:id="195" w:name="_Toc6620"/>
      <w:bookmarkStart w:id="196" w:name="_Toc21933"/>
      <w:bookmarkStart w:id="197" w:name="_Toc246928913"/>
      <w:bookmarkStart w:id="198" w:name="_Toc28706"/>
      <w:bookmarkStart w:id="199" w:name="_Toc22564"/>
      <w:bookmarkStart w:id="200" w:name="_Toc465958104"/>
      <w:bookmarkStart w:id="201" w:name="_Toc29259"/>
      <w:r>
        <w:rPr>
          <w:rFonts w:hint="eastAsia" w:ascii="宋体" w:hAnsi="宋体" w:cs="宋体"/>
          <w:bCs/>
          <w:color w:val="auto"/>
          <w:highlight w:val="none"/>
        </w:rPr>
        <w:t>16 谈判保证金</w:t>
      </w:r>
      <w:bookmarkEnd w:id="193"/>
      <w:bookmarkEnd w:id="194"/>
      <w:bookmarkEnd w:id="195"/>
      <w:bookmarkEnd w:id="196"/>
      <w:bookmarkEnd w:id="197"/>
      <w:bookmarkEnd w:id="198"/>
      <w:bookmarkEnd w:id="199"/>
      <w:bookmarkEnd w:id="200"/>
      <w:bookmarkEnd w:id="201"/>
    </w:p>
    <w:p w14:paraId="19124DFF">
      <w:pPr>
        <w:adjustRightInd w:val="0"/>
        <w:snapToGrid w:val="0"/>
        <w:spacing w:line="360" w:lineRule="auto"/>
        <w:rPr>
          <w:rFonts w:hint="eastAsia" w:ascii="宋体" w:hAnsi="宋体" w:cs="宋体"/>
          <w:color w:val="auto"/>
          <w:sz w:val="24"/>
          <w:szCs w:val="24"/>
          <w:highlight w:val="none"/>
        </w:rPr>
      </w:pPr>
      <w:bookmarkStart w:id="202" w:name="_Toc246928914"/>
      <w:bookmarkStart w:id="203" w:name="_Toc9535"/>
      <w:bookmarkStart w:id="204" w:name="_Toc8022"/>
      <w:bookmarkStart w:id="205" w:name="_Toc465958105"/>
      <w:bookmarkStart w:id="206" w:name="_Toc4576"/>
      <w:bookmarkStart w:id="207" w:name="_Toc20201"/>
      <w:bookmarkStart w:id="208" w:name="_Toc26603"/>
      <w:bookmarkStart w:id="209" w:name="_Toc4413"/>
      <w:bookmarkStart w:id="210" w:name="_Toc22789"/>
      <w:r>
        <w:rPr>
          <w:rFonts w:hint="eastAsia" w:ascii="宋体" w:hAnsi="宋体" w:cs="宋体"/>
          <w:color w:val="auto"/>
          <w:sz w:val="24"/>
          <w:highlight w:val="none"/>
          <w:lang w:val="en-US" w:eastAsia="zh-CN"/>
        </w:rPr>
        <w:t>16</w:t>
      </w:r>
      <w:r>
        <w:rPr>
          <w:rFonts w:hint="eastAsia" w:ascii="宋体" w:hAnsi="宋体" w:cs="宋体"/>
          <w:color w:val="auto"/>
          <w:sz w:val="24"/>
          <w:highlight w:val="none"/>
        </w:rPr>
        <w:t xml:space="preserve">.1 </w:t>
      </w: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color w:val="auto"/>
          <w:sz w:val="24"/>
          <w:szCs w:val="24"/>
          <w:highlight w:val="none"/>
        </w:rPr>
        <w:t>。</w:t>
      </w:r>
    </w:p>
    <w:p w14:paraId="108A7EEE">
      <w:pPr>
        <w:adjustRightInd w:val="0"/>
        <w:snapToGrid w:val="0"/>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16.2 投标人须将“投标信用承诺书”按要求签字盖章后上传至信用中国（陕西榆林）进行公示，将公示后的截图附在投标文件中（截图须体现本项目名称及项目编号），</w:t>
      </w:r>
      <w:r>
        <w:rPr>
          <w:rFonts w:hint="default" w:ascii="宋体" w:hAnsi="宋体" w:eastAsia="宋体" w:cs="宋体"/>
          <w:color w:val="auto"/>
          <w:sz w:val="24"/>
          <w:highlight w:val="none"/>
          <w:lang w:val="en-US" w:eastAsia="zh-CN"/>
        </w:rPr>
        <w:t>格式详见</w:t>
      </w:r>
      <w:r>
        <w:rPr>
          <w:rFonts w:hint="eastAsia" w:ascii="宋体" w:hAnsi="宋体" w:eastAsia="宋体" w:cs="宋体"/>
          <w:color w:val="auto"/>
          <w:sz w:val="24"/>
          <w:highlight w:val="none"/>
          <w:lang w:val="en-US" w:eastAsia="zh-CN"/>
        </w:rPr>
        <w:t>招标</w:t>
      </w:r>
      <w:r>
        <w:rPr>
          <w:rFonts w:hint="default" w:ascii="宋体" w:hAnsi="宋体" w:eastAsia="宋体" w:cs="宋体"/>
          <w:color w:val="auto"/>
          <w:sz w:val="24"/>
          <w:highlight w:val="none"/>
          <w:lang w:val="en-US" w:eastAsia="zh-CN"/>
        </w:rPr>
        <w:t>文件第</w:t>
      </w:r>
      <w:r>
        <w:rPr>
          <w:rFonts w:hint="eastAsia" w:ascii="宋体" w:hAnsi="宋体" w:eastAsia="宋体" w:cs="宋体"/>
          <w:color w:val="auto"/>
          <w:sz w:val="24"/>
          <w:highlight w:val="none"/>
          <w:lang w:val="en-US" w:eastAsia="zh-CN"/>
        </w:rPr>
        <w:t>九</w:t>
      </w:r>
      <w:r>
        <w:rPr>
          <w:rFonts w:hint="default" w:ascii="宋体" w:hAnsi="宋体" w:eastAsia="宋体" w:cs="宋体"/>
          <w:color w:val="auto"/>
          <w:sz w:val="24"/>
          <w:highlight w:val="none"/>
          <w:lang w:val="en-US" w:eastAsia="zh-CN"/>
        </w:rPr>
        <w:t>部分附件3</w:t>
      </w:r>
      <w:r>
        <w:rPr>
          <w:rFonts w:hint="eastAsia" w:ascii="宋体" w:hAnsi="宋体" w:eastAsia="宋体" w:cs="宋体"/>
          <w:color w:val="auto"/>
          <w:sz w:val="24"/>
          <w:highlight w:val="none"/>
          <w:lang w:val="en-US" w:eastAsia="zh-CN"/>
        </w:rPr>
        <w:t>。</w:t>
      </w:r>
    </w:p>
    <w:p w14:paraId="57C89E25">
      <w:pPr>
        <w:adjustRightInd w:val="0"/>
        <w:snapToGrid w:val="0"/>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16.3 </w:t>
      </w:r>
      <w:r>
        <w:rPr>
          <w:rFonts w:hint="eastAsia" w:ascii="宋体" w:hAnsi="宋体" w:cs="宋体"/>
          <w:color w:val="auto"/>
          <w:sz w:val="24"/>
          <w:highlight w:val="none"/>
        </w:rPr>
        <w:t>投标单位已</w:t>
      </w:r>
      <w:r>
        <w:rPr>
          <w:rFonts w:hint="eastAsia" w:ascii="宋体" w:hAnsi="宋体" w:cs="宋体"/>
          <w:color w:val="auto"/>
          <w:sz w:val="24"/>
          <w:highlight w:val="none"/>
          <w:lang w:val="en-US" w:eastAsia="zh-CN"/>
        </w:rPr>
        <w:t>在信用中国网站承诺并公示</w:t>
      </w:r>
      <w:r>
        <w:rPr>
          <w:rFonts w:hint="eastAsia" w:ascii="宋体" w:hAnsi="宋体" w:cs="宋体"/>
          <w:color w:val="auto"/>
          <w:sz w:val="24"/>
          <w:highlight w:val="none"/>
        </w:rPr>
        <w:t xml:space="preserve">而自动放弃投标权利的，需在开标之前提交《弃标函》。 </w:t>
      </w:r>
      <w:r>
        <w:rPr>
          <w:rFonts w:hint="eastAsia" w:ascii="宋体" w:hAnsi="宋体" w:cs="宋体"/>
          <w:color w:val="auto"/>
          <w:sz w:val="24"/>
          <w:highlight w:val="none"/>
          <w:lang w:val="en-US" w:eastAsia="zh-CN"/>
        </w:rPr>
        <w:t>将</w:t>
      </w:r>
      <w:r>
        <w:rPr>
          <w:rFonts w:hint="eastAsia" w:ascii="宋体" w:hAnsi="宋体" w:cs="宋体"/>
          <w:color w:val="auto"/>
          <w:sz w:val="24"/>
          <w:highlight w:val="none"/>
        </w:rPr>
        <w:t>《弃标函》</w:t>
      </w:r>
      <w:r>
        <w:rPr>
          <w:rFonts w:hint="eastAsia" w:ascii="宋体" w:hAnsi="宋体" w:cs="宋体"/>
          <w:color w:val="auto"/>
          <w:sz w:val="24"/>
          <w:highlight w:val="none"/>
          <w:lang w:val="en-US" w:eastAsia="zh-CN"/>
        </w:rPr>
        <w:t>发至代理公司邮箱：652556020@qq.com并打电话通知的代理公司，电话：13228440603</w:t>
      </w:r>
      <w:r>
        <w:rPr>
          <w:rFonts w:hint="eastAsia" w:ascii="宋体" w:hAnsi="宋体" w:eastAsia="宋体" w:cs="宋体"/>
          <w:color w:val="auto"/>
          <w:sz w:val="24"/>
          <w:highlight w:val="none"/>
          <w:lang w:val="en-US" w:eastAsia="zh-CN"/>
        </w:rPr>
        <w:t xml:space="preserve">。 </w:t>
      </w:r>
    </w:p>
    <w:p w14:paraId="122F3BFA">
      <w:pPr>
        <w:pStyle w:val="4"/>
        <w:pageBreakBefore w:val="0"/>
        <w:bidi w:val="0"/>
        <w:spacing w:line="460" w:lineRule="exact"/>
        <w:textAlignment w:val="auto"/>
        <w:rPr>
          <w:rFonts w:ascii="宋体" w:hAnsi="宋体" w:cs="宋体"/>
          <w:bCs/>
          <w:color w:val="auto"/>
          <w:highlight w:val="none"/>
        </w:rPr>
      </w:pPr>
      <w:r>
        <w:rPr>
          <w:rFonts w:hint="eastAsia" w:ascii="宋体" w:hAnsi="宋体" w:cs="宋体"/>
          <w:bCs/>
          <w:color w:val="auto"/>
          <w:highlight w:val="none"/>
        </w:rPr>
        <w:t>17 谈判有效期</w:t>
      </w:r>
      <w:bookmarkEnd w:id="202"/>
      <w:bookmarkEnd w:id="203"/>
      <w:bookmarkEnd w:id="204"/>
      <w:bookmarkEnd w:id="205"/>
      <w:bookmarkEnd w:id="206"/>
      <w:bookmarkEnd w:id="207"/>
      <w:bookmarkEnd w:id="208"/>
      <w:bookmarkEnd w:id="209"/>
      <w:bookmarkEnd w:id="210"/>
    </w:p>
    <w:p w14:paraId="394B1C13">
      <w:pPr>
        <w:spacing w:line="460" w:lineRule="exact"/>
        <w:rPr>
          <w:rFonts w:ascii="宋体" w:hAnsi="宋体" w:cs="宋体"/>
          <w:color w:val="auto"/>
          <w:sz w:val="24"/>
          <w:highlight w:val="none"/>
        </w:rPr>
      </w:pPr>
      <w:bookmarkStart w:id="211" w:name="_Toc246928915"/>
      <w:bookmarkStart w:id="212" w:name="_Toc18885"/>
      <w:bookmarkStart w:id="213" w:name="_Toc22552"/>
      <w:bookmarkStart w:id="214" w:name="_Toc15795"/>
      <w:bookmarkStart w:id="215" w:name="_Toc282"/>
      <w:bookmarkStart w:id="216" w:name="_Toc14012"/>
      <w:bookmarkStart w:id="217" w:name="_Toc17754"/>
      <w:bookmarkStart w:id="218" w:name="_Toc27007"/>
      <w:bookmarkStart w:id="219" w:name="_Toc465958106"/>
      <w:r>
        <w:rPr>
          <w:rFonts w:hint="eastAsia" w:ascii="宋体" w:hAnsi="宋体" w:cs="宋体"/>
          <w:color w:val="auto"/>
          <w:sz w:val="24"/>
          <w:highlight w:val="none"/>
        </w:rPr>
        <w:t>17.1  竞争性谈判响应文件从开标之日起，谈判有效期为90日历天。谈判有效期不满足要求的谈判属于无效谈判情形。</w:t>
      </w:r>
    </w:p>
    <w:p w14:paraId="2C75F9BA">
      <w:pPr>
        <w:pStyle w:val="4"/>
        <w:pageBreakBefore w:val="0"/>
        <w:bidi w:val="0"/>
        <w:spacing w:before="120" w:after="120" w:line="460" w:lineRule="exact"/>
        <w:textAlignment w:val="auto"/>
        <w:rPr>
          <w:rFonts w:hint="eastAsia" w:ascii="宋体" w:hAnsi="宋体" w:eastAsia="宋体" w:cs="宋体"/>
          <w:b w:val="0"/>
          <w:color w:val="auto"/>
          <w:kern w:val="2"/>
          <w:sz w:val="24"/>
          <w:highlight w:val="none"/>
          <w:lang w:val="en-US" w:eastAsia="zh-CN" w:bidi="ar-SA"/>
        </w:rPr>
      </w:pPr>
      <w:r>
        <w:rPr>
          <w:rFonts w:hint="eastAsia" w:ascii="宋体" w:hAnsi="宋体" w:eastAsia="宋体" w:cs="宋体"/>
          <w:b w:val="0"/>
          <w:color w:val="auto"/>
          <w:kern w:val="2"/>
          <w:sz w:val="24"/>
          <w:highlight w:val="none"/>
          <w:lang w:val="en-US" w:eastAsia="zh-CN" w:bidi="ar-SA"/>
        </w:rPr>
        <w:t>17.2成交供应商的竞争性谈判响应文件有效期延长至合同执行完毕。</w:t>
      </w:r>
    </w:p>
    <w:p w14:paraId="5BC3DEBE">
      <w:pPr>
        <w:pStyle w:val="4"/>
        <w:pageBreakBefore w:val="0"/>
        <w:bidi w:val="0"/>
        <w:spacing w:before="120" w:after="120" w:line="460" w:lineRule="exact"/>
        <w:textAlignment w:val="auto"/>
        <w:rPr>
          <w:rFonts w:ascii="宋体" w:hAnsi="宋体" w:cs="宋体"/>
          <w:bCs/>
          <w:color w:val="auto"/>
          <w:highlight w:val="none"/>
        </w:rPr>
      </w:pPr>
      <w:r>
        <w:rPr>
          <w:rFonts w:hint="eastAsia" w:ascii="宋体" w:hAnsi="宋体" w:cs="宋体"/>
          <w:bCs/>
          <w:color w:val="auto"/>
          <w:highlight w:val="none"/>
        </w:rPr>
        <w:t>18 竞争性谈判响应文件的签署及</w:t>
      </w:r>
      <w:bookmarkEnd w:id="211"/>
      <w:r>
        <w:rPr>
          <w:rFonts w:hint="eastAsia" w:ascii="宋体" w:hAnsi="宋体" w:cs="宋体"/>
          <w:bCs/>
          <w:color w:val="auto"/>
          <w:highlight w:val="none"/>
        </w:rPr>
        <w:t>规定</w:t>
      </w:r>
      <w:bookmarkEnd w:id="212"/>
      <w:bookmarkEnd w:id="213"/>
      <w:bookmarkEnd w:id="214"/>
      <w:bookmarkEnd w:id="215"/>
      <w:bookmarkEnd w:id="216"/>
      <w:bookmarkEnd w:id="217"/>
      <w:bookmarkEnd w:id="218"/>
      <w:bookmarkEnd w:id="219"/>
    </w:p>
    <w:p w14:paraId="4C1CE2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 xml:space="preserve">.1 </w:t>
      </w:r>
      <w:r>
        <w:rPr>
          <w:rFonts w:hint="eastAsia" w:ascii="宋体" w:hAnsi="宋体" w:cs="宋体"/>
          <w:color w:val="auto"/>
          <w:sz w:val="24"/>
          <w:highlight w:val="none"/>
          <w:lang w:val="en-US" w:eastAsia="zh-CN"/>
        </w:rPr>
        <w:t>纸质</w:t>
      </w:r>
      <w:r>
        <w:rPr>
          <w:rFonts w:hint="eastAsia" w:ascii="思源宋体 CN Light" w:hAnsi="思源宋体 CN Light" w:eastAsia="思源宋体 CN Light" w:cs="思源宋体 CN Light"/>
          <w:color w:val="auto"/>
          <w:sz w:val="24"/>
          <w:szCs w:val="24"/>
          <w:highlight w:val="none"/>
          <w:lang w:val="en-US" w:eastAsia="zh-CN"/>
        </w:rPr>
        <w:t>投标文件采用系统上传的</w:t>
      </w:r>
      <w:r>
        <w:rPr>
          <w:rFonts w:hint="eastAsia" w:ascii="思源宋体 CN Light" w:hAnsi="思源宋体 CN Light" w:eastAsia="思源宋体 CN Light" w:cs="思源宋体 CN Light"/>
          <w:color w:val="auto"/>
          <w:sz w:val="24"/>
          <w:szCs w:val="24"/>
          <w:highlight w:val="none"/>
        </w:rPr>
        <w:t>电子投标文件</w:t>
      </w:r>
      <w:r>
        <w:rPr>
          <w:rFonts w:hint="eastAsia" w:ascii="思源宋体 CN Light" w:hAnsi="思源宋体 CN Light" w:eastAsia="思源宋体 CN Light" w:cs="思源宋体 CN Light"/>
          <w:color w:val="auto"/>
          <w:sz w:val="24"/>
          <w:szCs w:val="24"/>
          <w:highlight w:val="none"/>
          <w:lang w:val="en-US" w:eastAsia="zh-CN"/>
        </w:rPr>
        <w:t>的打印件，</w:t>
      </w:r>
      <w:r>
        <w:rPr>
          <w:rFonts w:hint="eastAsia" w:ascii="宋体" w:hAnsi="宋体" w:cs="宋体"/>
          <w:color w:val="auto"/>
          <w:sz w:val="24"/>
          <w:szCs w:val="24"/>
          <w:highlight w:val="none"/>
        </w:rPr>
        <w:t>投标文件正、副本须各自装订成册，统一编码（要求胶装、不得出现活页）。</w:t>
      </w:r>
      <w:r>
        <w:rPr>
          <w:rFonts w:hint="eastAsia" w:ascii="思源宋体 CN Light" w:hAnsi="思源宋体 CN Light" w:eastAsia="思源宋体 CN Light" w:cs="思源宋体 CN Light"/>
          <w:color w:val="auto"/>
          <w:sz w:val="24"/>
          <w:szCs w:val="24"/>
          <w:highlight w:val="none"/>
          <w:lang w:val="en-US" w:eastAsia="zh-CN"/>
        </w:rPr>
        <w:t>每份投标文件封皮须清楚地标明“正本”或“副本”。</w:t>
      </w:r>
    </w:p>
    <w:p w14:paraId="6D5C256D">
      <w:pPr>
        <w:adjustRightInd w:val="0"/>
        <w:snapToGrid w:val="0"/>
        <w:spacing w:line="360" w:lineRule="auto"/>
        <w:ind w:firstLine="480" w:firstLineChars="200"/>
        <w:rPr>
          <w:rFonts w:hint="eastAsia" w:ascii="宋体" w:hAnsi="宋体" w:cs="宋体"/>
          <w:color w:val="auto"/>
          <w:sz w:val="24"/>
          <w:szCs w:val="22"/>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.2  除投标人对错处作必要修改外，投标文件中不许有加行、涂抹或改写。若有修改须由授权代表或法定代表人在修改处签字</w:t>
      </w:r>
      <w:r>
        <w:rPr>
          <w:rFonts w:hint="eastAsia" w:ascii="宋体" w:hAnsi="宋体" w:cs="宋体"/>
          <w:color w:val="auto"/>
          <w:sz w:val="24"/>
          <w:szCs w:val="22"/>
          <w:highlight w:val="none"/>
        </w:rPr>
        <w:t xml:space="preserve">。 </w:t>
      </w:r>
    </w:p>
    <w:p w14:paraId="7BC6F6FA">
      <w:pPr>
        <w:adjustRightInd w:val="0"/>
        <w:snapToGrid w:val="0"/>
        <w:spacing w:line="360" w:lineRule="auto"/>
        <w:ind w:firstLine="480" w:firstLineChars="200"/>
        <w:rPr>
          <w:rFonts w:hint="eastAsia" w:ascii="宋体" w:hAnsi="宋体" w:cs="宋体"/>
          <w:color w:val="auto"/>
          <w:sz w:val="24"/>
          <w:szCs w:val="22"/>
          <w:highlight w:val="none"/>
        </w:rPr>
      </w:pPr>
      <w:r>
        <w:rPr>
          <w:rFonts w:hint="eastAsia" w:ascii="宋体" w:hAnsi="宋体" w:cs="宋体"/>
          <w:color w:val="auto"/>
          <w:sz w:val="24"/>
          <w:szCs w:val="22"/>
          <w:highlight w:val="none"/>
          <w:lang w:val="en-US" w:eastAsia="zh-CN"/>
        </w:rPr>
        <w:t>18</w:t>
      </w:r>
      <w:r>
        <w:rPr>
          <w:rFonts w:hint="eastAsia" w:ascii="宋体" w:hAnsi="宋体" w:cs="宋体"/>
          <w:color w:val="auto"/>
          <w:sz w:val="24"/>
          <w:szCs w:val="22"/>
          <w:highlight w:val="none"/>
        </w:rPr>
        <w:t xml:space="preserve">.3  </w:t>
      </w:r>
      <w:r>
        <w:rPr>
          <w:rFonts w:hint="eastAsia" w:ascii="宋体" w:hAnsi="宋体" w:cs="宋体"/>
          <w:color w:val="auto"/>
          <w:sz w:val="24"/>
          <w:highlight w:val="none"/>
        </w:rPr>
        <w:t>投标人</w:t>
      </w:r>
      <w:r>
        <w:rPr>
          <w:rFonts w:hint="eastAsia" w:ascii="宋体" w:hAnsi="宋体" w:cs="宋体"/>
          <w:color w:val="auto"/>
          <w:sz w:val="24"/>
          <w:szCs w:val="22"/>
          <w:highlight w:val="none"/>
        </w:rPr>
        <w:t>名称应填写全称，</w:t>
      </w:r>
      <w:r>
        <w:rPr>
          <w:rFonts w:hint="eastAsia" w:ascii="宋体" w:hAnsi="宋体" w:cs="宋体"/>
          <w:color w:val="auto"/>
          <w:sz w:val="24"/>
          <w:szCs w:val="22"/>
          <w:highlight w:val="none"/>
          <w:lang w:val="en-US" w:eastAsia="zh-CN"/>
        </w:rPr>
        <w:t>纸质</w:t>
      </w:r>
      <w:r>
        <w:rPr>
          <w:rFonts w:hint="eastAsia" w:ascii="宋体" w:hAnsi="宋体" w:cs="宋体"/>
          <w:color w:val="auto"/>
          <w:sz w:val="24"/>
          <w:szCs w:val="22"/>
          <w:highlight w:val="none"/>
        </w:rPr>
        <w:t>投标文件正本必须逐页加盖</w:t>
      </w:r>
      <w:r>
        <w:rPr>
          <w:rFonts w:hint="eastAsia" w:ascii="宋体" w:hAnsi="宋体" w:cs="宋体"/>
          <w:color w:val="auto"/>
          <w:sz w:val="24"/>
          <w:highlight w:val="none"/>
        </w:rPr>
        <w:t>投标人</w:t>
      </w:r>
      <w:r>
        <w:rPr>
          <w:rFonts w:hint="eastAsia" w:ascii="宋体" w:hAnsi="宋体" w:cs="宋体"/>
          <w:color w:val="auto"/>
          <w:sz w:val="24"/>
          <w:szCs w:val="22"/>
          <w:highlight w:val="none"/>
        </w:rPr>
        <w:t>公章，</w:t>
      </w:r>
      <w:r>
        <w:rPr>
          <w:rFonts w:hint="eastAsia" w:ascii="宋体" w:hAnsi="宋体" w:cs="宋体"/>
          <w:color w:val="auto"/>
          <w:sz w:val="24"/>
          <w:szCs w:val="22"/>
          <w:highlight w:val="none"/>
          <w:lang w:val="en-US" w:eastAsia="zh-CN"/>
        </w:rPr>
        <w:t>纸质</w:t>
      </w:r>
      <w:r>
        <w:rPr>
          <w:rFonts w:hint="eastAsia" w:ascii="宋体" w:hAnsi="宋体" w:cs="宋体"/>
          <w:color w:val="auto"/>
          <w:sz w:val="24"/>
          <w:szCs w:val="22"/>
          <w:highlight w:val="none"/>
        </w:rPr>
        <w:t>投标文件正本和副本必须加盖骑缝章。</w:t>
      </w:r>
    </w:p>
    <w:p w14:paraId="4CD7FDD6">
      <w:pPr>
        <w:pStyle w:val="8"/>
        <w:spacing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lang w:val="en-US" w:eastAsia="zh-CN"/>
        </w:rPr>
        <w:t>18</w:t>
      </w:r>
      <w:r>
        <w:rPr>
          <w:rFonts w:hint="eastAsia" w:ascii="宋体" w:hAnsi="宋体" w:cs="宋体"/>
          <w:b w:val="0"/>
          <w:color w:val="auto"/>
          <w:sz w:val="24"/>
          <w:highlight w:val="none"/>
        </w:rPr>
        <w:t>.4本项目采用电子化投标文件与纸质投标文件并行的方式。投标人须使用数字认证证书对电子化投标文件进行签章、加密、递交及开标时解密等相关招投标事宜。如出现电子投标文件与纸质投标文件顺序不一致，不作为废标条款，以电子投标文件为准。</w:t>
      </w:r>
    </w:p>
    <w:p w14:paraId="09B094FE">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szCs w:val="22"/>
          <w:highlight w:val="none"/>
          <w:lang w:val="en-US" w:eastAsia="zh-CN"/>
        </w:rPr>
        <w:t>18</w:t>
      </w:r>
      <w:r>
        <w:rPr>
          <w:rFonts w:hint="eastAsia" w:ascii="宋体" w:hAnsi="宋体" w:cs="宋体"/>
          <w:color w:val="auto"/>
          <w:sz w:val="24"/>
          <w:szCs w:val="22"/>
          <w:highlight w:val="none"/>
        </w:rPr>
        <w:t>.5  采购人拒绝接受以电报、电话、传真、电</w:t>
      </w:r>
      <w:r>
        <w:rPr>
          <w:rFonts w:hint="eastAsia" w:ascii="宋体" w:hAnsi="宋体" w:cs="宋体"/>
          <w:color w:val="auto"/>
          <w:sz w:val="24"/>
          <w:highlight w:val="none"/>
        </w:rPr>
        <w:t>子邮件形式的投标。</w:t>
      </w:r>
    </w:p>
    <w:p w14:paraId="17C0673B">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.6  未按上述要求编制及签署的投标文件视为无效投标文件。</w:t>
      </w:r>
    </w:p>
    <w:p w14:paraId="720ACA67">
      <w:pPr>
        <w:adjustRightInd w:val="0"/>
        <w:snapToGrid w:val="0"/>
        <w:spacing w:line="460" w:lineRule="exact"/>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18.7电子谈判文件下载。供应商登录全国公共资源交易平台（陕西省） 网站〖首页·〉电子交易平台·〉企业端〗后，选择项目点击 “我要投标”，参与投标活动。然后即可在〖我的项目〗中点击“项目流程&gt;交易文件下载”下载电子谈判文件。 </w:t>
      </w:r>
    </w:p>
    <w:p w14:paraId="2D7965A0">
      <w:pPr>
        <w:adjustRightInd w:val="0"/>
        <w:snapToGrid w:val="0"/>
        <w:spacing w:line="460" w:lineRule="exact"/>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1993CDAD">
      <w:pPr>
        <w:adjustRightInd w:val="0"/>
        <w:snapToGrid w:val="0"/>
        <w:spacing w:line="460" w:lineRule="exact"/>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18.9 制作电子</w:t>
      </w:r>
      <w:r>
        <w:rPr>
          <w:rFonts w:hint="eastAsia" w:ascii="宋体" w:hAnsi="宋体" w:cs="宋体"/>
          <w:color w:val="auto"/>
          <w:sz w:val="24"/>
          <w:highlight w:val="none"/>
        </w:rPr>
        <w:t>谈判响应文件</w:t>
      </w:r>
      <w:r>
        <w:rPr>
          <w:rFonts w:hint="eastAsia" w:ascii="宋体" w:hAnsi="宋体" w:cs="宋体"/>
          <w:color w:val="auto"/>
          <w:sz w:val="24"/>
          <w:szCs w:val="22"/>
          <w:highlight w:val="none"/>
        </w:rPr>
        <w:t>。电子</w:t>
      </w:r>
      <w:r>
        <w:rPr>
          <w:rFonts w:hint="eastAsia" w:ascii="宋体" w:hAnsi="宋体" w:cs="宋体"/>
          <w:color w:val="auto"/>
          <w:sz w:val="24"/>
          <w:highlight w:val="none"/>
        </w:rPr>
        <w:t>谈判响应文件</w:t>
      </w:r>
      <w:r>
        <w:rPr>
          <w:rFonts w:hint="eastAsia" w:ascii="宋体" w:hAnsi="宋体" w:cs="宋体"/>
          <w:color w:val="auto"/>
          <w:sz w:val="24"/>
          <w:szCs w:val="22"/>
          <w:highlight w:val="none"/>
        </w:rPr>
        <w:t xml:space="preserve">同样需要使用上述软件进行编制。在编制过程中，如有技术性问题，请先翻阅操作手册，或致电软件开发商。 </w:t>
      </w:r>
    </w:p>
    <w:p w14:paraId="1CD1D7A8">
      <w:pPr>
        <w:adjustRightInd w:val="0"/>
        <w:snapToGrid w:val="0"/>
        <w:spacing w:line="460" w:lineRule="exact"/>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技术支持热线：4009280095、4009980000 </w:t>
      </w:r>
    </w:p>
    <w:p w14:paraId="7955A44A">
      <w:pPr>
        <w:pStyle w:val="8"/>
        <w:spacing w:line="460" w:lineRule="exact"/>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lang w:eastAsia="zh-CN"/>
        </w:rPr>
        <w:t>CA锁购买：榆林市市民大厦3楼，E18、E19窗口，</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
        </w:rPr>
        <w:t>咨询电话0912-3452148、029-88661298或4006-369-888（陕西CA联系电话）</w:t>
      </w:r>
      <w:r>
        <w:rPr>
          <w:rFonts w:hint="eastAsia" w:ascii="宋体" w:hAnsi="宋体" w:cs="宋体"/>
          <w:color w:val="auto"/>
          <w:sz w:val="24"/>
          <w:szCs w:val="22"/>
          <w:highlight w:val="none"/>
          <w:lang w:eastAsia="zh-CN"/>
        </w:rPr>
        <w:t>。</w:t>
      </w:r>
    </w:p>
    <w:p w14:paraId="2EB6A68B">
      <w:pPr>
        <w:pStyle w:val="3"/>
        <w:pageBreakBefore w:val="0"/>
        <w:bidi w:val="0"/>
        <w:spacing w:before="120" w:after="120" w:line="460" w:lineRule="exact"/>
        <w:jc w:val="center"/>
        <w:textAlignment w:val="auto"/>
        <w:rPr>
          <w:rFonts w:ascii="宋体" w:hAnsi="宋体" w:eastAsia="宋体" w:cs="宋体"/>
          <w:bCs/>
          <w:color w:val="auto"/>
          <w:sz w:val="36"/>
          <w:highlight w:val="none"/>
        </w:rPr>
      </w:pPr>
      <w:bookmarkStart w:id="220" w:name="_Toc26918"/>
      <w:bookmarkStart w:id="221" w:name="_Toc12671"/>
      <w:bookmarkStart w:id="222" w:name="_Toc246928916"/>
      <w:bookmarkStart w:id="223" w:name="_Toc28593"/>
      <w:bookmarkStart w:id="224" w:name="_Toc17673"/>
      <w:bookmarkStart w:id="225" w:name="_Toc465958107"/>
      <w:bookmarkStart w:id="226" w:name="_Toc12354"/>
      <w:bookmarkStart w:id="227" w:name="_Toc30045"/>
      <w:r>
        <w:rPr>
          <w:rFonts w:hint="eastAsia" w:ascii="宋体" w:hAnsi="宋体" w:eastAsia="宋体" w:cs="宋体"/>
          <w:bCs/>
          <w:color w:val="auto"/>
          <w:sz w:val="36"/>
          <w:highlight w:val="none"/>
        </w:rPr>
        <w:t>D 竞争性谈判响应文件的递交</w:t>
      </w:r>
      <w:bookmarkEnd w:id="220"/>
      <w:bookmarkEnd w:id="221"/>
      <w:bookmarkEnd w:id="222"/>
      <w:bookmarkEnd w:id="223"/>
      <w:bookmarkEnd w:id="224"/>
      <w:bookmarkEnd w:id="225"/>
      <w:bookmarkEnd w:id="226"/>
      <w:bookmarkEnd w:id="227"/>
    </w:p>
    <w:p w14:paraId="145172DA">
      <w:pPr>
        <w:pStyle w:val="4"/>
        <w:pageBreakBefore w:val="0"/>
        <w:bidi w:val="0"/>
        <w:spacing w:before="120" w:after="120" w:line="460" w:lineRule="exact"/>
        <w:textAlignment w:val="auto"/>
        <w:rPr>
          <w:rFonts w:ascii="宋体" w:hAnsi="宋体" w:cs="宋体"/>
          <w:bCs/>
          <w:color w:val="auto"/>
          <w:highlight w:val="none"/>
        </w:rPr>
      </w:pPr>
      <w:bookmarkStart w:id="228" w:name="_Toc465958108"/>
      <w:bookmarkStart w:id="229" w:name="_Toc5378"/>
      <w:bookmarkStart w:id="230" w:name="_Toc20693"/>
      <w:bookmarkStart w:id="231" w:name="_Toc17004"/>
      <w:bookmarkStart w:id="232" w:name="_Toc22531"/>
      <w:bookmarkStart w:id="233" w:name="_Toc14296"/>
      <w:bookmarkStart w:id="234" w:name="_Toc246928917"/>
      <w:bookmarkStart w:id="235" w:name="_Toc14360"/>
      <w:bookmarkStart w:id="236" w:name="_Toc15221"/>
      <w:r>
        <w:rPr>
          <w:rFonts w:hint="eastAsia" w:ascii="宋体" w:hAnsi="宋体" w:cs="宋体"/>
          <w:bCs/>
          <w:color w:val="auto"/>
          <w:highlight w:val="none"/>
        </w:rPr>
        <w:t>19 竞争性谈判响应文件的</w:t>
      </w:r>
      <w:bookmarkEnd w:id="228"/>
      <w:bookmarkEnd w:id="229"/>
      <w:bookmarkEnd w:id="230"/>
      <w:bookmarkEnd w:id="231"/>
      <w:bookmarkEnd w:id="232"/>
      <w:bookmarkEnd w:id="233"/>
      <w:bookmarkEnd w:id="234"/>
      <w:r>
        <w:rPr>
          <w:rFonts w:hint="eastAsia" w:ascii="宋体" w:hAnsi="宋体" w:cs="宋体"/>
          <w:bCs/>
          <w:color w:val="auto"/>
          <w:highlight w:val="none"/>
        </w:rPr>
        <w:t>邮寄</w:t>
      </w:r>
      <w:bookmarkEnd w:id="235"/>
      <w:bookmarkEnd w:id="236"/>
    </w:p>
    <w:p w14:paraId="39079F74">
      <w:pPr>
        <w:spacing w:line="360" w:lineRule="auto"/>
        <w:ind w:firstLine="480" w:firstLineChars="200"/>
        <w:rPr>
          <w:rFonts w:hint="eastAsia" w:ascii="思源宋体 CN Light" w:hAnsi="思源宋体 CN Light" w:eastAsia="思源宋体 CN Light" w:cs="思源宋体 CN Light"/>
          <w:color w:val="auto"/>
          <w:sz w:val="24"/>
          <w:szCs w:val="24"/>
          <w:highlight w:val="none"/>
        </w:rPr>
      </w:pPr>
      <w:bookmarkStart w:id="237" w:name="_Toc27391"/>
      <w:bookmarkStart w:id="238" w:name="_Toc27827"/>
      <w:bookmarkStart w:id="239" w:name="_Toc246928918"/>
      <w:bookmarkStart w:id="240" w:name="_Toc465958109"/>
      <w:bookmarkStart w:id="241" w:name="_Toc2644"/>
      <w:bookmarkStart w:id="242" w:name="_Toc10052"/>
      <w:bookmarkStart w:id="243" w:name="_Toc4222"/>
      <w:r>
        <w:rPr>
          <w:rFonts w:hint="eastAsia" w:ascii="宋体" w:hAnsi="宋体" w:cs="仿宋_GB2312"/>
          <w:bCs/>
          <w:color w:val="auto"/>
          <w:sz w:val="24"/>
          <w:highlight w:val="none"/>
          <w:lang w:val="en-US" w:eastAsia="zh-CN"/>
        </w:rPr>
        <w:t>19.1</w:t>
      </w:r>
      <w:r>
        <w:rPr>
          <w:rFonts w:hint="eastAsia" w:ascii="思源宋体 CN Light" w:hAnsi="思源宋体 CN Light" w:eastAsia="思源宋体 CN Light" w:cs="思源宋体 CN Light"/>
          <w:color w:val="auto"/>
          <w:sz w:val="24"/>
          <w:szCs w:val="24"/>
          <w:highlight w:val="none"/>
          <w:lang w:val="en-US" w:eastAsia="zh-CN"/>
        </w:rPr>
        <w:t>为便于采购人归档和向监管部门备案，成交供应商人需按以下要求递交纸质版投标文件，投标文件可采用系统上传的</w:t>
      </w:r>
      <w:r>
        <w:rPr>
          <w:rFonts w:hint="eastAsia" w:ascii="思源宋体 CN Light" w:hAnsi="思源宋体 CN Light" w:eastAsia="思源宋体 CN Light" w:cs="思源宋体 CN Light"/>
          <w:color w:val="auto"/>
          <w:sz w:val="24"/>
          <w:szCs w:val="24"/>
          <w:highlight w:val="none"/>
        </w:rPr>
        <w:t>电子投标文件</w:t>
      </w:r>
      <w:r>
        <w:rPr>
          <w:rFonts w:hint="eastAsia" w:ascii="思源宋体 CN Light" w:hAnsi="思源宋体 CN Light" w:eastAsia="思源宋体 CN Light" w:cs="思源宋体 CN Light"/>
          <w:color w:val="auto"/>
          <w:sz w:val="24"/>
          <w:szCs w:val="24"/>
          <w:highlight w:val="none"/>
          <w:lang w:val="en-US" w:eastAsia="zh-CN"/>
        </w:rPr>
        <w:t>的打印件，正本、副本分别装订成册，每份投标文件封皮须清楚地标明“正本”或“副本”：</w:t>
      </w:r>
    </w:p>
    <w:p w14:paraId="2F3EA70A">
      <w:pPr>
        <w:spacing w:line="360" w:lineRule="auto"/>
        <w:ind w:firstLine="480" w:firstLineChars="200"/>
        <w:rPr>
          <w:rFonts w:hint="eastAsia" w:ascii="思源宋体 CN Light" w:hAnsi="思源宋体 CN Light" w:eastAsia="思源宋体 CN Light" w:cs="思源宋体 CN Light"/>
          <w:color w:val="auto"/>
          <w:sz w:val="24"/>
          <w:szCs w:val="24"/>
          <w:highlight w:val="none"/>
          <w:lang w:val="en-US" w:eastAsia="zh-CN"/>
        </w:rPr>
      </w:pPr>
      <w:r>
        <w:rPr>
          <w:rFonts w:hint="eastAsia" w:ascii="思源宋体 CN Light" w:hAnsi="思源宋体 CN Light" w:eastAsia="思源宋体 CN Light" w:cs="思源宋体 CN Light"/>
          <w:color w:val="auto"/>
          <w:sz w:val="24"/>
          <w:szCs w:val="24"/>
          <w:highlight w:val="none"/>
          <w:lang w:val="en-US" w:eastAsia="zh-CN"/>
        </w:rPr>
        <w:t xml:space="preserve">投标文件：正本：1 份、副本：2 份； </w:t>
      </w:r>
    </w:p>
    <w:p w14:paraId="332F97D0">
      <w:pPr>
        <w:spacing w:line="360" w:lineRule="auto"/>
        <w:ind w:firstLine="480" w:firstLineChars="200"/>
        <w:rPr>
          <w:rFonts w:hint="eastAsia" w:ascii="思源宋体 CN Light" w:hAnsi="思源宋体 CN Light" w:eastAsia="思源宋体 CN Light" w:cs="思源宋体 CN Light"/>
          <w:color w:val="auto"/>
          <w:sz w:val="24"/>
          <w:szCs w:val="24"/>
          <w:highlight w:val="none"/>
          <w:lang w:val="en-US" w:eastAsia="zh-CN"/>
        </w:rPr>
      </w:pPr>
      <w:r>
        <w:rPr>
          <w:rFonts w:hint="eastAsia" w:ascii="思源宋体 CN Light" w:hAnsi="思源宋体 CN Light" w:eastAsia="思源宋体 CN Light" w:cs="思源宋体 CN Light"/>
          <w:color w:val="auto"/>
          <w:sz w:val="24"/>
          <w:szCs w:val="24"/>
          <w:highlight w:val="none"/>
          <w:lang w:val="en-US" w:eastAsia="zh-CN"/>
        </w:rPr>
        <w:t>投标文件</w:t>
      </w:r>
      <w:r>
        <w:rPr>
          <w:rFonts w:hint="eastAsia" w:ascii="宋体" w:hAnsi="宋体" w:cs="宋体"/>
          <w:color w:val="auto"/>
          <w:sz w:val="24"/>
          <w:szCs w:val="24"/>
          <w:highlight w:val="none"/>
        </w:rPr>
        <w:t>电子版U盘</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份（</w:t>
      </w:r>
      <w:r>
        <w:rPr>
          <w:rFonts w:hint="eastAsia" w:ascii="宋体" w:hAnsi="宋体" w:cs="宋体"/>
          <w:color w:val="auto"/>
          <w:sz w:val="24"/>
          <w:szCs w:val="24"/>
          <w:highlight w:val="none"/>
          <w:lang w:val="en-US" w:eastAsia="zh-CN"/>
        </w:rPr>
        <w:t>投标文件</w:t>
      </w:r>
      <w:r>
        <w:rPr>
          <w:rFonts w:hint="eastAsia" w:ascii="宋体" w:hAnsi="宋体" w:cs="宋体"/>
          <w:color w:val="auto"/>
          <w:sz w:val="24"/>
          <w:szCs w:val="24"/>
          <w:highlight w:val="none"/>
        </w:rPr>
        <w:t>word版</w:t>
      </w:r>
      <w:r>
        <w:rPr>
          <w:rFonts w:hint="eastAsia" w:ascii="宋体" w:hAnsi="宋体" w:cs="宋体"/>
          <w:color w:val="auto"/>
          <w:sz w:val="24"/>
          <w:szCs w:val="24"/>
          <w:highlight w:val="none"/>
          <w:lang w:val="en-US" w:eastAsia="zh-CN"/>
        </w:rPr>
        <w:t>及上传电子投标文件签字盖章的PDF版本的</w:t>
      </w:r>
      <w:r>
        <w:rPr>
          <w:rFonts w:hint="eastAsia" w:ascii="宋体" w:hAnsi="宋体" w:cs="宋体"/>
          <w:color w:val="auto"/>
          <w:sz w:val="24"/>
          <w:szCs w:val="24"/>
          <w:highlight w:val="none"/>
        </w:rPr>
        <w:t>U盘）</w:t>
      </w:r>
      <w:r>
        <w:rPr>
          <w:rFonts w:hint="eastAsia" w:ascii="思源宋体 CN Light" w:hAnsi="思源宋体 CN Light" w:eastAsia="思源宋体 CN Light" w:cs="思源宋体 CN Light"/>
          <w:color w:val="auto"/>
          <w:sz w:val="24"/>
          <w:szCs w:val="24"/>
          <w:highlight w:val="none"/>
          <w:lang w:val="en-US" w:eastAsia="zh-CN"/>
        </w:rPr>
        <w:t>。</w:t>
      </w:r>
    </w:p>
    <w:p w14:paraId="455B2F8A">
      <w:pPr>
        <w:spacing w:line="360" w:lineRule="auto"/>
        <w:ind w:firstLine="480" w:firstLineChars="200"/>
        <w:rPr>
          <w:rFonts w:hint="eastAsia" w:ascii="宋体" w:hAnsi="宋体" w:cs="宋体"/>
          <w:color w:val="auto"/>
          <w:sz w:val="24"/>
          <w:szCs w:val="24"/>
          <w:highlight w:val="none"/>
          <w:lang w:val="en-US" w:eastAsia="zh-CN"/>
        </w:rPr>
      </w:pPr>
      <w:r>
        <w:rPr>
          <w:rFonts w:hint="eastAsia" w:ascii="思源宋体 CN Light" w:hAnsi="思源宋体 CN Light" w:eastAsia="思源宋体 CN Light" w:cs="思源宋体 CN Light"/>
          <w:color w:val="auto"/>
          <w:sz w:val="24"/>
          <w:szCs w:val="24"/>
          <w:highlight w:val="none"/>
          <w:lang w:val="en-US" w:eastAsia="zh-CN"/>
        </w:rPr>
        <w:t>19.2递交方式：纸质版投标文件</w:t>
      </w:r>
      <w:r>
        <w:rPr>
          <w:rFonts w:hint="eastAsia" w:ascii="思源宋体 CN Light" w:hAnsi="思源宋体 CN Light" w:eastAsia="思源宋体 CN Light" w:cs="思源宋体 CN Light"/>
          <w:color w:val="auto"/>
          <w:sz w:val="24"/>
          <w:szCs w:val="24"/>
          <w:highlight w:val="none"/>
        </w:rPr>
        <w:t>在开标时无需提交，待开标结束后，需邮寄补交一正两幅纸质投标文件及</w:t>
      </w:r>
      <w:r>
        <w:rPr>
          <w:rFonts w:hint="eastAsia" w:ascii="宋体" w:hAnsi="宋体" w:cs="宋体"/>
          <w:color w:val="auto"/>
          <w:sz w:val="24"/>
          <w:szCs w:val="24"/>
          <w:highlight w:val="none"/>
        </w:rPr>
        <w:t>电子版U盘</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份（</w:t>
      </w:r>
      <w:r>
        <w:rPr>
          <w:rFonts w:hint="eastAsia" w:ascii="宋体" w:hAnsi="宋体" w:cs="宋体"/>
          <w:color w:val="auto"/>
          <w:sz w:val="24"/>
          <w:szCs w:val="24"/>
          <w:highlight w:val="none"/>
          <w:lang w:val="en-US" w:eastAsia="zh-CN"/>
        </w:rPr>
        <w:t>投标文件</w:t>
      </w:r>
      <w:r>
        <w:rPr>
          <w:rFonts w:hint="eastAsia" w:ascii="宋体" w:hAnsi="宋体" w:cs="宋体"/>
          <w:color w:val="auto"/>
          <w:sz w:val="24"/>
          <w:szCs w:val="24"/>
          <w:highlight w:val="none"/>
        </w:rPr>
        <w:t>word版</w:t>
      </w:r>
      <w:r>
        <w:rPr>
          <w:rFonts w:hint="eastAsia" w:ascii="宋体" w:hAnsi="宋体" w:cs="宋体"/>
          <w:color w:val="auto"/>
          <w:sz w:val="24"/>
          <w:szCs w:val="24"/>
          <w:highlight w:val="none"/>
          <w:lang w:val="en-US" w:eastAsia="zh-CN"/>
        </w:rPr>
        <w:t>及上传电子投标文件签字盖章的PDF版本的</w:t>
      </w:r>
      <w:r>
        <w:rPr>
          <w:rFonts w:hint="eastAsia" w:ascii="宋体" w:hAnsi="宋体" w:cs="宋体"/>
          <w:color w:val="auto"/>
          <w:sz w:val="24"/>
          <w:szCs w:val="24"/>
          <w:highlight w:val="none"/>
        </w:rPr>
        <w:t>U盘）</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以电报、传真、电子邮件形式递交的投标文件将不予接受。</w:t>
      </w:r>
    </w:p>
    <w:p w14:paraId="715FB4FB">
      <w:pPr>
        <w:spacing w:line="360" w:lineRule="auto"/>
        <w:rPr>
          <w:rFonts w:hint="eastAsia" w:ascii="思源宋体 CN Light" w:hAnsi="思源宋体 CN Light" w:eastAsia="思源宋体 CN Light" w:cs="思源宋体 CN Light"/>
          <w:b/>
          <w:bCs/>
          <w:color w:val="auto"/>
          <w:sz w:val="24"/>
          <w:szCs w:val="24"/>
          <w:highlight w:val="none"/>
        </w:rPr>
      </w:pPr>
      <w:r>
        <w:rPr>
          <w:rFonts w:hint="eastAsia" w:ascii="思源宋体 CN Light" w:hAnsi="思源宋体 CN Light" w:eastAsia="思源宋体 CN Light" w:cs="思源宋体 CN Light"/>
          <w:color w:val="auto"/>
          <w:sz w:val="24"/>
          <w:szCs w:val="24"/>
          <w:highlight w:val="none"/>
          <w:lang w:val="en-US" w:eastAsia="zh-CN"/>
        </w:rPr>
        <w:t xml:space="preserve">   </w:t>
      </w:r>
      <w:r>
        <w:rPr>
          <w:rFonts w:hint="eastAsia" w:ascii="思源宋体 CN Light" w:hAnsi="思源宋体 CN Light" w:eastAsia="思源宋体 CN Light" w:cs="思源宋体 CN Light"/>
          <w:b/>
          <w:bCs/>
          <w:color w:val="auto"/>
          <w:sz w:val="24"/>
          <w:szCs w:val="24"/>
          <w:highlight w:val="none"/>
        </w:rPr>
        <w:t>特别提醒：纸质投标文件及电子版U盘</w:t>
      </w:r>
      <w:r>
        <w:rPr>
          <w:rFonts w:hint="eastAsia" w:ascii="思源宋体 CN Light" w:hAnsi="思源宋体 CN Light" w:eastAsia="思源宋体 CN Light" w:cs="思源宋体 CN Light"/>
          <w:b/>
          <w:bCs/>
          <w:color w:val="auto"/>
          <w:sz w:val="24"/>
          <w:szCs w:val="24"/>
          <w:highlight w:val="none"/>
          <w:lang w:val="en-US" w:eastAsia="zh-CN"/>
        </w:rPr>
        <w:t>1</w:t>
      </w:r>
      <w:r>
        <w:rPr>
          <w:rFonts w:hint="eastAsia" w:ascii="思源宋体 CN Light" w:hAnsi="思源宋体 CN Light" w:eastAsia="思源宋体 CN Light" w:cs="思源宋体 CN Light"/>
          <w:b/>
          <w:bCs/>
          <w:color w:val="auto"/>
          <w:sz w:val="24"/>
          <w:szCs w:val="24"/>
          <w:highlight w:val="none"/>
        </w:rPr>
        <w:t>份（</w:t>
      </w:r>
      <w:r>
        <w:rPr>
          <w:rFonts w:hint="eastAsia" w:ascii="思源宋体 CN Light" w:hAnsi="思源宋体 CN Light" w:eastAsia="思源宋体 CN Light" w:cs="思源宋体 CN Light"/>
          <w:b/>
          <w:bCs/>
          <w:color w:val="auto"/>
          <w:sz w:val="24"/>
          <w:szCs w:val="24"/>
          <w:highlight w:val="none"/>
          <w:lang w:val="en-US" w:eastAsia="zh-CN"/>
        </w:rPr>
        <w:t>投标文件</w:t>
      </w:r>
      <w:r>
        <w:rPr>
          <w:rFonts w:hint="eastAsia" w:ascii="思源宋体 CN Light" w:hAnsi="思源宋体 CN Light" w:eastAsia="思源宋体 CN Light" w:cs="思源宋体 CN Light"/>
          <w:b/>
          <w:bCs/>
          <w:color w:val="auto"/>
          <w:sz w:val="24"/>
          <w:szCs w:val="24"/>
          <w:highlight w:val="none"/>
        </w:rPr>
        <w:t>word版</w:t>
      </w:r>
      <w:r>
        <w:rPr>
          <w:rFonts w:hint="eastAsia" w:ascii="思源宋体 CN Light" w:hAnsi="思源宋体 CN Light" w:eastAsia="思源宋体 CN Light" w:cs="思源宋体 CN Light"/>
          <w:b/>
          <w:bCs/>
          <w:color w:val="auto"/>
          <w:sz w:val="24"/>
          <w:szCs w:val="24"/>
          <w:highlight w:val="none"/>
          <w:lang w:val="en-US" w:eastAsia="zh-CN"/>
        </w:rPr>
        <w:t>及上传电子投标文件签字盖章的PDF版本的</w:t>
      </w:r>
      <w:r>
        <w:rPr>
          <w:rFonts w:hint="eastAsia" w:ascii="思源宋体 CN Light" w:hAnsi="思源宋体 CN Light" w:eastAsia="思源宋体 CN Light" w:cs="思源宋体 CN Light"/>
          <w:b/>
          <w:bCs/>
          <w:color w:val="auto"/>
          <w:sz w:val="24"/>
          <w:szCs w:val="24"/>
          <w:highlight w:val="none"/>
        </w:rPr>
        <w:t>U盘）</w:t>
      </w:r>
      <w:r>
        <w:rPr>
          <w:rFonts w:hint="eastAsia" w:ascii="思源宋体 CN Light" w:hAnsi="思源宋体 CN Light" w:eastAsia="思源宋体 CN Light" w:cs="思源宋体 CN Light"/>
          <w:b/>
          <w:bCs/>
          <w:color w:val="auto"/>
          <w:sz w:val="24"/>
          <w:szCs w:val="24"/>
          <w:highlight w:val="none"/>
          <w:lang w:eastAsia="zh-CN"/>
        </w:rPr>
        <w:t>、</w:t>
      </w:r>
      <w:r>
        <w:rPr>
          <w:rFonts w:hint="eastAsia" w:ascii="思源宋体 CN Light" w:hAnsi="思源宋体 CN Light" w:eastAsia="思源宋体 CN Light" w:cs="思源宋体 CN Light"/>
          <w:b/>
          <w:bCs/>
          <w:color w:val="auto"/>
          <w:sz w:val="24"/>
          <w:szCs w:val="24"/>
          <w:highlight w:val="none"/>
          <w:lang w:val="en-US" w:eastAsia="zh-CN"/>
        </w:rPr>
        <w:t>投标信用承诺书</w:t>
      </w:r>
      <w:r>
        <w:rPr>
          <w:rFonts w:hint="eastAsia" w:ascii="思源宋体 CN Light" w:hAnsi="思源宋体 CN Light" w:eastAsia="思源宋体 CN Light" w:cs="思源宋体 CN Light"/>
          <w:b/>
          <w:bCs/>
          <w:color w:val="auto"/>
          <w:sz w:val="24"/>
          <w:szCs w:val="24"/>
          <w:highlight w:val="none"/>
        </w:rPr>
        <w:t>邮寄的资料收到的时间直接影响结果公告时间）。</w:t>
      </w:r>
    </w:p>
    <w:p w14:paraId="3B8C9A1D">
      <w:pPr>
        <w:spacing w:line="360" w:lineRule="auto"/>
        <w:ind w:firstLine="482" w:firstLineChars="200"/>
        <w:rPr>
          <w:rFonts w:ascii="宋体" w:hAnsi="宋体" w:cs="仿宋_GB2312"/>
          <w:b/>
          <w:color w:val="auto"/>
          <w:sz w:val="24"/>
          <w:szCs w:val="22"/>
          <w:highlight w:val="none"/>
        </w:rPr>
      </w:pPr>
      <w:r>
        <w:rPr>
          <w:rFonts w:hint="eastAsia" w:ascii="宋体" w:hAnsi="宋体" w:cs="仿宋_GB2312"/>
          <w:b/>
          <w:color w:val="auto"/>
          <w:sz w:val="24"/>
          <w:szCs w:val="22"/>
          <w:highlight w:val="none"/>
        </w:rPr>
        <w:t>收件人：</w:t>
      </w:r>
      <w:r>
        <w:rPr>
          <w:rFonts w:hint="eastAsia" w:ascii="宋体" w:hAnsi="宋体" w:cs="仿宋_GB2312"/>
          <w:b/>
          <w:color w:val="auto"/>
          <w:sz w:val="24"/>
          <w:szCs w:val="22"/>
          <w:highlight w:val="none"/>
          <w:lang w:eastAsia="zh-CN"/>
        </w:rPr>
        <w:t>陕安项目管理有限公司</w:t>
      </w:r>
      <w:r>
        <w:rPr>
          <w:rFonts w:hint="eastAsia" w:ascii="宋体" w:hAnsi="宋体" w:cs="仿宋_GB2312"/>
          <w:b/>
          <w:color w:val="auto"/>
          <w:sz w:val="24"/>
          <w:szCs w:val="22"/>
          <w:highlight w:val="none"/>
        </w:rPr>
        <w:t xml:space="preserve">                       </w:t>
      </w:r>
    </w:p>
    <w:p w14:paraId="43399275">
      <w:pPr>
        <w:spacing w:line="360" w:lineRule="auto"/>
        <w:ind w:firstLine="482" w:firstLineChars="200"/>
        <w:rPr>
          <w:rFonts w:hint="eastAsia" w:ascii="宋体" w:hAnsi="宋体" w:eastAsia="宋体" w:cs="仿宋_GB2312"/>
          <w:b/>
          <w:color w:val="auto"/>
          <w:sz w:val="24"/>
          <w:szCs w:val="22"/>
          <w:highlight w:val="none"/>
          <w:lang w:eastAsia="zh-CN"/>
        </w:rPr>
      </w:pPr>
      <w:r>
        <w:rPr>
          <w:rFonts w:hint="eastAsia" w:ascii="宋体" w:hAnsi="宋体" w:cs="仿宋_GB2312"/>
          <w:b/>
          <w:color w:val="auto"/>
          <w:sz w:val="24"/>
          <w:szCs w:val="22"/>
          <w:highlight w:val="none"/>
        </w:rPr>
        <w:t>收件电话：</w:t>
      </w:r>
      <w:r>
        <w:rPr>
          <w:rFonts w:hint="eastAsia" w:ascii="宋体" w:hAnsi="宋体" w:cs="仿宋_GB2312"/>
          <w:b/>
          <w:color w:val="auto"/>
          <w:sz w:val="24"/>
          <w:szCs w:val="22"/>
          <w:highlight w:val="none"/>
          <w:lang w:val="en-US" w:eastAsia="zh-CN"/>
        </w:rPr>
        <w:t>13228440603</w:t>
      </w:r>
    </w:p>
    <w:p w14:paraId="0FF65D35">
      <w:pPr>
        <w:pStyle w:val="15"/>
        <w:spacing w:line="360" w:lineRule="auto"/>
        <w:ind w:firstLine="482" w:firstLineChars="200"/>
        <w:rPr>
          <w:rFonts w:hint="eastAsia" w:ascii="思源宋体 CN Light" w:hAnsi="思源宋体 CN Light" w:eastAsia="思源宋体 CN Light" w:cs="思源宋体 CN Light"/>
          <w:color w:val="auto"/>
          <w:sz w:val="24"/>
          <w:szCs w:val="24"/>
          <w:highlight w:val="none"/>
          <w:lang w:val="en-US" w:eastAsia="zh-CN"/>
        </w:rPr>
      </w:pPr>
      <w:r>
        <w:rPr>
          <w:rFonts w:ascii="宋体" w:hAnsi="宋体" w:eastAsia="宋体" w:cs="仿宋_GB2312"/>
          <w:b/>
          <w:color w:val="auto"/>
          <w:kern w:val="2"/>
          <w:sz w:val="24"/>
          <w:szCs w:val="22"/>
          <w:highlight w:val="none"/>
        </w:rPr>
        <w:t>收件地址：</w:t>
      </w:r>
      <w:r>
        <w:rPr>
          <w:rFonts w:hint="eastAsia" w:ascii="宋体" w:hAnsi="宋体" w:eastAsia="宋体" w:cs="仿宋_GB2312"/>
          <w:b/>
          <w:color w:val="auto"/>
          <w:kern w:val="2"/>
          <w:sz w:val="24"/>
          <w:szCs w:val="22"/>
          <w:highlight w:val="none"/>
          <w:lang w:eastAsia="zh-CN"/>
        </w:rPr>
        <w:t>陕西省西安市经济技术开发区未央路149号银河华庭D座1106室</w:t>
      </w:r>
      <w:r>
        <w:rPr>
          <w:rFonts w:hint="eastAsia" w:ascii="思源宋体 CN Light" w:hAnsi="思源宋体 CN Light" w:eastAsia="思源宋体 CN Light" w:cs="思源宋体 CN Light"/>
          <w:color w:val="auto"/>
          <w:sz w:val="24"/>
          <w:szCs w:val="24"/>
          <w:highlight w:val="none"/>
          <w:lang w:val="en-US" w:eastAsia="zh-CN"/>
        </w:rPr>
        <w:t xml:space="preserve"> </w:t>
      </w:r>
    </w:p>
    <w:p w14:paraId="18158244">
      <w:pPr>
        <w:pStyle w:val="23"/>
        <w:spacing w:line="360" w:lineRule="auto"/>
        <w:rPr>
          <w:rFonts w:hint="default" w:ascii="思源宋体 CN Light" w:hAnsi="思源宋体 CN Light" w:eastAsia="思源宋体 CN Light" w:cs="思源宋体 CN Light"/>
          <w:color w:val="auto"/>
          <w:sz w:val="24"/>
          <w:szCs w:val="24"/>
          <w:highlight w:val="none"/>
          <w:lang w:val="en-US" w:eastAsia="zh-CN"/>
        </w:rPr>
      </w:pPr>
      <w:r>
        <w:rPr>
          <w:rFonts w:hint="eastAsia" w:ascii="思源宋体 CN Light" w:hAnsi="思源宋体 CN Light" w:eastAsia="思源宋体 CN Light" w:cs="思源宋体 CN Light"/>
          <w:color w:val="auto"/>
          <w:sz w:val="24"/>
          <w:szCs w:val="24"/>
          <w:highlight w:val="none"/>
          <w:lang w:val="en-US" w:eastAsia="zh-CN"/>
        </w:rPr>
        <w:t>19.3未中标投标人需邮寄投标文件</w:t>
      </w:r>
      <w:r>
        <w:rPr>
          <w:rFonts w:hint="eastAsia" w:ascii="宋体" w:hAnsi="宋体" w:cs="宋体"/>
          <w:color w:val="auto"/>
          <w:sz w:val="24"/>
          <w:szCs w:val="24"/>
          <w:highlight w:val="none"/>
        </w:rPr>
        <w:t>电子版U盘</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份（</w:t>
      </w:r>
      <w:r>
        <w:rPr>
          <w:rFonts w:hint="eastAsia" w:ascii="宋体" w:hAnsi="宋体" w:cs="宋体"/>
          <w:color w:val="auto"/>
          <w:sz w:val="24"/>
          <w:szCs w:val="24"/>
          <w:highlight w:val="none"/>
          <w:lang w:val="en-US" w:eastAsia="zh-CN"/>
        </w:rPr>
        <w:t>投标文件</w:t>
      </w:r>
      <w:r>
        <w:rPr>
          <w:rFonts w:hint="eastAsia" w:ascii="宋体" w:hAnsi="宋体" w:cs="宋体"/>
          <w:color w:val="auto"/>
          <w:sz w:val="24"/>
          <w:szCs w:val="24"/>
          <w:highlight w:val="none"/>
        </w:rPr>
        <w:t>word版</w:t>
      </w:r>
      <w:r>
        <w:rPr>
          <w:rFonts w:hint="eastAsia" w:ascii="宋体" w:hAnsi="宋体" w:cs="宋体"/>
          <w:color w:val="auto"/>
          <w:sz w:val="24"/>
          <w:szCs w:val="24"/>
          <w:highlight w:val="none"/>
          <w:lang w:val="en-US" w:eastAsia="zh-CN"/>
        </w:rPr>
        <w:t>及上传电子投标文件签字盖章的PDF版本的</w:t>
      </w:r>
      <w:r>
        <w:rPr>
          <w:rFonts w:hint="eastAsia" w:ascii="宋体" w:hAnsi="宋体" w:cs="宋体"/>
          <w:color w:val="auto"/>
          <w:sz w:val="24"/>
          <w:szCs w:val="24"/>
          <w:highlight w:val="none"/>
        </w:rPr>
        <w:t>U盘）</w:t>
      </w:r>
      <w:r>
        <w:rPr>
          <w:rFonts w:hint="eastAsia" w:ascii="宋体" w:hAnsi="宋体" w:cs="宋体"/>
          <w:color w:val="auto"/>
          <w:sz w:val="24"/>
          <w:szCs w:val="24"/>
          <w:highlight w:val="none"/>
          <w:lang w:eastAsia="zh-CN"/>
        </w:rPr>
        <w:t>。</w:t>
      </w:r>
    </w:p>
    <w:p w14:paraId="76B15BEE">
      <w:pPr>
        <w:spacing w:line="360" w:lineRule="auto"/>
        <w:ind w:firstLine="480" w:firstLineChars="200"/>
        <w:rPr>
          <w:rFonts w:hint="eastAsia" w:ascii="思源宋体 CN Light" w:hAnsi="思源宋体 CN Light" w:eastAsia="思源宋体 CN Light" w:cs="思源宋体 CN Light"/>
          <w:color w:val="auto"/>
          <w:sz w:val="24"/>
          <w:szCs w:val="24"/>
          <w:highlight w:val="none"/>
          <w:lang w:val="en-US" w:eastAsia="zh-CN"/>
        </w:rPr>
      </w:pPr>
      <w:r>
        <w:rPr>
          <w:rFonts w:hint="eastAsia" w:ascii="思源宋体 CN Light" w:hAnsi="思源宋体 CN Light" w:eastAsia="思源宋体 CN Light" w:cs="思源宋体 CN Light"/>
          <w:color w:val="auto"/>
          <w:sz w:val="24"/>
          <w:szCs w:val="24"/>
          <w:highlight w:val="none"/>
          <w:lang w:val="en-US" w:eastAsia="zh-CN"/>
        </w:rPr>
        <w:t>19.4各投标单位未按要求递交以上要求投标文件的，由此产生的后果均由投标单位自行承担。</w:t>
      </w:r>
    </w:p>
    <w:p w14:paraId="49EFE9AE">
      <w:pPr>
        <w:pStyle w:val="11"/>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19.5</w:t>
      </w:r>
      <w:r>
        <w:rPr>
          <w:rFonts w:hint="eastAsia" w:ascii="宋体" w:hAnsi="宋体" w:cs="宋体"/>
          <w:color w:val="auto"/>
          <w:sz w:val="24"/>
          <w:highlight w:val="none"/>
        </w:rPr>
        <w:t>采购代理机构项目接收人只负责竞争性谈判响应文件的接收、清点、递交文件登记工作，对其有效性不负任何责任；</w:t>
      </w:r>
    </w:p>
    <w:p w14:paraId="762E1607">
      <w:pPr>
        <w:pStyle w:val="11"/>
        <w:spacing w:line="360" w:lineRule="auto"/>
        <w:ind w:firstLine="480" w:firstLineChars="200"/>
        <w:rPr>
          <w:rFonts w:ascii="宋体" w:hAnsi="宋体" w:cs="仿宋_GB2312"/>
          <w:bCs/>
          <w:color w:val="auto"/>
          <w:sz w:val="24"/>
          <w:szCs w:val="22"/>
          <w:highlight w:val="none"/>
        </w:rPr>
      </w:pPr>
      <w:r>
        <w:rPr>
          <w:rFonts w:hint="eastAsia" w:ascii="宋体" w:hAnsi="宋体" w:cs="宋体"/>
          <w:color w:val="auto"/>
          <w:sz w:val="24"/>
          <w:highlight w:val="none"/>
          <w:lang w:val="en-US" w:eastAsia="zh-CN"/>
        </w:rPr>
        <w:t>19.6</w:t>
      </w:r>
      <w:r>
        <w:rPr>
          <w:rFonts w:hint="eastAsia" w:ascii="宋体" w:hAnsi="宋体" w:cs="宋体"/>
          <w:color w:val="auto"/>
          <w:sz w:val="24"/>
          <w:highlight w:val="none"/>
        </w:rPr>
        <w:t>无论供应商成交与否，都必须</w:t>
      </w:r>
      <w:r>
        <w:rPr>
          <w:rFonts w:hint="eastAsia" w:ascii="宋体" w:hAnsi="宋体" w:cs="宋体"/>
          <w:color w:val="auto"/>
          <w:sz w:val="24"/>
          <w:highlight w:val="none"/>
          <w:lang w:val="en-US" w:eastAsia="zh-CN"/>
        </w:rPr>
        <w:t>按照19.1至19.3的规定</w:t>
      </w:r>
      <w:r>
        <w:rPr>
          <w:rFonts w:hint="eastAsia" w:ascii="宋体" w:hAnsi="宋体" w:cs="宋体"/>
          <w:color w:val="auto"/>
          <w:sz w:val="24"/>
          <w:highlight w:val="none"/>
        </w:rPr>
        <w:t>邮寄</w:t>
      </w:r>
      <w:r>
        <w:rPr>
          <w:rFonts w:hint="eastAsia" w:ascii="宋体" w:hAnsi="宋体" w:cs="宋体"/>
          <w:color w:val="auto"/>
          <w:sz w:val="24"/>
          <w:highlight w:val="none"/>
          <w:lang w:val="en-US" w:eastAsia="zh-CN"/>
        </w:rPr>
        <w:t>谈判文件要求的资料</w:t>
      </w:r>
      <w:r>
        <w:rPr>
          <w:rFonts w:hint="eastAsia" w:ascii="宋体" w:hAnsi="宋体" w:cs="宋体"/>
          <w:color w:val="auto"/>
          <w:sz w:val="24"/>
          <w:highlight w:val="none"/>
        </w:rPr>
        <w:t>，邮寄资料收到后上结果公告，成交供应商邮寄的资料收到的时间直接影响结果公告时间。</w:t>
      </w:r>
    </w:p>
    <w:p w14:paraId="58A7B20D">
      <w:pPr>
        <w:pStyle w:val="4"/>
        <w:pageBreakBefore w:val="0"/>
        <w:bidi w:val="0"/>
        <w:spacing w:line="460" w:lineRule="exact"/>
        <w:textAlignment w:val="auto"/>
        <w:rPr>
          <w:rFonts w:ascii="宋体" w:hAnsi="宋体" w:cs="宋体"/>
          <w:bCs/>
          <w:color w:val="auto"/>
          <w:highlight w:val="none"/>
        </w:rPr>
      </w:pPr>
      <w:bookmarkStart w:id="244" w:name="_Toc32635"/>
      <w:bookmarkStart w:id="245" w:name="_Toc8940"/>
      <w:r>
        <w:rPr>
          <w:rFonts w:hint="eastAsia" w:ascii="宋体" w:hAnsi="宋体" w:cs="宋体"/>
          <w:bCs/>
          <w:color w:val="auto"/>
          <w:highlight w:val="none"/>
        </w:rPr>
        <w:t>20 竞争性谈判响应文件的递交</w:t>
      </w:r>
      <w:bookmarkEnd w:id="237"/>
      <w:bookmarkEnd w:id="238"/>
      <w:bookmarkEnd w:id="239"/>
      <w:bookmarkEnd w:id="240"/>
      <w:bookmarkEnd w:id="241"/>
      <w:bookmarkEnd w:id="242"/>
      <w:bookmarkEnd w:id="243"/>
      <w:bookmarkEnd w:id="244"/>
      <w:bookmarkEnd w:id="245"/>
    </w:p>
    <w:p w14:paraId="6C4A555A">
      <w:pPr>
        <w:pStyle w:val="11"/>
        <w:spacing w:line="460" w:lineRule="exact"/>
        <w:rPr>
          <w:rFonts w:ascii="思源宋体 CN Light" w:hAnsi="思源宋体 CN Light" w:eastAsia="思源宋体 CN Light" w:cs="思源宋体 CN Light"/>
          <w:b/>
          <w:bCs/>
          <w:color w:val="auto"/>
          <w:sz w:val="24"/>
          <w:szCs w:val="24"/>
          <w:highlight w:val="none"/>
        </w:rPr>
      </w:pPr>
      <w:bookmarkStart w:id="246" w:name="_Toc6834"/>
      <w:bookmarkStart w:id="247" w:name="_Toc4701"/>
      <w:bookmarkStart w:id="248" w:name="_Toc23992"/>
      <w:bookmarkStart w:id="249" w:name="_Toc29885"/>
      <w:bookmarkStart w:id="250" w:name="_Toc465958110"/>
      <w:bookmarkStart w:id="251" w:name="_Toc10103"/>
      <w:bookmarkStart w:id="252" w:name="_Toc7672"/>
      <w:bookmarkStart w:id="253" w:name="_Toc13225"/>
      <w:r>
        <w:rPr>
          <w:rFonts w:hint="eastAsia" w:ascii="宋体" w:hAnsi="宋体" w:cs="宋体"/>
          <w:b/>
          <w:bCs/>
          <w:color w:val="auto"/>
          <w:sz w:val="24"/>
          <w:highlight w:val="none"/>
        </w:rPr>
        <w:t>20.1 电子竞争性谈判响应文件递交方</w:t>
      </w:r>
      <w:r>
        <w:rPr>
          <w:rFonts w:hint="eastAsia" w:ascii="思源宋体 CN Light" w:hAnsi="思源宋体 CN Light" w:eastAsia="思源宋体 CN Light" w:cs="思源宋体 CN Light"/>
          <w:b/>
          <w:bCs/>
          <w:color w:val="auto"/>
          <w:sz w:val="24"/>
          <w:szCs w:val="24"/>
          <w:highlight w:val="none"/>
        </w:rPr>
        <w:t>式</w:t>
      </w:r>
    </w:p>
    <w:p w14:paraId="6497883C">
      <w:pPr>
        <w:widowControl/>
        <w:spacing w:line="460" w:lineRule="exact"/>
        <w:ind w:right="-150" w:firstLine="720" w:firstLineChars="300"/>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20.1.1</w:t>
      </w:r>
      <w:r>
        <w:rPr>
          <w:rFonts w:hint="eastAsia" w:ascii="宋体" w:hAnsi="宋体" w:cs="宋体"/>
          <w:color w:val="auto"/>
          <w:sz w:val="24"/>
          <w:highlight w:val="none"/>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color w:val="auto"/>
          <w:sz w:val="24"/>
          <w:szCs w:val="24"/>
          <w:highlight w:val="none"/>
        </w:rPr>
        <w:t>。</w:t>
      </w:r>
    </w:p>
    <w:p w14:paraId="55BA07E1">
      <w:pPr>
        <w:spacing w:line="460" w:lineRule="exact"/>
        <w:ind w:firstLine="720" w:firstLineChars="300"/>
        <w:rPr>
          <w:rFonts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20.1.2本项目采用“不见面”开标形式，供应商可登录榆林交易平台〖首页〉不见面开标〗在线参与开评标过程，详见招标文件以及交易平台〖首页〉服务指南〉下载专区〗中的《榆林市不见面开标大厅操作手册（投标人）》。</w:t>
      </w:r>
    </w:p>
    <w:p w14:paraId="67947902">
      <w:pPr>
        <w:pStyle w:val="11"/>
        <w:spacing w:line="460" w:lineRule="exact"/>
        <w:rPr>
          <w:rFonts w:ascii="思源宋体 CN Light" w:hAnsi="思源宋体 CN Light" w:eastAsia="思源宋体 CN Light" w:cs="思源宋体 CN Light"/>
          <w:b/>
          <w:bCs/>
          <w:color w:val="auto"/>
          <w:sz w:val="24"/>
          <w:szCs w:val="24"/>
          <w:highlight w:val="none"/>
        </w:rPr>
      </w:pPr>
      <w:r>
        <w:rPr>
          <w:rFonts w:hint="eastAsia" w:ascii="思源宋体 CN Light" w:hAnsi="思源宋体 CN Light" w:eastAsia="思源宋体 CN Light" w:cs="思源宋体 CN Light"/>
          <w:b/>
          <w:bCs/>
          <w:color w:val="auto"/>
          <w:sz w:val="24"/>
          <w:szCs w:val="24"/>
          <w:highlight w:val="none"/>
        </w:rPr>
        <w:t>20.2纸质竞争性谈判响应文件递交方式</w:t>
      </w:r>
    </w:p>
    <w:p w14:paraId="581BB81F">
      <w:pPr>
        <w:pStyle w:val="11"/>
        <w:spacing w:line="46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20.2.1供应商通过邮寄的方式递交将全部竞争性谈判响应文件和谈判资料，递交至采购代理机构接收人处，具体收件地址、接收人、电话详见19.</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p>
    <w:p w14:paraId="44EF0B5A">
      <w:pPr>
        <w:pStyle w:val="11"/>
        <w:spacing w:line="46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20.2.2 采购代理机构项目接收人只负责竞争性谈判响应文件的接收、清点、递交文件登记工作，对其有效性不负任何责任；</w:t>
      </w:r>
    </w:p>
    <w:p w14:paraId="225171E5">
      <w:pPr>
        <w:pStyle w:val="11"/>
        <w:spacing w:line="46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20.2.3 无论供应商成交与否，其竞争性谈判响应文件和谈判文件要求的资料都必须邮寄，邮寄资料收到后上结果公告，成交供应商邮寄的资料收到的时间直接影响结果公告时间。</w:t>
      </w:r>
    </w:p>
    <w:p w14:paraId="0A052ADD">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20.3 采购人或采购代理机构有权按本须知的规定，通过修改竞争性谈判文件延长谈判截止时间。在此情况下，采购人和供应商受谈判截止时间制约的所有权利和义务均应当延长至新的截止日期。</w:t>
      </w:r>
    </w:p>
    <w:p w14:paraId="22E6BC90">
      <w:pPr>
        <w:pStyle w:val="4"/>
        <w:pageBreakBefore w:val="0"/>
        <w:bidi w:val="0"/>
        <w:spacing w:line="460" w:lineRule="exact"/>
        <w:textAlignment w:val="auto"/>
        <w:rPr>
          <w:rFonts w:ascii="宋体" w:hAnsi="宋体" w:cs="宋体"/>
          <w:bCs/>
          <w:color w:val="auto"/>
          <w:highlight w:val="none"/>
        </w:rPr>
      </w:pPr>
      <w:r>
        <w:rPr>
          <w:rFonts w:hint="eastAsia" w:ascii="宋体" w:hAnsi="宋体" w:cs="宋体"/>
          <w:bCs/>
          <w:color w:val="auto"/>
          <w:highlight w:val="none"/>
        </w:rPr>
        <w:t>21 竞争性谈判响应文件的修改与撤回</w:t>
      </w:r>
      <w:bookmarkEnd w:id="246"/>
      <w:bookmarkEnd w:id="247"/>
      <w:bookmarkEnd w:id="248"/>
      <w:bookmarkEnd w:id="249"/>
      <w:bookmarkEnd w:id="250"/>
      <w:bookmarkEnd w:id="251"/>
      <w:bookmarkEnd w:id="252"/>
      <w:bookmarkEnd w:id="253"/>
    </w:p>
    <w:p w14:paraId="2472A7B1">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161A05D7">
      <w:pPr>
        <w:pStyle w:val="15"/>
        <w:pageBreakBefore w:val="0"/>
        <w:bidi w:val="0"/>
        <w:spacing w:line="460" w:lineRule="exact"/>
        <w:textAlignment w:val="auto"/>
        <w:rPr>
          <w:rFonts w:hint="default"/>
          <w:color w:val="auto"/>
          <w:highlight w:val="none"/>
        </w:rPr>
      </w:pPr>
      <w:r>
        <w:rPr>
          <w:rFonts w:ascii="宋体" w:hAnsi="宋体" w:cs="宋体"/>
          <w:color w:val="auto"/>
          <w:sz w:val="24"/>
          <w:highlight w:val="none"/>
        </w:rPr>
        <w:t>21.2</w:t>
      </w:r>
      <w:r>
        <w:rPr>
          <w:rFonts w:ascii="宋体" w:hAnsi="宋体" w:eastAsia="宋体" w:cs="宋体"/>
          <w:color w:val="auto"/>
          <w:kern w:val="2"/>
          <w:sz w:val="24"/>
          <w:highlight w:val="none"/>
        </w:rPr>
        <w:t>当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p w14:paraId="32B450A1">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21.3 谈判截止时间后，供应商不得对其竞争性谈判响应文件做任何修改。</w:t>
      </w:r>
    </w:p>
    <w:p w14:paraId="39318197">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21.4 从谈判截止期至供应商在谈判函格式中确定的谈判有效期之间，供应商不得撤销其谈判，否则其谈判保证金将按照本须知的规定不予退还。</w:t>
      </w:r>
    </w:p>
    <w:p w14:paraId="77610206">
      <w:pPr>
        <w:pStyle w:val="3"/>
        <w:pageBreakBefore w:val="0"/>
        <w:bidi w:val="0"/>
        <w:spacing w:line="460" w:lineRule="exact"/>
        <w:jc w:val="center"/>
        <w:textAlignment w:val="auto"/>
        <w:rPr>
          <w:rFonts w:ascii="宋体" w:hAnsi="宋体" w:eastAsia="宋体" w:cs="宋体"/>
          <w:bCs/>
          <w:color w:val="auto"/>
          <w:sz w:val="36"/>
          <w:highlight w:val="none"/>
        </w:rPr>
      </w:pPr>
      <w:bookmarkStart w:id="254" w:name="_Toc22666"/>
      <w:bookmarkStart w:id="255" w:name="_Toc9087"/>
      <w:bookmarkStart w:id="256" w:name="_Toc3199"/>
      <w:bookmarkStart w:id="257" w:name="_Toc31311"/>
      <w:bookmarkStart w:id="258" w:name="_Toc246928919"/>
      <w:bookmarkStart w:id="259" w:name="_Toc21818"/>
      <w:bookmarkStart w:id="260" w:name="_Toc465958111"/>
      <w:bookmarkStart w:id="261" w:name="_Toc24049"/>
      <w:r>
        <w:rPr>
          <w:rFonts w:hint="eastAsia" w:ascii="宋体" w:hAnsi="宋体" w:eastAsia="宋体" w:cs="宋体"/>
          <w:bCs/>
          <w:color w:val="auto"/>
          <w:sz w:val="36"/>
          <w:highlight w:val="none"/>
        </w:rPr>
        <w:t>E 开标与评审</w:t>
      </w:r>
      <w:bookmarkEnd w:id="254"/>
      <w:bookmarkEnd w:id="255"/>
      <w:bookmarkEnd w:id="256"/>
      <w:bookmarkEnd w:id="257"/>
      <w:bookmarkEnd w:id="258"/>
      <w:bookmarkEnd w:id="259"/>
      <w:bookmarkEnd w:id="260"/>
      <w:bookmarkEnd w:id="261"/>
    </w:p>
    <w:p w14:paraId="295DF52A">
      <w:pPr>
        <w:pStyle w:val="4"/>
        <w:pageBreakBefore w:val="0"/>
        <w:bidi w:val="0"/>
        <w:spacing w:line="460" w:lineRule="exact"/>
        <w:textAlignment w:val="auto"/>
        <w:rPr>
          <w:rFonts w:ascii="宋体" w:hAnsi="宋体" w:cs="宋体"/>
          <w:bCs/>
          <w:color w:val="auto"/>
          <w:highlight w:val="none"/>
        </w:rPr>
      </w:pPr>
      <w:bookmarkStart w:id="262" w:name="_Toc15292"/>
      <w:bookmarkStart w:id="263" w:name="_Toc11145"/>
      <w:bookmarkStart w:id="264" w:name="_Toc465958112"/>
      <w:bookmarkStart w:id="265" w:name="_Toc6346"/>
      <w:bookmarkStart w:id="266" w:name="_Toc246928920"/>
      <w:bookmarkStart w:id="267" w:name="_Toc25438"/>
      <w:bookmarkStart w:id="268" w:name="_Toc28426"/>
      <w:bookmarkStart w:id="269" w:name="_Toc15345"/>
      <w:bookmarkStart w:id="270" w:name="_Toc21093"/>
      <w:r>
        <w:rPr>
          <w:rFonts w:hint="eastAsia" w:ascii="宋体" w:hAnsi="宋体" w:cs="宋体"/>
          <w:bCs/>
          <w:color w:val="auto"/>
          <w:highlight w:val="none"/>
        </w:rPr>
        <w:t xml:space="preserve">22 </w:t>
      </w:r>
      <w:bookmarkEnd w:id="262"/>
      <w:bookmarkEnd w:id="263"/>
      <w:bookmarkEnd w:id="264"/>
      <w:bookmarkEnd w:id="265"/>
      <w:bookmarkEnd w:id="266"/>
      <w:bookmarkEnd w:id="267"/>
      <w:bookmarkEnd w:id="268"/>
      <w:r>
        <w:rPr>
          <w:rFonts w:hint="eastAsia" w:ascii="宋体" w:hAnsi="宋体" w:cs="宋体"/>
          <w:bCs/>
          <w:color w:val="auto"/>
          <w:highlight w:val="none"/>
        </w:rPr>
        <w:t>开标</w:t>
      </w:r>
      <w:bookmarkEnd w:id="269"/>
      <w:bookmarkEnd w:id="270"/>
    </w:p>
    <w:p w14:paraId="5BF4E1A4">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22.1 采购代理机构在规定的时间和地点组织谈判。</w:t>
      </w:r>
      <w:r>
        <w:rPr>
          <w:rFonts w:hint="eastAsia" w:ascii="思源宋体 CN Light" w:hAnsi="思源宋体 CN Light" w:eastAsia="思源宋体 CN Light" w:cs="思源宋体 CN Light"/>
          <w:color w:val="auto"/>
          <w:sz w:val="24"/>
          <w:szCs w:val="24"/>
          <w:highlight w:val="none"/>
        </w:rPr>
        <w:t>各供应商在开标截止时间前至少提前半小时登录“不见面”开标系统登录，供应商应按要求及时签到</w:t>
      </w:r>
      <w:r>
        <w:rPr>
          <w:rFonts w:hint="eastAsia" w:ascii="思源宋体 CN Light" w:hAnsi="思源宋体 CN Light" w:eastAsia="思源宋体 CN Light" w:cs="思源宋体 CN Light"/>
          <w:b/>
          <w:bCs/>
          <w:color w:val="auto"/>
          <w:sz w:val="24"/>
          <w:szCs w:val="24"/>
          <w:highlight w:val="none"/>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highlight w:val="none"/>
        </w:rPr>
        <w:t>评审过程中，</w:t>
      </w:r>
      <w:r>
        <w:rPr>
          <w:rFonts w:hint="eastAsia" w:ascii="思源宋体 CN Light" w:hAnsi="思源宋体 CN Light" w:eastAsia="思源宋体 CN Light" w:cs="思源宋体 CN Light"/>
          <w:color w:val="auto"/>
          <w:sz w:val="24"/>
          <w:szCs w:val="24"/>
          <w:highlight w:val="none"/>
          <w:lang w:eastAsia="zh-CN"/>
        </w:rPr>
        <w:t>谈判小组</w:t>
      </w:r>
      <w:r>
        <w:rPr>
          <w:rFonts w:hint="eastAsia" w:ascii="思源宋体 CN Light" w:hAnsi="思源宋体 CN Light" w:eastAsia="思源宋体 CN Light" w:cs="思源宋体 CN Light"/>
          <w:color w:val="auto"/>
          <w:sz w:val="24"/>
          <w:szCs w:val="24"/>
          <w:highlight w:val="none"/>
        </w:rPr>
        <w:t>可能会就某些问题要求供应商进行在线澄清，请供应商保持在线直到评审结束；</w:t>
      </w:r>
    </w:p>
    <w:p w14:paraId="520F2DC0">
      <w:pPr>
        <w:pageBreakBefore w:val="0"/>
        <w:bidi w:val="0"/>
        <w:spacing w:line="460" w:lineRule="exact"/>
        <w:textAlignment w:val="auto"/>
        <w:rPr>
          <w:rFonts w:hint="eastAsia"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rPr>
        <w:t>22.</w:t>
      </w:r>
      <w:r>
        <w:rPr>
          <w:rFonts w:hint="eastAsia" w:ascii="思源宋体 CN Light" w:hAnsi="思源宋体 CN Light" w:eastAsia="思源宋体 CN Light" w:cs="思源宋体 CN Light"/>
          <w:color w:val="auto"/>
          <w:sz w:val="24"/>
          <w:szCs w:val="24"/>
          <w:highlight w:val="none"/>
          <w:lang w:val="en-US" w:eastAsia="zh-CN"/>
        </w:rPr>
        <w:t>2</w:t>
      </w:r>
      <w:r>
        <w:rPr>
          <w:rFonts w:hint="eastAsia" w:ascii="思源宋体 CN Light" w:hAnsi="思源宋体 CN Light" w:eastAsia="思源宋体 CN Light" w:cs="思源宋体 CN Light"/>
          <w:color w:val="auto"/>
          <w:sz w:val="24"/>
          <w:szCs w:val="24"/>
          <w:highlight w:val="none"/>
        </w:rPr>
        <w:t>由主持人公布投标人名单；</w:t>
      </w:r>
    </w:p>
    <w:p w14:paraId="7B269655">
      <w:pPr>
        <w:pageBreakBefore w:val="0"/>
        <w:bidi w:val="0"/>
        <w:spacing w:line="460" w:lineRule="exact"/>
        <w:textAlignment w:val="auto"/>
        <w:rPr>
          <w:rFonts w:hint="eastAsia"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lang w:val="en-US" w:eastAsia="zh-CN"/>
        </w:rPr>
        <w:t>22.3</w:t>
      </w:r>
      <w:r>
        <w:rPr>
          <w:rFonts w:hint="eastAsia" w:ascii="思源宋体 CN Light" w:hAnsi="思源宋体 CN Light" w:eastAsia="思源宋体 CN Light" w:cs="思源宋体 CN Light"/>
          <w:color w:val="auto"/>
          <w:sz w:val="24"/>
          <w:szCs w:val="24"/>
          <w:highlight w:val="none"/>
        </w:rPr>
        <w:t>介绍参加谈判大会的采购人代表、监标人</w:t>
      </w:r>
    </w:p>
    <w:p w14:paraId="1D81CDA0">
      <w:pPr>
        <w:pageBreakBefore w:val="0"/>
        <w:bidi w:val="0"/>
        <w:spacing w:line="460" w:lineRule="exact"/>
        <w:textAlignment w:val="auto"/>
        <w:rPr>
          <w:rFonts w:hint="eastAsia" w:ascii="思源宋体 CN Light" w:hAnsi="思源宋体 CN Light" w:eastAsia="思源宋体 CN Light" w:cs="思源宋体 CN Light"/>
          <w:color w:val="auto"/>
          <w:sz w:val="24"/>
          <w:szCs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4</w:t>
      </w:r>
      <w:r>
        <w:rPr>
          <w:rFonts w:hint="eastAsia" w:ascii="思源宋体 CN Light" w:hAnsi="思源宋体 CN Light" w:eastAsia="思源宋体 CN Light" w:cs="思源宋体 CN Light"/>
          <w:color w:val="auto"/>
          <w:sz w:val="24"/>
          <w:szCs w:val="24"/>
          <w:highlight w:val="none"/>
        </w:rPr>
        <w:t>开标过程中，供应商在收到工作人员“开始解密”指令后，请及时使用CA对电子投标文件进行解密。解密时所用CA应与加密投标文件时所用CA相同，解密时间为30分钟，在解密时间内供应商全部解密完成后，可提前进入开标下一阶段。</w:t>
      </w:r>
    </w:p>
    <w:p w14:paraId="1F530666">
      <w:pPr>
        <w:pageBreakBefore w:val="0"/>
        <w:bidi w:val="0"/>
        <w:spacing w:line="460" w:lineRule="exact"/>
        <w:textAlignment w:val="auto"/>
        <w:rPr>
          <w:rFonts w:hint="eastAsia" w:ascii="思源宋体 CN Light" w:hAnsi="思源宋体 CN Light" w:eastAsia="思源宋体 CN Light" w:cs="思源宋体 CN Light"/>
          <w:color w:val="auto"/>
          <w:sz w:val="24"/>
          <w:szCs w:val="24"/>
          <w:highlight w:val="none"/>
        </w:rPr>
      </w:pPr>
      <w:r>
        <w:rPr>
          <w:rFonts w:hint="eastAsia" w:ascii="思源宋体 CN Light" w:hAnsi="思源宋体 CN Light" w:eastAsia="思源宋体 CN Light" w:cs="思源宋体 CN Light"/>
          <w:color w:val="auto"/>
          <w:sz w:val="24"/>
          <w:szCs w:val="24"/>
          <w:highlight w:val="none"/>
          <w:lang w:val="en-US" w:eastAsia="zh-CN"/>
        </w:rPr>
        <w:t>22.5</w:t>
      </w:r>
      <w:r>
        <w:rPr>
          <w:rFonts w:hint="eastAsia" w:ascii="思源宋体 CN Light" w:hAnsi="思源宋体 CN Light" w:eastAsia="思源宋体 CN Light" w:cs="思源宋体 CN Light"/>
          <w:color w:val="auto"/>
          <w:sz w:val="24"/>
          <w:szCs w:val="24"/>
          <w:highlight w:val="none"/>
        </w:rPr>
        <w:t>进行导入投标文件</w:t>
      </w:r>
    </w:p>
    <w:p w14:paraId="4B48BCE6">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 xml:space="preserve"> 谈判有效供应商不足三家的，按照国家相关法律、法规及有关规定执行。</w:t>
      </w:r>
    </w:p>
    <w:p w14:paraId="014E821A">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 采购代理机构将做开标记录，存档备查。</w:t>
      </w:r>
    </w:p>
    <w:p w14:paraId="7A41B2C6">
      <w:pPr>
        <w:pStyle w:val="4"/>
        <w:pageBreakBefore w:val="0"/>
        <w:bidi w:val="0"/>
        <w:spacing w:before="156" w:beforeLines="50" w:after="156" w:afterLines="50" w:line="460" w:lineRule="exact"/>
        <w:textAlignment w:val="auto"/>
        <w:rPr>
          <w:rFonts w:ascii="宋体" w:hAnsi="宋体" w:cs="宋体"/>
          <w:color w:val="auto"/>
          <w:sz w:val="30"/>
          <w:szCs w:val="30"/>
          <w:highlight w:val="none"/>
        </w:rPr>
      </w:pPr>
      <w:bookmarkStart w:id="271" w:name="_Toc22451"/>
      <w:bookmarkStart w:id="272" w:name="_Toc15198"/>
      <w:bookmarkStart w:id="273" w:name="_Toc246928923"/>
      <w:bookmarkStart w:id="274" w:name="_Toc30377"/>
      <w:bookmarkStart w:id="275" w:name="_Toc465958115"/>
      <w:bookmarkStart w:id="276" w:name="_Toc32736"/>
      <w:bookmarkStart w:id="277" w:name="_Toc29724"/>
      <w:bookmarkStart w:id="278" w:name="_Toc23381"/>
      <w:bookmarkStart w:id="279" w:name="_Toc9869"/>
      <w:r>
        <w:rPr>
          <w:rFonts w:hint="eastAsia" w:ascii="宋体" w:hAnsi="宋体" w:cs="宋体"/>
          <w:color w:val="auto"/>
          <w:sz w:val="30"/>
          <w:szCs w:val="30"/>
          <w:highlight w:val="none"/>
          <w:lang w:val="en-US" w:eastAsia="zh-CN"/>
        </w:rPr>
        <w:t>23</w:t>
      </w:r>
      <w:r>
        <w:rPr>
          <w:rFonts w:hint="eastAsia" w:ascii="宋体" w:hAnsi="宋体" w:cs="宋体"/>
          <w:color w:val="auto"/>
          <w:sz w:val="30"/>
          <w:szCs w:val="30"/>
          <w:highlight w:val="none"/>
        </w:rPr>
        <w:t xml:space="preserve"> 谈判小组</w:t>
      </w:r>
      <w:bookmarkEnd w:id="271"/>
      <w:bookmarkEnd w:id="272"/>
    </w:p>
    <w:p w14:paraId="34D49CF4">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.1 采购代理机构根据《中华人民共和国政府采购法》、《中华人民共和国政府采购法实施条例》和“</w:t>
      </w:r>
      <w:r>
        <w:rPr>
          <w:rFonts w:hint="eastAsia" w:ascii="宋体" w:hAnsi="宋体" w:cs="宋体"/>
          <w:bCs/>
          <w:color w:val="auto"/>
          <w:sz w:val="24"/>
          <w:highlight w:val="none"/>
        </w:rPr>
        <w:t>财政部第87号部长令</w:t>
      </w:r>
      <w:r>
        <w:rPr>
          <w:rFonts w:hint="eastAsia" w:ascii="宋体" w:hAnsi="宋体" w:cs="宋体"/>
          <w:color w:val="auto"/>
          <w:sz w:val="24"/>
          <w:highlight w:val="none"/>
        </w:rPr>
        <w:t>”的规定，依法组建谈判小组，谈判小组专家成员在陕西省政府采购网专家抽取管理系统中随机抽取。</w:t>
      </w:r>
    </w:p>
    <w:p w14:paraId="0DB562B5">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.2 谈判小组成员由采购人代表和评审专家3人以上单数组成，评审专家人数应占总人数的2/3以上。</w:t>
      </w:r>
    </w:p>
    <w:p w14:paraId="31732F65">
      <w:pPr>
        <w:pageBreakBefore w:val="0"/>
        <w:bidi w:val="0"/>
        <w:spacing w:line="460" w:lineRule="exact"/>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.3 谈判小组成员对各供应商竞争性谈判响应文件进行审查、质疑、评估和比较，并推荐出成交候选供应商。</w:t>
      </w:r>
    </w:p>
    <w:p w14:paraId="67973011">
      <w:pPr>
        <w:pStyle w:val="4"/>
        <w:pageBreakBefore w:val="0"/>
        <w:bidi w:val="0"/>
        <w:spacing w:line="460" w:lineRule="exact"/>
        <w:textAlignment w:val="auto"/>
        <w:rPr>
          <w:rFonts w:ascii="宋体" w:hAnsi="宋体" w:cs="宋体"/>
          <w:color w:val="auto"/>
          <w:szCs w:val="22"/>
          <w:highlight w:val="none"/>
        </w:rPr>
      </w:pPr>
      <w:bookmarkStart w:id="280" w:name="_Toc8179"/>
      <w:bookmarkStart w:id="281" w:name="_Toc5070"/>
      <w:bookmarkStart w:id="282" w:name="_Toc12022"/>
      <w:bookmarkStart w:id="283" w:name="_Toc32220"/>
      <w:bookmarkStart w:id="284" w:name="_Toc246928922"/>
      <w:bookmarkStart w:id="285" w:name="_Toc465958114"/>
      <w:bookmarkStart w:id="286" w:name="_Toc20915"/>
      <w:bookmarkStart w:id="287" w:name="_Toc32401"/>
      <w:bookmarkStart w:id="288" w:name="_Toc21518"/>
      <w:r>
        <w:rPr>
          <w:rFonts w:hint="eastAsia" w:ascii="宋体" w:hAnsi="宋体" w:cs="宋体"/>
          <w:color w:val="auto"/>
          <w:szCs w:val="22"/>
          <w:highlight w:val="none"/>
        </w:rPr>
        <w:t>2</w:t>
      </w:r>
      <w:r>
        <w:rPr>
          <w:rFonts w:hint="eastAsia" w:ascii="宋体" w:hAnsi="宋体" w:cs="宋体"/>
          <w:color w:val="auto"/>
          <w:szCs w:val="22"/>
          <w:highlight w:val="none"/>
          <w:lang w:val="en-US" w:eastAsia="zh-CN"/>
        </w:rPr>
        <w:t>4</w:t>
      </w:r>
      <w:r>
        <w:rPr>
          <w:rFonts w:hint="eastAsia" w:ascii="宋体" w:hAnsi="宋体" w:cs="宋体"/>
          <w:color w:val="auto"/>
          <w:szCs w:val="22"/>
          <w:highlight w:val="none"/>
        </w:rPr>
        <w:t xml:space="preserve"> </w:t>
      </w:r>
      <w:r>
        <w:rPr>
          <w:rFonts w:hint="eastAsia" w:ascii="宋体" w:hAnsi="宋体" w:cs="宋体"/>
          <w:color w:val="auto"/>
          <w:highlight w:val="none"/>
        </w:rPr>
        <w:t>对供应商资格的审查</w:t>
      </w:r>
      <w:bookmarkEnd w:id="280"/>
      <w:bookmarkEnd w:id="281"/>
    </w:p>
    <w:p w14:paraId="3E0BF78E">
      <w:pPr>
        <w:pStyle w:val="8"/>
        <w:pageBreakBefore w:val="0"/>
        <w:bidi w:val="0"/>
        <w:adjustRightInd w:val="0"/>
        <w:snapToGrid w:val="0"/>
        <w:spacing w:line="460" w:lineRule="exact"/>
        <w:jc w:val="left"/>
        <w:textAlignment w:val="auto"/>
        <w:rPr>
          <w:rFonts w:ascii="宋体" w:hAnsi="宋体" w:cs="宋体"/>
          <w:color w:val="auto"/>
          <w:sz w:val="24"/>
          <w:szCs w:val="22"/>
          <w:highlight w:val="none"/>
        </w:rPr>
      </w:pPr>
      <w:r>
        <w:rPr>
          <w:rFonts w:hint="eastAsia" w:ascii="宋体" w:hAnsi="宋体" w:cs="宋体"/>
          <w:color w:val="auto"/>
          <w:sz w:val="24"/>
          <w:szCs w:val="22"/>
          <w:highlight w:val="none"/>
        </w:rPr>
        <w:t>2</w:t>
      </w:r>
      <w:r>
        <w:rPr>
          <w:rFonts w:hint="eastAsia" w:ascii="宋体" w:hAnsi="宋体" w:cs="宋体"/>
          <w:color w:val="auto"/>
          <w:sz w:val="24"/>
          <w:szCs w:val="22"/>
          <w:highlight w:val="none"/>
          <w:lang w:val="en-US" w:eastAsia="zh-CN"/>
        </w:rPr>
        <w:t>4</w:t>
      </w:r>
      <w:r>
        <w:rPr>
          <w:rFonts w:hint="eastAsia" w:ascii="宋体" w:hAnsi="宋体" w:cs="宋体"/>
          <w:color w:val="auto"/>
          <w:sz w:val="24"/>
          <w:szCs w:val="22"/>
          <w:highlight w:val="none"/>
        </w:rPr>
        <w:t>.1开标结束后，</w:t>
      </w:r>
      <w:r>
        <w:rPr>
          <w:rFonts w:hint="eastAsia" w:ascii="宋体" w:hAnsi="宋体" w:cs="宋体"/>
          <w:b w:val="0"/>
          <w:color w:val="auto"/>
          <w:sz w:val="24"/>
          <w:szCs w:val="22"/>
          <w:highlight w:val="none"/>
          <w:lang w:eastAsia="zh-CN"/>
        </w:rPr>
        <w:t>资格审查小组</w:t>
      </w:r>
      <w:r>
        <w:rPr>
          <w:rFonts w:hint="eastAsia" w:ascii="宋体" w:hAnsi="宋体" w:cs="宋体"/>
          <w:color w:val="auto"/>
          <w:sz w:val="24"/>
          <w:szCs w:val="22"/>
          <w:highlight w:val="none"/>
        </w:rPr>
        <w:t>依法对供应商的资格证明文件进行审查，</w:t>
      </w:r>
      <w:r>
        <w:rPr>
          <w:rFonts w:hint="eastAsia" w:ascii="宋体" w:hAnsi="宋体" w:cs="宋体"/>
          <w:bCs/>
          <w:color w:val="auto"/>
          <w:sz w:val="24"/>
          <w:highlight w:val="none"/>
        </w:rPr>
        <w:t>不符合竞争性谈判文件要求的按无效谈判响应处理，不得进入后续评审，</w:t>
      </w:r>
      <w:r>
        <w:rPr>
          <w:rFonts w:hint="eastAsia" w:ascii="宋体" w:hAnsi="宋体" w:cs="宋体"/>
          <w:color w:val="auto"/>
          <w:sz w:val="24"/>
          <w:szCs w:val="22"/>
          <w:highlight w:val="none"/>
        </w:rPr>
        <w:t>签字确认检查结果。</w:t>
      </w:r>
    </w:p>
    <w:p w14:paraId="7E2D2C36">
      <w:pPr>
        <w:pageBreakBefore w:val="0"/>
        <w:bidi w:val="0"/>
        <w:adjustRightInd w:val="0"/>
        <w:snapToGrid w:val="0"/>
        <w:spacing w:line="460" w:lineRule="exact"/>
        <w:textAlignment w:val="auto"/>
        <w:rPr>
          <w:color w:val="auto"/>
          <w:highlight w:val="none"/>
        </w:rPr>
      </w:pPr>
      <w:r>
        <w:rPr>
          <w:rFonts w:hint="eastAsia" w:ascii="宋体" w:hAnsi="宋体" w:cs="宋体"/>
          <w:color w:val="auto"/>
          <w:sz w:val="24"/>
          <w:szCs w:val="22"/>
          <w:highlight w:val="none"/>
        </w:rPr>
        <w:t>2</w:t>
      </w:r>
      <w:r>
        <w:rPr>
          <w:rFonts w:hint="eastAsia" w:ascii="宋体" w:hAnsi="宋体" w:cs="宋体"/>
          <w:color w:val="auto"/>
          <w:sz w:val="24"/>
          <w:szCs w:val="22"/>
          <w:highlight w:val="none"/>
          <w:lang w:val="en-US" w:eastAsia="zh-CN"/>
        </w:rPr>
        <w:t>4</w:t>
      </w:r>
      <w:r>
        <w:rPr>
          <w:rFonts w:hint="eastAsia" w:ascii="宋体" w:hAnsi="宋体" w:cs="宋体"/>
          <w:color w:val="auto"/>
          <w:sz w:val="24"/>
          <w:szCs w:val="22"/>
          <w:highlight w:val="none"/>
        </w:rPr>
        <w:t>.2</w:t>
      </w:r>
      <w:r>
        <w:rPr>
          <w:rFonts w:hint="eastAsia" w:ascii="宋体" w:hAnsi="宋体" w:cs="宋体"/>
          <w:color w:val="auto"/>
          <w:sz w:val="24"/>
          <w:szCs w:val="24"/>
          <w:highlight w:val="none"/>
        </w:rPr>
        <w:t>不符合竞争性谈判文件要求的按无效文件处理，不得进入后续评审工作。</w:t>
      </w:r>
    </w:p>
    <w:p w14:paraId="78387AC1">
      <w:pPr>
        <w:pStyle w:val="8"/>
        <w:pageBreakBefore w:val="0"/>
        <w:bidi w:val="0"/>
        <w:adjustRightInd w:val="0"/>
        <w:snapToGrid w:val="0"/>
        <w:spacing w:line="460" w:lineRule="exact"/>
        <w:textAlignment w:val="auto"/>
        <w:rPr>
          <w:rFonts w:hint="eastAsia" w:ascii="宋体" w:hAnsi="宋体" w:cs="宋体"/>
          <w:color w:val="auto"/>
          <w:sz w:val="24"/>
          <w:highlight w:val="none"/>
        </w:rPr>
      </w:pPr>
      <w:r>
        <w:rPr>
          <w:rFonts w:hint="eastAsia" w:ascii="宋体" w:hAnsi="宋体" w:cs="宋体"/>
          <w:bCs/>
          <w:color w:val="auto"/>
          <w:sz w:val="24"/>
          <w:szCs w:val="24"/>
          <w:highlight w:val="none"/>
        </w:rPr>
        <w:t>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.3合格投标人不足三家的，不得评标。</w:t>
      </w:r>
      <w:bookmarkEnd w:id="282"/>
      <w:bookmarkEnd w:id="283"/>
      <w:bookmarkEnd w:id="284"/>
      <w:bookmarkEnd w:id="285"/>
      <w:bookmarkEnd w:id="286"/>
      <w:bookmarkEnd w:id="287"/>
      <w:bookmarkEnd w:id="288"/>
    </w:p>
    <w:p w14:paraId="062D58C0">
      <w:pPr>
        <w:pStyle w:val="4"/>
        <w:pageBreakBefore w:val="0"/>
        <w:bidi w:val="0"/>
        <w:spacing w:line="460" w:lineRule="exact"/>
        <w:textAlignment w:val="auto"/>
        <w:rPr>
          <w:rFonts w:ascii="宋体" w:hAnsi="宋体" w:cs="宋体"/>
          <w:color w:val="auto"/>
          <w:highlight w:val="none"/>
        </w:rPr>
      </w:pPr>
      <w:bookmarkStart w:id="289" w:name="_Toc422"/>
      <w:bookmarkStart w:id="290" w:name="_Toc26342"/>
      <w:r>
        <w:rPr>
          <w:rFonts w:hint="eastAsia" w:ascii="宋体" w:hAnsi="宋体" w:cs="宋体"/>
          <w:color w:val="auto"/>
          <w:highlight w:val="none"/>
        </w:rPr>
        <w:t>25 评标</w:t>
      </w:r>
      <w:bookmarkEnd w:id="289"/>
      <w:bookmarkEnd w:id="290"/>
    </w:p>
    <w:p w14:paraId="4E40183A">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25.1谈判小组对通过资格审查的供应商进行符合性审查，符合性审查不合格者不进入下一步评审。</w:t>
      </w:r>
    </w:p>
    <w:p w14:paraId="597C3044">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AA47A28">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25.3 澄清文件将作为竞争性谈判响应文件的一部分。</w:t>
      </w:r>
    </w:p>
    <w:p w14:paraId="5884D0F4">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25.4 算术错误将按以下方法更正：</w:t>
      </w:r>
    </w:p>
    <w:p w14:paraId="5BAC0889">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25.4.1 竞争性谈判响应文件的大写金额和小写金额不一致的，以大写金额为准；</w:t>
      </w:r>
    </w:p>
    <w:p w14:paraId="1DEB775F">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25.4.2 总价金额与按单价汇总金额不一致的，以单价金额计算结果为准；</w:t>
      </w:r>
    </w:p>
    <w:p w14:paraId="6535DD21">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25.4.3 单价金额小数点有明显错位的，应当以总价为准，并修改单价；</w:t>
      </w:r>
    </w:p>
    <w:p w14:paraId="0D0150DC">
      <w:pPr>
        <w:pageBreakBefore w:val="0"/>
        <w:bidi w:val="0"/>
        <w:spacing w:line="460" w:lineRule="exact"/>
        <w:textAlignment w:val="auto"/>
        <w:rPr>
          <w:rFonts w:ascii="宋体" w:hAnsi="宋体" w:cs="宋体"/>
          <w:bCs/>
          <w:color w:val="auto"/>
          <w:sz w:val="24"/>
          <w:highlight w:val="none"/>
        </w:rPr>
      </w:pPr>
      <w:r>
        <w:rPr>
          <w:rFonts w:hint="eastAsia" w:ascii="宋体" w:hAnsi="宋体" w:cs="宋体"/>
          <w:bCs/>
          <w:color w:val="auto"/>
          <w:sz w:val="24"/>
          <w:highlight w:val="none"/>
        </w:rPr>
        <w:t>25.4.4 对不同文字文本竞争性谈判响应文件的解释发生异议的，以中文文本为准；</w:t>
      </w:r>
    </w:p>
    <w:p w14:paraId="0EDFFA73">
      <w:pPr>
        <w:pageBreakBefore w:val="0"/>
        <w:bidi w:val="0"/>
        <w:spacing w:line="460" w:lineRule="exact"/>
        <w:textAlignment w:val="auto"/>
        <w:rPr>
          <w:rFonts w:ascii="宋体" w:hAnsi="宋体" w:cs="宋体"/>
          <w:color w:val="auto"/>
          <w:sz w:val="24"/>
          <w:highlight w:val="none"/>
        </w:rPr>
      </w:pPr>
      <w:r>
        <w:rPr>
          <w:rFonts w:hint="eastAsia" w:ascii="宋体" w:hAnsi="宋体" w:cs="宋体"/>
          <w:bCs/>
          <w:color w:val="auto"/>
          <w:sz w:val="24"/>
          <w:highlight w:val="none"/>
        </w:rPr>
        <w:t>25.4.5 对于供应商不接受对其错误的更改，其谈判属于无效谈判情形。</w:t>
      </w:r>
    </w:p>
    <w:bookmarkEnd w:id="273"/>
    <w:bookmarkEnd w:id="274"/>
    <w:bookmarkEnd w:id="275"/>
    <w:bookmarkEnd w:id="276"/>
    <w:bookmarkEnd w:id="277"/>
    <w:bookmarkEnd w:id="278"/>
    <w:bookmarkEnd w:id="279"/>
    <w:p w14:paraId="4D0F21B0">
      <w:pPr>
        <w:pStyle w:val="4"/>
        <w:pageBreakBefore w:val="0"/>
        <w:bidi w:val="0"/>
        <w:spacing w:before="156" w:beforeLines="50" w:after="156" w:afterLines="50" w:line="460" w:lineRule="exact"/>
        <w:textAlignment w:val="auto"/>
        <w:rPr>
          <w:rFonts w:ascii="宋体" w:hAnsi="宋体" w:cs="宋体"/>
          <w:color w:val="auto"/>
          <w:sz w:val="30"/>
          <w:szCs w:val="30"/>
          <w:highlight w:val="none"/>
        </w:rPr>
      </w:pPr>
      <w:bookmarkStart w:id="291" w:name="_Toc11927"/>
      <w:bookmarkStart w:id="292" w:name="_Toc14567"/>
      <w:bookmarkStart w:id="293" w:name="_Toc465958116"/>
      <w:bookmarkStart w:id="294" w:name="_Toc6609"/>
      <w:bookmarkStart w:id="295" w:name="_Toc25350"/>
      <w:bookmarkStart w:id="296" w:name="_Toc246928924"/>
      <w:bookmarkStart w:id="297" w:name="_Toc2865"/>
      <w:bookmarkStart w:id="298" w:name="_Toc12911"/>
      <w:bookmarkStart w:id="299" w:name="_Toc8037"/>
      <w:r>
        <w:rPr>
          <w:rFonts w:hint="eastAsia" w:ascii="宋体" w:hAnsi="宋体" w:cs="宋体"/>
          <w:color w:val="auto"/>
          <w:sz w:val="30"/>
          <w:szCs w:val="30"/>
          <w:highlight w:val="none"/>
        </w:rPr>
        <w:t>26 竞争性谈判响应文件的评价和比较</w:t>
      </w:r>
      <w:bookmarkEnd w:id="291"/>
      <w:bookmarkEnd w:id="292"/>
    </w:p>
    <w:p w14:paraId="349D171F">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26.1 谈判小组将对有效的竞争性谈判响应文件进行评估和比较。</w:t>
      </w:r>
    </w:p>
    <w:p w14:paraId="1DA2A25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26.2 评审时除考虑谈判报价竞争有利性以外，还将考虑以下因素：</w:t>
      </w:r>
    </w:p>
    <w:p w14:paraId="5ADBFBB1">
      <w:pPr>
        <w:pageBreakBefore w:val="0"/>
        <w:bidi w:val="0"/>
        <w:spacing w:line="460" w:lineRule="exact"/>
        <w:textAlignment w:val="auto"/>
        <w:rPr>
          <w:rFonts w:hint="eastAsia" w:ascii="宋体" w:hAnsi="宋体" w:eastAsia="宋体" w:cs="宋体"/>
          <w:color w:val="auto"/>
          <w:sz w:val="24"/>
          <w:highlight w:val="none"/>
        </w:rPr>
      </w:pPr>
      <w:r>
        <w:rPr>
          <w:rFonts w:hint="eastAsia" w:ascii="宋体" w:hAnsi="宋体" w:cs="宋体"/>
          <w:color w:val="auto"/>
          <w:sz w:val="24"/>
          <w:highlight w:val="none"/>
        </w:rPr>
        <w:t>26.2.1竞争性谈判响应文件中各项报价的合理性，谈判小组</w:t>
      </w:r>
      <w:r>
        <w:rPr>
          <w:rFonts w:hint="eastAsia" w:ascii="宋体" w:hAnsi="宋体" w:cs="宋体"/>
          <w:color w:val="auto"/>
          <w:sz w:val="24"/>
          <w:szCs w:val="22"/>
          <w:highlight w:val="none"/>
        </w:rPr>
        <w:t>认为投标人的报价明显低于</w:t>
      </w:r>
      <w:r>
        <w:rPr>
          <w:rFonts w:hint="eastAsia" w:ascii="宋体" w:hAnsi="宋体" w:eastAsia="宋体" w:cs="宋体"/>
          <w:color w:val="auto"/>
          <w:sz w:val="24"/>
          <w:highlight w:val="none"/>
        </w:rPr>
        <w:t>其他通过符合性审查投标人的报价，有可能影响产品质量或者不能诚信履约的，应当要求其在评标现场合理的时间内提供书面说明，必要时提交相关证明材料，竞争性谈判响应文件中各项报价的合理性，</w:t>
      </w:r>
      <w:r>
        <w:rPr>
          <w:rFonts w:hint="eastAsia" w:ascii="宋体" w:hAnsi="宋体" w:eastAsia="宋体" w:cs="宋体"/>
          <w:color w:val="auto"/>
          <w:sz w:val="24"/>
          <w:highlight w:val="none"/>
          <w:lang w:val="en-US" w:eastAsia="zh-CN"/>
        </w:rPr>
        <w:t>谈判小组</w:t>
      </w:r>
      <w:r>
        <w:rPr>
          <w:rFonts w:hint="eastAsia" w:ascii="宋体" w:hAnsi="宋体" w:eastAsia="宋体" w:cs="宋体"/>
          <w:color w:val="auto"/>
          <w:sz w:val="24"/>
          <w:highlight w:val="none"/>
        </w:rPr>
        <w:t>三分之二以上专家认为某投标报价有低于成本价嫌疑的，为无效报价；</w:t>
      </w:r>
    </w:p>
    <w:p w14:paraId="2F400F4B">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26.2.2承诺的</w:t>
      </w:r>
      <w:r>
        <w:rPr>
          <w:rFonts w:hint="eastAsia" w:ascii="宋体" w:hAnsi="宋体" w:cs="宋体"/>
          <w:color w:val="auto"/>
          <w:sz w:val="24"/>
          <w:highlight w:val="none"/>
          <w:lang w:val="en-US" w:eastAsia="zh-CN"/>
        </w:rPr>
        <w:t>交货</w:t>
      </w:r>
      <w:r>
        <w:rPr>
          <w:rFonts w:hint="eastAsia" w:ascii="宋体" w:hAnsi="宋体" w:cs="宋体"/>
          <w:color w:val="auto"/>
          <w:sz w:val="24"/>
          <w:highlight w:val="none"/>
        </w:rPr>
        <w:t>期及付款方式；</w:t>
      </w:r>
    </w:p>
    <w:p w14:paraId="461971A9">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26.2.3项目的实施方案的完整合理性；</w:t>
      </w:r>
    </w:p>
    <w:p w14:paraId="50EC565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26.2.4项目的人员配备情况的合理性；</w:t>
      </w:r>
    </w:p>
    <w:p w14:paraId="1424F766">
      <w:pPr>
        <w:pageBreakBefore w:val="0"/>
        <w:bidi w:val="0"/>
        <w:spacing w:line="46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26.2.5供应商提供服务的承诺情况；</w:t>
      </w:r>
    </w:p>
    <w:p w14:paraId="110F60DD">
      <w:pPr>
        <w:pageBreakBefore w:val="0"/>
        <w:bidi w:val="0"/>
        <w:spacing w:line="46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26.2.6其他特殊要求因素（如安全及环保等）。</w:t>
      </w:r>
    </w:p>
    <w:bookmarkEnd w:id="293"/>
    <w:bookmarkEnd w:id="294"/>
    <w:bookmarkEnd w:id="295"/>
    <w:bookmarkEnd w:id="296"/>
    <w:bookmarkEnd w:id="297"/>
    <w:bookmarkEnd w:id="298"/>
    <w:bookmarkEnd w:id="299"/>
    <w:p w14:paraId="1DA25D85">
      <w:pPr>
        <w:pStyle w:val="4"/>
        <w:pageBreakBefore w:val="0"/>
        <w:bidi w:val="0"/>
        <w:spacing w:before="156" w:beforeLines="50" w:after="156" w:afterLines="50" w:line="460" w:lineRule="exact"/>
        <w:textAlignment w:val="auto"/>
        <w:rPr>
          <w:rFonts w:ascii="宋体" w:hAnsi="宋体" w:cs="宋体"/>
          <w:color w:val="auto"/>
          <w:sz w:val="30"/>
          <w:szCs w:val="30"/>
          <w:highlight w:val="none"/>
        </w:rPr>
      </w:pPr>
      <w:bookmarkStart w:id="300" w:name="_Toc9686"/>
      <w:bookmarkStart w:id="301" w:name="_Toc14794"/>
      <w:bookmarkStart w:id="302" w:name="_Toc20736"/>
      <w:bookmarkStart w:id="303" w:name="_Toc8450"/>
      <w:bookmarkStart w:id="304" w:name="_Toc26106"/>
      <w:bookmarkStart w:id="305" w:name="_Toc20287"/>
      <w:bookmarkStart w:id="306" w:name="_Toc11926"/>
      <w:bookmarkStart w:id="307" w:name="_Toc465958117"/>
      <w:r>
        <w:rPr>
          <w:rFonts w:hint="eastAsia" w:ascii="宋体" w:hAnsi="宋体" w:cs="宋体"/>
          <w:color w:val="auto"/>
          <w:sz w:val="30"/>
          <w:szCs w:val="30"/>
          <w:highlight w:val="none"/>
        </w:rPr>
        <w:t>27 评审原则及主要方法</w:t>
      </w:r>
      <w:bookmarkEnd w:id="300"/>
      <w:bookmarkEnd w:id="301"/>
    </w:p>
    <w:p w14:paraId="268F7901">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谈判小组将遵循公开、公平、公正和择优的原则，禁止不正当竞争。对所有供应商的竞争性谈判响应文件评审，都采用相同的程序和标准。</w:t>
      </w:r>
    </w:p>
    <w:p w14:paraId="06270F75">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73020BE8">
      <w:pPr>
        <w:pStyle w:val="11"/>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27.3 竞争性谈判响应文件的初步评审（含资格性检查和符合性审查）</w:t>
      </w:r>
    </w:p>
    <w:p w14:paraId="05AB5F90">
      <w:pPr>
        <w:pStyle w:val="11"/>
        <w:spacing w:line="46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27.3.1 谈判小组将审查竞争性谈判响应文件是否完整、采购人和代理机构审查资格证明文件是否合格，谈判保证金是否合格、有无计算上的错误等。</w:t>
      </w:r>
    </w:p>
    <w:p w14:paraId="22D7F762">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的响应、人员配置、售后服务承诺，能满足采购人服务要求的，则可进行二次报价。</w:t>
      </w:r>
    </w:p>
    <w:p w14:paraId="03980B2B">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424B70FC">
      <w:pPr>
        <w:pStyle w:val="8"/>
        <w:adjustRightInd w:val="0"/>
        <w:snapToGrid w:val="0"/>
        <w:spacing w:after="0" w:line="460" w:lineRule="exact"/>
        <w:ind w:firstLine="720" w:firstLineChars="300"/>
        <w:rPr>
          <w:color w:val="auto"/>
          <w:highlight w:val="none"/>
        </w:rPr>
      </w:pPr>
      <w:r>
        <w:rPr>
          <w:rFonts w:hint="eastAsia" w:ascii="宋体" w:hAnsi="宋体" w:cs="宋体"/>
          <w:color w:val="auto"/>
          <w:sz w:val="24"/>
          <w:szCs w:val="24"/>
          <w:highlight w:val="none"/>
        </w:rPr>
        <w:t>27.5.1投标单位的投标报价超过采购预算；</w:t>
      </w:r>
    </w:p>
    <w:p w14:paraId="4E8A1BD0">
      <w:pPr>
        <w:adjustRightInd w:val="0"/>
        <w:snapToGrid w:val="0"/>
        <w:spacing w:line="460" w:lineRule="exact"/>
        <w:ind w:firstLine="720" w:firstLineChars="300"/>
        <w:rPr>
          <w:rFonts w:ascii="宋体" w:hAnsi="宋体"/>
          <w:color w:val="auto"/>
          <w:sz w:val="24"/>
          <w:highlight w:val="none"/>
        </w:rPr>
      </w:pPr>
      <w:r>
        <w:rPr>
          <w:rFonts w:hint="eastAsia" w:ascii="宋体" w:hAnsi="宋体"/>
          <w:color w:val="auto"/>
          <w:sz w:val="24"/>
          <w:highlight w:val="none"/>
        </w:rPr>
        <w:t>27.5.2 投标文件、投标函未加盖投标人公章，或未经法定代表人（负责人）或其授权代表签字或盖章的；</w:t>
      </w:r>
    </w:p>
    <w:p w14:paraId="7D03E810">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3</w:t>
      </w:r>
      <w:r>
        <w:rPr>
          <w:rFonts w:hint="eastAsia" w:ascii="宋体" w:hAnsi="宋体"/>
          <w:color w:val="auto"/>
          <w:sz w:val="24"/>
          <w:highlight w:val="none"/>
        </w:rPr>
        <w:t xml:space="preserve"> 投标文件没有法定代表人（负责人）授权书（法人直接投标除外）或授权书的合法性或有效性不符合招标文件规定的；</w:t>
      </w:r>
    </w:p>
    <w:p w14:paraId="30F9328C">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4</w:t>
      </w:r>
      <w:r>
        <w:rPr>
          <w:rFonts w:hint="eastAsia" w:ascii="宋体" w:hAnsi="宋体"/>
          <w:color w:val="auto"/>
          <w:sz w:val="24"/>
          <w:highlight w:val="none"/>
        </w:rPr>
        <w:t xml:space="preserve"> 投标文件未按招标文件规定要求装订、签署、盖章的,无投标有效期或有效期达不到招标文件要求的；</w:t>
      </w:r>
    </w:p>
    <w:p w14:paraId="6703E19B">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5</w:t>
      </w:r>
      <w:r>
        <w:rPr>
          <w:rFonts w:hint="eastAsia" w:ascii="宋体" w:hAnsi="宋体"/>
          <w:color w:val="auto"/>
          <w:sz w:val="24"/>
          <w:highlight w:val="none"/>
        </w:rPr>
        <w:t>投标文件的关键内容字迹模糊、无法辨认的；</w:t>
      </w:r>
    </w:p>
    <w:p w14:paraId="395B113B">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6</w:t>
      </w:r>
      <w:r>
        <w:rPr>
          <w:rFonts w:hint="eastAsia" w:ascii="宋体" w:hAnsi="宋体"/>
          <w:color w:val="auto"/>
          <w:sz w:val="24"/>
          <w:highlight w:val="none"/>
        </w:rPr>
        <w:t>提供虚假证明（包括第三方提供的虚假证明），开具虚假资质，出现虚假应答，除按无效投标文件处理外，并进行相应的处罚；</w:t>
      </w:r>
    </w:p>
    <w:p w14:paraId="28CCBE64">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7</w:t>
      </w:r>
      <w:r>
        <w:rPr>
          <w:rFonts w:hint="eastAsia" w:ascii="宋体" w:hAnsi="宋体"/>
          <w:color w:val="auto"/>
          <w:sz w:val="24"/>
          <w:highlight w:val="none"/>
        </w:rPr>
        <w:t xml:space="preserve"> 对招标文件未做实质性响应或有重大缺项漏项,明显不符合技术规格、技术标准的要求的；  </w:t>
      </w:r>
    </w:p>
    <w:p w14:paraId="3AF6F011">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8</w:t>
      </w:r>
      <w:r>
        <w:rPr>
          <w:rFonts w:hint="eastAsia" w:ascii="宋体" w:hAnsi="宋体"/>
          <w:color w:val="auto"/>
          <w:sz w:val="24"/>
          <w:highlight w:val="none"/>
        </w:rPr>
        <w:t xml:space="preserve"> 投标人针对同一项目递交两份或多份内容不同的投标文件，未书面声明哪一份是有效的或出现选择性报价的；</w:t>
      </w:r>
    </w:p>
    <w:p w14:paraId="729F59FF">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9</w:t>
      </w:r>
      <w:r>
        <w:rPr>
          <w:rFonts w:hint="eastAsia" w:ascii="宋体" w:hAnsi="宋体"/>
          <w:color w:val="auto"/>
          <w:sz w:val="24"/>
          <w:highlight w:val="none"/>
        </w:rPr>
        <w:t>投标报价大于项目预算或与市场价偏离较大，低于成本，形成不正当竞争的；</w:t>
      </w:r>
    </w:p>
    <w:p w14:paraId="51FDB87C">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w:t>
      </w:r>
      <w:r>
        <w:rPr>
          <w:rFonts w:hint="eastAsia" w:ascii="宋体" w:hAnsi="宋体"/>
          <w:color w:val="auto"/>
          <w:sz w:val="24"/>
          <w:highlight w:val="none"/>
          <w:lang w:val="en-US" w:eastAsia="zh-CN"/>
        </w:rPr>
        <w:t>10</w:t>
      </w:r>
      <w:r>
        <w:rPr>
          <w:rFonts w:hint="eastAsia" w:ascii="宋体" w:hAnsi="宋体"/>
          <w:color w:val="auto"/>
          <w:sz w:val="24"/>
          <w:highlight w:val="none"/>
        </w:rPr>
        <w:t>投标人有围标、串标现象（不同投标人的投标文件错漏之处一致的、不同投标人的投标报价或者报价组成异常一致的或者成规律性变化的），经查证属实的。</w:t>
      </w:r>
    </w:p>
    <w:p w14:paraId="597BA66A">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27.5.1</w:t>
      </w:r>
      <w:r>
        <w:rPr>
          <w:rFonts w:hint="eastAsia" w:ascii="宋体" w:hAnsi="宋体"/>
          <w:color w:val="auto"/>
          <w:sz w:val="24"/>
          <w:highlight w:val="none"/>
          <w:lang w:val="en-US" w:eastAsia="zh-CN"/>
        </w:rPr>
        <w:t>1</w:t>
      </w:r>
      <w:r>
        <w:rPr>
          <w:rFonts w:hint="eastAsia" w:ascii="宋体" w:hAnsi="宋体"/>
          <w:color w:val="auto"/>
          <w:sz w:val="24"/>
          <w:highlight w:val="none"/>
        </w:rPr>
        <w:t>逾期提交电子响应文件；</w:t>
      </w:r>
    </w:p>
    <w:p w14:paraId="76E0099E">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27.5.1</w:t>
      </w:r>
      <w:r>
        <w:rPr>
          <w:rFonts w:hint="eastAsia" w:ascii="宋体" w:hAnsi="宋体"/>
          <w:color w:val="auto"/>
          <w:sz w:val="24"/>
          <w:highlight w:val="none"/>
          <w:lang w:val="en-US" w:eastAsia="zh-CN"/>
        </w:rPr>
        <w:t>2</w:t>
      </w:r>
      <w:r>
        <w:rPr>
          <w:rFonts w:hint="eastAsia" w:ascii="宋体" w:hAnsi="宋体"/>
          <w:color w:val="auto"/>
          <w:sz w:val="24"/>
          <w:highlight w:val="none"/>
        </w:rPr>
        <w:t>提交的响应文件与本项目不相符；</w:t>
      </w:r>
    </w:p>
    <w:p w14:paraId="464BAAF1">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27.5.1</w:t>
      </w:r>
      <w:r>
        <w:rPr>
          <w:rFonts w:hint="eastAsia" w:ascii="宋体" w:hAnsi="宋体"/>
          <w:color w:val="auto"/>
          <w:sz w:val="24"/>
          <w:highlight w:val="none"/>
          <w:lang w:val="en-US" w:eastAsia="zh-CN"/>
        </w:rPr>
        <w:t>3</w:t>
      </w:r>
      <w:r>
        <w:rPr>
          <w:rFonts w:hint="eastAsia" w:ascii="宋体" w:hAnsi="宋体"/>
          <w:color w:val="auto"/>
          <w:sz w:val="24"/>
          <w:highlight w:val="none"/>
        </w:rPr>
        <w:t>供应商拒绝对电子响应文件进行解密；</w:t>
      </w:r>
    </w:p>
    <w:p w14:paraId="39C5B3D8">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27.5.1</w:t>
      </w:r>
      <w:r>
        <w:rPr>
          <w:rFonts w:hint="eastAsia" w:ascii="宋体" w:hAnsi="宋体"/>
          <w:color w:val="auto"/>
          <w:sz w:val="24"/>
          <w:highlight w:val="none"/>
          <w:lang w:val="en-US" w:eastAsia="zh-CN"/>
        </w:rPr>
        <w:t>4</w:t>
      </w:r>
      <w:r>
        <w:rPr>
          <w:rFonts w:hint="eastAsia" w:ascii="宋体" w:hAnsi="宋体"/>
          <w:color w:val="auto"/>
          <w:sz w:val="24"/>
          <w:highlight w:val="none"/>
        </w:rPr>
        <w:t>因供应商自身原因（如未带 CA 锁、或所带 CA 锁与制作电子响应文件使用的 CA锁不一致、或沿用旧版谈判文件编制响应文件等情形），导致在规定时间内无法解密响应文件；</w:t>
      </w:r>
    </w:p>
    <w:p w14:paraId="71D40B5A">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rPr>
        <w:t>27.5.1</w:t>
      </w:r>
      <w:r>
        <w:rPr>
          <w:rFonts w:hint="eastAsia" w:ascii="宋体" w:hAnsi="宋体"/>
          <w:color w:val="auto"/>
          <w:sz w:val="24"/>
          <w:highlight w:val="none"/>
          <w:lang w:val="en-US" w:eastAsia="zh-CN"/>
        </w:rPr>
        <w:t>5</w:t>
      </w:r>
      <w:r>
        <w:rPr>
          <w:rFonts w:hint="eastAsia" w:ascii="宋体" w:hAnsi="宋体"/>
          <w:color w:val="auto"/>
          <w:sz w:val="24"/>
          <w:highlight w:val="none"/>
        </w:rPr>
        <w:t>上传的电子响应文件无法打开。</w:t>
      </w:r>
    </w:p>
    <w:p w14:paraId="73AE571A">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olor w:val="auto"/>
          <w:sz w:val="24"/>
          <w:highlight w:val="none"/>
        </w:rPr>
        <w:t>27.5.1</w:t>
      </w:r>
      <w:r>
        <w:rPr>
          <w:rFonts w:hint="eastAsia" w:ascii="宋体" w:hAnsi="宋体"/>
          <w:color w:val="auto"/>
          <w:sz w:val="24"/>
          <w:highlight w:val="none"/>
          <w:lang w:val="en-US" w:eastAsia="zh-CN"/>
        </w:rPr>
        <w:t>6</w:t>
      </w:r>
      <w:r>
        <w:rPr>
          <w:rFonts w:hint="eastAsia" w:ascii="宋体" w:hAnsi="宋体"/>
          <w:b w:val="0"/>
          <w:bCs w:val="0"/>
          <w:color w:val="auto"/>
          <w:sz w:val="24"/>
          <w:highlight w:val="none"/>
          <w:lang w:val="en-US" w:eastAsia="zh-CN"/>
        </w:rPr>
        <w:t>以下</w:t>
      </w:r>
      <w:r>
        <w:rPr>
          <w:rFonts w:hint="eastAsia" w:ascii="宋体" w:hAnsi="宋体" w:eastAsia="宋体" w:cs="宋体"/>
          <w:color w:val="auto"/>
          <w:kern w:val="2"/>
          <w:sz w:val="24"/>
          <w:szCs w:val="24"/>
          <w:highlight w:val="none"/>
          <w:lang w:val="en-US" w:eastAsia="zh-CN" w:bidi="ar-SA"/>
        </w:rPr>
        <w:t>投标响应方案缺失或响应方案不符合本项目实际需求的</w:t>
      </w:r>
      <w:r>
        <w:rPr>
          <w:rFonts w:hint="eastAsia" w:ascii="宋体" w:hAnsi="宋体"/>
          <w:b w:val="0"/>
          <w:bCs w:val="0"/>
          <w:color w:val="auto"/>
          <w:sz w:val="24"/>
          <w:highlight w:val="none"/>
          <w:lang w:val="en-US" w:eastAsia="zh-CN"/>
        </w:rPr>
        <w:t>：</w:t>
      </w:r>
    </w:p>
    <w:p w14:paraId="4A3C6A6F">
      <w:pPr>
        <w:pStyle w:val="11"/>
        <w:keepNext w:val="0"/>
        <w:keepLines w:val="0"/>
        <w:pageBreakBefore w:val="0"/>
        <w:widowControl w:val="0"/>
        <w:numPr>
          <w:ilvl w:val="0"/>
          <w:numId w:val="0"/>
        </w:numPr>
        <w:wordWrap/>
        <w:topLinePunct w:val="0"/>
        <w:autoSpaceDE/>
        <w:autoSpaceDN/>
        <w:bidi w:val="0"/>
        <w:adjustRightInd w:val="0"/>
        <w:snapToGrid w:val="0"/>
        <w:spacing w:line="360" w:lineRule="auto"/>
        <w:ind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供应商企业简介；</w:t>
      </w:r>
    </w:p>
    <w:p w14:paraId="602DC685">
      <w:pPr>
        <w:pStyle w:val="11"/>
        <w:keepNext w:val="0"/>
        <w:keepLines w:val="0"/>
        <w:pageBreakBefore w:val="0"/>
        <w:widowControl w:val="0"/>
        <w:numPr>
          <w:ilvl w:val="0"/>
          <w:numId w:val="0"/>
        </w:numPr>
        <w:wordWrap/>
        <w:topLinePunct w:val="0"/>
        <w:autoSpaceDE/>
        <w:autoSpaceDN/>
        <w:bidi w:val="0"/>
        <w:adjustRightInd w:val="0"/>
        <w:snapToGrid w:val="0"/>
        <w:spacing w:line="360" w:lineRule="auto"/>
        <w:ind w:firstLine="720" w:firstLineChars="3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实施方案</w:t>
      </w:r>
      <w:r>
        <w:rPr>
          <w:rFonts w:hint="eastAsia" w:ascii="宋体" w:hAnsi="宋体" w:cs="宋体"/>
          <w:color w:val="auto"/>
          <w:sz w:val="24"/>
          <w:szCs w:val="24"/>
          <w:highlight w:val="none"/>
        </w:rPr>
        <w:t>；</w:t>
      </w:r>
    </w:p>
    <w:p w14:paraId="45A9E136">
      <w:pPr>
        <w:pStyle w:val="11"/>
        <w:keepNext w:val="0"/>
        <w:keepLines w:val="0"/>
        <w:pageBreakBefore w:val="0"/>
        <w:widowControl w:val="0"/>
        <w:numPr>
          <w:ilvl w:val="0"/>
          <w:numId w:val="0"/>
        </w:numPr>
        <w:wordWrap/>
        <w:topLinePunct w:val="0"/>
        <w:autoSpaceDE/>
        <w:autoSpaceDN/>
        <w:bidi w:val="0"/>
        <w:adjustRightInd w:val="0"/>
        <w:snapToGrid w:val="0"/>
        <w:spacing w:line="360" w:lineRule="auto"/>
        <w:ind w:firstLine="720" w:firstLineChars="3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对本项目的供货、安装服务的组织措施及人员投入情况</w:t>
      </w:r>
      <w:r>
        <w:rPr>
          <w:rFonts w:hint="eastAsia" w:ascii="宋体" w:hAnsi="宋体" w:cs="宋体"/>
          <w:color w:val="auto"/>
          <w:sz w:val="24"/>
          <w:szCs w:val="24"/>
          <w:highlight w:val="none"/>
        </w:rPr>
        <w:t>；</w:t>
      </w:r>
    </w:p>
    <w:p w14:paraId="6359C20B">
      <w:pPr>
        <w:keepNext w:val="0"/>
        <w:keepLines w:val="0"/>
        <w:pageBreakBefore w:val="0"/>
        <w:widowControl w:val="0"/>
        <w:kinsoku w:val="0"/>
        <w:wordWrap/>
        <w:overflowPunct w:val="0"/>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hint="eastAsia" w:ascii="宋体" w:hAnsi="宋体" w:eastAsia="宋体" w:cs="宋体"/>
          <w:color w:val="auto"/>
          <w:sz w:val="24"/>
          <w:szCs w:val="24"/>
          <w:highlight w:val="none"/>
          <w:lang w:val="en-US" w:eastAsia="zh-CN"/>
        </w:rPr>
        <w:t>质量保证及培训、售后服务计划及应急承诺；</w:t>
      </w:r>
    </w:p>
    <w:p w14:paraId="21A4CB91">
      <w:pPr>
        <w:pStyle w:val="11"/>
        <w:keepNext w:val="0"/>
        <w:keepLines w:val="0"/>
        <w:pageBreakBefore w:val="0"/>
        <w:widowControl w:val="0"/>
        <w:numPr>
          <w:ilvl w:val="0"/>
          <w:numId w:val="0"/>
        </w:numPr>
        <w:wordWrap/>
        <w:topLinePunct w:val="0"/>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5）投标供应商商务投标响应与合同条款说明</w:t>
      </w:r>
      <w:r>
        <w:rPr>
          <w:rFonts w:hint="eastAsia" w:ascii="宋体" w:hAnsi="宋体" w:eastAsia="宋体" w:cs="宋体"/>
          <w:color w:val="auto"/>
          <w:sz w:val="24"/>
          <w:szCs w:val="24"/>
          <w:highlight w:val="none"/>
          <w:lang w:val="zh-CN" w:eastAsia="zh-CN"/>
        </w:rPr>
        <w:t>；</w:t>
      </w:r>
    </w:p>
    <w:p w14:paraId="4115BC09">
      <w:pPr>
        <w:pStyle w:val="11"/>
        <w:keepNext w:val="0"/>
        <w:keepLines w:val="0"/>
        <w:pageBreakBefore w:val="0"/>
        <w:widowControl w:val="0"/>
        <w:numPr>
          <w:ilvl w:val="0"/>
          <w:numId w:val="0"/>
        </w:numPr>
        <w:wordWrap/>
        <w:topLinePunct w:val="0"/>
        <w:autoSpaceDE/>
        <w:autoSpaceDN/>
        <w:bidi w:val="0"/>
        <w:adjustRightInd w:val="0"/>
        <w:snapToGrid w:val="0"/>
        <w:spacing w:line="360" w:lineRule="auto"/>
        <w:ind w:firstLine="720" w:firstLineChars="3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6)谈判文件及投标供应商其他有必要说明的问题。</w:t>
      </w:r>
    </w:p>
    <w:p w14:paraId="5FD29937">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hint="eastAsia" w:ascii="宋体" w:hAnsi="宋体" w:eastAsia="宋体" w:cs="Times New Roman"/>
          <w:b w:val="0"/>
          <w:bCs w:val="0"/>
          <w:color w:val="auto"/>
          <w:sz w:val="24"/>
          <w:highlight w:val="none"/>
          <w:lang w:val="en-US" w:eastAsia="zh-CN"/>
        </w:rPr>
      </w:pPr>
      <w:r>
        <w:rPr>
          <w:rFonts w:hint="eastAsia" w:ascii="宋体" w:hAnsi="宋体"/>
          <w:color w:val="auto"/>
          <w:sz w:val="24"/>
          <w:highlight w:val="none"/>
        </w:rPr>
        <w:t>27.5.1</w:t>
      </w:r>
      <w:r>
        <w:rPr>
          <w:rFonts w:hint="eastAsia" w:ascii="宋体" w:hAnsi="宋体"/>
          <w:color w:val="auto"/>
          <w:sz w:val="24"/>
          <w:highlight w:val="none"/>
          <w:lang w:val="en-US" w:eastAsia="zh-CN"/>
        </w:rPr>
        <w:t>7</w:t>
      </w:r>
      <w:r>
        <w:rPr>
          <w:rFonts w:hint="eastAsia" w:ascii="宋体" w:hAnsi="宋体" w:eastAsia="宋体" w:cs="Times New Roman"/>
          <w:b w:val="0"/>
          <w:bCs w:val="0"/>
          <w:color w:val="auto"/>
          <w:sz w:val="24"/>
          <w:highlight w:val="none"/>
          <w:lang w:val="en-US" w:eastAsia="zh-CN"/>
        </w:rPr>
        <w:t>“信用中国（陕西榆林）”网站信用承诺不符合谈判文件要求的；</w:t>
      </w:r>
    </w:p>
    <w:p w14:paraId="259DB2DF">
      <w:pPr>
        <w:keepNext w:val="0"/>
        <w:keepLines w:val="0"/>
        <w:pageBreakBefore w:val="0"/>
        <w:widowControl w:val="0"/>
        <w:wordWrap/>
        <w:topLinePunct w:val="0"/>
        <w:autoSpaceDE/>
        <w:autoSpaceDN/>
        <w:bidi w:val="0"/>
        <w:adjustRightInd w:val="0"/>
        <w:snapToGrid w:val="0"/>
        <w:spacing w:line="360" w:lineRule="auto"/>
        <w:ind w:firstLine="720" w:firstLineChars="300"/>
        <w:textAlignment w:val="auto"/>
        <w:rPr>
          <w:rFonts w:ascii="宋体" w:hAnsi="宋体"/>
          <w:color w:val="auto"/>
          <w:sz w:val="24"/>
          <w:highlight w:val="none"/>
        </w:rPr>
      </w:pPr>
      <w:r>
        <w:rPr>
          <w:rFonts w:hint="eastAsia" w:ascii="宋体" w:hAnsi="宋体"/>
          <w:color w:val="auto"/>
          <w:sz w:val="24"/>
          <w:highlight w:val="none"/>
          <w:lang w:val="en-US" w:eastAsia="zh-CN"/>
        </w:rPr>
        <w:t>27.5.18</w:t>
      </w:r>
      <w:r>
        <w:rPr>
          <w:rFonts w:hint="eastAsia" w:ascii="宋体" w:hAnsi="宋体"/>
          <w:color w:val="auto"/>
          <w:sz w:val="24"/>
          <w:highlight w:val="none"/>
        </w:rPr>
        <w:t>谈判文件规定的其他要求。</w:t>
      </w:r>
    </w:p>
    <w:bookmarkEnd w:id="302"/>
    <w:bookmarkEnd w:id="303"/>
    <w:bookmarkEnd w:id="304"/>
    <w:bookmarkEnd w:id="305"/>
    <w:bookmarkEnd w:id="306"/>
    <w:bookmarkEnd w:id="307"/>
    <w:p w14:paraId="6D10AE70">
      <w:pPr>
        <w:pStyle w:val="4"/>
        <w:pageBreakBefore w:val="0"/>
        <w:bidi w:val="0"/>
        <w:spacing w:before="156" w:beforeLines="50" w:after="156" w:afterLines="50" w:line="460" w:lineRule="exact"/>
        <w:textAlignment w:val="auto"/>
        <w:rPr>
          <w:rFonts w:ascii="宋体" w:hAnsi="宋体" w:cs="宋体"/>
          <w:color w:val="auto"/>
          <w:sz w:val="30"/>
          <w:szCs w:val="30"/>
          <w:highlight w:val="none"/>
        </w:rPr>
      </w:pPr>
      <w:bookmarkStart w:id="308" w:name="_Toc3471"/>
      <w:bookmarkStart w:id="309" w:name="_Toc12640"/>
      <w:bookmarkStart w:id="310" w:name="_Toc389620199"/>
      <w:bookmarkStart w:id="311" w:name="_Toc497551782"/>
      <w:bookmarkStart w:id="312" w:name="_Toc4915"/>
      <w:bookmarkStart w:id="313" w:name="_Toc246928925"/>
      <w:bookmarkStart w:id="314" w:name="_Toc497546880"/>
      <w:bookmarkStart w:id="315" w:name="_Toc492955421"/>
      <w:bookmarkStart w:id="316" w:name="_Toc465958118"/>
      <w:bookmarkStart w:id="317" w:name="_Toc2448"/>
      <w:bookmarkStart w:id="318" w:name="_Toc497711547"/>
      <w:bookmarkStart w:id="319" w:name="_Toc497712095"/>
      <w:bookmarkStart w:id="320" w:name="_Toc385992360"/>
      <w:bookmarkStart w:id="321" w:name="_Toc24562"/>
      <w:bookmarkStart w:id="322" w:name="_Toc25216"/>
      <w:r>
        <w:rPr>
          <w:rFonts w:hint="eastAsia" w:ascii="宋体" w:hAnsi="宋体" w:cs="宋体"/>
          <w:color w:val="auto"/>
          <w:sz w:val="30"/>
          <w:szCs w:val="30"/>
          <w:highlight w:val="none"/>
        </w:rPr>
        <w:t>28 谈判</w:t>
      </w:r>
      <w:bookmarkEnd w:id="308"/>
      <w:bookmarkEnd w:id="309"/>
    </w:p>
    <w:p w14:paraId="0A436FDE">
      <w:pPr>
        <w:pageBreakBefore w:val="0"/>
        <w:bidi w:val="0"/>
        <w:adjustRightIn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28.1谈判过程依次为记录第一次谈判投标报价、竞争性谈判响应文件资格性审查、符合性审查、谈判与承诺、最后报价五个阶段。</w:t>
      </w:r>
    </w:p>
    <w:p w14:paraId="59662B11">
      <w:pPr>
        <w:pageBreakBefore w:val="0"/>
        <w:bidi w:val="0"/>
        <w:adjustRightInd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采购人代表对各供应商的资质证明文件进行评审，不符合竞争性谈判文件要求的按无效谈判响应处理，不得进入后续评审。</w:t>
      </w:r>
    </w:p>
    <w:p w14:paraId="7E51B5AE">
      <w:pPr>
        <w:pageBreakBefore w:val="0"/>
        <w:bidi w:val="0"/>
        <w:adjustRightInd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对通过资格审查的供应商，谈判小组对于各个供应商的竞争性谈判响应文件进行符合性审查，符合性审查不合格者不进入下一步评审。</w:t>
      </w:r>
    </w:p>
    <w:p w14:paraId="7313F416">
      <w:pPr>
        <w:pageBreakBefore w:val="0"/>
        <w:bidi w:val="0"/>
        <w:snapToGrid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4977115B">
      <w:pPr>
        <w:pageBreakBefore w:val="0"/>
        <w:bidi w:val="0"/>
        <w:snapToGrid w:val="0"/>
        <w:spacing w:line="46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双方经过谈判，质量和服务均能满足采购文件实质性响应要求的供应商才具有最后报价的机会。</w:t>
      </w:r>
    </w:p>
    <w:p w14:paraId="0A77EAC7">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28.2谈判后，供应商应按谈判小组规定的时间进行最后报价，各供应商在电脑进行最后报价，最后报价不对供应商公布。该谈判报价为不可更改价格，作为谈判小组推荐成交候选人的依据。</w:t>
      </w:r>
    </w:p>
    <w:p w14:paraId="454AB967">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28.3特殊情况处理：按相关法律法规执行。</w:t>
      </w:r>
    </w:p>
    <w:p w14:paraId="4EDD35DD">
      <w:pPr>
        <w:pageBreakBefore w:val="0"/>
        <w:bidi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 xml:space="preserve">28.4评审方法：谈判小组从质量和服务均能满足采购文件实质性响应要求的供应商中，按照最后报价由低到高的顺序提出成交候选人。 </w:t>
      </w:r>
    </w:p>
    <w:p w14:paraId="4BDF7A00">
      <w:pPr>
        <w:pageBreakBefore w:val="0"/>
        <w:bidi w:val="0"/>
        <w:spacing w:line="460" w:lineRule="exac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28.5根据《政府采购促进中小企业发展管理办法》（财库【2020】46号）的规定</w:t>
      </w:r>
      <w:r>
        <w:rPr>
          <w:rFonts w:hint="eastAsia" w:ascii="宋体" w:hAnsi="宋体" w:cs="宋体"/>
          <w:color w:val="auto"/>
          <w:sz w:val="24"/>
          <w:highlight w:val="none"/>
          <w:lang w:eastAsia="zh-CN"/>
        </w:rPr>
        <w:t>；</w:t>
      </w:r>
    </w:p>
    <w:p w14:paraId="0F421E1B">
      <w:pPr>
        <w:pageBreakBefore w:val="0"/>
        <w:bidi w:val="0"/>
        <w:spacing w:line="460" w:lineRule="exac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28.5.1中小企业（含中型、小型、微型企业，下同）应当同时符合以下条件：</w:t>
      </w:r>
    </w:p>
    <w:p w14:paraId="7AD6AAE6">
      <w:pPr>
        <w:pageBreakBefore w:val="0"/>
        <w:bidi w:val="0"/>
        <w:spacing w:line="460" w:lineRule="exac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28.5.1.1符合中小企业划分标准。</w:t>
      </w:r>
    </w:p>
    <w:p w14:paraId="0EB55D53">
      <w:pPr>
        <w:pageBreakBefore w:val="0"/>
        <w:bidi w:val="0"/>
        <w:spacing w:line="460" w:lineRule="exac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28.5.1.2提供本企业制造的货物，或者提供其他中小企业制造的货物。本项所称货物不包括使用大型企业注册商标的货物。</w:t>
      </w:r>
    </w:p>
    <w:p w14:paraId="3B08553D">
      <w:pPr>
        <w:pageBreakBefore w:val="0"/>
        <w:bidi w:val="0"/>
        <w:spacing w:line="460" w:lineRule="exac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28.5.2小型、微型企业提供中型企业制造的货物的，视同为中型企业。</w:t>
      </w:r>
    </w:p>
    <w:p w14:paraId="76AB5598">
      <w:pPr>
        <w:pStyle w:val="8"/>
        <w:rPr>
          <w:rFonts w:hint="eastAsia"/>
          <w:color w:val="auto"/>
          <w:highlight w:val="none"/>
          <w:lang w:eastAsia="zh-CN"/>
        </w:rPr>
      </w:pPr>
    </w:p>
    <w:p w14:paraId="397DC75C">
      <w:pPr>
        <w:pStyle w:val="3"/>
        <w:pageBreakBefore w:val="0"/>
        <w:bidi w:val="0"/>
        <w:spacing w:before="120" w:after="120" w:line="460" w:lineRule="exact"/>
        <w:jc w:val="center"/>
        <w:textAlignment w:val="auto"/>
        <w:rPr>
          <w:rFonts w:ascii="宋体" w:hAnsi="宋体" w:eastAsia="宋体" w:cs="宋体"/>
          <w:bCs/>
          <w:color w:val="auto"/>
          <w:sz w:val="36"/>
          <w:highlight w:val="none"/>
        </w:rPr>
      </w:pPr>
      <w:bookmarkStart w:id="323" w:name="_Toc20818"/>
      <w:bookmarkStart w:id="324" w:name="_Toc1204"/>
      <w:r>
        <w:rPr>
          <w:rFonts w:hint="eastAsia" w:ascii="宋体" w:hAnsi="宋体" w:eastAsia="宋体" w:cs="宋体"/>
          <w:bCs/>
          <w:color w:val="auto"/>
          <w:sz w:val="36"/>
          <w:highlight w:val="none"/>
        </w:rPr>
        <w:t>F</w:t>
      </w:r>
      <w:bookmarkStart w:id="325" w:name="_Hlt491765714"/>
      <w:bookmarkEnd w:id="325"/>
      <w:r>
        <w:rPr>
          <w:rFonts w:hint="eastAsia" w:ascii="宋体" w:hAnsi="宋体" w:eastAsia="宋体" w:cs="宋体"/>
          <w:bCs/>
          <w:color w:val="auto"/>
          <w:sz w:val="36"/>
          <w:highlight w:val="none"/>
        </w:rPr>
        <w:t xml:space="preserve"> </w:t>
      </w:r>
      <w:bookmarkStart w:id="326" w:name="_Hlt497547134"/>
      <w:bookmarkEnd w:id="326"/>
      <w:r>
        <w:rPr>
          <w:rFonts w:hint="eastAsia" w:ascii="宋体" w:hAnsi="宋体" w:eastAsia="宋体" w:cs="宋体"/>
          <w:bCs/>
          <w:color w:val="auto"/>
          <w:sz w:val="36"/>
          <w:highlight w:val="none"/>
        </w:rPr>
        <w:t>授予合同</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D95FD14">
      <w:pPr>
        <w:pStyle w:val="4"/>
        <w:pageBreakBefore w:val="0"/>
        <w:bidi w:val="0"/>
        <w:adjustRightInd w:val="0"/>
        <w:snapToGrid w:val="0"/>
        <w:spacing w:before="156" w:beforeLines="50" w:after="156" w:afterLines="50" w:line="460" w:lineRule="exact"/>
        <w:textAlignment w:val="auto"/>
        <w:rPr>
          <w:rFonts w:ascii="宋体" w:hAnsi="宋体" w:cs="宋体"/>
          <w:color w:val="auto"/>
          <w:sz w:val="30"/>
          <w:szCs w:val="30"/>
          <w:highlight w:val="none"/>
        </w:rPr>
      </w:pPr>
      <w:bookmarkStart w:id="327" w:name="_Toc389620200"/>
      <w:bookmarkStart w:id="328" w:name="_Toc21436"/>
      <w:bookmarkStart w:id="329" w:name="_Toc30376"/>
      <w:bookmarkStart w:id="330" w:name="_Toc15630"/>
      <w:bookmarkStart w:id="331" w:name="_Toc246928926"/>
      <w:bookmarkStart w:id="332" w:name="_Toc465958119"/>
      <w:bookmarkStart w:id="333" w:name="_Toc385992361"/>
      <w:bookmarkStart w:id="334" w:name="_Toc4170"/>
      <w:bookmarkStart w:id="335" w:name="_Toc17220"/>
      <w:bookmarkStart w:id="336" w:name="_Toc264"/>
      <w:bookmarkStart w:id="337" w:name="_Toc9423"/>
      <w:bookmarkStart w:id="338" w:name="_Toc9330"/>
      <w:bookmarkStart w:id="339" w:name="_Toc389620205"/>
      <w:bookmarkStart w:id="340" w:name="_Toc5090"/>
      <w:bookmarkStart w:id="341" w:name="_Toc15641"/>
      <w:bookmarkStart w:id="342" w:name="_Toc385992366"/>
      <w:bookmarkStart w:id="343" w:name="_Toc465958121"/>
      <w:bookmarkStart w:id="344" w:name="_Toc6603"/>
      <w:bookmarkStart w:id="345" w:name="_Toc30811"/>
      <w:bookmarkStart w:id="346" w:name="_Toc246928928"/>
      <w:r>
        <w:rPr>
          <w:rFonts w:hint="eastAsia" w:ascii="宋体" w:hAnsi="宋体" w:cs="宋体"/>
          <w:color w:val="auto"/>
          <w:sz w:val="30"/>
          <w:szCs w:val="30"/>
          <w:highlight w:val="none"/>
        </w:rPr>
        <w:t>29 成交准则</w:t>
      </w:r>
      <w:bookmarkEnd w:id="327"/>
      <w:bookmarkEnd w:id="328"/>
      <w:bookmarkEnd w:id="329"/>
      <w:bookmarkEnd w:id="330"/>
      <w:bookmarkEnd w:id="331"/>
      <w:bookmarkEnd w:id="332"/>
      <w:bookmarkEnd w:id="333"/>
      <w:bookmarkEnd w:id="334"/>
      <w:bookmarkEnd w:id="335"/>
      <w:bookmarkEnd w:id="336"/>
      <w:bookmarkEnd w:id="337"/>
    </w:p>
    <w:p w14:paraId="0340922C">
      <w:pPr>
        <w:pageBreakBefore w:val="0"/>
        <w:bidi w:val="0"/>
        <w:adjustRightInd w:val="0"/>
        <w:snapToGrid w:val="0"/>
        <w:spacing w:before="120" w:line="460" w:lineRule="exact"/>
        <w:textAlignment w:val="auto"/>
        <w:rPr>
          <w:rFonts w:ascii="宋体" w:hAnsi="宋体" w:cs="宋体"/>
          <w:color w:val="auto"/>
          <w:sz w:val="24"/>
          <w:highlight w:val="none"/>
        </w:rPr>
      </w:pPr>
      <w:r>
        <w:rPr>
          <w:rFonts w:hint="eastAsia" w:ascii="宋体" w:hAnsi="宋体" w:cs="宋体"/>
          <w:color w:val="auto"/>
          <w:sz w:val="24"/>
          <w:highlight w:val="none"/>
        </w:rPr>
        <w:t>29.1合同将授予竞争性谈判响应文件符合竞争性谈判文件要求、并能圆满地履行合同、对采购人最为有利且价格最低的供应商。</w:t>
      </w:r>
    </w:p>
    <w:p w14:paraId="3B86F8EE">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29.2谈判小组将根据评审方法推荐成交候选供应商名单。</w:t>
      </w:r>
      <w:bookmarkStart w:id="347" w:name="_Toc389620201"/>
      <w:bookmarkStart w:id="348" w:name="_Toc385992362"/>
    </w:p>
    <w:p w14:paraId="722462C4">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29.3采购代理机构在评审结束后将评审报告送采购人，采购人在收到评审报告后按照评审报告中推荐的成交候选供应商顺序确定成交供应商。</w:t>
      </w:r>
    </w:p>
    <w:p w14:paraId="70555B5C">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29.4成交供应商因不可抗力或自身原因不能履行政府采购合同的，采购人可以再排位在成交供应商之后的第一位的成交候选供应商签订政府采购合同，以此类推。</w:t>
      </w:r>
    </w:p>
    <w:bookmarkEnd w:id="347"/>
    <w:bookmarkEnd w:id="348"/>
    <w:p w14:paraId="44740096">
      <w:pPr>
        <w:pStyle w:val="4"/>
        <w:pageBreakBefore w:val="0"/>
        <w:bidi w:val="0"/>
        <w:adjustRightInd w:val="0"/>
        <w:snapToGrid w:val="0"/>
        <w:spacing w:before="156" w:beforeLines="50" w:after="156" w:afterLines="50" w:line="460" w:lineRule="exact"/>
        <w:textAlignment w:val="auto"/>
        <w:rPr>
          <w:rFonts w:ascii="宋体" w:hAnsi="宋体" w:cs="宋体"/>
          <w:color w:val="auto"/>
          <w:sz w:val="30"/>
          <w:szCs w:val="30"/>
          <w:highlight w:val="none"/>
        </w:rPr>
      </w:pPr>
      <w:bookmarkStart w:id="349" w:name="_Toc385992364"/>
      <w:bookmarkStart w:id="350" w:name="_Toc389620203"/>
      <w:bookmarkStart w:id="351" w:name="_Toc246928927"/>
      <w:bookmarkStart w:id="352" w:name="_Toc19328"/>
      <w:bookmarkStart w:id="353" w:name="_Toc12205"/>
      <w:bookmarkStart w:id="354" w:name="_Toc14351"/>
      <w:bookmarkStart w:id="355" w:name="_Toc21691"/>
      <w:bookmarkStart w:id="356" w:name="_Toc30974"/>
      <w:bookmarkStart w:id="357" w:name="_Toc19435"/>
      <w:bookmarkStart w:id="358" w:name="_Toc465958120"/>
      <w:bookmarkStart w:id="359" w:name="_Toc26280"/>
      <w:r>
        <w:rPr>
          <w:rFonts w:hint="eastAsia" w:ascii="宋体" w:hAnsi="宋体" w:cs="宋体"/>
          <w:color w:val="auto"/>
          <w:sz w:val="30"/>
          <w:szCs w:val="30"/>
          <w:highlight w:val="none"/>
        </w:rPr>
        <w:t xml:space="preserve">30 </w:t>
      </w:r>
      <w:bookmarkEnd w:id="349"/>
      <w:bookmarkEnd w:id="350"/>
      <w:r>
        <w:rPr>
          <w:rFonts w:hint="eastAsia" w:ascii="宋体" w:hAnsi="宋体" w:cs="宋体"/>
          <w:color w:val="auto"/>
          <w:sz w:val="30"/>
          <w:szCs w:val="30"/>
          <w:highlight w:val="none"/>
        </w:rPr>
        <w:t>成交通知</w:t>
      </w:r>
      <w:bookmarkEnd w:id="351"/>
      <w:r>
        <w:rPr>
          <w:rFonts w:hint="eastAsia" w:ascii="宋体" w:hAnsi="宋体" w:cs="宋体"/>
          <w:color w:val="auto"/>
          <w:sz w:val="30"/>
          <w:szCs w:val="30"/>
          <w:highlight w:val="none"/>
        </w:rPr>
        <w:t>书</w:t>
      </w:r>
      <w:bookmarkEnd w:id="352"/>
      <w:bookmarkEnd w:id="353"/>
      <w:bookmarkEnd w:id="354"/>
      <w:bookmarkEnd w:id="355"/>
      <w:bookmarkEnd w:id="356"/>
      <w:bookmarkEnd w:id="357"/>
      <w:bookmarkEnd w:id="358"/>
      <w:bookmarkEnd w:id="359"/>
    </w:p>
    <w:p w14:paraId="725D5D06">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30.1 在谈判有效期内，确定成交供应商后，成交结果在财政部门指定的政府采购信息发布媒体上公告。</w:t>
      </w:r>
    </w:p>
    <w:p w14:paraId="25209707">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 xml:space="preserve">30.2 采购代理机构向成交供应商发出成交通知书，对于其他供应商，将在保证金有效期内退还其谈判保证金。 </w:t>
      </w:r>
    </w:p>
    <w:p w14:paraId="1F05183C">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30.3 成交通知书将作为签订合同的依据。</w:t>
      </w:r>
    </w:p>
    <w:p w14:paraId="24524C2B">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宋体"/>
          <w:color w:val="auto"/>
          <w:sz w:val="24"/>
          <w:highlight w:val="none"/>
        </w:rPr>
        <w:t>30.4 对未成交者，采购人不做出解释，同时亦不退还竞争性谈判响应文件。</w:t>
      </w:r>
    </w:p>
    <w:bookmarkEnd w:id="338"/>
    <w:bookmarkEnd w:id="339"/>
    <w:bookmarkEnd w:id="340"/>
    <w:bookmarkEnd w:id="341"/>
    <w:bookmarkEnd w:id="342"/>
    <w:bookmarkEnd w:id="343"/>
    <w:bookmarkEnd w:id="344"/>
    <w:bookmarkEnd w:id="345"/>
    <w:bookmarkEnd w:id="346"/>
    <w:p w14:paraId="5935DE7A">
      <w:pPr>
        <w:pStyle w:val="4"/>
        <w:pageBreakBefore w:val="0"/>
        <w:bidi w:val="0"/>
        <w:adjustRightInd w:val="0"/>
        <w:snapToGrid w:val="0"/>
        <w:spacing w:before="156" w:beforeLines="50" w:after="156" w:afterLines="50" w:line="460" w:lineRule="exact"/>
        <w:textAlignment w:val="auto"/>
        <w:rPr>
          <w:rFonts w:ascii="宋体" w:hAnsi="宋体" w:cs="宋体"/>
          <w:color w:val="auto"/>
          <w:sz w:val="30"/>
          <w:szCs w:val="30"/>
          <w:highlight w:val="none"/>
        </w:rPr>
      </w:pPr>
      <w:bookmarkStart w:id="360" w:name="_Toc27035"/>
      <w:bookmarkStart w:id="361" w:name="_Toc21407"/>
      <w:bookmarkStart w:id="362" w:name="_Toc385992368"/>
      <w:bookmarkStart w:id="363" w:name="_Toc23493"/>
      <w:bookmarkStart w:id="364" w:name="_Toc20377"/>
      <w:bookmarkStart w:id="365" w:name="_Toc246928929"/>
      <w:bookmarkStart w:id="366" w:name="_Toc9873"/>
      <w:bookmarkStart w:id="367" w:name="_Toc23291"/>
      <w:bookmarkStart w:id="368" w:name="_Toc465958122"/>
      <w:bookmarkStart w:id="369" w:name="_Toc389620207"/>
      <w:bookmarkStart w:id="370" w:name="_Toc11754"/>
      <w:r>
        <w:rPr>
          <w:rFonts w:hint="eastAsia" w:ascii="宋体" w:hAnsi="宋体" w:cs="宋体"/>
          <w:color w:val="auto"/>
          <w:sz w:val="30"/>
          <w:szCs w:val="30"/>
          <w:highlight w:val="none"/>
        </w:rPr>
        <w:t>31 签订合同</w:t>
      </w:r>
      <w:bookmarkEnd w:id="360"/>
      <w:bookmarkEnd w:id="361"/>
    </w:p>
    <w:p w14:paraId="546C933C">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31.1 定标后，</w:t>
      </w:r>
      <w:r>
        <w:rPr>
          <w:rFonts w:hint="eastAsia" w:ascii="宋体" w:hAnsi="宋体" w:cs="宋体"/>
          <w:color w:val="auto"/>
          <w:sz w:val="24"/>
          <w:highlight w:val="none"/>
          <w:lang w:val="en-US" w:eastAsia="zh-CN"/>
        </w:rPr>
        <w:t>在成交通知书发出之日起10日内</w:t>
      </w:r>
      <w:r>
        <w:rPr>
          <w:rFonts w:hint="eastAsia" w:ascii="宋体" w:hAnsi="宋体" w:cs="宋体"/>
          <w:color w:val="auto"/>
          <w:sz w:val="24"/>
          <w:highlight w:val="none"/>
        </w:rPr>
        <w:t>，应按招标文件的要求与采购人洽谈合同条款，并签订书面合同，同时送监督机构备案。所签订的合同不得对招标文件确定的事项和</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投标文件作实质性修改；</w:t>
      </w:r>
    </w:p>
    <w:p w14:paraId="132F6A15">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31.2 采购人不得向</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提出任何不合理的要求作为签订合同的条件；</w:t>
      </w:r>
    </w:p>
    <w:p w14:paraId="0CC23DD9">
      <w:pPr>
        <w:pStyle w:val="25"/>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31.3采购人应当自合同签订之日起2个工作日内，将采购合同在陕西省政府采购网上公告。</w:t>
      </w:r>
    </w:p>
    <w:bookmarkEnd w:id="362"/>
    <w:bookmarkEnd w:id="363"/>
    <w:bookmarkEnd w:id="364"/>
    <w:bookmarkEnd w:id="365"/>
    <w:bookmarkEnd w:id="366"/>
    <w:bookmarkEnd w:id="367"/>
    <w:bookmarkEnd w:id="368"/>
    <w:bookmarkEnd w:id="369"/>
    <w:bookmarkEnd w:id="370"/>
    <w:p w14:paraId="69DFEE47">
      <w:pPr>
        <w:pStyle w:val="4"/>
        <w:pageBreakBefore w:val="0"/>
        <w:bidi w:val="0"/>
        <w:adjustRightInd w:val="0"/>
        <w:snapToGrid w:val="0"/>
        <w:spacing w:before="156" w:beforeLines="50" w:after="156" w:afterLines="50" w:line="460" w:lineRule="exact"/>
        <w:textAlignment w:val="auto"/>
        <w:rPr>
          <w:rFonts w:ascii="宋体" w:hAnsi="宋体" w:cs="宋体"/>
          <w:color w:val="auto"/>
          <w:sz w:val="30"/>
          <w:szCs w:val="30"/>
          <w:highlight w:val="none"/>
        </w:rPr>
      </w:pPr>
      <w:bookmarkStart w:id="371" w:name="_Toc5562"/>
      <w:bookmarkStart w:id="372" w:name="_Toc27194"/>
      <w:r>
        <w:rPr>
          <w:rFonts w:hint="eastAsia" w:ascii="宋体" w:hAnsi="宋体" w:cs="宋体"/>
          <w:color w:val="auto"/>
          <w:sz w:val="30"/>
          <w:szCs w:val="30"/>
          <w:highlight w:val="none"/>
        </w:rPr>
        <w:t>32 招标代理服务费</w:t>
      </w:r>
      <w:bookmarkEnd w:id="371"/>
      <w:bookmarkEnd w:id="372"/>
      <w:r>
        <w:rPr>
          <w:rFonts w:hint="eastAsia" w:ascii="宋体" w:hAnsi="宋体" w:cs="宋体"/>
          <w:color w:val="auto"/>
          <w:sz w:val="30"/>
          <w:szCs w:val="30"/>
          <w:highlight w:val="none"/>
        </w:rPr>
        <w:t xml:space="preserve"> </w:t>
      </w:r>
    </w:p>
    <w:p w14:paraId="498F2E12">
      <w:pPr>
        <w:pageBreakBefore w:val="0"/>
        <w:bidi w:val="0"/>
        <w:adjustRightInd w:val="0"/>
        <w:snapToGrid w:val="0"/>
        <w:spacing w:line="460" w:lineRule="exact"/>
        <w:textAlignment w:val="auto"/>
        <w:rPr>
          <w:rFonts w:ascii="宋体" w:hAnsi="宋体" w:cs="仿宋_GB2312"/>
          <w:color w:val="auto"/>
          <w:sz w:val="24"/>
          <w:szCs w:val="24"/>
          <w:highlight w:val="none"/>
        </w:rPr>
      </w:pPr>
      <w:r>
        <w:rPr>
          <w:rFonts w:hint="eastAsia" w:ascii="宋体" w:hAnsi="宋体" w:cs="宋体"/>
          <w:color w:val="auto"/>
          <w:sz w:val="24"/>
          <w:highlight w:val="none"/>
        </w:rPr>
        <w:t xml:space="preserve">32.1  </w:t>
      </w:r>
      <w:r>
        <w:rPr>
          <w:rFonts w:hint="eastAsia" w:ascii="宋体" w:hAnsi="宋体" w:cs="仿宋_GB2312"/>
          <w:color w:val="auto"/>
          <w:sz w:val="24"/>
          <w:szCs w:val="24"/>
          <w:highlight w:val="none"/>
        </w:rPr>
        <w:t>招标代理服务费的收取参见国家计委颁布的</w:t>
      </w:r>
      <w:r>
        <w:rPr>
          <w:rFonts w:hint="eastAsia" w:ascii="宋体" w:hAnsi="宋体" w:eastAsia="宋体" w:cs="宋体"/>
          <w:color w:val="auto"/>
          <w:sz w:val="24"/>
          <w:szCs w:val="24"/>
          <w:highlight w:val="none"/>
        </w:rPr>
        <w:t>采购代理机构参照国家计委关于印发《招标代理服务收费管理暂行办法》的通知（计价格〔2002〕1980号）、《国家发展和改革委员会办公厅关于招标代理服务收费有关问题的通知》（发改办价格〔2003〕857号）规定向中标（成交）供应商收取代理服务费</w:t>
      </w:r>
      <w:r>
        <w:rPr>
          <w:rFonts w:hint="eastAsia" w:ascii="宋体" w:hAnsi="宋体"/>
          <w:color w:val="auto"/>
          <w:sz w:val="24"/>
          <w:highlight w:val="none"/>
        </w:rPr>
        <w:t>。</w:t>
      </w:r>
    </w:p>
    <w:p w14:paraId="3DFFC8A8">
      <w:pPr>
        <w:pageBreakBefore w:val="0"/>
        <w:bidi w:val="0"/>
        <w:adjustRightInd w:val="0"/>
        <w:snapToGrid w:val="0"/>
        <w:spacing w:line="460" w:lineRule="exact"/>
        <w:textAlignment w:val="auto"/>
        <w:rPr>
          <w:rFonts w:ascii="宋体" w:hAnsi="宋体" w:cs="宋体"/>
          <w:color w:val="auto"/>
          <w:sz w:val="24"/>
          <w:highlight w:val="none"/>
        </w:rPr>
      </w:pPr>
      <w:r>
        <w:rPr>
          <w:rFonts w:hint="eastAsia" w:ascii="宋体" w:hAnsi="宋体" w:cs="仿宋_GB2312"/>
          <w:color w:val="auto"/>
          <w:sz w:val="24"/>
          <w:szCs w:val="24"/>
          <w:highlight w:val="none"/>
        </w:rPr>
        <w:t>32.2  成交单位在领取成交通知书前，须向采购代理机构一次性支付招标代理服务费。</w:t>
      </w:r>
    </w:p>
    <w:p w14:paraId="28DF5CCD">
      <w:pPr>
        <w:pStyle w:val="4"/>
        <w:pageBreakBefore w:val="0"/>
        <w:bidi w:val="0"/>
        <w:adjustRightInd w:val="0"/>
        <w:snapToGrid w:val="0"/>
        <w:spacing w:before="120" w:after="120" w:line="460" w:lineRule="exact"/>
        <w:textAlignment w:val="auto"/>
        <w:rPr>
          <w:rFonts w:ascii="宋体" w:hAnsi="宋体" w:cs="宋体"/>
          <w:color w:val="auto"/>
          <w:szCs w:val="22"/>
          <w:highlight w:val="none"/>
        </w:rPr>
      </w:pPr>
      <w:bookmarkStart w:id="373" w:name="_Hlt497548036"/>
      <w:bookmarkEnd w:id="373"/>
      <w:bookmarkStart w:id="374" w:name="_Toc5575"/>
      <w:bookmarkStart w:id="375" w:name="_Toc17620"/>
      <w:bookmarkStart w:id="376" w:name="_Toc9748"/>
      <w:bookmarkStart w:id="377" w:name="_Toc497711585"/>
      <w:bookmarkStart w:id="378" w:name="_Toc492955459"/>
      <w:bookmarkStart w:id="379" w:name="_Toc497712133"/>
      <w:bookmarkStart w:id="380" w:name="_Toc13928"/>
      <w:bookmarkStart w:id="381" w:name="_Toc497546918"/>
      <w:bookmarkStart w:id="382" w:name="_Toc28607"/>
      <w:bookmarkStart w:id="383" w:name="_Toc93800308"/>
      <w:bookmarkStart w:id="384" w:name="_Toc10852"/>
      <w:bookmarkStart w:id="385" w:name="_Toc497551820"/>
      <w:bookmarkStart w:id="386" w:name="_Toc347478708"/>
      <w:bookmarkStart w:id="387" w:name="_Toc492955460"/>
      <w:bookmarkStart w:id="388" w:name="_Toc497546919"/>
      <w:bookmarkStart w:id="389" w:name="_Toc497551821"/>
      <w:bookmarkStart w:id="390" w:name="_Toc246928960"/>
      <w:bookmarkStart w:id="391" w:name="_Toc497711586"/>
      <w:bookmarkStart w:id="392" w:name="_Toc389620242"/>
      <w:bookmarkStart w:id="393" w:name="_Toc497712134"/>
      <w:bookmarkStart w:id="394" w:name="_Toc385992402"/>
      <w:r>
        <w:rPr>
          <w:rFonts w:hint="eastAsia" w:ascii="宋体" w:hAnsi="宋体" w:cs="宋体"/>
          <w:color w:val="auto"/>
          <w:szCs w:val="22"/>
          <w:highlight w:val="none"/>
        </w:rPr>
        <w:t>33 其他</w:t>
      </w:r>
      <w:bookmarkEnd w:id="374"/>
      <w:bookmarkEnd w:id="375"/>
    </w:p>
    <w:p w14:paraId="51437150">
      <w:pPr>
        <w:pageBreakBefore w:val="0"/>
        <w:bidi w:val="0"/>
        <w:adjustRightInd w:val="0"/>
        <w:snapToGrid w:val="0"/>
        <w:spacing w:line="460" w:lineRule="exact"/>
        <w:ind w:firstLine="480" w:firstLineChars="200"/>
        <w:textAlignment w:val="auto"/>
        <w:rPr>
          <w:color w:val="auto"/>
          <w:highlight w:val="none"/>
        </w:rPr>
      </w:pPr>
      <w:r>
        <w:rPr>
          <w:rFonts w:hint="eastAsia" w:ascii="宋体" w:hAnsi="宋体" w:cs="宋体"/>
          <w:color w:val="auto"/>
          <w:sz w:val="24"/>
          <w:szCs w:val="24"/>
          <w:highlight w:val="none"/>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4DDC5E7A">
      <w:pPr>
        <w:pStyle w:val="4"/>
        <w:pageBreakBefore w:val="0"/>
        <w:bidi w:val="0"/>
        <w:adjustRightInd w:val="0"/>
        <w:snapToGrid w:val="0"/>
        <w:spacing w:before="120" w:after="120" w:line="460" w:lineRule="exact"/>
        <w:textAlignment w:val="auto"/>
        <w:rPr>
          <w:rFonts w:ascii="宋体" w:hAnsi="宋体" w:cs="宋体"/>
          <w:color w:val="auto"/>
          <w:szCs w:val="22"/>
          <w:highlight w:val="none"/>
        </w:rPr>
      </w:pPr>
      <w:bookmarkStart w:id="395" w:name="_Toc29936"/>
      <w:bookmarkStart w:id="396" w:name="_Toc29779"/>
      <w:r>
        <w:rPr>
          <w:rFonts w:hint="eastAsia" w:ascii="宋体" w:hAnsi="宋体" w:cs="宋体"/>
          <w:color w:val="auto"/>
          <w:szCs w:val="22"/>
          <w:highlight w:val="none"/>
        </w:rPr>
        <w:t>34 质疑提出与答复</w:t>
      </w:r>
      <w:bookmarkEnd w:id="395"/>
      <w:bookmarkEnd w:id="396"/>
    </w:p>
    <w:p w14:paraId="168A3A69">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供应商如果认为采购程序、采购过程或中标结果使自身的合法权益受到损害，可以在知道或者应知其权益受到损害之日起7个工作日内，以书面形式向采购代理机构提出。</w:t>
      </w:r>
    </w:p>
    <w:p w14:paraId="3D95C487">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1、供应商提出质疑应当提交质疑函和必要的证明材料，并按财政部《质疑函范本》给定的格式进行填写，范本下载详见【财政部国库司（gks.mof.gov.cn）】网站〖首页•〉政府采购管理〗栏目中的《政府采购供应商质疑函范本》。</w:t>
      </w:r>
    </w:p>
    <w:p w14:paraId="70A8ADC2">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《政府采购供应商质疑函范本》链接地址：</w:t>
      </w:r>
    </w:p>
    <w:p w14:paraId="4EDD0E12">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http://www.mof.gov.cn/gp/xxgkml/gks/201802/t20180201_2804587.htm</w:t>
      </w:r>
    </w:p>
    <w:p w14:paraId="5CB6670C">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1D853499">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2.1质疑函应当包括下列内容：</w:t>
      </w:r>
    </w:p>
    <w:p w14:paraId="501A8E8A">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（1）</w:t>
      </w:r>
      <w:r>
        <w:rPr>
          <w:rFonts w:hint="eastAsia"/>
          <w:color w:val="auto"/>
          <w:highlight w:val="none"/>
          <w:lang w:val="zh-CN"/>
        </w:rPr>
        <w:t>投标人</w:t>
      </w:r>
      <w:r>
        <w:rPr>
          <w:rFonts w:hint="eastAsia"/>
          <w:color w:val="auto"/>
          <w:highlight w:val="none"/>
        </w:rPr>
        <w:t>的姓名或者名称、地址、邮编、联系人及联系电话；</w:t>
      </w:r>
    </w:p>
    <w:p w14:paraId="73077FA7">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（2）质疑项目的名称、编号；</w:t>
      </w:r>
    </w:p>
    <w:p w14:paraId="1C65EF11">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（3）具体、明确的质疑事项和与质疑事项相关的请求；</w:t>
      </w:r>
    </w:p>
    <w:p w14:paraId="6645888B">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（4）事实依据；</w:t>
      </w:r>
    </w:p>
    <w:p w14:paraId="483FE618">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（5）必要的法律依据；</w:t>
      </w:r>
    </w:p>
    <w:p w14:paraId="129D1D1E">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 xml:space="preserve">（6）提出质疑的日期。 </w:t>
      </w:r>
    </w:p>
    <w:p w14:paraId="2F7A8C40">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3、在法定质疑期内，针对同一采购程序环节的质疑应当一次性提出。采购代理机构或采购人将在收到书面质疑后7个工作日内做出答复，并以书面形式通知质疑人和其他有关供应商。</w:t>
      </w:r>
    </w:p>
    <w:p w14:paraId="003C5EEC">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4、有下列情形之一的，属于无效质疑，采购代理机构和采购人不予受理：</w:t>
      </w:r>
    </w:p>
    <w:p w14:paraId="5FE89795">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（1）质疑人不是参与本次政府采购项目的供应商或潜在供应商；</w:t>
      </w:r>
    </w:p>
    <w:p w14:paraId="6AFAE11D">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（2）质疑人与质疑事项不存在利害关系的；</w:t>
      </w:r>
    </w:p>
    <w:p w14:paraId="5AEE050C">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（3）未在法定期限内提出质疑的；</w:t>
      </w:r>
    </w:p>
    <w:p w14:paraId="2BC8763F">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（4）质疑未以书面形式提出，或质疑函主要内容构成不完整的，或缺乏必要的证明材料及证明材料不完整的；</w:t>
      </w:r>
    </w:p>
    <w:p w14:paraId="6000A4BB">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（5）质疑函没有合法有效的签字、盖章或授权的；</w:t>
      </w:r>
    </w:p>
    <w:p w14:paraId="6E7E6250">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（6）以非法手段取得证据、材料的；</w:t>
      </w:r>
    </w:p>
    <w:p w14:paraId="23E355EB">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（7）质疑答复后，同一质疑人就同一事项再次提出质疑的；</w:t>
      </w:r>
    </w:p>
    <w:p w14:paraId="3E26E154">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（8）不符合法律、法规、规章和政府采购监管机构规定的其他条件的。</w:t>
      </w:r>
    </w:p>
    <w:p w14:paraId="21E880AE">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5、质疑人对采购代理机构或采购人的答复不满意，以及采购代理机构或采购人未在规定时间内做出答复的，可以在答复期满后15个工作日内向政府采购监管机构提出投诉。</w:t>
      </w:r>
    </w:p>
    <w:p w14:paraId="158D1462">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6、供应商投诉的事项不得超出已质疑事项的范围。</w:t>
      </w:r>
    </w:p>
    <w:p w14:paraId="1F351653">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7、对捏造事实、提供虚假材料进行质疑、投诉的行为予以严肃处理：</w:t>
      </w:r>
    </w:p>
    <w:p w14:paraId="7B09D3C1">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600EB8B6">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8、对捏造事实诬告陷害他人、诽谤他人的法律适用：</w:t>
      </w:r>
    </w:p>
    <w:p w14:paraId="338B70EA">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7A2386C9">
      <w:pPr>
        <w:pStyle w:val="16"/>
        <w:pageBreakBefore w:val="0"/>
        <w:bidi w:val="0"/>
        <w:adjustRightInd w:val="0"/>
        <w:snapToGrid w:val="0"/>
        <w:spacing w:before="0" w:beforeAutospacing="0" w:after="0" w:afterAutospacing="0" w:line="460" w:lineRule="exact"/>
        <w:ind w:firstLine="360" w:firstLineChars="150"/>
        <w:textAlignment w:val="auto"/>
        <w:rPr>
          <w:color w:val="auto"/>
          <w:highlight w:val="none"/>
        </w:rPr>
      </w:pPr>
      <w:r>
        <w:rPr>
          <w:rFonts w:hint="eastAsia"/>
          <w:color w:val="auto"/>
          <w:highlight w:val="none"/>
        </w:rPr>
        <w:t>《中华人民共和国刑法》第246条【侮辱罪、诽谤罪】以暴力或者其他方法公然侮辱他人或者捏造事实诽谤他人，情节严重的，处三年以下有期徒刑、拘役、管制或者剥夺政治权利。</w:t>
      </w:r>
    </w:p>
    <w:p w14:paraId="03183360">
      <w:pPr>
        <w:pStyle w:val="16"/>
        <w:pageBreakBefore w:val="0"/>
        <w:bidi w:val="0"/>
        <w:adjustRightInd w:val="0"/>
        <w:snapToGrid w:val="0"/>
        <w:spacing w:before="0" w:beforeAutospacing="0" w:after="0" w:afterAutospacing="0" w:line="460" w:lineRule="exact"/>
        <w:ind w:firstLine="360" w:firstLineChars="150"/>
        <w:textAlignment w:val="auto"/>
        <w:rPr>
          <w:rFonts w:hint="eastAsia" w:eastAsia="宋体"/>
          <w:color w:val="auto"/>
          <w:highlight w:val="none"/>
          <w:lang w:eastAsia="zh-CN"/>
        </w:rPr>
      </w:pPr>
      <w:r>
        <w:rPr>
          <w:rFonts w:hint="eastAsia"/>
          <w:color w:val="auto"/>
          <w:highlight w:val="none"/>
        </w:rPr>
        <w:t>9、质疑函递交地址：</w:t>
      </w:r>
      <w:r>
        <w:rPr>
          <w:rFonts w:hint="eastAsia"/>
          <w:color w:val="auto"/>
          <w:highlight w:val="none"/>
          <w:lang w:eastAsia="zh-CN"/>
        </w:rPr>
        <w:t>陕西省西安市经济技术开发区未央路149号银河华庭D座1106室</w:t>
      </w:r>
    </w:p>
    <w:p w14:paraId="00ED5799">
      <w:pPr>
        <w:pStyle w:val="16"/>
        <w:pageBreakBefore w:val="0"/>
        <w:bidi w:val="0"/>
        <w:adjustRightInd w:val="0"/>
        <w:snapToGrid w:val="0"/>
        <w:spacing w:before="0" w:beforeAutospacing="0" w:after="0" w:afterAutospacing="0" w:line="460" w:lineRule="exact"/>
        <w:ind w:firstLine="360" w:firstLineChars="150"/>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lang w:val="en-US" w:eastAsia="zh-CN"/>
        </w:rPr>
        <w:t>刘工</w:t>
      </w:r>
    </w:p>
    <w:p w14:paraId="5AD19742">
      <w:pPr>
        <w:pStyle w:val="16"/>
        <w:pageBreakBefore w:val="0"/>
        <w:bidi w:val="0"/>
        <w:adjustRightInd w:val="0"/>
        <w:snapToGrid w:val="0"/>
        <w:spacing w:before="0" w:beforeAutospacing="0" w:after="0" w:afterAutospacing="0" w:line="460" w:lineRule="exact"/>
        <w:ind w:firstLine="360" w:firstLineChars="15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13228440603</w:t>
      </w:r>
    </w:p>
    <w:p w14:paraId="71769A3A">
      <w:pPr>
        <w:pStyle w:val="16"/>
        <w:pageBreakBefore w:val="0"/>
        <w:bidi w:val="0"/>
        <w:adjustRightInd w:val="0"/>
        <w:snapToGrid w:val="0"/>
        <w:spacing w:before="0" w:beforeAutospacing="0" w:after="0" w:afterAutospacing="0" w:line="460" w:lineRule="exact"/>
        <w:ind w:firstLine="360" w:firstLineChars="1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邮箱：652556020@qq.com</w:t>
      </w:r>
    </w:p>
    <w:p w14:paraId="31B91DB3">
      <w:pPr>
        <w:pStyle w:val="16"/>
        <w:pageBreakBefore w:val="0"/>
        <w:bidi w:val="0"/>
        <w:adjustRightInd w:val="0"/>
        <w:snapToGrid w:val="0"/>
        <w:spacing w:before="0" w:beforeAutospacing="0" w:after="0" w:afterAutospacing="0" w:line="460" w:lineRule="exact"/>
        <w:ind w:firstLine="360" w:firstLineChars="150"/>
        <w:textAlignment w:val="auto"/>
        <w:rPr>
          <w:rFonts w:hint="default" w:ascii="Times New Roman" w:hAnsi="Times New Roman" w:eastAsia="宋体" w:cs="Times New Roman"/>
          <w:color w:val="auto"/>
          <w:highlight w:val="none"/>
          <w:lang w:val="en-US" w:eastAsia="zh-CN"/>
        </w:rPr>
      </w:pPr>
    </w:p>
    <w:bookmarkEnd w:id="376"/>
    <w:bookmarkEnd w:id="377"/>
    <w:bookmarkEnd w:id="378"/>
    <w:bookmarkEnd w:id="379"/>
    <w:bookmarkEnd w:id="380"/>
    <w:bookmarkEnd w:id="381"/>
    <w:bookmarkEnd w:id="382"/>
    <w:bookmarkEnd w:id="383"/>
    <w:bookmarkEnd w:id="384"/>
    <w:bookmarkEnd w:id="385"/>
    <w:bookmarkEnd w:id="386"/>
    <w:p w14:paraId="4510677F">
      <w:pPr>
        <w:pStyle w:val="8"/>
        <w:rPr>
          <w:b/>
          <w:color w:val="auto"/>
          <w:highlight w:val="none"/>
        </w:rPr>
      </w:pPr>
      <w:bookmarkStart w:id="397" w:name="_Toc18524"/>
      <w:bookmarkStart w:id="398" w:name="_Toc24136"/>
    </w:p>
    <w:p w14:paraId="28C302FF">
      <w:pPr>
        <w:pStyle w:val="14"/>
        <w:jc w:val="center"/>
        <w:outlineLvl w:val="0"/>
        <w:rPr>
          <w:b/>
          <w:bCs/>
          <w:color w:val="auto"/>
          <w:sz w:val="32"/>
          <w:szCs w:val="32"/>
          <w:highlight w:val="none"/>
        </w:rPr>
        <w:sectPr>
          <w:pgSz w:w="11906" w:h="16838"/>
          <w:pgMar w:top="1440" w:right="1486" w:bottom="1440" w:left="1180" w:header="851" w:footer="992" w:gutter="0"/>
          <w:pgNumType w:fmt="decimal"/>
          <w:cols w:space="720" w:num="1"/>
          <w:docGrid w:type="lines" w:linePitch="312" w:charSpace="0"/>
        </w:sectPr>
      </w:pPr>
      <w:bookmarkStart w:id="399" w:name="_Toc1542"/>
      <w:bookmarkStart w:id="400" w:name="_Toc116"/>
      <w:bookmarkStart w:id="401" w:name="_Toc18860"/>
      <w:bookmarkStart w:id="402" w:name="_Toc29549"/>
    </w:p>
    <w:bookmarkEnd w:id="397"/>
    <w:bookmarkEnd w:id="398"/>
    <w:bookmarkEnd w:id="399"/>
    <w:bookmarkEnd w:id="400"/>
    <w:bookmarkEnd w:id="401"/>
    <w:bookmarkEnd w:id="402"/>
    <w:p w14:paraId="32C9992B">
      <w:pPr>
        <w:pStyle w:val="2"/>
        <w:bidi w:val="0"/>
        <w:jc w:val="center"/>
        <w:rPr>
          <w:rFonts w:hint="eastAsia"/>
          <w:color w:val="auto"/>
          <w:sz w:val="32"/>
          <w:szCs w:val="32"/>
          <w:highlight w:val="none"/>
        </w:rPr>
      </w:pPr>
      <w:bookmarkStart w:id="403" w:name="_Toc29499"/>
      <w:bookmarkStart w:id="404" w:name="_Toc22316"/>
      <w:bookmarkStart w:id="405" w:name="_Toc22443"/>
      <w:bookmarkStart w:id="406" w:name="_Toc10790"/>
      <w:bookmarkStart w:id="407" w:name="_Toc15945"/>
      <w:bookmarkStart w:id="408" w:name="_Toc5627"/>
      <w:bookmarkStart w:id="409" w:name="_Toc31701"/>
      <w:bookmarkStart w:id="410" w:name="_Toc8390"/>
      <w:r>
        <w:rPr>
          <w:rFonts w:hint="eastAsia"/>
          <w:color w:val="auto"/>
          <w:sz w:val="32"/>
          <w:szCs w:val="32"/>
          <w:highlight w:val="none"/>
          <w:lang w:val="en-US" w:eastAsia="zh-CN"/>
        </w:rPr>
        <w:t>第四部分  采购内容及技术要求</w:t>
      </w:r>
      <w:bookmarkEnd w:id="403"/>
      <w:bookmarkEnd w:id="404"/>
    </w:p>
    <w:p w14:paraId="406AA3FF">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（一）概述: 检验是一个注重流程化管理与产出大量数据的学科，随着医院检验科的发展，越来越多的项目开展应用于临床，大量的文件、流程、设备与物资等数据资料应符合ISO15189认可要求，科学化与精细化的管理也非常需要专业的信息化支撑。</w:t>
      </w:r>
    </w:p>
    <w:p w14:paraId="01475A34">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国家宏观政策鼓励“互联网+医疗”，人工智能、物联网等新兴技术在医疗领域的不断渗透，助力智慧诊疗、智慧服务、智慧管理。医院信息化建设在基本满足日常业务需求的情况下，寻求着转型与升级，以不断适应新环境与新挑战，智慧管理系统专业助力医学实验室的智慧管理，协助提升检验科的管理和运营能力，在“互联网+医疗”的时代下，增强检验科的核心竞争力，努力实现真正意义上的智慧检验科。</w:t>
      </w:r>
    </w:p>
    <w:p w14:paraId="63055E62">
      <w:pPr>
        <w:spacing w:after="0" w:line="360" w:lineRule="auto"/>
        <w:ind w:left="0" w:right="0" w:firstLine="480" w:firstLineChars="200"/>
        <w:jc w:val="both"/>
        <w:rPr>
          <w:color w:val="auto"/>
          <w:sz w:val="24"/>
          <w:szCs w:val="24"/>
          <w:highlight w:val="none"/>
        </w:rPr>
      </w:pPr>
      <w:r>
        <w:rPr>
          <w:color w:val="auto"/>
          <w:sz w:val="24"/>
          <w:szCs w:val="24"/>
          <w:highlight w:val="none"/>
        </w:rPr>
        <w:t>（</w:t>
      </w:r>
      <w:r>
        <w:rPr>
          <w:rFonts w:hint="eastAsia"/>
          <w:color w:val="auto"/>
          <w:sz w:val="24"/>
          <w:szCs w:val="24"/>
          <w:highlight w:val="none"/>
        </w:rPr>
        <w:t>二</w:t>
      </w:r>
      <w:r>
        <w:rPr>
          <w:color w:val="auto"/>
          <w:sz w:val="24"/>
          <w:szCs w:val="24"/>
          <w:highlight w:val="none"/>
        </w:rPr>
        <w:t>）</w:t>
      </w:r>
      <w:r>
        <w:rPr>
          <w:rFonts w:hint="eastAsia"/>
          <w:color w:val="auto"/>
          <w:sz w:val="24"/>
          <w:szCs w:val="24"/>
          <w:highlight w:val="none"/>
        </w:rPr>
        <w:t>总体标准及规范</w:t>
      </w:r>
      <w:r>
        <w:rPr>
          <w:color w:val="auto"/>
          <w:sz w:val="24"/>
          <w:szCs w:val="24"/>
          <w:highlight w:val="none"/>
        </w:rPr>
        <w:t>要求</w:t>
      </w:r>
      <w:r>
        <w:rPr>
          <w:rFonts w:hint="eastAsia"/>
          <w:color w:val="auto"/>
          <w:sz w:val="24"/>
          <w:szCs w:val="24"/>
          <w:highlight w:val="none"/>
        </w:rPr>
        <w:t>：</w:t>
      </w:r>
    </w:p>
    <w:p w14:paraId="0C12D91C">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项目建设需执行的国家相关标准、行业标准、地方标准及规范：</w:t>
      </w:r>
      <w:r>
        <w:rPr>
          <w:color w:val="auto"/>
          <w:sz w:val="24"/>
          <w:szCs w:val="24"/>
          <w:highlight w:val="none"/>
        </w:rPr>
        <w:t xml:space="preserve"> </w:t>
      </w:r>
    </w:p>
    <w:p w14:paraId="35501836">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1.《三级综合医院评审标准细则》（2017版）</w:t>
      </w:r>
    </w:p>
    <w:p w14:paraId="2FED6268">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建立实验室信息管理系统，与医院信息系统联网；实验室信息管理系统贯穿于检验全程管理。</w:t>
      </w:r>
    </w:p>
    <w:p w14:paraId="05CD6B5B">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2.《医学检验实验室基本标准（试行）》和《医学检验实验室管理规范（试行）》（国家卫生计生委，2016年）</w:t>
      </w:r>
    </w:p>
    <w:p w14:paraId="195BD125">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3.《医学实验室质量和能力认可准则》（CNAS-CL02）</w:t>
      </w:r>
    </w:p>
    <w:p w14:paraId="721DAFF2">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医学实验室质量和能力认可准则的应用要求(CNAS- CL02- A001)</w:t>
      </w:r>
    </w:p>
    <w:p w14:paraId="4A52BFD2">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4.《中华人民共和国卫生行业标准 临床实验室质量指标》（WS/T 496-2017）</w:t>
      </w:r>
    </w:p>
    <w:p w14:paraId="506D07F0">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5.《国务院办公厅关于促进和规范健康医疗大数据应用发展的指导意见》（国办发〔2016〕47号）</w:t>
      </w:r>
    </w:p>
    <w:p w14:paraId="19E07551">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6.《国务院办公厅关于促进“互联网+医疗健康”发展的意见》（国办发〔2018〕26号（2021-05-13））</w:t>
      </w:r>
    </w:p>
    <w:p w14:paraId="5DC61B31">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（三）主要建设内容：</w:t>
      </w:r>
    </w:p>
    <w:p w14:paraId="4F7E1BA2">
      <w:pPr>
        <w:spacing w:after="0" w:line="360" w:lineRule="auto"/>
        <w:ind w:left="0" w:right="0" w:firstLine="480" w:firstLineChars="200"/>
        <w:jc w:val="both"/>
        <w:rPr>
          <w:color w:val="auto"/>
          <w:sz w:val="24"/>
          <w:szCs w:val="24"/>
          <w:highlight w:val="none"/>
        </w:rPr>
      </w:pPr>
      <w:r>
        <w:rPr>
          <w:rFonts w:hint="eastAsia"/>
          <w:color w:val="auto"/>
          <w:sz w:val="24"/>
          <w:szCs w:val="24"/>
          <w:highlight w:val="none"/>
        </w:rPr>
        <w:t>实现医院内</w:t>
      </w:r>
      <w:r>
        <w:rPr>
          <w:rFonts w:hint="eastAsia"/>
          <w:color w:val="auto"/>
          <w:sz w:val="24"/>
          <w:szCs w:val="24"/>
          <w:highlight w:val="none"/>
          <w:lang w:eastAsia="zh-CN"/>
        </w:rPr>
        <w:t>智慧管理系统</w:t>
      </w:r>
      <w:r>
        <w:rPr>
          <w:rFonts w:hint="eastAsia"/>
          <w:color w:val="auto"/>
          <w:sz w:val="24"/>
          <w:szCs w:val="24"/>
          <w:highlight w:val="none"/>
        </w:rPr>
        <w:t>的建设，基于医院现有信息系统和软硬件基础，联动人、机、料、法、环的全面对接，实现ISO15189标准质量体系运行。实现检验科的PC、手机移动端互联网基础建设，搭建云智慧临床实验室管理系统的网络运行基础。将检验科的基本管理信息录入运行，并逐步实现优化提升。规范标准融合到科室日常工作，并形成检验科自己的良性运行体系，拓展智能周边硬件系统，更高效便捷。运用大数据横向、纵向动态评估分析临床实验室的质量、成本、效率、服务综合状态，给出针对性建议，成为医学实验室规划发展的有力助手。</w:t>
      </w:r>
    </w:p>
    <w:p w14:paraId="74BBA322">
      <w:pPr>
        <w:spacing w:line="360" w:lineRule="auto"/>
        <w:ind w:firstLine="480" w:firstLineChars="200"/>
        <w:rPr>
          <w:rFonts w:hint="default" w:eastAsia="宋体"/>
          <w:sz w:val="24"/>
          <w:szCs w:val="24"/>
          <w:lang w:val="en-US" w:eastAsia="zh-CN"/>
        </w:rPr>
      </w:pPr>
      <w:r>
        <w:rPr>
          <w:rFonts w:hint="eastAsia"/>
          <w:sz w:val="24"/>
          <w:szCs w:val="24"/>
          <w:lang w:val="en-US" w:eastAsia="zh-CN"/>
        </w:rPr>
        <w:t>（四）技术参数</w:t>
      </w:r>
    </w:p>
    <w:p w14:paraId="1C369411">
      <w:pPr>
        <w:pStyle w:val="26"/>
        <w:numPr>
          <w:ilvl w:val="0"/>
          <w:numId w:val="0"/>
        </w:numPr>
        <w:spacing w:line="360" w:lineRule="auto"/>
        <w:ind w:leftChars="0" w:firstLine="480" w:firstLineChars="200"/>
        <w:rPr>
          <w:sz w:val="24"/>
          <w:szCs w:val="24"/>
        </w:rPr>
      </w:pPr>
      <w:r>
        <w:rPr>
          <w:rFonts w:hint="eastAsia"/>
          <w:sz w:val="24"/>
          <w:szCs w:val="24"/>
          <w:lang w:val="en-US" w:eastAsia="zh-CN"/>
        </w:rPr>
        <w:t>1.</w:t>
      </w:r>
      <w:r>
        <w:rPr>
          <w:sz w:val="24"/>
          <w:szCs w:val="24"/>
          <w:lang w:val="en-US"/>
        </w:rPr>
        <w:t>人员</w:t>
      </w:r>
      <w:r>
        <w:rPr>
          <w:sz w:val="24"/>
          <w:szCs w:val="24"/>
        </w:rPr>
        <w:t>管理：</w:t>
      </w:r>
      <w:r>
        <w:rPr>
          <w:sz w:val="24"/>
          <w:szCs w:val="24"/>
          <w:lang w:val="en-US"/>
        </w:rPr>
        <w:t>员工从入职到离职的职业全周期管理，随时调取员工资料,了解员工信息，支持实习生、进修生、研究生管理</w:t>
      </w:r>
    </w:p>
    <w:p w14:paraId="09FFED19">
      <w:pPr>
        <w:spacing w:line="360" w:lineRule="auto"/>
        <w:ind w:firstLine="480" w:firstLineChars="200"/>
        <w:rPr>
          <w:sz w:val="24"/>
          <w:szCs w:val="24"/>
        </w:rPr>
      </w:pPr>
      <w:r>
        <w:rPr>
          <w:sz w:val="24"/>
          <w:szCs w:val="24"/>
        </w:rPr>
        <w:t>（1）提供完善的档案管理功能（符合ISO15189要求的基础信息、科研教学、资质、健康信息），并支持档案自动分析报告</w:t>
      </w:r>
    </w:p>
    <w:p w14:paraId="7099E52B">
      <w:pPr>
        <w:spacing w:line="360" w:lineRule="auto"/>
        <w:ind w:firstLine="480" w:firstLineChars="200"/>
        <w:rPr>
          <w:sz w:val="24"/>
          <w:szCs w:val="24"/>
        </w:rPr>
      </w:pPr>
      <w:r>
        <w:rPr>
          <w:sz w:val="24"/>
          <w:szCs w:val="24"/>
        </w:rPr>
        <w:t>（2）</w:t>
      </w:r>
      <w:r>
        <w:rPr>
          <w:rFonts w:hint="eastAsia"/>
          <w:sz w:val="24"/>
          <w:szCs w:val="24"/>
        </w:rPr>
        <w:t>提供人员类型（组织、职称、学历、部门）自定义管理系统</w:t>
      </w:r>
    </w:p>
    <w:p w14:paraId="2E64998D">
      <w:pPr>
        <w:spacing w:line="360" w:lineRule="auto"/>
        <w:ind w:firstLine="480" w:firstLineChars="200"/>
        <w:rPr>
          <w:sz w:val="24"/>
          <w:szCs w:val="24"/>
        </w:rPr>
      </w:pPr>
      <w:r>
        <w:rPr>
          <w:sz w:val="24"/>
          <w:szCs w:val="24"/>
        </w:rPr>
        <w:t>（3）档案支持打印和导出功能</w:t>
      </w:r>
    </w:p>
    <w:p w14:paraId="4C7E8ACF">
      <w:pPr>
        <w:spacing w:line="360" w:lineRule="auto"/>
        <w:ind w:firstLine="480" w:firstLineChars="200"/>
        <w:rPr>
          <w:sz w:val="24"/>
          <w:szCs w:val="24"/>
        </w:rPr>
      </w:pPr>
      <w:r>
        <w:rPr>
          <w:rFonts w:hint="eastAsia"/>
          <w:sz w:val="24"/>
          <w:szCs w:val="24"/>
          <w:lang w:val="en-US" w:eastAsia="zh-CN"/>
        </w:rPr>
        <w:t>2.</w:t>
      </w:r>
      <w:r>
        <w:rPr>
          <w:sz w:val="24"/>
          <w:szCs w:val="24"/>
        </w:rPr>
        <w:t>检验项目</w:t>
      </w:r>
      <w:r>
        <w:rPr>
          <w:sz w:val="24"/>
          <w:szCs w:val="24"/>
          <w:lang w:val="en-US"/>
        </w:rPr>
        <w:t>管理</w:t>
      </w:r>
      <w:r>
        <w:rPr>
          <w:sz w:val="24"/>
          <w:szCs w:val="24"/>
        </w:rPr>
        <w:t>：</w:t>
      </w:r>
      <w:r>
        <w:rPr>
          <w:sz w:val="24"/>
          <w:szCs w:val="24"/>
          <w:lang w:val="en-US"/>
        </w:rPr>
        <w:t>检验项目管理为科室提供电子化的项目手册，支持 APP、移动端项目查询，支持 ICD11 疾病数据库与项目的关联，支持新项目开通流程体系</w:t>
      </w:r>
      <w:r>
        <w:rPr>
          <w:sz w:val="24"/>
          <w:szCs w:val="24"/>
          <w:lang w:val="en-US"/>
        </w:rPr>
        <w:cr/>
      </w:r>
      <w:r>
        <w:rPr>
          <w:rFonts w:hint="eastAsia"/>
          <w:sz w:val="24"/>
          <w:szCs w:val="24"/>
          <w:lang w:val="en-US" w:eastAsia="zh-CN"/>
        </w:rPr>
        <w:t xml:space="preserve">    </w:t>
      </w:r>
      <w:r>
        <w:rPr>
          <w:sz w:val="24"/>
          <w:szCs w:val="24"/>
        </w:rPr>
        <w:t>（1）提供多种类型检验项目管理功能、并能支持对项目进行组合管理</w:t>
      </w:r>
    </w:p>
    <w:p w14:paraId="45DC40F3">
      <w:pPr>
        <w:spacing w:line="360" w:lineRule="auto"/>
        <w:ind w:firstLine="480" w:firstLineChars="200"/>
        <w:rPr>
          <w:sz w:val="24"/>
          <w:szCs w:val="24"/>
        </w:rPr>
      </w:pPr>
      <w:r>
        <w:rPr>
          <w:sz w:val="24"/>
          <w:szCs w:val="24"/>
        </w:rPr>
        <w:t>（2）支持项目自定义检测样本、报告周期、检测费用管理</w:t>
      </w:r>
    </w:p>
    <w:p w14:paraId="638E818D">
      <w:pPr>
        <w:spacing w:line="360" w:lineRule="auto"/>
        <w:ind w:firstLine="480" w:firstLineChars="200"/>
        <w:rPr>
          <w:sz w:val="24"/>
          <w:szCs w:val="24"/>
        </w:rPr>
      </w:pPr>
      <w:r>
        <w:rPr>
          <w:sz w:val="24"/>
          <w:szCs w:val="24"/>
        </w:rPr>
        <w:t>（3）提供各类型人员（科室人员、临床医生、患者等）便于查询检验项目信息的便捷轻应用（微信、QQ、浏览器等）</w:t>
      </w:r>
    </w:p>
    <w:p w14:paraId="546901AD">
      <w:pPr>
        <w:spacing w:line="360" w:lineRule="auto"/>
        <w:ind w:firstLine="480" w:firstLineChars="200"/>
        <w:rPr>
          <w:sz w:val="24"/>
          <w:szCs w:val="24"/>
        </w:rPr>
      </w:pPr>
      <w:r>
        <w:rPr>
          <w:rFonts w:hint="eastAsia"/>
          <w:sz w:val="24"/>
          <w:szCs w:val="24"/>
          <w:lang w:val="en-US" w:eastAsia="zh-CN"/>
        </w:rPr>
        <w:t>3.</w:t>
      </w:r>
      <w:r>
        <w:rPr>
          <w:sz w:val="24"/>
          <w:szCs w:val="24"/>
        </w:rPr>
        <w:t>文</w:t>
      </w:r>
      <w:r>
        <w:rPr>
          <w:sz w:val="24"/>
          <w:szCs w:val="24"/>
          <w:lang w:val="en-US"/>
        </w:rPr>
        <w:t>件</w:t>
      </w:r>
      <w:r>
        <w:rPr>
          <w:sz w:val="24"/>
          <w:szCs w:val="24"/>
        </w:rPr>
        <w:t>管理：</w:t>
      </w:r>
      <w:r>
        <w:rPr>
          <w:sz w:val="24"/>
          <w:szCs w:val="24"/>
          <w:lang w:val="en-US"/>
        </w:rPr>
        <w:t>按照实验室认可规范进行质量体系文档的创建、审核、批准及版本控制功能，支持移动端搜索、查询及审核、批准、人工智能提取前后修改差别内容，支持文档全内容关键字搜索，各类行业最新标准指南自动下载并归档，批量生成 PDF 和打印。</w:t>
      </w:r>
    </w:p>
    <w:p w14:paraId="6778C903">
      <w:pPr>
        <w:spacing w:line="360" w:lineRule="auto"/>
        <w:ind w:firstLine="480" w:firstLineChars="200"/>
        <w:rPr>
          <w:sz w:val="24"/>
          <w:szCs w:val="24"/>
        </w:rPr>
      </w:pPr>
      <w:r>
        <w:rPr>
          <w:sz w:val="24"/>
          <w:szCs w:val="24"/>
        </w:rPr>
        <w:t>（1）文件管理流程引擎（新建、修订、审核、批准、发布、借阅、废止等）符合ISO15189规范要求</w:t>
      </w:r>
    </w:p>
    <w:p w14:paraId="516AC5F9">
      <w:pPr>
        <w:spacing w:line="360" w:lineRule="auto"/>
        <w:ind w:firstLine="480" w:firstLineChars="200"/>
        <w:rPr>
          <w:sz w:val="24"/>
          <w:szCs w:val="24"/>
        </w:rPr>
      </w:pPr>
      <w:r>
        <w:rPr>
          <w:sz w:val="24"/>
          <w:szCs w:val="24"/>
        </w:rPr>
        <w:t>（2）提供先进的在线编辑器，支持全文索引搜索</w:t>
      </w:r>
    </w:p>
    <w:p w14:paraId="60E67C8D">
      <w:p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rPr>
        <w:t>文件智能版本对比系统，并自动生成更新前后内容，无需再人工对比文件版本差异</w:t>
      </w:r>
    </w:p>
    <w:p w14:paraId="4EB777D2">
      <w:pPr>
        <w:spacing w:line="360" w:lineRule="auto"/>
        <w:ind w:firstLine="480" w:firstLineChars="200"/>
        <w:rPr>
          <w:sz w:val="24"/>
          <w:szCs w:val="24"/>
        </w:rPr>
      </w:pPr>
      <w:r>
        <w:rPr>
          <w:sz w:val="24"/>
          <w:szCs w:val="24"/>
        </w:rPr>
        <w:t>（</w:t>
      </w:r>
      <w:r>
        <w:rPr>
          <w:rFonts w:hint="eastAsia"/>
          <w:sz w:val="24"/>
          <w:szCs w:val="24"/>
          <w:lang w:val="en-US" w:eastAsia="zh-CN"/>
        </w:rPr>
        <w:t>4</w:t>
      </w:r>
      <w:r>
        <w:rPr>
          <w:sz w:val="24"/>
          <w:szCs w:val="24"/>
        </w:rPr>
        <w:t>）支持文件编制、传阅、控制等综合图表数据分析</w:t>
      </w:r>
    </w:p>
    <w:p w14:paraId="04F39168">
      <w:pPr>
        <w:spacing w:line="360" w:lineRule="auto"/>
        <w:ind w:firstLine="480" w:firstLineChars="200"/>
        <w:rPr>
          <w:sz w:val="24"/>
          <w:szCs w:val="24"/>
        </w:rPr>
      </w:pPr>
      <w:r>
        <w:rPr>
          <w:sz w:val="24"/>
          <w:szCs w:val="24"/>
        </w:rPr>
        <w:t>（</w:t>
      </w:r>
      <w:r>
        <w:rPr>
          <w:rFonts w:hint="eastAsia"/>
          <w:sz w:val="24"/>
          <w:szCs w:val="24"/>
          <w:lang w:val="en-US" w:eastAsia="zh-CN"/>
        </w:rPr>
        <w:t>5</w:t>
      </w:r>
      <w:r>
        <w:rPr>
          <w:sz w:val="24"/>
          <w:szCs w:val="24"/>
        </w:rPr>
        <w:t>）支持移动端文件查阅功能</w:t>
      </w:r>
    </w:p>
    <w:p w14:paraId="6CFB9606">
      <w:pPr>
        <w:spacing w:line="360" w:lineRule="auto"/>
        <w:ind w:firstLine="480" w:firstLineChars="200"/>
        <w:rPr>
          <w:sz w:val="24"/>
          <w:szCs w:val="24"/>
        </w:rPr>
      </w:pPr>
      <w:r>
        <w:rPr>
          <w:rFonts w:hint="eastAsia"/>
          <w:sz w:val="24"/>
          <w:szCs w:val="24"/>
          <w:lang w:val="en-US" w:eastAsia="zh-CN"/>
        </w:rPr>
        <w:t>4.</w:t>
      </w:r>
      <w:r>
        <w:rPr>
          <w:sz w:val="24"/>
          <w:szCs w:val="24"/>
          <w:lang w:val="en-US"/>
        </w:rPr>
        <w:t>试剂耗材</w:t>
      </w:r>
      <w:r>
        <w:rPr>
          <w:sz w:val="24"/>
          <w:szCs w:val="24"/>
        </w:rPr>
        <w:t>管理：</w:t>
      </w:r>
      <w:r>
        <w:rPr>
          <w:sz w:val="24"/>
          <w:szCs w:val="24"/>
          <w:lang w:val="en-US"/>
        </w:rPr>
        <w:t>实现试剂耗材的全流程信息化管理和可视化仓储管理，支持试剂耗材使用情况数据分析和试剂耗材成本占比分析，支持全流程扫码功能，支持自配试剂全流程管理，支持效期、库存、配送周期报警，支持产品注册信息自助更新，支持试剂开瓶使用记录。</w:t>
      </w:r>
      <w:r>
        <w:rPr>
          <w:sz w:val="24"/>
          <w:szCs w:val="24"/>
          <w:lang w:val="en-US"/>
        </w:rPr>
        <w:cr/>
      </w:r>
      <w:r>
        <w:rPr>
          <w:rFonts w:hint="eastAsia"/>
          <w:sz w:val="24"/>
          <w:szCs w:val="24"/>
          <w:lang w:val="en-US" w:eastAsia="zh-CN"/>
        </w:rPr>
        <w:t xml:space="preserve">    </w:t>
      </w:r>
      <w:r>
        <w:rPr>
          <w:sz w:val="24"/>
          <w:szCs w:val="24"/>
        </w:rPr>
        <w:t>（1）提供物资全生命周期管理（计划、申购、入库、出库、使用、更新、停用）</w:t>
      </w:r>
    </w:p>
    <w:p w14:paraId="2C3679C5">
      <w:pPr>
        <w:spacing w:line="360" w:lineRule="auto"/>
        <w:ind w:firstLine="480" w:firstLineChars="200"/>
        <w:rPr>
          <w:sz w:val="24"/>
          <w:szCs w:val="24"/>
        </w:rPr>
      </w:pPr>
      <w:r>
        <w:rPr>
          <w:sz w:val="24"/>
          <w:szCs w:val="24"/>
        </w:rPr>
        <w:t>（2）提供库存报警提醒功能（效期、超限等），并支持对过期物资执行报损流程</w:t>
      </w:r>
    </w:p>
    <w:p w14:paraId="39A1ACCB">
      <w:pPr>
        <w:spacing w:line="360" w:lineRule="auto"/>
        <w:ind w:firstLine="480" w:firstLineChars="200"/>
        <w:rPr>
          <w:sz w:val="24"/>
          <w:szCs w:val="24"/>
        </w:rPr>
      </w:pPr>
      <w:r>
        <w:rPr>
          <w:sz w:val="24"/>
          <w:szCs w:val="24"/>
        </w:rPr>
        <w:t>（3）提供各类物资（申领、入库、出库、使用、部门等）综合图表智能分析、提供统计报表分析</w:t>
      </w:r>
    </w:p>
    <w:p w14:paraId="4EB35137">
      <w:pPr>
        <w:numPr>
          <w:ilvl w:val="0"/>
          <w:numId w:val="0"/>
        </w:num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rPr>
        <w:t>提供符合ISO15189要求的厂商评价功能并形成信息化评价记录</w:t>
      </w:r>
    </w:p>
    <w:p w14:paraId="6A96ACDC">
      <w:pPr>
        <w:spacing w:line="360" w:lineRule="auto"/>
        <w:ind w:firstLine="480" w:firstLineChars="200"/>
        <w:rPr>
          <w:sz w:val="24"/>
          <w:szCs w:val="24"/>
        </w:rPr>
      </w:pPr>
      <w:r>
        <w:rPr>
          <w:sz w:val="24"/>
          <w:szCs w:val="24"/>
        </w:rPr>
        <w:t>（</w:t>
      </w:r>
      <w:r>
        <w:rPr>
          <w:rFonts w:hint="eastAsia"/>
          <w:sz w:val="24"/>
          <w:szCs w:val="24"/>
          <w:lang w:val="en-US" w:eastAsia="zh-CN"/>
        </w:rPr>
        <w:t>5</w:t>
      </w:r>
      <w:r>
        <w:rPr>
          <w:sz w:val="24"/>
          <w:szCs w:val="24"/>
        </w:rPr>
        <w:t>）支持移动端扫码功能（入库、出库、使用）</w:t>
      </w:r>
    </w:p>
    <w:p w14:paraId="24606C85">
      <w:pPr>
        <w:numPr>
          <w:ilvl w:val="0"/>
          <w:numId w:val="0"/>
        </w:num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6</w:t>
      </w:r>
      <w:r>
        <w:rPr>
          <w:rFonts w:hint="eastAsia"/>
          <w:sz w:val="24"/>
          <w:szCs w:val="24"/>
          <w:lang w:eastAsia="zh-CN"/>
        </w:rPr>
        <w:t>）</w:t>
      </w:r>
      <w:r>
        <w:rPr>
          <w:rFonts w:hint="eastAsia"/>
          <w:sz w:val="24"/>
          <w:szCs w:val="24"/>
        </w:rPr>
        <w:t>支持物资借用流程管理（借入、借出），并能执行物资管理流程（入库、出库）</w:t>
      </w:r>
    </w:p>
    <w:p w14:paraId="49FFE623">
      <w:pPr>
        <w:spacing w:line="360" w:lineRule="auto"/>
        <w:ind w:firstLine="480" w:firstLineChars="200"/>
        <w:rPr>
          <w:sz w:val="24"/>
          <w:szCs w:val="24"/>
        </w:rPr>
      </w:pPr>
      <w:r>
        <w:rPr>
          <w:rFonts w:hint="eastAsia"/>
          <w:sz w:val="24"/>
          <w:szCs w:val="24"/>
          <w:lang w:val="en-US" w:eastAsia="zh-CN"/>
        </w:rPr>
        <w:t>5.</w:t>
      </w:r>
      <w:r>
        <w:rPr>
          <w:sz w:val="24"/>
          <w:szCs w:val="24"/>
        </w:rPr>
        <w:t>设备管理：</w:t>
      </w:r>
      <w:r>
        <w:rPr>
          <w:sz w:val="24"/>
          <w:szCs w:val="24"/>
          <w:lang w:val="en-US"/>
        </w:rPr>
        <w:t>设备申购、档案、维护保养、报修、报废等全生命周期管理功能，自定义维护保养程序，设备故障智能化报修及维修评价，设备折旧自动核算。</w:t>
      </w:r>
      <w:r>
        <w:rPr>
          <w:sz w:val="24"/>
          <w:szCs w:val="24"/>
          <w:lang w:val="en-US"/>
        </w:rPr>
        <w:cr/>
      </w:r>
      <w:r>
        <w:rPr>
          <w:rFonts w:hint="eastAsia"/>
          <w:sz w:val="24"/>
          <w:szCs w:val="24"/>
          <w:lang w:val="en-US" w:eastAsia="zh-CN"/>
        </w:rPr>
        <w:t xml:space="preserve">    </w:t>
      </w:r>
      <w:r>
        <w:rPr>
          <w:sz w:val="24"/>
          <w:szCs w:val="24"/>
        </w:rPr>
        <w:t>（1）支持符合ISO15189认可体系要求的设备全生命周期（申购、建档、使用、维保、维修、报废等）信息化管理</w:t>
      </w:r>
    </w:p>
    <w:p w14:paraId="1966CDFF">
      <w:pPr>
        <w:numPr>
          <w:ilvl w:val="0"/>
          <w:numId w:val="0"/>
        </w:numPr>
        <w:spacing w:line="360" w:lineRule="auto"/>
        <w:ind w:firstLine="480" w:firstLineChars="200"/>
        <w:rPr>
          <w:rFonts w:hint="eastAsia"/>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支持自定义维保程序并提供移动端扫码维保功能</w:t>
      </w:r>
    </w:p>
    <w:p w14:paraId="507282E4">
      <w:pPr>
        <w:numPr>
          <w:ilvl w:val="0"/>
          <w:numId w:val="0"/>
        </w:num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rPr>
        <w:t>支持通过移动端扫码报修并实现报修、维修记录、评价、必要的性能验证全流程信息化</w:t>
      </w:r>
    </w:p>
    <w:p w14:paraId="364AA792">
      <w:pPr>
        <w:spacing w:line="360" w:lineRule="auto"/>
        <w:ind w:firstLine="480" w:firstLineChars="200"/>
        <w:rPr>
          <w:sz w:val="24"/>
          <w:szCs w:val="24"/>
        </w:rPr>
      </w:pPr>
      <w:r>
        <w:rPr>
          <w:sz w:val="24"/>
          <w:szCs w:val="24"/>
        </w:rPr>
        <w:t>（</w:t>
      </w:r>
      <w:r>
        <w:rPr>
          <w:rFonts w:hint="eastAsia"/>
          <w:sz w:val="24"/>
          <w:szCs w:val="24"/>
          <w:lang w:val="en-US" w:eastAsia="zh-CN"/>
        </w:rPr>
        <w:t>4</w:t>
      </w:r>
      <w:r>
        <w:rPr>
          <w:sz w:val="24"/>
          <w:szCs w:val="24"/>
        </w:rPr>
        <w:t>）支持设备使用、故障、效益综合智能数据分析</w:t>
      </w:r>
    </w:p>
    <w:p w14:paraId="4BABFEF6">
      <w:pPr>
        <w:rPr>
          <w:rFonts w:hint="eastAsia"/>
          <w:color w:val="auto"/>
          <w:highlight w:val="none"/>
          <w:lang w:val="en-US" w:eastAsia="zh-CN"/>
        </w:rPr>
      </w:pPr>
    </w:p>
    <w:p w14:paraId="586780D7">
      <w:pPr>
        <w:bidi w:val="0"/>
        <w:rPr>
          <w:rFonts w:hint="eastAsia"/>
          <w:color w:val="auto"/>
          <w:highlight w:val="none"/>
        </w:rPr>
      </w:pPr>
    </w:p>
    <w:p w14:paraId="5A30BB98">
      <w:pPr>
        <w:numPr>
          <w:ilvl w:val="0"/>
          <w:numId w:val="0"/>
        </w:numPr>
        <w:bidi w:val="0"/>
        <w:jc w:val="both"/>
        <w:rPr>
          <w:rFonts w:hint="eastAsia"/>
          <w:b/>
          <w:bCs/>
          <w:color w:val="auto"/>
          <w:sz w:val="28"/>
          <w:szCs w:val="28"/>
          <w:highlight w:val="none"/>
          <w:lang w:val="en-US" w:eastAsia="zh-CN"/>
        </w:rPr>
      </w:pPr>
    </w:p>
    <w:p w14:paraId="7EEC7336">
      <w:pPr>
        <w:numPr>
          <w:ilvl w:val="0"/>
          <w:numId w:val="0"/>
        </w:numPr>
        <w:bidi w:val="0"/>
        <w:jc w:val="both"/>
        <w:rPr>
          <w:rFonts w:hint="eastAsia"/>
          <w:b/>
          <w:bCs/>
          <w:color w:val="auto"/>
          <w:sz w:val="28"/>
          <w:szCs w:val="28"/>
          <w:highlight w:val="none"/>
          <w:lang w:val="en-US" w:eastAsia="zh-CN"/>
        </w:rPr>
      </w:pPr>
    </w:p>
    <w:p w14:paraId="600B2B0C">
      <w:pPr>
        <w:numPr>
          <w:ilvl w:val="0"/>
          <w:numId w:val="0"/>
        </w:numPr>
        <w:bidi w:val="0"/>
        <w:jc w:val="both"/>
        <w:rPr>
          <w:rFonts w:hint="eastAsia"/>
          <w:b/>
          <w:bCs/>
          <w:color w:val="auto"/>
          <w:sz w:val="28"/>
          <w:szCs w:val="28"/>
          <w:highlight w:val="none"/>
          <w:lang w:val="en-US" w:eastAsia="zh-CN"/>
        </w:rPr>
      </w:pPr>
    </w:p>
    <w:p w14:paraId="5069C4CF">
      <w:pPr>
        <w:numPr>
          <w:ilvl w:val="0"/>
          <w:numId w:val="0"/>
        </w:numPr>
        <w:bidi w:val="0"/>
        <w:jc w:val="both"/>
        <w:rPr>
          <w:rFonts w:hint="eastAsia"/>
          <w:b/>
          <w:bCs/>
          <w:color w:val="auto"/>
          <w:sz w:val="28"/>
          <w:szCs w:val="28"/>
          <w:highlight w:val="none"/>
          <w:lang w:val="en-US" w:eastAsia="zh-CN"/>
        </w:rPr>
      </w:pPr>
    </w:p>
    <w:p w14:paraId="6C772D6E">
      <w:pPr>
        <w:numPr>
          <w:ilvl w:val="0"/>
          <w:numId w:val="0"/>
        </w:numPr>
        <w:bidi w:val="0"/>
        <w:jc w:val="both"/>
        <w:rPr>
          <w:rFonts w:hint="eastAsia"/>
          <w:b/>
          <w:bCs/>
          <w:color w:val="auto"/>
          <w:sz w:val="28"/>
          <w:szCs w:val="28"/>
          <w:highlight w:val="none"/>
          <w:lang w:val="en-US" w:eastAsia="zh-CN"/>
        </w:rPr>
      </w:pPr>
    </w:p>
    <w:p w14:paraId="74295B78">
      <w:pPr>
        <w:rPr>
          <w:rFonts w:hint="eastAsia"/>
          <w:color w:val="auto"/>
          <w:sz w:val="32"/>
          <w:szCs w:val="32"/>
          <w:highlight w:val="none"/>
        </w:rPr>
        <w:sectPr>
          <w:footerReference r:id="rId12" w:type="first"/>
          <w:headerReference r:id="rId10" w:type="default"/>
          <w:footerReference r:id="rId11" w:type="default"/>
          <w:footnotePr>
            <w:pos w:val="beneathText"/>
          </w:footnotePr>
          <w:pgSz w:w="11906" w:h="16838"/>
          <w:pgMar w:top="1701" w:right="1417" w:bottom="1701" w:left="1417" w:header="1091" w:footer="992" w:gutter="0"/>
          <w:pgNumType w:fmt="decimal"/>
          <w:cols w:space="720" w:num="1"/>
          <w:titlePg/>
          <w:rtlGutter w:val="0"/>
          <w:docGrid w:type="lines" w:linePitch="312" w:charSpace="0"/>
        </w:sectPr>
      </w:pPr>
    </w:p>
    <w:p w14:paraId="3C17C8F4">
      <w:pPr>
        <w:pStyle w:val="2"/>
        <w:bidi w:val="0"/>
        <w:jc w:val="center"/>
        <w:rPr>
          <w:color w:val="auto"/>
          <w:szCs w:val="32"/>
          <w:highlight w:val="none"/>
        </w:rPr>
      </w:pPr>
      <w:bookmarkStart w:id="411" w:name="_Toc22811"/>
      <w:r>
        <w:rPr>
          <w:rFonts w:hint="eastAsia"/>
          <w:color w:val="auto"/>
          <w:sz w:val="32"/>
          <w:szCs w:val="32"/>
          <w:highlight w:val="none"/>
        </w:rPr>
        <w:t>第</w:t>
      </w:r>
      <w:r>
        <w:rPr>
          <w:rFonts w:hint="eastAsia"/>
          <w:color w:val="auto"/>
          <w:sz w:val="32"/>
          <w:szCs w:val="32"/>
          <w:highlight w:val="none"/>
          <w:lang w:eastAsia="zh-CN"/>
        </w:rPr>
        <w:t>五</w:t>
      </w:r>
      <w:r>
        <w:rPr>
          <w:rFonts w:hint="eastAsia"/>
          <w:color w:val="auto"/>
          <w:sz w:val="32"/>
          <w:szCs w:val="32"/>
          <w:highlight w:val="none"/>
        </w:rPr>
        <w:t>部分   商务要求</w:t>
      </w:r>
      <w:bookmarkEnd w:id="411"/>
    </w:p>
    <w:p w14:paraId="748AD1C4">
      <w:pPr>
        <w:pageBreakBefore w:val="0"/>
        <w:widowControl w:val="0"/>
        <w:kinsoku/>
        <w:wordWrap/>
        <w:overflowPunct/>
        <w:topLinePunct w:val="0"/>
        <w:autoSpaceDE/>
        <w:autoSpaceDN/>
        <w:bidi w:val="0"/>
        <w:adjustRightInd/>
        <w:snapToGrid/>
        <w:spacing w:line="360" w:lineRule="auto"/>
        <w:ind w:firstLine="448" w:firstLineChars="186"/>
        <w:textAlignment w:val="auto"/>
        <w:rPr>
          <w:rFonts w:hint="eastAsia" w:ascii="宋体" w:hAnsi="宋体" w:eastAsia="宋体" w:cs="宋体"/>
          <w:b w:val="0"/>
          <w:bCs w:val="0"/>
          <w:color w:val="auto"/>
          <w:sz w:val="24"/>
          <w:highlight w:val="none"/>
          <w:lang w:eastAsia="zh-CN"/>
        </w:rPr>
      </w:pPr>
      <w:bookmarkStart w:id="412" w:name="_Toc31946"/>
      <w:r>
        <w:rPr>
          <w:rFonts w:hint="eastAsia" w:ascii="宋体" w:hAnsi="宋体" w:eastAsia="宋体" w:cs="宋体"/>
          <w:b/>
          <w:bCs/>
          <w:color w:val="auto"/>
          <w:sz w:val="24"/>
          <w:highlight w:val="none"/>
        </w:rPr>
        <w:t>一、</w:t>
      </w:r>
      <w:r>
        <w:rPr>
          <w:rFonts w:hint="eastAsia" w:ascii="宋体" w:hAnsi="宋体" w:eastAsia="宋体" w:cs="宋体"/>
          <w:b/>
          <w:bCs/>
          <w:color w:val="auto"/>
          <w:sz w:val="24"/>
          <w:szCs w:val="24"/>
          <w:highlight w:val="none"/>
          <w:lang w:val="en-US" w:eastAsia="zh-CN"/>
        </w:rPr>
        <w:t>交货期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15天</w:t>
      </w:r>
      <w:r>
        <w:rPr>
          <w:rFonts w:hint="eastAsia" w:ascii="宋体" w:hAnsi="宋体" w:eastAsia="宋体" w:cs="宋体"/>
          <w:b w:val="0"/>
          <w:bCs w:val="0"/>
          <w:color w:val="auto"/>
          <w:sz w:val="24"/>
          <w:highlight w:val="none"/>
          <w:lang w:val="en-US" w:eastAsia="zh-CN"/>
        </w:rPr>
        <w:t>。</w:t>
      </w:r>
    </w:p>
    <w:p w14:paraId="6ABFB5F5">
      <w:pPr>
        <w:spacing w:line="360" w:lineRule="auto"/>
        <w:ind w:firstLine="482" w:firstLineChars="200"/>
        <w:rPr>
          <w:rFonts w:hint="eastAsia" w:ascii="宋体" w:hAnsi="宋体"/>
          <w:color w:val="auto"/>
          <w:sz w:val="24"/>
          <w:highlight w:val="none"/>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lang w:val="en-US" w:eastAsia="zh-CN"/>
        </w:rPr>
        <w:t>质保期</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3年</w:t>
      </w:r>
      <w:r>
        <w:rPr>
          <w:rFonts w:hint="eastAsia" w:ascii="宋体" w:hAnsi="宋体" w:eastAsia="宋体" w:cs="宋体"/>
          <w:color w:val="auto"/>
          <w:sz w:val="24"/>
          <w:szCs w:val="24"/>
          <w:highlight w:val="none"/>
          <w:lang w:val="en-US" w:eastAsia="zh-CN"/>
        </w:rPr>
        <w:t>。</w:t>
      </w:r>
    </w:p>
    <w:p w14:paraId="5F63B1AC">
      <w:pPr>
        <w:pStyle w:val="8"/>
        <w:ind w:firstLine="482" w:firstLineChars="200"/>
        <w:rPr>
          <w:rFonts w:hint="eastAsia" w:eastAsia="宋体"/>
          <w:b/>
          <w:bCs/>
          <w:color w:val="auto"/>
          <w:highlight w:val="none"/>
          <w:lang w:val="en-US" w:eastAsia="zh-CN"/>
        </w:rPr>
      </w:pPr>
      <w:r>
        <w:rPr>
          <w:rFonts w:hint="eastAsia" w:ascii="宋体" w:hAnsi="宋体"/>
          <w:b/>
          <w:bCs/>
          <w:color w:val="auto"/>
          <w:sz w:val="24"/>
          <w:highlight w:val="none"/>
          <w:lang w:val="en-US" w:eastAsia="zh-CN"/>
        </w:rPr>
        <w:t>三、交货并安装调试地点</w:t>
      </w:r>
      <w:r>
        <w:rPr>
          <w:rFonts w:hint="eastAsia" w:ascii="宋体" w:hAnsi="宋体"/>
          <w:color w:val="auto"/>
          <w:sz w:val="24"/>
          <w:highlight w:val="none"/>
          <w:lang w:val="en-US" w:eastAsia="zh-CN"/>
        </w:rPr>
        <w:t>：采购人指定地点。</w:t>
      </w:r>
    </w:p>
    <w:bookmarkEnd w:id="412"/>
    <w:p w14:paraId="01045F97">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四</w:t>
      </w:r>
      <w:r>
        <w:rPr>
          <w:rFonts w:hint="eastAsia" w:ascii="宋体" w:hAnsi="宋体" w:cs="宋体"/>
          <w:b/>
          <w:bCs/>
          <w:color w:val="auto"/>
          <w:sz w:val="24"/>
          <w:szCs w:val="24"/>
          <w:highlight w:val="none"/>
        </w:rPr>
        <w:t>、合同价款</w:t>
      </w:r>
    </w:p>
    <w:p w14:paraId="1ABC4C88">
      <w:pPr>
        <w:keepNext w:val="0"/>
        <w:keepLines w:val="0"/>
        <w:pageBreakBefore w:val="0"/>
        <w:widowControl w:val="0"/>
        <w:kinsoku/>
        <w:wordWrap/>
        <w:overflowPunct/>
        <w:topLinePunct w:val="0"/>
        <w:autoSpaceDE/>
        <w:autoSpaceDN/>
        <w:bidi w:val="0"/>
        <w:spacing w:line="360" w:lineRule="auto"/>
        <w:ind w:firstLine="240" w:firstLineChars="100"/>
        <w:textAlignment w:val="auto"/>
        <w:rPr>
          <w:rFonts w:hint="eastAsia" w:ascii="宋体" w:hAnsi="宋体" w:cs="宋体"/>
          <w:color w:val="auto"/>
          <w:sz w:val="24"/>
          <w:szCs w:val="24"/>
          <w:highlight w:val="none"/>
        </w:rPr>
      </w:pPr>
      <w:r>
        <w:rPr>
          <w:rFonts w:hint="eastAsia" w:ascii="宋体" w:hAnsi="宋体" w:eastAsia="宋体" w:cs="宋体"/>
          <w:color w:val="auto"/>
          <w:sz w:val="24"/>
          <w:szCs w:val="22"/>
          <w:highlight w:val="none"/>
          <w:lang w:eastAsia="zh-CN"/>
        </w:rPr>
        <w:t>（一）合合同价即成交价，供应商</w:t>
      </w:r>
      <w:r>
        <w:rPr>
          <w:rFonts w:hint="eastAsia" w:ascii="宋体" w:hAnsi="宋体" w:eastAsia="宋体" w:cs="宋体"/>
          <w:color w:val="auto"/>
          <w:sz w:val="24"/>
          <w:szCs w:val="22"/>
          <w:highlight w:val="none"/>
          <w:lang w:val="en-US" w:eastAsia="zh-CN"/>
        </w:rPr>
        <w:t>的报价</w:t>
      </w:r>
      <w:r>
        <w:rPr>
          <w:rFonts w:hint="eastAsia" w:ascii="宋体" w:hAnsi="宋体" w:eastAsia="宋体" w:cs="宋体"/>
          <w:color w:val="auto"/>
          <w:sz w:val="24"/>
          <w:szCs w:val="22"/>
          <w:highlight w:val="none"/>
          <w:lang w:eastAsia="zh-CN"/>
        </w:rPr>
        <w:t>完成本次谈判所要求的服务所有费用。任何有选择的报价将不予接受，按无效投标处理。</w:t>
      </w:r>
    </w:p>
    <w:p w14:paraId="03F38898">
      <w:pPr>
        <w:keepNext w:val="0"/>
        <w:keepLines w:val="0"/>
        <w:pageBreakBefore w:val="0"/>
        <w:widowControl w:val="0"/>
        <w:kinsoku/>
        <w:wordWrap/>
        <w:overflowPunct/>
        <w:topLinePunct w:val="0"/>
        <w:autoSpaceDE/>
        <w:autoSpaceDN/>
        <w:bidi w:val="0"/>
        <w:spacing w:line="360" w:lineRule="auto"/>
        <w:ind w:firstLine="240" w:firstLineChars="1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合同总价一次包死，不受市场价变化的影响</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不受实际工作量变化的影响</w:t>
      </w:r>
      <w:r>
        <w:rPr>
          <w:rFonts w:hint="eastAsia" w:ascii="宋体" w:hAnsi="宋体" w:cs="宋体"/>
          <w:color w:val="auto"/>
          <w:sz w:val="24"/>
          <w:szCs w:val="24"/>
          <w:highlight w:val="none"/>
        </w:rPr>
        <w:t>。</w:t>
      </w:r>
    </w:p>
    <w:p w14:paraId="28D7C9E3">
      <w:pPr>
        <w:keepNext w:val="0"/>
        <w:keepLines w:val="0"/>
        <w:pageBreakBefore w:val="0"/>
        <w:widowControl w:val="0"/>
        <w:kinsoku/>
        <w:wordWrap/>
        <w:overflowPunct/>
        <w:topLinePunct w:val="0"/>
        <w:autoSpaceDE/>
        <w:autoSpaceDN/>
        <w:bidi w:val="0"/>
        <w:spacing w:line="360" w:lineRule="auto"/>
        <w:ind w:firstLine="241" w:firstLineChars="100"/>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、款项结算</w:t>
      </w:r>
    </w:p>
    <w:p w14:paraId="26157C7C">
      <w:pPr>
        <w:numPr>
          <w:ilvl w:val="0"/>
          <w:numId w:val="0"/>
        </w:numPr>
        <w:spacing w:line="360" w:lineRule="auto"/>
        <w:ind w:firstLine="240" w:firstLineChars="1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（一）付款方式：</w:t>
      </w:r>
      <w:r>
        <w:rPr>
          <w:rFonts w:hint="eastAsia" w:hAnsi="宋体" w:cs="Times New Roman"/>
          <w:color w:val="auto"/>
          <w:sz w:val="24"/>
          <w:lang w:val="en-US" w:eastAsia="zh-CN"/>
        </w:rPr>
        <w:t>合同签订后支付合同价款的35%，货物到达后支付合同价款的35%，验收合格后支付合同价款的30%。</w:t>
      </w:r>
    </w:p>
    <w:p w14:paraId="1566E1AD">
      <w:pPr>
        <w:keepNext w:val="0"/>
        <w:keepLines w:val="0"/>
        <w:pageBreakBefore w:val="0"/>
        <w:widowControl w:val="0"/>
        <w:kinsoku/>
        <w:wordWrap/>
        <w:overflowPunct/>
        <w:topLinePunct w:val="0"/>
        <w:autoSpaceDE/>
        <w:autoSpaceDN/>
        <w:bidi w:val="0"/>
        <w:spacing w:line="360" w:lineRule="auto"/>
        <w:ind w:firstLine="240" w:firstLineChars="1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（二）结算方式：</w:t>
      </w:r>
      <w:r>
        <w:rPr>
          <w:rFonts w:hint="eastAsia" w:ascii="宋体" w:hAnsi="宋体" w:cs="宋体"/>
          <w:color w:val="auto"/>
          <w:sz w:val="24"/>
          <w:highlight w:val="none"/>
        </w:rPr>
        <w:t>采购人结算，</w:t>
      </w:r>
      <w:r>
        <w:rPr>
          <w:rFonts w:hint="eastAsia" w:ascii="宋体" w:hAnsi="宋体" w:cs="宋体"/>
          <w:color w:val="auto"/>
          <w:sz w:val="24"/>
          <w:highlight w:val="none"/>
          <w:lang w:eastAsia="zh-CN"/>
        </w:rPr>
        <w:t>成交供应商</w:t>
      </w:r>
      <w:r>
        <w:rPr>
          <w:rFonts w:hint="eastAsia" w:ascii="宋体" w:hAnsi="宋体" w:cs="宋体"/>
          <w:color w:val="auto"/>
          <w:sz w:val="24"/>
          <w:highlight w:val="none"/>
        </w:rPr>
        <w:t>在付款前，必须开具全额（等额）发票给采购人</w:t>
      </w:r>
      <w:r>
        <w:rPr>
          <w:rFonts w:hint="eastAsia" w:ascii="宋体" w:hAnsi="宋体" w:cs="宋体"/>
          <w:color w:val="auto"/>
          <w:sz w:val="24"/>
          <w:szCs w:val="24"/>
          <w:highlight w:val="none"/>
        </w:rPr>
        <w:t>。</w:t>
      </w:r>
    </w:p>
    <w:p w14:paraId="32B11D4D">
      <w:pPr>
        <w:adjustRightInd w:val="0"/>
        <w:snapToGrid w:val="0"/>
        <w:spacing w:line="520" w:lineRule="exact"/>
        <w:ind w:firstLine="482" w:firstLineChars="200"/>
        <w:rPr>
          <w:rFonts w:hAnsi="宋体"/>
          <w:color w:val="auto"/>
          <w:sz w:val="24"/>
          <w:highlight w:val="none"/>
        </w:rPr>
      </w:pPr>
      <w:r>
        <w:rPr>
          <w:rFonts w:hint="eastAsia" w:hAnsi="宋体"/>
          <w:b/>
          <w:color w:val="auto"/>
          <w:sz w:val="24"/>
          <w:highlight w:val="none"/>
          <w:lang w:eastAsia="zh-CN"/>
        </w:rPr>
        <w:t>六</w:t>
      </w:r>
      <w:r>
        <w:rPr>
          <w:rFonts w:hint="eastAsia" w:hAnsi="宋体"/>
          <w:b/>
          <w:color w:val="auto"/>
          <w:sz w:val="24"/>
          <w:highlight w:val="none"/>
        </w:rPr>
        <w:t>、技术服务</w:t>
      </w:r>
      <w:r>
        <w:rPr>
          <w:rFonts w:hint="eastAsia" w:hAnsi="宋体"/>
          <w:color w:val="auto"/>
          <w:sz w:val="24"/>
          <w:highlight w:val="none"/>
        </w:rPr>
        <w:t>：</w:t>
      </w:r>
    </w:p>
    <w:p w14:paraId="209F109F">
      <w:pPr>
        <w:adjustRightInd w:val="0"/>
        <w:snapToGrid w:val="0"/>
        <w:spacing w:line="520" w:lineRule="exact"/>
        <w:ind w:firstLine="480" w:firstLineChars="200"/>
        <w:rPr>
          <w:bCs/>
          <w:color w:val="auto"/>
          <w:sz w:val="24"/>
          <w:highlight w:val="none"/>
          <w:lang w:val="zh-CN"/>
        </w:rPr>
      </w:pPr>
      <w:r>
        <w:rPr>
          <w:color w:val="auto"/>
          <w:sz w:val="24"/>
          <w:highlight w:val="none"/>
        </w:rPr>
        <w:t>1.</w:t>
      </w:r>
      <w:r>
        <w:rPr>
          <w:rFonts w:hint="eastAsia"/>
          <w:bCs/>
          <w:color w:val="auto"/>
          <w:sz w:val="24"/>
          <w:highlight w:val="none"/>
          <w:lang w:val="zh-CN"/>
        </w:rPr>
        <w:t>技术服务总要求</w:t>
      </w:r>
    </w:p>
    <w:p w14:paraId="058A6106">
      <w:pPr>
        <w:spacing w:line="520" w:lineRule="exact"/>
        <w:ind w:firstLine="480" w:firstLineChars="200"/>
        <w:textAlignment w:val="baseline"/>
        <w:rPr>
          <w:color w:val="auto"/>
          <w:sz w:val="24"/>
          <w:highlight w:val="none"/>
        </w:rPr>
      </w:pPr>
      <w:r>
        <w:rPr>
          <w:rFonts w:hint="eastAsia" w:hAnsi="宋体"/>
          <w:color w:val="auto"/>
          <w:sz w:val="24"/>
          <w:highlight w:val="none"/>
          <w:lang w:eastAsia="zh-CN"/>
        </w:rPr>
        <w:t>成交供应商</w:t>
      </w:r>
      <w:r>
        <w:rPr>
          <w:rFonts w:hint="eastAsia" w:hAnsi="宋体"/>
          <w:color w:val="auto"/>
          <w:sz w:val="24"/>
          <w:highlight w:val="none"/>
        </w:rPr>
        <w:t>应</w:t>
      </w:r>
      <w:r>
        <w:rPr>
          <w:rFonts w:hint="eastAsia"/>
          <w:color w:val="auto"/>
          <w:sz w:val="24"/>
          <w:highlight w:val="none"/>
          <w:lang w:val="zh-CN"/>
        </w:rPr>
        <w:t>负责整个产品的供货、运输、安装</w:t>
      </w:r>
      <w:r>
        <w:rPr>
          <w:rFonts w:hint="eastAsia"/>
          <w:color w:val="auto"/>
          <w:sz w:val="24"/>
          <w:highlight w:val="none"/>
          <w:lang w:val="en-US" w:eastAsia="zh-CN"/>
        </w:rPr>
        <w:t>调试</w:t>
      </w:r>
      <w:r>
        <w:rPr>
          <w:rFonts w:hint="eastAsia"/>
          <w:color w:val="auto"/>
          <w:sz w:val="24"/>
          <w:highlight w:val="none"/>
          <w:lang w:val="zh-CN"/>
        </w:rPr>
        <w:t>、验收及后期服务等。</w:t>
      </w:r>
    </w:p>
    <w:p w14:paraId="2CEBE1EE">
      <w:pPr>
        <w:spacing w:line="520" w:lineRule="exact"/>
        <w:ind w:firstLine="480" w:firstLineChars="200"/>
        <w:textAlignment w:val="baseline"/>
        <w:rPr>
          <w:rFonts w:hint="eastAsia" w:eastAsia="宋体"/>
          <w:color w:val="auto"/>
          <w:sz w:val="24"/>
          <w:highlight w:val="none"/>
          <w:lang w:val="en-US" w:eastAsia="zh-CN"/>
        </w:rPr>
      </w:pPr>
      <w:r>
        <w:rPr>
          <w:rFonts w:hint="eastAsia"/>
          <w:color w:val="auto"/>
          <w:sz w:val="24"/>
          <w:highlight w:val="none"/>
          <w:lang w:val="en-US" w:eastAsia="zh-CN"/>
        </w:rPr>
        <w:t>2</w:t>
      </w:r>
      <w:r>
        <w:rPr>
          <w:color w:val="auto"/>
          <w:sz w:val="24"/>
          <w:highlight w:val="none"/>
        </w:rPr>
        <w:t>.</w:t>
      </w:r>
      <w:r>
        <w:rPr>
          <w:rFonts w:hint="eastAsia" w:hAnsi="宋体"/>
          <w:color w:val="auto"/>
          <w:sz w:val="24"/>
          <w:highlight w:val="none"/>
        </w:rPr>
        <w:t>安装</w:t>
      </w:r>
      <w:r>
        <w:rPr>
          <w:rFonts w:hint="eastAsia" w:hAnsi="宋体"/>
          <w:color w:val="auto"/>
          <w:sz w:val="24"/>
          <w:highlight w:val="none"/>
          <w:lang w:val="en-US" w:eastAsia="zh-CN"/>
        </w:rPr>
        <w:t>调试</w:t>
      </w:r>
    </w:p>
    <w:p w14:paraId="76902C23">
      <w:pPr>
        <w:spacing w:line="520" w:lineRule="exact"/>
        <w:ind w:firstLine="480" w:firstLineChars="200"/>
        <w:textAlignment w:val="baseline"/>
        <w:rPr>
          <w:color w:val="auto"/>
          <w:sz w:val="24"/>
          <w:highlight w:val="none"/>
        </w:rPr>
      </w:pPr>
      <w:r>
        <w:rPr>
          <w:rFonts w:hint="eastAsia" w:hAnsi="宋体"/>
          <w:color w:val="auto"/>
          <w:sz w:val="24"/>
          <w:highlight w:val="none"/>
        </w:rPr>
        <w:t>中标单位必须按照合同要求，将货物送到指定地点，派技术人员完成安装</w:t>
      </w:r>
      <w:r>
        <w:rPr>
          <w:rFonts w:hint="eastAsia" w:hAnsi="宋体"/>
          <w:color w:val="auto"/>
          <w:sz w:val="24"/>
          <w:highlight w:val="none"/>
          <w:lang w:val="en-US" w:eastAsia="zh-CN"/>
        </w:rPr>
        <w:t>调试</w:t>
      </w:r>
      <w:r>
        <w:rPr>
          <w:rFonts w:hint="eastAsia" w:hAnsi="宋体"/>
          <w:color w:val="auto"/>
          <w:sz w:val="24"/>
          <w:highlight w:val="none"/>
        </w:rPr>
        <w:t>等任务，并承担由此发生的一切费用，且应在报价文件中做出明确承诺。</w:t>
      </w:r>
    </w:p>
    <w:p w14:paraId="5EC3493A">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3</w:t>
      </w:r>
      <w:r>
        <w:rPr>
          <w:color w:val="auto"/>
          <w:sz w:val="24"/>
          <w:highlight w:val="none"/>
        </w:rPr>
        <w:t>.</w:t>
      </w:r>
      <w:r>
        <w:rPr>
          <w:rFonts w:hint="eastAsia" w:hAnsi="宋体"/>
          <w:color w:val="auto"/>
          <w:sz w:val="24"/>
          <w:highlight w:val="none"/>
        </w:rPr>
        <w:t>质量保证</w:t>
      </w:r>
    </w:p>
    <w:p w14:paraId="15EF2A02">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3</w:t>
      </w:r>
      <w:r>
        <w:rPr>
          <w:color w:val="auto"/>
          <w:sz w:val="24"/>
          <w:highlight w:val="none"/>
        </w:rPr>
        <w:t>.</w:t>
      </w:r>
      <w:r>
        <w:rPr>
          <w:rFonts w:hint="eastAsia"/>
          <w:color w:val="auto"/>
          <w:sz w:val="24"/>
          <w:highlight w:val="none"/>
          <w:lang w:val="en-US" w:eastAsia="zh-CN"/>
        </w:rPr>
        <w:t>1</w:t>
      </w:r>
      <w:r>
        <w:rPr>
          <w:rFonts w:hint="eastAsia" w:hAnsi="宋体"/>
          <w:color w:val="auto"/>
          <w:sz w:val="24"/>
          <w:highlight w:val="none"/>
        </w:rPr>
        <w:t>产品质量保证措施完善，符合国家相关标准。</w:t>
      </w:r>
    </w:p>
    <w:p w14:paraId="1D326C3E">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3</w:t>
      </w:r>
      <w:r>
        <w:rPr>
          <w:color w:val="auto"/>
          <w:sz w:val="24"/>
          <w:highlight w:val="none"/>
        </w:rPr>
        <w:t>.</w:t>
      </w:r>
      <w:r>
        <w:rPr>
          <w:rFonts w:hint="eastAsia"/>
          <w:color w:val="auto"/>
          <w:sz w:val="24"/>
          <w:highlight w:val="none"/>
          <w:lang w:val="en-US" w:eastAsia="zh-CN"/>
        </w:rPr>
        <w:t>2</w:t>
      </w:r>
      <w:r>
        <w:rPr>
          <w:rFonts w:hint="eastAsia" w:hAnsi="宋体"/>
          <w:color w:val="auto"/>
          <w:sz w:val="24"/>
          <w:highlight w:val="none"/>
        </w:rPr>
        <w:t>提供不低于</w:t>
      </w:r>
      <w:r>
        <w:rPr>
          <w:rFonts w:hint="eastAsia"/>
          <w:color w:val="auto"/>
          <w:sz w:val="24"/>
          <w:highlight w:val="none"/>
          <w:lang w:val="en-US" w:eastAsia="zh-CN"/>
        </w:rPr>
        <w:t>1</w:t>
      </w:r>
      <w:r>
        <w:rPr>
          <w:rFonts w:hint="eastAsia" w:hAnsi="宋体"/>
          <w:color w:val="auto"/>
          <w:sz w:val="24"/>
          <w:highlight w:val="none"/>
        </w:rPr>
        <w:t>年（技术参数要求中另有要求的除外）的质保期，质保期从验收合格之日算起，质保期内所有维修均免费（人为因素及不可抗力造成的损毁除外），质保期外只收取零配件成本费用，质保期外重复出现质保期内出现的故障属免费保修范围，质保期内出现的故障在一个月内不能修复的在接到采购人（用户）通知后免费更换同型号的设备，</w:t>
      </w:r>
      <w:r>
        <w:rPr>
          <w:rFonts w:hint="eastAsia" w:hAnsi="宋体"/>
          <w:color w:val="auto"/>
          <w:sz w:val="24"/>
          <w:highlight w:val="none"/>
          <w:lang w:eastAsia="zh-CN"/>
        </w:rPr>
        <w:t>交货期</w:t>
      </w:r>
      <w:r>
        <w:rPr>
          <w:rFonts w:hint="eastAsia" w:hAnsi="宋体"/>
          <w:color w:val="auto"/>
          <w:sz w:val="24"/>
          <w:highlight w:val="none"/>
        </w:rPr>
        <w:t>与投标文件的承诺相同；</w:t>
      </w:r>
    </w:p>
    <w:p w14:paraId="62F4B253">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4</w:t>
      </w:r>
      <w:r>
        <w:rPr>
          <w:color w:val="auto"/>
          <w:sz w:val="24"/>
          <w:highlight w:val="none"/>
        </w:rPr>
        <w:t>.</w:t>
      </w:r>
      <w:r>
        <w:rPr>
          <w:rFonts w:hint="eastAsia" w:hAnsi="宋体"/>
          <w:color w:val="auto"/>
          <w:sz w:val="24"/>
          <w:highlight w:val="none"/>
        </w:rPr>
        <w:t>故障响应</w:t>
      </w:r>
    </w:p>
    <w:p w14:paraId="724C76DE">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4</w:t>
      </w:r>
      <w:r>
        <w:rPr>
          <w:color w:val="auto"/>
          <w:sz w:val="24"/>
          <w:highlight w:val="none"/>
        </w:rPr>
        <w:t>.1</w:t>
      </w:r>
      <w:r>
        <w:rPr>
          <w:rFonts w:hint="eastAsia" w:hAnsi="宋体"/>
          <w:color w:val="auto"/>
          <w:sz w:val="24"/>
          <w:highlight w:val="none"/>
        </w:rPr>
        <w:t>供应商应提供维修点地址、电话、联系人。在接到用户报修电话后，工作日</w:t>
      </w:r>
      <w:r>
        <w:rPr>
          <w:color w:val="auto"/>
          <w:sz w:val="24"/>
          <w:highlight w:val="none"/>
        </w:rPr>
        <w:t>6</w:t>
      </w:r>
      <w:r>
        <w:rPr>
          <w:rFonts w:hint="eastAsia" w:hAnsi="宋体"/>
          <w:color w:val="auto"/>
          <w:sz w:val="24"/>
          <w:highlight w:val="none"/>
        </w:rPr>
        <w:t>小时内赶到现场，节假日</w:t>
      </w:r>
      <w:r>
        <w:rPr>
          <w:color w:val="auto"/>
          <w:sz w:val="24"/>
          <w:highlight w:val="none"/>
        </w:rPr>
        <w:t>24</w:t>
      </w:r>
      <w:r>
        <w:rPr>
          <w:rFonts w:hint="eastAsia" w:hAnsi="宋体"/>
          <w:color w:val="auto"/>
          <w:sz w:val="24"/>
          <w:highlight w:val="none"/>
        </w:rPr>
        <w:t>小时内赶至现场进行维修。否则使用方将自行采取必要的措施，由此产生风险和费用应由卖方承担。</w:t>
      </w:r>
    </w:p>
    <w:p w14:paraId="1C68CFD8">
      <w:pPr>
        <w:spacing w:line="520" w:lineRule="exact"/>
        <w:ind w:firstLine="480" w:firstLineChars="200"/>
        <w:textAlignment w:val="baseline"/>
        <w:rPr>
          <w:color w:val="auto"/>
          <w:sz w:val="24"/>
          <w:highlight w:val="none"/>
        </w:rPr>
      </w:pPr>
      <w:r>
        <w:rPr>
          <w:rFonts w:hint="eastAsia"/>
          <w:color w:val="auto"/>
          <w:sz w:val="24"/>
          <w:highlight w:val="none"/>
          <w:lang w:val="en-US" w:eastAsia="zh-CN"/>
        </w:rPr>
        <w:t>4</w:t>
      </w:r>
      <w:r>
        <w:rPr>
          <w:color w:val="auto"/>
          <w:sz w:val="24"/>
          <w:highlight w:val="none"/>
        </w:rPr>
        <w:t>.2</w:t>
      </w:r>
      <w:r>
        <w:rPr>
          <w:rFonts w:hint="eastAsia" w:hAnsi="宋体"/>
          <w:color w:val="auto"/>
          <w:sz w:val="24"/>
          <w:highlight w:val="none"/>
        </w:rPr>
        <w:t>在保修期内（保修起始日期应为货到验收合格之日起），供应商在接到用户对所购产品进行维修的要求后，应在</w:t>
      </w:r>
      <w:r>
        <w:rPr>
          <w:color w:val="auto"/>
          <w:sz w:val="24"/>
          <w:highlight w:val="none"/>
        </w:rPr>
        <w:t>4</w:t>
      </w:r>
      <w:r>
        <w:rPr>
          <w:rFonts w:hint="eastAsia" w:hAnsi="宋体"/>
          <w:color w:val="auto"/>
          <w:sz w:val="24"/>
          <w:highlight w:val="none"/>
        </w:rPr>
        <w:t>小时内给予答复，并派出合格的维修人员在一个工作日内到用户现场进行维修服务，全部费用由卖方支付，若需将产品送回生产厂，卖方还应支付维修产品所需的往返费用。</w:t>
      </w:r>
    </w:p>
    <w:p w14:paraId="790A155F">
      <w:pPr>
        <w:tabs>
          <w:tab w:val="left" w:pos="2520"/>
        </w:tabs>
        <w:adjustRightInd w:val="0"/>
        <w:snapToGrid w:val="0"/>
        <w:spacing w:line="520" w:lineRule="exact"/>
        <w:ind w:firstLine="480" w:firstLineChars="200"/>
        <w:rPr>
          <w:color w:val="auto"/>
          <w:sz w:val="24"/>
          <w:highlight w:val="none"/>
        </w:rPr>
      </w:pPr>
      <w:r>
        <w:rPr>
          <w:rFonts w:hint="eastAsia"/>
          <w:color w:val="auto"/>
          <w:sz w:val="24"/>
          <w:highlight w:val="none"/>
          <w:lang w:val="en-US" w:eastAsia="zh-CN"/>
        </w:rPr>
        <w:t>5</w:t>
      </w:r>
      <w:r>
        <w:rPr>
          <w:color w:val="auto"/>
          <w:sz w:val="24"/>
          <w:highlight w:val="none"/>
        </w:rPr>
        <w:t>.</w:t>
      </w:r>
      <w:r>
        <w:rPr>
          <w:rFonts w:hint="eastAsia" w:hAnsi="宋体"/>
          <w:color w:val="auto"/>
          <w:sz w:val="24"/>
          <w:highlight w:val="none"/>
        </w:rPr>
        <w:t>技术培训</w:t>
      </w:r>
    </w:p>
    <w:p w14:paraId="1C0C5A56">
      <w:pPr>
        <w:tabs>
          <w:tab w:val="left" w:pos="2520"/>
        </w:tabs>
        <w:adjustRightInd w:val="0"/>
        <w:snapToGrid w:val="0"/>
        <w:spacing w:line="520" w:lineRule="exact"/>
        <w:ind w:firstLine="480" w:firstLineChars="200"/>
        <w:rPr>
          <w:color w:val="auto"/>
          <w:sz w:val="24"/>
          <w:highlight w:val="none"/>
        </w:rPr>
      </w:pPr>
      <w:r>
        <w:rPr>
          <w:rFonts w:hint="eastAsia" w:hAnsi="宋体"/>
          <w:color w:val="auto"/>
          <w:sz w:val="24"/>
          <w:highlight w:val="none"/>
        </w:rPr>
        <w:t>供应商应从产品使用操作、保养维修技术等方面对受训人员进行培训，使受训人员达到独立使用、熟练操作的程度。受训人员的培训费等已包含在合同总价中，招标人不再另行支付。</w:t>
      </w:r>
    </w:p>
    <w:p w14:paraId="1B389E6B">
      <w:pPr>
        <w:tabs>
          <w:tab w:val="left" w:pos="2520"/>
        </w:tabs>
        <w:adjustRightInd w:val="0"/>
        <w:snapToGrid w:val="0"/>
        <w:spacing w:line="520" w:lineRule="exact"/>
        <w:ind w:firstLine="480" w:firstLineChars="200"/>
        <w:rPr>
          <w:color w:val="auto"/>
          <w:sz w:val="24"/>
          <w:highlight w:val="none"/>
        </w:rPr>
      </w:pPr>
      <w:r>
        <w:rPr>
          <w:rFonts w:hint="eastAsia"/>
          <w:color w:val="auto"/>
          <w:sz w:val="24"/>
          <w:highlight w:val="none"/>
          <w:lang w:val="en-US" w:eastAsia="zh-CN"/>
        </w:rPr>
        <w:t>6</w:t>
      </w:r>
      <w:r>
        <w:rPr>
          <w:color w:val="auto"/>
          <w:sz w:val="24"/>
          <w:highlight w:val="none"/>
        </w:rPr>
        <w:t>.</w:t>
      </w:r>
      <w:r>
        <w:rPr>
          <w:rFonts w:hint="eastAsia" w:hAnsi="宋体"/>
          <w:color w:val="auto"/>
          <w:sz w:val="24"/>
          <w:highlight w:val="none"/>
        </w:rPr>
        <w:t>验收</w:t>
      </w:r>
    </w:p>
    <w:p w14:paraId="573BBB47">
      <w:pPr>
        <w:tabs>
          <w:tab w:val="left" w:pos="2520"/>
        </w:tabs>
        <w:adjustRightInd w:val="0"/>
        <w:snapToGrid w:val="0"/>
        <w:spacing w:line="520" w:lineRule="exact"/>
        <w:ind w:firstLine="480" w:firstLineChars="200"/>
        <w:rPr>
          <w:color w:val="auto"/>
          <w:sz w:val="24"/>
          <w:highlight w:val="none"/>
        </w:rPr>
      </w:pPr>
      <w:r>
        <w:rPr>
          <w:rFonts w:hint="eastAsia"/>
          <w:color w:val="auto"/>
          <w:sz w:val="24"/>
          <w:highlight w:val="none"/>
          <w:lang w:val="en-US" w:eastAsia="zh-CN"/>
        </w:rPr>
        <w:t>6</w:t>
      </w:r>
      <w:r>
        <w:rPr>
          <w:color w:val="auto"/>
          <w:sz w:val="24"/>
          <w:highlight w:val="none"/>
        </w:rPr>
        <w:t>.1</w:t>
      </w:r>
      <w:r>
        <w:rPr>
          <w:rFonts w:hint="eastAsia" w:hAnsi="宋体"/>
          <w:color w:val="auto"/>
          <w:sz w:val="24"/>
          <w:highlight w:val="none"/>
        </w:rPr>
        <w:t>到货后，乙方负责安装调试，达到正常使用后通知招标人验收。</w:t>
      </w:r>
    </w:p>
    <w:p w14:paraId="157AFA95">
      <w:pPr>
        <w:tabs>
          <w:tab w:val="left" w:pos="2520"/>
        </w:tabs>
        <w:adjustRightInd w:val="0"/>
        <w:snapToGrid w:val="0"/>
        <w:spacing w:line="520" w:lineRule="exact"/>
        <w:ind w:firstLine="480" w:firstLineChars="200"/>
        <w:rPr>
          <w:color w:val="auto"/>
          <w:sz w:val="24"/>
          <w:highlight w:val="none"/>
        </w:rPr>
      </w:pPr>
      <w:r>
        <w:rPr>
          <w:rFonts w:hint="eastAsia"/>
          <w:color w:val="auto"/>
          <w:sz w:val="24"/>
          <w:highlight w:val="none"/>
          <w:lang w:val="en-US" w:eastAsia="zh-CN"/>
        </w:rPr>
        <w:t>6</w:t>
      </w:r>
      <w:r>
        <w:rPr>
          <w:color w:val="auto"/>
          <w:sz w:val="24"/>
          <w:highlight w:val="none"/>
        </w:rPr>
        <w:t>.2</w:t>
      </w:r>
      <w:r>
        <w:rPr>
          <w:rFonts w:hint="eastAsia" w:hAnsi="宋体"/>
          <w:color w:val="auto"/>
          <w:sz w:val="24"/>
          <w:highlight w:val="none"/>
        </w:rPr>
        <w:t>招标人根据合同要求对产品进行验收。</w:t>
      </w:r>
      <w:r>
        <w:rPr>
          <w:rFonts w:hint="eastAsia" w:hAnsi="宋体"/>
          <w:color w:val="auto"/>
          <w:sz w:val="24"/>
          <w:highlight w:val="none"/>
          <w:lang w:val="en-US" w:eastAsia="zh-CN"/>
        </w:rPr>
        <w:t>由</w:t>
      </w:r>
      <w:r>
        <w:rPr>
          <w:rFonts w:hint="eastAsia" w:ascii="宋体" w:hAnsi="宋体" w:eastAsia="宋体" w:cs="宋体"/>
          <w:color w:val="auto"/>
          <w:sz w:val="24"/>
          <w:highlight w:val="none"/>
          <w:lang w:val="en-US" w:eastAsia="zh-CN"/>
        </w:rPr>
        <w:t>项目由招标人组织</w:t>
      </w:r>
      <w:r>
        <w:rPr>
          <w:rFonts w:hint="eastAsia" w:hAnsi="宋体"/>
          <w:color w:val="auto"/>
          <w:sz w:val="24"/>
          <w:highlight w:val="none"/>
          <w:lang w:val="en-US" w:eastAsia="zh-CN"/>
        </w:rPr>
        <w:t>进行验收，验收时中标人应无条件予以配合并提供验收所需的全部资料，验收结束后，应当出具验收书，列明各项标准的验收情况及项目总体评价，由验收双方共同签署。验收所产生的费用由中标人承担。</w:t>
      </w:r>
    </w:p>
    <w:p w14:paraId="588C8138">
      <w:pPr>
        <w:tabs>
          <w:tab w:val="left" w:pos="2520"/>
        </w:tabs>
        <w:adjustRightInd w:val="0"/>
        <w:snapToGrid w:val="0"/>
        <w:spacing w:line="520" w:lineRule="exact"/>
        <w:ind w:firstLine="480" w:firstLineChars="200"/>
        <w:rPr>
          <w:rFonts w:hAnsi="宋体"/>
          <w:color w:val="auto"/>
          <w:sz w:val="24"/>
          <w:highlight w:val="none"/>
        </w:rPr>
      </w:pPr>
      <w:r>
        <w:rPr>
          <w:rFonts w:hint="eastAsia"/>
          <w:color w:val="auto"/>
          <w:sz w:val="24"/>
          <w:highlight w:val="none"/>
          <w:lang w:val="en-US" w:eastAsia="zh-CN"/>
        </w:rPr>
        <w:t>6</w:t>
      </w:r>
      <w:r>
        <w:rPr>
          <w:color w:val="auto"/>
          <w:sz w:val="24"/>
          <w:highlight w:val="none"/>
        </w:rPr>
        <w:t>.3</w:t>
      </w:r>
      <w:r>
        <w:rPr>
          <w:rFonts w:hint="eastAsia" w:hAnsi="宋体"/>
          <w:color w:val="auto"/>
          <w:sz w:val="24"/>
          <w:highlight w:val="none"/>
        </w:rPr>
        <w:t>验收合格后，并向使用单位提交产品所包含的所有资料，以便使用。</w:t>
      </w:r>
    </w:p>
    <w:p w14:paraId="4AB27BD1">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w:t>
      </w:r>
      <w:r>
        <w:rPr>
          <w:rFonts w:hint="eastAsia" w:hAnsi="宋体"/>
          <w:color w:val="auto"/>
          <w:sz w:val="24"/>
          <w:highlight w:val="none"/>
        </w:rPr>
        <w:t>验收标准</w:t>
      </w:r>
    </w:p>
    <w:p w14:paraId="3562C9E9">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.1</w:t>
      </w:r>
      <w:r>
        <w:rPr>
          <w:rFonts w:hint="eastAsia" w:hAnsi="宋体"/>
          <w:color w:val="auto"/>
          <w:sz w:val="24"/>
          <w:highlight w:val="none"/>
        </w:rPr>
        <w:t>中标人所提供的货物应与所投产品一致。</w:t>
      </w:r>
    </w:p>
    <w:p w14:paraId="79B3A4F1">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.2</w:t>
      </w:r>
      <w:r>
        <w:rPr>
          <w:rFonts w:hint="eastAsia" w:hAnsi="宋体"/>
          <w:color w:val="auto"/>
          <w:sz w:val="24"/>
          <w:highlight w:val="none"/>
        </w:rPr>
        <w:t>投标人提供的所有货物和服务，其质量、技术等特征必须符合国家、行业现行的标准及用户需求；</w:t>
      </w:r>
    </w:p>
    <w:p w14:paraId="18C49A1A">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.3</w:t>
      </w:r>
      <w:r>
        <w:rPr>
          <w:rFonts w:hint="eastAsia" w:hAnsi="宋体"/>
          <w:color w:val="auto"/>
          <w:sz w:val="24"/>
          <w:highlight w:val="none"/>
        </w:rPr>
        <w:t>所有设备必须有相应的详细中文说明书；</w:t>
      </w:r>
    </w:p>
    <w:p w14:paraId="74AFA9BD">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.4</w:t>
      </w:r>
      <w:r>
        <w:rPr>
          <w:rFonts w:hint="eastAsia" w:hAnsi="宋体"/>
          <w:color w:val="auto"/>
          <w:sz w:val="24"/>
          <w:highlight w:val="none"/>
        </w:rPr>
        <w:t>采购人有权拒绝接受任何不合格的货物和服务，由此产生的费用及相关后果均由投标人自行承担。</w:t>
      </w:r>
    </w:p>
    <w:p w14:paraId="2D62A795">
      <w:pPr>
        <w:tabs>
          <w:tab w:val="left" w:pos="2520"/>
        </w:tabs>
        <w:adjustRightInd w:val="0"/>
        <w:snapToGrid w:val="0"/>
        <w:spacing w:line="520" w:lineRule="exact"/>
        <w:ind w:firstLine="480" w:firstLineChars="200"/>
        <w:rPr>
          <w:rFonts w:hAnsi="宋体"/>
          <w:color w:val="auto"/>
          <w:sz w:val="24"/>
          <w:highlight w:val="none"/>
        </w:rPr>
      </w:pPr>
      <w:r>
        <w:rPr>
          <w:rFonts w:hint="eastAsia" w:hAnsi="宋体"/>
          <w:color w:val="auto"/>
          <w:sz w:val="24"/>
          <w:highlight w:val="none"/>
          <w:lang w:val="en-US" w:eastAsia="zh-CN"/>
        </w:rPr>
        <w:t>7</w:t>
      </w:r>
      <w:r>
        <w:rPr>
          <w:rFonts w:hAnsi="宋体"/>
          <w:color w:val="auto"/>
          <w:sz w:val="24"/>
          <w:highlight w:val="none"/>
        </w:rPr>
        <w:t>.5</w:t>
      </w:r>
      <w:r>
        <w:rPr>
          <w:rFonts w:hint="eastAsia" w:hAnsi="宋体"/>
          <w:color w:val="auto"/>
          <w:sz w:val="24"/>
          <w:highlight w:val="none"/>
        </w:rPr>
        <w:t>验收按国家有关的规定、规范进行。</w:t>
      </w:r>
    </w:p>
    <w:p w14:paraId="33BD453B">
      <w:pPr>
        <w:tabs>
          <w:tab w:val="left" w:pos="2520"/>
        </w:tabs>
        <w:adjustRightInd w:val="0"/>
        <w:snapToGrid w:val="0"/>
        <w:spacing w:line="520" w:lineRule="exact"/>
        <w:ind w:firstLine="482" w:firstLineChars="200"/>
        <w:rPr>
          <w:b/>
          <w:bCs/>
          <w:color w:val="auto"/>
          <w:sz w:val="24"/>
          <w:highlight w:val="none"/>
        </w:rPr>
      </w:pPr>
      <w:r>
        <w:rPr>
          <w:rFonts w:hint="eastAsia" w:hAnsi="宋体"/>
          <w:b/>
          <w:bCs/>
          <w:color w:val="auto"/>
          <w:sz w:val="24"/>
          <w:highlight w:val="none"/>
          <w:lang w:eastAsia="zh-CN"/>
        </w:rPr>
        <w:t>七</w:t>
      </w:r>
      <w:r>
        <w:rPr>
          <w:rFonts w:hint="eastAsia" w:hAnsi="宋体"/>
          <w:b/>
          <w:bCs/>
          <w:color w:val="auto"/>
          <w:sz w:val="24"/>
          <w:highlight w:val="none"/>
        </w:rPr>
        <w:t>、违约责任</w:t>
      </w:r>
    </w:p>
    <w:p w14:paraId="74D71C11">
      <w:pPr>
        <w:tabs>
          <w:tab w:val="left" w:pos="2520"/>
        </w:tabs>
        <w:adjustRightInd w:val="0"/>
        <w:snapToGrid w:val="0"/>
        <w:spacing w:line="520" w:lineRule="exact"/>
        <w:ind w:firstLine="480" w:firstLineChars="200"/>
        <w:rPr>
          <w:color w:val="auto"/>
          <w:sz w:val="24"/>
          <w:highlight w:val="none"/>
        </w:rPr>
      </w:pPr>
      <w:r>
        <w:rPr>
          <w:color w:val="auto"/>
          <w:sz w:val="24"/>
          <w:highlight w:val="none"/>
        </w:rPr>
        <w:t>1.</w:t>
      </w:r>
      <w:r>
        <w:rPr>
          <w:rFonts w:hint="eastAsia"/>
          <w:color w:val="auto"/>
          <w:sz w:val="24"/>
          <w:highlight w:val="none"/>
        </w:rPr>
        <w:t>按《</w:t>
      </w:r>
      <w:r>
        <w:rPr>
          <w:rFonts w:hint="eastAsia"/>
          <w:color w:val="auto"/>
          <w:sz w:val="24"/>
          <w:highlight w:val="none"/>
          <w:lang w:val="en-US" w:eastAsia="zh-CN"/>
        </w:rPr>
        <w:t>中华人民共和国民法典</w:t>
      </w:r>
      <w:r>
        <w:rPr>
          <w:rFonts w:hint="eastAsia"/>
          <w:color w:val="auto"/>
          <w:sz w:val="24"/>
          <w:highlight w:val="none"/>
        </w:rPr>
        <w:t>》中的相关条款执行。</w:t>
      </w:r>
    </w:p>
    <w:p w14:paraId="56345DCB">
      <w:pPr>
        <w:adjustRightInd w:val="0"/>
        <w:snapToGrid w:val="0"/>
        <w:spacing w:line="360" w:lineRule="auto"/>
        <w:ind w:firstLine="480" w:firstLineChars="200"/>
        <w:rPr>
          <w:rFonts w:ascii="宋体" w:hAnsi="宋体" w:cs="宋体"/>
          <w:color w:val="auto"/>
          <w:sz w:val="32"/>
          <w:szCs w:val="32"/>
          <w:highlight w:val="none"/>
        </w:rPr>
      </w:pPr>
      <w:r>
        <w:rPr>
          <w:color w:val="auto"/>
          <w:sz w:val="24"/>
          <w:highlight w:val="none"/>
        </w:rPr>
        <w:t>2.</w:t>
      </w:r>
      <w:r>
        <w:rPr>
          <w:rFonts w:hint="eastAsia"/>
          <w:color w:val="auto"/>
          <w:sz w:val="24"/>
          <w:highlight w:val="none"/>
        </w:rPr>
        <w:t>未按合同要求提供产品或设备质量不能满足技术要求，采购人会同监督单位、</w:t>
      </w:r>
      <w:r>
        <w:rPr>
          <w:rFonts w:hint="eastAsia"/>
          <w:color w:val="auto"/>
          <w:sz w:val="24"/>
          <w:highlight w:val="none"/>
          <w:lang w:val="en-US" w:eastAsia="zh-CN"/>
        </w:rPr>
        <w:t>代理机构</w:t>
      </w:r>
      <w:r>
        <w:rPr>
          <w:rFonts w:hint="eastAsia"/>
          <w:color w:val="auto"/>
          <w:sz w:val="24"/>
          <w:highlight w:val="none"/>
        </w:rPr>
        <w:t>有权终止合同，甚至对供方违约行为进行追究。</w:t>
      </w:r>
      <w:r>
        <w:rPr>
          <w:rFonts w:hint="eastAsia" w:ascii="宋体" w:hAnsi="宋体" w:eastAsia="宋体" w:cs="宋体"/>
          <w:bCs/>
          <w:color w:val="auto"/>
          <w:sz w:val="24"/>
          <w:szCs w:val="24"/>
          <w:highlight w:val="none"/>
        </w:rPr>
        <w:t>。</w:t>
      </w:r>
    </w:p>
    <w:p w14:paraId="136221E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sz w:val="24"/>
          <w:szCs w:val="24"/>
          <w:highlight w:val="none"/>
        </w:rPr>
      </w:pPr>
      <w:r>
        <w:rPr>
          <w:rFonts w:hint="eastAsia" w:ascii="宋体" w:hAnsi="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lang w:val="en-US" w:eastAsia="zh-CN"/>
        </w:rPr>
        <w:t>、</w:t>
      </w:r>
      <w:r>
        <w:rPr>
          <w:rFonts w:hint="eastAsia" w:ascii="宋体" w:hAnsi="宋体" w:eastAsia="宋体" w:cs="宋体"/>
          <w:b/>
          <w:bCs w:val="0"/>
          <w:color w:val="auto"/>
          <w:sz w:val="24"/>
          <w:szCs w:val="24"/>
          <w:highlight w:val="none"/>
        </w:rPr>
        <w:t>验收</w:t>
      </w:r>
    </w:p>
    <w:p w14:paraId="5B6CA05C">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投标人</w:t>
      </w:r>
      <w:r>
        <w:rPr>
          <w:rFonts w:hint="eastAsia" w:ascii="宋体" w:hAnsi="宋体" w:eastAsia="宋体" w:cs="宋体"/>
          <w:b w:val="0"/>
          <w:bCs/>
          <w:color w:val="auto"/>
          <w:sz w:val="24"/>
          <w:szCs w:val="24"/>
          <w:highlight w:val="none"/>
        </w:rPr>
        <w:t>向</w:t>
      </w:r>
      <w:r>
        <w:rPr>
          <w:rFonts w:hint="eastAsia" w:ascii="宋体" w:hAnsi="宋体" w:eastAsia="宋体" w:cs="宋体"/>
          <w:b w:val="0"/>
          <w:bCs/>
          <w:color w:val="auto"/>
          <w:sz w:val="24"/>
          <w:szCs w:val="24"/>
          <w:highlight w:val="none"/>
          <w:lang w:val="en-US" w:eastAsia="zh-CN"/>
        </w:rPr>
        <w:t>采购人</w:t>
      </w:r>
      <w:r>
        <w:rPr>
          <w:rFonts w:hint="eastAsia" w:ascii="宋体" w:hAnsi="宋体" w:eastAsia="宋体" w:cs="宋体"/>
          <w:b w:val="0"/>
          <w:bCs/>
          <w:color w:val="auto"/>
          <w:sz w:val="24"/>
          <w:szCs w:val="24"/>
          <w:highlight w:val="none"/>
        </w:rPr>
        <w:t>提出验收申请，</w:t>
      </w:r>
      <w:r>
        <w:rPr>
          <w:rFonts w:hint="eastAsia" w:ascii="宋体" w:hAnsi="宋体" w:eastAsia="宋体" w:cs="宋体"/>
          <w:b w:val="0"/>
          <w:bCs/>
          <w:color w:val="auto"/>
          <w:sz w:val="24"/>
          <w:szCs w:val="24"/>
          <w:highlight w:val="none"/>
          <w:lang w:val="en-US" w:eastAsia="zh-CN"/>
        </w:rPr>
        <w:t>采购人</w:t>
      </w:r>
      <w:r>
        <w:rPr>
          <w:rFonts w:hint="eastAsia" w:ascii="宋体" w:hAnsi="宋体" w:eastAsia="宋体" w:cs="宋体"/>
          <w:b w:val="0"/>
          <w:bCs/>
          <w:color w:val="auto"/>
          <w:sz w:val="24"/>
          <w:szCs w:val="24"/>
          <w:highlight w:val="none"/>
        </w:rPr>
        <w:t>接到</w:t>
      </w:r>
      <w:r>
        <w:rPr>
          <w:rFonts w:hint="eastAsia" w:ascii="宋体" w:hAnsi="宋体" w:eastAsia="宋体" w:cs="宋体"/>
          <w:b w:val="0"/>
          <w:bCs/>
          <w:color w:val="auto"/>
          <w:sz w:val="24"/>
          <w:szCs w:val="24"/>
          <w:highlight w:val="none"/>
          <w:lang w:val="en-US" w:eastAsia="zh-CN"/>
        </w:rPr>
        <w:t>投标人</w:t>
      </w:r>
      <w:r>
        <w:rPr>
          <w:rFonts w:hint="eastAsia" w:ascii="宋体" w:hAnsi="宋体" w:eastAsia="宋体" w:cs="宋体"/>
          <w:b w:val="0"/>
          <w:bCs/>
          <w:color w:val="auto"/>
          <w:sz w:val="24"/>
          <w:szCs w:val="24"/>
          <w:highlight w:val="none"/>
        </w:rPr>
        <w:t>验收申请后组织验收（必要时可聘请相应专家或委托相应部门验收），验收合格后，出具使用验收合格证明。</w:t>
      </w:r>
    </w:p>
    <w:p w14:paraId="65AE544C">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、最终验收：最终验收结果作为付款依据，</w:t>
      </w:r>
      <w:r>
        <w:rPr>
          <w:rFonts w:hint="eastAsia" w:ascii="宋体" w:hAnsi="宋体" w:eastAsia="宋体" w:cs="宋体"/>
          <w:b w:val="0"/>
          <w:bCs/>
          <w:color w:val="auto"/>
          <w:sz w:val="24"/>
          <w:szCs w:val="24"/>
          <w:highlight w:val="none"/>
          <w:lang w:val="en-US" w:eastAsia="zh-CN"/>
        </w:rPr>
        <w:t>投标人</w:t>
      </w:r>
      <w:r>
        <w:rPr>
          <w:rFonts w:hint="eastAsia" w:ascii="宋体" w:hAnsi="宋体" w:eastAsia="宋体" w:cs="宋体"/>
          <w:b w:val="0"/>
          <w:bCs/>
          <w:color w:val="auto"/>
          <w:sz w:val="24"/>
          <w:szCs w:val="24"/>
          <w:highlight w:val="none"/>
        </w:rPr>
        <w:t>填写验收单，并向</w:t>
      </w:r>
      <w:r>
        <w:rPr>
          <w:rFonts w:hint="eastAsia" w:ascii="宋体" w:hAnsi="宋体" w:eastAsia="宋体" w:cs="宋体"/>
          <w:b w:val="0"/>
          <w:bCs/>
          <w:color w:val="auto"/>
          <w:sz w:val="24"/>
          <w:szCs w:val="24"/>
          <w:highlight w:val="none"/>
          <w:lang w:val="en-US" w:eastAsia="zh-CN"/>
        </w:rPr>
        <w:t>采购人</w:t>
      </w:r>
      <w:r>
        <w:rPr>
          <w:rFonts w:hint="eastAsia" w:ascii="宋体" w:hAnsi="宋体" w:eastAsia="宋体" w:cs="宋体"/>
          <w:b w:val="0"/>
          <w:bCs/>
          <w:color w:val="auto"/>
          <w:sz w:val="24"/>
          <w:szCs w:val="24"/>
          <w:highlight w:val="none"/>
        </w:rPr>
        <w:t>提交</w:t>
      </w:r>
      <w:r>
        <w:rPr>
          <w:rFonts w:hint="eastAsia" w:ascii="宋体" w:hAnsi="宋体" w:eastAsia="宋体" w:cs="宋体"/>
          <w:b w:val="0"/>
          <w:bCs/>
          <w:color w:val="auto"/>
          <w:sz w:val="24"/>
          <w:szCs w:val="24"/>
          <w:highlight w:val="none"/>
          <w:lang w:val="en-US" w:eastAsia="zh-CN"/>
        </w:rPr>
        <w:t>服务</w:t>
      </w:r>
      <w:r>
        <w:rPr>
          <w:rFonts w:hint="eastAsia" w:ascii="宋体" w:hAnsi="宋体" w:eastAsia="宋体" w:cs="宋体"/>
          <w:b w:val="0"/>
          <w:bCs/>
          <w:color w:val="auto"/>
          <w:sz w:val="24"/>
          <w:szCs w:val="24"/>
          <w:highlight w:val="none"/>
        </w:rPr>
        <w:t>过程中的所有资料，以便</w:t>
      </w:r>
      <w:r>
        <w:rPr>
          <w:rFonts w:hint="eastAsia" w:ascii="宋体" w:hAnsi="宋体" w:eastAsia="宋体" w:cs="宋体"/>
          <w:b w:val="0"/>
          <w:bCs/>
          <w:color w:val="auto"/>
          <w:sz w:val="24"/>
          <w:szCs w:val="24"/>
          <w:highlight w:val="none"/>
          <w:lang w:val="en-US" w:eastAsia="zh-CN"/>
        </w:rPr>
        <w:t>采购人</w:t>
      </w:r>
      <w:r>
        <w:rPr>
          <w:rFonts w:hint="eastAsia" w:ascii="宋体" w:hAnsi="宋体" w:eastAsia="宋体" w:cs="宋体"/>
          <w:b w:val="0"/>
          <w:bCs/>
          <w:color w:val="auto"/>
          <w:sz w:val="24"/>
          <w:szCs w:val="24"/>
          <w:highlight w:val="none"/>
        </w:rPr>
        <w:t>日后管理和维护。</w:t>
      </w:r>
    </w:p>
    <w:p w14:paraId="183BEFFC">
      <w:pPr>
        <w:pStyle w:val="25"/>
        <w:spacing w:line="360" w:lineRule="auto"/>
        <w:ind w:firstLine="480" w:firstLineChars="200"/>
        <w:rPr>
          <w:rFonts w:hint="default" w:eastAsia="宋体"/>
          <w:color w:val="auto"/>
          <w:highlight w:val="none"/>
          <w:lang w:val="en-US" w:eastAsia="zh-CN"/>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采购人应当在供应商提出验收申请之日起10个工作日内完成验收。验收合格且满足合同约定支付条件的，采购人应当自交付之日起30日内支付款项，合同另有约定的，付款期限最长不得超过60日。不得以任何不合理理由延迟验收和付款，不得将招标文件和合同中未规定的义务作为验收和付款条件。</w:t>
      </w:r>
    </w:p>
    <w:p w14:paraId="78CA2F35">
      <w:pPr>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4、验收依据：</w:t>
      </w:r>
    </w:p>
    <w:p w14:paraId="16F64206">
      <w:pPr>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4-1、合同文本、合同附件、招标文件、投标文件。</w:t>
      </w:r>
    </w:p>
    <w:p w14:paraId="7561DC52">
      <w:pPr>
        <w:pStyle w:val="2"/>
        <w:bidi w:val="0"/>
        <w:spacing w:before="0" w:after="0" w:line="240" w:lineRule="auto"/>
        <w:ind w:firstLine="480" w:firstLineChars="200"/>
        <w:jc w:val="both"/>
        <w:rPr>
          <w:rFonts w:hint="eastAsia" w:ascii="宋体" w:hAnsi="宋体" w:eastAsia="宋体" w:cs="宋体"/>
          <w:b w:val="0"/>
          <w:bCs/>
          <w:color w:val="auto"/>
          <w:kern w:val="2"/>
          <w:sz w:val="24"/>
          <w:szCs w:val="24"/>
          <w:highlight w:val="none"/>
          <w:lang w:val="en-US" w:eastAsia="zh-CN" w:bidi="ar-SA"/>
        </w:rPr>
      </w:pPr>
      <w:bookmarkStart w:id="413" w:name="_Toc8517"/>
      <w:r>
        <w:rPr>
          <w:rFonts w:hint="eastAsia" w:ascii="宋体" w:hAnsi="宋体" w:eastAsia="宋体" w:cs="宋体"/>
          <w:b w:val="0"/>
          <w:bCs/>
          <w:color w:val="auto"/>
          <w:kern w:val="2"/>
          <w:sz w:val="24"/>
          <w:szCs w:val="24"/>
          <w:highlight w:val="none"/>
          <w:lang w:val="en-US" w:eastAsia="zh-CN" w:bidi="ar-SA"/>
        </w:rPr>
        <w:t>4-2、国内相应的标准、规范。</w:t>
      </w:r>
      <w:bookmarkEnd w:id="413"/>
    </w:p>
    <w:p w14:paraId="7D95CBCF">
      <w:pPr>
        <w:pStyle w:val="17"/>
        <w:rPr>
          <w:rFonts w:hint="eastAsia"/>
          <w:color w:val="auto"/>
          <w:highlight w:val="none"/>
        </w:rPr>
      </w:pPr>
    </w:p>
    <w:p w14:paraId="712BF3D2">
      <w:pPr>
        <w:pStyle w:val="2"/>
        <w:bidi w:val="0"/>
        <w:jc w:val="center"/>
        <w:rPr>
          <w:rFonts w:hint="eastAsia"/>
          <w:color w:val="auto"/>
          <w:sz w:val="32"/>
          <w:szCs w:val="32"/>
          <w:highlight w:val="none"/>
        </w:rPr>
        <w:sectPr>
          <w:footnotePr>
            <w:pos w:val="beneathText"/>
          </w:footnotePr>
          <w:pgSz w:w="11906" w:h="16838"/>
          <w:pgMar w:top="1701" w:right="1417" w:bottom="1701" w:left="1417" w:header="1088" w:footer="992" w:gutter="0"/>
          <w:pgNumType w:fmt="decimal"/>
          <w:cols w:space="720" w:num="1"/>
          <w:titlePg/>
          <w:rtlGutter w:val="0"/>
          <w:docGrid w:type="lines" w:linePitch="312" w:charSpace="0"/>
        </w:sectPr>
      </w:pPr>
      <w:bookmarkStart w:id="414" w:name="_Toc25429"/>
    </w:p>
    <w:p w14:paraId="74657600">
      <w:pPr>
        <w:pStyle w:val="2"/>
        <w:bidi w:val="0"/>
        <w:jc w:val="center"/>
        <w:rPr>
          <w:rFonts w:hint="eastAsia"/>
          <w:color w:val="auto"/>
          <w:sz w:val="32"/>
          <w:szCs w:val="32"/>
          <w:highlight w:val="none"/>
        </w:rPr>
      </w:pPr>
      <w:r>
        <w:rPr>
          <w:rFonts w:hint="eastAsia"/>
          <w:color w:val="auto"/>
          <w:sz w:val="32"/>
          <w:szCs w:val="32"/>
          <w:highlight w:val="none"/>
        </w:rPr>
        <w:t>第</w:t>
      </w:r>
      <w:r>
        <w:rPr>
          <w:rFonts w:hint="eastAsia"/>
          <w:color w:val="auto"/>
          <w:sz w:val="32"/>
          <w:szCs w:val="32"/>
          <w:highlight w:val="none"/>
          <w:lang w:eastAsia="zh-CN"/>
        </w:rPr>
        <w:t>六</w:t>
      </w:r>
      <w:r>
        <w:rPr>
          <w:rFonts w:hint="eastAsia"/>
          <w:color w:val="auto"/>
          <w:sz w:val="32"/>
          <w:szCs w:val="32"/>
          <w:highlight w:val="none"/>
        </w:rPr>
        <w:t>部分  政府采购合同</w:t>
      </w:r>
      <w:bookmarkEnd w:id="405"/>
      <w:bookmarkEnd w:id="406"/>
      <w:bookmarkEnd w:id="407"/>
      <w:bookmarkEnd w:id="408"/>
      <w:bookmarkEnd w:id="414"/>
    </w:p>
    <w:p w14:paraId="170E4741">
      <w:pPr>
        <w:spacing w:before="120" w:line="360" w:lineRule="auto"/>
        <w:jc w:val="center"/>
        <w:outlineLvl w:val="0"/>
        <w:rPr>
          <w:rFonts w:hint="eastAsia" w:ascii="宋体" w:hAnsi="宋体" w:cs="宋体"/>
          <w:b/>
          <w:bCs/>
          <w:color w:val="auto"/>
          <w:sz w:val="28"/>
          <w:szCs w:val="28"/>
          <w:highlight w:val="none"/>
        </w:rPr>
      </w:pPr>
      <w:bookmarkStart w:id="415" w:name="_Toc109543216"/>
      <w:bookmarkStart w:id="416" w:name="_Toc109542396"/>
    </w:p>
    <w:p w14:paraId="17A89318">
      <w:pPr>
        <w:spacing w:before="120" w:line="360" w:lineRule="auto"/>
        <w:jc w:val="center"/>
        <w:outlineLvl w:val="0"/>
        <w:rPr>
          <w:rFonts w:hint="eastAsia" w:ascii="宋体" w:hAnsi="宋体" w:cs="宋体"/>
          <w:b/>
          <w:bCs/>
          <w:color w:val="auto"/>
          <w:sz w:val="28"/>
          <w:szCs w:val="28"/>
          <w:highlight w:val="none"/>
        </w:rPr>
      </w:pPr>
      <w:bookmarkStart w:id="417" w:name="_Toc26183"/>
      <w:bookmarkStart w:id="418" w:name="_Toc6312"/>
      <w:bookmarkStart w:id="419" w:name="_Toc7013"/>
      <w:bookmarkStart w:id="420" w:name="_Toc8201"/>
      <w:bookmarkStart w:id="421" w:name="_Toc26030"/>
      <w:bookmarkStart w:id="422" w:name="_Toc2785"/>
      <w:bookmarkStart w:id="423" w:name="_Toc45"/>
      <w:bookmarkStart w:id="424" w:name="_Toc27314"/>
      <w:bookmarkStart w:id="425" w:name="_Toc17458"/>
      <w:bookmarkStart w:id="426" w:name="_Toc26237"/>
      <w:r>
        <w:rPr>
          <w:rFonts w:hint="eastAsia" w:ascii="宋体" w:hAnsi="宋体" w:cs="宋体"/>
          <w:b/>
          <w:color w:val="auto"/>
          <w:sz w:val="24"/>
          <w:szCs w:val="24"/>
          <w:highlight w:val="none"/>
        </w:rPr>
        <w:t>（此合同只作为参考，最终签订的合同以采购人确定的合同内容为准。）</w:t>
      </w:r>
      <w:bookmarkEnd w:id="417"/>
      <w:bookmarkEnd w:id="418"/>
      <w:bookmarkEnd w:id="419"/>
      <w:bookmarkEnd w:id="420"/>
      <w:bookmarkEnd w:id="421"/>
      <w:bookmarkEnd w:id="422"/>
      <w:bookmarkEnd w:id="423"/>
      <w:bookmarkEnd w:id="424"/>
    </w:p>
    <w:p w14:paraId="4F54F7E7">
      <w:pPr>
        <w:spacing w:before="120" w:line="360" w:lineRule="auto"/>
        <w:rPr>
          <w:rFonts w:hint="eastAsia" w:ascii="宋体" w:hAnsi="宋体" w:cs="宋体"/>
          <w:b/>
          <w:bCs/>
          <w:color w:val="auto"/>
          <w:sz w:val="28"/>
          <w:szCs w:val="28"/>
          <w:highlight w:val="none"/>
        </w:rPr>
      </w:pPr>
    </w:p>
    <w:p w14:paraId="4183EAEB">
      <w:pPr>
        <w:spacing w:before="120" w:line="360" w:lineRule="auto"/>
        <w:ind w:firstLine="2811" w:firstLineChars="1000"/>
        <w:outlineLvl w:val="0"/>
        <w:rPr>
          <w:rFonts w:hint="eastAsia" w:ascii="宋体" w:hAnsi="宋体" w:cs="宋体"/>
          <w:color w:val="auto"/>
          <w:sz w:val="28"/>
          <w:szCs w:val="28"/>
          <w:highlight w:val="none"/>
        </w:rPr>
      </w:pPr>
      <w:bookmarkStart w:id="427" w:name="_Toc24278"/>
      <w:bookmarkStart w:id="428" w:name="_Toc17388"/>
      <w:bookmarkStart w:id="429" w:name="_Toc15553"/>
      <w:bookmarkStart w:id="430" w:name="_Toc18644"/>
      <w:bookmarkStart w:id="431" w:name="_Toc27882"/>
      <w:bookmarkStart w:id="432" w:name="_Toc26076"/>
      <w:bookmarkStart w:id="433" w:name="_Toc10361"/>
      <w:bookmarkStart w:id="434" w:name="_Toc27835"/>
      <w:bookmarkStart w:id="435" w:name="_Toc8292"/>
      <w:r>
        <w:rPr>
          <w:rFonts w:hint="eastAsia" w:ascii="宋体" w:hAnsi="宋体" w:cs="宋体"/>
          <w:b/>
          <w:bCs/>
          <w:color w:val="auto"/>
          <w:sz w:val="28"/>
          <w:szCs w:val="28"/>
          <w:highlight w:val="none"/>
        </w:rPr>
        <w:t>合同编号：</w:t>
      </w:r>
      <w:bookmarkEnd w:id="415"/>
      <w:bookmarkEnd w:id="416"/>
      <w:bookmarkEnd w:id="425"/>
      <w:bookmarkEnd w:id="426"/>
      <w:bookmarkEnd w:id="427"/>
      <w:bookmarkEnd w:id="428"/>
      <w:bookmarkEnd w:id="429"/>
      <w:bookmarkEnd w:id="430"/>
      <w:bookmarkEnd w:id="431"/>
      <w:bookmarkEnd w:id="432"/>
      <w:bookmarkEnd w:id="433"/>
      <w:bookmarkEnd w:id="434"/>
      <w:bookmarkEnd w:id="435"/>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rPr>
        <w:t xml:space="preserve">   </w:t>
      </w:r>
      <w:r>
        <w:rPr>
          <w:rFonts w:hint="eastAsia" w:ascii="宋体" w:hAnsi="宋体" w:cs="宋体"/>
          <w:color w:val="auto"/>
          <w:sz w:val="28"/>
          <w:szCs w:val="28"/>
          <w:highlight w:val="none"/>
        </w:rPr>
        <w:t xml:space="preserve">        </w:t>
      </w:r>
    </w:p>
    <w:p w14:paraId="4DFC7057">
      <w:pPr>
        <w:spacing w:before="120" w:line="360" w:lineRule="auto"/>
        <w:rPr>
          <w:rFonts w:hint="eastAsia" w:ascii="宋体" w:hAnsi="宋体" w:cs="宋体"/>
          <w:color w:val="auto"/>
          <w:sz w:val="28"/>
          <w:szCs w:val="28"/>
          <w:highlight w:val="none"/>
        </w:rPr>
      </w:pPr>
    </w:p>
    <w:p w14:paraId="57066C0F">
      <w:pPr>
        <w:spacing w:before="120" w:line="360" w:lineRule="auto"/>
        <w:rPr>
          <w:rFonts w:hint="eastAsia" w:ascii="宋体" w:hAnsi="宋体" w:cs="宋体"/>
          <w:color w:val="auto"/>
          <w:sz w:val="28"/>
          <w:szCs w:val="28"/>
          <w:highlight w:val="none"/>
        </w:rPr>
      </w:pPr>
    </w:p>
    <w:p w14:paraId="08BE3E27">
      <w:pPr>
        <w:spacing w:before="120" w:line="360" w:lineRule="auto"/>
        <w:rPr>
          <w:rFonts w:hint="eastAsia" w:ascii="宋体" w:hAnsi="宋体" w:cs="宋体"/>
          <w:color w:val="auto"/>
          <w:sz w:val="28"/>
          <w:szCs w:val="28"/>
          <w:highlight w:val="none"/>
        </w:rPr>
      </w:pPr>
    </w:p>
    <w:p w14:paraId="6F1A0308">
      <w:pPr>
        <w:spacing w:before="120" w:line="360" w:lineRule="auto"/>
        <w:rPr>
          <w:rFonts w:hint="eastAsia" w:ascii="宋体" w:hAnsi="宋体" w:cs="宋体"/>
          <w:color w:val="auto"/>
          <w:sz w:val="28"/>
          <w:szCs w:val="28"/>
          <w:highlight w:val="none"/>
        </w:rPr>
      </w:pPr>
    </w:p>
    <w:p w14:paraId="731458B3">
      <w:pPr>
        <w:spacing w:before="120" w:line="360" w:lineRule="auto"/>
        <w:rPr>
          <w:rFonts w:hint="eastAsia" w:ascii="宋体" w:hAnsi="宋体" w:cs="宋体"/>
          <w:color w:val="auto"/>
          <w:sz w:val="28"/>
          <w:szCs w:val="28"/>
          <w:highlight w:val="none"/>
        </w:rPr>
      </w:pPr>
    </w:p>
    <w:p w14:paraId="67149F80">
      <w:pPr>
        <w:pStyle w:val="8"/>
        <w:rPr>
          <w:rFonts w:hint="eastAsia" w:ascii="宋体" w:hAnsi="宋体" w:cs="宋体"/>
          <w:color w:val="auto"/>
          <w:szCs w:val="28"/>
          <w:highlight w:val="none"/>
        </w:rPr>
      </w:pPr>
    </w:p>
    <w:p w14:paraId="4FB353AD">
      <w:pPr>
        <w:rPr>
          <w:rFonts w:hint="eastAsia" w:ascii="宋体" w:hAnsi="宋体" w:cs="宋体"/>
          <w:color w:val="auto"/>
          <w:sz w:val="28"/>
          <w:szCs w:val="28"/>
          <w:highlight w:val="none"/>
        </w:rPr>
      </w:pPr>
    </w:p>
    <w:p w14:paraId="0CBC3978">
      <w:pPr>
        <w:spacing w:before="120" w:line="360" w:lineRule="auto"/>
        <w:rPr>
          <w:rFonts w:hint="eastAsia" w:ascii="宋体" w:hAnsi="宋体" w:cs="宋体"/>
          <w:b/>
          <w:bCs/>
          <w:color w:val="auto"/>
          <w:sz w:val="28"/>
          <w:szCs w:val="28"/>
          <w:highlight w:val="none"/>
        </w:rPr>
      </w:pPr>
    </w:p>
    <w:p w14:paraId="4DA39478">
      <w:pPr>
        <w:spacing w:before="120" w:line="360" w:lineRule="auto"/>
        <w:ind w:left="960"/>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采购项目名称：</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rPr>
        <w:t xml:space="preserve"> </w:t>
      </w:r>
    </w:p>
    <w:p w14:paraId="01EC6007">
      <w:pPr>
        <w:spacing w:before="120" w:line="360" w:lineRule="auto"/>
        <w:ind w:left="960"/>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 xml:space="preserve">采 </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 xml:space="preserve"> 购 </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 xml:space="preserve"> 人：</w:t>
      </w:r>
      <w:r>
        <w:rPr>
          <w:rFonts w:hint="eastAsia" w:ascii="宋体" w:hAnsi="宋体" w:cs="宋体"/>
          <w:b/>
          <w:bCs/>
          <w:color w:val="auto"/>
          <w:sz w:val="28"/>
          <w:szCs w:val="28"/>
          <w:highlight w:val="none"/>
          <w:u w:val="single"/>
        </w:rPr>
        <w:t xml:space="preserve">                                   </w:t>
      </w:r>
    </w:p>
    <w:p w14:paraId="29BD0CD7">
      <w:pPr>
        <w:spacing w:before="120" w:line="360" w:lineRule="auto"/>
        <w:ind w:left="960"/>
        <w:rPr>
          <w:rFonts w:hint="eastAsia" w:ascii="宋体" w:hAnsi="宋体" w:cs="宋体"/>
          <w:b/>
          <w:bCs/>
          <w:color w:val="auto"/>
          <w:sz w:val="28"/>
          <w:szCs w:val="28"/>
          <w:highlight w:val="none"/>
          <w:u w:val="single"/>
        </w:rPr>
      </w:pPr>
      <w:r>
        <w:rPr>
          <w:rFonts w:hint="eastAsia" w:ascii="宋体" w:hAnsi="宋体" w:cs="宋体"/>
          <w:b/>
          <w:bCs/>
          <w:color w:val="auto"/>
          <w:sz w:val="28"/>
          <w:szCs w:val="28"/>
          <w:highlight w:val="none"/>
        </w:rPr>
        <w:t xml:space="preserve">供 </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 xml:space="preserve"> 应  </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商：</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rPr>
        <w:t xml:space="preserve">    </w:t>
      </w:r>
    </w:p>
    <w:p w14:paraId="7406CA28">
      <w:pPr>
        <w:spacing w:line="360" w:lineRule="auto"/>
        <w:ind w:firstLine="981" w:firstLineChars="34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8"/>
          <w:szCs w:val="28"/>
          <w:highlight w:val="none"/>
        </w:rPr>
        <w:t>签</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署</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日</w:t>
      </w:r>
      <w:r>
        <w:rPr>
          <w:rFonts w:hint="eastAsia" w:ascii="宋体" w:hAnsi="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rPr>
        <w:t>期：</w:t>
      </w:r>
      <w:r>
        <w:rPr>
          <w:rFonts w:hint="eastAsia" w:ascii="宋体" w:hAnsi="宋体" w:cs="宋体"/>
          <w:b/>
          <w:bCs/>
          <w:color w:val="auto"/>
          <w:sz w:val="24"/>
          <w:szCs w:val="24"/>
          <w:highlight w:val="none"/>
          <w:u w:val="single"/>
        </w:rPr>
        <w:t xml:space="preserve">　　　　　　　　　　　　　             </w:t>
      </w:r>
    </w:p>
    <w:p w14:paraId="334E1EF4">
      <w:pPr>
        <w:spacing w:line="480" w:lineRule="exact"/>
        <w:ind w:firstLine="480" w:firstLineChars="200"/>
        <w:jc w:val="left"/>
        <w:rPr>
          <w:rFonts w:ascii="宋体" w:hAnsi="宋体" w:eastAsia="宋体"/>
          <w:color w:val="auto"/>
          <w:sz w:val="24"/>
          <w:szCs w:val="24"/>
          <w:highlight w:val="none"/>
        </w:rPr>
      </w:pPr>
    </w:p>
    <w:p w14:paraId="1C8ECA0C">
      <w:pPr>
        <w:pStyle w:val="2"/>
        <w:spacing w:line="240" w:lineRule="auto"/>
        <w:jc w:val="center"/>
        <w:rPr>
          <w:rFonts w:hint="eastAsia" w:ascii="宋体" w:hAnsi="宋体" w:cs="宋体"/>
          <w:color w:val="auto"/>
          <w:sz w:val="32"/>
          <w:szCs w:val="32"/>
          <w:highlight w:val="none"/>
        </w:rPr>
        <w:sectPr>
          <w:footnotePr>
            <w:pos w:val="beneathText"/>
          </w:footnotePr>
          <w:pgSz w:w="11906" w:h="16838"/>
          <w:pgMar w:top="1701" w:right="1417" w:bottom="1701" w:left="1417" w:header="1088" w:footer="992" w:gutter="0"/>
          <w:pgNumType w:fmt="decimal"/>
          <w:cols w:space="720" w:num="1"/>
          <w:titlePg/>
          <w:rtlGutter w:val="0"/>
          <w:docGrid w:type="lines" w:linePitch="312" w:charSpace="0"/>
        </w:sectPr>
      </w:pPr>
    </w:p>
    <w:p w14:paraId="446F2159">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项目名称：</w:t>
      </w:r>
    </w:p>
    <w:p w14:paraId="72C43846">
      <w:pPr>
        <w:pStyle w:val="7"/>
        <w:spacing w:line="360" w:lineRule="auto"/>
        <w:ind w:left="0" w:leftChars="0" w:firstLine="480" w:firstLineChars="200"/>
        <w:rPr>
          <w:rFonts w:hint="eastAsia" w:ascii="宋体" w:hAnsi="宋体"/>
          <w:color w:val="auto"/>
          <w:sz w:val="24"/>
          <w:highlight w:val="none"/>
          <w:lang w:val="en-US" w:eastAsia="zh-CN"/>
        </w:rPr>
      </w:pPr>
      <w:r>
        <w:rPr>
          <w:rFonts w:hint="eastAsia" w:ascii="宋体" w:hAnsi="宋体" w:eastAsia="宋体" w:cs="Times New Roman"/>
          <w:color w:val="auto"/>
          <w:kern w:val="2"/>
          <w:sz w:val="24"/>
          <w:szCs w:val="20"/>
          <w:highlight w:val="none"/>
          <w:lang w:val="en-US" w:eastAsia="zh-CN" w:bidi="ar-SA"/>
        </w:rPr>
        <w:t>项目编号：</w:t>
      </w:r>
    </w:p>
    <w:p w14:paraId="22FA5626">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甲方（采购人）：                                                    </w:t>
      </w:r>
    </w:p>
    <w:p w14:paraId="6E4021F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乙方（中标人）：                                                </w:t>
      </w:r>
    </w:p>
    <w:p w14:paraId="6FBE79D5">
      <w:pPr>
        <w:spacing w:line="360" w:lineRule="auto"/>
        <w:ind w:firstLine="480" w:firstLineChars="200"/>
        <w:rPr>
          <w:rFonts w:hint="eastAsia" w:ascii="宋体" w:hAnsi="宋体" w:eastAsia="宋体" w:cs="宋体"/>
          <w:sz w:val="24"/>
        </w:rPr>
      </w:pPr>
    </w:p>
    <w:p w14:paraId="19ADEAD2">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一 、合同内容(标的、数量、质量等): </w:t>
      </w:r>
    </w:p>
    <w:p w14:paraId="1785FC69">
      <w:pPr>
        <w:spacing w:line="360" w:lineRule="auto"/>
        <w:ind w:firstLine="480" w:firstLineChars="200"/>
        <w:rPr>
          <w:rFonts w:hint="eastAsia" w:ascii="宋体" w:hAnsi="宋体" w:eastAsia="宋体" w:cs="宋体"/>
          <w:sz w:val="24"/>
        </w:rPr>
      </w:pPr>
      <w:r>
        <w:rPr>
          <w:rFonts w:hint="eastAsia" w:ascii="宋体" w:hAnsi="宋体" w:eastAsia="宋体" w:cs="宋体"/>
          <w:sz w:val="24"/>
        </w:rPr>
        <w:t>二 、合同价款</w:t>
      </w:r>
    </w:p>
    <w:p w14:paraId="74F0B382">
      <w:pPr>
        <w:spacing w:line="360" w:lineRule="auto"/>
        <w:ind w:firstLine="480" w:firstLineChars="200"/>
        <w:rPr>
          <w:rFonts w:hint="eastAsia" w:ascii="宋体" w:hAnsi="宋体" w:eastAsia="宋体" w:cs="宋体"/>
          <w:sz w:val="24"/>
        </w:rPr>
      </w:pPr>
      <w:r>
        <w:rPr>
          <w:rFonts w:hint="eastAsia" w:ascii="宋体" w:hAnsi="宋体" w:eastAsia="宋体" w:cs="宋体"/>
          <w:sz w:val="24"/>
        </w:rPr>
        <w:t>1、合同总价：</w:t>
      </w:r>
    </w:p>
    <w:p w14:paraId="066C5EEC">
      <w:pPr>
        <w:spacing w:line="360" w:lineRule="auto"/>
        <w:ind w:firstLine="480" w:firstLineChars="200"/>
        <w:rPr>
          <w:rFonts w:hint="eastAsia" w:ascii="宋体" w:hAnsi="宋体" w:eastAsia="宋体" w:cs="宋体"/>
          <w:sz w:val="24"/>
        </w:rPr>
      </w:pPr>
      <w:r>
        <w:rPr>
          <w:rFonts w:hint="eastAsia" w:ascii="宋体" w:hAnsi="宋体" w:eastAsia="宋体" w:cs="宋体"/>
          <w:sz w:val="24"/>
        </w:rPr>
        <w:t>2、合同总价包括：</w:t>
      </w:r>
    </w:p>
    <w:p w14:paraId="3A5000C7">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3、合同为固定总价合同，不受市场价变化的影响。 </w:t>
      </w:r>
    </w:p>
    <w:p w14:paraId="73C6D2B8">
      <w:pPr>
        <w:spacing w:line="360" w:lineRule="auto"/>
        <w:ind w:firstLine="480" w:firstLineChars="200"/>
        <w:rPr>
          <w:rFonts w:hint="eastAsia" w:ascii="宋体" w:hAnsi="宋体" w:eastAsia="宋体" w:cs="宋体"/>
          <w:sz w:val="24"/>
        </w:rPr>
      </w:pPr>
      <w:r>
        <w:rPr>
          <w:rFonts w:hint="eastAsia" w:ascii="宋体" w:hAnsi="宋体" w:eastAsia="宋体" w:cs="宋体"/>
          <w:sz w:val="24"/>
        </w:rPr>
        <w:t>三 、合同结算</w:t>
      </w:r>
    </w:p>
    <w:p w14:paraId="43F18BC0">
      <w:pPr>
        <w:numPr>
          <w:ilvl w:val="0"/>
          <w:numId w:val="0"/>
        </w:num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付款比例：</w:t>
      </w:r>
    </w:p>
    <w:p w14:paraId="6585F4F1">
      <w:pPr>
        <w:numPr>
          <w:ilvl w:val="0"/>
          <w:numId w:val="0"/>
        </w:numPr>
        <w:spacing w:line="360" w:lineRule="auto"/>
        <w:ind w:firstLine="480" w:firstLineChars="200"/>
        <w:rPr>
          <w:rFonts w:hint="eastAsia" w:ascii="宋体" w:hAnsi="宋体" w:eastAsia="宋体" w:cs="宋体"/>
          <w:sz w:val="24"/>
        </w:rPr>
      </w:pPr>
      <w:r>
        <w:rPr>
          <w:rFonts w:hint="eastAsia" w:ascii="宋体" w:hAnsi="宋体" w:eastAsia="宋体" w:cs="宋体"/>
          <w:sz w:val="24"/>
        </w:rPr>
        <w:t>2、结算方式：银行转账。</w:t>
      </w:r>
    </w:p>
    <w:p w14:paraId="40F1FC8B">
      <w:pPr>
        <w:spacing w:line="360" w:lineRule="auto"/>
        <w:ind w:firstLine="480" w:firstLineChars="200"/>
        <w:rPr>
          <w:rFonts w:hint="eastAsia" w:ascii="宋体" w:hAnsi="宋体" w:eastAsia="宋体" w:cs="宋体"/>
          <w:sz w:val="24"/>
        </w:rPr>
      </w:pPr>
      <w:r>
        <w:rPr>
          <w:rFonts w:hint="eastAsia" w:ascii="宋体" w:hAnsi="宋体" w:eastAsia="宋体" w:cs="宋体"/>
          <w:sz w:val="24"/>
        </w:rPr>
        <w:t>3、结算单位：由</w:t>
      </w:r>
      <w:r>
        <w:rPr>
          <w:rFonts w:hint="eastAsia" w:ascii="宋体" w:hAnsi="宋体" w:eastAsia="宋体" w:cs="宋体"/>
          <w:sz w:val="24"/>
          <w:u w:val="single"/>
        </w:rPr>
        <w:t xml:space="preserve">           </w:t>
      </w:r>
      <w:r>
        <w:rPr>
          <w:rFonts w:hint="eastAsia" w:ascii="宋体" w:hAnsi="宋体" w:eastAsia="宋体" w:cs="宋体"/>
          <w:sz w:val="24"/>
        </w:rPr>
        <w:t>负责结算，乙方开具合同总价数的全额发票交采购人。</w:t>
      </w:r>
    </w:p>
    <w:p w14:paraId="561E6C5D">
      <w:pPr>
        <w:spacing w:line="360" w:lineRule="auto"/>
        <w:ind w:firstLine="480" w:firstLineChars="200"/>
        <w:rPr>
          <w:rFonts w:hint="eastAsia" w:ascii="宋体" w:hAnsi="宋体" w:eastAsia="宋体" w:cs="宋体"/>
          <w:sz w:val="24"/>
        </w:rPr>
      </w:pPr>
      <w:r>
        <w:rPr>
          <w:rFonts w:hint="eastAsia" w:ascii="宋体" w:hAnsi="宋体" w:eastAsia="宋体" w:cs="宋体"/>
          <w:sz w:val="24"/>
        </w:rPr>
        <w:t>四、履行期限、地点及方式：</w:t>
      </w:r>
    </w:p>
    <w:p w14:paraId="727F8275">
      <w:pPr>
        <w:spacing w:line="360" w:lineRule="auto"/>
        <w:ind w:firstLine="480" w:firstLineChars="200"/>
        <w:rPr>
          <w:rFonts w:hint="eastAsia" w:ascii="宋体" w:hAnsi="宋体" w:eastAsia="宋体" w:cs="宋体"/>
          <w:sz w:val="24"/>
        </w:rPr>
      </w:pPr>
      <w:r>
        <w:rPr>
          <w:rFonts w:hint="eastAsia" w:ascii="宋体" w:hAnsi="宋体" w:eastAsia="宋体" w:cs="宋体"/>
          <w:sz w:val="24"/>
        </w:rPr>
        <w:t>1、履行期限：</w:t>
      </w:r>
    </w:p>
    <w:p w14:paraId="6F0F70E5">
      <w:pPr>
        <w:spacing w:line="360" w:lineRule="auto"/>
        <w:ind w:firstLine="480" w:firstLineChars="200"/>
        <w:rPr>
          <w:rFonts w:hint="eastAsia" w:ascii="宋体" w:hAnsi="宋体" w:eastAsia="宋体" w:cs="宋体"/>
          <w:sz w:val="24"/>
        </w:rPr>
      </w:pPr>
      <w:r>
        <w:rPr>
          <w:rFonts w:hint="eastAsia" w:ascii="宋体" w:hAnsi="宋体" w:eastAsia="宋体" w:cs="宋体"/>
          <w:sz w:val="24"/>
        </w:rPr>
        <w:t>2、地点：</w:t>
      </w:r>
    </w:p>
    <w:p w14:paraId="0A773E85">
      <w:pPr>
        <w:spacing w:line="360" w:lineRule="auto"/>
        <w:ind w:firstLine="480" w:firstLineChars="200"/>
        <w:rPr>
          <w:rFonts w:hint="eastAsia" w:ascii="宋体" w:hAnsi="宋体" w:eastAsia="宋体" w:cs="宋体"/>
          <w:sz w:val="24"/>
        </w:rPr>
      </w:pPr>
      <w:r>
        <w:rPr>
          <w:rFonts w:hint="eastAsia" w:ascii="宋体" w:hAnsi="宋体" w:eastAsia="宋体" w:cs="宋体"/>
          <w:sz w:val="24"/>
        </w:rPr>
        <w:t>3、方式：</w:t>
      </w:r>
    </w:p>
    <w:p w14:paraId="147ED87A">
      <w:pPr>
        <w:spacing w:line="360" w:lineRule="auto"/>
        <w:ind w:firstLine="480" w:firstLineChars="200"/>
        <w:rPr>
          <w:rFonts w:hint="eastAsia" w:ascii="宋体" w:hAnsi="宋体" w:eastAsia="宋体" w:cs="宋体"/>
          <w:sz w:val="24"/>
        </w:rPr>
      </w:pPr>
      <w:r>
        <w:rPr>
          <w:rFonts w:hint="eastAsia" w:ascii="宋体" w:hAnsi="宋体" w:eastAsia="宋体" w:cs="宋体"/>
          <w:sz w:val="24"/>
        </w:rPr>
        <w:t>五、技术服务</w:t>
      </w:r>
    </w:p>
    <w:p w14:paraId="0418B1AB">
      <w:pPr>
        <w:spacing w:line="360" w:lineRule="auto"/>
        <w:ind w:firstLine="480" w:firstLineChars="200"/>
        <w:rPr>
          <w:rFonts w:hint="eastAsia" w:ascii="宋体" w:hAnsi="宋体" w:eastAsia="宋体" w:cs="宋体"/>
          <w:sz w:val="24"/>
        </w:rPr>
      </w:pPr>
      <w:r>
        <w:rPr>
          <w:rFonts w:hint="eastAsia" w:ascii="宋体" w:hAnsi="宋体" w:eastAsia="宋体" w:cs="宋体"/>
          <w:sz w:val="24"/>
        </w:rPr>
        <w:t>1、对技术服务的要求：</w:t>
      </w:r>
    </w:p>
    <w:p w14:paraId="10508270">
      <w:pPr>
        <w:spacing w:line="360" w:lineRule="auto"/>
        <w:ind w:firstLine="480" w:firstLineChars="200"/>
        <w:rPr>
          <w:rFonts w:hint="eastAsia" w:ascii="宋体" w:hAnsi="宋体" w:eastAsia="宋体" w:cs="宋体"/>
          <w:sz w:val="24"/>
        </w:rPr>
      </w:pPr>
      <w:r>
        <w:rPr>
          <w:rFonts w:hint="eastAsia" w:ascii="宋体" w:hAnsi="宋体" w:eastAsia="宋体" w:cs="宋体"/>
          <w:sz w:val="24"/>
        </w:rPr>
        <w:t>2、技术资料：</w:t>
      </w:r>
    </w:p>
    <w:p w14:paraId="0538C1E8">
      <w:pPr>
        <w:spacing w:line="360" w:lineRule="auto"/>
        <w:ind w:firstLine="480" w:firstLineChars="200"/>
        <w:rPr>
          <w:rFonts w:hint="eastAsia" w:ascii="宋体" w:hAnsi="宋体" w:eastAsia="宋体" w:cs="宋体"/>
          <w:sz w:val="24"/>
        </w:rPr>
      </w:pPr>
      <w:r>
        <w:rPr>
          <w:rFonts w:hint="eastAsia" w:ascii="宋体" w:hAnsi="宋体" w:eastAsia="宋体" w:cs="宋体"/>
          <w:sz w:val="24"/>
        </w:rPr>
        <w:t>3、技术培训：</w:t>
      </w:r>
    </w:p>
    <w:p w14:paraId="4947FC70">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3-1、培训内容： </w:t>
      </w:r>
    </w:p>
    <w:p w14:paraId="4EFAA694">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3-2、培训地点： </w:t>
      </w:r>
    </w:p>
    <w:p w14:paraId="7954FD71">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3-3、培训时间： </w:t>
      </w:r>
    </w:p>
    <w:p w14:paraId="071BBC7A">
      <w:pPr>
        <w:spacing w:line="360" w:lineRule="auto"/>
        <w:ind w:firstLine="480" w:firstLineChars="200"/>
        <w:rPr>
          <w:rFonts w:hint="eastAsia" w:ascii="宋体" w:hAnsi="宋体" w:eastAsia="宋体" w:cs="宋体"/>
          <w:sz w:val="24"/>
        </w:rPr>
      </w:pPr>
      <w:r>
        <w:rPr>
          <w:rFonts w:hint="eastAsia" w:ascii="宋体" w:hAnsi="宋体" w:eastAsia="宋体" w:cs="宋体"/>
          <w:sz w:val="24"/>
        </w:rPr>
        <w:t>3-4、培训人数：</w:t>
      </w:r>
    </w:p>
    <w:p w14:paraId="3F052B9B">
      <w:pPr>
        <w:spacing w:line="360" w:lineRule="auto"/>
        <w:ind w:firstLine="480" w:firstLineChars="200"/>
        <w:rPr>
          <w:rFonts w:hint="eastAsia" w:ascii="宋体" w:hAnsi="宋体" w:eastAsia="宋体" w:cs="宋体"/>
          <w:sz w:val="24"/>
        </w:rPr>
      </w:pPr>
      <w:r>
        <w:rPr>
          <w:rFonts w:hint="eastAsia" w:ascii="宋体" w:hAnsi="宋体" w:eastAsia="宋体" w:cs="宋体"/>
          <w:sz w:val="24"/>
        </w:rPr>
        <w:t>3-5、培训费用：受训人员的食宿费、资料费、培训场地费、耗材(包括水电费等)费等已包含在合同总价中，甲方不再另行支付。</w:t>
      </w:r>
    </w:p>
    <w:p w14:paraId="09739B60">
      <w:pPr>
        <w:spacing w:line="360" w:lineRule="auto"/>
        <w:ind w:firstLine="480" w:firstLineChars="200"/>
        <w:rPr>
          <w:rFonts w:hint="eastAsia" w:ascii="宋体" w:hAnsi="宋体" w:eastAsia="宋体" w:cs="宋体"/>
          <w:sz w:val="24"/>
        </w:rPr>
      </w:pPr>
      <w:r>
        <w:rPr>
          <w:rFonts w:hint="eastAsia" w:ascii="宋体" w:hAnsi="宋体" w:eastAsia="宋体" w:cs="宋体"/>
          <w:sz w:val="24"/>
        </w:rPr>
        <w:t>4、售后服务</w:t>
      </w:r>
    </w:p>
    <w:p w14:paraId="652B390F">
      <w:pPr>
        <w:spacing w:line="360" w:lineRule="auto"/>
        <w:ind w:firstLine="480" w:firstLineChars="200"/>
        <w:rPr>
          <w:rFonts w:hint="eastAsia" w:ascii="宋体" w:hAnsi="宋体" w:eastAsia="宋体" w:cs="宋体"/>
          <w:sz w:val="24"/>
        </w:rPr>
      </w:pPr>
      <w:r>
        <w:rPr>
          <w:rFonts w:hint="eastAsia" w:ascii="宋体" w:hAnsi="宋体" w:eastAsia="宋体" w:cs="宋体"/>
          <w:sz w:val="24"/>
        </w:rPr>
        <w:t>4-1、乙方在接到甲方电话通知后在   小时内派出合格的服务人员到达现场进行服 务，承担相应费用。</w:t>
      </w:r>
    </w:p>
    <w:p w14:paraId="1839343C">
      <w:pPr>
        <w:spacing w:line="360" w:lineRule="auto"/>
        <w:ind w:firstLine="480" w:firstLineChars="200"/>
        <w:rPr>
          <w:rFonts w:hint="eastAsia" w:ascii="宋体" w:hAnsi="宋体" w:eastAsia="宋体" w:cs="宋体"/>
          <w:sz w:val="24"/>
        </w:rPr>
      </w:pPr>
      <w:r>
        <w:rPr>
          <w:rFonts w:hint="eastAsia" w:ascii="宋体" w:hAnsi="宋体" w:eastAsia="宋体" w:cs="宋体"/>
          <w:sz w:val="24"/>
        </w:rPr>
        <w:t>4-2、如果乙方在收到通知后两天内没有弥补缺陷，甲方可采取必要的补救措施， 但其风险和费用将由乙方承担，甲方根据合同规定对乙方行使的其它权力不受影响。</w:t>
      </w:r>
    </w:p>
    <w:p w14:paraId="2E5B7E07">
      <w:pPr>
        <w:spacing w:line="360" w:lineRule="auto"/>
        <w:ind w:firstLine="480" w:firstLineChars="200"/>
        <w:rPr>
          <w:rFonts w:hint="eastAsia" w:ascii="宋体" w:hAnsi="宋体" w:eastAsia="宋体" w:cs="宋体"/>
          <w:sz w:val="24"/>
        </w:rPr>
      </w:pPr>
      <w:r>
        <w:rPr>
          <w:rFonts w:hint="eastAsia" w:ascii="宋体" w:hAnsi="宋体" w:eastAsia="宋体" w:cs="宋体"/>
          <w:sz w:val="24"/>
        </w:rPr>
        <w:t>六 、验 收</w:t>
      </w:r>
    </w:p>
    <w:p w14:paraId="6BA19F8E">
      <w:pPr>
        <w:spacing w:line="360" w:lineRule="auto"/>
        <w:ind w:firstLine="480" w:firstLineChars="200"/>
        <w:rPr>
          <w:rFonts w:hint="eastAsia" w:ascii="宋体" w:hAnsi="宋体" w:eastAsia="宋体" w:cs="宋体"/>
          <w:sz w:val="24"/>
        </w:rPr>
      </w:pPr>
      <w:r>
        <w:rPr>
          <w:rFonts w:hint="eastAsia" w:ascii="宋体" w:hAnsi="宋体" w:eastAsia="宋体" w:cs="宋体"/>
          <w:sz w:val="24"/>
        </w:rPr>
        <w:t>1、验收：乙方完成服务内容后，向甲方提出验收申请，甲方接到乙方验收申请后 组织验收(必要时可聘请相应专家或委托相应部门验收),验收合格后，出具使用验收 合格证明。</w:t>
      </w:r>
    </w:p>
    <w:p w14:paraId="0441C93F">
      <w:pPr>
        <w:spacing w:line="360" w:lineRule="auto"/>
        <w:ind w:firstLine="480" w:firstLineChars="200"/>
        <w:rPr>
          <w:rFonts w:hint="eastAsia" w:ascii="宋体" w:hAnsi="宋体" w:eastAsia="宋体" w:cs="宋体"/>
          <w:sz w:val="24"/>
        </w:rPr>
      </w:pPr>
      <w:r>
        <w:rPr>
          <w:rFonts w:hint="eastAsia" w:ascii="宋体" w:hAnsi="宋体" w:eastAsia="宋体" w:cs="宋体"/>
          <w:sz w:val="24"/>
        </w:rPr>
        <w:t>2、最终验收：最终验收结果作为付款依据，乙方填写验收单，并向甲方提交实施 过程中的所有资料，以便甲方日后管理和维护。</w:t>
      </w:r>
    </w:p>
    <w:p w14:paraId="1E77DD28">
      <w:pPr>
        <w:spacing w:line="360" w:lineRule="auto"/>
        <w:ind w:firstLine="480" w:firstLineChars="200"/>
        <w:rPr>
          <w:rFonts w:hint="eastAsia" w:ascii="宋体" w:hAnsi="宋体" w:eastAsia="宋体" w:cs="宋体"/>
          <w:sz w:val="24"/>
        </w:rPr>
      </w:pPr>
      <w:r>
        <w:rPr>
          <w:rFonts w:hint="eastAsia" w:ascii="宋体" w:hAnsi="宋体" w:eastAsia="宋体" w:cs="宋体"/>
          <w:sz w:val="24"/>
        </w:rPr>
        <w:t>3、质保期满后：由乙方出具质保期运行质量报告，若存在质量问题，应按相应规 定协商处理。</w:t>
      </w:r>
    </w:p>
    <w:p w14:paraId="68504E36">
      <w:pPr>
        <w:spacing w:line="360" w:lineRule="auto"/>
        <w:ind w:firstLine="480" w:firstLineChars="200"/>
        <w:rPr>
          <w:rFonts w:hint="eastAsia" w:ascii="宋体" w:hAnsi="宋体" w:eastAsia="宋体" w:cs="宋体"/>
          <w:sz w:val="24"/>
        </w:rPr>
      </w:pPr>
      <w:r>
        <w:rPr>
          <w:rFonts w:hint="eastAsia" w:ascii="宋体" w:hAnsi="宋体" w:eastAsia="宋体" w:cs="宋体"/>
          <w:sz w:val="24"/>
        </w:rPr>
        <w:t>4、验收依据：</w:t>
      </w:r>
    </w:p>
    <w:p w14:paraId="33A9C8C0">
      <w:pPr>
        <w:spacing w:line="360" w:lineRule="auto"/>
        <w:ind w:firstLine="480" w:firstLineChars="200"/>
        <w:rPr>
          <w:rFonts w:hint="eastAsia" w:ascii="宋体" w:hAnsi="宋体" w:eastAsia="宋体" w:cs="宋体"/>
          <w:sz w:val="24"/>
        </w:rPr>
      </w:pPr>
      <w:r>
        <w:rPr>
          <w:rFonts w:hint="eastAsia" w:ascii="宋体" w:hAnsi="宋体" w:eastAsia="宋体" w:cs="宋体"/>
          <w:sz w:val="24"/>
        </w:rPr>
        <w:t>4-1、合同文本、合同附件、</w:t>
      </w:r>
      <w:r>
        <w:rPr>
          <w:rFonts w:hint="eastAsia" w:ascii="宋体" w:hAnsi="宋体" w:eastAsia="宋体" w:cs="宋体"/>
          <w:sz w:val="24"/>
          <w:lang w:val="en-US" w:eastAsia="zh-CN"/>
        </w:rPr>
        <w:t>谈判</w:t>
      </w:r>
      <w:r>
        <w:rPr>
          <w:rFonts w:hint="eastAsia" w:ascii="宋体" w:hAnsi="宋体" w:eastAsia="宋体" w:cs="宋体"/>
          <w:sz w:val="24"/>
        </w:rPr>
        <w:t>文件、</w:t>
      </w:r>
      <w:r>
        <w:rPr>
          <w:rFonts w:hint="eastAsia" w:ascii="宋体" w:hAnsi="宋体" w:eastAsia="宋体" w:cs="宋体"/>
          <w:sz w:val="24"/>
          <w:lang w:val="en-US" w:eastAsia="zh-CN"/>
        </w:rPr>
        <w:t>响应</w:t>
      </w:r>
      <w:r>
        <w:rPr>
          <w:rFonts w:hint="eastAsia" w:ascii="宋体" w:hAnsi="宋体" w:eastAsia="宋体" w:cs="宋体"/>
          <w:sz w:val="24"/>
        </w:rPr>
        <w:t xml:space="preserve">文件。 </w:t>
      </w:r>
    </w:p>
    <w:p w14:paraId="787C07E1">
      <w:pPr>
        <w:spacing w:line="360" w:lineRule="auto"/>
        <w:ind w:firstLine="480" w:firstLineChars="200"/>
        <w:rPr>
          <w:rFonts w:hint="eastAsia" w:ascii="宋体" w:hAnsi="宋体" w:eastAsia="宋体" w:cs="宋体"/>
          <w:sz w:val="24"/>
        </w:rPr>
      </w:pPr>
      <w:r>
        <w:rPr>
          <w:rFonts w:hint="eastAsia" w:ascii="宋体" w:hAnsi="宋体" w:eastAsia="宋体" w:cs="宋体"/>
          <w:sz w:val="24"/>
        </w:rPr>
        <w:t>4-2、国内相应的标准、规范。</w:t>
      </w:r>
    </w:p>
    <w:p w14:paraId="32570E24">
      <w:pPr>
        <w:spacing w:line="360" w:lineRule="auto"/>
        <w:ind w:firstLine="480" w:firstLineChars="200"/>
        <w:rPr>
          <w:rFonts w:hint="eastAsia" w:ascii="宋体" w:hAnsi="宋体" w:eastAsia="宋体" w:cs="宋体"/>
          <w:sz w:val="24"/>
        </w:rPr>
      </w:pPr>
      <w:r>
        <w:rPr>
          <w:rFonts w:hint="eastAsia" w:ascii="宋体" w:hAnsi="宋体" w:eastAsia="宋体" w:cs="宋体"/>
          <w:sz w:val="24"/>
        </w:rPr>
        <w:t>七、违约责任</w:t>
      </w:r>
    </w:p>
    <w:p w14:paraId="19B47B82">
      <w:pPr>
        <w:spacing w:line="360" w:lineRule="auto"/>
        <w:ind w:firstLine="480" w:firstLineChars="200"/>
        <w:rPr>
          <w:rFonts w:hint="eastAsia" w:ascii="宋体" w:hAnsi="宋体" w:eastAsia="宋体" w:cs="宋体"/>
          <w:sz w:val="24"/>
        </w:rPr>
      </w:pPr>
      <w:r>
        <w:rPr>
          <w:rFonts w:hint="eastAsia" w:ascii="宋体" w:hAnsi="宋体" w:eastAsia="宋体" w:cs="宋体"/>
          <w:sz w:val="24"/>
        </w:rPr>
        <w:t>1、按《中华人民共和国民法典》中的相关条款执行。</w:t>
      </w:r>
    </w:p>
    <w:p w14:paraId="54B9D2F4">
      <w:pPr>
        <w:spacing w:line="360" w:lineRule="auto"/>
        <w:ind w:firstLine="480" w:firstLineChars="200"/>
        <w:rPr>
          <w:rFonts w:hint="eastAsia" w:ascii="宋体" w:hAnsi="宋体" w:eastAsia="宋体" w:cs="宋体"/>
          <w:sz w:val="24"/>
        </w:rPr>
      </w:pPr>
      <w:r>
        <w:rPr>
          <w:rFonts w:hint="eastAsia" w:ascii="宋体" w:hAnsi="宋体" w:eastAsia="宋体" w:cs="宋体"/>
          <w:sz w:val="24"/>
        </w:rPr>
        <w:t>2、乙方履约延误</w:t>
      </w:r>
    </w:p>
    <w:p w14:paraId="4B9FC52E">
      <w:pPr>
        <w:spacing w:line="360" w:lineRule="auto"/>
        <w:ind w:firstLine="480" w:firstLineChars="200"/>
        <w:rPr>
          <w:rFonts w:hint="eastAsia" w:ascii="宋体" w:hAnsi="宋体" w:eastAsia="宋体" w:cs="宋体"/>
          <w:sz w:val="24"/>
        </w:rPr>
      </w:pPr>
      <w:r>
        <w:rPr>
          <w:rFonts w:hint="eastAsia" w:ascii="宋体" w:hAnsi="宋体" w:eastAsia="宋体" w:cs="宋体"/>
          <w:sz w:val="24"/>
        </w:rPr>
        <w:t>2-1、如乙方事先未征得甲方同意并得到甲方的谅解而单方面延迟执行合同，将按</w:t>
      </w:r>
    </w:p>
    <w:p w14:paraId="7844E8B5">
      <w:pPr>
        <w:spacing w:line="360" w:lineRule="auto"/>
        <w:ind w:firstLine="480" w:firstLineChars="200"/>
        <w:rPr>
          <w:rFonts w:hint="eastAsia" w:ascii="宋体" w:hAnsi="宋体" w:eastAsia="宋体" w:cs="宋体"/>
          <w:sz w:val="24"/>
        </w:rPr>
      </w:pPr>
      <w:r>
        <w:rPr>
          <w:rFonts w:hint="eastAsia" w:ascii="宋体" w:hAnsi="宋体" w:eastAsia="宋体" w:cs="宋体"/>
          <w:sz w:val="24"/>
        </w:rPr>
        <w:t>违约终止合同。</w:t>
      </w:r>
    </w:p>
    <w:p w14:paraId="37F22832">
      <w:pPr>
        <w:spacing w:line="360" w:lineRule="auto"/>
        <w:ind w:firstLine="480" w:firstLineChars="200"/>
        <w:rPr>
          <w:rFonts w:hint="eastAsia" w:ascii="宋体" w:hAnsi="宋体" w:eastAsia="宋体" w:cs="宋体"/>
          <w:sz w:val="24"/>
        </w:rPr>
      </w:pPr>
      <w:r>
        <w:rPr>
          <w:rFonts w:hint="eastAsia" w:ascii="宋体" w:hAnsi="宋体" w:eastAsia="宋体" w:cs="宋体"/>
          <w:sz w:val="24"/>
        </w:rPr>
        <w:t>2-2、在履行合同过程中，如果乙方遇到可能妨碍按时提供服务的情况，应及时以 书面形式将拖延的事实，可能拖延的期限和理由通知甲方。甲方在收到乙方通知后，应 尽快对情况进行评价，并确定是否通过修改合同，酌情延长交货时间或对乙方加收误期 赔偿金。每延误一周的赔偿费按合同金额的百分之零点五(0.5%)计收，直至提供服务 为止。误期赔偿费的最高限额为合同价格的百分之五(5%)。 一旦达到误期赔偿费的最 高限额，甲方可终止合同。</w:t>
      </w:r>
    </w:p>
    <w:p w14:paraId="5E99EE0A">
      <w:pPr>
        <w:spacing w:line="360" w:lineRule="auto"/>
        <w:ind w:firstLine="480" w:firstLineChars="200"/>
        <w:rPr>
          <w:rFonts w:hint="eastAsia" w:ascii="宋体" w:hAnsi="宋体" w:eastAsia="宋体" w:cs="宋体"/>
          <w:sz w:val="24"/>
        </w:rPr>
      </w:pPr>
      <w:r>
        <w:rPr>
          <w:rFonts w:hint="eastAsia" w:ascii="宋体" w:hAnsi="宋体" w:eastAsia="宋体" w:cs="宋体"/>
          <w:sz w:val="24"/>
        </w:rPr>
        <w:t>3、违约终止合同：未按合同要求提供服务或不能满足技术要求，甲方会同监督机 构有权终止合同，对乙方违约行为进行追究，同时按政府采购法的有关规定进行相应的</w:t>
      </w:r>
      <w:bookmarkStart w:id="436" w:name="bookmark10"/>
      <w:bookmarkEnd w:id="436"/>
      <w:r>
        <w:rPr>
          <w:rFonts w:hint="eastAsia" w:ascii="宋体" w:hAnsi="宋体" w:eastAsia="宋体" w:cs="宋体"/>
          <w:sz w:val="24"/>
        </w:rPr>
        <w:t>处罚 。</w:t>
      </w:r>
    </w:p>
    <w:p w14:paraId="1987C309">
      <w:pPr>
        <w:spacing w:line="360" w:lineRule="auto"/>
        <w:ind w:firstLine="480" w:firstLineChars="200"/>
        <w:rPr>
          <w:rFonts w:hint="eastAsia" w:ascii="宋体" w:hAnsi="宋体" w:eastAsia="宋体" w:cs="宋体"/>
          <w:sz w:val="24"/>
        </w:rPr>
      </w:pPr>
      <w:r>
        <w:rPr>
          <w:rFonts w:hint="eastAsia" w:ascii="宋体" w:hAnsi="宋体" w:eastAsia="宋体" w:cs="宋体"/>
          <w:sz w:val="24"/>
        </w:rPr>
        <w:t>八 、 合同组成</w:t>
      </w:r>
    </w:p>
    <w:p w14:paraId="121E47EC">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成交</w:t>
      </w:r>
      <w:r>
        <w:rPr>
          <w:rFonts w:hint="eastAsia" w:ascii="宋体" w:hAnsi="宋体" w:eastAsia="宋体" w:cs="宋体"/>
          <w:sz w:val="24"/>
        </w:rPr>
        <w:t>通知书</w:t>
      </w:r>
    </w:p>
    <w:p w14:paraId="2FD3FBB2">
      <w:pPr>
        <w:spacing w:line="360" w:lineRule="auto"/>
        <w:ind w:firstLine="480" w:firstLineChars="200"/>
        <w:rPr>
          <w:rFonts w:hint="eastAsia" w:ascii="宋体" w:hAnsi="宋体" w:eastAsia="宋体" w:cs="宋体"/>
          <w:sz w:val="24"/>
        </w:rPr>
      </w:pPr>
      <w:r>
        <w:rPr>
          <w:rFonts w:hint="eastAsia" w:ascii="宋体" w:hAnsi="宋体" w:eastAsia="宋体" w:cs="宋体"/>
          <w:sz w:val="24"/>
        </w:rPr>
        <w:t>2、合同文件</w:t>
      </w:r>
    </w:p>
    <w:p w14:paraId="26449622">
      <w:pPr>
        <w:spacing w:line="360" w:lineRule="auto"/>
        <w:ind w:firstLine="480" w:firstLineChars="200"/>
        <w:rPr>
          <w:rFonts w:hint="eastAsia" w:ascii="宋体" w:hAnsi="宋体" w:eastAsia="宋体" w:cs="宋体"/>
          <w:sz w:val="24"/>
        </w:rPr>
      </w:pPr>
      <w:r>
        <w:rPr>
          <w:rFonts w:hint="eastAsia" w:ascii="宋体" w:hAnsi="宋体" w:eastAsia="宋体" w:cs="宋体"/>
          <w:sz w:val="24"/>
        </w:rPr>
        <w:t>3、国家相关规范及标准</w:t>
      </w:r>
    </w:p>
    <w:p w14:paraId="1468C124">
      <w:pPr>
        <w:spacing w:line="360" w:lineRule="auto"/>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谈判</w:t>
      </w:r>
      <w:r>
        <w:rPr>
          <w:rFonts w:hint="eastAsia" w:ascii="宋体" w:hAnsi="宋体" w:eastAsia="宋体" w:cs="宋体"/>
          <w:sz w:val="24"/>
        </w:rPr>
        <w:t>文件</w:t>
      </w:r>
    </w:p>
    <w:p w14:paraId="4F4504E4">
      <w:pPr>
        <w:spacing w:line="360" w:lineRule="auto"/>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响应</w:t>
      </w:r>
      <w:r>
        <w:rPr>
          <w:rFonts w:hint="eastAsia" w:ascii="宋体" w:hAnsi="宋体" w:eastAsia="宋体" w:cs="宋体"/>
          <w:sz w:val="24"/>
        </w:rPr>
        <w:t>文件</w:t>
      </w:r>
    </w:p>
    <w:p w14:paraId="0B3C892C">
      <w:pPr>
        <w:spacing w:line="360" w:lineRule="auto"/>
        <w:ind w:firstLine="480" w:firstLineChars="200"/>
        <w:rPr>
          <w:rFonts w:hint="eastAsia" w:ascii="宋体" w:hAnsi="宋体" w:eastAsia="宋体" w:cs="宋体"/>
          <w:sz w:val="24"/>
        </w:rPr>
      </w:pPr>
      <w:r>
        <w:rPr>
          <w:rFonts w:hint="eastAsia" w:ascii="宋体" w:hAnsi="宋体" w:eastAsia="宋体" w:cs="宋体"/>
          <w:sz w:val="24"/>
        </w:rPr>
        <w:t>九 、解决争议的方法</w:t>
      </w:r>
    </w:p>
    <w:p w14:paraId="7497E29B">
      <w:pPr>
        <w:spacing w:line="360" w:lineRule="auto"/>
        <w:ind w:firstLine="480" w:firstLineChars="200"/>
        <w:rPr>
          <w:rFonts w:hint="eastAsia" w:ascii="宋体" w:hAnsi="宋体" w:eastAsia="宋体" w:cs="宋体"/>
          <w:sz w:val="24"/>
        </w:rPr>
      </w:pPr>
      <w:r>
        <w:rPr>
          <w:rFonts w:hint="eastAsia" w:ascii="宋体" w:hAnsi="宋体" w:eastAsia="宋体" w:cs="宋体"/>
          <w:sz w:val="24"/>
        </w:rPr>
        <w:t>凡因本合同引起的或与本合同有关的争议，双方应友好协商解决。协商不成时，双 方均同意采用以下第(</w:t>
      </w:r>
      <w:r>
        <w:rPr>
          <w:rFonts w:hint="eastAsia" w:ascii="宋体" w:hAnsi="宋体" w:eastAsia="宋体" w:cs="宋体"/>
          <w:sz w:val="24"/>
          <w:lang w:val="en-US" w:eastAsia="zh-CN"/>
        </w:rPr>
        <w:t xml:space="preserve">  </w:t>
      </w:r>
      <w:r>
        <w:rPr>
          <w:rFonts w:hint="eastAsia" w:ascii="宋体" w:hAnsi="宋体" w:eastAsia="宋体" w:cs="宋体"/>
          <w:sz w:val="24"/>
        </w:rPr>
        <w:t>)种争议解决方式：</w:t>
      </w:r>
    </w:p>
    <w:p w14:paraId="1676E456">
      <w:pPr>
        <w:spacing w:line="360" w:lineRule="auto"/>
        <w:ind w:firstLine="480" w:firstLineChars="200"/>
        <w:rPr>
          <w:rFonts w:hint="eastAsia" w:ascii="宋体" w:hAnsi="宋体" w:eastAsia="宋体" w:cs="宋体"/>
          <w:sz w:val="24"/>
        </w:rPr>
      </w:pPr>
      <w:r>
        <w:rPr>
          <w:rFonts w:hint="eastAsia" w:ascii="宋体" w:hAnsi="宋体" w:eastAsia="宋体" w:cs="宋体"/>
          <w:sz w:val="24"/>
        </w:rPr>
        <w:t>1、甲、乙双方均同意向(甲方所在地人民法院)提起诉讼。</w:t>
      </w:r>
    </w:p>
    <w:p w14:paraId="1C82F06A">
      <w:pPr>
        <w:spacing w:line="360" w:lineRule="auto"/>
        <w:ind w:firstLine="480" w:firstLineChars="200"/>
        <w:rPr>
          <w:rFonts w:hint="eastAsia" w:ascii="宋体" w:hAnsi="宋体" w:eastAsia="宋体" w:cs="宋体"/>
          <w:sz w:val="24"/>
        </w:rPr>
      </w:pPr>
      <w:r>
        <w:rPr>
          <w:rFonts w:hint="eastAsia" w:ascii="宋体" w:hAnsi="宋体" w:eastAsia="宋体" w:cs="宋体"/>
          <w:sz w:val="24"/>
        </w:rPr>
        <w:t>2、甲、乙双方均同意向(仲裁委员会)提起仲裁。</w:t>
      </w:r>
    </w:p>
    <w:p w14:paraId="74ACBEC3">
      <w:pPr>
        <w:spacing w:line="360" w:lineRule="auto"/>
        <w:ind w:firstLine="480" w:firstLineChars="200"/>
        <w:rPr>
          <w:rFonts w:hint="eastAsia" w:ascii="宋体" w:hAnsi="宋体" w:eastAsia="宋体" w:cs="宋体"/>
          <w:sz w:val="24"/>
        </w:rPr>
      </w:pPr>
      <w:r>
        <w:rPr>
          <w:rFonts w:hint="eastAsia" w:ascii="宋体" w:hAnsi="宋体" w:eastAsia="宋体" w:cs="宋体"/>
          <w:sz w:val="24"/>
        </w:rPr>
        <w:t>十、合同生效及其它</w:t>
      </w:r>
    </w:p>
    <w:p w14:paraId="69A05B0B">
      <w:pPr>
        <w:spacing w:line="360" w:lineRule="auto"/>
        <w:ind w:firstLine="480" w:firstLineChars="200"/>
        <w:rPr>
          <w:rFonts w:hint="eastAsia" w:ascii="宋体" w:hAnsi="宋体" w:eastAsia="宋体" w:cs="宋体"/>
          <w:sz w:val="24"/>
        </w:rPr>
      </w:pPr>
      <w:r>
        <w:rPr>
          <w:rFonts w:hint="eastAsia" w:ascii="宋体" w:hAnsi="宋体" w:eastAsia="宋体" w:cs="宋体"/>
          <w:sz w:val="24"/>
        </w:rPr>
        <w:t>1、合同未尽事宜、由甲、乙双方协商，作为合同补充，与原合同具有同等法律效力。</w:t>
      </w:r>
    </w:p>
    <w:p w14:paraId="3A064878">
      <w:pPr>
        <w:spacing w:line="360" w:lineRule="auto"/>
        <w:ind w:firstLine="480" w:firstLineChars="200"/>
        <w:rPr>
          <w:rFonts w:hint="eastAsia" w:ascii="宋体" w:hAnsi="宋体" w:eastAsia="宋体" w:cs="宋体"/>
          <w:sz w:val="24"/>
        </w:rPr>
      </w:pPr>
      <w:r>
        <w:rPr>
          <w:rFonts w:hint="eastAsia" w:ascii="宋体" w:hAnsi="宋体" w:eastAsia="宋体" w:cs="宋体"/>
          <w:sz w:val="24"/>
        </w:rPr>
        <w:t>2、 本合同正本 一 式    分，甲方、乙方双方分别执     份，         备 案   份 。</w:t>
      </w:r>
    </w:p>
    <w:p w14:paraId="4FC81508">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3、合同经甲乙双方盖章、签字后生效，合同签订地点为    </w:t>
      </w:r>
    </w:p>
    <w:p w14:paraId="790B98EC">
      <w:pPr>
        <w:spacing w:line="360" w:lineRule="auto"/>
        <w:ind w:firstLine="480" w:firstLineChars="200"/>
        <w:rPr>
          <w:rFonts w:hint="eastAsia" w:ascii="宋体" w:hAnsi="宋体" w:eastAsia="宋体" w:cs="宋体"/>
          <w:sz w:val="24"/>
        </w:rPr>
      </w:pPr>
      <w:r>
        <w:rPr>
          <w:rFonts w:hint="eastAsia" w:ascii="宋体" w:hAnsi="宋体" w:eastAsia="宋体" w:cs="宋体"/>
          <w:sz w:val="24"/>
        </w:rPr>
        <w:t>4、生效时间：  年  月  日</w:t>
      </w:r>
    </w:p>
    <w:p w14:paraId="082089F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          </w:t>
      </w:r>
    </w:p>
    <w:p w14:paraId="156F728E">
      <w:pPr>
        <w:spacing w:line="360" w:lineRule="auto"/>
        <w:rPr>
          <w:rFonts w:hint="eastAsia" w:ascii="宋体" w:hAnsi="宋体"/>
          <w:color w:val="auto"/>
          <w:sz w:val="24"/>
          <w:highlight w:val="none"/>
        </w:rPr>
      </w:pPr>
    </w:p>
    <w:p w14:paraId="1987794D">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color w:val="auto"/>
          <w:sz w:val="24"/>
          <w:highlight w:val="none"/>
        </w:rPr>
        <w:t xml:space="preserve">甲方：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乙方：</w:t>
      </w:r>
    </w:p>
    <w:p w14:paraId="321C7C4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单位名称(公章)：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单位名称(公章)：</w:t>
      </w:r>
    </w:p>
    <w:p w14:paraId="05C630B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法定代表人或其授权代表（签字）：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法定代表人或其授权代表（签字）：</w:t>
      </w:r>
    </w:p>
    <w:p w14:paraId="2402F235">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color w:val="auto"/>
          <w:sz w:val="24"/>
          <w:highlight w:val="none"/>
        </w:rPr>
        <w:t>开户银行：</w:t>
      </w:r>
      <w:r>
        <w:rPr>
          <w:rFonts w:hint="eastAsia" w:ascii="宋体" w:hAnsi="宋体"/>
          <w:color w:val="auto"/>
          <w:sz w:val="24"/>
          <w:highlight w:val="none"/>
          <w:lang w:val="en-US" w:eastAsia="zh-CN"/>
        </w:rPr>
        <w:t xml:space="preserve">                             开户银行：</w:t>
      </w:r>
    </w:p>
    <w:p w14:paraId="38410E7E">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color w:val="auto"/>
          <w:sz w:val="24"/>
          <w:highlight w:val="none"/>
        </w:rPr>
        <w:t>账号：</w:t>
      </w:r>
      <w:r>
        <w:rPr>
          <w:rFonts w:hint="eastAsia" w:ascii="宋体" w:hAnsi="宋体"/>
          <w:color w:val="auto"/>
          <w:sz w:val="24"/>
          <w:highlight w:val="none"/>
          <w:lang w:val="en-US" w:eastAsia="zh-CN"/>
        </w:rPr>
        <w:t xml:space="preserve">                                 账号：</w:t>
      </w:r>
    </w:p>
    <w:p w14:paraId="72724A57">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color w:val="auto"/>
          <w:sz w:val="24"/>
          <w:highlight w:val="none"/>
        </w:rPr>
        <w:t xml:space="preserve">联系电话：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联系电话：</w:t>
      </w:r>
    </w:p>
    <w:p w14:paraId="64AD47A6">
      <w:pPr>
        <w:ind w:firstLine="480" w:firstLineChars="200"/>
        <w:rPr>
          <w:rFonts w:hint="eastAsia" w:ascii="宋体" w:hAnsi="宋体" w:eastAsia="宋体" w:cs="宋体"/>
          <w:color w:val="auto"/>
          <w:sz w:val="24"/>
          <w:szCs w:val="24"/>
          <w:highlight w:val="none"/>
        </w:rPr>
      </w:pPr>
      <w:r>
        <w:rPr>
          <w:rFonts w:hint="eastAsia" w:ascii="宋体" w:hAnsi="宋体"/>
          <w:color w:val="auto"/>
          <w:sz w:val="24"/>
          <w:highlight w:val="none"/>
        </w:rPr>
        <w:t>签订日期：</w:t>
      </w:r>
      <w:r>
        <w:rPr>
          <w:rFonts w:hint="eastAsia" w:ascii="宋体" w:hAnsi="宋体"/>
          <w:color w:val="auto"/>
          <w:sz w:val="24"/>
          <w:highlight w:val="none"/>
          <w:lang w:val="en-US" w:eastAsia="zh-CN"/>
        </w:rPr>
        <w:t xml:space="preserve">    年  月  日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签订日期：</w:t>
      </w:r>
      <w:r>
        <w:rPr>
          <w:rFonts w:hint="eastAsia" w:ascii="宋体" w:hAnsi="宋体"/>
          <w:color w:val="auto"/>
          <w:sz w:val="24"/>
          <w:highlight w:val="none"/>
          <w:lang w:val="en-US" w:eastAsia="zh-CN"/>
        </w:rPr>
        <w:t xml:space="preserve">    年  月  日</w:t>
      </w:r>
    </w:p>
    <w:bookmarkEnd w:id="387"/>
    <w:bookmarkEnd w:id="388"/>
    <w:bookmarkEnd w:id="389"/>
    <w:bookmarkEnd w:id="390"/>
    <w:bookmarkEnd w:id="391"/>
    <w:bookmarkEnd w:id="392"/>
    <w:bookmarkEnd w:id="393"/>
    <w:bookmarkEnd w:id="394"/>
    <w:bookmarkEnd w:id="409"/>
    <w:bookmarkEnd w:id="410"/>
    <w:p w14:paraId="48DBDFF5">
      <w:pPr>
        <w:pStyle w:val="2"/>
        <w:bidi w:val="0"/>
        <w:jc w:val="center"/>
        <w:rPr>
          <w:rFonts w:hint="eastAsia"/>
          <w:color w:val="auto"/>
          <w:sz w:val="32"/>
          <w:szCs w:val="32"/>
          <w:highlight w:val="none"/>
        </w:rPr>
      </w:pPr>
      <w:bookmarkStart w:id="437" w:name="_Toc8664"/>
      <w:bookmarkStart w:id="438" w:name="_Toc31561"/>
      <w:bookmarkStart w:id="439" w:name="_Toc465958129"/>
      <w:bookmarkStart w:id="440" w:name="_Toc497546922"/>
      <w:bookmarkStart w:id="441" w:name="_Toc492955463"/>
      <w:bookmarkStart w:id="442" w:name="_Toc246928961"/>
      <w:bookmarkStart w:id="443" w:name="_Toc497712137"/>
      <w:bookmarkStart w:id="444" w:name="_Toc128557264"/>
      <w:bookmarkStart w:id="445" w:name="_Toc246928962"/>
      <w:bookmarkStart w:id="446" w:name="_Toc389620244"/>
      <w:bookmarkStart w:id="447" w:name="_Toc497551824"/>
      <w:bookmarkStart w:id="448" w:name="_Toc385992404"/>
      <w:bookmarkStart w:id="449" w:name="_Toc497711589"/>
      <w:r>
        <w:rPr>
          <w:rFonts w:hint="eastAsia"/>
          <w:color w:val="auto"/>
          <w:sz w:val="32"/>
          <w:szCs w:val="32"/>
          <w:highlight w:val="none"/>
          <w:lang w:eastAsia="zh-CN"/>
        </w:rPr>
        <w:t>第</w:t>
      </w:r>
      <w:r>
        <w:rPr>
          <w:rFonts w:hint="eastAsia"/>
          <w:color w:val="auto"/>
          <w:sz w:val="32"/>
          <w:szCs w:val="32"/>
          <w:highlight w:val="none"/>
        </w:rPr>
        <w:t>七部分 评审方法</w:t>
      </w:r>
      <w:bookmarkEnd w:id="437"/>
      <w:bookmarkEnd w:id="438"/>
    </w:p>
    <w:p w14:paraId="1B2564C7">
      <w:pPr>
        <w:bidi w:val="0"/>
        <w:spacing w:line="48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一、评审方法：本次评审采用最低评审价法</w:t>
      </w:r>
    </w:p>
    <w:p w14:paraId="476E08CF">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最低评审价法，是指响应文件满足谈判文件全部实质性要求，且谈判报价最低的供应商为成交候选人的评审方法。</w:t>
      </w:r>
    </w:p>
    <w:p w14:paraId="26537366">
      <w:pPr>
        <w:bidi w:val="0"/>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eastAsia="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rPr>
        <w:t>程序</w:t>
      </w:r>
    </w:p>
    <w:p w14:paraId="67B00D90">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谈判的全过程分为第一次谈判报价、</w:t>
      </w:r>
      <w:r>
        <w:rPr>
          <w:rFonts w:hint="eastAsia" w:ascii="宋体" w:hAnsi="宋体" w:eastAsia="宋体" w:cs="宋体"/>
          <w:color w:val="auto"/>
          <w:sz w:val="24"/>
          <w:szCs w:val="24"/>
          <w:highlight w:val="none"/>
          <w:lang w:val="en-US" w:eastAsia="zh-CN"/>
        </w:rPr>
        <w:t>资格性审查、</w:t>
      </w:r>
      <w:r>
        <w:rPr>
          <w:rFonts w:hint="eastAsia" w:ascii="宋体" w:hAnsi="宋体" w:eastAsia="宋体" w:cs="宋体"/>
          <w:color w:val="auto"/>
          <w:sz w:val="24"/>
          <w:szCs w:val="24"/>
          <w:highlight w:val="none"/>
        </w:rPr>
        <w:t>符合性审查、谈判过程、谈判承诺、最终报价、评审阶段。通过资质审查合格的各供应商，只有在响应文件及谈判承诺符合谈判文件要求和满足技术、商务需要的才有最终报价和评审的机会。</w:t>
      </w:r>
    </w:p>
    <w:p w14:paraId="2D33F8AC">
      <w:pPr>
        <w:bidi w:val="0"/>
        <w:spacing w:line="48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1、第一次谈判报价。</w:t>
      </w:r>
    </w:p>
    <w:p w14:paraId="741C71AA">
      <w:pPr>
        <w:bidi w:val="0"/>
        <w:spacing w:line="48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2、资格性审查</w:t>
      </w:r>
    </w:p>
    <w:p w14:paraId="519D3FF7">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w:t>
      </w:r>
      <w:r>
        <w:rPr>
          <w:rFonts w:hint="eastAsia" w:ascii="宋体" w:hAnsi="宋体" w:eastAsia="宋体" w:cs="宋体"/>
          <w:color w:val="auto"/>
          <w:sz w:val="24"/>
          <w:szCs w:val="24"/>
          <w:highlight w:val="none"/>
          <w:lang w:val="en-US" w:eastAsia="zh-CN"/>
        </w:rPr>
        <w:t>资格审查小组</w:t>
      </w:r>
      <w:r>
        <w:rPr>
          <w:rFonts w:hint="eastAsia" w:ascii="宋体" w:hAnsi="宋体" w:eastAsia="宋体" w:cs="宋体"/>
          <w:color w:val="auto"/>
          <w:sz w:val="24"/>
          <w:szCs w:val="24"/>
          <w:highlight w:val="none"/>
        </w:rPr>
        <w:t>依法对供应商的资格证明文件进行审查，不符合竞争性谈判文件要求的按无效谈判响应处理，不得进入后续评审，签字确认检查结果。</w:t>
      </w:r>
    </w:p>
    <w:p w14:paraId="450A24A0">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不符合竞争性谈判文件要求的按无效文件处理，不得进入后续评审工作。</w:t>
      </w:r>
    </w:p>
    <w:p w14:paraId="53AA3B1B">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合格投标人不足三家的，不得评标。</w:t>
      </w:r>
    </w:p>
    <w:p w14:paraId="7F518E84">
      <w:pPr>
        <w:bidi w:val="0"/>
        <w:spacing w:line="48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、谈判响应文件的符合性审查</w:t>
      </w:r>
    </w:p>
    <w:p w14:paraId="47116A81">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谈判小组依据谈判文件的规定，对谈判响应文件的有效性、完整性和对谈判文件的响应程度进行审查，以确定是否对谈判文件的全部实质性要求做出响应。</w:t>
      </w:r>
    </w:p>
    <w:p w14:paraId="238349CC">
      <w:pPr>
        <w:bidi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小组要审查每份谈判响应文件是否实质上响应了谈判文件的要求。实质上没有响应谈判文件要求的投标作无效响应文件处理。谈判小组应告知有关供应商未通过审查的原因，供应商不得通过修正或撤销不符之处而使其成为实质上响应。</w:t>
      </w:r>
    </w:p>
    <w:p w14:paraId="70FFA268">
      <w:pPr>
        <w:jc w:val="center"/>
        <w:rPr>
          <w:rFonts w:hint="eastAsia" w:ascii="宋体" w:hAnsi="宋体" w:eastAsia="宋体" w:cs="宋体"/>
          <w:b/>
          <w:bCs/>
          <w:color w:val="auto"/>
          <w:sz w:val="24"/>
          <w:szCs w:val="24"/>
          <w:highlight w:val="none"/>
        </w:rPr>
      </w:pPr>
    </w:p>
    <w:p w14:paraId="3472529D">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符合性审查表</w:t>
      </w:r>
    </w:p>
    <w:tbl>
      <w:tblPr>
        <w:tblStyle w:val="19"/>
        <w:tblW w:w="9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3150"/>
        <w:gridCol w:w="5748"/>
      </w:tblGrid>
      <w:tr w14:paraId="2F56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25DC625E">
            <w:pPr>
              <w:keepNext w:val="0"/>
              <w:keepLines w:val="0"/>
              <w:suppressLineNumbers w:val="0"/>
              <w:spacing w:before="0" w:beforeAutospacing="0" w:after="0" w:afterAutospacing="0"/>
              <w:ind w:left="0" w:right="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3150" w:type="dxa"/>
            <w:noWrap w:val="0"/>
            <w:vAlign w:val="center"/>
          </w:tcPr>
          <w:p w14:paraId="6DD4B6AD">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5748" w:type="dxa"/>
            <w:noWrap w:val="0"/>
            <w:vAlign w:val="center"/>
          </w:tcPr>
          <w:p w14:paraId="2F506A0F">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14:paraId="4AF5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71C453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3150" w:type="dxa"/>
            <w:noWrap w:val="0"/>
            <w:vAlign w:val="center"/>
          </w:tcPr>
          <w:p w14:paraId="5AF4866F">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响应文件项目名称、项目编号、标段（未划分标段的除外）</w:t>
            </w:r>
          </w:p>
        </w:tc>
        <w:tc>
          <w:tcPr>
            <w:tcW w:w="5748" w:type="dxa"/>
            <w:noWrap w:val="0"/>
            <w:vAlign w:val="center"/>
          </w:tcPr>
          <w:p w14:paraId="59DA1D26">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响应文件的项目名称、项目编号、标段与本项目完全一致，且无遗漏</w:t>
            </w:r>
            <w:r>
              <w:rPr>
                <w:rFonts w:hint="eastAsia" w:ascii="宋体" w:hAnsi="宋体" w:cs="宋体"/>
                <w:color w:val="auto"/>
                <w:sz w:val="24"/>
                <w:szCs w:val="24"/>
                <w:highlight w:val="none"/>
                <w:lang w:eastAsia="zh-CN"/>
              </w:rPr>
              <w:t>。</w:t>
            </w:r>
          </w:p>
        </w:tc>
      </w:tr>
      <w:tr w14:paraId="127D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778" w:type="dxa"/>
            <w:noWrap w:val="0"/>
            <w:vAlign w:val="center"/>
          </w:tcPr>
          <w:p w14:paraId="2BF4C038">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150" w:type="dxa"/>
            <w:noWrap w:val="0"/>
            <w:vAlign w:val="center"/>
          </w:tcPr>
          <w:p w14:paraId="06F746A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响应文件组成</w:t>
            </w:r>
          </w:p>
        </w:tc>
        <w:tc>
          <w:tcPr>
            <w:tcW w:w="5748" w:type="dxa"/>
            <w:noWrap w:val="0"/>
            <w:vAlign w:val="center"/>
          </w:tcPr>
          <w:p w14:paraId="7695F2E6">
            <w:pPr>
              <w:keepNext w:val="0"/>
              <w:keepLines w:val="0"/>
              <w:suppressLineNumbers w:val="0"/>
              <w:spacing w:before="0" w:beforeAutospacing="0" w:after="0" w:afterAutospacing="0" w:line="360" w:lineRule="auto"/>
              <w:ind w:left="0" w:right="0"/>
              <w:jc w:val="left"/>
              <w:rPr>
                <w:rFonts w:hint="eastAsia" w:ascii="Calibri" w:hAnsi="Calibri" w:cs="Calibri"/>
                <w:color w:val="auto"/>
                <w:szCs w:val="22"/>
                <w:highlight w:val="none"/>
                <w:lang w:val="en-US" w:eastAsia="zh-CN"/>
              </w:rPr>
            </w:pPr>
            <w:r>
              <w:rPr>
                <w:rFonts w:hint="eastAsia" w:ascii="宋体" w:hAnsi="宋体" w:eastAsia="宋体" w:cs="宋体"/>
                <w:b w:val="0"/>
                <w:color w:val="auto"/>
                <w:kern w:val="2"/>
                <w:sz w:val="24"/>
                <w:szCs w:val="24"/>
                <w:highlight w:val="none"/>
                <w:lang w:val="en-US" w:eastAsia="zh-CN" w:bidi="ar-SA"/>
              </w:rPr>
              <w:t>没有私自篡改谈判文件中规定的谈判响应文件格式及相关内容，按谈判文件中规定的谈判响应文件格式填写相关内容的。</w:t>
            </w:r>
          </w:p>
        </w:tc>
      </w:tr>
      <w:tr w14:paraId="726C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778" w:type="dxa"/>
            <w:noWrap w:val="0"/>
            <w:vAlign w:val="center"/>
          </w:tcPr>
          <w:p w14:paraId="2FC84BE9">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c>
          <w:tcPr>
            <w:tcW w:w="3150" w:type="dxa"/>
            <w:noWrap w:val="0"/>
            <w:vAlign w:val="center"/>
          </w:tcPr>
          <w:p w14:paraId="0831EAAD">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法定代表人授权书</w:t>
            </w:r>
          </w:p>
        </w:tc>
        <w:tc>
          <w:tcPr>
            <w:tcW w:w="5748" w:type="dxa"/>
            <w:noWrap w:val="0"/>
            <w:vAlign w:val="center"/>
          </w:tcPr>
          <w:p w14:paraId="2A1F3CAB">
            <w:pPr>
              <w:keepNext w:val="0"/>
              <w:keepLines w:val="0"/>
              <w:suppressLineNumbers w:val="0"/>
              <w:spacing w:before="0" w:beforeAutospacing="0" w:after="0" w:afterAutospacing="0"/>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文件有法定代表人授权书（法人直接投标除外）且授权书的合法性和有效性符合竞争性谈判文件规定的。</w:t>
            </w:r>
          </w:p>
        </w:tc>
      </w:tr>
      <w:tr w14:paraId="5DDF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78" w:type="dxa"/>
            <w:noWrap w:val="0"/>
            <w:vAlign w:val="center"/>
          </w:tcPr>
          <w:p w14:paraId="493B5857">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c>
          <w:tcPr>
            <w:tcW w:w="3150" w:type="dxa"/>
            <w:noWrap w:val="0"/>
            <w:vAlign w:val="center"/>
          </w:tcPr>
          <w:p w14:paraId="0A350EE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响应文件签署、盖章</w:t>
            </w:r>
          </w:p>
        </w:tc>
        <w:tc>
          <w:tcPr>
            <w:tcW w:w="5748" w:type="dxa"/>
            <w:noWrap w:val="0"/>
            <w:vAlign w:val="center"/>
          </w:tcPr>
          <w:p w14:paraId="5AB01FC9">
            <w:pPr>
              <w:keepNext w:val="0"/>
              <w:keepLines w:val="0"/>
              <w:suppressLineNumbers w:val="0"/>
              <w:spacing w:before="0" w:beforeAutospacing="0" w:after="0" w:afterAutospacing="0"/>
              <w:ind w:left="0" w:right="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签署、盖章符合谈判文件要求，且无遗漏</w:t>
            </w:r>
            <w:r>
              <w:rPr>
                <w:rFonts w:hint="eastAsia" w:ascii="宋体" w:hAnsi="宋体" w:eastAsia="宋体" w:cs="宋体"/>
                <w:color w:val="auto"/>
                <w:sz w:val="24"/>
                <w:szCs w:val="24"/>
                <w:highlight w:val="none"/>
                <w:lang w:eastAsia="zh-CN"/>
              </w:rPr>
              <w:t>。</w:t>
            </w:r>
          </w:p>
        </w:tc>
      </w:tr>
      <w:tr w14:paraId="596B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78" w:type="dxa"/>
            <w:noWrap w:val="0"/>
            <w:vAlign w:val="center"/>
          </w:tcPr>
          <w:p w14:paraId="455B47CB">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150" w:type="dxa"/>
            <w:noWrap w:val="0"/>
            <w:vAlign w:val="center"/>
          </w:tcPr>
          <w:p w14:paraId="32B85A61">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响应文件有效期</w:t>
            </w:r>
          </w:p>
        </w:tc>
        <w:tc>
          <w:tcPr>
            <w:tcW w:w="5748" w:type="dxa"/>
            <w:noWrap w:val="0"/>
            <w:vAlign w:val="center"/>
          </w:tcPr>
          <w:p w14:paraId="0595BADD">
            <w:pPr>
              <w:keepNext w:val="0"/>
              <w:keepLines w:val="0"/>
              <w:suppressLineNumbers w:val="0"/>
              <w:spacing w:before="0" w:beforeAutospacing="0" w:after="0" w:afterAutospacing="0"/>
              <w:ind w:left="0"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符合谈判文件的要求。</w:t>
            </w:r>
          </w:p>
        </w:tc>
      </w:tr>
      <w:tr w14:paraId="7B6D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778" w:type="dxa"/>
            <w:noWrap w:val="0"/>
            <w:vAlign w:val="center"/>
          </w:tcPr>
          <w:p w14:paraId="4C20EBF1">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150" w:type="dxa"/>
            <w:noWrap w:val="0"/>
            <w:vAlign w:val="center"/>
          </w:tcPr>
          <w:p w14:paraId="38FC0A2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谈判报价</w:t>
            </w:r>
          </w:p>
        </w:tc>
        <w:tc>
          <w:tcPr>
            <w:tcW w:w="5748" w:type="dxa"/>
            <w:noWrap w:val="0"/>
            <w:vAlign w:val="center"/>
          </w:tcPr>
          <w:p w14:paraId="39268B4A">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同时满足以下条款：</w:t>
            </w:r>
          </w:p>
          <w:p w14:paraId="06D68FAE">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（1）谈判报价符合唯一性要求；</w:t>
            </w:r>
          </w:p>
          <w:p w14:paraId="609E7483">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（2）第一次谈判报价表填写符合要求；</w:t>
            </w:r>
          </w:p>
          <w:p w14:paraId="0A05AFDE">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（3）报价货币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符合谈判文件要求；</w:t>
            </w:r>
          </w:p>
          <w:p w14:paraId="14D3F442">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（4）未超出采购预算或谈判文件规定的最高限价；</w:t>
            </w:r>
          </w:p>
        </w:tc>
      </w:tr>
      <w:tr w14:paraId="3A9D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6211E17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3150" w:type="dxa"/>
            <w:noWrap w:val="0"/>
            <w:vAlign w:val="center"/>
          </w:tcPr>
          <w:p w14:paraId="510CBA76">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谈判响应文件编写</w:t>
            </w:r>
          </w:p>
        </w:tc>
        <w:tc>
          <w:tcPr>
            <w:tcW w:w="5748" w:type="dxa"/>
            <w:noWrap w:val="0"/>
            <w:vAlign w:val="center"/>
          </w:tcPr>
          <w:p w14:paraId="43D92CE5">
            <w:pPr>
              <w:keepNext w:val="0"/>
              <w:keepLines w:val="0"/>
              <w:suppressLineNumbers w:val="0"/>
              <w:spacing w:before="0" w:beforeAutospacing="0" w:after="0" w:afterAutospacing="0"/>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谈判响应文件按照竞争性谈判文件要求的格式编写及谈判响应文件的关键内容字迹清晰、可辨认的。</w:t>
            </w:r>
          </w:p>
        </w:tc>
      </w:tr>
      <w:tr w14:paraId="586D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5218957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p>
        </w:tc>
        <w:tc>
          <w:tcPr>
            <w:tcW w:w="3150" w:type="dxa"/>
            <w:noWrap w:val="0"/>
            <w:vAlign w:val="center"/>
          </w:tcPr>
          <w:p w14:paraId="36CA35B9">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虚假材料</w:t>
            </w:r>
          </w:p>
        </w:tc>
        <w:tc>
          <w:tcPr>
            <w:tcW w:w="5748" w:type="dxa"/>
            <w:noWrap w:val="0"/>
            <w:vAlign w:val="center"/>
          </w:tcPr>
          <w:p w14:paraId="2307922B">
            <w:pPr>
              <w:keepNext w:val="0"/>
              <w:keepLines w:val="0"/>
              <w:suppressLineNumbers w:val="0"/>
              <w:spacing w:before="0" w:beforeAutospacing="0" w:after="0" w:afterAutospacing="0"/>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未提供虚假证明（包括第三方提供的虚假证明），未开具虚假资质，未出现虚假应答。</w:t>
            </w:r>
          </w:p>
        </w:tc>
      </w:tr>
      <w:tr w14:paraId="5C4C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05A515FA">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150" w:type="dxa"/>
            <w:noWrap w:val="0"/>
            <w:vAlign w:val="center"/>
          </w:tcPr>
          <w:p w14:paraId="6C43D840">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实质性条款响应</w:t>
            </w:r>
          </w:p>
        </w:tc>
        <w:tc>
          <w:tcPr>
            <w:tcW w:w="5748" w:type="dxa"/>
            <w:noWrap w:val="0"/>
            <w:vAlign w:val="center"/>
          </w:tcPr>
          <w:p w14:paraId="64305995">
            <w:pPr>
              <w:keepNext w:val="0"/>
              <w:keepLines w:val="0"/>
              <w:suppressLineNumbers w:val="0"/>
              <w:spacing w:before="0" w:beforeAutospacing="0" w:after="0" w:afterAutospacing="0"/>
              <w:ind w:left="0" w:right="0"/>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完全响应谈判文件要求的各项技术/商务实质性条款。</w:t>
            </w:r>
          </w:p>
        </w:tc>
      </w:tr>
      <w:tr w14:paraId="1809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67035D50">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3150" w:type="dxa"/>
            <w:noWrap w:val="0"/>
            <w:vAlign w:val="center"/>
          </w:tcPr>
          <w:p w14:paraId="0AE3ABE0">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商务要求</w:t>
            </w:r>
          </w:p>
        </w:tc>
        <w:tc>
          <w:tcPr>
            <w:tcW w:w="5748" w:type="dxa"/>
            <w:noWrap w:val="0"/>
            <w:vAlign w:val="center"/>
          </w:tcPr>
          <w:p w14:paraId="72D5AF3C">
            <w:pPr>
              <w:keepNext w:val="0"/>
              <w:keepLines w:val="0"/>
              <w:suppressLineNumbers w:val="0"/>
              <w:spacing w:before="0" w:beforeAutospacing="0" w:after="0" w:afterAutospacing="0"/>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商务要求逐条响应并满足竞争性谈判文件要求。</w:t>
            </w:r>
          </w:p>
        </w:tc>
      </w:tr>
      <w:tr w14:paraId="3CBD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0BAB0CC1">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3150" w:type="dxa"/>
            <w:noWrap w:val="0"/>
            <w:vAlign w:val="center"/>
          </w:tcPr>
          <w:p w14:paraId="4A0FBBE3">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合法产品来源渠道的</w:t>
            </w:r>
            <w:r>
              <w:rPr>
                <w:rFonts w:hint="eastAsia" w:ascii="宋体" w:hAnsi="宋体" w:cs="宋体"/>
                <w:color w:val="auto"/>
                <w:sz w:val="24"/>
                <w:szCs w:val="24"/>
                <w:highlight w:val="none"/>
                <w:lang w:val="en-US" w:eastAsia="zh-CN"/>
              </w:rPr>
              <w:t>承诺函</w:t>
            </w:r>
          </w:p>
        </w:tc>
        <w:tc>
          <w:tcPr>
            <w:tcW w:w="5748" w:type="dxa"/>
            <w:noWrap w:val="0"/>
            <w:vAlign w:val="center"/>
          </w:tcPr>
          <w:p w14:paraId="4A62A909">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为了保证产品质量，需提供</w:t>
            </w:r>
            <w:r>
              <w:rPr>
                <w:rFonts w:hint="eastAsia" w:ascii="宋体" w:hAnsi="宋体" w:cs="宋体"/>
                <w:color w:val="auto"/>
                <w:sz w:val="24"/>
                <w:szCs w:val="24"/>
                <w:highlight w:val="none"/>
                <w:lang w:val="en-US" w:eastAsia="zh-CN"/>
              </w:rPr>
              <w:t>货物</w:t>
            </w:r>
            <w:r>
              <w:rPr>
                <w:rFonts w:hint="eastAsia" w:ascii="宋体" w:hAnsi="宋体" w:cs="宋体"/>
                <w:color w:val="auto"/>
                <w:sz w:val="24"/>
                <w:szCs w:val="24"/>
                <w:highlight w:val="none"/>
              </w:rPr>
              <w:t>合法来源渠道的</w:t>
            </w:r>
            <w:r>
              <w:rPr>
                <w:rFonts w:hint="eastAsia" w:ascii="宋体" w:hAnsi="宋体" w:cs="宋体"/>
                <w:color w:val="auto"/>
                <w:sz w:val="24"/>
                <w:szCs w:val="24"/>
                <w:highlight w:val="none"/>
                <w:lang w:val="en-US" w:eastAsia="zh-CN"/>
              </w:rPr>
              <w:t>承诺函。</w:t>
            </w:r>
          </w:p>
        </w:tc>
      </w:tr>
      <w:tr w14:paraId="0FF1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778" w:type="dxa"/>
            <w:noWrap w:val="0"/>
            <w:vAlign w:val="center"/>
          </w:tcPr>
          <w:p w14:paraId="79344318">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3150" w:type="dxa"/>
            <w:noWrap w:val="0"/>
            <w:vAlign w:val="center"/>
          </w:tcPr>
          <w:p w14:paraId="7CCCA35E">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响应方案</w:t>
            </w:r>
          </w:p>
        </w:tc>
        <w:tc>
          <w:tcPr>
            <w:tcW w:w="5748" w:type="dxa"/>
            <w:noWrap w:val="0"/>
            <w:vAlign w:val="center"/>
          </w:tcPr>
          <w:p w14:paraId="46F2C3E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供应商企业简介；</w:t>
            </w:r>
          </w:p>
          <w:p w14:paraId="45FD0DB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2)对本项目的供货实施方案（供货实施方案内容完整详尽、提供详细的供货时间保证措施，供货时间保证合理方案，对采购人的采购需求及项目情况非常了解，能够非常清晰准确的表述采购需求）；</w:t>
            </w:r>
          </w:p>
          <w:p w14:paraId="00021ED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3)对本项目的安装服务的组织措施(有详细的安装实施方案，能够完全确保采购项目的顺利实施)；</w:t>
            </w:r>
          </w:p>
          <w:p w14:paraId="5A9A114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4）人员投入情况（</w:t>
            </w:r>
            <w:r>
              <w:rPr>
                <w:rFonts w:hint="eastAsia"/>
                <w:color w:val="auto"/>
                <w:sz w:val="24"/>
                <w:szCs w:val="24"/>
                <w:highlight w:val="none"/>
              </w:rPr>
              <w:t>拟投入本项目人员配置合理、高效</w:t>
            </w:r>
            <w:r>
              <w:rPr>
                <w:rFonts w:hint="eastAsia" w:ascii="宋体" w:hAnsi="宋体" w:eastAsia="宋体" w:cs="宋体"/>
                <w:color w:val="auto"/>
                <w:sz w:val="24"/>
                <w:szCs w:val="24"/>
                <w:highlight w:val="none"/>
                <w:lang w:val="en-US" w:eastAsia="zh-CN"/>
              </w:rPr>
              <w:t>，人员分工安排情况）；</w:t>
            </w:r>
          </w:p>
          <w:p w14:paraId="37109DF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5)质量保证方案（提供详细的货物质量保证措施，完全满足采购需求、货物质量）；</w:t>
            </w:r>
          </w:p>
          <w:p w14:paraId="3968FBD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解决质量问题及时、迅速、优质</w:t>
            </w:r>
            <w:r>
              <w:rPr>
                <w:rFonts w:hint="eastAsia" w:ascii="宋体" w:hAnsi="宋体" w:eastAsia="宋体" w:cs="宋体"/>
                <w:color w:val="auto"/>
                <w:sz w:val="24"/>
                <w:szCs w:val="24"/>
                <w:highlight w:val="none"/>
                <w:lang w:eastAsia="zh-CN"/>
              </w:rPr>
              <w:t>；</w:t>
            </w:r>
          </w:p>
          <w:p w14:paraId="4BB264E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7）售后服务计划（售后服务方案合理可行、售后服务承诺、售后服务系统（机构、人员、制度）完善，能够完全满足采购人的需求）；</w:t>
            </w:r>
          </w:p>
          <w:p w14:paraId="23EEE6C9">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8）培训方案（</w:t>
            </w:r>
            <w:r>
              <w:rPr>
                <w:rFonts w:hint="eastAsia"/>
                <w:color w:val="auto"/>
                <w:sz w:val="24"/>
                <w:szCs w:val="24"/>
                <w:highlight w:val="none"/>
              </w:rPr>
              <w:t>有专业化的培训实施团队，有完善的服务业务培训管理制度，提供较好的理论与实战相结合的培训内容。</w:t>
            </w:r>
            <w:r>
              <w:rPr>
                <w:rFonts w:hint="eastAsia" w:ascii="宋体" w:hAnsi="宋体" w:eastAsia="宋体" w:cs="宋体"/>
                <w:color w:val="auto"/>
                <w:spacing w:val="6"/>
                <w:sz w:val="24"/>
                <w:szCs w:val="24"/>
                <w:highlight w:val="none"/>
              </w:rPr>
              <w:t>提供详细的</w:t>
            </w:r>
            <w:r>
              <w:rPr>
                <w:rFonts w:hint="eastAsia"/>
                <w:color w:val="auto"/>
                <w:sz w:val="24"/>
                <w:szCs w:val="24"/>
                <w:highlight w:val="none"/>
              </w:rPr>
              <w:t>培训方案</w:t>
            </w:r>
            <w:r>
              <w:rPr>
                <w:rFonts w:hint="eastAsia" w:ascii="宋体" w:hAnsi="宋体" w:eastAsia="宋体" w:cs="宋体"/>
                <w:color w:val="auto"/>
                <w:spacing w:val="6"/>
                <w:sz w:val="24"/>
                <w:szCs w:val="24"/>
                <w:highlight w:val="none"/>
              </w:rPr>
              <w:t>，内容详尽、描述清晰、合理</w:t>
            </w:r>
            <w:r>
              <w:rPr>
                <w:rFonts w:hint="eastAsia" w:ascii="宋体" w:hAnsi="宋体" w:eastAsia="宋体" w:cs="宋体"/>
                <w:color w:val="auto"/>
                <w:sz w:val="24"/>
                <w:szCs w:val="24"/>
                <w:highlight w:val="none"/>
                <w:lang w:val="en-US" w:eastAsia="zh-CN"/>
              </w:rPr>
              <w:t>）；</w:t>
            </w:r>
          </w:p>
          <w:p w14:paraId="7F958B86">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9）应急方案（针对在调换和保修等过程中各环节配合、相关程序协调措施有利于采购人且详细完整合理）；</w:t>
            </w:r>
          </w:p>
          <w:p w14:paraId="394DCAB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10）谈判文件及投标供应商其他有必要说明的问题。</w:t>
            </w:r>
          </w:p>
          <w:p w14:paraId="46730B22">
            <w:pPr>
              <w:pStyle w:val="9"/>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注：方案没有结合项目实际需求、虽有内容但不完善、</w:t>
            </w:r>
          </w:p>
          <w:p w14:paraId="070FEF8A">
            <w:pPr>
              <w:pStyle w:val="17"/>
              <w:ind w:left="0" w:leftChars="0" w:firstLine="0" w:firstLineChars="0"/>
              <w:rPr>
                <w:rFonts w:hint="eastAsia"/>
                <w:color w:val="auto"/>
                <w:highlight w:val="none"/>
                <w:lang w:val="en-US" w:eastAsia="zh-CN"/>
              </w:rPr>
            </w:pPr>
            <w:r>
              <w:rPr>
                <w:rFonts w:hint="eastAsia" w:ascii="宋体" w:hAnsi="宋体" w:eastAsia="宋体" w:cs="宋体"/>
                <w:b/>
                <w:bCs/>
                <w:color w:val="auto"/>
                <w:sz w:val="24"/>
                <w:szCs w:val="24"/>
                <w:highlight w:val="none"/>
                <w:lang w:val="en-US" w:eastAsia="zh-CN"/>
              </w:rPr>
              <w:t>内容表述前后不一致、套用其他项目方案或与项目需求不匹配及其他不利于项目实施的等任意一种情形按无效投标处理。</w:t>
            </w:r>
          </w:p>
        </w:tc>
      </w:tr>
      <w:tr w14:paraId="7E7D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78" w:type="dxa"/>
            <w:noWrap w:val="0"/>
            <w:vAlign w:val="center"/>
          </w:tcPr>
          <w:p w14:paraId="3E523589">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3150" w:type="dxa"/>
            <w:noWrap w:val="0"/>
            <w:vAlign w:val="center"/>
          </w:tcPr>
          <w:p w14:paraId="24233345">
            <w:pPr>
              <w:keepNext w:val="0"/>
              <w:keepLines w:val="0"/>
              <w:suppressLineNumbers w:val="0"/>
              <w:spacing w:before="0" w:beforeAutospacing="0" w:after="0" w:afterAutospacing="0" w:line="240" w:lineRule="auto"/>
              <w:ind w:left="0" w:right="0"/>
              <w:jc w:val="center"/>
              <w:outlineLvl w:val="9"/>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采购需求</w:t>
            </w:r>
          </w:p>
        </w:tc>
        <w:tc>
          <w:tcPr>
            <w:tcW w:w="5748" w:type="dxa"/>
            <w:noWrap w:val="0"/>
            <w:vAlign w:val="center"/>
          </w:tcPr>
          <w:p w14:paraId="7526C580">
            <w:pPr>
              <w:keepNext w:val="0"/>
              <w:keepLines w:val="0"/>
              <w:suppressLineNumbers w:val="0"/>
              <w:spacing w:before="0" w:beforeAutospacing="0" w:after="0" w:afterAutospacing="0" w:line="240" w:lineRule="auto"/>
              <w:ind w:left="0" w:right="0"/>
              <w:outlineLvl w:val="9"/>
              <w:rPr>
                <w:rFonts w:hint="eastAsia" w:ascii="宋体" w:hAnsi="宋体" w:cs="宋体"/>
                <w:color w:val="auto"/>
                <w:sz w:val="24"/>
                <w:szCs w:val="22"/>
                <w:highlight w:val="none"/>
                <w:lang w:val="en-US" w:eastAsia="zh-CN"/>
              </w:rPr>
            </w:pPr>
            <w:r>
              <w:rPr>
                <w:rFonts w:hint="eastAsia" w:ascii="宋体" w:hAnsi="宋体" w:eastAsia="宋体" w:cs="宋体"/>
                <w:color w:val="auto"/>
                <w:sz w:val="24"/>
                <w:szCs w:val="24"/>
                <w:highlight w:val="none"/>
                <w:lang w:eastAsia="zh-CN"/>
              </w:rPr>
              <w:t>均符合竞争性谈判文件“</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四部分</w:t>
            </w:r>
            <w:r>
              <w:rPr>
                <w:rFonts w:hint="eastAsia" w:ascii="宋体" w:hAnsi="宋体" w:eastAsia="宋体" w:cs="宋体"/>
                <w:color w:val="auto"/>
                <w:sz w:val="24"/>
                <w:szCs w:val="24"/>
                <w:highlight w:val="none"/>
                <w:lang w:val="en-US" w:eastAsia="zh-CN"/>
              </w:rPr>
              <w:t xml:space="preserve"> 采购内容及技术要求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14:paraId="5155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778" w:type="dxa"/>
            <w:noWrap w:val="0"/>
            <w:vAlign w:val="center"/>
          </w:tcPr>
          <w:p w14:paraId="1EC7382A">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3150" w:type="dxa"/>
            <w:noWrap w:val="0"/>
            <w:vAlign w:val="center"/>
          </w:tcPr>
          <w:p w14:paraId="4375DC2F">
            <w:pPr>
              <w:keepNext w:val="0"/>
              <w:keepLines w:val="0"/>
              <w:suppressLineNumbers w:val="0"/>
              <w:spacing w:before="0" w:beforeAutospacing="0" w:after="0" w:afterAutospacing="0" w:line="240" w:lineRule="auto"/>
              <w:ind w:left="0" w:right="0"/>
              <w:jc w:val="center"/>
              <w:outlineLvl w:val="9"/>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eastAsia="zh-CN"/>
              </w:rPr>
              <w:t>技术服务要求</w:t>
            </w:r>
          </w:p>
        </w:tc>
        <w:tc>
          <w:tcPr>
            <w:tcW w:w="5748" w:type="dxa"/>
            <w:noWrap w:val="0"/>
            <w:vAlign w:val="center"/>
          </w:tcPr>
          <w:p w14:paraId="61ED56D1">
            <w:pPr>
              <w:keepNext w:val="0"/>
              <w:keepLines w:val="0"/>
              <w:suppressLineNumbers w:val="0"/>
              <w:spacing w:before="0" w:beforeAutospacing="0" w:after="0" w:afterAutospacing="0" w:line="240" w:lineRule="auto"/>
              <w:ind w:left="0" w:right="0"/>
              <w:outlineLvl w:val="9"/>
              <w:rPr>
                <w:rFonts w:hint="eastAsia" w:ascii="宋体" w:hAnsi="宋体" w:cs="宋体"/>
                <w:color w:val="auto"/>
                <w:sz w:val="24"/>
                <w:szCs w:val="22"/>
                <w:highlight w:val="none"/>
                <w:lang w:val="en-US" w:eastAsia="zh-CN"/>
              </w:rPr>
            </w:pPr>
            <w:r>
              <w:rPr>
                <w:rFonts w:hint="eastAsia" w:ascii="宋体" w:hAnsi="宋体" w:eastAsia="宋体" w:cs="宋体"/>
                <w:color w:val="auto"/>
                <w:sz w:val="24"/>
                <w:szCs w:val="24"/>
                <w:highlight w:val="none"/>
              </w:rPr>
              <w:t>谈判响应文件内容的技术服务指标响应谈判文件要求，未降低技术服务档次。</w:t>
            </w:r>
          </w:p>
        </w:tc>
      </w:tr>
      <w:tr w14:paraId="6666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78" w:type="dxa"/>
            <w:noWrap w:val="0"/>
            <w:vAlign w:val="center"/>
          </w:tcPr>
          <w:p w14:paraId="3B01F619">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3150" w:type="dxa"/>
            <w:noWrap w:val="0"/>
            <w:vAlign w:val="center"/>
          </w:tcPr>
          <w:p w14:paraId="64A291CD">
            <w:pPr>
              <w:keepNext w:val="0"/>
              <w:keepLines w:val="0"/>
              <w:suppressLineNumbers w:val="0"/>
              <w:spacing w:before="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其他要求</w:t>
            </w:r>
          </w:p>
        </w:tc>
        <w:tc>
          <w:tcPr>
            <w:tcW w:w="5748" w:type="dxa"/>
            <w:noWrap w:val="0"/>
            <w:vAlign w:val="center"/>
          </w:tcPr>
          <w:p w14:paraId="28ABBFAF">
            <w:pPr>
              <w:keepNext w:val="0"/>
              <w:keepLines w:val="0"/>
              <w:suppressLineNumbers w:val="0"/>
              <w:spacing w:before="0" w:beforeAutospacing="0" w:after="0" w:afterAutospacing="0" w:line="360" w:lineRule="auto"/>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完全理解并接受法律法规和谈判文件对供应商的各项须知、规约要求和责任义务，没有出现法律法规或谈判文件明确规定的其他被视为“无效响应”的情形。</w:t>
            </w:r>
          </w:p>
        </w:tc>
      </w:tr>
    </w:tbl>
    <w:p w14:paraId="70E3B99C">
      <w:pPr>
        <w:bidi w:val="0"/>
        <w:spacing w:line="48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4、谈判响应文件的澄清</w:t>
      </w:r>
    </w:p>
    <w:p w14:paraId="118D33F4">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谈判小组在对谈判响应文件的有效性、完整性和响应程度进行审查时，可以要求供应商对谈判响应文件中含义不明确、同类问题表述不一致或者有明显文字和计算错误的内容等做出必要的澄清、说明或者补正。</w:t>
      </w:r>
    </w:p>
    <w:p w14:paraId="5F7E9C46">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（2）依照民法中的过失责任原则，澄清、说明或补正前谈判小组将按最不利于供应商的原则对谈判响应文件做出评判。</w:t>
      </w:r>
    </w:p>
    <w:p w14:paraId="68292CA3">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（3）谈判小组要求供应商澄清、说明或者补正谈判响应文件应通过书面形式通知供应商。供应商应当在规定的澄清时限内按谈判小组要求的方式提交。</w:t>
      </w:r>
    </w:p>
    <w:p w14:paraId="391B3917">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（4）供应商的澄清、说明或者补正不得超出谈判响应文件的范围或者改变谈判响应文件的实质性内容。澄清、说明或者补正的内容将作为合同履行的重要依据。</w:t>
      </w:r>
    </w:p>
    <w:p w14:paraId="085AE51A">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、谈判过程</w:t>
      </w:r>
    </w:p>
    <w:p w14:paraId="703D620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谈判小组应在符合性评审的基础上对各供应商的响应文件认真阅读，谈判小组必须对响应文件的采购内容</w:t>
      </w:r>
      <w:r>
        <w:rPr>
          <w:rFonts w:hint="eastAsia" w:ascii="宋体" w:hAnsi="宋体" w:eastAsia="宋体" w:cs="宋体"/>
          <w:color w:val="auto"/>
          <w:sz w:val="24"/>
          <w:szCs w:val="24"/>
          <w:highlight w:val="none"/>
        </w:rPr>
        <w:t>等有关要求</w:t>
      </w:r>
      <w:r>
        <w:rPr>
          <w:rFonts w:hint="eastAsia" w:ascii="宋体" w:hAnsi="宋体" w:eastAsia="宋体" w:cs="宋体"/>
          <w:color w:val="auto"/>
          <w:sz w:val="24"/>
          <w:szCs w:val="24"/>
          <w:highlight w:val="none"/>
          <w:lang w:val="en-US" w:eastAsia="zh-CN"/>
        </w:rPr>
        <w:t>和供应商一对一谈判。</w:t>
      </w:r>
    </w:p>
    <w:p w14:paraId="3136DBB4">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、最终报价</w:t>
      </w:r>
    </w:p>
    <w:p w14:paraId="713C5E7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资格性审查和符合性审查通过的供应商进入最终报价阶段。最终报价是供应商响应文件的有效组成部分。（最后报价相同时，可进行多次报价）</w:t>
      </w:r>
    </w:p>
    <w:p w14:paraId="67D7AE7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lang w:val="en-US" w:eastAsia="zh-CN"/>
        </w:rPr>
        <w:t>在线</w:t>
      </w:r>
      <w:r>
        <w:rPr>
          <w:rFonts w:hint="eastAsia" w:ascii="宋体" w:hAnsi="宋体" w:cs="宋体"/>
          <w:color w:val="auto"/>
          <w:sz w:val="24"/>
          <w:szCs w:val="24"/>
          <w:highlight w:val="none"/>
        </w:rPr>
        <w:t>进行最终报价。对成交供应商的最终报价出现明显低于或高于同业同期市场平均价的情形时，谈判小组应当在评审意见中详细说明推荐理由。</w:t>
      </w:r>
    </w:p>
    <w:p w14:paraId="2387142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谈判小组应审查供应商是否具备“落实政府采购政策”的资格，如不符合相关文件要求或供应商未提供相关声明或证明材料，供应商不可以享受价格折扣优惠政策。</w:t>
      </w:r>
    </w:p>
    <w:p w14:paraId="37FDA2A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5AFD84E8">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7</w:t>
      </w:r>
      <w:r>
        <w:rPr>
          <w:rFonts w:hint="eastAsia" w:ascii="宋体" w:hAnsi="宋体" w:cs="宋体"/>
          <w:b/>
          <w:bCs/>
          <w:color w:val="auto"/>
          <w:sz w:val="24"/>
          <w:szCs w:val="24"/>
          <w:highlight w:val="none"/>
        </w:rPr>
        <w:t>、推荐成交候选人</w:t>
      </w:r>
    </w:p>
    <w:p w14:paraId="67BAED6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经过最后报价，谈判小组按上述规则对最后报价做必要的价格扣除，按扣除后的价格由低到高的顺序推荐</w:t>
      </w:r>
      <w:bookmarkStart w:id="450" w:name="■Finalists_CH2_A■"/>
      <w:r>
        <w:rPr>
          <w:rFonts w:hint="eastAsia" w:ascii="宋体" w:hAnsi="宋体" w:cs="宋体"/>
          <w:color w:val="auto"/>
          <w:sz w:val="24"/>
          <w:szCs w:val="24"/>
          <w:highlight w:val="none"/>
        </w:rPr>
        <w:t>三名</w:t>
      </w:r>
      <w:bookmarkEnd w:id="450"/>
      <w:r>
        <w:rPr>
          <w:rFonts w:hint="eastAsia" w:ascii="宋体" w:hAnsi="宋体" w:cs="宋体"/>
          <w:color w:val="auto"/>
          <w:sz w:val="24"/>
          <w:szCs w:val="24"/>
          <w:highlight w:val="none"/>
        </w:rPr>
        <w:t>成交候选人。</w:t>
      </w:r>
    </w:p>
    <w:p w14:paraId="59CC2AD2">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、编写评审报告</w:t>
      </w:r>
    </w:p>
    <w:p w14:paraId="4B24563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（1）谈判小组应根据全体评审成员签字的原始评审记录和评审结果编写评审报告。评审报告应包括：谈判公告刊登的媒体名称、开标日期和地点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供应商名单和谈判小组成员名单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评审方法和标准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开标记录和评审情况及说明，包括无效供应商名单及原因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评审结果，确定的成交候选人名单或者经采购人委托直接确定的成交人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其他需要说明的情况，包括评审过程中供应商根据谈判小组要求进行的澄清、说明或者补正，谈判小组成员的更换等。</w:t>
      </w:r>
    </w:p>
    <w:p w14:paraId="01BBC36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谈判小组成员对需要共同认定的事项存在争议的，应当按照少数服从多数的原则做出结论。持不同意见的谈判小组成员应当在评审报告上签署不同意见及理由，否则视为同意评审报告。对拒绝说明理由的，报市财政局处理，并将其评审情况如实计入考核表。</w:t>
      </w:r>
    </w:p>
    <w:p w14:paraId="4601D431">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三</w:t>
      </w:r>
      <w:r>
        <w:rPr>
          <w:rFonts w:hint="eastAsia" w:ascii="宋体" w:hAnsi="宋体" w:cs="宋体"/>
          <w:b/>
          <w:bCs/>
          <w:color w:val="auto"/>
          <w:sz w:val="24"/>
          <w:szCs w:val="24"/>
          <w:highlight w:val="none"/>
        </w:rPr>
        <w:t>、成交：</w:t>
      </w:r>
    </w:p>
    <w:p w14:paraId="0DABE86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1、采购代理机构</w:t>
      </w:r>
      <w:r>
        <w:rPr>
          <w:rFonts w:hint="eastAsia" w:ascii="宋体" w:hAnsi="宋体" w:cs="宋体"/>
          <w:color w:val="auto"/>
          <w:sz w:val="24"/>
          <w:szCs w:val="24"/>
          <w:highlight w:val="none"/>
        </w:rPr>
        <w:t>在评审工作结束后2个工作日内将评审报告送采购人。</w:t>
      </w:r>
    </w:p>
    <w:p w14:paraId="698DD97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采购人在收到评审报告之日起5个工作日内，在评审报告确定的成交候选人名单中按顺序确定成交供应商。</w:t>
      </w:r>
    </w:p>
    <w:p w14:paraId="684C87A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采购人在收到评审报告5个工作日内未按评审报告推荐的成交候选人顺序确定成交供应商，又不能说明合法理由的，视同按评审报告推荐的顺序确定成交供应商，</w:t>
      </w:r>
      <w:r>
        <w:rPr>
          <w:rFonts w:hint="eastAsia" w:ascii="宋体" w:hAnsi="宋体" w:cs="宋体"/>
          <w:color w:val="auto"/>
          <w:sz w:val="24"/>
          <w:szCs w:val="24"/>
          <w:highlight w:val="none"/>
          <w:lang w:val="en-US" w:eastAsia="zh-CN"/>
        </w:rPr>
        <w:t>采购代理机构</w:t>
      </w:r>
      <w:r>
        <w:rPr>
          <w:rFonts w:hint="eastAsia" w:ascii="宋体" w:hAnsi="宋体" w:cs="宋体"/>
          <w:color w:val="auto"/>
          <w:sz w:val="24"/>
          <w:szCs w:val="24"/>
          <w:highlight w:val="none"/>
        </w:rPr>
        <w:t>将发布成交公告。</w:t>
      </w:r>
    </w:p>
    <w:p w14:paraId="3440E5C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3、采购代理机构</w:t>
      </w:r>
      <w:r>
        <w:rPr>
          <w:rFonts w:hint="eastAsia" w:ascii="宋体" w:hAnsi="宋体" w:cs="宋体"/>
          <w:color w:val="auto"/>
          <w:sz w:val="24"/>
          <w:szCs w:val="24"/>
          <w:highlight w:val="none"/>
        </w:rPr>
        <w:t>将在成交供应商确定之日起2个工作日内，发布媒体为【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"http://www.ccgp-shaanxi.gov.cn"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陕西省政府采购网</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（www.ccgp-shaanxi.gov.cn）】、【全国公共资源交易平台（陕西省）（http://www.sxggzyjy.cn/）】上公告成交结果。</w:t>
      </w:r>
    </w:p>
    <w:p w14:paraId="7973EC9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成交公告期限为1个工作日。</w:t>
      </w:r>
    </w:p>
    <w:p w14:paraId="503BD05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在公告成交结果的同时，</w:t>
      </w:r>
      <w:r>
        <w:rPr>
          <w:rFonts w:hint="eastAsia" w:ascii="宋体" w:hAnsi="宋体" w:cs="宋体"/>
          <w:color w:val="auto"/>
          <w:sz w:val="24"/>
          <w:szCs w:val="24"/>
          <w:highlight w:val="none"/>
          <w:lang w:val="en-US" w:eastAsia="zh-CN"/>
        </w:rPr>
        <w:t>采购代理机构</w:t>
      </w:r>
      <w:r>
        <w:rPr>
          <w:rFonts w:hint="eastAsia" w:ascii="宋体" w:hAnsi="宋体" w:cs="宋体"/>
          <w:color w:val="auto"/>
          <w:sz w:val="24"/>
          <w:szCs w:val="24"/>
          <w:highlight w:val="none"/>
        </w:rPr>
        <w:t>向成交供应商发出成交通知书。</w:t>
      </w:r>
    </w:p>
    <w:p w14:paraId="0E4FACE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成交通知书发出后，采购人不得违法改变成交结果，成交供应商无正当理由不得放弃成交。</w:t>
      </w:r>
    </w:p>
    <w:p w14:paraId="5CAF561B">
      <w:pPr>
        <w:bidi w:val="0"/>
        <w:rPr>
          <w:rFonts w:hint="eastAsia"/>
          <w:color w:val="auto"/>
          <w:highlight w:val="none"/>
        </w:rPr>
      </w:pPr>
    </w:p>
    <w:p w14:paraId="57A3AA51">
      <w:pPr>
        <w:bidi w:val="0"/>
        <w:rPr>
          <w:rFonts w:hint="eastAsia"/>
          <w:color w:val="auto"/>
          <w:highlight w:val="none"/>
        </w:rPr>
      </w:pPr>
    </w:p>
    <w:p w14:paraId="2FBE33BB">
      <w:pPr>
        <w:bidi w:val="0"/>
        <w:rPr>
          <w:rFonts w:hint="eastAsia"/>
          <w:color w:val="auto"/>
          <w:highlight w:val="none"/>
        </w:rPr>
      </w:pPr>
    </w:p>
    <w:p w14:paraId="7DA4B9AB">
      <w:pPr>
        <w:pStyle w:val="8"/>
        <w:rPr>
          <w:rFonts w:hint="eastAsia"/>
          <w:color w:val="auto"/>
          <w:highlight w:val="none"/>
        </w:rPr>
      </w:pPr>
    </w:p>
    <w:p w14:paraId="24D8B8E0">
      <w:pPr>
        <w:rPr>
          <w:rFonts w:hint="eastAsia"/>
          <w:color w:val="auto"/>
          <w:highlight w:val="none"/>
        </w:rPr>
      </w:pPr>
    </w:p>
    <w:p w14:paraId="21D7AFF6">
      <w:pPr>
        <w:pStyle w:val="8"/>
        <w:rPr>
          <w:rFonts w:hint="eastAsia"/>
          <w:color w:val="auto"/>
          <w:highlight w:val="none"/>
        </w:rPr>
      </w:pPr>
    </w:p>
    <w:p w14:paraId="1FCAEE55">
      <w:pPr>
        <w:rPr>
          <w:rFonts w:hint="eastAsia"/>
          <w:color w:val="auto"/>
          <w:highlight w:val="none"/>
        </w:rPr>
      </w:pPr>
    </w:p>
    <w:p w14:paraId="70D5DCFD">
      <w:pPr>
        <w:pStyle w:val="8"/>
        <w:rPr>
          <w:rFonts w:hint="eastAsia"/>
          <w:color w:val="auto"/>
          <w:highlight w:val="none"/>
        </w:rPr>
      </w:pPr>
    </w:p>
    <w:p w14:paraId="181A692F">
      <w:pPr>
        <w:spacing w:line="360" w:lineRule="auto"/>
        <w:rPr>
          <w:rFonts w:ascii="宋体" w:hAnsi="宋体" w:cs="宋体"/>
          <w:b/>
          <w:bCs/>
          <w:color w:val="auto"/>
          <w:sz w:val="32"/>
          <w:szCs w:val="32"/>
          <w:highlight w:val="none"/>
        </w:rPr>
      </w:pPr>
    </w:p>
    <w:p w14:paraId="2DAF9110">
      <w:pPr>
        <w:spacing w:line="360" w:lineRule="auto"/>
        <w:rPr>
          <w:rFonts w:ascii="宋体" w:hAnsi="宋体" w:cs="宋体"/>
          <w:b/>
          <w:bCs/>
          <w:color w:val="auto"/>
          <w:sz w:val="32"/>
          <w:szCs w:val="32"/>
          <w:highlight w:val="none"/>
        </w:rPr>
      </w:pPr>
    </w:p>
    <w:p w14:paraId="3C475D92">
      <w:pPr>
        <w:pStyle w:val="27"/>
        <w:rPr>
          <w:rFonts w:ascii="宋体" w:hAnsi="宋体" w:cs="宋体"/>
          <w:b/>
          <w:bCs/>
          <w:color w:val="auto"/>
          <w:sz w:val="32"/>
          <w:szCs w:val="32"/>
          <w:highlight w:val="none"/>
        </w:rPr>
      </w:pPr>
    </w:p>
    <w:p w14:paraId="250F76EC">
      <w:pPr>
        <w:pStyle w:val="27"/>
        <w:rPr>
          <w:rFonts w:ascii="宋体" w:hAnsi="宋体" w:cs="宋体"/>
          <w:b/>
          <w:bCs/>
          <w:color w:val="auto"/>
          <w:sz w:val="32"/>
          <w:szCs w:val="32"/>
          <w:highlight w:val="none"/>
        </w:rPr>
      </w:pPr>
    </w:p>
    <w:p w14:paraId="21988D1E">
      <w:pPr>
        <w:pStyle w:val="27"/>
        <w:rPr>
          <w:rFonts w:ascii="宋体" w:hAnsi="宋体" w:cs="宋体"/>
          <w:b/>
          <w:bCs/>
          <w:color w:val="auto"/>
          <w:sz w:val="32"/>
          <w:szCs w:val="32"/>
          <w:highlight w:val="none"/>
        </w:rPr>
      </w:pPr>
    </w:p>
    <w:p w14:paraId="7F5FD12B">
      <w:pPr>
        <w:pStyle w:val="27"/>
        <w:rPr>
          <w:rFonts w:ascii="宋体" w:hAnsi="宋体" w:cs="宋体"/>
          <w:b/>
          <w:bCs/>
          <w:color w:val="auto"/>
          <w:sz w:val="32"/>
          <w:szCs w:val="32"/>
          <w:highlight w:val="none"/>
        </w:rPr>
      </w:pPr>
    </w:p>
    <w:p w14:paraId="776FBA6C">
      <w:pPr>
        <w:pStyle w:val="27"/>
        <w:rPr>
          <w:rFonts w:ascii="宋体" w:hAnsi="宋体" w:cs="宋体"/>
          <w:b/>
          <w:bCs/>
          <w:color w:val="auto"/>
          <w:sz w:val="32"/>
          <w:szCs w:val="32"/>
          <w:highlight w:val="none"/>
        </w:rPr>
      </w:pPr>
    </w:p>
    <w:p w14:paraId="4277B3FF">
      <w:pPr>
        <w:pStyle w:val="2"/>
        <w:bidi w:val="0"/>
        <w:jc w:val="center"/>
        <w:rPr>
          <w:rFonts w:hint="eastAsia"/>
          <w:color w:val="auto"/>
          <w:sz w:val="32"/>
          <w:szCs w:val="32"/>
          <w:highlight w:val="none"/>
        </w:rPr>
        <w:sectPr>
          <w:headerReference r:id="rId14" w:type="first"/>
          <w:footerReference r:id="rId16" w:type="first"/>
          <w:headerReference r:id="rId13" w:type="default"/>
          <w:footerReference r:id="rId15" w:type="default"/>
          <w:footnotePr>
            <w:pos w:val="beneathText"/>
          </w:footnotePr>
          <w:pgSz w:w="11906" w:h="16838"/>
          <w:pgMar w:top="1701" w:right="1417" w:bottom="1701" w:left="1417" w:header="1088" w:footer="992" w:gutter="0"/>
          <w:pgNumType w:fmt="decimal"/>
          <w:cols w:space="720" w:num="1"/>
          <w:titlePg/>
          <w:rtlGutter w:val="0"/>
          <w:docGrid w:type="lines" w:linePitch="312" w:charSpace="0"/>
        </w:sectPr>
      </w:pPr>
      <w:bookmarkStart w:id="451" w:name="_Toc9033"/>
      <w:bookmarkStart w:id="452" w:name="_Toc13219"/>
      <w:bookmarkStart w:id="453" w:name="_Toc1840"/>
      <w:bookmarkStart w:id="454" w:name="_Toc31238"/>
    </w:p>
    <w:p w14:paraId="23751FA1">
      <w:pPr>
        <w:pStyle w:val="2"/>
        <w:bidi w:val="0"/>
        <w:jc w:val="center"/>
        <w:rPr>
          <w:color w:val="auto"/>
          <w:szCs w:val="18"/>
          <w:highlight w:val="none"/>
        </w:rPr>
      </w:pPr>
      <w:r>
        <w:rPr>
          <w:rFonts w:hint="eastAsia"/>
          <w:color w:val="auto"/>
          <w:sz w:val="32"/>
          <w:szCs w:val="32"/>
          <w:highlight w:val="none"/>
        </w:rPr>
        <w:t>第八部分  竞争性谈判响应文件格式</w:t>
      </w:r>
      <w:bookmarkEnd w:id="451"/>
      <w:bookmarkEnd w:id="452"/>
      <w:bookmarkEnd w:id="453"/>
      <w:bookmarkEnd w:id="454"/>
    </w:p>
    <w:p w14:paraId="751AC415">
      <w:pPr>
        <w:spacing w:line="360" w:lineRule="auto"/>
        <w:rPr>
          <w:rFonts w:ascii="宋体" w:hAnsi="宋体" w:cs="宋体"/>
          <w:bCs/>
          <w:color w:val="auto"/>
          <w:sz w:val="28"/>
          <w:szCs w:val="28"/>
          <w:highlight w:val="none"/>
        </w:rPr>
      </w:pPr>
      <w:r>
        <w:rPr>
          <w:rFonts w:hint="eastAsia" w:ascii="宋体" w:hAnsi="宋体" w:cs="宋体"/>
          <w:b/>
          <w:bCs/>
          <w:color w:val="auto"/>
          <w:sz w:val="32"/>
          <w:szCs w:val="32"/>
          <w:highlight w:val="none"/>
        </w:rPr>
        <w:t>（封面）</w:t>
      </w:r>
      <w:r>
        <w:rPr>
          <w:rFonts w:hint="eastAsia" w:ascii="宋体" w:hAnsi="宋体" w:cs="宋体"/>
          <w:b/>
          <w:bCs/>
          <w:color w:val="auto"/>
          <w:sz w:val="24"/>
          <w:szCs w:val="24"/>
          <w:highlight w:val="none"/>
        </w:rPr>
        <w:t xml:space="preserve">                                                  </w:t>
      </w:r>
      <w:r>
        <w:rPr>
          <w:rFonts w:hint="eastAsia" w:ascii="宋体" w:hAnsi="宋体" w:cs="宋体"/>
          <w:b/>
          <w:color w:val="auto"/>
          <w:kern w:val="0"/>
          <w:sz w:val="36"/>
          <w:szCs w:val="36"/>
          <w:highlight w:val="none"/>
          <w:bdr w:val="single" w:color="auto" w:sz="4" w:space="0"/>
        </w:rPr>
        <w:t>正/副本</w:t>
      </w:r>
    </w:p>
    <w:p w14:paraId="298F8C21">
      <w:pPr>
        <w:spacing w:line="360" w:lineRule="auto"/>
        <w:jc w:val="left"/>
        <w:rPr>
          <w:rFonts w:ascii="宋体" w:hAnsi="宋体" w:cs="宋体"/>
          <w:b/>
          <w:color w:val="auto"/>
          <w:sz w:val="28"/>
          <w:szCs w:val="28"/>
          <w:highlight w:val="none"/>
        </w:rPr>
      </w:pPr>
      <w:r>
        <w:rPr>
          <w:rFonts w:hint="eastAsia" w:ascii="宋体" w:hAnsi="宋体" w:cs="宋体"/>
          <w:b/>
          <w:color w:val="auto"/>
          <w:sz w:val="28"/>
          <w:szCs w:val="28"/>
          <w:highlight w:val="none"/>
        </w:rPr>
        <w:t>采购项目编号：</w:t>
      </w:r>
      <w:bookmarkEnd w:id="439"/>
    </w:p>
    <w:p w14:paraId="446BC31C">
      <w:pPr>
        <w:rPr>
          <w:color w:val="auto"/>
          <w:highlight w:val="none"/>
        </w:rPr>
      </w:pPr>
    </w:p>
    <w:p w14:paraId="166E77DB">
      <w:pPr>
        <w:pStyle w:val="8"/>
        <w:rPr>
          <w:color w:val="auto"/>
          <w:highlight w:val="none"/>
        </w:rPr>
      </w:pPr>
      <w:r>
        <w:rPr>
          <w:rFonts w:hint="eastAsia" w:ascii="宋体" w:hAnsi="宋体" w:cs="宋体"/>
          <w:b/>
          <w:bCs/>
          <w:color w:val="auto"/>
          <w:spacing w:val="15"/>
          <w:sz w:val="48"/>
          <w:szCs w:val="48"/>
          <w:highlight w:val="none"/>
          <w:u w:val="single"/>
        </w:rPr>
        <w:t xml:space="preserve">           （项目名称）                </w:t>
      </w:r>
    </w:p>
    <w:p w14:paraId="67B8719B">
      <w:pPr>
        <w:pStyle w:val="8"/>
        <w:jc w:val="center"/>
        <w:rPr>
          <w:color w:val="auto"/>
          <w:highlight w:val="none"/>
        </w:rPr>
      </w:pPr>
    </w:p>
    <w:p w14:paraId="2BAB7EC5">
      <w:pPr>
        <w:rPr>
          <w:color w:val="auto"/>
          <w:highlight w:val="none"/>
        </w:rPr>
      </w:pPr>
    </w:p>
    <w:p w14:paraId="05DED29F">
      <w:pPr>
        <w:pStyle w:val="8"/>
        <w:rPr>
          <w:color w:val="auto"/>
          <w:highlight w:val="none"/>
        </w:rPr>
      </w:pPr>
    </w:p>
    <w:p w14:paraId="75B7FA23">
      <w:pPr>
        <w:rPr>
          <w:color w:val="auto"/>
          <w:highlight w:val="none"/>
        </w:rPr>
      </w:pPr>
    </w:p>
    <w:p w14:paraId="7DA131CB">
      <w:pPr>
        <w:pStyle w:val="18"/>
        <w:rPr>
          <w:color w:val="auto"/>
          <w:highlight w:val="none"/>
        </w:rPr>
      </w:pPr>
    </w:p>
    <w:p w14:paraId="0A8E6498">
      <w:pPr>
        <w:rPr>
          <w:color w:val="auto"/>
          <w:highlight w:val="none"/>
        </w:rPr>
      </w:pPr>
    </w:p>
    <w:p w14:paraId="214529EC">
      <w:pPr>
        <w:spacing w:line="360" w:lineRule="auto"/>
        <w:jc w:val="center"/>
        <w:rPr>
          <w:rFonts w:ascii="宋体" w:hAnsi="宋体" w:cs="宋体"/>
          <w:b/>
          <w:color w:val="auto"/>
          <w:sz w:val="24"/>
          <w:szCs w:val="24"/>
          <w:highlight w:val="none"/>
        </w:rPr>
      </w:pPr>
      <w:r>
        <w:rPr>
          <w:rFonts w:hint="eastAsia" w:ascii="宋体" w:hAnsi="宋体" w:cs="宋体"/>
          <w:b/>
          <w:color w:val="auto"/>
          <w:sz w:val="72"/>
          <w:szCs w:val="72"/>
          <w:highlight w:val="none"/>
        </w:rPr>
        <w:t>竞争性谈判响应文件</w:t>
      </w:r>
      <w:r>
        <w:rPr>
          <w:rFonts w:hint="eastAsia" w:ascii="宋体" w:hAnsi="宋体" w:cs="宋体"/>
          <w:b/>
          <w:color w:val="auto"/>
          <w:sz w:val="24"/>
          <w:szCs w:val="24"/>
          <w:highlight w:val="none"/>
        </w:rPr>
        <w:t xml:space="preserve"> </w:t>
      </w:r>
    </w:p>
    <w:p w14:paraId="07CD1D02">
      <w:pPr>
        <w:spacing w:line="360" w:lineRule="auto"/>
        <w:rPr>
          <w:rFonts w:ascii="宋体" w:hAnsi="宋体" w:cs="宋体"/>
          <w:b/>
          <w:color w:val="auto"/>
          <w:sz w:val="24"/>
          <w:szCs w:val="24"/>
          <w:highlight w:val="none"/>
        </w:rPr>
      </w:pPr>
    </w:p>
    <w:p w14:paraId="4C1A27AD">
      <w:pPr>
        <w:pStyle w:val="8"/>
        <w:rPr>
          <w:color w:val="auto"/>
          <w:highlight w:val="none"/>
        </w:rPr>
      </w:pPr>
    </w:p>
    <w:p w14:paraId="3B75D520">
      <w:pPr>
        <w:rPr>
          <w:color w:val="auto"/>
          <w:highlight w:val="none"/>
        </w:rPr>
      </w:pPr>
    </w:p>
    <w:p w14:paraId="62499A1C">
      <w:pPr>
        <w:pStyle w:val="7"/>
        <w:rPr>
          <w:color w:val="auto"/>
          <w:highlight w:val="none"/>
        </w:rPr>
      </w:pPr>
    </w:p>
    <w:p w14:paraId="5184334A">
      <w:pPr>
        <w:pStyle w:val="7"/>
        <w:rPr>
          <w:color w:val="auto"/>
          <w:highlight w:val="none"/>
        </w:rPr>
      </w:pPr>
    </w:p>
    <w:p w14:paraId="0AD68552">
      <w:pPr>
        <w:pStyle w:val="7"/>
        <w:ind w:left="0" w:leftChars="0" w:firstLine="0" w:firstLineChars="0"/>
        <w:rPr>
          <w:color w:val="auto"/>
          <w:highlight w:val="none"/>
        </w:rPr>
      </w:pPr>
    </w:p>
    <w:p w14:paraId="3D5BD847">
      <w:pPr>
        <w:rPr>
          <w:color w:val="auto"/>
          <w:highlight w:val="none"/>
        </w:rPr>
      </w:pPr>
    </w:p>
    <w:p w14:paraId="50FCE960">
      <w:pPr>
        <w:spacing w:line="360" w:lineRule="auto"/>
        <w:jc w:val="center"/>
        <w:rPr>
          <w:rFonts w:ascii="宋体" w:hAnsi="宋体" w:cs="宋体"/>
          <w:b/>
          <w:color w:val="auto"/>
          <w:sz w:val="28"/>
          <w:szCs w:val="22"/>
          <w:highlight w:val="none"/>
        </w:rPr>
      </w:pPr>
      <w:r>
        <w:rPr>
          <w:rFonts w:hint="eastAsia" w:ascii="宋体" w:hAnsi="宋体" w:cs="宋体"/>
          <w:b/>
          <w:color w:val="auto"/>
          <w:sz w:val="28"/>
          <w:szCs w:val="22"/>
          <w:highlight w:val="none"/>
        </w:rPr>
        <w:t>投标供应商：</w:t>
      </w:r>
      <w:r>
        <w:rPr>
          <w:rFonts w:hint="eastAsia" w:ascii="宋体" w:hAnsi="宋体" w:cs="宋体"/>
          <w:b/>
          <w:color w:val="auto"/>
          <w:sz w:val="28"/>
          <w:highlight w:val="none"/>
          <w:u w:val="single"/>
        </w:rPr>
        <w:t xml:space="preserve">                     </w:t>
      </w:r>
      <w:r>
        <w:rPr>
          <w:rFonts w:hint="eastAsia" w:ascii="宋体" w:hAnsi="宋体" w:cs="宋体"/>
          <w:b/>
          <w:color w:val="auto"/>
          <w:sz w:val="28"/>
          <w:szCs w:val="22"/>
          <w:highlight w:val="none"/>
        </w:rPr>
        <w:t>（盖章）</w:t>
      </w:r>
    </w:p>
    <w:p w14:paraId="05DAFEEE">
      <w:pPr>
        <w:spacing w:line="360" w:lineRule="auto"/>
        <w:ind w:firstLine="1265" w:firstLineChars="450"/>
        <w:rPr>
          <w:rFonts w:ascii="宋体" w:hAnsi="宋体" w:cs="宋体"/>
          <w:b/>
          <w:color w:val="auto"/>
          <w:sz w:val="28"/>
          <w:szCs w:val="22"/>
          <w:highlight w:val="none"/>
        </w:rPr>
      </w:pPr>
    </w:p>
    <w:p w14:paraId="54B18437">
      <w:pPr>
        <w:spacing w:line="360" w:lineRule="auto"/>
        <w:ind w:firstLine="1687" w:firstLineChars="600"/>
        <w:rPr>
          <w:rFonts w:ascii="宋体" w:hAnsi="宋体" w:cs="宋体"/>
          <w:b/>
          <w:color w:val="auto"/>
          <w:sz w:val="28"/>
          <w:szCs w:val="22"/>
          <w:highlight w:val="none"/>
        </w:rPr>
      </w:pPr>
      <w:r>
        <w:rPr>
          <w:rFonts w:hint="eastAsia" w:ascii="宋体" w:hAnsi="宋体" w:cs="宋体"/>
          <w:b/>
          <w:color w:val="auto"/>
          <w:sz w:val="28"/>
          <w:szCs w:val="22"/>
          <w:highlight w:val="none"/>
        </w:rPr>
        <w:t>法定代表人或被授权人（签字或盖章）：</w:t>
      </w:r>
    </w:p>
    <w:p w14:paraId="1343B7C4">
      <w:pPr>
        <w:spacing w:line="360" w:lineRule="auto"/>
        <w:jc w:val="center"/>
        <w:rPr>
          <w:rFonts w:ascii="宋体" w:hAnsi="宋体" w:cs="宋体"/>
          <w:b/>
          <w:color w:val="auto"/>
          <w:sz w:val="28"/>
          <w:szCs w:val="22"/>
          <w:highlight w:val="none"/>
        </w:rPr>
      </w:pPr>
    </w:p>
    <w:p w14:paraId="6299B3A1">
      <w:pPr>
        <w:spacing w:line="360" w:lineRule="auto"/>
        <w:jc w:val="center"/>
        <w:rPr>
          <w:rFonts w:hint="default" w:ascii="宋体" w:hAnsi="宋体" w:eastAsia="宋体" w:cs="宋体"/>
          <w:b/>
          <w:color w:val="auto"/>
          <w:sz w:val="28"/>
          <w:szCs w:val="22"/>
          <w:highlight w:val="none"/>
          <w:lang w:val="en-US" w:eastAsia="zh-CN"/>
        </w:rPr>
      </w:pPr>
      <w:r>
        <w:rPr>
          <w:rFonts w:hint="eastAsia" w:ascii="宋体" w:hAnsi="宋体" w:cs="宋体"/>
          <w:b/>
          <w:color w:val="auto"/>
          <w:sz w:val="28"/>
          <w:szCs w:val="22"/>
          <w:highlight w:val="none"/>
        </w:rPr>
        <w:t>年   月</w:t>
      </w:r>
      <w:r>
        <w:rPr>
          <w:rFonts w:hint="eastAsia" w:ascii="宋体" w:hAnsi="宋体" w:cs="宋体"/>
          <w:b/>
          <w:color w:val="auto"/>
          <w:sz w:val="28"/>
          <w:szCs w:val="22"/>
          <w:highlight w:val="none"/>
          <w:lang w:val="en-US" w:eastAsia="zh-CN"/>
        </w:rPr>
        <w:t xml:space="preserve">   日</w:t>
      </w:r>
    </w:p>
    <w:p w14:paraId="41359631">
      <w:pPr>
        <w:rPr>
          <w:rFonts w:hint="eastAsia" w:eastAsia="宋体"/>
          <w:color w:val="auto"/>
          <w:sz w:val="24"/>
          <w:szCs w:val="24"/>
          <w:highlight w:val="none"/>
          <w:lang w:val="en-US" w:eastAsia="zh-CN"/>
        </w:rPr>
        <w:sectPr>
          <w:footnotePr>
            <w:pos w:val="beneathText"/>
          </w:footnotePr>
          <w:pgSz w:w="11906" w:h="16838"/>
          <w:pgMar w:top="1701" w:right="1417" w:bottom="1701" w:left="1417" w:header="1088" w:footer="992" w:gutter="0"/>
          <w:pgNumType w:fmt="decimal"/>
          <w:cols w:space="720" w:num="1"/>
          <w:titlePg/>
          <w:rtlGutter w:val="0"/>
          <w:docGrid w:type="lines" w:linePitch="312" w:charSpace="0"/>
        </w:sectPr>
      </w:pPr>
      <w:bookmarkStart w:id="455" w:name="_Toc21305"/>
      <w:bookmarkStart w:id="456" w:name="_Toc357087380"/>
      <w:r>
        <w:rPr>
          <w:rFonts w:hint="eastAsia"/>
          <w:color w:val="auto"/>
          <w:sz w:val="24"/>
          <w:szCs w:val="24"/>
          <w:highlight w:val="none"/>
          <w:lang w:val="en-US" w:eastAsia="zh-CN"/>
        </w:rPr>
        <w:t xml:space="preserve"> </w:t>
      </w:r>
    </w:p>
    <w:p w14:paraId="1F0B5EDF">
      <w:pPr>
        <w:tabs>
          <w:tab w:val="left" w:pos="3329"/>
        </w:tabs>
        <w:jc w:val="center"/>
        <w:rPr>
          <w:b/>
          <w:color w:val="auto"/>
          <w:sz w:val="44"/>
          <w:highlight w:val="none"/>
        </w:rPr>
        <w:sectPr>
          <w:type w:val="continuous"/>
          <w:pgSz w:w="11906" w:h="16838"/>
          <w:pgMar w:top="1701" w:right="1417" w:bottom="1701" w:left="1417" w:header="1088" w:footer="992" w:gutter="0"/>
          <w:pgNumType w:fmt="decimal"/>
          <w:cols w:space="720" w:num="1"/>
          <w:titlePg/>
          <w:rtlGutter w:val="0"/>
          <w:docGrid w:type="lines" w:linePitch="312" w:charSpace="0"/>
        </w:sectPr>
      </w:pPr>
      <w:bookmarkStart w:id="457" w:name="_Toc30709"/>
      <w:bookmarkStart w:id="458" w:name="_Toc6250"/>
      <w:bookmarkStart w:id="459" w:name="_Toc15746"/>
      <w:bookmarkStart w:id="460" w:name="_Toc22764"/>
      <w:bookmarkStart w:id="461" w:name="_Toc465958130"/>
      <w:bookmarkStart w:id="462" w:name="_Toc24244"/>
    </w:p>
    <w:bookmarkEnd w:id="440"/>
    <w:bookmarkEnd w:id="441"/>
    <w:bookmarkEnd w:id="442"/>
    <w:bookmarkEnd w:id="443"/>
    <w:bookmarkEnd w:id="444"/>
    <w:bookmarkEnd w:id="445"/>
    <w:bookmarkEnd w:id="446"/>
    <w:bookmarkEnd w:id="447"/>
    <w:bookmarkEnd w:id="448"/>
    <w:bookmarkEnd w:id="449"/>
    <w:bookmarkEnd w:id="455"/>
    <w:bookmarkEnd w:id="456"/>
    <w:bookmarkEnd w:id="457"/>
    <w:bookmarkEnd w:id="458"/>
    <w:bookmarkEnd w:id="459"/>
    <w:bookmarkEnd w:id="460"/>
    <w:bookmarkEnd w:id="461"/>
    <w:bookmarkEnd w:id="462"/>
    <w:p w14:paraId="54FF8780">
      <w:pPr>
        <w:spacing w:line="360" w:lineRule="auto"/>
        <w:jc w:val="center"/>
        <w:rPr>
          <w:b/>
          <w:color w:val="auto"/>
          <w:sz w:val="44"/>
          <w:highlight w:val="none"/>
        </w:rPr>
      </w:pPr>
      <w:bookmarkStart w:id="463" w:name="_Toc30563"/>
      <w:bookmarkStart w:id="464" w:name="_Toc13680"/>
      <w:bookmarkStart w:id="465" w:name="_Toc8935"/>
      <w:bookmarkStart w:id="466" w:name="_Toc8917"/>
      <w:bookmarkStart w:id="467" w:name="_Toc15466"/>
      <w:bookmarkStart w:id="468" w:name="_Toc465958141"/>
      <w:bookmarkStart w:id="469" w:name="_Toc1595"/>
      <w:r>
        <w:rPr>
          <w:rFonts w:hint="eastAsia"/>
          <w:b/>
          <w:color w:val="auto"/>
          <w:sz w:val="44"/>
          <w:highlight w:val="none"/>
        </w:rPr>
        <w:t>目  录</w:t>
      </w:r>
    </w:p>
    <w:p w14:paraId="444AF431">
      <w:pPr>
        <w:spacing w:line="360" w:lineRule="auto"/>
        <w:jc w:val="center"/>
        <w:rPr>
          <w:rFonts w:ascii="宋体" w:hAnsi="宋体" w:cs="宋体"/>
          <w:b/>
          <w:color w:val="auto"/>
          <w:sz w:val="32"/>
          <w:szCs w:val="22"/>
          <w:highlight w:val="none"/>
        </w:rPr>
      </w:pPr>
      <w:r>
        <w:rPr>
          <w:rFonts w:hint="eastAsia" w:ascii="宋体" w:hAnsi="宋体" w:cs="宋体"/>
          <w:b/>
          <w:bCs/>
          <w:color w:val="auto"/>
          <w:kern w:val="0"/>
          <w:sz w:val="24"/>
          <w:szCs w:val="24"/>
          <w:highlight w:val="none"/>
        </w:rPr>
        <w:t>(引用三级目录）</w:t>
      </w:r>
      <w:r>
        <w:rPr>
          <w:rFonts w:hint="eastAsia" w:ascii="宋体" w:hAnsi="宋体" w:cs="宋体"/>
          <w:color w:val="auto"/>
          <w:highlight w:val="none"/>
        </w:rPr>
        <w:br w:type="page"/>
      </w:r>
      <w:r>
        <w:rPr>
          <w:rFonts w:hint="eastAsia" w:ascii="宋体" w:hAnsi="宋体" w:cs="宋体"/>
          <w:b/>
          <w:color w:val="auto"/>
          <w:sz w:val="32"/>
          <w:szCs w:val="22"/>
          <w:highlight w:val="none"/>
        </w:rPr>
        <w:t>一、响应函</w:t>
      </w:r>
    </w:p>
    <w:p w14:paraId="0067A3F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宋体" w:hAnsi="宋体" w:eastAsia="宋体" w:cs="宋体"/>
          <w:color w:val="auto"/>
          <w:sz w:val="24"/>
          <w:szCs w:val="24"/>
          <w:highlight w:val="none"/>
          <w:lang w:eastAsia="zh-CN"/>
        </w:rPr>
      </w:pPr>
      <w:bookmarkStart w:id="470" w:name="_Toc30703"/>
      <w:bookmarkStart w:id="471" w:name="_Toc25167"/>
      <w:bookmarkStart w:id="472" w:name="_Toc698"/>
      <w:bookmarkStart w:id="473" w:name="_Toc465958131"/>
      <w:bookmarkStart w:id="474" w:name="_Toc190"/>
      <w:bookmarkStart w:id="475" w:name="_Toc21360"/>
      <w:bookmarkStart w:id="476" w:name="_Toc7763"/>
      <w:r>
        <w:rPr>
          <w:rFonts w:hint="eastAsia" w:ascii="宋体" w:hAnsi="宋体" w:cs="宋体"/>
          <w:color w:val="auto"/>
          <w:sz w:val="24"/>
          <w:szCs w:val="24"/>
          <w:highlight w:val="none"/>
        </w:rPr>
        <w:t>致：</w:t>
      </w:r>
      <w:r>
        <w:rPr>
          <w:rFonts w:hint="eastAsia" w:ascii="宋体" w:hAnsi="宋体" w:cs="宋体"/>
          <w:color w:val="auto"/>
          <w:sz w:val="24"/>
          <w:szCs w:val="24"/>
          <w:highlight w:val="none"/>
          <w:lang w:eastAsia="zh-CN"/>
        </w:rPr>
        <w:t>陕安项目管理有限公司</w:t>
      </w:r>
    </w:p>
    <w:p w14:paraId="02ECCCE4">
      <w:pPr>
        <w:keepNext w:val="0"/>
        <w:keepLines w:val="0"/>
        <w:pageBreakBefore w:val="0"/>
        <w:widowControl w:val="0"/>
        <w:kinsoku/>
        <w:wordWrap/>
        <w:overflowPunct/>
        <w:topLinePunct w:val="0"/>
        <w:autoSpaceDE/>
        <w:autoSpaceDN/>
        <w:bidi w:val="0"/>
        <w:adjustRightInd w:val="0"/>
        <w:snapToGrid w:val="0"/>
        <w:spacing w:line="540" w:lineRule="exact"/>
        <w:ind w:firstLine="540" w:firstLineChars="225"/>
        <w:textAlignment w:val="auto"/>
        <w:rPr>
          <w:rFonts w:ascii="宋体" w:hAnsi="宋体" w:cs="宋体"/>
          <w:color w:val="auto"/>
          <w:sz w:val="24"/>
          <w:szCs w:val="24"/>
          <w:highlight w:val="none"/>
        </w:rPr>
      </w:pPr>
      <w:r>
        <w:rPr>
          <w:rFonts w:hint="eastAsia" w:ascii="宋体" w:hAnsi="宋体" w:cs="宋体"/>
          <w:color w:val="auto"/>
          <w:sz w:val="24"/>
          <w:szCs w:val="24"/>
          <w:highlight w:val="none"/>
        </w:rPr>
        <w:t>根据已收到贵方的采购项目编号为（采购项目编号）的（采购项目名称）的竞争性谈判文件，签字代表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(全名、职务)经正式授权并代表 (供应商名称、地址、统一社会信用代码）提交包含下述内容的竞争性谈判响应文件，正本一份、副本一式二份，电子版（u盘）一份，资格证明文件一套。</w:t>
      </w:r>
    </w:p>
    <w:p w14:paraId="024C97E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(1) 谈判函</w:t>
      </w:r>
    </w:p>
    <w:p w14:paraId="2B84A63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(2) 报价一览表</w:t>
      </w:r>
    </w:p>
    <w:p w14:paraId="13FE2CF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(3) 按供应商须知要求提供的全部文件和竞争性谈判文件要求的响应文件。</w:t>
      </w:r>
    </w:p>
    <w:p w14:paraId="4C634C6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(4) 供应商资格证明文件。</w:t>
      </w:r>
    </w:p>
    <w:p w14:paraId="352468A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ab/>
      </w:r>
      <w:r>
        <w:rPr>
          <w:rFonts w:hint="eastAsia" w:ascii="宋体" w:hAnsi="宋体" w:cs="宋体"/>
          <w:color w:val="auto"/>
          <w:sz w:val="24"/>
          <w:szCs w:val="24"/>
          <w:highlight w:val="none"/>
        </w:rPr>
        <w:t>据此函，签字代表宣布同意如下：</w:t>
      </w:r>
    </w:p>
    <w:p w14:paraId="2630C86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rPr>
        <w:tab/>
      </w:r>
      <w:r>
        <w:rPr>
          <w:rFonts w:hint="eastAsia" w:ascii="宋体" w:hAnsi="宋体" w:cs="宋体"/>
          <w:color w:val="auto"/>
          <w:sz w:val="24"/>
          <w:szCs w:val="24"/>
          <w:highlight w:val="none"/>
        </w:rPr>
        <w:t>1. 所附报价一览表中的投标报价为：</w:t>
      </w:r>
      <w:r>
        <w:rPr>
          <w:rFonts w:hint="eastAsia" w:ascii="宋体" w:hAnsi="宋体" w:cs="宋体"/>
          <w:color w:val="auto"/>
          <w:sz w:val="24"/>
          <w:szCs w:val="24"/>
          <w:highlight w:val="none"/>
          <w:u w:val="single"/>
        </w:rPr>
        <w:t xml:space="preserve">        元   </w:t>
      </w:r>
      <w:r>
        <w:rPr>
          <w:rFonts w:hint="eastAsia" w:ascii="宋体" w:hAnsi="宋体" w:cs="宋体"/>
          <w:color w:val="auto"/>
          <w:sz w:val="24"/>
          <w:szCs w:val="24"/>
          <w:highlight w:val="none"/>
        </w:rPr>
        <w:t>（即：</w:t>
      </w:r>
      <w:r>
        <w:rPr>
          <w:rFonts w:hint="eastAsia" w:ascii="宋体" w:hAnsi="宋体" w:cs="宋体"/>
          <w:color w:val="auto"/>
          <w:sz w:val="24"/>
          <w:szCs w:val="24"/>
          <w:highlight w:val="none"/>
          <w:u w:val="single"/>
        </w:rPr>
        <w:t xml:space="preserve">    大写金额     </w:t>
      </w:r>
      <w:r>
        <w:rPr>
          <w:rFonts w:hint="eastAsia" w:ascii="宋体" w:hAnsi="宋体" w:cs="宋体"/>
          <w:color w:val="auto"/>
          <w:sz w:val="24"/>
          <w:szCs w:val="24"/>
          <w:highlight w:val="none"/>
        </w:rPr>
        <w:t>）；</w:t>
      </w:r>
    </w:p>
    <w:p w14:paraId="359B3C15">
      <w:pPr>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 供应商将按竞争性谈判文件的规定履行合同责任和义务；</w:t>
      </w:r>
    </w:p>
    <w:p w14:paraId="22C66A72">
      <w:pPr>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 供应商已详细审查全部竞争性谈判文件，包括修改文件（如有的话）以及全部参考资料和有关附件。我们完全理解并同意放弃对这方面有不明及误解的权利；</w:t>
      </w:r>
    </w:p>
    <w:p w14:paraId="53973214">
      <w:pPr>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4. 谈判报价自谈判截止之日起有效期为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个日历天；</w:t>
      </w:r>
    </w:p>
    <w:p w14:paraId="2FAD5A5C">
      <w:pPr>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 供应商同意提供按照贵方可能要求的与其报价有关的一切数据或资料。</w:t>
      </w:r>
    </w:p>
    <w:p w14:paraId="73907F32">
      <w:pPr>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 与本谈判有关的一切正式往来通讯请寄：</w:t>
      </w:r>
    </w:p>
    <w:p w14:paraId="50333342">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地址：</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邮编：</w:t>
      </w:r>
      <w:r>
        <w:rPr>
          <w:rFonts w:hint="eastAsia" w:ascii="宋体" w:hAnsi="宋体" w:cs="宋体"/>
          <w:color w:val="auto"/>
          <w:sz w:val="24"/>
          <w:szCs w:val="24"/>
          <w:highlight w:val="none"/>
          <w:u w:val="single"/>
        </w:rPr>
        <w:t xml:space="preserve">                    </w:t>
      </w:r>
    </w:p>
    <w:p w14:paraId="7B05727A">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电话：</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传真：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7CB25D1C">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供应商代表姓名、职务：</w:t>
      </w:r>
      <w:r>
        <w:rPr>
          <w:rFonts w:hint="eastAsia" w:ascii="宋体" w:hAnsi="宋体" w:cs="宋体"/>
          <w:color w:val="auto"/>
          <w:sz w:val="24"/>
          <w:szCs w:val="24"/>
          <w:highlight w:val="none"/>
          <w:u w:val="single"/>
        </w:rPr>
        <w:t xml:space="preserve">                                   </w:t>
      </w:r>
    </w:p>
    <w:p w14:paraId="029EB3DE">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供应商名称：</w:t>
      </w:r>
      <w:r>
        <w:rPr>
          <w:rFonts w:hint="eastAsia" w:ascii="宋体" w:hAnsi="宋体" w:cs="宋体"/>
          <w:color w:val="auto"/>
          <w:sz w:val="24"/>
          <w:szCs w:val="24"/>
          <w:highlight w:val="none"/>
          <w:u w:val="single"/>
        </w:rPr>
        <w:t xml:space="preserve">                    （公章）</w:t>
      </w:r>
    </w:p>
    <w:p w14:paraId="6940E035">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法定代表人（负责人）或被授权代表签字或盖章：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3EF7FF0B">
      <w:pPr>
        <w:keepNext w:val="0"/>
        <w:keepLines w:val="0"/>
        <w:pageBreakBefore w:val="0"/>
        <w:widowControl w:val="0"/>
        <w:kinsoku/>
        <w:wordWrap/>
        <w:overflowPunct/>
        <w:topLinePunct w:val="0"/>
        <w:autoSpaceDE/>
        <w:autoSpaceDN/>
        <w:bidi w:val="0"/>
        <w:adjustRightInd w:val="0"/>
        <w:snapToGrid w:val="0"/>
        <w:spacing w:line="540" w:lineRule="exact"/>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日期：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27411905">
      <w:pPr>
        <w:pStyle w:val="3"/>
        <w:keepLines w:val="0"/>
        <w:adjustRightInd w:val="0"/>
        <w:spacing w:line="360" w:lineRule="auto"/>
        <w:jc w:val="center"/>
        <w:textAlignment w:val="baseline"/>
        <w:rPr>
          <w:rFonts w:ascii="宋体" w:hAnsi="宋体" w:eastAsia="宋体" w:cs="宋体"/>
          <w:bCs/>
          <w:color w:val="auto"/>
          <w:highlight w:val="none"/>
        </w:rPr>
      </w:pPr>
      <w:bookmarkStart w:id="477" w:name="_Toc2842"/>
      <w:r>
        <w:rPr>
          <w:rFonts w:hint="eastAsia" w:ascii="宋体" w:hAnsi="宋体" w:eastAsia="宋体" w:cs="宋体"/>
          <w:bCs/>
          <w:color w:val="auto"/>
          <w:highlight w:val="none"/>
        </w:rPr>
        <w:t>二</w:t>
      </w:r>
      <w:bookmarkEnd w:id="470"/>
      <w:bookmarkEnd w:id="471"/>
      <w:bookmarkEnd w:id="472"/>
      <w:bookmarkEnd w:id="473"/>
      <w:bookmarkEnd w:id="474"/>
      <w:bookmarkEnd w:id="475"/>
      <w:r>
        <w:rPr>
          <w:rFonts w:hint="eastAsia" w:ascii="宋体" w:hAnsi="宋体" w:eastAsia="宋体" w:cs="宋体"/>
          <w:bCs/>
          <w:color w:val="auto"/>
          <w:highlight w:val="none"/>
        </w:rPr>
        <w:t>、第一次谈判报价表</w:t>
      </w:r>
      <w:bookmarkEnd w:id="476"/>
      <w:bookmarkEnd w:id="477"/>
    </w:p>
    <w:p w14:paraId="19AE1C95">
      <w:pPr>
        <w:rPr>
          <w:rFonts w:ascii="宋体" w:hAnsi="宋体" w:cs="宋体"/>
          <w:b/>
          <w:bCs/>
          <w:color w:val="auto"/>
          <w:sz w:val="28"/>
          <w:szCs w:val="28"/>
          <w:highlight w:val="none"/>
        </w:rPr>
      </w:pPr>
      <w:r>
        <w:rPr>
          <w:rFonts w:hint="eastAsia" w:ascii="宋体" w:hAnsi="宋体" w:cs="宋体"/>
          <w:b/>
          <w:bCs/>
          <w:color w:val="auto"/>
          <w:sz w:val="28"/>
          <w:szCs w:val="28"/>
          <w:highlight w:val="none"/>
        </w:rPr>
        <w:t>项目编号：</w:t>
      </w:r>
    </w:p>
    <w:p w14:paraId="184486EC">
      <w:pPr>
        <w:pStyle w:val="8"/>
        <w:rPr>
          <w:rFonts w:ascii="宋体" w:hAnsi="宋体" w:cs="宋体"/>
          <w:b/>
          <w:bCs/>
          <w:color w:val="auto"/>
          <w:sz w:val="28"/>
          <w:szCs w:val="28"/>
          <w:highlight w:val="none"/>
        </w:rPr>
      </w:pPr>
      <w:r>
        <w:rPr>
          <w:rFonts w:hint="eastAsia" w:ascii="宋体" w:hAnsi="宋体" w:cs="宋体"/>
          <w:b/>
          <w:bCs/>
          <w:color w:val="auto"/>
          <w:sz w:val="28"/>
          <w:szCs w:val="28"/>
          <w:highlight w:val="none"/>
        </w:rPr>
        <w:t>项目名称：</w:t>
      </w:r>
    </w:p>
    <w:tbl>
      <w:tblPr>
        <w:tblStyle w:val="19"/>
        <w:tblW w:w="915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03"/>
        <w:gridCol w:w="7156"/>
      </w:tblGrid>
      <w:tr w14:paraId="078AEA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8" w:hRule="atLeast"/>
        </w:trPr>
        <w:tc>
          <w:tcPr>
            <w:tcW w:w="2003" w:type="dxa"/>
            <w:tcBorders>
              <w:bottom w:val="single" w:color="auto" w:sz="4" w:space="0"/>
            </w:tcBorders>
            <w:noWrap w:val="0"/>
            <w:vAlign w:val="center"/>
          </w:tcPr>
          <w:p w14:paraId="6132DAFF">
            <w:pPr>
              <w:spacing w:line="360" w:lineRule="auto"/>
              <w:jc w:val="center"/>
              <w:rPr>
                <w:rFonts w:ascii="宋体" w:hAnsi="宋体" w:cs="宋体"/>
                <w:b/>
                <w:bCs/>
                <w:color w:val="auto"/>
                <w:sz w:val="24"/>
                <w:highlight w:val="none"/>
              </w:rPr>
            </w:pPr>
            <w:bookmarkStart w:id="478" w:name="OLE_LINK14"/>
            <w:r>
              <w:rPr>
                <w:rFonts w:hint="eastAsia" w:ascii="宋体" w:hAnsi="宋体" w:cs="宋体"/>
                <w:b/>
                <w:bCs/>
                <w:color w:val="auto"/>
                <w:sz w:val="24"/>
                <w:highlight w:val="none"/>
              </w:rPr>
              <w:t>标题</w:t>
            </w:r>
          </w:p>
        </w:tc>
        <w:tc>
          <w:tcPr>
            <w:tcW w:w="7156" w:type="dxa"/>
            <w:noWrap w:val="0"/>
            <w:vAlign w:val="center"/>
          </w:tcPr>
          <w:p w14:paraId="4A50DFF0">
            <w:pPr>
              <w:pStyle w:val="2"/>
              <w:spacing w:line="360" w:lineRule="auto"/>
              <w:jc w:val="center"/>
              <w:rPr>
                <w:rFonts w:ascii="宋体" w:hAnsi="宋体" w:cs="宋体"/>
                <w:b w:val="0"/>
                <w:bCs/>
                <w:color w:val="auto"/>
                <w:kern w:val="2"/>
                <w:sz w:val="24"/>
                <w:highlight w:val="none"/>
              </w:rPr>
            </w:pPr>
            <w:bookmarkStart w:id="479" w:name="_Toc15651"/>
            <w:bookmarkStart w:id="480" w:name="_Toc19577"/>
            <w:bookmarkStart w:id="481" w:name="_Toc14155"/>
            <w:bookmarkStart w:id="482" w:name="_Toc18323"/>
            <w:bookmarkStart w:id="483" w:name="_Toc24615"/>
            <w:bookmarkStart w:id="484" w:name="_Toc7618"/>
            <w:bookmarkStart w:id="485" w:name="_Toc18669"/>
            <w:r>
              <w:rPr>
                <w:rFonts w:hint="eastAsia" w:ascii="宋体" w:hAnsi="宋体" w:cs="宋体"/>
                <w:bCs/>
                <w:color w:val="auto"/>
                <w:kern w:val="2"/>
                <w:sz w:val="24"/>
                <w:highlight w:val="none"/>
              </w:rPr>
              <w:t>内容</w:t>
            </w:r>
            <w:bookmarkEnd w:id="479"/>
            <w:bookmarkEnd w:id="480"/>
            <w:bookmarkEnd w:id="481"/>
            <w:bookmarkEnd w:id="482"/>
            <w:bookmarkEnd w:id="483"/>
            <w:bookmarkEnd w:id="484"/>
            <w:bookmarkEnd w:id="485"/>
          </w:p>
        </w:tc>
      </w:tr>
      <w:tr w14:paraId="7033C3B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40" w:hRule="atLeast"/>
        </w:trPr>
        <w:tc>
          <w:tcPr>
            <w:tcW w:w="2003" w:type="dxa"/>
            <w:tcBorders>
              <w:bottom w:val="single" w:color="auto" w:sz="4" w:space="0"/>
            </w:tcBorders>
            <w:noWrap w:val="0"/>
            <w:vAlign w:val="center"/>
          </w:tcPr>
          <w:p w14:paraId="5EBD3E37">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投标总价（合计）</w:t>
            </w:r>
          </w:p>
        </w:tc>
        <w:tc>
          <w:tcPr>
            <w:tcW w:w="7156" w:type="dxa"/>
            <w:tcBorders>
              <w:bottom w:val="single" w:color="auto" w:sz="4" w:space="0"/>
            </w:tcBorders>
            <w:noWrap w:val="0"/>
            <w:vAlign w:val="center"/>
          </w:tcPr>
          <w:p w14:paraId="5E2F1DB4">
            <w:pPr>
              <w:spacing w:line="360" w:lineRule="auto"/>
              <w:jc w:val="center"/>
              <w:rPr>
                <w:rFonts w:ascii="宋体" w:hAnsi="宋体" w:cs="宋体"/>
                <w:bCs/>
                <w:color w:val="auto"/>
                <w:sz w:val="24"/>
                <w:highlight w:val="none"/>
              </w:rPr>
            </w:pPr>
          </w:p>
        </w:tc>
      </w:tr>
      <w:tr w14:paraId="5F210A3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79" w:hRule="atLeast"/>
        </w:trPr>
        <w:tc>
          <w:tcPr>
            <w:tcW w:w="2003" w:type="dxa"/>
            <w:noWrap w:val="0"/>
            <w:vAlign w:val="center"/>
          </w:tcPr>
          <w:p w14:paraId="6ECE344C">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投标人</w:t>
            </w:r>
          </w:p>
          <w:p w14:paraId="05935933">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（公司名称）</w:t>
            </w:r>
          </w:p>
        </w:tc>
        <w:tc>
          <w:tcPr>
            <w:tcW w:w="7156" w:type="dxa"/>
            <w:noWrap w:val="0"/>
            <w:vAlign w:val="top"/>
          </w:tcPr>
          <w:p w14:paraId="339C6C13">
            <w:pPr>
              <w:spacing w:line="360" w:lineRule="auto"/>
              <w:rPr>
                <w:rFonts w:ascii="宋体" w:hAnsi="宋体" w:cs="宋体"/>
                <w:b/>
                <w:bCs/>
                <w:color w:val="auto"/>
                <w:sz w:val="24"/>
                <w:highlight w:val="none"/>
              </w:rPr>
            </w:pPr>
          </w:p>
        </w:tc>
      </w:tr>
      <w:tr w14:paraId="36F7ED8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51" w:hRule="atLeast"/>
        </w:trPr>
        <w:tc>
          <w:tcPr>
            <w:tcW w:w="2003" w:type="dxa"/>
            <w:noWrap w:val="0"/>
            <w:vAlign w:val="center"/>
          </w:tcPr>
          <w:p w14:paraId="226CF5B7">
            <w:pPr>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交货</w:t>
            </w:r>
            <w:r>
              <w:rPr>
                <w:rFonts w:hint="eastAsia" w:ascii="宋体" w:hAnsi="宋体" w:eastAsia="宋体" w:cs="宋体"/>
                <w:b/>
                <w:bCs/>
                <w:color w:val="auto"/>
                <w:sz w:val="24"/>
                <w:highlight w:val="none"/>
                <w:lang w:eastAsia="zh-CN"/>
              </w:rPr>
              <w:t>期</w:t>
            </w:r>
          </w:p>
        </w:tc>
        <w:tc>
          <w:tcPr>
            <w:tcW w:w="7156" w:type="dxa"/>
            <w:noWrap w:val="0"/>
            <w:vAlign w:val="top"/>
          </w:tcPr>
          <w:p w14:paraId="56258857">
            <w:pPr>
              <w:spacing w:line="360" w:lineRule="auto"/>
              <w:rPr>
                <w:rFonts w:ascii="宋体" w:hAnsi="宋体" w:cs="宋体"/>
                <w:b/>
                <w:bCs/>
                <w:color w:val="auto"/>
                <w:sz w:val="24"/>
                <w:highlight w:val="none"/>
              </w:rPr>
            </w:pPr>
          </w:p>
        </w:tc>
      </w:tr>
      <w:tr w14:paraId="1A1C064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51" w:hRule="atLeast"/>
        </w:trPr>
        <w:tc>
          <w:tcPr>
            <w:tcW w:w="2003" w:type="dxa"/>
            <w:noWrap w:val="0"/>
            <w:vAlign w:val="center"/>
          </w:tcPr>
          <w:p w14:paraId="34B94C84">
            <w:pPr>
              <w:spacing w:line="360" w:lineRule="auto"/>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质保期</w:t>
            </w:r>
          </w:p>
        </w:tc>
        <w:tc>
          <w:tcPr>
            <w:tcW w:w="7156" w:type="dxa"/>
            <w:noWrap w:val="0"/>
            <w:vAlign w:val="top"/>
          </w:tcPr>
          <w:p w14:paraId="5E1D2BCC">
            <w:pPr>
              <w:spacing w:line="360" w:lineRule="auto"/>
              <w:rPr>
                <w:rFonts w:ascii="宋体" w:hAnsi="宋体" w:cs="宋体"/>
                <w:b/>
                <w:bCs/>
                <w:color w:val="auto"/>
                <w:sz w:val="24"/>
                <w:highlight w:val="none"/>
              </w:rPr>
            </w:pPr>
          </w:p>
        </w:tc>
      </w:tr>
      <w:tr w14:paraId="34350E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6" w:hRule="atLeast"/>
        </w:trPr>
        <w:tc>
          <w:tcPr>
            <w:tcW w:w="2003" w:type="dxa"/>
            <w:noWrap w:val="0"/>
            <w:vAlign w:val="center"/>
          </w:tcPr>
          <w:p w14:paraId="44ED85B1">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投标声明</w:t>
            </w:r>
          </w:p>
        </w:tc>
        <w:tc>
          <w:tcPr>
            <w:tcW w:w="7156" w:type="dxa"/>
            <w:noWrap w:val="0"/>
            <w:vAlign w:val="top"/>
          </w:tcPr>
          <w:p w14:paraId="608E92E0">
            <w:pPr>
              <w:spacing w:line="360" w:lineRule="auto"/>
              <w:rPr>
                <w:rFonts w:ascii="宋体" w:hAnsi="宋体" w:cs="宋体"/>
                <w:b/>
                <w:bCs/>
                <w:color w:val="auto"/>
                <w:sz w:val="24"/>
                <w:highlight w:val="none"/>
              </w:rPr>
            </w:pPr>
          </w:p>
        </w:tc>
      </w:tr>
      <w:bookmarkEnd w:id="478"/>
    </w:tbl>
    <w:p w14:paraId="3BFA9B40">
      <w:pPr>
        <w:spacing w:line="360" w:lineRule="auto"/>
        <w:rPr>
          <w:rFonts w:ascii="宋体" w:hAnsi="宋体" w:cs="宋体"/>
          <w:color w:val="auto"/>
          <w:sz w:val="24"/>
          <w:szCs w:val="24"/>
          <w:highlight w:val="none"/>
        </w:rPr>
      </w:pPr>
    </w:p>
    <w:p w14:paraId="3FD713DD">
      <w:pPr>
        <w:spacing w:line="360" w:lineRule="auto"/>
        <w:rPr>
          <w:rFonts w:ascii="宋体" w:hAnsi="宋体" w:cs="宋体"/>
          <w:color w:val="auto"/>
          <w:sz w:val="24"/>
          <w:highlight w:val="none"/>
        </w:rPr>
      </w:pPr>
    </w:p>
    <w:p w14:paraId="26342B17">
      <w:pPr>
        <w:spacing w:line="360" w:lineRule="auto"/>
        <w:ind w:right="-161"/>
        <w:rPr>
          <w:rFonts w:ascii="宋体" w:hAnsi="宋体" w:cs="宋体"/>
          <w:color w:val="auto"/>
          <w:sz w:val="24"/>
          <w:szCs w:val="24"/>
          <w:highlight w:val="none"/>
        </w:rPr>
      </w:pPr>
    </w:p>
    <w:p w14:paraId="5B723170">
      <w:pPr>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2EDF35BE">
      <w:pPr>
        <w:ind w:right="-161" w:firstLine="2640" w:firstLineChars="1100"/>
        <w:rPr>
          <w:rFonts w:ascii="宋体" w:hAnsi="宋体" w:cs="宋体"/>
          <w:color w:val="auto"/>
          <w:sz w:val="24"/>
          <w:szCs w:val="24"/>
          <w:highlight w:val="none"/>
          <w:u w:val="single"/>
        </w:rPr>
      </w:pPr>
    </w:p>
    <w:p w14:paraId="7590A05F">
      <w:pPr>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    应    商  （公  章）：</w:t>
      </w:r>
      <w:r>
        <w:rPr>
          <w:rFonts w:hint="eastAsia" w:ascii="宋体" w:hAnsi="宋体" w:cs="宋体"/>
          <w:color w:val="auto"/>
          <w:sz w:val="24"/>
          <w:szCs w:val="24"/>
          <w:highlight w:val="none"/>
          <w:u w:val="single"/>
        </w:rPr>
        <w:t xml:space="preserve">                           </w:t>
      </w:r>
    </w:p>
    <w:p w14:paraId="1EB4856C">
      <w:pPr>
        <w:ind w:right="-161" w:firstLine="2640" w:firstLineChars="1100"/>
        <w:rPr>
          <w:rFonts w:ascii="宋体" w:hAnsi="宋体" w:cs="宋体"/>
          <w:color w:val="auto"/>
          <w:sz w:val="24"/>
          <w:szCs w:val="24"/>
          <w:highlight w:val="none"/>
          <w:u w:val="single"/>
        </w:rPr>
      </w:pPr>
    </w:p>
    <w:p w14:paraId="68BC3036">
      <w:pPr>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日                     期 ：</w:t>
      </w:r>
      <w:r>
        <w:rPr>
          <w:rFonts w:hint="eastAsia" w:ascii="宋体" w:hAnsi="宋体" w:cs="宋体"/>
          <w:color w:val="auto"/>
          <w:sz w:val="24"/>
          <w:szCs w:val="24"/>
          <w:highlight w:val="none"/>
          <w:u w:val="single"/>
        </w:rPr>
        <w:t xml:space="preserve">                           </w:t>
      </w:r>
    </w:p>
    <w:p w14:paraId="38FE0694">
      <w:pPr>
        <w:spacing w:line="480" w:lineRule="auto"/>
        <w:ind w:right="-161"/>
        <w:jc w:val="center"/>
        <w:outlineLvl w:val="0"/>
        <w:rPr>
          <w:b/>
          <w:bCs/>
          <w:color w:val="auto"/>
          <w:sz w:val="36"/>
          <w:szCs w:val="16"/>
          <w:highlight w:val="none"/>
        </w:rPr>
        <w:sectPr>
          <w:pgSz w:w="11906" w:h="16838"/>
          <w:pgMar w:top="1701" w:right="1417" w:bottom="1701" w:left="1417" w:header="1088" w:footer="992" w:gutter="0"/>
          <w:pgNumType w:fmt="decimal"/>
          <w:cols w:space="720" w:num="1"/>
          <w:titlePg/>
          <w:rtlGutter w:val="0"/>
          <w:docGrid w:type="lines" w:linePitch="312" w:charSpace="0"/>
        </w:sectPr>
      </w:pPr>
      <w:bookmarkStart w:id="486" w:name="_Toc24950"/>
      <w:bookmarkStart w:id="487" w:name="_Toc3481"/>
      <w:bookmarkStart w:id="488" w:name="_Toc6714"/>
      <w:bookmarkStart w:id="489" w:name="_Toc9543"/>
      <w:bookmarkStart w:id="490" w:name="_Toc2930"/>
      <w:bookmarkStart w:id="491" w:name="_Toc31910"/>
      <w:bookmarkStart w:id="492" w:name="_Toc7129"/>
      <w:bookmarkStart w:id="493" w:name="_Toc31054"/>
      <w:bookmarkStart w:id="494" w:name="_Toc14320"/>
      <w:bookmarkStart w:id="495" w:name="_Toc30297"/>
      <w:bookmarkStart w:id="496" w:name="_Toc25449"/>
      <w:bookmarkStart w:id="497" w:name="_Toc26959"/>
      <w:bookmarkStart w:id="498" w:name="_Toc465958133"/>
    </w:p>
    <w:p w14:paraId="4BDE6534">
      <w:pPr>
        <w:pStyle w:val="8"/>
        <w:jc w:val="center"/>
        <w:rPr>
          <w:rFonts w:hint="eastAsia" w:ascii="宋体" w:hAnsi="宋体" w:cs="宋体"/>
          <w:b/>
          <w:bCs/>
          <w:color w:val="auto"/>
          <w:sz w:val="32"/>
          <w:highlight w:val="none"/>
        </w:rPr>
      </w:pPr>
      <w:bookmarkStart w:id="499" w:name="_Toc25133"/>
      <w:r>
        <w:rPr>
          <w:rFonts w:hint="eastAsia" w:ascii="宋体" w:hAnsi="宋体" w:cs="宋体"/>
          <w:b/>
          <w:bCs/>
          <w:color w:val="auto"/>
          <w:sz w:val="32"/>
          <w:highlight w:val="none"/>
          <w:lang w:val="en-US" w:eastAsia="zh-CN"/>
        </w:rPr>
        <w:t>三</w:t>
      </w:r>
      <w:r>
        <w:rPr>
          <w:rFonts w:hint="eastAsia" w:ascii="宋体" w:hAnsi="宋体" w:cs="宋体"/>
          <w:b/>
          <w:bCs/>
          <w:color w:val="auto"/>
          <w:sz w:val="32"/>
          <w:highlight w:val="none"/>
        </w:rPr>
        <w:t>、分项报价表</w:t>
      </w:r>
    </w:p>
    <w:p w14:paraId="18B531C4">
      <w:pPr>
        <w:spacing w:line="360" w:lineRule="auto"/>
        <w:rPr>
          <w:rFonts w:hint="eastAsia" w:ascii="宋体" w:hAnsi="宋体" w:cs="宋体"/>
          <w:color w:val="auto"/>
          <w:sz w:val="24"/>
          <w:highlight w:val="none"/>
        </w:rPr>
      </w:pPr>
    </w:p>
    <w:p w14:paraId="150EA3C7">
      <w:pPr>
        <w:spacing w:line="360" w:lineRule="auto"/>
        <w:rPr>
          <w:rFonts w:hint="eastAsia" w:ascii="宋体" w:hAnsi="宋体" w:cs="宋体"/>
          <w:b/>
          <w:color w:val="auto"/>
          <w:sz w:val="32"/>
          <w:szCs w:val="32"/>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采购项目编号：</w:t>
      </w:r>
      <w:r>
        <w:rPr>
          <w:rFonts w:hint="eastAsia" w:ascii="宋体" w:hAnsi="宋体" w:cs="宋体"/>
          <w:color w:val="auto"/>
          <w:sz w:val="24"/>
          <w:highlight w:val="none"/>
          <w:u w:val="single"/>
        </w:rPr>
        <w:t xml:space="preserve">                    </w:t>
      </w:r>
      <w:r>
        <w:rPr>
          <w:rFonts w:hint="eastAsia" w:ascii="宋体" w:hAnsi="宋体" w:cs="宋体"/>
          <w:color w:val="auto"/>
          <w:sz w:val="24"/>
          <w:szCs w:val="24"/>
          <w:highlight w:val="none"/>
          <w:u w:val="single"/>
        </w:rPr>
        <w:t xml:space="preserve">  </w:t>
      </w:r>
    </w:p>
    <w:p w14:paraId="02A8F7CF">
      <w:pPr>
        <w:adjustRightInd w:val="0"/>
        <w:snapToGrid w:val="0"/>
        <w:spacing w:line="360" w:lineRule="auto"/>
        <w:rPr>
          <w:rFonts w:hint="eastAsia" w:ascii="宋体" w:hAnsi="宋体" w:cs="宋体"/>
          <w:color w:val="auto"/>
          <w:sz w:val="24"/>
          <w:szCs w:val="24"/>
          <w:highlight w:val="none"/>
        </w:rPr>
      </w:pPr>
    </w:p>
    <w:p w14:paraId="2F177D1A">
      <w:pPr>
        <w:adjustRightInd w:val="0"/>
        <w:snapToGrid w:val="0"/>
        <w:spacing w:line="360" w:lineRule="auto"/>
        <w:rPr>
          <w:rFonts w:hint="eastAsia" w:ascii="宋体" w:hAnsi="宋体" w:cs="宋体"/>
          <w:color w:val="auto"/>
          <w:sz w:val="24"/>
          <w:szCs w:val="24"/>
          <w:highlight w:val="none"/>
        </w:rPr>
      </w:pPr>
    </w:p>
    <w:p w14:paraId="6A25234D">
      <w:pPr>
        <w:adjustRightInd w:val="0"/>
        <w:snapToGrid w:val="0"/>
        <w:spacing w:line="360" w:lineRule="auto"/>
        <w:rPr>
          <w:rFonts w:hint="eastAsia" w:ascii="宋体" w:hAnsi="宋体" w:cs="宋体"/>
          <w:color w:val="auto"/>
          <w:sz w:val="24"/>
          <w:szCs w:val="24"/>
          <w:highlight w:val="none"/>
        </w:rPr>
      </w:pPr>
    </w:p>
    <w:p w14:paraId="1E4A338F">
      <w:pPr>
        <w:adjustRightInd w:val="0"/>
        <w:snapToGrid w:val="0"/>
        <w:spacing w:line="360" w:lineRule="auto"/>
        <w:rPr>
          <w:rFonts w:hint="eastAsia" w:ascii="宋体" w:hAnsi="宋体" w:cs="宋体"/>
          <w:color w:val="auto"/>
          <w:sz w:val="24"/>
          <w:szCs w:val="24"/>
          <w:highlight w:val="none"/>
        </w:rPr>
      </w:pPr>
    </w:p>
    <w:p w14:paraId="7723FEF1">
      <w:pPr>
        <w:adjustRightInd w:val="0"/>
        <w:snapToGrid w:val="0"/>
        <w:spacing w:line="360" w:lineRule="auto"/>
        <w:rPr>
          <w:rFonts w:hint="eastAsia" w:ascii="宋体" w:hAnsi="宋体" w:cs="宋体"/>
          <w:color w:val="auto"/>
          <w:sz w:val="24"/>
          <w:szCs w:val="24"/>
          <w:highlight w:val="none"/>
        </w:rPr>
      </w:pPr>
    </w:p>
    <w:p w14:paraId="446C34EB">
      <w:pPr>
        <w:adjustRightInd w:val="0"/>
        <w:snapToGrid w:val="0"/>
        <w:spacing w:line="360" w:lineRule="auto"/>
        <w:rPr>
          <w:rFonts w:hint="eastAsia" w:ascii="宋体" w:hAnsi="宋体" w:cs="宋体"/>
          <w:color w:val="auto"/>
          <w:sz w:val="24"/>
          <w:szCs w:val="24"/>
          <w:highlight w:val="none"/>
        </w:rPr>
      </w:pPr>
    </w:p>
    <w:p w14:paraId="50C48B7B">
      <w:pPr>
        <w:adjustRightInd w:val="0"/>
        <w:snapToGrid w:val="0"/>
        <w:spacing w:line="360" w:lineRule="auto"/>
        <w:rPr>
          <w:rFonts w:hint="eastAsia" w:ascii="宋体" w:hAnsi="宋体" w:cs="宋体"/>
          <w:color w:val="auto"/>
          <w:sz w:val="24"/>
          <w:szCs w:val="24"/>
          <w:highlight w:val="none"/>
        </w:rPr>
      </w:pPr>
    </w:p>
    <w:p w14:paraId="246D4E19">
      <w:pPr>
        <w:adjustRightInd w:val="0"/>
        <w:snapToGrid w:val="0"/>
        <w:spacing w:line="360" w:lineRule="auto"/>
        <w:rPr>
          <w:rFonts w:hint="eastAsia" w:ascii="宋体" w:hAnsi="宋体" w:cs="宋体"/>
          <w:color w:val="auto"/>
          <w:sz w:val="24"/>
          <w:szCs w:val="24"/>
          <w:highlight w:val="none"/>
        </w:rPr>
      </w:pPr>
    </w:p>
    <w:p w14:paraId="132BEA69">
      <w:pPr>
        <w:adjustRightInd w:val="0"/>
        <w:snapToGrid w:val="0"/>
        <w:spacing w:line="360" w:lineRule="auto"/>
        <w:rPr>
          <w:rFonts w:hint="eastAsia" w:ascii="宋体" w:hAnsi="宋体" w:cs="宋体"/>
          <w:color w:val="auto"/>
          <w:sz w:val="24"/>
          <w:szCs w:val="24"/>
          <w:highlight w:val="none"/>
        </w:rPr>
      </w:pPr>
    </w:p>
    <w:p w14:paraId="16E603B6">
      <w:pPr>
        <w:adjustRightInd w:val="0"/>
        <w:snapToGrid w:val="0"/>
        <w:spacing w:line="360" w:lineRule="auto"/>
        <w:rPr>
          <w:rFonts w:hint="eastAsia" w:ascii="宋体" w:hAnsi="宋体" w:cs="宋体"/>
          <w:color w:val="auto"/>
          <w:sz w:val="24"/>
          <w:szCs w:val="24"/>
          <w:highlight w:val="none"/>
        </w:rPr>
      </w:pPr>
    </w:p>
    <w:p w14:paraId="6610AEB7">
      <w:pPr>
        <w:adjustRightInd w:val="0"/>
        <w:snapToGrid w:val="0"/>
        <w:spacing w:line="360" w:lineRule="auto"/>
        <w:ind w:left="480" w:hanging="482" w:hangingChars="200"/>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rPr>
        <w:t>注：1. 供应商须按照</w:t>
      </w:r>
      <w:r>
        <w:rPr>
          <w:rFonts w:hint="eastAsia" w:ascii="宋体" w:hAnsi="宋体" w:cs="宋体"/>
          <w:b/>
          <w:bCs/>
          <w:color w:val="auto"/>
          <w:sz w:val="24"/>
          <w:szCs w:val="24"/>
          <w:highlight w:val="none"/>
          <w:lang w:val="en-US" w:eastAsia="zh-CN"/>
        </w:rPr>
        <w:t>谈判</w:t>
      </w:r>
      <w:r>
        <w:rPr>
          <w:rFonts w:hint="eastAsia" w:ascii="宋体" w:hAnsi="宋体" w:cs="宋体"/>
          <w:b/>
          <w:bCs/>
          <w:color w:val="auto"/>
          <w:sz w:val="24"/>
          <w:szCs w:val="24"/>
          <w:highlight w:val="none"/>
        </w:rPr>
        <w:t>文件“采购内容及</w:t>
      </w:r>
      <w:r>
        <w:rPr>
          <w:rFonts w:hint="eastAsia" w:ascii="宋体" w:hAnsi="宋体" w:cs="宋体"/>
          <w:b/>
          <w:bCs/>
          <w:color w:val="auto"/>
          <w:sz w:val="24"/>
          <w:szCs w:val="24"/>
          <w:highlight w:val="none"/>
          <w:lang w:eastAsia="zh-CN"/>
        </w:rPr>
        <w:t>技术</w:t>
      </w:r>
      <w:r>
        <w:rPr>
          <w:rFonts w:hint="eastAsia" w:ascii="宋体" w:hAnsi="宋体" w:cs="宋体"/>
          <w:b/>
          <w:bCs/>
          <w:color w:val="auto"/>
          <w:sz w:val="24"/>
          <w:szCs w:val="24"/>
          <w:highlight w:val="none"/>
        </w:rPr>
        <w:t>要求”中涉及的采购</w:t>
      </w:r>
      <w:r>
        <w:rPr>
          <w:rFonts w:hint="eastAsia" w:ascii="宋体" w:hAnsi="宋体" w:cs="宋体"/>
          <w:b/>
          <w:bCs/>
          <w:color w:val="auto"/>
          <w:sz w:val="24"/>
          <w:szCs w:val="24"/>
          <w:highlight w:val="none"/>
          <w:lang w:val="en-US" w:eastAsia="zh-CN"/>
        </w:rPr>
        <w:t>内容</w:t>
      </w:r>
      <w:r>
        <w:rPr>
          <w:rFonts w:hint="eastAsia" w:ascii="宋体" w:hAnsi="宋体" w:cs="宋体"/>
          <w:b/>
          <w:bCs/>
          <w:color w:val="auto"/>
          <w:sz w:val="24"/>
          <w:szCs w:val="24"/>
          <w:highlight w:val="none"/>
        </w:rPr>
        <w:t>进行报价</w:t>
      </w:r>
      <w:r>
        <w:rPr>
          <w:rFonts w:hint="eastAsia" w:ascii="宋体" w:hAnsi="宋体" w:cs="宋体"/>
          <w:b/>
          <w:bCs/>
          <w:color w:val="auto"/>
          <w:sz w:val="24"/>
          <w:szCs w:val="24"/>
          <w:highlight w:val="none"/>
          <w:lang w:eastAsia="zh-CN"/>
        </w:rPr>
        <w:t>；</w:t>
      </w:r>
    </w:p>
    <w:p w14:paraId="08B6DD4B">
      <w:pPr>
        <w:numPr>
          <w:ilvl w:val="0"/>
          <w:numId w:val="3"/>
        </w:numPr>
        <w:adjustRightInd w:val="0"/>
        <w:snapToGrid w:val="0"/>
        <w:spacing w:line="360" w:lineRule="auto"/>
        <w:ind w:left="793" w:leftChars="225" w:hanging="320" w:hangingChars="133"/>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分项报价表至少包含标项名称、标的规格和型号，标的品牌、标的生产制造厂</w:t>
      </w:r>
    </w:p>
    <w:p w14:paraId="7473D8F9">
      <w:pPr>
        <w:numPr>
          <w:ilvl w:val="0"/>
          <w:numId w:val="0"/>
        </w:numPr>
        <w:adjustRightInd w:val="0"/>
        <w:snapToGrid w:val="0"/>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家名称，标的单价、标的单位、标的原产地、标的数量等信息。</w:t>
      </w:r>
    </w:p>
    <w:p w14:paraId="6A26EB95">
      <w:pPr>
        <w:adjustRightInd w:val="0"/>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3</w:t>
      </w:r>
      <w:r>
        <w:rPr>
          <w:rFonts w:hint="eastAsia" w:ascii="宋体" w:hAnsi="宋体" w:cs="宋体"/>
          <w:b/>
          <w:bCs/>
          <w:color w:val="auto"/>
          <w:sz w:val="24"/>
          <w:szCs w:val="24"/>
          <w:highlight w:val="none"/>
        </w:rPr>
        <w:t>. 如果按单价计算的结果与总价不一致，以单价为准修正总价。</w:t>
      </w:r>
    </w:p>
    <w:p w14:paraId="240D556A">
      <w:pPr>
        <w:adjustRightInd w:val="0"/>
        <w:snapToGrid w:val="0"/>
        <w:spacing w:line="360" w:lineRule="auto"/>
        <w:ind w:left="793" w:leftChars="225" w:hanging="320" w:hangingChars="133"/>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 上述投标总报价包含了供应商为此项目所支付的的一切费用，在整个合</w:t>
      </w:r>
    </w:p>
    <w:p w14:paraId="66C1704B">
      <w:pPr>
        <w:adjustRightInd w:val="0"/>
        <w:snapToGrid w:val="0"/>
        <w:spacing w:line="360" w:lineRule="auto"/>
        <w:rPr>
          <w:rFonts w:hint="eastAsia" w:ascii="宋体" w:hAnsi="宋体" w:cs="宋体"/>
          <w:b/>
          <w:bCs/>
          <w:color w:val="auto"/>
          <w:highlight w:val="none"/>
        </w:rPr>
      </w:pPr>
      <w:r>
        <w:rPr>
          <w:rFonts w:hint="eastAsia" w:ascii="宋体" w:hAnsi="宋体" w:cs="宋体"/>
          <w:b/>
          <w:bCs/>
          <w:color w:val="auto"/>
          <w:sz w:val="24"/>
          <w:szCs w:val="24"/>
          <w:highlight w:val="none"/>
        </w:rPr>
        <w:t>同期内不做调整。</w:t>
      </w:r>
    </w:p>
    <w:p w14:paraId="32E9A0AB">
      <w:pPr>
        <w:widowControl/>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20DF79C8">
      <w:pPr>
        <w:widowControl/>
        <w:jc w:val="center"/>
        <w:rPr>
          <w:rFonts w:hint="eastAsia" w:ascii="宋体" w:hAnsi="宋体" w:cs="宋体"/>
          <w:color w:val="auto"/>
          <w:sz w:val="24"/>
          <w:szCs w:val="24"/>
          <w:highlight w:val="none"/>
        </w:rPr>
      </w:pPr>
    </w:p>
    <w:p w14:paraId="2D03E233">
      <w:pPr>
        <w:widowControl/>
        <w:jc w:val="center"/>
        <w:rPr>
          <w:rFonts w:hint="eastAsia" w:ascii="宋体" w:hAnsi="宋体" w:cs="宋体"/>
          <w:color w:val="auto"/>
          <w:sz w:val="24"/>
          <w:szCs w:val="24"/>
          <w:highlight w:val="none"/>
        </w:rPr>
      </w:pPr>
    </w:p>
    <w:p w14:paraId="09779553">
      <w:pPr>
        <w:widowControl/>
        <w:jc w:val="center"/>
        <w:rPr>
          <w:rFonts w:hint="eastAsia" w:ascii="宋体" w:hAnsi="宋体" w:cs="宋体"/>
          <w:color w:val="auto"/>
          <w:sz w:val="24"/>
          <w:szCs w:val="24"/>
          <w:highlight w:val="none"/>
        </w:rPr>
      </w:pPr>
    </w:p>
    <w:p w14:paraId="3FA4E6FB">
      <w:pPr>
        <w:widowControl/>
        <w:jc w:val="center"/>
        <w:rPr>
          <w:color w:val="auto"/>
          <w:highlight w:val="none"/>
        </w:rPr>
      </w:pPr>
      <w:r>
        <w:rPr>
          <w:rFonts w:hint="eastAsia" w:ascii="宋体" w:hAnsi="宋体" w:cs="宋体"/>
          <w:color w:val="auto"/>
          <w:sz w:val="24"/>
          <w:szCs w:val="24"/>
          <w:highlight w:val="none"/>
        </w:rPr>
        <w:t xml:space="preserve">          法人代表或被授权代表：</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lang w:bidi="ar"/>
        </w:rPr>
        <w:t xml:space="preserve">（签字） </w:t>
      </w:r>
    </w:p>
    <w:p w14:paraId="1F22690D">
      <w:pPr>
        <w:ind w:right="-161"/>
        <w:rPr>
          <w:rFonts w:hint="eastAsia" w:ascii="宋体" w:hAnsi="宋体" w:cs="宋体"/>
          <w:color w:val="auto"/>
          <w:sz w:val="24"/>
          <w:szCs w:val="24"/>
          <w:highlight w:val="none"/>
          <w:u w:val="single"/>
        </w:rPr>
      </w:pPr>
    </w:p>
    <w:p w14:paraId="7D2140AF">
      <w:pPr>
        <w:widowControl/>
        <w:jc w:val="center"/>
        <w:rPr>
          <w:color w:val="auto"/>
          <w:highlight w:val="none"/>
        </w:rPr>
      </w:pPr>
      <w:r>
        <w:rPr>
          <w:rFonts w:hint="eastAsia" w:ascii="宋体" w:hAnsi="宋体" w:cs="宋体"/>
          <w:color w:val="auto"/>
          <w:sz w:val="24"/>
          <w:szCs w:val="24"/>
          <w:highlight w:val="none"/>
        </w:rPr>
        <w:t xml:space="preserve">              投   标   人  ：</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lang w:bidi="ar"/>
        </w:rPr>
        <w:t xml:space="preserve">（盖单位章） </w:t>
      </w:r>
    </w:p>
    <w:p w14:paraId="6EF599FD">
      <w:pPr>
        <w:ind w:right="-161" w:firstLine="2640" w:firstLineChars="1100"/>
        <w:rPr>
          <w:rFonts w:hint="eastAsia" w:ascii="宋体" w:hAnsi="宋体" w:cs="宋体"/>
          <w:color w:val="auto"/>
          <w:sz w:val="24"/>
          <w:szCs w:val="24"/>
          <w:highlight w:val="none"/>
          <w:u w:val="single"/>
        </w:rPr>
      </w:pPr>
    </w:p>
    <w:p w14:paraId="5E286FE0">
      <w:pPr>
        <w:pStyle w:val="8"/>
        <w:ind w:firstLine="1920" w:firstLineChars="800"/>
        <w:rPr>
          <w:rFonts w:hint="eastAsia"/>
          <w:color w:val="auto"/>
          <w:highlight w:val="none"/>
        </w:rPr>
      </w:pPr>
      <w:r>
        <w:rPr>
          <w:rFonts w:hint="eastAsia" w:ascii="宋体" w:hAnsi="宋体" w:cs="宋体"/>
          <w:b w:val="0"/>
          <w:color w:val="auto"/>
          <w:sz w:val="24"/>
          <w:szCs w:val="24"/>
          <w:highlight w:val="none"/>
        </w:rPr>
        <w:t>日                 期：</w:t>
      </w:r>
      <w:r>
        <w:rPr>
          <w:rFonts w:hint="eastAsia" w:ascii="宋体" w:hAnsi="宋体" w:cs="宋体"/>
          <w:color w:val="auto"/>
          <w:sz w:val="24"/>
          <w:szCs w:val="24"/>
          <w:highlight w:val="none"/>
          <w:u w:val="single"/>
        </w:rPr>
        <w:t xml:space="preserve">                     </w:t>
      </w:r>
    </w:p>
    <w:p w14:paraId="1E5BFC82">
      <w:pPr>
        <w:rPr>
          <w:rFonts w:hint="eastAsia"/>
          <w:color w:val="auto"/>
          <w:highlight w:val="none"/>
        </w:rPr>
        <w:sectPr>
          <w:footnotePr>
            <w:pos w:val="beneathText"/>
          </w:footnotePr>
          <w:pgSz w:w="11906" w:h="16838"/>
          <w:pgMar w:top="1701" w:right="1417" w:bottom="1701" w:left="1417" w:header="1088" w:footer="992" w:gutter="0"/>
          <w:pgNumType w:fmt="decimal"/>
          <w:cols w:space="720" w:num="1"/>
          <w:titlePg/>
          <w:rtlGutter w:val="0"/>
          <w:docGrid w:type="lines" w:linePitch="312" w:charSpace="0"/>
        </w:sectPr>
      </w:pPr>
    </w:p>
    <w:p w14:paraId="24E396A4">
      <w:pPr>
        <w:spacing w:line="480" w:lineRule="auto"/>
        <w:ind w:right="-161"/>
        <w:jc w:val="center"/>
        <w:outlineLvl w:val="0"/>
        <w:rPr>
          <w:rFonts w:ascii="宋体" w:hAnsi="宋体" w:cs="宋体"/>
          <w:b/>
          <w:bCs/>
          <w:color w:val="auto"/>
          <w:sz w:val="24"/>
          <w:szCs w:val="24"/>
          <w:highlight w:val="none"/>
          <w:u w:val="single"/>
        </w:rPr>
      </w:pPr>
      <w:bookmarkStart w:id="500" w:name="_Toc557"/>
      <w:r>
        <w:rPr>
          <w:rFonts w:hint="eastAsia"/>
          <w:b/>
          <w:bCs/>
          <w:color w:val="auto"/>
          <w:sz w:val="36"/>
          <w:szCs w:val="16"/>
          <w:highlight w:val="none"/>
          <w:lang w:val="en-US" w:eastAsia="zh-CN"/>
        </w:rPr>
        <w:t>四</w:t>
      </w:r>
      <w:r>
        <w:rPr>
          <w:rFonts w:hint="eastAsia"/>
          <w:b/>
          <w:bCs/>
          <w:color w:val="auto"/>
          <w:sz w:val="36"/>
          <w:szCs w:val="16"/>
          <w:highlight w:val="none"/>
        </w:rPr>
        <w:t>、资格证明文件</w:t>
      </w:r>
      <w:bookmarkEnd w:id="486"/>
      <w:bookmarkEnd w:id="487"/>
      <w:bookmarkEnd w:id="488"/>
      <w:bookmarkEnd w:id="489"/>
      <w:bookmarkEnd w:id="490"/>
      <w:bookmarkEnd w:id="491"/>
      <w:bookmarkEnd w:id="499"/>
      <w:bookmarkEnd w:id="500"/>
    </w:p>
    <w:p w14:paraId="75EB25FE">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谈判响应文件中附以下资质证明文件加盖公章。</w:t>
      </w:r>
    </w:p>
    <w:p w14:paraId="67F21A21">
      <w:pPr>
        <w:rPr>
          <w:b/>
          <w:bCs/>
          <w:color w:val="auto"/>
          <w:highlight w:val="none"/>
        </w:rPr>
      </w:pPr>
    </w:p>
    <w:p w14:paraId="0569FB01">
      <w:pPr>
        <w:spacing w:line="360" w:lineRule="auto"/>
        <w:ind w:firstLine="720" w:firstLineChars="300"/>
        <w:rPr>
          <w:rFonts w:ascii="宋体" w:hAnsi="宋体" w:cs="仿宋_GB2312"/>
          <w:bCs/>
          <w:color w:val="auto"/>
          <w:kern w:val="0"/>
          <w:sz w:val="24"/>
          <w:szCs w:val="24"/>
          <w:highlight w:val="none"/>
        </w:rPr>
      </w:pPr>
      <w:r>
        <w:rPr>
          <w:rFonts w:hint="eastAsia" w:ascii="宋体" w:hAnsi="宋体" w:cs="宋体"/>
          <w:color w:val="auto"/>
          <w:kern w:val="0"/>
          <w:sz w:val="24"/>
          <w:szCs w:val="24"/>
          <w:highlight w:val="none"/>
        </w:rPr>
        <w:t>1、供应商为本项目提供的资格证明要求见供应商须知前附表；</w:t>
      </w:r>
    </w:p>
    <w:p w14:paraId="3E880365">
      <w:pPr>
        <w:spacing w:line="360" w:lineRule="auto"/>
        <w:ind w:firstLine="720" w:firstLineChars="300"/>
        <w:rPr>
          <w:rFonts w:ascii="宋体" w:hAnsi="宋体" w:cs="仿宋_GB2312"/>
          <w:bCs/>
          <w:color w:val="auto"/>
          <w:kern w:val="0"/>
          <w:sz w:val="24"/>
          <w:szCs w:val="24"/>
          <w:highlight w:val="none"/>
        </w:rPr>
      </w:pPr>
      <w:r>
        <w:rPr>
          <w:rFonts w:hint="eastAsia" w:ascii="宋体" w:hAnsi="宋体" w:cs="仿宋_GB2312"/>
          <w:bCs/>
          <w:color w:val="auto"/>
          <w:kern w:val="0"/>
          <w:sz w:val="24"/>
          <w:szCs w:val="24"/>
          <w:highlight w:val="none"/>
        </w:rPr>
        <w:t>2、供应商按照谈判文件要求提供本项目所需要的其他资质证明材料。</w:t>
      </w:r>
    </w:p>
    <w:p w14:paraId="6D9CB8E9">
      <w:pPr>
        <w:spacing w:line="360" w:lineRule="auto"/>
        <w:ind w:firstLine="720" w:firstLineChars="300"/>
        <w:rPr>
          <w:color w:val="auto"/>
          <w:highlight w:val="none"/>
        </w:rPr>
      </w:pPr>
      <w:r>
        <w:rPr>
          <w:rFonts w:hint="eastAsia" w:ascii="宋体" w:hAnsi="宋体" w:cs="仿宋_GB2312"/>
          <w:bCs/>
          <w:color w:val="auto"/>
          <w:kern w:val="0"/>
          <w:sz w:val="24"/>
          <w:szCs w:val="24"/>
          <w:highlight w:val="none"/>
        </w:rPr>
        <w:t>3、其他可以证明供应商实力的文件。</w:t>
      </w:r>
    </w:p>
    <w:p w14:paraId="52670687">
      <w:pPr>
        <w:pStyle w:val="2"/>
        <w:spacing w:line="360" w:lineRule="exact"/>
        <w:jc w:val="center"/>
        <w:rPr>
          <w:color w:val="auto"/>
          <w:sz w:val="32"/>
          <w:szCs w:val="15"/>
          <w:highlight w:val="none"/>
        </w:rPr>
        <w:sectPr>
          <w:pgSz w:w="11906" w:h="16838"/>
          <w:pgMar w:top="1701" w:right="1417" w:bottom="1701" w:left="1417" w:header="1088" w:footer="992" w:gutter="0"/>
          <w:pgNumType w:fmt="decimal"/>
          <w:cols w:space="720" w:num="1"/>
          <w:titlePg/>
          <w:rtlGutter w:val="0"/>
          <w:docGrid w:type="lines" w:linePitch="312" w:charSpace="0"/>
        </w:sectPr>
      </w:pPr>
      <w:bookmarkStart w:id="501" w:name="_Toc13534"/>
      <w:bookmarkStart w:id="502" w:name="_Toc3536"/>
    </w:p>
    <w:p w14:paraId="334C7CD7">
      <w:pPr>
        <w:pStyle w:val="2"/>
        <w:spacing w:line="360" w:lineRule="exact"/>
        <w:jc w:val="center"/>
        <w:rPr>
          <w:color w:val="auto"/>
          <w:sz w:val="32"/>
          <w:szCs w:val="15"/>
          <w:highlight w:val="none"/>
        </w:rPr>
      </w:pPr>
      <w:bookmarkStart w:id="503" w:name="_Toc2781"/>
      <w:bookmarkStart w:id="504" w:name="_Toc27783"/>
      <w:bookmarkStart w:id="505" w:name="_Toc21583"/>
      <w:bookmarkStart w:id="506" w:name="_Toc29098"/>
      <w:bookmarkStart w:id="507" w:name="_Toc22405"/>
      <w:r>
        <w:rPr>
          <w:rFonts w:hint="eastAsia"/>
          <w:color w:val="auto"/>
          <w:sz w:val="32"/>
          <w:szCs w:val="15"/>
          <w:highlight w:val="none"/>
          <w:lang w:val="en-US" w:eastAsia="zh-CN"/>
        </w:rPr>
        <w:t>五</w:t>
      </w:r>
      <w:r>
        <w:rPr>
          <w:rFonts w:hint="eastAsia"/>
          <w:color w:val="auto"/>
          <w:sz w:val="32"/>
          <w:szCs w:val="15"/>
          <w:highlight w:val="none"/>
        </w:rPr>
        <w:t>、供应商参加政府采购活动承诺书</w:t>
      </w:r>
      <w:bookmarkEnd w:id="501"/>
      <w:bookmarkEnd w:id="502"/>
      <w:bookmarkEnd w:id="503"/>
      <w:bookmarkEnd w:id="504"/>
      <w:bookmarkEnd w:id="505"/>
      <w:bookmarkEnd w:id="506"/>
      <w:bookmarkEnd w:id="507"/>
    </w:p>
    <w:p w14:paraId="6372CDDA">
      <w:pPr>
        <w:pStyle w:val="2"/>
        <w:spacing w:line="360" w:lineRule="exact"/>
        <w:jc w:val="center"/>
        <w:rPr>
          <w:rFonts w:ascii="宋体" w:hAnsi="宋体" w:cs="宋体"/>
          <w:bCs/>
          <w:color w:val="auto"/>
          <w:sz w:val="24"/>
          <w:szCs w:val="24"/>
          <w:highlight w:val="none"/>
        </w:rPr>
      </w:pPr>
      <w:bookmarkStart w:id="508" w:name="_Toc6061"/>
      <w:bookmarkStart w:id="509" w:name="_Toc27234"/>
      <w:bookmarkStart w:id="510" w:name="_Toc7527"/>
      <w:bookmarkStart w:id="511" w:name="_Toc25110"/>
      <w:bookmarkStart w:id="512" w:name="_Toc4013"/>
      <w:bookmarkStart w:id="513" w:name="_Toc8447"/>
      <w:bookmarkStart w:id="514" w:name="_Toc30374"/>
      <w:r>
        <w:rPr>
          <w:rFonts w:hint="eastAsia" w:ascii="宋体" w:hAnsi="宋体" w:cs="宋体"/>
          <w:bCs/>
          <w:color w:val="auto"/>
          <w:sz w:val="24"/>
          <w:szCs w:val="24"/>
          <w:highlight w:val="none"/>
          <w:shd w:val="clear" w:color="auto" w:fill="FFFFFF"/>
          <w:lang w:val="en-US" w:eastAsia="zh-CN"/>
        </w:rPr>
        <w:t>5</w:t>
      </w:r>
      <w:r>
        <w:rPr>
          <w:rFonts w:hint="eastAsia" w:ascii="宋体" w:hAnsi="宋体" w:cs="宋体"/>
          <w:bCs/>
          <w:color w:val="auto"/>
          <w:sz w:val="24"/>
          <w:szCs w:val="24"/>
          <w:highlight w:val="none"/>
          <w:shd w:val="clear" w:color="auto" w:fill="FFFFFF"/>
        </w:rPr>
        <w:t>.1榆林市政府采购</w:t>
      </w:r>
      <w:r>
        <w:rPr>
          <w:rFonts w:hint="eastAsia" w:ascii="宋体" w:hAnsi="宋体" w:cs="宋体"/>
          <w:bCs/>
          <w:color w:val="auto"/>
          <w:sz w:val="24"/>
          <w:szCs w:val="24"/>
          <w:highlight w:val="none"/>
          <w:shd w:val="clear" w:color="auto" w:fill="FFFFFF"/>
          <w:lang w:val="en-US" w:eastAsia="zh-CN"/>
        </w:rPr>
        <w:t>货物</w:t>
      </w:r>
      <w:r>
        <w:rPr>
          <w:rFonts w:hint="eastAsia" w:ascii="宋体" w:hAnsi="宋体" w:cs="宋体"/>
          <w:bCs/>
          <w:color w:val="auto"/>
          <w:sz w:val="24"/>
          <w:szCs w:val="24"/>
          <w:highlight w:val="none"/>
          <w:shd w:val="clear" w:color="auto" w:fill="FFFFFF"/>
        </w:rPr>
        <w:t>类项目供应商信用承诺书</w:t>
      </w:r>
      <w:bookmarkEnd w:id="508"/>
      <w:bookmarkEnd w:id="509"/>
      <w:bookmarkEnd w:id="510"/>
      <w:bookmarkEnd w:id="511"/>
      <w:bookmarkEnd w:id="512"/>
      <w:bookmarkEnd w:id="513"/>
      <w:bookmarkEnd w:id="514"/>
    </w:p>
    <w:p w14:paraId="1EEB036E">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市场主体名称：</w:t>
      </w:r>
    </w:p>
    <w:p w14:paraId="62D59EC6">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证件类型：统一社会信用代码</w:t>
      </w:r>
    </w:p>
    <w:p w14:paraId="73DF7481">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证件号码：</w:t>
      </w:r>
    </w:p>
    <w:p w14:paraId="32D4920F">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法人代表：</w:t>
      </w:r>
    </w:p>
    <w:p w14:paraId="10B2DFE9">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承诺有效期限：   年    月    日—    年    月     日</w:t>
      </w:r>
      <w:r>
        <w:rPr>
          <w:rFonts w:hint="eastAsia" w:ascii="宋体" w:hAnsi="宋体" w:cs="宋体"/>
          <w:color w:val="auto"/>
          <w:sz w:val="24"/>
          <w:szCs w:val="24"/>
          <w:highlight w:val="none"/>
          <w:shd w:val="clear" w:color="auto" w:fill="FFFFFF"/>
          <w:lang w:eastAsia="zh-CN"/>
        </w:rPr>
        <w:t>（</w:t>
      </w:r>
      <w:r>
        <w:rPr>
          <w:rFonts w:hint="eastAsia" w:ascii="宋体" w:hAnsi="宋体" w:cs="宋体"/>
          <w:color w:val="auto"/>
          <w:sz w:val="24"/>
          <w:szCs w:val="24"/>
          <w:highlight w:val="none"/>
          <w:shd w:val="clear" w:color="auto" w:fill="FFFFFF"/>
          <w:lang w:val="en-US" w:eastAsia="zh-CN"/>
        </w:rPr>
        <w:t>承诺期限为一年</w:t>
      </w:r>
      <w:r>
        <w:rPr>
          <w:rFonts w:hint="eastAsia" w:ascii="宋体" w:hAnsi="宋体" w:cs="宋体"/>
          <w:color w:val="auto"/>
          <w:sz w:val="24"/>
          <w:szCs w:val="24"/>
          <w:highlight w:val="none"/>
          <w:shd w:val="clear" w:color="auto" w:fill="FFFFFF"/>
          <w:lang w:eastAsia="zh-CN"/>
        </w:rPr>
        <w:t>）</w:t>
      </w:r>
    </w:p>
    <w:p w14:paraId="19D59043">
      <w:pPr>
        <w:pStyle w:val="16"/>
        <w:widowControl/>
        <w:shd w:val="clear" w:color="auto" w:fill="FFFFFF"/>
        <w:adjustRightInd w:val="0"/>
        <w:snapToGrid w:val="0"/>
        <w:spacing w:before="0" w:beforeAutospacing="0" w:after="150" w:afterAutospacing="0" w:line="360" w:lineRule="auto"/>
        <w:ind w:firstLine="48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承诺内容：</w:t>
      </w:r>
    </w:p>
    <w:p w14:paraId="4AF9290C">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为维护公开、公平、公正的政府采购市场秩序，树立诚实守信的政府采购供应商形象，本单位自愿做出以下承诺：</w:t>
      </w:r>
    </w:p>
    <w:p w14:paraId="34EE84B2">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一、承诺本单位严格遵守国家法律、法规和规章，全面履行应尽的责任和义务，全面做到履约守信，具备《政府采购法》第二十二条第一款规定的条件;</w:t>
      </w:r>
    </w:p>
    <w:p w14:paraId="655B1876">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64C68259">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27A9A389">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四、承诺本单位自觉接受行政管理部门、行业组织、社会公众、新闻舆论的监督；</w:t>
      </w:r>
    </w:p>
    <w:p w14:paraId="2E9E7FEF">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0C159366">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DB2832B">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七、根据政府采购相关法律法规的规定需要作出的其他承诺：</w:t>
      </w:r>
      <w:r>
        <w:rPr>
          <w:rFonts w:hint="eastAsia" w:ascii="宋体" w:hAnsi="宋体" w:cs="宋体"/>
          <w:color w:val="auto"/>
          <w:sz w:val="24"/>
          <w:szCs w:val="24"/>
          <w:highlight w:val="none"/>
          <w:u w:val="single"/>
          <w:shd w:val="clear" w:color="auto" w:fill="FFFFFF"/>
        </w:rPr>
        <w:t>                                                              </w:t>
      </w:r>
    </w:p>
    <w:p w14:paraId="52DA784D">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256A79E">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w:t>
      </w:r>
    </w:p>
    <w:p w14:paraId="4E3BCEA2">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 xml:space="preserve">           承诺单位（盖章）：</w:t>
      </w:r>
    </w:p>
    <w:p w14:paraId="41BD0A06">
      <w:pPr>
        <w:pStyle w:val="16"/>
        <w:widowControl/>
        <w:shd w:val="clear" w:color="auto" w:fill="FFFFFF"/>
        <w:adjustRightInd w:val="0"/>
        <w:snapToGrid w:val="0"/>
        <w:spacing w:before="0" w:beforeAutospacing="0" w:after="150" w:afterAutospacing="0" w:line="360" w:lineRule="auto"/>
        <w:ind w:firstLine="1927" w:firstLineChars="803"/>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法定代表人（负责人）：            </w:t>
      </w:r>
      <w:r>
        <w:rPr>
          <w:rFonts w:hint="eastAsia" w:ascii="宋体" w:hAnsi="宋体" w:cs="宋体"/>
          <w:color w:val="auto"/>
          <w:sz w:val="24"/>
          <w:szCs w:val="24"/>
          <w:highlight w:val="none"/>
          <w:shd w:val="clear" w:color="auto" w:fill="FFFFFF"/>
          <w:lang w:eastAsia="zh-CN"/>
        </w:rPr>
        <w:t>（</w:t>
      </w:r>
      <w:r>
        <w:rPr>
          <w:rFonts w:hint="eastAsia" w:ascii="宋体" w:hAnsi="宋体" w:cs="宋体"/>
          <w:color w:val="auto"/>
          <w:sz w:val="24"/>
          <w:szCs w:val="24"/>
          <w:highlight w:val="none"/>
          <w:shd w:val="clear" w:color="auto" w:fill="FFFFFF"/>
        </w:rPr>
        <w:t>签字</w:t>
      </w:r>
      <w:r>
        <w:rPr>
          <w:rFonts w:hint="eastAsia" w:ascii="宋体" w:hAnsi="宋体" w:cs="宋体"/>
          <w:color w:val="auto"/>
          <w:sz w:val="24"/>
          <w:szCs w:val="24"/>
          <w:highlight w:val="none"/>
          <w:shd w:val="clear" w:color="auto" w:fill="FFFFFF"/>
          <w:lang w:eastAsia="zh-CN"/>
        </w:rPr>
        <w:t>）</w:t>
      </w:r>
    </w:p>
    <w:p w14:paraId="011D8F0C">
      <w:pPr>
        <w:pStyle w:val="16"/>
        <w:widowControl/>
        <w:shd w:val="clear" w:color="auto" w:fill="FFFFFF"/>
        <w:adjustRightInd w:val="0"/>
        <w:snapToGrid w:val="0"/>
        <w:spacing w:before="0" w:beforeAutospacing="0" w:after="150" w:afterAutospacing="0" w:line="360" w:lineRule="auto"/>
        <w:ind w:firstLine="1920" w:firstLineChars="800"/>
        <w:jc w:val="both"/>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法定代表人（负责人）身份证号：</w:t>
      </w:r>
    </w:p>
    <w:p w14:paraId="14AC4F1D">
      <w:pPr>
        <w:pStyle w:val="16"/>
        <w:widowControl/>
        <w:shd w:val="clear" w:color="auto" w:fill="FFFFFF"/>
        <w:adjustRightInd w:val="0"/>
        <w:snapToGrid w:val="0"/>
        <w:spacing w:before="0" w:beforeAutospacing="0" w:after="150" w:afterAutospacing="0" w:line="360" w:lineRule="auto"/>
        <w:ind w:firstLine="640"/>
        <w:jc w:val="both"/>
        <w:rPr>
          <w:rFonts w:ascii="宋体" w:hAnsi="宋体" w:cs="宋体"/>
          <w:color w:val="auto"/>
          <w:sz w:val="24"/>
          <w:szCs w:val="24"/>
          <w:highlight w:val="none"/>
        </w:rPr>
      </w:pPr>
      <w:r>
        <w:rPr>
          <w:rFonts w:hint="eastAsia" w:ascii="宋体" w:hAnsi="宋体" w:cs="宋体"/>
          <w:color w:val="auto"/>
          <w:sz w:val="24"/>
          <w:szCs w:val="24"/>
          <w:highlight w:val="none"/>
          <w:shd w:val="clear" w:color="auto" w:fill="FFFFFF"/>
        </w:rPr>
        <w:t>      承诺日期：</w:t>
      </w:r>
    </w:p>
    <w:p w14:paraId="6EE851DB">
      <w:pPr>
        <w:pStyle w:val="16"/>
        <w:widowControl/>
        <w:shd w:val="clear" w:color="auto" w:fill="FFFFFF"/>
        <w:adjustRightInd w:val="0"/>
        <w:snapToGrid w:val="0"/>
        <w:spacing w:before="0" w:beforeAutospacing="0" w:after="150" w:afterAutospacing="0" w:line="360" w:lineRule="auto"/>
        <w:jc w:val="both"/>
        <w:rPr>
          <w:rFonts w:ascii="宋体" w:hAnsi="宋体" w:cs="宋体"/>
          <w:color w:val="auto"/>
          <w:sz w:val="24"/>
          <w:szCs w:val="24"/>
          <w:highlight w:val="none"/>
          <w:shd w:val="clear" w:color="auto" w:fill="FFFFFF"/>
        </w:rPr>
        <w:sectPr>
          <w:pgSz w:w="11906" w:h="16838"/>
          <w:pgMar w:top="1701" w:right="1417" w:bottom="1701" w:left="1417" w:header="1088" w:footer="992" w:gutter="0"/>
          <w:pgNumType w:fmt="decimal"/>
          <w:cols w:space="720" w:num="1"/>
          <w:titlePg/>
          <w:rtlGutter w:val="0"/>
          <w:docGrid w:type="lines" w:linePitch="312" w:charSpace="0"/>
        </w:sectPr>
      </w:pPr>
      <w:r>
        <w:rPr>
          <w:rFonts w:hint="eastAsia" w:ascii="宋体" w:hAnsi="宋体" w:cs="宋体"/>
          <w:color w:val="auto"/>
          <w:sz w:val="24"/>
          <w:szCs w:val="24"/>
          <w:highlight w:val="none"/>
          <w:shd w:val="clear" w:color="auto" w:fill="FFFFFF"/>
        </w:rPr>
        <w:t>注：法定代表人或负责人、主体名称发生变更的应当重新做出承诺；承诺书标题按照工程类、货物类、服务类确定。</w:t>
      </w:r>
    </w:p>
    <w:p w14:paraId="03582E9B">
      <w:pPr>
        <w:spacing w:line="36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lang w:val="en-US" w:eastAsia="zh-CN"/>
        </w:rPr>
        <w:t>5</w:t>
      </w:r>
      <w:r>
        <w:rPr>
          <w:rFonts w:hint="eastAsia" w:ascii="宋体" w:hAnsi="宋体" w:cs="宋体"/>
          <w:b/>
          <w:color w:val="auto"/>
          <w:sz w:val="32"/>
          <w:szCs w:val="32"/>
          <w:highlight w:val="none"/>
        </w:rPr>
        <w:t>.2 投标单位承诺书</w:t>
      </w:r>
    </w:p>
    <w:p w14:paraId="2ACB1086">
      <w:pPr>
        <w:pStyle w:val="10"/>
        <w:jc w:val="center"/>
        <w:rPr>
          <w:rFonts w:hint="default" w:hAnsi="宋体" w:cs="宋体"/>
          <w:b/>
          <w:color w:val="auto"/>
          <w:sz w:val="32"/>
          <w:highlight w:val="none"/>
        </w:rPr>
      </w:pPr>
      <w:r>
        <w:rPr>
          <w:rFonts w:hAnsi="宋体" w:cs="宋体"/>
          <w:b/>
          <w:color w:val="auto"/>
          <w:sz w:val="32"/>
          <w:highlight w:val="none"/>
        </w:rPr>
        <w:t>陕西省政府采购供应商拒绝政府采购领域商业贿赂承诺书</w:t>
      </w:r>
      <w:r>
        <w:rPr>
          <w:rFonts w:hAnsi="宋体" w:cs="宋体"/>
          <w:b/>
          <w:color w:val="auto"/>
          <w:sz w:val="32"/>
          <w:szCs w:val="32"/>
          <w:highlight w:val="none"/>
        </w:rPr>
        <w:t>Ⅰ</w:t>
      </w:r>
    </w:p>
    <w:p w14:paraId="48492028">
      <w:pPr>
        <w:rPr>
          <w:rFonts w:ascii="宋体" w:hAnsi="宋体" w:cs="宋体"/>
          <w:color w:val="auto"/>
          <w:highlight w:val="none"/>
        </w:rPr>
      </w:pPr>
    </w:p>
    <w:p w14:paraId="0885E7B6">
      <w:pPr>
        <w:spacing w:line="360" w:lineRule="auto"/>
        <w:ind w:firstLine="360" w:firstLineChars="150"/>
        <w:rPr>
          <w:rFonts w:ascii="宋体" w:hAnsi="宋体" w:cs="宋体"/>
          <w:color w:val="auto"/>
          <w:sz w:val="24"/>
          <w:szCs w:val="28"/>
          <w:highlight w:val="none"/>
        </w:rPr>
      </w:pPr>
      <w:r>
        <w:rPr>
          <w:rFonts w:hint="eastAsia" w:ascii="宋体" w:hAnsi="宋体" w:cs="宋体"/>
          <w:color w:val="auto"/>
          <w:sz w:val="24"/>
          <w:szCs w:val="28"/>
          <w:highlight w:val="none"/>
        </w:rPr>
        <w:t xml:space="preserve"> 为响应党中央、国务院关于治理政府采购领域商业贿赂行为的号召，我公司在此庄严承诺：</w:t>
      </w:r>
    </w:p>
    <w:p w14:paraId="1FEBD1A6">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1、在参与政府采购活动中遵纪守法、诚信经营、公平竞标。</w:t>
      </w:r>
    </w:p>
    <w:p w14:paraId="07360F36">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2、不向政府采购单位、采购代理机构和政府采购评审专家进行任何形式的商业贿赂以谋取交易机会。</w:t>
      </w:r>
    </w:p>
    <w:p w14:paraId="67432987">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3、不向政府采购代理机构和采购单位提供虚假资质文件或采用虚假应标方式参与政府采购市场竞争并谋取中标。</w:t>
      </w:r>
    </w:p>
    <w:p w14:paraId="62FF7256">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4、不采取“围标、陪标”等商业欺诈手段获得政府采购订单。</w:t>
      </w:r>
    </w:p>
    <w:p w14:paraId="282652F6">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5、不采取不正当手段诋毁、排挤其他投标单位。</w:t>
      </w:r>
    </w:p>
    <w:p w14:paraId="5B38C2C4">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6、不在提供商品和服务时“偷梁换柱、以次充好”损害采购单位的合法权益。</w:t>
      </w:r>
    </w:p>
    <w:p w14:paraId="67BB25DC">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7、不与采购单位、采购代理机构政府采购评审专家或其它投标单位恶意串通，进行质疑和投诉，维护政府采购市场秩序。</w:t>
      </w:r>
    </w:p>
    <w:p w14:paraId="1566A4CD">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8、尊重和接受政府采购监督管理部门的监督和政府采购代理机构招标采购要求，承担因违约行为给采购单位造成的损失。</w:t>
      </w:r>
    </w:p>
    <w:p w14:paraId="67E99204">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9、不发生其他有悖于政府采购公开、公平、公正和诚信原则的行为。</w:t>
      </w:r>
    </w:p>
    <w:p w14:paraId="088C7D93">
      <w:pPr>
        <w:pStyle w:val="8"/>
        <w:rPr>
          <w:color w:val="auto"/>
          <w:highlight w:val="none"/>
        </w:rPr>
      </w:pPr>
    </w:p>
    <w:p w14:paraId="5F5B81BB">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承诺单位：（盖章）</w:t>
      </w:r>
    </w:p>
    <w:p w14:paraId="728D9575">
      <w:pPr>
        <w:spacing w:line="360" w:lineRule="auto"/>
        <w:ind w:firstLine="360" w:firstLineChars="150"/>
        <w:rPr>
          <w:rFonts w:ascii="宋体" w:hAnsi="宋体" w:cs="宋体"/>
          <w:color w:val="auto"/>
          <w:sz w:val="24"/>
          <w:szCs w:val="28"/>
          <w:highlight w:val="none"/>
        </w:rPr>
      </w:pPr>
    </w:p>
    <w:p w14:paraId="30953A09">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全权代表：</w:t>
      </w:r>
      <w:r>
        <w:rPr>
          <w:rFonts w:hint="eastAsia" w:ascii="宋体" w:hAnsi="宋体" w:cs="宋体"/>
          <w:color w:val="auto"/>
          <w:sz w:val="24"/>
          <w:szCs w:val="24"/>
          <w:highlight w:val="none"/>
        </w:rPr>
        <w:t>（签字）</w:t>
      </w:r>
    </w:p>
    <w:p w14:paraId="38C809B4">
      <w:pPr>
        <w:spacing w:line="360" w:lineRule="auto"/>
        <w:ind w:firstLine="360" w:firstLineChars="150"/>
        <w:rPr>
          <w:rFonts w:ascii="宋体" w:hAnsi="宋体" w:cs="宋体"/>
          <w:color w:val="auto"/>
          <w:sz w:val="24"/>
          <w:szCs w:val="28"/>
          <w:highlight w:val="none"/>
        </w:rPr>
      </w:pPr>
    </w:p>
    <w:p w14:paraId="1EB1C017">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地址：                              邮编：</w:t>
      </w:r>
    </w:p>
    <w:p w14:paraId="56B511F1">
      <w:pPr>
        <w:spacing w:line="360" w:lineRule="auto"/>
        <w:ind w:firstLine="480" w:firstLineChars="200"/>
        <w:rPr>
          <w:rFonts w:ascii="宋体" w:hAnsi="宋体" w:cs="宋体"/>
          <w:color w:val="auto"/>
          <w:sz w:val="24"/>
          <w:szCs w:val="28"/>
          <w:highlight w:val="none"/>
        </w:rPr>
      </w:pPr>
    </w:p>
    <w:p w14:paraId="3767273A">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szCs w:val="28"/>
          <w:highlight w:val="none"/>
        </w:rPr>
        <w:t>电话：</w:t>
      </w:r>
    </w:p>
    <w:p w14:paraId="33457D19">
      <w:pPr>
        <w:spacing w:line="360" w:lineRule="auto"/>
        <w:ind w:firstLine="360" w:firstLineChars="150"/>
        <w:rPr>
          <w:rFonts w:ascii="宋体" w:hAnsi="宋体" w:cs="宋体"/>
          <w:color w:val="auto"/>
          <w:sz w:val="24"/>
          <w:szCs w:val="28"/>
          <w:highlight w:val="none"/>
        </w:rPr>
      </w:pPr>
    </w:p>
    <w:p w14:paraId="42220E1B">
      <w:pPr>
        <w:spacing w:line="360" w:lineRule="auto"/>
        <w:ind w:right="480" w:firstLine="360" w:firstLineChars="150"/>
        <w:jc w:val="center"/>
        <w:rPr>
          <w:rFonts w:ascii="宋体" w:hAnsi="宋体" w:cs="宋体"/>
          <w:b/>
          <w:color w:val="auto"/>
          <w:sz w:val="32"/>
          <w:szCs w:val="32"/>
          <w:highlight w:val="none"/>
        </w:rPr>
      </w:pPr>
      <w:r>
        <w:rPr>
          <w:rFonts w:hint="eastAsia" w:ascii="宋体" w:hAnsi="宋体" w:cs="宋体"/>
          <w:color w:val="auto"/>
          <w:sz w:val="24"/>
          <w:szCs w:val="28"/>
          <w:highlight w:val="none"/>
        </w:rPr>
        <w:t xml:space="preserve">                                                 年  月  日</w:t>
      </w:r>
    </w:p>
    <w:p w14:paraId="5D0B051B">
      <w:pPr>
        <w:spacing w:line="36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475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14:paraId="44EA5C3D">
            <w:pPr>
              <w:spacing w:line="360" w:lineRule="atLeas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陕安项目管理有限公司</w:t>
            </w:r>
          </w:p>
        </w:tc>
      </w:tr>
      <w:tr w14:paraId="7A76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2069BEC">
            <w:pPr>
              <w:spacing w:line="360" w:lineRule="atLeast"/>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14:paraId="655A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3240" w:type="dxa"/>
            <w:noWrap w:val="0"/>
            <w:vAlign w:val="center"/>
          </w:tcPr>
          <w:p w14:paraId="2D934616">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投标单位</w:t>
            </w:r>
          </w:p>
        </w:tc>
        <w:tc>
          <w:tcPr>
            <w:tcW w:w="3420" w:type="dxa"/>
            <w:noWrap w:val="0"/>
            <w:vAlign w:val="center"/>
          </w:tcPr>
          <w:p w14:paraId="5178DAFF">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40" w:type="dxa"/>
            <w:noWrap w:val="0"/>
            <w:vAlign w:val="center"/>
          </w:tcPr>
          <w:p w14:paraId="28A9A454">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日  期</w:t>
            </w:r>
          </w:p>
        </w:tc>
      </w:tr>
      <w:tr w14:paraId="427F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E9D0A7B">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20" w:type="dxa"/>
            <w:noWrap w:val="0"/>
            <w:vAlign w:val="center"/>
          </w:tcPr>
          <w:p w14:paraId="287F91E4">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40" w:type="dxa"/>
            <w:noWrap w:val="0"/>
            <w:vAlign w:val="center"/>
          </w:tcPr>
          <w:p w14:paraId="1CE1D97D">
            <w:pPr>
              <w:spacing w:line="360" w:lineRule="atLeas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2F9BEA04">
      <w:pPr>
        <w:spacing w:line="360" w:lineRule="atLeast"/>
        <w:rPr>
          <w:rFonts w:ascii="宋体" w:hAnsi="宋体" w:cs="宋体"/>
          <w:b/>
          <w:color w:val="auto"/>
          <w:sz w:val="42"/>
          <w:szCs w:val="42"/>
          <w:highlight w:val="none"/>
        </w:rPr>
      </w:pPr>
    </w:p>
    <w:p w14:paraId="1A9DB41E">
      <w:pPr>
        <w:rPr>
          <w:rFonts w:ascii="宋体" w:hAnsi="宋体" w:cs="宋体"/>
          <w:b/>
          <w:color w:val="auto"/>
          <w:sz w:val="42"/>
          <w:szCs w:val="42"/>
          <w:highlight w:val="none"/>
        </w:rPr>
      </w:pPr>
    </w:p>
    <w:p w14:paraId="7970FA60">
      <w:pPr>
        <w:spacing w:line="36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9DF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0D26A39">
            <w:pPr>
              <w:spacing w:line="360" w:lineRule="atLeas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陕安项目管理有限公司</w:t>
            </w:r>
          </w:p>
        </w:tc>
      </w:tr>
      <w:tr w14:paraId="513A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0178324">
            <w:pPr>
              <w:spacing w:line="360" w:lineRule="atLeast"/>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作为参加贵公司组织的招标采购项目的投标单位，本公司郑重申告并承诺：近三年受到有关行政主管部门的行政处理、不良行为记录为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tc>
      </w:tr>
      <w:tr w14:paraId="3B82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F994F9A">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投标单位</w:t>
            </w:r>
          </w:p>
        </w:tc>
        <w:tc>
          <w:tcPr>
            <w:tcW w:w="3420" w:type="dxa"/>
            <w:noWrap w:val="0"/>
            <w:vAlign w:val="center"/>
          </w:tcPr>
          <w:p w14:paraId="40DC8EFF">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40" w:type="dxa"/>
            <w:noWrap w:val="0"/>
            <w:vAlign w:val="center"/>
          </w:tcPr>
          <w:p w14:paraId="2CB7BEDC">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日  期</w:t>
            </w:r>
          </w:p>
        </w:tc>
      </w:tr>
      <w:tr w14:paraId="0A43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86251BA">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20" w:type="dxa"/>
            <w:noWrap w:val="0"/>
            <w:vAlign w:val="center"/>
          </w:tcPr>
          <w:p w14:paraId="6BF9F599">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40" w:type="dxa"/>
            <w:noWrap w:val="0"/>
            <w:vAlign w:val="center"/>
          </w:tcPr>
          <w:p w14:paraId="0C180DEF">
            <w:pPr>
              <w:spacing w:line="360" w:lineRule="atLeas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6CA41C02">
      <w:pPr>
        <w:spacing w:line="360" w:lineRule="atLeast"/>
        <w:rPr>
          <w:rFonts w:ascii="宋体" w:hAnsi="宋体" w:cs="宋体"/>
          <w:b/>
          <w:color w:val="auto"/>
          <w:sz w:val="32"/>
          <w:szCs w:val="32"/>
          <w:highlight w:val="none"/>
        </w:rPr>
      </w:pPr>
    </w:p>
    <w:p w14:paraId="40042819">
      <w:pPr>
        <w:spacing w:line="36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F08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8940836">
            <w:pPr>
              <w:spacing w:line="360" w:lineRule="atLeas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陕安项目管理有限公司</w:t>
            </w:r>
          </w:p>
        </w:tc>
      </w:tr>
      <w:tr w14:paraId="6486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A39C3D5">
            <w:pPr>
              <w:spacing w:line="360" w:lineRule="atLeast"/>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作为参加贵公司组织的招标采购项目的投标单位，本公司郑重申告：近三年因项目质量问题的不法行为记录为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tc>
      </w:tr>
      <w:tr w14:paraId="6DA7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1E5415D">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投标单位</w:t>
            </w:r>
          </w:p>
        </w:tc>
        <w:tc>
          <w:tcPr>
            <w:tcW w:w="3420" w:type="dxa"/>
            <w:noWrap w:val="0"/>
            <w:vAlign w:val="center"/>
          </w:tcPr>
          <w:p w14:paraId="4AE1016D">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40" w:type="dxa"/>
            <w:noWrap w:val="0"/>
            <w:vAlign w:val="center"/>
          </w:tcPr>
          <w:p w14:paraId="2A8C2111">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日   期</w:t>
            </w:r>
          </w:p>
        </w:tc>
      </w:tr>
      <w:tr w14:paraId="26A6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200A0774">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20" w:type="dxa"/>
            <w:noWrap w:val="0"/>
            <w:vAlign w:val="center"/>
          </w:tcPr>
          <w:p w14:paraId="11329F9B">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40" w:type="dxa"/>
            <w:noWrap w:val="0"/>
            <w:vAlign w:val="center"/>
          </w:tcPr>
          <w:p w14:paraId="6FC37318">
            <w:pPr>
              <w:spacing w:line="360" w:lineRule="atLeas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48E4C463">
      <w:pPr>
        <w:spacing w:line="360" w:lineRule="auto"/>
        <w:ind w:right="480"/>
        <w:rPr>
          <w:rFonts w:ascii="宋体" w:hAnsi="宋体" w:cs="宋体"/>
          <w:color w:val="auto"/>
          <w:sz w:val="24"/>
          <w:szCs w:val="28"/>
          <w:highlight w:val="none"/>
        </w:rPr>
      </w:pPr>
    </w:p>
    <w:p w14:paraId="391BB888">
      <w:pPr>
        <w:spacing w:line="360" w:lineRule="atLeast"/>
        <w:jc w:val="center"/>
        <w:rPr>
          <w:rFonts w:hint="eastAsia" w:ascii="宋体" w:hAnsi="宋体" w:cs="宋体"/>
          <w:b/>
          <w:color w:val="auto"/>
          <w:sz w:val="32"/>
          <w:szCs w:val="32"/>
          <w:highlight w:val="none"/>
        </w:rPr>
      </w:pPr>
    </w:p>
    <w:p w14:paraId="0791008B">
      <w:pPr>
        <w:spacing w:line="36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rPr>
        <w:t>承诺书</w:t>
      </w:r>
      <w:r>
        <w:rPr>
          <w:rFonts w:hint="eastAsia" w:ascii="宋体" w:hAnsi="宋体" w:cs="宋体"/>
          <w:b/>
          <w:color w:val="auto"/>
          <w:sz w:val="36"/>
          <w:szCs w:val="36"/>
          <w:highlight w:val="none"/>
        </w:rPr>
        <w:fldChar w:fldCharType="begin"/>
      </w:r>
      <w:r>
        <w:rPr>
          <w:rFonts w:hint="eastAsia" w:ascii="宋体" w:hAnsi="宋体" w:cs="宋体"/>
          <w:b/>
          <w:color w:val="auto"/>
          <w:sz w:val="36"/>
          <w:szCs w:val="36"/>
          <w:highlight w:val="none"/>
        </w:rPr>
        <w:instrText xml:space="preserve"> = 5 \* ROMAN </w:instrText>
      </w:r>
      <w:r>
        <w:rPr>
          <w:rFonts w:hint="eastAsia" w:ascii="宋体" w:hAnsi="宋体" w:cs="宋体"/>
          <w:b/>
          <w:color w:val="auto"/>
          <w:sz w:val="36"/>
          <w:szCs w:val="36"/>
          <w:highlight w:val="none"/>
        </w:rPr>
        <w:fldChar w:fldCharType="separate"/>
      </w:r>
      <w:r>
        <w:rPr>
          <w:rFonts w:hint="eastAsia" w:ascii="宋体" w:hAnsi="宋体" w:cs="宋体"/>
          <w:b/>
          <w:color w:val="auto"/>
          <w:sz w:val="36"/>
          <w:szCs w:val="36"/>
          <w:highlight w:val="none"/>
        </w:rPr>
        <w:t>V</w:t>
      </w:r>
      <w:r>
        <w:rPr>
          <w:rFonts w:hint="eastAsia" w:ascii="宋体" w:hAnsi="宋体" w:cs="宋体"/>
          <w:b/>
          <w:color w:val="auto"/>
          <w:sz w:val="36"/>
          <w:szCs w:val="36"/>
          <w:highlight w:val="none"/>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49E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D39AC5B">
            <w:pPr>
              <w:spacing w:line="360" w:lineRule="atLeas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陕安项目管理有限公司</w:t>
            </w:r>
          </w:p>
        </w:tc>
      </w:tr>
      <w:tr w14:paraId="2930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A73577B">
            <w:pPr>
              <w:spacing w:line="360" w:lineRule="atLeast"/>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作为参加贵公司组织的招标采购项目的投标单位，本公司承诺：参加本次投标提交的所有资质证明文件及业绩证明是真实的、有效的，如有隐瞒实情，愿承担一切责任及后果。</w:t>
            </w:r>
          </w:p>
        </w:tc>
      </w:tr>
      <w:tr w14:paraId="771F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61E3974">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投标单位</w:t>
            </w:r>
          </w:p>
        </w:tc>
        <w:tc>
          <w:tcPr>
            <w:tcW w:w="3420" w:type="dxa"/>
            <w:noWrap w:val="0"/>
            <w:vAlign w:val="center"/>
          </w:tcPr>
          <w:p w14:paraId="7D9196C7">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40" w:type="dxa"/>
            <w:noWrap w:val="0"/>
            <w:vAlign w:val="center"/>
          </w:tcPr>
          <w:p w14:paraId="5A2AB2FF">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日   期</w:t>
            </w:r>
          </w:p>
        </w:tc>
      </w:tr>
      <w:tr w14:paraId="736C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87C2C13">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20" w:type="dxa"/>
            <w:noWrap w:val="0"/>
            <w:vAlign w:val="center"/>
          </w:tcPr>
          <w:p w14:paraId="31159438">
            <w:pPr>
              <w:spacing w:line="360" w:lineRule="atLeast"/>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40" w:type="dxa"/>
            <w:noWrap w:val="0"/>
            <w:vAlign w:val="center"/>
          </w:tcPr>
          <w:p w14:paraId="5258CC01">
            <w:pPr>
              <w:spacing w:line="360" w:lineRule="atLeas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65E2CB50">
      <w:pPr>
        <w:spacing w:line="360" w:lineRule="auto"/>
        <w:jc w:val="center"/>
        <w:rPr>
          <w:rFonts w:ascii="宋体" w:hAnsi="宋体" w:cs="宋体"/>
          <w:b/>
          <w:color w:val="auto"/>
          <w:sz w:val="32"/>
          <w:szCs w:val="32"/>
          <w:highlight w:val="none"/>
        </w:rPr>
      </w:pPr>
    </w:p>
    <w:p w14:paraId="7D325EFE">
      <w:pPr>
        <w:spacing w:line="560" w:lineRule="exact"/>
        <w:ind w:right="-2"/>
        <w:jc w:val="center"/>
        <w:rPr>
          <w:rFonts w:hint="eastAsia" w:ascii="宋体" w:hAnsi="宋体" w:cs="宋体"/>
          <w:b/>
          <w:color w:val="auto"/>
          <w:sz w:val="32"/>
          <w:szCs w:val="22"/>
          <w:highlight w:val="none"/>
          <w:lang w:val="en-US" w:eastAsia="zh-CN"/>
        </w:rPr>
      </w:pPr>
      <w:r>
        <w:rPr>
          <w:rFonts w:hint="eastAsia" w:ascii="宋体" w:hAnsi="宋体" w:cs="宋体"/>
          <w:b/>
          <w:color w:val="auto"/>
          <w:sz w:val="32"/>
          <w:szCs w:val="22"/>
          <w:highlight w:val="none"/>
          <w:lang w:val="en-US" w:eastAsia="zh-CN"/>
        </w:rPr>
        <w:t>5.3信用承诺书</w:t>
      </w:r>
    </w:p>
    <w:p w14:paraId="0B8E3AD1">
      <w:pPr>
        <w:spacing w:line="560" w:lineRule="exact"/>
        <w:ind w:right="-2"/>
        <w:jc w:val="center"/>
        <w:rPr>
          <w:rFonts w:ascii="宋体" w:hAnsi="宋体" w:cs="宋体"/>
          <w:b/>
          <w:bCs/>
          <w:color w:val="auto"/>
          <w:sz w:val="32"/>
          <w:szCs w:val="32"/>
          <w:highlight w:val="none"/>
        </w:rPr>
      </w:pPr>
      <w:r>
        <w:rPr>
          <w:rFonts w:hint="eastAsia" w:ascii="宋体" w:hAnsi="宋体" w:cs="宋体"/>
          <w:b/>
          <w:bCs/>
          <w:color w:val="auto"/>
          <w:sz w:val="32"/>
          <w:szCs w:val="32"/>
          <w:highlight w:val="none"/>
          <w:lang w:val="en-US" w:eastAsia="zh-CN"/>
        </w:rPr>
        <w:t>5.3.1</w:t>
      </w:r>
      <w:r>
        <w:rPr>
          <w:rFonts w:hint="eastAsia" w:ascii="宋体" w:hAnsi="宋体" w:cs="宋体"/>
          <w:b/>
          <w:bCs/>
          <w:color w:val="auto"/>
          <w:sz w:val="32"/>
          <w:szCs w:val="32"/>
          <w:highlight w:val="none"/>
        </w:rPr>
        <w:t>投标人信用承诺书</w:t>
      </w:r>
    </w:p>
    <w:p w14:paraId="3D044634">
      <w:pPr>
        <w:widowControl/>
        <w:adjustRightInd w:val="0"/>
        <w:snapToGrid w:val="0"/>
        <w:spacing w:line="40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single"/>
        </w:rPr>
        <w:t xml:space="preserve">                                                                   </w:t>
      </w:r>
    </w:p>
    <w:p w14:paraId="0F8A2820">
      <w:pPr>
        <w:widowControl/>
        <w:adjustRightInd w:val="0"/>
        <w:snapToGrid w:val="0"/>
        <w:spacing w:line="40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统一社会信用代码：</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法人代表：</w:t>
      </w:r>
      <w:r>
        <w:rPr>
          <w:rFonts w:hint="eastAsia" w:ascii="宋体" w:hAnsi="宋体" w:cs="宋体"/>
          <w:color w:val="auto"/>
          <w:kern w:val="0"/>
          <w:sz w:val="24"/>
          <w:highlight w:val="none"/>
          <w:u w:val="single"/>
        </w:rPr>
        <w:t xml:space="preserve">                  </w:t>
      </w:r>
    </w:p>
    <w:p w14:paraId="11C88963">
      <w:pPr>
        <w:widowControl/>
        <w:adjustRightInd w:val="0"/>
        <w:snapToGrid w:val="0"/>
        <w:spacing w:line="40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4AA6E595">
      <w:pPr>
        <w:widowControl/>
        <w:adjustRightInd w:val="0"/>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项目招投标活动中，我公司（单位）郑重作出以下信用承诺：</w:t>
      </w:r>
    </w:p>
    <w:p w14:paraId="3939043E">
      <w:pPr>
        <w:widowControl/>
        <w:adjustRightInd w:val="0"/>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的良好记录；无法律法规规定禁止开展从业活动情形。所递交文件资料合法、真实、准确、完整、有效。</w:t>
      </w:r>
    </w:p>
    <w:p w14:paraId="0F85BC53">
      <w:pPr>
        <w:widowControl/>
        <w:adjustRightInd w:val="0"/>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168AA9">
      <w:pPr>
        <w:widowControl/>
        <w:adjustRightInd w:val="0"/>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14:paraId="6E1D4009">
      <w:pPr>
        <w:widowControl/>
        <w:adjustRightInd w:val="0"/>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（四）同意将此信用承诺纳入陕西省公共信用信息平台和榆林市公共信用信息共享平台，并上网公示，接受社会监督。</w:t>
      </w:r>
    </w:p>
    <w:p w14:paraId="4741F606">
      <w:pPr>
        <w:widowControl/>
        <w:adjustRightInd w:val="0"/>
        <w:snapToGrid w:val="0"/>
        <w:spacing w:line="360" w:lineRule="auto"/>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3D801FB">
      <w:pPr>
        <w:widowControl/>
        <w:tabs>
          <w:tab w:val="left" w:pos="4395"/>
        </w:tabs>
        <w:adjustRightInd w:val="0"/>
        <w:snapToGrid w:val="0"/>
        <w:spacing w:line="50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法定代表人（签章）：               投标人（盖章）：</w:t>
      </w:r>
    </w:p>
    <w:p w14:paraId="7C836805">
      <w:pPr>
        <w:adjustRightInd w:val="0"/>
        <w:snapToGrid w:val="0"/>
        <w:spacing w:line="5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承诺时间：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070C9F11">
      <w:pPr>
        <w:pStyle w:val="11"/>
        <w:rPr>
          <w:rFonts w:hint="default" w:ascii="宋体" w:hAnsi="宋体" w:eastAsia="宋体" w:cs="宋体"/>
          <w:b/>
          <w:bCs/>
          <w:color w:val="auto"/>
          <w:kern w:val="0"/>
          <w:sz w:val="24"/>
          <w:highlight w:val="none"/>
          <w:lang w:val="en-US" w:eastAsia="zh-CN"/>
        </w:rPr>
      </w:pPr>
      <w:r>
        <w:rPr>
          <w:rFonts w:hint="eastAsia" w:ascii="宋体" w:hAnsi="宋体" w:cs="宋体"/>
          <w:b/>
          <w:bCs/>
          <w:color w:val="auto"/>
          <w:kern w:val="0"/>
          <w:sz w:val="24"/>
          <w:highlight w:val="none"/>
          <w:lang w:val="en-US" w:eastAsia="zh-CN"/>
        </w:rPr>
        <w:t>说明：</w:t>
      </w:r>
      <w:r>
        <w:rPr>
          <w:rFonts w:hint="eastAsia" w:ascii="宋体" w:hAnsi="宋体" w:cs="宋体"/>
          <w:b/>
          <w:bCs/>
          <w:color w:val="auto"/>
          <w:kern w:val="0"/>
          <w:sz w:val="24"/>
          <w:highlight w:val="none"/>
        </w:rPr>
        <w:t>承诺有效期限</w:t>
      </w:r>
      <w:r>
        <w:rPr>
          <w:rFonts w:hint="eastAsia" w:ascii="宋体" w:hAnsi="宋体" w:cs="宋体"/>
          <w:b/>
          <w:bCs/>
          <w:color w:val="auto"/>
          <w:kern w:val="0"/>
          <w:sz w:val="24"/>
          <w:highlight w:val="none"/>
          <w:lang w:val="en-US" w:eastAsia="zh-CN"/>
        </w:rPr>
        <w:t>为3个月。</w:t>
      </w:r>
    </w:p>
    <w:p w14:paraId="69608DB2">
      <w:pPr>
        <w:spacing w:line="560" w:lineRule="exact"/>
        <w:ind w:right="-2"/>
        <w:jc w:val="center"/>
        <w:rPr>
          <w:rFonts w:ascii="宋体" w:hAnsi="宋体" w:cs="宋体"/>
          <w:color w:val="auto"/>
          <w:sz w:val="30"/>
          <w:szCs w:val="30"/>
          <w:highlight w:val="none"/>
        </w:rPr>
      </w:pPr>
      <w:r>
        <w:rPr>
          <w:rFonts w:hint="eastAsia" w:ascii="宋体" w:hAnsi="宋体" w:cs="宋体"/>
          <w:b/>
          <w:bCs/>
          <w:color w:val="auto"/>
          <w:sz w:val="40"/>
          <w:szCs w:val="40"/>
          <w:highlight w:val="none"/>
          <w:lang w:val="en-US" w:eastAsia="zh-CN"/>
        </w:rPr>
        <w:t>5.3.2</w:t>
      </w:r>
      <w:r>
        <w:rPr>
          <w:rFonts w:hint="eastAsia" w:ascii="宋体" w:hAnsi="宋体" w:cs="宋体"/>
          <w:b/>
          <w:bCs/>
          <w:color w:val="auto"/>
          <w:sz w:val="40"/>
          <w:szCs w:val="40"/>
          <w:highlight w:val="none"/>
        </w:rPr>
        <w:t>投标人委托代理人员信用承诺书</w:t>
      </w:r>
    </w:p>
    <w:p w14:paraId="6C927376">
      <w:pPr>
        <w:keepNext w:val="0"/>
        <w:keepLines w:val="0"/>
        <w:pageBreakBefore w:val="0"/>
        <w:widowControl/>
        <w:kinsoku/>
        <w:wordWrap/>
        <w:overflowPunct/>
        <w:topLinePunct w:val="0"/>
        <w:autoSpaceDE/>
        <w:autoSpaceDN/>
        <w:bidi w:val="0"/>
        <w:adjustRightInd w:val="0"/>
        <w:snapToGrid w:val="0"/>
        <w:spacing w:line="460" w:lineRule="atLeast"/>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项目招投标活动中，我个人郑重作出以下信用承诺：</w:t>
      </w:r>
    </w:p>
    <w:p w14:paraId="6AC5DADE">
      <w:pPr>
        <w:keepNext w:val="0"/>
        <w:keepLines w:val="0"/>
        <w:pageBreakBefore w:val="0"/>
        <w:widowControl/>
        <w:kinsoku/>
        <w:wordWrap/>
        <w:overflowPunct/>
        <w:topLinePunct w:val="0"/>
        <w:autoSpaceDE/>
        <w:autoSpaceDN/>
        <w:bidi w:val="0"/>
        <w:adjustRightInd w:val="0"/>
        <w:snapToGrid w:val="0"/>
        <w:spacing w:line="460" w:lineRule="atLeast"/>
        <w:ind w:firstLine="48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0EBD5DAD">
      <w:pPr>
        <w:keepNext w:val="0"/>
        <w:keepLines w:val="0"/>
        <w:pageBreakBefore w:val="0"/>
        <w:widowControl/>
        <w:kinsoku/>
        <w:wordWrap/>
        <w:overflowPunct/>
        <w:topLinePunct w:val="0"/>
        <w:autoSpaceDE/>
        <w:autoSpaceDN/>
        <w:bidi w:val="0"/>
        <w:adjustRightInd w:val="0"/>
        <w:snapToGrid w:val="0"/>
        <w:spacing w:line="460" w:lineRule="atLeast"/>
        <w:ind w:firstLine="48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A7709C7">
      <w:pPr>
        <w:keepNext w:val="0"/>
        <w:keepLines w:val="0"/>
        <w:pageBreakBefore w:val="0"/>
        <w:widowControl/>
        <w:kinsoku/>
        <w:wordWrap/>
        <w:overflowPunct/>
        <w:topLinePunct w:val="0"/>
        <w:autoSpaceDE/>
        <w:autoSpaceDN/>
        <w:bidi w:val="0"/>
        <w:adjustRightInd w:val="0"/>
        <w:snapToGrid w:val="0"/>
        <w:spacing w:line="460" w:lineRule="atLeast"/>
        <w:ind w:firstLine="48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14:paraId="52901EFE">
      <w:pPr>
        <w:keepNext w:val="0"/>
        <w:keepLines w:val="0"/>
        <w:pageBreakBefore w:val="0"/>
        <w:widowControl/>
        <w:kinsoku/>
        <w:wordWrap/>
        <w:overflowPunct/>
        <w:topLinePunct w:val="0"/>
        <w:autoSpaceDE/>
        <w:autoSpaceDN/>
        <w:bidi w:val="0"/>
        <w:adjustRightInd w:val="0"/>
        <w:snapToGrid w:val="0"/>
        <w:spacing w:line="460" w:lineRule="atLeast"/>
        <w:ind w:firstLine="48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（四）同意将此信用承诺纳入陕西省公共信用信息平台和榆林市公共信用信息共享平台，并接受社会监督。</w:t>
      </w:r>
    </w:p>
    <w:p w14:paraId="767A8B7A">
      <w:pPr>
        <w:keepNext w:val="0"/>
        <w:keepLines w:val="0"/>
        <w:pageBreakBefore w:val="0"/>
        <w:widowControl/>
        <w:kinsoku/>
        <w:wordWrap/>
        <w:overflowPunct/>
        <w:topLinePunct w:val="0"/>
        <w:autoSpaceDE/>
        <w:autoSpaceDN/>
        <w:bidi w:val="0"/>
        <w:adjustRightInd w:val="0"/>
        <w:snapToGrid w:val="0"/>
        <w:spacing w:line="460" w:lineRule="atLeast"/>
        <w:ind w:firstLine="48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586871F">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rPr>
      </w:pPr>
    </w:p>
    <w:p w14:paraId="623B21EA">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44F3D1DF">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rPr>
      </w:pPr>
    </w:p>
    <w:p w14:paraId="1C584E8E">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single"/>
        </w:rPr>
        <w:t xml:space="preserve">                                                        </w:t>
      </w:r>
    </w:p>
    <w:p w14:paraId="0B68D984">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rPr>
      </w:pPr>
    </w:p>
    <w:p w14:paraId="089FFF47">
      <w:pPr>
        <w:keepNext w:val="0"/>
        <w:keepLines w:val="0"/>
        <w:pageBreakBefore w:val="0"/>
        <w:widowControl/>
        <w:kinsoku/>
        <w:wordWrap/>
        <w:overflowPunct/>
        <w:topLinePunct w:val="0"/>
        <w:autoSpaceDE/>
        <w:autoSpaceDN/>
        <w:bidi w:val="0"/>
        <w:adjustRightInd w:val="0"/>
        <w:snapToGrid w:val="0"/>
        <w:spacing w:line="460" w:lineRule="atLeast"/>
        <w:ind w:firstLine="482"/>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承诺人（</w:t>
      </w:r>
      <w:r>
        <w:rPr>
          <w:rFonts w:hint="eastAsia" w:ascii="宋体" w:hAnsi="宋体" w:cs="宋体"/>
          <w:color w:val="auto"/>
          <w:sz w:val="24"/>
          <w:szCs w:val="24"/>
          <w:highlight w:val="none"/>
        </w:rPr>
        <w:t>签字</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5A85B1D4">
      <w:pPr>
        <w:widowControl/>
        <w:spacing w:line="320" w:lineRule="exact"/>
        <w:ind w:firstLine="482"/>
        <w:jc w:val="left"/>
        <w:rPr>
          <w:rFonts w:ascii="宋体" w:hAnsi="宋体" w:cs="宋体"/>
          <w:color w:val="auto"/>
          <w:kern w:val="0"/>
          <w:sz w:val="24"/>
          <w:highlight w:val="none"/>
          <w:u w:val="single"/>
        </w:rPr>
      </w:pPr>
    </w:p>
    <w:p w14:paraId="076FA1F2">
      <w:pPr>
        <w:widowControl/>
        <w:spacing w:line="360" w:lineRule="auto"/>
        <w:ind w:firstLine="482"/>
        <w:jc w:val="left"/>
        <w:rPr>
          <w:rFonts w:hint="eastAsia" w:ascii="宋体" w:hAnsi="宋体" w:cs="宋体"/>
          <w:b/>
          <w:bCs/>
          <w:color w:val="auto"/>
          <w:sz w:val="40"/>
          <w:szCs w:val="40"/>
          <w:highlight w:val="none"/>
        </w:rPr>
      </w:pPr>
      <w:r>
        <w:rPr>
          <w:rFonts w:hint="eastAsia" w:ascii="宋体" w:hAnsi="宋体" w:cs="宋体"/>
          <w:color w:val="auto"/>
          <w:kern w:val="0"/>
          <w:sz w:val="24"/>
          <w:highlight w:val="none"/>
        </w:rPr>
        <w:t>承诺时间：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04F004B9">
      <w:pPr>
        <w:pStyle w:val="11"/>
        <w:spacing w:line="360" w:lineRule="auto"/>
        <w:ind w:firstLine="482" w:firstLineChars="200"/>
        <w:rPr>
          <w:rFonts w:hint="default" w:ascii="宋体" w:hAnsi="宋体" w:eastAsia="宋体" w:cs="宋体"/>
          <w:b/>
          <w:bCs/>
          <w:color w:val="auto"/>
          <w:kern w:val="0"/>
          <w:sz w:val="24"/>
          <w:highlight w:val="none"/>
          <w:lang w:val="en-US" w:eastAsia="zh-CN"/>
        </w:rPr>
      </w:pPr>
      <w:r>
        <w:rPr>
          <w:rFonts w:hint="eastAsia" w:ascii="宋体" w:hAnsi="宋体" w:cs="宋体"/>
          <w:b/>
          <w:bCs/>
          <w:color w:val="auto"/>
          <w:kern w:val="0"/>
          <w:sz w:val="24"/>
          <w:highlight w:val="none"/>
          <w:lang w:val="en-US" w:eastAsia="zh-CN"/>
        </w:rPr>
        <w:t>说明：</w:t>
      </w:r>
      <w:r>
        <w:rPr>
          <w:rFonts w:hint="eastAsia" w:ascii="宋体" w:hAnsi="宋体" w:cs="宋体"/>
          <w:b/>
          <w:bCs/>
          <w:color w:val="auto"/>
          <w:kern w:val="0"/>
          <w:sz w:val="24"/>
          <w:highlight w:val="none"/>
        </w:rPr>
        <w:t>承诺有效期限</w:t>
      </w:r>
      <w:r>
        <w:rPr>
          <w:rFonts w:hint="eastAsia" w:ascii="宋体" w:hAnsi="宋体" w:cs="宋体"/>
          <w:b/>
          <w:bCs/>
          <w:color w:val="auto"/>
          <w:kern w:val="0"/>
          <w:sz w:val="24"/>
          <w:highlight w:val="none"/>
          <w:lang w:val="en-US" w:eastAsia="zh-CN"/>
        </w:rPr>
        <w:t>为3个月。</w:t>
      </w:r>
    </w:p>
    <w:p w14:paraId="35F9DE60">
      <w:pPr>
        <w:pStyle w:val="11"/>
        <w:rPr>
          <w:rFonts w:hint="eastAsia"/>
          <w:color w:val="auto"/>
          <w:highlight w:val="none"/>
        </w:rPr>
        <w:sectPr>
          <w:pgSz w:w="11906" w:h="16838"/>
          <w:pgMar w:top="1701" w:right="1417" w:bottom="1701" w:left="1417" w:header="1088" w:footer="992" w:gutter="0"/>
          <w:pgNumType w:fmt="decimal"/>
          <w:cols w:space="720" w:num="1"/>
          <w:titlePg/>
          <w:rtlGutter w:val="0"/>
          <w:docGrid w:type="lines" w:linePitch="312" w:charSpace="0"/>
        </w:sectPr>
      </w:pPr>
    </w:p>
    <w:p w14:paraId="345DCE44">
      <w:pPr>
        <w:spacing w:line="560" w:lineRule="exact"/>
        <w:ind w:right="-2"/>
        <w:jc w:val="center"/>
        <w:rPr>
          <w:rFonts w:ascii="宋体" w:hAnsi="宋体" w:cs="宋体"/>
          <w:color w:val="auto"/>
          <w:kern w:val="0"/>
          <w:sz w:val="24"/>
          <w:highlight w:val="none"/>
        </w:rPr>
      </w:pPr>
      <w:r>
        <w:rPr>
          <w:rFonts w:hint="eastAsia" w:ascii="宋体" w:hAnsi="宋体" w:cs="宋体"/>
          <w:b/>
          <w:bCs/>
          <w:color w:val="auto"/>
          <w:sz w:val="40"/>
          <w:szCs w:val="40"/>
          <w:highlight w:val="none"/>
          <w:lang w:val="en-US" w:eastAsia="zh-CN"/>
        </w:rPr>
        <w:t>5.3.3</w:t>
      </w:r>
      <w:r>
        <w:rPr>
          <w:rFonts w:hint="eastAsia" w:ascii="宋体" w:hAnsi="宋体" w:cs="宋体"/>
          <w:b/>
          <w:bCs/>
          <w:color w:val="auto"/>
          <w:sz w:val="40"/>
          <w:szCs w:val="40"/>
          <w:highlight w:val="none"/>
        </w:rPr>
        <w:t>投标信用承诺书</w:t>
      </w:r>
    </w:p>
    <w:p w14:paraId="001F6905">
      <w:pPr>
        <w:widowControl/>
        <w:spacing w:line="54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项目标段：</w:t>
      </w:r>
      <w:r>
        <w:rPr>
          <w:rFonts w:hint="eastAsia" w:ascii="宋体" w:hAnsi="宋体" w:cs="宋体"/>
          <w:color w:val="auto"/>
          <w:kern w:val="0"/>
          <w:sz w:val="24"/>
          <w:highlight w:val="none"/>
          <w:u w:val="single"/>
        </w:rPr>
        <w:t xml:space="preserve">                                                                  </w:t>
      </w:r>
    </w:p>
    <w:p w14:paraId="0FFF8615">
      <w:pPr>
        <w:widowControl/>
        <w:spacing w:line="54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single"/>
        </w:rPr>
        <w:t xml:space="preserve">                                                                    </w:t>
      </w:r>
    </w:p>
    <w:p w14:paraId="34D0E1EF">
      <w:pPr>
        <w:widowControl/>
        <w:spacing w:line="540" w:lineRule="exact"/>
        <w:jc w:val="left"/>
        <w:rPr>
          <w:rFonts w:ascii="宋体" w:hAnsi="宋体" w:cs="宋体"/>
          <w:color w:val="auto"/>
          <w:kern w:val="0"/>
          <w:sz w:val="24"/>
          <w:highlight w:val="none"/>
          <w:u w:val="single"/>
        </w:rPr>
      </w:pPr>
      <w:r>
        <w:rPr>
          <w:rFonts w:hint="eastAsia" w:ascii="宋体" w:hAnsi="宋体" w:cs="宋体"/>
          <w:color w:val="auto"/>
          <w:kern w:val="0"/>
          <w:sz w:val="24"/>
          <w:highlight w:val="none"/>
        </w:rPr>
        <w:t>统一社会信用代码：</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法人代表：</w:t>
      </w:r>
      <w:r>
        <w:rPr>
          <w:rFonts w:hint="eastAsia" w:ascii="宋体" w:hAnsi="宋体" w:cs="宋体"/>
          <w:color w:val="auto"/>
          <w:kern w:val="0"/>
          <w:sz w:val="24"/>
          <w:highlight w:val="none"/>
          <w:u w:val="single"/>
        </w:rPr>
        <w:t xml:space="preserve">                 </w:t>
      </w:r>
    </w:p>
    <w:p w14:paraId="1D6B92DF">
      <w:pPr>
        <w:widowControl/>
        <w:adjustRightInd w:val="0"/>
        <w:snapToGrid w:val="0"/>
        <w:spacing w:line="54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在本项目标段招投标活动中，我公司（单位）自愿作出以下投标信用承诺：</w:t>
      </w:r>
    </w:p>
    <w:p w14:paraId="23D1584F">
      <w:pPr>
        <w:widowControl/>
        <w:adjustRightInd w:val="0"/>
        <w:snapToGrid w:val="0"/>
        <w:spacing w:line="54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（一）能严格遵守法律法规、职业道德和行业规范。</w:t>
      </w:r>
    </w:p>
    <w:p w14:paraId="4D9F3563">
      <w:pPr>
        <w:widowControl/>
        <w:adjustRightInd w:val="0"/>
        <w:snapToGrid w:val="0"/>
        <w:spacing w:line="54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D6E316C">
      <w:pPr>
        <w:widowControl/>
        <w:adjustRightInd w:val="0"/>
        <w:snapToGrid w:val="0"/>
        <w:spacing w:line="54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D7DF6F3">
      <w:pPr>
        <w:widowControl/>
        <w:adjustRightInd w:val="0"/>
        <w:snapToGrid w:val="0"/>
        <w:spacing w:line="540" w:lineRule="exact"/>
        <w:ind w:firstLine="480" w:firstLineChars="200"/>
        <w:jc w:val="left"/>
        <w:rPr>
          <w:rFonts w:ascii="宋体" w:hAnsi="宋体" w:cs="宋体"/>
          <w:color w:val="auto"/>
          <w:kern w:val="0"/>
          <w:sz w:val="24"/>
          <w:highlight w:val="none"/>
        </w:rPr>
      </w:pPr>
    </w:p>
    <w:p w14:paraId="2DA03617">
      <w:pPr>
        <w:widowControl/>
        <w:tabs>
          <w:tab w:val="left" w:pos="4395"/>
        </w:tabs>
        <w:adjustRightInd w:val="0"/>
        <w:snapToGrid w:val="0"/>
        <w:spacing w:line="5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法定代表人（签章）：             投标人（盖章）：</w:t>
      </w:r>
    </w:p>
    <w:p w14:paraId="1E6F98DD">
      <w:pPr>
        <w:adjustRightInd w:val="0"/>
        <w:snapToGrid w:val="0"/>
        <w:spacing w:line="500" w:lineRule="exact"/>
        <w:rPr>
          <w:rFonts w:ascii="宋体" w:hAnsi="宋体" w:cs="宋体"/>
          <w:b/>
          <w:color w:val="auto"/>
          <w:kern w:val="0"/>
          <w:sz w:val="24"/>
          <w:highlight w:val="none"/>
        </w:rPr>
      </w:pPr>
    </w:p>
    <w:p w14:paraId="09D52971">
      <w:pPr>
        <w:ind w:firstLine="4560" w:firstLineChars="1900"/>
        <w:rPr>
          <w:rFonts w:ascii="宋体" w:hAnsi="宋体" w:cs="宋体"/>
          <w:b/>
          <w:color w:val="auto"/>
          <w:sz w:val="24"/>
          <w:szCs w:val="24"/>
          <w:highlight w:val="none"/>
          <w:u w:val="single"/>
        </w:rPr>
      </w:pPr>
      <w:r>
        <w:rPr>
          <w:rFonts w:hint="eastAsia" w:ascii="宋体" w:hAnsi="宋体" w:cs="宋体"/>
          <w:color w:val="auto"/>
          <w:kern w:val="0"/>
          <w:sz w:val="24"/>
          <w:highlight w:val="none"/>
        </w:rPr>
        <w:t>承诺时间：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6C8502BE">
      <w:pPr>
        <w:pStyle w:val="8"/>
        <w:rPr>
          <w:rFonts w:ascii="宋体" w:hAnsi="宋体" w:cs="宋体"/>
          <w:color w:val="auto"/>
          <w:sz w:val="24"/>
          <w:szCs w:val="24"/>
          <w:highlight w:val="none"/>
          <w:u w:val="single"/>
        </w:rPr>
      </w:pPr>
    </w:p>
    <w:p w14:paraId="3C743ECF">
      <w:pPr>
        <w:rPr>
          <w:rFonts w:ascii="宋体" w:hAnsi="宋体" w:cs="宋体"/>
          <w:b/>
          <w:color w:val="auto"/>
          <w:sz w:val="24"/>
          <w:szCs w:val="24"/>
          <w:highlight w:val="none"/>
          <w:u w:val="single"/>
        </w:rPr>
      </w:pPr>
      <w:r>
        <w:rPr>
          <w:rFonts w:hint="eastAsia" w:ascii="宋体" w:hAnsi="宋体" w:cs="宋体"/>
          <w:b/>
          <w:color w:val="auto"/>
          <w:kern w:val="0"/>
          <w:sz w:val="24"/>
          <w:highlight w:val="none"/>
        </w:rPr>
        <w:t>说明：本承诺书效力和作用等同投标保证金，其有效期与投标有效期一致。</w:t>
      </w:r>
    </w:p>
    <w:p w14:paraId="3CEF53CC">
      <w:pPr>
        <w:pStyle w:val="11"/>
        <w:jc w:val="center"/>
        <w:rPr>
          <w:rFonts w:hint="eastAsia" w:ascii="宋体" w:hAnsi="宋体" w:cs="宋体"/>
          <w:b/>
          <w:color w:val="auto"/>
          <w:sz w:val="32"/>
          <w:szCs w:val="22"/>
          <w:highlight w:val="none"/>
          <w:lang w:val="en-US" w:eastAsia="zh-CN"/>
        </w:rPr>
        <w:sectPr>
          <w:pgSz w:w="11906" w:h="16838"/>
          <w:pgMar w:top="1701" w:right="1417" w:bottom="1701" w:left="1417" w:header="1088" w:footer="992" w:gutter="0"/>
          <w:pgNumType w:fmt="decimal"/>
          <w:cols w:space="720" w:num="1"/>
          <w:titlePg/>
          <w:rtlGutter w:val="0"/>
          <w:docGrid w:type="lines" w:linePitch="312" w:charSpace="0"/>
        </w:sectPr>
      </w:pPr>
    </w:p>
    <w:p w14:paraId="53C0882A">
      <w:pPr>
        <w:pStyle w:val="11"/>
        <w:jc w:val="center"/>
        <w:rPr>
          <w:rFonts w:ascii="宋体" w:hAnsi="宋体" w:cs="宋体"/>
          <w:b/>
          <w:color w:val="auto"/>
          <w:sz w:val="32"/>
          <w:szCs w:val="22"/>
          <w:highlight w:val="none"/>
        </w:rPr>
      </w:pPr>
      <w:r>
        <w:rPr>
          <w:rFonts w:hint="eastAsia" w:ascii="宋体" w:hAnsi="宋体" w:cs="宋体"/>
          <w:b/>
          <w:color w:val="auto"/>
          <w:sz w:val="32"/>
          <w:szCs w:val="22"/>
          <w:highlight w:val="none"/>
          <w:lang w:val="en-US" w:eastAsia="zh-CN"/>
        </w:rPr>
        <w:t>六</w:t>
      </w:r>
      <w:r>
        <w:rPr>
          <w:rFonts w:hint="eastAsia" w:ascii="宋体" w:hAnsi="宋体" w:cs="宋体"/>
          <w:b/>
          <w:color w:val="auto"/>
          <w:sz w:val="32"/>
          <w:szCs w:val="22"/>
          <w:highlight w:val="none"/>
        </w:rPr>
        <w:t>、响应方案</w:t>
      </w:r>
    </w:p>
    <w:p w14:paraId="160B5109">
      <w:pPr>
        <w:pStyle w:val="8"/>
        <w:rPr>
          <w:rFonts w:hint="eastAsia"/>
          <w:color w:val="auto"/>
          <w:highlight w:val="none"/>
          <w:lang w:val="en-US" w:eastAsia="zh-CN"/>
        </w:rPr>
      </w:pPr>
    </w:p>
    <w:p w14:paraId="1CD1BDF1">
      <w:pPr>
        <w:spacing w:line="360" w:lineRule="auto"/>
        <w:ind w:firstLine="241" w:firstLineChars="100"/>
        <w:rPr>
          <w:rFonts w:hint="eastAsia" w:ascii="宋体" w:hAnsi="宋体" w:cs="宋体"/>
          <w:b/>
          <w:bCs/>
          <w:color w:val="auto"/>
          <w:sz w:val="24"/>
          <w:highlight w:val="none"/>
        </w:rPr>
      </w:pPr>
      <w:r>
        <w:rPr>
          <w:rFonts w:hint="eastAsia" w:ascii="宋体" w:hAnsi="宋体" w:cs="宋体"/>
          <w:b/>
          <w:bCs/>
          <w:color w:val="auto"/>
          <w:sz w:val="24"/>
          <w:highlight w:val="none"/>
        </w:rPr>
        <w:t>各投标人根据采购内容及</w:t>
      </w:r>
      <w:r>
        <w:rPr>
          <w:rFonts w:hint="eastAsia" w:ascii="宋体" w:hAnsi="宋体" w:cs="宋体"/>
          <w:b/>
          <w:bCs/>
          <w:color w:val="auto"/>
          <w:sz w:val="24"/>
          <w:highlight w:val="none"/>
          <w:lang w:val="en-US" w:eastAsia="zh-CN"/>
        </w:rPr>
        <w:t>谈判文件要求</w:t>
      </w:r>
      <w:r>
        <w:rPr>
          <w:rFonts w:hint="eastAsia" w:ascii="宋体" w:hAnsi="宋体" w:cs="宋体"/>
          <w:b/>
          <w:bCs/>
          <w:color w:val="auto"/>
          <w:sz w:val="24"/>
          <w:highlight w:val="none"/>
        </w:rPr>
        <w:t>自主编写。</w:t>
      </w:r>
    </w:p>
    <w:p w14:paraId="1E94D4C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p>
    <w:p w14:paraId="226AD74C">
      <w:pPr>
        <w:rPr>
          <w:rFonts w:hint="eastAsia"/>
          <w:color w:val="auto"/>
          <w:highlight w:val="none"/>
          <w:lang w:val="en-US" w:eastAsia="zh-CN"/>
        </w:rPr>
        <w:sectPr>
          <w:pgSz w:w="11906" w:h="16838"/>
          <w:pgMar w:top="1701" w:right="1417" w:bottom="1701" w:left="1417" w:header="1088" w:footer="992" w:gutter="0"/>
          <w:pgNumType w:fmt="decimal"/>
          <w:cols w:space="720" w:num="1"/>
          <w:titlePg/>
          <w:rtlGutter w:val="0"/>
          <w:docGrid w:type="lines" w:linePitch="312" w:charSpace="0"/>
        </w:sectPr>
      </w:pPr>
    </w:p>
    <w:p w14:paraId="4A59B2FD">
      <w:pPr>
        <w:widowControl/>
        <w:spacing w:line="360" w:lineRule="auto"/>
        <w:ind w:firstLine="643" w:firstLineChars="200"/>
        <w:jc w:val="center"/>
        <w:rPr>
          <w:rFonts w:ascii="宋体" w:hAnsi="宋体" w:cs="宋体"/>
          <w:b/>
          <w:color w:val="auto"/>
          <w:sz w:val="32"/>
          <w:szCs w:val="32"/>
          <w:highlight w:val="none"/>
        </w:rPr>
        <w:sectPr>
          <w:pgSz w:w="11906" w:h="16838"/>
          <w:pgMar w:top="1701" w:right="1417" w:bottom="1701" w:left="1417" w:header="1088" w:footer="992" w:gutter="0"/>
          <w:pgNumType w:fmt="decimal"/>
          <w:cols w:space="720" w:num="1"/>
          <w:titlePg/>
          <w:rtlGutter w:val="0"/>
          <w:docGrid w:type="lines" w:linePitch="312" w:charSpace="0"/>
        </w:sectPr>
      </w:pPr>
      <w:r>
        <w:rPr>
          <w:rFonts w:hint="eastAsia" w:ascii="宋体" w:hAnsi="宋体" w:cs="宋体"/>
          <w:b/>
          <w:color w:val="auto"/>
          <w:sz w:val="32"/>
          <w:szCs w:val="32"/>
          <w:highlight w:val="none"/>
          <w:lang w:val="en-US" w:eastAsia="zh-CN"/>
        </w:rPr>
        <w:t>七</w:t>
      </w:r>
      <w:r>
        <w:rPr>
          <w:rFonts w:hint="eastAsia" w:ascii="宋体" w:hAnsi="宋体" w:cs="宋体"/>
          <w:b/>
          <w:color w:val="auto"/>
          <w:sz w:val="32"/>
          <w:szCs w:val="32"/>
          <w:highlight w:val="none"/>
        </w:rPr>
        <w:t>、谈判文件要求的其他材料</w:t>
      </w:r>
    </w:p>
    <w:p w14:paraId="5F480432">
      <w:pPr>
        <w:spacing w:line="480" w:lineRule="exact"/>
        <w:ind w:firstLine="315" w:firstLineChars="98"/>
        <w:jc w:val="center"/>
        <w:rPr>
          <w:rFonts w:ascii="宋体" w:hAnsi="宋体" w:cs="宋体"/>
          <w:b/>
          <w:color w:val="auto"/>
          <w:sz w:val="32"/>
          <w:szCs w:val="22"/>
          <w:highlight w:val="none"/>
        </w:rPr>
      </w:pPr>
      <w:r>
        <w:rPr>
          <w:rFonts w:hint="eastAsia" w:ascii="宋体" w:hAnsi="宋体" w:cs="宋体"/>
          <w:b/>
          <w:color w:val="auto"/>
          <w:sz w:val="32"/>
          <w:szCs w:val="32"/>
          <w:highlight w:val="none"/>
          <w:lang w:val="en-US" w:eastAsia="zh-CN"/>
        </w:rPr>
        <w:t>八</w:t>
      </w:r>
      <w:r>
        <w:rPr>
          <w:rFonts w:hint="eastAsia" w:ascii="宋体" w:hAnsi="宋体" w:cs="宋体"/>
          <w:b/>
          <w:color w:val="auto"/>
          <w:sz w:val="32"/>
          <w:szCs w:val="32"/>
          <w:highlight w:val="none"/>
        </w:rPr>
        <w:t>、</w:t>
      </w:r>
      <w:r>
        <w:rPr>
          <w:rFonts w:hint="eastAsia" w:ascii="宋体" w:hAnsi="宋体" w:cs="宋体"/>
          <w:b/>
          <w:color w:val="auto"/>
          <w:sz w:val="32"/>
          <w:szCs w:val="22"/>
          <w:highlight w:val="none"/>
        </w:rPr>
        <w:t>服务方案承诺书</w:t>
      </w:r>
    </w:p>
    <w:p w14:paraId="07F4B671">
      <w:pPr>
        <w:spacing w:line="480" w:lineRule="exact"/>
        <w:ind w:firstLine="315" w:firstLineChars="98"/>
        <w:jc w:val="center"/>
        <w:rPr>
          <w:rFonts w:ascii="宋体" w:hAnsi="宋体" w:cs="宋体"/>
          <w:b/>
          <w:color w:val="auto"/>
          <w:sz w:val="32"/>
          <w:szCs w:val="22"/>
          <w:highlight w:val="none"/>
        </w:rPr>
      </w:pPr>
    </w:p>
    <w:p w14:paraId="054E796B">
      <w:pPr>
        <w:spacing w:line="480" w:lineRule="auto"/>
        <w:rPr>
          <w:rFonts w:ascii="宋体" w:hAnsi="宋体" w:cs="宋体"/>
          <w:color w:val="auto"/>
          <w:highlight w:val="none"/>
        </w:rPr>
      </w:pPr>
      <w:r>
        <w:rPr>
          <w:rFonts w:hint="eastAsia" w:ascii="宋体" w:hAnsi="宋体" w:cs="宋体"/>
          <w:color w:val="auto"/>
          <w:sz w:val="24"/>
          <w:highlight w:val="none"/>
          <w:lang w:eastAsia="zh-CN"/>
        </w:rPr>
        <w:t>子洲县中医院</w:t>
      </w:r>
      <w:r>
        <w:rPr>
          <w:rFonts w:hint="eastAsia" w:ascii="宋体" w:hAnsi="宋体" w:cs="宋体"/>
          <w:color w:val="auto"/>
          <w:sz w:val="24"/>
          <w:highlight w:val="none"/>
        </w:rPr>
        <w:t>：</w:t>
      </w:r>
    </w:p>
    <w:p w14:paraId="1373EE2E">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我公司对参加此次“</w:t>
      </w:r>
      <w:r>
        <w:rPr>
          <w:rFonts w:hint="eastAsia" w:ascii="宋体" w:hAnsi="宋体" w:cs="宋体"/>
          <w:color w:val="auto"/>
          <w:sz w:val="24"/>
          <w:highlight w:val="none"/>
          <w:lang w:eastAsia="zh-CN"/>
        </w:rPr>
        <w:t>子洲县中医院检验科智慧管理系统采购项目</w:t>
      </w:r>
      <w:r>
        <w:rPr>
          <w:rFonts w:hint="eastAsia" w:ascii="宋体" w:hAnsi="宋体" w:cs="宋体"/>
          <w:color w:val="auto"/>
          <w:sz w:val="24"/>
          <w:highlight w:val="none"/>
        </w:rPr>
        <w:t>”所提供的</w:t>
      </w:r>
      <w:r>
        <w:rPr>
          <w:rFonts w:hint="eastAsia" w:ascii="宋体" w:hAnsi="宋体" w:cs="宋体"/>
          <w:color w:val="auto"/>
          <w:sz w:val="24"/>
          <w:highlight w:val="none"/>
          <w:lang w:eastAsia="zh-CN"/>
        </w:rPr>
        <w:t>货物、</w:t>
      </w:r>
      <w:r>
        <w:rPr>
          <w:rFonts w:hint="eastAsia" w:ascii="宋体" w:hAnsi="宋体" w:cs="宋体"/>
          <w:color w:val="auto"/>
          <w:sz w:val="24"/>
          <w:highlight w:val="none"/>
        </w:rPr>
        <w:t>服务做如下承诺：</w:t>
      </w:r>
    </w:p>
    <w:p w14:paraId="0EE19971">
      <w:pPr>
        <w:spacing w:line="480" w:lineRule="auto"/>
        <w:rPr>
          <w:rFonts w:ascii="宋体" w:hAnsi="宋体" w:cs="宋体"/>
          <w:color w:val="auto"/>
          <w:sz w:val="24"/>
          <w:highlight w:val="none"/>
        </w:rPr>
      </w:pPr>
    </w:p>
    <w:p w14:paraId="44A39895">
      <w:pPr>
        <w:spacing w:line="360" w:lineRule="auto"/>
        <w:ind w:firstLine="240" w:firstLineChars="100"/>
        <w:rPr>
          <w:rFonts w:ascii="宋体" w:hAnsi="宋体" w:cs="宋体"/>
          <w:color w:val="auto"/>
          <w:highlight w:val="none"/>
        </w:rPr>
      </w:pPr>
      <w:r>
        <w:rPr>
          <w:rFonts w:hint="eastAsia" w:ascii="宋体" w:hAnsi="宋体" w:cs="宋体"/>
          <w:color w:val="auto"/>
          <w:sz w:val="24"/>
          <w:highlight w:val="none"/>
        </w:rPr>
        <w:t>（承诺内容）</w:t>
      </w:r>
    </w:p>
    <w:p w14:paraId="6A52B696">
      <w:pPr>
        <w:spacing w:line="360" w:lineRule="auto"/>
        <w:rPr>
          <w:rFonts w:ascii="宋体" w:hAnsi="宋体" w:cs="宋体"/>
          <w:color w:val="auto"/>
          <w:highlight w:val="none"/>
        </w:rPr>
      </w:pPr>
    </w:p>
    <w:p w14:paraId="0DBC5EFF">
      <w:pPr>
        <w:spacing w:line="360" w:lineRule="auto"/>
        <w:rPr>
          <w:rFonts w:ascii="宋体" w:hAnsi="宋体" w:cs="宋体"/>
          <w:color w:val="auto"/>
          <w:highlight w:val="none"/>
        </w:rPr>
      </w:pPr>
    </w:p>
    <w:p w14:paraId="2112A239">
      <w:pPr>
        <w:spacing w:line="360" w:lineRule="auto"/>
        <w:rPr>
          <w:rFonts w:ascii="宋体" w:hAnsi="宋体" w:cs="宋体"/>
          <w:color w:val="auto"/>
          <w:highlight w:val="none"/>
        </w:rPr>
      </w:pPr>
    </w:p>
    <w:p w14:paraId="05363EC9">
      <w:pPr>
        <w:spacing w:line="360" w:lineRule="auto"/>
        <w:rPr>
          <w:rFonts w:ascii="宋体" w:hAnsi="宋体" w:cs="宋体"/>
          <w:color w:val="auto"/>
          <w:highlight w:val="none"/>
        </w:rPr>
      </w:pPr>
    </w:p>
    <w:p w14:paraId="36BC50BD">
      <w:pPr>
        <w:spacing w:line="360" w:lineRule="auto"/>
        <w:rPr>
          <w:rFonts w:ascii="宋体" w:hAnsi="宋体" w:cs="宋体"/>
          <w:color w:val="auto"/>
          <w:highlight w:val="none"/>
        </w:rPr>
      </w:pPr>
    </w:p>
    <w:p w14:paraId="4A30DEBD">
      <w:pPr>
        <w:spacing w:line="360" w:lineRule="auto"/>
        <w:rPr>
          <w:rFonts w:ascii="宋体" w:hAnsi="宋体" w:cs="宋体"/>
          <w:color w:val="auto"/>
          <w:highlight w:val="none"/>
        </w:rPr>
      </w:pPr>
    </w:p>
    <w:p w14:paraId="3CF4D117">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7C97297F">
      <w:pPr>
        <w:spacing w:line="360" w:lineRule="auto"/>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    应    商 （公   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D627F7F">
      <w:pPr>
        <w:spacing w:line="360" w:lineRule="auto"/>
        <w:ind w:right="-161" w:firstLine="2640" w:firstLineChars="1100"/>
        <w:rPr>
          <w:rFonts w:ascii="宋体" w:hAnsi="宋体" w:cs="宋体"/>
          <w:color w:val="auto"/>
          <w:sz w:val="24"/>
          <w:szCs w:val="24"/>
          <w:highlight w:val="none"/>
        </w:rPr>
        <w:sectPr>
          <w:pgSz w:w="11906" w:h="16838"/>
          <w:pgMar w:top="1701" w:right="1417" w:bottom="1701" w:left="1417" w:header="1088" w:footer="992" w:gutter="0"/>
          <w:pgNumType w:fmt="decimal"/>
          <w:cols w:space="720" w:num="1"/>
          <w:titlePg/>
          <w:rtlGutter w:val="0"/>
          <w:docGrid w:type="lines" w:linePitch="312" w:charSpace="0"/>
        </w:sectPr>
      </w:pPr>
      <w:r>
        <w:rPr>
          <w:rFonts w:hint="eastAsia" w:ascii="宋体" w:hAnsi="宋体" w:cs="宋体"/>
          <w:color w:val="auto"/>
          <w:sz w:val="24"/>
          <w:szCs w:val="24"/>
          <w:highlight w:val="none"/>
        </w:rPr>
        <w:t xml:space="preserve">日                      期：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44710EB0">
      <w:pPr>
        <w:numPr>
          <w:ilvl w:val="0"/>
          <w:numId w:val="0"/>
        </w:numPr>
        <w:spacing w:line="360" w:lineRule="atLeast"/>
        <w:ind w:leftChars="98"/>
        <w:jc w:val="center"/>
        <w:rPr>
          <w:rFonts w:hint="eastAsia" w:ascii="宋体" w:hAnsi="宋体"/>
          <w:b/>
          <w:color w:val="auto"/>
          <w:sz w:val="30"/>
          <w:szCs w:val="30"/>
          <w:highlight w:val="none"/>
        </w:rPr>
      </w:pPr>
      <w:r>
        <w:rPr>
          <w:rFonts w:hint="eastAsia" w:ascii="宋体" w:hAnsi="宋体"/>
          <w:b/>
          <w:color w:val="auto"/>
          <w:sz w:val="30"/>
          <w:szCs w:val="30"/>
          <w:highlight w:val="none"/>
          <w:lang w:val="en-US" w:eastAsia="zh-CN"/>
        </w:rPr>
        <w:t>九、</w:t>
      </w:r>
      <w:r>
        <w:rPr>
          <w:rFonts w:hint="eastAsia" w:ascii="宋体" w:hAnsi="宋体"/>
          <w:b/>
          <w:color w:val="auto"/>
          <w:sz w:val="30"/>
          <w:szCs w:val="30"/>
          <w:highlight w:val="none"/>
        </w:rPr>
        <w:t>偏离表</w:t>
      </w:r>
    </w:p>
    <w:p w14:paraId="6B9B144C">
      <w:pPr>
        <w:numPr>
          <w:ilvl w:val="0"/>
          <w:numId w:val="0"/>
        </w:numPr>
        <w:spacing w:line="360" w:lineRule="atLeast"/>
        <w:ind w:leftChars="98"/>
        <w:jc w:val="center"/>
        <w:rPr>
          <w:rFonts w:hint="default" w:ascii="宋体" w:hAnsi="宋体" w:eastAsia="宋体"/>
          <w:b/>
          <w:color w:val="auto"/>
          <w:sz w:val="30"/>
          <w:szCs w:val="30"/>
          <w:highlight w:val="none"/>
          <w:lang w:val="en-US" w:eastAsia="zh-CN"/>
        </w:rPr>
      </w:pPr>
      <w:r>
        <w:rPr>
          <w:rFonts w:hint="eastAsia" w:ascii="宋体" w:hAnsi="宋体" w:eastAsia="宋体"/>
          <w:b/>
          <w:color w:val="auto"/>
          <w:sz w:val="30"/>
          <w:szCs w:val="30"/>
          <w:highlight w:val="none"/>
          <w:lang w:val="en-US" w:eastAsia="zh-CN"/>
        </w:rPr>
        <w:t>9.1、商务偏离表</w:t>
      </w:r>
    </w:p>
    <w:p w14:paraId="5192D6E1">
      <w:pPr>
        <w:spacing w:line="360" w:lineRule="auto"/>
        <w:rPr>
          <w:rFonts w:ascii="宋体" w:hAnsi="宋体" w:cs="宋体"/>
          <w:color w:val="auto"/>
          <w:sz w:val="24"/>
          <w:highlight w:val="none"/>
          <w:u w:val="singl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采购项目编号：</w:t>
      </w:r>
      <w:r>
        <w:rPr>
          <w:rFonts w:hint="eastAsia" w:ascii="宋体" w:hAnsi="宋体" w:cs="宋体"/>
          <w:color w:val="auto"/>
          <w:sz w:val="24"/>
          <w:highlight w:val="none"/>
          <w:u w:val="single"/>
        </w:rPr>
        <w:t xml:space="preserve">                    </w:t>
      </w:r>
    </w:p>
    <w:tbl>
      <w:tblPr>
        <w:tblStyle w:val="19"/>
        <w:tblW w:w="98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36"/>
        <w:gridCol w:w="3266"/>
        <w:gridCol w:w="3599"/>
        <w:gridCol w:w="1062"/>
        <w:gridCol w:w="1087"/>
      </w:tblGrid>
      <w:tr w14:paraId="374AD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37" w:hRule="atLeast"/>
          <w:jc w:val="center"/>
        </w:trPr>
        <w:tc>
          <w:tcPr>
            <w:tcW w:w="836" w:type="dxa"/>
            <w:noWrap w:val="0"/>
            <w:vAlign w:val="top"/>
          </w:tcPr>
          <w:p w14:paraId="32C7F63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3266" w:type="dxa"/>
            <w:noWrap w:val="0"/>
            <w:vAlign w:val="top"/>
          </w:tcPr>
          <w:p w14:paraId="3E879D0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竞争性谈判文件商务要求</w:t>
            </w:r>
          </w:p>
        </w:tc>
        <w:tc>
          <w:tcPr>
            <w:tcW w:w="3599" w:type="dxa"/>
            <w:noWrap w:val="0"/>
            <w:vAlign w:val="top"/>
          </w:tcPr>
          <w:p w14:paraId="0420FFA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竞争性谈判响应文件商务响应</w:t>
            </w:r>
          </w:p>
        </w:tc>
        <w:tc>
          <w:tcPr>
            <w:tcW w:w="1062" w:type="dxa"/>
            <w:noWrap w:val="0"/>
            <w:vAlign w:val="top"/>
          </w:tcPr>
          <w:p w14:paraId="71E8DD9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偏离情况</w:t>
            </w:r>
          </w:p>
        </w:tc>
        <w:tc>
          <w:tcPr>
            <w:tcW w:w="1087" w:type="dxa"/>
            <w:noWrap w:val="0"/>
            <w:vAlign w:val="top"/>
          </w:tcPr>
          <w:p w14:paraId="671EC21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响应说明</w:t>
            </w:r>
          </w:p>
        </w:tc>
      </w:tr>
      <w:tr w14:paraId="7BC97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5E9D63D">
            <w:pPr>
              <w:spacing w:line="360" w:lineRule="auto"/>
              <w:jc w:val="center"/>
              <w:rPr>
                <w:rFonts w:ascii="宋体" w:hAnsi="宋体" w:cs="宋体"/>
                <w:color w:val="auto"/>
                <w:sz w:val="24"/>
                <w:highlight w:val="none"/>
              </w:rPr>
            </w:pPr>
          </w:p>
        </w:tc>
        <w:tc>
          <w:tcPr>
            <w:tcW w:w="3266" w:type="dxa"/>
            <w:noWrap w:val="0"/>
            <w:vAlign w:val="top"/>
          </w:tcPr>
          <w:p w14:paraId="6A06AF63">
            <w:pPr>
              <w:spacing w:line="360" w:lineRule="auto"/>
              <w:jc w:val="center"/>
              <w:rPr>
                <w:rFonts w:ascii="宋体" w:hAnsi="宋体" w:cs="宋体"/>
                <w:color w:val="auto"/>
                <w:sz w:val="24"/>
                <w:highlight w:val="none"/>
              </w:rPr>
            </w:pPr>
          </w:p>
        </w:tc>
        <w:tc>
          <w:tcPr>
            <w:tcW w:w="3599" w:type="dxa"/>
            <w:noWrap w:val="0"/>
            <w:vAlign w:val="top"/>
          </w:tcPr>
          <w:p w14:paraId="70ADE2C8">
            <w:pPr>
              <w:spacing w:line="360" w:lineRule="auto"/>
              <w:jc w:val="center"/>
              <w:rPr>
                <w:rFonts w:ascii="宋体" w:hAnsi="宋体" w:cs="宋体"/>
                <w:color w:val="auto"/>
                <w:sz w:val="24"/>
                <w:highlight w:val="none"/>
              </w:rPr>
            </w:pPr>
          </w:p>
        </w:tc>
        <w:tc>
          <w:tcPr>
            <w:tcW w:w="1062" w:type="dxa"/>
            <w:noWrap w:val="0"/>
            <w:vAlign w:val="top"/>
          </w:tcPr>
          <w:p w14:paraId="19F3E274">
            <w:pPr>
              <w:spacing w:line="360" w:lineRule="auto"/>
              <w:jc w:val="center"/>
              <w:rPr>
                <w:rFonts w:ascii="宋体" w:hAnsi="宋体" w:cs="宋体"/>
                <w:color w:val="auto"/>
                <w:sz w:val="24"/>
                <w:highlight w:val="none"/>
              </w:rPr>
            </w:pPr>
          </w:p>
        </w:tc>
        <w:tc>
          <w:tcPr>
            <w:tcW w:w="1087" w:type="dxa"/>
            <w:noWrap w:val="0"/>
            <w:vAlign w:val="top"/>
          </w:tcPr>
          <w:p w14:paraId="5CF592AB">
            <w:pPr>
              <w:spacing w:line="360" w:lineRule="auto"/>
              <w:jc w:val="center"/>
              <w:rPr>
                <w:rFonts w:ascii="宋体" w:hAnsi="宋体" w:cs="宋体"/>
                <w:color w:val="auto"/>
                <w:sz w:val="24"/>
                <w:highlight w:val="none"/>
              </w:rPr>
            </w:pPr>
          </w:p>
        </w:tc>
      </w:tr>
      <w:tr w14:paraId="037E5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B365E8B">
            <w:pPr>
              <w:spacing w:line="360" w:lineRule="auto"/>
              <w:jc w:val="center"/>
              <w:rPr>
                <w:rFonts w:ascii="宋体" w:hAnsi="宋体" w:cs="宋体"/>
                <w:color w:val="auto"/>
                <w:sz w:val="24"/>
                <w:highlight w:val="none"/>
              </w:rPr>
            </w:pPr>
          </w:p>
        </w:tc>
        <w:tc>
          <w:tcPr>
            <w:tcW w:w="3266" w:type="dxa"/>
            <w:noWrap w:val="0"/>
            <w:vAlign w:val="top"/>
          </w:tcPr>
          <w:p w14:paraId="1EBA937C">
            <w:pPr>
              <w:spacing w:line="360" w:lineRule="auto"/>
              <w:jc w:val="center"/>
              <w:rPr>
                <w:rFonts w:ascii="宋体" w:hAnsi="宋体" w:cs="宋体"/>
                <w:color w:val="auto"/>
                <w:sz w:val="24"/>
                <w:highlight w:val="none"/>
              </w:rPr>
            </w:pPr>
          </w:p>
        </w:tc>
        <w:tc>
          <w:tcPr>
            <w:tcW w:w="3599" w:type="dxa"/>
            <w:noWrap w:val="0"/>
            <w:vAlign w:val="top"/>
          </w:tcPr>
          <w:p w14:paraId="35187CB5">
            <w:pPr>
              <w:spacing w:line="360" w:lineRule="auto"/>
              <w:jc w:val="center"/>
              <w:rPr>
                <w:rFonts w:ascii="宋体" w:hAnsi="宋体" w:cs="宋体"/>
                <w:color w:val="auto"/>
                <w:sz w:val="24"/>
                <w:highlight w:val="none"/>
              </w:rPr>
            </w:pPr>
          </w:p>
        </w:tc>
        <w:tc>
          <w:tcPr>
            <w:tcW w:w="1062" w:type="dxa"/>
            <w:noWrap w:val="0"/>
            <w:vAlign w:val="top"/>
          </w:tcPr>
          <w:p w14:paraId="2524C4A7">
            <w:pPr>
              <w:spacing w:line="360" w:lineRule="auto"/>
              <w:jc w:val="center"/>
              <w:rPr>
                <w:rFonts w:ascii="宋体" w:hAnsi="宋体" w:cs="宋体"/>
                <w:color w:val="auto"/>
                <w:sz w:val="24"/>
                <w:highlight w:val="none"/>
              </w:rPr>
            </w:pPr>
          </w:p>
        </w:tc>
        <w:tc>
          <w:tcPr>
            <w:tcW w:w="1087" w:type="dxa"/>
            <w:noWrap w:val="0"/>
            <w:vAlign w:val="top"/>
          </w:tcPr>
          <w:p w14:paraId="0E97E42A">
            <w:pPr>
              <w:spacing w:line="360" w:lineRule="auto"/>
              <w:jc w:val="center"/>
              <w:rPr>
                <w:rFonts w:ascii="宋体" w:hAnsi="宋体" w:cs="宋体"/>
                <w:color w:val="auto"/>
                <w:sz w:val="24"/>
                <w:highlight w:val="none"/>
              </w:rPr>
            </w:pPr>
          </w:p>
        </w:tc>
      </w:tr>
      <w:tr w14:paraId="55D2C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368FD8D9">
            <w:pPr>
              <w:spacing w:line="360" w:lineRule="auto"/>
              <w:jc w:val="center"/>
              <w:rPr>
                <w:rFonts w:ascii="宋体" w:hAnsi="宋体" w:cs="宋体"/>
                <w:color w:val="auto"/>
                <w:sz w:val="24"/>
                <w:highlight w:val="none"/>
              </w:rPr>
            </w:pPr>
          </w:p>
        </w:tc>
        <w:tc>
          <w:tcPr>
            <w:tcW w:w="3266" w:type="dxa"/>
            <w:noWrap w:val="0"/>
            <w:vAlign w:val="top"/>
          </w:tcPr>
          <w:p w14:paraId="2D84A530">
            <w:pPr>
              <w:spacing w:line="360" w:lineRule="auto"/>
              <w:jc w:val="center"/>
              <w:rPr>
                <w:rFonts w:ascii="宋体" w:hAnsi="宋体" w:cs="宋体"/>
                <w:color w:val="auto"/>
                <w:sz w:val="24"/>
                <w:highlight w:val="none"/>
              </w:rPr>
            </w:pPr>
          </w:p>
        </w:tc>
        <w:tc>
          <w:tcPr>
            <w:tcW w:w="3599" w:type="dxa"/>
            <w:noWrap w:val="0"/>
            <w:vAlign w:val="top"/>
          </w:tcPr>
          <w:p w14:paraId="35EBE51F">
            <w:pPr>
              <w:spacing w:line="360" w:lineRule="auto"/>
              <w:jc w:val="center"/>
              <w:rPr>
                <w:rFonts w:ascii="宋体" w:hAnsi="宋体" w:cs="宋体"/>
                <w:color w:val="auto"/>
                <w:sz w:val="24"/>
                <w:highlight w:val="none"/>
              </w:rPr>
            </w:pPr>
          </w:p>
        </w:tc>
        <w:tc>
          <w:tcPr>
            <w:tcW w:w="1062" w:type="dxa"/>
            <w:noWrap w:val="0"/>
            <w:vAlign w:val="top"/>
          </w:tcPr>
          <w:p w14:paraId="5C886645">
            <w:pPr>
              <w:spacing w:line="360" w:lineRule="auto"/>
              <w:jc w:val="center"/>
              <w:rPr>
                <w:rFonts w:ascii="宋体" w:hAnsi="宋体" w:cs="宋体"/>
                <w:color w:val="auto"/>
                <w:sz w:val="24"/>
                <w:highlight w:val="none"/>
              </w:rPr>
            </w:pPr>
          </w:p>
        </w:tc>
        <w:tc>
          <w:tcPr>
            <w:tcW w:w="1087" w:type="dxa"/>
            <w:noWrap w:val="0"/>
            <w:vAlign w:val="top"/>
          </w:tcPr>
          <w:p w14:paraId="7DD274C0">
            <w:pPr>
              <w:spacing w:line="360" w:lineRule="auto"/>
              <w:jc w:val="center"/>
              <w:rPr>
                <w:rFonts w:ascii="宋体" w:hAnsi="宋体" w:cs="宋体"/>
                <w:color w:val="auto"/>
                <w:sz w:val="24"/>
                <w:highlight w:val="none"/>
              </w:rPr>
            </w:pPr>
          </w:p>
        </w:tc>
      </w:tr>
      <w:tr w14:paraId="6AEE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46366FF2">
            <w:pPr>
              <w:spacing w:line="360" w:lineRule="auto"/>
              <w:jc w:val="center"/>
              <w:rPr>
                <w:rFonts w:ascii="宋体" w:hAnsi="宋体" w:cs="宋体"/>
                <w:color w:val="auto"/>
                <w:sz w:val="24"/>
                <w:highlight w:val="none"/>
              </w:rPr>
            </w:pPr>
          </w:p>
        </w:tc>
        <w:tc>
          <w:tcPr>
            <w:tcW w:w="3266" w:type="dxa"/>
            <w:noWrap w:val="0"/>
            <w:vAlign w:val="top"/>
          </w:tcPr>
          <w:p w14:paraId="494952ED">
            <w:pPr>
              <w:spacing w:line="360" w:lineRule="auto"/>
              <w:jc w:val="center"/>
              <w:rPr>
                <w:rFonts w:ascii="宋体" w:hAnsi="宋体" w:cs="宋体"/>
                <w:color w:val="auto"/>
                <w:sz w:val="24"/>
                <w:highlight w:val="none"/>
              </w:rPr>
            </w:pPr>
          </w:p>
        </w:tc>
        <w:tc>
          <w:tcPr>
            <w:tcW w:w="3599" w:type="dxa"/>
            <w:noWrap w:val="0"/>
            <w:vAlign w:val="top"/>
          </w:tcPr>
          <w:p w14:paraId="79D1CF55">
            <w:pPr>
              <w:spacing w:line="360" w:lineRule="auto"/>
              <w:jc w:val="center"/>
              <w:rPr>
                <w:rFonts w:ascii="宋体" w:hAnsi="宋体" w:cs="宋体"/>
                <w:color w:val="auto"/>
                <w:sz w:val="24"/>
                <w:highlight w:val="none"/>
              </w:rPr>
            </w:pPr>
          </w:p>
        </w:tc>
        <w:tc>
          <w:tcPr>
            <w:tcW w:w="1062" w:type="dxa"/>
            <w:noWrap w:val="0"/>
            <w:vAlign w:val="top"/>
          </w:tcPr>
          <w:p w14:paraId="00416CFC">
            <w:pPr>
              <w:spacing w:line="360" w:lineRule="auto"/>
              <w:jc w:val="center"/>
              <w:rPr>
                <w:rFonts w:ascii="宋体" w:hAnsi="宋体" w:cs="宋体"/>
                <w:color w:val="auto"/>
                <w:sz w:val="24"/>
                <w:highlight w:val="none"/>
              </w:rPr>
            </w:pPr>
          </w:p>
        </w:tc>
        <w:tc>
          <w:tcPr>
            <w:tcW w:w="1087" w:type="dxa"/>
            <w:noWrap w:val="0"/>
            <w:vAlign w:val="top"/>
          </w:tcPr>
          <w:p w14:paraId="34F11491">
            <w:pPr>
              <w:spacing w:line="360" w:lineRule="auto"/>
              <w:jc w:val="center"/>
              <w:rPr>
                <w:rFonts w:ascii="宋体" w:hAnsi="宋体" w:cs="宋体"/>
                <w:color w:val="auto"/>
                <w:sz w:val="24"/>
                <w:highlight w:val="none"/>
              </w:rPr>
            </w:pPr>
          </w:p>
        </w:tc>
      </w:tr>
      <w:tr w14:paraId="29C1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6FE1DE84">
            <w:pPr>
              <w:spacing w:line="360" w:lineRule="auto"/>
              <w:jc w:val="center"/>
              <w:rPr>
                <w:rFonts w:ascii="宋体" w:hAnsi="宋体" w:cs="宋体"/>
                <w:color w:val="auto"/>
                <w:sz w:val="24"/>
                <w:highlight w:val="none"/>
              </w:rPr>
            </w:pPr>
          </w:p>
        </w:tc>
        <w:tc>
          <w:tcPr>
            <w:tcW w:w="3266" w:type="dxa"/>
            <w:noWrap w:val="0"/>
            <w:vAlign w:val="top"/>
          </w:tcPr>
          <w:p w14:paraId="0DB9745E">
            <w:pPr>
              <w:spacing w:line="360" w:lineRule="auto"/>
              <w:jc w:val="center"/>
              <w:rPr>
                <w:rFonts w:ascii="宋体" w:hAnsi="宋体" w:cs="宋体"/>
                <w:color w:val="auto"/>
                <w:sz w:val="24"/>
                <w:highlight w:val="none"/>
              </w:rPr>
            </w:pPr>
          </w:p>
        </w:tc>
        <w:tc>
          <w:tcPr>
            <w:tcW w:w="3599" w:type="dxa"/>
            <w:noWrap w:val="0"/>
            <w:vAlign w:val="top"/>
          </w:tcPr>
          <w:p w14:paraId="574CBB88">
            <w:pPr>
              <w:spacing w:line="360" w:lineRule="auto"/>
              <w:jc w:val="center"/>
              <w:rPr>
                <w:rFonts w:ascii="宋体" w:hAnsi="宋体" w:cs="宋体"/>
                <w:color w:val="auto"/>
                <w:sz w:val="24"/>
                <w:highlight w:val="none"/>
              </w:rPr>
            </w:pPr>
          </w:p>
        </w:tc>
        <w:tc>
          <w:tcPr>
            <w:tcW w:w="1062" w:type="dxa"/>
            <w:noWrap w:val="0"/>
            <w:vAlign w:val="top"/>
          </w:tcPr>
          <w:p w14:paraId="6A3F9B57">
            <w:pPr>
              <w:spacing w:line="360" w:lineRule="auto"/>
              <w:jc w:val="center"/>
              <w:rPr>
                <w:rFonts w:ascii="宋体" w:hAnsi="宋体" w:cs="宋体"/>
                <w:color w:val="auto"/>
                <w:sz w:val="24"/>
                <w:highlight w:val="none"/>
              </w:rPr>
            </w:pPr>
          </w:p>
        </w:tc>
        <w:tc>
          <w:tcPr>
            <w:tcW w:w="1087" w:type="dxa"/>
            <w:noWrap w:val="0"/>
            <w:vAlign w:val="top"/>
          </w:tcPr>
          <w:p w14:paraId="544B6DFB">
            <w:pPr>
              <w:spacing w:line="360" w:lineRule="auto"/>
              <w:jc w:val="center"/>
              <w:rPr>
                <w:rFonts w:ascii="宋体" w:hAnsi="宋体" w:cs="宋体"/>
                <w:color w:val="auto"/>
                <w:sz w:val="24"/>
                <w:highlight w:val="none"/>
              </w:rPr>
            </w:pPr>
          </w:p>
        </w:tc>
      </w:tr>
      <w:tr w14:paraId="00CD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5FE9DE69">
            <w:pPr>
              <w:spacing w:line="360" w:lineRule="auto"/>
              <w:jc w:val="center"/>
              <w:rPr>
                <w:rFonts w:ascii="宋体" w:hAnsi="宋体" w:cs="宋体"/>
                <w:color w:val="auto"/>
                <w:sz w:val="24"/>
                <w:highlight w:val="none"/>
              </w:rPr>
            </w:pPr>
          </w:p>
        </w:tc>
        <w:tc>
          <w:tcPr>
            <w:tcW w:w="3266" w:type="dxa"/>
            <w:noWrap w:val="0"/>
            <w:vAlign w:val="top"/>
          </w:tcPr>
          <w:p w14:paraId="228B8DCC">
            <w:pPr>
              <w:spacing w:line="360" w:lineRule="auto"/>
              <w:jc w:val="center"/>
              <w:rPr>
                <w:rFonts w:ascii="宋体" w:hAnsi="宋体" w:cs="宋体"/>
                <w:color w:val="auto"/>
                <w:sz w:val="24"/>
                <w:highlight w:val="none"/>
              </w:rPr>
            </w:pPr>
          </w:p>
        </w:tc>
        <w:tc>
          <w:tcPr>
            <w:tcW w:w="3599" w:type="dxa"/>
            <w:noWrap w:val="0"/>
            <w:vAlign w:val="top"/>
          </w:tcPr>
          <w:p w14:paraId="3A3F5AEE">
            <w:pPr>
              <w:spacing w:line="360" w:lineRule="auto"/>
              <w:jc w:val="center"/>
              <w:rPr>
                <w:rFonts w:ascii="宋体" w:hAnsi="宋体" w:cs="宋体"/>
                <w:color w:val="auto"/>
                <w:sz w:val="24"/>
                <w:highlight w:val="none"/>
              </w:rPr>
            </w:pPr>
          </w:p>
        </w:tc>
        <w:tc>
          <w:tcPr>
            <w:tcW w:w="1062" w:type="dxa"/>
            <w:noWrap w:val="0"/>
            <w:vAlign w:val="top"/>
          </w:tcPr>
          <w:p w14:paraId="5F02B210">
            <w:pPr>
              <w:spacing w:line="360" w:lineRule="auto"/>
              <w:jc w:val="center"/>
              <w:rPr>
                <w:rFonts w:ascii="宋体" w:hAnsi="宋体" w:cs="宋体"/>
                <w:color w:val="auto"/>
                <w:sz w:val="24"/>
                <w:highlight w:val="none"/>
              </w:rPr>
            </w:pPr>
          </w:p>
        </w:tc>
        <w:tc>
          <w:tcPr>
            <w:tcW w:w="1087" w:type="dxa"/>
            <w:noWrap w:val="0"/>
            <w:vAlign w:val="top"/>
          </w:tcPr>
          <w:p w14:paraId="1C46926C">
            <w:pPr>
              <w:spacing w:line="360" w:lineRule="auto"/>
              <w:jc w:val="center"/>
              <w:rPr>
                <w:rFonts w:ascii="宋体" w:hAnsi="宋体" w:cs="宋体"/>
                <w:color w:val="auto"/>
                <w:sz w:val="24"/>
                <w:highlight w:val="none"/>
              </w:rPr>
            </w:pPr>
          </w:p>
        </w:tc>
      </w:tr>
      <w:tr w14:paraId="23D4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43E311BF">
            <w:pPr>
              <w:spacing w:line="360" w:lineRule="auto"/>
              <w:jc w:val="center"/>
              <w:rPr>
                <w:rFonts w:ascii="宋体" w:hAnsi="宋体" w:cs="宋体"/>
                <w:color w:val="auto"/>
                <w:sz w:val="24"/>
                <w:highlight w:val="none"/>
              </w:rPr>
            </w:pPr>
          </w:p>
        </w:tc>
        <w:tc>
          <w:tcPr>
            <w:tcW w:w="3266" w:type="dxa"/>
            <w:noWrap w:val="0"/>
            <w:vAlign w:val="top"/>
          </w:tcPr>
          <w:p w14:paraId="2D6918E5">
            <w:pPr>
              <w:spacing w:line="360" w:lineRule="auto"/>
              <w:jc w:val="center"/>
              <w:rPr>
                <w:rFonts w:ascii="宋体" w:hAnsi="宋体" w:cs="宋体"/>
                <w:color w:val="auto"/>
                <w:sz w:val="24"/>
                <w:highlight w:val="none"/>
              </w:rPr>
            </w:pPr>
          </w:p>
        </w:tc>
        <w:tc>
          <w:tcPr>
            <w:tcW w:w="3599" w:type="dxa"/>
            <w:noWrap w:val="0"/>
            <w:vAlign w:val="top"/>
          </w:tcPr>
          <w:p w14:paraId="47DBDBDA">
            <w:pPr>
              <w:spacing w:line="360" w:lineRule="auto"/>
              <w:jc w:val="center"/>
              <w:rPr>
                <w:rFonts w:ascii="宋体" w:hAnsi="宋体" w:cs="宋体"/>
                <w:color w:val="auto"/>
                <w:sz w:val="24"/>
                <w:highlight w:val="none"/>
              </w:rPr>
            </w:pPr>
          </w:p>
        </w:tc>
        <w:tc>
          <w:tcPr>
            <w:tcW w:w="1062" w:type="dxa"/>
            <w:noWrap w:val="0"/>
            <w:vAlign w:val="top"/>
          </w:tcPr>
          <w:p w14:paraId="667A48B3">
            <w:pPr>
              <w:spacing w:line="360" w:lineRule="auto"/>
              <w:jc w:val="center"/>
              <w:rPr>
                <w:rFonts w:ascii="宋体" w:hAnsi="宋体" w:cs="宋体"/>
                <w:color w:val="auto"/>
                <w:sz w:val="24"/>
                <w:highlight w:val="none"/>
              </w:rPr>
            </w:pPr>
          </w:p>
        </w:tc>
        <w:tc>
          <w:tcPr>
            <w:tcW w:w="1087" w:type="dxa"/>
            <w:noWrap w:val="0"/>
            <w:vAlign w:val="top"/>
          </w:tcPr>
          <w:p w14:paraId="53903A73">
            <w:pPr>
              <w:spacing w:line="360" w:lineRule="auto"/>
              <w:jc w:val="center"/>
              <w:rPr>
                <w:rFonts w:ascii="宋体" w:hAnsi="宋体" w:cs="宋体"/>
                <w:color w:val="auto"/>
                <w:sz w:val="24"/>
                <w:highlight w:val="none"/>
              </w:rPr>
            </w:pPr>
          </w:p>
        </w:tc>
      </w:tr>
      <w:tr w14:paraId="6AF69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2814C69E">
            <w:pPr>
              <w:spacing w:line="360" w:lineRule="auto"/>
              <w:jc w:val="center"/>
              <w:rPr>
                <w:rFonts w:ascii="宋体" w:hAnsi="宋体" w:cs="宋体"/>
                <w:color w:val="auto"/>
                <w:sz w:val="24"/>
                <w:highlight w:val="none"/>
              </w:rPr>
            </w:pPr>
          </w:p>
        </w:tc>
        <w:tc>
          <w:tcPr>
            <w:tcW w:w="3266" w:type="dxa"/>
            <w:noWrap w:val="0"/>
            <w:vAlign w:val="top"/>
          </w:tcPr>
          <w:p w14:paraId="1200A2D8">
            <w:pPr>
              <w:spacing w:line="360" w:lineRule="auto"/>
              <w:jc w:val="center"/>
              <w:rPr>
                <w:rFonts w:ascii="宋体" w:hAnsi="宋体" w:cs="宋体"/>
                <w:color w:val="auto"/>
                <w:sz w:val="24"/>
                <w:highlight w:val="none"/>
              </w:rPr>
            </w:pPr>
          </w:p>
        </w:tc>
        <w:tc>
          <w:tcPr>
            <w:tcW w:w="3599" w:type="dxa"/>
            <w:noWrap w:val="0"/>
            <w:vAlign w:val="top"/>
          </w:tcPr>
          <w:p w14:paraId="14FF81FB">
            <w:pPr>
              <w:spacing w:line="360" w:lineRule="auto"/>
              <w:jc w:val="center"/>
              <w:rPr>
                <w:rFonts w:ascii="宋体" w:hAnsi="宋体" w:cs="宋体"/>
                <w:color w:val="auto"/>
                <w:sz w:val="24"/>
                <w:highlight w:val="none"/>
              </w:rPr>
            </w:pPr>
          </w:p>
        </w:tc>
        <w:tc>
          <w:tcPr>
            <w:tcW w:w="1062" w:type="dxa"/>
            <w:noWrap w:val="0"/>
            <w:vAlign w:val="top"/>
          </w:tcPr>
          <w:p w14:paraId="0F640F30">
            <w:pPr>
              <w:spacing w:line="360" w:lineRule="auto"/>
              <w:jc w:val="center"/>
              <w:rPr>
                <w:rFonts w:ascii="宋体" w:hAnsi="宋体" w:cs="宋体"/>
                <w:color w:val="auto"/>
                <w:sz w:val="24"/>
                <w:highlight w:val="none"/>
              </w:rPr>
            </w:pPr>
          </w:p>
        </w:tc>
        <w:tc>
          <w:tcPr>
            <w:tcW w:w="1087" w:type="dxa"/>
            <w:noWrap w:val="0"/>
            <w:vAlign w:val="top"/>
          </w:tcPr>
          <w:p w14:paraId="6B7EB739">
            <w:pPr>
              <w:spacing w:line="360" w:lineRule="auto"/>
              <w:jc w:val="center"/>
              <w:rPr>
                <w:rFonts w:ascii="宋体" w:hAnsi="宋体" w:cs="宋体"/>
                <w:color w:val="auto"/>
                <w:sz w:val="24"/>
                <w:highlight w:val="none"/>
              </w:rPr>
            </w:pPr>
          </w:p>
        </w:tc>
      </w:tr>
      <w:tr w14:paraId="0BF0F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24D3510">
            <w:pPr>
              <w:spacing w:line="360" w:lineRule="auto"/>
              <w:jc w:val="center"/>
              <w:rPr>
                <w:rFonts w:ascii="宋体" w:hAnsi="宋体" w:cs="宋体"/>
                <w:color w:val="auto"/>
                <w:sz w:val="24"/>
                <w:highlight w:val="none"/>
              </w:rPr>
            </w:pPr>
          </w:p>
        </w:tc>
        <w:tc>
          <w:tcPr>
            <w:tcW w:w="3266" w:type="dxa"/>
            <w:noWrap w:val="0"/>
            <w:vAlign w:val="top"/>
          </w:tcPr>
          <w:p w14:paraId="697DD9E9">
            <w:pPr>
              <w:spacing w:line="360" w:lineRule="auto"/>
              <w:jc w:val="center"/>
              <w:rPr>
                <w:rFonts w:ascii="宋体" w:hAnsi="宋体" w:cs="宋体"/>
                <w:color w:val="auto"/>
                <w:sz w:val="24"/>
                <w:highlight w:val="none"/>
              </w:rPr>
            </w:pPr>
          </w:p>
        </w:tc>
        <w:tc>
          <w:tcPr>
            <w:tcW w:w="3599" w:type="dxa"/>
            <w:noWrap w:val="0"/>
            <w:vAlign w:val="top"/>
          </w:tcPr>
          <w:p w14:paraId="3C928188">
            <w:pPr>
              <w:spacing w:line="360" w:lineRule="auto"/>
              <w:jc w:val="center"/>
              <w:rPr>
                <w:rFonts w:ascii="宋体" w:hAnsi="宋体" w:cs="宋体"/>
                <w:color w:val="auto"/>
                <w:sz w:val="24"/>
                <w:highlight w:val="none"/>
              </w:rPr>
            </w:pPr>
          </w:p>
        </w:tc>
        <w:tc>
          <w:tcPr>
            <w:tcW w:w="1062" w:type="dxa"/>
            <w:noWrap w:val="0"/>
            <w:vAlign w:val="top"/>
          </w:tcPr>
          <w:p w14:paraId="73EB0BB8">
            <w:pPr>
              <w:spacing w:line="360" w:lineRule="auto"/>
              <w:jc w:val="center"/>
              <w:rPr>
                <w:rFonts w:ascii="宋体" w:hAnsi="宋体" w:cs="宋体"/>
                <w:color w:val="auto"/>
                <w:sz w:val="24"/>
                <w:highlight w:val="none"/>
              </w:rPr>
            </w:pPr>
          </w:p>
        </w:tc>
        <w:tc>
          <w:tcPr>
            <w:tcW w:w="1087" w:type="dxa"/>
            <w:noWrap w:val="0"/>
            <w:vAlign w:val="top"/>
          </w:tcPr>
          <w:p w14:paraId="1F1F2123">
            <w:pPr>
              <w:spacing w:line="360" w:lineRule="auto"/>
              <w:jc w:val="center"/>
              <w:rPr>
                <w:rFonts w:ascii="宋体" w:hAnsi="宋体" w:cs="宋体"/>
                <w:color w:val="auto"/>
                <w:sz w:val="24"/>
                <w:highlight w:val="none"/>
              </w:rPr>
            </w:pPr>
          </w:p>
        </w:tc>
      </w:tr>
      <w:tr w14:paraId="7436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846D4BD">
            <w:pPr>
              <w:spacing w:line="360" w:lineRule="auto"/>
              <w:jc w:val="center"/>
              <w:rPr>
                <w:rFonts w:ascii="宋体" w:hAnsi="宋体" w:cs="宋体"/>
                <w:color w:val="auto"/>
                <w:sz w:val="24"/>
                <w:highlight w:val="none"/>
              </w:rPr>
            </w:pPr>
          </w:p>
        </w:tc>
        <w:tc>
          <w:tcPr>
            <w:tcW w:w="3266" w:type="dxa"/>
            <w:noWrap w:val="0"/>
            <w:vAlign w:val="top"/>
          </w:tcPr>
          <w:p w14:paraId="2C560C4B">
            <w:pPr>
              <w:spacing w:line="360" w:lineRule="auto"/>
              <w:jc w:val="center"/>
              <w:rPr>
                <w:rFonts w:ascii="宋体" w:hAnsi="宋体" w:cs="宋体"/>
                <w:color w:val="auto"/>
                <w:sz w:val="24"/>
                <w:highlight w:val="none"/>
              </w:rPr>
            </w:pPr>
          </w:p>
        </w:tc>
        <w:tc>
          <w:tcPr>
            <w:tcW w:w="3599" w:type="dxa"/>
            <w:noWrap w:val="0"/>
            <w:vAlign w:val="top"/>
          </w:tcPr>
          <w:p w14:paraId="28A0A77F">
            <w:pPr>
              <w:spacing w:line="360" w:lineRule="auto"/>
              <w:jc w:val="center"/>
              <w:rPr>
                <w:rFonts w:ascii="宋体" w:hAnsi="宋体" w:cs="宋体"/>
                <w:color w:val="auto"/>
                <w:sz w:val="24"/>
                <w:highlight w:val="none"/>
              </w:rPr>
            </w:pPr>
          </w:p>
        </w:tc>
        <w:tc>
          <w:tcPr>
            <w:tcW w:w="1062" w:type="dxa"/>
            <w:noWrap w:val="0"/>
            <w:vAlign w:val="top"/>
          </w:tcPr>
          <w:p w14:paraId="10331327">
            <w:pPr>
              <w:spacing w:line="360" w:lineRule="auto"/>
              <w:jc w:val="center"/>
              <w:rPr>
                <w:rFonts w:ascii="宋体" w:hAnsi="宋体" w:cs="宋体"/>
                <w:color w:val="auto"/>
                <w:sz w:val="24"/>
                <w:highlight w:val="none"/>
              </w:rPr>
            </w:pPr>
          </w:p>
        </w:tc>
        <w:tc>
          <w:tcPr>
            <w:tcW w:w="1087" w:type="dxa"/>
            <w:noWrap w:val="0"/>
            <w:vAlign w:val="top"/>
          </w:tcPr>
          <w:p w14:paraId="2D4E060F">
            <w:pPr>
              <w:spacing w:line="360" w:lineRule="auto"/>
              <w:jc w:val="center"/>
              <w:rPr>
                <w:rFonts w:ascii="宋体" w:hAnsi="宋体" w:cs="宋体"/>
                <w:color w:val="auto"/>
                <w:sz w:val="24"/>
                <w:highlight w:val="none"/>
              </w:rPr>
            </w:pPr>
          </w:p>
        </w:tc>
      </w:tr>
      <w:tr w14:paraId="35B72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3D297FC0">
            <w:pPr>
              <w:spacing w:line="360" w:lineRule="auto"/>
              <w:jc w:val="center"/>
              <w:rPr>
                <w:rFonts w:ascii="宋体" w:hAnsi="宋体" w:cs="宋体"/>
                <w:color w:val="auto"/>
                <w:sz w:val="24"/>
                <w:highlight w:val="none"/>
              </w:rPr>
            </w:pPr>
          </w:p>
        </w:tc>
        <w:tc>
          <w:tcPr>
            <w:tcW w:w="3266" w:type="dxa"/>
            <w:noWrap w:val="0"/>
            <w:vAlign w:val="top"/>
          </w:tcPr>
          <w:p w14:paraId="078E8760">
            <w:pPr>
              <w:spacing w:line="360" w:lineRule="auto"/>
              <w:jc w:val="center"/>
              <w:rPr>
                <w:rFonts w:ascii="宋体" w:hAnsi="宋体" w:cs="宋体"/>
                <w:color w:val="auto"/>
                <w:sz w:val="24"/>
                <w:highlight w:val="none"/>
              </w:rPr>
            </w:pPr>
          </w:p>
        </w:tc>
        <w:tc>
          <w:tcPr>
            <w:tcW w:w="3599" w:type="dxa"/>
            <w:noWrap w:val="0"/>
            <w:vAlign w:val="top"/>
          </w:tcPr>
          <w:p w14:paraId="6817C3D6">
            <w:pPr>
              <w:spacing w:line="360" w:lineRule="auto"/>
              <w:jc w:val="center"/>
              <w:rPr>
                <w:rFonts w:ascii="宋体" w:hAnsi="宋体" w:cs="宋体"/>
                <w:color w:val="auto"/>
                <w:sz w:val="24"/>
                <w:highlight w:val="none"/>
              </w:rPr>
            </w:pPr>
          </w:p>
        </w:tc>
        <w:tc>
          <w:tcPr>
            <w:tcW w:w="1062" w:type="dxa"/>
            <w:noWrap w:val="0"/>
            <w:vAlign w:val="top"/>
          </w:tcPr>
          <w:p w14:paraId="27A1FFDA">
            <w:pPr>
              <w:spacing w:line="360" w:lineRule="auto"/>
              <w:jc w:val="center"/>
              <w:rPr>
                <w:rFonts w:ascii="宋体" w:hAnsi="宋体" w:cs="宋体"/>
                <w:color w:val="auto"/>
                <w:sz w:val="24"/>
                <w:highlight w:val="none"/>
              </w:rPr>
            </w:pPr>
          </w:p>
        </w:tc>
        <w:tc>
          <w:tcPr>
            <w:tcW w:w="1087" w:type="dxa"/>
            <w:noWrap w:val="0"/>
            <w:vAlign w:val="top"/>
          </w:tcPr>
          <w:p w14:paraId="49D349BF">
            <w:pPr>
              <w:spacing w:line="360" w:lineRule="auto"/>
              <w:jc w:val="center"/>
              <w:rPr>
                <w:rFonts w:ascii="宋体" w:hAnsi="宋体" w:cs="宋体"/>
                <w:color w:val="auto"/>
                <w:sz w:val="24"/>
                <w:highlight w:val="none"/>
              </w:rPr>
            </w:pPr>
          </w:p>
        </w:tc>
      </w:tr>
    </w:tbl>
    <w:p w14:paraId="27BDD1A4">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highlight w:val="none"/>
        </w:rPr>
        <w:t xml:space="preserve">  </w:t>
      </w:r>
      <w:r>
        <w:rPr>
          <w:rFonts w:hint="eastAsia" w:ascii="宋体" w:hAnsi="宋体" w:cs="宋体"/>
          <w:color w:val="auto"/>
          <w:sz w:val="24"/>
          <w:szCs w:val="24"/>
          <w:highlight w:val="none"/>
        </w:rPr>
        <w:t>说明：</w:t>
      </w:r>
    </w:p>
    <w:p w14:paraId="16062BFC">
      <w:pPr>
        <w:numPr>
          <w:ilvl w:val="0"/>
          <w:numId w:val="4"/>
        </w:num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投标文件根据竞争性谈判文件商务要求须如实填写。</w:t>
      </w:r>
    </w:p>
    <w:p w14:paraId="4112805C">
      <w:pPr>
        <w:spacing w:line="360" w:lineRule="auto"/>
        <w:ind w:right="-161" w:firstLine="720" w:firstLineChars="3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偏离情况</w:t>
      </w:r>
      <w:r>
        <w:rPr>
          <w:rFonts w:hint="eastAsia" w:ascii="宋体" w:hAnsi="宋体" w:cs="宋体"/>
          <w:color w:val="auto"/>
          <w:sz w:val="24"/>
          <w:highlight w:val="none"/>
        </w:rPr>
        <w:t>填写：优于、相同、低于。</w:t>
      </w:r>
    </w:p>
    <w:p w14:paraId="36D8175C">
      <w:pPr>
        <w:spacing w:line="360" w:lineRule="auto"/>
        <w:ind w:right="-161" w:firstLine="720" w:firstLineChars="300"/>
        <w:rPr>
          <w:rFonts w:ascii="宋体" w:hAnsi="宋体" w:cs="宋体"/>
          <w:color w:val="auto"/>
          <w:sz w:val="24"/>
          <w:highlight w:val="none"/>
        </w:rPr>
      </w:pPr>
      <w:r>
        <w:rPr>
          <w:rFonts w:hint="eastAsia" w:ascii="宋体" w:hAnsi="宋体" w:cs="宋体"/>
          <w:color w:val="auto"/>
          <w:sz w:val="24"/>
          <w:highlight w:val="none"/>
        </w:rPr>
        <w:t>3、响应</w:t>
      </w:r>
      <w:r>
        <w:rPr>
          <w:rFonts w:hint="eastAsia" w:ascii="宋体" w:hAnsi="宋体" w:cs="宋体"/>
          <w:color w:val="auto"/>
          <w:sz w:val="24"/>
          <w:highlight w:val="none"/>
          <w:lang w:eastAsia="zh-CN"/>
        </w:rPr>
        <w:t>说明</w:t>
      </w:r>
      <w:r>
        <w:rPr>
          <w:rFonts w:hint="eastAsia" w:ascii="宋体" w:hAnsi="宋体" w:cs="宋体"/>
          <w:color w:val="auto"/>
          <w:sz w:val="24"/>
          <w:highlight w:val="none"/>
        </w:rPr>
        <w:t>填写：对偏离做出详细的说明。</w:t>
      </w:r>
    </w:p>
    <w:p w14:paraId="48EF3FB5">
      <w:pPr>
        <w:spacing w:line="360" w:lineRule="auto"/>
        <w:rPr>
          <w:rFonts w:ascii="宋体" w:hAnsi="宋体" w:cs="宋体"/>
          <w:color w:val="auto"/>
          <w:sz w:val="24"/>
          <w:highlight w:val="none"/>
        </w:rPr>
      </w:pPr>
    </w:p>
    <w:p w14:paraId="245A47BF">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val="en-US" w:eastAsia="zh-CN"/>
        </w:rPr>
        <w:t>或盖章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44F1BB62">
      <w:pPr>
        <w:spacing w:line="360" w:lineRule="auto"/>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    应    商 （公   章）：</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10132598">
      <w:pPr>
        <w:spacing w:line="360" w:lineRule="auto"/>
        <w:ind w:right="-161" w:firstLine="2640" w:firstLineChars="1100"/>
        <w:rPr>
          <w:rFonts w:ascii="宋体" w:hAnsi="宋体" w:cs="仿宋_GB2312"/>
          <w:b/>
          <w:color w:val="auto"/>
          <w:szCs w:val="32"/>
          <w:highlight w:val="non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bookmarkStart w:id="515" w:name="_Toc283240500"/>
      <w:bookmarkStart w:id="516" w:name="_Toc27600"/>
      <w:bookmarkStart w:id="517" w:name="_Toc347478750"/>
      <w:bookmarkStart w:id="518" w:name="_Toc312789407"/>
      <w:bookmarkStart w:id="519" w:name="_Toc311415661"/>
      <w:bookmarkStart w:id="520" w:name="_Toc334522295"/>
      <w:bookmarkStart w:id="521" w:name="_Toc462325845"/>
    </w:p>
    <w:bookmarkEnd w:id="515"/>
    <w:bookmarkEnd w:id="516"/>
    <w:bookmarkEnd w:id="517"/>
    <w:bookmarkEnd w:id="518"/>
    <w:bookmarkEnd w:id="519"/>
    <w:bookmarkEnd w:id="520"/>
    <w:bookmarkEnd w:id="521"/>
    <w:p w14:paraId="3AABCE44">
      <w:pPr>
        <w:jc w:val="center"/>
        <w:rPr>
          <w:rFonts w:ascii="宋体" w:hAnsi="宋体" w:cs="宋体"/>
          <w:b/>
          <w:color w:val="auto"/>
          <w:sz w:val="32"/>
          <w:szCs w:val="32"/>
          <w:highlight w:val="none"/>
        </w:rPr>
        <w:sectPr>
          <w:pgSz w:w="11906" w:h="16838"/>
          <w:pgMar w:top="1701" w:right="1417" w:bottom="1701" w:left="1417" w:header="1088" w:footer="992" w:gutter="0"/>
          <w:pgNumType w:fmt="decimal"/>
          <w:cols w:space="720" w:num="1"/>
          <w:titlePg/>
          <w:rtlGutter w:val="0"/>
          <w:docGrid w:type="lines" w:linePitch="312" w:charSpace="0"/>
        </w:sectPr>
      </w:pPr>
      <w:bookmarkStart w:id="522" w:name="_Toc6233"/>
      <w:bookmarkStart w:id="523" w:name="_Toc16127"/>
      <w:bookmarkStart w:id="524" w:name="_Toc312789405"/>
      <w:bookmarkStart w:id="525" w:name="_Toc283240498"/>
      <w:bookmarkStart w:id="526" w:name="_Toc14667"/>
      <w:bookmarkStart w:id="527" w:name="_Toc10068"/>
      <w:bookmarkStart w:id="528" w:name="_Toc347478748"/>
      <w:bookmarkStart w:id="529" w:name="_Toc334522293"/>
      <w:bookmarkStart w:id="530" w:name="_Toc462325843"/>
      <w:bookmarkStart w:id="531" w:name="_Toc311415659"/>
    </w:p>
    <w:p w14:paraId="7720A4C4">
      <w:pPr>
        <w:numPr>
          <w:ilvl w:val="0"/>
          <w:numId w:val="0"/>
        </w:numPr>
        <w:spacing w:line="360" w:lineRule="atLeast"/>
        <w:ind w:leftChars="98"/>
        <w:jc w:val="center"/>
        <w:rPr>
          <w:rFonts w:hint="eastAsia" w:ascii="宋体" w:hAnsi="宋体" w:eastAsia="宋体"/>
          <w:b/>
          <w:color w:val="auto"/>
          <w:sz w:val="30"/>
          <w:szCs w:val="30"/>
          <w:highlight w:val="none"/>
          <w:lang w:val="en-US" w:eastAsia="zh-CN"/>
        </w:rPr>
      </w:pPr>
      <w:bookmarkStart w:id="532" w:name="_Toc18036"/>
      <w:r>
        <w:rPr>
          <w:rFonts w:hint="eastAsia" w:ascii="宋体" w:hAnsi="宋体" w:eastAsia="宋体"/>
          <w:b/>
          <w:color w:val="auto"/>
          <w:sz w:val="30"/>
          <w:szCs w:val="30"/>
          <w:highlight w:val="none"/>
          <w:lang w:val="en-US" w:eastAsia="zh-CN"/>
        </w:rPr>
        <w:t>9.2规格技术参数偏离表</w:t>
      </w:r>
    </w:p>
    <w:p w14:paraId="502867D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325"/>
        <w:gridCol w:w="1969"/>
        <w:gridCol w:w="2418"/>
        <w:gridCol w:w="1305"/>
        <w:gridCol w:w="1350"/>
      </w:tblGrid>
      <w:tr w14:paraId="4831F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0A30C8AE">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1969" w:type="dxa"/>
            <w:noWrap w:val="0"/>
            <w:vAlign w:val="center"/>
          </w:tcPr>
          <w:p w14:paraId="04271061">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采购需求</w:t>
            </w:r>
          </w:p>
        </w:tc>
        <w:tc>
          <w:tcPr>
            <w:tcW w:w="2418" w:type="dxa"/>
            <w:noWrap w:val="0"/>
            <w:vAlign w:val="center"/>
          </w:tcPr>
          <w:p w14:paraId="4A886A13">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投标响应</w:t>
            </w:r>
          </w:p>
        </w:tc>
        <w:tc>
          <w:tcPr>
            <w:tcW w:w="1305" w:type="dxa"/>
            <w:noWrap w:val="0"/>
            <w:vAlign w:val="center"/>
          </w:tcPr>
          <w:p w14:paraId="4FEFF58F">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偏离</w:t>
            </w:r>
            <w:r>
              <w:rPr>
                <w:rFonts w:hint="eastAsia" w:ascii="宋体" w:hAnsi="宋体" w:eastAsia="宋体" w:cs="宋体"/>
                <w:b/>
                <w:bCs/>
                <w:color w:val="auto"/>
                <w:sz w:val="24"/>
                <w:szCs w:val="24"/>
                <w:highlight w:val="none"/>
                <w:lang w:eastAsia="zh-CN"/>
              </w:rPr>
              <w:t>情况</w:t>
            </w:r>
          </w:p>
        </w:tc>
        <w:tc>
          <w:tcPr>
            <w:tcW w:w="1350" w:type="dxa"/>
            <w:noWrap w:val="0"/>
            <w:vAlign w:val="center"/>
          </w:tcPr>
          <w:p w14:paraId="6F41ACD1">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偏离说明</w:t>
            </w:r>
          </w:p>
        </w:tc>
      </w:tr>
      <w:tr w14:paraId="6D551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5C424476">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3123C871">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7EAAE247">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4F1BC728">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00E71004">
            <w:pPr>
              <w:spacing w:line="360" w:lineRule="auto"/>
              <w:jc w:val="center"/>
              <w:rPr>
                <w:rFonts w:hint="eastAsia" w:ascii="宋体" w:hAnsi="宋体" w:eastAsia="宋体" w:cs="宋体"/>
                <w:color w:val="auto"/>
                <w:sz w:val="24"/>
                <w:szCs w:val="24"/>
                <w:highlight w:val="none"/>
              </w:rPr>
            </w:pPr>
          </w:p>
        </w:tc>
      </w:tr>
      <w:tr w14:paraId="7A30B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49BC320">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5A339D7E">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43255A60">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68767F89">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0AD68B89">
            <w:pPr>
              <w:spacing w:line="360" w:lineRule="auto"/>
              <w:jc w:val="center"/>
              <w:rPr>
                <w:rFonts w:hint="eastAsia" w:ascii="宋体" w:hAnsi="宋体" w:eastAsia="宋体" w:cs="宋体"/>
                <w:color w:val="auto"/>
                <w:sz w:val="24"/>
                <w:szCs w:val="24"/>
                <w:highlight w:val="none"/>
              </w:rPr>
            </w:pPr>
          </w:p>
        </w:tc>
      </w:tr>
      <w:tr w14:paraId="1A78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86BBD09">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5F37939B">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313C6DEC">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3B83B617">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74B6D059">
            <w:pPr>
              <w:spacing w:line="360" w:lineRule="auto"/>
              <w:jc w:val="center"/>
              <w:rPr>
                <w:rFonts w:hint="eastAsia" w:ascii="宋体" w:hAnsi="宋体" w:eastAsia="宋体" w:cs="宋体"/>
                <w:color w:val="auto"/>
                <w:sz w:val="24"/>
                <w:szCs w:val="24"/>
                <w:highlight w:val="none"/>
              </w:rPr>
            </w:pPr>
          </w:p>
        </w:tc>
      </w:tr>
      <w:tr w14:paraId="048AC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64F9F9BF">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5E2AFC42">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40A172B8">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575B2036">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4AB4CDB7">
            <w:pPr>
              <w:spacing w:line="360" w:lineRule="auto"/>
              <w:jc w:val="center"/>
              <w:rPr>
                <w:rFonts w:hint="eastAsia" w:ascii="宋体" w:hAnsi="宋体" w:eastAsia="宋体" w:cs="宋体"/>
                <w:color w:val="auto"/>
                <w:sz w:val="24"/>
                <w:szCs w:val="24"/>
                <w:highlight w:val="none"/>
              </w:rPr>
            </w:pPr>
          </w:p>
        </w:tc>
      </w:tr>
      <w:tr w14:paraId="73F66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33CA8EAA">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26589C31">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62BBD9AB">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120AFEA3">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1DDAF0EE">
            <w:pPr>
              <w:spacing w:line="360" w:lineRule="auto"/>
              <w:jc w:val="center"/>
              <w:rPr>
                <w:rFonts w:hint="eastAsia" w:ascii="宋体" w:hAnsi="宋体" w:eastAsia="宋体" w:cs="宋体"/>
                <w:color w:val="auto"/>
                <w:sz w:val="24"/>
                <w:szCs w:val="24"/>
                <w:highlight w:val="none"/>
              </w:rPr>
            </w:pPr>
          </w:p>
        </w:tc>
      </w:tr>
      <w:tr w14:paraId="4636D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367ABF1">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5A180205">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2149B259">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1C1B50F9">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17614A1F">
            <w:pPr>
              <w:spacing w:line="360" w:lineRule="auto"/>
              <w:jc w:val="center"/>
              <w:rPr>
                <w:rFonts w:hint="eastAsia" w:ascii="宋体" w:hAnsi="宋体" w:eastAsia="宋体" w:cs="宋体"/>
                <w:color w:val="auto"/>
                <w:sz w:val="24"/>
                <w:szCs w:val="24"/>
                <w:highlight w:val="none"/>
              </w:rPr>
            </w:pPr>
          </w:p>
        </w:tc>
      </w:tr>
      <w:tr w14:paraId="615E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F9707F9">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3C08DC09">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28C6543E">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20007DD5">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6313D146">
            <w:pPr>
              <w:spacing w:line="360" w:lineRule="auto"/>
              <w:jc w:val="center"/>
              <w:rPr>
                <w:rFonts w:hint="eastAsia" w:ascii="宋体" w:hAnsi="宋体" w:eastAsia="宋体" w:cs="宋体"/>
                <w:color w:val="auto"/>
                <w:sz w:val="24"/>
                <w:szCs w:val="24"/>
                <w:highlight w:val="none"/>
              </w:rPr>
            </w:pPr>
          </w:p>
        </w:tc>
      </w:tr>
      <w:tr w14:paraId="1325E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31F01AC0">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5491E950">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49EF19A8">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0EB923FB">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1CD81DFA">
            <w:pPr>
              <w:spacing w:line="360" w:lineRule="auto"/>
              <w:jc w:val="center"/>
              <w:rPr>
                <w:rFonts w:hint="eastAsia" w:ascii="宋体" w:hAnsi="宋体" w:eastAsia="宋体" w:cs="宋体"/>
                <w:color w:val="auto"/>
                <w:sz w:val="24"/>
                <w:szCs w:val="24"/>
                <w:highlight w:val="none"/>
              </w:rPr>
            </w:pPr>
          </w:p>
        </w:tc>
      </w:tr>
      <w:tr w14:paraId="4827B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0359CC3E">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1E1661A3">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7DBD5E72">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4A24385C">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29CEF064">
            <w:pPr>
              <w:spacing w:line="360" w:lineRule="auto"/>
              <w:jc w:val="center"/>
              <w:rPr>
                <w:rFonts w:hint="eastAsia" w:ascii="宋体" w:hAnsi="宋体" w:eastAsia="宋体" w:cs="宋体"/>
                <w:color w:val="auto"/>
                <w:sz w:val="24"/>
                <w:szCs w:val="24"/>
                <w:highlight w:val="none"/>
              </w:rPr>
            </w:pPr>
          </w:p>
        </w:tc>
      </w:tr>
      <w:tr w14:paraId="3A5AF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47F9112A">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75F3D629">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42035007">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13F4F264">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4B485329">
            <w:pPr>
              <w:spacing w:line="360" w:lineRule="auto"/>
              <w:jc w:val="center"/>
              <w:rPr>
                <w:rFonts w:hint="eastAsia" w:ascii="宋体" w:hAnsi="宋体" w:eastAsia="宋体" w:cs="宋体"/>
                <w:color w:val="auto"/>
                <w:sz w:val="24"/>
                <w:szCs w:val="24"/>
                <w:highlight w:val="none"/>
              </w:rPr>
            </w:pPr>
          </w:p>
        </w:tc>
      </w:tr>
      <w:tr w14:paraId="08350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5A65CE5">
            <w:pPr>
              <w:spacing w:line="360" w:lineRule="auto"/>
              <w:jc w:val="center"/>
              <w:rPr>
                <w:rFonts w:hint="eastAsia" w:ascii="宋体" w:hAnsi="宋体" w:eastAsia="宋体" w:cs="宋体"/>
                <w:color w:val="auto"/>
                <w:sz w:val="24"/>
                <w:szCs w:val="24"/>
                <w:highlight w:val="none"/>
              </w:rPr>
            </w:pPr>
          </w:p>
        </w:tc>
        <w:tc>
          <w:tcPr>
            <w:tcW w:w="1969" w:type="dxa"/>
            <w:noWrap w:val="0"/>
            <w:vAlign w:val="center"/>
          </w:tcPr>
          <w:p w14:paraId="10AF3AF5">
            <w:pPr>
              <w:spacing w:line="360" w:lineRule="auto"/>
              <w:jc w:val="center"/>
              <w:rPr>
                <w:rFonts w:hint="eastAsia" w:ascii="宋体" w:hAnsi="宋体" w:eastAsia="宋体" w:cs="宋体"/>
                <w:color w:val="auto"/>
                <w:sz w:val="24"/>
                <w:szCs w:val="24"/>
                <w:highlight w:val="none"/>
              </w:rPr>
            </w:pPr>
          </w:p>
        </w:tc>
        <w:tc>
          <w:tcPr>
            <w:tcW w:w="2418" w:type="dxa"/>
            <w:noWrap w:val="0"/>
            <w:vAlign w:val="center"/>
          </w:tcPr>
          <w:p w14:paraId="79D13E17">
            <w:pPr>
              <w:spacing w:line="360" w:lineRule="auto"/>
              <w:jc w:val="center"/>
              <w:rPr>
                <w:rFonts w:hint="eastAsia" w:ascii="宋体" w:hAnsi="宋体" w:eastAsia="宋体" w:cs="宋体"/>
                <w:color w:val="auto"/>
                <w:sz w:val="24"/>
                <w:szCs w:val="24"/>
                <w:highlight w:val="none"/>
              </w:rPr>
            </w:pPr>
          </w:p>
        </w:tc>
        <w:tc>
          <w:tcPr>
            <w:tcW w:w="1305" w:type="dxa"/>
            <w:noWrap w:val="0"/>
            <w:vAlign w:val="center"/>
          </w:tcPr>
          <w:p w14:paraId="5531D164">
            <w:pPr>
              <w:spacing w:line="360" w:lineRule="auto"/>
              <w:jc w:val="center"/>
              <w:rPr>
                <w:rFonts w:hint="eastAsia" w:ascii="宋体" w:hAnsi="宋体" w:eastAsia="宋体" w:cs="宋体"/>
                <w:color w:val="auto"/>
                <w:sz w:val="24"/>
                <w:szCs w:val="24"/>
                <w:highlight w:val="none"/>
              </w:rPr>
            </w:pPr>
          </w:p>
        </w:tc>
        <w:tc>
          <w:tcPr>
            <w:tcW w:w="1350" w:type="dxa"/>
            <w:noWrap w:val="0"/>
            <w:vAlign w:val="center"/>
          </w:tcPr>
          <w:p w14:paraId="33C8935D">
            <w:pPr>
              <w:spacing w:line="360" w:lineRule="auto"/>
              <w:jc w:val="center"/>
              <w:rPr>
                <w:rFonts w:hint="eastAsia" w:ascii="宋体" w:hAnsi="宋体" w:eastAsia="宋体" w:cs="宋体"/>
                <w:color w:val="auto"/>
                <w:sz w:val="24"/>
                <w:szCs w:val="24"/>
                <w:highlight w:val="none"/>
              </w:rPr>
            </w:pPr>
          </w:p>
        </w:tc>
      </w:tr>
    </w:tbl>
    <w:p w14:paraId="037D4E59">
      <w:pPr>
        <w:pStyle w:val="1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说明：</w:t>
      </w:r>
    </w:p>
    <w:p w14:paraId="3A7DF16E">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1、请按项目的实际技术参数，逐条对应招标文件的“采购内容及</w:t>
      </w:r>
      <w:r>
        <w:rPr>
          <w:rFonts w:hint="eastAsia" w:ascii="宋体" w:hAnsi="宋体" w:eastAsia="宋体" w:cs="宋体"/>
          <w:color w:val="auto"/>
          <w:sz w:val="24"/>
          <w:highlight w:val="none"/>
          <w:lang w:eastAsia="zh-CN"/>
        </w:rPr>
        <w:t>技术</w:t>
      </w:r>
      <w:r>
        <w:rPr>
          <w:rFonts w:hint="eastAsia" w:ascii="宋体" w:hAnsi="宋体" w:eastAsia="宋体" w:cs="宋体"/>
          <w:color w:val="auto"/>
          <w:sz w:val="24"/>
          <w:highlight w:val="none"/>
        </w:rPr>
        <w:t>要求”，认真填写本表。偏离情况填写：优于、等于或低于，偏离说明对偏离情况做出详细说明。</w:t>
      </w:r>
    </w:p>
    <w:p w14:paraId="3569A1BB">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2、投标人应按实际情况填写。</w:t>
      </w:r>
    </w:p>
    <w:p w14:paraId="2D10CD09">
      <w:pPr>
        <w:spacing w:line="480" w:lineRule="auto"/>
        <w:ind w:right="-161" w:firstLine="2640" w:firstLineChars="1100"/>
        <w:rPr>
          <w:rFonts w:hint="eastAsia" w:ascii="宋体" w:hAnsi="宋体" w:eastAsia="宋体" w:cs="宋体"/>
          <w:color w:val="auto"/>
          <w:sz w:val="24"/>
          <w:highlight w:val="none"/>
        </w:rPr>
      </w:pPr>
    </w:p>
    <w:p w14:paraId="51868620">
      <w:pPr>
        <w:spacing w:line="480" w:lineRule="auto"/>
        <w:ind w:right="-161"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法人代表或被授权代表签字：</w:t>
      </w:r>
      <w:r>
        <w:rPr>
          <w:rFonts w:hint="eastAsia" w:ascii="宋体" w:hAnsi="宋体" w:eastAsia="宋体" w:cs="宋体"/>
          <w:color w:val="auto"/>
          <w:sz w:val="24"/>
          <w:highlight w:val="none"/>
          <w:u w:val="single"/>
        </w:rPr>
        <w:t xml:space="preserve">                      </w:t>
      </w:r>
    </w:p>
    <w:p w14:paraId="7D2A05C4">
      <w:pPr>
        <w:spacing w:line="480" w:lineRule="auto"/>
        <w:ind w:right="-161" w:firstLine="2640" w:firstLineChars="1100"/>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  公  章：</w:t>
      </w:r>
      <w:r>
        <w:rPr>
          <w:rFonts w:hint="eastAsia" w:ascii="宋体" w:hAnsi="宋体" w:eastAsia="宋体" w:cs="宋体"/>
          <w:color w:val="auto"/>
          <w:sz w:val="24"/>
          <w:highlight w:val="none"/>
          <w:u w:val="single"/>
        </w:rPr>
        <w:t xml:space="preserve">                      </w:t>
      </w:r>
    </w:p>
    <w:p w14:paraId="4B23BBCC">
      <w:pPr>
        <w:spacing w:line="480" w:lineRule="auto"/>
        <w:ind w:right="480" w:firstLine="2640" w:firstLineChars="1100"/>
        <w:rPr>
          <w:rFonts w:hint="eastAsia" w:ascii="宋体" w:hAnsi="宋体" w:eastAsia="宋体" w:cs="宋体"/>
          <w:color w:val="auto"/>
          <w:highlight w:val="none"/>
          <w:u w:val="single"/>
        </w:rPr>
      </w:pPr>
      <w:r>
        <w:rPr>
          <w:rFonts w:hint="eastAsia" w:ascii="宋体" w:hAnsi="宋体" w:eastAsia="宋体" w:cs="宋体"/>
          <w:color w:val="auto"/>
          <w:sz w:val="24"/>
          <w:highlight w:val="none"/>
        </w:rPr>
        <w:t>日                    期：</w:t>
      </w:r>
      <w:r>
        <w:rPr>
          <w:rFonts w:hint="eastAsia" w:ascii="宋体" w:hAnsi="宋体" w:eastAsia="宋体" w:cs="宋体"/>
          <w:color w:val="auto"/>
          <w:highlight w:val="none"/>
          <w:u w:val="single"/>
        </w:rPr>
        <w:t xml:space="preserve">                      </w:t>
      </w:r>
    </w:p>
    <w:p w14:paraId="66D5C51B">
      <w:pPr>
        <w:rPr>
          <w:rFonts w:hint="eastAsia"/>
          <w:color w:val="auto"/>
          <w:highlight w:val="none"/>
          <w:lang w:val="en-US" w:eastAsia="zh-CN"/>
        </w:rPr>
        <w:sectPr>
          <w:pgSz w:w="11906" w:h="16838"/>
          <w:pgMar w:top="1701" w:right="1417" w:bottom="1701" w:left="1417" w:header="1088" w:footer="992" w:gutter="0"/>
          <w:pgNumType w:fmt="decimal"/>
          <w:cols w:space="720" w:num="1"/>
          <w:titlePg/>
          <w:rtlGutter w:val="0"/>
          <w:docGrid w:type="lines" w:linePitch="312" w:charSpace="0"/>
        </w:sectPr>
      </w:pPr>
      <w:bookmarkStart w:id="533" w:name="_Toc19559"/>
      <w:bookmarkStart w:id="534" w:name="_Toc17834"/>
    </w:p>
    <w:bookmarkEnd w:id="533"/>
    <w:bookmarkEnd w:id="534"/>
    <w:p w14:paraId="1A6666B0">
      <w:pPr>
        <w:spacing w:line="360" w:lineRule="auto"/>
        <w:jc w:val="center"/>
        <w:rPr>
          <w:rFonts w:hint="eastAsia" w:ascii="宋体" w:hAnsi="宋体" w:cs="宋体"/>
          <w:color w:val="auto"/>
          <w:highlight w:val="none"/>
        </w:rPr>
      </w:pPr>
      <w:bookmarkStart w:id="535" w:name="_Toc26096"/>
      <w:r>
        <w:rPr>
          <w:rFonts w:hint="eastAsia" w:ascii="宋体" w:hAnsi="宋体" w:cs="宋体"/>
          <w:b/>
          <w:color w:val="auto"/>
          <w:sz w:val="32"/>
          <w:szCs w:val="22"/>
          <w:highlight w:val="none"/>
          <w:lang w:val="en-US" w:eastAsia="zh-CN"/>
        </w:rPr>
        <w:t>十、</w:t>
      </w:r>
      <w:r>
        <w:rPr>
          <w:rFonts w:hint="eastAsia" w:ascii="宋体" w:hAnsi="宋体" w:cs="宋体"/>
          <w:b/>
          <w:color w:val="auto"/>
          <w:sz w:val="32"/>
          <w:szCs w:val="22"/>
          <w:highlight w:val="none"/>
          <w:lang w:eastAsia="zh-CN"/>
        </w:rPr>
        <w:t>货物简要说明</w:t>
      </w:r>
      <w:r>
        <w:rPr>
          <w:rFonts w:hint="eastAsia" w:ascii="宋体" w:hAnsi="宋体" w:cs="宋体"/>
          <w:b/>
          <w:color w:val="auto"/>
          <w:sz w:val="32"/>
          <w:szCs w:val="22"/>
          <w:highlight w:val="none"/>
        </w:rPr>
        <w:t>一览表</w:t>
      </w:r>
    </w:p>
    <w:p w14:paraId="16F907F8">
      <w:pPr>
        <w:rPr>
          <w:rFonts w:hint="eastAsia" w:ascii="宋体" w:hAnsi="宋体" w:cs="宋体"/>
          <w:color w:val="auto"/>
          <w:highlight w:val="none"/>
        </w:rPr>
      </w:pPr>
      <w:r>
        <w:rPr>
          <w:rFonts w:hint="eastAsia" w:ascii="宋体" w:hAnsi="宋体" w:cs="宋体"/>
          <w:color w:val="auto"/>
          <w:sz w:val="24"/>
          <w:szCs w:val="24"/>
          <w:highlight w:val="none"/>
        </w:rPr>
        <w:t xml:space="preserve">             </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200"/>
        <w:gridCol w:w="2456"/>
        <w:gridCol w:w="1440"/>
        <w:gridCol w:w="1440"/>
        <w:gridCol w:w="1980"/>
        <w:gridCol w:w="941"/>
      </w:tblGrid>
      <w:tr w14:paraId="561DF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00" w:hRule="atLeast"/>
          <w:jc w:val="center"/>
        </w:trPr>
        <w:tc>
          <w:tcPr>
            <w:tcW w:w="2200" w:type="dxa"/>
            <w:noWrap w:val="0"/>
            <w:vAlign w:val="center"/>
          </w:tcPr>
          <w:p w14:paraId="1479A296">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货物名称</w:t>
            </w:r>
          </w:p>
        </w:tc>
        <w:tc>
          <w:tcPr>
            <w:tcW w:w="2456" w:type="dxa"/>
            <w:noWrap w:val="0"/>
            <w:vAlign w:val="center"/>
          </w:tcPr>
          <w:p w14:paraId="1368D839">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型号规格或</w:t>
            </w:r>
          </w:p>
          <w:p w14:paraId="4E994FC8">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主要技术指标</w:t>
            </w:r>
          </w:p>
        </w:tc>
        <w:tc>
          <w:tcPr>
            <w:tcW w:w="1440" w:type="dxa"/>
            <w:noWrap w:val="0"/>
            <w:vAlign w:val="center"/>
          </w:tcPr>
          <w:p w14:paraId="2B7D2E58">
            <w:pPr>
              <w:spacing w:line="360" w:lineRule="auto"/>
              <w:jc w:val="center"/>
              <w:rPr>
                <w:rFonts w:hint="eastAsia" w:ascii="宋体" w:hAnsi="宋体" w:cs="仿宋_GB2312"/>
                <w:b/>
                <w:bCs/>
                <w:color w:val="auto"/>
                <w:sz w:val="24"/>
                <w:szCs w:val="24"/>
                <w:highlight w:val="none"/>
              </w:rPr>
            </w:pPr>
            <w:r>
              <w:rPr>
                <w:rFonts w:hint="eastAsia" w:ascii="宋体" w:hAnsi="宋体" w:eastAsia="宋体" w:cs="宋体"/>
                <w:b/>
                <w:bCs/>
                <w:color w:val="auto"/>
                <w:sz w:val="24"/>
                <w:szCs w:val="24"/>
                <w:highlight w:val="none"/>
              </w:rPr>
              <w:t>品牌</w:t>
            </w:r>
          </w:p>
        </w:tc>
        <w:tc>
          <w:tcPr>
            <w:tcW w:w="1440" w:type="dxa"/>
            <w:noWrap w:val="0"/>
            <w:vAlign w:val="center"/>
          </w:tcPr>
          <w:p w14:paraId="02D90869">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原产地</w:t>
            </w:r>
          </w:p>
        </w:tc>
        <w:tc>
          <w:tcPr>
            <w:tcW w:w="1980" w:type="dxa"/>
            <w:noWrap w:val="0"/>
            <w:vAlign w:val="center"/>
          </w:tcPr>
          <w:p w14:paraId="305F956B">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生产商/开发商</w:t>
            </w:r>
          </w:p>
        </w:tc>
        <w:tc>
          <w:tcPr>
            <w:tcW w:w="941" w:type="dxa"/>
            <w:noWrap w:val="0"/>
            <w:vAlign w:val="center"/>
          </w:tcPr>
          <w:p w14:paraId="188543E3">
            <w:pPr>
              <w:spacing w:line="360" w:lineRule="auto"/>
              <w:jc w:val="center"/>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备注</w:t>
            </w:r>
          </w:p>
        </w:tc>
      </w:tr>
      <w:tr w14:paraId="0BD7F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2F697AAB">
            <w:pPr>
              <w:spacing w:line="360" w:lineRule="auto"/>
              <w:jc w:val="center"/>
              <w:rPr>
                <w:rFonts w:hint="eastAsia" w:ascii="宋体" w:hAnsi="宋体" w:cs="仿宋_GB2312"/>
                <w:color w:val="auto"/>
                <w:sz w:val="24"/>
                <w:szCs w:val="24"/>
                <w:highlight w:val="none"/>
              </w:rPr>
            </w:pPr>
          </w:p>
        </w:tc>
        <w:tc>
          <w:tcPr>
            <w:tcW w:w="2456" w:type="dxa"/>
            <w:noWrap w:val="0"/>
            <w:vAlign w:val="top"/>
          </w:tcPr>
          <w:p w14:paraId="1D6216BB">
            <w:pPr>
              <w:spacing w:line="360" w:lineRule="auto"/>
              <w:jc w:val="center"/>
              <w:rPr>
                <w:rFonts w:hint="eastAsia" w:ascii="宋体" w:hAnsi="宋体" w:cs="仿宋_GB2312"/>
                <w:color w:val="auto"/>
                <w:sz w:val="24"/>
                <w:szCs w:val="24"/>
                <w:highlight w:val="none"/>
              </w:rPr>
            </w:pPr>
          </w:p>
        </w:tc>
        <w:tc>
          <w:tcPr>
            <w:tcW w:w="1440" w:type="dxa"/>
            <w:noWrap w:val="0"/>
            <w:vAlign w:val="top"/>
          </w:tcPr>
          <w:p w14:paraId="642611C0">
            <w:pPr>
              <w:spacing w:line="360" w:lineRule="auto"/>
              <w:jc w:val="center"/>
              <w:rPr>
                <w:rFonts w:hint="eastAsia" w:ascii="宋体" w:hAnsi="宋体" w:cs="仿宋_GB2312"/>
                <w:color w:val="auto"/>
                <w:sz w:val="24"/>
                <w:szCs w:val="24"/>
                <w:highlight w:val="none"/>
              </w:rPr>
            </w:pPr>
          </w:p>
        </w:tc>
        <w:tc>
          <w:tcPr>
            <w:tcW w:w="1440" w:type="dxa"/>
            <w:noWrap w:val="0"/>
            <w:vAlign w:val="top"/>
          </w:tcPr>
          <w:p w14:paraId="30E04446">
            <w:pPr>
              <w:spacing w:line="360" w:lineRule="auto"/>
              <w:jc w:val="center"/>
              <w:rPr>
                <w:rFonts w:hint="eastAsia" w:ascii="宋体" w:hAnsi="宋体" w:cs="仿宋_GB2312"/>
                <w:color w:val="auto"/>
                <w:sz w:val="24"/>
                <w:szCs w:val="24"/>
                <w:highlight w:val="none"/>
              </w:rPr>
            </w:pPr>
          </w:p>
        </w:tc>
        <w:tc>
          <w:tcPr>
            <w:tcW w:w="1980" w:type="dxa"/>
            <w:noWrap w:val="0"/>
            <w:vAlign w:val="top"/>
          </w:tcPr>
          <w:p w14:paraId="319FE168">
            <w:pPr>
              <w:spacing w:line="360" w:lineRule="auto"/>
              <w:jc w:val="center"/>
              <w:rPr>
                <w:rFonts w:hint="eastAsia" w:ascii="宋体" w:hAnsi="宋体" w:cs="仿宋_GB2312"/>
                <w:color w:val="auto"/>
                <w:sz w:val="24"/>
                <w:szCs w:val="24"/>
                <w:highlight w:val="none"/>
              </w:rPr>
            </w:pPr>
          </w:p>
        </w:tc>
        <w:tc>
          <w:tcPr>
            <w:tcW w:w="941" w:type="dxa"/>
            <w:noWrap w:val="0"/>
            <w:vAlign w:val="top"/>
          </w:tcPr>
          <w:p w14:paraId="06C543E9">
            <w:pPr>
              <w:spacing w:line="360" w:lineRule="auto"/>
              <w:jc w:val="center"/>
              <w:rPr>
                <w:rFonts w:hint="eastAsia" w:ascii="宋体" w:hAnsi="宋体" w:cs="仿宋_GB2312"/>
                <w:color w:val="auto"/>
                <w:sz w:val="24"/>
                <w:szCs w:val="24"/>
                <w:highlight w:val="none"/>
              </w:rPr>
            </w:pPr>
          </w:p>
        </w:tc>
      </w:tr>
      <w:tr w14:paraId="386A6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0EFB7466">
            <w:pPr>
              <w:spacing w:line="360" w:lineRule="auto"/>
              <w:jc w:val="center"/>
              <w:rPr>
                <w:rFonts w:hint="eastAsia" w:ascii="宋体" w:hAnsi="宋体" w:cs="仿宋_GB2312"/>
                <w:color w:val="auto"/>
                <w:sz w:val="24"/>
                <w:szCs w:val="24"/>
                <w:highlight w:val="none"/>
              </w:rPr>
            </w:pPr>
          </w:p>
        </w:tc>
        <w:tc>
          <w:tcPr>
            <w:tcW w:w="2456" w:type="dxa"/>
            <w:noWrap w:val="0"/>
            <w:vAlign w:val="top"/>
          </w:tcPr>
          <w:p w14:paraId="6D48BFA6">
            <w:pPr>
              <w:spacing w:line="360" w:lineRule="auto"/>
              <w:jc w:val="center"/>
              <w:rPr>
                <w:rFonts w:hint="eastAsia" w:ascii="宋体" w:hAnsi="宋体" w:cs="仿宋_GB2312"/>
                <w:color w:val="auto"/>
                <w:sz w:val="24"/>
                <w:szCs w:val="24"/>
                <w:highlight w:val="none"/>
              </w:rPr>
            </w:pPr>
          </w:p>
        </w:tc>
        <w:tc>
          <w:tcPr>
            <w:tcW w:w="1440" w:type="dxa"/>
            <w:noWrap w:val="0"/>
            <w:vAlign w:val="top"/>
          </w:tcPr>
          <w:p w14:paraId="23A4398C">
            <w:pPr>
              <w:spacing w:line="360" w:lineRule="auto"/>
              <w:jc w:val="center"/>
              <w:rPr>
                <w:rFonts w:hint="eastAsia" w:ascii="宋体" w:hAnsi="宋体" w:cs="仿宋_GB2312"/>
                <w:color w:val="auto"/>
                <w:sz w:val="24"/>
                <w:szCs w:val="24"/>
                <w:highlight w:val="none"/>
              </w:rPr>
            </w:pPr>
          </w:p>
        </w:tc>
        <w:tc>
          <w:tcPr>
            <w:tcW w:w="1440" w:type="dxa"/>
            <w:noWrap w:val="0"/>
            <w:vAlign w:val="top"/>
          </w:tcPr>
          <w:p w14:paraId="4615A53A">
            <w:pPr>
              <w:spacing w:line="360" w:lineRule="auto"/>
              <w:jc w:val="center"/>
              <w:rPr>
                <w:rFonts w:hint="eastAsia" w:ascii="宋体" w:hAnsi="宋体" w:cs="仿宋_GB2312"/>
                <w:color w:val="auto"/>
                <w:sz w:val="24"/>
                <w:szCs w:val="24"/>
                <w:highlight w:val="none"/>
              </w:rPr>
            </w:pPr>
          </w:p>
        </w:tc>
        <w:tc>
          <w:tcPr>
            <w:tcW w:w="1980" w:type="dxa"/>
            <w:noWrap w:val="0"/>
            <w:vAlign w:val="top"/>
          </w:tcPr>
          <w:p w14:paraId="458D4A3F">
            <w:pPr>
              <w:spacing w:line="360" w:lineRule="auto"/>
              <w:jc w:val="center"/>
              <w:rPr>
                <w:rFonts w:hint="eastAsia" w:ascii="宋体" w:hAnsi="宋体" w:cs="仿宋_GB2312"/>
                <w:color w:val="auto"/>
                <w:sz w:val="24"/>
                <w:szCs w:val="24"/>
                <w:highlight w:val="none"/>
              </w:rPr>
            </w:pPr>
          </w:p>
        </w:tc>
        <w:tc>
          <w:tcPr>
            <w:tcW w:w="941" w:type="dxa"/>
            <w:noWrap w:val="0"/>
            <w:vAlign w:val="top"/>
          </w:tcPr>
          <w:p w14:paraId="5F8BAA71">
            <w:pPr>
              <w:spacing w:line="360" w:lineRule="auto"/>
              <w:jc w:val="center"/>
              <w:rPr>
                <w:rFonts w:hint="eastAsia" w:ascii="宋体" w:hAnsi="宋体" w:cs="仿宋_GB2312"/>
                <w:color w:val="auto"/>
                <w:sz w:val="24"/>
                <w:szCs w:val="24"/>
                <w:highlight w:val="none"/>
              </w:rPr>
            </w:pPr>
          </w:p>
        </w:tc>
      </w:tr>
      <w:tr w14:paraId="3AD71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2683CACB">
            <w:pPr>
              <w:spacing w:line="360" w:lineRule="auto"/>
              <w:jc w:val="center"/>
              <w:rPr>
                <w:rFonts w:hint="eastAsia" w:ascii="宋体" w:hAnsi="宋体" w:cs="仿宋_GB2312"/>
                <w:color w:val="auto"/>
                <w:sz w:val="24"/>
                <w:szCs w:val="24"/>
                <w:highlight w:val="none"/>
              </w:rPr>
            </w:pPr>
          </w:p>
        </w:tc>
        <w:tc>
          <w:tcPr>
            <w:tcW w:w="2456" w:type="dxa"/>
            <w:noWrap w:val="0"/>
            <w:vAlign w:val="top"/>
          </w:tcPr>
          <w:p w14:paraId="6F15898A">
            <w:pPr>
              <w:spacing w:line="360" w:lineRule="auto"/>
              <w:jc w:val="center"/>
              <w:rPr>
                <w:rFonts w:hint="eastAsia" w:ascii="宋体" w:hAnsi="宋体" w:cs="仿宋_GB2312"/>
                <w:color w:val="auto"/>
                <w:sz w:val="24"/>
                <w:szCs w:val="24"/>
                <w:highlight w:val="none"/>
              </w:rPr>
            </w:pPr>
          </w:p>
        </w:tc>
        <w:tc>
          <w:tcPr>
            <w:tcW w:w="1440" w:type="dxa"/>
            <w:noWrap w:val="0"/>
            <w:vAlign w:val="top"/>
          </w:tcPr>
          <w:p w14:paraId="6B2392BF">
            <w:pPr>
              <w:spacing w:line="360" w:lineRule="auto"/>
              <w:jc w:val="center"/>
              <w:rPr>
                <w:rFonts w:hint="eastAsia" w:ascii="宋体" w:hAnsi="宋体" w:cs="仿宋_GB2312"/>
                <w:color w:val="auto"/>
                <w:sz w:val="24"/>
                <w:szCs w:val="24"/>
                <w:highlight w:val="none"/>
              </w:rPr>
            </w:pPr>
          </w:p>
        </w:tc>
        <w:tc>
          <w:tcPr>
            <w:tcW w:w="1440" w:type="dxa"/>
            <w:noWrap w:val="0"/>
            <w:vAlign w:val="top"/>
          </w:tcPr>
          <w:p w14:paraId="36AD60C7">
            <w:pPr>
              <w:spacing w:line="360" w:lineRule="auto"/>
              <w:jc w:val="center"/>
              <w:rPr>
                <w:rFonts w:hint="eastAsia" w:ascii="宋体" w:hAnsi="宋体" w:cs="仿宋_GB2312"/>
                <w:color w:val="auto"/>
                <w:sz w:val="24"/>
                <w:szCs w:val="24"/>
                <w:highlight w:val="none"/>
              </w:rPr>
            </w:pPr>
          </w:p>
        </w:tc>
        <w:tc>
          <w:tcPr>
            <w:tcW w:w="1980" w:type="dxa"/>
            <w:noWrap w:val="0"/>
            <w:vAlign w:val="top"/>
          </w:tcPr>
          <w:p w14:paraId="2D29A24A">
            <w:pPr>
              <w:spacing w:line="360" w:lineRule="auto"/>
              <w:jc w:val="center"/>
              <w:rPr>
                <w:rFonts w:hint="eastAsia" w:ascii="宋体" w:hAnsi="宋体" w:cs="仿宋_GB2312"/>
                <w:color w:val="auto"/>
                <w:sz w:val="24"/>
                <w:szCs w:val="24"/>
                <w:highlight w:val="none"/>
              </w:rPr>
            </w:pPr>
          </w:p>
        </w:tc>
        <w:tc>
          <w:tcPr>
            <w:tcW w:w="941" w:type="dxa"/>
            <w:noWrap w:val="0"/>
            <w:vAlign w:val="top"/>
          </w:tcPr>
          <w:p w14:paraId="0111595D">
            <w:pPr>
              <w:spacing w:line="360" w:lineRule="auto"/>
              <w:jc w:val="center"/>
              <w:rPr>
                <w:rFonts w:hint="eastAsia" w:ascii="宋体" w:hAnsi="宋体" w:cs="仿宋_GB2312"/>
                <w:color w:val="auto"/>
                <w:sz w:val="24"/>
                <w:szCs w:val="24"/>
                <w:highlight w:val="none"/>
              </w:rPr>
            </w:pPr>
          </w:p>
        </w:tc>
      </w:tr>
      <w:tr w14:paraId="22241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47993C5F">
            <w:pPr>
              <w:spacing w:line="360" w:lineRule="auto"/>
              <w:jc w:val="center"/>
              <w:rPr>
                <w:rFonts w:hint="eastAsia" w:ascii="宋体" w:hAnsi="宋体" w:cs="仿宋_GB2312"/>
                <w:color w:val="auto"/>
                <w:sz w:val="24"/>
                <w:szCs w:val="24"/>
                <w:highlight w:val="none"/>
              </w:rPr>
            </w:pPr>
          </w:p>
        </w:tc>
        <w:tc>
          <w:tcPr>
            <w:tcW w:w="2456" w:type="dxa"/>
            <w:noWrap w:val="0"/>
            <w:vAlign w:val="top"/>
          </w:tcPr>
          <w:p w14:paraId="0F18DFE9">
            <w:pPr>
              <w:spacing w:line="360" w:lineRule="auto"/>
              <w:jc w:val="center"/>
              <w:rPr>
                <w:rFonts w:hint="eastAsia" w:ascii="宋体" w:hAnsi="宋体" w:cs="仿宋_GB2312"/>
                <w:color w:val="auto"/>
                <w:sz w:val="24"/>
                <w:szCs w:val="24"/>
                <w:highlight w:val="none"/>
              </w:rPr>
            </w:pPr>
          </w:p>
        </w:tc>
        <w:tc>
          <w:tcPr>
            <w:tcW w:w="1440" w:type="dxa"/>
            <w:noWrap w:val="0"/>
            <w:vAlign w:val="top"/>
          </w:tcPr>
          <w:p w14:paraId="4A940506">
            <w:pPr>
              <w:spacing w:line="360" w:lineRule="auto"/>
              <w:jc w:val="center"/>
              <w:rPr>
                <w:rFonts w:hint="eastAsia" w:ascii="宋体" w:hAnsi="宋体" w:cs="仿宋_GB2312"/>
                <w:color w:val="auto"/>
                <w:sz w:val="24"/>
                <w:szCs w:val="24"/>
                <w:highlight w:val="none"/>
              </w:rPr>
            </w:pPr>
          </w:p>
        </w:tc>
        <w:tc>
          <w:tcPr>
            <w:tcW w:w="1440" w:type="dxa"/>
            <w:noWrap w:val="0"/>
            <w:vAlign w:val="top"/>
          </w:tcPr>
          <w:p w14:paraId="1C524F4D">
            <w:pPr>
              <w:spacing w:line="360" w:lineRule="auto"/>
              <w:jc w:val="center"/>
              <w:rPr>
                <w:rFonts w:hint="eastAsia" w:ascii="宋体" w:hAnsi="宋体" w:cs="仿宋_GB2312"/>
                <w:color w:val="auto"/>
                <w:sz w:val="24"/>
                <w:szCs w:val="24"/>
                <w:highlight w:val="none"/>
              </w:rPr>
            </w:pPr>
          </w:p>
        </w:tc>
        <w:tc>
          <w:tcPr>
            <w:tcW w:w="1980" w:type="dxa"/>
            <w:noWrap w:val="0"/>
            <w:vAlign w:val="top"/>
          </w:tcPr>
          <w:p w14:paraId="4AF05658">
            <w:pPr>
              <w:spacing w:line="360" w:lineRule="auto"/>
              <w:jc w:val="center"/>
              <w:rPr>
                <w:rFonts w:hint="eastAsia" w:ascii="宋体" w:hAnsi="宋体" w:cs="仿宋_GB2312"/>
                <w:color w:val="auto"/>
                <w:sz w:val="24"/>
                <w:szCs w:val="24"/>
                <w:highlight w:val="none"/>
              </w:rPr>
            </w:pPr>
          </w:p>
        </w:tc>
        <w:tc>
          <w:tcPr>
            <w:tcW w:w="941" w:type="dxa"/>
            <w:noWrap w:val="0"/>
            <w:vAlign w:val="top"/>
          </w:tcPr>
          <w:p w14:paraId="6F352312">
            <w:pPr>
              <w:spacing w:line="360" w:lineRule="auto"/>
              <w:jc w:val="center"/>
              <w:rPr>
                <w:rFonts w:hint="eastAsia" w:ascii="宋体" w:hAnsi="宋体" w:cs="仿宋_GB2312"/>
                <w:color w:val="auto"/>
                <w:sz w:val="24"/>
                <w:szCs w:val="24"/>
                <w:highlight w:val="none"/>
              </w:rPr>
            </w:pPr>
          </w:p>
        </w:tc>
      </w:tr>
      <w:tr w14:paraId="5CAC0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6FC36FA4">
            <w:pPr>
              <w:spacing w:line="360" w:lineRule="auto"/>
              <w:jc w:val="center"/>
              <w:rPr>
                <w:rFonts w:hint="eastAsia" w:ascii="宋体" w:hAnsi="宋体" w:cs="仿宋_GB2312"/>
                <w:color w:val="auto"/>
                <w:sz w:val="24"/>
                <w:szCs w:val="24"/>
                <w:highlight w:val="none"/>
              </w:rPr>
            </w:pPr>
          </w:p>
        </w:tc>
        <w:tc>
          <w:tcPr>
            <w:tcW w:w="2456" w:type="dxa"/>
            <w:noWrap w:val="0"/>
            <w:vAlign w:val="top"/>
          </w:tcPr>
          <w:p w14:paraId="63129737">
            <w:pPr>
              <w:spacing w:line="360" w:lineRule="auto"/>
              <w:jc w:val="center"/>
              <w:rPr>
                <w:rFonts w:hint="eastAsia" w:ascii="宋体" w:hAnsi="宋体" w:cs="仿宋_GB2312"/>
                <w:color w:val="auto"/>
                <w:sz w:val="24"/>
                <w:szCs w:val="24"/>
                <w:highlight w:val="none"/>
              </w:rPr>
            </w:pPr>
          </w:p>
        </w:tc>
        <w:tc>
          <w:tcPr>
            <w:tcW w:w="1440" w:type="dxa"/>
            <w:noWrap w:val="0"/>
            <w:vAlign w:val="top"/>
          </w:tcPr>
          <w:p w14:paraId="5A2AD5EA">
            <w:pPr>
              <w:spacing w:line="360" w:lineRule="auto"/>
              <w:jc w:val="center"/>
              <w:rPr>
                <w:rFonts w:hint="eastAsia" w:ascii="宋体" w:hAnsi="宋体" w:cs="仿宋_GB2312"/>
                <w:color w:val="auto"/>
                <w:sz w:val="24"/>
                <w:szCs w:val="24"/>
                <w:highlight w:val="none"/>
              </w:rPr>
            </w:pPr>
          </w:p>
        </w:tc>
        <w:tc>
          <w:tcPr>
            <w:tcW w:w="1440" w:type="dxa"/>
            <w:noWrap w:val="0"/>
            <w:vAlign w:val="top"/>
          </w:tcPr>
          <w:p w14:paraId="074E456E">
            <w:pPr>
              <w:spacing w:line="360" w:lineRule="auto"/>
              <w:jc w:val="center"/>
              <w:rPr>
                <w:rFonts w:hint="eastAsia" w:ascii="宋体" w:hAnsi="宋体" w:cs="仿宋_GB2312"/>
                <w:color w:val="auto"/>
                <w:sz w:val="24"/>
                <w:szCs w:val="24"/>
                <w:highlight w:val="none"/>
              </w:rPr>
            </w:pPr>
          </w:p>
        </w:tc>
        <w:tc>
          <w:tcPr>
            <w:tcW w:w="1980" w:type="dxa"/>
            <w:noWrap w:val="0"/>
            <w:vAlign w:val="top"/>
          </w:tcPr>
          <w:p w14:paraId="057342C4">
            <w:pPr>
              <w:spacing w:line="360" w:lineRule="auto"/>
              <w:jc w:val="center"/>
              <w:rPr>
                <w:rFonts w:hint="eastAsia" w:ascii="宋体" w:hAnsi="宋体" w:cs="仿宋_GB2312"/>
                <w:color w:val="auto"/>
                <w:sz w:val="24"/>
                <w:szCs w:val="24"/>
                <w:highlight w:val="none"/>
              </w:rPr>
            </w:pPr>
          </w:p>
        </w:tc>
        <w:tc>
          <w:tcPr>
            <w:tcW w:w="941" w:type="dxa"/>
            <w:noWrap w:val="0"/>
            <w:vAlign w:val="top"/>
          </w:tcPr>
          <w:p w14:paraId="34CA477B">
            <w:pPr>
              <w:spacing w:line="360" w:lineRule="auto"/>
              <w:jc w:val="center"/>
              <w:rPr>
                <w:rFonts w:hint="eastAsia" w:ascii="宋体" w:hAnsi="宋体" w:cs="仿宋_GB2312"/>
                <w:color w:val="auto"/>
                <w:sz w:val="24"/>
                <w:szCs w:val="24"/>
                <w:highlight w:val="none"/>
              </w:rPr>
            </w:pPr>
          </w:p>
        </w:tc>
      </w:tr>
      <w:tr w14:paraId="1A5E6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67659546">
            <w:pPr>
              <w:spacing w:line="360" w:lineRule="auto"/>
              <w:jc w:val="center"/>
              <w:rPr>
                <w:rFonts w:hint="eastAsia" w:ascii="宋体" w:hAnsi="宋体" w:cs="仿宋_GB2312"/>
                <w:color w:val="auto"/>
                <w:sz w:val="24"/>
                <w:szCs w:val="24"/>
                <w:highlight w:val="none"/>
              </w:rPr>
            </w:pPr>
          </w:p>
        </w:tc>
        <w:tc>
          <w:tcPr>
            <w:tcW w:w="2456" w:type="dxa"/>
            <w:noWrap w:val="0"/>
            <w:vAlign w:val="top"/>
          </w:tcPr>
          <w:p w14:paraId="7A7F7E66">
            <w:pPr>
              <w:spacing w:line="360" w:lineRule="auto"/>
              <w:jc w:val="center"/>
              <w:rPr>
                <w:rFonts w:hint="eastAsia" w:ascii="宋体" w:hAnsi="宋体" w:cs="仿宋_GB2312"/>
                <w:color w:val="auto"/>
                <w:sz w:val="24"/>
                <w:szCs w:val="24"/>
                <w:highlight w:val="none"/>
              </w:rPr>
            </w:pPr>
          </w:p>
        </w:tc>
        <w:tc>
          <w:tcPr>
            <w:tcW w:w="1440" w:type="dxa"/>
            <w:noWrap w:val="0"/>
            <w:vAlign w:val="top"/>
          </w:tcPr>
          <w:p w14:paraId="42B3FB98">
            <w:pPr>
              <w:spacing w:line="360" w:lineRule="auto"/>
              <w:jc w:val="center"/>
              <w:rPr>
                <w:rFonts w:hint="eastAsia" w:ascii="宋体" w:hAnsi="宋体" w:cs="仿宋_GB2312"/>
                <w:color w:val="auto"/>
                <w:sz w:val="24"/>
                <w:szCs w:val="24"/>
                <w:highlight w:val="none"/>
              </w:rPr>
            </w:pPr>
          </w:p>
        </w:tc>
        <w:tc>
          <w:tcPr>
            <w:tcW w:w="1440" w:type="dxa"/>
            <w:noWrap w:val="0"/>
            <w:vAlign w:val="top"/>
          </w:tcPr>
          <w:p w14:paraId="56F440DE">
            <w:pPr>
              <w:spacing w:line="360" w:lineRule="auto"/>
              <w:jc w:val="center"/>
              <w:rPr>
                <w:rFonts w:hint="eastAsia" w:ascii="宋体" w:hAnsi="宋体" w:cs="仿宋_GB2312"/>
                <w:color w:val="auto"/>
                <w:sz w:val="24"/>
                <w:szCs w:val="24"/>
                <w:highlight w:val="none"/>
              </w:rPr>
            </w:pPr>
          </w:p>
        </w:tc>
        <w:tc>
          <w:tcPr>
            <w:tcW w:w="1980" w:type="dxa"/>
            <w:noWrap w:val="0"/>
            <w:vAlign w:val="top"/>
          </w:tcPr>
          <w:p w14:paraId="019614F4">
            <w:pPr>
              <w:spacing w:line="360" w:lineRule="auto"/>
              <w:jc w:val="center"/>
              <w:rPr>
                <w:rFonts w:hint="eastAsia" w:ascii="宋体" w:hAnsi="宋体" w:cs="仿宋_GB2312"/>
                <w:color w:val="auto"/>
                <w:sz w:val="24"/>
                <w:szCs w:val="24"/>
                <w:highlight w:val="none"/>
              </w:rPr>
            </w:pPr>
          </w:p>
        </w:tc>
        <w:tc>
          <w:tcPr>
            <w:tcW w:w="941" w:type="dxa"/>
            <w:noWrap w:val="0"/>
            <w:vAlign w:val="top"/>
          </w:tcPr>
          <w:p w14:paraId="678F0885">
            <w:pPr>
              <w:spacing w:line="360" w:lineRule="auto"/>
              <w:jc w:val="center"/>
              <w:rPr>
                <w:rFonts w:hint="eastAsia" w:ascii="宋体" w:hAnsi="宋体" w:cs="仿宋_GB2312"/>
                <w:color w:val="auto"/>
                <w:sz w:val="24"/>
                <w:szCs w:val="24"/>
                <w:highlight w:val="none"/>
              </w:rPr>
            </w:pPr>
          </w:p>
        </w:tc>
      </w:tr>
      <w:tr w14:paraId="3C5C2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4A23F72A">
            <w:pPr>
              <w:spacing w:line="360" w:lineRule="auto"/>
              <w:jc w:val="center"/>
              <w:rPr>
                <w:rFonts w:hint="eastAsia" w:ascii="宋体" w:hAnsi="宋体" w:cs="仿宋_GB2312"/>
                <w:color w:val="auto"/>
                <w:sz w:val="24"/>
                <w:szCs w:val="24"/>
                <w:highlight w:val="none"/>
              </w:rPr>
            </w:pPr>
          </w:p>
        </w:tc>
        <w:tc>
          <w:tcPr>
            <w:tcW w:w="2456" w:type="dxa"/>
            <w:noWrap w:val="0"/>
            <w:vAlign w:val="top"/>
          </w:tcPr>
          <w:p w14:paraId="73AF261D">
            <w:pPr>
              <w:spacing w:line="360" w:lineRule="auto"/>
              <w:jc w:val="center"/>
              <w:rPr>
                <w:rFonts w:hint="eastAsia" w:ascii="宋体" w:hAnsi="宋体" w:cs="仿宋_GB2312"/>
                <w:color w:val="auto"/>
                <w:sz w:val="24"/>
                <w:szCs w:val="24"/>
                <w:highlight w:val="none"/>
              </w:rPr>
            </w:pPr>
          </w:p>
        </w:tc>
        <w:tc>
          <w:tcPr>
            <w:tcW w:w="1440" w:type="dxa"/>
            <w:noWrap w:val="0"/>
            <w:vAlign w:val="top"/>
          </w:tcPr>
          <w:p w14:paraId="5A58DD0D">
            <w:pPr>
              <w:spacing w:line="360" w:lineRule="auto"/>
              <w:jc w:val="center"/>
              <w:rPr>
                <w:rFonts w:hint="eastAsia" w:ascii="宋体" w:hAnsi="宋体" w:cs="仿宋_GB2312"/>
                <w:color w:val="auto"/>
                <w:sz w:val="24"/>
                <w:szCs w:val="24"/>
                <w:highlight w:val="none"/>
              </w:rPr>
            </w:pPr>
          </w:p>
        </w:tc>
        <w:tc>
          <w:tcPr>
            <w:tcW w:w="1440" w:type="dxa"/>
            <w:noWrap w:val="0"/>
            <w:vAlign w:val="top"/>
          </w:tcPr>
          <w:p w14:paraId="4C1FB323">
            <w:pPr>
              <w:spacing w:line="360" w:lineRule="auto"/>
              <w:jc w:val="center"/>
              <w:rPr>
                <w:rFonts w:hint="eastAsia" w:ascii="宋体" w:hAnsi="宋体" w:cs="仿宋_GB2312"/>
                <w:color w:val="auto"/>
                <w:sz w:val="24"/>
                <w:szCs w:val="24"/>
                <w:highlight w:val="none"/>
              </w:rPr>
            </w:pPr>
          </w:p>
        </w:tc>
        <w:tc>
          <w:tcPr>
            <w:tcW w:w="1980" w:type="dxa"/>
            <w:noWrap w:val="0"/>
            <w:vAlign w:val="top"/>
          </w:tcPr>
          <w:p w14:paraId="3E86D16F">
            <w:pPr>
              <w:spacing w:line="360" w:lineRule="auto"/>
              <w:jc w:val="center"/>
              <w:rPr>
                <w:rFonts w:hint="eastAsia" w:ascii="宋体" w:hAnsi="宋体" w:cs="仿宋_GB2312"/>
                <w:color w:val="auto"/>
                <w:sz w:val="24"/>
                <w:szCs w:val="24"/>
                <w:highlight w:val="none"/>
              </w:rPr>
            </w:pPr>
          </w:p>
        </w:tc>
        <w:tc>
          <w:tcPr>
            <w:tcW w:w="941" w:type="dxa"/>
            <w:noWrap w:val="0"/>
            <w:vAlign w:val="top"/>
          </w:tcPr>
          <w:p w14:paraId="5198B8A5">
            <w:pPr>
              <w:spacing w:line="360" w:lineRule="auto"/>
              <w:jc w:val="center"/>
              <w:rPr>
                <w:rFonts w:hint="eastAsia" w:ascii="宋体" w:hAnsi="宋体" w:cs="仿宋_GB2312"/>
                <w:color w:val="auto"/>
                <w:sz w:val="24"/>
                <w:szCs w:val="24"/>
                <w:highlight w:val="none"/>
              </w:rPr>
            </w:pPr>
          </w:p>
        </w:tc>
      </w:tr>
      <w:tr w14:paraId="5666D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6C1F08CA">
            <w:pPr>
              <w:spacing w:line="360" w:lineRule="auto"/>
              <w:jc w:val="center"/>
              <w:rPr>
                <w:rFonts w:hint="eastAsia" w:ascii="宋体" w:hAnsi="宋体" w:cs="仿宋_GB2312"/>
                <w:color w:val="auto"/>
                <w:sz w:val="24"/>
                <w:szCs w:val="24"/>
                <w:highlight w:val="none"/>
              </w:rPr>
            </w:pPr>
          </w:p>
        </w:tc>
        <w:tc>
          <w:tcPr>
            <w:tcW w:w="2456" w:type="dxa"/>
            <w:noWrap w:val="0"/>
            <w:vAlign w:val="top"/>
          </w:tcPr>
          <w:p w14:paraId="333C14FF">
            <w:pPr>
              <w:spacing w:line="360" w:lineRule="auto"/>
              <w:jc w:val="center"/>
              <w:rPr>
                <w:rFonts w:hint="eastAsia" w:ascii="宋体" w:hAnsi="宋体" w:cs="仿宋_GB2312"/>
                <w:color w:val="auto"/>
                <w:sz w:val="24"/>
                <w:szCs w:val="24"/>
                <w:highlight w:val="none"/>
              </w:rPr>
            </w:pPr>
          </w:p>
        </w:tc>
        <w:tc>
          <w:tcPr>
            <w:tcW w:w="1440" w:type="dxa"/>
            <w:noWrap w:val="0"/>
            <w:vAlign w:val="top"/>
          </w:tcPr>
          <w:p w14:paraId="117C1A70">
            <w:pPr>
              <w:spacing w:line="360" w:lineRule="auto"/>
              <w:jc w:val="center"/>
              <w:rPr>
                <w:rFonts w:hint="eastAsia" w:ascii="宋体" w:hAnsi="宋体" w:cs="仿宋_GB2312"/>
                <w:color w:val="auto"/>
                <w:sz w:val="24"/>
                <w:szCs w:val="24"/>
                <w:highlight w:val="none"/>
              </w:rPr>
            </w:pPr>
          </w:p>
        </w:tc>
        <w:tc>
          <w:tcPr>
            <w:tcW w:w="1440" w:type="dxa"/>
            <w:noWrap w:val="0"/>
            <w:vAlign w:val="top"/>
          </w:tcPr>
          <w:p w14:paraId="73FF5E5A">
            <w:pPr>
              <w:spacing w:line="360" w:lineRule="auto"/>
              <w:jc w:val="center"/>
              <w:rPr>
                <w:rFonts w:hint="eastAsia" w:ascii="宋体" w:hAnsi="宋体" w:cs="仿宋_GB2312"/>
                <w:color w:val="auto"/>
                <w:sz w:val="24"/>
                <w:szCs w:val="24"/>
                <w:highlight w:val="none"/>
              </w:rPr>
            </w:pPr>
          </w:p>
        </w:tc>
        <w:tc>
          <w:tcPr>
            <w:tcW w:w="1980" w:type="dxa"/>
            <w:noWrap w:val="0"/>
            <w:vAlign w:val="top"/>
          </w:tcPr>
          <w:p w14:paraId="6DA5D365">
            <w:pPr>
              <w:spacing w:line="360" w:lineRule="auto"/>
              <w:jc w:val="center"/>
              <w:rPr>
                <w:rFonts w:hint="eastAsia" w:ascii="宋体" w:hAnsi="宋体" w:cs="仿宋_GB2312"/>
                <w:color w:val="auto"/>
                <w:sz w:val="24"/>
                <w:szCs w:val="24"/>
                <w:highlight w:val="none"/>
              </w:rPr>
            </w:pPr>
          </w:p>
        </w:tc>
        <w:tc>
          <w:tcPr>
            <w:tcW w:w="941" w:type="dxa"/>
            <w:noWrap w:val="0"/>
            <w:vAlign w:val="top"/>
          </w:tcPr>
          <w:p w14:paraId="4E87D531">
            <w:pPr>
              <w:spacing w:line="360" w:lineRule="auto"/>
              <w:jc w:val="center"/>
              <w:rPr>
                <w:rFonts w:hint="eastAsia" w:ascii="宋体" w:hAnsi="宋体" w:cs="仿宋_GB2312"/>
                <w:color w:val="auto"/>
                <w:sz w:val="24"/>
                <w:szCs w:val="24"/>
                <w:highlight w:val="none"/>
              </w:rPr>
            </w:pPr>
          </w:p>
        </w:tc>
      </w:tr>
    </w:tbl>
    <w:p w14:paraId="6D1EAFDC">
      <w:pPr>
        <w:spacing w:line="0" w:lineRule="atLeast"/>
        <w:ind w:left="100"/>
        <w:rPr>
          <w:rFonts w:hint="eastAsia" w:ascii="宋体" w:hAnsi="宋体" w:cs="宋体"/>
          <w:b/>
          <w:bCs/>
          <w:color w:val="auto"/>
          <w:sz w:val="24"/>
          <w:highlight w:val="none"/>
        </w:rPr>
      </w:pPr>
      <w:r>
        <w:rPr>
          <w:rFonts w:hint="eastAsia" w:ascii="宋体" w:hAnsi="宋体" w:cs="宋体"/>
          <w:b/>
          <w:bCs/>
          <w:color w:val="auto"/>
          <w:sz w:val="24"/>
          <w:highlight w:val="none"/>
        </w:rPr>
        <w:t>备注：</w:t>
      </w:r>
      <w:r>
        <w:rPr>
          <w:rFonts w:hint="eastAsia" w:ascii="宋体" w:hAnsi="宋体" w:cs="宋体"/>
          <w:b/>
          <w:bCs/>
          <w:color w:val="auto"/>
          <w:sz w:val="24"/>
          <w:highlight w:val="none"/>
          <w:lang w:eastAsia="zh-CN"/>
        </w:rPr>
        <w:t>供应商</w:t>
      </w:r>
      <w:r>
        <w:rPr>
          <w:rFonts w:hint="eastAsia" w:ascii="宋体" w:hAnsi="宋体" w:cs="宋体"/>
          <w:b/>
          <w:bCs/>
          <w:color w:val="auto"/>
          <w:sz w:val="24"/>
          <w:highlight w:val="none"/>
        </w:rPr>
        <w:t>可适当调整该表格式，但不得减少信息内容。</w:t>
      </w:r>
    </w:p>
    <w:p w14:paraId="3C59F328">
      <w:pPr>
        <w:spacing w:line="200" w:lineRule="exact"/>
        <w:rPr>
          <w:rFonts w:hint="eastAsia" w:ascii="宋体" w:hAnsi="宋体" w:cs="宋体"/>
          <w:color w:val="auto"/>
          <w:highlight w:val="none"/>
        </w:rPr>
      </w:pPr>
    </w:p>
    <w:p w14:paraId="3ADA9F1A">
      <w:pPr>
        <w:spacing w:line="200" w:lineRule="exact"/>
        <w:rPr>
          <w:rFonts w:hint="eastAsia" w:ascii="宋体" w:hAnsi="宋体" w:cs="宋体"/>
          <w:color w:val="auto"/>
          <w:highlight w:val="none"/>
        </w:rPr>
      </w:pPr>
    </w:p>
    <w:p w14:paraId="3B2AC9F4">
      <w:pPr>
        <w:spacing w:line="360" w:lineRule="auto"/>
        <w:ind w:right="-161"/>
        <w:jc w:val="right"/>
        <w:rPr>
          <w:rFonts w:hint="eastAsia" w:ascii="宋体" w:hAnsi="宋体" w:cs="宋体"/>
          <w:color w:val="auto"/>
          <w:sz w:val="24"/>
          <w:szCs w:val="24"/>
          <w:highlight w:val="none"/>
        </w:rPr>
      </w:pPr>
    </w:p>
    <w:p w14:paraId="35D30B89">
      <w:pPr>
        <w:spacing w:line="360" w:lineRule="auto"/>
        <w:ind w:right="-161"/>
        <w:jc w:val="right"/>
        <w:rPr>
          <w:rFonts w:hint="eastAsia" w:ascii="宋体" w:hAnsi="宋体" w:cs="宋体"/>
          <w:color w:val="auto"/>
          <w:sz w:val="24"/>
          <w:szCs w:val="24"/>
          <w:highlight w:val="none"/>
        </w:rPr>
      </w:pPr>
    </w:p>
    <w:p w14:paraId="45815736">
      <w:pPr>
        <w:spacing w:line="360" w:lineRule="auto"/>
        <w:ind w:right="-161"/>
        <w:jc w:val="center"/>
        <w:rPr>
          <w:rFonts w:hint="eastAsia" w:ascii="宋体" w:hAnsi="宋体" w:cs="宋体"/>
          <w:color w:val="auto"/>
          <w:sz w:val="24"/>
          <w:szCs w:val="24"/>
          <w:highlight w:val="none"/>
          <w:u w:val="singl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法人代表或被授权代表：</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lang w:bidi="ar"/>
        </w:rPr>
        <w:t>（盖章或签字）</w:t>
      </w:r>
    </w:p>
    <w:p w14:paraId="20CEEF5B">
      <w:pPr>
        <w:widowControl/>
        <w:spacing w:line="360" w:lineRule="auto"/>
        <w:jc w:val="center"/>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 xml:space="preserve">       投   标   人  ：</w:t>
      </w:r>
      <w:r>
        <w:rPr>
          <w:rFonts w:hint="eastAsia" w:ascii="宋体" w:hAnsi="宋体" w:cs="宋体"/>
          <w:color w:val="auto"/>
          <w:sz w:val="24"/>
          <w:szCs w:val="24"/>
          <w:highlight w:val="none"/>
          <w:u w:val="single"/>
        </w:rPr>
        <w:t xml:space="preserve">                      </w:t>
      </w:r>
      <w:r>
        <w:rPr>
          <w:rFonts w:hint="eastAsia" w:ascii="宋体" w:hAnsi="宋体" w:cs="宋体"/>
          <w:color w:val="auto"/>
          <w:kern w:val="0"/>
          <w:sz w:val="24"/>
          <w:szCs w:val="24"/>
          <w:highlight w:val="none"/>
          <w:lang w:bidi="ar"/>
        </w:rPr>
        <w:t xml:space="preserve">（盖单位章） </w:t>
      </w:r>
    </w:p>
    <w:p w14:paraId="2846B81B">
      <w:pPr>
        <w:pStyle w:val="3"/>
        <w:adjustRightInd w:val="0"/>
        <w:spacing w:line="360" w:lineRule="exact"/>
        <w:ind w:firstLine="1920" w:firstLineChars="800"/>
        <w:jc w:val="both"/>
        <w:textAlignment w:val="baseline"/>
        <w:rPr>
          <w:rFonts w:hint="eastAsia" w:ascii="宋体" w:hAnsi="宋体" w:eastAsia="宋体" w:cs="宋体"/>
          <w:color w:val="auto"/>
          <w:szCs w:val="22"/>
          <w:highlight w:val="none"/>
        </w:rPr>
      </w:pPr>
      <w:r>
        <w:rPr>
          <w:rFonts w:hint="eastAsia" w:ascii="宋体" w:hAnsi="宋体" w:eastAsia="宋体" w:cs="宋体"/>
          <w:b w:val="0"/>
          <w:color w:val="auto"/>
          <w:kern w:val="2"/>
          <w:sz w:val="24"/>
          <w:szCs w:val="24"/>
          <w:highlight w:val="none"/>
          <w:lang w:val="en-US" w:eastAsia="zh-CN" w:bidi="ar-SA"/>
        </w:rPr>
        <w:t>日                 期：</w:t>
      </w:r>
      <w:r>
        <w:rPr>
          <w:rFonts w:hint="eastAsia" w:ascii="宋体" w:hAnsi="宋体" w:cs="宋体"/>
          <w:color w:val="auto"/>
          <w:sz w:val="24"/>
          <w:szCs w:val="24"/>
          <w:highlight w:val="none"/>
          <w:u w:val="single"/>
        </w:rPr>
        <w:t xml:space="preserve">                      </w:t>
      </w:r>
    </w:p>
    <w:p w14:paraId="2BCF74FD">
      <w:pPr>
        <w:pStyle w:val="3"/>
        <w:adjustRightInd w:val="0"/>
        <w:spacing w:line="360" w:lineRule="exact"/>
        <w:jc w:val="center"/>
        <w:textAlignment w:val="baseline"/>
        <w:rPr>
          <w:rFonts w:hint="eastAsia" w:ascii="宋体" w:hAnsi="宋体" w:eastAsia="宋体" w:cs="宋体"/>
          <w:color w:val="auto"/>
          <w:szCs w:val="22"/>
          <w:highlight w:val="none"/>
        </w:rPr>
      </w:pPr>
    </w:p>
    <w:p w14:paraId="2377C42D">
      <w:pPr>
        <w:pStyle w:val="3"/>
        <w:adjustRightInd w:val="0"/>
        <w:spacing w:line="360" w:lineRule="exact"/>
        <w:jc w:val="center"/>
        <w:textAlignment w:val="baseline"/>
        <w:rPr>
          <w:rFonts w:hint="eastAsia" w:ascii="宋体" w:hAnsi="宋体" w:eastAsia="宋体" w:cs="宋体"/>
          <w:color w:val="auto"/>
          <w:szCs w:val="22"/>
          <w:highlight w:val="none"/>
        </w:rPr>
      </w:pPr>
    </w:p>
    <w:p w14:paraId="1167752C">
      <w:pPr>
        <w:rPr>
          <w:rFonts w:hint="eastAsia" w:ascii="宋体" w:hAnsi="宋体" w:eastAsia="宋体" w:cs="宋体"/>
          <w:color w:val="auto"/>
          <w:szCs w:val="22"/>
          <w:highlight w:val="none"/>
        </w:rPr>
      </w:pPr>
    </w:p>
    <w:p w14:paraId="567B5A4B">
      <w:pPr>
        <w:rPr>
          <w:rFonts w:hint="eastAsia" w:ascii="宋体" w:hAnsi="宋体" w:eastAsia="宋体" w:cs="宋体"/>
          <w:color w:val="auto"/>
          <w:szCs w:val="22"/>
          <w:highlight w:val="none"/>
        </w:rPr>
      </w:pPr>
    </w:p>
    <w:p w14:paraId="69009E88">
      <w:pPr>
        <w:rPr>
          <w:rFonts w:hint="eastAsia" w:ascii="宋体" w:hAnsi="宋体" w:eastAsia="宋体" w:cs="宋体"/>
          <w:color w:val="auto"/>
          <w:szCs w:val="22"/>
          <w:highlight w:val="none"/>
        </w:rPr>
      </w:pPr>
    </w:p>
    <w:p w14:paraId="39D18D65">
      <w:pPr>
        <w:pStyle w:val="3"/>
        <w:adjustRightInd w:val="0"/>
        <w:spacing w:line="360" w:lineRule="exact"/>
        <w:jc w:val="center"/>
        <w:textAlignment w:val="baseline"/>
        <w:rPr>
          <w:rFonts w:ascii="宋体" w:hAnsi="宋体" w:eastAsia="宋体" w:cs="宋体"/>
          <w:color w:val="auto"/>
          <w:szCs w:val="22"/>
          <w:highlight w:val="none"/>
        </w:rPr>
      </w:pPr>
      <w:r>
        <w:rPr>
          <w:rFonts w:hint="eastAsia" w:ascii="宋体" w:hAnsi="宋体" w:eastAsia="宋体" w:cs="宋体"/>
          <w:color w:val="auto"/>
          <w:szCs w:val="22"/>
          <w:highlight w:val="none"/>
        </w:rPr>
        <w:t>十</w:t>
      </w:r>
      <w:r>
        <w:rPr>
          <w:rFonts w:hint="eastAsia" w:ascii="宋体" w:hAnsi="宋体" w:eastAsia="宋体" w:cs="宋体"/>
          <w:color w:val="auto"/>
          <w:szCs w:val="22"/>
          <w:highlight w:val="none"/>
          <w:lang w:val="en-US" w:eastAsia="zh-CN"/>
        </w:rPr>
        <w:t>一</w:t>
      </w:r>
      <w:r>
        <w:rPr>
          <w:rFonts w:hint="eastAsia" w:ascii="宋体" w:hAnsi="宋体" w:eastAsia="宋体" w:cs="宋体"/>
          <w:color w:val="auto"/>
          <w:szCs w:val="22"/>
          <w:highlight w:val="none"/>
        </w:rPr>
        <w:t>、法定代表人证明书及法定代表人授权委托书</w:t>
      </w:r>
      <w:bookmarkEnd w:id="532"/>
      <w:bookmarkEnd w:id="535"/>
    </w:p>
    <w:p w14:paraId="2DAA3A5C">
      <w:pPr>
        <w:pStyle w:val="3"/>
        <w:adjustRightInd w:val="0"/>
        <w:spacing w:line="360" w:lineRule="exact"/>
        <w:jc w:val="center"/>
        <w:textAlignment w:val="baseline"/>
        <w:rPr>
          <w:rFonts w:ascii="宋体" w:hAnsi="宋体" w:eastAsia="宋体" w:cs="宋体"/>
          <w:color w:val="auto"/>
          <w:szCs w:val="22"/>
          <w:highlight w:val="none"/>
        </w:rPr>
      </w:pPr>
      <w:bookmarkStart w:id="536" w:name="_Toc31829"/>
      <w:bookmarkStart w:id="537" w:name="_Toc10100"/>
      <w:r>
        <w:rPr>
          <w:rFonts w:hint="eastAsia" w:ascii="宋体" w:hAnsi="宋体" w:eastAsia="宋体" w:cs="宋体"/>
          <w:color w:val="auto"/>
          <w:szCs w:val="22"/>
          <w:highlight w:val="none"/>
          <w:lang w:val="en-US" w:eastAsia="zh-CN"/>
        </w:rPr>
        <w:t>11</w:t>
      </w:r>
      <w:r>
        <w:rPr>
          <w:rFonts w:hint="eastAsia" w:ascii="宋体" w:hAnsi="宋体" w:eastAsia="宋体" w:cs="宋体"/>
          <w:color w:val="auto"/>
          <w:szCs w:val="22"/>
          <w:highlight w:val="none"/>
        </w:rPr>
        <w:t>.1法定代表人证明书</w:t>
      </w:r>
      <w:bookmarkEnd w:id="536"/>
      <w:bookmarkEnd w:id="537"/>
    </w:p>
    <w:tbl>
      <w:tblPr>
        <w:tblStyle w:val="19"/>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234"/>
        <w:gridCol w:w="2234"/>
        <w:gridCol w:w="187"/>
        <w:gridCol w:w="2230"/>
        <w:gridCol w:w="2190"/>
      </w:tblGrid>
      <w:tr w14:paraId="7CD7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660" w:type="dxa"/>
            <w:gridSpan w:val="6"/>
            <w:noWrap w:val="0"/>
            <w:vAlign w:val="center"/>
          </w:tcPr>
          <w:p w14:paraId="4E63791D">
            <w:pPr>
              <w:tabs>
                <w:tab w:val="left" w:pos="210"/>
              </w:tabs>
              <w:spacing w:line="320" w:lineRule="exact"/>
              <w:rPr>
                <w:rFonts w:hint="eastAsia" w:ascii="宋体" w:hAnsi="宋体" w:eastAsia="宋体" w:cs="Arial"/>
                <w:color w:val="auto"/>
                <w:kern w:val="0"/>
                <w:sz w:val="24"/>
                <w:highlight w:val="none"/>
                <w:lang w:eastAsia="zh-CN"/>
              </w:rPr>
            </w:pPr>
            <w:r>
              <w:rPr>
                <w:rFonts w:hint="eastAsia" w:ascii="宋体" w:hAnsi="宋体" w:cs="Arial"/>
                <w:color w:val="auto"/>
                <w:kern w:val="0"/>
                <w:sz w:val="24"/>
                <w:highlight w:val="none"/>
              </w:rPr>
              <w:t>致：</w:t>
            </w:r>
            <w:r>
              <w:rPr>
                <w:rFonts w:hint="eastAsia" w:ascii="宋体" w:hAnsi="宋体" w:cs="Arial"/>
                <w:color w:val="auto"/>
                <w:kern w:val="0"/>
                <w:sz w:val="24"/>
                <w:highlight w:val="none"/>
                <w:lang w:eastAsia="zh-CN"/>
              </w:rPr>
              <w:t>陕安项目管理有限公司</w:t>
            </w:r>
          </w:p>
        </w:tc>
      </w:tr>
      <w:tr w14:paraId="535D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85" w:type="dxa"/>
            <w:vMerge w:val="restart"/>
            <w:noWrap w:val="0"/>
            <w:vAlign w:val="center"/>
          </w:tcPr>
          <w:p w14:paraId="73FDFBA8">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企</w:t>
            </w:r>
          </w:p>
          <w:p w14:paraId="4580227E">
            <w:pPr>
              <w:tabs>
                <w:tab w:val="left" w:pos="210"/>
              </w:tabs>
              <w:spacing w:line="320" w:lineRule="exact"/>
              <w:jc w:val="center"/>
              <w:rPr>
                <w:rFonts w:ascii="宋体" w:hAnsi="宋体" w:cs="Arial"/>
                <w:color w:val="auto"/>
                <w:kern w:val="0"/>
                <w:sz w:val="24"/>
                <w:highlight w:val="none"/>
              </w:rPr>
            </w:pPr>
          </w:p>
          <w:p w14:paraId="3C82D112">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业</w:t>
            </w:r>
          </w:p>
          <w:p w14:paraId="7AFDE5C7">
            <w:pPr>
              <w:tabs>
                <w:tab w:val="left" w:pos="210"/>
              </w:tabs>
              <w:spacing w:line="320" w:lineRule="exact"/>
              <w:jc w:val="center"/>
              <w:rPr>
                <w:rFonts w:ascii="宋体" w:hAnsi="宋体" w:cs="Arial"/>
                <w:color w:val="auto"/>
                <w:kern w:val="0"/>
                <w:sz w:val="24"/>
                <w:highlight w:val="none"/>
              </w:rPr>
            </w:pPr>
          </w:p>
          <w:p w14:paraId="1B87D79C">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法</w:t>
            </w:r>
          </w:p>
          <w:p w14:paraId="382B4C74">
            <w:pPr>
              <w:tabs>
                <w:tab w:val="left" w:pos="210"/>
              </w:tabs>
              <w:spacing w:line="320" w:lineRule="exact"/>
              <w:jc w:val="center"/>
              <w:rPr>
                <w:rFonts w:ascii="宋体" w:hAnsi="宋体" w:cs="Arial"/>
                <w:color w:val="auto"/>
                <w:kern w:val="0"/>
                <w:sz w:val="24"/>
                <w:highlight w:val="none"/>
              </w:rPr>
            </w:pPr>
          </w:p>
          <w:p w14:paraId="28F5DF60">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人</w:t>
            </w:r>
          </w:p>
        </w:tc>
        <w:tc>
          <w:tcPr>
            <w:tcW w:w="2234" w:type="dxa"/>
            <w:noWrap w:val="0"/>
            <w:vAlign w:val="center"/>
          </w:tcPr>
          <w:p w14:paraId="67B866AB">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企业名称</w:t>
            </w:r>
          </w:p>
        </w:tc>
        <w:tc>
          <w:tcPr>
            <w:tcW w:w="6841" w:type="dxa"/>
            <w:gridSpan w:val="4"/>
            <w:noWrap w:val="0"/>
            <w:vAlign w:val="center"/>
          </w:tcPr>
          <w:p w14:paraId="06D4821A">
            <w:pPr>
              <w:tabs>
                <w:tab w:val="left" w:pos="210"/>
              </w:tabs>
              <w:spacing w:line="320" w:lineRule="exact"/>
              <w:jc w:val="center"/>
              <w:rPr>
                <w:rFonts w:ascii="宋体" w:hAnsi="宋体" w:cs="Arial"/>
                <w:color w:val="auto"/>
                <w:kern w:val="0"/>
                <w:sz w:val="24"/>
                <w:highlight w:val="none"/>
              </w:rPr>
            </w:pPr>
          </w:p>
        </w:tc>
      </w:tr>
      <w:tr w14:paraId="41B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85" w:type="dxa"/>
            <w:vMerge w:val="continue"/>
            <w:noWrap w:val="0"/>
            <w:vAlign w:val="center"/>
          </w:tcPr>
          <w:p w14:paraId="3651A335">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5E32828C">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法定地址</w:t>
            </w:r>
          </w:p>
        </w:tc>
        <w:tc>
          <w:tcPr>
            <w:tcW w:w="6841" w:type="dxa"/>
            <w:gridSpan w:val="4"/>
            <w:noWrap w:val="0"/>
            <w:vAlign w:val="center"/>
          </w:tcPr>
          <w:p w14:paraId="08955765">
            <w:pPr>
              <w:tabs>
                <w:tab w:val="left" w:pos="210"/>
              </w:tabs>
              <w:spacing w:line="320" w:lineRule="exact"/>
              <w:jc w:val="center"/>
              <w:rPr>
                <w:rFonts w:ascii="宋体" w:hAnsi="宋体" w:cs="Arial"/>
                <w:color w:val="auto"/>
                <w:kern w:val="0"/>
                <w:sz w:val="24"/>
                <w:highlight w:val="none"/>
              </w:rPr>
            </w:pPr>
          </w:p>
        </w:tc>
      </w:tr>
      <w:tr w14:paraId="457B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85" w:type="dxa"/>
            <w:vMerge w:val="continue"/>
            <w:noWrap w:val="0"/>
            <w:vAlign w:val="center"/>
          </w:tcPr>
          <w:p w14:paraId="3F0B8216">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30A921F9">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邮政编码</w:t>
            </w:r>
          </w:p>
        </w:tc>
        <w:tc>
          <w:tcPr>
            <w:tcW w:w="6841" w:type="dxa"/>
            <w:gridSpan w:val="4"/>
            <w:noWrap w:val="0"/>
            <w:vAlign w:val="center"/>
          </w:tcPr>
          <w:p w14:paraId="6B6D4AA8">
            <w:pPr>
              <w:tabs>
                <w:tab w:val="left" w:pos="210"/>
              </w:tabs>
              <w:spacing w:line="320" w:lineRule="exact"/>
              <w:jc w:val="center"/>
              <w:rPr>
                <w:rFonts w:ascii="宋体" w:hAnsi="宋体" w:cs="Arial"/>
                <w:color w:val="auto"/>
                <w:kern w:val="0"/>
                <w:sz w:val="24"/>
                <w:highlight w:val="none"/>
              </w:rPr>
            </w:pPr>
          </w:p>
        </w:tc>
      </w:tr>
      <w:tr w14:paraId="2C30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85" w:type="dxa"/>
            <w:vMerge w:val="continue"/>
            <w:noWrap w:val="0"/>
            <w:vAlign w:val="center"/>
          </w:tcPr>
          <w:p w14:paraId="0963C632">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6AB5C382">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工商登记机关</w:t>
            </w:r>
          </w:p>
        </w:tc>
        <w:tc>
          <w:tcPr>
            <w:tcW w:w="6841" w:type="dxa"/>
            <w:gridSpan w:val="4"/>
            <w:noWrap w:val="0"/>
            <w:vAlign w:val="center"/>
          </w:tcPr>
          <w:p w14:paraId="3A66ECE0">
            <w:pPr>
              <w:tabs>
                <w:tab w:val="left" w:pos="210"/>
              </w:tabs>
              <w:spacing w:line="320" w:lineRule="exact"/>
              <w:jc w:val="center"/>
              <w:rPr>
                <w:rFonts w:ascii="宋体" w:hAnsi="宋体" w:cs="Arial"/>
                <w:color w:val="auto"/>
                <w:kern w:val="0"/>
                <w:sz w:val="24"/>
                <w:highlight w:val="none"/>
              </w:rPr>
            </w:pPr>
          </w:p>
        </w:tc>
      </w:tr>
      <w:tr w14:paraId="634C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85" w:type="dxa"/>
            <w:vMerge w:val="continue"/>
            <w:noWrap w:val="0"/>
            <w:vAlign w:val="center"/>
          </w:tcPr>
          <w:p w14:paraId="7AFEE51A">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3D56471B">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税务登记机关</w:t>
            </w:r>
          </w:p>
        </w:tc>
        <w:tc>
          <w:tcPr>
            <w:tcW w:w="6841" w:type="dxa"/>
            <w:gridSpan w:val="4"/>
            <w:noWrap w:val="0"/>
            <w:vAlign w:val="center"/>
          </w:tcPr>
          <w:p w14:paraId="223EE24C">
            <w:pPr>
              <w:tabs>
                <w:tab w:val="left" w:pos="210"/>
              </w:tabs>
              <w:spacing w:line="320" w:lineRule="exact"/>
              <w:jc w:val="center"/>
              <w:rPr>
                <w:rFonts w:ascii="宋体" w:hAnsi="宋体" w:cs="Arial"/>
                <w:color w:val="auto"/>
                <w:kern w:val="0"/>
                <w:sz w:val="24"/>
                <w:highlight w:val="none"/>
              </w:rPr>
            </w:pPr>
          </w:p>
        </w:tc>
      </w:tr>
      <w:tr w14:paraId="03CC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85" w:type="dxa"/>
            <w:vMerge w:val="continue"/>
            <w:noWrap w:val="0"/>
            <w:vAlign w:val="center"/>
          </w:tcPr>
          <w:p w14:paraId="0D82D014">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5ECF92CD">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机构代码证号</w:t>
            </w:r>
          </w:p>
        </w:tc>
        <w:tc>
          <w:tcPr>
            <w:tcW w:w="6841" w:type="dxa"/>
            <w:gridSpan w:val="4"/>
            <w:noWrap w:val="0"/>
            <w:vAlign w:val="center"/>
          </w:tcPr>
          <w:p w14:paraId="590A8B4A">
            <w:pPr>
              <w:tabs>
                <w:tab w:val="left" w:pos="210"/>
              </w:tabs>
              <w:spacing w:line="320" w:lineRule="exact"/>
              <w:jc w:val="center"/>
              <w:rPr>
                <w:rFonts w:ascii="宋体" w:hAnsi="宋体" w:cs="Arial"/>
                <w:color w:val="auto"/>
                <w:kern w:val="0"/>
                <w:sz w:val="24"/>
                <w:highlight w:val="none"/>
              </w:rPr>
            </w:pPr>
          </w:p>
        </w:tc>
      </w:tr>
      <w:tr w14:paraId="469F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819" w:type="dxa"/>
            <w:gridSpan w:val="2"/>
            <w:noWrap w:val="0"/>
            <w:vAlign w:val="center"/>
          </w:tcPr>
          <w:p w14:paraId="43D4887D">
            <w:pPr>
              <w:tabs>
                <w:tab w:val="left" w:pos="210"/>
              </w:tabs>
              <w:spacing w:line="320" w:lineRule="exact"/>
              <w:jc w:val="center"/>
              <w:rPr>
                <w:rFonts w:hint="eastAsia" w:ascii="宋体" w:hAnsi="宋体" w:cs="Arial"/>
                <w:color w:val="auto"/>
                <w:kern w:val="0"/>
                <w:sz w:val="24"/>
                <w:highlight w:val="none"/>
              </w:rPr>
            </w:pPr>
            <w:r>
              <w:rPr>
                <w:rFonts w:hint="eastAsia" w:ascii="宋体" w:hAnsi="宋体" w:cs="宋体"/>
                <w:color w:val="auto"/>
                <w:sz w:val="24"/>
                <w:szCs w:val="24"/>
                <w:highlight w:val="none"/>
                <w:shd w:val="clear" w:color="auto" w:fill="FFFFFF"/>
              </w:rPr>
              <w:t>项目名称</w:t>
            </w:r>
          </w:p>
        </w:tc>
        <w:tc>
          <w:tcPr>
            <w:tcW w:w="6841" w:type="dxa"/>
            <w:gridSpan w:val="4"/>
            <w:noWrap w:val="0"/>
            <w:vAlign w:val="center"/>
          </w:tcPr>
          <w:p w14:paraId="62A4F4FA">
            <w:pPr>
              <w:tabs>
                <w:tab w:val="left" w:pos="210"/>
              </w:tabs>
              <w:spacing w:line="320" w:lineRule="exact"/>
              <w:jc w:val="center"/>
              <w:rPr>
                <w:rFonts w:ascii="宋体" w:hAnsi="宋体" w:cs="Arial"/>
                <w:color w:val="auto"/>
                <w:kern w:val="0"/>
                <w:sz w:val="24"/>
                <w:highlight w:val="none"/>
              </w:rPr>
            </w:pPr>
          </w:p>
        </w:tc>
      </w:tr>
      <w:tr w14:paraId="2177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19" w:type="dxa"/>
            <w:gridSpan w:val="2"/>
            <w:noWrap w:val="0"/>
            <w:vAlign w:val="center"/>
          </w:tcPr>
          <w:p w14:paraId="7E6549EE">
            <w:pPr>
              <w:tabs>
                <w:tab w:val="left" w:pos="210"/>
              </w:tabs>
              <w:spacing w:line="320" w:lineRule="exact"/>
              <w:jc w:val="center"/>
              <w:rPr>
                <w:rFonts w:hint="eastAsia" w:ascii="宋体" w:hAnsi="宋体" w:cs="Arial"/>
                <w:color w:val="auto"/>
                <w:kern w:val="0"/>
                <w:sz w:val="24"/>
                <w:highlight w:val="none"/>
              </w:rPr>
            </w:pPr>
            <w:r>
              <w:rPr>
                <w:rFonts w:hint="eastAsia" w:ascii="宋体" w:hAnsi="宋体" w:cs="宋体"/>
                <w:color w:val="auto"/>
                <w:sz w:val="24"/>
                <w:szCs w:val="24"/>
                <w:highlight w:val="none"/>
              </w:rPr>
              <w:t>项目编号</w:t>
            </w:r>
          </w:p>
        </w:tc>
        <w:tc>
          <w:tcPr>
            <w:tcW w:w="6841" w:type="dxa"/>
            <w:gridSpan w:val="4"/>
            <w:noWrap w:val="0"/>
            <w:vAlign w:val="center"/>
          </w:tcPr>
          <w:p w14:paraId="031B0C9D">
            <w:pPr>
              <w:tabs>
                <w:tab w:val="left" w:pos="210"/>
              </w:tabs>
              <w:spacing w:line="320" w:lineRule="exact"/>
              <w:jc w:val="center"/>
              <w:rPr>
                <w:rFonts w:ascii="宋体" w:hAnsi="宋体" w:cs="Arial"/>
                <w:color w:val="auto"/>
                <w:kern w:val="0"/>
                <w:sz w:val="24"/>
                <w:highlight w:val="none"/>
              </w:rPr>
            </w:pPr>
          </w:p>
        </w:tc>
      </w:tr>
      <w:tr w14:paraId="4FB8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85" w:type="dxa"/>
            <w:vMerge w:val="restart"/>
            <w:noWrap w:val="0"/>
            <w:vAlign w:val="center"/>
          </w:tcPr>
          <w:p w14:paraId="57DA9C5C">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法定代表人</w:t>
            </w:r>
          </w:p>
        </w:tc>
        <w:tc>
          <w:tcPr>
            <w:tcW w:w="2234" w:type="dxa"/>
            <w:noWrap w:val="0"/>
            <w:vAlign w:val="center"/>
          </w:tcPr>
          <w:p w14:paraId="0C75E1ED">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姓名</w:t>
            </w:r>
          </w:p>
        </w:tc>
        <w:tc>
          <w:tcPr>
            <w:tcW w:w="2421" w:type="dxa"/>
            <w:gridSpan w:val="2"/>
            <w:noWrap w:val="0"/>
            <w:vAlign w:val="center"/>
          </w:tcPr>
          <w:p w14:paraId="0B94AA0A">
            <w:pPr>
              <w:tabs>
                <w:tab w:val="left" w:pos="210"/>
              </w:tabs>
              <w:spacing w:line="320" w:lineRule="exact"/>
              <w:jc w:val="center"/>
              <w:rPr>
                <w:rFonts w:ascii="宋体" w:hAnsi="宋体" w:cs="Arial"/>
                <w:color w:val="auto"/>
                <w:kern w:val="0"/>
                <w:sz w:val="24"/>
                <w:highlight w:val="none"/>
              </w:rPr>
            </w:pPr>
          </w:p>
        </w:tc>
        <w:tc>
          <w:tcPr>
            <w:tcW w:w="2230" w:type="dxa"/>
            <w:noWrap w:val="0"/>
            <w:vAlign w:val="center"/>
          </w:tcPr>
          <w:p w14:paraId="1BDE0350">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性别</w:t>
            </w:r>
          </w:p>
        </w:tc>
        <w:tc>
          <w:tcPr>
            <w:tcW w:w="2190" w:type="dxa"/>
            <w:noWrap w:val="0"/>
            <w:vAlign w:val="center"/>
          </w:tcPr>
          <w:p w14:paraId="205303C1">
            <w:pPr>
              <w:tabs>
                <w:tab w:val="left" w:pos="210"/>
              </w:tabs>
              <w:spacing w:line="320" w:lineRule="exact"/>
              <w:jc w:val="center"/>
              <w:rPr>
                <w:rFonts w:ascii="宋体" w:hAnsi="宋体" w:cs="Arial"/>
                <w:color w:val="auto"/>
                <w:kern w:val="0"/>
                <w:sz w:val="24"/>
                <w:highlight w:val="none"/>
              </w:rPr>
            </w:pPr>
          </w:p>
        </w:tc>
      </w:tr>
      <w:tr w14:paraId="41AE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85" w:type="dxa"/>
            <w:vMerge w:val="continue"/>
            <w:noWrap w:val="0"/>
            <w:vAlign w:val="center"/>
          </w:tcPr>
          <w:p w14:paraId="2EAC1B64">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1761CF8B">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职务</w:t>
            </w:r>
          </w:p>
        </w:tc>
        <w:tc>
          <w:tcPr>
            <w:tcW w:w="2421" w:type="dxa"/>
            <w:gridSpan w:val="2"/>
            <w:noWrap w:val="0"/>
            <w:vAlign w:val="center"/>
          </w:tcPr>
          <w:p w14:paraId="5C310A4F">
            <w:pPr>
              <w:tabs>
                <w:tab w:val="left" w:pos="210"/>
              </w:tabs>
              <w:spacing w:line="320" w:lineRule="exact"/>
              <w:jc w:val="center"/>
              <w:rPr>
                <w:rFonts w:ascii="宋体" w:hAnsi="宋体" w:cs="Arial"/>
                <w:color w:val="auto"/>
                <w:kern w:val="0"/>
                <w:sz w:val="24"/>
                <w:highlight w:val="none"/>
              </w:rPr>
            </w:pPr>
          </w:p>
        </w:tc>
        <w:tc>
          <w:tcPr>
            <w:tcW w:w="2230" w:type="dxa"/>
            <w:noWrap w:val="0"/>
            <w:vAlign w:val="center"/>
          </w:tcPr>
          <w:p w14:paraId="0CA85E47">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联系电话</w:t>
            </w:r>
          </w:p>
        </w:tc>
        <w:tc>
          <w:tcPr>
            <w:tcW w:w="2190" w:type="dxa"/>
            <w:noWrap w:val="0"/>
            <w:vAlign w:val="center"/>
          </w:tcPr>
          <w:p w14:paraId="3F9C9C3F">
            <w:pPr>
              <w:tabs>
                <w:tab w:val="left" w:pos="210"/>
              </w:tabs>
              <w:spacing w:line="320" w:lineRule="exact"/>
              <w:jc w:val="center"/>
              <w:rPr>
                <w:rFonts w:ascii="宋体" w:hAnsi="宋体" w:cs="Arial"/>
                <w:color w:val="auto"/>
                <w:kern w:val="0"/>
                <w:sz w:val="24"/>
                <w:highlight w:val="none"/>
              </w:rPr>
            </w:pPr>
          </w:p>
        </w:tc>
      </w:tr>
      <w:tr w14:paraId="675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5" w:type="dxa"/>
            <w:vMerge w:val="continue"/>
            <w:noWrap w:val="0"/>
            <w:vAlign w:val="center"/>
          </w:tcPr>
          <w:p w14:paraId="5860DBDA">
            <w:pPr>
              <w:tabs>
                <w:tab w:val="left" w:pos="210"/>
              </w:tabs>
              <w:spacing w:line="320" w:lineRule="exact"/>
              <w:jc w:val="center"/>
              <w:rPr>
                <w:rFonts w:ascii="宋体" w:hAnsi="宋体" w:cs="Arial"/>
                <w:color w:val="auto"/>
                <w:kern w:val="0"/>
                <w:sz w:val="24"/>
                <w:highlight w:val="none"/>
              </w:rPr>
            </w:pPr>
          </w:p>
        </w:tc>
        <w:tc>
          <w:tcPr>
            <w:tcW w:w="2234" w:type="dxa"/>
            <w:noWrap w:val="0"/>
            <w:vAlign w:val="center"/>
          </w:tcPr>
          <w:p w14:paraId="3FB76D7F">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传真</w:t>
            </w:r>
          </w:p>
        </w:tc>
        <w:tc>
          <w:tcPr>
            <w:tcW w:w="6841" w:type="dxa"/>
            <w:gridSpan w:val="4"/>
            <w:noWrap w:val="0"/>
            <w:vAlign w:val="center"/>
          </w:tcPr>
          <w:p w14:paraId="79A812A4">
            <w:pPr>
              <w:tabs>
                <w:tab w:val="left" w:pos="210"/>
              </w:tabs>
              <w:spacing w:line="320" w:lineRule="exact"/>
              <w:jc w:val="center"/>
              <w:rPr>
                <w:rFonts w:ascii="宋体" w:hAnsi="宋体" w:cs="Arial"/>
                <w:color w:val="auto"/>
                <w:kern w:val="0"/>
                <w:sz w:val="24"/>
                <w:highlight w:val="none"/>
              </w:rPr>
            </w:pPr>
          </w:p>
        </w:tc>
      </w:tr>
      <w:tr w14:paraId="2AD4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5053" w:type="dxa"/>
            <w:gridSpan w:val="3"/>
            <w:vMerge w:val="restart"/>
            <w:noWrap w:val="0"/>
            <w:vAlign w:val="center"/>
          </w:tcPr>
          <w:p w14:paraId="5CAFD20B">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法定代表人身份证（正反面）复印件</w:t>
            </w:r>
          </w:p>
        </w:tc>
        <w:tc>
          <w:tcPr>
            <w:tcW w:w="4607" w:type="dxa"/>
            <w:gridSpan w:val="3"/>
            <w:noWrap w:val="0"/>
            <w:vAlign w:val="center"/>
          </w:tcPr>
          <w:p w14:paraId="7BD03CC6">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法定代表人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eastAsia="zh-CN"/>
              </w:rPr>
              <w:t>）</w:t>
            </w:r>
          </w:p>
        </w:tc>
      </w:tr>
      <w:tr w14:paraId="465D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53" w:type="dxa"/>
            <w:gridSpan w:val="3"/>
            <w:vMerge w:val="continue"/>
            <w:tcBorders>
              <w:bottom w:val="single" w:color="auto" w:sz="4" w:space="0"/>
            </w:tcBorders>
            <w:noWrap w:val="0"/>
            <w:vAlign w:val="center"/>
          </w:tcPr>
          <w:p w14:paraId="7E89B1AD">
            <w:pPr>
              <w:tabs>
                <w:tab w:val="left" w:pos="210"/>
              </w:tabs>
              <w:spacing w:line="320" w:lineRule="exact"/>
              <w:jc w:val="center"/>
              <w:rPr>
                <w:rFonts w:ascii="宋体" w:hAnsi="宋体" w:cs="Arial"/>
                <w:color w:val="auto"/>
                <w:kern w:val="0"/>
                <w:sz w:val="24"/>
                <w:highlight w:val="none"/>
              </w:rPr>
            </w:pPr>
          </w:p>
        </w:tc>
        <w:tc>
          <w:tcPr>
            <w:tcW w:w="4607" w:type="dxa"/>
            <w:gridSpan w:val="3"/>
            <w:tcBorders>
              <w:bottom w:val="single" w:color="auto" w:sz="4" w:space="0"/>
            </w:tcBorders>
            <w:noWrap w:val="0"/>
            <w:vAlign w:val="bottom"/>
          </w:tcPr>
          <w:p w14:paraId="53238FA0">
            <w:pPr>
              <w:tabs>
                <w:tab w:val="left" w:pos="210"/>
              </w:tabs>
              <w:spacing w:line="320" w:lineRule="exact"/>
              <w:jc w:val="center"/>
              <w:rPr>
                <w:rFonts w:ascii="宋体" w:hAnsi="宋体" w:cs="Arial"/>
                <w:color w:val="auto"/>
                <w:kern w:val="0"/>
                <w:sz w:val="24"/>
                <w:highlight w:val="none"/>
              </w:rPr>
            </w:pPr>
            <w:r>
              <w:rPr>
                <w:rFonts w:hint="eastAsia" w:ascii="宋体" w:hAnsi="宋体" w:cs="Arial"/>
                <w:color w:val="auto"/>
                <w:kern w:val="0"/>
                <w:sz w:val="24"/>
                <w:highlight w:val="none"/>
              </w:rPr>
              <w:t>（公章）</w:t>
            </w:r>
          </w:p>
          <w:p w14:paraId="66CC5890">
            <w:pPr>
              <w:tabs>
                <w:tab w:val="left" w:pos="210"/>
              </w:tabs>
              <w:spacing w:line="320" w:lineRule="exact"/>
              <w:jc w:val="center"/>
              <w:rPr>
                <w:rFonts w:ascii="宋体" w:hAnsi="宋体" w:cs="Arial"/>
                <w:color w:val="auto"/>
                <w:kern w:val="0"/>
                <w:sz w:val="24"/>
                <w:highlight w:val="none"/>
              </w:rPr>
            </w:pPr>
          </w:p>
          <w:p w14:paraId="54B0D644">
            <w:pPr>
              <w:tabs>
                <w:tab w:val="left" w:pos="210"/>
              </w:tabs>
              <w:spacing w:line="320" w:lineRule="exact"/>
              <w:jc w:val="center"/>
              <w:rPr>
                <w:rFonts w:ascii="宋体" w:hAnsi="宋体" w:cs="Arial"/>
                <w:color w:val="auto"/>
                <w:kern w:val="0"/>
                <w:sz w:val="24"/>
                <w:highlight w:val="none"/>
              </w:rPr>
            </w:pPr>
          </w:p>
          <w:p w14:paraId="5CC27F3D">
            <w:pPr>
              <w:tabs>
                <w:tab w:val="left" w:pos="210"/>
              </w:tabs>
              <w:spacing w:line="320" w:lineRule="exact"/>
              <w:jc w:val="center"/>
              <w:rPr>
                <w:rFonts w:ascii="宋体" w:hAnsi="宋体" w:cs="Arial"/>
                <w:color w:val="auto"/>
                <w:kern w:val="0"/>
                <w:sz w:val="24"/>
                <w:highlight w:val="none"/>
              </w:rPr>
            </w:pPr>
          </w:p>
          <w:p w14:paraId="41A35C06">
            <w:pPr>
              <w:tabs>
                <w:tab w:val="left" w:pos="210"/>
              </w:tabs>
              <w:spacing w:line="320" w:lineRule="exact"/>
              <w:jc w:val="right"/>
              <w:rPr>
                <w:rFonts w:ascii="宋体" w:hAnsi="宋体" w:cs="Arial"/>
                <w:color w:val="auto"/>
                <w:kern w:val="0"/>
                <w:sz w:val="24"/>
                <w:highlight w:val="none"/>
              </w:rPr>
            </w:pPr>
            <w:r>
              <w:rPr>
                <w:rFonts w:hint="eastAsia" w:ascii="宋体" w:hAnsi="宋体" w:cs="Arial"/>
                <w:color w:val="auto"/>
                <w:kern w:val="0"/>
                <w:sz w:val="24"/>
                <w:highlight w:val="none"/>
              </w:rPr>
              <w:t xml:space="preserve">年  月  日 </w:t>
            </w:r>
          </w:p>
        </w:tc>
      </w:tr>
    </w:tbl>
    <w:p w14:paraId="6E39A1E0">
      <w:pPr>
        <w:pStyle w:val="3"/>
        <w:adjustRightInd w:val="0"/>
        <w:spacing w:line="360" w:lineRule="auto"/>
        <w:jc w:val="center"/>
        <w:textAlignment w:val="baseline"/>
        <w:rPr>
          <w:rFonts w:ascii="宋体" w:hAnsi="宋体" w:eastAsia="宋体" w:cs="宋体"/>
          <w:color w:val="auto"/>
          <w:szCs w:val="22"/>
          <w:highlight w:val="none"/>
        </w:rPr>
        <w:sectPr>
          <w:pgSz w:w="11906" w:h="16838"/>
          <w:pgMar w:top="1701" w:right="1417" w:bottom="1701" w:left="1417" w:header="1088" w:footer="992" w:gutter="0"/>
          <w:pgNumType w:fmt="decimal"/>
          <w:cols w:space="720" w:num="1"/>
          <w:titlePg/>
          <w:rtlGutter w:val="0"/>
          <w:docGrid w:type="lines" w:linePitch="312" w:charSpace="0"/>
        </w:sectPr>
      </w:pPr>
    </w:p>
    <w:p w14:paraId="5A87F88F">
      <w:pPr>
        <w:pStyle w:val="3"/>
        <w:adjustRightInd w:val="0"/>
        <w:spacing w:line="360" w:lineRule="auto"/>
        <w:jc w:val="center"/>
        <w:textAlignment w:val="baseline"/>
        <w:rPr>
          <w:rFonts w:ascii="宋体" w:hAnsi="宋体" w:eastAsia="宋体" w:cs="宋体"/>
          <w:color w:val="auto"/>
          <w:sz w:val="24"/>
          <w:szCs w:val="24"/>
          <w:highlight w:val="none"/>
        </w:rPr>
      </w:pPr>
      <w:bookmarkStart w:id="538" w:name="_Toc24782"/>
      <w:bookmarkStart w:id="539" w:name="_Toc26738"/>
      <w:r>
        <w:rPr>
          <w:rFonts w:hint="eastAsia" w:ascii="宋体" w:hAnsi="宋体" w:eastAsia="宋体" w:cs="宋体"/>
          <w:color w:val="auto"/>
          <w:szCs w:val="22"/>
          <w:highlight w:val="none"/>
          <w:lang w:val="en-US" w:eastAsia="zh-CN"/>
        </w:rPr>
        <w:t>11</w:t>
      </w:r>
      <w:r>
        <w:rPr>
          <w:rFonts w:hint="eastAsia" w:ascii="宋体" w:hAnsi="宋体" w:eastAsia="宋体" w:cs="宋体"/>
          <w:color w:val="auto"/>
          <w:szCs w:val="22"/>
          <w:highlight w:val="none"/>
        </w:rPr>
        <w:t>.2法定代表人授权委托书</w:t>
      </w:r>
      <w:bookmarkEnd w:id="538"/>
      <w:bookmarkEnd w:id="539"/>
    </w:p>
    <w:p w14:paraId="342DE61C">
      <w:pPr>
        <w:tabs>
          <w:tab w:val="left" w:pos="8820"/>
        </w:tabs>
        <w:spacing w:line="480" w:lineRule="auto"/>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（法定代表人姓名）</w:t>
      </w:r>
      <w:r>
        <w:rPr>
          <w:rFonts w:hint="eastAsia" w:ascii="宋体" w:hAnsi="宋体" w:cs="宋体"/>
          <w:color w:val="auto"/>
          <w:sz w:val="24"/>
          <w:szCs w:val="24"/>
          <w:highlight w:val="none"/>
        </w:rPr>
        <w:t>系注册于</w:t>
      </w:r>
      <w:r>
        <w:rPr>
          <w:rFonts w:hint="eastAsia" w:ascii="宋体" w:hAnsi="宋体" w:cs="宋体"/>
          <w:color w:val="auto"/>
          <w:sz w:val="24"/>
          <w:szCs w:val="24"/>
          <w:highlight w:val="none"/>
          <w:u w:val="single"/>
        </w:rPr>
        <w:t xml:space="preserve">  （供应商地址）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（供应商名称）  </w:t>
      </w:r>
      <w:r>
        <w:rPr>
          <w:rFonts w:hint="eastAsia" w:ascii="宋体" w:hAnsi="宋体" w:cs="宋体"/>
          <w:color w:val="auto"/>
          <w:sz w:val="24"/>
          <w:szCs w:val="24"/>
          <w:highlight w:val="none"/>
        </w:rPr>
        <w:t>的法定代表人，现代表公司授权下面签字的</w:t>
      </w:r>
      <w:r>
        <w:rPr>
          <w:rFonts w:hint="eastAsia" w:ascii="宋体" w:hAnsi="宋体" w:cs="宋体"/>
          <w:color w:val="auto"/>
          <w:sz w:val="24"/>
          <w:szCs w:val="24"/>
          <w:highlight w:val="none"/>
          <w:u w:val="single"/>
        </w:rPr>
        <w:t>（被授权人的姓名、职务）</w:t>
      </w:r>
      <w:r>
        <w:rPr>
          <w:rFonts w:hint="eastAsia" w:ascii="宋体" w:hAnsi="宋体" w:cs="宋体"/>
          <w:color w:val="auto"/>
          <w:sz w:val="24"/>
          <w:szCs w:val="24"/>
          <w:highlight w:val="none"/>
        </w:rPr>
        <w:t>为我公司合法代理人，代表本公司参加</w:t>
      </w:r>
      <w:r>
        <w:rPr>
          <w:rFonts w:hint="eastAsia" w:ascii="宋体" w:hAnsi="宋体" w:cs="宋体"/>
          <w:color w:val="auto"/>
          <w:sz w:val="24"/>
          <w:szCs w:val="24"/>
          <w:highlight w:val="none"/>
          <w:u w:val="single"/>
        </w:rPr>
        <w:t xml:space="preserve">  （采购项目名称） (</w:t>
      </w:r>
      <w:r>
        <w:rPr>
          <w:rFonts w:hint="eastAsia" w:ascii="宋体" w:hAnsi="宋体" w:cs="宋体"/>
          <w:color w:val="auto"/>
          <w:sz w:val="24"/>
          <w:szCs w:val="24"/>
          <w:highlight w:val="none"/>
        </w:rPr>
        <w:t>采购项目编号)为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的谈判活动。代理人在本次谈判中所签署的一切文件和处理的一切有关事物，我公司均予承认。</w:t>
      </w:r>
    </w:p>
    <w:p w14:paraId="775F8710">
      <w:pPr>
        <w:spacing w:line="48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本授权书于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日签字（盖章）生效，有效期自谈判之日起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天，特此声明。</w:t>
      </w:r>
    </w:p>
    <w:p w14:paraId="0E7F69E3">
      <w:pPr>
        <w:spacing w:line="360" w:lineRule="auto"/>
        <w:outlineLvl w:val="0"/>
        <w:rPr>
          <w:rFonts w:ascii="宋体" w:hAnsi="宋体" w:cs="宋体"/>
          <w:color w:val="auto"/>
          <w:sz w:val="24"/>
          <w:szCs w:val="24"/>
          <w:highlight w:val="none"/>
        </w:rPr>
      </w:pPr>
      <w:r>
        <w:rPr>
          <w:rFonts w:hint="eastAsia" w:ascii="宋体" w:hAnsi="宋体" w:cs="宋体"/>
          <w:color w:val="auto"/>
          <w:sz w:val="24"/>
          <w:szCs w:val="24"/>
          <w:highlight w:val="none"/>
        </w:rPr>
        <w:t xml:space="preserve">    </w:t>
      </w:r>
      <w:bookmarkStart w:id="540" w:name="_Toc12419"/>
      <w:bookmarkStart w:id="541" w:name="_Toc12046"/>
      <w:bookmarkStart w:id="542" w:name="_Toc497"/>
      <w:bookmarkStart w:id="543" w:name="_Toc21891"/>
      <w:bookmarkStart w:id="544" w:name="_Toc26927"/>
      <w:bookmarkStart w:id="545" w:name="_Toc6793"/>
      <w:bookmarkStart w:id="546" w:name="_Toc17538"/>
      <w:bookmarkStart w:id="547" w:name="_Toc26509"/>
      <w:bookmarkStart w:id="548" w:name="_Toc3443"/>
      <w:bookmarkStart w:id="549" w:name="_Toc31931"/>
      <w:bookmarkStart w:id="550" w:name="_Toc1575"/>
      <w:r>
        <w:rPr>
          <w:rFonts w:hint="eastAsia" w:ascii="宋体" w:hAnsi="宋体" w:cs="宋体"/>
          <w:color w:val="auto"/>
          <w:sz w:val="24"/>
          <w:szCs w:val="24"/>
          <w:highlight w:val="none"/>
        </w:rPr>
        <w:t>附：法定代表人、被授权人身份证复印件。（注：如使用二代身份证需复印正、反两面）</w:t>
      </w:r>
      <w:bookmarkEnd w:id="540"/>
      <w:bookmarkEnd w:id="541"/>
      <w:bookmarkEnd w:id="542"/>
      <w:bookmarkEnd w:id="543"/>
      <w:bookmarkEnd w:id="544"/>
      <w:bookmarkEnd w:id="545"/>
      <w:bookmarkEnd w:id="546"/>
      <w:bookmarkEnd w:id="547"/>
      <w:bookmarkEnd w:id="548"/>
      <w:bookmarkEnd w:id="549"/>
      <w:bookmarkEnd w:id="550"/>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6"/>
        <w:gridCol w:w="4350"/>
      </w:tblGrid>
      <w:tr w14:paraId="6062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4276" w:type="dxa"/>
            <w:tcBorders>
              <w:top w:val="single" w:color="auto" w:sz="4" w:space="0"/>
              <w:left w:val="single" w:color="auto" w:sz="4" w:space="0"/>
              <w:bottom w:val="single" w:color="auto" w:sz="4" w:space="0"/>
              <w:right w:val="single" w:color="auto" w:sz="4" w:space="0"/>
            </w:tcBorders>
            <w:noWrap w:val="0"/>
            <w:vAlign w:val="center"/>
          </w:tcPr>
          <w:p w14:paraId="4808CC67">
            <w:pPr>
              <w:spacing w:line="360" w:lineRule="auto"/>
              <w:jc w:val="center"/>
              <w:rPr>
                <w:rFonts w:ascii="宋体" w:hAnsi="宋体" w:cs="宋体"/>
                <w:color w:val="auto"/>
                <w:sz w:val="24"/>
                <w:szCs w:val="24"/>
                <w:highlight w:val="none"/>
              </w:rPr>
            </w:pPr>
          </w:p>
          <w:p w14:paraId="2A263E3A">
            <w:pPr>
              <w:spacing w:line="360" w:lineRule="auto"/>
              <w:jc w:val="center"/>
              <w:outlineLvl w:val="0"/>
              <w:rPr>
                <w:rFonts w:ascii="宋体" w:hAnsi="宋体" w:cs="宋体"/>
                <w:color w:val="auto"/>
                <w:sz w:val="24"/>
                <w:szCs w:val="24"/>
                <w:highlight w:val="none"/>
              </w:rPr>
            </w:pPr>
            <w:bookmarkStart w:id="551" w:name="_Toc12927"/>
            <w:bookmarkStart w:id="552" w:name="_Toc19741"/>
            <w:bookmarkStart w:id="553" w:name="_Toc8675"/>
            <w:bookmarkStart w:id="554" w:name="_Toc1480"/>
            <w:bookmarkStart w:id="555" w:name="_Toc23468"/>
            <w:bookmarkStart w:id="556" w:name="_Toc4820"/>
            <w:bookmarkStart w:id="557" w:name="_Toc24018"/>
            <w:bookmarkStart w:id="558" w:name="_Toc30952"/>
            <w:bookmarkStart w:id="559" w:name="_Toc3175"/>
            <w:bookmarkStart w:id="560" w:name="_Toc14205"/>
            <w:bookmarkStart w:id="561" w:name="_Toc5583"/>
            <w:r>
              <w:rPr>
                <w:rFonts w:hint="eastAsia" w:ascii="宋体" w:hAnsi="宋体" w:cs="宋体"/>
                <w:color w:val="auto"/>
                <w:sz w:val="24"/>
                <w:szCs w:val="24"/>
                <w:highlight w:val="none"/>
              </w:rPr>
              <w:t>法定代表人身份证复印件</w:t>
            </w:r>
            <w:bookmarkEnd w:id="551"/>
            <w:bookmarkEnd w:id="552"/>
            <w:bookmarkEnd w:id="553"/>
            <w:bookmarkEnd w:id="554"/>
            <w:bookmarkEnd w:id="555"/>
            <w:bookmarkEnd w:id="556"/>
            <w:bookmarkEnd w:id="557"/>
            <w:bookmarkEnd w:id="558"/>
            <w:bookmarkEnd w:id="559"/>
            <w:bookmarkEnd w:id="560"/>
            <w:bookmarkEnd w:id="561"/>
          </w:p>
          <w:p w14:paraId="26607368">
            <w:pPr>
              <w:spacing w:line="360" w:lineRule="auto"/>
              <w:jc w:val="center"/>
              <w:rPr>
                <w:rFonts w:ascii="宋体" w:hAnsi="宋体" w:cs="宋体"/>
                <w:color w:val="auto"/>
                <w:sz w:val="24"/>
                <w:szCs w:val="24"/>
                <w:highlight w:val="none"/>
              </w:rPr>
            </w:pPr>
          </w:p>
        </w:tc>
        <w:tc>
          <w:tcPr>
            <w:tcW w:w="4350" w:type="dxa"/>
            <w:tcBorders>
              <w:left w:val="single" w:color="auto" w:sz="4" w:space="0"/>
            </w:tcBorders>
            <w:noWrap w:val="0"/>
            <w:vAlign w:val="center"/>
          </w:tcPr>
          <w:p w14:paraId="67090720">
            <w:pPr>
              <w:spacing w:line="360" w:lineRule="auto"/>
              <w:jc w:val="center"/>
              <w:outlineLvl w:val="0"/>
              <w:rPr>
                <w:rFonts w:ascii="宋体" w:hAnsi="宋体" w:cs="宋体"/>
                <w:color w:val="auto"/>
                <w:sz w:val="24"/>
                <w:szCs w:val="24"/>
                <w:highlight w:val="none"/>
              </w:rPr>
            </w:pPr>
            <w:bookmarkStart w:id="562" w:name="_Toc9178"/>
            <w:bookmarkStart w:id="563" w:name="_Toc31188"/>
            <w:bookmarkStart w:id="564" w:name="_Toc2151"/>
            <w:bookmarkStart w:id="565" w:name="_Toc29411"/>
            <w:bookmarkStart w:id="566" w:name="_Toc28825"/>
            <w:bookmarkStart w:id="567" w:name="_Toc6237"/>
            <w:bookmarkStart w:id="568" w:name="_Toc19458"/>
            <w:bookmarkStart w:id="569" w:name="_Toc8042"/>
            <w:bookmarkStart w:id="570" w:name="_Toc16070"/>
            <w:bookmarkStart w:id="571" w:name="_Toc14271"/>
            <w:bookmarkStart w:id="572" w:name="_Toc1086"/>
            <w:r>
              <w:rPr>
                <w:rFonts w:hint="eastAsia" w:ascii="宋体" w:hAnsi="宋体" w:cs="宋体"/>
                <w:color w:val="auto"/>
                <w:sz w:val="24"/>
                <w:szCs w:val="24"/>
                <w:highlight w:val="none"/>
              </w:rPr>
              <w:t>被授权人身份证复印件</w:t>
            </w:r>
            <w:bookmarkEnd w:id="562"/>
            <w:bookmarkEnd w:id="563"/>
            <w:bookmarkEnd w:id="564"/>
            <w:bookmarkEnd w:id="565"/>
            <w:bookmarkEnd w:id="566"/>
            <w:bookmarkEnd w:id="567"/>
            <w:bookmarkEnd w:id="568"/>
            <w:bookmarkEnd w:id="569"/>
            <w:bookmarkEnd w:id="570"/>
            <w:bookmarkEnd w:id="571"/>
            <w:bookmarkEnd w:id="572"/>
          </w:p>
        </w:tc>
      </w:tr>
      <w:tr w14:paraId="5980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4276" w:type="dxa"/>
            <w:tcBorders>
              <w:top w:val="single" w:color="auto" w:sz="4" w:space="0"/>
              <w:left w:val="single" w:color="auto" w:sz="4" w:space="0"/>
              <w:bottom w:val="single" w:color="auto" w:sz="4" w:space="0"/>
              <w:right w:val="single" w:color="auto" w:sz="4" w:space="0"/>
            </w:tcBorders>
            <w:noWrap w:val="0"/>
            <w:vAlign w:val="center"/>
          </w:tcPr>
          <w:p w14:paraId="2811FF2F">
            <w:pPr>
              <w:spacing w:line="360" w:lineRule="auto"/>
              <w:jc w:val="center"/>
              <w:outlineLvl w:val="0"/>
              <w:rPr>
                <w:rFonts w:ascii="宋体" w:hAnsi="宋体" w:cs="宋体"/>
                <w:color w:val="auto"/>
                <w:sz w:val="24"/>
                <w:szCs w:val="24"/>
                <w:highlight w:val="none"/>
              </w:rPr>
            </w:pPr>
            <w:bookmarkStart w:id="573" w:name="_Toc29053"/>
            <w:bookmarkStart w:id="574" w:name="_Toc28549"/>
            <w:bookmarkStart w:id="575" w:name="_Toc12477"/>
            <w:bookmarkStart w:id="576" w:name="_Toc30760"/>
            <w:bookmarkStart w:id="577" w:name="_Toc16529"/>
            <w:bookmarkStart w:id="578" w:name="_Toc15637"/>
            <w:bookmarkStart w:id="579" w:name="_Toc12266"/>
            <w:bookmarkStart w:id="580" w:name="_Toc28695"/>
            <w:bookmarkStart w:id="581" w:name="_Toc20403"/>
            <w:bookmarkStart w:id="582" w:name="_Toc15050"/>
            <w:bookmarkStart w:id="583" w:name="_Toc6773"/>
            <w:r>
              <w:rPr>
                <w:rFonts w:hint="eastAsia" w:ascii="宋体" w:hAnsi="宋体" w:cs="宋体"/>
                <w:color w:val="auto"/>
                <w:sz w:val="24"/>
                <w:szCs w:val="24"/>
                <w:highlight w:val="none"/>
              </w:rPr>
              <w:t>法定代表人身份证复印件</w:t>
            </w:r>
            <w:bookmarkEnd w:id="573"/>
            <w:bookmarkEnd w:id="574"/>
            <w:bookmarkEnd w:id="575"/>
            <w:bookmarkEnd w:id="576"/>
            <w:bookmarkEnd w:id="577"/>
            <w:bookmarkEnd w:id="578"/>
            <w:bookmarkEnd w:id="579"/>
            <w:bookmarkEnd w:id="580"/>
            <w:bookmarkEnd w:id="581"/>
            <w:bookmarkEnd w:id="582"/>
            <w:bookmarkEnd w:id="583"/>
          </w:p>
          <w:p w14:paraId="28FB0C98">
            <w:pPr>
              <w:spacing w:line="360" w:lineRule="auto"/>
              <w:jc w:val="center"/>
              <w:outlineLvl w:val="0"/>
              <w:rPr>
                <w:rFonts w:ascii="宋体" w:hAnsi="宋体" w:cs="宋体"/>
                <w:color w:val="auto"/>
                <w:sz w:val="24"/>
                <w:szCs w:val="24"/>
                <w:highlight w:val="none"/>
              </w:rPr>
            </w:pPr>
          </w:p>
        </w:tc>
        <w:tc>
          <w:tcPr>
            <w:tcW w:w="4350" w:type="dxa"/>
            <w:tcBorders>
              <w:left w:val="single" w:color="auto" w:sz="4" w:space="0"/>
            </w:tcBorders>
            <w:noWrap w:val="0"/>
            <w:vAlign w:val="center"/>
          </w:tcPr>
          <w:p w14:paraId="0C96FEB1">
            <w:pPr>
              <w:spacing w:line="360" w:lineRule="auto"/>
              <w:jc w:val="center"/>
              <w:outlineLvl w:val="0"/>
              <w:rPr>
                <w:rFonts w:ascii="宋体" w:hAnsi="宋体" w:cs="宋体"/>
                <w:color w:val="auto"/>
                <w:sz w:val="24"/>
                <w:szCs w:val="24"/>
                <w:highlight w:val="none"/>
              </w:rPr>
            </w:pPr>
            <w:bookmarkStart w:id="584" w:name="_Toc453"/>
            <w:bookmarkStart w:id="585" w:name="_Toc24722"/>
            <w:bookmarkStart w:id="586" w:name="_Toc2155"/>
            <w:bookmarkStart w:id="587" w:name="_Toc1528"/>
            <w:bookmarkStart w:id="588" w:name="_Toc14348"/>
            <w:bookmarkStart w:id="589" w:name="_Toc23486"/>
            <w:bookmarkStart w:id="590" w:name="_Toc7697"/>
            <w:bookmarkStart w:id="591" w:name="_Toc17968"/>
            <w:bookmarkStart w:id="592" w:name="_Toc17870"/>
            <w:bookmarkStart w:id="593" w:name="_Toc28636"/>
            <w:bookmarkStart w:id="594" w:name="_Toc30755"/>
            <w:r>
              <w:rPr>
                <w:rFonts w:hint="eastAsia" w:ascii="宋体" w:hAnsi="宋体" w:cs="宋体"/>
                <w:color w:val="auto"/>
                <w:sz w:val="24"/>
                <w:szCs w:val="24"/>
                <w:highlight w:val="none"/>
              </w:rPr>
              <w:t>被授权人身份证复印件</w:t>
            </w:r>
            <w:bookmarkEnd w:id="584"/>
            <w:bookmarkEnd w:id="585"/>
            <w:bookmarkEnd w:id="586"/>
            <w:bookmarkEnd w:id="587"/>
            <w:bookmarkEnd w:id="588"/>
            <w:bookmarkEnd w:id="589"/>
            <w:bookmarkEnd w:id="590"/>
            <w:bookmarkEnd w:id="591"/>
            <w:bookmarkEnd w:id="592"/>
            <w:bookmarkEnd w:id="593"/>
            <w:bookmarkEnd w:id="594"/>
          </w:p>
          <w:p w14:paraId="507FFB0E">
            <w:pPr>
              <w:spacing w:line="360" w:lineRule="auto"/>
              <w:jc w:val="center"/>
              <w:outlineLvl w:val="0"/>
              <w:rPr>
                <w:rFonts w:ascii="宋体" w:hAnsi="宋体" w:cs="宋体"/>
                <w:color w:val="auto"/>
                <w:sz w:val="24"/>
                <w:szCs w:val="24"/>
                <w:highlight w:val="none"/>
              </w:rPr>
            </w:pPr>
          </w:p>
        </w:tc>
      </w:tr>
    </w:tbl>
    <w:p w14:paraId="37E48280">
      <w:pPr>
        <w:spacing w:line="360" w:lineRule="auto"/>
        <w:ind w:left="360" w:firstLine="482" w:firstLineChars="200"/>
        <w:jc w:val="left"/>
        <w:rPr>
          <w:color w:val="auto"/>
          <w:highlight w:val="none"/>
        </w:rPr>
      </w:pPr>
      <w:r>
        <w:rPr>
          <w:rFonts w:hint="eastAsia" w:ascii="宋体" w:hAnsi="宋体" w:cs="宋体"/>
          <w:b/>
          <w:bCs/>
          <w:color w:val="auto"/>
          <w:sz w:val="24"/>
          <w:szCs w:val="24"/>
          <w:highlight w:val="none"/>
        </w:rPr>
        <w:t>注：此授权书的有效期应与竞争性谈判响应文件有效期一致。身份证正反面复印件必须依次加盖单位鲜章。</w:t>
      </w:r>
    </w:p>
    <w:p w14:paraId="279387F3">
      <w:pPr>
        <w:spacing w:line="360" w:lineRule="auto"/>
        <w:ind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（公章）</w:t>
      </w:r>
    </w:p>
    <w:p w14:paraId="400955EC">
      <w:pPr>
        <w:spacing w:line="360" w:lineRule="auto"/>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                            法定代表人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签字</w:t>
      </w:r>
      <w:r>
        <w:rPr>
          <w:rFonts w:hint="eastAsia" w:ascii="宋体" w:hAnsi="宋体" w:cs="宋体"/>
          <w:color w:val="auto"/>
          <w:sz w:val="24"/>
          <w:szCs w:val="24"/>
          <w:highlight w:val="none"/>
          <w:lang w:val="en-US" w:eastAsia="zh-CN"/>
        </w:rPr>
        <w:t>或盖章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p>
    <w:p w14:paraId="43714425">
      <w:pPr>
        <w:spacing w:line="360" w:lineRule="auto"/>
        <w:rPr>
          <w:rFonts w:ascii="宋体" w:hAnsi="宋体" w:cs="宋体"/>
          <w:b/>
          <w:color w:val="auto"/>
          <w:sz w:val="32"/>
          <w:highlight w:val="none"/>
        </w:rPr>
      </w:pPr>
    </w:p>
    <w:bookmarkEnd w:id="522"/>
    <w:bookmarkEnd w:id="523"/>
    <w:bookmarkEnd w:id="524"/>
    <w:bookmarkEnd w:id="525"/>
    <w:bookmarkEnd w:id="526"/>
    <w:bookmarkEnd w:id="527"/>
    <w:bookmarkEnd w:id="528"/>
    <w:bookmarkEnd w:id="529"/>
    <w:bookmarkEnd w:id="530"/>
    <w:bookmarkEnd w:id="531"/>
    <w:p w14:paraId="146F68C7">
      <w:pPr>
        <w:pStyle w:val="3"/>
        <w:jc w:val="center"/>
        <w:rPr>
          <w:rFonts w:hint="eastAsia" w:ascii="宋体" w:hAnsi="宋体" w:eastAsia="宋体" w:cs="宋体"/>
          <w:color w:val="auto"/>
          <w:highlight w:val="none"/>
        </w:rPr>
        <w:sectPr>
          <w:pgSz w:w="11906" w:h="16838"/>
          <w:pgMar w:top="1701" w:right="1417" w:bottom="1701" w:left="1417" w:header="1088" w:footer="992" w:gutter="0"/>
          <w:pgNumType w:fmt="decimal"/>
          <w:cols w:space="720" w:num="1"/>
          <w:titlePg/>
          <w:rtlGutter w:val="0"/>
          <w:docGrid w:type="lines" w:linePitch="312" w:charSpace="0"/>
        </w:sectPr>
      </w:pPr>
      <w:bookmarkStart w:id="595" w:name="_Toc14484"/>
    </w:p>
    <w:p w14:paraId="19473825">
      <w:pPr>
        <w:pStyle w:val="3"/>
        <w:adjustRightInd w:val="0"/>
        <w:spacing w:line="360" w:lineRule="auto"/>
        <w:jc w:val="center"/>
        <w:textAlignment w:val="baseline"/>
        <w:rPr>
          <w:rFonts w:hint="eastAsia" w:ascii="宋体" w:hAnsi="宋体" w:eastAsia="宋体" w:cs="宋体"/>
          <w:color w:val="auto"/>
          <w:highlight w:val="none"/>
        </w:rPr>
      </w:pPr>
      <w:bookmarkStart w:id="596" w:name="_Toc25497"/>
      <w:r>
        <w:rPr>
          <w:rFonts w:hint="eastAsia" w:ascii="宋体" w:hAnsi="宋体" w:eastAsia="宋体" w:cs="宋体"/>
          <w:color w:val="auto"/>
          <w:highlight w:val="none"/>
        </w:rPr>
        <w:t>十</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w:t>
      </w:r>
      <w:bookmarkEnd w:id="595"/>
      <w:r>
        <w:rPr>
          <w:rFonts w:hint="eastAsia" w:ascii="宋体" w:hAnsi="宋体" w:eastAsia="宋体" w:cs="宋体"/>
          <w:color w:val="auto"/>
          <w:szCs w:val="22"/>
          <w:highlight w:val="none"/>
        </w:rPr>
        <w:t>拟投入本项目的人员一览表</w:t>
      </w:r>
      <w:bookmarkEnd w:id="596"/>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30"/>
        <w:gridCol w:w="856"/>
        <w:gridCol w:w="1129"/>
        <w:gridCol w:w="1130"/>
        <w:gridCol w:w="1100"/>
        <w:gridCol w:w="1094"/>
        <w:gridCol w:w="1925"/>
      </w:tblGrid>
      <w:tr w14:paraId="2832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219668F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30" w:type="dxa"/>
            <w:noWrap w:val="0"/>
            <w:vAlign w:val="top"/>
          </w:tcPr>
          <w:p w14:paraId="06BDF9D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856" w:type="dxa"/>
            <w:noWrap w:val="0"/>
            <w:vAlign w:val="top"/>
          </w:tcPr>
          <w:p w14:paraId="1B20F8F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129" w:type="dxa"/>
            <w:noWrap w:val="0"/>
            <w:vAlign w:val="top"/>
          </w:tcPr>
          <w:p w14:paraId="41AC3CE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130" w:type="dxa"/>
            <w:noWrap w:val="0"/>
            <w:vAlign w:val="top"/>
          </w:tcPr>
          <w:p w14:paraId="5F6AC1E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职务</w:t>
            </w:r>
          </w:p>
        </w:tc>
        <w:tc>
          <w:tcPr>
            <w:tcW w:w="1100" w:type="dxa"/>
            <w:noWrap w:val="0"/>
            <w:vAlign w:val="top"/>
          </w:tcPr>
          <w:p w14:paraId="45326CF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094" w:type="dxa"/>
            <w:noWrap w:val="0"/>
            <w:vAlign w:val="top"/>
          </w:tcPr>
          <w:p w14:paraId="018508C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925" w:type="dxa"/>
            <w:noWrap w:val="0"/>
            <w:vAlign w:val="top"/>
          </w:tcPr>
          <w:p w14:paraId="7AEB879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参加工作年限</w:t>
            </w:r>
          </w:p>
        </w:tc>
      </w:tr>
      <w:tr w14:paraId="6D1B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50EC4AE3">
            <w:pPr>
              <w:spacing w:line="360" w:lineRule="auto"/>
              <w:rPr>
                <w:rFonts w:ascii="宋体" w:hAnsi="宋体" w:cs="宋体"/>
                <w:color w:val="auto"/>
                <w:sz w:val="24"/>
                <w:highlight w:val="none"/>
              </w:rPr>
            </w:pPr>
          </w:p>
        </w:tc>
        <w:tc>
          <w:tcPr>
            <w:tcW w:w="1130" w:type="dxa"/>
            <w:noWrap w:val="0"/>
            <w:vAlign w:val="top"/>
          </w:tcPr>
          <w:p w14:paraId="51D8327F">
            <w:pPr>
              <w:spacing w:line="360" w:lineRule="auto"/>
              <w:rPr>
                <w:rFonts w:ascii="宋体" w:hAnsi="宋体" w:cs="宋体"/>
                <w:color w:val="auto"/>
                <w:sz w:val="24"/>
                <w:highlight w:val="none"/>
              </w:rPr>
            </w:pPr>
          </w:p>
        </w:tc>
        <w:tc>
          <w:tcPr>
            <w:tcW w:w="856" w:type="dxa"/>
            <w:noWrap w:val="0"/>
            <w:vAlign w:val="top"/>
          </w:tcPr>
          <w:p w14:paraId="1A3393E7">
            <w:pPr>
              <w:spacing w:line="360" w:lineRule="auto"/>
              <w:rPr>
                <w:rFonts w:ascii="宋体" w:hAnsi="宋体" w:cs="宋体"/>
                <w:color w:val="auto"/>
                <w:sz w:val="24"/>
                <w:highlight w:val="none"/>
              </w:rPr>
            </w:pPr>
          </w:p>
        </w:tc>
        <w:tc>
          <w:tcPr>
            <w:tcW w:w="1129" w:type="dxa"/>
            <w:noWrap w:val="0"/>
            <w:vAlign w:val="top"/>
          </w:tcPr>
          <w:p w14:paraId="2997BB76">
            <w:pPr>
              <w:spacing w:line="360" w:lineRule="auto"/>
              <w:rPr>
                <w:rFonts w:ascii="宋体" w:hAnsi="宋体" w:cs="宋体"/>
                <w:color w:val="auto"/>
                <w:sz w:val="24"/>
                <w:highlight w:val="none"/>
              </w:rPr>
            </w:pPr>
          </w:p>
        </w:tc>
        <w:tc>
          <w:tcPr>
            <w:tcW w:w="1130" w:type="dxa"/>
            <w:noWrap w:val="0"/>
            <w:vAlign w:val="top"/>
          </w:tcPr>
          <w:p w14:paraId="0A92A524">
            <w:pPr>
              <w:spacing w:line="360" w:lineRule="auto"/>
              <w:rPr>
                <w:rFonts w:ascii="宋体" w:hAnsi="宋体" w:cs="宋体"/>
                <w:color w:val="auto"/>
                <w:sz w:val="24"/>
                <w:highlight w:val="none"/>
              </w:rPr>
            </w:pPr>
          </w:p>
        </w:tc>
        <w:tc>
          <w:tcPr>
            <w:tcW w:w="1100" w:type="dxa"/>
            <w:noWrap w:val="0"/>
            <w:vAlign w:val="top"/>
          </w:tcPr>
          <w:p w14:paraId="40BC43BA">
            <w:pPr>
              <w:spacing w:line="360" w:lineRule="auto"/>
              <w:rPr>
                <w:rFonts w:ascii="宋体" w:hAnsi="宋体" w:cs="宋体"/>
                <w:color w:val="auto"/>
                <w:sz w:val="24"/>
                <w:highlight w:val="none"/>
              </w:rPr>
            </w:pPr>
          </w:p>
        </w:tc>
        <w:tc>
          <w:tcPr>
            <w:tcW w:w="1094" w:type="dxa"/>
            <w:noWrap w:val="0"/>
            <w:vAlign w:val="top"/>
          </w:tcPr>
          <w:p w14:paraId="7942C7AD">
            <w:pPr>
              <w:spacing w:line="360" w:lineRule="auto"/>
              <w:rPr>
                <w:rFonts w:ascii="宋体" w:hAnsi="宋体" w:cs="宋体"/>
                <w:color w:val="auto"/>
                <w:sz w:val="24"/>
                <w:highlight w:val="none"/>
              </w:rPr>
            </w:pPr>
          </w:p>
        </w:tc>
        <w:tc>
          <w:tcPr>
            <w:tcW w:w="1925" w:type="dxa"/>
            <w:noWrap w:val="0"/>
            <w:vAlign w:val="top"/>
          </w:tcPr>
          <w:p w14:paraId="783A9765">
            <w:pPr>
              <w:spacing w:line="360" w:lineRule="auto"/>
              <w:rPr>
                <w:rFonts w:ascii="宋体" w:hAnsi="宋体" w:cs="宋体"/>
                <w:color w:val="auto"/>
                <w:sz w:val="24"/>
                <w:highlight w:val="none"/>
              </w:rPr>
            </w:pPr>
          </w:p>
        </w:tc>
      </w:tr>
      <w:tr w14:paraId="302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301DFBD6">
            <w:pPr>
              <w:spacing w:line="360" w:lineRule="auto"/>
              <w:rPr>
                <w:rFonts w:ascii="宋体" w:hAnsi="宋体" w:cs="宋体"/>
                <w:color w:val="auto"/>
                <w:highlight w:val="none"/>
              </w:rPr>
            </w:pPr>
          </w:p>
        </w:tc>
        <w:tc>
          <w:tcPr>
            <w:tcW w:w="1130" w:type="dxa"/>
            <w:noWrap w:val="0"/>
            <w:vAlign w:val="top"/>
          </w:tcPr>
          <w:p w14:paraId="23DF1E2F">
            <w:pPr>
              <w:spacing w:line="360" w:lineRule="auto"/>
              <w:rPr>
                <w:rFonts w:ascii="宋体" w:hAnsi="宋体" w:cs="宋体"/>
                <w:color w:val="auto"/>
                <w:highlight w:val="none"/>
              </w:rPr>
            </w:pPr>
          </w:p>
        </w:tc>
        <w:tc>
          <w:tcPr>
            <w:tcW w:w="856" w:type="dxa"/>
            <w:noWrap w:val="0"/>
            <w:vAlign w:val="top"/>
          </w:tcPr>
          <w:p w14:paraId="70159067">
            <w:pPr>
              <w:spacing w:line="360" w:lineRule="auto"/>
              <w:rPr>
                <w:rFonts w:ascii="宋体" w:hAnsi="宋体" w:cs="宋体"/>
                <w:color w:val="auto"/>
                <w:highlight w:val="none"/>
              </w:rPr>
            </w:pPr>
          </w:p>
        </w:tc>
        <w:tc>
          <w:tcPr>
            <w:tcW w:w="1129" w:type="dxa"/>
            <w:noWrap w:val="0"/>
            <w:vAlign w:val="top"/>
          </w:tcPr>
          <w:p w14:paraId="0011B054">
            <w:pPr>
              <w:spacing w:line="360" w:lineRule="auto"/>
              <w:rPr>
                <w:rFonts w:ascii="宋体" w:hAnsi="宋体" w:cs="宋体"/>
                <w:color w:val="auto"/>
                <w:highlight w:val="none"/>
              </w:rPr>
            </w:pPr>
          </w:p>
        </w:tc>
        <w:tc>
          <w:tcPr>
            <w:tcW w:w="1130" w:type="dxa"/>
            <w:noWrap w:val="0"/>
            <w:vAlign w:val="top"/>
          </w:tcPr>
          <w:p w14:paraId="13FD7287">
            <w:pPr>
              <w:spacing w:line="360" w:lineRule="auto"/>
              <w:rPr>
                <w:rFonts w:ascii="宋体" w:hAnsi="宋体" w:cs="宋体"/>
                <w:color w:val="auto"/>
                <w:highlight w:val="none"/>
              </w:rPr>
            </w:pPr>
          </w:p>
        </w:tc>
        <w:tc>
          <w:tcPr>
            <w:tcW w:w="1100" w:type="dxa"/>
            <w:noWrap w:val="0"/>
            <w:vAlign w:val="top"/>
          </w:tcPr>
          <w:p w14:paraId="65F2688A">
            <w:pPr>
              <w:spacing w:line="360" w:lineRule="auto"/>
              <w:rPr>
                <w:rFonts w:ascii="宋体" w:hAnsi="宋体" w:cs="宋体"/>
                <w:color w:val="auto"/>
                <w:highlight w:val="none"/>
              </w:rPr>
            </w:pPr>
          </w:p>
        </w:tc>
        <w:tc>
          <w:tcPr>
            <w:tcW w:w="1094" w:type="dxa"/>
            <w:noWrap w:val="0"/>
            <w:vAlign w:val="top"/>
          </w:tcPr>
          <w:p w14:paraId="33D8AB73">
            <w:pPr>
              <w:spacing w:line="360" w:lineRule="auto"/>
              <w:rPr>
                <w:rFonts w:ascii="宋体" w:hAnsi="宋体" w:cs="宋体"/>
                <w:color w:val="auto"/>
                <w:highlight w:val="none"/>
              </w:rPr>
            </w:pPr>
          </w:p>
        </w:tc>
        <w:tc>
          <w:tcPr>
            <w:tcW w:w="1925" w:type="dxa"/>
            <w:noWrap w:val="0"/>
            <w:vAlign w:val="top"/>
          </w:tcPr>
          <w:p w14:paraId="7F84D889">
            <w:pPr>
              <w:spacing w:line="360" w:lineRule="auto"/>
              <w:rPr>
                <w:rFonts w:ascii="宋体" w:hAnsi="宋体" w:cs="宋体"/>
                <w:color w:val="auto"/>
                <w:highlight w:val="none"/>
              </w:rPr>
            </w:pPr>
          </w:p>
        </w:tc>
      </w:tr>
      <w:tr w14:paraId="3589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262C2EF4">
            <w:pPr>
              <w:spacing w:line="360" w:lineRule="auto"/>
              <w:rPr>
                <w:rFonts w:ascii="宋体" w:hAnsi="宋体" w:cs="宋体"/>
                <w:color w:val="auto"/>
                <w:highlight w:val="none"/>
              </w:rPr>
            </w:pPr>
          </w:p>
        </w:tc>
        <w:tc>
          <w:tcPr>
            <w:tcW w:w="1130" w:type="dxa"/>
            <w:noWrap w:val="0"/>
            <w:vAlign w:val="top"/>
          </w:tcPr>
          <w:p w14:paraId="5A9695FE">
            <w:pPr>
              <w:spacing w:line="360" w:lineRule="auto"/>
              <w:rPr>
                <w:rFonts w:ascii="宋体" w:hAnsi="宋体" w:cs="宋体"/>
                <w:color w:val="auto"/>
                <w:highlight w:val="none"/>
              </w:rPr>
            </w:pPr>
          </w:p>
        </w:tc>
        <w:tc>
          <w:tcPr>
            <w:tcW w:w="856" w:type="dxa"/>
            <w:noWrap w:val="0"/>
            <w:vAlign w:val="top"/>
          </w:tcPr>
          <w:p w14:paraId="123E5D0B">
            <w:pPr>
              <w:spacing w:line="360" w:lineRule="auto"/>
              <w:rPr>
                <w:rFonts w:ascii="宋体" w:hAnsi="宋体" w:cs="宋体"/>
                <w:color w:val="auto"/>
                <w:highlight w:val="none"/>
              </w:rPr>
            </w:pPr>
          </w:p>
        </w:tc>
        <w:tc>
          <w:tcPr>
            <w:tcW w:w="1129" w:type="dxa"/>
            <w:noWrap w:val="0"/>
            <w:vAlign w:val="top"/>
          </w:tcPr>
          <w:p w14:paraId="0D19CCA8">
            <w:pPr>
              <w:spacing w:line="360" w:lineRule="auto"/>
              <w:rPr>
                <w:rFonts w:ascii="宋体" w:hAnsi="宋体" w:cs="宋体"/>
                <w:color w:val="auto"/>
                <w:highlight w:val="none"/>
              </w:rPr>
            </w:pPr>
          </w:p>
        </w:tc>
        <w:tc>
          <w:tcPr>
            <w:tcW w:w="1130" w:type="dxa"/>
            <w:noWrap w:val="0"/>
            <w:vAlign w:val="top"/>
          </w:tcPr>
          <w:p w14:paraId="6A82BE75">
            <w:pPr>
              <w:spacing w:line="360" w:lineRule="auto"/>
              <w:rPr>
                <w:rFonts w:ascii="宋体" w:hAnsi="宋体" w:cs="宋体"/>
                <w:color w:val="auto"/>
                <w:highlight w:val="none"/>
              </w:rPr>
            </w:pPr>
          </w:p>
        </w:tc>
        <w:tc>
          <w:tcPr>
            <w:tcW w:w="1100" w:type="dxa"/>
            <w:noWrap w:val="0"/>
            <w:vAlign w:val="top"/>
          </w:tcPr>
          <w:p w14:paraId="1BB1D63D">
            <w:pPr>
              <w:spacing w:line="360" w:lineRule="auto"/>
              <w:rPr>
                <w:rFonts w:ascii="宋体" w:hAnsi="宋体" w:cs="宋体"/>
                <w:color w:val="auto"/>
                <w:highlight w:val="none"/>
              </w:rPr>
            </w:pPr>
          </w:p>
        </w:tc>
        <w:tc>
          <w:tcPr>
            <w:tcW w:w="1094" w:type="dxa"/>
            <w:noWrap w:val="0"/>
            <w:vAlign w:val="top"/>
          </w:tcPr>
          <w:p w14:paraId="1CE3373F">
            <w:pPr>
              <w:spacing w:line="360" w:lineRule="auto"/>
              <w:rPr>
                <w:rFonts w:ascii="宋体" w:hAnsi="宋体" w:cs="宋体"/>
                <w:color w:val="auto"/>
                <w:highlight w:val="none"/>
              </w:rPr>
            </w:pPr>
          </w:p>
        </w:tc>
        <w:tc>
          <w:tcPr>
            <w:tcW w:w="1925" w:type="dxa"/>
            <w:noWrap w:val="0"/>
            <w:vAlign w:val="top"/>
          </w:tcPr>
          <w:p w14:paraId="13BE0DA9">
            <w:pPr>
              <w:spacing w:line="360" w:lineRule="auto"/>
              <w:rPr>
                <w:rFonts w:ascii="宋体" w:hAnsi="宋体" w:cs="宋体"/>
                <w:color w:val="auto"/>
                <w:highlight w:val="none"/>
              </w:rPr>
            </w:pPr>
          </w:p>
        </w:tc>
      </w:tr>
      <w:tr w14:paraId="5E25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2ED616C0">
            <w:pPr>
              <w:spacing w:line="360" w:lineRule="auto"/>
              <w:rPr>
                <w:rFonts w:ascii="宋体" w:hAnsi="宋体" w:cs="宋体"/>
                <w:color w:val="auto"/>
                <w:highlight w:val="none"/>
              </w:rPr>
            </w:pPr>
          </w:p>
        </w:tc>
        <w:tc>
          <w:tcPr>
            <w:tcW w:w="1130" w:type="dxa"/>
            <w:noWrap w:val="0"/>
            <w:vAlign w:val="top"/>
          </w:tcPr>
          <w:p w14:paraId="41E34DDD">
            <w:pPr>
              <w:spacing w:line="360" w:lineRule="auto"/>
              <w:rPr>
                <w:rFonts w:ascii="宋体" w:hAnsi="宋体" w:cs="宋体"/>
                <w:color w:val="auto"/>
                <w:highlight w:val="none"/>
              </w:rPr>
            </w:pPr>
          </w:p>
        </w:tc>
        <w:tc>
          <w:tcPr>
            <w:tcW w:w="856" w:type="dxa"/>
            <w:noWrap w:val="0"/>
            <w:vAlign w:val="top"/>
          </w:tcPr>
          <w:p w14:paraId="05E0AD6B">
            <w:pPr>
              <w:spacing w:line="360" w:lineRule="auto"/>
              <w:rPr>
                <w:rFonts w:ascii="宋体" w:hAnsi="宋体" w:cs="宋体"/>
                <w:color w:val="auto"/>
                <w:highlight w:val="none"/>
              </w:rPr>
            </w:pPr>
          </w:p>
        </w:tc>
        <w:tc>
          <w:tcPr>
            <w:tcW w:w="1129" w:type="dxa"/>
            <w:noWrap w:val="0"/>
            <w:vAlign w:val="top"/>
          </w:tcPr>
          <w:p w14:paraId="3593BE85">
            <w:pPr>
              <w:spacing w:line="360" w:lineRule="auto"/>
              <w:rPr>
                <w:rFonts w:ascii="宋体" w:hAnsi="宋体" w:cs="宋体"/>
                <w:color w:val="auto"/>
                <w:highlight w:val="none"/>
              </w:rPr>
            </w:pPr>
          </w:p>
        </w:tc>
        <w:tc>
          <w:tcPr>
            <w:tcW w:w="1130" w:type="dxa"/>
            <w:noWrap w:val="0"/>
            <w:vAlign w:val="top"/>
          </w:tcPr>
          <w:p w14:paraId="106A7698">
            <w:pPr>
              <w:spacing w:line="360" w:lineRule="auto"/>
              <w:rPr>
                <w:rFonts w:ascii="宋体" w:hAnsi="宋体" w:cs="宋体"/>
                <w:color w:val="auto"/>
                <w:highlight w:val="none"/>
              </w:rPr>
            </w:pPr>
          </w:p>
        </w:tc>
        <w:tc>
          <w:tcPr>
            <w:tcW w:w="1100" w:type="dxa"/>
            <w:noWrap w:val="0"/>
            <w:vAlign w:val="top"/>
          </w:tcPr>
          <w:p w14:paraId="0D407889">
            <w:pPr>
              <w:spacing w:line="360" w:lineRule="auto"/>
              <w:rPr>
                <w:rFonts w:ascii="宋体" w:hAnsi="宋体" w:cs="宋体"/>
                <w:color w:val="auto"/>
                <w:highlight w:val="none"/>
              </w:rPr>
            </w:pPr>
          </w:p>
        </w:tc>
        <w:tc>
          <w:tcPr>
            <w:tcW w:w="1094" w:type="dxa"/>
            <w:noWrap w:val="0"/>
            <w:vAlign w:val="top"/>
          </w:tcPr>
          <w:p w14:paraId="4606B7B5">
            <w:pPr>
              <w:spacing w:line="360" w:lineRule="auto"/>
              <w:rPr>
                <w:rFonts w:ascii="宋体" w:hAnsi="宋体" w:cs="宋体"/>
                <w:color w:val="auto"/>
                <w:highlight w:val="none"/>
              </w:rPr>
            </w:pPr>
          </w:p>
        </w:tc>
        <w:tc>
          <w:tcPr>
            <w:tcW w:w="1925" w:type="dxa"/>
            <w:noWrap w:val="0"/>
            <w:vAlign w:val="top"/>
          </w:tcPr>
          <w:p w14:paraId="725A91A7">
            <w:pPr>
              <w:spacing w:line="360" w:lineRule="auto"/>
              <w:rPr>
                <w:rFonts w:ascii="宋体" w:hAnsi="宋体" w:cs="宋体"/>
                <w:color w:val="auto"/>
                <w:highlight w:val="none"/>
              </w:rPr>
            </w:pPr>
          </w:p>
        </w:tc>
      </w:tr>
      <w:tr w14:paraId="6327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5027FB27">
            <w:pPr>
              <w:spacing w:line="360" w:lineRule="auto"/>
              <w:rPr>
                <w:rFonts w:ascii="宋体" w:hAnsi="宋体" w:cs="宋体"/>
                <w:color w:val="auto"/>
                <w:highlight w:val="none"/>
              </w:rPr>
            </w:pPr>
          </w:p>
        </w:tc>
        <w:tc>
          <w:tcPr>
            <w:tcW w:w="1130" w:type="dxa"/>
            <w:noWrap w:val="0"/>
            <w:vAlign w:val="top"/>
          </w:tcPr>
          <w:p w14:paraId="3FD7094F">
            <w:pPr>
              <w:spacing w:line="360" w:lineRule="auto"/>
              <w:rPr>
                <w:rFonts w:ascii="宋体" w:hAnsi="宋体" w:cs="宋体"/>
                <w:color w:val="auto"/>
                <w:highlight w:val="none"/>
              </w:rPr>
            </w:pPr>
          </w:p>
        </w:tc>
        <w:tc>
          <w:tcPr>
            <w:tcW w:w="856" w:type="dxa"/>
            <w:noWrap w:val="0"/>
            <w:vAlign w:val="top"/>
          </w:tcPr>
          <w:p w14:paraId="11DE372D">
            <w:pPr>
              <w:spacing w:line="360" w:lineRule="auto"/>
              <w:rPr>
                <w:rFonts w:ascii="宋体" w:hAnsi="宋体" w:cs="宋体"/>
                <w:color w:val="auto"/>
                <w:highlight w:val="none"/>
              </w:rPr>
            </w:pPr>
          </w:p>
        </w:tc>
        <w:tc>
          <w:tcPr>
            <w:tcW w:w="1129" w:type="dxa"/>
            <w:noWrap w:val="0"/>
            <w:vAlign w:val="top"/>
          </w:tcPr>
          <w:p w14:paraId="1664488E">
            <w:pPr>
              <w:spacing w:line="360" w:lineRule="auto"/>
              <w:rPr>
                <w:rFonts w:ascii="宋体" w:hAnsi="宋体" w:cs="宋体"/>
                <w:color w:val="auto"/>
                <w:highlight w:val="none"/>
              </w:rPr>
            </w:pPr>
          </w:p>
        </w:tc>
        <w:tc>
          <w:tcPr>
            <w:tcW w:w="1130" w:type="dxa"/>
            <w:noWrap w:val="0"/>
            <w:vAlign w:val="top"/>
          </w:tcPr>
          <w:p w14:paraId="45C2934B">
            <w:pPr>
              <w:spacing w:line="360" w:lineRule="auto"/>
              <w:rPr>
                <w:rFonts w:ascii="宋体" w:hAnsi="宋体" w:cs="宋体"/>
                <w:color w:val="auto"/>
                <w:highlight w:val="none"/>
              </w:rPr>
            </w:pPr>
          </w:p>
        </w:tc>
        <w:tc>
          <w:tcPr>
            <w:tcW w:w="1100" w:type="dxa"/>
            <w:noWrap w:val="0"/>
            <w:vAlign w:val="top"/>
          </w:tcPr>
          <w:p w14:paraId="351F661D">
            <w:pPr>
              <w:spacing w:line="360" w:lineRule="auto"/>
              <w:rPr>
                <w:rFonts w:ascii="宋体" w:hAnsi="宋体" w:cs="宋体"/>
                <w:color w:val="auto"/>
                <w:highlight w:val="none"/>
              </w:rPr>
            </w:pPr>
          </w:p>
        </w:tc>
        <w:tc>
          <w:tcPr>
            <w:tcW w:w="1094" w:type="dxa"/>
            <w:noWrap w:val="0"/>
            <w:vAlign w:val="top"/>
          </w:tcPr>
          <w:p w14:paraId="0A217AB4">
            <w:pPr>
              <w:spacing w:line="360" w:lineRule="auto"/>
              <w:rPr>
                <w:rFonts w:ascii="宋体" w:hAnsi="宋体" w:cs="宋体"/>
                <w:color w:val="auto"/>
                <w:highlight w:val="none"/>
              </w:rPr>
            </w:pPr>
          </w:p>
        </w:tc>
        <w:tc>
          <w:tcPr>
            <w:tcW w:w="1925" w:type="dxa"/>
            <w:noWrap w:val="0"/>
            <w:vAlign w:val="top"/>
          </w:tcPr>
          <w:p w14:paraId="679374E6">
            <w:pPr>
              <w:spacing w:line="360" w:lineRule="auto"/>
              <w:rPr>
                <w:rFonts w:ascii="宋体" w:hAnsi="宋体" w:cs="宋体"/>
                <w:color w:val="auto"/>
                <w:highlight w:val="none"/>
              </w:rPr>
            </w:pPr>
          </w:p>
        </w:tc>
      </w:tr>
      <w:tr w14:paraId="194A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3C474615">
            <w:pPr>
              <w:spacing w:line="360" w:lineRule="auto"/>
              <w:rPr>
                <w:rFonts w:ascii="宋体" w:hAnsi="宋体" w:cs="宋体"/>
                <w:color w:val="auto"/>
                <w:highlight w:val="none"/>
              </w:rPr>
            </w:pPr>
          </w:p>
        </w:tc>
        <w:tc>
          <w:tcPr>
            <w:tcW w:w="1130" w:type="dxa"/>
            <w:noWrap w:val="0"/>
            <w:vAlign w:val="top"/>
          </w:tcPr>
          <w:p w14:paraId="3844641D">
            <w:pPr>
              <w:spacing w:line="360" w:lineRule="auto"/>
              <w:rPr>
                <w:rFonts w:ascii="宋体" w:hAnsi="宋体" w:cs="宋体"/>
                <w:color w:val="auto"/>
                <w:highlight w:val="none"/>
              </w:rPr>
            </w:pPr>
          </w:p>
        </w:tc>
        <w:tc>
          <w:tcPr>
            <w:tcW w:w="856" w:type="dxa"/>
            <w:noWrap w:val="0"/>
            <w:vAlign w:val="top"/>
          </w:tcPr>
          <w:p w14:paraId="59EB19FC">
            <w:pPr>
              <w:spacing w:line="360" w:lineRule="auto"/>
              <w:rPr>
                <w:rFonts w:ascii="宋体" w:hAnsi="宋体" w:cs="宋体"/>
                <w:color w:val="auto"/>
                <w:highlight w:val="none"/>
              </w:rPr>
            </w:pPr>
          </w:p>
        </w:tc>
        <w:tc>
          <w:tcPr>
            <w:tcW w:w="1129" w:type="dxa"/>
            <w:noWrap w:val="0"/>
            <w:vAlign w:val="top"/>
          </w:tcPr>
          <w:p w14:paraId="171C1947">
            <w:pPr>
              <w:spacing w:line="360" w:lineRule="auto"/>
              <w:rPr>
                <w:rFonts w:ascii="宋体" w:hAnsi="宋体" w:cs="宋体"/>
                <w:color w:val="auto"/>
                <w:highlight w:val="none"/>
              </w:rPr>
            </w:pPr>
          </w:p>
        </w:tc>
        <w:tc>
          <w:tcPr>
            <w:tcW w:w="1130" w:type="dxa"/>
            <w:noWrap w:val="0"/>
            <w:vAlign w:val="top"/>
          </w:tcPr>
          <w:p w14:paraId="06F934E8">
            <w:pPr>
              <w:spacing w:line="360" w:lineRule="auto"/>
              <w:rPr>
                <w:rFonts w:ascii="宋体" w:hAnsi="宋体" w:cs="宋体"/>
                <w:color w:val="auto"/>
                <w:highlight w:val="none"/>
              </w:rPr>
            </w:pPr>
          </w:p>
        </w:tc>
        <w:tc>
          <w:tcPr>
            <w:tcW w:w="1100" w:type="dxa"/>
            <w:noWrap w:val="0"/>
            <w:vAlign w:val="top"/>
          </w:tcPr>
          <w:p w14:paraId="3E63FB77">
            <w:pPr>
              <w:spacing w:line="360" w:lineRule="auto"/>
              <w:rPr>
                <w:rFonts w:ascii="宋体" w:hAnsi="宋体" w:cs="宋体"/>
                <w:color w:val="auto"/>
                <w:highlight w:val="none"/>
              </w:rPr>
            </w:pPr>
          </w:p>
        </w:tc>
        <w:tc>
          <w:tcPr>
            <w:tcW w:w="1094" w:type="dxa"/>
            <w:noWrap w:val="0"/>
            <w:vAlign w:val="top"/>
          </w:tcPr>
          <w:p w14:paraId="543E35F3">
            <w:pPr>
              <w:spacing w:line="360" w:lineRule="auto"/>
              <w:rPr>
                <w:rFonts w:ascii="宋体" w:hAnsi="宋体" w:cs="宋体"/>
                <w:color w:val="auto"/>
                <w:highlight w:val="none"/>
              </w:rPr>
            </w:pPr>
          </w:p>
        </w:tc>
        <w:tc>
          <w:tcPr>
            <w:tcW w:w="1925" w:type="dxa"/>
            <w:noWrap w:val="0"/>
            <w:vAlign w:val="top"/>
          </w:tcPr>
          <w:p w14:paraId="33D1441B">
            <w:pPr>
              <w:spacing w:line="360" w:lineRule="auto"/>
              <w:rPr>
                <w:rFonts w:ascii="宋体" w:hAnsi="宋体" w:cs="宋体"/>
                <w:color w:val="auto"/>
                <w:highlight w:val="none"/>
              </w:rPr>
            </w:pPr>
          </w:p>
        </w:tc>
      </w:tr>
      <w:tr w14:paraId="08F6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52A75969">
            <w:pPr>
              <w:spacing w:line="360" w:lineRule="auto"/>
              <w:rPr>
                <w:rFonts w:ascii="宋体" w:hAnsi="宋体" w:cs="宋体"/>
                <w:color w:val="auto"/>
                <w:highlight w:val="none"/>
              </w:rPr>
            </w:pPr>
          </w:p>
        </w:tc>
        <w:tc>
          <w:tcPr>
            <w:tcW w:w="1130" w:type="dxa"/>
            <w:noWrap w:val="0"/>
            <w:vAlign w:val="top"/>
          </w:tcPr>
          <w:p w14:paraId="28940A66">
            <w:pPr>
              <w:spacing w:line="360" w:lineRule="auto"/>
              <w:rPr>
                <w:rFonts w:ascii="宋体" w:hAnsi="宋体" w:cs="宋体"/>
                <w:color w:val="auto"/>
                <w:highlight w:val="none"/>
              </w:rPr>
            </w:pPr>
          </w:p>
        </w:tc>
        <w:tc>
          <w:tcPr>
            <w:tcW w:w="856" w:type="dxa"/>
            <w:noWrap w:val="0"/>
            <w:vAlign w:val="top"/>
          </w:tcPr>
          <w:p w14:paraId="49C9121B">
            <w:pPr>
              <w:spacing w:line="360" w:lineRule="auto"/>
              <w:rPr>
                <w:rFonts w:ascii="宋体" w:hAnsi="宋体" w:cs="宋体"/>
                <w:color w:val="auto"/>
                <w:highlight w:val="none"/>
              </w:rPr>
            </w:pPr>
          </w:p>
        </w:tc>
        <w:tc>
          <w:tcPr>
            <w:tcW w:w="1129" w:type="dxa"/>
            <w:noWrap w:val="0"/>
            <w:vAlign w:val="top"/>
          </w:tcPr>
          <w:p w14:paraId="630AE846">
            <w:pPr>
              <w:spacing w:line="360" w:lineRule="auto"/>
              <w:rPr>
                <w:rFonts w:ascii="宋体" w:hAnsi="宋体" w:cs="宋体"/>
                <w:color w:val="auto"/>
                <w:highlight w:val="none"/>
              </w:rPr>
            </w:pPr>
          </w:p>
        </w:tc>
        <w:tc>
          <w:tcPr>
            <w:tcW w:w="1130" w:type="dxa"/>
            <w:noWrap w:val="0"/>
            <w:vAlign w:val="top"/>
          </w:tcPr>
          <w:p w14:paraId="5EC1F64F">
            <w:pPr>
              <w:spacing w:line="360" w:lineRule="auto"/>
              <w:rPr>
                <w:rFonts w:ascii="宋体" w:hAnsi="宋体" w:cs="宋体"/>
                <w:color w:val="auto"/>
                <w:highlight w:val="none"/>
              </w:rPr>
            </w:pPr>
          </w:p>
        </w:tc>
        <w:tc>
          <w:tcPr>
            <w:tcW w:w="1100" w:type="dxa"/>
            <w:noWrap w:val="0"/>
            <w:vAlign w:val="top"/>
          </w:tcPr>
          <w:p w14:paraId="23465328">
            <w:pPr>
              <w:spacing w:line="360" w:lineRule="auto"/>
              <w:rPr>
                <w:rFonts w:ascii="宋体" w:hAnsi="宋体" w:cs="宋体"/>
                <w:color w:val="auto"/>
                <w:highlight w:val="none"/>
              </w:rPr>
            </w:pPr>
          </w:p>
        </w:tc>
        <w:tc>
          <w:tcPr>
            <w:tcW w:w="1094" w:type="dxa"/>
            <w:noWrap w:val="0"/>
            <w:vAlign w:val="top"/>
          </w:tcPr>
          <w:p w14:paraId="7C7B0B7A">
            <w:pPr>
              <w:spacing w:line="360" w:lineRule="auto"/>
              <w:rPr>
                <w:rFonts w:ascii="宋体" w:hAnsi="宋体" w:cs="宋体"/>
                <w:color w:val="auto"/>
                <w:highlight w:val="none"/>
              </w:rPr>
            </w:pPr>
          </w:p>
        </w:tc>
        <w:tc>
          <w:tcPr>
            <w:tcW w:w="1925" w:type="dxa"/>
            <w:noWrap w:val="0"/>
            <w:vAlign w:val="top"/>
          </w:tcPr>
          <w:p w14:paraId="1A80C434">
            <w:pPr>
              <w:spacing w:line="360" w:lineRule="auto"/>
              <w:rPr>
                <w:rFonts w:ascii="宋体" w:hAnsi="宋体" w:cs="宋体"/>
                <w:color w:val="auto"/>
                <w:highlight w:val="none"/>
              </w:rPr>
            </w:pPr>
          </w:p>
        </w:tc>
      </w:tr>
      <w:tr w14:paraId="1F4D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43379640">
            <w:pPr>
              <w:spacing w:line="360" w:lineRule="auto"/>
              <w:rPr>
                <w:rFonts w:ascii="宋体" w:hAnsi="宋体" w:cs="宋体"/>
                <w:color w:val="auto"/>
                <w:highlight w:val="none"/>
              </w:rPr>
            </w:pPr>
          </w:p>
        </w:tc>
        <w:tc>
          <w:tcPr>
            <w:tcW w:w="1130" w:type="dxa"/>
            <w:noWrap w:val="0"/>
            <w:vAlign w:val="top"/>
          </w:tcPr>
          <w:p w14:paraId="7DFE7089">
            <w:pPr>
              <w:spacing w:line="360" w:lineRule="auto"/>
              <w:rPr>
                <w:rFonts w:ascii="宋体" w:hAnsi="宋体" w:cs="宋体"/>
                <w:color w:val="auto"/>
                <w:highlight w:val="none"/>
              </w:rPr>
            </w:pPr>
          </w:p>
        </w:tc>
        <w:tc>
          <w:tcPr>
            <w:tcW w:w="856" w:type="dxa"/>
            <w:noWrap w:val="0"/>
            <w:vAlign w:val="top"/>
          </w:tcPr>
          <w:p w14:paraId="6FA930B5">
            <w:pPr>
              <w:spacing w:line="360" w:lineRule="auto"/>
              <w:rPr>
                <w:rFonts w:ascii="宋体" w:hAnsi="宋体" w:cs="宋体"/>
                <w:color w:val="auto"/>
                <w:highlight w:val="none"/>
              </w:rPr>
            </w:pPr>
          </w:p>
        </w:tc>
        <w:tc>
          <w:tcPr>
            <w:tcW w:w="1129" w:type="dxa"/>
            <w:noWrap w:val="0"/>
            <w:vAlign w:val="top"/>
          </w:tcPr>
          <w:p w14:paraId="55178EA4">
            <w:pPr>
              <w:spacing w:line="360" w:lineRule="auto"/>
              <w:rPr>
                <w:rFonts w:ascii="宋体" w:hAnsi="宋体" w:cs="宋体"/>
                <w:color w:val="auto"/>
                <w:highlight w:val="none"/>
              </w:rPr>
            </w:pPr>
          </w:p>
        </w:tc>
        <w:tc>
          <w:tcPr>
            <w:tcW w:w="1130" w:type="dxa"/>
            <w:noWrap w:val="0"/>
            <w:vAlign w:val="top"/>
          </w:tcPr>
          <w:p w14:paraId="267AB0A1">
            <w:pPr>
              <w:spacing w:line="360" w:lineRule="auto"/>
              <w:rPr>
                <w:rFonts w:ascii="宋体" w:hAnsi="宋体" w:cs="宋体"/>
                <w:color w:val="auto"/>
                <w:highlight w:val="none"/>
              </w:rPr>
            </w:pPr>
          </w:p>
        </w:tc>
        <w:tc>
          <w:tcPr>
            <w:tcW w:w="1100" w:type="dxa"/>
            <w:noWrap w:val="0"/>
            <w:vAlign w:val="top"/>
          </w:tcPr>
          <w:p w14:paraId="71635880">
            <w:pPr>
              <w:spacing w:line="360" w:lineRule="auto"/>
              <w:rPr>
                <w:rFonts w:ascii="宋体" w:hAnsi="宋体" w:cs="宋体"/>
                <w:color w:val="auto"/>
                <w:highlight w:val="none"/>
              </w:rPr>
            </w:pPr>
          </w:p>
        </w:tc>
        <w:tc>
          <w:tcPr>
            <w:tcW w:w="1094" w:type="dxa"/>
            <w:noWrap w:val="0"/>
            <w:vAlign w:val="top"/>
          </w:tcPr>
          <w:p w14:paraId="0B404AA1">
            <w:pPr>
              <w:spacing w:line="360" w:lineRule="auto"/>
              <w:rPr>
                <w:rFonts w:ascii="宋体" w:hAnsi="宋体" w:cs="宋体"/>
                <w:color w:val="auto"/>
                <w:highlight w:val="none"/>
              </w:rPr>
            </w:pPr>
          </w:p>
        </w:tc>
        <w:tc>
          <w:tcPr>
            <w:tcW w:w="1925" w:type="dxa"/>
            <w:noWrap w:val="0"/>
            <w:vAlign w:val="top"/>
          </w:tcPr>
          <w:p w14:paraId="0E08BD25">
            <w:pPr>
              <w:spacing w:line="360" w:lineRule="auto"/>
              <w:rPr>
                <w:rFonts w:ascii="宋体" w:hAnsi="宋体" w:cs="宋体"/>
                <w:color w:val="auto"/>
                <w:highlight w:val="none"/>
              </w:rPr>
            </w:pPr>
          </w:p>
        </w:tc>
      </w:tr>
      <w:tr w14:paraId="57AA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5C5E7181">
            <w:pPr>
              <w:spacing w:line="360" w:lineRule="auto"/>
              <w:rPr>
                <w:rFonts w:ascii="宋体" w:hAnsi="宋体" w:cs="宋体"/>
                <w:color w:val="auto"/>
                <w:highlight w:val="none"/>
              </w:rPr>
            </w:pPr>
          </w:p>
        </w:tc>
        <w:tc>
          <w:tcPr>
            <w:tcW w:w="1130" w:type="dxa"/>
            <w:noWrap w:val="0"/>
            <w:vAlign w:val="top"/>
          </w:tcPr>
          <w:p w14:paraId="329C7092">
            <w:pPr>
              <w:spacing w:line="360" w:lineRule="auto"/>
              <w:rPr>
                <w:rFonts w:ascii="宋体" w:hAnsi="宋体" w:cs="宋体"/>
                <w:color w:val="auto"/>
                <w:highlight w:val="none"/>
              </w:rPr>
            </w:pPr>
          </w:p>
        </w:tc>
        <w:tc>
          <w:tcPr>
            <w:tcW w:w="856" w:type="dxa"/>
            <w:noWrap w:val="0"/>
            <w:vAlign w:val="top"/>
          </w:tcPr>
          <w:p w14:paraId="6090D7F6">
            <w:pPr>
              <w:spacing w:line="360" w:lineRule="auto"/>
              <w:rPr>
                <w:rFonts w:ascii="宋体" w:hAnsi="宋体" w:cs="宋体"/>
                <w:color w:val="auto"/>
                <w:highlight w:val="none"/>
              </w:rPr>
            </w:pPr>
          </w:p>
        </w:tc>
        <w:tc>
          <w:tcPr>
            <w:tcW w:w="1129" w:type="dxa"/>
            <w:noWrap w:val="0"/>
            <w:vAlign w:val="top"/>
          </w:tcPr>
          <w:p w14:paraId="2205669C">
            <w:pPr>
              <w:spacing w:line="360" w:lineRule="auto"/>
              <w:rPr>
                <w:rFonts w:ascii="宋体" w:hAnsi="宋体" w:cs="宋体"/>
                <w:color w:val="auto"/>
                <w:highlight w:val="none"/>
              </w:rPr>
            </w:pPr>
          </w:p>
        </w:tc>
        <w:tc>
          <w:tcPr>
            <w:tcW w:w="1130" w:type="dxa"/>
            <w:noWrap w:val="0"/>
            <w:vAlign w:val="top"/>
          </w:tcPr>
          <w:p w14:paraId="7E178E7D">
            <w:pPr>
              <w:spacing w:line="360" w:lineRule="auto"/>
              <w:rPr>
                <w:rFonts w:ascii="宋体" w:hAnsi="宋体" w:cs="宋体"/>
                <w:color w:val="auto"/>
                <w:highlight w:val="none"/>
              </w:rPr>
            </w:pPr>
          </w:p>
        </w:tc>
        <w:tc>
          <w:tcPr>
            <w:tcW w:w="1100" w:type="dxa"/>
            <w:noWrap w:val="0"/>
            <w:vAlign w:val="top"/>
          </w:tcPr>
          <w:p w14:paraId="0816F190">
            <w:pPr>
              <w:spacing w:line="360" w:lineRule="auto"/>
              <w:rPr>
                <w:rFonts w:ascii="宋体" w:hAnsi="宋体" w:cs="宋体"/>
                <w:color w:val="auto"/>
                <w:highlight w:val="none"/>
              </w:rPr>
            </w:pPr>
          </w:p>
        </w:tc>
        <w:tc>
          <w:tcPr>
            <w:tcW w:w="1094" w:type="dxa"/>
            <w:noWrap w:val="0"/>
            <w:vAlign w:val="top"/>
          </w:tcPr>
          <w:p w14:paraId="5C8F8AF4">
            <w:pPr>
              <w:spacing w:line="360" w:lineRule="auto"/>
              <w:rPr>
                <w:rFonts w:ascii="宋体" w:hAnsi="宋体" w:cs="宋体"/>
                <w:color w:val="auto"/>
                <w:highlight w:val="none"/>
              </w:rPr>
            </w:pPr>
          </w:p>
        </w:tc>
        <w:tc>
          <w:tcPr>
            <w:tcW w:w="1925" w:type="dxa"/>
            <w:noWrap w:val="0"/>
            <w:vAlign w:val="top"/>
          </w:tcPr>
          <w:p w14:paraId="19C176A3">
            <w:pPr>
              <w:spacing w:line="360" w:lineRule="auto"/>
              <w:rPr>
                <w:rFonts w:ascii="宋体" w:hAnsi="宋体" w:cs="宋体"/>
                <w:color w:val="auto"/>
                <w:highlight w:val="none"/>
              </w:rPr>
            </w:pPr>
          </w:p>
        </w:tc>
      </w:tr>
      <w:tr w14:paraId="47CA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22D4D717">
            <w:pPr>
              <w:spacing w:line="360" w:lineRule="auto"/>
              <w:rPr>
                <w:rFonts w:ascii="宋体" w:hAnsi="宋体" w:cs="宋体"/>
                <w:color w:val="auto"/>
                <w:highlight w:val="none"/>
              </w:rPr>
            </w:pPr>
          </w:p>
        </w:tc>
        <w:tc>
          <w:tcPr>
            <w:tcW w:w="1130" w:type="dxa"/>
            <w:noWrap w:val="0"/>
            <w:vAlign w:val="top"/>
          </w:tcPr>
          <w:p w14:paraId="2D94B94E">
            <w:pPr>
              <w:spacing w:line="360" w:lineRule="auto"/>
              <w:rPr>
                <w:rFonts w:ascii="宋体" w:hAnsi="宋体" w:cs="宋体"/>
                <w:color w:val="auto"/>
                <w:highlight w:val="none"/>
              </w:rPr>
            </w:pPr>
          </w:p>
        </w:tc>
        <w:tc>
          <w:tcPr>
            <w:tcW w:w="856" w:type="dxa"/>
            <w:noWrap w:val="0"/>
            <w:vAlign w:val="top"/>
          </w:tcPr>
          <w:p w14:paraId="2120B531">
            <w:pPr>
              <w:spacing w:line="360" w:lineRule="auto"/>
              <w:rPr>
                <w:rFonts w:ascii="宋体" w:hAnsi="宋体" w:cs="宋体"/>
                <w:color w:val="auto"/>
                <w:highlight w:val="none"/>
              </w:rPr>
            </w:pPr>
          </w:p>
        </w:tc>
        <w:tc>
          <w:tcPr>
            <w:tcW w:w="1129" w:type="dxa"/>
            <w:noWrap w:val="0"/>
            <w:vAlign w:val="top"/>
          </w:tcPr>
          <w:p w14:paraId="29D62713">
            <w:pPr>
              <w:spacing w:line="360" w:lineRule="auto"/>
              <w:rPr>
                <w:rFonts w:ascii="宋体" w:hAnsi="宋体" w:cs="宋体"/>
                <w:color w:val="auto"/>
                <w:highlight w:val="none"/>
              </w:rPr>
            </w:pPr>
          </w:p>
        </w:tc>
        <w:tc>
          <w:tcPr>
            <w:tcW w:w="1130" w:type="dxa"/>
            <w:noWrap w:val="0"/>
            <w:vAlign w:val="top"/>
          </w:tcPr>
          <w:p w14:paraId="55F324F0">
            <w:pPr>
              <w:spacing w:line="360" w:lineRule="auto"/>
              <w:rPr>
                <w:rFonts w:ascii="宋体" w:hAnsi="宋体" w:cs="宋体"/>
                <w:color w:val="auto"/>
                <w:highlight w:val="none"/>
              </w:rPr>
            </w:pPr>
          </w:p>
        </w:tc>
        <w:tc>
          <w:tcPr>
            <w:tcW w:w="1100" w:type="dxa"/>
            <w:noWrap w:val="0"/>
            <w:vAlign w:val="top"/>
          </w:tcPr>
          <w:p w14:paraId="06612FED">
            <w:pPr>
              <w:spacing w:line="360" w:lineRule="auto"/>
              <w:rPr>
                <w:rFonts w:ascii="宋体" w:hAnsi="宋体" w:cs="宋体"/>
                <w:color w:val="auto"/>
                <w:highlight w:val="none"/>
              </w:rPr>
            </w:pPr>
          </w:p>
        </w:tc>
        <w:tc>
          <w:tcPr>
            <w:tcW w:w="1094" w:type="dxa"/>
            <w:noWrap w:val="0"/>
            <w:vAlign w:val="top"/>
          </w:tcPr>
          <w:p w14:paraId="0C6CEEBB">
            <w:pPr>
              <w:spacing w:line="360" w:lineRule="auto"/>
              <w:rPr>
                <w:rFonts w:ascii="宋体" w:hAnsi="宋体" w:cs="宋体"/>
                <w:color w:val="auto"/>
                <w:highlight w:val="none"/>
              </w:rPr>
            </w:pPr>
          </w:p>
        </w:tc>
        <w:tc>
          <w:tcPr>
            <w:tcW w:w="1925" w:type="dxa"/>
            <w:noWrap w:val="0"/>
            <w:vAlign w:val="top"/>
          </w:tcPr>
          <w:p w14:paraId="53180281">
            <w:pPr>
              <w:spacing w:line="360" w:lineRule="auto"/>
              <w:rPr>
                <w:rFonts w:ascii="宋体" w:hAnsi="宋体" w:cs="宋体"/>
                <w:color w:val="auto"/>
                <w:highlight w:val="none"/>
              </w:rPr>
            </w:pPr>
          </w:p>
        </w:tc>
      </w:tr>
      <w:tr w14:paraId="632E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556E653D">
            <w:pPr>
              <w:spacing w:line="360" w:lineRule="auto"/>
              <w:rPr>
                <w:rFonts w:ascii="宋体" w:hAnsi="宋体" w:cs="宋体"/>
                <w:color w:val="auto"/>
                <w:highlight w:val="none"/>
              </w:rPr>
            </w:pPr>
          </w:p>
        </w:tc>
        <w:tc>
          <w:tcPr>
            <w:tcW w:w="1130" w:type="dxa"/>
            <w:noWrap w:val="0"/>
            <w:vAlign w:val="top"/>
          </w:tcPr>
          <w:p w14:paraId="0F47B6B9">
            <w:pPr>
              <w:spacing w:line="360" w:lineRule="auto"/>
              <w:rPr>
                <w:rFonts w:ascii="宋体" w:hAnsi="宋体" w:cs="宋体"/>
                <w:color w:val="auto"/>
                <w:highlight w:val="none"/>
              </w:rPr>
            </w:pPr>
          </w:p>
        </w:tc>
        <w:tc>
          <w:tcPr>
            <w:tcW w:w="856" w:type="dxa"/>
            <w:noWrap w:val="0"/>
            <w:vAlign w:val="top"/>
          </w:tcPr>
          <w:p w14:paraId="3779DB69">
            <w:pPr>
              <w:spacing w:line="360" w:lineRule="auto"/>
              <w:rPr>
                <w:rFonts w:ascii="宋体" w:hAnsi="宋体" w:cs="宋体"/>
                <w:color w:val="auto"/>
                <w:highlight w:val="none"/>
              </w:rPr>
            </w:pPr>
          </w:p>
        </w:tc>
        <w:tc>
          <w:tcPr>
            <w:tcW w:w="1129" w:type="dxa"/>
            <w:noWrap w:val="0"/>
            <w:vAlign w:val="top"/>
          </w:tcPr>
          <w:p w14:paraId="187059A8">
            <w:pPr>
              <w:spacing w:line="360" w:lineRule="auto"/>
              <w:rPr>
                <w:rFonts w:ascii="宋体" w:hAnsi="宋体" w:cs="宋体"/>
                <w:color w:val="auto"/>
                <w:highlight w:val="none"/>
              </w:rPr>
            </w:pPr>
          </w:p>
        </w:tc>
        <w:tc>
          <w:tcPr>
            <w:tcW w:w="1130" w:type="dxa"/>
            <w:noWrap w:val="0"/>
            <w:vAlign w:val="top"/>
          </w:tcPr>
          <w:p w14:paraId="04D64CA6">
            <w:pPr>
              <w:spacing w:line="360" w:lineRule="auto"/>
              <w:rPr>
                <w:rFonts w:ascii="宋体" w:hAnsi="宋体" w:cs="宋体"/>
                <w:color w:val="auto"/>
                <w:highlight w:val="none"/>
              </w:rPr>
            </w:pPr>
          </w:p>
        </w:tc>
        <w:tc>
          <w:tcPr>
            <w:tcW w:w="1100" w:type="dxa"/>
            <w:noWrap w:val="0"/>
            <w:vAlign w:val="top"/>
          </w:tcPr>
          <w:p w14:paraId="0C0A853C">
            <w:pPr>
              <w:spacing w:line="360" w:lineRule="auto"/>
              <w:rPr>
                <w:rFonts w:ascii="宋体" w:hAnsi="宋体" w:cs="宋体"/>
                <w:color w:val="auto"/>
                <w:highlight w:val="none"/>
              </w:rPr>
            </w:pPr>
          </w:p>
        </w:tc>
        <w:tc>
          <w:tcPr>
            <w:tcW w:w="1094" w:type="dxa"/>
            <w:noWrap w:val="0"/>
            <w:vAlign w:val="top"/>
          </w:tcPr>
          <w:p w14:paraId="29CF2C30">
            <w:pPr>
              <w:spacing w:line="360" w:lineRule="auto"/>
              <w:rPr>
                <w:rFonts w:ascii="宋体" w:hAnsi="宋体" w:cs="宋体"/>
                <w:color w:val="auto"/>
                <w:highlight w:val="none"/>
              </w:rPr>
            </w:pPr>
          </w:p>
        </w:tc>
        <w:tc>
          <w:tcPr>
            <w:tcW w:w="1925" w:type="dxa"/>
            <w:noWrap w:val="0"/>
            <w:vAlign w:val="top"/>
          </w:tcPr>
          <w:p w14:paraId="1CF23885">
            <w:pPr>
              <w:spacing w:line="360" w:lineRule="auto"/>
              <w:rPr>
                <w:rFonts w:ascii="宋体" w:hAnsi="宋体" w:cs="宋体"/>
                <w:color w:val="auto"/>
                <w:highlight w:val="none"/>
              </w:rPr>
            </w:pPr>
          </w:p>
        </w:tc>
      </w:tr>
      <w:tr w14:paraId="03A6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456C8585">
            <w:pPr>
              <w:spacing w:line="360" w:lineRule="auto"/>
              <w:rPr>
                <w:rFonts w:ascii="宋体" w:hAnsi="宋体" w:cs="宋体"/>
                <w:color w:val="auto"/>
                <w:highlight w:val="none"/>
              </w:rPr>
            </w:pPr>
          </w:p>
        </w:tc>
        <w:tc>
          <w:tcPr>
            <w:tcW w:w="1130" w:type="dxa"/>
            <w:noWrap w:val="0"/>
            <w:vAlign w:val="top"/>
          </w:tcPr>
          <w:p w14:paraId="1CD59844">
            <w:pPr>
              <w:spacing w:line="360" w:lineRule="auto"/>
              <w:rPr>
                <w:rFonts w:ascii="宋体" w:hAnsi="宋体" w:cs="宋体"/>
                <w:color w:val="auto"/>
                <w:highlight w:val="none"/>
              </w:rPr>
            </w:pPr>
          </w:p>
        </w:tc>
        <w:tc>
          <w:tcPr>
            <w:tcW w:w="856" w:type="dxa"/>
            <w:noWrap w:val="0"/>
            <w:vAlign w:val="top"/>
          </w:tcPr>
          <w:p w14:paraId="4D53468C">
            <w:pPr>
              <w:spacing w:line="360" w:lineRule="auto"/>
              <w:rPr>
                <w:rFonts w:ascii="宋体" w:hAnsi="宋体" w:cs="宋体"/>
                <w:color w:val="auto"/>
                <w:highlight w:val="none"/>
              </w:rPr>
            </w:pPr>
          </w:p>
        </w:tc>
        <w:tc>
          <w:tcPr>
            <w:tcW w:w="1129" w:type="dxa"/>
            <w:noWrap w:val="0"/>
            <w:vAlign w:val="top"/>
          </w:tcPr>
          <w:p w14:paraId="21A4FFB0">
            <w:pPr>
              <w:spacing w:line="360" w:lineRule="auto"/>
              <w:rPr>
                <w:rFonts w:ascii="宋体" w:hAnsi="宋体" w:cs="宋体"/>
                <w:color w:val="auto"/>
                <w:highlight w:val="none"/>
              </w:rPr>
            </w:pPr>
          </w:p>
        </w:tc>
        <w:tc>
          <w:tcPr>
            <w:tcW w:w="1130" w:type="dxa"/>
            <w:noWrap w:val="0"/>
            <w:vAlign w:val="top"/>
          </w:tcPr>
          <w:p w14:paraId="2D5EAC26">
            <w:pPr>
              <w:spacing w:line="360" w:lineRule="auto"/>
              <w:rPr>
                <w:rFonts w:ascii="宋体" w:hAnsi="宋体" w:cs="宋体"/>
                <w:color w:val="auto"/>
                <w:highlight w:val="none"/>
              </w:rPr>
            </w:pPr>
          </w:p>
        </w:tc>
        <w:tc>
          <w:tcPr>
            <w:tcW w:w="1100" w:type="dxa"/>
            <w:noWrap w:val="0"/>
            <w:vAlign w:val="top"/>
          </w:tcPr>
          <w:p w14:paraId="0C17E4F4">
            <w:pPr>
              <w:spacing w:line="360" w:lineRule="auto"/>
              <w:rPr>
                <w:rFonts w:ascii="宋体" w:hAnsi="宋体" w:cs="宋体"/>
                <w:color w:val="auto"/>
                <w:highlight w:val="none"/>
              </w:rPr>
            </w:pPr>
          </w:p>
        </w:tc>
        <w:tc>
          <w:tcPr>
            <w:tcW w:w="1094" w:type="dxa"/>
            <w:noWrap w:val="0"/>
            <w:vAlign w:val="top"/>
          </w:tcPr>
          <w:p w14:paraId="0CC0A699">
            <w:pPr>
              <w:spacing w:line="360" w:lineRule="auto"/>
              <w:rPr>
                <w:rFonts w:ascii="宋体" w:hAnsi="宋体" w:cs="宋体"/>
                <w:color w:val="auto"/>
                <w:highlight w:val="none"/>
              </w:rPr>
            </w:pPr>
          </w:p>
        </w:tc>
        <w:tc>
          <w:tcPr>
            <w:tcW w:w="1925" w:type="dxa"/>
            <w:noWrap w:val="0"/>
            <w:vAlign w:val="top"/>
          </w:tcPr>
          <w:p w14:paraId="7D263CE0">
            <w:pPr>
              <w:spacing w:line="360" w:lineRule="auto"/>
              <w:rPr>
                <w:rFonts w:ascii="宋体" w:hAnsi="宋体" w:cs="宋体"/>
                <w:color w:val="auto"/>
                <w:highlight w:val="none"/>
              </w:rPr>
            </w:pPr>
          </w:p>
        </w:tc>
      </w:tr>
      <w:tr w14:paraId="5CCA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79027430">
            <w:pPr>
              <w:spacing w:line="360" w:lineRule="auto"/>
              <w:rPr>
                <w:rFonts w:ascii="宋体" w:hAnsi="宋体" w:cs="宋体"/>
                <w:color w:val="auto"/>
                <w:highlight w:val="none"/>
              </w:rPr>
            </w:pPr>
          </w:p>
        </w:tc>
        <w:tc>
          <w:tcPr>
            <w:tcW w:w="1130" w:type="dxa"/>
            <w:noWrap w:val="0"/>
            <w:vAlign w:val="top"/>
          </w:tcPr>
          <w:p w14:paraId="3C46F95F">
            <w:pPr>
              <w:spacing w:line="360" w:lineRule="auto"/>
              <w:rPr>
                <w:rFonts w:ascii="宋体" w:hAnsi="宋体" w:cs="宋体"/>
                <w:color w:val="auto"/>
                <w:highlight w:val="none"/>
              </w:rPr>
            </w:pPr>
          </w:p>
        </w:tc>
        <w:tc>
          <w:tcPr>
            <w:tcW w:w="856" w:type="dxa"/>
            <w:noWrap w:val="0"/>
            <w:vAlign w:val="top"/>
          </w:tcPr>
          <w:p w14:paraId="5099C6DE">
            <w:pPr>
              <w:spacing w:line="360" w:lineRule="auto"/>
              <w:rPr>
                <w:rFonts w:ascii="宋体" w:hAnsi="宋体" w:cs="宋体"/>
                <w:color w:val="auto"/>
                <w:highlight w:val="none"/>
              </w:rPr>
            </w:pPr>
          </w:p>
        </w:tc>
        <w:tc>
          <w:tcPr>
            <w:tcW w:w="1129" w:type="dxa"/>
            <w:noWrap w:val="0"/>
            <w:vAlign w:val="top"/>
          </w:tcPr>
          <w:p w14:paraId="576F2D0A">
            <w:pPr>
              <w:spacing w:line="360" w:lineRule="auto"/>
              <w:rPr>
                <w:rFonts w:ascii="宋体" w:hAnsi="宋体" w:cs="宋体"/>
                <w:color w:val="auto"/>
                <w:highlight w:val="none"/>
              </w:rPr>
            </w:pPr>
          </w:p>
        </w:tc>
        <w:tc>
          <w:tcPr>
            <w:tcW w:w="1130" w:type="dxa"/>
            <w:noWrap w:val="0"/>
            <w:vAlign w:val="top"/>
          </w:tcPr>
          <w:p w14:paraId="50ABD10C">
            <w:pPr>
              <w:spacing w:line="360" w:lineRule="auto"/>
              <w:rPr>
                <w:rFonts w:ascii="宋体" w:hAnsi="宋体" w:cs="宋体"/>
                <w:color w:val="auto"/>
                <w:highlight w:val="none"/>
              </w:rPr>
            </w:pPr>
          </w:p>
        </w:tc>
        <w:tc>
          <w:tcPr>
            <w:tcW w:w="1100" w:type="dxa"/>
            <w:noWrap w:val="0"/>
            <w:vAlign w:val="top"/>
          </w:tcPr>
          <w:p w14:paraId="467D252D">
            <w:pPr>
              <w:spacing w:line="360" w:lineRule="auto"/>
              <w:rPr>
                <w:rFonts w:ascii="宋体" w:hAnsi="宋体" w:cs="宋体"/>
                <w:color w:val="auto"/>
                <w:highlight w:val="none"/>
              </w:rPr>
            </w:pPr>
          </w:p>
        </w:tc>
        <w:tc>
          <w:tcPr>
            <w:tcW w:w="1094" w:type="dxa"/>
            <w:noWrap w:val="0"/>
            <w:vAlign w:val="top"/>
          </w:tcPr>
          <w:p w14:paraId="68848A54">
            <w:pPr>
              <w:spacing w:line="360" w:lineRule="auto"/>
              <w:rPr>
                <w:rFonts w:ascii="宋体" w:hAnsi="宋体" w:cs="宋体"/>
                <w:color w:val="auto"/>
                <w:highlight w:val="none"/>
              </w:rPr>
            </w:pPr>
          </w:p>
        </w:tc>
        <w:tc>
          <w:tcPr>
            <w:tcW w:w="1925" w:type="dxa"/>
            <w:noWrap w:val="0"/>
            <w:vAlign w:val="top"/>
          </w:tcPr>
          <w:p w14:paraId="762BADC9">
            <w:pPr>
              <w:spacing w:line="360" w:lineRule="auto"/>
              <w:rPr>
                <w:rFonts w:ascii="宋体" w:hAnsi="宋体" w:cs="宋体"/>
                <w:color w:val="auto"/>
                <w:highlight w:val="none"/>
              </w:rPr>
            </w:pPr>
          </w:p>
        </w:tc>
      </w:tr>
      <w:tr w14:paraId="1210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30AAB32D">
            <w:pPr>
              <w:spacing w:line="360" w:lineRule="auto"/>
              <w:rPr>
                <w:rFonts w:ascii="宋体" w:hAnsi="宋体" w:cs="宋体"/>
                <w:color w:val="auto"/>
                <w:highlight w:val="none"/>
              </w:rPr>
            </w:pPr>
          </w:p>
        </w:tc>
        <w:tc>
          <w:tcPr>
            <w:tcW w:w="1130" w:type="dxa"/>
            <w:noWrap w:val="0"/>
            <w:vAlign w:val="top"/>
          </w:tcPr>
          <w:p w14:paraId="1E880EF1">
            <w:pPr>
              <w:spacing w:line="360" w:lineRule="auto"/>
              <w:rPr>
                <w:rFonts w:ascii="宋体" w:hAnsi="宋体" w:cs="宋体"/>
                <w:color w:val="auto"/>
                <w:highlight w:val="none"/>
              </w:rPr>
            </w:pPr>
          </w:p>
        </w:tc>
        <w:tc>
          <w:tcPr>
            <w:tcW w:w="856" w:type="dxa"/>
            <w:noWrap w:val="0"/>
            <w:vAlign w:val="top"/>
          </w:tcPr>
          <w:p w14:paraId="354A73E0">
            <w:pPr>
              <w:spacing w:line="360" w:lineRule="auto"/>
              <w:rPr>
                <w:rFonts w:ascii="宋体" w:hAnsi="宋体" w:cs="宋体"/>
                <w:color w:val="auto"/>
                <w:highlight w:val="none"/>
              </w:rPr>
            </w:pPr>
          </w:p>
        </w:tc>
        <w:tc>
          <w:tcPr>
            <w:tcW w:w="1129" w:type="dxa"/>
            <w:noWrap w:val="0"/>
            <w:vAlign w:val="top"/>
          </w:tcPr>
          <w:p w14:paraId="4BA8280A">
            <w:pPr>
              <w:spacing w:line="360" w:lineRule="auto"/>
              <w:rPr>
                <w:rFonts w:ascii="宋体" w:hAnsi="宋体" w:cs="宋体"/>
                <w:color w:val="auto"/>
                <w:highlight w:val="none"/>
              </w:rPr>
            </w:pPr>
          </w:p>
        </w:tc>
        <w:tc>
          <w:tcPr>
            <w:tcW w:w="1130" w:type="dxa"/>
            <w:noWrap w:val="0"/>
            <w:vAlign w:val="top"/>
          </w:tcPr>
          <w:p w14:paraId="4E6BF075">
            <w:pPr>
              <w:spacing w:line="360" w:lineRule="auto"/>
              <w:rPr>
                <w:rFonts w:ascii="宋体" w:hAnsi="宋体" w:cs="宋体"/>
                <w:color w:val="auto"/>
                <w:highlight w:val="none"/>
              </w:rPr>
            </w:pPr>
          </w:p>
        </w:tc>
        <w:tc>
          <w:tcPr>
            <w:tcW w:w="1100" w:type="dxa"/>
            <w:noWrap w:val="0"/>
            <w:vAlign w:val="top"/>
          </w:tcPr>
          <w:p w14:paraId="043B5973">
            <w:pPr>
              <w:spacing w:line="360" w:lineRule="auto"/>
              <w:rPr>
                <w:rFonts w:ascii="宋体" w:hAnsi="宋体" w:cs="宋体"/>
                <w:color w:val="auto"/>
                <w:highlight w:val="none"/>
              </w:rPr>
            </w:pPr>
          </w:p>
        </w:tc>
        <w:tc>
          <w:tcPr>
            <w:tcW w:w="1094" w:type="dxa"/>
            <w:noWrap w:val="0"/>
            <w:vAlign w:val="top"/>
          </w:tcPr>
          <w:p w14:paraId="354D4390">
            <w:pPr>
              <w:spacing w:line="360" w:lineRule="auto"/>
              <w:rPr>
                <w:rFonts w:ascii="宋体" w:hAnsi="宋体" w:cs="宋体"/>
                <w:color w:val="auto"/>
                <w:highlight w:val="none"/>
              </w:rPr>
            </w:pPr>
          </w:p>
        </w:tc>
        <w:tc>
          <w:tcPr>
            <w:tcW w:w="1925" w:type="dxa"/>
            <w:noWrap w:val="0"/>
            <w:vAlign w:val="top"/>
          </w:tcPr>
          <w:p w14:paraId="78446980">
            <w:pPr>
              <w:spacing w:line="360" w:lineRule="auto"/>
              <w:rPr>
                <w:rFonts w:ascii="宋体" w:hAnsi="宋体" w:cs="宋体"/>
                <w:color w:val="auto"/>
                <w:highlight w:val="none"/>
              </w:rPr>
            </w:pPr>
          </w:p>
        </w:tc>
      </w:tr>
      <w:tr w14:paraId="7BBD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327254E4">
            <w:pPr>
              <w:spacing w:line="360" w:lineRule="auto"/>
              <w:rPr>
                <w:rFonts w:ascii="宋体" w:hAnsi="宋体" w:cs="宋体"/>
                <w:color w:val="auto"/>
                <w:highlight w:val="none"/>
              </w:rPr>
            </w:pPr>
          </w:p>
        </w:tc>
        <w:tc>
          <w:tcPr>
            <w:tcW w:w="1130" w:type="dxa"/>
            <w:noWrap w:val="0"/>
            <w:vAlign w:val="top"/>
          </w:tcPr>
          <w:p w14:paraId="4C6F36A0">
            <w:pPr>
              <w:spacing w:line="360" w:lineRule="auto"/>
              <w:rPr>
                <w:rFonts w:ascii="宋体" w:hAnsi="宋体" w:cs="宋体"/>
                <w:color w:val="auto"/>
                <w:highlight w:val="none"/>
              </w:rPr>
            </w:pPr>
          </w:p>
        </w:tc>
        <w:tc>
          <w:tcPr>
            <w:tcW w:w="856" w:type="dxa"/>
            <w:noWrap w:val="0"/>
            <w:vAlign w:val="top"/>
          </w:tcPr>
          <w:p w14:paraId="741EEA92">
            <w:pPr>
              <w:spacing w:line="360" w:lineRule="auto"/>
              <w:rPr>
                <w:rFonts w:ascii="宋体" w:hAnsi="宋体" w:cs="宋体"/>
                <w:color w:val="auto"/>
                <w:highlight w:val="none"/>
              </w:rPr>
            </w:pPr>
          </w:p>
        </w:tc>
        <w:tc>
          <w:tcPr>
            <w:tcW w:w="1129" w:type="dxa"/>
            <w:noWrap w:val="0"/>
            <w:vAlign w:val="top"/>
          </w:tcPr>
          <w:p w14:paraId="449207C8">
            <w:pPr>
              <w:spacing w:line="360" w:lineRule="auto"/>
              <w:rPr>
                <w:rFonts w:ascii="宋体" w:hAnsi="宋体" w:cs="宋体"/>
                <w:color w:val="auto"/>
                <w:highlight w:val="none"/>
              </w:rPr>
            </w:pPr>
          </w:p>
        </w:tc>
        <w:tc>
          <w:tcPr>
            <w:tcW w:w="1130" w:type="dxa"/>
            <w:noWrap w:val="0"/>
            <w:vAlign w:val="top"/>
          </w:tcPr>
          <w:p w14:paraId="711B9588">
            <w:pPr>
              <w:spacing w:line="360" w:lineRule="auto"/>
              <w:rPr>
                <w:rFonts w:ascii="宋体" w:hAnsi="宋体" w:cs="宋体"/>
                <w:color w:val="auto"/>
                <w:highlight w:val="none"/>
              </w:rPr>
            </w:pPr>
          </w:p>
        </w:tc>
        <w:tc>
          <w:tcPr>
            <w:tcW w:w="1100" w:type="dxa"/>
            <w:noWrap w:val="0"/>
            <w:vAlign w:val="top"/>
          </w:tcPr>
          <w:p w14:paraId="6C41EBE5">
            <w:pPr>
              <w:spacing w:line="360" w:lineRule="auto"/>
              <w:rPr>
                <w:rFonts w:ascii="宋体" w:hAnsi="宋体" w:cs="宋体"/>
                <w:color w:val="auto"/>
                <w:highlight w:val="none"/>
              </w:rPr>
            </w:pPr>
          </w:p>
        </w:tc>
        <w:tc>
          <w:tcPr>
            <w:tcW w:w="1094" w:type="dxa"/>
            <w:noWrap w:val="0"/>
            <w:vAlign w:val="top"/>
          </w:tcPr>
          <w:p w14:paraId="147B4FC0">
            <w:pPr>
              <w:spacing w:line="360" w:lineRule="auto"/>
              <w:rPr>
                <w:rFonts w:ascii="宋体" w:hAnsi="宋体" w:cs="宋体"/>
                <w:color w:val="auto"/>
                <w:highlight w:val="none"/>
              </w:rPr>
            </w:pPr>
          </w:p>
        </w:tc>
        <w:tc>
          <w:tcPr>
            <w:tcW w:w="1925" w:type="dxa"/>
            <w:noWrap w:val="0"/>
            <w:vAlign w:val="top"/>
          </w:tcPr>
          <w:p w14:paraId="346F5637">
            <w:pPr>
              <w:spacing w:line="360" w:lineRule="auto"/>
              <w:rPr>
                <w:rFonts w:ascii="宋体" w:hAnsi="宋体" w:cs="宋体"/>
                <w:color w:val="auto"/>
                <w:highlight w:val="none"/>
              </w:rPr>
            </w:pPr>
          </w:p>
        </w:tc>
      </w:tr>
      <w:tr w14:paraId="7BE4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71350419">
            <w:pPr>
              <w:spacing w:line="360" w:lineRule="auto"/>
              <w:rPr>
                <w:rFonts w:ascii="宋体" w:hAnsi="宋体" w:cs="宋体"/>
                <w:color w:val="auto"/>
                <w:highlight w:val="none"/>
              </w:rPr>
            </w:pPr>
          </w:p>
        </w:tc>
        <w:tc>
          <w:tcPr>
            <w:tcW w:w="1130" w:type="dxa"/>
            <w:noWrap w:val="0"/>
            <w:vAlign w:val="top"/>
          </w:tcPr>
          <w:p w14:paraId="769AEED7">
            <w:pPr>
              <w:spacing w:line="360" w:lineRule="auto"/>
              <w:rPr>
                <w:rFonts w:ascii="宋体" w:hAnsi="宋体" w:cs="宋体"/>
                <w:color w:val="auto"/>
                <w:highlight w:val="none"/>
              </w:rPr>
            </w:pPr>
          </w:p>
        </w:tc>
        <w:tc>
          <w:tcPr>
            <w:tcW w:w="856" w:type="dxa"/>
            <w:noWrap w:val="0"/>
            <w:vAlign w:val="top"/>
          </w:tcPr>
          <w:p w14:paraId="67E95449">
            <w:pPr>
              <w:spacing w:line="360" w:lineRule="auto"/>
              <w:rPr>
                <w:rFonts w:ascii="宋体" w:hAnsi="宋体" w:cs="宋体"/>
                <w:color w:val="auto"/>
                <w:highlight w:val="none"/>
              </w:rPr>
            </w:pPr>
          </w:p>
        </w:tc>
        <w:tc>
          <w:tcPr>
            <w:tcW w:w="1129" w:type="dxa"/>
            <w:noWrap w:val="0"/>
            <w:vAlign w:val="top"/>
          </w:tcPr>
          <w:p w14:paraId="63796B60">
            <w:pPr>
              <w:spacing w:line="360" w:lineRule="auto"/>
              <w:rPr>
                <w:rFonts w:ascii="宋体" w:hAnsi="宋体" w:cs="宋体"/>
                <w:color w:val="auto"/>
                <w:highlight w:val="none"/>
              </w:rPr>
            </w:pPr>
          </w:p>
        </w:tc>
        <w:tc>
          <w:tcPr>
            <w:tcW w:w="1130" w:type="dxa"/>
            <w:noWrap w:val="0"/>
            <w:vAlign w:val="top"/>
          </w:tcPr>
          <w:p w14:paraId="49736F82">
            <w:pPr>
              <w:spacing w:line="360" w:lineRule="auto"/>
              <w:rPr>
                <w:rFonts w:ascii="宋体" w:hAnsi="宋体" w:cs="宋体"/>
                <w:color w:val="auto"/>
                <w:highlight w:val="none"/>
              </w:rPr>
            </w:pPr>
          </w:p>
        </w:tc>
        <w:tc>
          <w:tcPr>
            <w:tcW w:w="1100" w:type="dxa"/>
            <w:noWrap w:val="0"/>
            <w:vAlign w:val="top"/>
          </w:tcPr>
          <w:p w14:paraId="0052C6AB">
            <w:pPr>
              <w:spacing w:line="360" w:lineRule="auto"/>
              <w:rPr>
                <w:rFonts w:ascii="宋体" w:hAnsi="宋体" w:cs="宋体"/>
                <w:color w:val="auto"/>
                <w:highlight w:val="none"/>
              </w:rPr>
            </w:pPr>
          </w:p>
        </w:tc>
        <w:tc>
          <w:tcPr>
            <w:tcW w:w="1094" w:type="dxa"/>
            <w:noWrap w:val="0"/>
            <w:vAlign w:val="top"/>
          </w:tcPr>
          <w:p w14:paraId="2FC82786">
            <w:pPr>
              <w:spacing w:line="360" w:lineRule="auto"/>
              <w:rPr>
                <w:rFonts w:ascii="宋体" w:hAnsi="宋体" w:cs="宋体"/>
                <w:color w:val="auto"/>
                <w:highlight w:val="none"/>
              </w:rPr>
            </w:pPr>
          </w:p>
        </w:tc>
        <w:tc>
          <w:tcPr>
            <w:tcW w:w="1925" w:type="dxa"/>
            <w:noWrap w:val="0"/>
            <w:vAlign w:val="top"/>
          </w:tcPr>
          <w:p w14:paraId="5B148AF7">
            <w:pPr>
              <w:spacing w:line="360" w:lineRule="auto"/>
              <w:rPr>
                <w:rFonts w:ascii="宋体" w:hAnsi="宋体" w:cs="宋体"/>
                <w:color w:val="auto"/>
                <w:highlight w:val="none"/>
              </w:rPr>
            </w:pPr>
          </w:p>
        </w:tc>
      </w:tr>
      <w:tr w14:paraId="6B1D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662F3A9C">
            <w:pPr>
              <w:spacing w:line="360" w:lineRule="auto"/>
              <w:rPr>
                <w:rFonts w:ascii="宋体" w:hAnsi="宋体" w:cs="宋体"/>
                <w:color w:val="auto"/>
                <w:highlight w:val="none"/>
              </w:rPr>
            </w:pPr>
          </w:p>
        </w:tc>
        <w:tc>
          <w:tcPr>
            <w:tcW w:w="1130" w:type="dxa"/>
            <w:noWrap w:val="0"/>
            <w:vAlign w:val="top"/>
          </w:tcPr>
          <w:p w14:paraId="3DD950FF">
            <w:pPr>
              <w:spacing w:line="360" w:lineRule="auto"/>
              <w:rPr>
                <w:rFonts w:ascii="宋体" w:hAnsi="宋体" w:cs="宋体"/>
                <w:color w:val="auto"/>
                <w:highlight w:val="none"/>
              </w:rPr>
            </w:pPr>
          </w:p>
        </w:tc>
        <w:tc>
          <w:tcPr>
            <w:tcW w:w="856" w:type="dxa"/>
            <w:noWrap w:val="0"/>
            <w:vAlign w:val="top"/>
          </w:tcPr>
          <w:p w14:paraId="1CA0F2CF">
            <w:pPr>
              <w:spacing w:line="360" w:lineRule="auto"/>
              <w:rPr>
                <w:rFonts w:ascii="宋体" w:hAnsi="宋体" w:cs="宋体"/>
                <w:color w:val="auto"/>
                <w:highlight w:val="none"/>
              </w:rPr>
            </w:pPr>
          </w:p>
        </w:tc>
        <w:tc>
          <w:tcPr>
            <w:tcW w:w="1129" w:type="dxa"/>
            <w:noWrap w:val="0"/>
            <w:vAlign w:val="top"/>
          </w:tcPr>
          <w:p w14:paraId="66B83CE1">
            <w:pPr>
              <w:spacing w:line="360" w:lineRule="auto"/>
              <w:rPr>
                <w:rFonts w:ascii="宋体" w:hAnsi="宋体" w:cs="宋体"/>
                <w:color w:val="auto"/>
                <w:highlight w:val="none"/>
              </w:rPr>
            </w:pPr>
          </w:p>
        </w:tc>
        <w:tc>
          <w:tcPr>
            <w:tcW w:w="1130" w:type="dxa"/>
            <w:noWrap w:val="0"/>
            <w:vAlign w:val="top"/>
          </w:tcPr>
          <w:p w14:paraId="5A8D72A8">
            <w:pPr>
              <w:spacing w:line="360" w:lineRule="auto"/>
              <w:rPr>
                <w:rFonts w:ascii="宋体" w:hAnsi="宋体" w:cs="宋体"/>
                <w:color w:val="auto"/>
                <w:highlight w:val="none"/>
              </w:rPr>
            </w:pPr>
          </w:p>
        </w:tc>
        <w:tc>
          <w:tcPr>
            <w:tcW w:w="1100" w:type="dxa"/>
            <w:noWrap w:val="0"/>
            <w:vAlign w:val="top"/>
          </w:tcPr>
          <w:p w14:paraId="19354347">
            <w:pPr>
              <w:spacing w:line="360" w:lineRule="auto"/>
              <w:rPr>
                <w:rFonts w:ascii="宋体" w:hAnsi="宋体" w:cs="宋体"/>
                <w:color w:val="auto"/>
                <w:highlight w:val="none"/>
              </w:rPr>
            </w:pPr>
          </w:p>
        </w:tc>
        <w:tc>
          <w:tcPr>
            <w:tcW w:w="1094" w:type="dxa"/>
            <w:noWrap w:val="0"/>
            <w:vAlign w:val="top"/>
          </w:tcPr>
          <w:p w14:paraId="7D84773C">
            <w:pPr>
              <w:spacing w:line="360" w:lineRule="auto"/>
              <w:rPr>
                <w:rFonts w:ascii="宋体" w:hAnsi="宋体" w:cs="宋体"/>
                <w:color w:val="auto"/>
                <w:highlight w:val="none"/>
              </w:rPr>
            </w:pPr>
          </w:p>
        </w:tc>
        <w:tc>
          <w:tcPr>
            <w:tcW w:w="1925" w:type="dxa"/>
            <w:noWrap w:val="0"/>
            <w:vAlign w:val="top"/>
          </w:tcPr>
          <w:p w14:paraId="61FC0D70">
            <w:pPr>
              <w:spacing w:line="360" w:lineRule="auto"/>
              <w:rPr>
                <w:rFonts w:ascii="宋体" w:hAnsi="宋体" w:cs="宋体"/>
                <w:color w:val="auto"/>
                <w:highlight w:val="none"/>
              </w:rPr>
            </w:pPr>
          </w:p>
        </w:tc>
      </w:tr>
      <w:tr w14:paraId="16CC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856" w:type="dxa"/>
            <w:noWrap w:val="0"/>
            <w:vAlign w:val="top"/>
          </w:tcPr>
          <w:p w14:paraId="1FA5DA43">
            <w:pPr>
              <w:spacing w:line="360" w:lineRule="auto"/>
              <w:rPr>
                <w:rFonts w:ascii="宋体" w:hAnsi="宋体" w:cs="宋体"/>
                <w:color w:val="auto"/>
                <w:highlight w:val="none"/>
              </w:rPr>
            </w:pPr>
          </w:p>
        </w:tc>
        <w:tc>
          <w:tcPr>
            <w:tcW w:w="1130" w:type="dxa"/>
            <w:noWrap w:val="0"/>
            <w:vAlign w:val="top"/>
          </w:tcPr>
          <w:p w14:paraId="083EA423">
            <w:pPr>
              <w:spacing w:line="360" w:lineRule="auto"/>
              <w:rPr>
                <w:rFonts w:ascii="宋体" w:hAnsi="宋体" w:cs="宋体"/>
                <w:color w:val="auto"/>
                <w:highlight w:val="none"/>
              </w:rPr>
            </w:pPr>
          </w:p>
        </w:tc>
        <w:tc>
          <w:tcPr>
            <w:tcW w:w="856" w:type="dxa"/>
            <w:noWrap w:val="0"/>
            <w:vAlign w:val="top"/>
          </w:tcPr>
          <w:p w14:paraId="0E504AF2">
            <w:pPr>
              <w:spacing w:line="360" w:lineRule="auto"/>
              <w:rPr>
                <w:rFonts w:ascii="宋体" w:hAnsi="宋体" w:cs="宋体"/>
                <w:color w:val="auto"/>
                <w:highlight w:val="none"/>
              </w:rPr>
            </w:pPr>
          </w:p>
        </w:tc>
        <w:tc>
          <w:tcPr>
            <w:tcW w:w="1129" w:type="dxa"/>
            <w:noWrap w:val="0"/>
            <w:vAlign w:val="top"/>
          </w:tcPr>
          <w:p w14:paraId="249FE462">
            <w:pPr>
              <w:spacing w:line="360" w:lineRule="auto"/>
              <w:rPr>
                <w:rFonts w:ascii="宋体" w:hAnsi="宋体" w:cs="宋体"/>
                <w:color w:val="auto"/>
                <w:highlight w:val="none"/>
              </w:rPr>
            </w:pPr>
          </w:p>
        </w:tc>
        <w:tc>
          <w:tcPr>
            <w:tcW w:w="1130" w:type="dxa"/>
            <w:noWrap w:val="0"/>
            <w:vAlign w:val="top"/>
          </w:tcPr>
          <w:p w14:paraId="219604C1">
            <w:pPr>
              <w:spacing w:line="360" w:lineRule="auto"/>
              <w:rPr>
                <w:rFonts w:ascii="宋体" w:hAnsi="宋体" w:cs="宋体"/>
                <w:color w:val="auto"/>
                <w:highlight w:val="none"/>
              </w:rPr>
            </w:pPr>
          </w:p>
        </w:tc>
        <w:tc>
          <w:tcPr>
            <w:tcW w:w="1100" w:type="dxa"/>
            <w:noWrap w:val="0"/>
            <w:vAlign w:val="top"/>
          </w:tcPr>
          <w:p w14:paraId="08B65B09">
            <w:pPr>
              <w:spacing w:line="360" w:lineRule="auto"/>
              <w:rPr>
                <w:rFonts w:ascii="宋体" w:hAnsi="宋体" w:cs="宋体"/>
                <w:color w:val="auto"/>
                <w:highlight w:val="none"/>
              </w:rPr>
            </w:pPr>
          </w:p>
        </w:tc>
        <w:tc>
          <w:tcPr>
            <w:tcW w:w="1094" w:type="dxa"/>
            <w:noWrap w:val="0"/>
            <w:vAlign w:val="top"/>
          </w:tcPr>
          <w:p w14:paraId="1CFAC50B">
            <w:pPr>
              <w:spacing w:line="360" w:lineRule="auto"/>
              <w:rPr>
                <w:rFonts w:ascii="宋体" w:hAnsi="宋体" w:cs="宋体"/>
                <w:color w:val="auto"/>
                <w:highlight w:val="none"/>
              </w:rPr>
            </w:pPr>
          </w:p>
        </w:tc>
        <w:tc>
          <w:tcPr>
            <w:tcW w:w="1925" w:type="dxa"/>
            <w:noWrap w:val="0"/>
            <w:vAlign w:val="top"/>
          </w:tcPr>
          <w:p w14:paraId="129218D9">
            <w:pPr>
              <w:spacing w:line="360" w:lineRule="auto"/>
              <w:rPr>
                <w:rFonts w:ascii="宋体" w:hAnsi="宋体" w:cs="宋体"/>
                <w:color w:val="auto"/>
                <w:highlight w:val="none"/>
              </w:rPr>
            </w:pPr>
          </w:p>
        </w:tc>
      </w:tr>
      <w:tr w14:paraId="18BC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56" w:type="dxa"/>
            <w:noWrap w:val="0"/>
            <w:vAlign w:val="top"/>
          </w:tcPr>
          <w:p w14:paraId="16DA7E20">
            <w:pPr>
              <w:spacing w:line="360" w:lineRule="auto"/>
              <w:rPr>
                <w:rFonts w:ascii="宋体" w:hAnsi="宋体" w:cs="宋体"/>
                <w:color w:val="auto"/>
                <w:highlight w:val="none"/>
              </w:rPr>
            </w:pPr>
          </w:p>
        </w:tc>
        <w:tc>
          <w:tcPr>
            <w:tcW w:w="1130" w:type="dxa"/>
            <w:noWrap w:val="0"/>
            <w:vAlign w:val="top"/>
          </w:tcPr>
          <w:p w14:paraId="5EA2BFA3">
            <w:pPr>
              <w:spacing w:line="360" w:lineRule="auto"/>
              <w:rPr>
                <w:rFonts w:ascii="宋体" w:hAnsi="宋体" w:cs="宋体"/>
                <w:color w:val="auto"/>
                <w:highlight w:val="none"/>
              </w:rPr>
            </w:pPr>
          </w:p>
        </w:tc>
        <w:tc>
          <w:tcPr>
            <w:tcW w:w="856" w:type="dxa"/>
            <w:noWrap w:val="0"/>
            <w:vAlign w:val="top"/>
          </w:tcPr>
          <w:p w14:paraId="3E770595">
            <w:pPr>
              <w:spacing w:line="360" w:lineRule="auto"/>
              <w:rPr>
                <w:rFonts w:ascii="宋体" w:hAnsi="宋体" w:cs="宋体"/>
                <w:color w:val="auto"/>
                <w:highlight w:val="none"/>
              </w:rPr>
            </w:pPr>
          </w:p>
        </w:tc>
        <w:tc>
          <w:tcPr>
            <w:tcW w:w="1129" w:type="dxa"/>
            <w:noWrap w:val="0"/>
            <w:vAlign w:val="top"/>
          </w:tcPr>
          <w:p w14:paraId="4DCC4006">
            <w:pPr>
              <w:spacing w:line="360" w:lineRule="auto"/>
              <w:rPr>
                <w:rFonts w:ascii="宋体" w:hAnsi="宋体" w:cs="宋体"/>
                <w:color w:val="auto"/>
                <w:highlight w:val="none"/>
              </w:rPr>
            </w:pPr>
          </w:p>
        </w:tc>
        <w:tc>
          <w:tcPr>
            <w:tcW w:w="1130" w:type="dxa"/>
            <w:noWrap w:val="0"/>
            <w:vAlign w:val="top"/>
          </w:tcPr>
          <w:p w14:paraId="5B318DCD">
            <w:pPr>
              <w:spacing w:line="360" w:lineRule="auto"/>
              <w:rPr>
                <w:rFonts w:ascii="宋体" w:hAnsi="宋体" w:cs="宋体"/>
                <w:color w:val="auto"/>
                <w:highlight w:val="none"/>
              </w:rPr>
            </w:pPr>
          </w:p>
        </w:tc>
        <w:tc>
          <w:tcPr>
            <w:tcW w:w="1100" w:type="dxa"/>
            <w:noWrap w:val="0"/>
            <w:vAlign w:val="top"/>
          </w:tcPr>
          <w:p w14:paraId="0CB88FCC">
            <w:pPr>
              <w:spacing w:line="360" w:lineRule="auto"/>
              <w:rPr>
                <w:rFonts w:ascii="宋体" w:hAnsi="宋体" w:cs="宋体"/>
                <w:color w:val="auto"/>
                <w:highlight w:val="none"/>
              </w:rPr>
            </w:pPr>
          </w:p>
        </w:tc>
        <w:tc>
          <w:tcPr>
            <w:tcW w:w="1094" w:type="dxa"/>
            <w:noWrap w:val="0"/>
            <w:vAlign w:val="top"/>
          </w:tcPr>
          <w:p w14:paraId="34A7F3C8">
            <w:pPr>
              <w:spacing w:line="360" w:lineRule="auto"/>
              <w:rPr>
                <w:rFonts w:ascii="宋体" w:hAnsi="宋体" w:cs="宋体"/>
                <w:color w:val="auto"/>
                <w:highlight w:val="none"/>
              </w:rPr>
            </w:pPr>
          </w:p>
        </w:tc>
        <w:tc>
          <w:tcPr>
            <w:tcW w:w="1925" w:type="dxa"/>
            <w:noWrap w:val="0"/>
            <w:vAlign w:val="top"/>
          </w:tcPr>
          <w:p w14:paraId="2740457C">
            <w:pPr>
              <w:spacing w:line="360" w:lineRule="auto"/>
              <w:rPr>
                <w:rFonts w:ascii="宋体" w:hAnsi="宋体" w:cs="宋体"/>
                <w:color w:val="auto"/>
                <w:highlight w:val="none"/>
              </w:rPr>
            </w:pPr>
          </w:p>
        </w:tc>
      </w:tr>
    </w:tbl>
    <w:p w14:paraId="037F69D6">
      <w:pPr>
        <w:widowControl/>
        <w:spacing w:line="360" w:lineRule="auto"/>
        <w:jc w:val="left"/>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rPr>
        <w:t>注：本表后应附拟投入本项目主要人员的</w:t>
      </w:r>
      <w:r>
        <w:rPr>
          <w:rFonts w:hint="eastAsia" w:ascii="宋体" w:hAnsi="宋体" w:cs="宋体"/>
          <w:b/>
          <w:color w:val="auto"/>
          <w:kern w:val="0"/>
          <w:sz w:val="24"/>
          <w:szCs w:val="24"/>
          <w:highlight w:val="none"/>
          <w:lang w:val="en-US" w:eastAsia="zh-CN"/>
        </w:rPr>
        <w:t>身份证</w:t>
      </w:r>
      <w:r>
        <w:rPr>
          <w:rFonts w:hint="eastAsia" w:ascii="宋体" w:hAnsi="宋体" w:cs="宋体"/>
          <w:b/>
          <w:color w:val="auto"/>
          <w:kern w:val="0"/>
          <w:sz w:val="24"/>
          <w:szCs w:val="24"/>
          <w:highlight w:val="none"/>
        </w:rPr>
        <w:t>复印件</w:t>
      </w:r>
      <w:r>
        <w:rPr>
          <w:rFonts w:hint="eastAsia" w:ascii="宋体" w:hAnsi="宋体" w:eastAsia="宋体" w:cs="宋体"/>
          <w:b/>
          <w:color w:val="auto"/>
          <w:kern w:val="0"/>
          <w:sz w:val="24"/>
          <w:szCs w:val="24"/>
          <w:highlight w:val="none"/>
        </w:rPr>
        <w:t>。</w:t>
      </w:r>
    </w:p>
    <w:p w14:paraId="3B4AAAEA">
      <w:pPr>
        <w:pStyle w:val="3"/>
        <w:adjustRightInd w:val="0"/>
        <w:spacing w:line="360" w:lineRule="auto"/>
        <w:jc w:val="center"/>
        <w:textAlignment w:val="baseline"/>
        <w:rPr>
          <w:rFonts w:ascii="宋体" w:hAnsi="宋体" w:eastAsia="宋体" w:cs="宋体"/>
          <w:color w:val="auto"/>
          <w:highlight w:val="none"/>
        </w:rPr>
      </w:pPr>
      <w:r>
        <w:rPr>
          <w:rFonts w:hint="eastAsia"/>
          <w:color w:val="auto"/>
          <w:highlight w:val="none"/>
        </w:rPr>
        <w:tab/>
      </w:r>
      <w:bookmarkStart w:id="597" w:name="_Toc12449"/>
      <w:bookmarkStart w:id="598" w:name="_Toc17003"/>
      <w:r>
        <w:rPr>
          <w:rFonts w:hint="eastAsia" w:ascii="宋体" w:hAnsi="宋体" w:eastAsia="宋体" w:cs="宋体"/>
          <w:color w:val="auto"/>
          <w:highlight w:val="none"/>
        </w:rPr>
        <w:t>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类似</w:t>
      </w:r>
      <w:r>
        <w:rPr>
          <w:rFonts w:hint="eastAsia" w:ascii="宋体" w:hAnsi="宋体" w:eastAsia="宋体" w:cs="宋体"/>
          <w:color w:val="auto"/>
          <w:highlight w:val="none"/>
        </w:rPr>
        <w:t>项目经验一览表</w:t>
      </w:r>
      <w:bookmarkEnd w:id="597"/>
      <w:bookmarkEnd w:id="598"/>
    </w:p>
    <w:p w14:paraId="6D56A2E2">
      <w:pPr>
        <w:spacing w:line="360" w:lineRule="auto"/>
        <w:rPr>
          <w:rFonts w:ascii="宋体" w:hAnsi="宋体" w:cs="宋体"/>
          <w:color w:val="auto"/>
          <w:highlight w:val="none"/>
          <w:u w:val="single"/>
        </w:rPr>
      </w:pPr>
      <w:r>
        <w:rPr>
          <w:rFonts w:hint="eastAsia" w:ascii="宋体" w:hAnsi="宋体" w:cs="宋体"/>
          <w:color w:val="auto"/>
          <w:sz w:val="24"/>
          <w:highlight w:val="none"/>
        </w:rPr>
        <w:t xml:space="preserve">供应商名称：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1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14:paraId="58293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1266FC7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065" w:type="dxa"/>
            <w:noWrap w:val="0"/>
            <w:vAlign w:val="center"/>
          </w:tcPr>
          <w:p w14:paraId="1011981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1414" w:type="dxa"/>
            <w:noWrap w:val="0"/>
            <w:vAlign w:val="center"/>
          </w:tcPr>
          <w:p w14:paraId="13CDBE5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项目内容</w:t>
            </w:r>
          </w:p>
        </w:tc>
        <w:tc>
          <w:tcPr>
            <w:tcW w:w="1619" w:type="dxa"/>
            <w:tcBorders>
              <w:left w:val="single" w:color="auto" w:sz="4" w:space="0"/>
              <w:right w:val="single" w:color="auto" w:sz="4" w:space="0"/>
            </w:tcBorders>
            <w:noWrap w:val="0"/>
            <w:vAlign w:val="center"/>
          </w:tcPr>
          <w:p w14:paraId="27B8FB0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合同金额</w:t>
            </w:r>
          </w:p>
          <w:p w14:paraId="6E446AF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（万元）</w:t>
            </w:r>
          </w:p>
        </w:tc>
        <w:tc>
          <w:tcPr>
            <w:tcW w:w="1441" w:type="dxa"/>
            <w:noWrap w:val="0"/>
            <w:vAlign w:val="center"/>
          </w:tcPr>
          <w:p w14:paraId="0B1ECF6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完成日期</w:t>
            </w:r>
          </w:p>
        </w:tc>
        <w:tc>
          <w:tcPr>
            <w:tcW w:w="2700" w:type="dxa"/>
            <w:noWrap w:val="0"/>
            <w:vAlign w:val="center"/>
          </w:tcPr>
          <w:p w14:paraId="628AB8B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业主名称、联系人及电话</w:t>
            </w:r>
          </w:p>
        </w:tc>
      </w:tr>
      <w:tr w14:paraId="1A907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58EB60F9">
            <w:pPr>
              <w:spacing w:line="360" w:lineRule="auto"/>
              <w:ind w:left="120"/>
              <w:jc w:val="center"/>
              <w:rPr>
                <w:rFonts w:ascii="宋体" w:hAnsi="宋体" w:cs="宋体"/>
                <w:b/>
                <w:color w:val="auto"/>
                <w:sz w:val="24"/>
                <w:highlight w:val="none"/>
              </w:rPr>
            </w:pPr>
            <w:r>
              <w:rPr>
                <w:rFonts w:hint="eastAsia" w:ascii="宋体" w:hAnsi="宋体" w:cs="宋体"/>
                <w:b/>
                <w:color w:val="auto"/>
                <w:sz w:val="24"/>
                <w:highlight w:val="none"/>
              </w:rPr>
              <w:t>1</w:t>
            </w:r>
          </w:p>
        </w:tc>
        <w:tc>
          <w:tcPr>
            <w:tcW w:w="1065" w:type="dxa"/>
            <w:noWrap w:val="0"/>
            <w:vAlign w:val="center"/>
          </w:tcPr>
          <w:p w14:paraId="16465B4F">
            <w:pPr>
              <w:spacing w:line="360" w:lineRule="auto"/>
              <w:jc w:val="center"/>
              <w:rPr>
                <w:rFonts w:ascii="宋体" w:hAnsi="宋体" w:cs="宋体"/>
                <w:color w:val="auto"/>
                <w:sz w:val="24"/>
                <w:highlight w:val="none"/>
              </w:rPr>
            </w:pPr>
          </w:p>
        </w:tc>
        <w:tc>
          <w:tcPr>
            <w:tcW w:w="1414" w:type="dxa"/>
            <w:noWrap w:val="0"/>
            <w:vAlign w:val="center"/>
          </w:tcPr>
          <w:p w14:paraId="3D4FF76B">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32E3748A">
            <w:pPr>
              <w:spacing w:line="360" w:lineRule="auto"/>
              <w:jc w:val="center"/>
              <w:rPr>
                <w:rFonts w:ascii="宋体" w:hAnsi="宋体" w:cs="宋体"/>
                <w:color w:val="auto"/>
                <w:sz w:val="24"/>
                <w:highlight w:val="none"/>
              </w:rPr>
            </w:pPr>
          </w:p>
        </w:tc>
        <w:tc>
          <w:tcPr>
            <w:tcW w:w="1441" w:type="dxa"/>
            <w:noWrap w:val="0"/>
            <w:vAlign w:val="center"/>
          </w:tcPr>
          <w:p w14:paraId="639A6489">
            <w:pPr>
              <w:spacing w:line="360" w:lineRule="auto"/>
              <w:jc w:val="center"/>
              <w:rPr>
                <w:rFonts w:ascii="宋体" w:hAnsi="宋体" w:cs="宋体"/>
                <w:color w:val="auto"/>
                <w:sz w:val="24"/>
                <w:highlight w:val="none"/>
              </w:rPr>
            </w:pPr>
          </w:p>
        </w:tc>
        <w:tc>
          <w:tcPr>
            <w:tcW w:w="2700" w:type="dxa"/>
            <w:noWrap w:val="0"/>
            <w:vAlign w:val="top"/>
          </w:tcPr>
          <w:p w14:paraId="2D167A41">
            <w:pPr>
              <w:spacing w:line="360" w:lineRule="auto"/>
              <w:jc w:val="center"/>
              <w:rPr>
                <w:rFonts w:ascii="宋体" w:hAnsi="宋体" w:cs="宋体"/>
                <w:color w:val="auto"/>
                <w:sz w:val="24"/>
                <w:highlight w:val="none"/>
              </w:rPr>
            </w:pPr>
          </w:p>
        </w:tc>
      </w:tr>
      <w:tr w14:paraId="5D7B3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0B154E37">
            <w:pPr>
              <w:spacing w:line="360" w:lineRule="auto"/>
              <w:ind w:left="120"/>
              <w:jc w:val="center"/>
              <w:rPr>
                <w:rFonts w:ascii="宋体" w:hAnsi="宋体" w:cs="宋体"/>
                <w:b/>
                <w:color w:val="auto"/>
                <w:sz w:val="24"/>
                <w:highlight w:val="none"/>
              </w:rPr>
            </w:pPr>
            <w:r>
              <w:rPr>
                <w:rFonts w:hint="eastAsia" w:ascii="宋体" w:hAnsi="宋体" w:cs="宋体"/>
                <w:b/>
                <w:color w:val="auto"/>
                <w:sz w:val="24"/>
                <w:highlight w:val="none"/>
              </w:rPr>
              <w:t>2</w:t>
            </w:r>
          </w:p>
        </w:tc>
        <w:tc>
          <w:tcPr>
            <w:tcW w:w="1065" w:type="dxa"/>
            <w:noWrap w:val="0"/>
            <w:vAlign w:val="center"/>
          </w:tcPr>
          <w:p w14:paraId="45DB53AB">
            <w:pPr>
              <w:spacing w:line="360" w:lineRule="auto"/>
              <w:jc w:val="center"/>
              <w:rPr>
                <w:rFonts w:ascii="宋体" w:hAnsi="宋体" w:cs="宋体"/>
                <w:color w:val="auto"/>
                <w:sz w:val="24"/>
                <w:highlight w:val="none"/>
              </w:rPr>
            </w:pPr>
          </w:p>
        </w:tc>
        <w:tc>
          <w:tcPr>
            <w:tcW w:w="1414" w:type="dxa"/>
            <w:noWrap w:val="0"/>
            <w:vAlign w:val="center"/>
          </w:tcPr>
          <w:p w14:paraId="210E34BC">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06C26209">
            <w:pPr>
              <w:spacing w:line="360" w:lineRule="auto"/>
              <w:jc w:val="center"/>
              <w:rPr>
                <w:rFonts w:ascii="宋体" w:hAnsi="宋体" w:cs="宋体"/>
                <w:color w:val="auto"/>
                <w:sz w:val="24"/>
                <w:highlight w:val="none"/>
              </w:rPr>
            </w:pPr>
          </w:p>
        </w:tc>
        <w:tc>
          <w:tcPr>
            <w:tcW w:w="1441" w:type="dxa"/>
            <w:noWrap w:val="0"/>
            <w:vAlign w:val="center"/>
          </w:tcPr>
          <w:p w14:paraId="3BA8F8A4">
            <w:pPr>
              <w:spacing w:line="360" w:lineRule="auto"/>
              <w:jc w:val="center"/>
              <w:rPr>
                <w:rFonts w:ascii="宋体" w:hAnsi="宋体" w:cs="宋体"/>
                <w:color w:val="auto"/>
                <w:sz w:val="24"/>
                <w:highlight w:val="none"/>
              </w:rPr>
            </w:pPr>
          </w:p>
        </w:tc>
        <w:tc>
          <w:tcPr>
            <w:tcW w:w="2700" w:type="dxa"/>
            <w:noWrap w:val="0"/>
            <w:vAlign w:val="top"/>
          </w:tcPr>
          <w:p w14:paraId="67D2FB83">
            <w:pPr>
              <w:spacing w:line="360" w:lineRule="auto"/>
              <w:jc w:val="center"/>
              <w:rPr>
                <w:rFonts w:ascii="宋体" w:hAnsi="宋体" w:cs="宋体"/>
                <w:color w:val="auto"/>
                <w:sz w:val="24"/>
                <w:highlight w:val="none"/>
              </w:rPr>
            </w:pPr>
          </w:p>
        </w:tc>
      </w:tr>
      <w:tr w14:paraId="7BD5F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0E0E9FAB">
            <w:pPr>
              <w:spacing w:line="360" w:lineRule="auto"/>
              <w:ind w:left="120"/>
              <w:jc w:val="center"/>
              <w:rPr>
                <w:rFonts w:ascii="宋体" w:hAnsi="宋体" w:cs="宋体"/>
                <w:b/>
                <w:color w:val="auto"/>
                <w:sz w:val="24"/>
                <w:highlight w:val="none"/>
              </w:rPr>
            </w:pPr>
            <w:r>
              <w:rPr>
                <w:rFonts w:hint="eastAsia" w:ascii="宋体" w:hAnsi="宋体" w:cs="宋体"/>
                <w:b/>
                <w:color w:val="auto"/>
                <w:sz w:val="24"/>
                <w:highlight w:val="none"/>
              </w:rPr>
              <w:t>3</w:t>
            </w:r>
          </w:p>
        </w:tc>
        <w:tc>
          <w:tcPr>
            <w:tcW w:w="1065" w:type="dxa"/>
            <w:noWrap w:val="0"/>
            <w:vAlign w:val="center"/>
          </w:tcPr>
          <w:p w14:paraId="75433D11">
            <w:pPr>
              <w:spacing w:line="360" w:lineRule="auto"/>
              <w:jc w:val="center"/>
              <w:rPr>
                <w:rFonts w:ascii="宋体" w:hAnsi="宋体" w:cs="宋体"/>
                <w:color w:val="auto"/>
                <w:sz w:val="24"/>
                <w:highlight w:val="none"/>
              </w:rPr>
            </w:pPr>
          </w:p>
        </w:tc>
        <w:tc>
          <w:tcPr>
            <w:tcW w:w="1414" w:type="dxa"/>
            <w:noWrap w:val="0"/>
            <w:vAlign w:val="center"/>
          </w:tcPr>
          <w:p w14:paraId="3EE22B06">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25F3103A">
            <w:pPr>
              <w:spacing w:line="360" w:lineRule="auto"/>
              <w:jc w:val="center"/>
              <w:rPr>
                <w:rFonts w:ascii="宋体" w:hAnsi="宋体" w:cs="宋体"/>
                <w:color w:val="auto"/>
                <w:sz w:val="24"/>
                <w:highlight w:val="none"/>
              </w:rPr>
            </w:pPr>
          </w:p>
        </w:tc>
        <w:tc>
          <w:tcPr>
            <w:tcW w:w="1441" w:type="dxa"/>
            <w:noWrap w:val="0"/>
            <w:vAlign w:val="center"/>
          </w:tcPr>
          <w:p w14:paraId="3C423DEA">
            <w:pPr>
              <w:spacing w:line="360" w:lineRule="auto"/>
              <w:jc w:val="center"/>
              <w:rPr>
                <w:rFonts w:ascii="宋体" w:hAnsi="宋体" w:cs="宋体"/>
                <w:color w:val="auto"/>
                <w:sz w:val="24"/>
                <w:highlight w:val="none"/>
              </w:rPr>
            </w:pPr>
          </w:p>
        </w:tc>
        <w:tc>
          <w:tcPr>
            <w:tcW w:w="2700" w:type="dxa"/>
            <w:noWrap w:val="0"/>
            <w:vAlign w:val="top"/>
          </w:tcPr>
          <w:p w14:paraId="10F304F9">
            <w:pPr>
              <w:spacing w:line="360" w:lineRule="auto"/>
              <w:jc w:val="center"/>
              <w:rPr>
                <w:rFonts w:ascii="宋体" w:hAnsi="宋体" w:cs="宋体"/>
                <w:color w:val="auto"/>
                <w:sz w:val="24"/>
                <w:highlight w:val="none"/>
              </w:rPr>
            </w:pPr>
          </w:p>
        </w:tc>
      </w:tr>
      <w:tr w14:paraId="6039C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1402CF94">
            <w:pPr>
              <w:spacing w:line="360" w:lineRule="auto"/>
              <w:ind w:left="120"/>
              <w:jc w:val="center"/>
              <w:rPr>
                <w:rFonts w:ascii="宋体" w:hAnsi="宋体" w:cs="宋体"/>
                <w:b/>
                <w:color w:val="auto"/>
                <w:sz w:val="24"/>
                <w:highlight w:val="none"/>
              </w:rPr>
            </w:pPr>
            <w:r>
              <w:rPr>
                <w:rFonts w:hint="eastAsia" w:ascii="宋体" w:hAnsi="宋体" w:cs="宋体"/>
                <w:b/>
                <w:color w:val="auto"/>
                <w:sz w:val="24"/>
                <w:highlight w:val="none"/>
              </w:rPr>
              <w:t>4</w:t>
            </w:r>
          </w:p>
        </w:tc>
        <w:tc>
          <w:tcPr>
            <w:tcW w:w="1065" w:type="dxa"/>
            <w:noWrap w:val="0"/>
            <w:vAlign w:val="center"/>
          </w:tcPr>
          <w:p w14:paraId="1564BD96">
            <w:pPr>
              <w:spacing w:line="360" w:lineRule="auto"/>
              <w:jc w:val="center"/>
              <w:rPr>
                <w:rFonts w:ascii="宋体" w:hAnsi="宋体" w:cs="宋体"/>
                <w:color w:val="auto"/>
                <w:sz w:val="24"/>
                <w:highlight w:val="none"/>
              </w:rPr>
            </w:pPr>
          </w:p>
        </w:tc>
        <w:tc>
          <w:tcPr>
            <w:tcW w:w="1414" w:type="dxa"/>
            <w:noWrap w:val="0"/>
            <w:vAlign w:val="center"/>
          </w:tcPr>
          <w:p w14:paraId="45642A6E">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6FC3C67B">
            <w:pPr>
              <w:spacing w:line="360" w:lineRule="auto"/>
              <w:jc w:val="center"/>
              <w:rPr>
                <w:rFonts w:ascii="宋体" w:hAnsi="宋体" w:cs="宋体"/>
                <w:color w:val="auto"/>
                <w:sz w:val="24"/>
                <w:highlight w:val="none"/>
              </w:rPr>
            </w:pPr>
          </w:p>
        </w:tc>
        <w:tc>
          <w:tcPr>
            <w:tcW w:w="1441" w:type="dxa"/>
            <w:noWrap w:val="0"/>
            <w:vAlign w:val="center"/>
          </w:tcPr>
          <w:p w14:paraId="5B2E2D23">
            <w:pPr>
              <w:spacing w:line="360" w:lineRule="auto"/>
              <w:jc w:val="center"/>
              <w:rPr>
                <w:rFonts w:ascii="宋体" w:hAnsi="宋体" w:cs="宋体"/>
                <w:color w:val="auto"/>
                <w:sz w:val="24"/>
                <w:highlight w:val="none"/>
              </w:rPr>
            </w:pPr>
          </w:p>
        </w:tc>
        <w:tc>
          <w:tcPr>
            <w:tcW w:w="2700" w:type="dxa"/>
            <w:noWrap w:val="0"/>
            <w:vAlign w:val="top"/>
          </w:tcPr>
          <w:p w14:paraId="5C22EAC8">
            <w:pPr>
              <w:spacing w:line="360" w:lineRule="auto"/>
              <w:jc w:val="center"/>
              <w:rPr>
                <w:rFonts w:ascii="宋体" w:hAnsi="宋体" w:cs="宋体"/>
                <w:color w:val="auto"/>
                <w:sz w:val="24"/>
                <w:highlight w:val="none"/>
              </w:rPr>
            </w:pPr>
          </w:p>
        </w:tc>
      </w:tr>
      <w:tr w14:paraId="61AE7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6FC1EFD1">
            <w:pPr>
              <w:spacing w:line="360" w:lineRule="auto"/>
              <w:ind w:left="120"/>
              <w:jc w:val="center"/>
              <w:rPr>
                <w:rFonts w:ascii="宋体" w:hAnsi="宋体" w:cs="宋体"/>
                <w:b/>
                <w:color w:val="auto"/>
                <w:sz w:val="24"/>
                <w:highlight w:val="none"/>
              </w:rPr>
            </w:pPr>
            <w:r>
              <w:rPr>
                <w:rFonts w:hint="eastAsia" w:ascii="宋体" w:hAnsi="宋体" w:cs="宋体"/>
                <w:b/>
                <w:color w:val="auto"/>
                <w:sz w:val="24"/>
                <w:highlight w:val="none"/>
              </w:rPr>
              <w:t>5</w:t>
            </w:r>
          </w:p>
        </w:tc>
        <w:tc>
          <w:tcPr>
            <w:tcW w:w="1065" w:type="dxa"/>
            <w:noWrap w:val="0"/>
            <w:vAlign w:val="center"/>
          </w:tcPr>
          <w:p w14:paraId="419488CF">
            <w:pPr>
              <w:spacing w:line="360" w:lineRule="auto"/>
              <w:jc w:val="center"/>
              <w:rPr>
                <w:rFonts w:ascii="宋体" w:hAnsi="宋体" w:cs="宋体"/>
                <w:color w:val="auto"/>
                <w:sz w:val="24"/>
                <w:highlight w:val="none"/>
              </w:rPr>
            </w:pPr>
          </w:p>
        </w:tc>
        <w:tc>
          <w:tcPr>
            <w:tcW w:w="1414" w:type="dxa"/>
            <w:noWrap w:val="0"/>
            <w:vAlign w:val="center"/>
          </w:tcPr>
          <w:p w14:paraId="0C287FBA">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16475B72">
            <w:pPr>
              <w:spacing w:line="360" w:lineRule="auto"/>
              <w:jc w:val="center"/>
              <w:rPr>
                <w:rFonts w:ascii="宋体" w:hAnsi="宋体" w:cs="宋体"/>
                <w:color w:val="auto"/>
                <w:sz w:val="24"/>
                <w:highlight w:val="none"/>
              </w:rPr>
            </w:pPr>
          </w:p>
        </w:tc>
        <w:tc>
          <w:tcPr>
            <w:tcW w:w="1441" w:type="dxa"/>
            <w:noWrap w:val="0"/>
            <w:vAlign w:val="center"/>
          </w:tcPr>
          <w:p w14:paraId="45573685">
            <w:pPr>
              <w:spacing w:line="360" w:lineRule="auto"/>
              <w:jc w:val="center"/>
              <w:rPr>
                <w:rFonts w:ascii="宋体" w:hAnsi="宋体" w:cs="宋体"/>
                <w:color w:val="auto"/>
                <w:sz w:val="24"/>
                <w:highlight w:val="none"/>
              </w:rPr>
            </w:pPr>
          </w:p>
        </w:tc>
        <w:tc>
          <w:tcPr>
            <w:tcW w:w="2700" w:type="dxa"/>
            <w:noWrap w:val="0"/>
            <w:vAlign w:val="top"/>
          </w:tcPr>
          <w:p w14:paraId="79299912">
            <w:pPr>
              <w:spacing w:line="360" w:lineRule="auto"/>
              <w:jc w:val="center"/>
              <w:rPr>
                <w:rFonts w:ascii="宋体" w:hAnsi="宋体" w:cs="宋体"/>
                <w:color w:val="auto"/>
                <w:sz w:val="24"/>
                <w:highlight w:val="none"/>
              </w:rPr>
            </w:pPr>
          </w:p>
        </w:tc>
      </w:tr>
      <w:tr w14:paraId="519CA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328D5E1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w:t>
            </w:r>
          </w:p>
        </w:tc>
        <w:tc>
          <w:tcPr>
            <w:tcW w:w="1065" w:type="dxa"/>
            <w:noWrap w:val="0"/>
            <w:vAlign w:val="center"/>
          </w:tcPr>
          <w:p w14:paraId="138775D7">
            <w:pPr>
              <w:spacing w:line="360" w:lineRule="auto"/>
              <w:jc w:val="center"/>
              <w:rPr>
                <w:rFonts w:ascii="宋体" w:hAnsi="宋体" w:cs="宋体"/>
                <w:color w:val="auto"/>
                <w:sz w:val="24"/>
                <w:highlight w:val="none"/>
              </w:rPr>
            </w:pPr>
          </w:p>
        </w:tc>
        <w:tc>
          <w:tcPr>
            <w:tcW w:w="1414" w:type="dxa"/>
            <w:noWrap w:val="0"/>
            <w:vAlign w:val="center"/>
          </w:tcPr>
          <w:p w14:paraId="7DBE5B7F">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56AC6333">
            <w:pPr>
              <w:spacing w:line="360" w:lineRule="auto"/>
              <w:jc w:val="center"/>
              <w:rPr>
                <w:rFonts w:ascii="宋体" w:hAnsi="宋体" w:cs="宋体"/>
                <w:color w:val="auto"/>
                <w:sz w:val="24"/>
                <w:highlight w:val="none"/>
              </w:rPr>
            </w:pPr>
          </w:p>
        </w:tc>
        <w:tc>
          <w:tcPr>
            <w:tcW w:w="1441" w:type="dxa"/>
            <w:noWrap w:val="0"/>
            <w:vAlign w:val="center"/>
          </w:tcPr>
          <w:p w14:paraId="125E5C82">
            <w:pPr>
              <w:spacing w:line="360" w:lineRule="auto"/>
              <w:jc w:val="center"/>
              <w:rPr>
                <w:rFonts w:ascii="宋体" w:hAnsi="宋体" w:cs="宋体"/>
                <w:color w:val="auto"/>
                <w:sz w:val="24"/>
                <w:highlight w:val="none"/>
              </w:rPr>
            </w:pPr>
          </w:p>
        </w:tc>
        <w:tc>
          <w:tcPr>
            <w:tcW w:w="2700" w:type="dxa"/>
            <w:noWrap w:val="0"/>
            <w:vAlign w:val="top"/>
          </w:tcPr>
          <w:p w14:paraId="422EA52D">
            <w:pPr>
              <w:spacing w:line="360" w:lineRule="auto"/>
              <w:jc w:val="center"/>
              <w:rPr>
                <w:rFonts w:ascii="宋体" w:hAnsi="宋体" w:cs="宋体"/>
                <w:color w:val="auto"/>
                <w:sz w:val="24"/>
                <w:highlight w:val="none"/>
              </w:rPr>
            </w:pPr>
          </w:p>
        </w:tc>
      </w:tr>
      <w:tr w14:paraId="788FC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27E98EAB">
            <w:pPr>
              <w:spacing w:line="360" w:lineRule="auto"/>
              <w:jc w:val="center"/>
              <w:rPr>
                <w:rFonts w:ascii="宋体" w:hAnsi="宋体" w:cs="宋体"/>
                <w:b/>
                <w:color w:val="auto"/>
                <w:sz w:val="24"/>
                <w:highlight w:val="none"/>
              </w:rPr>
            </w:pPr>
          </w:p>
        </w:tc>
        <w:tc>
          <w:tcPr>
            <w:tcW w:w="1065" w:type="dxa"/>
            <w:noWrap w:val="0"/>
            <w:vAlign w:val="center"/>
          </w:tcPr>
          <w:p w14:paraId="1AD095DF">
            <w:pPr>
              <w:spacing w:line="360" w:lineRule="auto"/>
              <w:jc w:val="center"/>
              <w:rPr>
                <w:rFonts w:ascii="宋体" w:hAnsi="宋体" w:cs="宋体"/>
                <w:color w:val="auto"/>
                <w:sz w:val="24"/>
                <w:highlight w:val="none"/>
              </w:rPr>
            </w:pPr>
          </w:p>
        </w:tc>
        <w:tc>
          <w:tcPr>
            <w:tcW w:w="1414" w:type="dxa"/>
            <w:noWrap w:val="0"/>
            <w:vAlign w:val="center"/>
          </w:tcPr>
          <w:p w14:paraId="4852F8AF">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4BCCDA39">
            <w:pPr>
              <w:spacing w:line="360" w:lineRule="auto"/>
              <w:jc w:val="center"/>
              <w:rPr>
                <w:rFonts w:ascii="宋体" w:hAnsi="宋体" w:cs="宋体"/>
                <w:color w:val="auto"/>
                <w:sz w:val="24"/>
                <w:highlight w:val="none"/>
              </w:rPr>
            </w:pPr>
          </w:p>
        </w:tc>
        <w:tc>
          <w:tcPr>
            <w:tcW w:w="1441" w:type="dxa"/>
            <w:noWrap w:val="0"/>
            <w:vAlign w:val="center"/>
          </w:tcPr>
          <w:p w14:paraId="098C2086">
            <w:pPr>
              <w:spacing w:line="360" w:lineRule="auto"/>
              <w:jc w:val="center"/>
              <w:rPr>
                <w:rFonts w:ascii="宋体" w:hAnsi="宋体" w:cs="宋体"/>
                <w:color w:val="auto"/>
                <w:sz w:val="24"/>
                <w:highlight w:val="none"/>
              </w:rPr>
            </w:pPr>
          </w:p>
        </w:tc>
        <w:tc>
          <w:tcPr>
            <w:tcW w:w="2700" w:type="dxa"/>
            <w:noWrap w:val="0"/>
            <w:vAlign w:val="top"/>
          </w:tcPr>
          <w:p w14:paraId="49A7188D">
            <w:pPr>
              <w:spacing w:line="360" w:lineRule="auto"/>
              <w:jc w:val="center"/>
              <w:rPr>
                <w:rFonts w:ascii="宋体" w:hAnsi="宋体" w:cs="宋体"/>
                <w:color w:val="auto"/>
                <w:sz w:val="24"/>
                <w:highlight w:val="none"/>
              </w:rPr>
            </w:pPr>
          </w:p>
        </w:tc>
      </w:tr>
      <w:tr w14:paraId="0C2C1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71C8CB3B">
            <w:pPr>
              <w:spacing w:line="360" w:lineRule="auto"/>
              <w:jc w:val="center"/>
              <w:rPr>
                <w:rFonts w:ascii="宋体" w:hAnsi="宋体" w:cs="宋体"/>
                <w:b/>
                <w:color w:val="auto"/>
                <w:sz w:val="24"/>
                <w:highlight w:val="none"/>
              </w:rPr>
            </w:pPr>
          </w:p>
        </w:tc>
        <w:tc>
          <w:tcPr>
            <w:tcW w:w="1065" w:type="dxa"/>
            <w:noWrap w:val="0"/>
            <w:vAlign w:val="center"/>
          </w:tcPr>
          <w:p w14:paraId="5E79D2AC">
            <w:pPr>
              <w:spacing w:line="360" w:lineRule="auto"/>
              <w:jc w:val="center"/>
              <w:rPr>
                <w:rFonts w:ascii="宋体" w:hAnsi="宋体" w:cs="宋体"/>
                <w:color w:val="auto"/>
                <w:sz w:val="24"/>
                <w:highlight w:val="none"/>
              </w:rPr>
            </w:pPr>
          </w:p>
        </w:tc>
        <w:tc>
          <w:tcPr>
            <w:tcW w:w="1414" w:type="dxa"/>
            <w:noWrap w:val="0"/>
            <w:vAlign w:val="center"/>
          </w:tcPr>
          <w:p w14:paraId="49F5AC2F">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3E529F02">
            <w:pPr>
              <w:spacing w:line="360" w:lineRule="auto"/>
              <w:jc w:val="center"/>
              <w:rPr>
                <w:rFonts w:ascii="宋体" w:hAnsi="宋体" w:cs="宋体"/>
                <w:color w:val="auto"/>
                <w:sz w:val="24"/>
                <w:highlight w:val="none"/>
              </w:rPr>
            </w:pPr>
          </w:p>
        </w:tc>
        <w:tc>
          <w:tcPr>
            <w:tcW w:w="1441" w:type="dxa"/>
            <w:noWrap w:val="0"/>
            <w:vAlign w:val="center"/>
          </w:tcPr>
          <w:p w14:paraId="648CACF5">
            <w:pPr>
              <w:spacing w:line="360" w:lineRule="auto"/>
              <w:jc w:val="center"/>
              <w:rPr>
                <w:rFonts w:ascii="宋体" w:hAnsi="宋体" w:cs="宋体"/>
                <w:color w:val="auto"/>
                <w:sz w:val="24"/>
                <w:highlight w:val="none"/>
              </w:rPr>
            </w:pPr>
          </w:p>
        </w:tc>
        <w:tc>
          <w:tcPr>
            <w:tcW w:w="2700" w:type="dxa"/>
            <w:noWrap w:val="0"/>
            <w:vAlign w:val="top"/>
          </w:tcPr>
          <w:p w14:paraId="46FEE7F0">
            <w:pPr>
              <w:spacing w:line="360" w:lineRule="auto"/>
              <w:jc w:val="center"/>
              <w:rPr>
                <w:rFonts w:ascii="宋体" w:hAnsi="宋体" w:cs="宋体"/>
                <w:color w:val="auto"/>
                <w:sz w:val="24"/>
                <w:highlight w:val="none"/>
              </w:rPr>
            </w:pPr>
          </w:p>
        </w:tc>
      </w:tr>
      <w:tr w14:paraId="20D78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2276F351">
            <w:pPr>
              <w:spacing w:line="360" w:lineRule="auto"/>
              <w:jc w:val="center"/>
              <w:rPr>
                <w:rFonts w:ascii="宋体" w:hAnsi="宋体" w:cs="宋体"/>
                <w:b/>
                <w:color w:val="auto"/>
                <w:sz w:val="24"/>
                <w:highlight w:val="none"/>
              </w:rPr>
            </w:pPr>
          </w:p>
        </w:tc>
        <w:tc>
          <w:tcPr>
            <w:tcW w:w="1065" w:type="dxa"/>
            <w:noWrap w:val="0"/>
            <w:vAlign w:val="center"/>
          </w:tcPr>
          <w:p w14:paraId="22DEB46A">
            <w:pPr>
              <w:spacing w:line="360" w:lineRule="auto"/>
              <w:jc w:val="center"/>
              <w:rPr>
                <w:rFonts w:ascii="宋体" w:hAnsi="宋体" w:cs="宋体"/>
                <w:color w:val="auto"/>
                <w:sz w:val="24"/>
                <w:highlight w:val="none"/>
              </w:rPr>
            </w:pPr>
          </w:p>
        </w:tc>
        <w:tc>
          <w:tcPr>
            <w:tcW w:w="1414" w:type="dxa"/>
            <w:noWrap w:val="0"/>
            <w:vAlign w:val="center"/>
          </w:tcPr>
          <w:p w14:paraId="52322154">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1B4EB163">
            <w:pPr>
              <w:spacing w:line="360" w:lineRule="auto"/>
              <w:jc w:val="center"/>
              <w:rPr>
                <w:rFonts w:ascii="宋体" w:hAnsi="宋体" w:cs="宋体"/>
                <w:color w:val="auto"/>
                <w:sz w:val="24"/>
                <w:highlight w:val="none"/>
              </w:rPr>
            </w:pPr>
          </w:p>
        </w:tc>
        <w:tc>
          <w:tcPr>
            <w:tcW w:w="1441" w:type="dxa"/>
            <w:noWrap w:val="0"/>
            <w:vAlign w:val="center"/>
          </w:tcPr>
          <w:p w14:paraId="66561803">
            <w:pPr>
              <w:spacing w:line="360" w:lineRule="auto"/>
              <w:jc w:val="center"/>
              <w:rPr>
                <w:rFonts w:ascii="宋体" w:hAnsi="宋体" w:cs="宋体"/>
                <w:color w:val="auto"/>
                <w:sz w:val="24"/>
                <w:highlight w:val="none"/>
              </w:rPr>
            </w:pPr>
          </w:p>
        </w:tc>
        <w:tc>
          <w:tcPr>
            <w:tcW w:w="2700" w:type="dxa"/>
            <w:noWrap w:val="0"/>
            <w:vAlign w:val="top"/>
          </w:tcPr>
          <w:p w14:paraId="5DFA2D84">
            <w:pPr>
              <w:spacing w:line="360" w:lineRule="auto"/>
              <w:jc w:val="center"/>
              <w:rPr>
                <w:rFonts w:ascii="宋体" w:hAnsi="宋体" w:cs="宋体"/>
                <w:color w:val="auto"/>
                <w:sz w:val="24"/>
                <w:highlight w:val="none"/>
              </w:rPr>
            </w:pPr>
          </w:p>
        </w:tc>
      </w:tr>
      <w:tr w14:paraId="2D738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14:paraId="4AD213F8">
            <w:pPr>
              <w:spacing w:line="360" w:lineRule="auto"/>
              <w:ind w:left="120"/>
              <w:jc w:val="center"/>
              <w:rPr>
                <w:rFonts w:ascii="宋体" w:hAnsi="宋体" w:cs="宋体"/>
                <w:b/>
                <w:color w:val="auto"/>
                <w:sz w:val="24"/>
                <w:highlight w:val="none"/>
              </w:rPr>
            </w:pPr>
          </w:p>
        </w:tc>
        <w:tc>
          <w:tcPr>
            <w:tcW w:w="1065" w:type="dxa"/>
            <w:noWrap w:val="0"/>
            <w:vAlign w:val="center"/>
          </w:tcPr>
          <w:p w14:paraId="080260CF">
            <w:pPr>
              <w:spacing w:line="360" w:lineRule="auto"/>
              <w:jc w:val="center"/>
              <w:rPr>
                <w:rFonts w:ascii="宋体" w:hAnsi="宋体" w:cs="宋体"/>
                <w:color w:val="auto"/>
                <w:sz w:val="24"/>
                <w:highlight w:val="none"/>
              </w:rPr>
            </w:pPr>
          </w:p>
        </w:tc>
        <w:tc>
          <w:tcPr>
            <w:tcW w:w="1414" w:type="dxa"/>
            <w:noWrap w:val="0"/>
            <w:vAlign w:val="center"/>
          </w:tcPr>
          <w:p w14:paraId="17A4C94D">
            <w:pPr>
              <w:spacing w:line="360" w:lineRule="auto"/>
              <w:jc w:val="center"/>
              <w:rPr>
                <w:rFonts w:ascii="宋体" w:hAnsi="宋体" w:cs="宋体"/>
                <w:color w:val="auto"/>
                <w:sz w:val="24"/>
                <w:highlight w:val="none"/>
              </w:rPr>
            </w:pPr>
          </w:p>
        </w:tc>
        <w:tc>
          <w:tcPr>
            <w:tcW w:w="1619" w:type="dxa"/>
            <w:tcBorders>
              <w:left w:val="single" w:color="auto" w:sz="4" w:space="0"/>
              <w:right w:val="single" w:color="auto" w:sz="4" w:space="0"/>
            </w:tcBorders>
            <w:noWrap w:val="0"/>
            <w:vAlign w:val="center"/>
          </w:tcPr>
          <w:p w14:paraId="0D09F2F0">
            <w:pPr>
              <w:spacing w:line="360" w:lineRule="auto"/>
              <w:jc w:val="center"/>
              <w:rPr>
                <w:rFonts w:ascii="宋体" w:hAnsi="宋体" w:cs="宋体"/>
                <w:color w:val="auto"/>
                <w:sz w:val="24"/>
                <w:highlight w:val="none"/>
              </w:rPr>
            </w:pPr>
          </w:p>
        </w:tc>
        <w:tc>
          <w:tcPr>
            <w:tcW w:w="1441" w:type="dxa"/>
            <w:noWrap w:val="0"/>
            <w:vAlign w:val="center"/>
          </w:tcPr>
          <w:p w14:paraId="5B1F3799">
            <w:pPr>
              <w:spacing w:line="360" w:lineRule="auto"/>
              <w:jc w:val="center"/>
              <w:rPr>
                <w:rFonts w:ascii="宋体" w:hAnsi="宋体" w:cs="宋体"/>
                <w:color w:val="auto"/>
                <w:sz w:val="24"/>
                <w:highlight w:val="none"/>
              </w:rPr>
            </w:pPr>
          </w:p>
        </w:tc>
        <w:tc>
          <w:tcPr>
            <w:tcW w:w="2700" w:type="dxa"/>
            <w:noWrap w:val="0"/>
            <w:vAlign w:val="top"/>
          </w:tcPr>
          <w:p w14:paraId="06C30196">
            <w:pPr>
              <w:spacing w:line="360" w:lineRule="auto"/>
              <w:jc w:val="center"/>
              <w:rPr>
                <w:rFonts w:ascii="宋体" w:hAnsi="宋体" w:cs="宋体"/>
                <w:color w:val="auto"/>
                <w:sz w:val="24"/>
                <w:highlight w:val="none"/>
              </w:rPr>
            </w:pPr>
          </w:p>
        </w:tc>
      </w:tr>
    </w:tbl>
    <w:p w14:paraId="3DDC084B">
      <w:pPr>
        <w:snapToGrid w:val="0"/>
        <w:spacing w:before="120" w:line="360" w:lineRule="auto"/>
        <w:ind w:right="357"/>
        <w:rPr>
          <w:rFonts w:ascii="宋体" w:hAnsi="宋体" w:cs="宋体"/>
          <w:color w:val="auto"/>
          <w:highlight w:val="none"/>
        </w:rPr>
      </w:pPr>
    </w:p>
    <w:p w14:paraId="07770BE8">
      <w:pPr>
        <w:tabs>
          <w:tab w:val="left" w:pos="8782"/>
        </w:tabs>
        <w:snapToGrid w:val="0"/>
        <w:spacing w:before="120" w:line="360" w:lineRule="auto"/>
        <w:ind w:left="505" w:leftChars="50" w:right="-38" w:hanging="400" w:hangingChars="166"/>
        <w:rPr>
          <w:rFonts w:ascii="宋体" w:hAnsi="宋体" w:cs="宋体"/>
          <w:b/>
          <w:bCs/>
          <w:color w:val="auto"/>
          <w:sz w:val="24"/>
          <w:szCs w:val="24"/>
          <w:highlight w:val="none"/>
        </w:rPr>
      </w:pPr>
      <w:r>
        <w:rPr>
          <w:rFonts w:hint="eastAsia" w:ascii="宋体" w:hAnsi="宋体" w:cs="宋体"/>
          <w:b/>
          <w:bCs/>
          <w:color w:val="auto"/>
          <w:sz w:val="24"/>
          <w:szCs w:val="24"/>
          <w:highlight w:val="none"/>
        </w:rPr>
        <w:t>注：1.如有同类项目经验请如实填写本表。供应商应如实列出以上情况，如有隐瞒，一经查实将导致其报价申请被拒绝。</w:t>
      </w:r>
    </w:p>
    <w:p w14:paraId="405CC459">
      <w:pPr>
        <w:snapToGrid w:val="0"/>
        <w:spacing w:before="120" w:line="360" w:lineRule="auto"/>
        <w:ind w:left="523" w:leftChars="249" w:right="357"/>
        <w:rPr>
          <w:rFonts w:ascii="宋体" w:hAnsi="宋体" w:cs="宋体"/>
          <w:color w:val="auto"/>
          <w:sz w:val="24"/>
          <w:szCs w:val="24"/>
          <w:highlight w:val="none"/>
        </w:rPr>
      </w:pPr>
      <w:r>
        <w:rPr>
          <w:rFonts w:hint="eastAsia" w:ascii="宋体" w:hAnsi="宋体" w:cs="宋体"/>
          <w:b/>
          <w:bCs/>
          <w:color w:val="auto"/>
          <w:sz w:val="24"/>
          <w:szCs w:val="24"/>
          <w:highlight w:val="none"/>
        </w:rPr>
        <w:t>2.供应商应提供双方签订的合同（合同复印件加盖公章装订在谈判响应文件中）。</w:t>
      </w:r>
    </w:p>
    <w:p w14:paraId="5C81DB23">
      <w:pPr>
        <w:pStyle w:val="8"/>
        <w:rPr>
          <w:color w:val="auto"/>
          <w:highlight w:val="none"/>
        </w:rPr>
        <w:sectPr>
          <w:pgSz w:w="11906" w:h="16838"/>
          <w:pgMar w:top="1701" w:right="1417" w:bottom="1701" w:left="1417" w:header="1088" w:footer="992" w:gutter="0"/>
          <w:pgNumType w:fmt="decimal"/>
          <w:cols w:space="720" w:num="1"/>
          <w:titlePg/>
          <w:rtlGutter w:val="0"/>
          <w:docGrid w:type="lines" w:linePitch="312" w:charSpace="0"/>
        </w:sectPr>
      </w:pPr>
    </w:p>
    <w:p w14:paraId="0E489745">
      <w:pPr>
        <w:widowControl/>
        <w:spacing w:line="360" w:lineRule="auto"/>
        <w:jc w:val="center"/>
        <w:rPr>
          <w:color w:val="auto"/>
          <w:highlight w:val="none"/>
        </w:rPr>
      </w:pPr>
      <w:r>
        <w:rPr>
          <w:rFonts w:hint="eastAsia" w:ascii="宋体" w:hAnsi="宋体" w:cs="宋体"/>
          <w:b/>
          <w:bCs/>
          <w:color w:val="auto"/>
          <w:kern w:val="0"/>
          <w:sz w:val="36"/>
          <w:szCs w:val="36"/>
          <w:highlight w:val="none"/>
          <w:lang w:bidi="ar"/>
        </w:rPr>
        <w:t>十</w:t>
      </w:r>
      <w:r>
        <w:rPr>
          <w:rFonts w:hint="eastAsia" w:ascii="宋体" w:hAnsi="宋体" w:cs="宋体"/>
          <w:b/>
          <w:bCs/>
          <w:color w:val="auto"/>
          <w:kern w:val="0"/>
          <w:sz w:val="36"/>
          <w:szCs w:val="36"/>
          <w:highlight w:val="none"/>
          <w:lang w:val="en-US" w:eastAsia="zh-CN" w:bidi="ar"/>
        </w:rPr>
        <w:t>四</w:t>
      </w:r>
      <w:r>
        <w:rPr>
          <w:rFonts w:hint="eastAsia" w:ascii="宋体" w:hAnsi="宋体" w:cs="宋体"/>
          <w:b/>
          <w:bCs/>
          <w:color w:val="auto"/>
          <w:kern w:val="0"/>
          <w:sz w:val="36"/>
          <w:szCs w:val="36"/>
          <w:highlight w:val="none"/>
          <w:lang w:bidi="ar"/>
        </w:rPr>
        <w:t>、</w:t>
      </w:r>
      <w:bookmarkStart w:id="599" w:name="_Toc28475"/>
      <w:r>
        <w:rPr>
          <w:rFonts w:hint="eastAsia" w:ascii="宋体" w:hAnsi="宋体" w:cs="宋体"/>
          <w:b/>
          <w:bCs/>
          <w:color w:val="auto"/>
          <w:kern w:val="0"/>
          <w:sz w:val="36"/>
          <w:szCs w:val="36"/>
          <w:highlight w:val="none"/>
          <w:lang w:bidi="ar"/>
        </w:rPr>
        <w:t>中小企业声明函</w:t>
      </w:r>
    </w:p>
    <w:p w14:paraId="79BFB139">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141BB87">
      <w:pPr>
        <w:numPr>
          <w:ilvl w:val="0"/>
          <w:numId w:val="0"/>
        </w:numPr>
        <w:spacing w:line="360" w:lineRule="auto"/>
        <w:ind w:left="600" w:leftChars="0"/>
        <w:rPr>
          <w:rFonts w:hint="eastAsia" w:ascii="宋体" w:hAnsi="宋体" w:eastAsia="宋体" w:cs="Times New Roman"/>
          <w:color w:val="auto"/>
          <w:sz w:val="24"/>
          <w:highlight w:val="none"/>
        </w:rPr>
      </w:pPr>
      <w:r>
        <w:rPr>
          <w:rFonts w:hint="eastAsia" w:ascii="宋体" w:hAnsi="宋体" w:cs="Times New Roman"/>
          <w:color w:val="auto"/>
          <w:sz w:val="24"/>
          <w:highlight w:val="none"/>
          <w:lang w:val="en-US" w:eastAsia="zh-CN"/>
        </w:rPr>
        <w:t>1.</w:t>
      </w:r>
      <w:r>
        <w:rPr>
          <w:rFonts w:hint="eastAsia" w:ascii="宋体" w:hAnsi="宋体" w:eastAsia="宋体" w:cs="Times New Roman"/>
          <w:color w:val="auto"/>
          <w:sz w:val="24"/>
          <w:highlight w:val="none"/>
        </w:rPr>
        <w:t>（标的名称）</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 xml:space="preserve"> ，属于（采购文件中明确的所属行业）</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行业；</w:t>
      </w:r>
    </w:p>
    <w:p w14:paraId="79803C92">
      <w:pPr>
        <w:numPr>
          <w:ilvl w:val="0"/>
          <w:numId w:val="0"/>
        </w:num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制造商为</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（企业名称），从业人员</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人，营业收入为</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万元，资产总额为</w:t>
      </w:r>
      <w:r>
        <w:rPr>
          <w:rFonts w:hint="eastAsia" w:ascii="宋体" w:hAnsi="宋体" w:eastAsia="宋体" w:cs="Times New Roman"/>
          <w:color w:val="auto"/>
          <w:sz w:val="24"/>
          <w:highlight w:val="none"/>
          <w:u w:val="single"/>
        </w:rPr>
        <w:t xml:space="preserve"> </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万元，属于</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 xml:space="preserve">（中型企业、小型企业、微型企业）； </w:t>
      </w:r>
    </w:p>
    <w:p w14:paraId="6B5C7DB2">
      <w:pPr>
        <w:numPr>
          <w:ilvl w:val="0"/>
          <w:numId w:val="5"/>
        </w:num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（标的名称）</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，属于（采购文件中明确的所属行业）</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行业；制造商为</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（企业名称），从业人员</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人，营业收入为</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万元，资产总额为</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万元，属于</w:t>
      </w:r>
      <w:r>
        <w:rPr>
          <w:rFonts w:hint="eastAsia" w:ascii="宋体" w:hAnsi="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rPr>
        <w:t xml:space="preserve">（中型企业、小型企业、微型企业）； </w:t>
      </w:r>
    </w:p>
    <w:p w14:paraId="0C098D2A">
      <w:pPr>
        <w:numPr>
          <w:ilvl w:val="0"/>
          <w:numId w:val="0"/>
        </w:num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 xml:space="preserve">…… 以上企业，不属于大企业的分支机构，不存在控股股东为大企业的情形，也不存在与大企业的负责人为同一人的情形。 </w:t>
      </w:r>
    </w:p>
    <w:p w14:paraId="764260A3">
      <w:pPr>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Times New Roman"/>
          <w:color w:val="auto"/>
          <w:sz w:val="24"/>
          <w:highlight w:val="none"/>
        </w:rPr>
        <w:t>本企业对上述声明内容的真实性负责。如有虚假，将依法承担相应责任。</w:t>
      </w:r>
    </w:p>
    <w:p w14:paraId="792636FA">
      <w:pPr>
        <w:bidi w:val="0"/>
        <w:spacing w:line="360" w:lineRule="auto"/>
        <w:ind w:firstLine="480" w:firstLineChars="200"/>
        <w:rPr>
          <w:rFonts w:hint="eastAsia" w:ascii="宋体" w:hAnsi="宋体" w:eastAsia="宋体" w:cs="宋体"/>
          <w:color w:val="auto"/>
          <w:sz w:val="24"/>
          <w:szCs w:val="24"/>
          <w:highlight w:val="none"/>
          <w:lang w:val="en-US" w:eastAsia="zh-CN"/>
        </w:rPr>
      </w:pPr>
    </w:p>
    <w:p w14:paraId="699F5D8F">
      <w:pPr>
        <w:numPr>
          <w:ilvl w:val="0"/>
          <w:numId w:val="0"/>
        </w:numPr>
        <w:ind w:firstLine="480" w:firstLineChars="200"/>
        <w:rPr>
          <w:rFonts w:hint="eastAsia" w:ascii="宋体" w:hAnsi="宋体" w:cs="宋体"/>
          <w:color w:val="auto"/>
          <w:sz w:val="24"/>
          <w:highlight w:val="none"/>
        </w:rPr>
      </w:pPr>
    </w:p>
    <w:p w14:paraId="38E0D04C">
      <w:pPr>
        <w:spacing w:line="360" w:lineRule="auto"/>
        <w:ind w:firstLine="480" w:firstLineChars="200"/>
        <w:jc w:val="center"/>
        <w:rPr>
          <w:rFonts w:hint="eastAsia" w:ascii="宋体" w:hAnsi="宋体" w:cs="宋体"/>
          <w:color w:val="auto"/>
          <w:sz w:val="24"/>
          <w:highlight w:val="none"/>
        </w:rPr>
      </w:pPr>
    </w:p>
    <w:p w14:paraId="7F08353F">
      <w:pPr>
        <w:spacing w:line="360" w:lineRule="auto"/>
        <w:ind w:firstLine="480" w:firstLineChars="200"/>
        <w:jc w:val="center"/>
        <w:rPr>
          <w:rFonts w:ascii="宋体" w:hAnsi="宋体" w:cs="宋体"/>
          <w:color w:val="auto"/>
          <w:sz w:val="24"/>
          <w:highlight w:val="none"/>
          <w:u w:val="single"/>
        </w:rPr>
      </w:pPr>
      <w:r>
        <w:rPr>
          <w:rFonts w:hint="eastAsia" w:ascii="宋体" w:hAnsi="宋体" w:cs="宋体"/>
          <w:color w:val="auto"/>
          <w:sz w:val="24"/>
          <w:highlight w:val="none"/>
        </w:rPr>
        <w:t xml:space="preserve">企业名称（盖章）： </w:t>
      </w:r>
      <w:r>
        <w:rPr>
          <w:rFonts w:hint="eastAsia" w:ascii="宋体" w:hAnsi="宋体" w:cs="宋体"/>
          <w:color w:val="auto"/>
          <w:sz w:val="24"/>
          <w:highlight w:val="none"/>
          <w:u w:val="single"/>
        </w:rPr>
        <w:t xml:space="preserve">                  </w:t>
      </w:r>
    </w:p>
    <w:p w14:paraId="632AEB83">
      <w:pPr>
        <w:spacing w:line="360" w:lineRule="auto"/>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C7894F1">
      <w:pPr>
        <w:tabs>
          <w:tab w:val="left" w:pos="1755"/>
        </w:tabs>
        <w:spacing w:line="500" w:lineRule="atLeast"/>
        <w:rPr>
          <w:rFonts w:hint="eastAsia" w:ascii="宋体" w:hAnsi="宋体" w:cs="宋体"/>
          <w:b/>
          <w:bCs/>
          <w:color w:val="auto"/>
          <w:sz w:val="32"/>
          <w:szCs w:val="32"/>
          <w:highlight w:val="none"/>
        </w:rPr>
      </w:pPr>
    </w:p>
    <w:p w14:paraId="56B88D93">
      <w:pPr>
        <w:widowControl/>
        <w:spacing w:line="360" w:lineRule="auto"/>
        <w:jc w:val="center"/>
        <w:rPr>
          <w:rFonts w:hint="eastAsia" w:ascii="宋体" w:hAnsi="宋体" w:eastAsia="宋体" w:cs="宋体"/>
          <w:b/>
          <w:bCs/>
          <w:color w:val="auto"/>
          <w:kern w:val="0"/>
          <w:sz w:val="36"/>
          <w:szCs w:val="36"/>
          <w:highlight w:val="none"/>
          <w:lang w:bidi="ar"/>
        </w:rPr>
      </w:pPr>
    </w:p>
    <w:p w14:paraId="75C3C428">
      <w:pPr>
        <w:widowControl/>
        <w:spacing w:line="360" w:lineRule="auto"/>
        <w:ind w:firstLine="476" w:firstLineChars="200"/>
        <w:jc w:val="both"/>
        <w:rPr>
          <w:rFonts w:hint="eastAsia" w:ascii="宋体" w:hAnsi="宋体" w:eastAsia="宋体" w:cs="宋体"/>
          <w:b/>
          <w:bCs/>
          <w:color w:val="auto"/>
          <w:w w:val="99"/>
          <w:sz w:val="24"/>
          <w:szCs w:val="24"/>
          <w:highlight w:val="none"/>
        </w:rPr>
      </w:pPr>
      <w:r>
        <w:rPr>
          <w:rFonts w:hint="eastAsia" w:ascii="宋体" w:hAnsi="宋体" w:eastAsia="宋体" w:cs="宋体"/>
          <w:b/>
          <w:bCs/>
          <w:color w:val="auto"/>
          <w:w w:val="99"/>
          <w:sz w:val="24"/>
          <w:szCs w:val="24"/>
          <w:highlight w:val="none"/>
        </w:rPr>
        <w:t>备注：</w:t>
      </w:r>
      <w:r>
        <w:rPr>
          <w:rFonts w:hint="eastAsia" w:ascii="宋体" w:hAnsi="宋体" w:eastAsia="宋体" w:cs="宋体"/>
          <w:b/>
          <w:bCs/>
          <w:color w:val="auto"/>
          <w:w w:val="99"/>
          <w:sz w:val="24"/>
          <w:szCs w:val="24"/>
          <w:highlight w:val="none"/>
          <w:lang w:val="en-US" w:eastAsia="zh-CN"/>
        </w:rPr>
        <w:t>1、</w:t>
      </w:r>
      <w:r>
        <w:rPr>
          <w:rFonts w:hint="eastAsia" w:ascii="宋体" w:hAnsi="宋体" w:eastAsia="宋体" w:cs="宋体"/>
          <w:b/>
          <w:bCs/>
          <w:color w:val="auto"/>
          <w:w w:val="99"/>
          <w:sz w:val="24"/>
          <w:szCs w:val="24"/>
          <w:highlight w:val="none"/>
        </w:rPr>
        <w:t>从业人员、营业收入、资产总额填报上一年度数据，无上一年度数据的新成立企业可不填报。</w:t>
      </w:r>
    </w:p>
    <w:p w14:paraId="272520F5">
      <w:pPr>
        <w:widowControl/>
        <w:spacing w:line="360" w:lineRule="auto"/>
        <w:ind w:firstLine="1190" w:firstLineChars="500"/>
        <w:jc w:val="both"/>
        <w:rPr>
          <w:rFonts w:hint="eastAsia" w:ascii="宋体" w:hAnsi="宋体" w:eastAsia="宋体" w:cs="宋体"/>
          <w:b/>
          <w:bCs/>
          <w:color w:val="auto"/>
          <w:w w:val="99"/>
          <w:sz w:val="24"/>
          <w:szCs w:val="24"/>
          <w:highlight w:val="none"/>
          <w:lang w:val="en-US" w:eastAsia="zh-CN"/>
        </w:rPr>
      </w:pPr>
      <w:r>
        <w:rPr>
          <w:rFonts w:hint="eastAsia" w:ascii="宋体" w:hAnsi="宋体" w:eastAsia="宋体" w:cs="宋体"/>
          <w:b/>
          <w:bCs/>
          <w:color w:val="auto"/>
          <w:w w:val="99"/>
          <w:sz w:val="24"/>
          <w:szCs w:val="24"/>
          <w:highlight w:val="none"/>
          <w:lang w:val="en-US" w:eastAsia="zh-CN"/>
        </w:rPr>
        <w:t>2、</w:t>
      </w:r>
      <w:r>
        <w:rPr>
          <w:rFonts w:hint="eastAsia" w:ascii="宋体" w:hAnsi="宋体" w:cs="仿宋"/>
          <w:b/>
          <w:bCs/>
          <w:color w:val="auto"/>
          <w:kern w:val="0"/>
          <w:sz w:val="24"/>
          <w:highlight w:val="none"/>
          <w:lang w:val="zh-CN"/>
        </w:rPr>
        <w:t>非中小企业</w:t>
      </w:r>
      <w:r>
        <w:rPr>
          <w:rFonts w:hint="eastAsia" w:ascii="宋体" w:hAnsi="宋体" w:cs="仿宋"/>
          <w:b/>
          <w:bCs/>
          <w:color w:val="auto"/>
          <w:kern w:val="0"/>
          <w:sz w:val="24"/>
          <w:highlight w:val="none"/>
        </w:rPr>
        <w:t>请划“/”，不得删除本表。</w:t>
      </w:r>
    </w:p>
    <w:p w14:paraId="2815B31D">
      <w:pPr>
        <w:widowControl/>
        <w:spacing w:line="360" w:lineRule="auto"/>
        <w:jc w:val="both"/>
        <w:rPr>
          <w:rFonts w:hint="eastAsia" w:ascii="宋体" w:hAnsi="宋体" w:eastAsia="宋体" w:cs="宋体"/>
          <w:b/>
          <w:bCs/>
          <w:color w:val="auto"/>
          <w:kern w:val="0"/>
          <w:sz w:val="36"/>
          <w:szCs w:val="36"/>
          <w:highlight w:val="none"/>
          <w:lang w:bidi="ar"/>
        </w:rPr>
      </w:pPr>
    </w:p>
    <w:p w14:paraId="500B4E43">
      <w:pPr>
        <w:widowControl/>
        <w:spacing w:line="360" w:lineRule="auto"/>
        <w:jc w:val="center"/>
        <w:rPr>
          <w:rFonts w:hint="eastAsia" w:ascii="宋体" w:hAnsi="宋体" w:eastAsia="宋体" w:cs="宋体"/>
          <w:b/>
          <w:bCs/>
          <w:color w:val="auto"/>
          <w:kern w:val="0"/>
          <w:sz w:val="36"/>
          <w:szCs w:val="36"/>
          <w:highlight w:val="none"/>
          <w:lang w:bidi="ar"/>
        </w:rPr>
      </w:pPr>
    </w:p>
    <w:p w14:paraId="72326679">
      <w:pPr>
        <w:widowControl/>
        <w:spacing w:line="360" w:lineRule="auto"/>
        <w:jc w:val="center"/>
        <w:rPr>
          <w:rFonts w:hint="eastAsia" w:ascii="宋体" w:hAnsi="宋体" w:eastAsia="宋体" w:cs="宋体"/>
          <w:b/>
          <w:bCs/>
          <w:color w:val="auto"/>
          <w:kern w:val="0"/>
          <w:sz w:val="36"/>
          <w:szCs w:val="36"/>
          <w:highlight w:val="none"/>
          <w:lang w:bidi="ar"/>
        </w:rPr>
      </w:pPr>
    </w:p>
    <w:p w14:paraId="56A5553B">
      <w:pPr>
        <w:widowControl/>
        <w:spacing w:line="360" w:lineRule="auto"/>
        <w:jc w:val="center"/>
        <w:rPr>
          <w:rFonts w:hint="eastAsia" w:ascii="宋体" w:hAnsi="宋体" w:eastAsia="宋体" w:cs="宋体"/>
          <w:b/>
          <w:bCs/>
          <w:color w:val="auto"/>
          <w:kern w:val="0"/>
          <w:sz w:val="36"/>
          <w:szCs w:val="36"/>
          <w:highlight w:val="none"/>
          <w:lang w:bidi="ar"/>
        </w:rPr>
      </w:pPr>
      <w:r>
        <w:rPr>
          <w:rFonts w:hint="eastAsia" w:ascii="宋体" w:hAnsi="宋体" w:eastAsia="宋体" w:cs="宋体"/>
          <w:b/>
          <w:bCs/>
          <w:color w:val="auto"/>
          <w:kern w:val="0"/>
          <w:sz w:val="36"/>
          <w:szCs w:val="36"/>
          <w:highlight w:val="none"/>
          <w:lang w:bidi="ar"/>
        </w:rPr>
        <w:t>十</w:t>
      </w:r>
      <w:r>
        <w:rPr>
          <w:rFonts w:hint="eastAsia" w:ascii="宋体" w:hAnsi="宋体" w:cs="宋体"/>
          <w:b/>
          <w:bCs/>
          <w:color w:val="auto"/>
          <w:kern w:val="0"/>
          <w:sz w:val="36"/>
          <w:szCs w:val="36"/>
          <w:highlight w:val="none"/>
          <w:lang w:val="en-US" w:eastAsia="zh-CN" w:bidi="ar"/>
        </w:rPr>
        <w:t>五</w:t>
      </w:r>
      <w:r>
        <w:rPr>
          <w:rFonts w:hint="eastAsia" w:ascii="宋体" w:hAnsi="宋体" w:eastAsia="宋体" w:cs="宋体"/>
          <w:b/>
          <w:bCs/>
          <w:color w:val="auto"/>
          <w:kern w:val="0"/>
          <w:sz w:val="36"/>
          <w:szCs w:val="36"/>
          <w:highlight w:val="none"/>
          <w:lang w:bidi="ar"/>
        </w:rPr>
        <w:t>、</w:t>
      </w:r>
      <w:r>
        <w:rPr>
          <w:rFonts w:hint="eastAsia" w:ascii="宋体" w:hAnsi="宋体" w:eastAsia="宋体" w:cs="宋体"/>
          <w:b/>
          <w:bCs/>
          <w:color w:val="auto"/>
          <w:kern w:val="0"/>
          <w:sz w:val="36"/>
          <w:szCs w:val="36"/>
          <w:highlight w:val="none"/>
          <w:lang w:val="zh-CN" w:bidi="ar"/>
        </w:rPr>
        <w:t>残疾人福利性单位声明函</w:t>
      </w:r>
      <w:bookmarkEnd w:id="599"/>
    </w:p>
    <w:p w14:paraId="28E8F44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olor w:val="auto"/>
          <w:sz w:val="24"/>
          <w:highlight w:val="none"/>
          <w:u w:val="single"/>
        </w:rPr>
        <w:t xml:space="preserve">            </w:t>
      </w:r>
      <w:r>
        <w:rPr>
          <w:rFonts w:hint="eastAsia" w:ascii="宋体" w:hAnsi="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82831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本单位对上述声明的真实性负责。如有虚假，将依法承担相应责任。</w:t>
      </w:r>
    </w:p>
    <w:p w14:paraId="3299CFB6">
      <w:pPr>
        <w:spacing w:line="360" w:lineRule="auto"/>
        <w:ind w:firstLine="480" w:firstLineChars="200"/>
        <w:rPr>
          <w:rFonts w:ascii="宋体" w:hAnsi="宋体"/>
          <w:color w:val="auto"/>
          <w:sz w:val="24"/>
          <w:highlight w:val="none"/>
        </w:rPr>
      </w:pPr>
    </w:p>
    <w:p w14:paraId="14CD9187">
      <w:pPr>
        <w:spacing w:line="360" w:lineRule="auto"/>
        <w:ind w:firstLine="480" w:firstLineChars="200"/>
        <w:rPr>
          <w:rFonts w:ascii="宋体" w:hAnsi="宋体"/>
          <w:color w:val="auto"/>
          <w:sz w:val="24"/>
          <w:highlight w:val="none"/>
        </w:rPr>
      </w:pPr>
    </w:p>
    <w:p w14:paraId="6752D68A">
      <w:pPr>
        <w:tabs>
          <w:tab w:val="left" w:pos="4860"/>
          <w:tab w:val="left" w:pos="8040"/>
          <w:tab w:val="left" w:pos="8160"/>
        </w:tabs>
        <w:spacing w:line="360" w:lineRule="auto"/>
        <w:ind w:right="862" w:firstLine="480" w:firstLineChars="200"/>
        <w:jc w:val="center"/>
        <w:rPr>
          <w:rFonts w:ascii="宋体" w:hAnsi="宋体"/>
          <w:color w:val="auto"/>
          <w:sz w:val="24"/>
          <w:highlight w:val="none"/>
          <w:u w:val="single"/>
        </w:rPr>
      </w:pPr>
      <w:r>
        <w:rPr>
          <w:rFonts w:hint="eastAsia" w:ascii="宋体" w:hAnsi="宋体"/>
          <w:color w:val="auto"/>
          <w:sz w:val="24"/>
          <w:highlight w:val="none"/>
        </w:rPr>
        <w:t xml:space="preserve">          单位名称（盖章）：</w:t>
      </w:r>
      <w:r>
        <w:rPr>
          <w:rFonts w:hint="eastAsia" w:ascii="宋体" w:hAnsi="宋体"/>
          <w:color w:val="auto"/>
          <w:sz w:val="24"/>
          <w:highlight w:val="none"/>
          <w:u w:val="single"/>
        </w:rPr>
        <w:t xml:space="preserve">                   </w:t>
      </w:r>
    </w:p>
    <w:p w14:paraId="2B58643C">
      <w:pPr>
        <w:tabs>
          <w:tab w:val="left" w:pos="4860"/>
        </w:tabs>
        <w:spacing w:line="360" w:lineRule="auto"/>
        <w:ind w:right="1560" w:firstLine="480" w:firstLineChars="200"/>
        <w:jc w:val="center"/>
        <w:rPr>
          <w:rFonts w:ascii="宋体" w:hAnsi="宋体"/>
          <w:color w:val="auto"/>
          <w:sz w:val="24"/>
          <w:highlight w:val="none"/>
        </w:rPr>
      </w:pPr>
      <w:r>
        <w:rPr>
          <w:rFonts w:hint="eastAsia" w:ascii="宋体" w:hAnsi="宋体"/>
          <w:color w:val="auto"/>
          <w:sz w:val="24"/>
          <w:highlight w:val="none"/>
        </w:rPr>
        <w:t xml:space="preserve">       </w:t>
      </w:r>
    </w:p>
    <w:p w14:paraId="16F14D3F">
      <w:pPr>
        <w:tabs>
          <w:tab w:val="left" w:pos="4860"/>
        </w:tabs>
        <w:spacing w:line="360" w:lineRule="auto"/>
        <w:ind w:right="1560" w:firstLine="480" w:firstLineChars="200"/>
        <w:jc w:val="center"/>
        <w:rPr>
          <w:rFonts w:ascii="宋体" w:hAnsi="宋体"/>
          <w:color w:val="auto"/>
          <w:sz w:val="24"/>
          <w:highlight w:val="none"/>
        </w:rPr>
      </w:pPr>
      <w:r>
        <w:rPr>
          <w:rFonts w:hint="eastAsia" w:ascii="宋体" w:hAnsi="宋体"/>
          <w:color w:val="auto"/>
          <w:sz w:val="24"/>
          <w:highlight w:val="none"/>
        </w:rPr>
        <w:t xml:space="preserve">                          日  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7D9BDEB3">
      <w:pPr>
        <w:spacing w:line="360" w:lineRule="auto"/>
        <w:ind w:firstLine="506" w:firstLineChars="200"/>
        <w:rPr>
          <w:rFonts w:ascii="宋体" w:hAnsi="宋体"/>
          <w:b/>
          <w:color w:val="auto"/>
          <w:spacing w:val="6"/>
          <w:sz w:val="24"/>
          <w:highlight w:val="none"/>
          <w:shd w:val="pct10" w:color="auto" w:fill="FFFFFF"/>
        </w:rPr>
      </w:pPr>
    </w:p>
    <w:p w14:paraId="7AD15FF0">
      <w:pPr>
        <w:spacing w:line="360" w:lineRule="auto"/>
        <w:ind w:firstLine="506" w:firstLineChars="200"/>
        <w:rPr>
          <w:rFonts w:ascii="宋体" w:hAnsi="宋体"/>
          <w:b/>
          <w:color w:val="auto"/>
          <w:spacing w:val="6"/>
          <w:sz w:val="24"/>
          <w:highlight w:val="none"/>
          <w:shd w:val="pct10" w:color="auto" w:fill="FFFFFF"/>
        </w:rPr>
      </w:pPr>
    </w:p>
    <w:p w14:paraId="4A081B6C">
      <w:pPr>
        <w:widowControl/>
        <w:spacing w:line="360" w:lineRule="auto"/>
        <w:jc w:val="left"/>
        <w:rPr>
          <w:rFonts w:ascii="宋体" w:hAnsi="宋体" w:cs="仿宋"/>
          <w:b/>
          <w:bCs/>
          <w:color w:val="auto"/>
          <w:kern w:val="0"/>
          <w:sz w:val="24"/>
          <w:highlight w:val="none"/>
        </w:rPr>
      </w:pPr>
      <w:r>
        <w:rPr>
          <w:rFonts w:hint="eastAsia" w:ascii="宋体" w:hAnsi="宋体" w:cs="仿宋"/>
          <w:b/>
          <w:bCs/>
          <w:color w:val="auto"/>
          <w:kern w:val="0"/>
          <w:sz w:val="24"/>
          <w:highlight w:val="none"/>
          <w:lang w:val="zh-CN"/>
        </w:rPr>
        <w:t>备注：非</w:t>
      </w:r>
      <w:r>
        <w:rPr>
          <w:rFonts w:hint="eastAsia" w:ascii="宋体" w:hAnsi="宋体" w:cs="仿宋"/>
          <w:b/>
          <w:bCs/>
          <w:color w:val="auto"/>
          <w:kern w:val="0"/>
          <w:sz w:val="24"/>
          <w:highlight w:val="none"/>
        </w:rPr>
        <w:t>残疾人福利企业请划“/”，不得删除本表。</w:t>
      </w:r>
    </w:p>
    <w:p w14:paraId="78A3508A">
      <w:pPr>
        <w:widowControl/>
        <w:spacing w:line="360" w:lineRule="auto"/>
        <w:ind w:left="239" w:leftChars="114" w:firstLine="702" w:firstLineChars="227"/>
        <w:jc w:val="left"/>
        <w:rPr>
          <w:rFonts w:hAnsi="宋体"/>
          <w:b/>
          <w:bCs/>
          <w:color w:val="auto"/>
          <w:spacing w:val="4"/>
          <w:sz w:val="30"/>
          <w:szCs w:val="30"/>
          <w:highlight w:val="none"/>
        </w:rPr>
        <w:sectPr>
          <w:footerReference r:id="rId17" w:type="default"/>
          <w:pgSz w:w="11906" w:h="16838"/>
          <w:pgMar w:top="1701" w:right="1417" w:bottom="1701" w:left="1417" w:header="1088" w:footer="992" w:gutter="0"/>
          <w:pgNumType w:fmt="decimal"/>
          <w:cols w:space="720" w:num="1"/>
          <w:titlePg/>
          <w:rtlGutter w:val="0"/>
          <w:docGrid w:type="lines" w:linePitch="312" w:charSpace="0"/>
        </w:sectPr>
      </w:pPr>
    </w:p>
    <w:bookmarkEnd w:id="492"/>
    <w:bookmarkEnd w:id="493"/>
    <w:bookmarkEnd w:id="494"/>
    <w:bookmarkEnd w:id="495"/>
    <w:bookmarkEnd w:id="496"/>
    <w:bookmarkEnd w:id="497"/>
    <w:bookmarkEnd w:id="498"/>
    <w:p w14:paraId="0BF9BE01">
      <w:pPr>
        <w:spacing w:line="480" w:lineRule="auto"/>
        <w:jc w:val="center"/>
        <w:rPr>
          <w:rFonts w:hint="eastAsia" w:ascii="宋体" w:hAnsi="宋体" w:cs="宋体"/>
          <w:b/>
          <w:color w:val="auto"/>
          <w:sz w:val="32"/>
          <w:szCs w:val="32"/>
          <w:highlight w:val="none"/>
        </w:rPr>
      </w:pPr>
      <w:bookmarkStart w:id="600" w:name="_Toc20749"/>
      <w:bookmarkStart w:id="601" w:name="_Toc15011"/>
    </w:p>
    <w:p w14:paraId="37C35EAD">
      <w:pPr>
        <w:spacing w:line="480" w:lineRule="auto"/>
        <w:jc w:val="center"/>
        <w:rPr>
          <w:rFonts w:hint="eastAsia" w:ascii="宋体" w:hAnsi="宋体" w:cs="宋体"/>
          <w:b/>
          <w:color w:val="auto"/>
          <w:sz w:val="32"/>
          <w:szCs w:val="32"/>
          <w:highlight w:val="none"/>
        </w:rPr>
      </w:pPr>
    </w:p>
    <w:p w14:paraId="25CE1232">
      <w:pPr>
        <w:spacing w:line="480" w:lineRule="auto"/>
        <w:jc w:val="center"/>
        <w:rPr>
          <w:rFonts w:hint="eastAsia" w:ascii="宋体" w:hAnsi="宋体" w:cs="宋体"/>
          <w:b/>
          <w:color w:val="auto"/>
          <w:sz w:val="32"/>
          <w:szCs w:val="32"/>
          <w:highlight w:val="none"/>
        </w:rPr>
      </w:pPr>
    </w:p>
    <w:p w14:paraId="06A27635">
      <w:pPr>
        <w:spacing w:line="480" w:lineRule="auto"/>
        <w:jc w:val="center"/>
        <w:rPr>
          <w:rFonts w:hint="eastAsia" w:ascii="宋体" w:hAnsi="宋体" w:cs="宋体"/>
          <w:b/>
          <w:color w:val="auto"/>
          <w:sz w:val="32"/>
          <w:szCs w:val="32"/>
          <w:highlight w:val="none"/>
        </w:rPr>
      </w:pPr>
    </w:p>
    <w:p w14:paraId="4EE3D898">
      <w:pPr>
        <w:spacing w:line="480" w:lineRule="auto"/>
        <w:jc w:val="center"/>
        <w:rPr>
          <w:rFonts w:hint="eastAsia" w:ascii="宋体" w:hAnsi="宋体" w:cs="宋体"/>
          <w:b/>
          <w:color w:val="auto"/>
          <w:sz w:val="32"/>
          <w:szCs w:val="32"/>
          <w:highlight w:val="none"/>
        </w:rPr>
      </w:pPr>
    </w:p>
    <w:p w14:paraId="54B3D9D2">
      <w:pPr>
        <w:spacing w:line="480" w:lineRule="auto"/>
        <w:jc w:val="center"/>
        <w:rPr>
          <w:rFonts w:hint="eastAsia" w:ascii="宋体" w:hAnsi="宋体" w:cs="宋体"/>
          <w:b/>
          <w:color w:val="auto"/>
          <w:sz w:val="32"/>
          <w:szCs w:val="32"/>
          <w:highlight w:val="none"/>
        </w:rPr>
      </w:pPr>
    </w:p>
    <w:p w14:paraId="59C53847">
      <w:pPr>
        <w:spacing w:line="480" w:lineRule="auto"/>
        <w:jc w:val="center"/>
        <w:rPr>
          <w:rFonts w:hint="eastAsia" w:ascii="宋体" w:hAnsi="宋体" w:cs="宋体"/>
          <w:b/>
          <w:color w:val="auto"/>
          <w:sz w:val="32"/>
          <w:szCs w:val="32"/>
          <w:highlight w:val="none"/>
        </w:rPr>
      </w:pPr>
    </w:p>
    <w:p w14:paraId="7D6BE063">
      <w:pPr>
        <w:spacing w:line="480" w:lineRule="auto"/>
        <w:jc w:val="center"/>
        <w:rPr>
          <w:rFonts w:hint="eastAsia" w:ascii="宋体" w:hAnsi="宋体" w:cs="宋体"/>
          <w:b/>
          <w:color w:val="auto"/>
          <w:sz w:val="32"/>
          <w:szCs w:val="32"/>
          <w:highlight w:val="none"/>
        </w:rPr>
      </w:pPr>
    </w:p>
    <w:p w14:paraId="7E36A218">
      <w:pPr>
        <w:spacing w:line="480" w:lineRule="auto"/>
        <w:jc w:val="center"/>
        <w:rPr>
          <w:rFonts w:hint="eastAsia" w:ascii="宋体" w:hAnsi="宋体" w:cs="宋体"/>
          <w:b/>
          <w:color w:val="auto"/>
          <w:sz w:val="32"/>
          <w:szCs w:val="32"/>
          <w:highlight w:val="none"/>
        </w:rPr>
      </w:pPr>
    </w:p>
    <w:p w14:paraId="08C7854C">
      <w:pPr>
        <w:spacing w:line="480" w:lineRule="auto"/>
        <w:jc w:val="center"/>
        <w:rPr>
          <w:rFonts w:hint="eastAsia" w:ascii="宋体" w:hAnsi="宋体" w:cs="宋体"/>
          <w:b/>
          <w:color w:val="auto"/>
          <w:sz w:val="32"/>
          <w:szCs w:val="32"/>
          <w:highlight w:val="none"/>
        </w:rPr>
      </w:pPr>
    </w:p>
    <w:p w14:paraId="640D15F2">
      <w:pPr>
        <w:spacing w:line="480" w:lineRule="auto"/>
        <w:jc w:val="center"/>
        <w:rPr>
          <w:rFonts w:hint="eastAsia" w:ascii="宋体" w:hAnsi="宋体" w:cs="宋体"/>
          <w:color w:val="auto"/>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val="en-US" w:eastAsia="zh-CN"/>
        </w:rPr>
        <w:t>六</w:t>
      </w:r>
      <w:r>
        <w:rPr>
          <w:rFonts w:hint="eastAsia" w:ascii="宋体" w:hAnsi="宋体" w:cs="宋体"/>
          <w:b/>
          <w:color w:val="auto"/>
          <w:sz w:val="32"/>
          <w:szCs w:val="32"/>
          <w:highlight w:val="none"/>
        </w:rPr>
        <w:t>、监狱或戒毒企业声明函</w:t>
      </w:r>
    </w:p>
    <w:p w14:paraId="27F3717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14:paraId="0084855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159D436">
      <w:pPr>
        <w:spacing w:line="360" w:lineRule="auto"/>
        <w:ind w:firstLine="480" w:firstLineChars="200"/>
        <w:rPr>
          <w:rFonts w:hint="eastAsia" w:ascii="宋体" w:hAnsi="宋体" w:cs="宋体"/>
          <w:color w:val="auto"/>
          <w:sz w:val="24"/>
          <w:highlight w:val="none"/>
        </w:rPr>
      </w:pPr>
    </w:p>
    <w:p w14:paraId="1DBB1816">
      <w:pPr>
        <w:spacing w:line="360" w:lineRule="auto"/>
        <w:ind w:firstLine="480" w:firstLineChars="200"/>
        <w:rPr>
          <w:rFonts w:hint="eastAsia" w:ascii="宋体" w:hAnsi="宋体" w:cs="宋体"/>
          <w:color w:val="auto"/>
          <w:sz w:val="24"/>
          <w:highlight w:val="none"/>
        </w:rPr>
      </w:pPr>
    </w:p>
    <w:p w14:paraId="3F33682F">
      <w:pPr>
        <w:tabs>
          <w:tab w:val="left" w:pos="4860"/>
          <w:tab w:val="left" w:pos="8040"/>
          <w:tab w:val="left" w:pos="8160"/>
        </w:tabs>
        <w:spacing w:line="360" w:lineRule="auto"/>
        <w:ind w:right="862" w:firstLine="480" w:firstLineChars="200"/>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投标人（公章）：</w:t>
      </w:r>
      <w:r>
        <w:rPr>
          <w:rFonts w:hint="eastAsia" w:ascii="宋体" w:hAnsi="宋体" w:cs="宋体"/>
          <w:color w:val="auto"/>
          <w:sz w:val="24"/>
          <w:highlight w:val="none"/>
          <w:u w:val="single"/>
        </w:rPr>
        <w:t xml:space="preserve">                   </w:t>
      </w:r>
    </w:p>
    <w:p w14:paraId="2650FDB3">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1C8152F">
      <w:pPr>
        <w:tabs>
          <w:tab w:val="left" w:pos="4860"/>
        </w:tabs>
        <w:spacing w:line="360" w:lineRule="auto"/>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13130C9">
      <w:pPr>
        <w:spacing w:line="360" w:lineRule="auto"/>
        <w:ind w:firstLine="506" w:firstLineChars="200"/>
        <w:rPr>
          <w:rFonts w:hint="eastAsia" w:ascii="宋体" w:hAnsi="宋体" w:cs="宋体"/>
          <w:b/>
          <w:color w:val="auto"/>
          <w:spacing w:val="6"/>
          <w:sz w:val="24"/>
          <w:highlight w:val="none"/>
          <w:shd w:val="pct10" w:color="auto" w:fill="FFFFFF"/>
        </w:rPr>
      </w:pPr>
    </w:p>
    <w:p w14:paraId="07325794">
      <w:pPr>
        <w:spacing w:line="360" w:lineRule="auto"/>
        <w:ind w:firstLine="506" w:firstLineChars="200"/>
        <w:rPr>
          <w:rFonts w:hint="eastAsia" w:ascii="宋体" w:hAnsi="宋体" w:cs="宋体"/>
          <w:b/>
          <w:color w:val="auto"/>
          <w:spacing w:val="6"/>
          <w:sz w:val="24"/>
          <w:highlight w:val="none"/>
          <w:shd w:val="pct10" w:color="auto" w:fill="FFFFFF"/>
        </w:rPr>
      </w:pPr>
    </w:p>
    <w:p w14:paraId="3DA1467D">
      <w:pPr>
        <w:kinsoku w:val="0"/>
        <w:spacing w:line="360" w:lineRule="auto"/>
        <w:ind w:firstLine="482" w:firstLineChars="200"/>
        <w:rPr>
          <w:rFonts w:hint="eastAsia" w:ascii="宋体" w:hAnsi="宋体" w:cs="宋体"/>
          <w:b/>
          <w:color w:val="auto"/>
          <w:sz w:val="32"/>
          <w:szCs w:val="32"/>
          <w:highlight w:val="none"/>
        </w:rPr>
        <w:sectPr>
          <w:type w:val="continuous"/>
          <w:pgSz w:w="11906" w:h="16838"/>
          <w:pgMar w:top="1701" w:right="1417" w:bottom="1701" w:left="1417" w:header="1088" w:footer="992" w:gutter="0"/>
          <w:pgNumType w:fmt="decimal"/>
          <w:cols w:space="720" w:num="1"/>
          <w:titlePg/>
          <w:rtlGutter w:val="0"/>
          <w:docGrid w:type="lines" w:linePitch="312" w:charSpace="0"/>
        </w:sectPr>
      </w:pPr>
      <w:r>
        <w:rPr>
          <w:rFonts w:hint="eastAsia" w:ascii="宋体" w:hAnsi="宋体" w:cs="宋体"/>
          <w:b/>
          <w:bCs/>
          <w:color w:val="auto"/>
          <w:kern w:val="0"/>
          <w:sz w:val="24"/>
          <w:highlight w:val="none"/>
          <w:lang w:val="zh-CN"/>
        </w:rPr>
        <w:t>备注：</w:t>
      </w:r>
      <w:r>
        <w:rPr>
          <w:rFonts w:hint="eastAsia" w:ascii="宋体" w:hAnsi="宋体" w:cs="宋体"/>
          <w:b/>
          <w:bCs/>
          <w:color w:val="auto"/>
          <w:kern w:val="0"/>
          <w:sz w:val="24"/>
          <w:highlight w:val="none"/>
        </w:rPr>
        <w:t>非</w:t>
      </w:r>
      <w:r>
        <w:rPr>
          <w:rFonts w:hint="eastAsia" w:ascii="宋体" w:hAnsi="宋体" w:cs="宋体"/>
          <w:b/>
          <w:bCs/>
          <w:color w:val="auto"/>
          <w:sz w:val="24"/>
          <w:szCs w:val="24"/>
          <w:highlight w:val="none"/>
        </w:rPr>
        <w:t>监狱、戒毒企业请划“/”，不得删除本表。</w:t>
      </w:r>
    </w:p>
    <w:bookmarkEnd w:id="600"/>
    <w:bookmarkEnd w:id="601"/>
    <w:p w14:paraId="4CFDD222">
      <w:pPr>
        <w:pStyle w:val="2"/>
        <w:numPr>
          <w:ilvl w:val="0"/>
          <w:numId w:val="0"/>
        </w:numPr>
        <w:jc w:val="center"/>
        <w:rPr>
          <w:rFonts w:hint="eastAsia" w:ascii="宋体" w:hAnsi="宋体" w:eastAsia="宋体" w:cs="宋体"/>
          <w:b/>
          <w:color w:val="auto"/>
          <w:kern w:val="2"/>
          <w:sz w:val="32"/>
          <w:szCs w:val="32"/>
          <w:highlight w:val="none"/>
          <w:lang w:val="en-US" w:eastAsia="zh-CN" w:bidi="ar-SA"/>
        </w:rPr>
      </w:pPr>
      <w:bookmarkStart w:id="602" w:name="_Toc13480"/>
      <w:bookmarkStart w:id="603" w:name="_Toc25170"/>
      <w:bookmarkStart w:id="604" w:name="_Toc31861"/>
      <w:r>
        <w:rPr>
          <w:rFonts w:hint="eastAsia" w:ascii="宋体" w:hAnsi="宋体" w:eastAsia="宋体" w:cs="宋体"/>
          <w:b/>
          <w:color w:val="auto"/>
          <w:kern w:val="2"/>
          <w:sz w:val="32"/>
          <w:szCs w:val="32"/>
          <w:highlight w:val="none"/>
          <w:lang w:val="en-US" w:eastAsia="zh-CN" w:bidi="ar-SA"/>
        </w:rPr>
        <w:t>十七、信用中国陕西榆林承诺申报截图</w:t>
      </w:r>
      <w:bookmarkEnd w:id="602"/>
      <w:bookmarkEnd w:id="603"/>
      <w:bookmarkEnd w:id="604"/>
    </w:p>
    <w:p w14:paraId="5C043C71">
      <w:pPr>
        <w:pStyle w:val="2"/>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rFonts w:hint="eastAsia" w:ascii="Times New Roman" w:hAnsi="Times New Roman" w:eastAsia="宋体" w:cs="Times New Roman"/>
          <w:color w:val="auto"/>
          <w:sz w:val="24"/>
          <w:szCs w:val="24"/>
          <w:highlight w:val="none"/>
          <w:lang w:val="en-US" w:eastAsia="zh-CN"/>
        </w:rPr>
      </w:pPr>
      <w:bookmarkStart w:id="605" w:name="_Toc26384"/>
      <w:bookmarkStart w:id="606" w:name="_Toc16952"/>
      <w:bookmarkStart w:id="607" w:name="_Toc30146"/>
      <w:r>
        <w:rPr>
          <w:rFonts w:hint="eastAsia" w:ascii="Times New Roman" w:hAnsi="Times New Roman" w:eastAsia="宋体" w:cs="Times New Roman"/>
          <w:color w:val="auto"/>
          <w:sz w:val="24"/>
          <w:szCs w:val="24"/>
          <w:highlight w:val="none"/>
          <w:lang w:val="en-US" w:eastAsia="zh-CN"/>
        </w:rPr>
        <w:t>自主上报信用承诺书情况：投标人及其授权委托人应在“信用中国（陕西榆林）”网站（www.ylcredit.gov.cn）进行注册、登录，自主上报信用承诺书，包括：《榆林市政府采购货物类项目供应商信用承诺书》、《投标人信用承诺》、《投标信用（保证金）承诺书》、《投标人委托代理人员信用承诺书》(如有)。（具体操作及格式详见谈判文件第八部分附件）截图须体现项目名称，承诺公示日期为从谈判文件获取之日起至投标截止日前</w:t>
      </w:r>
      <w:bookmarkEnd w:id="605"/>
      <w:bookmarkEnd w:id="606"/>
      <w:r>
        <w:rPr>
          <w:rFonts w:hint="eastAsia" w:eastAsia="宋体" w:cs="Times New Roman"/>
          <w:color w:val="auto"/>
          <w:sz w:val="24"/>
          <w:szCs w:val="24"/>
          <w:highlight w:val="none"/>
          <w:lang w:val="en-US" w:eastAsia="zh-CN"/>
        </w:rPr>
        <w:t>。</w:t>
      </w:r>
      <w:bookmarkEnd w:id="607"/>
    </w:p>
    <w:p w14:paraId="3282C305">
      <w:pPr>
        <w:pStyle w:val="2"/>
        <w:bidi w:val="0"/>
        <w:jc w:val="center"/>
        <w:rPr>
          <w:rFonts w:hint="eastAsia"/>
          <w:b/>
          <w:bCs w:val="0"/>
          <w:color w:val="auto"/>
          <w:sz w:val="32"/>
          <w:szCs w:val="32"/>
          <w:highlight w:val="none"/>
        </w:rPr>
        <w:sectPr>
          <w:pgSz w:w="11906" w:h="16838"/>
          <w:pgMar w:top="1701" w:right="1417" w:bottom="1701" w:left="1417" w:header="1088" w:footer="992" w:gutter="0"/>
          <w:pgNumType w:fmt="decimal"/>
          <w:cols w:space="720" w:num="1"/>
          <w:titlePg/>
          <w:rtlGutter w:val="0"/>
          <w:docGrid w:type="lines" w:linePitch="312" w:charSpace="0"/>
        </w:sectPr>
      </w:pPr>
      <w:bookmarkStart w:id="608" w:name="_Toc27802"/>
      <w:bookmarkStart w:id="609" w:name="_Toc21373"/>
      <w:bookmarkStart w:id="610" w:name="_Toc22896"/>
      <w:bookmarkStart w:id="611" w:name="_Toc4465"/>
      <w:bookmarkStart w:id="612" w:name="_Toc30245"/>
      <w:bookmarkStart w:id="613" w:name="_Toc10444"/>
      <w:bookmarkStart w:id="614" w:name="_Toc23383"/>
      <w:bookmarkStart w:id="615" w:name="_Toc12100"/>
    </w:p>
    <w:p w14:paraId="61DCA886">
      <w:pPr>
        <w:pStyle w:val="2"/>
        <w:bidi w:val="0"/>
        <w:jc w:val="center"/>
        <w:rPr>
          <w:b/>
          <w:bCs w:val="0"/>
          <w:color w:val="auto"/>
          <w:sz w:val="32"/>
          <w:szCs w:val="32"/>
          <w:highlight w:val="none"/>
        </w:rPr>
      </w:pPr>
      <w:r>
        <w:rPr>
          <w:rFonts w:hint="eastAsia"/>
          <w:b/>
          <w:bCs w:val="0"/>
          <w:color w:val="auto"/>
          <w:sz w:val="32"/>
          <w:szCs w:val="32"/>
          <w:highlight w:val="none"/>
        </w:rPr>
        <w:t>第九部分  附件</w:t>
      </w:r>
      <w:bookmarkEnd w:id="608"/>
      <w:bookmarkEnd w:id="609"/>
      <w:bookmarkEnd w:id="610"/>
      <w:bookmarkEnd w:id="611"/>
      <w:bookmarkEnd w:id="612"/>
      <w:bookmarkEnd w:id="613"/>
      <w:bookmarkEnd w:id="614"/>
      <w:bookmarkEnd w:id="615"/>
    </w:p>
    <w:p w14:paraId="72395A12">
      <w:pPr>
        <w:adjustRightInd w:val="0"/>
        <w:snapToGrid w:val="0"/>
        <w:spacing w:line="500" w:lineRule="exact"/>
        <w:jc w:val="center"/>
        <w:rPr>
          <w:b/>
          <w:bCs/>
          <w:color w:val="auto"/>
          <w:sz w:val="28"/>
          <w:szCs w:val="24"/>
          <w:highlight w:val="none"/>
        </w:rPr>
      </w:pPr>
      <w:r>
        <w:rPr>
          <w:rFonts w:hint="eastAsia" w:ascii="宋体" w:hAnsi="宋体" w:cs="宋体"/>
          <w:b/>
          <w:bCs/>
          <w:color w:val="auto"/>
          <w:sz w:val="28"/>
          <w:szCs w:val="24"/>
          <w:highlight w:val="none"/>
        </w:rPr>
        <w:t xml:space="preserve"> 关于信用承诺网上公示的通知及操作指南</w:t>
      </w:r>
    </w:p>
    <w:p w14:paraId="1E886F52">
      <w:pPr>
        <w:pStyle w:val="7"/>
        <w:spacing w:line="480" w:lineRule="auto"/>
        <w:ind w:firstLine="0"/>
        <w:jc w:val="center"/>
        <w:rPr>
          <w:color w:val="auto"/>
          <w:highlight w:val="none"/>
        </w:rPr>
      </w:pPr>
      <w:r>
        <w:rPr>
          <w:color w:val="auto"/>
          <w:highlight w:val="none"/>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color w:val="auto"/>
          <w:highlight w:val="none"/>
        </w:rPr>
        <w:drawing>
          <wp:inline distT="0" distB="0" distL="114300" distR="114300">
            <wp:extent cx="5878830" cy="7871460"/>
            <wp:effectExtent l="0" t="0" r="7620" b="152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878830" cy="7871460"/>
                    </a:xfrm>
                    <a:prstGeom prst="rect">
                      <a:avLst/>
                    </a:prstGeom>
                    <a:noFill/>
                    <a:ln>
                      <a:noFill/>
                    </a:ln>
                  </pic:spPr>
                </pic:pic>
              </a:graphicData>
            </a:graphic>
          </wp:inline>
        </w:drawing>
      </w:r>
    </w:p>
    <w:p w14:paraId="023032A5">
      <w:pPr>
        <w:pStyle w:val="7"/>
        <w:spacing w:line="480" w:lineRule="auto"/>
        <w:ind w:firstLine="0"/>
        <w:jc w:val="center"/>
        <w:rPr>
          <w:color w:val="auto"/>
          <w:highlight w:val="none"/>
        </w:rPr>
      </w:pPr>
    </w:p>
    <w:p w14:paraId="6513AAE8">
      <w:pPr>
        <w:pStyle w:val="7"/>
        <w:spacing w:line="480" w:lineRule="auto"/>
        <w:ind w:firstLine="0"/>
        <w:jc w:val="center"/>
        <w:rPr>
          <w:color w:val="auto"/>
          <w:highlight w:val="none"/>
        </w:rPr>
        <w:sectPr>
          <w:pgSz w:w="11906" w:h="16838"/>
          <w:pgMar w:top="1701" w:right="1417" w:bottom="1701" w:left="1417" w:header="1088" w:footer="992" w:gutter="0"/>
          <w:pgNumType w:fmt="decimal"/>
          <w:cols w:space="720" w:num="1"/>
          <w:titlePg/>
          <w:rtlGutter w:val="0"/>
          <w:docGrid w:type="lines" w:linePitch="312" w:charSpace="0"/>
        </w:sectPr>
      </w:pPr>
    </w:p>
    <w:p w14:paraId="0067C0E5">
      <w:pPr>
        <w:pStyle w:val="2"/>
        <w:jc w:val="center"/>
      </w:pPr>
      <w:bookmarkStart w:id="616" w:name="_Toc19281"/>
      <w:bookmarkStart w:id="617" w:name="_Toc16344"/>
      <w:bookmarkStart w:id="618" w:name="_Toc14861"/>
      <w:bookmarkStart w:id="619" w:name="_Toc20513"/>
      <w:bookmarkStart w:id="620" w:name="_Toc19086"/>
      <w:bookmarkStart w:id="621" w:name="_Toc4813"/>
      <w:bookmarkStart w:id="622" w:name="_Toc19081"/>
      <w:r>
        <w:rPr>
          <w:color w:val="auto"/>
          <w:highlight w:val="none"/>
        </w:rPr>
        <w:drawing>
          <wp:inline distT="0" distB="0" distL="114300" distR="114300">
            <wp:extent cx="5537200" cy="7781290"/>
            <wp:effectExtent l="0" t="0" r="1016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rot="5400000">
                      <a:off x="0" y="0"/>
                      <a:ext cx="5537200" cy="7781290"/>
                    </a:xfrm>
                    <a:prstGeom prst="rect">
                      <a:avLst/>
                    </a:prstGeom>
                    <a:noFill/>
                    <a:ln>
                      <a:noFill/>
                    </a:ln>
                  </pic:spPr>
                </pic:pic>
              </a:graphicData>
            </a:graphic>
          </wp:inline>
        </w:drawing>
      </w:r>
      <w:r>
        <w:rPr>
          <w:color w:val="auto"/>
          <w:highlight w:val="none"/>
        </w:rPr>
        <w:drawing>
          <wp:inline distT="0" distB="0" distL="114300" distR="114300">
            <wp:extent cx="5761355" cy="7972425"/>
            <wp:effectExtent l="0" t="0" r="9525"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rot="5400000">
                      <a:off x="0" y="0"/>
                      <a:ext cx="5761355" cy="7972425"/>
                    </a:xfrm>
                    <a:prstGeom prst="rect">
                      <a:avLst/>
                    </a:prstGeom>
                    <a:noFill/>
                    <a:ln>
                      <a:noFill/>
                    </a:ln>
                  </pic:spPr>
                </pic:pic>
              </a:graphicData>
            </a:graphic>
          </wp:inline>
        </w:drawing>
      </w:r>
      <w:r>
        <w:rPr>
          <w:color w:val="auto"/>
          <w:highlight w:val="none"/>
        </w:rPr>
        <w:drawing>
          <wp:inline distT="0" distB="0" distL="114300" distR="114300">
            <wp:extent cx="5375275" cy="7501255"/>
            <wp:effectExtent l="0" t="0" r="4445" b="158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rot="5400000">
                      <a:off x="0" y="0"/>
                      <a:ext cx="5375275" cy="7501255"/>
                    </a:xfrm>
                    <a:prstGeom prst="rect">
                      <a:avLst/>
                    </a:prstGeom>
                    <a:noFill/>
                    <a:ln>
                      <a:noFill/>
                    </a:ln>
                  </pic:spPr>
                </pic:pic>
              </a:graphicData>
            </a:graphic>
          </wp:inline>
        </w:drawing>
      </w:r>
      <w:r>
        <w:rPr>
          <w:color w:val="auto"/>
          <w:highlight w:val="none"/>
        </w:rPr>
        <w:drawing>
          <wp:inline distT="0" distB="0" distL="114300" distR="114300">
            <wp:extent cx="5640070" cy="7687310"/>
            <wp:effectExtent l="0" t="0" r="889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rot="5400000">
                      <a:off x="0" y="0"/>
                      <a:ext cx="5640070" cy="7687310"/>
                    </a:xfrm>
                    <a:prstGeom prst="rect">
                      <a:avLst/>
                    </a:prstGeom>
                    <a:noFill/>
                    <a:ln>
                      <a:noFill/>
                    </a:ln>
                  </pic:spPr>
                </pic:pic>
              </a:graphicData>
            </a:graphic>
          </wp:inline>
        </w:drawing>
      </w:r>
      <w:r>
        <w:rPr>
          <w:color w:val="auto"/>
          <w:highlight w:val="none"/>
        </w:rPr>
        <w:drawing>
          <wp:inline distT="0" distB="0" distL="114300" distR="114300">
            <wp:extent cx="5534025" cy="7713980"/>
            <wp:effectExtent l="0" t="0" r="127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rot="5400000">
                      <a:off x="0" y="0"/>
                      <a:ext cx="5534025" cy="7713980"/>
                    </a:xfrm>
                    <a:prstGeom prst="rect">
                      <a:avLst/>
                    </a:prstGeom>
                    <a:noFill/>
                    <a:ln>
                      <a:noFill/>
                    </a:ln>
                  </pic:spPr>
                </pic:pic>
              </a:graphicData>
            </a:graphic>
          </wp:inline>
        </w:drawing>
      </w:r>
      <w:r>
        <w:rPr>
          <w:color w:val="auto"/>
          <w:highlight w:val="none"/>
        </w:rPr>
        <w:drawing>
          <wp:inline distT="0" distB="0" distL="114300" distR="114300">
            <wp:extent cx="5131435" cy="6903085"/>
            <wp:effectExtent l="0" t="0" r="1206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6"/>
                    <a:stretch>
                      <a:fillRect/>
                    </a:stretch>
                  </pic:blipFill>
                  <pic:spPr>
                    <a:xfrm rot="5400000">
                      <a:off x="0" y="0"/>
                      <a:ext cx="5131435" cy="6903085"/>
                    </a:xfrm>
                    <a:prstGeom prst="rect">
                      <a:avLst/>
                    </a:prstGeom>
                    <a:noFill/>
                    <a:ln>
                      <a:noFill/>
                    </a:ln>
                  </pic:spPr>
                </pic:pic>
              </a:graphicData>
            </a:graphic>
          </wp:inline>
        </w:drawing>
      </w:r>
      <w:r>
        <w:rPr>
          <w:color w:val="auto"/>
          <w:highlight w:val="none"/>
        </w:rPr>
        <w:drawing>
          <wp:inline distT="0" distB="0" distL="114300" distR="114300">
            <wp:extent cx="5580380" cy="7706995"/>
            <wp:effectExtent l="0" t="0" r="8255" b="12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7"/>
                    <a:stretch>
                      <a:fillRect/>
                    </a:stretch>
                  </pic:blipFill>
                  <pic:spPr>
                    <a:xfrm rot="5400000">
                      <a:off x="0" y="0"/>
                      <a:ext cx="5580380" cy="7706995"/>
                    </a:xfrm>
                    <a:prstGeom prst="rect">
                      <a:avLst/>
                    </a:prstGeom>
                    <a:noFill/>
                    <a:ln>
                      <a:noFill/>
                    </a:ln>
                  </pic:spPr>
                </pic:pic>
              </a:graphicData>
            </a:graphic>
          </wp:inline>
        </w:drawing>
      </w:r>
      <w:r>
        <w:rPr>
          <w:color w:val="auto"/>
          <w:highlight w:val="none"/>
        </w:rPr>
        <w:drawing>
          <wp:inline distT="0" distB="0" distL="114300" distR="114300">
            <wp:extent cx="6002020" cy="8295005"/>
            <wp:effectExtent l="0" t="0" r="10795" b="1778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8"/>
                    <a:stretch>
                      <a:fillRect/>
                    </a:stretch>
                  </pic:blipFill>
                  <pic:spPr>
                    <a:xfrm rot="5400000">
                      <a:off x="0" y="0"/>
                      <a:ext cx="6002020" cy="8295005"/>
                    </a:xfrm>
                    <a:prstGeom prst="rect">
                      <a:avLst/>
                    </a:prstGeom>
                    <a:noFill/>
                    <a:ln>
                      <a:noFill/>
                    </a:ln>
                  </pic:spPr>
                </pic:pic>
              </a:graphicData>
            </a:graphic>
          </wp:inline>
        </w:drawing>
      </w:r>
      <w:r>
        <w:rPr>
          <w:color w:val="auto"/>
          <w:highlight w:val="none"/>
        </w:rPr>
        <w:drawing>
          <wp:inline distT="0" distB="0" distL="114300" distR="114300">
            <wp:extent cx="5573395" cy="7620000"/>
            <wp:effectExtent l="0" t="0" r="0"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9"/>
                    <a:stretch>
                      <a:fillRect/>
                    </a:stretch>
                  </pic:blipFill>
                  <pic:spPr>
                    <a:xfrm rot="5400000">
                      <a:off x="0" y="0"/>
                      <a:ext cx="5573395" cy="7620000"/>
                    </a:xfrm>
                    <a:prstGeom prst="rect">
                      <a:avLst/>
                    </a:prstGeom>
                    <a:noFill/>
                    <a:ln>
                      <a:noFill/>
                    </a:ln>
                  </pic:spPr>
                </pic:pic>
              </a:graphicData>
            </a:graphic>
          </wp:inline>
        </w:drawing>
      </w:r>
      <w:r>
        <w:rPr>
          <w:color w:val="auto"/>
          <w:highlight w:val="none"/>
        </w:rPr>
        <w:drawing>
          <wp:inline distT="0" distB="0" distL="114300" distR="114300">
            <wp:extent cx="5594350" cy="7762240"/>
            <wp:effectExtent l="0" t="0" r="10160"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0"/>
                    <a:stretch>
                      <a:fillRect/>
                    </a:stretch>
                  </pic:blipFill>
                  <pic:spPr>
                    <a:xfrm rot="5400000">
                      <a:off x="0" y="0"/>
                      <a:ext cx="5594350" cy="7762240"/>
                    </a:xfrm>
                    <a:prstGeom prst="rect">
                      <a:avLst/>
                    </a:prstGeom>
                    <a:noFill/>
                    <a:ln>
                      <a:noFill/>
                    </a:ln>
                  </pic:spPr>
                </pic:pic>
              </a:graphicData>
            </a:graphic>
          </wp:inline>
        </w:drawing>
      </w:r>
      <w:r>
        <w:rPr>
          <w:color w:val="auto"/>
          <w:highlight w:val="none"/>
        </w:rPr>
        <w:drawing>
          <wp:inline distT="0" distB="0" distL="114300" distR="114300">
            <wp:extent cx="5516245" cy="7505700"/>
            <wp:effectExtent l="0" t="0" r="0"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1"/>
                    <a:stretch>
                      <a:fillRect/>
                    </a:stretch>
                  </pic:blipFill>
                  <pic:spPr>
                    <a:xfrm rot="5400000">
                      <a:off x="0" y="0"/>
                      <a:ext cx="5516245" cy="7505700"/>
                    </a:xfrm>
                    <a:prstGeom prst="rect">
                      <a:avLst/>
                    </a:prstGeom>
                    <a:noFill/>
                    <a:ln>
                      <a:noFill/>
                    </a:ln>
                  </pic:spPr>
                </pic:pic>
              </a:graphicData>
            </a:graphic>
          </wp:inline>
        </w:drawing>
      </w:r>
      <w:r>
        <w:rPr>
          <w:color w:val="auto"/>
          <w:highlight w:val="none"/>
        </w:rPr>
        <w:drawing>
          <wp:inline distT="0" distB="0" distL="114300" distR="114300">
            <wp:extent cx="5575935" cy="7753985"/>
            <wp:effectExtent l="0" t="0" r="18415" b="571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2"/>
                    <a:stretch>
                      <a:fillRect/>
                    </a:stretch>
                  </pic:blipFill>
                  <pic:spPr>
                    <a:xfrm rot="5400000">
                      <a:off x="0" y="0"/>
                      <a:ext cx="5575935" cy="7753985"/>
                    </a:xfrm>
                    <a:prstGeom prst="rect">
                      <a:avLst/>
                    </a:prstGeom>
                    <a:noFill/>
                    <a:ln>
                      <a:noFill/>
                    </a:ln>
                  </pic:spPr>
                </pic:pic>
              </a:graphicData>
            </a:graphic>
          </wp:inline>
        </w:drawing>
      </w:r>
      <w:bookmarkEnd w:id="463"/>
      <w:bookmarkEnd w:id="464"/>
      <w:bookmarkEnd w:id="465"/>
      <w:bookmarkEnd w:id="466"/>
      <w:bookmarkEnd w:id="467"/>
      <w:bookmarkEnd w:id="468"/>
      <w:bookmarkEnd w:id="469"/>
      <w:bookmarkEnd w:id="616"/>
      <w:bookmarkEnd w:id="617"/>
      <w:bookmarkEnd w:id="618"/>
      <w:bookmarkEnd w:id="619"/>
      <w:bookmarkEnd w:id="620"/>
      <w:bookmarkEnd w:id="621"/>
      <w:bookmarkEnd w:id="622"/>
    </w:p>
    <w:sectPr>
      <w:type w:val="continuous"/>
      <w:pgSz w:w="16838" w:h="11906" w:orient="landscape"/>
      <w:pgMar w:top="1417" w:right="1701" w:bottom="1417" w:left="1701" w:header="1088" w:footer="992" w:gutter="0"/>
      <w:pgNumType w:fmt="decimal"/>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0000000000000000000"/>
    <w:charset w:val="86"/>
    <w:family w:val="auto"/>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BD4FF">
    <w:pPr>
      <w:pStyle w:val="11"/>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7BA3A">
    <w:pPr>
      <w:pStyle w:val="11"/>
      <w:tabs>
        <w:tab w:val="left" w:pos="5022"/>
        <w:tab w:val="clear" w:pos="4153"/>
        <w:tab w:val="clear" w:pos="830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FD224">
    <w:pPr>
      <w:pStyle w:val="11"/>
      <w:tabs>
        <w:tab w:val="left" w:pos="5022"/>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66BC3D">
                          <w:pPr>
                            <w:pStyle w:val="11"/>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14:paraId="0666BC3D">
                    <w:pPr>
                      <w:pStyle w:val="11"/>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668B8">
    <w:pPr>
      <w:pStyle w:val="11"/>
      <w:tabs>
        <w:tab w:val="left" w:pos="5022"/>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2A160B">
                          <w:pPr>
                            <w:pStyle w:val="11"/>
                          </w:pPr>
                          <w:r>
                            <w:fldChar w:fldCharType="begin"/>
                          </w:r>
                          <w:r>
                            <w:instrText xml:space="preserve"> PAGE  \* MERGEFORMAT </w:instrText>
                          </w:r>
                          <w:r>
                            <w:fldChar w:fldCharType="separate"/>
                          </w:r>
                          <w:r>
                            <w:t>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14:paraId="492A160B">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BE83">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528EDF">
                          <w:pPr>
                            <w:pStyle w:val="11"/>
                          </w:pPr>
                          <w:r>
                            <w:fldChar w:fldCharType="begin"/>
                          </w:r>
                          <w:r>
                            <w:instrText xml:space="preserve"> PAGE  \* MERGEFORMAT </w:instrText>
                          </w:r>
                          <w:r>
                            <w:fldChar w:fldCharType="separate"/>
                          </w:r>
                          <w:r>
                            <w:t>35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14:paraId="26528EDF">
                    <w:pPr>
                      <w:pStyle w:val="11"/>
                    </w:pPr>
                    <w:r>
                      <w:fldChar w:fldCharType="begin"/>
                    </w:r>
                    <w:r>
                      <w:instrText xml:space="preserve"> PAGE  \* MERGEFORMAT </w:instrText>
                    </w:r>
                    <w:r>
                      <w:fldChar w:fldCharType="separate"/>
                    </w:r>
                    <w:r>
                      <w:t>35</w:t>
                    </w:r>
                    <w:r>
                      <w:fldChar w:fldCharType="end"/>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21B7">
    <w:pPr>
      <w:pStyle w:val="11"/>
      <w:tabs>
        <w:tab w:val="left" w:pos="5022"/>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4DB6AA">
                          <w:pPr>
                            <w:pStyle w:val="11"/>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path/>
              <v:fill on="f" focussize="0,0"/>
              <v:stroke on="f"/>
              <v:imagedata o:title=""/>
              <o:lock v:ext="edit" aspectratio="f"/>
              <v:textbox inset="0mm,0mm,0mm,0mm" style="mso-fit-shape-to-text:t;">
                <w:txbxContent>
                  <w:p w14:paraId="794DB6AA">
                    <w:pPr>
                      <w:pStyle w:val="11"/>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DE31">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2252ED">
                          <w:pPr>
                            <w:pStyle w:val="11"/>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v:imagedata o:title=""/>
              <o:lock v:ext="edit" aspectratio="f"/>
              <v:textbox inset="0mm,0mm,0mm,0mm" style="mso-fit-shape-to-text:t;">
                <w:txbxContent>
                  <w:p w14:paraId="052252ED">
                    <w:pPr>
                      <w:pStyle w:val="11"/>
                    </w:pPr>
                    <w:r>
                      <w:fldChar w:fldCharType="begin"/>
                    </w:r>
                    <w:r>
                      <w:instrText xml:space="preserve"> PAGE  \* MERGEFORMAT </w:instrText>
                    </w:r>
                    <w:r>
                      <w:fldChar w:fldCharType="separate"/>
                    </w:r>
                    <w:r>
                      <w:t>42</w:t>
                    </w:r>
                    <w:r>
                      <w:fldChar w:fldCharType="end"/>
                    </w:r>
                  </w:p>
                </w:txbxContent>
              </v:textbox>
            </v:shape>
          </w:pict>
        </mc:Fallback>
      </mc:AlternateContent>
    </w:r>
    <w:r>
      <w:rPr>
        <w:rFonts w:hint="eastAsia"/>
      </w:rPr>
      <w:t xml:space="preserve">                                             </w:t>
    </w:r>
    <w:r>
      <w:rPr>
        <w:rFonts w:hint="eastAsia"/>
        <w:sz w:val="16"/>
        <w:szCs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B2264">
    <w:pPr>
      <w:pStyle w:val="11"/>
      <w:pBdr>
        <w:top w:val="single" w:color="auto" w:sz="4" w:space="0"/>
      </w:pBd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FAA72">
                          <w:pPr>
                            <w:pStyle w:val="11"/>
                          </w:pPr>
                          <w:r>
                            <w:fldChar w:fldCharType="begin"/>
                          </w:r>
                          <w:r>
                            <w:instrText xml:space="preserve"> PAGE  \* MERGEFORMAT </w:instrText>
                          </w:r>
                          <w:r>
                            <w:fldChar w:fldCharType="separate"/>
                          </w:r>
                          <w:r>
                            <w:t>76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path/>
              <v:fill on="f" focussize="0,0"/>
              <v:stroke on="f"/>
              <v:imagedata o:title=""/>
              <o:lock v:ext="edit" aspectratio="f"/>
              <v:textbox inset="0mm,0mm,0mm,0mm" style="mso-fit-shape-to-text:t;">
                <w:txbxContent>
                  <w:p w14:paraId="60EFAA72">
                    <w:pPr>
                      <w:pStyle w:val="1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77749">
    <w:pPr>
      <w:pStyle w:val="13"/>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E21C">
    <w:pPr>
      <w:pStyle w:val="13"/>
      <w:jc w:val="left"/>
    </w:pPr>
    <w:r>
      <w:rPr>
        <w:rFonts w:hint="eastAsia"/>
        <w:szCs w:val="18"/>
        <w:lang w:eastAsia="zh-CN"/>
      </w:rPr>
      <w:t>陕安项目管理有限公司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16EC">
    <w:pPr>
      <w:pStyle w:val="13"/>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陕安项目管理有限公司</w:t>
    </w:r>
    <w:r>
      <w:rPr>
        <w:rFonts w:hint="eastAsia" w:ascii="宋体" w:hAnsi="宋体" w:cs="宋体"/>
        <w:sz w:val="15"/>
        <w:szCs w:val="15"/>
        <w:u w:val="single"/>
      </w:rPr>
      <w:t xml:space="preserve">                                </w:t>
    </w:r>
    <w:r>
      <w:rPr>
        <w:rFonts w:hint="eastAsia" w:ascii="宋体" w:hAnsi="宋体" w:cs="宋体"/>
        <w:sz w:val="15"/>
        <w:szCs w:val="15"/>
        <w:u w:val="single"/>
        <w:lang w:val="en-US" w:eastAsia="zh-CN"/>
      </w:rPr>
      <w:t xml:space="preserve">           </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331B1">
    <w:pPr>
      <w:pStyle w:val="13"/>
      <w:jc w:val="left"/>
    </w:pPr>
    <w:r>
      <w:rPr>
        <w:rFonts w:hint="eastAsia"/>
        <w:szCs w:val="18"/>
        <w:lang w:eastAsia="zh-CN"/>
      </w:rPr>
      <w:t>陕安项目管理有限公司</w:t>
    </w:r>
    <w:r>
      <w:rPr>
        <w:rFonts w:hint="eastAsia"/>
        <w:szCs w:val="18"/>
      </w:rPr>
      <w:t xml:space="preserve">                              </w:t>
    </w:r>
    <w:r>
      <w:rPr>
        <w:rFonts w:hint="eastAsia"/>
        <w:szCs w:val="18"/>
        <w:lang w:val="en-US" w:eastAsia="zh-CN"/>
      </w:rPr>
      <w:t xml:space="preserve">                 </w:t>
    </w:r>
    <w:r>
      <w:rPr>
        <w:rFonts w:hint="eastAsia"/>
        <w:szCs w:val="18"/>
      </w:rPr>
      <w:t xml:space="preserve">                  竞争性谈判文件</w:t>
    </w:r>
  </w:p>
  <w:p w14:paraId="10BC7A4F">
    <w:pPr>
      <w:pStyle w:val="13"/>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E548">
    <w:pPr>
      <w:pStyle w:val="13"/>
      <w:jc w:val="left"/>
    </w:pPr>
    <w:r>
      <w:rPr>
        <w:rFonts w:hint="eastAsia"/>
        <w:szCs w:val="18"/>
        <w:lang w:eastAsia="zh-CN"/>
      </w:rPr>
      <w:t>陕安项目管理有限公司</w:t>
    </w:r>
    <w:r>
      <w:rPr>
        <w:rFonts w:hint="eastAsia"/>
        <w:szCs w:val="18"/>
      </w:rPr>
      <w:t xml:space="preserve">                                                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8D457">
    <w:pPr>
      <w:pStyle w:val="13"/>
      <w:jc w:val="left"/>
    </w:pPr>
    <w:r>
      <w:rPr>
        <w:rFonts w:hint="eastAsia"/>
        <w:szCs w:val="18"/>
        <w:lang w:eastAsia="zh-CN"/>
      </w:rPr>
      <w:t>陕安项目管理有限公司</w:t>
    </w:r>
    <w:r>
      <w:rPr>
        <w:rFonts w:hint="eastAsia"/>
        <w:szCs w:val="18"/>
      </w:rPr>
      <w:t xml:space="preserve">                      </w:t>
    </w:r>
    <w:r>
      <w:rPr>
        <w:rFonts w:hint="eastAsia"/>
        <w:szCs w:val="18"/>
        <w:lang w:val="en-US" w:eastAsia="zh-CN"/>
      </w:rPr>
      <w:t xml:space="preserve">                  </w:t>
    </w:r>
    <w:r>
      <w:rPr>
        <w:rFonts w:hint="eastAsia"/>
        <w:szCs w:val="18"/>
      </w:rPr>
      <w:t xml:space="preserve">                          竞争性谈判文件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A773">
    <w:pPr>
      <w:pStyle w:val="13"/>
      <w:jc w:val="left"/>
    </w:pPr>
    <w:r>
      <w:rPr>
        <w:rFonts w:hint="eastAsia"/>
        <w:szCs w:val="18"/>
        <w:lang w:eastAsia="zh-CN"/>
      </w:rPr>
      <w:t>陕安项目管理有限公司</w:t>
    </w:r>
    <w:r>
      <w:rPr>
        <w:rFonts w:hint="eastAsia"/>
        <w:szCs w:val="18"/>
      </w:rPr>
      <w:t xml:space="preserve">                      </w:t>
    </w:r>
    <w:r>
      <w:rPr>
        <w:rFonts w:hint="eastAsia"/>
        <w:szCs w:val="18"/>
        <w:lang w:val="en-US" w:eastAsia="zh-CN"/>
      </w:rPr>
      <w:t xml:space="preserve">                  </w:t>
    </w:r>
    <w:r>
      <w:rPr>
        <w:rFonts w:hint="eastAsia"/>
        <w:szCs w:val="18"/>
      </w:rPr>
      <w:t xml:space="preserve">                          竞争性谈判文件</w:t>
    </w:r>
    <w:r>
      <w:rPr>
        <w:rFonts w:hint="eastAsia" w:ascii="宋体" w:hAnsi="宋体" w:cs="宋体"/>
        <w:bCs/>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A955C"/>
    <w:multiLevelType w:val="singleLevel"/>
    <w:tmpl w:val="810A955C"/>
    <w:lvl w:ilvl="0" w:tentative="0">
      <w:start w:val="1"/>
      <w:numFmt w:val="decimal"/>
      <w:suff w:val="nothing"/>
      <w:lvlText w:val="%1、"/>
      <w:lvlJc w:val="left"/>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B25BD386"/>
    <w:multiLevelType w:val="singleLevel"/>
    <w:tmpl w:val="B25BD386"/>
    <w:lvl w:ilvl="0" w:tentative="0">
      <w:start w:val="2"/>
      <w:numFmt w:val="decimal"/>
      <w:lvlText w:val="%1."/>
      <w:lvlJc w:val="left"/>
      <w:pPr>
        <w:tabs>
          <w:tab w:val="left" w:pos="312"/>
        </w:tabs>
      </w:pPr>
    </w:lvl>
  </w:abstractNum>
  <w:abstractNum w:abstractNumId="3">
    <w:nsid w:val="B566E50F"/>
    <w:multiLevelType w:val="singleLevel"/>
    <w:tmpl w:val="B566E50F"/>
    <w:lvl w:ilvl="0" w:tentative="0">
      <w:start w:val="2"/>
      <w:numFmt w:val="decimal"/>
      <w:lvlText w:val="%1."/>
      <w:lvlJc w:val="left"/>
      <w:pPr>
        <w:tabs>
          <w:tab w:val="left" w:pos="312"/>
        </w:tabs>
      </w:p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672B0"/>
    <w:rsid w:val="34867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9"/>
    <w:pPr>
      <w:keepNext/>
      <w:keepLines/>
      <w:spacing w:before="260" w:after="260" w:line="415" w:lineRule="auto"/>
      <w:outlineLvl w:val="2"/>
    </w:pPr>
    <w:rPr>
      <w:b/>
      <w:sz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0">
    <w:name w:val="Default Paragraph Font"/>
    <w:semiHidden/>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Body Text"/>
    <w:basedOn w:val="1"/>
    <w:next w:val="1"/>
    <w:qFormat/>
    <w:uiPriority w:val="0"/>
    <w:pPr>
      <w:spacing w:after="120"/>
    </w:pPr>
  </w:style>
  <w:style w:type="paragraph" w:styleId="9">
    <w:name w:val="Body Text Indent"/>
    <w:basedOn w:val="1"/>
    <w:qFormat/>
    <w:uiPriority w:val="0"/>
    <w:pPr>
      <w:ind w:left="1083" w:leftChars="30" w:hanging="1020" w:hangingChars="425"/>
    </w:pPr>
    <w:rPr>
      <w:rFonts w:ascii="宋体" w:hAnsi="宋体"/>
      <w:sz w:val="24"/>
    </w:rPr>
  </w:style>
  <w:style w:type="paragraph" w:styleId="10">
    <w:name w:val="Plain Text"/>
    <w:basedOn w:val="1"/>
    <w:next w:val="8"/>
    <w:unhideWhenUsed/>
    <w:qFormat/>
    <w:uiPriority w:val="99"/>
    <w:rPr>
      <w:rFonts w:hint="eastAsia" w:ascii="宋体" w:hAnsi="Courier New"/>
      <w:sz w:val="24"/>
    </w:rPr>
  </w:style>
  <w:style w:type="paragraph" w:styleId="11">
    <w:name w:val="footer"/>
    <w:basedOn w:val="1"/>
    <w:next w:val="1"/>
    <w:unhideWhenUsed/>
    <w:qFormat/>
    <w:uiPriority w:val="0"/>
    <w:pPr>
      <w:tabs>
        <w:tab w:val="center" w:pos="4153"/>
        <w:tab w:val="right" w:pos="8306"/>
      </w:tabs>
      <w:snapToGrid w:val="0"/>
      <w:jc w:val="left"/>
    </w:pPr>
    <w:rPr>
      <w:sz w:val="18"/>
    </w:rPr>
  </w:style>
  <w:style w:type="paragraph" w:styleId="12">
    <w:name w:val="envelope return"/>
    <w:basedOn w:val="1"/>
    <w:qFormat/>
    <w:uiPriority w:val="0"/>
    <w:pPr>
      <w:snapToGrid w:val="0"/>
    </w:pPr>
    <w:rPr>
      <w:rFonts w:ascii="Arial" w:hAnsi="Arial"/>
    </w:rPr>
  </w:style>
  <w:style w:type="paragraph" w:styleId="13">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toc 1"/>
    <w:basedOn w:val="1"/>
    <w:next w:val="1"/>
    <w:unhideWhenUsed/>
    <w:qFormat/>
    <w:uiPriority w:val="39"/>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rPr>
  </w:style>
  <w:style w:type="paragraph" w:styleId="16">
    <w:name w:val="Normal (Web)"/>
    <w:basedOn w:val="1"/>
    <w:next w:val="12"/>
    <w:unhideWhenUsed/>
    <w:qFormat/>
    <w:uiPriority w:val="99"/>
    <w:pPr>
      <w:spacing w:before="100" w:beforeAutospacing="1" w:after="100" w:afterAutospacing="1"/>
      <w:jc w:val="left"/>
    </w:pPr>
    <w:rPr>
      <w:kern w:val="0"/>
      <w:sz w:val="24"/>
    </w:rPr>
  </w:style>
  <w:style w:type="paragraph" w:styleId="17">
    <w:name w:val="Body Text First Indent"/>
    <w:basedOn w:val="8"/>
    <w:next w:val="1"/>
    <w:qFormat/>
    <w:uiPriority w:val="0"/>
    <w:pPr>
      <w:adjustRightInd w:val="0"/>
      <w:ind w:firstLine="420"/>
      <w:jc w:val="left"/>
      <w:textAlignment w:val="baseline"/>
    </w:pPr>
    <w:rPr>
      <w:kern w:val="0"/>
      <w:sz w:val="21"/>
    </w:rPr>
  </w:style>
  <w:style w:type="paragraph" w:styleId="18">
    <w:name w:val="Body Text First Indent 2"/>
    <w:basedOn w:val="9"/>
    <w:next w:val="1"/>
    <w:qFormat/>
    <w:uiPriority w:val="0"/>
    <w:pPr>
      <w:ind w:firstLine="420"/>
    </w:pPr>
    <w:rPr>
      <w:rFonts w:hint="eastAsia"/>
      <w:sz w:val="21"/>
    </w:rPr>
  </w:style>
  <w:style w:type="character" w:styleId="21">
    <w:name w:val="Strong"/>
    <w:basedOn w:val="20"/>
    <w:qFormat/>
    <w:uiPriority w:val="0"/>
    <w:rPr>
      <w:b/>
      <w:bCs/>
    </w:rPr>
  </w:style>
  <w:style w:type="character" w:styleId="22">
    <w:name w:val="Hyperlink"/>
    <w:basedOn w:val="20"/>
    <w:unhideWhenUsed/>
    <w:qFormat/>
    <w:uiPriority w:val="99"/>
    <w:rPr>
      <w:rFonts w:hint="eastAsia" w:ascii="宋体" w:hAnsi="宋体" w:eastAsia="宋体" w:cs="宋体"/>
      <w:color w:val="000000"/>
      <w:sz w:val="18"/>
      <w:szCs w:val="18"/>
      <w:u w:val="none"/>
    </w:rPr>
  </w:style>
  <w:style w:type="paragraph" w:customStyle="1" w:styleId="23">
    <w:name w:val="正文缩进1"/>
    <w:basedOn w:val="1"/>
    <w:qFormat/>
    <w:uiPriority w:val="0"/>
    <w:pPr>
      <w:ind w:firstLine="420" w:firstLineChars="200"/>
    </w:pPr>
  </w:style>
  <w:style w:type="paragraph" w:customStyle="1" w:styleId="24">
    <w:name w:val="Table Paragraph"/>
    <w:basedOn w:val="1"/>
    <w:qFormat/>
    <w:uiPriority w:val="1"/>
    <w:rPr>
      <w:rFonts w:ascii="宋体" w:hAnsi="宋体" w:eastAsia="宋体" w:cs="宋体"/>
      <w:lang w:val="zh-CN" w:eastAsia="zh-CN" w:bidi="zh-CN"/>
    </w:rPr>
  </w:style>
  <w:style w:type="paragraph" w:customStyle="1" w:styleId="25">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26">
    <w:name w:val="List Paragraph"/>
    <w:basedOn w:val="1"/>
    <w:qFormat/>
    <w:uiPriority w:val="34"/>
    <w:pPr>
      <w:ind w:firstLine="420" w:firstLineChars="200"/>
    </w:pPr>
  </w:style>
  <w:style w:type="paragraph" w:customStyle="1" w:styleId="27">
    <w:name w:val="Default"/>
    <w:basedOn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2025-12-01T08:48:00Z</dcterms:created>
  <dc:creator>Administrator</dc:creator>
  <cp:lastModifiedBy>Administrator</cp:lastModifiedBy>
  <dcterms:modified xsi:type="dcterms:W3CDTF">2025-12-01T08:49:02Z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CACD54A21FDF400CAE822D9DE04DE964_11</vt:lpwstr>
  </property>
  <property fmtid="{D5CDD505-2E9C-101B-9397-08002B2CF9AE}" pid="4" name="KSOTemplateDocerSaveRecord">
    <vt:lpwstr>eyJoZGlkIjoiNjAwYzAzMzdiMDlkNjE0OTU5ODdlMjFmMTI0NzNhZWEiLCJ1c2VySWQiOiIxMTAwMzA0NDI5In0=</vt:lpwstr>
  </property>
</Properties>
</file>